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ascii="宋体" w:hAnsi="宋体"/>
          <w:b/>
          <w:color w:val="000000" w:themeColor="text1"/>
          <w:sz w:val="44"/>
          <w:szCs w:val="50"/>
          <w:highlight w:val="none"/>
          <w14:textFill>
            <w14:solidFill>
              <w14:schemeClr w14:val="tx1"/>
            </w14:solidFill>
          </w14:textFill>
        </w:rPr>
      </w:pPr>
    </w:p>
    <w:p>
      <w:pPr>
        <w:spacing w:after="120" w:line="900" w:lineRule="exact"/>
        <w:jc w:val="center"/>
        <w:rPr>
          <w:rFonts w:hint="eastAsia" w:ascii="宋体" w:hAnsi="宋体"/>
          <w:b/>
          <w:color w:val="000000" w:themeColor="text1"/>
          <w:sz w:val="44"/>
          <w:szCs w:val="50"/>
          <w:highlight w:val="none"/>
          <w:lang w:eastAsia="zh-CN"/>
          <w14:textFill>
            <w14:solidFill>
              <w14:schemeClr w14:val="tx1"/>
            </w14:solidFill>
          </w14:textFill>
        </w:rPr>
      </w:pPr>
      <w:r>
        <w:rPr>
          <w:rFonts w:hint="eastAsia" w:ascii="宋体" w:hAnsi="宋体"/>
          <w:b/>
          <w:color w:val="000000" w:themeColor="text1"/>
          <w:sz w:val="44"/>
          <w:szCs w:val="50"/>
          <w:highlight w:val="none"/>
          <w:lang w:eastAsia="zh-CN"/>
          <w14:textFill>
            <w14:solidFill>
              <w14:schemeClr w14:val="tx1"/>
            </w14:solidFill>
          </w14:textFill>
        </w:rPr>
        <w:t>宁波大学附属第一医院智慧病房建设项目</w:t>
      </w:r>
    </w:p>
    <w:p>
      <w:pPr>
        <w:pStyle w:val="2"/>
        <w:rPr>
          <w:rFonts w:hint="eastAsia"/>
          <w:color w:val="000000" w:themeColor="text1"/>
          <w:lang w:eastAsia="zh-CN"/>
          <w14:textFill>
            <w14:solidFill>
              <w14:schemeClr w14:val="tx1"/>
            </w14:solidFill>
          </w14:textFill>
        </w:rPr>
      </w:pPr>
    </w:p>
    <w:p>
      <w:pPr>
        <w:spacing w:after="120" w:line="900" w:lineRule="exact"/>
        <w:jc w:val="center"/>
        <w:rPr>
          <w:rFonts w:ascii="宋体" w:hAnsi="宋体"/>
          <w:b/>
          <w:color w:val="000000" w:themeColor="text1"/>
          <w:sz w:val="46"/>
          <w:szCs w:val="50"/>
          <w:highlight w:val="none"/>
          <w14:textFill>
            <w14:solidFill>
              <w14:schemeClr w14:val="tx1"/>
            </w14:solidFill>
          </w14:textFill>
        </w:rPr>
      </w:pPr>
      <w:r>
        <w:rPr>
          <w:rFonts w:hint="eastAsia" w:ascii="宋体" w:hAnsi="宋体"/>
          <w:b/>
          <w:color w:val="000000" w:themeColor="text1"/>
          <w:sz w:val="46"/>
          <w:szCs w:val="50"/>
          <w:highlight w:val="none"/>
          <w14:textFill>
            <w14:solidFill>
              <w14:schemeClr w14:val="tx1"/>
            </w14:solidFill>
          </w14:textFill>
        </w:rPr>
        <w:t>政府采购</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公</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开</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招</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标</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文</w:t>
      </w:r>
    </w:p>
    <w:p>
      <w:pPr>
        <w:spacing w:after="120" w:line="800" w:lineRule="exact"/>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件</w:t>
      </w:r>
    </w:p>
    <w:p>
      <w:pPr>
        <w:spacing w:line="600" w:lineRule="exact"/>
        <w:rPr>
          <w:rFonts w:hint="eastAsia" w:ascii="宋体" w:hAnsi="宋体" w:eastAsia="宋体"/>
          <w:b/>
          <w:color w:val="000000" w:themeColor="text1"/>
          <w:sz w:val="28"/>
          <w:szCs w:val="28"/>
          <w:highlight w:val="none"/>
          <w:lang w:eastAsia="zh-CN"/>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采购编号：</w:t>
      </w:r>
      <w:r>
        <w:rPr>
          <w:rFonts w:hint="eastAsia" w:ascii="宋体" w:hAnsi="宋体"/>
          <w:b/>
          <w:color w:val="000000" w:themeColor="text1"/>
          <w:sz w:val="28"/>
          <w:szCs w:val="28"/>
          <w:highlight w:val="none"/>
          <w:lang w:eastAsia="zh-CN"/>
          <w14:textFill>
            <w14:solidFill>
              <w14:schemeClr w14:val="tx1"/>
            </w14:solidFill>
          </w14:textFill>
        </w:rPr>
        <w:t>NBITC-202311752G</w:t>
      </w:r>
    </w:p>
    <w:p>
      <w:pPr>
        <w:spacing w:line="600" w:lineRule="exact"/>
        <w:ind w:left="1405" w:hanging="1405" w:hangingChars="500"/>
        <w:rPr>
          <w:rFonts w:hint="eastAsia" w:ascii="宋体" w:hAnsi="宋体" w:eastAsia="宋体"/>
          <w:b/>
          <w:color w:val="000000" w:themeColor="text1"/>
          <w:sz w:val="28"/>
          <w:szCs w:val="28"/>
          <w:highlight w:val="none"/>
          <w:lang w:eastAsia="zh-CN"/>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采购人：</w:t>
      </w:r>
      <w:r>
        <w:rPr>
          <w:rFonts w:hint="eastAsia" w:ascii="宋体" w:hAnsi="宋体"/>
          <w:b/>
          <w:color w:val="000000" w:themeColor="text1"/>
          <w:sz w:val="28"/>
          <w:szCs w:val="28"/>
          <w:highlight w:val="none"/>
          <w:lang w:eastAsia="zh-CN"/>
          <w14:textFill>
            <w14:solidFill>
              <w14:schemeClr w14:val="tx1"/>
            </w14:solidFill>
          </w14:textFill>
        </w:rPr>
        <w:t>宁波大学附属第一医院</w:t>
      </w:r>
    </w:p>
    <w:p>
      <w:pPr>
        <w:spacing w:line="600" w:lineRule="exact"/>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代理机构：宁波市国际招标有限公司</w:t>
      </w:r>
    </w:p>
    <w:p>
      <w:pPr>
        <w:spacing w:line="600" w:lineRule="exact"/>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编制日期：</w:t>
      </w:r>
      <w:r>
        <w:rPr>
          <w:rFonts w:hint="eastAsia" w:ascii="宋体" w:hAnsi="宋体"/>
          <w:b/>
          <w:color w:val="000000" w:themeColor="text1"/>
          <w:sz w:val="28"/>
          <w:szCs w:val="28"/>
          <w:highlight w:val="none"/>
          <w:lang w:eastAsia="zh-CN"/>
          <w14:textFill>
            <w14:solidFill>
              <w14:schemeClr w14:val="tx1"/>
            </w14:solidFill>
          </w14:textFill>
        </w:rPr>
        <w:t>2023年</w:t>
      </w:r>
      <w:r>
        <w:rPr>
          <w:rFonts w:hint="eastAsia" w:ascii="宋体" w:hAnsi="宋体"/>
          <w:b/>
          <w:color w:val="000000" w:themeColor="text1"/>
          <w:sz w:val="28"/>
          <w:szCs w:val="28"/>
          <w:highlight w:val="none"/>
          <w:lang w:val="en-US" w:eastAsia="zh-CN"/>
          <w14:textFill>
            <w14:solidFill>
              <w14:schemeClr w14:val="tx1"/>
            </w14:solidFill>
          </w14:textFill>
        </w:rPr>
        <w:t>11</w:t>
      </w:r>
      <w:r>
        <w:rPr>
          <w:rFonts w:hint="eastAsia" w:ascii="宋体" w:hAnsi="宋体"/>
          <w:b/>
          <w:color w:val="000000" w:themeColor="text1"/>
          <w:sz w:val="28"/>
          <w:szCs w:val="28"/>
          <w:highlight w:val="none"/>
          <w14:textFill>
            <w14:solidFill>
              <w14:schemeClr w14:val="tx1"/>
            </w14:solidFill>
          </w14:textFill>
        </w:rPr>
        <w:t>月</w:t>
      </w:r>
    </w:p>
    <w:p>
      <w:pPr>
        <w:spacing w:line="600" w:lineRule="exact"/>
        <w:rPr>
          <w:rFonts w:ascii="宋体" w:hAnsi="宋体"/>
          <w:b/>
          <w:color w:val="000000" w:themeColor="text1"/>
          <w:sz w:val="28"/>
          <w:szCs w:val="28"/>
          <w:highlight w:val="none"/>
          <w14:textFill>
            <w14:solidFill>
              <w14:schemeClr w14:val="tx1"/>
            </w14:solidFill>
          </w14:textFill>
        </w:rPr>
      </w:pPr>
    </w:p>
    <w:p>
      <w:pPr>
        <w:spacing w:line="400" w:lineRule="exact"/>
        <w:jc w:val="center"/>
        <w:rPr>
          <w:rFonts w:ascii="宋体" w:hAnsi="宋体"/>
          <w:b/>
          <w:color w:val="000000" w:themeColor="text1"/>
          <w:sz w:val="28"/>
          <w:szCs w:val="28"/>
          <w:highlight w:val="none"/>
          <w14:textFill>
            <w14:solidFill>
              <w14:schemeClr w14:val="tx1"/>
            </w14:solidFill>
          </w14:textFill>
        </w:rPr>
        <w:sectPr>
          <w:headerReference r:id="rId3" w:type="default"/>
          <w:footerReference r:id="rId4" w:type="default"/>
          <w:footerReference r:id="rId5" w:type="even"/>
          <w:type w:val="nextColumn"/>
          <w:pgSz w:w="11907" w:h="16840"/>
          <w:pgMar w:top="993" w:right="850" w:bottom="1440" w:left="1301" w:header="720" w:footer="0" w:gutter="0"/>
          <w:pgNumType w:start="1"/>
          <w:cols w:space="720" w:num="1"/>
          <w:docGrid w:type="lines" w:linePitch="285" w:charSpace="0"/>
        </w:sectPr>
      </w:pPr>
    </w:p>
    <w:p>
      <w:pPr>
        <w:spacing w:line="480" w:lineRule="auto"/>
        <w:jc w:val="center"/>
        <w:rPr>
          <w:rFonts w:ascii="宋体" w:hAnsi="宋体"/>
          <w:b/>
          <w:color w:val="000000" w:themeColor="text1"/>
          <w:sz w:val="52"/>
          <w:szCs w:val="52"/>
          <w:highlight w:val="none"/>
          <w14:textFill>
            <w14:solidFill>
              <w14:schemeClr w14:val="tx1"/>
            </w14:solidFill>
          </w14:textFill>
        </w:rPr>
      </w:pPr>
    </w:p>
    <w:p>
      <w:pPr>
        <w:spacing w:line="1200" w:lineRule="exact"/>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温馨提醒</w:t>
      </w:r>
    </w:p>
    <w:p>
      <w:pPr>
        <w:spacing w:line="1200" w:lineRule="exact"/>
        <w:jc w:val="center"/>
        <w:rPr>
          <w:rFonts w:ascii="宋体" w:hAnsi="宋体"/>
          <w:b/>
          <w:color w:val="000000" w:themeColor="text1"/>
          <w:sz w:val="52"/>
          <w:szCs w:val="52"/>
          <w:highlight w:val="none"/>
          <w14:textFill>
            <w14:solidFill>
              <w14:schemeClr w14:val="tx1"/>
            </w14:solidFill>
          </w14:textFill>
        </w:rPr>
      </w:pPr>
    </w:p>
    <w:p>
      <w:pPr>
        <w:spacing w:line="1000" w:lineRule="exact"/>
        <w:jc w:val="left"/>
        <w:rPr>
          <w:rFonts w:ascii="宋体" w:hAnsi="宋体"/>
          <w:b/>
          <w:color w:val="000000" w:themeColor="text1"/>
          <w:sz w:val="30"/>
          <w:szCs w:val="30"/>
          <w:highlight w:val="none"/>
          <w14:textFill>
            <w14:solidFill>
              <w14:schemeClr w14:val="tx1"/>
            </w14:solidFill>
          </w14:textFill>
        </w:rPr>
      </w:pPr>
      <w:r>
        <w:rPr>
          <w:rFonts w:ascii="宋体" w:hAnsi="宋体"/>
          <w:b/>
          <w:color w:val="000000" w:themeColor="text1"/>
          <w:sz w:val="30"/>
          <w:szCs w:val="30"/>
          <w:highlight w:val="none"/>
          <w14:textFill>
            <w14:solidFill>
              <w14:schemeClr w14:val="tx1"/>
            </w14:solidFill>
          </w14:textFill>
        </w:rPr>
        <w:t>1</w:t>
      </w:r>
      <w:r>
        <w:rPr>
          <w:rFonts w:hint="eastAsia" w:ascii="宋体" w:hAnsi="宋体"/>
          <w:b/>
          <w:color w:val="000000" w:themeColor="text1"/>
          <w:sz w:val="30"/>
          <w:szCs w:val="30"/>
          <w:highlight w:val="none"/>
          <w14:textFill>
            <w14:solidFill>
              <w14:schemeClr w14:val="tx1"/>
            </w14:solidFill>
          </w14:textFill>
        </w:rPr>
        <w:t>、投标文件应按招标文件要求将“资格文件”、“商务和技术文件”、“报价文件”分别编制。</w:t>
      </w:r>
    </w:p>
    <w:p>
      <w:pPr>
        <w:spacing w:line="1000" w:lineRule="exact"/>
        <w:jc w:val="left"/>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3、如至开标现场，建议供应商自带电脑，以便于开标现场解密投标文件。</w:t>
      </w:r>
    </w:p>
    <w:p>
      <w:pPr>
        <w:spacing w:line="400" w:lineRule="exact"/>
        <w:ind w:left="420" w:leftChars="200"/>
        <w:jc w:val="left"/>
        <w:rPr>
          <w:rFonts w:ascii="宋体" w:hAnsi="宋体"/>
          <w:color w:val="000000" w:themeColor="text1"/>
          <w:szCs w:val="21"/>
          <w:highlight w:val="none"/>
          <w14:textFill>
            <w14:solidFill>
              <w14:schemeClr w14:val="tx1"/>
            </w14:solidFill>
          </w14:textFill>
        </w:rPr>
      </w:pPr>
    </w:p>
    <w:p>
      <w:pPr>
        <w:pStyle w:val="19"/>
        <w:rPr>
          <w:color w:val="000000" w:themeColor="text1"/>
          <w:highlight w:val="none"/>
          <w14:textFill>
            <w14:solidFill>
              <w14:schemeClr w14:val="tx1"/>
            </w14:solidFill>
          </w14:textFill>
        </w:rPr>
      </w:pPr>
    </w:p>
    <w:p>
      <w:pPr>
        <w:pStyle w:val="49"/>
        <w:ind w:firstLine="240"/>
        <w:rPr>
          <w:color w:val="000000" w:themeColor="text1"/>
          <w:highlight w:val="none"/>
          <w14:textFill>
            <w14:solidFill>
              <w14:schemeClr w14:val="tx1"/>
            </w14:solidFill>
          </w14:textFill>
        </w:rPr>
      </w:pPr>
    </w:p>
    <w:p>
      <w:pPr>
        <w:tabs>
          <w:tab w:val="center" w:pos="4365"/>
        </w:tabs>
        <w:spacing w:line="480" w:lineRule="auto"/>
        <w:jc w:val="center"/>
        <w:rPr>
          <w:rFonts w:ascii="宋体" w:hAnsi="宋体"/>
          <w:b/>
          <w:bCs/>
          <w:color w:val="000000" w:themeColor="text1"/>
          <w:sz w:val="32"/>
          <w:szCs w:val="32"/>
          <w:highlight w:val="none"/>
          <w14:textFill>
            <w14:solidFill>
              <w14:schemeClr w14:val="tx1"/>
            </w14:solidFill>
          </w14:textFill>
        </w:rPr>
      </w:pPr>
      <w:r>
        <w:rPr>
          <w:rFonts w:ascii="宋体" w:hAnsi="宋体"/>
          <w:b/>
          <w:bCs/>
          <w:color w:val="000000" w:themeColor="text1"/>
          <w:sz w:val="32"/>
          <w:szCs w:val="32"/>
          <w:highlight w:val="none"/>
          <w14:textFill>
            <w14:solidFill>
              <w14:schemeClr w14:val="tx1"/>
            </w14:solidFill>
          </w14:textFill>
        </w:rPr>
        <w:br w:type="page"/>
      </w:r>
    </w:p>
    <w:p>
      <w:pPr>
        <w:tabs>
          <w:tab w:val="center" w:pos="4365"/>
        </w:tabs>
        <w:spacing w:line="480" w:lineRule="auto"/>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目录</w:t>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TOC \o "1-3" \h \z \u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"_Toc44162138"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第一章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招标公告</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_Toc44162138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1</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"_Toc44162139"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第二章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投标须知</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_Toc44162139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29</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"_Toc44162152"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第三章</w:t>
      </w:r>
      <w:r>
        <w:rPr>
          <w:rStyle w:val="59"/>
          <w:rFonts w:hint="eastAsia"/>
          <w:b/>
          <w:color w:val="000000" w:themeColor="text1"/>
          <w:sz w:val="32"/>
          <w:szCs w:val="32"/>
          <w:highlight w:val="none"/>
          <w:lang w:val="en-US" w:eastAsia="zh-CN"/>
          <w14:textFill>
            <w14:solidFill>
              <w14:schemeClr w14:val="tx1"/>
            </w14:solidFill>
          </w14:textFill>
        </w:rPr>
        <w:t xml:space="preserve"> 招标内容与技术需求</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_Toc44162152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37</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"_Toc44162153"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第四章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商务条款</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_Toc44162153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67</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"_Toc44162154"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第五章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评标办法及标准</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_Toc44162154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69</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"_Toc44162155"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第六章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采购合同样本</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_Toc44162155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78</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pStyle w:val="35"/>
        <w:spacing w:line="900" w:lineRule="exact"/>
        <w:rPr>
          <w:rFonts w:ascii="Times New Roman" w:hAnsi="Times New Roman"/>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HYPERLINK \l "_Toc44162156" </w:instrText>
      </w:r>
      <w:r>
        <w:rPr>
          <w:color w:val="000000" w:themeColor="text1"/>
          <w:sz w:val="32"/>
          <w:szCs w:val="32"/>
          <w:highlight w:val="none"/>
          <w14:textFill>
            <w14:solidFill>
              <w14:schemeClr w14:val="tx1"/>
            </w14:solidFill>
          </w14:textFill>
        </w:rPr>
        <w:fldChar w:fldCharType="separate"/>
      </w:r>
      <w:r>
        <w:rPr>
          <w:rStyle w:val="59"/>
          <w:rFonts w:hint="eastAsia"/>
          <w:b/>
          <w:color w:val="000000" w:themeColor="text1"/>
          <w:sz w:val="32"/>
          <w:szCs w:val="32"/>
          <w:highlight w:val="none"/>
          <w14:textFill>
            <w14:solidFill>
              <w14:schemeClr w14:val="tx1"/>
            </w14:solidFill>
          </w14:textFill>
        </w:rPr>
        <w:t>第七章</w:t>
      </w:r>
      <w:r>
        <w:rPr>
          <w:rStyle w:val="59"/>
          <w:rFonts w:hint="eastAsia"/>
          <w:b/>
          <w:color w:val="000000" w:themeColor="text1"/>
          <w:sz w:val="32"/>
          <w:szCs w:val="32"/>
          <w:highlight w:val="none"/>
          <w:lang w:val="en-US" w:eastAsia="zh-CN"/>
          <w14:textFill>
            <w14:solidFill>
              <w14:schemeClr w14:val="tx1"/>
            </w14:solidFill>
          </w14:textFill>
        </w:rPr>
        <w:t xml:space="preserve"> </w:t>
      </w:r>
      <w:r>
        <w:rPr>
          <w:rStyle w:val="59"/>
          <w:rFonts w:hint="eastAsia"/>
          <w:b/>
          <w:color w:val="000000" w:themeColor="text1"/>
          <w:sz w:val="32"/>
          <w:szCs w:val="32"/>
          <w:highlight w:val="none"/>
          <w14:textFill>
            <w14:solidFill>
              <w14:schemeClr w14:val="tx1"/>
            </w14:solidFill>
          </w14:textFill>
        </w:rPr>
        <w:t>附件</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 PAGEREF _Toc44162156 \h </w:instrText>
      </w:r>
      <w:r>
        <w:rPr>
          <w:color w:val="000000" w:themeColor="text1"/>
          <w:sz w:val="32"/>
          <w:szCs w:val="32"/>
          <w:highlight w:val="none"/>
          <w14:textFill>
            <w14:solidFill>
              <w14:schemeClr w14:val="tx1"/>
            </w14:solidFill>
          </w14:textFill>
        </w:rPr>
        <w:fldChar w:fldCharType="separate"/>
      </w:r>
      <w:r>
        <w:rPr>
          <w:color w:val="000000" w:themeColor="text1"/>
          <w:sz w:val="32"/>
          <w:szCs w:val="32"/>
          <w:highlight w:val="none"/>
          <w14:textFill>
            <w14:solidFill>
              <w14:schemeClr w14:val="tx1"/>
            </w14:solidFill>
          </w14:textFill>
        </w:rPr>
        <w:t>83</w:t>
      </w:r>
      <w:r>
        <w:rPr>
          <w:color w:val="000000" w:themeColor="text1"/>
          <w:sz w:val="32"/>
          <w:szCs w:val="32"/>
          <w:highlight w:val="none"/>
          <w14:textFill>
            <w14:solidFill>
              <w14:schemeClr w14:val="tx1"/>
            </w14:solidFill>
          </w14:textFill>
        </w:rPr>
        <w:fldChar w:fldCharType="end"/>
      </w:r>
      <w:r>
        <w:rPr>
          <w:color w:val="000000" w:themeColor="text1"/>
          <w:sz w:val="32"/>
          <w:szCs w:val="32"/>
          <w:highlight w:val="none"/>
          <w14:textFill>
            <w14:solidFill>
              <w14:schemeClr w14:val="tx1"/>
            </w14:solidFill>
          </w14:textFill>
        </w:rPr>
        <w:fldChar w:fldCharType="end"/>
      </w:r>
    </w:p>
    <w:p>
      <w:pPr>
        <w:spacing w:line="900" w:lineRule="exact"/>
        <w:jc w:val="center"/>
        <w:rPr>
          <w:rFonts w:hint="eastAsia" w:ascii="宋体" w:hAnsi="宋体" w:eastAsia="宋体"/>
          <w:b/>
          <w:color w:val="000000" w:themeColor="text1"/>
          <w:sz w:val="32"/>
          <w:highlight w:val="cyan"/>
          <w:lang w:eastAsia="zh-CN"/>
          <w14:textFill>
            <w14:solidFill>
              <w14:schemeClr w14:val="tx1"/>
            </w14:solidFill>
          </w14:textFill>
        </w:rPr>
      </w:pPr>
      <w:r>
        <w:rPr>
          <w:rFonts w:ascii="宋体" w:hAnsi="宋体"/>
          <w:color w:val="000000" w:themeColor="text1"/>
          <w:sz w:val="32"/>
          <w:szCs w:val="32"/>
          <w:highlight w:val="none"/>
          <w14:textFill>
            <w14:solidFill>
              <w14:schemeClr w14:val="tx1"/>
            </w14:solidFill>
          </w14:textFill>
        </w:rPr>
        <w:fldChar w:fldCharType="end"/>
      </w:r>
    </w:p>
    <w:p>
      <w:pPr>
        <w:spacing w:line="400" w:lineRule="exact"/>
        <w:jc w:val="center"/>
        <w:rPr>
          <w:rFonts w:ascii="宋体" w:hAnsi="宋体"/>
          <w:b/>
          <w:color w:val="000000" w:themeColor="text1"/>
          <w:sz w:val="32"/>
          <w:highlight w:val="none"/>
          <w14:textFill>
            <w14:solidFill>
              <w14:schemeClr w14:val="tx1"/>
            </w14:solidFill>
          </w14:textFill>
        </w:rPr>
        <w:sectPr>
          <w:headerReference r:id="rId6" w:type="default"/>
          <w:type w:val="nextColumn"/>
          <w:pgSz w:w="11907" w:h="16840"/>
          <w:pgMar w:top="1135" w:right="1588" w:bottom="854" w:left="1588" w:header="569" w:footer="700" w:gutter="0"/>
          <w:cols w:space="720" w:num="1"/>
          <w:docGrid w:linePitch="285" w:charSpace="0"/>
        </w:sectPr>
      </w:pPr>
    </w:p>
    <w:p>
      <w:pPr>
        <w:spacing w:line="400" w:lineRule="exact"/>
        <w:jc w:val="center"/>
        <w:outlineLvl w:val="0"/>
        <w:rPr>
          <w:rFonts w:ascii="宋体" w:hAnsi="宋体"/>
          <w:b/>
          <w:color w:val="000000" w:themeColor="text1"/>
          <w:sz w:val="32"/>
          <w:highlight w:val="none"/>
          <w14:textFill>
            <w14:solidFill>
              <w14:schemeClr w14:val="tx1"/>
            </w14:solidFill>
          </w14:textFill>
        </w:rPr>
      </w:pPr>
      <w:bookmarkStart w:id="0" w:name="_Toc44162138"/>
      <w:r>
        <w:rPr>
          <w:rFonts w:hint="eastAsia" w:ascii="宋体" w:hAnsi="宋体"/>
          <w:b/>
          <w:color w:val="000000" w:themeColor="text1"/>
          <w:sz w:val="32"/>
          <w:highlight w:val="none"/>
          <w14:textFill>
            <w14:solidFill>
              <w14:schemeClr w14:val="tx1"/>
            </w14:solidFill>
          </w14:textFill>
        </w:rPr>
        <w:t>第一章</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招标公告</w:t>
      </w:r>
      <w:bookmarkEnd w:id="0"/>
      <w:bookmarkStart w:id="350" w:name="_GoBack"/>
      <w:bookmarkEnd w:id="350"/>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发布时间：</w:t>
      </w:r>
      <w:r>
        <w:rPr>
          <w:rFonts w:hint="eastAsia" w:cs="宋体"/>
          <w:color w:val="000000" w:themeColor="text1"/>
          <w:sz w:val="21"/>
          <w:szCs w:val="21"/>
          <w:highlight w:val="none"/>
          <w:lang w:eastAsia="zh-CN"/>
          <w14:textFill>
            <w14:solidFill>
              <w14:schemeClr w14:val="tx1"/>
            </w14:solidFill>
          </w14:textFill>
        </w:rPr>
        <w:t>2023年</w:t>
      </w:r>
      <w:r>
        <w:rPr>
          <w:rFonts w:hint="eastAsia"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cs="宋体"/>
          <w:color w:val="000000" w:themeColor="text1"/>
          <w:sz w:val="21"/>
          <w:szCs w:val="21"/>
          <w:highlight w:val="none"/>
          <w:lang w:val="en-US" w:eastAsia="zh-CN"/>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t>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项目概况</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宁波大学附属第一医院智慧病房建设项目</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招标项目的潜在投标人应在政府采购云平台（www.zcygov.cn）获取（下载）招标文件，并于</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2023年</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日</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0（北京时间）</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前递交（上传）投标文件。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一、项目基本情况</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项目编号：</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NBITC-202311752G</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项目名称：</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宁波大学附属第一医院智慧病房建设项目</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default" w:ascii="宋体" w:hAnsi="宋体" w:eastAsia="宋体" w:cs="宋体"/>
          <w:i w:val="0"/>
          <w:iCs w:val="0"/>
          <w:caps w:val="0"/>
          <w:color w:val="000000" w:themeColor="text1"/>
          <w:spacing w:val="0"/>
          <w:sz w:val="21"/>
          <w:szCs w:val="21"/>
          <w:highlight w:val="none"/>
          <w:lang w:val="en-US"/>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预算金额（元）：</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7536000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最高限价（元）：/</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采购需求：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标项</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1：</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标项名称:</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智慧病房建设</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数量:1</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default"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预算金额（元）:</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7536000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简要规格描述或项目基本概况介绍、用途：本项目整体系统解决方案基于</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宁波大学附属第一</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医院现有信息系统，结合5G</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物联网</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等信息技术，按照“深化互联网+健康服务”体系要求，</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完成</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医院</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智慧病房及相关网络建设</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从而提高</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院区管理质量、工作效率，持续推进智慧医院建设，助力医院高质量发展</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具体详见招标文件第</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三</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章招标内容与技术需求。</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备注：详细采购需求见本公告附件。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合同履约期限：标项1，</w:t>
      </w:r>
      <w:r>
        <w:rPr>
          <w:rFonts w:hint="eastAsia" w:cs="宋体"/>
          <w:i w:val="0"/>
          <w:iCs w:val="0"/>
          <w:caps w:val="0"/>
          <w:color w:val="000000" w:themeColor="text1"/>
          <w:spacing w:val="0"/>
          <w:sz w:val="21"/>
          <w:szCs w:val="21"/>
          <w:highlight w:val="none"/>
          <w:lang w:eastAsia="zh-CN"/>
          <w14:textFill>
            <w14:solidFill>
              <w14:schemeClr w14:val="tx1"/>
            </w14:solidFill>
          </w14:textFill>
        </w:rPr>
        <w:t>自合同签订之日起90天内完成项目建设及初验，试运行1个月后进行终验。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本项目（否）接受联合体投标。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二、申请人的资格要求：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2.落实政府采购政策需满足的资格要求：</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无</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3.本项目的特定资格要求：</w:t>
      </w:r>
      <w:r>
        <w:rPr>
          <w:rFonts w:hint="eastAsia" w:cs="宋体"/>
          <w:i w:val="0"/>
          <w:iCs w:val="0"/>
          <w:caps w:val="0"/>
          <w:color w:val="000000" w:themeColor="text1"/>
          <w:spacing w:val="0"/>
          <w:sz w:val="21"/>
          <w:szCs w:val="21"/>
          <w:highlight w:val="none"/>
          <w:lang w:eastAsia="zh-CN"/>
          <w14:textFill>
            <w14:solidFill>
              <w14:schemeClr w14:val="tx1"/>
            </w14:solidFill>
          </w14:textFill>
        </w:rPr>
        <w:t>无</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三、获取招标文件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时间：</w:t>
      </w:r>
      <w:r>
        <w:rPr>
          <w:rFonts w:hint="eastAsia" w:ascii="宋体" w:hAnsi="宋体" w:eastAsia="宋体" w:cs="宋体"/>
          <w:color w:val="000000" w:themeColor="text1"/>
          <w:sz w:val="21"/>
          <w:szCs w:val="21"/>
          <w:highlight w:val="none"/>
          <w:lang w:eastAsia="zh-CN"/>
          <w14:textFill>
            <w14:solidFill>
              <w14:schemeClr w14:val="tx1"/>
            </w14:solidFill>
          </w14:textFill>
        </w:rPr>
        <w:t>2023年</w:t>
      </w:r>
      <w:r>
        <w:rPr>
          <w:rFonts w:hint="eastAsia" w:ascii="宋体" w:hAnsi="宋体"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至</w:t>
      </w:r>
      <w:r>
        <w:rPr>
          <w:rFonts w:hint="eastAsia" w:ascii="宋体" w:hAnsi="宋体" w:eastAsia="宋体" w:cs="宋体"/>
          <w:color w:val="000000" w:themeColor="text1"/>
          <w:sz w:val="21"/>
          <w:szCs w:val="21"/>
          <w:highlight w:val="none"/>
          <w:lang w:eastAsia="zh-CN"/>
          <w14:textFill>
            <w14:solidFill>
              <w14:schemeClr w14:val="tx1"/>
            </w14:solidFill>
          </w14:textFill>
        </w:rPr>
        <w:t>2023年</w:t>
      </w:r>
      <w:r>
        <w:rPr>
          <w:rFonts w:hint="eastAsia" w:ascii="宋体" w:hAnsi="宋体" w:cs="宋体"/>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，每天上午00:00至12:00，下午12:00至23:59（北京时间，线上获取法定节假日均可，线下获取文件法定节假日除外）</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地点（网址）：政府采购云平台（www.zcygov.cn）</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方式：1、供应商登录政府采购云平台（www.zcygov.cn）的注册账号后，进入政采云系统“项目采购”模块“获取采购文件”菜单，进行网上获取招标文件。如有疑问请及时咨询网站客服，咨询电话：</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95763</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2、获取招标文件前，供应商应在“浙江政府采购网（zfcg.czt.zj.gov.cn）”上进行供应商注册申请，并通过财政部门的终审后登记加入到“浙江省政府采购供应商库”。中标供应商必须注册并登记加入“浙江省政府采购供应商库”。具体要求及注册申请流程详见浙江政府采购网“网上办事指南”的“供应商注册申请”。注册咨询电话：</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95763</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售价（元）：0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四、提交投标文件截止时间、开标时间和地点</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提交投标文件截止时间：</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2023年</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日</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（北京时间）</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投标地点（网址）：宁波市国际招标有限公司</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开标大厅（一）</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（宁波市江北区环城北路西段207弄19号世茂茂悦商业中心1号楼七楼招投标会议中心）政府采购云平台（www.zcygov.cn）</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开标时间</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2023年</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日</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开标地点（网址）：宁波市国际招标有限公司</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开标大厅（一）</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（宁波市江北区环城北路西段207弄19号世茂茂悦商业中心1号楼七楼招投标会议中心）政府采购云平台（www.zcygov.cn）</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五、公告期限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自本公告发布之日起5个工作日。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六、其他补充事宜</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2.其他事项：（1）本项目实行网上投标，采用电子投标文件。若供应商参与投标，自行承担投标一切费用。（2）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ttps://help.zcygov.cn/web/site_2/2018/11-29/2452.html，完成CA数字证书办理预计一周左右，请供应商自行把握时间）（3）单位负责人为同一人或者存在直接控股、管理关系的不同供应商，不得参加同一标项号的投标。（4）为本项目提供整体设计、规范编制或者项目管理、监理、检测等服务的供应商，不得再参加本项目的投标。（5）落实的政策：《政府采购促进中小企业发展管理办法》（财库〔2020〕46号）、《关于促进残疾人就业政府采购政策的通知》（财库[2017]141号）、《关于政府采购支持监狱企业发展有关问题的通知》(财库[2014]68号)、《关于环境标志产品政府采购实施的意见》（财库〔2006〕90号、《节能产品政府采购实施意见》的通知（财库〔2004〕185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七、对本次采购提出询问、质疑、投诉，请按以下方式联系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1.采购人信息</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名称：</w:t>
      </w:r>
      <w:r>
        <w:rPr>
          <w:rFonts w:hint="eastAsia" w:cs="宋体"/>
          <w:i w:val="0"/>
          <w:iCs w:val="0"/>
          <w:caps w:val="0"/>
          <w:color w:val="000000" w:themeColor="text1"/>
          <w:spacing w:val="0"/>
          <w:sz w:val="21"/>
          <w:szCs w:val="21"/>
          <w:highlight w:val="none"/>
          <w:lang w:eastAsia="zh-CN"/>
          <w14:textFill>
            <w14:solidFill>
              <w14:schemeClr w14:val="tx1"/>
            </w14:solidFill>
          </w14:textFill>
        </w:rPr>
        <w:t>宁波大学附属第一医院</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地址：</w:t>
      </w:r>
      <w:r>
        <w:rPr>
          <w:rFonts w:hint="eastAsia" w:cs="宋体"/>
          <w:i w:val="0"/>
          <w:iCs w:val="0"/>
          <w:caps w:val="0"/>
          <w:color w:val="000000" w:themeColor="text1"/>
          <w:spacing w:val="0"/>
          <w:sz w:val="21"/>
          <w:szCs w:val="21"/>
          <w:highlight w:val="none"/>
          <w:lang w:eastAsia="zh-CN"/>
          <w14:textFill>
            <w14:solidFill>
              <w14:schemeClr w14:val="tx1"/>
            </w14:solidFill>
          </w14:textFill>
        </w:rPr>
        <w:t>宁波市海曙区广济街31号建行大厦</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传真：/</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项目联系人（询问）：吴老师</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项目联系方式（询问）：0574-87085047</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质疑联系人：</w:t>
      </w:r>
      <w:r>
        <w:rPr>
          <w:rFonts w:hint="eastAsia" w:cs="宋体"/>
          <w:i w:val="0"/>
          <w:iCs w:val="0"/>
          <w:caps w:val="0"/>
          <w:color w:val="000000" w:themeColor="text1"/>
          <w:spacing w:val="0"/>
          <w:sz w:val="21"/>
          <w:szCs w:val="21"/>
          <w:highlight w:val="none"/>
          <w:lang w:eastAsia="zh-CN"/>
          <w14:textFill>
            <w14:solidFill>
              <w14:schemeClr w14:val="tx1"/>
            </w14:solidFill>
          </w14:textFill>
        </w:rPr>
        <w:t>陈</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老师</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质疑联系方式：0574-87085047</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2.采购代理机构信息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名称：宁波市国际招标有限公司</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地址：宁波市江北区环城北路西段207弄19号世茂茂悦商业中心1号楼八楼</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传真：/</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项目联系人（询问）：王媛</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项目联系方式（询问）：0574-87356230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质疑联系人：姜春辉</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质疑联系方式：0574-87307605　　　　　　</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3.同级政府采购监督管理部门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名称：宁波市政府采购管理办公室</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地址：/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传真：/</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联系人：李老师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监督投诉电话：0574-89388042</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ascii="宋体" w:hAnsi="宋体" w:cs="宋体"/>
          <w:i w:val="0"/>
          <w:iCs w:val="0"/>
          <w:caps w:val="0"/>
          <w:color w:val="000000" w:themeColor="text1"/>
          <w:spacing w:val="0"/>
          <w:sz w:val="21"/>
          <w:szCs w:val="21"/>
          <w:highlight w:val="none"/>
          <w:lang w:eastAsia="zh-CN"/>
          <w14:textFill>
            <w14:solidFill>
              <w14:schemeClr w14:val="tx1"/>
            </w14:solidFill>
          </w14:textFill>
        </w:rPr>
        <w:t>95763</w:t>
      </w: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获取热线服务帮助。</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left"/>
        <w:textAlignment w:val="auto"/>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14:textFill>
            <w14:solidFill>
              <w14:schemeClr w14:val="tx1"/>
            </w14:solidFill>
          </w14:textFill>
        </w:rPr>
        <w:t>CA问题联系电话（人工）：汇信CA400-888-4636；天谷CA400-087-8198。</w:t>
      </w:r>
    </w:p>
    <w:p>
      <w:pPr>
        <w:widowControl/>
        <w:spacing w:line="400" w:lineRule="exact"/>
        <w:jc w:val="left"/>
        <w:rPr>
          <w:rFonts w:ascii="宋体" w:hAnsi="宋体" w:cs="宋体"/>
          <w:color w:val="000000" w:themeColor="text1"/>
          <w:szCs w:val="21"/>
          <w:highlight w:val="none"/>
          <w14:textFill>
            <w14:solidFill>
              <w14:schemeClr w14:val="tx1"/>
            </w14:solidFill>
          </w14:textFill>
        </w:rPr>
      </w:pPr>
    </w:p>
    <w:p>
      <w:pPr>
        <w:widowControl/>
        <w:spacing w:line="400" w:lineRule="exact"/>
        <w:jc w:val="left"/>
        <w:rPr>
          <w:rFonts w:ascii="宋体" w:hAnsi="宋体" w:cs="宋体"/>
          <w:color w:val="000000" w:themeColor="text1"/>
          <w:szCs w:val="21"/>
          <w:highlight w:val="none"/>
          <w14:textFill>
            <w14:solidFill>
              <w14:schemeClr w14:val="tx1"/>
            </w14:solidFill>
          </w14:textFill>
        </w:rPr>
      </w:pPr>
    </w:p>
    <w:p>
      <w:pPr>
        <w:widowControl/>
        <w:spacing w:line="400" w:lineRule="exact"/>
        <w:ind w:firstLine="420" w:firstLineChars="200"/>
        <w:rPr>
          <w:rFonts w:ascii="宋体" w:hAnsi="宋体" w:cs="宋体"/>
          <w:color w:val="000000" w:themeColor="text1"/>
          <w:kern w:val="0"/>
          <w:szCs w:val="21"/>
          <w:highlight w:val="none"/>
          <w14:textFill>
            <w14:solidFill>
              <w14:schemeClr w14:val="tx1"/>
            </w14:solidFill>
          </w14:textFill>
        </w:rPr>
      </w:pPr>
    </w:p>
    <w:p>
      <w:pPr>
        <w:widowControl/>
        <w:spacing w:line="400" w:lineRule="exact"/>
        <w:ind w:firstLine="420" w:firstLineChars="200"/>
        <w:rPr>
          <w:rFonts w:ascii="宋体" w:hAnsi="宋体" w:cs="宋体"/>
          <w:color w:val="000000" w:themeColor="text1"/>
          <w:kern w:val="0"/>
          <w:szCs w:val="21"/>
          <w:highlight w:val="none"/>
          <w14:textFill>
            <w14:solidFill>
              <w14:schemeClr w14:val="tx1"/>
            </w14:solidFill>
          </w14:textFill>
        </w:rPr>
        <w:sectPr>
          <w:footerReference r:id="rId7" w:type="default"/>
          <w:pgSz w:w="11907" w:h="16840"/>
          <w:pgMar w:top="851" w:right="1134" w:bottom="1134" w:left="1134" w:header="285" w:footer="701" w:gutter="0"/>
          <w:pgNumType w:start="1"/>
          <w:cols w:space="720" w:num="1"/>
          <w:docGrid w:linePitch="285" w:charSpace="0"/>
        </w:sectPr>
      </w:pPr>
    </w:p>
    <w:p>
      <w:pPr>
        <w:spacing w:line="400" w:lineRule="exact"/>
        <w:jc w:val="center"/>
        <w:outlineLvl w:val="0"/>
        <w:rPr>
          <w:rFonts w:ascii="宋体" w:hAnsi="宋体"/>
          <w:b/>
          <w:color w:val="000000" w:themeColor="text1"/>
          <w:sz w:val="32"/>
          <w:highlight w:val="none"/>
          <w14:textFill>
            <w14:solidFill>
              <w14:schemeClr w14:val="tx1"/>
            </w14:solidFill>
          </w14:textFill>
        </w:rPr>
      </w:pPr>
      <w:bookmarkStart w:id="1" w:name="_Toc44162139"/>
      <w:r>
        <w:rPr>
          <w:rFonts w:hint="eastAsia" w:ascii="宋体" w:hAnsi="宋体"/>
          <w:b/>
          <w:color w:val="000000" w:themeColor="text1"/>
          <w:sz w:val="32"/>
          <w:highlight w:val="none"/>
          <w14:textFill>
            <w14:solidFill>
              <w14:schemeClr w14:val="tx1"/>
            </w14:solidFill>
          </w14:textFill>
        </w:rPr>
        <w:t>第二章</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投标须知</w:t>
      </w:r>
      <w:bookmarkEnd w:id="1"/>
    </w:p>
    <w:p>
      <w:pPr>
        <w:keepNext w:val="0"/>
        <w:keepLines w:val="0"/>
        <w:pageBreakBefore w:val="0"/>
        <w:widowControl w:val="0"/>
        <w:kinsoku/>
        <w:wordWrap/>
        <w:overflowPunct/>
        <w:topLinePunct w:val="0"/>
        <w:autoSpaceDE/>
        <w:autoSpaceDN/>
        <w:bidi w:val="0"/>
        <w:spacing w:line="400" w:lineRule="exact"/>
        <w:ind w:left="0" w:leftChars="0" w:firstLine="422" w:firstLineChars="200"/>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一、适用范围</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本招标文件仅适用于本采购项目所叙述的货物和服务的招标、评标、定标、验收、合同履约、付款等（法律、法规另有规定的，从其规定）。</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二、定义</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、“采购人”系指</w:t>
      </w:r>
      <w:r>
        <w:rPr>
          <w:rFonts w:hint="eastAsia" w:ascii="宋体" w:hAnsi="宋体"/>
          <w:color w:val="000000" w:themeColor="text1"/>
          <w:szCs w:val="21"/>
          <w:highlight w:val="none"/>
          <w:lang w:eastAsia="zh-CN"/>
          <w14:textFill>
            <w14:solidFill>
              <w14:schemeClr w14:val="tx1"/>
            </w14:solidFill>
          </w14:textFill>
        </w:rPr>
        <w:t>宁波大学附属第一医院</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、“代理机构”系指宁波市国际招标有限公司。</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、“供应商”或“投标人”系指向采购人提交投标文件的供应商。</w:t>
      </w:r>
    </w:p>
    <w:p>
      <w:pPr>
        <w:spacing w:line="42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4、“货物”系指供方按招标文件规定，须向采购人提供的一切设备、保险、税金、备品备件、工具、手册及其它有关技术资料和材料。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、“服务”系指招标文件规定供应商须承担系统的升级、调试、运维、培训以及其他类似的义务</w:t>
      </w:r>
      <w:r>
        <w:rPr>
          <w:rFonts w:hint="eastAsia" w:ascii="宋体" w:hAnsi="宋体" w:cs="Arial"/>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、“同级政府采购监管部门”系指</w:t>
      </w:r>
      <w:r>
        <w:rPr>
          <w:rFonts w:hint="eastAsia" w:ascii="宋体" w:hAnsi="宋体"/>
          <w:color w:val="000000" w:themeColor="text1"/>
          <w:kern w:val="10"/>
          <w:szCs w:val="21"/>
          <w:highlight w:val="none"/>
          <w:lang w:val="zh-CN"/>
          <w14:textFill>
            <w14:solidFill>
              <w14:schemeClr w14:val="tx1"/>
            </w14:solidFill>
          </w14:textFill>
        </w:rPr>
        <w:t>宁波市政府采购管理办公室。</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、“▲”系指实质性响应条款。</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、合格的投标货物或服务：</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.1应该是中国境内生产的货物或提供的服务。</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若投标货物或服务是国家实行许可证制度或生产注册证制度的产品或服务，则应具备相应有效的证书。</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招标文件允许采购进口产品的，若投标货物是进口产品，</w:t>
      </w:r>
      <w:r>
        <w:rPr>
          <w:rFonts w:hint="eastAsia" w:ascii="宋体" w:hAnsi="宋体"/>
          <w:color w:val="000000" w:themeColor="text1"/>
          <w:szCs w:val="21"/>
          <w:highlight w:val="none"/>
          <w:lang w:eastAsia="zh-CN"/>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应保证所投产品为可履行合法报通关手续进入中国关境内、在中国海关完税的可合法销售的货物。</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.2国家规定有标准及规范的，投标货物或服务应按有效的标准及规范执行，应符合国家及招标文件提出的有关技术、质量、安全标准。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lang w:eastAsia="zh-CN"/>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应保证所提供的产品或服务免受第三方提出侵犯其知识产权（专利权、商标权、工业设计权及使用权等）的索赔或起诉，否则，由此可能产生的一切法律责任和经济责任均由</w:t>
      </w:r>
      <w:r>
        <w:rPr>
          <w:rFonts w:hint="eastAsia" w:ascii="宋体" w:hAnsi="宋体"/>
          <w:color w:val="000000" w:themeColor="text1"/>
          <w:szCs w:val="21"/>
          <w:highlight w:val="none"/>
          <w:lang w:eastAsia="zh-CN"/>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承担。</w:t>
      </w:r>
    </w:p>
    <w:p>
      <w:pPr>
        <w:spacing w:line="400" w:lineRule="exact"/>
        <w:ind w:firstLine="420" w:firstLineChars="200"/>
        <w:outlineLvl w:val="0"/>
        <w:rPr>
          <w:rFonts w:hint="eastAsia" w:ascii="宋体" w:hAnsi="宋体" w:eastAsia="等线"/>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8.4</w:t>
      </w:r>
      <w:r>
        <w:rPr>
          <w:rFonts w:hint="eastAsia" w:ascii="宋体" w:hAnsi="宋体"/>
          <w:b/>
          <w:bCs/>
          <w:color w:val="000000" w:themeColor="text1"/>
          <w:szCs w:val="21"/>
          <w:highlight w:val="none"/>
          <w14:textFill>
            <w14:solidFill>
              <w14:schemeClr w14:val="tx1"/>
            </w14:solidFill>
          </w14:textFill>
        </w:rPr>
        <w:t>、合格货物来源：</w:t>
      </w:r>
      <w:r>
        <w:rPr>
          <w:rFonts w:hint="eastAsia" w:ascii="宋体" w:hAnsi="宋体" w:eastAsia="宋体" w:cs="Times New Roman"/>
          <w:b/>
          <w:bCs/>
          <w:color w:val="000000" w:themeColor="text1"/>
          <w:szCs w:val="21"/>
          <w:highlight w:val="none"/>
          <w14:textFill>
            <w14:solidFill>
              <w14:schemeClr w14:val="tx1"/>
            </w14:solidFill>
          </w14:textFill>
        </w:rPr>
        <w:t>国产。</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三、供应商的资格要求</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详见采购公告。</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四、投标费用</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无论投标过程和结果如何，供应商自行承担与投标有关的全部费用。</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本项目不统一组织现场勘察，供应商可自行对本项目现场和周围环境进行勘察。</w:t>
      </w:r>
      <w:r>
        <w:rPr>
          <w:rFonts w:hint="eastAsia" w:ascii="Times New Roman" w:hAnsi="Times New Roman" w:eastAsia="宋体" w:cs="Times New Roman"/>
          <w:color w:val="000000" w:themeColor="text1"/>
          <w:highlight w:val="none"/>
          <w:lang w:eastAsia="zh-CN"/>
          <w14:textFill>
            <w14:solidFill>
              <w14:schemeClr w14:val="tx1"/>
            </w14:solidFill>
          </w14:textFill>
        </w:rPr>
        <w:t>勘察现场</w:t>
      </w:r>
      <w:r>
        <w:rPr>
          <w:rFonts w:hint="eastAsia" w:ascii="Times New Roman" w:hAnsi="Times New Roman" w:eastAsia="宋体" w:cs="Times New Roman"/>
          <w:color w:val="000000" w:themeColor="text1"/>
          <w:highlight w:val="none"/>
          <w14:textFill>
            <w14:solidFill>
              <w14:schemeClr w14:val="tx1"/>
            </w14:solidFill>
          </w14:textFill>
        </w:rPr>
        <w:t>所发生的费用由供应商自己承担。不论何种原因所造成，在勘察过程中，供应商自行对由此次踏勘现场而造成的死亡、人身伤害、财产损失、损害以及任何</w:t>
      </w:r>
      <w:r>
        <w:rPr>
          <w:rFonts w:hint="eastAsia" w:ascii="Times New Roman" w:hAnsi="Times New Roman" w:eastAsia="宋体" w:cs="Times New Roman"/>
          <w:color w:val="000000" w:themeColor="text1"/>
          <w:highlight w:val="none"/>
          <w:lang w:eastAsia="zh-CN"/>
          <w14:textFill>
            <w14:solidFill>
              <w14:schemeClr w14:val="tx1"/>
            </w14:solidFill>
          </w14:textFill>
        </w:rPr>
        <w:t>其他</w:t>
      </w:r>
      <w:r>
        <w:rPr>
          <w:rFonts w:hint="eastAsia" w:ascii="Times New Roman" w:hAnsi="Times New Roman" w:eastAsia="宋体" w:cs="Times New Roman"/>
          <w:color w:val="000000" w:themeColor="text1"/>
          <w:highlight w:val="none"/>
          <w14:textFill>
            <w14:solidFill>
              <w14:schemeClr w14:val="tx1"/>
            </w14:solidFill>
          </w14:textFill>
        </w:rPr>
        <w:t>损失、损害和引起的费用和开支承担责任。</w:t>
      </w:r>
      <w:r>
        <w:rPr>
          <w:rFonts w:hint="eastAsia" w:ascii="宋体" w:hAnsi="宋体"/>
          <w:b/>
          <w:color w:val="000000" w:themeColor="text1"/>
          <w:szCs w:val="21"/>
          <w:highlight w:val="none"/>
          <w14:textFill>
            <w14:solidFill>
              <w14:schemeClr w14:val="tx1"/>
            </w14:solidFill>
          </w14:textFill>
        </w:rPr>
        <w:t>五、投标报价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5.1投标报价以人民币为结算货币。</w:t>
      </w:r>
    </w:p>
    <w:p>
      <w:pPr>
        <w:spacing w:line="400" w:lineRule="exact"/>
        <w:ind w:firstLine="420" w:firstLineChars="200"/>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5.2</w:t>
      </w: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报完成本项目的包干总价</w:t>
      </w:r>
      <w:r>
        <w:rPr>
          <w:rFonts w:hint="eastAsia" w:ascii="宋体" w:hAnsi="宋体"/>
          <w:color w:val="000000" w:themeColor="text1"/>
          <w:szCs w:val="21"/>
          <w:highlight w:val="none"/>
          <w14:textFill>
            <w14:solidFill>
              <w14:schemeClr w14:val="tx1"/>
            </w14:solidFill>
          </w14:textFill>
        </w:rPr>
        <w:t>，含</w:t>
      </w:r>
      <w:r>
        <w:rPr>
          <w:rFonts w:hint="eastAsia" w:ascii="宋体" w:hAnsi="宋体"/>
          <w:color w:val="000000" w:themeColor="text1"/>
          <w:szCs w:val="21"/>
          <w:highlight w:val="none"/>
          <w:lang w:eastAsia="zh-CN"/>
          <w14:textFill>
            <w14:solidFill>
              <w14:schemeClr w14:val="tx1"/>
            </w14:solidFill>
          </w14:textFill>
        </w:rPr>
        <w:t>采购人</w:t>
      </w:r>
      <w:r>
        <w:rPr>
          <w:rFonts w:hint="eastAsia" w:ascii="宋体" w:hAnsi="宋体"/>
          <w:color w:val="000000" w:themeColor="text1"/>
          <w:szCs w:val="21"/>
          <w:highlight w:val="none"/>
          <w14:textFill>
            <w14:solidFill>
              <w14:schemeClr w14:val="tx1"/>
            </w14:solidFill>
          </w14:textFill>
        </w:rPr>
        <w:t>或</w:t>
      </w:r>
      <w:r>
        <w:rPr>
          <w:rFonts w:hint="eastAsia" w:ascii="宋体" w:hAnsi="宋体"/>
          <w:color w:val="000000" w:themeColor="text1"/>
          <w:szCs w:val="21"/>
          <w:highlight w:val="none"/>
          <w:lang w:eastAsia="zh-CN"/>
          <w14:textFill>
            <w14:solidFill>
              <w14:schemeClr w14:val="tx1"/>
            </w14:solidFill>
          </w14:textFill>
        </w:rPr>
        <w:t>采购人</w:t>
      </w:r>
      <w:r>
        <w:rPr>
          <w:rFonts w:hint="eastAsia" w:ascii="宋体" w:hAnsi="宋体"/>
          <w:color w:val="000000" w:themeColor="text1"/>
          <w:szCs w:val="21"/>
          <w:highlight w:val="none"/>
          <w14:textFill>
            <w14:solidFill>
              <w14:schemeClr w14:val="tx1"/>
            </w14:solidFill>
          </w14:textFill>
        </w:rPr>
        <w:t>指定用户能正常使用所需的一切费用</w:t>
      </w:r>
      <w:r>
        <w:rPr>
          <w:rFonts w:hint="eastAsia" w:ascii="宋体" w:hAnsi="宋体"/>
          <w:color w:val="000000" w:themeColor="text1"/>
          <w:szCs w:val="21"/>
          <w:highlight w:val="none"/>
          <w:lang w:eastAsia="zh-CN"/>
          <w14:textFill>
            <w14:solidFill>
              <w14:schemeClr w14:val="tx1"/>
            </w14:solidFill>
          </w14:textFill>
        </w:rPr>
        <w:t>，包括但不限于</w:t>
      </w:r>
      <w:r>
        <w:rPr>
          <w:rFonts w:hint="eastAsia" w:ascii="宋体" w:hAnsi="宋体"/>
          <w:color w:val="000000" w:themeColor="text1"/>
          <w:szCs w:val="21"/>
          <w:highlight w:val="none"/>
          <w14:textFill>
            <w14:solidFill>
              <w14:schemeClr w14:val="tx1"/>
            </w14:solidFill>
          </w14:textFill>
        </w:rPr>
        <w:t>系统安装、调试、验收，硬件设备的供货、包装费、运输费、装卸费、保险费、安装调试费、技术服务费、培训费以及保修费、税费质保期内的后续服务等一切费用。</w:t>
      </w:r>
      <w:r>
        <w:rPr>
          <w:rFonts w:hint="eastAsia"/>
          <w:color w:val="000000" w:themeColor="text1"/>
          <w:highlight w:val="none"/>
          <w14:textFill>
            <w14:solidFill>
              <w14:schemeClr w14:val="tx1"/>
            </w14:solidFill>
          </w14:textFill>
        </w:rPr>
        <w:t>达到招标文件的所有要求，不得在中标后项目实施过程中要求在清单外增加另外费用。供应商须对其它认为必要的费用进行报价，如不报价则认为是中标人免费提供，以后不得在中标后项目实施过程中要求增加。如中标，除非</w:t>
      </w:r>
      <w:r>
        <w:rPr>
          <w:rFonts w:hint="eastAsia"/>
          <w:color w:val="000000" w:themeColor="text1"/>
          <w:highlight w:val="none"/>
          <w:lang w:eastAsia="zh-CN"/>
          <w14:textFill>
            <w14:solidFill>
              <w14:schemeClr w14:val="tx1"/>
            </w14:solidFill>
          </w14:textFill>
        </w:rPr>
        <w:t>采购人</w:t>
      </w:r>
      <w:r>
        <w:rPr>
          <w:rFonts w:hint="eastAsia"/>
          <w:color w:val="000000" w:themeColor="text1"/>
          <w:highlight w:val="none"/>
          <w14:textFill>
            <w14:solidFill>
              <w14:schemeClr w14:val="tx1"/>
            </w14:solidFill>
          </w14:textFill>
        </w:rPr>
        <w:t>提出修改，中标人不得以任何理由要求增加费用。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供应商应按招标文件要求填写《开标一览表》和《投标报价明细表》。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5.</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供应商应详细列明各分项工作相关报价及依据，未列明的相关报价应视为已包含在已列明费用的报价中，采购人将不予单独支付。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5.</w:t>
      </w:r>
      <w:r>
        <w:rPr>
          <w:rFonts w:hint="eastAsia" w:ascii="宋体" w:hAnsi="宋体" w:cs="宋体"/>
          <w:i w:val="0"/>
          <w:iCs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1"/>
          <w:szCs w:val="21"/>
          <w:highlight w:val="none"/>
          <w:lang w:eastAsia="zh-CN"/>
          <w14:textFill>
            <w14:solidFill>
              <w14:schemeClr w14:val="tx1"/>
            </w14:solidFill>
          </w14:textFill>
        </w:rPr>
        <w:t>供应商应根据本招标文件规定的工作内容和计划工作量，结合市场及自身情况自行报价。</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hint="eastAsia" w:ascii="宋体" w:hAnsi="宋体" w:eastAsia="宋体" w:cs="Times New Roman"/>
          <w:b/>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Cs w:val="21"/>
          <w:highlight w:val="none"/>
          <w14:textFill>
            <w14:solidFill>
              <w14:schemeClr w14:val="tx1"/>
            </w14:solidFill>
          </w14:textFill>
        </w:rPr>
        <w:t>六、投标有效期</w:t>
      </w:r>
    </w:p>
    <w:p>
      <w:pPr>
        <w:keepNext w:val="0"/>
        <w:keepLines w:val="0"/>
        <w:pageBreakBefore w:val="0"/>
        <w:widowControl w:val="0"/>
        <w:kinsoku/>
        <w:wordWrap/>
        <w:overflowPunct/>
        <w:topLinePunct w:val="0"/>
        <w:autoSpaceDE/>
        <w:autoSpaceDN/>
        <w:bidi w:val="0"/>
        <w:spacing w:line="400" w:lineRule="exact"/>
        <w:ind w:left="0" w:leftChars="0" w:firstLine="210" w:firstLineChars="1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、投标文件从开标之日起，投标有效期为</w:t>
      </w:r>
      <w:r>
        <w:rPr>
          <w:rFonts w:ascii="宋体" w:hAnsi="宋体"/>
          <w:color w:val="000000" w:themeColor="text1"/>
          <w:szCs w:val="21"/>
          <w:highlight w:val="none"/>
          <w14:textFill>
            <w14:solidFill>
              <w14:schemeClr w14:val="tx1"/>
            </w14:solidFill>
          </w14:textFill>
        </w:rPr>
        <w:t>90</w:t>
      </w:r>
      <w:r>
        <w:rPr>
          <w:rFonts w:hint="eastAsia" w:ascii="宋体" w:hAnsi="宋体"/>
          <w:color w:val="000000" w:themeColor="text1"/>
          <w:szCs w:val="21"/>
          <w:highlight w:val="none"/>
          <w14:textFill>
            <w14:solidFill>
              <w14:schemeClr w14:val="tx1"/>
            </w14:solidFill>
          </w14:textFill>
        </w:rPr>
        <w:t>个日历日。投标有效期不能小于招标文件的要求。</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、特殊情况下，采购人可与供应商协商延缓投标文件的有效期，这种要求和答复均以书面形式进行。</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、供应商可拒绝接受延期要求。同意延长有效期的供应商不能修改投标文件。</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七、投标文件的形式和效力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、投标文件分为电子投标文件以及备份投标文件，备份投标文件分为以</w:t>
      </w:r>
      <w:r>
        <w:rPr>
          <w:rFonts w:hint="eastAsia" w:ascii="宋体" w:hAnsi="宋体" w:cs="宋体"/>
          <w:color w:val="000000" w:themeColor="text1"/>
          <w:kern w:val="0"/>
          <w:szCs w:val="21"/>
          <w:highlight w:val="none"/>
          <w14:textFill>
            <w14:solidFill>
              <w14:schemeClr w14:val="tx1"/>
            </w14:solidFill>
          </w14:textFill>
        </w:rPr>
        <w:t>U盘或光盘存储的电子</w:t>
      </w:r>
      <w:r>
        <w:rPr>
          <w:rFonts w:hint="eastAsia" w:ascii="宋体" w:hAnsi="宋体"/>
          <w:color w:val="000000" w:themeColor="text1"/>
          <w:szCs w:val="21"/>
          <w:highlight w:val="none"/>
          <w14:textFill>
            <w14:solidFill>
              <w14:schemeClr w14:val="tx1"/>
            </w14:solidFill>
          </w14:textFill>
        </w:rPr>
        <w:t>备份投标文件。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、电子投标文件，按“项目采购-电子招投标操作指南”及本招标文件要求制作，并加密。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投标文件制作说明：</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（1）应按照本项目招标文件和政府采购云平台的要求编制、加密并递交投标文件。供应商在使用系统进行投标的过程中遇到涉及平台使用的任何问题，可致电政府采购云平台技术支持热线咨询，联系方式：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color w:val="000000" w:themeColor="text1"/>
          <w:szCs w:val="21"/>
          <w:highlight w:val="none"/>
          <w:lang w:eastAsia="zh-CN"/>
          <w14:textFill>
            <w14:solidFill>
              <w14:schemeClr w14:val="tx1"/>
            </w14:solidFill>
          </w14:textFill>
        </w:rPr>
        <w:t>95763</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（2）供应商通过政府采购云平台电子投标工具制作投标文件。电子投标工具请供应商自行前往浙江政府采购网下载并安装。</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（3）以U盘或光盘存储的电子备份投标文件1份，即按“项目采购-电子招投标操作指南”制作的电子备份文件，以用于异常情况处理。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3、以U盘或光盘存储的电子备份投标文件，按“项目采购-电子招投标操作指南”制作的电子备份文件。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4、投标文件填写字迹必须清楚、工整，对不同文字文本投标文件的解释发生异议的，以中文文本为准。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5、投标文件的效力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投标文件的启用，按先后顺位分别为电子投标文件、以U盘或光盘存储的电子备份投标文件。在下一顺位的投标文件启用时，前一顺位的投标文件自动失效。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电子投标文件未能按时解密，供应商提供了电子备份投标文件的，以电子备份投标文件作为依据，否则视为投标文件撤回。电子投标文件已按时解密的，电子备份投标文件自动失效。</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bCs/>
          <w:color w:val="000000" w:themeColor="text1"/>
          <w:szCs w:val="21"/>
          <w:highlight w:val="none"/>
          <w14:textFill>
            <w14:solidFill>
              <w14:schemeClr w14:val="tx1"/>
            </w14:solidFill>
          </w14:textFill>
        </w:rPr>
      </w:pPr>
      <w:bookmarkStart w:id="2" w:name="_Hlk23147633"/>
      <w:bookmarkStart w:id="3" w:name="_Hlk23150950"/>
      <w:r>
        <w:rPr>
          <w:rFonts w:hint="eastAsia" w:ascii="宋体" w:hAnsi="宋体"/>
          <w:b/>
          <w:bCs/>
          <w:color w:val="000000" w:themeColor="text1"/>
          <w:szCs w:val="21"/>
          <w:highlight w:val="none"/>
          <w14:textFill>
            <w14:solidFill>
              <w14:schemeClr w14:val="tx1"/>
            </w14:solidFill>
          </w14:textFill>
        </w:rPr>
        <w:t>八、投标文件的组成和份数（适用于所有标项）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1、投标文件的组成：</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A、第一册：资格文件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A1、关于资格的承诺函（</w:t>
      </w:r>
      <w:r>
        <w:rPr>
          <w:rFonts w:hint="eastAsia" w:ascii="宋体"/>
          <w:color w:val="000000" w:themeColor="text1"/>
          <w:szCs w:val="21"/>
          <w:highlight w:val="none"/>
          <w14:textFill>
            <w14:solidFill>
              <w14:schemeClr w14:val="tx1"/>
            </w14:solidFill>
          </w14:textFill>
        </w:rPr>
        <w:t>格式见附件</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0" w:firstLineChars="200"/>
        <w:jc w:val="left"/>
        <w:rPr>
          <w:rFonts w:hint="eastAsia" w:ascii="方正书宋简体" w:hAnsi="方正书宋简体" w:eastAsia="宋体" w:cs="Times New Roman"/>
          <w:color w:val="000000" w:themeColor="text1"/>
          <w:szCs w:val="21"/>
          <w:highlight w:val="none"/>
          <w14:textFill>
            <w14:solidFill>
              <w14:schemeClr w14:val="tx1"/>
            </w14:solidFill>
          </w14:textFill>
        </w:rPr>
      </w:pPr>
      <w:r>
        <w:rPr>
          <w:rFonts w:hint="eastAsia" w:ascii="方正书宋简体" w:hAnsi="方正书宋简体" w:eastAsia="宋体" w:cs="Times New Roman"/>
          <w:color w:val="000000" w:themeColor="text1"/>
          <w:szCs w:val="21"/>
          <w:highlight w:val="none"/>
          <w:lang w:val="en-US" w:eastAsia="zh-CN"/>
          <w14:textFill>
            <w14:solidFill>
              <w14:schemeClr w14:val="tx1"/>
            </w14:solidFill>
          </w14:textFill>
        </w:rPr>
        <w:t>A</w:t>
      </w:r>
      <w:r>
        <w:rPr>
          <w:rFonts w:hint="eastAsia" w:ascii="方正书宋简体" w:hAnsi="方正书宋简体" w:cs="Times New Roman"/>
          <w:color w:val="000000" w:themeColor="text1"/>
          <w:szCs w:val="21"/>
          <w:highlight w:val="none"/>
          <w:lang w:val="en-US" w:eastAsia="zh-CN"/>
          <w14:textFill>
            <w14:solidFill>
              <w14:schemeClr w14:val="tx1"/>
            </w14:solidFill>
          </w14:textFill>
        </w:rPr>
        <w:t>3</w:t>
      </w:r>
      <w:r>
        <w:rPr>
          <w:rFonts w:hint="eastAsia" w:ascii="方正书宋简体" w:hAnsi="方正书宋简体" w:eastAsia="宋体" w:cs="Times New Roman"/>
          <w:color w:val="000000" w:themeColor="text1"/>
          <w:szCs w:val="21"/>
          <w:highlight w:val="none"/>
          <w14:textFill>
            <w14:solidFill>
              <w14:schemeClr w14:val="tx1"/>
            </w14:solidFill>
          </w14:textFill>
        </w:rPr>
        <w:t>、供应商认为需要的其他资料（如有需提供）；</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B、第二册：商务和技术文件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B1、投标书；</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B2、法定代表人身份证明；</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B3、法定代表人授权书（投标文件由授权代表签字的须提供）；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B4、供应商一般情况表；</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B5、</w:t>
      </w:r>
      <w:r>
        <w:rPr>
          <w:rFonts w:hint="eastAsia" w:ascii="宋体"/>
          <w:color w:val="000000" w:themeColor="text1"/>
          <w:szCs w:val="21"/>
          <w:highlight w:val="none"/>
          <w14:textFill>
            <w14:solidFill>
              <w14:schemeClr w14:val="tx1"/>
            </w14:solidFill>
          </w14:textFill>
        </w:rPr>
        <w:t>用户需求响应表；（格式见附件）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B6、商务条款响应表；</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B7、第</w:t>
      </w:r>
      <w:r>
        <w:rPr>
          <w:rFonts w:hint="eastAsia" w:ascii="宋体" w:hAnsi="宋体"/>
          <w:color w:val="000000" w:themeColor="text1"/>
          <w:szCs w:val="21"/>
          <w:highlight w:val="none"/>
          <w:lang w:eastAsia="zh-CN"/>
          <w14:textFill>
            <w14:solidFill>
              <w14:schemeClr w14:val="tx1"/>
            </w14:solidFill>
          </w14:textFill>
        </w:rPr>
        <w:t>五</w:t>
      </w:r>
      <w:r>
        <w:rPr>
          <w:rFonts w:hint="eastAsia" w:ascii="宋体" w:hAnsi="宋体"/>
          <w:color w:val="000000" w:themeColor="text1"/>
          <w:szCs w:val="21"/>
          <w:highlight w:val="none"/>
          <w14:textFill>
            <w14:solidFill>
              <w14:schemeClr w14:val="tx1"/>
            </w14:solidFill>
          </w14:textFill>
        </w:rPr>
        <w:t>章“评标办法及标准”中评分标准（兼评委打分表）要求提供的资料（如有需提供）；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eastAsia="宋体"/>
          <w:color w:val="000000" w:themeColor="text1"/>
          <w:szCs w:val="21"/>
          <w:highlight w:val="none"/>
          <w:lang w:val="en-US" w:eastAsia="zh-CN"/>
          <w14:textFill>
            <w14:solidFill>
              <w14:schemeClr w14:val="tx1"/>
            </w14:solidFill>
          </w14:textFill>
        </w:rPr>
        <w:t>技术性能（另须提供所投产品的技术支持资料）、产品性能、临床使用效果阐述；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eastAsia="宋体"/>
          <w:color w:val="000000" w:themeColor="text1"/>
          <w:szCs w:val="21"/>
          <w:highlight w:val="none"/>
          <w:lang w:val="en-US" w:eastAsia="zh-CN"/>
          <w14:textFill>
            <w14:solidFill>
              <w14:schemeClr w14:val="tx1"/>
            </w14:solidFill>
          </w14:textFill>
        </w:rPr>
        <w:t>拟投入设备技术水平、技术性能；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eastAsia="宋体"/>
          <w:color w:val="000000" w:themeColor="text1"/>
          <w:szCs w:val="21"/>
          <w:highlight w:val="none"/>
          <w:lang w:val="en-US" w:eastAsia="zh-CN"/>
          <w14:textFill>
            <w14:solidFill>
              <w14:schemeClr w14:val="tx1"/>
            </w14:solidFill>
          </w14:textFill>
        </w:rPr>
        <w:t>本项目的总体设计方案及功能扩展性；</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eastAsia="宋体"/>
          <w:color w:val="000000" w:themeColor="text1"/>
          <w:szCs w:val="21"/>
          <w:highlight w:val="none"/>
          <w:lang w:val="en-US" w:eastAsia="zh-CN"/>
          <w14:textFill>
            <w14:solidFill>
              <w14:schemeClr w14:val="tx1"/>
            </w14:solidFill>
          </w14:textFill>
        </w:rPr>
        <w:t>系统实施方案，包括不仅限于各系统对接、工序衔接、风险控制实施方案及对应措施；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eastAsia="宋体"/>
          <w:color w:val="000000" w:themeColor="text1"/>
          <w:szCs w:val="21"/>
          <w:highlight w:val="none"/>
          <w:lang w:val="en-US" w:eastAsia="zh-CN"/>
          <w14:textFill>
            <w14:solidFill>
              <w14:schemeClr w14:val="tx1"/>
            </w14:solidFill>
          </w14:textFill>
        </w:rPr>
        <w:t>对本项目的现状分析、需求理解、重难点分析及对应措施；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eastAsia="宋体"/>
          <w:color w:val="000000" w:themeColor="text1"/>
          <w:szCs w:val="21"/>
          <w:highlight w:val="none"/>
          <w:lang w:val="en-US" w:eastAsia="zh-CN"/>
          <w14:textFill>
            <w14:solidFill>
              <w14:schemeClr w14:val="tx1"/>
            </w14:solidFill>
          </w14:textFill>
        </w:rPr>
        <w:t>进度计划，包括不仅限于工期目标及关键点控制、进度安排计划可操作性，工期保障措施（包含组织管理保障、施工计划安排、人财物安排及技术保障等）、人员职责分工等阐述；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eastAsia="宋体"/>
          <w:color w:val="000000" w:themeColor="text1"/>
          <w:szCs w:val="21"/>
          <w:highlight w:val="none"/>
          <w:lang w:val="en-US" w:eastAsia="zh-CN"/>
          <w14:textFill>
            <w14:solidFill>
              <w14:schemeClr w14:val="tx1"/>
            </w14:solidFill>
          </w14:textFill>
        </w:rPr>
        <w:t>拟投入本项目的实施团队的人员配置方案；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eastAsia="宋体"/>
          <w:color w:val="000000" w:themeColor="text1"/>
          <w:szCs w:val="21"/>
          <w:highlight w:val="none"/>
          <w:lang w:val="en-US" w:eastAsia="zh-CN"/>
          <w14:textFill>
            <w14:solidFill>
              <w14:schemeClr w14:val="tx1"/>
            </w14:solidFill>
          </w14:textFill>
        </w:rPr>
        <w:t>售后服务管理体系方案内容，售后服务人员数量、资质和分工、服务机制、响应时间、故障解决等；</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eastAsia="宋体"/>
          <w:color w:val="000000" w:themeColor="text1"/>
          <w:szCs w:val="21"/>
          <w:highlight w:val="none"/>
          <w:lang w:val="en-US" w:eastAsia="zh-CN"/>
          <w14:textFill>
            <w14:solidFill>
              <w14:schemeClr w14:val="tx1"/>
            </w14:solidFill>
          </w14:textFill>
        </w:rPr>
        <w:t>质量保证措施；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eastAsia="宋体"/>
          <w:color w:val="000000" w:themeColor="text1"/>
          <w:szCs w:val="21"/>
          <w:highlight w:val="none"/>
          <w:lang w:val="en-US" w:eastAsia="zh-CN"/>
          <w14:textFill>
            <w14:solidFill>
              <w14:schemeClr w14:val="tx1"/>
            </w14:solidFill>
          </w14:textFill>
        </w:rPr>
        <w:t>应急方案；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11）</w:t>
      </w:r>
      <w:r>
        <w:rPr>
          <w:rFonts w:hint="eastAsia" w:ascii="宋体" w:hAnsi="宋体" w:eastAsia="宋体"/>
          <w:color w:val="000000" w:themeColor="text1"/>
          <w:szCs w:val="21"/>
          <w:highlight w:val="none"/>
          <w:lang w:val="en-US" w:eastAsia="zh-CN"/>
          <w14:textFill>
            <w14:solidFill>
              <w14:schemeClr w14:val="tx1"/>
            </w14:solidFill>
          </w14:textFill>
        </w:rPr>
        <w:t>人员培训方案；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val="0"/>
          <w:bCs/>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w:t>
      </w: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w:t>
      </w:r>
      <w:r>
        <w:rPr>
          <w:rFonts w:ascii="宋体" w:hAnsi="宋体"/>
          <w:b w:val="0"/>
          <w:bCs/>
          <w:color w:val="000000" w:themeColor="text1"/>
          <w:highlight w:val="none"/>
          <w14:textFill>
            <w14:solidFill>
              <w14:schemeClr w14:val="tx1"/>
            </w14:solidFill>
          </w14:textFill>
        </w:rPr>
        <w:t>综合评分打分表中需提供的评分资料（如有须提供）；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B</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、供应商认为需要的其他资料（如有需提供）。</w:t>
      </w:r>
    </w:p>
    <w:bookmarkEnd w:id="2"/>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C</w:t>
      </w:r>
      <w:r>
        <w:rPr>
          <w:rFonts w:hint="eastAsia" w:ascii="宋体" w:hAnsi="宋体"/>
          <w:b/>
          <w:color w:val="000000" w:themeColor="text1"/>
          <w:szCs w:val="21"/>
          <w:highlight w:val="none"/>
          <w14:textFill>
            <w14:solidFill>
              <w14:schemeClr w14:val="tx1"/>
            </w14:solidFill>
          </w14:textFill>
        </w:rPr>
        <w:t>、第三册：报价文件</w:t>
      </w:r>
    </w:p>
    <w:bookmarkEnd w:id="3"/>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C1</w:t>
      </w:r>
      <w:r>
        <w:rPr>
          <w:rFonts w:hint="eastAsia" w:ascii="宋体" w:hAnsi="宋体"/>
          <w:color w:val="000000" w:themeColor="text1"/>
          <w:szCs w:val="21"/>
          <w:highlight w:val="none"/>
          <w14:textFill>
            <w14:solidFill>
              <w14:schemeClr w14:val="tx1"/>
            </w14:solidFill>
          </w14:textFill>
        </w:rPr>
        <w:t>、开标一览表；</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C2、分项报价表；</w:t>
      </w:r>
      <w:r>
        <w:rPr>
          <w:rFonts w:hint="eastAsia" w:ascii="宋体"/>
          <w:color w:val="000000" w:themeColor="text1"/>
          <w:szCs w:val="21"/>
          <w:highlight w:val="none"/>
          <w14:textFill>
            <w14:solidFill>
              <w14:schemeClr w14:val="tx1"/>
            </w14:solidFill>
          </w14:textFill>
        </w:rPr>
        <w:t>（格式见附件）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C</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w:t>
      </w:r>
      <w:r>
        <w:rPr>
          <w:rFonts w:hint="eastAsia" w:ascii="方正书宋简体" w:hAnsi="方正书宋简体"/>
          <w:color w:val="000000" w:themeColor="text1"/>
          <w:szCs w:val="21"/>
          <w:highlight w:val="none"/>
          <w14:textFill>
            <w14:solidFill>
              <w14:schemeClr w14:val="tx1"/>
            </w14:solidFill>
          </w14:textFill>
        </w:rPr>
        <w:t>中小企业声明函（详见附件）</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方正书宋简体" w:hAnsi="方正书宋简体" w:eastAsia="宋体" w:cs="Times New Roman"/>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C</w:t>
      </w:r>
      <w:r>
        <w:rPr>
          <w:rFonts w:hint="eastAsia" w:ascii="方正书宋简体" w:hAnsi="方正书宋简体" w:eastAsia="宋体" w:cs="Times New Roman"/>
          <w:color w:val="000000" w:themeColor="text1"/>
          <w:szCs w:val="21"/>
          <w:highlight w:val="none"/>
          <w:lang w:val="en-US" w:eastAsia="zh-CN"/>
          <w14:textFill>
            <w14:solidFill>
              <w14:schemeClr w14:val="tx1"/>
            </w14:solidFill>
          </w14:textFill>
        </w:rPr>
        <w:t>4、</w:t>
      </w:r>
      <w:r>
        <w:rPr>
          <w:rFonts w:hint="eastAsia" w:ascii="方正书宋简体" w:hAnsi="方正书宋简体" w:eastAsia="宋体" w:cs="Times New Roman"/>
          <w:color w:val="000000" w:themeColor="text1"/>
          <w:szCs w:val="21"/>
          <w:highlight w:val="none"/>
          <w14:textFill>
            <w14:solidFill>
              <w14:schemeClr w14:val="tx1"/>
            </w14:solidFill>
          </w14:textFill>
        </w:rPr>
        <w:t>残疾人福利性单位声明函（详见附件）；</w:t>
      </w:r>
    </w:p>
    <w:p>
      <w:pPr>
        <w:spacing w:line="400" w:lineRule="exact"/>
        <w:ind w:firstLine="420" w:firstLineChars="200"/>
        <w:jc w:val="left"/>
        <w:rPr>
          <w:rFonts w:hint="eastAsia" w:ascii="宋体" w:hAnsi="宋体"/>
          <w:b w:val="0"/>
          <w:bCs w:val="0"/>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C</w:t>
      </w:r>
      <w:r>
        <w:rPr>
          <w:rFonts w:hint="eastAsia" w:ascii="宋体" w:hAnsi="宋体"/>
          <w:b w:val="0"/>
          <w:bCs w:val="0"/>
          <w:color w:val="000000" w:themeColor="text1"/>
          <w:szCs w:val="21"/>
          <w:highlight w:val="none"/>
          <w:lang w:val="en-US" w:eastAsia="zh-CN"/>
          <w14:textFill>
            <w14:solidFill>
              <w14:schemeClr w14:val="tx1"/>
            </w14:solidFill>
          </w14:textFill>
        </w:rPr>
        <w:t>5、</w:t>
      </w:r>
      <w:r>
        <w:rPr>
          <w:rFonts w:hint="eastAsia"/>
          <w:b w:val="0"/>
          <w:bCs w:val="0"/>
          <w:color w:val="000000" w:themeColor="text1"/>
          <w:highlight w:val="none"/>
          <w:lang w:eastAsia="zh-CN"/>
          <w14:textFill>
            <w14:solidFill>
              <w14:schemeClr w14:val="tx1"/>
            </w14:solidFill>
          </w14:textFill>
        </w:rPr>
        <w:t>监狱企业证明</w:t>
      </w:r>
      <w:r>
        <w:rPr>
          <w:rFonts w:hint="eastAsia" w:ascii="宋体" w:hAnsi="宋体"/>
          <w:b w:val="0"/>
          <w:bCs w:val="0"/>
          <w:color w:val="000000" w:themeColor="text1"/>
          <w:szCs w:val="21"/>
          <w:highlight w:val="none"/>
          <w14:textFill>
            <w14:solidFill>
              <w14:schemeClr w14:val="tx1"/>
            </w14:solidFill>
          </w14:textFill>
        </w:rPr>
        <w:t>（如有需提供）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C6</w:t>
      </w:r>
      <w:r>
        <w:rPr>
          <w:rFonts w:hint="eastAsia" w:ascii="宋体" w:hAnsi="宋体"/>
          <w:color w:val="000000" w:themeColor="text1"/>
          <w:szCs w:val="21"/>
          <w:highlight w:val="none"/>
          <w14:textFill>
            <w14:solidFill>
              <w14:schemeClr w14:val="tx1"/>
            </w14:solidFill>
          </w14:textFill>
        </w:rPr>
        <w:t>、供应商认为需要的其他资料（如有需提供）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2、投标文件的份数：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本项目实行网上投标，供应商应准备以下投标文件：（备份投标文件不强制要求提交，但因电子投标文件未能按时解密或解密失败，供应商又未提交备份投标文件的，将被视为投标文件撤回，投标无效。）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2.1上传到政府采购云平台的电子投标文件（含资格文件、商务和技术文件、报价文件）1份。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2.2以U盘或光盘存储的电子备份投标文件（含资格文件、商务和技术文件、报价文件）1份。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九、投标文件的签署盖章</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1、招标文件第七章“附件”中标明加盖公章或签字的，加盖公章部分采用CA签章，签字部分由法定代表人或授权代表签字</w:t>
      </w:r>
      <w:r>
        <w:rPr>
          <w:rFonts w:hint="eastAsia" w:ascii="宋体" w:hAnsi="宋体"/>
          <w:color w:val="000000" w:themeColor="text1"/>
          <w:szCs w:val="21"/>
          <w:highlight w:val="none"/>
          <w:lang w:eastAsia="zh-CN"/>
          <w14:textFill>
            <w14:solidFill>
              <w14:schemeClr w14:val="tx1"/>
            </w14:solidFill>
          </w14:textFill>
        </w:rPr>
        <w:t>后扫描上传或盖电子签章</w:t>
      </w:r>
      <w:r>
        <w:rPr>
          <w:rFonts w:hint="eastAsia" w:ascii="宋体" w:hAnsi="宋体"/>
          <w:color w:val="000000" w:themeColor="text1"/>
          <w:szCs w:val="21"/>
          <w:highlight w:val="none"/>
          <w14:textFill>
            <w14:solidFill>
              <w14:schemeClr w14:val="tx1"/>
            </w14:solidFill>
          </w14:textFill>
        </w:rPr>
        <w:t>。授权代表签字的，还应附法定代表人签署的法定代表人授权书。</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十、投标文件的密封和标记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1、电子投标文件：供应商应根据“项目采购-电子招投标操作指南”及本招标文件规定的格式和顺序编制电子投标文件并进行关联定位。</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以U盘或光盘存储的电子备份投标文件</w:t>
      </w:r>
      <w:r>
        <w:rPr>
          <w:rFonts w:hint="eastAsia" w:ascii="宋体" w:hAnsi="宋体"/>
          <w:b/>
          <w:color w:val="000000" w:themeColor="text1"/>
          <w:szCs w:val="21"/>
          <w:highlight w:val="none"/>
          <w14:textFill>
            <w14:solidFill>
              <w14:schemeClr w14:val="tx1"/>
            </w14:solidFill>
          </w14:textFill>
        </w:rPr>
        <w:t>用封袋密封后递交。</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电子备份投标文件须在</w:t>
      </w:r>
      <w:r>
        <w:rPr>
          <w:rFonts w:hint="eastAsia" w:ascii="宋体" w:hAnsi="宋体"/>
          <w:color w:val="000000" w:themeColor="text1"/>
          <w:szCs w:val="21"/>
          <w:highlight w:val="none"/>
          <w14:textFill>
            <w14:solidFill>
              <w14:schemeClr w14:val="tx1"/>
            </w14:solidFill>
          </w14:textFill>
        </w:rPr>
        <w:t>封袋上注明：</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）注    明：</w:t>
      </w:r>
      <w:r>
        <w:rPr>
          <w:rFonts w:hint="eastAsia" w:ascii="宋体" w:hAnsi="宋体"/>
          <w:color w:val="000000" w:themeColor="text1"/>
          <w:szCs w:val="21"/>
          <w:highlight w:val="none"/>
          <w:u w:val="single"/>
          <w14:textFill>
            <w14:solidFill>
              <w14:schemeClr w14:val="tx1"/>
            </w14:solidFill>
          </w14:textFill>
        </w:rPr>
        <w:t xml:space="preserve">    “电子备份投标文件”            </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）采购编号：</w:t>
      </w:r>
      <w:r>
        <w:rPr>
          <w:rFonts w:hint="eastAsia" w:ascii="宋体" w:hAnsi="宋体"/>
          <w:color w:val="000000" w:themeColor="text1"/>
          <w:szCs w:val="21"/>
          <w:highlight w:val="none"/>
          <w:u w:val="single"/>
          <w:lang w:eastAsia="zh-CN"/>
          <w14:textFill>
            <w14:solidFill>
              <w14:schemeClr w14:val="tx1"/>
            </w14:solidFill>
          </w14:textFill>
        </w:rPr>
        <w:t>NBITC-202311752G</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）所投标项（如有多个标项须填写）：；</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）在</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日（规定的开标日期和时间）前不准启封；</w:t>
      </w:r>
    </w:p>
    <w:p>
      <w:pPr>
        <w:keepNext w:val="0"/>
        <w:keepLines w:val="0"/>
        <w:pageBreakBefore w:val="0"/>
        <w:widowControl w:val="0"/>
        <w:tabs>
          <w:tab w:val="left" w:pos="900"/>
        </w:tabs>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）供应商的名称：</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供应商须在包封上加盖供应商公章或由其法定代表人（或授权代表）签字。</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供应商未按上述要求标记的，采购人（代理机构）不承担错放或提前开封的责任。</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十一、投标文件的递交</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1、投标文件递交的具体要求：</w:t>
      </w:r>
    </w:p>
    <w:p>
      <w:pPr>
        <w:keepNext w:val="0"/>
        <w:keepLines w:val="0"/>
        <w:pageBreakBefore w:val="0"/>
        <w:widowControl w:val="0"/>
        <w:kinsoku/>
        <w:wordWrap/>
        <w:overflowPunct/>
        <w:topLinePunct w:val="0"/>
        <w:autoSpaceDE/>
        <w:autoSpaceDN/>
        <w:bidi w:val="0"/>
        <w:snapToGrid w:val="0"/>
        <w:spacing w:line="400" w:lineRule="exact"/>
        <w:ind w:left="0" w:leftChars="0" w:firstLine="420" w:firstLineChars="200"/>
        <w:jc w:val="left"/>
        <w:textAlignment w:val="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（1）供应商应</w:t>
      </w:r>
      <w:r>
        <w:rPr>
          <w:rFonts w:hint="eastAsia" w:ascii="宋体" w:hAnsi="宋体" w:cs="宋体"/>
          <w:color w:val="000000" w:themeColor="text1"/>
          <w:kern w:val="0"/>
          <w:szCs w:val="21"/>
          <w:highlight w:val="none"/>
          <w:lang w:eastAsia="zh-CN"/>
          <w14:textFill>
            <w14:solidFill>
              <w14:schemeClr w14:val="tx1"/>
            </w14:solidFill>
          </w14:textFill>
        </w:rPr>
        <w:t>当</w:t>
      </w:r>
      <w:r>
        <w:rPr>
          <w:rFonts w:hint="eastAsia" w:ascii="宋体" w:hAnsi="宋体" w:cs="宋体"/>
          <w:color w:val="000000" w:themeColor="text1"/>
          <w:kern w:val="0"/>
          <w:szCs w:val="21"/>
          <w:highlight w:val="none"/>
          <w14:textFill>
            <w14:solidFill>
              <w14:schemeClr w14:val="tx1"/>
            </w14:solidFill>
          </w14:textFill>
        </w:rPr>
        <w:t>于提交投标文件截止时间前将电子投标文件上传到政府采购云平台（https://www.zcygov.cn/），并应于提交投标文件截止时间前，将以U盘或光盘存储的电子备份投标文件密封，采用现场递交或邮寄送达方式递交。</w:t>
      </w:r>
    </w:p>
    <w:p>
      <w:pPr>
        <w:keepNext w:val="0"/>
        <w:keepLines w:val="0"/>
        <w:pageBreakBefore w:val="0"/>
        <w:widowControl w:val="0"/>
        <w:kinsoku/>
        <w:wordWrap/>
        <w:overflowPunct/>
        <w:topLinePunct w:val="0"/>
        <w:autoSpaceDE/>
        <w:autoSpaceDN/>
        <w:bidi w:val="0"/>
        <w:snapToGrid w:val="0"/>
        <w:spacing w:line="400" w:lineRule="exact"/>
        <w:ind w:left="0" w:leftChars="0" w:firstLine="420" w:firstLineChars="200"/>
        <w:jc w:val="left"/>
        <w:textAlignment w:val="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方式一：现场递交方式，供应商可安排一名授权代表在投标截止时间前将投标文件送至开标地点：宁波市国际招标有限公司</w:t>
      </w:r>
      <w:r>
        <w:rPr>
          <w:rFonts w:hint="eastAsia" w:ascii="宋体" w:hAnsi="宋体" w:cs="宋体"/>
          <w:color w:val="000000" w:themeColor="text1"/>
          <w:kern w:val="0"/>
          <w:szCs w:val="21"/>
          <w:highlight w:val="none"/>
          <w:lang w:eastAsia="zh-CN"/>
          <w14:textFill>
            <w14:solidFill>
              <w14:schemeClr w14:val="tx1"/>
            </w14:solidFill>
          </w14:textFill>
        </w:rPr>
        <w:t>开标大厅（一）</w:t>
      </w:r>
      <w:r>
        <w:rPr>
          <w:rFonts w:hint="eastAsia" w:ascii="宋体" w:hAnsi="宋体" w:cs="宋体"/>
          <w:color w:val="000000" w:themeColor="text1"/>
          <w:kern w:val="0"/>
          <w:szCs w:val="21"/>
          <w:highlight w:val="none"/>
          <w14:textFill>
            <w14:solidFill>
              <w14:schemeClr w14:val="tx1"/>
            </w14:solidFill>
          </w14:textFill>
        </w:rPr>
        <w:t>（宁波市江北区环城北路西段207弄19号世茂茂悦商业中心1号楼七楼招投标会议中心）。投标文件递交时须同时递交供应商的法定代表人（或其授权代表）联系方式，并保证投标期间联系方式畅通。</w:t>
      </w:r>
    </w:p>
    <w:p>
      <w:pPr>
        <w:keepNext w:val="0"/>
        <w:keepLines w:val="0"/>
        <w:pageBreakBefore w:val="0"/>
        <w:widowControl w:val="0"/>
        <w:kinsoku/>
        <w:wordWrap/>
        <w:overflowPunct/>
        <w:topLinePunct w:val="0"/>
        <w:autoSpaceDE/>
        <w:autoSpaceDN/>
        <w:bidi w:val="0"/>
        <w:snapToGrid w:val="0"/>
        <w:spacing w:line="400" w:lineRule="exact"/>
        <w:ind w:left="0" w:leftChars="0" w:firstLine="420" w:firstLineChars="200"/>
        <w:jc w:val="left"/>
        <w:textAlignment w:val="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方式二：邮寄送达，送达地址：宁波市国际招标有限公司（宁波市江北区环城北路西段207弄19号世茂茂悦商业中心1号楼八楼015室），联系方式：王媛 0574-87307605。供应商邮寄后须将邮件单号发送至代理机构电子邮箱（电子邮箱：51518128@qq.com），并致电采购代理机构，以便采购代理机构查询物流记录。各供应商应当确保电子备份投标文件的密封包装在邮寄过程保持完好，并在邮寄包裹上注明项目名称、采购编号，因邮寄造成电子备份投标文件密封破损而不符合竞争性招标文件对投标文件的密封要求、或邮寄过程中导致电子备份投标文件未在投标截止时间前送达的，代理机构将拒绝其投标文件。各供应商自行考虑邮寄在途时间，投标文件送达时间以代理机构工作人员实际签收时间为准。</w:t>
      </w:r>
    </w:p>
    <w:p>
      <w:pPr>
        <w:keepNext w:val="0"/>
        <w:keepLines w:val="0"/>
        <w:pageBreakBefore w:val="0"/>
        <w:widowControl w:val="0"/>
        <w:kinsoku/>
        <w:wordWrap/>
        <w:overflowPunct/>
        <w:topLinePunct w:val="0"/>
        <w:autoSpaceDE/>
        <w:autoSpaceDN/>
        <w:bidi w:val="0"/>
        <w:snapToGrid w:val="0"/>
        <w:spacing w:line="400" w:lineRule="exact"/>
        <w:ind w:left="0" w:leftChars="0" w:firstLine="420" w:firstLineChars="200"/>
        <w:jc w:val="left"/>
        <w:textAlignment w:val="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开标时间后半小时内供应商可以登录政府采购云平台https://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w:t>
      </w:r>
      <w:r>
        <w:rPr>
          <w:rFonts w:hint="eastAsia" w:ascii="宋体" w:hAnsi="宋体" w:cs="宋体"/>
          <w:color w:val="000000" w:themeColor="text1"/>
          <w:kern w:val="0"/>
          <w:szCs w:val="21"/>
          <w:highlight w:val="none"/>
          <w:lang w:eastAsia="zh-CN"/>
          <w14:textFill>
            <w14:solidFill>
              <w14:schemeClr w14:val="tx1"/>
            </w14:solidFill>
          </w14:textFill>
        </w:rPr>
        <w:t>视为投标文件撤回</w:t>
      </w:r>
      <w:r>
        <w:rPr>
          <w:rFonts w:hint="eastAsia" w:ascii="宋体" w:hAnsi="宋体" w:cs="宋体"/>
          <w:color w:val="000000" w:themeColor="text1"/>
          <w:kern w:val="0"/>
          <w:szCs w:val="21"/>
          <w:highlight w:val="none"/>
          <w14:textFill>
            <w14:solidFill>
              <w14:schemeClr w14:val="tx1"/>
            </w14:solidFill>
          </w14:textFill>
        </w:rPr>
        <w:t>）。无论是否启用备份电子投标文件，备份电子投标文件均不退还供应商。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2、供应商未按上述要求密封的电子备份投标文件，代理机构不予受理。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逾期送达的或者未送达指定地点的，</w:t>
      </w:r>
      <w:r>
        <w:rPr>
          <w:rFonts w:hint="eastAsia" w:ascii="宋体" w:hAnsi="宋体"/>
          <w:color w:val="000000" w:themeColor="text1"/>
          <w:szCs w:val="21"/>
          <w:highlight w:val="none"/>
          <w14:textFill>
            <w14:solidFill>
              <w14:schemeClr w14:val="tx1"/>
            </w14:solidFill>
          </w14:textFill>
        </w:rPr>
        <w:t>代理机构</w:t>
      </w:r>
      <w:r>
        <w:rPr>
          <w:rFonts w:ascii="宋体" w:hAnsi="宋体"/>
          <w:color w:val="000000" w:themeColor="text1"/>
          <w:szCs w:val="21"/>
          <w:highlight w:val="none"/>
          <w14:textFill>
            <w14:solidFill>
              <w14:schemeClr w14:val="tx1"/>
            </w14:solidFill>
          </w14:textFill>
        </w:rPr>
        <w:t>不予受理。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4、投标文件的补充、修改</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投标截止时间前，供应商可以对递交的投标文件进行补充、修改，</w:t>
      </w:r>
      <w:r>
        <w:rPr>
          <w:rFonts w:hint="eastAsia"/>
          <w:color w:val="000000" w:themeColor="text1"/>
          <w:szCs w:val="21"/>
          <w:highlight w:val="none"/>
          <w14:textFill>
            <w14:solidFill>
              <w14:schemeClr w14:val="tx1"/>
            </w14:solidFill>
          </w14:textFill>
        </w:rPr>
        <w:t>补充、修改电子投标文件的，应当先行撤回原文件，补充、修改后重新上传，电子备份投标文件也应重新制作。</w:t>
      </w:r>
      <w:r>
        <w:rPr>
          <w:rFonts w:hint="eastAsia" w:ascii="宋体" w:hAnsi="宋体" w:cs="宋体"/>
          <w:color w:val="000000" w:themeColor="text1"/>
          <w:kern w:val="0"/>
          <w:szCs w:val="21"/>
          <w:highlight w:val="none"/>
          <w14:textFill>
            <w14:solidFill>
              <w14:schemeClr w14:val="tx1"/>
            </w14:solidFill>
          </w14:textFill>
        </w:rPr>
        <w:t>在投标截止时间之后，供应商不得对其投标文件进行补充、修改。</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十二、开标</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、电子投标开标及评审程序：一阶段开标。</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（1）宣布开标；</w:t>
      </w:r>
    </w:p>
    <w:p>
      <w:pPr>
        <w:spacing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（2）本项目实行网上投标，采用电子投标文件。投标截止时间后，供应商登录</w:t>
      </w:r>
      <w:r>
        <w:rPr>
          <w:rFonts w:hint="eastAsia" w:ascii="宋体" w:hAnsi="宋体" w:cs="宋体"/>
          <w:color w:val="000000" w:themeColor="text1"/>
          <w:kern w:val="0"/>
          <w:szCs w:val="21"/>
          <w:highlight w:val="none"/>
          <w14:textFill>
            <w14:solidFill>
              <w14:schemeClr w14:val="tx1"/>
            </w14:solidFill>
          </w14:textFill>
        </w:rPr>
        <w:t>政府采购云平台</w:t>
      </w:r>
      <w:r>
        <w:rPr>
          <w:rFonts w:hint="eastAsia" w:ascii="宋体" w:hAnsi="宋体"/>
          <w:color w:val="000000" w:themeColor="text1"/>
          <w:szCs w:val="21"/>
          <w:highlight w:val="none"/>
          <w14:textFill>
            <w14:solidFill>
              <w14:schemeClr w14:val="tx1"/>
            </w14:solidFill>
          </w14:textFill>
        </w:rPr>
        <w:t>，用“项目采购-开标评标”功能对电子投标文件进行在线解密，在线解密电子投标文件时间为开标时间后半</w:t>
      </w:r>
      <w:r>
        <w:rPr>
          <w:rFonts w:ascii="宋体" w:hAnsi="宋体"/>
          <w:color w:val="000000" w:themeColor="text1"/>
          <w:szCs w:val="21"/>
          <w:highlight w:val="none"/>
          <w14:textFill>
            <w14:solidFill>
              <w14:schemeClr w14:val="tx1"/>
            </w14:solidFill>
          </w14:textFill>
        </w:rPr>
        <w:t>小时</w:t>
      </w:r>
      <w:r>
        <w:rPr>
          <w:rFonts w:hint="eastAsia" w:ascii="宋体" w:hAnsi="宋体"/>
          <w:color w:val="000000" w:themeColor="text1"/>
          <w:szCs w:val="21"/>
          <w:highlight w:val="none"/>
          <w14:textFill>
            <w14:solidFill>
              <w14:schemeClr w14:val="tx1"/>
            </w14:solidFill>
          </w14:textFill>
        </w:rPr>
        <w:t>内。</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（3）以下流程针对到达开标现场的供应商（未到现场供应商按政采云流程参与网上开标）</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3.1介绍开标现场的人员情况；</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3.2宣读递交投标文件的供应商名单、开标纪律、应当回避的情形等注意事项；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3.3供应商签署不存在影响公平竞争的《政府采购活动现场确认声明书》；</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（4）在政府采购云平台开启供应商解密后的“资格文件”、“商务和技术文件”、“报价文件”，宣读供应商名称、报价文件中“开标一览表”内容，以及采购人认为必要的其他内容与记录，并做开标记录；</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（5）开标记录在政采云网站确认；</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（6）开标结束。休会，评标委员会对“资格文件”、“商务和技术文件”、“报价文件”进行评审；</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（7）在政府采购云平台公布中标候选人名单及采购人最终确定中标供应商名单的时间和公告方式等。</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3、特别说明：政府采购云平台如对电子化开标及评审程序有调整的，按调整后的程序操作。</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本项目原则上采用政采云电子投标开标及评审程序，但有下情形之一的，按以下情况处理：</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（1）若供应商在规定时间内无法解密或解密失败，代理机构将开启上述供应商递交的以U盘存储的电子备份投标文件，上传至政采云平台项目采购模块，以完成开标，电子投标文件自动失效。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2.1电子交易平台发生故障而无法登录访问的；</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2.2电子交易平台应用或数据库出现错误，不能进行正常操作的；</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2.3电子交易平台发现严重安全漏洞，有潜在泄密危险的；</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2.4病毒发作导致不能进行正常操作的； </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2.5其他无法保证电子交易的公平、公正和安全的情况。</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出现前款规定情形，不影响采购公平、公正性的，采购人（或代理机构）可以待上述情形消除后继续组织电子交易活动。</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十三、评标</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、采购人依据《中华人民共和国政府采购法》、《中华人民共和国政府采购法实施条例》等有关规定组建评标委员会。评标委员会由采购人代表和专家组成，负责本项目的评标工作。</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、评标活动遵循公开、公平、公正、科学和择优的原则。</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、评标委员会按照第</w:t>
      </w:r>
      <w:r>
        <w:rPr>
          <w:rFonts w:hint="eastAsia" w:ascii="宋体" w:hAnsi="宋体"/>
          <w:color w:val="000000" w:themeColor="text1"/>
          <w:szCs w:val="21"/>
          <w:highlight w:val="none"/>
          <w:lang w:eastAsia="zh-CN"/>
          <w14:textFill>
            <w14:solidFill>
              <w14:schemeClr w14:val="tx1"/>
            </w14:solidFill>
          </w14:textFill>
        </w:rPr>
        <w:t>五</w:t>
      </w:r>
      <w:r>
        <w:rPr>
          <w:rFonts w:hint="eastAsia" w:ascii="宋体" w:hAnsi="宋体"/>
          <w:color w:val="000000" w:themeColor="text1"/>
          <w:szCs w:val="21"/>
          <w:highlight w:val="none"/>
          <w14:textFill>
            <w14:solidFill>
              <w14:schemeClr w14:val="tx1"/>
            </w14:solidFill>
          </w14:textFill>
        </w:rPr>
        <w:t>章“评标办法及标准”对投标文件进行评审。第</w:t>
      </w:r>
      <w:r>
        <w:rPr>
          <w:rFonts w:hint="eastAsia" w:ascii="宋体" w:hAnsi="宋体"/>
          <w:color w:val="000000" w:themeColor="text1"/>
          <w:szCs w:val="21"/>
          <w:highlight w:val="none"/>
          <w:lang w:eastAsia="zh-CN"/>
          <w14:textFill>
            <w14:solidFill>
              <w14:schemeClr w14:val="tx1"/>
            </w14:solidFill>
          </w14:textFill>
        </w:rPr>
        <w:t>五</w:t>
      </w:r>
      <w:r>
        <w:rPr>
          <w:rFonts w:hint="eastAsia" w:ascii="宋体" w:hAnsi="宋体"/>
          <w:color w:val="000000" w:themeColor="text1"/>
          <w:szCs w:val="21"/>
          <w:highlight w:val="none"/>
          <w14:textFill>
            <w14:solidFill>
              <w14:schemeClr w14:val="tx1"/>
            </w14:solidFill>
          </w14:textFill>
        </w:rPr>
        <w:t>章“评标办法及标准”没有规定的方法、评审因素和标准，不作为评标依据。</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十四、招标文件的澄清和修改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olor w:val="000000" w:themeColor="text1"/>
          <w:szCs w:val="21"/>
          <w:highlight w:val="none"/>
          <w14:textFill>
            <w14:solidFill>
              <w14:schemeClr w14:val="tx1"/>
            </w14:solidFill>
          </w14:textFill>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十五、质疑与投诉</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、供应商提出质疑应当提交质疑函和必要的证明材料，质疑函应当以书面形式提出，质疑函格式和内容须符合财政部《质疑函范本》、《</w:t>
      </w:r>
      <w:r>
        <w:rPr>
          <w:rFonts w:hint="eastAsia"/>
          <w:color w:val="000000" w:themeColor="text1"/>
          <w:szCs w:val="21"/>
          <w:highlight w:val="none"/>
          <w14:textFill>
            <w14:solidFill>
              <w14:schemeClr w14:val="tx1"/>
            </w14:solidFill>
          </w14:textFill>
        </w:rPr>
        <w:t>投诉书范本》</w:t>
      </w:r>
      <w:r>
        <w:rPr>
          <w:rFonts w:hint="eastAsia" w:ascii="宋体" w:hAnsi="宋体"/>
          <w:color w:val="000000" w:themeColor="text1"/>
          <w:szCs w:val="21"/>
          <w:highlight w:val="none"/>
          <w14:textFill>
            <w14:solidFill>
              <w14:schemeClr w14:val="tx1"/>
            </w14:solidFill>
          </w14:textFill>
        </w:rPr>
        <w:t>要求，供应商可到中国政府采购网自行下载财政部《质疑函范本》、《</w:t>
      </w:r>
      <w:r>
        <w:rPr>
          <w:rFonts w:hint="eastAsia"/>
          <w:color w:val="000000" w:themeColor="text1"/>
          <w:szCs w:val="21"/>
          <w:highlight w:val="none"/>
          <w14:textFill>
            <w14:solidFill>
              <w14:schemeClr w14:val="tx1"/>
            </w14:solidFill>
          </w14:textFill>
        </w:rPr>
        <w:t>投诉书范本》</w:t>
      </w:r>
      <w:r>
        <w:rPr>
          <w:rFonts w:hint="eastAsia" w:ascii="宋体" w:hAnsi="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、采购人、代理机构接收质疑函的方式：只接收供应商以当面递交、邮寄、传真或电子邮件方式提出的质疑函，以其他方式提出的质疑不予接收。</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采取邮寄方式的，提出质疑的时间为质疑函原件交邮的时间（以邮戳时间或快递收件时间为准）。</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采取传真、电子邮件方式的，供应商应当在传真、电子邮件发出后将质疑函原件邮寄给被质疑人，提出质疑的时间为质疑函原件交邮的时间（以邮戳时间或快递收件时间为准）。</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、采购人、代理机构以实际收到质疑函原件之日作为收到质疑函的日期，将在收到质疑函后</w:t>
      </w:r>
      <w:r>
        <w:rPr>
          <w:rFonts w:ascii="宋体" w:hAnsi="宋体"/>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个工作日内作出答复。</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、采购人、代理机构接收质疑函的联系人、联系电话和通讯地址等信息详见采购公告。</w:t>
      </w:r>
    </w:p>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十六、预算金额</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color w:val="000000" w:themeColor="text1"/>
          <w:szCs w:val="21"/>
          <w:highlight w:val="none"/>
          <w14:textFill>
            <w14:solidFill>
              <w14:schemeClr w14:val="tx1"/>
            </w14:solidFill>
          </w14:textFill>
        </w:rPr>
      </w:pPr>
      <w:bookmarkStart w:id="4" w:name="_Hlk37142004"/>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、本次公开招标设有预算</w:t>
      </w:r>
      <w:r>
        <w:rPr>
          <w:rFonts w:hint="eastAsia" w:ascii="宋体" w:hAnsi="宋体"/>
          <w:color w:val="000000" w:themeColor="text1"/>
          <w:szCs w:val="21"/>
          <w:highlight w:val="none"/>
          <w:lang w:eastAsia="zh-CN"/>
          <w14:textFill>
            <w14:solidFill>
              <w14:schemeClr w14:val="tx1"/>
            </w14:solidFill>
          </w14:textFill>
        </w:rPr>
        <w:t>金额：</w:t>
      </w:r>
      <w:r>
        <w:rPr>
          <w:rFonts w:hint="eastAsia" w:ascii="宋体" w:hAnsi="宋体"/>
          <w:color w:val="000000" w:themeColor="text1"/>
          <w:szCs w:val="21"/>
          <w:highlight w:val="none"/>
          <w:lang w:val="en-US" w:eastAsia="zh-CN"/>
          <w14:textFill>
            <w14:solidFill>
              <w14:schemeClr w14:val="tx1"/>
            </w14:solidFill>
          </w14:textFill>
        </w:rPr>
        <w:t>753.6</w:t>
      </w:r>
      <w:r>
        <w:rPr>
          <w:rFonts w:hint="eastAsia" w:ascii="宋体" w:hAnsi="宋体"/>
          <w:color w:val="000000" w:themeColor="text1"/>
          <w:szCs w:val="21"/>
          <w:highlight w:val="none"/>
          <w:lang w:val="en-US" w:eastAsia="zh-CN"/>
          <w14:textFill>
            <w14:solidFill>
              <w14:schemeClr w14:val="tx1"/>
            </w14:solidFill>
          </w14:textFill>
        </w:rPr>
        <w:t>万元</w:t>
      </w:r>
      <w:r>
        <w:rPr>
          <w:rFonts w:hint="eastAsia" w:ascii="宋体" w:hAnsi="宋体"/>
          <w:color w:val="000000" w:themeColor="text1"/>
          <w:szCs w:val="21"/>
          <w:highlight w:val="none"/>
          <w14:textFill>
            <w14:solidFill>
              <w14:schemeClr w14:val="tx1"/>
            </w14:solidFill>
          </w14:textFill>
        </w:rPr>
        <w:t>；投标报价超出对应预算金额的投标无效。</w:t>
      </w:r>
    </w:p>
    <w:p>
      <w:pPr>
        <w:keepNext w:val="0"/>
        <w:keepLines w:val="0"/>
        <w:pageBreakBefore w:val="0"/>
        <w:widowControl w:val="0"/>
        <w:kinsoku/>
        <w:wordWrap/>
        <w:overflowPunct/>
        <w:topLinePunct w:val="0"/>
        <w:autoSpaceDE/>
        <w:autoSpaceDN/>
        <w:bidi w:val="0"/>
        <w:spacing w:line="400" w:lineRule="exact"/>
        <w:ind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十七、招标代理服务费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1、本采购代理机构参照国家发改委发改办价格[2003]857号通知和原国家计委计价格[2002]1980号文件规定的招标代理服务收费标准，按照中标通知书确定的中标总金额，向中标供应商收取招标服务费。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2、中标供应商应在代理机构发出中标通知书5个工作日内向本代理机构支付招标代理服务费。</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3、招标代理服务费收取银行票汇款、电汇款。</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账户名称：宁波市国际招标有限公司</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开户银行：上海浦东发展银行宁波分行江北支行</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银行账号：94090154800000191</w:t>
      </w:r>
    </w:p>
    <w:bookmarkEnd w:id="4"/>
    <w:p>
      <w:pPr>
        <w:keepNext w:val="0"/>
        <w:keepLines w:val="0"/>
        <w:pageBreakBefore w:val="0"/>
        <w:widowControl w:val="0"/>
        <w:kinsoku/>
        <w:wordWrap/>
        <w:overflowPunct/>
        <w:topLinePunct w:val="0"/>
        <w:autoSpaceDE/>
        <w:autoSpaceDN/>
        <w:bidi w:val="0"/>
        <w:spacing w:line="400" w:lineRule="exact"/>
        <w:ind w:left="0" w:leftChars="0" w:firstLine="422" w:firstLineChars="20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十八、特别说明</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5" w:name="_Toc25472"/>
      <w:bookmarkStart w:id="6" w:name="_Toc21541007"/>
      <w:bookmarkStart w:id="7" w:name="_Toc44162140"/>
      <w:bookmarkStart w:id="8" w:name="_Toc419729150"/>
      <w:bookmarkStart w:id="9" w:name="_Toc441316546"/>
      <w:bookmarkStart w:id="10" w:name="_Toc436408700"/>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、政府采购活动中有关中小企业的相关规定（采购进口产品的项目不适用）：</w:t>
      </w:r>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（2）在政府采购活动中，供应商提供的货物、工程或者服务符合下列情形的，享受《政府采购促进中小企业发展管理办法》规定的中小企业扶持政策：</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2.2在工程采购项目中，工程由中小企业承建，即工程施工单位为中小企业；</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2.3在服务采购项目中，服务由中小企业承接，即提供服务的人员为中小企业依照《中华人民共和国劳动民法典》订立劳动合同的从业人员。</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在货物采购项目中，供应商提供的货物既有中小企业制造货物，也有大型企业制造货物的，不享受《政府采购促进中小企业发展管理办法》规定的中小企业扶持政策。</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2.4中小企业参加政府采购活动，应当出具《政府采购促进中小企业发展管理办法》规定的《中小企业声明函》（格式见本采购文件附件），否则不得享受相关中小企业扶持政策。</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适用招标投标法的政府采购工程建设项目，供应商提供声明函内容不实的，属于弄虚作假骗取中标，依照《中华人民共和国招标投标法》等国家有关规定追究相应责任。</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2.5《中小企业声明函》由参加投标的供应商提交，如供应商为代理商，须自行采集制造商的中小企业划分类型信息填入相应栏目并对其真实性负责。</w:t>
      </w:r>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11" w:name="_Toc495244277"/>
      <w:bookmarkStart w:id="12" w:name="_Toc44162148"/>
      <w:bookmarkStart w:id="13" w:name="_Toc26428"/>
      <w:bookmarkStart w:id="14" w:name="_Toc21541015"/>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执行财政部、司法部《关于政府采购支持监狱企业发展有关问题的通知》。监狱企业（监狱和戒毒企业）提供自己企业的产品（服务）参加投标视同小型、微型企业，享受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1"/>
      <w:bookmarkEnd w:id="12"/>
      <w:bookmarkEnd w:id="13"/>
      <w:bookmarkEnd w:id="14"/>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15" w:name="_Toc22421"/>
      <w:bookmarkStart w:id="16" w:name="_Toc44162149"/>
      <w:bookmarkStart w:id="17" w:name="_Toc21541016"/>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执行《三部门联合发布关于促进残疾人就业政府采购政策的通知》，在政府采购活动中，残疾人福利性单位视同小型、微型企业，享受政府采购促进中小企业发展的政府采购政策，残疾人福利性单位参加政府采购活动时，应当提供《残疾人福利性单位声明函》（格式见第七章附件），并对声明的真实性负责，未能提供的不予认可。</w:t>
      </w:r>
      <w:bookmarkEnd w:id="15"/>
      <w:bookmarkEnd w:id="16"/>
      <w:bookmarkEnd w:id="17"/>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18" w:name="_Toc44162150"/>
      <w:bookmarkStart w:id="19" w:name="_Toc14131"/>
      <w:bookmarkStart w:id="20" w:name="_Toc21541017"/>
      <w:bookmarkStart w:id="21" w:name="_Toc419729158"/>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、本项目不组织潜在供应商现场考察或者召开开标前答疑。</w:t>
      </w:r>
      <w:bookmarkEnd w:id="18"/>
      <w:bookmarkEnd w:id="19"/>
      <w:bookmarkEnd w:id="20"/>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22" w:name="_Toc21541018"/>
      <w:bookmarkStart w:id="23" w:name="_Toc44162151"/>
      <w:bookmarkStart w:id="24" w:name="_Toc21897"/>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、本文件未及事项，在签订合同时供需及使用方友好商定。</w:t>
      </w:r>
      <w:bookmarkEnd w:id="21"/>
      <w:bookmarkEnd w:id="22"/>
      <w:bookmarkEnd w:id="23"/>
      <w:bookmarkEnd w:id="24"/>
    </w:p>
    <w:p>
      <w:pPr>
        <w:keepNext w:val="0"/>
        <w:keepLines w:val="0"/>
        <w:pageBreakBefore w:val="0"/>
        <w:widowControl w:val="0"/>
        <w:kinsoku/>
        <w:wordWrap/>
        <w:overflowPunct/>
        <w:topLinePunct w:val="0"/>
        <w:autoSpaceDE/>
        <w:autoSpaceDN/>
        <w:bidi w:val="0"/>
        <w:spacing w:line="400" w:lineRule="exact"/>
        <w:ind w:left="0" w:leftChars="0" w:firstLine="420" w:firstLineChars="200"/>
        <w:textAlignment w:val="auto"/>
        <w:outlineLvl w:val="0"/>
        <w:rPr>
          <w:rFonts w:ascii="宋体" w:hAnsi="宋体"/>
          <w:color w:val="000000" w:themeColor="text1"/>
          <w:szCs w:val="21"/>
          <w:highlight w:val="none"/>
          <w14:textFill>
            <w14:solidFill>
              <w14:schemeClr w14:val="tx1"/>
            </w14:solidFill>
          </w14:textFill>
        </w:rPr>
      </w:pPr>
      <w:bookmarkStart w:id="25" w:name="_Toc419729159"/>
      <w:r>
        <w:rPr>
          <w:rFonts w:hint="eastAsia" w:ascii="宋体" w:hAnsi="宋体"/>
          <w:color w:val="000000" w:themeColor="text1"/>
          <w:szCs w:val="21"/>
          <w:highlight w:val="none"/>
          <w14:textFill>
            <w14:solidFill>
              <w14:schemeClr w14:val="tx1"/>
            </w14:solidFill>
          </w14:textFill>
        </w:rPr>
        <w:t>6、本招标文件解释权归采购人。</w:t>
      </w:r>
      <w:bookmarkEnd w:id="25"/>
    </w:p>
    <w:p>
      <w:pPr>
        <w:keepNext w:val="0"/>
        <w:keepLines w:val="0"/>
        <w:pageBreakBefore w:val="0"/>
        <w:widowControl w:val="0"/>
        <w:kinsoku/>
        <w:wordWrap/>
        <w:overflowPunct/>
        <w:topLinePunct w:val="0"/>
        <w:autoSpaceDE/>
        <w:autoSpaceDN/>
        <w:bidi w:val="0"/>
        <w:spacing w:line="400" w:lineRule="exact"/>
        <w:ind w:left="0" w:leftChars="0"/>
        <w:textAlignment w:val="auto"/>
        <w:rPr>
          <w:rFonts w:ascii="宋体" w:hAnsi="宋体"/>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400" w:lineRule="exact"/>
        <w:ind w:left="0" w:leftChars="0"/>
        <w:jc w:val="center"/>
        <w:textAlignment w:val="auto"/>
        <w:outlineLvl w:val="0"/>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br w:type="page"/>
      </w:r>
      <w:bookmarkStart w:id="26" w:name="_Toc44162152"/>
      <w:r>
        <w:rPr>
          <w:rFonts w:hint="eastAsia" w:ascii="宋体" w:hAnsi="宋体"/>
          <w:b/>
          <w:color w:val="000000" w:themeColor="text1"/>
          <w:sz w:val="32"/>
          <w:highlight w:val="none"/>
          <w14:textFill>
            <w14:solidFill>
              <w14:schemeClr w14:val="tx1"/>
            </w14:solidFill>
          </w14:textFill>
        </w:rPr>
        <w:t>第三章</w:t>
      </w:r>
      <w:r>
        <w:rPr>
          <w:rFonts w:hint="eastAsia" w:ascii="宋体" w:hAnsi="宋体"/>
          <w:b/>
          <w:color w:val="000000" w:themeColor="text1"/>
          <w:sz w:val="32"/>
          <w:highlight w:val="none"/>
          <w:lang w:val="en-US" w:eastAsia="zh-CN"/>
          <w14:textFill>
            <w14:solidFill>
              <w14:schemeClr w14:val="tx1"/>
            </w14:solidFill>
          </w14:textFill>
        </w:rPr>
        <w:t xml:space="preserve">  </w:t>
      </w:r>
      <w:bookmarkEnd w:id="26"/>
      <w:r>
        <w:rPr>
          <w:rFonts w:hint="eastAsia" w:ascii="宋体" w:hAnsi="宋体"/>
          <w:b/>
          <w:color w:val="000000" w:themeColor="text1"/>
          <w:sz w:val="32"/>
          <w:highlight w:val="none"/>
          <w:lang w:val="en-US" w:eastAsia="zh-CN"/>
          <w14:textFill>
            <w14:solidFill>
              <w14:schemeClr w14:val="tx1"/>
            </w14:solidFill>
          </w14:textFill>
        </w:rPr>
        <w:t>招标内容与技术需求</w:t>
      </w:r>
    </w:p>
    <w:p>
      <w:pPr>
        <w:spacing w:line="360" w:lineRule="auto"/>
        <w:rPr>
          <w:rFonts w:hint="default" w:ascii="宋体" w:hAnsi="宋体" w:eastAsia="宋体" w:cs="宋体"/>
          <w:b/>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一</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采购内容</w:t>
      </w:r>
    </w:p>
    <w:p>
      <w:pPr>
        <w:widowControl/>
        <w:spacing w:line="360" w:lineRule="auto"/>
        <w:ind w:firstLine="420" w:firstLineChars="200"/>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本项目整体系统解决方案</w:t>
      </w:r>
      <w:r>
        <w:rPr>
          <w:rFonts w:hint="eastAsia" w:ascii="宋体" w:hAnsi="宋体" w:cs="宋体"/>
          <w:color w:val="000000" w:themeColor="text1"/>
          <w:szCs w:val="21"/>
          <w14:textFill>
            <w14:solidFill>
              <w14:schemeClr w14:val="tx1"/>
            </w14:solidFill>
          </w14:textFill>
        </w:rPr>
        <w:t>基于</w:t>
      </w:r>
      <w:r>
        <w:rPr>
          <w:rFonts w:hint="eastAsia" w:ascii="宋体" w:hAnsi="宋体" w:cs="宋体"/>
          <w:color w:val="000000" w:themeColor="text1"/>
          <w:szCs w:val="21"/>
          <w:lang w:val="en-US" w:eastAsia="zh-CN"/>
          <w14:textFill>
            <w14:solidFill>
              <w14:schemeClr w14:val="tx1"/>
            </w14:solidFill>
          </w14:textFill>
        </w:rPr>
        <w:t>宁波大学附属第一</w:t>
      </w:r>
      <w:r>
        <w:rPr>
          <w:rFonts w:hint="eastAsia" w:ascii="宋体" w:hAnsi="宋体" w:cs="宋体"/>
          <w:color w:val="000000" w:themeColor="text1"/>
          <w:szCs w:val="21"/>
          <w14:textFill>
            <w14:solidFill>
              <w14:schemeClr w14:val="tx1"/>
            </w14:solidFill>
          </w14:textFill>
        </w:rPr>
        <w:t>医院现有信息系统，结合5G</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物联网</w:t>
      </w:r>
      <w:r>
        <w:rPr>
          <w:rFonts w:hint="eastAsia" w:ascii="宋体" w:hAnsi="宋体" w:cs="宋体"/>
          <w:color w:val="000000" w:themeColor="text1"/>
          <w:szCs w:val="21"/>
          <w14:textFill>
            <w14:solidFill>
              <w14:schemeClr w14:val="tx1"/>
            </w14:solidFill>
          </w14:textFill>
        </w:rPr>
        <w:t>等信息技术，按照“深化互联网+健康服务”体系要求，</w:t>
      </w:r>
      <w:r>
        <w:rPr>
          <w:rFonts w:hint="eastAsia" w:ascii="宋体" w:hAnsi="宋体" w:cs="宋体"/>
          <w:color w:val="000000" w:themeColor="text1"/>
          <w:szCs w:val="21"/>
          <w:lang w:val="en-US" w:eastAsia="zh-CN"/>
          <w14:textFill>
            <w14:solidFill>
              <w14:schemeClr w14:val="tx1"/>
            </w14:solidFill>
          </w14:textFill>
        </w:rPr>
        <w:t>完成</w:t>
      </w:r>
      <w:r>
        <w:rPr>
          <w:rFonts w:hint="eastAsia" w:ascii="宋体" w:hAnsi="宋体" w:cs="宋体"/>
          <w:color w:val="000000" w:themeColor="text1"/>
          <w:szCs w:val="21"/>
          <w14:textFill>
            <w14:solidFill>
              <w14:schemeClr w14:val="tx1"/>
            </w14:solidFill>
          </w14:textFill>
        </w:rPr>
        <w:t>医院</w:t>
      </w:r>
      <w:r>
        <w:rPr>
          <w:rFonts w:hint="eastAsia" w:ascii="宋体" w:hAnsi="宋体" w:cs="宋体"/>
          <w:color w:val="000000" w:themeColor="text1"/>
          <w:szCs w:val="21"/>
          <w:lang w:val="en-US" w:eastAsia="zh-CN"/>
          <w14:textFill>
            <w14:solidFill>
              <w14:schemeClr w14:val="tx1"/>
            </w14:solidFill>
          </w14:textFill>
        </w:rPr>
        <w:t>智慧病房及相关网络建设</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从而提高</w:t>
      </w:r>
      <w:r>
        <w:rPr>
          <w:rFonts w:hint="eastAsia" w:ascii="宋体" w:hAnsi="宋体" w:cs="宋体"/>
          <w:color w:val="000000" w:themeColor="text1"/>
          <w:szCs w:val="21"/>
          <w14:textFill>
            <w14:solidFill>
              <w14:schemeClr w14:val="tx1"/>
            </w14:solidFill>
          </w14:textFill>
        </w:rPr>
        <w:t>院区管理质量、工作效率，持续推进智慧医院建设，助力医院高质量发展。具体采购内容如下：</w:t>
      </w:r>
    </w:p>
    <w:p>
      <w:pPr>
        <w:numPr>
          <w:ilvl w:val="0"/>
          <w:numId w:val="2"/>
        </w:numPr>
        <w:spacing w:line="360" w:lineRule="auto"/>
        <w:rPr>
          <w:rFonts w:hint="eastAsia" w:ascii="宋体" w:hAnsi="宋体" w:cs="宋体"/>
          <w:b/>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项目实施要求</w:t>
      </w:r>
    </w:p>
    <w:p>
      <w:pPr>
        <w:widowControl/>
        <w:spacing w:line="360" w:lineRule="auto"/>
        <w:ind w:firstLine="420" w:firstLineChars="200"/>
        <w:textAlignment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实施周期：</w:t>
      </w:r>
      <w:r>
        <w:rPr>
          <w:rFonts w:hint="eastAsia" w:ascii="宋体" w:hAnsi="宋体" w:cs="宋体"/>
          <w:color w:val="000000" w:themeColor="text1"/>
          <w:szCs w:val="21"/>
          <w:highlight w:val="none"/>
          <w:lang w:eastAsia="zh-CN"/>
          <w14:textFill>
            <w14:solidFill>
              <w14:schemeClr w14:val="tx1"/>
            </w14:solidFill>
          </w14:textFill>
        </w:rPr>
        <w:t>自合同签订之日起90天内完成项目建设及初验，试运行1个月后进行终验。</w:t>
      </w:r>
    </w:p>
    <w:p>
      <w:pPr>
        <w:widowControl/>
        <w:spacing w:line="360" w:lineRule="auto"/>
        <w:ind w:firstLine="420" w:firstLineChars="200"/>
        <w:textAlignment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团队人员要求：供应商须配置项目负责人1名，并配备与本项目专业相关的技术力量。</w:t>
      </w:r>
    </w:p>
    <w:p>
      <w:pPr>
        <w:spacing w:line="360" w:lineRule="auto"/>
        <w:rPr>
          <w:rFonts w:hint="eastAsia"/>
          <w:color w:val="000000" w:themeColor="text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项目建设需求</w:t>
      </w:r>
    </w:p>
    <w:p>
      <w:pPr>
        <w:spacing w:line="360" w:lineRule="auto"/>
        <w:rPr>
          <w:rFonts w:hint="eastAsia"/>
          <w:color w:val="000000" w:themeColor="text1"/>
          <w:highlight w:val="none"/>
          <w:lang w:val="en-US" w:eastAsia="zh-CN"/>
          <w14:textFill>
            <w14:solidFill>
              <w14:schemeClr w14:val="tx1"/>
            </w14:solidFill>
          </w14:textFill>
        </w:rPr>
      </w:pPr>
      <w:r>
        <w:rPr>
          <w:rFonts w:hint="eastAsia" w:ascii="宋体" w:hAnsi="宋体" w:eastAsia="宋体" w:cs="宋体"/>
          <w:b/>
          <w:color w:val="000000" w:themeColor="text1"/>
          <w:szCs w:val="21"/>
          <w:highlight w:val="none"/>
          <w:lang w:val="en-US" w:eastAsia="zh-CN"/>
          <w14:textFill>
            <w14:solidFill>
              <w14:schemeClr w14:val="tx1"/>
            </w14:solidFill>
          </w14:textFill>
        </w:rPr>
        <w:t>（一）</w:t>
      </w:r>
      <w:bookmarkStart w:id="27" w:name="_Toc489893283"/>
      <w:bookmarkEnd w:id="27"/>
      <w:bookmarkStart w:id="28" w:name="_Toc489892115"/>
      <w:bookmarkEnd w:id="28"/>
      <w:bookmarkStart w:id="29" w:name="_Toc489892118"/>
      <w:bookmarkEnd w:id="29"/>
      <w:bookmarkStart w:id="30" w:name="_Toc489896321"/>
      <w:bookmarkEnd w:id="30"/>
      <w:bookmarkStart w:id="31" w:name="_Toc489896017"/>
      <w:bookmarkEnd w:id="31"/>
      <w:bookmarkStart w:id="32" w:name="_Toc489889770"/>
      <w:bookmarkEnd w:id="32"/>
      <w:bookmarkStart w:id="33" w:name="_Toc489892403"/>
      <w:bookmarkEnd w:id="33"/>
      <w:bookmarkStart w:id="34" w:name="_Toc489893864"/>
      <w:bookmarkEnd w:id="34"/>
      <w:bookmarkStart w:id="35" w:name="_Toc490555531"/>
      <w:bookmarkEnd w:id="35"/>
      <w:bookmarkStart w:id="36" w:name="_Toc489896019"/>
      <w:bookmarkEnd w:id="36"/>
      <w:bookmarkStart w:id="37" w:name="_Toc489893862"/>
      <w:bookmarkEnd w:id="37"/>
      <w:bookmarkStart w:id="38" w:name="_Toc489890651"/>
      <w:bookmarkEnd w:id="38"/>
      <w:bookmarkStart w:id="39" w:name="_Toc489005526"/>
      <w:bookmarkEnd w:id="39"/>
      <w:bookmarkStart w:id="40" w:name="_Toc489889476"/>
      <w:bookmarkEnd w:id="40"/>
      <w:bookmarkStart w:id="41" w:name="_Toc489896906"/>
      <w:bookmarkEnd w:id="41"/>
      <w:bookmarkStart w:id="42" w:name="_Toc489893863"/>
      <w:bookmarkEnd w:id="42"/>
      <w:bookmarkStart w:id="43" w:name="_Toc489896616"/>
      <w:bookmarkEnd w:id="43"/>
      <w:bookmarkStart w:id="44" w:name="_Toc489005144"/>
      <w:bookmarkEnd w:id="44"/>
      <w:bookmarkStart w:id="45" w:name="_Toc489893568"/>
      <w:bookmarkEnd w:id="45"/>
      <w:bookmarkStart w:id="46" w:name="_Toc489890057"/>
      <w:bookmarkEnd w:id="46"/>
      <w:bookmarkStart w:id="47" w:name="_Toc489896904"/>
      <w:bookmarkEnd w:id="47"/>
      <w:bookmarkStart w:id="48" w:name="_Toc489893867"/>
      <w:bookmarkEnd w:id="48"/>
      <w:bookmarkStart w:id="49" w:name="_Toc489893865"/>
      <w:bookmarkEnd w:id="49"/>
      <w:bookmarkStart w:id="50" w:name="_Toc489890939"/>
      <w:bookmarkEnd w:id="50"/>
      <w:bookmarkStart w:id="51" w:name="_Toc21475947"/>
      <w:bookmarkEnd w:id="51"/>
      <w:bookmarkStart w:id="52" w:name="_Toc21476786"/>
      <w:bookmarkEnd w:id="52"/>
      <w:bookmarkStart w:id="53" w:name="_Toc432424164"/>
      <w:bookmarkEnd w:id="53"/>
      <w:bookmarkStart w:id="54" w:name="_Toc489896610"/>
      <w:bookmarkEnd w:id="54"/>
      <w:bookmarkStart w:id="55" w:name="_Toc21476504"/>
      <w:bookmarkEnd w:id="55"/>
      <w:bookmarkStart w:id="56" w:name="_Toc489896318"/>
      <w:bookmarkEnd w:id="56"/>
      <w:bookmarkStart w:id="57" w:name="_Toc489890061"/>
      <w:bookmarkEnd w:id="57"/>
      <w:bookmarkStart w:id="58" w:name="_Toc489890650"/>
      <w:bookmarkEnd w:id="58"/>
      <w:bookmarkStart w:id="59" w:name="_Toc489892696"/>
      <w:bookmarkEnd w:id="59"/>
      <w:bookmarkStart w:id="60" w:name="_Toc489896905"/>
      <w:bookmarkEnd w:id="60"/>
      <w:bookmarkStart w:id="61" w:name="_Toc489029152"/>
      <w:bookmarkEnd w:id="61"/>
      <w:bookmarkStart w:id="62" w:name="_Toc489890060"/>
      <w:bookmarkEnd w:id="62"/>
      <w:bookmarkStart w:id="63" w:name="_Toc489029151"/>
      <w:bookmarkEnd w:id="63"/>
      <w:bookmarkStart w:id="64" w:name="_Toc489896907"/>
      <w:bookmarkEnd w:id="64"/>
      <w:bookmarkStart w:id="65" w:name="_Toc489896612"/>
      <w:bookmarkEnd w:id="65"/>
      <w:bookmarkStart w:id="66" w:name="_Toc489893282"/>
      <w:bookmarkEnd w:id="66"/>
      <w:bookmarkStart w:id="67" w:name="_Toc489893572"/>
      <w:bookmarkEnd w:id="67"/>
      <w:bookmarkStart w:id="68" w:name="_Toc489893570"/>
      <w:bookmarkEnd w:id="68"/>
      <w:bookmarkStart w:id="69" w:name="_Toc489892987"/>
      <w:bookmarkEnd w:id="69"/>
      <w:bookmarkStart w:id="70" w:name="_Toc489896609"/>
      <w:bookmarkEnd w:id="70"/>
      <w:bookmarkStart w:id="71" w:name="_Toc489890058"/>
      <w:bookmarkEnd w:id="71"/>
      <w:bookmarkStart w:id="72" w:name="_Toc489889475"/>
      <w:bookmarkEnd w:id="72"/>
      <w:bookmarkStart w:id="73" w:name="_Toc490500730"/>
      <w:bookmarkEnd w:id="73"/>
      <w:bookmarkStart w:id="74" w:name="_Toc489894160"/>
      <w:bookmarkEnd w:id="74"/>
      <w:bookmarkStart w:id="75" w:name="_Toc489893868"/>
      <w:bookmarkEnd w:id="75"/>
      <w:bookmarkStart w:id="76" w:name="_Toc489896316"/>
      <w:bookmarkEnd w:id="76"/>
      <w:bookmarkStart w:id="77" w:name="_Toc489896018"/>
      <w:bookmarkEnd w:id="77"/>
      <w:bookmarkStart w:id="78" w:name="_Toc489891234"/>
      <w:bookmarkEnd w:id="78"/>
      <w:bookmarkStart w:id="79" w:name="_Toc489889765"/>
      <w:bookmarkEnd w:id="79"/>
      <w:bookmarkStart w:id="80" w:name="_Toc489894158"/>
      <w:bookmarkEnd w:id="80"/>
      <w:bookmarkStart w:id="81" w:name="_Toc489896016"/>
      <w:bookmarkEnd w:id="81"/>
      <w:bookmarkStart w:id="82" w:name="_Toc489889478"/>
      <w:bookmarkEnd w:id="82"/>
      <w:bookmarkStart w:id="83" w:name="_Toc489891229"/>
      <w:bookmarkEnd w:id="83"/>
      <w:bookmarkStart w:id="84" w:name="_Toc489890941"/>
      <w:bookmarkEnd w:id="84"/>
      <w:bookmarkStart w:id="85" w:name="_Toc489896314"/>
      <w:bookmarkEnd w:id="85"/>
      <w:bookmarkStart w:id="86" w:name="_Toc489893866"/>
      <w:bookmarkEnd w:id="86"/>
      <w:bookmarkStart w:id="87" w:name="_Toc489890062"/>
      <w:bookmarkEnd w:id="87"/>
      <w:bookmarkStart w:id="88" w:name="_Toc489029155"/>
      <w:bookmarkEnd w:id="88"/>
      <w:bookmarkStart w:id="89" w:name="_Toc489889477"/>
      <w:bookmarkEnd w:id="89"/>
      <w:bookmarkStart w:id="90" w:name="_Toc489892698"/>
      <w:bookmarkEnd w:id="90"/>
      <w:bookmarkStart w:id="91" w:name="_Toc489896613"/>
      <w:bookmarkEnd w:id="91"/>
      <w:bookmarkStart w:id="92" w:name="_Toc489892694"/>
      <w:bookmarkEnd w:id="92"/>
      <w:bookmarkStart w:id="93" w:name="_Toc489892989"/>
      <w:bookmarkEnd w:id="93"/>
      <w:bookmarkStart w:id="94" w:name="_Toc488241546"/>
      <w:bookmarkEnd w:id="94"/>
      <w:bookmarkStart w:id="95" w:name="_Toc489890653"/>
      <w:bookmarkEnd w:id="95"/>
      <w:bookmarkStart w:id="96" w:name="_Toc489896909"/>
      <w:bookmarkEnd w:id="96"/>
      <w:bookmarkStart w:id="97" w:name="_Toc489893277"/>
      <w:bookmarkEnd w:id="97"/>
      <w:bookmarkStart w:id="98" w:name="_Toc489892119"/>
      <w:bookmarkEnd w:id="98"/>
      <w:bookmarkStart w:id="99" w:name="_Toc489892988"/>
      <w:bookmarkEnd w:id="99"/>
      <w:bookmarkStart w:id="100" w:name="_Toc489889767"/>
      <w:bookmarkEnd w:id="100"/>
      <w:bookmarkStart w:id="101" w:name="_Toc489893280"/>
      <w:bookmarkEnd w:id="101"/>
      <w:bookmarkStart w:id="102" w:name="_Toc490555454"/>
      <w:bookmarkEnd w:id="102"/>
      <w:bookmarkStart w:id="103" w:name="_Toc489896013"/>
      <w:bookmarkEnd w:id="103"/>
      <w:bookmarkStart w:id="104" w:name="_Toc489892699"/>
      <w:bookmarkEnd w:id="104"/>
      <w:bookmarkStart w:id="105" w:name="_Toc489889766"/>
      <w:bookmarkEnd w:id="105"/>
      <w:bookmarkStart w:id="106" w:name="_Toc489892991"/>
      <w:bookmarkEnd w:id="106"/>
      <w:bookmarkStart w:id="107" w:name="_Toc489896615"/>
      <w:bookmarkEnd w:id="107"/>
      <w:bookmarkStart w:id="108" w:name="_Toc489896317"/>
      <w:bookmarkEnd w:id="108"/>
      <w:bookmarkStart w:id="109" w:name="_Toc489896320"/>
      <w:bookmarkEnd w:id="109"/>
      <w:bookmarkStart w:id="110" w:name="_Toc489892700"/>
      <w:bookmarkEnd w:id="110"/>
      <w:bookmarkStart w:id="111" w:name="_Toc489005527"/>
      <w:bookmarkEnd w:id="111"/>
      <w:bookmarkStart w:id="112" w:name="_Toc489892992"/>
      <w:bookmarkEnd w:id="112"/>
      <w:bookmarkStart w:id="113" w:name="_Toc489896021"/>
      <w:bookmarkEnd w:id="113"/>
      <w:bookmarkStart w:id="114" w:name="_Toc489890649"/>
      <w:bookmarkEnd w:id="114"/>
      <w:bookmarkStart w:id="115" w:name="_Toc489892404"/>
      <w:bookmarkEnd w:id="115"/>
      <w:bookmarkStart w:id="116" w:name="_Toc489891825"/>
      <w:bookmarkEnd w:id="116"/>
      <w:bookmarkStart w:id="117" w:name="_Toc489896014"/>
      <w:bookmarkEnd w:id="117"/>
      <w:bookmarkStart w:id="118" w:name="_Toc489894159"/>
      <w:bookmarkEnd w:id="118"/>
      <w:bookmarkStart w:id="119" w:name="_Toc489890940"/>
      <w:bookmarkEnd w:id="119"/>
      <w:bookmarkStart w:id="120" w:name="_Toc21478163"/>
      <w:bookmarkEnd w:id="120"/>
      <w:bookmarkStart w:id="121" w:name="_Toc489893569"/>
      <w:bookmarkEnd w:id="121"/>
      <w:bookmarkStart w:id="122" w:name="_Toc489893571"/>
      <w:bookmarkEnd w:id="122"/>
      <w:bookmarkStart w:id="123" w:name="_Toc489890059"/>
      <w:bookmarkEnd w:id="123"/>
      <w:bookmarkStart w:id="124" w:name="_Toc489896322"/>
      <w:bookmarkEnd w:id="124"/>
      <w:bookmarkStart w:id="125" w:name="_Toc489891230"/>
      <w:bookmarkEnd w:id="125"/>
      <w:bookmarkStart w:id="126" w:name="_Toc489896617"/>
      <w:bookmarkEnd w:id="126"/>
      <w:bookmarkStart w:id="127" w:name="_Toc489891822"/>
      <w:bookmarkEnd w:id="127"/>
      <w:bookmarkStart w:id="128" w:name="_Toc489892113"/>
      <w:bookmarkEnd w:id="128"/>
      <w:bookmarkStart w:id="129" w:name="_Toc489891824"/>
      <w:bookmarkEnd w:id="129"/>
      <w:bookmarkStart w:id="130" w:name="_Toc489894162"/>
      <w:bookmarkEnd w:id="130"/>
      <w:bookmarkStart w:id="131" w:name="_Toc489891232"/>
      <w:bookmarkEnd w:id="131"/>
      <w:bookmarkStart w:id="132" w:name="_Toc489891826"/>
      <w:bookmarkEnd w:id="132"/>
      <w:bookmarkStart w:id="133" w:name="_Toc489896911"/>
      <w:bookmarkEnd w:id="133"/>
      <w:bookmarkStart w:id="134" w:name="_Toc489029150"/>
      <w:bookmarkEnd w:id="134"/>
      <w:bookmarkStart w:id="135" w:name="_Toc489894161"/>
      <w:bookmarkEnd w:id="135"/>
      <w:bookmarkStart w:id="136" w:name="_Toc489029153"/>
      <w:bookmarkEnd w:id="136"/>
      <w:bookmarkStart w:id="137" w:name="_Toc489892405"/>
      <w:bookmarkEnd w:id="137"/>
      <w:bookmarkStart w:id="138" w:name="_Toc489891823"/>
      <w:bookmarkEnd w:id="138"/>
      <w:bookmarkStart w:id="139" w:name="_Toc489891828"/>
      <w:bookmarkEnd w:id="139"/>
      <w:bookmarkStart w:id="140" w:name="_Toc489891827"/>
      <w:bookmarkEnd w:id="140"/>
      <w:bookmarkStart w:id="141" w:name="_Toc489896908"/>
      <w:bookmarkEnd w:id="141"/>
      <w:bookmarkStart w:id="142" w:name="_Toc485810874"/>
      <w:bookmarkEnd w:id="142"/>
      <w:bookmarkStart w:id="143" w:name="_Toc21428650"/>
      <w:bookmarkEnd w:id="143"/>
      <w:bookmarkStart w:id="144" w:name="_Toc489893278"/>
      <w:bookmarkEnd w:id="144"/>
      <w:bookmarkStart w:id="145" w:name="_Toc489896319"/>
      <w:bookmarkEnd w:id="145"/>
      <w:bookmarkStart w:id="146" w:name="_Toc489896912"/>
      <w:bookmarkEnd w:id="146"/>
      <w:bookmarkStart w:id="147" w:name="_Toc489891233"/>
      <w:bookmarkEnd w:id="147"/>
      <w:bookmarkStart w:id="148" w:name="_Toc489896910"/>
      <w:bookmarkEnd w:id="148"/>
      <w:bookmarkStart w:id="149" w:name="_Toc489891231"/>
      <w:bookmarkEnd w:id="149"/>
      <w:bookmarkStart w:id="150" w:name="_Toc489894163"/>
      <w:bookmarkEnd w:id="150"/>
      <w:bookmarkStart w:id="151" w:name="_Toc489029154"/>
      <w:bookmarkEnd w:id="151"/>
      <w:bookmarkStart w:id="152" w:name="_Toc489889769"/>
      <w:bookmarkEnd w:id="152"/>
      <w:bookmarkStart w:id="153" w:name="_Toc489029149"/>
      <w:bookmarkEnd w:id="153"/>
      <w:bookmarkStart w:id="154" w:name="_Toc489889768"/>
      <w:bookmarkEnd w:id="154"/>
      <w:bookmarkStart w:id="155" w:name="_Toc489889479"/>
      <w:bookmarkEnd w:id="155"/>
      <w:bookmarkStart w:id="156" w:name="_Toc489896614"/>
      <w:bookmarkEnd w:id="156"/>
      <w:bookmarkStart w:id="157" w:name="_Toc489892990"/>
      <w:bookmarkEnd w:id="157"/>
      <w:bookmarkStart w:id="158" w:name="_Toc489896020"/>
      <w:bookmarkEnd w:id="158"/>
      <w:bookmarkStart w:id="159" w:name="_Toc489890943"/>
      <w:bookmarkEnd w:id="159"/>
      <w:bookmarkStart w:id="160" w:name="_Toc489894157"/>
      <w:bookmarkEnd w:id="160"/>
      <w:bookmarkStart w:id="161" w:name="_Toc489892986"/>
      <w:bookmarkEnd w:id="161"/>
      <w:bookmarkStart w:id="162" w:name="_Toc490500523"/>
      <w:bookmarkEnd w:id="162"/>
      <w:bookmarkStart w:id="163" w:name="_Toc489893573"/>
      <w:bookmarkEnd w:id="163"/>
      <w:bookmarkStart w:id="164" w:name="_Toc21419557"/>
      <w:bookmarkEnd w:id="164"/>
      <w:bookmarkStart w:id="165" w:name="_Toc21475776"/>
      <w:bookmarkEnd w:id="165"/>
      <w:bookmarkStart w:id="166" w:name="_Toc489892697"/>
      <w:bookmarkEnd w:id="166"/>
      <w:bookmarkStart w:id="167" w:name="_Toc489891228"/>
      <w:bookmarkEnd w:id="167"/>
      <w:bookmarkStart w:id="168" w:name="_Toc489892407"/>
      <w:bookmarkEnd w:id="168"/>
      <w:bookmarkStart w:id="169" w:name="_Toc489896611"/>
      <w:bookmarkEnd w:id="169"/>
      <w:bookmarkStart w:id="170" w:name="_Toc489893281"/>
      <w:bookmarkEnd w:id="170"/>
      <w:bookmarkStart w:id="171" w:name="_Toc489890942"/>
      <w:bookmarkEnd w:id="171"/>
      <w:bookmarkStart w:id="172" w:name="_Toc489892114"/>
      <w:bookmarkEnd w:id="172"/>
      <w:bookmarkStart w:id="173" w:name="_Toc489892117"/>
      <w:bookmarkEnd w:id="173"/>
      <w:bookmarkStart w:id="174" w:name="_Toc489892409"/>
      <w:bookmarkEnd w:id="174"/>
      <w:bookmarkStart w:id="175" w:name="_Toc489896315"/>
      <w:bookmarkEnd w:id="175"/>
      <w:bookmarkStart w:id="176" w:name="_Toc21428473"/>
      <w:bookmarkEnd w:id="176"/>
      <w:bookmarkStart w:id="177" w:name="_Toc485814791"/>
      <w:bookmarkEnd w:id="177"/>
      <w:bookmarkStart w:id="178" w:name="_Toc21423161"/>
      <w:bookmarkEnd w:id="178"/>
      <w:bookmarkStart w:id="179" w:name="_Toc489890652"/>
      <w:bookmarkEnd w:id="179"/>
      <w:bookmarkStart w:id="180" w:name="_Toc489893279"/>
      <w:bookmarkEnd w:id="180"/>
      <w:bookmarkStart w:id="181" w:name="_Toc489892695"/>
      <w:bookmarkEnd w:id="181"/>
      <w:bookmarkStart w:id="182" w:name="_Toc489896015"/>
      <w:bookmarkEnd w:id="182"/>
      <w:bookmarkStart w:id="183" w:name="_Toc489890648"/>
      <w:bookmarkEnd w:id="183"/>
      <w:bookmarkStart w:id="184" w:name="_Toc489005145"/>
      <w:bookmarkEnd w:id="184"/>
      <w:bookmarkStart w:id="185" w:name="_Toc489889480"/>
      <w:bookmarkEnd w:id="185"/>
      <w:bookmarkStart w:id="186" w:name="_Toc489893567"/>
      <w:bookmarkEnd w:id="186"/>
      <w:bookmarkStart w:id="187" w:name="_Toc489892408"/>
      <w:bookmarkEnd w:id="187"/>
      <w:bookmarkStart w:id="188" w:name="_Toc489890938"/>
      <w:bookmarkEnd w:id="188"/>
      <w:bookmarkStart w:id="189" w:name="_Toc489892116"/>
      <w:bookmarkEnd w:id="189"/>
      <w:bookmarkStart w:id="190" w:name="_Toc489892406"/>
      <w:bookmarkEnd w:id="190"/>
      <w:r>
        <w:rPr>
          <w:rFonts w:hint="eastAsia" w:ascii="宋体" w:hAnsi="宋体" w:eastAsia="宋体" w:cs="宋体"/>
          <w:b/>
          <w:color w:val="000000" w:themeColor="text1"/>
          <w:szCs w:val="21"/>
          <w:highlight w:val="none"/>
          <w:lang w:val="en-US" w:eastAsia="zh-CN"/>
          <w14:textFill>
            <w14:solidFill>
              <w14:schemeClr w14:val="tx1"/>
            </w14:solidFill>
          </w14:textFill>
        </w:rPr>
        <w:t>建设内容主要为：</w:t>
      </w:r>
    </w:p>
    <w:tbl>
      <w:tblPr>
        <w:tblStyle w:val="51"/>
        <w:tblW w:w="9354" w:type="dxa"/>
        <w:jc w:val="center"/>
        <w:tblLayout w:type="autofit"/>
        <w:tblCellMar>
          <w:top w:w="0" w:type="dxa"/>
          <w:left w:w="0" w:type="dxa"/>
          <w:bottom w:w="0" w:type="dxa"/>
          <w:right w:w="0" w:type="dxa"/>
        </w:tblCellMar>
      </w:tblPr>
      <w:tblGrid>
        <w:gridCol w:w="498"/>
        <w:gridCol w:w="1367"/>
        <w:gridCol w:w="705"/>
        <w:gridCol w:w="795"/>
        <w:gridCol w:w="2568"/>
        <w:gridCol w:w="2307"/>
        <w:gridCol w:w="1114"/>
      </w:tblGrid>
      <w:tr>
        <w:tblPrEx>
          <w:tblCellMar>
            <w:top w:w="0" w:type="dxa"/>
            <w:left w:w="0" w:type="dxa"/>
            <w:bottom w:w="0" w:type="dxa"/>
            <w:right w:w="0" w:type="dxa"/>
          </w:tblCellMar>
        </w:tblPrEx>
        <w:trPr>
          <w:trHeight w:val="454" w:hRule="atLeast"/>
          <w:tblHeader/>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序号</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名称</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数量</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单位</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建设内容</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备注</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lang w:val="en-US" w:eastAsia="zh-CN"/>
                <w14:textFill>
                  <w14:solidFill>
                    <w14:schemeClr w14:val="tx1"/>
                  </w14:solidFill>
                </w14:textFill>
              </w:rPr>
              <w:t>投标响应</w:t>
            </w: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1</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护理PDA</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250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病区护理PDA</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2</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移动护理车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49</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病区移动护理车</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3</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智慧交互屏</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36</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病区护士站智能交互屏</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4</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移动终端安全扩充点位加更新设备</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套</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移动终端安全扩充点位加更新设备 （1</w:t>
            </w:r>
            <w:r>
              <w:rPr>
                <w:rFonts w:hint="eastAsia" w:asciiTheme="minorEastAsia" w:hAnsiTheme="minorEastAsia" w:eastAsiaTheme="minorEastAsia" w:cstheme="minorEastAsia"/>
                <w:color w:val="000000" w:themeColor="text1"/>
                <w:sz w:val="21"/>
                <w:szCs w:val="21"/>
                <w:lang w:eastAsia="zh-Hans" w:bidi="en-US"/>
                <w14:textFill>
                  <w14:solidFill>
                    <w14:schemeClr w14:val="tx1"/>
                  </w14:solidFill>
                </w14:textFill>
              </w:rPr>
              <w:t>500</w:t>
            </w:r>
            <w:r>
              <w:rPr>
                <w:rFonts w:hint="eastAsia" w:asciiTheme="minorEastAsia" w:hAnsiTheme="minorEastAsia" w:eastAsiaTheme="minorEastAsia" w:cstheme="minorEastAsia"/>
                <w:color w:val="000000" w:themeColor="text1"/>
                <w:sz w:val="21"/>
                <w:szCs w:val="21"/>
                <w:lang w:val="en-US" w:eastAsia="zh-Hans" w:bidi="en-US"/>
                <w14:textFill>
                  <w14:solidFill>
                    <w14:schemeClr w14:val="tx1"/>
                  </w14:solidFill>
                </w14:textFill>
              </w:rPr>
              <w:t>个移动终端</w:t>
            </w:r>
            <w:r>
              <w:rPr>
                <w:rFonts w:hint="eastAsia" w:asciiTheme="minorEastAsia" w:hAnsiTheme="minorEastAsia" w:eastAsiaTheme="minorEastAsia" w:cstheme="minorEastAsia"/>
                <w:color w:val="000000" w:themeColor="text1"/>
                <w:sz w:val="21"/>
                <w:szCs w:val="21"/>
                <w:lang w:val="en-US" w:eastAsia="zh-CN" w:bidi="en-US"/>
                <w14:textFill>
                  <w14:solidFill>
                    <w14:schemeClr w14:val="tx1"/>
                  </w14:solidFill>
                </w14:textFill>
              </w:rPr>
              <w:t>授权</w:t>
            </w:r>
            <w:r>
              <w:rPr>
                <w:rFonts w:hint="eastAsia" w:asciiTheme="minorEastAsia" w:hAnsiTheme="minorEastAsia" w:eastAsiaTheme="minorEastAsia" w:cstheme="minorEastAsia"/>
                <w:color w:val="000000" w:themeColor="text1"/>
                <w:sz w:val="21"/>
                <w:szCs w:val="21"/>
                <w:lang w:val="en-US" w:eastAsia="zh-Hans" w:bidi="en-US"/>
                <w14:textFill>
                  <w14:solidFill>
                    <w14:schemeClr w14:val="tx1"/>
                  </w14:solidFill>
                </w14:textFill>
              </w:rPr>
              <w:t>管控许可</w:t>
            </w: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5</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全局负载均衡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台</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全局负载均衡</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6</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容灾备份系统（虚拟化）的扩容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个</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容灾备份系统（虚拟化）的扩容</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7</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服务器防病毒系统</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套</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服务器防病毒系统</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8</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数据中心网络扩容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套</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数据中心网络扩容</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包含2台园区核心交换机</w:t>
            </w: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(核心产品)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、2台ED边缘交换机、2台DC核心交换机、2台服务器汇聚交换机、2台DC南北向防火墙、2台园区容灾交换机。（包含光模块和ADDC软件）</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9</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楼层网络扩容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套</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楼层网络扩容</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包含2台48口汇聚交换机、2台24口汇聚交换机、32台48口接入交换机、27台24口接入交换机、10台POE交换机。（包含光模块和光转电模块）</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widowControl/>
        <w:spacing w:line="360" w:lineRule="auto"/>
        <w:ind w:firstLine="420" w:firstLineChars="200"/>
        <w:textAlignment w:val="center"/>
        <w:rPr>
          <w:rFonts w:hint="default" w:ascii="宋体" w:hAnsi="宋体" w:eastAsia="宋体" w:cs="宋体"/>
          <w:color w:val="000000" w:themeColor="text1"/>
          <w:szCs w:val="21"/>
          <w:highlight w:val="none"/>
          <w:lang w:val="en-US" w:eastAsia="zh-CN"/>
          <w14:textFill>
            <w14:solidFill>
              <w14:schemeClr w14:val="tx1"/>
            </w14:solidFill>
          </w14:textFill>
        </w:rPr>
      </w:pPr>
    </w:p>
    <w:p>
      <w:pPr>
        <w:spacing w:line="360" w:lineRule="auto"/>
        <w:rPr>
          <w:rFonts w:hint="eastAsia" w:ascii="宋体" w:hAnsi="宋体" w:eastAsia="宋体" w:cs="宋体"/>
          <w:b/>
          <w:color w:val="000000" w:themeColor="text1"/>
          <w:szCs w:val="21"/>
          <w:highlight w:val="none"/>
          <w:lang w:val="en-US" w:eastAsia="zh-CN"/>
          <w14:textFill>
            <w14:solidFill>
              <w14:schemeClr w14:val="tx1"/>
            </w14:solidFill>
          </w14:textFill>
        </w:rPr>
      </w:pPr>
      <w:bookmarkStart w:id="191" w:name="_Toc490500452"/>
      <w:bookmarkEnd w:id="191"/>
      <w:bookmarkStart w:id="192" w:name="_Toc490212832"/>
      <w:bookmarkEnd w:id="192"/>
      <w:bookmarkStart w:id="193" w:name="_Toc21621384"/>
      <w:bookmarkEnd w:id="193"/>
      <w:bookmarkStart w:id="194" w:name="_Toc489896329"/>
      <w:bookmarkEnd w:id="194"/>
      <w:bookmarkStart w:id="195" w:name="_Toc21476791"/>
      <w:bookmarkEnd w:id="195"/>
      <w:bookmarkStart w:id="196" w:name="_Toc490500528"/>
      <w:bookmarkEnd w:id="196"/>
      <w:bookmarkStart w:id="197" w:name="_Toc489890065"/>
      <w:bookmarkEnd w:id="197"/>
      <w:bookmarkStart w:id="198" w:name="_Toc490499849"/>
      <w:bookmarkEnd w:id="198"/>
      <w:bookmarkStart w:id="199" w:name="_Toc489891237"/>
      <w:bookmarkEnd w:id="199"/>
      <w:bookmarkStart w:id="200" w:name="_Toc489896919"/>
      <w:bookmarkEnd w:id="200"/>
      <w:bookmarkStart w:id="201" w:name="_Toc482277784"/>
      <w:bookmarkEnd w:id="201"/>
      <w:bookmarkStart w:id="202" w:name="_Toc21428478"/>
      <w:bookmarkEnd w:id="202"/>
      <w:bookmarkStart w:id="203" w:name="_Toc489896624"/>
      <w:bookmarkEnd w:id="203"/>
      <w:bookmarkStart w:id="204" w:name="_Toc489892122"/>
      <w:bookmarkEnd w:id="204"/>
      <w:bookmarkStart w:id="205" w:name="_Toc490500450"/>
      <w:bookmarkEnd w:id="205"/>
      <w:bookmarkStart w:id="206" w:name="_Toc489892995"/>
      <w:bookmarkEnd w:id="206"/>
      <w:bookmarkStart w:id="207" w:name="_Toc490244014"/>
      <w:bookmarkEnd w:id="207"/>
      <w:bookmarkStart w:id="208" w:name="_Toc21621551"/>
      <w:bookmarkEnd w:id="208"/>
      <w:bookmarkStart w:id="209" w:name="_Toc485814794"/>
      <w:bookmarkEnd w:id="209"/>
      <w:bookmarkStart w:id="210" w:name="_Toc488241549"/>
      <w:bookmarkEnd w:id="210"/>
      <w:bookmarkStart w:id="211" w:name="_Toc484684803"/>
      <w:bookmarkEnd w:id="211"/>
      <w:bookmarkStart w:id="212" w:name="_Toc490500531"/>
      <w:bookmarkEnd w:id="212"/>
      <w:bookmarkStart w:id="213" w:name="_Toc490555459"/>
      <w:bookmarkEnd w:id="213"/>
      <w:bookmarkStart w:id="214" w:name="_Toc489893875"/>
      <w:bookmarkEnd w:id="214"/>
      <w:bookmarkStart w:id="215" w:name="_Toc490244734"/>
      <w:bookmarkEnd w:id="215"/>
      <w:bookmarkStart w:id="216" w:name="_Toc489892996"/>
      <w:bookmarkEnd w:id="216"/>
      <w:bookmarkStart w:id="217" w:name="_Toc490235581"/>
      <w:bookmarkEnd w:id="217"/>
      <w:bookmarkStart w:id="218" w:name="_Toc489896916"/>
      <w:bookmarkEnd w:id="218"/>
      <w:bookmarkStart w:id="219" w:name="_Toc21419562"/>
      <w:bookmarkEnd w:id="219"/>
      <w:bookmarkStart w:id="220" w:name="_Toc489893286"/>
      <w:bookmarkEnd w:id="220"/>
      <w:bookmarkStart w:id="221" w:name="_Toc490244479"/>
      <w:bookmarkEnd w:id="221"/>
      <w:bookmarkStart w:id="222" w:name="_Toc490499851"/>
      <w:bookmarkEnd w:id="222"/>
      <w:bookmarkStart w:id="223" w:name="_Toc490244416"/>
      <w:bookmarkEnd w:id="223"/>
      <w:bookmarkStart w:id="224" w:name="_Toc489893580"/>
      <w:bookmarkEnd w:id="224"/>
      <w:bookmarkStart w:id="225" w:name="_Toc490555536"/>
      <w:bookmarkEnd w:id="225"/>
      <w:bookmarkStart w:id="226" w:name="_Toc21428655"/>
      <w:bookmarkEnd w:id="226"/>
      <w:bookmarkStart w:id="227" w:name="_Toc21478168"/>
      <w:bookmarkEnd w:id="227"/>
      <w:bookmarkStart w:id="228" w:name="_Toc21419564"/>
      <w:bookmarkEnd w:id="228"/>
      <w:bookmarkStart w:id="229" w:name="_Toc489890946"/>
      <w:bookmarkEnd w:id="229"/>
      <w:bookmarkStart w:id="230" w:name="_Toc490555538"/>
      <w:bookmarkEnd w:id="230"/>
      <w:bookmarkStart w:id="231" w:name="_Toc490235583"/>
      <w:bookmarkEnd w:id="231"/>
      <w:bookmarkStart w:id="232" w:name="_Toc490243924"/>
      <w:bookmarkEnd w:id="232"/>
      <w:bookmarkStart w:id="233" w:name="_Toc490555539"/>
      <w:bookmarkEnd w:id="233"/>
      <w:bookmarkStart w:id="234" w:name="_Toc489896025"/>
      <w:bookmarkEnd w:id="234"/>
      <w:bookmarkStart w:id="235" w:name="_Toc489893871"/>
      <w:bookmarkEnd w:id="235"/>
      <w:bookmarkStart w:id="236" w:name="_Toc490244414"/>
      <w:bookmarkEnd w:id="236"/>
      <w:bookmarkStart w:id="237" w:name="_Toc489893287"/>
      <w:bookmarkEnd w:id="237"/>
      <w:bookmarkStart w:id="238" w:name="_Toc489891831"/>
      <w:bookmarkEnd w:id="238"/>
      <w:bookmarkStart w:id="239" w:name="_Toc489896028"/>
      <w:bookmarkEnd w:id="239"/>
      <w:bookmarkStart w:id="240" w:name="_Toc489891832"/>
      <w:bookmarkEnd w:id="240"/>
      <w:bookmarkStart w:id="241" w:name="_Toc490555462"/>
      <w:bookmarkEnd w:id="241"/>
      <w:bookmarkStart w:id="242" w:name="_Toc490500737"/>
      <w:bookmarkEnd w:id="242"/>
      <w:bookmarkStart w:id="243" w:name="_Toc490244732"/>
      <w:bookmarkEnd w:id="243"/>
      <w:bookmarkStart w:id="244" w:name="_Toc489889483"/>
      <w:bookmarkEnd w:id="244"/>
      <w:bookmarkStart w:id="245" w:name="_Toc490500530"/>
      <w:bookmarkEnd w:id="245"/>
      <w:bookmarkStart w:id="246" w:name="_Toc489893872"/>
      <w:bookmarkEnd w:id="246"/>
      <w:bookmarkStart w:id="247" w:name="_Toc490244604"/>
      <w:bookmarkEnd w:id="247"/>
      <w:bookmarkStart w:id="248" w:name="_Toc489889773"/>
      <w:bookmarkEnd w:id="248"/>
      <w:bookmarkStart w:id="249" w:name="_Toc489889774"/>
      <w:bookmarkEnd w:id="249"/>
      <w:bookmarkStart w:id="250" w:name="_Toc485810877"/>
      <w:bookmarkEnd w:id="250"/>
      <w:bookmarkStart w:id="251" w:name="_Toc432773944"/>
      <w:bookmarkEnd w:id="251"/>
      <w:bookmarkStart w:id="252" w:name="_Toc21476509"/>
      <w:bookmarkEnd w:id="252"/>
      <w:bookmarkStart w:id="253" w:name="_Toc490219945"/>
      <w:bookmarkEnd w:id="253"/>
      <w:bookmarkStart w:id="254" w:name="_Toc490212834"/>
      <w:bookmarkEnd w:id="254"/>
      <w:bookmarkStart w:id="255" w:name="_Toc490244602"/>
      <w:bookmarkEnd w:id="255"/>
      <w:bookmarkStart w:id="256" w:name="_Toc489892704"/>
      <w:bookmarkEnd w:id="256"/>
      <w:bookmarkStart w:id="257" w:name="_Toc489890657"/>
      <w:bookmarkEnd w:id="257"/>
      <w:bookmarkStart w:id="258" w:name="_Toc489896024"/>
      <w:bookmarkEnd w:id="258"/>
      <w:bookmarkStart w:id="259" w:name="_Toc489890947"/>
      <w:bookmarkEnd w:id="259"/>
      <w:bookmarkStart w:id="260" w:name="_Toc489896621"/>
      <w:bookmarkEnd w:id="260"/>
      <w:bookmarkStart w:id="261" w:name="_Toc490500347"/>
      <w:bookmarkEnd w:id="261"/>
      <w:bookmarkStart w:id="262" w:name="_Toc433555207"/>
      <w:bookmarkEnd w:id="262"/>
      <w:bookmarkStart w:id="263" w:name="_Toc489896326"/>
      <w:bookmarkEnd w:id="263"/>
      <w:bookmarkStart w:id="264" w:name="_Toc489896622"/>
      <w:bookmarkEnd w:id="264"/>
      <w:bookmarkStart w:id="265" w:name="_Toc489892123"/>
      <w:bookmarkEnd w:id="265"/>
      <w:bookmarkStart w:id="266" w:name="_Toc21475952"/>
      <w:bookmarkEnd w:id="266"/>
      <w:bookmarkStart w:id="267" w:name="_Toc489893576"/>
      <w:bookmarkEnd w:id="267"/>
      <w:bookmarkStart w:id="268" w:name="_Toc489892412"/>
      <w:bookmarkEnd w:id="268"/>
      <w:bookmarkStart w:id="269" w:name="_Toc490219947"/>
      <w:bookmarkEnd w:id="269"/>
      <w:bookmarkStart w:id="270" w:name="_Toc489894170"/>
      <w:bookmarkEnd w:id="270"/>
      <w:bookmarkStart w:id="271" w:name="_Toc490500345"/>
      <w:bookmarkEnd w:id="271"/>
      <w:bookmarkStart w:id="272" w:name="_Toc490220022"/>
      <w:bookmarkEnd w:id="272"/>
      <w:bookmarkStart w:id="273" w:name="_Toc489894168"/>
      <w:bookmarkEnd w:id="273"/>
      <w:bookmarkStart w:id="274" w:name="_Toc432773647"/>
      <w:bookmarkEnd w:id="274"/>
      <w:bookmarkStart w:id="275" w:name="_Toc490555461"/>
      <w:bookmarkEnd w:id="275"/>
      <w:bookmarkStart w:id="276" w:name="_Toc489894167"/>
      <w:bookmarkEnd w:id="276"/>
      <w:bookmarkStart w:id="277" w:name="_Toc490500738"/>
      <w:bookmarkEnd w:id="277"/>
      <w:bookmarkStart w:id="278" w:name="_Toc489005148"/>
      <w:bookmarkEnd w:id="278"/>
      <w:bookmarkStart w:id="279" w:name="_Toc489029158"/>
      <w:bookmarkEnd w:id="279"/>
      <w:bookmarkStart w:id="280" w:name="_Toc489894166"/>
      <w:bookmarkEnd w:id="280"/>
      <w:bookmarkStart w:id="281" w:name="_Toc489896620"/>
      <w:bookmarkEnd w:id="281"/>
      <w:bookmarkStart w:id="282" w:name="_Toc490244481"/>
      <w:bookmarkEnd w:id="282"/>
      <w:bookmarkStart w:id="283" w:name="_Toc489896327"/>
      <w:bookmarkEnd w:id="283"/>
      <w:bookmarkStart w:id="284" w:name="_Toc432424168"/>
      <w:bookmarkEnd w:id="284"/>
      <w:bookmarkStart w:id="285" w:name="_Toc489896917"/>
      <w:bookmarkEnd w:id="285"/>
      <w:bookmarkStart w:id="286" w:name="_Toc490244012"/>
      <w:bookmarkEnd w:id="286"/>
      <w:bookmarkStart w:id="287" w:name="_Toc489893577"/>
      <w:bookmarkEnd w:id="287"/>
      <w:bookmarkStart w:id="288" w:name="_Toc490220020"/>
      <w:bookmarkEnd w:id="288"/>
      <w:bookmarkStart w:id="289" w:name="_Toc21419565"/>
      <w:bookmarkEnd w:id="289"/>
      <w:bookmarkStart w:id="290" w:name="_Toc489029159"/>
      <w:bookmarkEnd w:id="290"/>
      <w:bookmarkStart w:id="291" w:name="_Toc489889484"/>
      <w:bookmarkEnd w:id="291"/>
      <w:bookmarkStart w:id="292" w:name="_Toc489890066"/>
      <w:bookmarkEnd w:id="292"/>
      <w:bookmarkStart w:id="293" w:name="_Toc21423168"/>
      <w:bookmarkEnd w:id="293"/>
      <w:bookmarkStart w:id="294" w:name="_Toc489893873"/>
      <w:bookmarkEnd w:id="294"/>
      <w:bookmarkStart w:id="295" w:name="_Toc489892413"/>
      <w:bookmarkEnd w:id="295"/>
      <w:bookmarkStart w:id="296" w:name="_Toc21475781"/>
      <w:bookmarkEnd w:id="296"/>
      <w:bookmarkStart w:id="297" w:name="_Toc490500735"/>
      <w:bookmarkEnd w:id="297"/>
      <w:bookmarkStart w:id="298" w:name="_Toc21423167"/>
      <w:bookmarkEnd w:id="298"/>
      <w:bookmarkStart w:id="299" w:name="_Toc490500453"/>
      <w:bookmarkEnd w:id="299"/>
      <w:bookmarkStart w:id="300" w:name="_Toc489893578"/>
      <w:bookmarkEnd w:id="300"/>
      <w:bookmarkStart w:id="301" w:name="_Toc489896915"/>
      <w:bookmarkEnd w:id="301"/>
      <w:bookmarkStart w:id="302" w:name="_Toc489890656"/>
      <w:bookmarkEnd w:id="302"/>
      <w:bookmarkStart w:id="303" w:name="_Toc489896026"/>
      <w:bookmarkEnd w:id="303"/>
      <w:bookmarkStart w:id="304" w:name="_Toc490500348"/>
      <w:bookmarkEnd w:id="304"/>
      <w:bookmarkStart w:id="305" w:name="_Toc483403711"/>
      <w:bookmarkEnd w:id="305"/>
      <w:bookmarkStart w:id="306" w:name="_Toc489005530"/>
      <w:bookmarkEnd w:id="306"/>
      <w:bookmarkStart w:id="307" w:name="_Toc489892703"/>
      <w:bookmarkEnd w:id="307"/>
      <w:bookmarkStart w:id="308" w:name="_Toc489891238"/>
      <w:bookmarkEnd w:id="308"/>
      <w:bookmarkStart w:id="309" w:name="_Toc490220237"/>
      <w:bookmarkEnd w:id="309"/>
      <w:bookmarkStart w:id="310" w:name="_Toc21623237"/>
      <w:bookmarkEnd w:id="310"/>
      <w:bookmarkStart w:id="311" w:name="_Toc490220235"/>
      <w:bookmarkEnd w:id="311"/>
      <w:bookmarkStart w:id="312" w:name="_Toc490243922"/>
      <w:bookmarkEnd w:id="312"/>
      <w:bookmarkStart w:id="313" w:name="_Toc489896325"/>
      <w:bookmarkEnd w:id="313"/>
      <w:bookmarkStart w:id="314" w:name="_Toc490244737"/>
      <w:bookmarkStart w:id="315" w:name="_Toc490244484"/>
      <w:bookmarkStart w:id="316" w:name="_Toc490244480"/>
      <w:bookmarkStart w:id="317" w:name="_Toc21423166"/>
      <w:bookmarkStart w:id="318" w:name="_Toc490244733"/>
      <w:r>
        <w:rPr>
          <w:rFonts w:hint="eastAsia" w:ascii="宋体" w:hAnsi="宋体" w:eastAsia="宋体" w:cs="宋体"/>
          <w:b/>
          <w:color w:val="000000" w:themeColor="text1"/>
          <w:szCs w:val="21"/>
          <w:highlight w:val="none"/>
          <w:lang w:val="en-US" w:eastAsia="zh-CN"/>
          <w14:textFill>
            <w14:solidFill>
              <w14:schemeClr w14:val="tx1"/>
            </w14:solidFill>
          </w14:textFill>
        </w:rPr>
        <w:t>（二）采购明细表及技术参数要求</w:t>
      </w:r>
    </w:p>
    <w:bookmarkEnd w:id="314"/>
    <w:bookmarkEnd w:id="315"/>
    <w:bookmarkEnd w:id="316"/>
    <w:bookmarkEnd w:id="317"/>
    <w:bookmarkEnd w:id="318"/>
    <w:p>
      <w:pPr>
        <w:keepNext/>
        <w:keepLines/>
        <w:widowControl w:val="0"/>
        <w:numPr>
          <w:ilvl w:val="0"/>
          <w:numId w:val="0"/>
        </w:numPr>
        <w:spacing w:before="260" w:after="260"/>
        <w:ind w:leftChars="0"/>
        <w:jc w:val="both"/>
        <w:outlineLvl w:val="2"/>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 xml:space="preserve">1. </w:t>
      </w: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护理PDA</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85"/>
        <w:gridCol w:w="7000"/>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操作系统</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Android 12及以上。</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CPU</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八核高通处理器、主频≥2.2GHz</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存储</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≥4GB RAM+64GB ROM，支持SD卡扩展至256G ROM</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电池及安装</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≥4500mAh，提供电池CQC认证报告，支持QC3.0快充技术。电池可一键拆卸并更换，无需任何辅助工具，确保后期维护和安装更换方便。</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电池相关认证</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通过CNAS的电池空运，海运运输认证，通过电池CQC认证报告。</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显示屏</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≥5.5寸彩色1440X720多点触控屏，超明亮，阳光下可视。支持湿手和手套模式，耐摔耐划。</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外观尺寸</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采用支持医用酒精及其他消毒剂擦拭消毒的医用白色抑菌外壳，长度&lt;1</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59</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mm，宽度&lt;</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75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mm，厚度&lt;</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mm。正面要求无物理按键，便于清洁消毒和防水防尘，满足医疗环境日常使用。</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外壳材料</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采用支持医用酒精及其他消毒剂擦拭消毒的医用白色抑菌外壳，，可耐受医用酒精、过氧化氢、丙乙醇、次氯酸钠、过氧乙酸等医院常用消毒剂（含屏幕部分）；</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防腐（盐雾）认证</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投标产品通过GB/T 10125-2021防腐（盐雾）检测</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摄像头</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后置≥1600万像素，前置≥800万像素，自动对焦</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条码扫描引擎</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采用高性</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能扫描引擎，采用十字准心对焦提高识别率，支持一维码、二维码、电子屏幕扫描，扫描头和PDA为同一品牌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，同时支持污损残缺条码和避光带扫描。</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扫描引擎补光</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应用白色LED补光技术.可手动调节灯光开启/关闭。</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网络连接</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支持IEEE 802.11 a/b/g/n/ac/ax</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cr/>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ready, 2X2 MU-MIMO，支持WIFI 2.4G及5G频段，通过WIFI联盟认证。</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支持国内三大运营商5G全网通，提供投标产品5G电信设备入网许可证书。</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无线网络安全性</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OPEN, WEP, WPA/WPA2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cr/>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(Personal and Enterprise WPA2), WPA3</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cr/>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(OWE, SAE, Enterprise)。</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NFC近场通讯</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配备NFC模块，可支持读取RFID等功能</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蓝牙</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≥Bluetooth Class 5.1 BLE</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工业防护等级</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IP67或以上</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抗跌落能力</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能承受1.5米水泥地面的跌落冲击。</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抗滚落能力</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550x 0.5 m范围内的滚落</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重量</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≤260克（含电池）</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保修服务</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原厂五年主机全保服务（包含人为损坏），</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承诺交货时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提供原厂售后服务承诺函并加盖公章</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操作温度</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-20°C 至+50°C</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湿度</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湿度5至95% （无冷凝）</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产品认证</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投标产品须提供制造商ISO9001/14001/45001认证证书复印件，产品CCC认证、CE证书。</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医用电气认证</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投标产品须通过CNAS和CMA认证的YY 9706.102-2021 医用电气设备认证。</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低辐射认证</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提供通过CNAS认证的SAR人体健康辐射测试报告。</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配件</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出厂标配同品牌充电底座，方便对设备进行充电。标配手背单，可拆卸更换，便于单手操作，防止跌落砸伤患者</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w:t>
            </w:r>
          </w:p>
        </w:tc>
        <w:tc>
          <w:tcPr>
            <w:tcW w:w="98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自带软件</w:t>
            </w:r>
          </w:p>
        </w:tc>
        <w:tc>
          <w:tcPr>
            <w:tcW w:w="700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 锁屏管理软件：除管理员外,设备工作用户不能修改系统、安装或卸载任何第三方应用。</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 通过扫描二维码快速实现个性化桌面与参数项设置，满足不同的应用场景要求。</w:t>
            </w:r>
          </w:p>
        </w:tc>
        <w:tc>
          <w:tcPr>
            <w:tcW w:w="73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260" w:after="260"/>
        <w:textAlignment w:val="auto"/>
        <w:outlineLvl w:val="2"/>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2. 移动护理车</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70"/>
        <w:gridCol w:w="6815"/>
        <w:gridCol w:w="1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81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733"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移动护理车核心部件参数要求：</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★电脑主机</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工业控制级带电一体机电脑（物理散热静音）                         </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面板材质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台面ABS抑菌材料光面，方便清洁                                     </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计算机参数</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CPU芯片</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Intel Core I5 七代</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OS系统</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Windows 7，windows 10</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2.3</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内存</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≥DDR4  8GB</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硬盘</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≥128G固态硬盘</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无线网络</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802.11 ac/a/b/g/n 支持2.4G和5G频段</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显示器接口</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VGA+HDMI,可同时支持</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USB接口</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USB3.0*2   USB2.0*4</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显示接口</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HDMI*1，VGA*1</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2.9</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有线网口</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千兆网口*1</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2.10</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防水防尘</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整车通过防水防尘检测</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用电安全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整车通过YY 0505医用电气设备安全检测</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★通讯网络</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内置5G通讯模块，支持国内三大运营商全网通</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电池参数</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电池电芯</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磷酸铁锂（</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循环次数</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≥2000次以上</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充电时间</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≤5小时</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3.4</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使用时间</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本工作站正常工作大于8小时（提供8小时续航时间检测证明）</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电池容量</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19V17Ah(323Wh)</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3.6</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漏电保护</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具有外壳对地漏电电流保护、电击保护功能</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3.7</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电流电压保护</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具有过压、过流、欠压、过充、过放保护功能</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电源控制系统</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模块式设计</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电源控制系统模块式设计，利于稳定，便于维修</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开关设计</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自锁式按钮开关，在不工作时彻底切断电源，利于运输安全及保护电池寿命 </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脚轮参数</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脚轮尺寸</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4寸医疗级静音脚轮</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脚轮特性</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符合医疗安规感染管控，非粘毛屑万向轮，克服各类地板</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5.3</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脚轮数量</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2个万向轮带刹车、2个万向不带刹车</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推车参数</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储物抽屉</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3-5层</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外形尺寸</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不大于宽</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20*高1</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50mm</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6.3</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工作台面尺寸</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不小于宽4</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0*长4</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0mm</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6.4</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推车整机重量</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KG（W/O显示器、计算机、电源）</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6.5</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主要材质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台面为ABS工程塑料,立柱为铝合金型材，底盘及拉手均为金属铸铝</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6.6</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抽屉规格</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药品抽屉75MM高度，储物抽屉150MM，盐水抽屉225MM高度（以医院要求配置）</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6.7</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副台尺寸</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360*220mm</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6.8</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外挂件</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根据客户要求定制</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6.9</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整机材质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铝合金、不锈钢等优质防锈金属材料，面板采用亚光、医用级的ABS抑菌材料</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6.10</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导轨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带阻尼静音导轨</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★把手</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下沉式一体成型全铝把手，前后可推拉，封闭环形。                    </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键鼠位</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隐藏式键盘位，在拉手上面，不受阻挡，专用鼠标挂架</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6.13</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桌面设计</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一体无缝成形，具备物体防滑落挡条。                            </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显示器支架参数</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尺寸</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不小于21.5寸</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★支架调整角度</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左右旋转180度，屏幕仰角可30度调整，显示高度调节150MM</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售后服务</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技术培训</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提供售前专职人员技术支持、简易故障排查培训、样机测试</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★保修期</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原厂五年主机保修服务，承诺交货时提供原厂售后服务承诺函并加盖公章</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8000" w:type="dxa"/>
            <w:gridSpan w:val="3"/>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企业资质</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9.1</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质量管理体系</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ISO19001 ISO45001 ISO24001 ISO13485</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36"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9.2</w:t>
            </w:r>
          </w:p>
        </w:tc>
        <w:tc>
          <w:tcPr>
            <w:tcW w:w="117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整车产品安全</w:t>
            </w:r>
          </w:p>
        </w:tc>
        <w:tc>
          <w:tcPr>
            <w:tcW w:w="6830" w:type="dxa"/>
            <w:gridSpan w:val="2"/>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CE ROHS FCC</w:t>
            </w:r>
          </w:p>
        </w:tc>
        <w:tc>
          <w:tcPr>
            <w:tcW w:w="71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260" w:after="260"/>
        <w:textAlignment w:val="auto"/>
        <w:outlineLvl w:val="2"/>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3. 智慧</w:t>
      </w:r>
      <w:r>
        <w:rPr>
          <w:rFonts w:hint="eastAsia" w:ascii="宋体" w:hAnsi="宋体" w:cs="宋体"/>
          <w:b/>
          <w:bCs/>
          <w:color w:val="000000" w:themeColor="text1"/>
          <w:kern w:val="2"/>
          <w:sz w:val="21"/>
          <w:szCs w:val="21"/>
          <w:highlight w:val="none"/>
          <w:lang w:val="en-US" w:eastAsia="zh-CN" w:bidi="ar-SA"/>
          <w14:textFill>
            <w14:solidFill>
              <w14:schemeClr w14:val="tx1"/>
            </w14:solidFill>
          </w14:textFill>
        </w:rPr>
        <w:t>交互</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屏</w:t>
      </w:r>
    </w:p>
    <w:tbl>
      <w:tblPr>
        <w:tblStyle w:val="51"/>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6"/>
        <w:gridCol w:w="1170"/>
        <w:gridCol w:w="6855"/>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26" w:type="dxa"/>
            <w:tcBorders>
              <w:top w:val="single" w:color="000000" w:sz="4" w:space="0"/>
              <w:left w:val="single" w:color="000000" w:sz="4" w:space="0"/>
              <w:bottom w:val="nil"/>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170" w:type="dxa"/>
            <w:tcBorders>
              <w:top w:val="single" w:color="000000" w:sz="4" w:space="0"/>
              <w:left w:val="single" w:color="000000" w:sz="4" w:space="0"/>
              <w:bottom w:val="nil"/>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855" w:type="dxa"/>
            <w:tcBorders>
              <w:top w:val="single" w:color="000000" w:sz="4" w:space="0"/>
              <w:left w:val="single" w:color="000000" w:sz="4" w:space="0"/>
              <w:bottom w:val="nil"/>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703" w:type="dxa"/>
            <w:tcBorders>
              <w:top w:val="single" w:color="000000" w:sz="4" w:space="0"/>
              <w:left w:val="single" w:color="000000" w:sz="4" w:space="0"/>
              <w:bottom w:val="nil"/>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会议平板整机参数</w:t>
            </w:r>
          </w:p>
        </w:tc>
        <w:tc>
          <w:tcPr>
            <w:tcW w:w="6855"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1．采用模块化系统方案，内置Android 11.0操作系统，运行内存4G，存储空间32G； </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2.整机书写面板采用防眩光全钢化防爆玻璃面板；</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3.I/O接口:≥2路HDMI IN；≥3路USB 3.0；≥1路TOUCH；≥1路AUDIO OUT；≥1路RS232；  </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4.整机内置正面上居中1300万像素高清摄像头，内置6个阵列麦克风，2*10W扬声器；</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5.整机物理开关按键，集屏幕开关、系统开关和节能待机功能三合一，操作更便捷；</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6.整机屏幕采用55英寸UHD超高清LED液晶屏，显示比例16:9，屏幕图像分辨率达3840*2160；</w:t>
            </w:r>
          </w:p>
          <w:p>
            <w:pPr>
              <w:pStyle w:val="441"/>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整机内置接收模块，除无线传屏器外不需要连接任何附加设备，可实现外部电脑音视频信号实时传输到触摸一体机上（无论整机处于任何通道），并可支持触摸回传，支持免安装驱动，即插即用； </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8.录屏：整机自带录屏功能，可将屏幕画面和声音同步录入一个视频中并支持二维码带走或者保存本机，二维码支持加密；</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9.主页快捷方式自定义：支持在整机应用管理中对主页软件快捷方式进行自定义选择设置，满足客户个性化设置需求；</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10.集控管理：支持集控管理平台软件对接，实现集控相关功能，如：批量设备管理、远程操控、个性化设置、软件管理、报表管理、账号管理功能。</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无线传屏功能</w:t>
            </w:r>
          </w:p>
        </w:tc>
        <w:tc>
          <w:tcPr>
            <w:tcW w:w="6855"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1.支持手机投屏软件操控大屏，小屏控大屏满足近端操控需求；</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2.无线传屏软硬件均支持win10系统扩展屏显示；</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3.软件传屏码可以在整机任何页面进行常显，也可设置取消，方便软件传屏连接 </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4.传屏之后，在屏幕上部中间部分显示工具栏，可以进行基本的操作（具体包括触摸回传控制，勿扰模式，暂停投屏等）；</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5.传屏开启勿扰模式之后，不允许其他人在进行传屏，沉浸模式，避免在使用过程中，用户经常被其他人传屏顶替掉，造成使用中断。</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白板功能</w:t>
            </w:r>
          </w:p>
        </w:tc>
        <w:tc>
          <w:tcPr>
            <w:tcW w:w="6855"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1.白板内容分享：支持白板内容本地／U盘保存，支持二维码和邮件分享，二维码分享时可加密</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2.快捷白板：在非白板模式下可快捷调出书写板，满足用户临时快速书写需求，快捷白板内容亦可快速复制到白板中进行功能扩展，满足灵活讨论需求。</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26" w:type="dxa"/>
            <w:tcBorders>
              <w:top w:val="nil"/>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70" w:type="dxa"/>
            <w:tcBorders>
              <w:top w:val="nil"/>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★质保</w:t>
            </w:r>
          </w:p>
        </w:tc>
        <w:tc>
          <w:tcPr>
            <w:tcW w:w="6855" w:type="dxa"/>
            <w:tcBorders>
              <w:top w:val="nil"/>
              <w:left w:val="nil"/>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承诺交货时提供原厂项目授权书及原厂5年质保函</w:t>
            </w:r>
          </w:p>
        </w:tc>
        <w:tc>
          <w:tcPr>
            <w:tcW w:w="703" w:type="dxa"/>
            <w:tcBorders>
              <w:top w:val="nil"/>
              <w:left w:val="single" w:color="000000" w:sz="4" w:space="0"/>
              <w:bottom w:val="single" w:color="000000" w:sz="4" w:space="0"/>
              <w:right w:val="single" w:color="000000"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keepNext/>
        <w:keepLines/>
        <w:widowControl w:val="0"/>
        <w:numPr>
          <w:ilvl w:val="0"/>
          <w:numId w:val="0"/>
        </w:numPr>
        <w:spacing w:before="260" w:after="260"/>
        <w:jc w:val="both"/>
        <w:outlineLvl w:val="2"/>
        <w:rPr>
          <w:rFonts w:hint="default" w:ascii="宋体" w:hAnsi="宋体" w:eastAsia="宋体" w:cs="宋体"/>
          <w:b/>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 xml:space="preserve">4. </w:t>
      </w:r>
      <w:r>
        <w:rPr>
          <w:rFonts w:hint="eastAsia" w:ascii="宋体" w:hAnsi="宋体" w:eastAsia="宋体" w:cs="宋体"/>
          <w:b/>
          <w:bCs w:val="0"/>
          <w:color w:val="000000" w:themeColor="text1"/>
          <w:szCs w:val="21"/>
          <w:highlight w:val="none"/>
          <w:lang w:val="en-US" w:eastAsia="zh-CN"/>
          <w14:textFill>
            <w14:solidFill>
              <w14:schemeClr w14:val="tx1"/>
            </w14:solidFill>
          </w14:textFill>
        </w:rPr>
        <w:t>移动终端安全扩充点位加更新设备 （1</w:t>
      </w:r>
      <w:r>
        <w:rPr>
          <w:rFonts w:hint="default"/>
          <w:b/>
          <w:bCs w:val="0"/>
          <w:color w:val="000000" w:themeColor="text1"/>
          <w:szCs w:val="21"/>
          <w:lang w:eastAsia="zh-Hans" w:bidi="en-US"/>
          <w14:textFill>
            <w14:solidFill>
              <w14:schemeClr w14:val="tx1"/>
            </w14:solidFill>
          </w14:textFill>
        </w:rPr>
        <w:t>500</w:t>
      </w:r>
      <w:r>
        <w:rPr>
          <w:rFonts w:hint="eastAsia"/>
          <w:b/>
          <w:bCs w:val="0"/>
          <w:color w:val="000000" w:themeColor="text1"/>
          <w:szCs w:val="21"/>
          <w:lang w:val="en-US" w:eastAsia="zh-Hans" w:bidi="en-US"/>
          <w14:textFill>
            <w14:solidFill>
              <w14:schemeClr w14:val="tx1"/>
            </w14:solidFill>
          </w14:textFill>
        </w:rPr>
        <w:t>个移动终端</w:t>
      </w:r>
      <w:r>
        <w:rPr>
          <w:rFonts w:hint="eastAsia"/>
          <w:b/>
          <w:bCs w:val="0"/>
          <w:color w:val="000000" w:themeColor="text1"/>
          <w:szCs w:val="21"/>
          <w:lang w:val="en-US" w:eastAsia="zh-CN" w:bidi="en-US"/>
          <w14:textFill>
            <w14:solidFill>
              <w14:schemeClr w14:val="tx1"/>
            </w14:solidFill>
          </w14:textFill>
        </w:rPr>
        <w:t>授权</w:t>
      </w:r>
      <w:r>
        <w:rPr>
          <w:rFonts w:hint="eastAsia"/>
          <w:b/>
          <w:bCs w:val="0"/>
          <w:color w:val="000000" w:themeColor="text1"/>
          <w:szCs w:val="21"/>
          <w:lang w:val="en-US" w:eastAsia="zh-Hans" w:bidi="en-US"/>
          <w14:textFill>
            <w14:solidFill>
              <w14:schemeClr w14:val="tx1"/>
            </w14:solidFill>
          </w14:textFill>
        </w:rPr>
        <w:t>管控许可</w:t>
      </w:r>
      <w:r>
        <w:rPr>
          <w:rFonts w:hint="eastAsia" w:ascii="宋体" w:hAnsi="宋体" w:eastAsia="宋体" w:cs="宋体"/>
          <w:b/>
          <w:bCs w:val="0"/>
          <w:color w:val="000000" w:themeColor="text1"/>
          <w:szCs w:val="21"/>
          <w:highlight w:val="none"/>
          <w:lang w:val="en-US" w:eastAsia="zh-CN"/>
          <w14:textFill>
            <w14:solidFill>
              <w14:schemeClr w14:val="tx1"/>
            </w14:solidFill>
          </w14:textFill>
        </w:rPr>
        <w:t>）</w:t>
      </w:r>
    </w:p>
    <w:tbl>
      <w:tblPr>
        <w:tblStyle w:val="51"/>
        <w:tblW w:w="9354" w:type="dxa"/>
        <w:tblInd w:w="0" w:type="dxa"/>
        <w:tblLayout w:type="autofit"/>
        <w:tblCellMar>
          <w:top w:w="0" w:type="dxa"/>
          <w:left w:w="108" w:type="dxa"/>
          <w:bottom w:w="0" w:type="dxa"/>
          <w:right w:w="108" w:type="dxa"/>
        </w:tblCellMar>
      </w:tblPr>
      <w:tblGrid>
        <w:gridCol w:w="635"/>
        <w:gridCol w:w="1161"/>
        <w:gridCol w:w="6866"/>
        <w:gridCol w:w="692"/>
      </w:tblGrid>
      <w:tr>
        <w:tblPrEx>
          <w:tblCellMar>
            <w:top w:w="0" w:type="dxa"/>
            <w:left w:w="108" w:type="dxa"/>
            <w:bottom w:w="0" w:type="dxa"/>
            <w:right w:w="108" w:type="dxa"/>
          </w:tblCellMar>
        </w:tblPrEx>
        <w:trPr>
          <w:trHeight w:val="454" w:hRule="atLeast"/>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序号</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指标项</w:t>
            </w:r>
          </w:p>
        </w:tc>
        <w:tc>
          <w:tcPr>
            <w:tcW w:w="6866" w:type="dxa"/>
            <w:tcBorders>
              <w:top w:val="single" w:color="auto" w:sz="4" w:space="0"/>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技术规格</w:t>
            </w:r>
          </w:p>
        </w:tc>
        <w:tc>
          <w:tcPr>
            <w:tcW w:w="692" w:type="dxa"/>
            <w:tcBorders>
              <w:top w:val="single" w:color="auto" w:sz="4" w:space="0"/>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投标响应</w:t>
            </w:r>
          </w:p>
        </w:tc>
      </w:tr>
      <w:tr>
        <w:tblPrEx>
          <w:tblCellMar>
            <w:top w:w="0" w:type="dxa"/>
            <w:left w:w="108" w:type="dxa"/>
            <w:bottom w:w="0" w:type="dxa"/>
            <w:right w:w="108" w:type="dxa"/>
          </w:tblCellMar>
        </w:tblPrEx>
        <w:trPr>
          <w:trHeight w:val="454" w:hRule="atLeast"/>
        </w:trPr>
        <w:tc>
          <w:tcPr>
            <w:tcW w:w="0" w:type="auto"/>
            <w:vMerge w:val="restart"/>
            <w:tcBorders>
              <w:top w:val="single" w:color="auto" w:sz="4" w:space="0"/>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61" w:type="dxa"/>
            <w:vMerge w:val="restart"/>
            <w:tcBorders>
              <w:top w:val="single" w:color="auto" w:sz="4" w:space="0"/>
              <w:left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产品形态与</w:t>
            </w:r>
          </w:p>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安全要求</w:t>
            </w:r>
          </w:p>
        </w:tc>
        <w:tc>
          <w:tcPr>
            <w:tcW w:w="6866" w:type="dxa"/>
            <w:tcBorders>
              <w:top w:val="nil"/>
              <w:left w:val="nil"/>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产品为软件形态，可通过扩展硬件资源实现更高的管控性能</w:t>
            </w:r>
          </w:p>
        </w:tc>
        <w:tc>
          <w:tcPr>
            <w:tcW w:w="692" w:type="dxa"/>
            <w:tcBorders>
              <w:top w:val="nil"/>
              <w:left w:val="nil"/>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授权</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1500</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个移动终端管控许可</w:t>
            </w:r>
          </w:p>
        </w:tc>
        <w:tc>
          <w:tcPr>
            <w:tcW w:w="692" w:type="dxa"/>
            <w:tcBorders>
              <w:top w:val="nil"/>
              <w:left w:val="nil"/>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bottom w:val="single" w:color="000000"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bottom w:val="single" w:color="000000"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支持对Android和iOS终端的业务应用，提供应用安全、数据安全、环境安全和终端管控的自防护能力</w:t>
            </w:r>
          </w:p>
        </w:tc>
        <w:tc>
          <w:tcPr>
            <w:tcW w:w="692" w:type="dxa"/>
            <w:tcBorders>
              <w:top w:val="nil"/>
              <w:left w:val="nil"/>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restart"/>
            <w:tcBorders>
              <w:top w:val="nil"/>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61" w:type="dxa"/>
            <w:vMerge w:val="restart"/>
            <w:tcBorders>
              <w:top w:val="nil"/>
              <w:left w:val="single" w:color="auto" w:sz="4" w:space="0"/>
              <w:right w:val="single" w:color="auto" w:sz="4" w:space="0"/>
            </w:tcBorders>
            <w:shd w:val="clear" w:color="auto" w:fill="auto"/>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基本要求</w:t>
            </w: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bidi="en-US"/>
                <w14:textFill>
                  <w14:solidFill>
                    <w14:schemeClr w14:val="tx1"/>
                  </w14:solidFill>
                </w14:textFill>
              </w:rPr>
              <w:t>通过自动化方式，为应用自身注入加固和运行环境监测及自防护能力</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bidi="en-US"/>
                <w14:textFill>
                  <w14:solidFill>
                    <w14:schemeClr w14:val="tx1"/>
                  </w14:solidFill>
                </w14:textFill>
              </w:rPr>
              <w:t>通过自动化方式，为应用自身注入数据远程管理、数据防泄漏等安全防护能力</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提供安全能力，降低应用厂商集成成本，不需厂商修改任何代码，无须应用集成SDK即可实现安全沙箱隔离、数据加密等安全能力。</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提供统一沙箱门户的安全能力，在安全赋能后，对于工作区形态，支持对任何ANDROID版本和鸿蒙系统的桌面图标隐藏，即使安装多个封装后的app，也仅显示沙箱门户图标。</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不降低用户体验，在安全赋能后，对于无工作区形态，不改变应用的图标显示、消息通知和包名与签名等行为，不增加除应用本身之外的其它图标。</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管理员登录管理平台可支持限制固定IP地址方可登录的配置</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shd w:val="clear" w:color="auto" w:fill="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shd w:val="clear" w:color="auto" w:fill="auto"/>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shd w:val="clear" w:color="000000" w:fill="FFFFFF"/>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支持日志报表可订阅的模式，可定期给固定的管理邮箱发送相应定制内容(终端报表、应用报表、沙箱策略报表)等信息</w:t>
            </w:r>
          </w:p>
        </w:tc>
        <w:tc>
          <w:tcPr>
            <w:tcW w:w="692" w:type="dxa"/>
            <w:tcBorders>
              <w:top w:val="nil"/>
              <w:left w:val="nil"/>
              <w:bottom w:val="single" w:color="auto" w:sz="4" w:space="0"/>
              <w:right w:val="single" w:color="auto" w:sz="4" w:space="0"/>
            </w:tcBorders>
            <w:shd w:val="clear" w:color="000000" w:fill="FFFFFF"/>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nil"/>
              <w:left w:val="nil"/>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支持为应用创建应用级安全链路，通过策略配置认证信息，自动建立安全隧道，实现安全传输</w:t>
            </w:r>
          </w:p>
        </w:tc>
        <w:tc>
          <w:tcPr>
            <w:tcW w:w="692" w:type="dxa"/>
            <w:tcBorders>
              <w:top w:val="nil"/>
              <w:left w:val="nil"/>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为应用提供调试器、模拟器、系统被Root和篡改的监测</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支持对终端硬件及系统信息的记录</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restart"/>
            <w:tcBorders>
              <w:top w:val="single" w:color="auto" w:sz="4" w:space="0"/>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161" w:type="dxa"/>
            <w:vMerge w:val="restart"/>
            <w:tcBorders>
              <w:top w:val="single" w:color="auto" w:sz="4" w:space="0"/>
              <w:left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数据安全</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支持封装加固的业务数据应用与个人数据隔离存储，业务数据应加密存储，并且保障业务数据的文件名和类型都不能明文存储。</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为应用提供AES或SM4国密算法的数据加密存储</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支持剪切板隔离，复制的内容在已封装应用之间允许粘贴，但不允许粘贴到未封装应用，提供控制移动安全沙箱内应用与个人应用之间的数据转发、分享、复制及剪切能力；</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为应用提供防截屏录屏、第三方水印、转发及分享、通知栏消息内容隐藏等安全控制属性</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bidi="en-US"/>
                <w14:textFill>
                  <w14:solidFill>
                    <w14:schemeClr w14:val="tx1"/>
                  </w14:solidFill>
                </w14:textFill>
              </w:rPr>
              <w:t>为应用提供远程数据擦除能力。</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restart"/>
            <w:tcBorders>
              <w:top w:val="single" w:color="auto" w:sz="4" w:space="0"/>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161" w:type="dxa"/>
            <w:vMerge w:val="restart"/>
            <w:tcBorders>
              <w:top w:val="single" w:color="auto" w:sz="4" w:space="0"/>
              <w:left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应用安全</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支持对移动应用进行安全防护和加固，防止受到恶意程序的破坏、破解和篡改，提供有效预防技术，支持应用封装后防动态调试、加载保护、防二次打包、代码混淆、防HOOK攻击、防进程注入以及APP完整性保护。</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top w:val="single" w:color="auto" w:sz="4" w:space="0"/>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为应用提供WiFi黑白名单的控制</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支持对应用的流量进行监控</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支持对应用权限调用摄像头、位置信息、多媒体资源、蓝牙、录音、移动数据、WiFi、系统打印机的控制</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restart"/>
            <w:tcBorders>
              <w:top w:val="single" w:color="auto" w:sz="4" w:space="0"/>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161" w:type="dxa"/>
            <w:vMerge w:val="restart"/>
            <w:tcBorders>
              <w:top w:val="single" w:color="auto" w:sz="4" w:space="0"/>
              <w:left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行为审计</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对应用运行环境和应用敏感行为的审计</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提供截图</w:t>
            </w:r>
            <w:r>
              <w:rPr>
                <w:rFonts w:hint="eastAsia" w:asciiTheme="minorEastAsia" w:hAnsiTheme="minorEastAsia" w:eastAsiaTheme="minorEastAsia" w:cstheme="minorEastAsia"/>
                <w:color w:val="000000" w:themeColor="text1"/>
                <w:szCs w:val="21"/>
                <w:lang w:eastAsia="zh-CN" w:bidi="en-US"/>
                <w14:textFill>
                  <w14:solidFill>
                    <w14:schemeClr w14:val="tx1"/>
                  </w14:solidFill>
                </w14:textFill>
              </w:rPr>
              <w:t>）</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应用使用统计：查看某应用单日、月度活跃用户的统计，并支持列表导出</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截屏审计：查看某个设备截屏后的图片文件，同能够针对不通的截屏限制策略对应用进行阻断和放行控制。</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URL访问审计：查看指定应用访问的url，同时可以针对合法url 进行例外配置。</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vMerge w:val="continue"/>
            <w:tcBorders>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1" w:type="dxa"/>
            <w:vMerge w:val="continue"/>
            <w:tcBorders>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支持对管理人员操作日志的审计</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安全管理</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支持对后台管理模块分权分级的授权，满足不同角色的管理</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国产化要求</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bidi="en-US"/>
                <w14:textFill>
                  <w14:solidFill>
                    <w14:schemeClr w14:val="tx1"/>
                  </w14:solidFill>
                </w14:textFill>
              </w:rPr>
              <w:t>支持国产化软硬件</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635" w:type="dxa"/>
            <w:vMerge w:val="restart"/>
            <w:tcBorders>
              <w:top w:val="single" w:color="auto" w:sz="4" w:space="0"/>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161" w:type="dxa"/>
            <w:vMerge w:val="restart"/>
            <w:tcBorders>
              <w:top w:val="single" w:color="auto" w:sz="4" w:space="0"/>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资质要求（提供证书复印件）</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spacing w:line="3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lang w:val="en-US" w:eastAsia="zh-CN" w:bidi="ar-SA"/>
                <w14:textFill>
                  <w14:solidFill>
                    <w14:schemeClr w14:val="tx1"/>
                  </w14:solidFill>
                </w14:textFill>
              </w:rPr>
              <w:t>软件开发商具备</w:t>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数据安全服务能力评定资格证书-数据安全建设能力（二级）</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635" w:type="dxa"/>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61" w:type="dxa"/>
            <w:vMerge w:val="continue"/>
            <w:tcBorders>
              <w:left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spacing w:line="3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lang w:val="en-US" w:eastAsia="zh-CN" w:bidi="ar-SA"/>
                <w14:textFill>
                  <w14:solidFill>
                    <w14:schemeClr w14:val="tx1"/>
                  </w14:solidFill>
                </w14:textFill>
              </w:rPr>
              <w:t>软件开发商具备CCRC信息安全服务资质-安全运维服务资质证书(一级)</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635" w:type="dxa"/>
            <w:vMerge w:val="continue"/>
            <w:tcBorders>
              <w:left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61" w:type="dxa"/>
            <w:vMerge w:val="continue"/>
            <w:tcBorders>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spacing w:line="36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lang w:val="en-US" w:eastAsia="zh-CN" w:bidi="ar-SA"/>
                <w14:textFill>
                  <w14:solidFill>
                    <w14:schemeClr w14:val="tx1"/>
                  </w14:solidFill>
                </w14:textFill>
              </w:rPr>
              <w:t>软件开发商具备强大的漏洞挖掘与发现能力，入选中国国家信息安全漏洞库CNNVD一级技术支撑单位</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635" w:type="dxa"/>
            <w:vMerge w:val="continue"/>
            <w:tcBorders>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spacing w:line="36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lang w:val="en-US" w:eastAsia="zh-CN" w:bidi="ar-SA"/>
                <w14:textFill>
                  <w14:solidFill>
                    <w14:schemeClr w14:val="tx1"/>
                  </w14:solidFill>
                </w14:textFill>
              </w:rPr>
              <w:t>软件开发商要求为“信息安全等级保护关键技术国家工程实验室”共建单位</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635"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9</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服务要求</w:t>
            </w:r>
          </w:p>
        </w:tc>
        <w:tc>
          <w:tcPr>
            <w:tcW w:w="6866" w:type="dxa"/>
            <w:tcBorders>
              <w:top w:val="single" w:color="auto" w:sz="4" w:space="0"/>
              <w:left w:val="single" w:color="auto" w:sz="4" w:space="0"/>
              <w:bottom w:val="single" w:color="auto" w:sz="4" w:space="0"/>
              <w:right w:val="single" w:color="auto" w:sz="4" w:space="0"/>
            </w:tcBorders>
            <w:noWrap w:val="0"/>
            <w:vAlign w:val="center"/>
          </w:tcPr>
          <w:p>
            <w:pPr>
              <w:pStyle w:val="441"/>
              <w:widowControl w:val="0"/>
              <w:spacing w:line="360" w:lineRule="exact"/>
              <w:jc w:val="left"/>
              <w:rPr>
                <w:rFonts w:hint="eastAsia" w:asciiTheme="minorEastAsia" w:hAnsiTheme="minorEastAsia" w:eastAsiaTheme="minorEastAsia" w:cstheme="minorEastAsia"/>
                <w:color w:val="000000" w:themeColor="text1"/>
                <w:kern w:val="0"/>
                <w:sz w:val="21"/>
                <w:szCs w:val="21"/>
                <w:shd w:val="clear"/>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bidi="en-US"/>
                <w14:textFill>
                  <w14:solidFill>
                    <w14:schemeClr w14:val="tx1"/>
                  </w14:solidFill>
                </w14:textFill>
              </w:rPr>
              <w:t>三年质保与升级服务，投标时提供原厂商出具的售后服务承诺函并加盖原厂商公章</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keepNext/>
        <w:keepLines/>
        <w:pageBreakBefore w:val="0"/>
        <w:widowControl w:val="0"/>
        <w:numPr>
          <w:ilvl w:val="0"/>
          <w:numId w:val="0"/>
        </w:numPr>
        <w:kinsoku/>
        <w:wordWrap/>
        <w:overflowPunct/>
        <w:topLinePunct w:val="0"/>
        <w:autoSpaceDE/>
        <w:autoSpaceDN/>
        <w:bidi w:val="0"/>
        <w:adjustRightInd/>
        <w:snapToGrid/>
        <w:spacing w:before="260" w:after="260"/>
        <w:jc w:val="both"/>
        <w:textAlignment w:val="auto"/>
        <w:outlineLvl w:val="2"/>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 xml:space="preserve">5. </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全局负载均衡</w:t>
      </w:r>
    </w:p>
    <w:tbl>
      <w:tblPr>
        <w:tblStyle w:val="51"/>
        <w:tblW w:w="9354"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664"/>
        <w:gridCol w:w="2404"/>
        <w:gridCol w:w="5506"/>
        <w:gridCol w:w="7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一</w:t>
            </w:r>
          </w:p>
        </w:tc>
        <w:tc>
          <w:tcPr>
            <w:tcW w:w="7910" w:type="dxa"/>
            <w:gridSpan w:val="2"/>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性能参数要求</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节能设计</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采用绿色高效电源，通过80plus金牌认证</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端口</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≥2个万兆光口；≥4个千兆光口</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内存</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≥16GB</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存储介质</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≥500GB</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4层吞吐能力</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≥10Gbps</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7层吞吐能力</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≥10Gbps</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最大并发连接数</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≥14M</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四层处理能力（每秒新建连接数）</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≥125K CPS，可在不更换硬件的情况下扩展至250K及以上</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七层处理能力（每秒处理请求数）</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≥350K RPS，可在不更换硬件的情况下扩展至650K及以上</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tabs>
                <w:tab w:val="left" w:pos="4950"/>
              </w:tabs>
              <w:kinsoku/>
              <w:wordWrap/>
              <w:overflowPunct/>
              <w:topLinePunct w:val="0"/>
              <w:autoSpaceDE/>
              <w:autoSpaceDN/>
              <w:bidi w:val="0"/>
              <w:adjustRightInd/>
              <w:snapToGrid w:val="0"/>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2404"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RSA SSL TPS 2K Key</w:t>
            </w:r>
          </w:p>
        </w:tc>
        <w:tc>
          <w:tcPr>
            <w:tcW w:w="550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2500 TPS，</w:t>
            </w:r>
            <w:r>
              <w:rPr>
                <w:rFonts w:hint="eastAsia" w:asciiTheme="minorEastAsia" w:hAnsiTheme="minorEastAsia" w:eastAsiaTheme="minorEastAsia" w:cstheme="minorEastAsia"/>
                <w:color w:val="000000" w:themeColor="text1"/>
                <w:sz w:val="21"/>
                <w:szCs w:val="21"/>
                <w14:textFill>
                  <w14:solidFill>
                    <w14:schemeClr w14:val="tx1"/>
                  </w14:solidFill>
                </w14:textFill>
              </w:rPr>
              <w:t>可在不更换硬件的情况下扩展至4300及以上</w:t>
            </w:r>
          </w:p>
        </w:tc>
        <w:tc>
          <w:tcPr>
            <w:tcW w:w="780"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ECC SSL TPS ECDSA P-256</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2100 TPS，</w:t>
            </w:r>
            <w:r>
              <w:rPr>
                <w:rFonts w:hint="eastAsia" w:asciiTheme="minorEastAsia" w:hAnsiTheme="minorEastAsia" w:eastAsiaTheme="minorEastAsia" w:cstheme="minorEastAsia"/>
                <w:color w:val="000000" w:themeColor="text1"/>
                <w:sz w:val="21"/>
                <w:szCs w:val="21"/>
                <w14:textFill>
                  <w14:solidFill>
                    <w14:schemeClr w14:val="tx1"/>
                  </w14:solidFill>
                </w14:textFill>
              </w:rPr>
              <w:t>可在不更换硬件的情况下扩展至3500及以上</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SSL 吞吐量</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≥5Gbps，可在不更换硬件的情况下扩展至8Gbps及以上</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压缩吞吐量</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≥3Gbps，可在不更换硬件的情况下扩展至5Gbps及以上</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二</w:t>
            </w:r>
          </w:p>
        </w:tc>
        <w:tc>
          <w:tcPr>
            <w:tcW w:w="7910" w:type="dxa"/>
            <w:gridSpan w:val="2"/>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应用交付功能要求</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★服务器负载均衡</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完善的第四/七层交换功能，支持可定制的基于应用层的健康检查方式，支持基于IP地址、Cookie等信息的会话保持，并可根据特定信息定制会话保持方式。</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物联网MQTT协议负载均衡</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支持MQTT协议的协议解析，日志审计和负载分发</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可支持对SSL/TLS 算法分组</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支持处理SSL/TLS加密流量时，用户可以通过web管理界面自定义可支持的SSL/TLS算法组合，细化SSL/TLS算法的管理，可以更好的匹配用户实际场景中的加密场景和需求。</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可定制的基于应用层的健康检查方式</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可根据应用系统提供的检查入口参数对应用进行应用级的监控以避免服务器地址端口监听正常而实际应用挂起的情况；可根据App服务进程信息定制应用服务级的健康检查方式。</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IPv6支持</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标配IPV6功能，在IPv4和IPv6网络之间提供完整的IP转换和负载均衡能力可以支持用户迁移以及建立IPv4和IPv6混合主机资源</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多路连接复用</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将一个用户的多个请求或者 多个用户的请求合成一个连接发送到服务器，减小应用服务器的压力，提升用户响应速度。</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智能压缩</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使用工业标准的GZIP和Deflate压缩算法来压缩HTTP流量，缺省提供最大压缩处理能力</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内存Cache</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利用内存来缓存用户频繁使用的页面对象，从而减少服务器压力，提升用户相应速度</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TCP协议优化</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支持对客户端和服务器端分别进行优化，对客户端TCP连接支持自适应拥塞控制，快速重传，乱序段重组等技术；对服务器端支持内容缓冲和TCP连接复用等技术。</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可编程流量管理</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管理界面提供基于某种编程语言（如TCL语言）自定义的流量控制方法，可通过自编程方式实现灵活的流量处理手段。并提供专用的编辑工具。</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基于Node.js环境的可编程控制</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设备自带支持Node.js环境的可编程控制功能，支持Javascript语法。支持如连接Mysql进行数据库查询等功能</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支持Multi-path TCP技术</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支持在多重网络环境下可以通过多种网络环境（WIFI、3G、4G）同时发起请求的Multipath TCP连接方式</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HTTP 2.0支持</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支持下一代HTTP 2.0协议。</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基本会话保持</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提供基于源IP、URL、HASH、插入cookie等多种方式多种场景下的会话保持功能。</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高级会话保持</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提供SSL ID、手机串号IMEI及自定义字段等高级会话保持功能，实现在一段时间内将同一个用户的请求发送给同一台应用服务器。</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灰度发布</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提供业务按需发布，便于应用平滑上线，版本迭代。</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私有云</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与市场主流的私有云解决方案深度结合，集成vmware SDDC, openstack,华为Fusion Sphere,H3C VCF, AzureStack，可在云管平台中管理，编排，与监控。</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支持大数据引擎功能</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通过实时高速日志引擎对接大数据分析平台，实现业务数据的可视化，从而提供用户/网络体验监控，用户行为分析，应用性能管理等能力。实时日志吐出能力大于20万条/秒，此时CPU的影响小于5%。</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容器治理方案集成</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与市场主流的容器治理方案深度集成，支持包括kubernetes，redhat openshift，pivotal cloud foundry，mesos等主流容器治理方案； </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三</w:t>
            </w:r>
          </w:p>
        </w:tc>
        <w:tc>
          <w:tcPr>
            <w:tcW w:w="7910" w:type="dxa"/>
            <w:gridSpan w:val="2"/>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DNS功能要求</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标准DNS服务</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支持完整的DNS服务器功能，可作为权威DNS服务器和LDNS服务器部署；</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支持作为BIND Master或Slave角色；</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支持反向DNS解析功能。</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DNS配置自动同步</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支持智能DNS设备组成配置同步组，在任意一台设备的配置可自动同步到所有成员，从而简化配置管理</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DNS记录类型</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支持A, AAAA, CNAME, DNAME, HINFO, MX, NS, TXT, SOA, SRV 等记录类型。</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IP v6地址解析支持</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同时支持IPv6和IPv4解析，支持IPv6到IPv4的地址转换</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DNS委派</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支持区域委派功能，将某个域或子域解析权委派到其他DNS服务器。</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DNS反向代理</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支持DNS反向代理，拦截DNS请求并分发给一组指定的DNS服务器。</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DNSSEC</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支持DNSSEC签名、验证功能防止DNS劫持</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支持HTTPDNS解析功能</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能将HTTPDNS查询转换为传统的DNS查询，配合智能DNS服务器实现全局负载均衡</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IP Anycast集成</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支持IP Anycast集成，以相同的DNS服务器地址在网络的不同地点提供服务。</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 服务器镜像</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可将后台DNS服务器的所有记录镜像到内存中并提供全部DNS解析功能，保护后台DNS服务器, 当后台DNS更改某条记录时，可以自动更新。</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 缓存</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支持DNS缓存功能，作为LDNS使用时，缓存解析过的域名记录，加速DNS请求的响应</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DNS日志</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提供详细的DNS查询和GSLB决策日志，包括查询地址、决策过程、IP地址类型等等</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DNS解析的用户地理位置信息</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内置全球地址IP地址库，可以识别访问者IP地址的所在国家，省份，运营商等信息。基于这些信息可提供更精准的全局负载均衡决策及访问日志。</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全局负载均衡</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支持广域网负载GSLB功能；具备丰富的全局负载均衡算法，全局负载均衡算法不少于15种，支持自动发现、添加后端业务以减少配置工作量</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2404" w:type="dxa"/>
            <w:tcBorders>
              <w:top w:val="single" w:color="DDDDDD" w:sz="6" w:space="0"/>
              <w:left w:val="single" w:color="auto" w:sz="6" w:space="0"/>
              <w:bottom w:val="single" w:color="auto" w:sz="6" w:space="0"/>
              <w:right w:val="single" w:color="auto" w:sz="4"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全局负载均衡同本地负载均衡联动</w:t>
            </w:r>
          </w:p>
        </w:tc>
        <w:tc>
          <w:tcPr>
            <w:tcW w:w="5506"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全局负载均衡设备可以自动感知本地负载均衡设备上后台服务器运行状态，包含健康检查结果、当前吞吐量、连接数等流量信息，根据服务器状态返回DNS解析结果，实现精细化负载调度；</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自动获取本地负载均衡设备上新建的虚拟服务，简化配置；</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无需直接检测所有应用状态，降低数据中心安全策略及管理复杂度。</w:t>
            </w:r>
          </w:p>
        </w:tc>
        <w:tc>
          <w:tcPr>
            <w:tcW w:w="780" w:type="dxa"/>
            <w:tcBorders>
              <w:top w:val="single" w:color="DDDDDD" w:sz="6" w:space="0"/>
              <w:left w:val="single" w:color="auto" w:sz="4"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四</w:t>
            </w:r>
          </w:p>
        </w:tc>
        <w:tc>
          <w:tcPr>
            <w:tcW w:w="7910" w:type="dxa"/>
            <w:gridSpan w:val="2"/>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安全功能要求</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SSLVPN接入</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通过ICSA认证的SSLVPN设备功能。</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★SSLVPN并发用户许可</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提供不低于10个并发用户许可证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用于远程运维</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IPSEC VPN</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提供ICSA认证的IPSEC VPN功能，支持与CISCO等第三方主流IPSEC VPN设备建立加密通道，保障多站点之间业务及数据传输安全。</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五</w:t>
            </w:r>
          </w:p>
        </w:tc>
        <w:tc>
          <w:tcPr>
            <w:tcW w:w="7910" w:type="dxa"/>
            <w:gridSpan w:val="2"/>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系统功能要求</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★多重引导</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支持同一台设备同时并存四个及以上不同的系统版本，便于系统升级或回退，并且支持不中断业务通过web页面进行软件版本更迭，系统切换后配置自动导入，无需手工配置。</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★集群</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支持Active-Active及Active-Standby冗余方式；提供连接会话的镜像功能, 实现无缝故障切换, 支持不同型号，不同License的32台设备的N+M集群方式。</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★系统保护</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设备root密码，并允许用户修改该密码；严禁设备存在任何密码不向最终用户公开的超级权限用户。可针对用户级别进行权限微调，支持当密码错误输入次数多过时，对用户进行自动锁定。只允许授权的IP地址访问设备管理页面，以防止来自内网、外网的非受信访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系统管理</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支持HTTPS/SSH的管理模式，WEB管理同时支持IE浏览器和非IE浏览器(FireFox、Chrome等)。主、备双机可同时被管理、可同时在主备设备上修改配置，并实现同步。</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自助巡检</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可以进行自动系统诊断，通过在线网站自动生成诊断和分析报告。</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自动化执行脚本</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根据特定的统计事件或周期性执行自定义脚本，比如在设备出现问题的情况下，自动收集故障信息并发送给指定的服务器。</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应用性能监控</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管理界面可通过图形化界面直接提供应用访问的网络延时和服务器延时、TOP URL、以及各虚拟服务器的CPU、内存等资源的占用比</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应用配置和管理模板</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内置对主流应用如SAP、Oracle Application Server、SharePoint、VMware View的配置模板，支持一键部署应用。</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2404"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LCD液晶管理面板</w:t>
            </w:r>
          </w:p>
        </w:tc>
        <w:tc>
          <w:tcPr>
            <w:tcW w:w="5506"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提供可触摸液晶面板实现直观管理，显示设备工作状态和报警，便于机房管理人员巡检及</w:t>
            </w:r>
            <w:r>
              <w:rPr>
                <w:rFonts w:hint="eastAsia" w:asciiTheme="minorEastAsia" w:hAnsiTheme="minorEastAsia" w:eastAsiaTheme="minorEastAsia" w:cstheme="minorEastAsia"/>
                <w:color w:val="000000" w:themeColor="text1"/>
                <w:sz w:val="21"/>
                <w:szCs w:val="21"/>
                <w14:textFill>
                  <w14:solidFill>
                    <w14:schemeClr w14:val="tx1"/>
                  </w14:solidFill>
                </w14:textFill>
              </w:rPr>
              <w:t>日常运维管理</w:t>
            </w:r>
            <w:r>
              <w:rPr>
                <w:rFonts w:hint="eastAsia" w:asciiTheme="minorEastAsia" w:hAnsiTheme="minorEastAsia" w:eastAsiaTheme="minorEastAsia" w:cstheme="minorEastAsia"/>
                <w:color w:val="000000" w:themeColor="text1"/>
                <w:sz w:val="21"/>
                <w:szCs w:val="21"/>
                <w14:textFill>
                  <w14:solidFill>
                    <w14:schemeClr w14:val="tx1"/>
                  </w14:solidFill>
                </w14:textFill>
              </w:rPr>
              <w:t>。同时，提供免费的在线自助巡检系统，可以随时对设备的运行状态、日志记录、异常报警、设备配置、性能图表、软件版本等进行检测和分析，生成状态诊断和分析报告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c>
          <w:tcPr>
            <w:tcW w:w="780" w:type="dxa"/>
            <w:tcBorders>
              <w:top w:val="single" w:color="DDDDDD"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六</w:t>
            </w:r>
          </w:p>
        </w:tc>
        <w:tc>
          <w:tcPr>
            <w:tcW w:w="7910" w:type="dxa"/>
            <w:gridSpan w:val="2"/>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服务要求</w:t>
            </w:r>
          </w:p>
        </w:tc>
        <w:tc>
          <w:tcPr>
            <w:tcW w:w="780"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664"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2404"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原厂服务</w:t>
            </w:r>
          </w:p>
        </w:tc>
        <w:tc>
          <w:tcPr>
            <w:tcW w:w="5506"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厂商需在中国境内自建完善的售后服务团队，并提供中国北京和上海中文技术支持中心的400免费技术支持热线电话。要求提供三年原厂软件升级，故障修复，NBD备件、备机先行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服务。</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承诺交货时提供原厂针对此项目的授权函。供货前提供原厂三年质保函。</w:t>
            </w:r>
          </w:p>
        </w:tc>
        <w:tc>
          <w:tcPr>
            <w:tcW w:w="780" w:type="dxa"/>
            <w:tcBorders>
              <w:top w:val="single" w:color="auto" w:sz="6" w:space="0"/>
              <w:left w:val="single" w:color="auto" w:sz="6" w:space="0"/>
              <w:bottom w:val="single" w:color="auto" w:sz="6" w:space="0"/>
              <w:right w:val="single" w:color="auto" w:sz="6" w:space="0"/>
            </w:tcBorders>
            <w:noWrap w:val="0"/>
            <w:tcMar>
              <w:top w:w="120" w:type="dxa"/>
              <w:left w:w="120" w:type="dxa"/>
              <w:bottom w:w="120" w:type="dxa"/>
              <w:right w:w="12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keepLines/>
        <w:widowControl w:val="0"/>
        <w:numPr>
          <w:ilvl w:val="0"/>
          <w:numId w:val="4"/>
        </w:numPr>
        <w:spacing w:before="260" w:after="260"/>
        <w:jc w:val="both"/>
        <w:outlineLvl w:val="2"/>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容灾备份系统（虚拟化）的扩容</w:t>
      </w:r>
    </w:p>
    <w:tbl>
      <w:tblPr>
        <w:tblStyle w:val="51"/>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6"/>
        <w:gridCol w:w="641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17"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序号</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名称</w:t>
            </w:r>
          </w:p>
        </w:tc>
        <w:tc>
          <w:tcPr>
            <w:tcW w:w="641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技术参数</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w:t>
            </w:r>
          </w:p>
        </w:tc>
        <w:tc>
          <w:tcPr>
            <w:tcW w:w="137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资质</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近三年投标产品位于Gartner数据中心数据备份与恢复魔力象限的领导者象限。</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知名品牌，非OEM，投标产品需要与VMware vSAN进行深度集成，为vSAN架构提供良好的备份和恢复功能且获得VMware官方认证。</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w:t>
            </w:r>
          </w:p>
        </w:tc>
        <w:tc>
          <w:tcPr>
            <w:tcW w:w="137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数据保护</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具备虚拟化环境下的备份、复制和容灾功能；采用无代理部署方式，即无需在每个虚拟机系统中安装备份代理/引擎，对虚拟机进行备份、复制和容灾。支持对虚拟机容灾操作进行自动化流程编排。</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无需在虚拟机中部署额外客户端，即可无代理方式备份、复制和还原虚拟机及关键应用（Oracle、 SQL Server等应用），备份时可以确保关键应用的一致性。</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通过利用存储快照技术（Dell EMC、NetApp、HPE、IBM等）来备份、复制和恢复虚拟机，减低物理服务器负载，实现更快速的虚拟机和应用程序保护。</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VMware环境下虚拟机连续数据保护功能，无需在虚拟机中安装代理进行磁盘I/O数据同步，不依赖任何硬件或操作系统即可使RPO达到秒级；支持通过定义连续数据保护的RPO和运行策略来周期性执行数据同步；支持设置可接受的RPO违规阈值，以便偶发的RPO超时不会导致报警；支持灵活的设置短期和长期保留策略；需要具备连续数据保护计算工具，以评估连续数据保护策略实现指定的RPO所需的带宽并评估当前可用的连续数据保护代理资源是否满足执行策略的要求。投标时提供配置产品使用界面截图证明。</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可以对 Oracle RAC、物理 ASM 和 Oracle 容器数据库使用 RMAN 进行备份。</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可以依据实际环境选择LAN备份、SAN备份或者Server备份虚拟机，并能够自动选择最佳备份方式。</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支持对虚拟机所在存储进行性能监控，根据存储io延迟进行备份限制，以确保数据保护作业不会影响生产业务。</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10</w:t>
            </w:r>
          </w:p>
        </w:tc>
        <w:tc>
          <w:tcPr>
            <w:tcW w:w="137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数据恢复</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支持以无代理的方式对Oracle、SQL Server、AD等应用的对象级细颗粒度恢复，支持对AD中用户、组、计算机账号、联系人以及计算机密码的恢复，支持以无代理的方式利用Oracle、SQL Server事务日志备份数据进行数据库恢复。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11</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支持对通过映像级备份生成的Microsoft SQL、Oracle 数据库备份进行即时数据库恢复，快速恢复数据库服务器，且支持利用数据库日志备份将数据库还原到最新状态，减少数据库停机时间。</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12</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支持在生产环境中直接从任意物理主机及虚拟机备份文件中及时恢复为VMware虚拟机。支持多个虚拟机同时快速恢复。支持不需要进行全量备份和增量备份合成而直接利用虚拟机增量备份点进行虚拟机快速恢复。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13</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支持将NFS、SMB共享备份数据即时恢复成SMB共享协议对外提供访问，为NAS备份数据提供快速业务访问功能</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14</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能够支持整个虚拟机恢复、虚拟机文件、虚拟磁盘恢复，支持直接从备份文件中启动虚拟机和业务系统。</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15</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支持从联想、DELL EMC、NetApp、HPE、IBM等企业存储级快照中恢复单个虚拟机、客户机操作系统文件或应用程序及程序中的子项目，还包括快照任务中的事务日志处理。以支持 Oracle 和 SQL 通过快照进行时间点恢复。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16</w:t>
            </w:r>
          </w:p>
        </w:tc>
        <w:tc>
          <w:tcPr>
            <w:tcW w:w="137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备份介质</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支持强化的 Linux 存储库, 使用原生不可变的备份存储库确保数据安全，防止勒索软件恶意加密和删除, 在指定的保留期内确保备份和副本安全，且支持 XFS 快速数据块克隆减少存储空间消耗。</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17</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支持备份到磁盘设备（包括DAS、SAN、NAS存储等）、LTO规格的磁带（备份和归档文件到磁带,归档备份文件到磁带）、支持具有去重功能的专业备份设备（例如：Dell EMC Data Domain Boost、HPE StoreOnce Catalyst）、S3对象存储。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18</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支持对象存储的S3 lock功能，支持将写入到对象存储内的备份数据进行不可变加固，保障对象存储内的备份数据不被勒索病毒感染。</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19</w:t>
            </w:r>
          </w:p>
        </w:tc>
        <w:tc>
          <w:tcPr>
            <w:tcW w:w="137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支持备份介质集群化管理，支持负载均衡，支持将备份数据在不同备份介质间平滑迁移。</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20</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利用备份数据</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支持根据预先配置自动构建相对隔离的网络环境，在隔离的网络环境中运行备份虚拟机用于测试和故障排查，隔离的网络环境可以与生产环境连接而不会造成虚拟机IP地址冲突。</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21</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安全验证</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可实现安全的恢复验证，能够通过可选的实时杀毒扫描，扫描和验证备份，以提高安全性和减少病毒引起的中断事件；恢复至安全、未受感染的恢复点。投标时提供配置产品使用界面截图证明。</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22</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有效性验证</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内置自动化流程引擎，支持对生产系统在隔离环境中进行严格的备份自动化恢复演练测试且不影响系统稳定运行。演练报告邮件可配置为自动向管理员发送。</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23</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容灾切换</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提供一键故障切换机制，通过流程式的故障切换机制减低故障切换风险。支持进行应用一致性复制（包括Oracle、 SQL Server、AD等应用）。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24</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广域网加速</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支持广域网链路优化功能，提升广域网虚拟机或备份数据容灾的性能，减小网络带宽占用。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25</w:t>
            </w:r>
          </w:p>
        </w:tc>
        <w:tc>
          <w:tcPr>
            <w:tcW w:w="13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授权</w:t>
            </w:r>
          </w:p>
        </w:tc>
        <w:tc>
          <w:tcPr>
            <w:tcW w:w="64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授权方式：需要支持至少20个物理机或虚拟机1年授权许可，全功能授权许可（包含Oracle、SQL server、Exchange、AD等应用备份功能），提供重复数删除许可，不限制本地、异地、云端备份介质使用空间，包含异地备份功能许可，包含将备份数据拷贝到云存储功能许可，包含将备</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份数据直接备份到对象存储许可，提供Oracle、SQL、NAS备份数据即时恢复功能许可。承诺交货时提供原厂授权</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函</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，用户单位：宁波市第一医</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院。</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keepLines/>
        <w:widowControl w:val="0"/>
        <w:spacing w:before="260" w:after="260"/>
        <w:jc w:val="both"/>
        <w:outlineLvl w:val="2"/>
        <w:rPr>
          <w:rFonts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7. 服务器防病毒系统</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05"/>
        <w:gridCol w:w="6367"/>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序号</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名称</w:t>
            </w: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技术参数</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w:t>
            </w:r>
          </w:p>
        </w:tc>
        <w:tc>
          <w:tcPr>
            <w:tcW w:w="1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系统要求</w:t>
            </w: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支持对实体服务器、虚拟机、VPS和云服务器等及多种混合环境实施集中管理和监控，同时支持OpenStack等云操作平台，Xen、Hyper-V、Vmware、KVM等虚拟化架构。</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本次采购</w:t>
            </w:r>
            <w:r>
              <w:rPr>
                <w:rFonts w:hint="eastAsia" w:ascii="宋体" w:hAnsi="宋体" w:eastAsia="宋体" w:cs="宋体"/>
                <w:color w:val="000000" w:themeColor="text1"/>
                <w:kern w:val="0"/>
                <w:sz w:val="21"/>
                <w:szCs w:val="21"/>
                <w:lang w:val="en-US" w:eastAsia="zh-CN"/>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0个授权</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无需另外安装管理控制中心，实现跟当前正在使用的管理控制中心共用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w:t>
            </w:r>
          </w:p>
        </w:tc>
        <w:tc>
          <w:tcPr>
            <w:tcW w:w="1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产品安全机制</w:t>
            </w: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客户端具有反逆向、反调试功能、自保护功能，客户端和管理中心通信采用安全的加密机制</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支持自我防护技术，即使客户端被意外关闭，防护依然有效</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p>
        </w:tc>
        <w:tc>
          <w:tcPr>
            <w:tcW w:w="1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服务行为清点</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支持对主机上服务的命令执行、文件创建、网络外连行为进行清点</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支持对服务行为进行状态学习，针对学习到的行为之外的各类行为进行告警，支持对行为进行信任、例外操作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Webshell检测</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支持对主机Web目录或指定任意目录进行Webshell扫描检测，对发现的恶意Webshell文件进行告警</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病毒查杀</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采用主动的方式进行自动化病毒查杀，可支持Bitdefender、ClamAV、Qowl等多引擎技术识别并查杀最新病毒；可支持病毒文件自动隔离、自动删除、不处理三种方式。并可将病毒查杀的结果导出报告</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6</w:t>
            </w:r>
          </w:p>
        </w:tc>
        <w:tc>
          <w:tcPr>
            <w:tcW w:w="1405"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溯源分析</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支持查询最近包括Web防护日志、系统防护日志、登录日志及相关监控日志的统一关联查询分析。日志包含具体时间、日志类别及描述等信息，用户可将日志导出，以便保存、查阅</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支持对安全事件进行溯源分析，对安全事件的等级、攻击类型、ATT&amp;CK ID、ATT攻击阶段进行匹配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支持将安全事件白名单处理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7</w:t>
            </w:r>
          </w:p>
        </w:tc>
        <w:tc>
          <w:tcPr>
            <w:tcW w:w="140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系统加固</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支持系统内核加固技术，对非法创建文件、非法更改系统设置、非法创建可执行文件、非法提权等恶意行为进行监控和防护。（提供产品截图证明）</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p>
        </w:tc>
        <w:tc>
          <w:tcPr>
            <w:tcW w:w="140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IP黑白名单</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支持黑名单、白名单两种模式，控制特定IP/IP段访问服务器主机</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9</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服务器加固</w:t>
            </w:r>
          </w:p>
        </w:tc>
        <w:tc>
          <w:tcPr>
            <w:tcW w:w="63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通过服务器内核加固技术，加强操作系统自身对抗恶意代码和黑客攻击的能力，抵御非法提权、非法创建可执行文件等黑客行为，有效降低无补丁可打、无法打补丁带来的的安全风险。</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 Windows操作系统权限控制：</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将非管理员组账户添加到管理员组；在系统目录下对可执行类型文件进行读写操作；添加启动项；加载没有数字签名的驱动；</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 Linux操作系统权限控制：</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修改账户信息；修改系统配置文件；添加系统自启动项；在系统目录下创建及修改可执行文件；修改系统日志；</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（提供</w:t>
            </w:r>
            <w:r>
              <w:rPr>
                <w:rFonts w:hint="eastAsia" w:ascii="宋体" w:hAnsi="宋体" w:eastAsia="宋体" w:cs="宋体"/>
                <w:color w:val="000000" w:themeColor="text1"/>
                <w:kern w:val="0"/>
                <w:sz w:val="21"/>
                <w:szCs w:val="21"/>
                <w:highlight w:val="none"/>
                <w:lang w:val="en-US" w:eastAsia="zh-Hans"/>
                <w14:textFill>
                  <w14:solidFill>
                    <w14:schemeClr w14:val="tx1"/>
                  </w14:solidFill>
                </w14:textFill>
              </w:rPr>
              <w:t>产品截图</w:t>
            </w:r>
            <w:r>
              <w:rPr>
                <w:rFonts w:hint="eastAsia" w:ascii="宋体" w:hAnsi="宋体" w:eastAsia="宋体" w:cs="宋体"/>
                <w:color w:val="000000" w:themeColor="text1"/>
                <w:kern w:val="0"/>
                <w:sz w:val="21"/>
                <w:szCs w:val="21"/>
                <w:highlight w:val="none"/>
                <w14:textFill>
                  <w14:solidFill>
                    <w14:schemeClr w14:val="tx1"/>
                  </w14:solidFill>
                </w14:textFill>
              </w:rPr>
              <w:t>）</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文件防篡改</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支持驱动级防篡改，可以保护整个目录、网页或文件不被恶意修改或者变更，支持监控和控制文件读取、写入、删除、链接、创建、执行、重命名等操作，支持对目录、进程进行例外设置。</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restar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11</w:t>
            </w:r>
          </w:p>
        </w:tc>
        <w:tc>
          <w:tcPr>
            <w:tcW w:w="1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Web应用攻击防护</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支持对SQL注入攻击、XSS攻击等Web应用攻击进行监控和防护，支持覆盖URL、Cookie、POST、UA等字段类型</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支持对Web服务器溢出攻击、浏览畸形文件、文件名解析漏洞、XFF攻击等进行检测和防护（提供产品截图证明）</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支持对GET、HEAD、POST等请求类型进行监控和控制</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支持对HTTP请求头中的Cookie、UA、Content-Type、XFF、Accept、Range、Referer、Host标识的长度、内容进行监控和控制，支持黑名单和白名单两种模式</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支持网站浏览实时防护，支持asp、php、jsp等常见文件进行防护，支持自定义防护文件类型</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支持URL控制，控制特定IP或IP段固定访问指定的URL</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支持自定义Web攻击检测规则，支持设置Web文件、目录白名单</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c>
          <w:tcPr>
            <w:tcW w:w="1405"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支持对ASP、.Net、PHP、Java四种语言进行RASP防护</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12</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等保合规性</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软件产品全面符合等级保护关于主机防护方面的技术要求，</w:t>
            </w:r>
            <w:r>
              <w:rPr>
                <w:rFonts w:hint="eastAsia" w:ascii="宋体" w:hAnsi="宋体" w:eastAsia="宋体" w:cs="宋体"/>
                <w:color w:val="000000" w:themeColor="text1"/>
                <w:kern w:val="2"/>
                <w:sz w:val="21"/>
                <w:szCs w:val="21"/>
                <w:shd w:val="clear" w:color="auto" w:fill="FFFFFF"/>
                <w:lang w:val="en-US" w:eastAsia="zh-CN" w:bidi="ar-SA"/>
                <w14:textFill>
                  <w14:solidFill>
                    <w14:schemeClr w14:val="tx1"/>
                  </w14:solidFill>
                </w14:textFill>
              </w:rPr>
              <w:t>软件开发商要求为“信息安全等级保护关键技术国家工程实验室”</w:t>
            </w:r>
            <w:r>
              <w:rPr>
                <w:rFonts w:hint="eastAsia" w:ascii="宋体" w:hAnsi="宋体" w:eastAsia="宋体" w:cs="宋体"/>
                <w:color w:val="000000" w:themeColor="text1"/>
                <w:kern w:val="2"/>
                <w:sz w:val="21"/>
                <w:szCs w:val="21"/>
                <w:shd w:val="clear" w:color="auto" w:fill="FFFFFF"/>
                <w:lang w:val="en-US" w:eastAsia="zh-Hans" w:bidi="ar-SA"/>
                <w14:textFill>
                  <w14:solidFill>
                    <w14:schemeClr w14:val="tx1"/>
                  </w14:solidFill>
                </w14:textFill>
              </w:rPr>
              <w:t>共建单位</w:t>
            </w:r>
            <w:r>
              <w:rPr>
                <w:rFonts w:hint="eastAsia" w:ascii="宋体" w:hAnsi="宋体" w:eastAsia="宋体" w:cs="宋体"/>
                <w:color w:val="000000" w:themeColor="text1"/>
                <w:kern w:val="2"/>
                <w:sz w:val="21"/>
                <w:szCs w:val="21"/>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提供证明文件</w:t>
            </w:r>
            <w:r>
              <w:rPr>
                <w:rFonts w:hint="eastAsia" w:ascii="宋体" w:hAnsi="宋体" w:cs="宋体"/>
                <w:color w:val="000000" w:themeColor="text1"/>
                <w:kern w:val="2"/>
                <w:sz w:val="21"/>
                <w:szCs w:val="21"/>
                <w:highlight w:val="none"/>
                <w:shd w:val="clear" w:color="auto" w:fill="FFFFFF"/>
                <w:lang w:val="en-US" w:eastAsia="zh-CN" w:bidi="ar-SA"/>
                <w14:textFill>
                  <w14:solidFill>
                    <w14:schemeClr w14:val="tx1"/>
                  </w14:solidFill>
                </w14:textFill>
              </w:rPr>
              <w:t>。</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13</w:t>
            </w:r>
          </w:p>
        </w:tc>
        <w:tc>
          <w:tcPr>
            <w:tcW w:w="140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服务要求</w:t>
            </w:r>
          </w:p>
        </w:tc>
        <w:tc>
          <w:tcPr>
            <w:tcW w:w="6367" w:type="dxa"/>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三年软件与库升级服务，投标时提供原厂商出具的售后服务承诺函并加盖原厂商公章</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r>
    </w:tbl>
    <w:p>
      <w:pPr>
        <w:numPr>
          <w:ilvl w:val="0"/>
          <w:numId w:val="0"/>
        </w:numPr>
        <w:spacing w:line="360" w:lineRule="auto"/>
        <w:outlineLvl w:val="9"/>
        <w:rPr>
          <w:rFonts w:hint="eastAsia" w:ascii="宋体" w:hAnsi="宋体" w:eastAsia="宋体" w:cs="宋体"/>
          <w:b/>
          <w:color w:val="000000" w:themeColor="text1"/>
          <w:szCs w:val="21"/>
          <w:highlight w:val="none"/>
          <w:lang w:val="en-US" w:eastAsia="zh-CN"/>
          <w14:textFill>
            <w14:solidFill>
              <w14:schemeClr w14:val="tx1"/>
            </w14:solidFill>
          </w14:textFill>
        </w:rPr>
      </w:pPr>
    </w:p>
    <w:p>
      <w:pPr>
        <w:numPr>
          <w:ilvl w:val="0"/>
          <w:numId w:val="0"/>
        </w:numPr>
        <w:spacing w:line="360" w:lineRule="auto"/>
        <w:outlineLvl w:val="2"/>
        <w:rPr>
          <w:rFonts w:hint="default" w:ascii="宋体" w:hAnsi="宋体" w:eastAsia="宋体" w:cs="宋体"/>
          <w:b/>
          <w:bCs/>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 xml:space="preserve">8. 数据中心网络扩容 </w:t>
      </w:r>
    </w:p>
    <w:tbl>
      <w:tblPr>
        <w:tblStyle w:val="51"/>
        <w:tblW w:w="936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39"/>
        <w:gridCol w:w="4311"/>
        <w:gridCol w:w="750"/>
        <w:gridCol w:w="112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指标项</w:t>
            </w: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设备名称</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单位</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t>数据中心网络扩容</w:t>
            </w: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序号8-1：园区核心交换机</w:t>
            </w: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(核心产品)</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序号8-2：ED边缘交换机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序号8-3：DC核心交换机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序号8-4：服务器汇聚交换机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序号8-5：DC南北向防火墙</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序号8-6：园区容灾交换机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序号8-7：ADDC软件</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套</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序号8-8：光模块</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w:t>
            </w:r>
          </w:p>
        </w:tc>
        <w:tc>
          <w:tcPr>
            <w:tcW w:w="11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03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序号8-1：园区核心交换机:</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325"/>
        <w:gridCol w:w="644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2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44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06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整机性能</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交换容量≥38Tbps，官网有两个指标的，以小的为准</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包转发率≥36000Mpps，官网有两个指标的，以小的为准</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★槽位要求</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业务插槽数≥3个，主控槽数≥2,满足1+1冗余； </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单槽位能够同时提供千兆光口、千兆电口、万兆光口，且实际可用端口总数≥48</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考虑未来安全扩展性，可配置下一代防火墙插卡</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路由协议</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支持IPv6，支持静态路由、支持RIPv1/v2，OSPFv2，BGPv4+ for IPV6，ISISv6，支持等价路由，路由策略，策略路由，支持IPv4和IPv6双协议栈；</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虚拟化</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虚拟化（N:1）：支持虚拟化技术，支持多台核心设备虚拟为一台，具有协同工作、统一管理和不间断维护功能</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VxLAN</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支持VxLAN 网关</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QoS</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至少具备8个QoS优先级，通过服务质量策略（特别是优先权规则和算法）为关键业务和特定应用预留带宽；支持出方向的流量限速功能（Egress Car）；</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★MACsec技术</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支持MACsec技术，鉴别数据源的密码技术，保护信息完整并提供再保护和保密服务。</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可靠性</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支持主控，电源风扇冗余；</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支持所有单板支持热插拔；</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支持RRPP、ERPS、RPR；</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支持CPU保护技术；</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有线无线一体化</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支持交换机内置AC功能，支持原生的无线AC功能，无需独立的AC板卡或带AC功能的接口板，即支持无线AP管理功能</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安全特性</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支持全面的安全防护功能，具备四到七层的安全防护、负载均衡特性、并具备安全资源虚拟化等特性； </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管理特性</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内置智能管理功能，支持通过图形化界面设备配置及命令一键下发和版本智能升级。</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配置要求</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配置双主控、双电源、1块≥40G吞吐防火墙插卡，5年IPS/AV特征库升级授权，万兆光口≥48，3m万兆堆叠线缆≥1</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授权质保</w:t>
            </w:r>
          </w:p>
        </w:tc>
        <w:tc>
          <w:tcPr>
            <w:tcW w:w="644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提供原厂商针对该项目授权函及</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年质保函</w:t>
            </w:r>
          </w:p>
        </w:tc>
        <w:tc>
          <w:tcPr>
            <w:tcW w:w="106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序号8-2：ED边缘交换</w:t>
      </w:r>
      <w:r>
        <w:rPr>
          <w:rFonts w:hint="eastAsia" w:asciiTheme="minorEastAsia" w:hAnsiTheme="minorEastAsia" w:eastAsiaTheme="minorEastAsia" w:cstheme="minorEastAsia"/>
          <w:color w:val="000000" w:themeColor="text1"/>
          <w14:textFill>
            <w14:solidFill>
              <w14:schemeClr w14:val="tx1"/>
            </w14:solidFill>
          </w14:textFill>
        </w:rPr>
        <w:t>机</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325"/>
        <w:gridCol w:w="6462"/>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2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462"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050"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交换容量</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≥4.8Tbps，以官网所列最低参数为准</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转发性能</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≥2000Mpps,，以官网所列最低参数为准</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固定端口</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40G 光口端口数量≥2个</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★扩展插槽</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≥2个，且支持下一代防火墙插卡，提供官网选配截图证明</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★软件规格</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整机最大MAC地址表≥280K</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VLAN</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支持基于端口、基于协议、基于MAC的VLAN</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支持QinQ和灵活QinQ</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二层功能</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支持基于端口、基于协议、基于MAC的VLAN</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支持动态MAC、静态MAC和黑洞MAC表项</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三层功能</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支持RIP、OSPF、ISIS、BGP等IPv4动态路由协议</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支持RIPng、OSPFv3、ISISv6、BGP4+等IPv6动态路由协议</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MPLS</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支持MPLS、MCE</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支持MPLS VPN</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可靠性</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支持VRRP</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支持跨设备链路聚合技术</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数据中心特性</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支持VxLAN Mapping</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支持服务链Service chain</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可视化</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支持Telemetry可视化功能</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QoS</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支持SP, WRR, SP+WRR, 调度方式</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支持L2~L4协议包过滤功能和流分类</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可靠性</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支持双电源、双风扇，支持前后风道</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本次实配</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本次单台配置≥1块24端口万兆光+2端口40G板卡，≥1条万兆堆叠线缆；双电源，双风扇</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授权质保</w:t>
            </w:r>
          </w:p>
        </w:tc>
        <w:tc>
          <w:tcPr>
            <w:tcW w:w="6462"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提供原厂商针对该项目授权函及不少于三年质保函</w:t>
            </w:r>
          </w:p>
        </w:tc>
        <w:tc>
          <w:tcPr>
            <w:tcW w:w="10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bidi w:val="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序号8-3：DC核心交换机</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325"/>
        <w:gridCol w:w="6477"/>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2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47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03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★交换容量</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≥4.8Tbps，以官网所列最低参数为准</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≥2000Mpps,，以官网所列最低参数为准</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固定端口</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40G 光口端口数量≥2个</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★扩展插槽</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≥2个，且支持下一代防火墙插卡</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★软件规格</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整机最大MAC地址表≥280K</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支持基于端口、基于协议、基于MAC的VLAN</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支持QinQ和灵活QinQ</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二层功能</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支持基于端口、基于协议、基于MAC的VLAN</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支持动态MAC、静态MAC和黑洞MAC表项</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三层功能</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支持RIP、OSPF、ISIS、BGP等IPv4动态路由协议</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支持RIPng、OSPFv3、ISISv6、BGP4+等IPv6动态路由协议</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25" w:type="dxa"/>
            <w:vMerge w:val="restart"/>
            <w:noWrap w:val="0"/>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MPLS</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支持MPLS、MCE</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支持MPLS VPN</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支持VRRP</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支持跨设备链路聚合技术</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数据中心特性</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支持VxLAN Mapping</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支持服务链Service chain</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可视化</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支持Telemetry可视化功能</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25" w:type="dxa"/>
            <w:vMerge w:val="restar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QoS</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支持SP, WRR, SP+WRR, 调度方式</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支持L2~L4协议包过滤功能和流分类</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32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支持双电源、双风扇，支持前后风道</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325" w:type="dxa"/>
            <w:noWrap w:val="0"/>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★本次实配</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本次单台配置≥1块24端口万兆光+2端口40G板卡，≥1条万兆堆叠线缆；双电源，双风扇</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1325" w:type="dxa"/>
            <w:noWrap w:val="0"/>
            <w:vAlign w:val="center"/>
          </w:tcPr>
          <w:p>
            <w:pPr>
              <w:pStyle w:val="441"/>
              <w:bidi w:val="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★授权质保</w:t>
            </w:r>
          </w:p>
        </w:tc>
        <w:tc>
          <w:tcPr>
            <w:tcW w:w="6477"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承诺交货时提供原厂商针对该项目授权函及不少于三年质保函</w:t>
            </w:r>
          </w:p>
        </w:tc>
        <w:tc>
          <w:tcPr>
            <w:tcW w:w="1035"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rPr>
          <w:rFonts w:hint="eastAsia"/>
          <w:color w:val="000000" w:themeColor="text1"/>
          <w14:textFill>
            <w14:solidFill>
              <w14:schemeClr w14:val="tx1"/>
            </w14:solidFill>
          </w14:textFill>
        </w:rPr>
      </w:pPr>
    </w:p>
    <w:p>
      <w:pPr>
        <w:rPr>
          <w:rFonts w:hint="eastAsia" w:ascii="宋体" w:hAnsi="宋体" w:eastAsia="宋体" w:cs="宋体"/>
          <w:color w:val="000000" w:themeColor="text1"/>
          <w:highlight w:val="none"/>
          <w:lang w:val="en-US" w:eastAsia="zh-CN"/>
          <w14:textFill>
            <w14:solidFill>
              <w14:schemeClr w14:val="tx1"/>
            </w14:solidFill>
          </w14:textFill>
        </w:rPr>
      </w:pPr>
    </w:p>
    <w:p>
      <w:pP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序号8-4：</w:t>
      </w:r>
      <w:r>
        <w:rPr>
          <w:rFonts w:hint="eastAsia" w:ascii="宋体" w:hAnsi="宋体" w:eastAsia="宋体" w:cs="宋体"/>
          <w:color w:val="000000" w:themeColor="text1"/>
          <w:highlight w:val="none"/>
          <w:lang w:eastAsia="zh-CN"/>
          <w14:textFill>
            <w14:solidFill>
              <w14:schemeClr w14:val="tx1"/>
            </w14:solidFill>
          </w14:textFill>
        </w:rPr>
        <w:t>服务器汇聚交换机</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325"/>
        <w:gridCol w:w="632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序号</w:t>
            </w:r>
          </w:p>
        </w:tc>
        <w:tc>
          <w:tcPr>
            <w:tcW w:w="132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指标项</w:t>
            </w:r>
          </w:p>
        </w:tc>
        <w:tc>
          <w:tcPr>
            <w:tcW w:w="6329"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技术规格</w:t>
            </w:r>
          </w:p>
        </w:tc>
        <w:tc>
          <w:tcPr>
            <w:tcW w:w="1183"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★交换容量</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≥4.8Tbps，以官网所列最低参数为准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≥2000Mpps,，以官网所列最低参数为准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固定端口</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100G 光口端口数量≥6个，10G光口≥48个</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★软件规格</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整机最大ARP地址表≥270K</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整机最大MAC地址表≥280K</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支持基于端口、基于协议、基于MAC的VLAN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支持QinQ和灵活QinQ</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二层功能</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支持基于端口、基于协议、基于MAC的VLAN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支持动态MAC、静态MAC和黑洞MAC表项</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三层功能</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支持RIP、OSPF、ISIS、BGP等IPv4动态路由协议</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支持RIPng、OSPFv3、ISISv6、BGP4+等IPv6动态路由协议</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MPLS</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支持MPLS、MCE</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支持MPLS VPN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支持VRRP</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支持跨设备链路聚合技术</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数据中心特性</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支持VxLAN Mapping</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支持服务链Service chain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可视化</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支持Telemetry可视化功能</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2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QoS</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支持SP, WRR, SP+WRR, 调度方式</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支持L2~L4协议包过滤功能和流分类</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2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支持双电源、5风扇，支持前后风道，提供官网截图证明</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★本次实配</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本次单台配置双电源，5风扇，≥1条万兆堆叠线缆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★授权质保</w:t>
            </w:r>
          </w:p>
        </w:tc>
        <w:tc>
          <w:tcPr>
            <w:tcW w:w="6329"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承诺交货时提供原厂商针对该项目授权函及不少于三年质保函</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序号8-5：DC南北向防火墙</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325"/>
        <w:gridCol w:w="632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17"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25"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329"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183" w:type="dxa"/>
            <w:shd w:val="clear" w:color="auto" w:fill="FFFFFF"/>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★硬件架构</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采用非X86多核架构，具备可插拔冗余电源模块，可插拔冗余风扇模块</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★性能要求</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网络层吞吐量≥40G，并发连接数≥1600W，新建连接数≥50W</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接口类型</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千兆电接口数量≥8个，combo接口≥4个，万兆光口≥8个</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VPN</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实现高性能IPSec、L2TP、GRE VPN、SSL VPN等功能。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支持IPsec VPN隧道自动建立，无需流量触发；</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支持IPsec VPN智能选路，根据隧道质量调度流量</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★可基于每个SSL VPN用户的会话连接数、连接时间和流量阀值进行细颗粒度的管控</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升级服务</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整机同时具备防火墙、链路负载均衡、入侵防御、防病毒、带宽控制、应用识别和web应用防护等功能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攻击防护</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实现安全区域划分，访问控制列表，配置对象及策略，动态包过滤，黑名单，MAC和IP绑定功能，基于MAC的访问控制列表，802.1q VLAN 透传等功能。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安全策略</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支持一体化安全策略，能够基于时间、用户/用户组、应用层协议、五元组、内容安全统一界面进行安全策略配置</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WEB安全防护</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支持至少4000种的Web特征的攻击检测和防御</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应用识别</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支持至少6000条以上的应用识别，且提示风险类型及风险级别，便于用户根据实际情况进行上网行为管理</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★终端识别</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当终端流量流经设备时，设备可以分析并提取出终端信息，例如终端的厂商、型号等，并支持在终端信息发生变更时（比如将原厂商的摄像头换为其他厂商的摄像头）向用户发送日志，提示用户</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URL过滤</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支持联动云端URL地址库进行全面实施核查</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防病毒</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可基于病毒特征进行检测，实现病毒库手动和自动升级，实现病毒日志和报表； 支持基于文件协议、邮件协议（SMTP/POP3/imap)、共享协议（NFS/SMB）的病毒功能。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支持云端防病毒，为保证检测时效性，特征缓存数至少保证20万条且缓存保留时间不应少于700分钟</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25"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IPv6</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实现IPV6动态路由协议、IPV6对象及策略、IPV6状态防火墙、IPV6日志审计、IPV6会话热备等功能。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25"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支持IPV6下的访问控制、IPSec VPN、DDoS防护等安全功能。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负载均衡</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支持服务器负载均衡支持基于HTTP RADIUS MYSQL等应用类型的匹配，支持基于IP流量特征、ISP 、用户、入接口、tcp载荷等类型的匹配规则</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国密算法</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支持国密SM1/2/3/4算法。</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设备管理</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为了保证整个网络的可靠稳定，要求本次采购的安全设备支持A/S，A/A方式部署，支持配置同步和会话同步</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★实际配置</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双电源双风扇，5年IPS/AV特征库升级服务； 3根万兆堆叠线缆（2台设备）</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132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★质保授权</w:t>
            </w:r>
          </w:p>
        </w:tc>
        <w:tc>
          <w:tcPr>
            <w:tcW w:w="632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承诺交货时提供原厂商针对该项目授权函及不少于三年质保函</w:t>
            </w:r>
          </w:p>
        </w:tc>
        <w:tc>
          <w:tcPr>
            <w:tcW w:w="1183"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序号8-6：园区容灾交换机</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4"/>
        <w:gridCol w:w="1307"/>
        <w:gridCol w:w="633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★交换容量</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≥2.56Tbps，如果官网有两个不同大小的指标，以小的为准。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≥720Mpps，如果官网有两个不同大小的指标，以小的为准。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主机端口</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万兆光接口数量≥24个；</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40G光接口数量≥2个；</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0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★扩展槽</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数量≥2，可扩展8端口5G/2.5G接口板卡、下一代防火墙插卡</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0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最大VLAN数≥4094</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0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★VxLAN特性</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支持VxLAN（虚拟扩展局域网）技术，可以同时支持VxLAN二三层网关。</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虚拟化（N:1）：必须支持虚拟化技术，支持将多台设备虚拟为一台，具有协同工作、统一管理和不间断维护功能；</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0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镜像功能</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支持本地端口镜像和远程端口镜像RSPAN；</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同时支持N:4端口镜像</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0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组播协议</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支持PIM-DM、PIM-SM、IGMP、IGMP Snooping等协议</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支持MLD，MLD Snooping等IPv6组播协议</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07"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支持IPv4静态路由、RIP、OSPF、BGP</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支持IPv6静态路由、RIPng、OSPFv3、BGP4+</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支持IPv4和IPv6环境下的策略路由</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0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支持IPv6手动隧道、6to4隧道和ISATAP隧道</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IEEE 802.1ae</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支持Macsec链路保护协议，保障园区业务的安全可靠</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支持并配置冗余可插拔的双电源模块和双风扇模块，风扇风向可选，提高设备硬件可靠性</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★本次实配</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本次单台配置双电源，双风扇，≥1条万兆堆叠线缆</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34"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307"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★质保授权</w:t>
            </w:r>
          </w:p>
        </w:tc>
        <w:tc>
          <w:tcPr>
            <w:tcW w:w="633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承诺交货时提供原厂商针对该项目授权函及不少于三年质保函</w:t>
            </w:r>
          </w:p>
        </w:tc>
        <w:tc>
          <w:tcPr>
            <w:tcW w:w="1183"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rPr>
          <w:rFonts w:hint="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8-7:</w:t>
      </w:r>
      <w:r>
        <w:rPr>
          <w:rFonts w:hint="eastAsia" w:asciiTheme="minorEastAsia" w:hAnsiTheme="minorEastAsia" w:eastAsiaTheme="minorEastAsia" w:cstheme="minorEastAsia"/>
          <w:color w:val="000000" w:themeColor="text1"/>
          <w14:textFill>
            <w14:solidFill>
              <w14:schemeClr w14:val="tx1"/>
            </w14:solidFill>
          </w14:textFill>
        </w:rPr>
        <w:t>ADDC软件</w:t>
      </w:r>
    </w:p>
    <w:tbl>
      <w:tblPr>
        <w:tblStyle w:val="5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96"/>
        <w:gridCol w:w="1345"/>
        <w:gridCol w:w="634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软件架构</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支持容器化部署，支持数据中心、广域网、园区等控制模块部署在同一平台，节约硬件资源需求</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★兼容性</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与医院现网SDN软件兼容</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易用性</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控制模块提供GUI界面，可以完成网络配置的图形化配置、编辑和查看展示</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南向接口</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控制模块支持OpenFlow 1.3、NETCONF、OVS-DB、SNMP、SSH等南向接口协议；</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34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控制模块集群高可靠</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集群成员间支持二层互通部署，也可以支持三层互通部署</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4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控制模块集群成员故障，转发网元设备可以自动切换到其他集群成员进行纳管</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4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SDN控制模块集群内部，支持分域负载分担工作模式，域内可以相互负载、相互备份</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345" w:type="dxa"/>
            <w:vMerge w:val="restar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组网高可用</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leaf节点的高可用，服务器双网卡上行绑定DRNI/IRF组网的leaf，单leaf电源、引擎等故障，对业务影响很小</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45" w:type="dxa"/>
            <w:vMerge w:val="continue"/>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spine节点的高可用，多spine环境下，单台spine本身的电源、引擎等故障，对业务影响很小</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underlay网络自动化</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underlay 网络的自动构建，支持OSPF/BGP/ISIS等路由协议配置，零命令行配置自动快速完成搭建一个路由可达的基础网络</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EVPN网络业务</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 EVPN+VxLAN 的分布式网关业务转发</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★本次实配</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本次方案相应设备数量的授权</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96"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★质保授权</w:t>
            </w:r>
          </w:p>
        </w:tc>
        <w:tc>
          <w:tcPr>
            <w:tcW w:w="6345"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承诺交货时提供原厂商针对该项目授权函及不少于3年质保函</w:t>
            </w:r>
          </w:p>
        </w:tc>
        <w:tc>
          <w:tcPr>
            <w:tcW w:w="1168"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8-8光模块</w:t>
      </w:r>
    </w:p>
    <w:tbl>
      <w:tblPr>
        <w:tblStyle w:val="51"/>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8"/>
        <w:gridCol w:w="1686"/>
        <w:gridCol w:w="3891"/>
        <w:gridCol w:w="829"/>
        <w:gridCol w:w="94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0" w:type="auto"/>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0" w:type="auto"/>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0" w:type="auto"/>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82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w:t>
            </w:r>
          </w:p>
        </w:tc>
        <w:tc>
          <w:tcPr>
            <w:tcW w:w="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单位</w:t>
            </w:r>
          </w:p>
        </w:tc>
        <w:tc>
          <w:tcPr>
            <w:tcW w:w="13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0" w:type="auto"/>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0" w:type="auto"/>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万兆多模光模块</w:t>
            </w:r>
          </w:p>
        </w:tc>
        <w:tc>
          <w:tcPr>
            <w:tcW w:w="0" w:type="auto"/>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SFP+ 万兆模块(850nm,300m,LC)，300M</w:t>
            </w:r>
          </w:p>
        </w:tc>
        <w:tc>
          <w:tcPr>
            <w:tcW w:w="82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w:t>
            </w:r>
          </w:p>
        </w:tc>
        <w:tc>
          <w:tcPr>
            <w:tcW w:w="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350"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0" w:type="auto"/>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0" w:type="auto"/>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万兆单模光模块</w:t>
            </w:r>
          </w:p>
        </w:tc>
        <w:tc>
          <w:tcPr>
            <w:tcW w:w="0" w:type="auto"/>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SFP+ 万兆模块(1550nm,80km,LC)，80KM</w:t>
            </w:r>
          </w:p>
        </w:tc>
        <w:tc>
          <w:tcPr>
            <w:tcW w:w="82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350" w:type="dxa"/>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keepLines/>
        <w:widowControl w:val="0"/>
        <w:numPr>
          <w:ilvl w:val="0"/>
          <w:numId w:val="0"/>
        </w:numPr>
        <w:spacing w:before="260" w:after="260"/>
        <w:jc w:val="both"/>
        <w:outlineLvl w:val="2"/>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4"/>
          <w:highlight w:val="none"/>
          <w:lang w:val="en-US" w:eastAsia="zh-CN" w:bidi="ar-SA"/>
          <w14:textFill>
            <w14:solidFill>
              <w14:schemeClr w14:val="tx1"/>
            </w14:solidFill>
          </w14:textFill>
        </w:rPr>
        <w:t>9. 楼层网络扩容</w:t>
      </w:r>
    </w:p>
    <w:tbl>
      <w:tblPr>
        <w:tblStyle w:val="51"/>
        <w:tblW w:w="936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39"/>
        <w:gridCol w:w="4311"/>
        <w:gridCol w:w="750"/>
        <w:gridCol w:w="81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指标项</w:t>
            </w: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设备名称</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w:t>
            </w:r>
          </w:p>
        </w:tc>
        <w:tc>
          <w:tcPr>
            <w:tcW w:w="81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单位</w:t>
            </w:r>
          </w:p>
        </w:tc>
        <w:tc>
          <w:tcPr>
            <w:tcW w:w="13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楼层网络扩容</w:t>
            </w: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序号9-1：48口汇聚交换机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81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3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序号9-2：24口汇聚交换机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81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3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序号9-3：48口接入交换机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32</w:t>
            </w:r>
          </w:p>
        </w:tc>
        <w:tc>
          <w:tcPr>
            <w:tcW w:w="81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3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序号9-4：24口接入交换机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81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3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bidi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序号9-5：POE交换机</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81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3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139"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311" w:type="dxa"/>
            <w:noWrap w:val="0"/>
            <w:tcMar>
              <w:top w:w="0" w:type="dxa"/>
              <w:left w:w="108" w:type="dxa"/>
              <w:bottom w:w="0" w:type="dxa"/>
              <w:right w:w="108" w:type="dxa"/>
            </w:tcMar>
            <w:vAlign w:val="center"/>
          </w:tcPr>
          <w:p>
            <w:pPr>
              <w:bidi w:val="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序号9-6：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光模块和光转电模块</w:t>
            </w:r>
          </w:p>
        </w:tc>
        <w:tc>
          <w:tcPr>
            <w:tcW w:w="7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199</w:t>
            </w:r>
          </w:p>
        </w:tc>
        <w:tc>
          <w:tcPr>
            <w:tcW w:w="81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1350" w:type="dxa"/>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序号9-1：48口汇聚交换机：</w:t>
      </w:r>
    </w:p>
    <w:tbl>
      <w:tblPr>
        <w:tblStyle w:val="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29"/>
        <w:gridCol w:w="6733"/>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52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★整体要求</w:t>
            </w: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为了便于院方的统一管理，须支持与原网络系统架构的无缝兼容。</w:t>
            </w:r>
          </w:p>
        </w:tc>
        <w:tc>
          <w:tcPr>
            <w:tcW w:w="66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性能要求</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≥2.56Tbps，如果官网有两个不同大小的指标，以小的为准；</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≥1080Mpps，如果官网有两个不同大小的指标，以小的为准；</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主机端口</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万兆光口≥48个，40G光口≥2个； </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扩展槽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数量≥2，可扩展8端口5G/2.5G接口板卡、下一代防火墙插卡；</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最大VLAN数≥4094；</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VxLAN特性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支持VxLAN（虚拟扩展局域网）技术，可以同时支持VxLAN二三层网关；</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虚拟化（N:1）：必须支持虚拟化技术，支持将多台设备虚拟为一台，具有协同工作、统一管理和不间断维护功能；</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支持通过标准以太端口进行堆叠；</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链路聚合</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支持GE端口聚合、支持10GE端口聚合、支持40G聚合、支持静态聚合、支持动态聚合、支持跨设备聚合；</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镜像功能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支持本地端口镜像和远程端口镜像RSPAN；</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同时支持N:4端口镜像；</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QOS</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每端口支持8个优先级队列；</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支持对端口接收报文的速率和发送报文的速率进行限制；</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提供广播风暴抑制功能；</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组播协议</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支持PIM-DM、PIM-SM、IGMP、IGMP Snooping等协议；</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支持MLD，MLD Snooping等IPv6组播协议；</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支持IPv4静态路由、RIP、OSPF、BGP；</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支持IPv6静态路由、RIPng、OSPFv3、BGP4+；</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支持IPv4和IPv6环境下的策略路由；</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支持IPv6手动隧道、6to4隧道和ISATAP隧道；</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★Macsec保护</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支持Macsec链路保护协议，保障园区业务的安全可靠；</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访问控制策略</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支持基于第二层、第三层和第四层的ACL；</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支持出方向ACL，以便于灵活实现数据包过滤；</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支持802.1x认证，支持集中式MAC地址认证；</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绿色节能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端口自动Power down功能；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端口定时down功能；</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支持并配置冗余可插拔的双电源模块和双风扇模块，风扇风向可选，提高设备硬件可靠性；</w:t>
            </w:r>
          </w:p>
        </w:tc>
        <w:tc>
          <w:tcPr>
            <w:tcW w:w="66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服务</w:t>
            </w: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最终用户名：宁波大学附属第一医院；</w:t>
            </w:r>
          </w:p>
        </w:tc>
        <w:tc>
          <w:tcPr>
            <w:tcW w:w="66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承诺交货时提供原厂商针对本项目的授权书与三年服务承诺函；</w:t>
            </w:r>
          </w:p>
        </w:tc>
        <w:tc>
          <w:tcPr>
            <w:tcW w:w="66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序号9-2：24口汇聚交换机</w:t>
      </w:r>
    </w:p>
    <w:tbl>
      <w:tblPr>
        <w:tblStyle w:val="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34"/>
        <w:gridCol w:w="6735"/>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指标项</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技术规格</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★要求</w:t>
            </w: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为确保日常网络稳定性及售后服务便利性，要求与汇聚交换机9-1为同一品牌；</w:t>
            </w:r>
          </w:p>
        </w:tc>
        <w:tc>
          <w:tcPr>
            <w:tcW w:w="658"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性能要求</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≥2.56Tbps，如果官网有两个不同大小的指标，以小的为准；</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≥1080Mpps，如果官网有两个不同大小的指标，以小的为准；</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主机端口</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万兆光口≥24个，40G光口≥2个； </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扩展槽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数量≥2，可扩展8端口5G/2.5G接口板卡、下一代防火墙插卡；</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最大VLAN数≥4094；</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VxLAN特性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支持VxLAN（虚拟扩展局域网）技术，可以同时支持VxLAN二三层网关；</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虚拟化（N:1）：必须支持虚拟化技术，支持将多台设备虚拟为一台，具有协同工作、统一管理和不间断维护功能；</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支持通过标准以太端口进行堆叠；</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链路聚合</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支持GE端口聚合、支持10GE端口聚合、支持40G聚合、支持静态聚合、支持动态聚合、支持跨设备聚合；</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镜像功能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支持本地端口镜像和远程端口镜像RSPAN；</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同时支持N:4端口镜像；</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QOS</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每端口支持8个优先级队列；</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支持对端口接收报文的速率和发送报文的速率进行限制；</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提供广播风暴抑制功能；</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组播协议</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支持PIM-DM、PIM-SM、IGMP、IGMP Snooping等协议；</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支持MLD，MLD Snooping等IPv6组播协议；</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支持IPv4静态路由、RIP、OSPF、BGP；</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支持IPv6静态路由、RIPng、OSPFv3、BGP4+；</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支持IPv4和IPv6环境下的策略路由；</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支持IPv6手动隧道、6to4隧道和ISATAP隧道；</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★Macsec保护</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支持Macsec链路保护协议，保障园区业务的安全可靠，投标时须提供对外官网截图证明；</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访问控制策略</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支持基于第二层、第三层和第四层的ACL；</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支持出方向ACL，以便于灵活实现数据包过滤；</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534" w:type="dxa"/>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支持802.1x认证，支持集中式MAC地址认证；</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绿色节能</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端口自动Power down功能；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端口定时down功能；</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16</w:t>
            </w:r>
          </w:p>
        </w:tc>
        <w:tc>
          <w:tcPr>
            <w:tcW w:w="153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可靠性</w:t>
            </w:r>
          </w:p>
        </w:tc>
        <w:tc>
          <w:tcPr>
            <w:tcW w:w="6735"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支持并配置冗余可插拔的双电源模块和双风扇模块，风扇风向可选，提高设备硬件可靠性；</w:t>
            </w:r>
          </w:p>
        </w:tc>
        <w:tc>
          <w:tcPr>
            <w:tcW w:w="658"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17</w:t>
            </w:r>
          </w:p>
        </w:tc>
        <w:tc>
          <w:tcPr>
            <w:tcW w:w="1534" w:type="dxa"/>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服务</w:t>
            </w: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最终用户名：宁波大学附属第一医院；</w:t>
            </w:r>
          </w:p>
        </w:tc>
        <w:tc>
          <w:tcPr>
            <w:tcW w:w="658"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dxa"/>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534" w:type="dxa"/>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6735"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承诺交货时提供原厂商针对本项目的授权书与三年服务承诺函；</w:t>
            </w:r>
          </w:p>
        </w:tc>
        <w:tc>
          <w:tcPr>
            <w:tcW w:w="658"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bl>
    <w:p>
      <w:pPr>
        <w:bidi w:val="0"/>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序号9-3：48口接入交换机</w:t>
      </w:r>
    </w:p>
    <w:tbl>
      <w:tblPr>
        <w:tblStyle w:val="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76"/>
        <w:gridCol w:w="667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序号</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指标项</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技术规格</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★要求</w:t>
            </w:r>
          </w:p>
        </w:tc>
        <w:tc>
          <w:tcPr>
            <w:tcW w:w="6674"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为确保日常网络稳定性及售后服务便利性，要求与汇聚交换机9-1为同一品牌；</w:t>
            </w:r>
          </w:p>
        </w:tc>
        <w:tc>
          <w:tcPr>
            <w:tcW w:w="660"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交换容量</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≥432Gbps，官网有两个指标的以小的为准；</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≥144Mpps，官网有两个指标的以小的为准；</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接口类型</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千兆电接口数量≥48个；</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万兆光接口≥4个 ；</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性能指标</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MAC地址表≥16K ；</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路由表容量≥512（支持OSPF）；</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ACL：1K；</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支持基于MAC的VLAN；</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IPv4/v6静态路由、RIP、OSPF </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访问控制策略</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支持基于第二层、第三层和第四层的ACL；</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支持基于端口和VLAN的 ACL；</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支持时间段（Time Range）ACL</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支持802.1x认证，支持集中式MAC地址认证；</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SDN/OPENFLOW</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支持OPENFLOW 1.3标准支持普通模式和Openflow 模式切换；</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虚拟化（N:1）：必须支持虚拟化技术，支持将9台设备虚拟为一台，具有协同工作、统一管理和不间断维护功能；</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支持通过标准以太端口进行堆叠（万兆或千兆均支持）；</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管理和维护</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支持SNMP V1/V2/V3、RMON、SSH2.0；</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支持单向链路检测,有效的防止网络中单通故障的发生；</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支持通过命令行、Web、中文图形化配置软件等方式进行配置和管理；</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内置网络运维软件，与上行设备互联实现统一界面管理；</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组网扩展能力</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支持RRPP快速环网技术；</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支持Smartlink链路技术；</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绿色节能</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支持端口节能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支持一键式节能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支持EEE；</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防雷能力</w:t>
            </w:r>
          </w:p>
        </w:tc>
        <w:tc>
          <w:tcPr>
            <w:tcW w:w="6674"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支持10KV防雷；</w:t>
            </w:r>
          </w:p>
        </w:tc>
        <w:tc>
          <w:tcPr>
            <w:tcW w:w="660"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服务</w:t>
            </w:r>
          </w:p>
        </w:tc>
        <w:tc>
          <w:tcPr>
            <w:tcW w:w="6674"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最终用户名：宁波大学附属第一医院；</w:t>
            </w:r>
          </w:p>
        </w:tc>
        <w:tc>
          <w:tcPr>
            <w:tcW w:w="660"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6674"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承诺交货时提供原厂商针对本项目的授权书与三年服务承诺函；</w:t>
            </w:r>
          </w:p>
        </w:tc>
        <w:tc>
          <w:tcPr>
            <w:tcW w:w="660" w:type="dxa"/>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bl>
    <w:p>
      <w:pPr>
        <w:bidi w:val="0"/>
        <w:rPr>
          <w:rFonts w:hint="eastAsia"/>
          <w:color w:val="000000" w:themeColor="text1"/>
          <w:highlight w:val="none"/>
          <w:lang w:val="en-US" w:eastAsia="zh-CN"/>
          <w14:textFill>
            <w14:solidFill>
              <w14:schemeClr w14:val="tx1"/>
            </w14:solidFill>
          </w14:textFill>
        </w:rPr>
      </w:pPr>
    </w:p>
    <w:p>
      <w:pPr>
        <w:bidi w:val="0"/>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序号9-4：24口接入交换机</w:t>
      </w:r>
    </w:p>
    <w:tbl>
      <w:tblPr>
        <w:tblStyle w:val="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76"/>
        <w:gridCol w:w="655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序号</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指标项</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技术规格</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★要求</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为确保日常网络稳定性及售后服务便利性，要求与汇聚交换机1为同一品牌；</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交换容量</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≥432Gbps，官网有两个指标的以小的为准；</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≥144Mpps，官网有两个指标的以小的为准；</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接口类型</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千兆电接口数量≥24个；</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万兆光接口≥4个 ；</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性能指标</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MAC地址表≥16K ；</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路由表容量≥512（支持OSPF）；</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ACL：1K；</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支持基于MAC的VLAN；</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IPv4/v6静态路由、RIP、OSPF ；</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访问控制策略</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支持基于第二层、第三层和第四层的ACL；</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支持基于端口和VLAN的 ACL；</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支持时间段（Time Range）ACL；</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支持802.1x认证，支持集中式MAC地址认证；</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SDN/OPENFLOW</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支持OPENFLOW 1.3标准支持普通模式和Openflow 模式切换；</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虚拟化（N:1）：必须支持虚拟化技术，支持将9台设备虚拟为一台，具有协同工作、统一管理和不间断维护功能；</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支持通过标准以太端口进行堆叠（万兆或千兆均支持）；</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管理和维护</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支持SNMP V1/V2/V3、RMON、SSH2.0；</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支持单向链路检测,有效的防止网络中单通故障的发生；</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支持通过命令行、Web、中文图形化配置软件等方式进行配置和管理；</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内置网络运维软件，与上行设备互联实现统一界面管理；</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组网扩展能力</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支持RRPP快速环网技术；</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支持Smartlink链路技术；</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绿色节能</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支持端口节能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支持一键式节能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支持EEE；</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防雷能力</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支持10KV防雷；</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服务</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最终用户名：宁波大学附属第一医院；</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承诺交货时提供原厂商针对本项目的授权书与三年服务承诺函；</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bl>
    <w:p>
      <w:pPr>
        <w:bidi w:val="0"/>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序号9-5：POE交换</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机</w:t>
      </w:r>
    </w:p>
    <w:tbl>
      <w:tblPr>
        <w:tblStyle w:val="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1476"/>
        <w:gridCol w:w="6578"/>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1" w:type="dxa"/>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序号</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指标项</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技术规格</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★要求</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为确保日常网络稳定性及售后服务便利性，要求与汇聚交换机9-1为同一品牌；</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交换容量</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≥336Gbps，官网有两个指标的以小的为准；</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转发性能</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≥108Mpps，官网有两个指标的以小的为准；</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接口类型</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千兆电接口数量≥24个，万兆光接口≥4个；</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整机POE供电≥170W；</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性能指标</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MAC地址表≥16K ；</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路由表容量≥512（支持OSPF）；</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ACL：1K；</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VLAN特性</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支持基于端口的VLAN，支持基于协议的VLAN；</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支持基于MAC的VLAN；</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路由协议</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IPv4/v6静态路由、RIP、OSPF ；</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访问控制策略</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支持基于第二层、第三层和第四层的ACL；</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支持基于端口和VLAN的 ACL；</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支持时间段（Time Range）ACL；</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支持802.1x认证，支持集中式MAC地址认证；</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SDN/OPENFLOW</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支持OPENFLOW 1.3标准支持普通模式和Openflow 模式切换；</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虚拟化堆叠</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虚拟化（N:1）：必须支持虚拟化技术，支持将9台设备虚拟为一台，具有协同工作、统一管理和不间断维护功能；</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支持通过标准以太端口进行堆叠（万兆或千兆均支持）；</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管理和维护</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支持SNMP V1/V2/V3、RMON、SSH2.0</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支持单向链路检测,有效的防止网络中单通故障的发生；</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支持通过命令行、Web、中文图形化配置软件等方式进行配置和管理；</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内置网络运维软件，与上行设备互联实现统一界面管理，提供对外官网截图说明；</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组网扩展能力</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支持RRPP快速环网技术；</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支持Smartlink链路技术；</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13</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绿色节能</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支持端口节能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支持一键式节能</w:t>
            </w:r>
          </w:p>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支持EEE；</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防雷能力</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支持10KV防雷；</w:t>
            </w:r>
          </w:p>
        </w:tc>
        <w:tc>
          <w:tcPr>
            <w:tcW w:w="0" w:type="auto"/>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tc>
        <w:tc>
          <w:tcPr>
            <w:tcW w:w="0" w:type="auto"/>
            <w:vMerge w:val="restart"/>
            <w:noWrap w:val="0"/>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服务</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最终用户名：宁波大学附属第一医院；</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0" w:type="auto"/>
            <w:vMerge w:val="continue"/>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承诺交货时提供原厂商针对本项目的授权书与三年服务承诺函；</w:t>
            </w:r>
          </w:p>
        </w:tc>
        <w:tc>
          <w:tcPr>
            <w:tcW w:w="0" w:type="auto"/>
            <w:noWrap w:val="0"/>
            <w:vAlign w:val="top"/>
          </w:tcPr>
          <w:p>
            <w:pPr>
              <w:pStyle w:val="44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.6光模块和光转电模块</w:t>
      </w:r>
    </w:p>
    <w:tbl>
      <w:tblPr>
        <w:tblStyle w:val="51"/>
        <w:tblW w:w="50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2"/>
        <w:gridCol w:w="1672"/>
        <w:gridCol w:w="4094"/>
        <w:gridCol w:w="927"/>
        <w:gridCol w:w="92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33" w:type="pc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序号</w:t>
            </w:r>
          </w:p>
        </w:tc>
        <w:tc>
          <w:tcPr>
            <w:tcW w:w="893" w:type="pc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指标项</w:t>
            </w:r>
          </w:p>
        </w:tc>
        <w:tc>
          <w:tcPr>
            <w:tcW w:w="2187" w:type="pc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技术规格</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数量</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单位</w:t>
            </w:r>
          </w:p>
        </w:tc>
        <w:tc>
          <w:tcPr>
            <w:tcW w:w="594" w:type="pct"/>
            <w:noWrap w:val="0"/>
            <w:tcMar>
              <w:top w:w="0" w:type="dxa"/>
              <w:left w:w="108" w:type="dxa"/>
              <w:bottom w:w="0" w:type="dxa"/>
              <w:right w:w="108"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33" w:type="pc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893"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万兆光模块</w:t>
            </w:r>
          </w:p>
        </w:tc>
        <w:tc>
          <w:tcPr>
            <w:tcW w:w="2187"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万兆模块(1310nm,10km,LC)</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174</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594"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33" w:type="pc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893"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千兆光模块</w:t>
            </w:r>
          </w:p>
        </w:tc>
        <w:tc>
          <w:tcPr>
            <w:tcW w:w="2187"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千兆模块(1310nm,10km,LC)</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594"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33" w:type="pct"/>
            <w:noWrap w:val="0"/>
            <w:tcMar>
              <w:top w:w="0" w:type="dxa"/>
              <w:left w:w="108" w:type="dxa"/>
              <w:bottom w:w="0" w:type="dxa"/>
              <w:right w:w="108" w:type="dxa"/>
            </w:tcMar>
            <w:vAlign w:val="center"/>
          </w:tcPr>
          <w:p>
            <w:pPr>
              <w:pStyle w:val="441"/>
              <w:bidi w:val="0"/>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893"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光电模块</w:t>
            </w:r>
          </w:p>
        </w:tc>
        <w:tc>
          <w:tcPr>
            <w:tcW w:w="2187"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光转电模块(100m,RJ45)</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495" w:type="pc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594" w:type="pct"/>
            <w:noWrap w:val="0"/>
            <w:tcMar>
              <w:top w:w="0" w:type="dxa"/>
              <w:left w:w="108" w:type="dxa"/>
              <w:bottom w:w="0" w:type="dxa"/>
              <w:right w:w="108" w:type="dxa"/>
            </w:tcMar>
            <w:vAlign w:val="center"/>
          </w:tcPr>
          <w:p>
            <w:pPr>
              <w:pStyle w:val="441"/>
              <w:bidi w:val="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bidi w:val="0"/>
        <w:rPr>
          <w:rFonts w:hint="eastAsia"/>
          <w:color w:val="000000" w:themeColor="text1"/>
          <w:lang w:val="en-US" w:eastAsia="zh-CN"/>
          <w14:textFill>
            <w14:solidFill>
              <w14:schemeClr w14:val="tx1"/>
            </w14:solidFill>
          </w14:textFill>
        </w:rPr>
      </w:pPr>
    </w:p>
    <w:p>
      <w:pPr>
        <w:pStyle w:val="21"/>
        <w:rPr>
          <w:rFonts w:ascii="宋体" w:hAnsi="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000000" w:themeColor="text1"/>
          <w:sz w:val="32"/>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br w:type="page"/>
      </w:r>
      <w:bookmarkStart w:id="319" w:name="_Toc44162153"/>
      <w:r>
        <w:rPr>
          <w:rFonts w:hint="eastAsia" w:ascii="宋体" w:hAnsi="宋体"/>
          <w:b/>
          <w:color w:val="000000" w:themeColor="text1"/>
          <w:sz w:val="32"/>
          <w:highlight w:val="none"/>
          <w14:textFill>
            <w14:solidFill>
              <w14:schemeClr w14:val="tx1"/>
            </w14:solidFill>
          </w14:textFill>
        </w:rPr>
        <w:t>第四章</w:t>
      </w:r>
      <w:r>
        <w:rPr>
          <w:rFonts w:hint="eastAsia" w:ascii="宋体" w:hAnsi="宋体"/>
          <w:b/>
          <w:color w:val="000000" w:themeColor="text1"/>
          <w:sz w:val="32"/>
          <w:highlight w:val="none"/>
          <w:lang w:val="en-US" w:eastAsia="zh-CN"/>
          <w14:textFill>
            <w14:solidFill>
              <w14:schemeClr w14:val="tx1"/>
            </w14:solidFill>
          </w14:textFill>
        </w:rPr>
        <w:t xml:space="preserve">  商务条款</w:t>
      </w:r>
      <w:bookmarkEnd w:id="319"/>
    </w:p>
    <w:p>
      <w:pPr>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适用于所有标项</w:t>
      </w:r>
    </w:p>
    <w:tbl>
      <w:tblPr>
        <w:tblStyle w:val="51"/>
        <w:tblW w:w="9079" w:type="dxa"/>
        <w:tblInd w:w="108"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890"/>
        <w:gridCol w:w="8189"/>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81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w:t>
            </w:r>
          </w:p>
        </w:tc>
        <w:tc>
          <w:tcPr>
            <w:tcW w:w="8189"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服务地点：采购人指定地点。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w:t>
            </w:r>
          </w:p>
        </w:tc>
        <w:tc>
          <w:tcPr>
            <w:tcW w:w="8189"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实施周期</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自合同签订之日起90天内完成项目建设及初验，试运行1个月后进行终验。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746"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3</w:t>
            </w:r>
          </w:p>
        </w:tc>
        <w:tc>
          <w:tcPr>
            <w:tcW w:w="8189" w:type="dxa"/>
            <w:vAlign w:val="center"/>
          </w:tcPr>
          <w:p>
            <w:pPr>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付款方法和条件：</w:t>
            </w:r>
          </w:p>
          <w:p>
            <w:pPr>
              <w:keepLines w:val="0"/>
              <w:pageBreakBefore w:val="0"/>
              <w:widowControl/>
              <w:kinsoku/>
              <w:wordWrap/>
              <w:overflowPunct/>
              <w:topLinePunct w:val="0"/>
              <w:bidi w:val="0"/>
              <w:snapToGrid/>
              <w:spacing w:line="360" w:lineRule="exact"/>
              <w:ind w:left="0" w:hanging="5"/>
              <w:jc w:val="both"/>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1）项目合同生效以及具备实施条件后支付合同额的40%作为预付款，系统建设实施完成并经采购人初步验收合格后支付至合同价的70%，待系统</w:t>
            </w:r>
            <w:r>
              <w:rPr>
                <w:rFonts w:hint="eastAsia" w:ascii="宋体" w:hAnsi="宋体" w:cs="宋体"/>
                <w:color w:val="000000" w:themeColor="text1"/>
                <w:sz w:val="21"/>
                <w:szCs w:val="21"/>
                <w:highlight w:val="none"/>
                <w:lang w:val="en-US" w:eastAsia="zh-CN"/>
                <w14:textFill>
                  <w14:solidFill>
                    <w14:schemeClr w14:val="tx1"/>
                  </w14:solidFill>
                </w14:textFill>
              </w:rPr>
              <w:t>稳定</w:t>
            </w:r>
            <w:r>
              <w:rPr>
                <w:rFonts w:hint="eastAsia" w:ascii="宋体" w:hAnsi="宋体" w:eastAsia="宋体" w:cs="宋体"/>
                <w:color w:val="000000" w:themeColor="text1"/>
                <w:sz w:val="21"/>
                <w:szCs w:val="21"/>
                <w:highlight w:val="none"/>
                <w:lang w:val="en-US" w:eastAsia="zh-CN"/>
                <w14:textFill>
                  <w14:solidFill>
                    <w14:schemeClr w14:val="tx1"/>
                  </w14:solidFill>
                </w14:textFill>
              </w:rPr>
              <w:t>运行，经采购人最终验收合格后</w:t>
            </w:r>
            <w:r>
              <w:rPr>
                <w:rFonts w:hint="eastAsia" w:ascii="宋体" w:hAnsi="宋体" w:cs="宋体"/>
                <w:color w:val="000000" w:themeColor="text1"/>
                <w:sz w:val="21"/>
                <w:szCs w:val="21"/>
                <w:highlight w:val="none"/>
                <w:lang w:val="en-US" w:eastAsia="zh-CN"/>
                <w14:textFill>
                  <w14:solidFill>
                    <w14:schemeClr w14:val="tx1"/>
                  </w14:solidFill>
                </w14:textFill>
              </w:rPr>
              <w:t>7个工作日内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支付至合同价的100%。</w:t>
            </w:r>
          </w:p>
          <w:p>
            <w:pPr>
              <w:keepLines w:val="0"/>
              <w:pageBreakBefore w:val="0"/>
              <w:widowControl/>
              <w:kinsoku/>
              <w:wordWrap/>
              <w:overflowPunct/>
              <w:topLinePunct w:val="0"/>
              <w:bidi w:val="0"/>
              <w:snapToGrid/>
              <w:spacing w:line="360" w:lineRule="exact"/>
              <w:ind w:left="0" w:hanging="5"/>
              <w:jc w:val="both"/>
              <w:textAlignment w:val="auto"/>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color w:val="000000" w:themeColor="text1"/>
                <w:sz w:val="21"/>
                <w:szCs w:val="21"/>
                <w:highlight w:val="none"/>
                <w:lang w:val="zh-CN" w:eastAsia="zh-CN"/>
                <w14:textFill>
                  <w14:solidFill>
                    <w14:schemeClr w14:val="tx1"/>
                  </w14:solidFill>
                </w14:textFill>
              </w:rPr>
              <w:t>签订合同时，供应商明确表示无需预付款或者主动要求降低预付款比例的，采购人可不适用上述规定。</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zh-CN" w:eastAsia="zh-CN"/>
                <w14:textFill>
                  <w14:solidFill>
                    <w14:schemeClr w14:val="tx1"/>
                  </w14:solidFill>
                </w14:textFill>
              </w:rPr>
              <w:t>）采购人支付前，中标人须向采购人提供正规财务发票，否则采购人有权不予支。</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8189"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履约保证金：本项目不适用。</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8189" w:type="dxa"/>
            <w:vAlign w:val="center"/>
          </w:tcPr>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（1）对整个系统（软、硬件）提供至少</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年的</w:t>
            </w:r>
            <w:r>
              <w:rPr>
                <w:rFonts w:hint="eastAsia" w:ascii="宋体" w:hAnsi="宋体" w:cs="宋体"/>
                <w:color w:val="000000" w:themeColor="text1"/>
                <w:sz w:val="21"/>
                <w:szCs w:val="21"/>
                <w:highlight w:val="none"/>
                <w:lang w:val="en-US" w:eastAsia="zh-CN"/>
                <w14:textFill>
                  <w14:solidFill>
                    <w14:schemeClr w14:val="tx1"/>
                  </w14:solidFill>
                </w14:textFill>
              </w:rPr>
              <w:t>质保期（或</w:t>
            </w:r>
            <w:r>
              <w:rPr>
                <w:rFonts w:hint="eastAsia" w:ascii="宋体" w:hAnsi="宋体" w:eastAsia="宋体" w:cs="宋体"/>
                <w:color w:val="000000" w:themeColor="text1"/>
                <w:sz w:val="21"/>
                <w:szCs w:val="21"/>
                <w:highlight w:val="none"/>
                <w:lang w:val="en-US" w:eastAsia="zh-CN"/>
                <w14:textFill>
                  <w14:solidFill>
                    <w14:schemeClr w14:val="tx1"/>
                  </w14:solidFill>
                </w14:textFill>
              </w:rPr>
              <w:t>免费维护期</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如“第三章  招标内容与技术需求”中“（二）采购明细表及技术参数要求”中各项另行约定质保期（或</w:t>
            </w:r>
            <w:r>
              <w:rPr>
                <w:rFonts w:hint="eastAsia" w:ascii="宋体" w:hAnsi="宋体" w:eastAsia="宋体" w:cs="宋体"/>
                <w:color w:val="000000" w:themeColor="text1"/>
                <w:sz w:val="21"/>
                <w:szCs w:val="21"/>
                <w:highlight w:val="none"/>
                <w:lang w:val="en-US" w:eastAsia="zh-CN"/>
                <w14:textFill>
                  <w14:solidFill>
                    <w14:schemeClr w14:val="tx1"/>
                  </w14:solidFill>
                </w14:textFill>
              </w:rPr>
              <w:t>免费维护期</w:t>
            </w:r>
            <w:r>
              <w:rPr>
                <w:rFonts w:hint="eastAsia" w:ascii="宋体" w:hAnsi="宋体" w:cs="宋体"/>
                <w:color w:val="000000" w:themeColor="text1"/>
                <w:sz w:val="21"/>
                <w:szCs w:val="21"/>
                <w:highlight w:val="none"/>
                <w:lang w:val="en-US" w:eastAsia="zh-CN"/>
                <w14:textFill>
                  <w14:solidFill>
                    <w14:schemeClr w14:val="tx1"/>
                  </w14:solidFill>
                </w14:textFill>
              </w:rPr>
              <w:t>）的按其要求响应。质保期</w:t>
            </w:r>
            <w:r>
              <w:rPr>
                <w:rFonts w:hint="eastAsia" w:ascii="宋体" w:hAnsi="宋体" w:eastAsia="宋体" w:cs="宋体"/>
                <w:color w:val="000000" w:themeColor="text1"/>
                <w:sz w:val="21"/>
                <w:szCs w:val="21"/>
                <w:highlight w:val="none"/>
                <w:lang w:val="en-US" w:eastAsia="zh-CN"/>
                <w14:textFill>
                  <w14:solidFill>
                    <w14:schemeClr w14:val="tx1"/>
                  </w14:solidFill>
                </w14:textFill>
              </w:rPr>
              <w:t>从项目</w:t>
            </w:r>
            <w:r>
              <w:rPr>
                <w:rFonts w:hint="eastAsia" w:ascii="宋体" w:hAnsi="宋体" w:cs="宋体"/>
                <w:color w:val="000000" w:themeColor="text1"/>
                <w:sz w:val="21"/>
                <w:szCs w:val="21"/>
                <w:highlight w:val="none"/>
                <w:lang w:val="en-US" w:eastAsia="zh-CN"/>
                <w14:textFill>
                  <w14:solidFill>
                    <w14:schemeClr w14:val="tx1"/>
                  </w14:solidFill>
                </w14:textFill>
              </w:rPr>
              <w:t>终</w:t>
            </w:r>
            <w:r>
              <w:rPr>
                <w:rFonts w:hint="eastAsia" w:ascii="宋体" w:hAnsi="宋体" w:eastAsia="宋体" w:cs="宋体"/>
                <w:color w:val="000000" w:themeColor="text1"/>
                <w:sz w:val="21"/>
                <w:szCs w:val="21"/>
                <w:highlight w:val="none"/>
                <w:lang w:val="en-US" w:eastAsia="zh-CN"/>
                <w14:textFill>
                  <w14:solidFill>
                    <w14:schemeClr w14:val="tx1"/>
                  </w14:solidFill>
                </w14:textFill>
              </w:rPr>
              <w:t>验</w:t>
            </w:r>
            <w:r>
              <w:rPr>
                <w:rFonts w:hint="eastAsia" w:ascii="宋体" w:hAnsi="宋体" w:cs="宋体"/>
                <w:color w:val="000000" w:themeColor="text1"/>
                <w:sz w:val="21"/>
                <w:szCs w:val="21"/>
                <w:highlight w:val="none"/>
                <w:lang w:val="en-US" w:eastAsia="zh-CN"/>
                <w14:textFill>
                  <w14:solidFill>
                    <w14:schemeClr w14:val="tx1"/>
                  </w14:solidFill>
                </w14:textFill>
              </w:rPr>
              <w:t>合格</w:t>
            </w:r>
            <w:r>
              <w:rPr>
                <w:rFonts w:hint="eastAsia" w:ascii="宋体" w:hAnsi="宋体" w:eastAsia="宋体" w:cs="宋体"/>
                <w:color w:val="000000" w:themeColor="text1"/>
                <w:sz w:val="21"/>
                <w:szCs w:val="21"/>
                <w:highlight w:val="none"/>
                <w:lang w:val="en-US" w:eastAsia="zh-CN"/>
                <w14:textFill>
                  <w14:solidFill>
                    <w14:schemeClr w14:val="tx1"/>
                  </w14:solidFill>
                </w14:textFill>
              </w:rPr>
              <w:t>之日起。</w:t>
            </w:r>
          </w:p>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（2）对于各类故障必须提供7*24立即响应服务，在1小时内提出解决方案并做出明确安排，2小时以内排除故障，并分析故障原因。</w:t>
            </w:r>
          </w:p>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质保</w:t>
            </w:r>
            <w:r>
              <w:rPr>
                <w:rFonts w:hint="eastAsia" w:ascii="宋体" w:hAnsi="宋体" w:eastAsia="宋体" w:cs="宋体"/>
                <w:color w:val="000000" w:themeColor="text1"/>
                <w:sz w:val="21"/>
                <w:szCs w:val="21"/>
                <w:highlight w:val="none"/>
                <w:lang w:val="en-US" w:eastAsia="zh-CN"/>
                <w14:textFill>
                  <w14:solidFill>
                    <w14:schemeClr w14:val="tx1"/>
                  </w14:solidFill>
                </w14:textFill>
              </w:rPr>
              <w:t>期内，月故障率不得超过5天，如达不到要求，每超过一天，质保期相应延长10天。</w:t>
            </w:r>
            <w:r>
              <w:rPr>
                <w:rFonts w:hint="eastAsia" w:ascii="宋体" w:hAnsi="宋体" w:cs="宋体"/>
                <w:color w:val="000000" w:themeColor="text1"/>
                <w:sz w:val="21"/>
                <w:szCs w:val="21"/>
                <w:highlight w:val="none"/>
                <w:lang w:val="en-US" w:eastAsia="zh-CN"/>
                <w14:textFill>
                  <w14:solidFill>
                    <w14:schemeClr w14:val="tx1"/>
                  </w14:solidFill>
                </w14:textFill>
              </w:rPr>
              <w:t>质保</w:t>
            </w:r>
            <w:r>
              <w:rPr>
                <w:rFonts w:hint="eastAsia" w:ascii="宋体" w:hAnsi="宋体" w:eastAsia="宋体" w:cs="宋体"/>
                <w:color w:val="000000" w:themeColor="text1"/>
                <w:sz w:val="21"/>
                <w:szCs w:val="21"/>
                <w:highlight w:val="none"/>
                <w:lang w:val="en-US" w:eastAsia="zh-CN"/>
                <w14:textFill>
                  <w14:solidFill>
                    <w14:schemeClr w14:val="tx1"/>
                  </w14:solidFill>
                </w14:textFill>
              </w:rPr>
              <w:t>期内因系统本身缺陷造成各种故障应由供应商免费技术服务和维修。</w:t>
            </w:r>
          </w:p>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（4）在</w:t>
            </w:r>
            <w:r>
              <w:rPr>
                <w:rFonts w:hint="eastAsia" w:ascii="宋体" w:hAnsi="宋体" w:cs="宋体"/>
                <w:color w:val="000000" w:themeColor="text1"/>
                <w:sz w:val="21"/>
                <w:szCs w:val="21"/>
                <w:highlight w:val="none"/>
                <w:lang w:val="en-US" w:eastAsia="zh-CN"/>
                <w14:textFill>
                  <w14:solidFill>
                    <w14:schemeClr w14:val="tx1"/>
                  </w14:solidFill>
                </w14:textFill>
              </w:rPr>
              <w:t>质保</w:t>
            </w:r>
            <w:r>
              <w:rPr>
                <w:rFonts w:hint="eastAsia" w:ascii="宋体" w:hAnsi="宋体" w:eastAsia="宋体" w:cs="宋体"/>
                <w:color w:val="000000" w:themeColor="text1"/>
                <w:sz w:val="21"/>
                <w:szCs w:val="21"/>
                <w:highlight w:val="none"/>
                <w:lang w:val="en-US" w:eastAsia="zh-CN"/>
                <w14:textFill>
                  <w14:solidFill>
                    <w14:schemeClr w14:val="tx1"/>
                  </w14:solidFill>
                </w14:textFill>
              </w:rPr>
              <w:t>期结束前，须由中标供应商工程师和采购人代表进行一次全面检查，任何缺陷必须由中标供应商负责修改。在修改之后，中标供应商应将缺陷原因、修改内容、完成修改及恢复正常的时间和日期等报告给采购人。</w:t>
            </w:r>
          </w:p>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（5）供应商应提供电话免费咨询服务。</w:t>
            </w:r>
          </w:p>
          <w:p>
            <w:pPr>
              <w:keepLines w:val="0"/>
              <w:pageBreakBefore w:val="0"/>
              <w:widowControl/>
              <w:kinsoku/>
              <w:wordWrap/>
              <w:overflowPunct/>
              <w:topLinePunct w:val="0"/>
              <w:bidi w:val="0"/>
              <w:snapToGrid/>
              <w:spacing w:line="360" w:lineRule="exact"/>
              <w:ind w:hanging="5"/>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（6）供应商必须为采购人提供系统使用、系统操作和管理维护培训，培训形式包括客户现场培训、课堂培训；供应商必须列明相应的培训课程。</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（7）提供完整详尽的售后服务方案，服务内容包括本项目涉及所有软、硬件。</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882"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8189" w:type="dxa"/>
            <w:vAlign w:val="center"/>
          </w:tcPr>
          <w:p>
            <w:pPr>
              <w:pStyle w:val="5"/>
              <w:keepLines w:val="0"/>
              <w:pageBreakBefore w:val="0"/>
              <w:kinsoku/>
              <w:wordWrap/>
              <w:overflowPunct/>
              <w:topLinePunct w:val="0"/>
              <w:bidi w:val="0"/>
              <w:snapToGrid/>
              <w:spacing w:line="360" w:lineRule="exact"/>
              <w:jc w:val="left"/>
              <w:textAlignment w:val="auto"/>
              <w:rPr>
                <w:rFonts w:hint="eastAsia" w:ascii="宋体" w:hAnsi="宋体" w:eastAsia="宋体" w:cs="宋体"/>
                <w:b w:val="0"/>
                <w:bCs/>
                <w:color w:val="000000" w:themeColor="text1"/>
                <w:kern w:val="44"/>
                <w:sz w:val="21"/>
                <w:szCs w:val="21"/>
                <w:highlight w:val="none"/>
                <w:lang w:val="en-US" w:eastAsia="zh-CN" w:bidi="ar-SA"/>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应提供的伴随服务：包括货到现场的防盗、保管、安装、配合调试、验收、培训、维护保养等。</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882"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81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售后服务要求：</w:t>
            </w:r>
          </w:p>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0" w:leftChars="0" w:firstLineChars="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提供7×24小时电话响应，提供技术咨询、故障报修等服务。</w:t>
            </w:r>
          </w:p>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须在接到采购人维修要求电话后，</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小时内作出响应，24小时内派技术人员到现场维修（通过远程诊断系统可以解决的故障除外），如果不能修复，则提供同样备品供采购人使用，直至产品修复。</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882"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8</w:t>
            </w:r>
          </w:p>
        </w:tc>
        <w:tc>
          <w:tcPr>
            <w:tcW w:w="8189" w:type="dxa"/>
            <w:vAlign w:val="center"/>
          </w:tcPr>
          <w:p>
            <w:pPr>
              <w:keepLines w:val="0"/>
              <w:pageBreakBefore w:val="0"/>
              <w:widowControl/>
              <w:kinsoku/>
              <w:wordWrap/>
              <w:overflowPunct/>
              <w:topLinePunct w:val="0"/>
              <w:bidi w:val="0"/>
              <w:snapToGrid/>
              <w:spacing w:line="400" w:lineRule="exact"/>
              <w:jc w:val="left"/>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人员培训要求：技术培训的内容应覆盖</w:t>
            </w:r>
            <w:r>
              <w:rPr>
                <w:rFonts w:hint="eastAsia" w:ascii="宋体" w:hAnsi="宋体" w:cs="宋体"/>
                <w:b w:val="0"/>
                <w:bCs w:val="0"/>
                <w:color w:val="000000" w:themeColor="text1"/>
                <w:sz w:val="21"/>
                <w:szCs w:val="21"/>
                <w:highlight w:val="none"/>
                <w:lang w:eastAsia="zh-CN"/>
                <w14:textFill>
                  <w14:solidFill>
                    <w14:schemeClr w14:val="tx1"/>
                  </w14:solidFill>
                </w14:textFill>
              </w:rPr>
              <w:t>项目建设中</w:t>
            </w:r>
            <w:r>
              <w:rPr>
                <w:rFonts w:hint="eastAsia" w:ascii="宋体" w:hAnsi="宋体" w:eastAsia="宋体" w:cs="宋体"/>
                <w:b w:val="0"/>
                <w:bCs w:val="0"/>
                <w:color w:val="000000" w:themeColor="text1"/>
                <w:sz w:val="21"/>
                <w:szCs w:val="21"/>
                <w:highlight w:val="none"/>
                <w14:textFill>
                  <w14:solidFill>
                    <w14:schemeClr w14:val="tx1"/>
                  </w14:solidFill>
                </w14:textFill>
              </w:rPr>
              <w:t>的安装、日常操作和管理维护，以及基本的故障诊断与排除</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费用由中标人支付。</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882"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9</w:t>
            </w:r>
          </w:p>
        </w:tc>
        <w:tc>
          <w:tcPr>
            <w:tcW w:w="8189" w:type="dxa"/>
            <w:vAlign w:val="center"/>
          </w:tcPr>
          <w:p>
            <w:pPr>
              <w:pStyle w:val="5"/>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eastAsia="宋体" w:cs="宋体"/>
                <w:b w:val="0"/>
                <w:bCs/>
                <w:color w:val="000000" w:themeColor="text1"/>
                <w:sz w:val="21"/>
                <w:szCs w:val="21"/>
                <w:highlight w:val="none"/>
                <w:lang w:eastAsia="zh-CN"/>
                <w14:textFill>
                  <w14:solidFill>
                    <w14:schemeClr w14:val="tx1"/>
                  </w14:solidFill>
                </w14:textFill>
              </w:rPr>
              <w:t>验收要求：</w:t>
            </w:r>
          </w:p>
          <w:p>
            <w:pPr>
              <w:pStyle w:val="5"/>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14:textFill>
                  <w14:solidFill>
                    <w14:schemeClr w14:val="tx1"/>
                  </w14:solidFill>
                </w14:textFill>
              </w:rPr>
              <w:t>1）中标供应商完成工作内容后向采购人提交验收申请，经采购人组织评审通过后视为验收合格。</w:t>
            </w:r>
          </w:p>
          <w:p>
            <w:pPr>
              <w:pStyle w:val="5"/>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（2）采购人负责组织实施验收工作，中标供应商完成验收工作的准备，将系统相关的所有开发文档、产品维护手册、技术文件、资料文档汇集成册交付采购单位。</w:t>
            </w:r>
          </w:p>
          <w:p>
            <w:pPr>
              <w:pStyle w:val="5"/>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（3）中标供应商对于验收中发现的问题，提出有效解决办法、措施并解决。</w:t>
            </w:r>
          </w:p>
          <w:p>
            <w:pPr>
              <w:pStyle w:val="5"/>
              <w:keepLines w:val="0"/>
              <w:pageBreakBefore w:val="0"/>
              <w:kinsoku/>
              <w:wordWrap/>
              <w:overflowPunct/>
              <w:topLinePunct w:val="0"/>
              <w:bidi w:val="0"/>
              <w:snapToGrid/>
              <w:spacing w:line="360" w:lineRule="exact"/>
              <w:ind w:left="0"/>
              <w:jc w:val="both"/>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（4）</w:t>
            </w:r>
            <w:r>
              <w:rPr>
                <w:rFonts w:hint="eastAsia" w:eastAsia="宋体" w:cs="宋体"/>
                <w:b w:val="0"/>
                <w:bCs/>
                <w:color w:val="000000" w:themeColor="text1"/>
                <w:sz w:val="21"/>
                <w:szCs w:val="21"/>
                <w:highlight w:val="none"/>
                <w:lang w:eastAsia="zh-CN"/>
                <w14:textFill>
                  <w14:solidFill>
                    <w14:schemeClr w14:val="tx1"/>
                  </w14:solidFill>
                </w14:textFill>
              </w:rPr>
              <w:t>中标</w:t>
            </w:r>
            <w:r>
              <w:rPr>
                <w:rFonts w:hint="eastAsia" w:ascii="宋体" w:hAnsi="宋体" w:eastAsia="宋体" w:cs="宋体"/>
                <w:b w:val="0"/>
                <w:bCs/>
                <w:color w:val="000000" w:themeColor="text1"/>
                <w:sz w:val="21"/>
                <w:szCs w:val="21"/>
                <w:highlight w:val="none"/>
                <w14:textFill>
                  <w14:solidFill>
                    <w14:schemeClr w14:val="tx1"/>
                  </w14:solidFill>
                </w14:textFill>
              </w:rPr>
              <w:t>供应商提供的各类文档应内容完整、描述清晰、版本最新，各类方案要求实现目标明确、工作措施得力、可操作性强、具有前瞻性。</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（5）项目提交的文档成果包括但不限于：</w:t>
            </w:r>
            <w:r>
              <w:rPr>
                <w:rFonts w:hint="eastAsia" w:ascii="宋体" w:hAnsi="宋体" w:cs="宋体"/>
                <w:b w:val="0"/>
                <w:bCs/>
                <w:color w:val="000000" w:themeColor="text1"/>
                <w:sz w:val="21"/>
                <w:szCs w:val="21"/>
                <w:highlight w:val="none"/>
                <w:lang w:eastAsia="zh-CN"/>
                <w14:textFill>
                  <w14:solidFill>
                    <w14:schemeClr w14:val="tx1"/>
                  </w14:solidFill>
                </w14:textFill>
              </w:rPr>
              <w:t>项目建设</w:t>
            </w:r>
            <w:r>
              <w:rPr>
                <w:rFonts w:hint="eastAsia" w:ascii="宋体" w:hAnsi="宋体" w:eastAsia="宋体" w:cs="宋体"/>
                <w:b w:val="0"/>
                <w:bCs/>
                <w:color w:val="000000" w:themeColor="text1"/>
                <w:sz w:val="21"/>
                <w:szCs w:val="21"/>
                <w:highlight w:val="none"/>
                <w14:textFill>
                  <w14:solidFill>
                    <w14:schemeClr w14:val="tx1"/>
                  </w14:solidFill>
                </w14:textFill>
              </w:rPr>
              <w:t>方案、安装调试报告、培训资料、使用操作手册、项目验收报告等。</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882"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10</w:t>
            </w:r>
          </w:p>
        </w:tc>
        <w:tc>
          <w:tcPr>
            <w:tcW w:w="8189"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质量要求：满足招标文件规定的各项技术要求及国家、行业相关标准，并一次性验收合格。</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11</w:t>
            </w:r>
          </w:p>
        </w:tc>
        <w:tc>
          <w:tcPr>
            <w:tcW w:w="8189" w:type="dxa"/>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授予合同：按照招标文件的规定、中标人的投标响应及中标通知书确定的金额签订合同。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633"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2</w:t>
            </w:r>
          </w:p>
        </w:tc>
        <w:tc>
          <w:tcPr>
            <w:tcW w:w="8189"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合同签订时间：中标通知书发出之日起30天内签订合同。</w:t>
            </w:r>
          </w:p>
        </w:tc>
      </w:tr>
    </w:tbl>
    <w:p>
      <w:pPr>
        <w:spacing w:line="400" w:lineRule="exact"/>
        <w:rPr>
          <w:rFonts w:ascii="宋体" w:hAnsi="宋体"/>
          <w:color w:val="000000" w:themeColor="text1"/>
          <w:szCs w:val="21"/>
          <w:highlight w:val="none"/>
          <w14:textFill>
            <w14:solidFill>
              <w14:schemeClr w14:val="tx1"/>
            </w14:solidFill>
          </w14:textFill>
        </w:rPr>
      </w:pPr>
    </w:p>
    <w:p>
      <w:pPr>
        <w:widowControl/>
        <w:jc w:val="both"/>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br w:type="page"/>
      </w:r>
    </w:p>
    <w:p>
      <w:pPr>
        <w:spacing w:line="360" w:lineRule="auto"/>
        <w:rPr>
          <w:color w:val="000000" w:themeColor="text1"/>
          <w:highlight w:val="none"/>
          <w14:textFill>
            <w14:solidFill>
              <w14:schemeClr w14:val="tx1"/>
            </w14:solidFill>
          </w14:textFill>
        </w:rPr>
        <w:sectPr>
          <w:footerReference r:id="rId8" w:type="default"/>
          <w:pgSz w:w="11907" w:h="16840"/>
          <w:pgMar w:top="1083" w:right="1406" w:bottom="1138" w:left="1545" w:header="284" w:footer="989" w:gutter="0"/>
          <w:pgBorders>
            <w:top w:val="none" w:sz="0" w:space="0"/>
            <w:left w:val="none" w:sz="0" w:space="0"/>
            <w:bottom w:val="none" w:sz="0" w:space="0"/>
            <w:right w:val="none" w:sz="0" w:space="0"/>
          </w:pgBorders>
          <w:pgNumType w:fmt="decimal" w:start="29"/>
          <w:cols w:space="720" w:num="1"/>
          <w:docGrid w:linePitch="285" w:charSpace="0"/>
        </w:sectPr>
      </w:pPr>
    </w:p>
    <w:p>
      <w:pPr>
        <w:rPr>
          <w:rFonts w:hint="eastAsia" w:ascii="宋体" w:hAnsi="宋体"/>
          <w:b/>
          <w:color w:val="000000" w:themeColor="text1"/>
          <w:szCs w:val="21"/>
          <w:highlight w:val="none"/>
          <w14:textFill>
            <w14:solidFill>
              <w14:schemeClr w14:val="tx1"/>
            </w14:solidFill>
          </w14:textFill>
        </w:rPr>
      </w:pPr>
    </w:p>
    <w:p>
      <w:pPr>
        <w:spacing w:line="360" w:lineRule="auto"/>
        <w:jc w:val="center"/>
        <w:outlineLvl w:val="0"/>
        <w:rPr>
          <w:rFonts w:ascii="宋体" w:hAnsi="宋体"/>
          <w:b/>
          <w:color w:val="000000" w:themeColor="text1"/>
          <w:sz w:val="32"/>
          <w:highlight w:val="none"/>
          <w14:textFill>
            <w14:solidFill>
              <w14:schemeClr w14:val="tx1"/>
            </w14:solidFill>
          </w14:textFill>
        </w:rPr>
      </w:pPr>
      <w:bookmarkStart w:id="320" w:name="_Toc44162154"/>
      <w:bookmarkStart w:id="321" w:name="_Toc216662965"/>
      <w:r>
        <w:rPr>
          <w:rFonts w:hint="eastAsia" w:ascii="宋体" w:hAnsi="宋体"/>
          <w:b/>
          <w:color w:val="000000" w:themeColor="text1"/>
          <w:sz w:val="32"/>
          <w:highlight w:val="none"/>
          <w14:textFill>
            <w14:solidFill>
              <w14:schemeClr w14:val="tx1"/>
            </w14:solidFill>
          </w14:textFill>
        </w:rPr>
        <w:t>第五章</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评标办法及标准</w:t>
      </w:r>
      <w:bookmarkEnd w:id="320"/>
    </w:p>
    <w:p>
      <w:pPr>
        <w:spacing w:line="360" w:lineRule="exact"/>
        <w:jc w:val="center"/>
        <w:rPr>
          <w:rFonts w:ascii="宋体"/>
          <w:b/>
          <w:color w:val="000000" w:themeColor="text1"/>
          <w:sz w:val="28"/>
          <w:highlight w:val="none"/>
          <w14:textFill>
            <w14:solidFill>
              <w14:schemeClr w14:val="tx1"/>
            </w14:solidFill>
          </w14:textFill>
        </w:rPr>
      </w:pPr>
    </w:p>
    <w:p>
      <w:pPr>
        <w:spacing w:line="400" w:lineRule="exact"/>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一、评标办法</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w:t>
      </w:r>
      <w:r>
        <w:rPr>
          <w:rFonts w:hint="eastAsia" w:ascii="宋体" w:hAnsi="宋体"/>
          <w:color w:val="000000" w:themeColor="text1"/>
          <w:szCs w:val="21"/>
          <w:highlight w:val="none"/>
          <w14:textFill>
            <w14:solidFill>
              <w14:schemeClr w14:val="tx1"/>
            </w14:solidFill>
          </w14:textFill>
        </w:rPr>
        <w:t>本项目评标采用综合评分法。</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1.2</w:t>
      </w:r>
      <w:r>
        <w:rPr>
          <w:rFonts w:hint="eastAsia" w:ascii="宋体" w:hAnsi="宋体"/>
          <w:color w:val="000000" w:themeColor="text1"/>
          <w:szCs w:val="21"/>
          <w:highlight w:val="none"/>
          <w14:textFill>
            <w14:solidFill>
              <w14:schemeClr w14:val="tx1"/>
            </w14:solidFill>
          </w14:textFill>
        </w:rPr>
        <w:t>综合评分法：采用百分制，总分</w:t>
      </w:r>
      <w:r>
        <w:rPr>
          <w:rFonts w:ascii="宋体" w:hAnsi="宋体"/>
          <w:color w:val="000000" w:themeColor="text1"/>
          <w:szCs w:val="21"/>
          <w:highlight w:val="none"/>
          <w14:textFill>
            <w14:solidFill>
              <w14:schemeClr w14:val="tx1"/>
            </w14:solidFill>
          </w14:textFill>
        </w:rPr>
        <w:t>100</w:t>
      </w:r>
      <w:r>
        <w:rPr>
          <w:rFonts w:hint="eastAsia" w:ascii="宋体" w:hAnsi="宋体"/>
          <w:color w:val="000000" w:themeColor="text1"/>
          <w:szCs w:val="21"/>
          <w:highlight w:val="none"/>
          <w14:textFill>
            <w14:solidFill>
              <w14:schemeClr w14:val="tx1"/>
            </w14:solidFill>
          </w14:textFill>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40" w:lineRule="exact"/>
        <w:ind w:firstLine="420" w:firstLineChars="200"/>
        <w:jc w:val="left"/>
        <w:rPr>
          <w:rFonts w:ascii="宋体" w:hAnsi="宋体" w:eastAsia="宋体"/>
          <w:color w:val="000000" w:themeColor="text1"/>
          <w:szCs w:val="21"/>
          <w:highlight w:val="none"/>
          <w14:textFill>
            <w14:solidFill>
              <w14:schemeClr w14:val="tx1"/>
            </w14:solidFill>
          </w14:textFill>
        </w:rPr>
      </w:pPr>
      <w:r>
        <w:rPr>
          <w:rFonts w:ascii="宋体" w:hAnsi="宋体" w:eastAsia="宋体"/>
          <w:color w:val="000000" w:themeColor="text1"/>
          <w:szCs w:val="2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40" w:lineRule="exact"/>
        <w:ind w:firstLine="422" w:firstLineChars="200"/>
        <w:jc w:val="left"/>
        <w:rPr>
          <w:rFonts w:hint="eastAsia" w:ascii="宋体" w:hAnsi="宋体"/>
          <w:b/>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1.4本项目采购</w:t>
      </w:r>
      <w:r>
        <w:rPr>
          <w:rFonts w:hint="eastAsia" w:ascii="宋体" w:hAnsi="宋体"/>
          <w:b/>
          <w:bCs/>
          <w:color w:val="000000" w:themeColor="text1"/>
          <w:szCs w:val="21"/>
          <w:highlight w:val="none"/>
          <w14:textFill>
            <w14:solidFill>
              <w14:schemeClr w14:val="tx1"/>
            </w14:solidFill>
          </w14:textFill>
        </w:rPr>
        <w:t>为非专门面向中小企业，</w:t>
      </w:r>
      <w:r>
        <w:rPr>
          <w:rFonts w:hint="eastAsia" w:ascii="宋体"/>
          <w:b/>
          <w:bCs/>
          <w:color w:val="000000" w:themeColor="text1"/>
          <w:szCs w:val="21"/>
          <w:highlight w:val="none"/>
          <w14:textFill>
            <w14:solidFill>
              <w14:schemeClr w14:val="tx1"/>
            </w14:solidFill>
          </w14:textFill>
        </w:rPr>
        <w:t>采购标的对应的中小企业划分标准所属行业</w:t>
      </w:r>
      <w:r>
        <w:rPr>
          <w:rFonts w:hint="eastAsia" w:ascii="宋体"/>
          <w:b/>
          <w:bCs/>
          <w:color w:val="000000" w:themeColor="text1"/>
          <w:szCs w:val="21"/>
          <w:highlight w:val="none"/>
          <w:lang w:eastAsia="zh-CN"/>
          <w14:textFill>
            <w14:solidFill>
              <w14:schemeClr w14:val="tx1"/>
            </w14:solidFill>
          </w14:textFill>
        </w:rPr>
        <w:t>，硬件部分属于</w:t>
      </w:r>
      <w:r>
        <w:rPr>
          <w:rFonts w:hint="eastAsia" w:ascii="宋体" w:hAnsi="宋体"/>
          <w:b/>
          <w:bCs/>
          <w:color w:val="000000" w:themeColor="text1"/>
          <w:szCs w:val="21"/>
          <w:highlight w:val="none"/>
          <w:u w:val="single"/>
          <w14:textFill>
            <w14:solidFill>
              <w14:schemeClr w14:val="tx1"/>
            </w14:solidFill>
          </w14:textFill>
        </w:rPr>
        <w:t>工业</w:t>
      </w:r>
      <w:r>
        <w:rPr>
          <w:rFonts w:hint="eastAsia" w:ascii="宋体" w:hAnsi="宋体"/>
          <w:b/>
          <w:bCs/>
          <w:color w:val="000000" w:themeColor="text1"/>
          <w:szCs w:val="21"/>
          <w:highlight w:val="none"/>
          <w:lang w:eastAsia="zh-CN"/>
          <w14:textFill>
            <w14:solidFill>
              <w14:schemeClr w14:val="tx1"/>
            </w14:solidFill>
          </w14:textFill>
        </w:rPr>
        <w:t>，系统软件部分属于</w:t>
      </w:r>
      <w:r>
        <w:rPr>
          <w:rFonts w:hint="eastAsia" w:ascii="宋体" w:hAnsi="宋体"/>
          <w:b/>
          <w:bCs/>
          <w:color w:val="000000" w:themeColor="text1"/>
          <w:szCs w:val="21"/>
          <w:highlight w:val="none"/>
          <w:u w:val="single"/>
          <w:lang w:eastAsia="zh-CN"/>
          <w14:textFill>
            <w14:solidFill>
              <w14:schemeClr w14:val="tx1"/>
            </w14:solidFill>
          </w14:textFill>
        </w:rPr>
        <w:t>软件和信息技术服务业</w:t>
      </w:r>
      <w:r>
        <w:rPr>
          <w:rFonts w:hint="eastAsia" w:ascii="宋体" w:hAnsi="宋体"/>
          <w:b/>
          <w:bCs/>
          <w:color w:val="000000" w:themeColor="text1"/>
          <w:szCs w:val="21"/>
          <w:highlight w:val="none"/>
          <w14:textFill>
            <w14:solidFill>
              <w14:schemeClr w14:val="tx1"/>
            </w14:solidFill>
          </w14:textFill>
        </w:rPr>
        <w:t>，本次评标将对满足招标文件第二章第十八条第1、2、3款要求的货物制造商均为小微企业的价格给予10%的扣除，用扣除后的价格参与评审。价格扣除只用于评审过程，如中标，中标价格仍按照其投标价格进行公示</w:t>
      </w:r>
      <w:r>
        <w:rPr>
          <w:rFonts w:hint="eastAsia" w:ascii="宋体" w:hAnsi="宋体"/>
          <w:b/>
          <w:bCs/>
          <w:color w:val="000000" w:themeColor="text1"/>
          <w:szCs w:val="21"/>
          <w:highlight w:val="none"/>
          <w:lang w:val="en-US" w:eastAsia="zh-CN"/>
          <w14:textFill>
            <w14:solidFill>
              <w14:schemeClr w14:val="tx1"/>
            </w14:solidFill>
          </w14:textFill>
        </w:rPr>
        <w:t>。</w:t>
      </w:r>
    </w:p>
    <w:p>
      <w:pPr>
        <w:spacing w:line="440" w:lineRule="exact"/>
        <w:ind w:firstLine="42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1.5评标委</w:t>
      </w:r>
      <w:r>
        <w:rPr>
          <w:rFonts w:hint="eastAsia" w:ascii="宋体" w:hAnsi="宋体" w:eastAsia="宋体" w:cs="宋体"/>
          <w:color w:val="000000" w:themeColor="text1"/>
          <w:highlight w:val="none"/>
          <w14:textFill>
            <w14:solidFill>
              <w14:schemeClr w14:val="tx1"/>
            </w14:solidFill>
          </w14:textFill>
        </w:rPr>
        <w:t>员会成员对需要共同认定的事项存在争议的，应当按照少数服从多数的原则作出结论。</w:t>
      </w:r>
    </w:p>
    <w:p>
      <w:pPr>
        <w:spacing w:line="400" w:lineRule="exact"/>
        <w:ind w:firstLine="420" w:firstLineChars="200"/>
        <w:jc w:val="left"/>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w:t>
      </w:r>
      <w:r>
        <w:rPr>
          <w:rFonts w:hint="eastAsia" w:ascii="宋体" w:hAnsi="宋体"/>
          <w:b/>
          <w:bCs/>
          <w:color w:val="000000" w:themeColor="text1"/>
          <w:szCs w:val="21"/>
          <w:highlight w:val="none"/>
          <w14:textFill>
            <w14:solidFill>
              <w14:schemeClr w14:val="tx1"/>
            </w14:solidFill>
          </w14:textFill>
        </w:rPr>
        <w:t>评标程序</w:t>
      </w:r>
    </w:p>
    <w:p>
      <w:pPr>
        <w:spacing w:line="400" w:lineRule="exact"/>
        <w:ind w:firstLine="420" w:firstLineChars="200"/>
        <w:rPr>
          <w:rFonts w:ascii="宋体" w:hAnsi="宋体"/>
          <w:b/>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初步审查：包含资格性审查和符合性审查。资格性审查是指采购人或代理机构根据“附表</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资格性审查表”的要求对投标文件逐一进行评审。符合性审查是指评标委员会根据“附表</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符合性审查表”的要求对投标文件逐一进行评审。</w:t>
      </w:r>
      <w:r>
        <w:rPr>
          <w:rFonts w:hint="eastAsia" w:ascii="宋体" w:hAnsi="宋体"/>
          <w:b/>
          <w:color w:val="000000" w:themeColor="text1"/>
          <w:szCs w:val="21"/>
          <w:highlight w:val="none"/>
          <w14:textFill>
            <w14:solidFill>
              <w14:schemeClr w14:val="tx1"/>
            </w14:solidFill>
          </w14:textFill>
        </w:rPr>
        <w:t>资格性审查和符合性审查中，有任意一项审查结论不合格的，作无效标处理。</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w:t>
      </w:r>
      <w:r>
        <w:rPr>
          <w:rFonts w:hint="eastAsia" w:ascii="宋体" w:hAnsi="宋体"/>
          <w:color w:val="000000" w:themeColor="text1"/>
          <w:szCs w:val="21"/>
          <w:highlight w:val="none"/>
          <w:lang w:val="zh-CN"/>
          <w14:textFill>
            <w14:solidFill>
              <w14:schemeClr w14:val="tx1"/>
            </w14:solidFill>
          </w14:textFill>
        </w:rPr>
        <w:t>比较与评价：</w:t>
      </w:r>
      <w:r>
        <w:rPr>
          <w:rFonts w:hint="eastAsia" w:ascii="宋体" w:hAnsi="宋体"/>
          <w:color w:val="000000" w:themeColor="text1"/>
          <w:szCs w:val="21"/>
          <w:highlight w:val="none"/>
          <w14:textFill>
            <w14:solidFill>
              <w14:schemeClr w14:val="tx1"/>
            </w14:solidFill>
          </w14:textFill>
        </w:rPr>
        <w:t>评标委员会根据“附表</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评分标准（兼评委打分表）”的要求，</w:t>
      </w:r>
      <w:r>
        <w:rPr>
          <w:rFonts w:hint="eastAsia" w:ascii="宋体" w:hAnsi="宋体"/>
          <w:color w:val="000000" w:themeColor="text1"/>
          <w:szCs w:val="21"/>
          <w:highlight w:val="none"/>
          <w:lang w:val="zh-CN"/>
          <w14:textFill>
            <w14:solidFill>
              <w14:schemeClr w14:val="tx1"/>
            </w14:solidFill>
          </w14:textFill>
        </w:rPr>
        <w:t>对照投标文件的应答进行比较，判定其偏差性质和程度，</w:t>
      </w:r>
      <w:r>
        <w:rPr>
          <w:rFonts w:hint="eastAsia" w:ascii="宋体" w:hAnsi="宋体"/>
          <w:color w:val="000000" w:themeColor="text1"/>
          <w:szCs w:val="21"/>
          <w:highlight w:val="none"/>
          <w14:textFill>
            <w14:solidFill>
              <w14:schemeClr w14:val="tx1"/>
            </w14:solidFill>
          </w14:textFill>
        </w:rPr>
        <w:t>由评标委员会成员在分值范围内自行评分。供应商商务和技术得分为各评标委员会成员有效评分的算术平均值（小数点后保留二位数）。</w:t>
      </w:r>
    </w:p>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3在评标过程中，发现的价格计算错误按下述原则修正：</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（1）投标文件中开标一览表内容与投标文件中相应内容不一致的，以开标一览表为准；</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（2）大写金额和小写金额不一致的，以大写金额为准；</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（3）单价金额小数点或者百分比有明显错位的，以开标一览表的总价为准，并修改单价；</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（4）总价金额与按单价汇总金额不一致的，以单价金额计算结果为准。</w:t>
      </w:r>
    </w:p>
    <w:p>
      <w:pPr>
        <w:spacing w:line="40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同时出现两种以上不一致的，按照前款规定的顺序修正。修正后的报价经供应商确认后产生约束力，供应商不确认的，其投标无效。</w:t>
      </w:r>
    </w:p>
    <w:p>
      <w:pPr>
        <w:spacing w:line="420" w:lineRule="exact"/>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提供相同品牌产品且通过资格性审查、符合性审查的不同供应商参加同一标项投标的，按一家供应商计算，评审后综合得分最高的同品牌供应商获得中标</w:t>
      </w:r>
      <w:r>
        <w:rPr>
          <w:rFonts w:hint="eastAsia" w:ascii="宋体" w:hAnsi="宋体" w:cs="宋体"/>
          <w:color w:val="000000" w:themeColor="text1"/>
          <w:szCs w:val="21"/>
          <w:highlight w:val="none"/>
          <w14:textFill>
            <w14:solidFill>
              <w14:schemeClr w14:val="tx1"/>
            </w14:solidFill>
          </w14:textFill>
        </w:rPr>
        <w:t>候选</w:t>
      </w:r>
      <w:r>
        <w:rPr>
          <w:rFonts w:hint="eastAsia" w:ascii="宋体" w:hAnsi="宋体" w:cs="宋体"/>
          <w:color w:val="000000" w:themeColor="text1"/>
          <w:highlight w:val="none"/>
          <w14:textFill>
            <w14:solidFill>
              <w14:schemeClr w14:val="tx1"/>
            </w14:solidFill>
          </w14:textFill>
        </w:rPr>
        <w:t>人推荐资格；综合得分相同的，由评标委员会采取随机抽取方式确定，其他同品牌供应商不作为中标候选人。</w:t>
      </w:r>
    </w:p>
    <w:p>
      <w:pPr>
        <w:spacing w:line="42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非单一产品采购项目，多家供应商提供的核心产品品牌相同的，按上述规定处理。</w:t>
      </w:r>
    </w:p>
    <w:p>
      <w:pPr>
        <w:spacing w:line="420" w:lineRule="exact"/>
        <w:ind w:firstLine="420" w:firstLineChars="200"/>
        <w:jc w:val="left"/>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本项目核心产品：</w:t>
      </w:r>
      <w:r>
        <w:rPr>
          <w:rFonts w:hint="eastAsia" w:ascii="宋体" w:hAnsi="宋体" w:cs="宋体"/>
          <w:b/>
          <w:bCs/>
          <w:color w:val="000000" w:themeColor="text1"/>
          <w:szCs w:val="21"/>
          <w:highlight w:val="none"/>
          <w:lang w:val="en-US" w:eastAsia="zh-CN"/>
          <w14:textFill>
            <w14:solidFill>
              <w14:schemeClr w14:val="tx1"/>
            </w14:solidFill>
          </w14:textFill>
        </w:rPr>
        <w:t>园区核心交换机；</w:t>
      </w:r>
    </w:p>
    <w:p>
      <w:pPr>
        <w:spacing w:line="42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评标委员会根据“附表4价格评分表”的规定，计算供应商报价得分（小数点后保留二位数）。</w:t>
      </w:r>
    </w:p>
    <w:p>
      <w:pPr>
        <w:spacing w:line="42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综合评估：供应商的综合得分为商务和技术得分与报价得分之和。</w:t>
      </w:r>
    </w:p>
    <w:p>
      <w:pPr>
        <w:spacing w:line="400" w:lineRule="exact"/>
        <w:ind w:firstLine="420" w:firstLineChars="200"/>
        <w:jc w:val="left"/>
        <w:rPr>
          <w:color w:val="000000" w:themeColor="text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2.</w:t>
      </w:r>
      <w:r>
        <w:rPr>
          <w:rFonts w:hint="eastAsia" w:ascii="宋体" w:hAnsi="宋体"/>
          <w:b/>
          <w:color w:val="000000" w:themeColor="text1"/>
          <w:szCs w:val="21"/>
          <w:highlight w:val="none"/>
          <w:lang w:val="en-US" w:eastAsia="zh-CN"/>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确定中标供应商</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评标委员会按综合得分由高到低的排序，向采购人推荐中标候选人。代理机构应当自评审结束之日起</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个工作日内将评审报告送交采购人。采购人应当自收到评审报告之日起</w:t>
      </w: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个工作日内在评审报告推荐的中标候选人中按顺序确定</w:t>
      </w:r>
      <w:r>
        <w:rPr>
          <w:rFonts w:hint="eastAsia" w:ascii="宋体" w:hAnsi="宋体"/>
          <w:b w:val="0"/>
          <w:bCs w:val="0"/>
          <w:color w:val="000000" w:themeColor="text1"/>
          <w:szCs w:val="21"/>
          <w:highlight w:val="none"/>
          <w14:textFill>
            <w14:solidFill>
              <w14:schemeClr w14:val="tx1"/>
            </w14:solidFill>
          </w14:textFill>
        </w:rPr>
        <w:t>，确定</w:t>
      </w:r>
      <w:r>
        <w:rPr>
          <w:rFonts w:hint="eastAsia" w:ascii="宋体" w:hAnsi="宋体"/>
          <w:b w:val="0"/>
          <w:bCs w:val="0"/>
          <w:color w:val="000000" w:themeColor="text1"/>
          <w:szCs w:val="21"/>
          <w:highlight w:val="none"/>
          <w:lang w:eastAsia="zh-CN"/>
          <w14:textFill>
            <w14:solidFill>
              <w14:schemeClr w14:val="tx1"/>
            </w14:solidFill>
          </w14:textFill>
        </w:rPr>
        <w:t>1</w:t>
      </w:r>
      <w:r>
        <w:rPr>
          <w:rFonts w:hint="eastAsia" w:ascii="宋体" w:hAnsi="宋体"/>
          <w:b w:val="0"/>
          <w:bCs w:val="0"/>
          <w:color w:val="000000" w:themeColor="text1"/>
          <w:szCs w:val="21"/>
          <w:highlight w:val="none"/>
          <w14:textFill>
            <w14:solidFill>
              <w14:schemeClr w14:val="tx1"/>
            </w14:solidFill>
          </w14:textFill>
        </w:rPr>
        <w:t>名中标供应商。</w:t>
      </w:r>
      <w:r>
        <w:rPr>
          <w:rFonts w:hint="eastAsia"/>
          <w:color w:val="000000" w:themeColor="text1"/>
          <w14:textFill>
            <w14:solidFill>
              <w14:schemeClr w14:val="tx1"/>
            </w14:solidFill>
          </w14:textFill>
        </w:rPr>
        <w:t>中</w:t>
      </w:r>
      <w:r>
        <w:rPr>
          <w:rFonts w:hint="eastAsia"/>
          <w:color w:val="000000" w:themeColor="text1"/>
          <w:highlight w:val="none"/>
          <w14:textFill>
            <w14:solidFill>
              <w14:schemeClr w14:val="tx1"/>
            </w14:solidFill>
          </w14:textFill>
        </w:rPr>
        <w:t>标</w:t>
      </w:r>
      <w:r>
        <w:rPr>
          <w:rFonts w:hint="eastAsia"/>
          <w:color w:val="000000" w:themeColor="text1"/>
          <w:highlight w:val="none"/>
          <w:lang w:eastAsia="zh-CN"/>
          <w14:textFill>
            <w14:solidFill>
              <w14:schemeClr w14:val="tx1"/>
            </w14:solidFill>
          </w14:textFill>
        </w:rPr>
        <w:t>供应商</w:t>
      </w:r>
      <w:r>
        <w:rPr>
          <w:rFonts w:hint="eastAsia"/>
          <w:color w:val="000000" w:themeColor="text1"/>
          <w:highlight w:val="none"/>
          <w14:textFill>
            <w14:solidFill>
              <w14:schemeClr w14:val="tx1"/>
            </w14:solidFill>
          </w14:textFill>
        </w:rPr>
        <w:t>拒绝与采购人签订合同的，采购人可以按照评审报告推荐的中标候选人名单排序，确定下一候选人为中标供应商，也可以重新开展政府采购活动</w:t>
      </w:r>
      <w:r>
        <w:rPr>
          <w:rFonts w:hint="eastAsia" w:ascii="宋体" w:hAnsi="宋体"/>
          <w:color w:val="000000" w:themeColor="text1"/>
          <w:szCs w:val="21"/>
          <w:highlight w:val="none"/>
          <w14:textFill>
            <w14:solidFill>
              <w14:schemeClr w14:val="tx1"/>
            </w14:solidFill>
          </w14:textFill>
        </w:rPr>
        <w:t>。</w:t>
      </w:r>
    </w:p>
    <w:p>
      <w:pPr>
        <w:spacing w:line="400" w:lineRule="exact"/>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三、投标的澄清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3.2</w:t>
      </w:r>
      <w:r>
        <w:rPr>
          <w:rFonts w:hint="eastAsia" w:ascii="宋体" w:hAnsi="宋体" w:cs="宋体"/>
          <w:color w:val="000000" w:themeColor="text1"/>
          <w:highlight w:val="none"/>
          <w14:textFill>
            <w14:solidFill>
              <w14:schemeClr w14:val="tx1"/>
            </w14:solidFill>
          </w14:textFill>
        </w:rPr>
        <w:t>政采云具体操作如下：</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路径：用户中心—项目采购—询标澄清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（1）政采云平台通过待办事项和短信提醒供应商在截止时间前完成澄清。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（2）供应商在“询标澄清-待办理”标签页下选择状态为“待澄清”的项目，点击操作栏【澄清】。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（3）查看函内容，在澄清截止时间前上传澄清文件并对澄清文件进行签章。（注：澄清文件必须以PDF格式上传，文件大小：50M）</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（4）签章完成，文件名称处显示“已签章”，供应商可“撤回签章”修改澄清函和“查看文件”。</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（6）完成状态：供应商澄清文件提交成功后，在“询标澄清-全部”标签页下显示状态为“已澄清”。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3.3</w:t>
      </w:r>
      <w:r>
        <w:rPr>
          <w:rFonts w:hint="eastAsia" w:ascii="宋体" w:hAnsi="宋体" w:cs="宋体"/>
          <w:color w:val="000000" w:themeColor="text1"/>
          <w:highlight w:val="none"/>
          <w14:textFill>
            <w14:solidFill>
              <w14:schemeClr w14:val="tx1"/>
            </w14:solidFill>
          </w14:textFill>
        </w:rPr>
        <w:t>开标现场，供应商安排</w:t>
      </w:r>
      <w:r>
        <w:rPr>
          <w:rFonts w:hint="eastAsia" w:ascii="宋体" w:hAnsi="宋体"/>
          <w:color w:val="000000" w:themeColor="text1"/>
          <w:szCs w:val="21"/>
          <w:highlight w:val="none"/>
          <w14:textFill>
            <w14:solidFill>
              <w14:schemeClr w14:val="tx1"/>
            </w14:solidFill>
          </w14:textFill>
        </w:rPr>
        <w:t>法定代表人或授权代表到场的，则由</w:t>
      </w:r>
      <w:r>
        <w:rPr>
          <w:rFonts w:hint="eastAsia" w:ascii="宋体" w:hAnsi="宋体" w:cs="宋体"/>
          <w:color w:val="000000" w:themeColor="text1"/>
          <w:highlight w:val="none"/>
          <w14:textFill>
            <w14:solidFill>
              <w14:schemeClr w14:val="tx1"/>
            </w14:solidFill>
          </w14:textFill>
        </w:rPr>
        <w:t>评标委员会组长将问题汇总后向供应商发出书面“采购响应文件问题澄清通知”，供应商应对需要澄清的问题作书面回答，该书面澄清应当由</w:t>
      </w:r>
      <w:r>
        <w:rPr>
          <w:rFonts w:hint="eastAsia" w:ascii="宋体" w:hAnsi="宋体"/>
          <w:color w:val="000000" w:themeColor="text1"/>
          <w:szCs w:val="21"/>
          <w:highlight w:val="none"/>
          <w14:textFill>
            <w14:solidFill>
              <w14:schemeClr w14:val="tx1"/>
            </w14:solidFill>
          </w14:textFill>
        </w:rPr>
        <w:t>供应商的法定代表人或授权代表签字</w:t>
      </w:r>
      <w:r>
        <w:rPr>
          <w:rFonts w:hint="eastAsia" w:ascii="宋体" w:hAnsi="宋体" w:cs="宋体"/>
          <w:color w:val="000000" w:themeColor="text1"/>
          <w:highlight w:val="none"/>
          <w14:textFill>
            <w14:solidFill>
              <w14:schemeClr w14:val="tx1"/>
            </w14:solidFill>
          </w14:textFill>
        </w:rPr>
        <w:t>或者加盖供应商公章。书面澄清将作为投标文件内容的一部分，具有相应的法律效力。</w:t>
      </w:r>
    </w:p>
    <w:p>
      <w:pPr>
        <w:spacing w:line="400" w:lineRule="exact"/>
        <w:ind w:firstLine="420" w:firstLineChars="200"/>
        <w:jc w:val="left"/>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供应商未在截止时间前完成澄清，将被视作自动放弃。</w:t>
      </w:r>
    </w:p>
    <w:p>
      <w:pPr>
        <w:spacing w:line="400" w:lineRule="exact"/>
        <w:ind w:firstLine="422"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四、特别声明：价格是评标的重要因素之一，但最低价不是中标的唯一依据。</w:t>
      </w:r>
    </w:p>
    <w:p>
      <w:pPr>
        <w:spacing w:line="400" w:lineRule="exact"/>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五、重新招标</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有下列情形之一的，采购人将重新招标：</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w:t>
      </w:r>
      <w:r>
        <w:rPr>
          <w:rFonts w:hint="eastAsia" w:ascii="宋体" w:hAnsi="宋体"/>
          <w:color w:val="000000" w:themeColor="text1"/>
          <w:szCs w:val="21"/>
          <w:highlight w:val="none"/>
          <w14:textFill>
            <w14:solidFill>
              <w14:schemeClr w14:val="tx1"/>
            </w14:solidFill>
          </w14:textFill>
        </w:rPr>
        <w:t>投标截止时间止，供应商少于:3个的；</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5.2</w:t>
      </w:r>
      <w:r>
        <w:rPr>
          <w:rFonts w:hint="eastAsia" w:ascii="宋体" w:hAnsi="宋体"/>
          <w:color w:val="000000" w:themeColor="text1"/>
          <w:szCs w:val="21"/>
          <w:highlight w:val="none"/>
          <w14:textFill>
            <w14:solidFill>
              <w14:schemeClr w14:val="tx1"/>
            </w14:solidFill>
          </w14:textFill>
        </w:rPr>
        <w:t>评标委员会评标过程中，有效供应商少于3个的；</w:t>
      </w:r>
    </w:p>
    <w:p>
      <w:pPr>
        <w:widowControl/>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5.3</w:t>
      </w:r>
      <w:r>
        <w:rPr>
          <w:rFonts w:hint="eastAsia" w:ascii="宋体" w:hAnsi="宋体"/>
          <w:color w:val="000000" w:themeColor="text1"/>
          <w:szCs w:val="21"/>
          <w:highlight w:val="none"/>
          <w14:textFill>
            <w14:solidFill>
              <w14:schemeClr w14:val="tx1"/>
            </w14:solidFill>
          </w14:textFill>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br w:type="page"/>
      </w:r>
      <w:r>
        <w:rPr>
          <w:rFonts w:hint="eastAsia" w:ascii="宋体" w:hAnsi="宋体"/>
          <w:color w:val="000000" w:themeColor="text1"/>
          <w:szCs w:val="21"/>
          <w:highlight w:val="none"/>
          <w14:textFill>
            <w14:solidFill>
              <w14:schemeClr w14:val="tx1"/>
            </w14:solidFill>
          </w14:textFill>
        </w:rPr>
        <w:t>附表</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 xml:space="preserve">：                           </w:t>
      </w:r>
    </w:p>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资格性审查表</w:t>
      </w:r>
    </w:p>
    <w:tbl>
      <w:tblPr>
        <w:tblStyle w:val="51"/>
        <w:tblW w:w="100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20"/>
        <w:gridCol w:w="61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3220" w:type="dxa"/>
            <w:noWrap/>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要求说明</w:t>
            </w:r>
          </w:p>
        </w:tc>
        <w:tc>
          <w:tcPr>
            <w:tcW w:w="6148" w:type="dxa"/>
            <w:noWrap/>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2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3220" w:type="dxa"/>
            <w:noWrap/>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满足《中华人民共和国政府采购法》第二十二条规定；未被“信用中国”（</w:t>
            </w:r>
            <w:r>
              <w:rPr>
                <w:rFonts w:ascii="宋体" w:hAnsi="宋体" w:cs="仿宋"/>
                <w:color w:val="000000" w:themeColor="text1"/>
                <w:szCs w:val="21"/>
                <w:highlight w:val="none"/>
                <w14:textFill>
                  <w14:solidFill>
                    <w14:schemeClr w14:val="tx1"/>
                  </w14:solidFill>
                </w14:textFill>
              </w:rPr>
              <w:t>www.creditchina.gov.cn)</w:t>
            </w:r>
            <w:r>
              <w:rPr>
                <w:rFonts w:hint="eastAsia" w:ascii="宋体" w:hAnsi="宋体" w:cs="仿宋"/>
                <w:color w:val="000000" w:themeColor="text1"/>
                <w:szCs w:val="21"/>
                <w:highlight w:val="none"/>
                <w14:textFill>
                  <w14:solidFill>
                    <w14:schemeClr w14:val="tx1"/>
                  </w14:solidFill>
                </w14:textFill>
              </w:rPr>
              <w:t>、中国政府采购网（</w:t>
            </w:r>
            <w:r>
              <w:rPr>
                <w:rFonts w:ascii="宋体" w:hAnsi="宋体" w:cs="仿宋"/>
                <w:color w:val="000000" w:themeColor="text1"/>
                <w:szCs w:val="21"/>
                <w:highlight w:val="none"/>
                <w14:textFill>
                  <w14:solidFill>
                    <w14:schemeClr w14:val="tx1"/>
                  </w14:solidFill>
                </w14:textFill>
              </w:rPr>
              <w:t>www.ccgp.gov.cn</w:t>
            </w:r>
            <w:r>
              <w:rPr>
                <w:rFonts w:hint="eastAsia" w:ascii="宋体" w:hAnsi="宋体" w:cs="仿宋"/>
                <w:color w:val="000000" w:themeColor="text1"/>
                <w:szCs w:val="21"/>
                <w:highlight w:val="none"/>
                <w14:textFill>
                  <w14:solidFill>
                    <w14:schemeClr w14:val="tx1"/>
                  </w14:solidFill>
                </w14:textFill>
              </w:rPr>
              <w:t>）列入失信被执行人、重大税收违法案件当事人名单（重大税收违法失信主体）、政府采购严重违法失信行为记录名单。</w:t>
            </w:r>
          </w:p>
        </w:tc>
        <w:tc>
          <w:tcPr>
            <w:tcW w:w="6148" w:type="dxa"/>
            <w:noWrap/>
            <w:vAlign w:val="center"/>
          </w:tcPr>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A1、关于资格的承诺函（附件一）；</w:t>
            </w:r>
          </w:p>
          <w:p>
            <w:pPr>
              <w:spacing w:line="400" w:lineRule="exact"/>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若在开标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gridSpan w:val="2"/>
            <w:noWrap/>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资格性审查结论</w:t>
            </w:r>
          </w:p>
        </w:tc>
        <w:tc>
          <w:tcPr>
            <w:tcW w:w="6148"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r>
    </w:tbl>
    <w:p>
      <w:pPr>
        <w:spacing w:line="340" w:lineRule="exact"/>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w:t>
      </w:r>
      <w:r>
        <w:rPr>
          <w:rFonts w:ascii="宋体" w:hAnsi="宋体"/>
          <w:b/>
          <w:color w:val="000000" w:themeColor="text1"/>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、上述资格证明文件未按招标文件要求附入投标文件中的，资格性审查不合格。</w:t>
      </w:r>
    </w:p>
    <w:p>
      <w:pPr>
        <w:spacing w:line="340" w:lineRule="exact"/>
        <w:ind w:firstLine="517" w:firstLineChars="245"/>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、上述审查项目中，任意一项不符合的，资格性审查不合格。</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color w:val="000000" w:themeColor="text1"/>
          <w:szCs w:val="21"/>
          <w:highlight w:val="none"/>
          <w14:textFill>
            <w14:solidFill>
              <w14:schemeClr w14:val="tx1"/>
            </w14:solidFill>
          </w14:textFill>
        </w:rPr>
        <w:t>附表</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w:t>
      </w:r>
    </w:p>
    <w:p>
      <w:pPr>
        <w:widowControl/>
        <w:snapToGrid w:val="0"/>
        <w:spacing w:line="5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符合性审查表</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45"/>
        <w:gridCol w:w="44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tcPr>
          <w:p>
            <w:pPr>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4245" w:type="dxa"/>
            <w:noWrap/>
            <w:vAlign w:val="center"/>
          </w:tcPr>
          <w:p>
            <w:pPr>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要求说明</w:t>
            </w:r>
          </w:p>
        </w:tc>
        <w:tc>
          <w:tcPr>
            <w:tcW w:w="4450" w:type="dxa"/>
            <w:noWrap/>
            <w:vAlign w:val="center"/>
          </w:tcPr>
          <w:p>
            <w:pPr>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投标有效期：符合第二章“投标须知”第六、</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条的要求。</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提供“投标书”</w:t>
            </w:r>
            <w:r>
              <w:rPr>
                <w:rFonts w:hint="eastAsia" w:ascii="宋体" w:hAnsi="宋体" w:cs="宋体"/>
                <w:color w:val="000000" w:themeColor="text1"/>
                <w:szCs w:val="2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法定代表人身份证明、法定代表人授权书。</w:t>
            </w:r>
          </w:p>
        </w:tc>
        <w:tc>
          <w:tcPr>
            <w:tcW w:w="4450" w:type="dxa"/>
            <w:noWrap/>
            <w:vAlign w:val="center"/>
          </w:tcPr>
          <w:p>
            <w:pPr>
              <w:snapToGrid w:val="0"/>
              <w:spacing w:line="40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（1）投标文件由法定代表人签字的，提供“法定代表人身份证明”。</w:t>
            </w:r>
          </w:p>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符合第二章“投标须知”第九、</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条的要求。</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对同个标项不允许提供两个投标方案。</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供应商不得在投标活动中提供任何虚假材料或从事其他违法活动的。</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4245" w:type="dxa"/>
            <w:noWrap/>
            <w:vAlign w:val="center"/>
          </w:tcPr>
          <w:p>
            <w:pPr>
              <w:snapToGrid w:val="0"/>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评标委员会经过审查，认定供应商虚假应标、串通投标的，有下列情形之一的，视为供应商串通投标：</w:t>
            </w:r>
          </w:p>
          <w:p>
            <w:pPr>
              <w:widowControl/>
              <w:snapToGrid w:val="0"/>
              <w:spacing w:line="40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）不同供应商的投标文件由同一单位或者个人编制；</w:t>
            </w:r>
          </w:p>
          <w:p>
            <w:pPr>
              <w:widowControl/>
              <w:snapToGrid w:val="0"/>
              <w:spacing w:line="40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）不同供应商委托同一单位或者个人办理投标事宜；</w:t>
            </w:r>
          </w:p>
          <w:p>
            <w:pPr>
              <w:widowControl/>
              <w:snapToGrid w:val="0"/>
              <w:spacing w:line="40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）不同供应商的投标文件载明的项目管理成员或者联系人员为同一人；</w:t>
            </w:r>
          </w:p>
          <w:p>
            <w:pPr>
              <w:widowControl/>
              <w:snapToGrid w:val="0"/>
              <w:spacing w:line="40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）不同供应商的投标文件异常一致或者投标报价呈规律性差异；</w:t>
            </w:r>
          </w:p>
          <w:p>
            <w:pPr>
              <w:widowControl/>
              <w:snapToGrid w:val="0"/>
              <w:spacing w:line="40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）不同供应商的投标文件相互混装；</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符合法律、法规和招标文件中规定的其他实质性要求（实质性要求招标文件中“</w:t>
            </w:r>
            <w:r>
              <w:rPr>
                <w:rFonts w:hint="eastAsia" w:ascii="宋体" w:hAnsi="宋体"/>
                <w:b/>
                <w:color w:val="000000" w:themeColor="text1"/>
                <w:sz w:val="24"/>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”标记）</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4245"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本项目不接受联合体投标。</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4245"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olor w:val="000000" w:themeColor="text1"/>
                <w:szCs w:val="21"/>
                <w:highlight w:val="none"/>
                <w14:textFill>
                  <w14:solidFill>
                    <w14:schemeClr w14:val="tx1"/>
                  </w14:solidFill>
                </w14:textFill>
              </w:rPr>
              <w:t>本次公开招标设有预算</w:t>
            </w:r>
            <w:r>
              <w:rPr>
                <w:rFonts w:hint="eastAsia" w:ascii="宋体" w:hAnsi="宋体"/>
                <w:color w:val="000000" w:themeColor="text1"/>
                <w:szCs w:val="21"/>
                <w:highlight w:val="none"/>
                <w:lang w:eastAsia="zh-CN"/>
                <w14:textFill>
                  <w14:solidFill>
                    <w14:schemeClr w14:val="tx1"/>
                  </w14:solidFill>
                </w14:textFill>
              </w:rPr>
              <w:t>金额</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753.60万元</w:t>
            </w:r>
            <w:r>
              <w:rPr>
                <w:rFonts w:hint="eastAsia" w:ascii="宋体" w:hAnsi="宋体" w:eastAsia="宋体"/>
                <w:color w:val="000000" w:themeColor="text1"/>
                <w:szCs w:val="21"/>
                <w:highlight w:val="none"/>
                <w14:textFill>
                  <w14:solidFill>
                    <w14:schemeClr w14:val="tx1"/>
                  </w14:solidFill>
                </w14:textFill>
              </w:rPr>
              <w:t>，投标报价超出对应预算价的投标</w:t>
            </w:r>
            <w:r>
              <w:rPr>
                <w:rFonts w:hint="eastAsia" w:ascii="宋体" w:hAnsi="宋体" w:eastAsia="宋体"/>
                <w:color w:val="000000" w:themeColor="text1"/>
                <w:szCs w:val="21"/>
                <w:highlight w:val="none"/>
                <w14:textFill>
                  <w14:solidFill>
                    <w14:schemeClr w14:val="tx1"/>
                  </w14:solidFill>
                </w14:textFill>
              </w:rPr>
              <w:t>无效。</w:t>
            </w:r>
          </w:p>
        </w:tc>
        <w:tc>
          <w:tcPr>
            <w:tcW w:w="4450" w:type="dxa"/>
            <w:noWrap/>
            <w:vAlign w:val="center"/>
          </w:tcPr>
          <w:p>
            <w:pPr>
              <w:spacing w:line="400" w:lineRule="exac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提供“开标一览表”。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4245" w:type="dxa"/>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450" w:type="dxa"/>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65" w:type="dxa"/>
            <w:gridSpan w:val="2"/>
            <w:noWrap/>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符合性审查结论</w:t>
            </w:r>
          </w:p>
        </w:tc>
        <w:tc>
          <w:tcPr>
            <w:tcW w:w="4450" w:type="dxa"/>
            <w:noWrap/>
            <w:vAlign w:val="center"/>
          </w:tcPr>
          <w:p>
            <w:pPr>
              <w:snapToGrid w:val="0"/>
              <w:spacing w:line="400" w:lineRule="exact"/>
              <w:rPr>
                <w:rFonts w:ascii="宋体" w:hAnsi="宋体"/>
                <w:color w:val="000000" w:themeColor="text1"/>
                <w:szCs w:val="21"/>
                <w:highlight w:val="none"/>
                <w14:textFill>
                  <w14:solidFill>
                    <w14:schemeClr w14:val="tx1"/>
                  </w14:solidFill>
                </w14:textFill>
              </w:rPr>
            </w:pPr>
          </w:p>
        </w:tc>
      </w:tr>
    </w:tbl>
    <w:p>
      <w:pPr>
        <w:spacing w:line="400" w:lineRule="exact"/>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w:t>
      </w:r>
      <w:r>
        <w:rPr>
          <w:rFonts w:ascii="宋体" w:hAnsi="宋体"/>
          <w:b/>
          <w:color w:val="000000" w:themeColor="text1"/>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、上述审查项目中，任意一项不符合的，符合性审查不合格。</w:t>
      </w:r>
    </w:p>
    <w:p>
      <w:pPr>
        <w:spacing w:line="400" w:lineRule="exact"/>
        <w:ind w:firstLine="413" w:firstLineChars="196"/>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2、序号3-序号8、序号10在政采云上无须添加关联点。</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color w:val="000000" w:themeColor="text1"/>
          <w:szCs w:val="21"/>
          <w:highlight w:val="none"/>
          <w14:textFill>
            <w14:solidFill>
              <w14:schemeClr w14:val="tx1"/>
            </w14:solidFill>
          </w14:textFill>
        </w:rPr>
        <w:t>附表</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w:t>
      </w:r>
    </w:p>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评分标准（兼评委打分表）</w:t>
      </w:r>
    </w:p>
    <w:p>
      <w:pPr>
        <w:spacing w:line="4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采购编号：</w:t>
      </w:r>
      <w:r>
        <w:rPr>
          <w:rFonts w:hint="eastAsia" w:ascii="宋体" w:hAnsi="宋体"/>
          <w:b/>
          <w:color w:val="000000" w:themeColor="text1"/>
          <w:szCs w:val="21"/>
          <w:highlight w:val="none"/>
          <w:lang w:eastAsia="zh-CN"/>
          <w14:textFill>
            <w14:solidFill>
              <w14:schemeClr w14:val="tx1"/>
            </w14:solidFill>
          </w14:textFill>
        </w:rPr>
        <w:t>NBITC-202311752G</w:t>
      </w:r>
      <w:r>
        <w:rPr>
          <w:rFonts w:hint="eastAsia"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 xml:space="preserve"> 适用于标项1</w:t>
      </w:r>
    </w:p>
    <w:tbl>
      <w:tblPr>
        <w:tblStyle w:val="51"/>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3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8882" w:type="dxa"/>
            <w:gridSpan w:val="2"/>
            <w:tcBorders>
              <w:top w:val="single" w:color="auto" w:sz="4" w:space="0"/>
              <w:left w:val="single" w:color="auto" w:sz="4" w:space="0"/>
              <w:bottom w:val="single" w:color="auto" w:sz="4" w:space="0"/>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3900" w:firstLineChars="1850"/>
              <w:jc w:val="right"/>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供应商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000000" w:themeColor="text1"/>
                <w:sz w:val="21"/>
                <w:szCs w:val="21"/>
                <w:highlight w:val="none"/>
                <w:lang w:val="ru-RU"/>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分值</w:t>
            </w:r>
          </w:p>
        </w:tc>
        <w:tc>
          <w:tcPr>
            <w:tcW w:w="7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color w:val="000000" w:themeColor="text1"/>
                <w:sz w:val="21"/>
                <w:szCs w:val="21"/>
                <w:highlight w:val="none"/>
                <w:lang w:val="ru-RU"/>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ru-RU"/>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技术分、商务分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1、对“第三章  招标内容与技术需求”响应性（2</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（1）完全响应招标文件“第三章  招标内容与技术需求”所有指标的得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（2）每负偏离一条标“★”指标的扣</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（3）每负偏离一条未标“▲”指标或“★”指标的扣1分。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（4）本项最高得2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分，当扣减分数≥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分时，作无效投标处理。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（5）负偏离实质性条款（打“▲”）的，作无效投标处理。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pStyle w:val="439"/>
              <w:keepNext w:val="0"/>
              <w:keepLines w:val="0"/>
              <w:pageBreakBefore w:val="0"/>
              <w:framePr w:hSpace="0" w:wrap="auto" w:vAnchor="margin" w:hAnchor="text" w:xAlign="left" w:yAlign="inline"/>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2、供应商资质：（</w:t>
            </w:r>
            <w:r>
              <w:rPr>
                <w:rFonts w:hint="eastAsia" w:ascii="宋体" w:hAnsi="宋体" w:cs="宋体"/>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投标人具有有效的ISO9001质量管理体系认证、ISO14001环境管理体系认证、ISO28000供应链管理体系认证、ISO27001信息安全管理体系认证证书。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每提供1个得</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分，本项最高得</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分。注：投标文件中提供有效的证明资料复印件加盖投标人公章。</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3、项目负责人资质：（1分）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项目负责人具有信息系统</w:t>
            </w:r>
            <w:r>
              <w:rPr>
                <w:rFonts w:hint="eastAsia" w:ascii="宋体" w:hAnsi="宋体" w:cs="宋体"/>
                <w:color w:val="000000" w:themeColor="text1"/>
                <w:szCs w:val="21"/>
                <w:lang w:eastAsia="zh-CN"/>
                <w14:textFill>
                  <w14:solidFill>
                    <w14:schemeClr w14:val="tx1"/>
                  </w14:solidFill>
                </w14:textFill>
              </w:rPr>
              <w:t>项目</w:t>
            </w:r>
            <w:r>
              <w:rPr>
                <w:rFonts w:hint="eastAsia" w:ascii="宋体" w:hAnsi="宋体" w:cs="宋体"/>
                <w:color w:val="000000" w:themeColor="text1"/>
                <w:szCs w:val="21"/>
                <w14:textFill>
                  <w14:solidFill>
                    <w14:schemeClr w14:val="tx1"/>
                  </w14:solidFill>
                </w14:textFill>
              </w:rPr>
              <w:t>管理师</w:t>
            </w:r>
            <w:r>
              <w:rPr>
                <w:rFonts w:hint="eastAsia" w:ascii="宋体" w:hAnsi="宋体" w:cs="宋体"/>
                <w:color w:val="000000" w:themeColor="text1"/>
                <w:szCs w:val="21"/>
                <w:lang w:eastAsia="zh-CN"/>
                <w14:textFill>
                  <w14:solidFill>
                    <w14:schemeClr w14:val="tx1"/>
                  </w14:solidFill>
                </w14:textFill>
              </w:rPr>
              <w:t>（高级）证书</w:t>
            </w:r>
            <w:r>
              <w:rPr>
                <w:rFonts w:hint="eastAsia" w:ascii="宋体" w:hAnsi="宋体" w:cs="宋体"/>
                <w:color w:val="000000" w:themeColor="text1"/>
                <w:szCs w:val="21"/>
                <w14:textFill>
                  <w14:solidFill>
                    <w14:schemeClr w14:val="tx1"/>
                  </w14:solidFill>
                </w14:textFill>
              </w:rPr>
              <w:t>（专业：计算机技术与软件专业或通信专业）的，每提供1个证书得1分，最高得</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tabs>
                <w:tab w:val="left" w:pos="8820"/>
              </w:tabs>
              <w:adjustRightInd w:val="0"/>
              <w:snapToGrid w:val="0"/>
              <w:spacing w:line="400" w:lineRule="exact"/>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4</w:t>
            </w:r>
            <w:r>
              <w:rPr>
                <w:rFonts w:hint="eastAsia" w:ascii="宋体" w:hAnsi="宋体" w:cs="宋体"/>
                <w:b/>
                <w:bCs/>
                <w:color w:val="000000" w:themeColor="text1"/>
                <w14:textFill>
                  <w14:solidFill>
                    <w14:schemeClr w14:val="tx1"/>
                  </w14:solidFill>
                </w14:textFill>
              </w:rPr>
              <w:t>、业绩：（3分）</w:t>
            </w:r>
          </w:p>
          <w:p>
            <w:pPr>
              <w:tabs>
                <w:tab w:val="left" w:pos="8820"/>
              </w:tabs>
              <w:adjustRightInd w:val="0"/>
              <w:snapToGrid w:val="0"/>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供应商自2020年1月1日（合同签订日期）至今，具有类似项目的业绩，每具有1个得1分，同一单位不累计得分，最高得3分。</w:t>
            </w:r>
          </w:p>
          <w:p>
            <w:pPr>
              <w:tabs>
                <w:tab w:val="left" w:pos="8820"/>
              </w:tabs>
              <w:adjustRightInd w:val="0"/>
              <w:snapToGrid w:val="0"/>
              <w:spacing w:line="400" w:lineRule="exact"/>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响应文件中提供合同复印件加盖供应商公章</w:t>
            </w:r>
          </w:p>
        </w:tc>
        <w:tc>
          <w:tcPr>
            <w:tcW w:w="750" w:type="dxa"/>
            <w:tcBorders>
              <w:top w:val="single" w:color="auto" w:sz="4" w:space="0"/>
            </w:tcBorders>
            <w:noWrap w:val="0"/>
            <w:vAlign w:val="center"/>
          </w:tcPr>
          <w:p>
            <w:pPr>
              <w:spacing w:line="400" w:lineRule="exact"/>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、政策性因素加分：（1分）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投标产品为节能产品，提供有效期内节能产品认证证书的加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投标产品为环境标志产品，提供有效期内环境标志产品认证证书的加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所需证明材料要求详见本章第1.5条。</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14:textFill>
                  <w14:solidFill>
                    <w14:schemeClr w14:val="tx1"/>
                  </w14:solidFill>
                </w14:textFill>
              </w:rPr>
              <w:t>评委对投标文件中</w:t>
            </w:r>
            <w:r>
              <w:rPr>
                <w:rFonts w:hint="eastAsia" w:ascii="宋体" w:hAnsi="宋体" w:eastAsia="宋体" w:cs="宋体"/>
                <w:b/>
                <w:bCs/>
                <w:color w:val="000000" w:themeColor="text1"/>
                <w:sz w:val="21"/>
                <w:szCs w:val="21"/>
                <w:highlight w:val="none"/>
                <w:lang w:eastAsia="zh-CN"/>
                <w14:textFill>
                  <w14:solidFill>
                    <w14:schemeClr w14:val="tx1"/>
                  </w14:solidFill>
                </w14:textFill>
              </w:rPr>
              <w:t>核心</w:t>
            </w:r>
            <w:r>
              <w:rPr>
                <w:rFonts w:hint="eastAsia" w:ascii="宋体" w:hAnsi="宋体" w:eastAsia="宋体" w:cs="宋体"/>
                <w:b/>
                <w:bCs/>
                <w:color w:val="000000" w:themeColor="text1"/>
                <w:sz w:val="21"/>
                <w:szCs w:val="21"/>
                <w:highlight w:val="none"/>
                <w14:textFill>
                  <w14:solidFill>
                    <w14:schemeClr w14:val="tx1"/>
                  </w14:solidFill>
                </w14:textFill>
              </w:rPr>
              <w:t>材料设备（园区核心</w:t>
            </w:r>
            <w:r>
              <w:rPr>
                <w:rFonts w:hint="eastAsia" w:ascii="宋体" w:hAnsi="宋体" w:cs="宋体"/>
                <w:b/>
                <w:bCs/>
                <w:color w:val="000000" w:themeColor="text1"/>
                <w:sz w:val="21"/>
                <w:szCs w:val="21"/>
                <w:highlight w:val="none"/>
                <w:lang w:val="en-US" w:eastAsia="zh-CN"/>
                <w14:textFill>
                  <w14:solidFill>
                    <w14:schemeClr w14:val="tx1"/>
                  </w14:solidFill>
                </w14:textFill>
              </w:rPr>
              <w:t>交换机</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eastAsia="zh-CN"/>
                <w14:textFill>
                  <w14:solidFill>
                    <w14:schemeClr w14:val="tx1"/>
                  </w14:solidFill>
                </w14:textFill>
              </w:rPr>
              <w:t>技术水平、技术性能进行评议：（</w:t>
            </w:r>
            <w:r>
              <w:rPr>
                <w:rFonts w:hint="eastAsia" w:ascii="宋体" w:hAnsi="宋体" w:cs="宋体"/>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各项指标均优于使用要求，</w:t>
            </w:r>
            <w:r>
              <w:rPr>
                <w:rFonts w:hint="eastAsia" w:ascii="宋体" w:hAnsi="宋体" w:eastAsia="宋体" w:cs="宋体"/>
                <w:color w:val="000000" w:themeColor="text1"/>
                <w:sz w:val="21"/>
                <w:szCs w:val="21"/>
                <w:highlight w:val="none"/>
                <w:lang w:eastAsia="zh-CN"/>
                <w14:textFill>
                  <w14:solidFill>
                    <w14:schemeClr w14:val="tx1"/>
                  </w14:solidFill>
                </w14:textFill>
              </w:rPr>
              <w:t>选型充分满足采购人要求</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，技术性能充分满足使用要求且优化的得</w:t>
            </w:r>
            <w:r>
              <w:rPr>
                <w:rFonts w:hint="eastAsia" w:ascii="宋体" w:hAnsi="宋体" w:cs="宋体"/>
                <w:b w:val="0"/>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分；设备功能符合使用要求、选型及技术性能基本满足使用要求的得</w:t>
            </w:r>
            <w:r>
              <w:rPr>
                <w:rFonts w:hint="eastAsia" w:ascii="宋体" w:hAnsi="宋体" w:cs="宋体"/>
                <w:b w:val="0"/>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分；产品配置满足最低使用要求，各项性能指标无明显优势的得</w:t>
            </w:r>
            <w:r>
              <w:rPr>
                <w:rFonts w:hint="eastAsia" w:ascii="宋体" w:hAnsi="宋体" w:cs="宋体"/>
                <w:b w:val="0"/>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分；无相应内容的不得分；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7、</w:t>
            </w:r>
            <w:r>
              <w:rPr>
                <w:rFonts w:hint="eastAsia" w:ascii="宋体" w:hAnsi="宋体" w:cs="宋体"/>
                <w:b/>
                <w:color w:val="000000" w:themeColor="text1"/>
                <w:szCs w:val="21"/>
                <w14:textFill>
                  <w14:solidFill>
                    <w14:schemeClr w14:val="tx1"/>
                  </w14:solidFill>
                </w14:textFill>
              </w:rPr>
              <w:t>根据供应商对本项目的</w:t>
            </w:r>
            <w:r>
              <w:rPr>
                <w:rFonts w:hint="eastAsia" w:ascii="宋体" w:hAnsi="宋体" w:cs="宋体"/>
                <w:b/>
                <w:bCs/>
                <w:color w:val="000000" w:themeColor="text1"/>
                <w:szCs w:val="21"/>
                <w14:textFill>
                  <w14:solidFill>
                    <w14:schemeClr w14:val="tx1"/>
                  </w14:solidFill>
                </w14:textFill>
              </w:rPr>
              <w:t>总体设计方案及功能扩展性</w:t>
            </w:r>
            <w:r>
              <w:rPr>
                <w:rFonts w:hint="eastAsia" w:ascii="宋体" w:hAnsi="宋体" w:cs="宋体"/>
                <w:b/>
                <w:color w:val="000000" w:themeColor="text1"/>
                <w:szCs w:val="21"/>
                <w14:textFill>
                  <w14:solidFill>
                    <w14:schemeClr w14:val="tx1"/>
                  </w14:solidFill>
                </w14:textFill>
              </w:rPr>
              <w:t>进行评议</w:t>
            </w:r>
            <w:r>
              <w:rPr>
                <w:rFonts w:hint="eastAsia" w:ascii="宋体" w:hAnsi="宋体" w:cs="宋体"/>
                <w:b/>
                <w:bCs/>
                <w:color w:val="000000" w:themeColor="text1"/>
                <w:szCs w:val="21"/>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总体设计方案完整、科学、合理、可行、有针对性的得5分；总体设计方案、</w:t>
            </w:r>
            <w:r>
              <w:rPr>
                <w:rFonts w:hint="eastAsia" w:ascii="宋体" w:hAnsi="宋体" w:cs="宋体"/>
                <w:bCs/>
                <w:color w:val="000000" w:themeColor="text1"/>
                <w:szCs w:val="21"/>
                <w14:textFill>
                  <w14:solidFill>
                    <w14:schemeClr w14:val="tx1"/>
                  </w14:solidFill>
                </w14:textFill>
              </w:rPr>
              <w:t>功能模块</w:t>
            </w:r>
            <w:r>
              <w:rPr>
                <w:rFonts w:hint="eastAsia" w:ascii="宋体" w:hAnsi="宋体" w:cs="宋体"/>
                <w:color w:val="000000" w:themeColor="text1"/>
                <w:szCs w:val="21"/>
                <w14:textFill>
                  <w14:solidFill>
                    <w14:schemeClr w14:val="tx1"/>
                  </w14:solidFill>
                </w14:textFill>
              </w:rPr>
              <w:t>基本合理可行，基本符合采购人需求的得3分；总体设计方案、</w:t>
            </w:r>
            <w:r>
              <w:rPr>
                <w:rFonts w:hint="eastAsia" w:ascii="宋体" w:hAnsi="宋体" w:cs="宋体"/>
                <w:bCs/>
                <w:color w:val="000000" w:themeColor="text1"/>
                <w:szCs w:val="21"/>
                <w14:textFill>
                  <w14:solidFill>
                    <w14:schemeClr w14:val="tx1"/>
                  </w14:solidFill>
                </w14:textFill>
              </w:rPr>
              <w:t>功能模块</w:t>
            </w:r>
            <w:r>
              <w:rPr>
                <w:rFonts w:hint="eastAsia" w:ascii="宋体" w:hAnsi="宋体" w:cs="宋体"/>
                <w:color w:val="000000" w:themeColor="text1"/>
                <w:szCs w:val="21"/>
                <w14:textFill>
                  <w14:solidFill>
                    <w14:schemeClr w14:val="tx1"/>
                  </w14:solidFill>
                </w14:textFill>
              </w:rPr>
              <w:t>有缺陷，不能完全满足采购人需求的得1分；无总体设计方案或</w:t>
            </w:r>
            <w:r>
              <w:rPr>
                <w:rFonts w:hint="eastAsia" w:ascii="宋体" w:hAnsi="宋体" w:cs="宋体"/>
                <w:bCs/>
                <w:color w:val="000000" w:themeColor="text1"/>
                <w:szCs w:val="21"/>
                <w14:textFill>
                  <w14:solidFill>
                    <w14:schemeClr w14:val="tx1"/>
                  </w14:solidFill>
                </w14:textFill>
              </w:rPr>
              <w:t>功能模块</w:t>
            </w:r>
            <w:r>
              <w:rPr>
                <w:rFonts w:hint="eastAsia" w:ascii="宋体" w:hAnsi="宋体" w:cs="宋体"/>
                <w:color w:val="000000" w:themeColor="text1"/>
                <w:szCs w:val="21"/>
                <w14:textFill>
                  <w14:solidFill>
                    <w14:schemeClr w14:val="tx1"/>
                  </w14:solidFill>
                </w14:textFill>
              </w:rPr>
              <w:t>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14:textFill>
                  <w14:solidFill>
                    <w14:schemeClr w14:val="tx1"/>
                  </w14:solidFill>
                </w14:textFill>
              </w:rPr>
              <w:t>评委对投标文件中提供的</w:t>
            </w:r>
            <w:r>
              <w:rPr>
                <w:rFonts w:hint="eastAsia" w:ascii="宋体" w:hAnsi="宋体" w:eastAsia="宋体" w:cs="宋体"/>
                <w:b/>
                <w:bCs/>
                <w:color w:val="000000" w:themeColor="text1"/>
                <w:sz w:val="21"/>
                <w:szCs w:val="21"/>
                <w:highlight w:val="none"/>
                <w:lang w:eastAsia="zh-CN"/>
                <w14:textFill>
                  <w14:solidFill>
                    <w14:schemeClr w14:val="tx1"/>
                  </w14:solidFill>
                </w14:textFill>
              </w:rPr>
              <w:t>系统实施</w:t>
            </w:r>
            <w:r>
              <w:rPr>
                <w:rFonts w:hint="eastAsia" w:ascii="宋体" w:hAnsi="宋体" w:eastAsia="宋体" w:cs="宋体"/>
                <w:b/>
                <w:bCs/>
                <w:color w:val="000000" w:themeColor="text1"/>
                <w:sz w:val="21"/>
                <w:szCs w:val="21"/>
                <w:highlight w:val="none"/>
                <w14:textFill>
                  <w14:solidFill>
                    <w14:schemeClr w14:val="tx1"/>
                  </w14:solidFill>
                </w14:textFill>
              </w:rPr>
              <w:t>方案</w:t>
            </w:r>
            <w:r>
              <w:rPr>
                <w:rFonts w:hint="eastAsia" w:ascii="宋体" w:hAnsi="宋体" w:eastAsia="宋体" w:cs="宋体"/>
                <w:b/>
                <w:bCs/>
                <w:color w:val="000000" w:themeColor="text1"/>
                <w:sz w:val="21"/>
                <w:szCs w:val="21"/>
                <w:highlight w:val="none"/>
                <w:lang w:eastAsia="zh-CN"/>
                <w14:textFill>
                  <w14:solidFill>
                    <w14:schemeClr w14:val="tx1"/>
                  </w14:solidFill>
                </w14:textFill>
              </w:rPr>
              <w:t>，包括不仅限于各系统对接、</w:t>
            </w:r>
            <w:r>
              <w:rPr>
                <w:rFonts w:hint="eastAsia" w:ascii="宋体" w:hAnsi="宋体" w:eastAsia="宋体" w:cs="宋体"/>
                <w:b/>
                <w:bCs/>
                <w:color w:val="000000" w:themeColor="text1"/>
                <w:sz w:val="21"/>
                <w:szCs w:val="21"/>
                <w:highlight w:val="none"/>
                <w14:textFill>
                  <w14:solidFill>
                    <w14:schemeClr w14:val="tx1"/>
                  </w14:solidFill>
                </w14:textFill>
              </w:rPr>
              <w:t>工序衔接</w:t>
            </w:r>
            <w:r>
              <w:rPr>
                <w:rFonts w:hint="eastAsia" w:ascii="宋体" w:hAnsi="宋体" w:eastAsia="宋体" w:cs="宋体"/>
                <w:b/>
                <w:bCs/>
                <w:color w:val="000000" w:themeColor="text1"/>
                <w:sz w:val="21"/>
                <w:szCs w:val="21"/>
                <w:highlight w:val="none"/>
                <w:lang w:eastAsia="zh-CN"/>
                <w14:textFill>
                  <w14:solidFill>
                    <w14:schemeClr w14:val="tx1"/>
                  </w14:solidFill>
                </w14:textFill>
              </w:rPr>
              <w:t>、风险控制实施方案及对应措施</w:t>
            </w:r>
            <w:r>
              <w:rPr>
                <w:rFonts w:hint="eastAsia" w:ascii="宋体" w:hAnsi="宋体" w:eastAsia="宋体" w:cs="宋体"/>
                <w:b/>
                <w:bCs/>
                <w:color w:val="000000" w:themeColor="text1"/>
                <w:sz w:val="21"/>
                <w:szCs w:val="21"/>
                <w:highlight w:val="none"/>
                <w14:textFill>
                  <w14:solidFill>
                    <w14:schemeClr w14:val="tx1"/>
                  </w14:solidFill>
                </w14:textFill>
              </w:rPr>
              <w:t>进行评议</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5分</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实施方案详细、考虑周全、</w:t>
            </w:r>
            <w:r>
              <w:rPr>
                <w:rFonts w:hint="eastAsia" w:ascii="宋体" w:hAnsi="宋体" w:eastAsia="宋体" w:cs="宋体"/>
                <w:color w:val="000000" w:themeColor="text1"/>
                <w:sz w:val="21"/>
                <w:szCs w:val="21"/>
                <w:highlight w:val="none"/>
                <w:lang w:eastAsia="zh-CN"/>
                <w14:textFill>
                  <w14:solidFill>
                    <w14:schemeClr w14:val="tx1"/>
                  </w14:solidFill>
                </w14:textFill>
              </w:rPr>
              <w:t>各系统对接、</w:t>
            </w:r>
            <w:r>
              <w:rPr>
                <w:rFonts w:hint="eastAsia" w:ascii="宋体" w:hAnsi="宋体" w:eastAsia="宋体" w:cs="宋体"/>
                <w:color w:val="000000" w:themeColor="text1"/>
                <w:sz w:val="21"/>
                <w:szCs w:val="21"/>
                <w:highlight w:val="none"/>
                <w14:textFill>
                  <w14:solidFill>
                    <w14:schemeClr w14:val="tx1"/>
                  </w14:solidFill>
                </w14:textFill>
              </w:rPr>
              <w:t>工序衔接合理</w:t>
            </w:r>
            <w:r>
              <w:rPr>
                <w:rFonts w:hint="eastAsia" w:ascii="宋体" w:hAnsi="宋体" w:eastAsia="宋体" w:cs="宋体"/>
                <w:color w:val="000000" w:themeColor="text1"/>
                <w:kern w:val="0"/>
                <w:sz w:val="21"/>
                <w:szCs w:val="21"/>
                <w:highlight w:val="none"/>
                <w:lang w:eastAsia="zh-CN"/>
                <w14:textFill>
                  <w14:solidFill>
                    <w14:schemeClr w14:val="tx1"/>
                  </w14:solidFill>
                </w14:textFill>
              </w:rPr>
              <w:t>、风险控制实施</w:t>
            </w:r>
            <w:r>
              <w:rPr>
                <w:rFonts w:hint="eastAsia" w:ascii="宋体" w:hAnsi="宋体" w:eastAsia="宋体" w:cs="宋体"/>
                <w:color w:val="000000" w:themeColor="text1"/>
                <w:sz w:val="21"/>
                <w:szCs w:val="21"/>
                <w:highlight w:val="none"/>
                <w:lang w:eastAsia="zh-CN"/>
                <w14:textFill>
                  <w14:solidFill>
                    <w14:schemeClr w14:val="tx1"/>
                  </w14:solidFill>
                </w14:textFill>
              </w:rPr>
              <w:t>方案</w:t>
            </w:r>
            <w:r>
              <w:rPr>
                <w:rFonts w:hint="eastAsia" w:ascii="宋体" w:hAnsi="宋体" w:eastAsia="宋体" w:cs="宋体"/>
                <w:color w:val="000000" w:themeColor="text1"/>
                <w:sz w:val="21"/>
                <w:szCs w:val="21"/>
                <w:highlight w:val="none"/>
                <w14:textFill>
                  <w14:solidFill>
                    <w14:schemeClr w14:val="tx1"/>
                  </w14:solidFill>
                </w14:textFill>
              </w:rPr>
              <w:t>合理</w:t>
            </w:r>
            <w:r>
              <w:rPr>
                <w:rFonts w:hint="eastAsia" w:ascii="宋体" w:hAnsi="宋体" w:eastAsia="宋体" w:cs="宋体"/>
                <w:color w:val="000000" w:themeColor="text1"/>
                <w:sz w:val="21"/>
                <w:szCs w:val="21"/>
                <w:highlight w:val="none"/>
                <w:lang w:eastAsia="zh-CN"/>
                <w14:textFill>
                  <w14:solidFill>
                    <w14:schemeClr w14:val="tx1"/>
                  </w14:solidFill>
                </w14:textFill>
              </w:rPr>
              <w:t>、详尽完全符合本项目需求</w:t>
            </w:r>
            <w:r>
              <w:rPr>
                <w:rFonts w:hint="eastAsia" w:ascii="宋体" w:hAnsi="宋体" w:eastAsia="宋体" w:cs="宋体"/>
                <w:color w:val="000000" w:themeColor="text1"/>
                <w:sz w:val="21"/>
                <w:szCs w:val="21"/>
                <w:highlight w:val="none"/>
                <w14:textFill>
                  <w14:solidFill>
                    <w14:schemeClr w14:val="tx1"/>
                  </w14:solidFill>
                </w14:textFill>
              </w:rPr>
              <w:t>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分；实施方案基本合理，</w:t>
            </w:r>
            <w:r>
              <w:rPr>
                <w:rFonts w:hint="eastAsia" w:ascii="宋体" w:hAnsi="宋体" w:eastAsia="宋体" w:cs="宋体"/>
                <w:color w:val="000000" w:themeColor="text1"/>
                <w:sz w:val="21"/>
                <w:szCs w:val="21"/>
                <w:highlight w:val="none"/>
                <w:lang w:eastAsia="zh-CN"/>
                <w14:textFill>
                  <w14:solidFill>
                    <w14:schemeClr w14:val="tx1"/>
                  </w14:solidFill>
                </w14:textFill>
              </w:rPr>
              <w:t>对系统对接、</w:t>
            </w:r>
            <w:r>
              <w:rPr>
                <w:rFonts w:hint="eastAsia" w:ascii="宋体" w:hAnsi="宋体" w:eastAsia="宋体" w:cs="宋体"/>
                <w:color w:val="000000" w:themeColor="text1"/>
                <w:sz w:val="21"/>
                <w:szCs w:val="21"/>
                <w:highlight w:val="none"/>
                <w14:textFill>
                  <w14:solidFill>
                    <w14:schemeClr w14:val="tx1"/>
                  </w14:solidFill>
                </w14:textFill>
              </w:rPr>
              <w:t>工序衔</w:t>
            </w:r>
            <w:r>
              <w:rPr>
                <w:rFonts w:hint="eastAsia" w:ascii="宋体" w:hAnsi="宋体" w:eastAsia="宋体" w:cs="宋体"/>
                <w:color w:val="000000" w:themeColor="text1"/>
                <w:sz w:val="21"/>
                <w:szCs w:val="21"/>
                <w:highlight w:val="none"/>
                <w:lang w:eastAsia="zh-CN"/>
                <w14:textFill>
                  <w14:solidFill>
                    <w14:schemeClr w14:val="tx1"/>
                  </w14:solidFill>
                </w14:textFill>
              </w:rPr>
              <w:t>接表述笼统</w:t>
            </w:r>
            <w:r>
              <w:rPr>
                <w:rFonts w:hint="eastAsia" w:ascii="宋体" w:hAnsi="宋体" w:eastAsia="宋体" w:cs="宋体"/>
                <w:color w:val="000000" w:themeColor="text1"/>
                <w:kern w:val="0"/>
                <w:sz w:val="21"/>
                <w:szCs w:val="21"/>
                <w:highlight w:val="none"/>
                <w:lang w:eastAsia="zh-CN"/>
                <w14:textFill>
                  <w14:solidFill>
                    <w14:schemeClr w14:val="tx1"/>
                  </w14:solidFill>
                </w14:textFill>
              </w:rPr>
              <w:t>、风险控制实施</w:t>
            </w:r>
            <w:r>
              <w:rPr>
                <w:rFonts w:hint="eastAsia" w:ascii="宋体" w:hAnsi="宋体" w:eastAsia="宋体" w:cs="宋体"/>
                <w:color w:val="000000" w:themeColor="text1"/>
                <w:sz w:val="21"/>
                <w:szCs w:val="21"/>
                <w:highlight w:val="none"/>
                <w:lang w:eastAsia="zh-CN"/>
                <w14:textFill>
                  <w14:solidFill>
                    <w14:schemeClr w14:val="tx1"/>
                  </w14:solidFill>
                </w14:textFill>
              </w:rPr>
              <w:t>方案</w:t>
            </w:r>
            <w:r>
              <w:rPr>
                <w:rFonts w:hint="eastAsia" w:ascii="宋体" w:hAnsi="宋体" w:eastAsia="宋体" w:cs="宋体"/>
                <w:color w:val="000000" w:themeColor="text1"/>
                <w:sz w:val="21"/>
                <w:szCs w:val="21"/>
                <w:highlight w:val="none"/>
                <w14:textFill>
                  <w14:solidFill>
                    <w14:schemeClr w14:val="tx1"/>
                  </w14:solidFill>
                </w14:textFill>
              </w:rPr>
              <w:t>合理，</w:t>
            </w:r>
            <w:r>
              <w:rPr>
                <w:rFonts w:hint="eastAsia" w:ascii="宋体" w:hAnsi="宋体" w:eastAsia="宋体" w:cs="宋体"/>
                <w:color w:val="000000" w:themeColor="text1"/>
                <w:sz w:val="21"/>
                <w:szCs w:val="21"/>
                <w:highlight w:val="none"/>
                <w:lang w:eastAsia="zh-CN"/>
                <w14:textFill>
                  <w14:solidFill>
                    <w14:schemeClr w14:val="tx1"/>
                  </w14:solidFill>
                </w14:textFill>
              </w:rPr>
              <w:t>部分有待补充完善但</w:t>
            </w:r>
            <w:r>
              <w:rPr>
                <w:rFonts w:hint="eastAsia" w:ascii="宋体" w:hAnsi="宋体" w:eastAsia="宋体" w:cs="宋体"/>
                <w:color w:val="000000" w:themeColor="text1"/>
                <w:sz w:val="21"/>
                <w:szCs w:val="21"/>
                <w:highlight w:val="none"/>
                <w14:textFill>
                  <w14:solidFill>
                    <w14:schemeClr w14:val="tx1"/>
                  </w14:solidFill>
                </w14:textFill>
              </w:rPr>
              <w:t>基本符合采购人需求的得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分；实施方案有缺陷，不能</w:t>
            </w:r>
            <w:r>
              <w:rPr>
                <w:rFonts w:hint="eastAsia" w:ascii="宋体" w:hAnsi="宋体" w:eastAsia="宋体" w:cs="宋体"/>
                <w:color w:val="000000" w:themeColor="text1"/>
                <w:sz w:val="21"/>
                <w:szCs w:val="21"/>
                <w:highlight w:val="none"/>
                <w:lang w:eastAsia="zh-CN"/>
                <w14:textFill>
                  <w14:solidFill>
                    <w14:schemeClr w14:val="tx1"/>
                  </w14:solidFill>
                </w14:textFill>
              </w:rPr>
              <w:t>确保</w:t>
            </w:r>
            <w:r>
              <w:rPr>
                <w:rFonts w:hint="eastAsia" w:ascii="宋体" w:hAnsi="宋体" w:eastAsia="宋体" w:cs="宋体"/>
                <w:color w:val="000000" w:themeColor="text1"/>
                <w:sz w:val="21"/>
                <w:szCs w:val="21"/>
                <w:highlight w:val="none"/>
                <w14:textFill>
                  <w14:solidFill>
                    <w14:schemeClr w14:val="tx1"/>
                  </w14:solidFill>
                </w14:textFill>
              </w:rPr>
              <w:t>完全满足采购人需求的得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val="en-US" w:eastAsia="zh-CN"/>
                <w14:textFill>
                  <w14:solidFill>
                    <w14:schemeClr w14:val="tx1"/>
                  </w14:solidFill>
                </w14:textFill>
              </w:rPr>
              <w:t>无实施方案或实施方案完全不满足采购人需求的得0分。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9、</w:t>
            </w:r>
            <w:r>
              <w:rPr>
                <w:rFonts w:hint="eastAsia" w:ascii="宋体" w:hAnsi="宋体" w:cs="宋体"/>
                <w:b/>
                <w:color w:val="000000" w:themeColor="text1"/>
                <w:szCs w:val="21"/>
                <w14:textFill>
                  <w14:solidFill>
                    <w14:schemeClr w14:val="tx1"/>
                  </w14:solidFill>
                </w14:textFill>
              </w:rPr>
              <w:t>根据供应商对本项目的现状分析、需求理解、重难点分析及对应措施进行评议（</w:t>
            </w:r>
            <w:r>
              <w:rPr>
                <w:rFonts w:hint="eastAsia" w:ascii="宋体" w:hAnsi="宋体" w:cs="宋体"/>
                <w:b/>
                <w:color w:val="000000" w:themeColor="text1"/>
                <w:szCs w:val="21"/>
                <w:lang w:val="en-US" w:eastAsia="zh-CN"/>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项目现状分析、需求理解、重难点分析分析到位，契合采购人现状，应对措施可行得</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分；项目现状分析、需求理解、重难点分析基本到位，基本符合采购人现状，应对措施有基本说明得</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分；项目现状分析、需求理解、重难点分析不到位，与采购人现状有偏差，应对措施可行性不高的得1分；无项目现状分析、需求理解、重难点分析或完全不满足采购人现状的得0分。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14:textFill>
                  <w14:solidFill>
                    <w14:schemeClr w14:val="tx1"/>
                  </w14:solidFill>
                </w14:textFill>
              </w:rPr>
              <w:t>评标委员会根据供应商</w:t>
            </w:r>
            <w:r>
              <w:rPr>
                <w:rFonts w:hint="eastAsia" w:ascii="宋体" w:hAnsi="宋体" w:eastAsia="宋体" w:cs="宋体"/>
                <w:b/>
                <w:bCs/>
                <w:color w:val="000000" w:themeColor="text1"/>
                <w:sz w:val="21"/>
                <w:szCs w:val="21"/>
                <w:highlight w:val="none"/>
                <w:lang w:eastAsia="zh-CN"/>
                <w14:textFill>
                  <w14:solidFill>
                    <w14:schemeClr w14:val="tx1"/>
                  </w14:solidFill>
                </w14:textFill>
              </w:rPr>
              <w:t>的</w:t>
            </w:r>
            <w:r>
              <w:rPr>
                <w:rFonts w:hint="eastAsia" w:ascii="宋体" w:hAnsi="宋体" w:eastAsia="宋体" w:cs="宋体"/>
                <w:b/>
                <w:bCs/>
                <w:color w:val="000000" w:themeColor="text1"/>
                <w:sz w:val="21"/>
                <w:szCs w:val="21"/>
                <w:highlight w:val="none"/>
                <w14:textFill>
                  <w14:solidFill>
                    <w14:schemeClr w14:val="tx1"/>
                  </w14:solidFill>
                </w14:textFill>
              </w:rPr>
              <w:t>进度计划</w:t>
            </w:r>
            <w:r>
              <w:rPr>
                <w:rFonts w:hint="eastAsia" w:ascii="宋体" w:hAnsi="宋体" w:cs="宋体"/>
                <w:b/>
                <w:bCs/>
                <w:color w:val="000000" w:themeColor="text1"/>
                <w:sz w:val="21"/>
                <w:szCs w:val="21"/>
                <w:highlight w:val="none"/>
                <w:lang w:eastAsia="zh-CN"/>
                <w14:textFill>
                  <w14:solidFill>
                    <w14:schemeClr w14:val="tx1"/>
                  </w14:solidFill>
                </w14:textFill>
              </w:rPr>
              <w:t>，包括不仅限于工期目标及关键点控制、进度安排计划可操作性，工期保障措施（包含组织管理保障、施工计划安排、人财物安排及技术保障等）、人员职责分工等内容</w:t>
            </w:r>
            <w:r>
              <w:rPr>
                <w:rFonts w:hint="eastAsia" w:ascii="宋体" w:hAnsi="宋体" w:eastAsia="宋体" w:cs="宋体"/>
                <w:b/>
                <w:bCs/>
                <w:color w:val="000000" w:themeColor="text1"/>
                <w:sz w:val="21"/>
                <w:szCs w:val="21"/>
                <w:highlight w:val="none"/>
                <w:lang w:eastAsia="zh-CN"/>
                <w14:textFill>
                  <w14:solidFill>
                    <w14:schemeClr w14:val="tx1"/>
                  </w14:solidFill>
                </w14:textFill>
              </w:rPr>
              <w:t>进行评议：</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工期目标</w:t>
            </w:r>
            <w:r>
              <w:rPr>
                <w:rFonts w:hint="eastAsia" w:ascii="宋体" w:hAnsi="宋体" w:eastAsia="宋体" w:cs="宋体"/>
                <w:color w:val="000000" w:themeColor="text1"/>
                <w:sz w:val="21"/>
                <w:szCs w:val="21"/>
                <w:highlight w:val="none"/>
                <w:lang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关键点控制</w:t>
            </w:r>
            <w:r>
              <w:rPr>
                <w:rFonts w:hint="eastAsia" w:ascii="宋体" w:hAnsi="宋体" w:eastAsia="宋体" w:cs="宋体"/>
                <w:color w:val="000000" w:themeColor="text1"/>
                <w:sz w:val="21"/>
                <w:szCs w:val="21"/>
                <w:highlight w:val="none"/>
                <w:lang w:eastAsia="zh-CN"/>
                <w14:textFill>
                  <w14:solidFill>
                    <w14:schemeClr w14:val="tx1"/>
                  </w14:solidFill>
                </w14:textFill>
              </w:rPr>
              <w:t>明确、</w:t>
            </w:r>
            <w:r>
              <w:rPr>
                <w:rFonts w:hint="eastAsia" w:ascii="宋体" w:hAnsi="宋体" w:eastAsia="宋体" w:cs="宋体"/>
                <w:color w:val="000000" w:themeColor="text1"/>
                <w:sz w:val="21"/>
                <w:szCs w:val="21"/>
                <w:highlight w:val="none"/>
                <w14:textFill>
                  <w14:solidFill>
                    <w14:schemeClr w14:val="tx1"/>
                  </w14:solidFill>
                </w14:textFill>
              </w:rPr>
              <w:t>进度安排计划</w:t>
            </w:r>
            <w:r>
              <w:rPr>
                <w:rFonts w:hint="eastAsia" w:ascii="宋体" w:hAnsi="宋体" w:eastAsia="宋体" w:cs="宋体"/>
                <w:color w:val="000000" w:themeColor="text1"/>
                <w:sz w:val="21"/>
                <w:szCs w:val="21"/>
                <w:highlight w:val="none"/>
                <w:lang w:eastAsia="zh-CN"/>
                <w14:textFill>
                  <w14:solidFill>
                    <w14:schemeClr w14:val="tx1"/>
                  </w14:solidFill>
                </w14:textFill>
              </w:rPr>
              <w:t>执行度高，</w:t>
            </w:r>
            <w:r>
              <w:rPr>
                <w:rFonts w:hint="eastAsia" w:ascii="宋体" w:hAnsi="宋体" w:cs="宋体"/>
                <w:color w:val="000000" w:themeColor="text1"/>
                <w:sz w:val="21"/>
                <w:szCs w:val="21"/>
                <w:highlight w:val="none"/>
                <w:lang w:eastAsia="zh-CN"/>
                <w14:textFill>
                  <w14:solidFill>
                    <w14:schemeClr w14:val="tx1"/>
                  </w14:solidFill>
                </w14:textFill>
              </w:rPr>
              <w:t>各项工期保障措施</w:t>
            </w:r>
            <w:r>
              <w:rPr>
                <w:rFonts w:hint="eastAsia" w:ascii="宋体" w:hAnsi="宋体" w:eastAsia="宋体" w:cs="宋体"/>
                <w:color w:val="000000" w:themeColor="text1"/>
                <w:sz w:val="21"/>
                <w:szCs w:val="21"/>
                <w:highlight w:val="none"/>
                <w:lang w:eastAsia="zh-CN"/>
                <w14:textFill>
                  <w14:solidFill>
                    <w14:schemeClr w14:val="tx1"/>
                  </w14:solidFill>
                </w14:textFill>
              </w:rPr>
              <w:t>完整详尽，人员分工明确能保证项目正常推进的的</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14:textFill>
                  <w14:solidFill>
                    <w14:schemeClr w14:val="tx1"/>
                  </w14:solidFill>
                </w14:textFill>
              </w:rPr>
              <w:t>；工期目标</w:t>
            </w:r>
            <w:r>
              <w:rPr>
                <w:rFonts w:hint="eastAsia" w:ascii="宋体" w:hAnsi="宋体" w:eastAsia="宋体" w:cs="宋体"/>
                <w:color w:val="000000" w:themeColor="text1"/>
                <w:sz w:val="21"/>
                <w:szCs w:val="21"/>
                <w:highlight w:val="none"/>
                <w:lang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关键点控制</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进度安排计划</w:t>
            </w:r>
            <w:r>
              <w:rPr>
                <w:rFonts w:hint="eastAsia" w:ascii="宋体" w:hAnsi="宋体" w:eastAsia="宋体" w:cs="宋体"/>
                <w:color w:val="000000" w:themeColor="text1"/>
                <w:sz w:val="21"/>
                <w:szCs w:val="21"/>
                <w:highlight w:val="none"/>
                <w:lang w:eastAsia="zh-CN"/>
                <w14:textFill>
                  <w14:solidFill>
                    <w14:schemeClr w14:val="tx1"/>
                  </w14:solidFill>
                </w14:textFill>
              </w:rPr>
              <w:t>合理，</w:t>
            </w:r>
            <w:r>
              <w:rPr>
                <w:rFonts w:hint="eastAsia" w:ascii="宋体" w:hAnsi="宋体" w:eastAsia="宋体" w:cs="宋体"/>
                <w:color w:val="000000" w:themeColor="text1"/>
                <w:sz w:val="21"/>
                <w:szCs w:val="21"/>
                <w:highlight w:val="none"/>
                <w14:textFill>
                  <w14:solidFill>
                    <w14:schemeClr w14:val="tx1"/>
                  </w14:solidFill>
                </w14:textFill>
              </w:rPr>
              <w:t>工期保障措施（包含组织管理保障、施工计划安排、人财物安排及技术保障等）</w:t>
            </w:r>
            <w:r>
              <w:rPr>
                <w:rFonts w:hint="eastAsia" w:ascii="宋体" w:hAnsi="宋体" w:eastAsia="宋体" w:cs="宋体"/>
                <w:color w:val="000000" w:themeColor="text1"/>
                <w:sz w:val="21"/>
                <w:szCs w:val="21"/>
                <w:highlight w:val="none"/>
                <w:lang w:eastAsia="zh-CN"/>
                <w14:textFill>
                  <w14:solidFill>
                    <w14:schemeClr w14:val="tx1"/>
                  </w14:solidFill>
                </w14:textFill>
              </w:rPr>
              <w:t>部分有待完善补充，人员数量及分工基本能保证采购人进度要求的</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进度安排未进行细化，部分内容表述笼统，存在影响进度要求的风险的得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w:t>
            </w:r>
            <w:r>
              <w:rPr>
                <w:rFonts w:hint="eastAsia" w:ascii="宋体" w:hAnsi="宋体" w:cs="宋体"/>
                <w:b/>
                <w:color w:val="000000" w:themeColor="text1"/>
                <w:sz w:val="21"/>
                <w:szCs w:val="21"/>
                <w:highlight w:val="none"/>
                <w:lang w:val="en-US" w:eastAsia="zh-CN"/>
                <w14:textFill>
                  <w14:solidFill>
                    <w14:schemeClr w14:val="tx1"/>
                  </w14:solidFill>
                </w14:textFill>
              </w:rPr>
              <w:t>拟投入本项目的实施团队的人员配置方案</w:t>
            </w:r>
            <w:r>
              <w:rPr>
                <w:rFonts w:hint="eastAsia" w:ascii="宋体" w:hAnsi="宋体" w:eastAsia="宋体" w:cs="宋体"/>
                <w:b/>
                <w:color w:val="000000" w:themeColor="text1"/>
                <w:sz w:val="21"/>
                <w:szCs w:val="21"/>
                <w:highlight w:val="none"/>
                <w:lang w:val="en-US" w:eastAsia="zh-CN"/>
                <w14:textFill>
                  <w14:solidFill>
                    <w14:schemeClr w14:val="tx1"/>
                  </w14:solidFill>
                </w14:textFill>
              </w:rPr>
              <w:t>：（</w:t>
            </w:r>
            <w:r>
              <w:rPr>
                <w:rFonts w:hint="eastAsia" w:ascii="宋体" w:hAnsi="宋体" w:cs="宋体"/>
                <w:b/>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拟投入</w:t>
            </w:r>
            <w:r>
              <w:rPr>
                <w:rFonts w:hint="eastAsia" w:ascii="宋体" w:hAnsi="宋体" w:cs="宋体"/>
                <w:color w:val="000000" w:themeColor="text1"/>
                <w:kern w:val="0"/>
                <w:szCs w:val="21"/>
                <w:highlight w:val="none"/>
                <w14:textFill>
                  <w14:solidFill>
                    <w14:schemeClr w14:val="tx1"/>
                  </w14:solidFill>
                </w14:textFill>
              </w:rPr>
              <w:t>人员</w:t>
            </w:r>
            <w:r>
              <w:rPr>
                <w:rFonts w:hint="eastAsia" w:ascii="宋体" w:hAnsi="宋体" w:cs="宋体"/>
                <w:color w:val="000000" w:themeColor="text1"/>
                <w:kern w:val="0"/>
                <w:szCs w:val="21"/>
                <w:highlight w:val="none"/>
                <w:lang w:eastAsia="zh-CN"/>
                <w14:textFill>
                  <w14:solidFill>
                    <w14:schemeClr w14:val="tx1"/>
                  </w14:solidFill>
                </w14:textFill>
              </w:rPr>
              <w:t>配置</w:t>
            </w:r>
            <w:r>
              <w:rPr>
                <w:rFonts w:hint="eastAsia" w:ascii="宋体" w:hAnsi="宋体" w:cs="宋体"/>
                <w:color w:val="000000" w:themeColor="text1"/>
                <w:szCs w:val="21"/>
                <w:highlight w:val="none"/>
                <w14:textFill>
                  <w14:solidFill>
                    <w14:schemeClr w14:val="tx1"/>
                  </w14:solidFill>
                </w14:textFill>
              </w:rPr>
              <w:t>完整</w:t>
            </w:r>
            <w:r>
              <w:rPr>
                <w:rFonts w:hint="eastAsia" w:ascii="宋体" w:hAnsi="宋体" w:cs="宋体"/>
                <w:color w:val="000000" w:themeColor="text1"/>
                <w:szCs w:val="21"/>
                <w:highlight w:val="none"/>
                <w:lang w:eastAsia="zh-CN"/>
                <w14:textFill>
                  <w14:solidFill>
                    <w14:schemeClr w14:val="tx1"/>
                  </w14:solidFill>
                </w14:textFill>
              </w:rPr>
              <w:t>详尽，各环节考虑周到，技术力量配置</w:t>
            </w:r>
            <w:r>
              <w:rPr>
                <w:rFonts w:hint="eastAsia" w:ascii="宋体" w:hAnsi="宋体" w:cs="宋体"/>
                <w:color w:val="000000" w:themeColor="text1"/>
                <w:kern w:val="0"/>
                <w:szCs w:val="21"/>
                <w:highlight w:val="none"/>
                <w:lang w:eastAsia="zh-CN"/>
                <w14:textFill>
                  <w14:solidFill>
                    <w14:schemeClr w14:val="tx1"/>
                  </w14:solidFill>
                </w14:textFill>
              </w:rPr>
              <w:t>与本项目涉及安装、改造及后续服务要求吻合，</w:t>
            </w:r>
            <w:r>
              <w:rPr>
                <w:rFonts w:hint="eastAsia" w:ascii="宋体" w:hAnsi="宋体" w:cs="宋体"/>
                <w:color w:val="000000" w:themeColor="text1"/>
                <w:kern w:val="0"/>
                <w:szCs w:val="21"/>
                <w:highlight w:val="none"/>
                <w14:textFill>
                  <w14:solidFill>
                    <w14:schemeClr w14:val="tx1"/>
                  </w14:solidFill>
                </w14:textFill>
              </w:rPr>
              <w:t>项目实施经验情况或管理工作经验</w:t>
            </w:r>
            <w:r>
              <w:rPr>
                <w:rFonts w:hint="eastAsia" w:ascii="宋体" w:hAnsi="宋体" w:cs="宋体"/>
                <w:color w:val="000000" w:themeColor="text1"/>
                <w:kern w:val="0"/>
                <w:szCs w:val="21"/>
                <w:highlight w:val="none"/>
                <w:lang w:eastAsia="zh-CN"/>
                <w14:textFill>
                  <w14:solidFill>
                    <w14:schemeClr w14:val="tx1"/>
                  </w14:solidFill>
                </w14:textFill>
              </w:rPr>
              <w:t>丰富的得</w:t>
            </w:r>
            <w:r>
              <w:rPr>
                <w:rFonts w:hint="eastAsia" w:ascii="宋体" w:hAnsi="宋体" w:cs="宋体"/>
                <w:color w:val="000000" w:themeColor="text1"/>
                <w:kern w:val="0"/>
                <w:szCs w:val="21"/>
                <w:highlight w:val="none"/>
                <w:lang w:val="en-US" w:eastAsia="zh-CN"/>
                <w14:textFill>
                  <w14:solidFill>
                    <w14:schemeClr w14:val="tx1"/>
                  </w14:solidFill>
                </w14:textFill>
              </w:rPr>
              <w:t>5分；</w:t>
            </w:r>
            <w:r>
              <w:rPr>
                <w:rFonts w:hint="eastAsia" w:ascii="宋体" w:hAnsi="宋体" w:cs="宋体"/>
                <w:color w:val="000000" w:themeColor="text1"/>
                <w:kern w:val="0"/>
                <w:szCs w:val="21"/>
                <w:highlight w:val="none"/>
                <w:lang w:eastAsia="zh-CN"/>
                <w14:textFill>
                  <w14:solidFill>
                    <w14:schemeClr w14:val="tx1"/>
                  </w14:solidFill>
                </w14:textFill>
              </w:rPr>
              <w:t>拟投入</w:t>
            </w:r>
            <w:r>
              <w:rPr>
                <w:rFonts w:hint="eastAsia" w:ascii="宋体" w:hAnsi="宋体" w:cs="宋体"/>
                <w:color w:val="000000" w:themeColor="text1"/>
                <w:kern w:val="0"/>
                <w:szCs w:val="21"/>
                <w:highlight w:val="none"/>
                <w14:textFill>
                  <w14:solidFill>
                    <w14:schemeClr w14:val="tx1"/>
                  </w14:solidFill>
                </w14:textFill>
              </w:rPr>
              <w:t>人员</w:t>
            </w:r>
            <w:r>
              <w:rPr>
                <w:rFonts w:hint="eastAsia" w:ascii="宋体" w:hAnsi="宋体" w:cs="宋体"/>
                <w:color w:val="000000" w:themeColor="text1"/>
                <w:kern w:val="0"/>
                <w:szCs w:val="21"/>
                <w:highlight w:val="none"/>
                <w:lang w:eastAsia="zh-CN"/>
                <w14:textFill>
                  <w14:solidFill>
                    <w14:schemeClr w14:val="tx1"/>
                  </w14:solidFill>
                </w14:textFill>
              </w:rPr>
              <w:t>配置</w:t>
            </w:r>
            <w:r>
              <w:rPr>
                <w:rFonts w:hint="eastAsia" w:ascii="宋体" w:hAnsi="宋体" w:cs="宋体"/>
                <w:color w:val="000000" w:themeColor="text1"/>
                <w:szCs w:val="21"/>
                <w:highlight w:val="none"/>
                <w14:textFill>
                  <w14:solidFill>
                    <w14:schemeClr w14:val="tx1"/>
                  </w14:solidFill>
                </w14:textFill>
              </w:rPr>
              <w:t>完整</w:t>
            </w:r>
            <w:r>
              <w:rPr>
                <w:rFonts w:hint="eastAsia" w:ascii="宋体" w:hAnsi="宋体" w:cs="宋体"/>
                <w:color w:val="000000" w:themeColor="text1"/>
                <w:szCs w:val="21"/>
                <w:highlight w:val="none"/>
                <w:lang w:eastAsia="zh-CN"/>
                <w14:textFill>
                  <w14:solidFill>
                    <w14:schemeClr w14:val="tx1"/>
                  </w14:solidFill>
                </w14:textFill>
              </w:rPr>
              <w:t>，能与对本项目涉及专业要求匹配，具有针对性</w:t>
            </w:r>
            <w:r>
              <w:rPr>
                <w:rFonts w:hint="eastAsia" w:ascii="宋体" w:hAnsi="宋体" w:cs="宋体"/>
                <w:color w:val="000000" w:themeColor="text1"/>
                <w:kern w:val="0"/>
                <w:szCs w:val="21"/>
                <w:highlight w:val="none"/>
                <w:lang w:eastAsia="zh-CN"/>
                <w14:textFill>
                  <w14:solidFill>
                    <w14:schemeClr w14:val="tx1"/>
                  </w14:solidFill>
                </w14:textFill>
              </w:rPr>
              <w:t>、人员资格证书及实际经验基本符合本项目需求的得</w:t>
            </w:r>
            <w:r>
              <w:rPr>
                <w:rFonts w:hint="eastAsia" w:ascii="宋体" w:hAnsi="宋体" w:cs="宋体"/>
                <w:color w:val="000000" w:themeColor="text1"/>
                <w:kern w:val="0"/>
                <w:szCs w:val="21"/>
                <w:highlight w:val="none"/>
                <w:lang w:val="en-US" w:eastAsia="zh-CN"/>
                <w14:textFill>
                  <w14:solidFill>
                    <w14:schemeClr w14:val="tx1"/>
                  </w14:solidFill>
                </w14:textFill>
              </w:rPr>
              <w:t>3分；提供的人员配置过于笼统或资质证书涉及专家与本项目实际不适应，或提供的资料有缺漏，内容不完整有待补充</w:t>
            </w:r>
            <w:r>
              <w:rPr>
                <w:rFonts w:hint="eastAsia" w:ascii="宋体" w:hAnsi="宋体" w:cs="宋体"/>
                <w:color w:val="000000" w:themeColor="text1"/>
                <w:kern w:val="0"/>
                <w:szCs w:val="21"/>
                <w:highlight w:val="none"/>
                <w:lang w:eastAsia="zh-CN"/>
                <w14:textFill>
                  <w14:solidFill>
                    <w14:schemeClr w14:val="tx1"/>
                  </w14:solidFill>
                </w14:textFill>
              </w:rPr>
              <w:t>的得</w:t>
            </w:r>
            <w:r>
              <w:rPr>
                <w:rFonts w:hint="eastAsia" w:ascii="宋体" w:hAnsi="宋体" w:cs="宋体"/>
                <w:color w:val="000000" w:themeColor="text1"/>
                <w:kern w:val="0"/>
                <w:szCs w:val="21"/>
                <w:highlight w:val="none"/>
                <w:lang w:val="en-US" w:eastAsia="zh-CN"/>
                <w14:textFill>
                  <w14:solidFill>
                    <w14:schemeClr w14:val="tx1"/>
                  </w14:solidFill>
                </w14:textFill>
              </w:rPr>
              <w:t>1分；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无方案或完全不满足采购人需求的得0分。</w:t>
            </w:r>
          </w:p>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hint="eastAsia" w:asciiTheme="minorEastAsia" w:hAnsiTheme="minorEastAsia" w:eastAsiaTheme="minorEastAsia" w:cstheme="minorEastAsia"/>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（以上人员证书须提供证书复印件及供应商为上述人员</w:t>
            </w:r>
            <w:r>
              <w:rPr>
                <w:rFonts w:hint="eastAsia" w:ascii="宋体" w:hAnsi="宋体" w:cs="宋体"/>
                <w:b w:val="0"/>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023年</w:t>
            </w:r>
            <w:r>
              <w:rPr>
                <w:rFonts w:hint="eastAsia" w:ascii="宋体" w:hAnsi="宋体" w:cs="宋体"/>
                <w:b w:val="0"/>
                <w:bCs/>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月-2023年1</w:t>
            </w:r>
            <w:r>
              <w:rPr>
                <w:rFonts w:hint="eastAsia" w:ascii="宋体" w:hAnsi="宋体" w:cs="宋体"/>
                <w:b w:val="0"/>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月任意一个月为其缴纳社保的证明资料社保缴纳证明复印件加盖供应商公章）</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b/>
                <w:bCs/>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12、</w:t>
            </w:r>
            <w:r>
              <w:rPr>
                <w:rFonts w:hint="eastAsia" w:ascii="宋体" w:hAnsi="宋体" w:cs="宋体"/>
                <w:b/>
                <w:color w:val="000000" w:themeColor="text1"/>
                <w:szCs w:val="21"/>
                <w14:textFill>
                  <w14:solidFill>
                    <w14:schemeClr w14:val="tx1"/>
                  </w14:solidFill>
                </w14:textFill>
              </w:rPr>
              <w:t>根据</w:t>
            </w:r>
            <w:r>
              <w:rPr>
                <w:rFonts w:hint="eastAsia" w:ascii="宋体" w:hAnsi="宋体" w:cs="宋体"/>
                <w:b/>
                <w:bCs/>
                <w:color w:val="000000" w:themeColor="text1"/>
                <w:szCs w:val="21"/>
                <w14:textFill>
                  <w14:solidFill>
                    <w14:schemeClr w14:val="tx1"/>
                  </w14:solidFill>
                </w14:textFill>
              </w:rPr>
              <w:t>供应商针对本项目制定的售后服务管理体系方案内容，</w:t>
            </w:r>
            <w:r>
              <w:rPr>
                <w:rFonts w:hint="eastAsia" w:ascii="宋体" w:hAnsi="宋体" w:cs="宋体"/>
                <w:b/>
                <w:bCs/>
                <w:color w:val="000000" w:themeColor="text1"/>
                <w:szCs w:val="21"/>
                <w:lang w:eastAsia="zh-CN"/>
                <w14:textFill>
                  <w14:solidFill>
                    <w14:schemeClr w14:val="tx1"/>
                  </w14:solidFill>
                </w14:textFill>
              </w:rPr>
              <w:t>售后</w:t>
            </w:r>
            <w:r>
              <w:rPr>
                <w:rFonts w:hint="eastAsia" w:ascii="宋体" w:hAnsi="宋体" w:cs="宋体"/>
                <w:b/>
                <w:bCs/>
                <w:color w:val="000000" w:themeColor="text1"/>
                <w:szCs w:val="21"/>
                <w14:textFill>
                  <w14:solidFill>
                    <w14:schemeClr w14:val="tx1"/>
                  </w14:solidFill>
                </w14:textFill>
              </w:rPr>
              <w:t>服务人员数量、资质和分工、服务机制、响应时间、故障解决等内容</w:t>
            </w:r>
            <w:r>
              <w:rPr>
                <w:rFonts w:hint="eastAsia" w:ascii="宋体" w:hAnsi="宋体" w:cs="宋体"/>
                <w:b/>
                <w:color w:val="000000" w:themeColor="text1"/>
                <w:szCs w:val="21"/>
                <w14:textFill>
                  <w14:solidFill>
                    <w14:schemeClr w14:val="tx1"/>
                  </w14:solidFill>
                </w14:textFill>
              </w:rPr>
              <w:t>进行评议</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5</w:t>
            </w:r>
            <w:r>
              <w:rPr>
                <w:rFonts w:hint="eastAsia" w:ascii="宋体" w:hAnsi="宋体" w:cs="宋体"/>
                <w:b/>
                <w:bCs/>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方案合理、可行，</w:t>
            </w:r>
            <w:r>
              <w:rPr>
                <w:rFonts w:hint="eastAsia" w:ascii="宋体" w:hAnsi="宋体" w:cs="宋体"/>
                <w:color w:val="000000" w:themeColor="text1"/>
                <w:kern w:val="0"/>
                <w14:textFill>
                  <w14:solidFill>
                    <w14:schemeClr w14:val="tx1"/>
                  </w14:solidFill>
                </w14:textFill>
              </w:rPr>
              <w:t>服务流程规范、售后服务体系健全，</w:t>
            </w:r>
            <w:r>
              <w:rPr>
                <w:rFonts w:hint="eastAsia" w:ascii="宋体" w:hAnsi="宋体" w:cs="宋体"/>
                <w:bCs/>
                <w:color w:val="000000" w:themeColor="text1"/>
                <w:szCs w:val="21"/>
                <w14:textFill>
                  <w14:solidFill>
                    <w14:schemeClr w14:val="tx1"/>
                  </w14:solidFill>
                </w14:textFill>
              </w:rPr>
              <w:t>且符合采购人需求的得</w:t>
            </w:r>
            <w:r>
              <w:rPr>
                <w:rFonts w:hint="eastAsia" w:ascii="宋体" w:hAnsi="宋体" w:cs="宋体"/>
                <w:bCs/>
                <w:color w:val="000000" w:themeColor="text1"/>
                <w:szCs w:val="21"/>
                <w:lang w:val="en-US" w:eastAsia="zh-CN"/>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方案基本合理可行，基本符合采购人需求的得</w:t>
            </w:r>
            <w:r>
              <w:rPr>
                <w:rFonts w:hint="eastAsia" w:ascii="宋体" w:hAnsi="宋体" w:cs="宋体"/>
                <w:bCs/>
                <w:color w:val="000000" w:themeColor="text1"/>
                <w:szCs w:val="21"/>
                <w:lang w:val="en-US" w:eastAsia="zh-CN"/>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分；方案存在缺陷，不能完全满足采购人需求的得1分；无售后服务方案或完全不满足采购人需求的得0分。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b/>
                <w:bCs/>
                <w:color w:val="000000" w:themeColor="text1"/>
                <w:sz w:val="21"/>
                <w:szCs w:val="21"/>
                <w:highlight w:val="none"/>
                <w14:textFill>
                  <w14:solidFill>
                    <w14:schemeClr w14:val="tx1"/>
                  </w14:solidFill>
                </w14:textFill>
              </w:rPr>
              <w:t>评标委员会根据供应商的质量保证</w:t>
            </w:r>
            <w:r>
              <w:rPr>
                <w:rFonts w:hint="eastAsia" w:ascii="宋体" w:hAnsi="宋体" w:eastAsia="宋体" w:cs="宋体"/>
                <w:b/>
                <w:bCs/>
                <w:color w:val="000000" w:themeColor="text1"/>
                <w:sz w:val="21"/>
                <w:szCs w:val="21"/>
                <w:highlight w:val="none"/>
                <w:lang w:eastAsia="zh-CN"/>
                <w14:textFill>
                  <w14:solidFill>
                    <w14:schemeClr w14:val="tx1"/>
                  </w14:solidFill>
                </w14:textFill>
              </w:rPr>
              <w:t>措施</w:t>
            </w:r>
            <w:r>
              <w:rPr>
                <w:rFonts w:hint="eastAsia" w:ascii="宋体" w:hAnsi="宋体" w:eastAsia="宋体" w:cs="宋体"/>
                <w:b/>
                <w:bCs/>
                <w:color w:val="000000" w:themeColor="text1"/>
                <w:sz w:val="21"/>
                <w:szCs w:val="21"/>
                <w:highlight w:val="none"/>
                <w14:textFill>
                  <w14:solidFill>
                    <w14:schemeClr w14:val="tx1"/>
                  </w14:solidFill>
                </w14:textFill>
              </w:rPr>
              <w:t>进行评议</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能提供完善的质量保证及质量控制措施，能确保提供产品质量完全符合采购技术要求及各项性能要求的</w:t>
            </w:r>
            <w:r>
              <w:rPr>
                <w:rFonts w:hint="eastAsia" w:ascii="宋体" w:hAnsi="宋体" w:eastAsia="宋体" w:cs="宋体"/>
                <w:color w:val="000000" w:themeColor="text1"/>
                <w:kern w:val="0"/>
                <w:sz w:val="21"/>
                <w:szCs w:val="21"/>
                <w:highlight w:val="none"/>
                <w14:textFill>
                  <w14:solidFill>
                    <w14:schemeClr w14:val="tx1"/>
                  </w14:solidFill>
                </w14:textFill>
              </w:rPr>
              <w:t>得</w:t>
            </w:r>
            <w:r>
              <w:rPr>
                <w:rFonts w:hint="eastAsia" w:ascii="宋体" w:hAnsi="宋体" w:cs="宋体"/>
                <w:color w:val="000000" w:themeColor="text1"/>
                <w:kern w:val="0"/>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质量保证及质量控制措施</w:t>
            </w:r>
            <w:r>
              <w:rPr>
                <w:rFonts w:hint="eastAsia" w:ascii="宋体" w:hAnsi="宋体" w:eastAsia="宋体" w:cs="宋体"/>
                <w:color w:val="000000" w:themeColor="text1"/>
                <w:kern w:val="0"/>
                <w:sz w:val="21"/>
                <w:szCs w:val="21"/>
                <w:highlight w:val="none"/>
                <w14:textFill>
                  <w14:solidFill>
                    <w14:schemeClr w14:val="tx1"/>
                  </w14:solidFill>
                </w14:textFill>
              </w:rPr>
              <w:t>基本完整但有细节部分欠缺</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r>
              <w:rPr>
                <w:rFonts w:hint="eastAsia" w:ascii="宋体" w:hAnsi="宋体" w:eastAsia="宋体" w:cs="宋体"/>
                <w:color w:val="000000" w:themeColor="text1"/>
                <w:kern w:val="0"/>
                <w:sz w:val="21"/>
                <w:szCs w:val="21"/>
                <w:highlight w:val="none"/>
                <w14:textFill>
                  <w14:solidFill>
                    <w14:schemeClr w14:val="tx1"/>
                  </w14:solidFill>
                </w14:textFill>
              </w:rPr>
              <w:t>措施保障能基本满足项目采购需求得</w:t>
            </w:r>
            <w:r>
              <w:rPr>
                <w:rFonts w:hint="eastAsia" w:ascii="宋体" w:hAnsi="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分；方案不完整、措施保障有欠缺</w:t>
            </w:r>
            <w:r>
              <w:rPr>
                <w:rFonts w:hint="eastAsia" w:ascii="宋体" w:hAnsi="宋体" w:eastAsia="宋体" w:cs="宋体"/>
                <w:color w:val="000000" w:themeColor="text1"/>
                <w:kern w:val="0"/>
                <w:sz w:val="21"/>
                <w:szCs w:val="21"/>
                <w:highlight w:val="none"/>
                <w:lang w:eastAsia="zh-CN"/>
                <w14:textFill>
                  <w14:solidFill>
                    <w14:schemeClr w14:val="tx1"/>
                  </w14:solidFill>
                </w14:textFill>
              </w:rPr>
              <w:t>、无法确保产品质量的</w:t>
            </w:r>
            <w:r>
              <w:rPr>
                <w:rFonts w:hint="eastAsia" w:ascii="宋体" w:hAnsi="宋体" w:eastAsia="宋体" w:cs="宋体"/>
                <w:color w:val="000000" w:themeColor="text1"/>
                <w:kern w:val="0"/>
                <w:sz w:val="21"/>
                <w:szCs w:val="21"/>
                <w:highlight w:val="none"/>
                <w14:textFill>
                  <w14:solidFill>
                    <w14:schemeClr w14:val="tx1"/>
                  </w14:solidFill>
                </w14:textFill>
              </w:rPr>
              <w:t>得</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w:t>
            </w:r>
            <w:r>
              <w:rPr>
                <w:rFonts w:hint="eastAsia" w:ascii="宋体" w:hAnsi="宋体" w:eastAsia="宋体" w:cs="宋体"/>
                <w:color w:val="000000" w:themeColor="text1"/>
                <w:kern w:val="0"/>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无方案或完全不满足采购人需求的得0分。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b/>
                <w:bCs/>
                <w:color w:val="000000" w:themeColor="text1"/>
                <w:sz w:val="21"/>
                <w:szCs w:val="21"/>
                <w:highlight w:val="none"/>
                <w14:textFill>
                  <w14:solidFill>
                    <w14:schemeClr w14:val="tx1"/>
                  </w14:solidFill>
                </w14:textFill>
              </w:rPr>
              <w:t>评标委员会根据供应商的应急方案进行评议</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故障解决方案详细说明，应急处理预案完善能保证采购人正常运行的得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分；故障解决方案可覆盖本次采购可预见问题，能实际解决采购人故障基本可保证在突发情况时采购人正常运行的得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分；应急方案笼统未能实际解决问题，存在影响采购人正常运营的风险，有待完善改进的得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无方案或完全不满足采购人需求的得0分。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8036" w:type="dxa"/>
            <w:tcBorders>
              <w:top w:val="single" w:color="auto" w:sz="4" w:space="0"/>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评委对投标文件中提供的</w:t>
            </w:r>
            <w:r>
              <w:rPr>
                <w:rFonts w:hint="eastAsia" w:ascii="宋体" w:hAnsi="宋体" w:eastAsia="宋体" w:cs="宋体"/>
                <w:b/>
                <w:bCs/>
                <w:color w:val="000000" w:themeColor="text1"/>
                <w:kern w:val="0"/>
                <w:sz w:val="21"/>
                <w:szCs w:val="21"/>
                <w:highlight w:val="none"/>
                <w14:textFill>
                  <w14:solidFill>
                    <w14:schemeClr w14:val="tx1"/>
                  </w14:solidFill>
                </w14:textFill>
              </w:rPr>
              <w:t>人员培训方案</w:t>
            </w:r>
            <w:r>
              <w:rPr>
                <w:rFonts w:hint="eastAsia" w:ascii="宋体" w:hAnsi="宋体" w:eastAsia="宋体" w:cs="宋体"/>
                <w:b/>
                <w:bCs/>
                <w:color w:val="000000" w:themeColor="text1"/>
                <w:kern w:val="0"/>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方案完整详细，能为不同的受培训人员提供具有明确针对性的培训内容的得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方案基本完整，培训内容有一定针对性的得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分；方案有缺陷，培训内容单一的得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分；无方案或完全不满足采购人需求的得0分。</w:t>
            </w:r>
          </w:p>
        </w:tc>
        <w:tc>
          <w:tcPr>
            <w:tcW w:w="75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价格分3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803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参与评审的价格=评标价-小微企业价格扣除优惠值10%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评标基准价=满足招标文件要求且“参与评审的价格”中最低的价格为评标基准价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基准价得分为满分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分，其他供应商报价得分计算公式如下：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其他供应商报价得分=（评标基准价/参与评审的价格）×</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82" w:type="dxa"/>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合计</w:t>
            </w:r>
          </w:p>
        </w:tc>
        <w:tc>
          <w:tcPr>
            <w:tcW w:w="7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=SUM(ABOVE)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tc>
      </w:tr>
    </w:tbl>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、各评委成员自行按以上参考分值评分，评分小数点后保留一位数。</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2、表内要求提供的资料，未按要求提供的均不得分。</w:t>
      </w:r>
    </w:p>
    <w:p>
      <w:pPr>
        <w:widowControl/>
        <w:spacing w:line="400" w:lineRule="exact"/>
        <w:ind w:firstLine="420" w:firstLineChars="200"/>
        <w:jc w:val="left"/>
        <w:rPr>
          <w:rFonts w:hint="eastAsia" w:ascii="宋体" w:hAnsi="宋体" w:eastAsia="宋体"/>
          <w:color w:val="000000" w:themeColor="text1"/>
          <w:szCs w:val="21"/>
          <w:highlight w:val="none"/>
          <w:lang w:val="en-US" w:eastAsia="zh-CN"/>
          <w14:textFill>
            <w14:solidFill>
              <w14:schemeClr w14:val="tx1"/>
            </w14:solidFill>
          </w14:textFill>
        </w:rPr>
      </w:pPr>
    </w:p>
    <w:p>
      <w:pPr>
        <w:widowControl/>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评委签名：   </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年</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rPr>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br w:type="page"/>
      </w:r>
    </w:p>
    <w:p>
      <w:pPr>
        <w:pStyle w:val="49"/>
        <w:ind w:firstLine="240"/>
        <w:rPr>
          <w:color w:val="000000" w:themeColor="text1"/>
          <w:highlight w:val="none"/>
          <w14:textFill>
            <w14:solidFill>
              <w14:schemeClr w14:val="tx1"/>
            </w14:solidFill>
          </w14:textFill>
        </w:rPr>
        <w:sectPr>
          <w:headerReference r:id="rId9" w:type="default"/>
          <w:footerReference r:id="rId10" w:type="default"/>
          <w:pgSz w:w="11907" w:h="16840"/>
          <w:pgMar w:top="851" w:right="1275" w:bottom="1134" w:left="1276" w:header="285" w:footer="418" w:gutter="0"/>
          <w:cols w:space="720" w:num="1"/>
          <w:docGrid w:linePitch="285" w:charSpace="0"/>
        </w:sectPr>
      </w:pPr>
    </w:p>
    <w:p>
      <w:pPr>
        <w:pStyle w:val="15"/>
        <w:ind w:firstLine="538"/>
        <w:jc w:val="center"/>
        <w:rPr>
          <w:b/>
          <w:color w:val="000000" w:themeColor="text1"/>
          <w:sz w:val="32"/>
          <w:szCs w:val="32"/>
          <w:highlight w:val="none"/>
          <w14:textFill>
            <w14:solidFill>
              <w14:schemeClr w14:val="tx1"/>
            </w14:solidFill>
          </w14:textFill>
        </w:rPr>
      </w:pPr>
      <w:bookmarkStart w:id="322" w:name="_Toc44162155"/>
      <w:r>
        <w:rPr>
          <w:rFonts w:hint="eastAsia"/>
          <w:b/>
          <w:color w:val="000000" w:themeColor="text1"/>
          <w:sz w:val="32"/>
          <w:szCs w:val="32"/>
          <w:highlight w:val="none"/>
          <w14:textFill>
            <w14:solidFill>
              <w14:schemeClr w14:val="tx1"/>
            </w14:solidFill>
          </w14:textFill>
        </w:rPr>
        <w:t>第六章</w:t>
      </w:r>
      <w:r>
        <w:rPr>
          <w:rFonts w:hint="eastAsia"/>
          <w:b/>
          <w:color w:val="000000" w:themeColor="text1"/>
          <w:sz w:val="32"/>
          <w:szCs w:val="32"/>
          <w:highlight w:val="none"/>
          <w:lang w:val="en-US" w:eastAsia="zh-CN"/>
          <w14:textFill>
            <w14:solidFill>
              <w14:schemeClr w14:val="tx1"/>
            </w14:solidFill>
          </w14:textFill>
        </w:rPr>
        <w:t xml:space="preserve">  </w:t>
      </w:r>
      <w:bookmarkEnd w:id="322"/>
      <w:r>
        <w:rPr>
          <w:rFonts w:hint="eastAsia"/>
          <w:b/>
          <w:color w:val="000000" w:themeColor="text1"/>
          <w:sz w:val="32"/>
          <w:szCs w:val="32"/>
          <w:highlight w:val="none"/>
          <w14:textFill>
            <w14:solidFill>
              <w14:schemeClr w14:val="tx1"/>
            </w14:solidFill>
          </w14:textFill>
        </w:rPr>
        <w:t>采购合同样本</w:t>
      </w:r>
    </w:p>
    <w:p>
      <w:pPr>
        <w:spacing w:line="400" w:lineRule="exact"/>
        <w:outlineLvl w:val="0"/>
        <w:rPr>
          <w:rFonts w:ascii="宋体" w:hAnsi="宋体"/>
          <w:bCs/>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400" w:lineRule="exact"/>
        <w:ind w:left="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p>
    <w:p>
      <w:pPr>
        <w:pStyle w:val="3"/>
        <w:snapToGrid w:val="0"/>
        <w:spacing w:line="400" w:lineRule="exact"/>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（本合同为合同样稿，最终稿由甲乙双方协商后确定）</w:t>
      </w:r>
    </w:p>
    <w:p>
      <w:pPr>
        <w:pStyle w:val="3"/>
        <w:snapToGrid w:val="0"/>
        <w:spacing w:line="400" w:lineRule="exact"/>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编号：</w:t>
      </w:r>
    </w:p>
    <w:p>
      <w:pPr>
        <w:spacing w:line="360" w:lineRule="atLeas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（以下简称甲方）</w:t>
      </w:r>
    </w:p>
    <w:p>
      <w:pPr>
        <w:spacing w:line="360" w:lineRule="atLeas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（以下简称乙方）</w:t>
      </w:r>
    </w:p>
    <w:p>
      <w:pPr>
        <w:spacing w:line="360" w:lineRule="atLeast"/>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根据《中华人民共和国政府采购法》、《中华人民共和国政府采购法实施条例》、《政府采购货物和服务招标投标管理办法》等法律法规，</w:t>
      </w:r>
      <w:r>
        <w:rPr>
          <w:rFonts w:hint="eastAsia" w:ascii="宋体" w:hAnsi="宋体" w:eastAsia="宋体" w:cs="宋体"/>
          <w:color w:val="000000" w:themeColor="text1"/>
          <w:sz w:val="21"/>
          <w:szCs w:val="21"/>
          <w:highlight w:val="none"/>
          <w:u w:val="single"/>
          <w14:textFill>
            <w14:solidFill>
              <w14:schemeClr w14:val="tx1"/>
            </w14:solidFill>
          </w14:textFill>
        </w:rPr>
        <w:t>项目名称（项目编号：）</w:t>
      </w:r>
      <w:r>
        <w:rPr>
          <w:rFonts w:hint="eastAsia" w:ascii="宋体" w:hAnsi="宋体" w:eastAsia="宋体" w:cs="宋体"/>
          <w:color w:val="000000" w:themeColor="text1"/>
          <w:sz w:val="21"/>
          <w:szCs w:val="21"/>
          <w:highlight w:val="none"/>
          <w14:textFill>
            <w14:solidFill>
              <w14:schemeClr w14:val="tx1"/>
            </w14:solidFill>
          </w14:textFill>
        </w:rPr>
        <w:t xml:space="preserve">于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日进行公开招标，确定由乙方中标。按照《中华人民共和国民法典》的有关规定，在自愿、平等、公平、诚信的基础上，经双方协商一致，签订本合同。</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一、合同标的</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1.1</w:t>
      </w:r>
      <w:r>
        <w:rPr>
          <w:rFonts w:hint="eastAsia" w:ascii="宋体" w:hAnsi="宋体" w:eastAsia="宋体" w:cs="宋体"/>
          <w:color w:val="000000" w:themeColor="text1"/>
          <w:kern w:val="0"/>
          <w:sz w:val="21"/>
          <w:szCs w:val="21"/>
          <w14:textFill>
            <w14:solidFill>
              <w14:schemeClr w14:val="tx1"/>
            </w14:solidFill>
          </w14:textFill>
        </w:rPr>
        <w:t>甲乙双方经公开招标达成本采购行为，乙方根据竞价公告、竞价应答文件及中标（成交）通知书等（上述文件统称为竞价文件）并按照甲方需求提供下列货物。</w:t>
      </w:r>
    </w:p>
    <w:tbl>
      <w:tblPr>
        <w:tblStyle w:val="51"/>
        <w:tblW w:w="5030" w:type="pct"/>
        <w:tblInd w:w="0" w:type="dxa"/>
        <w:tblLayout w:type="fixed"/>
        <w:tblCellMar>
          <w:top w:w="0" w:type="dxa"/>
          <w:left w:w="108" w:type="dxa"/>
          <w:bottom w:w="0" w:type="dxa"/>
          <w:right w:w="108" w:type="dxa"/>
        </w:tblCellMar>
      </w:tblPr>
      <w:tblGrid>
        <w:gridCol w:w="821"/>
        <w:gridCol w:w="1456"/>
        <w:gridCol w:w="1298"/>
        <w:gridCol w:w="2840"/>
        <w:gridCol w:w="526"/>
        <w:gridCol w:w="526"/>
        <w:gridCol w:w="1065"/>
        <w:gridCol w:w="1098"/>
      </w:tblGrid>
      <w:tr>
        <w:tblPrEx>
          <w:tblCellMar>
            <w:top w:w="0" w:type="dxa"/>
            <w:left w:w="108" w:type="dxa"/>
            <w:bottom w:w="0" w:type="dxa"/>
            <w:right w:w="108" w:type="dxa"/>
          </w:tblCellMar>
        </w:tblPrEx>
        <w:trPr>
          <w:trHeight w:val="255" w:hRule="atLeast"/>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序号</w:t>
            </w:r>
          </w:p>
        </w:tc>
        <w:tc>
          <w:tcPr>
            <w:tcW w:w="7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货物名称</w:t>
            </w: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品牌</w:t>
            </w:r>
          </w:p>
        </w:tc>
        <w:tc>
          <w:tcPr>
            <w:tcW w:w="147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型号/规格</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数量</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单位</w:t>
            </w:r>
          </w:p>
        </w:tc>
        <w:tc>
          <w:tcPr>
            <w:tcW w:w="552"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bottom"/>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单价（元）</w:t>
            </w:r>
          </w:p>
        </w:tc>
        <w:tc>
          <w:tcPr>
            <w:tcW w:w="570" w:type="pct"/>
            <w:tcBorders>
              <w:top w:val="single" w:color="000000" w:sz="8" w:space="0"/>
              <w:left w:val="single" w:color="000000" w:sz="8" w:space="0"/>
              <w:bottom w:val="nil"/>
              <w:right w:val="single" w:color="000000" w:sz="8"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400" w:lineRule="exact"/>
              <w:jc w:val="center"/>
              <w:textAlignment w:val="bottom"/>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总价</w:t>
            </w:r>
          </w:p>
        </w:tc>
      </w:tr>
      <w:tr>
        <w:tblPrEx>
          <w:tblCellMar>
            <w:top w:w="0" w:type="dxa"/>
            <w:left w:w="108" w:type="dxa"/>
            <w:bottom w:w="0" w:type="dxa"/>
            <w:right w:w="108" w:type="dxa"/>
          </w:tblCellMar>
        </w:tblPrEx>
        <w:trPr>
          <w:trHeight w:val="255" w:hRule="atLeast"/>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147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552" w:type="pct"/>
            <w:vMerge w:val="continue"/>
            <w:tcBorders>
              <w:top w:val="single" w:color="000000" w:sz="8" w:space="0"/>
              <w:left w:val="nil"/>
              <w:bottom w:val="single" w:color="000000" w:sz="8" w:space="0"/>
              <w:right w:val="single" w:color="000000" w:sz="8" w:space="0"/>
            </w:tcBorders>
            <w:shd w:val="clear" w:color="auto" w:fill="auto"/>
            <w:vAlign w:val="bottom"/>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570" w:type="pct"/>
            <w:tcBorders>
              <w:top w:val="nil"/>
              <w:left w:val="single" w:color="000000" w:sz="8" w:space="0"/>
              <w:bottom w:val="single" w:color="000000" w:sz="8" w:space="0"/>
              <w:right w:val="single" w:color="000000" w:sz="8"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400" w:lineRule="exact"/>
              <w:jc w:val="center"/>
              <w:textAlignment w:val="bottom"/>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（元）</w:t>
            </w:r>
          </w:p>
        </w:tc>
      </w:tr>
      <w:tr>
        <w:tblPrEx>
          <w:tblCellMar>
            <w:top w:w="0" w:type="dxa"/>
            <w:left w:w="108" w:type="dxa"/>
            <w:bottom w:w="0" w:type="dxa"/>
            <w:right w:w="108" w:type="dxa"/>
          </w:tblCellMar>
        </w:tblPrEx>
        <w:trPr>
          <w:trHeight w:val="240"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pacing w:line="400" w:lineRule="exact"/>
              <w:jc w:val="center"/>
              <w:textAlignment w:val="bottom"/>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合同总价：¥</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1"/>
                <w:szCs w:val="21"/>
                <w:lang w:bidi="ar"/>
                <w14:textFill>
                  <w14:solidFill>
                    <w14:schemeClr w14:val="tx1"/>
                  </w14:solidFill>
                </w14:textFill>
              </w:rPr>
              <w:t>元（人民币</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 xml:space="preserve">   </w:t>
            </w:r>
            <w:r>
              <w:rPr>
                <w:rFonts w:hint="eastAsia" w:ascii="宋体" w:hAnsi="宋体" w:eastAsia="宋体" w:cs="宋体"/>
                <w:b/>
                <w:bCs/>
                <w:color w:val="000000" w:themeColor="text1"/>
                <w:kern w:val="0"/>
                <w:sz w:val="21"/>
                <w:szCs w:val="21"/>
                <w:lang w:bidi="ar"/>
                <w14:textFill>
                  <w14:solidFill>
                    <w14:schemeClr w14:val="tx1"/>
                  </w14:solidFill>
                </w14:textFill>
              </w:rPr>
              <w:t>元整）</w:t>
            </w:r>
          </w:p>
        </w:tc>
      </w:tr>
    </w:tbl>
    <w:p>
      <w:pPr>
        <w:keepNext w:val="0"/>
        <w:keepLines w:val="0"/>
        <w:pageBreakBefore w:val="0"/>
        <w:widowControl/>
        <w:kinsoku/>
        <w:wordWrap/>
        <w:overflowPunct/>
        <w:topLinePunct w:val="0"/>
        <w:autoSpaceDE/>
        <w:autoSpaceDN/>
        <w:bidi w:val="0"/>
        <w:adjustRightInd/>
        <w:spacing w:line="400" w:lineRule="exact"/>
        <w:ind w:firstLine="210" w:firstLineChars="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注：1、</w:t>
      </w:r>
      <w:r>
        <w:rPr>
          <w:rFonts w:hint="eastAsia" w:ascii="宋体" w:hAnsi="宋体" w:eastAsia="宋体" w:cs="宋体"/>
          <w:color w:val="000000" w:themeColor="text1"/>
          <w:sz w:val="21"/>
          <w:szCs w:val="21"/>
          <w14:textFill>
            <w14:solidFill>
              <w14:schemeClr w14:val="tx1"/>
            </w14:solidFill>
          </w14:textFill>
        </w:rPr>
        <w:t>本合同以人民币进行结算；</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1.2</w:t>
      </w:r>
      <w:r>
        <w:rPr>
          <w:rFonts w:hint="eastAsia" w:ascii="宋体" w:hAnsi="宋体" w:eastAsia="宋体" w:cs="宋体"/>
          <w:color w:val="000000" w:themeColor="text1"/>
          <w:kern w:val="0"/>
          <w:sz w:val="21"/>
          <w:szCs w:val="21"/>
          <w14:textFill>
            <w14:solidFill>
              <w14:schemeClr w14:val="tx1"/>
            </w14:solidFill>
          </w14:textFill>
        </w:rPr>
        <w:t>以上合同总价，含</w:t>
      </w:r>
      <w:r>
        <w:rPr>
          <w:rFonts w:hint="eastAsia" w:ascii="宋体" w:hAnsi="宋体" w:eastAsia="宋体" w:cs="宋体"/>
          <w:color w:val="000000" w:themeColor="text1"/>
          <w:kern w:val="0"/>
          <w:sz w:val="21"/>
          <w:szCs w:val="21"/>
          <w:lang w:eastAsia="zh-CN"/>
          <w14:textFill>
            <w14:solidFill>
              <w14:schemeClr w14:val="tx1"/>
            </w14:solidFill>
          </w14:textFill>
        </w:rPr>
        <w:t>采购人</w:t>
      </w:r>
      <w:r>
        <w:rPr>
          <w:rFonts w:hint="eastAsia" w:ascii="宋体" w:hAnsi="宋体" w:eastAsia="宋体" w:cs="宋体"/>
          <w:color w:val="000000" w:themeColor="text1"/>
          <w:kern w:val="0"/>
          <w:sz w:val="21"/>
          <w:szCs w:val="21"/>
          <w14:textFill>
            <w14:solidFill>
              <w14:schemeClr w14:val="tx1"/>
            </w14:solidFill>
          </w14:textFill>
        </w:rPr>
        <w:t>或</w:t>
      </w:r>
      <w:r>
        <w:rPr>
          <w:rFonts w:hint="eastAsia" w:ascii="宋体" w:hAnsi="宋体" w:eastAsia="宋体" w:cs="宋体"/>
          <w:color w:val="000000" w:themeColor="text1"/>
          <w:kern w:val="0"/>
          <w:sz w:val="21"/>
          <w:szCs w:val="21"/>
          <w:lang w:eastAsia="zh-CN"/>
          <w14:textFill>
            <w14:solidFill>
              <w14:schemeClr w14:val="tx1"/>
            </w14:solidFill>
          </w14:textFill>
        </w:rPr>
        <w:t>采购人</w:t>
      </w:r>
      <w:r>
        <w:rPr>
          <w:rFonts w:hint="eastAsia" w:ascii="宋体" w:hAnsi="宋体" w:eastAsia="宋体" w:cs="宋体"/>
          <w:color w:val="000000" w:themeColor="text1"/>
          <w:kern w:val="0"/>
          <w:sz w:val="21"/>
          <w:szCs w:val="21"/>
          <w14:textFill>
            <w14:solidFill>
              <w14:schemeClr w14:val="tx1"/>
            </w14:solidFill>
          </w14:textFill>
        </w:rPr>
        <w:t>指定用户能正常使用所需的一切费用</w:t>
      </w:r>
      <w:r>
        <w:rPr>
          <w:rFonts w:hint="eastAsia" w:ascii="宋体" w:hAnsi="宋体" w:eastAsia="宋体" w:cs="宋体"/>
          <w:color w:val="000000" w:themeColor="text1"/>
          <w:kern w:val="0"/>
          <w:sz w:val="21"/>
          <w:szCs w:val="21"/>
          <w:lang w:eastAsia="zh-CN"/>
          <w14:textFill>
            <w14:solidFill>
              <w14:schemeClr w14:val="tx1"/>
            </w14:solidFill>
          </w14:textFill>
        </w:rPr>
        <w:t>，包括但不限于</w:t>
      </w:r>
      <w:r>
        <w:rPr>
          <w:rFonts w:hint="eastAsia" w:ascii="宋体" w:hAnsi="宋体" w:eastAsia="宋体" w:cs="宋体"/>
          <w:color w:val="000000" w:themeColor="text1"/>
          <w:kern w:val="0"/>
          <w:sz w:val="21"/>
          <w:szCs w:val="21"/>
          <w14:textFill>
            <w14:solidFill>
              <w14:schemeClr w14:val="tx1"/>
            </w14:solidFill>
          </w14:textFill>
        </w:rPr>
        <w:t>系统安装、调试、验收，硬件设备的供货、包装费、运输费、装卸费、保险费、安装调试费、技术服务费、培训费以及保修费、税费质保期内的后续服务等一切费用。</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二、供货范围</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2.1</w:t>
      </w:r>
      <w:r>
        <w:rPr>
          <w:rFonts w:hint="eastAsia" w:ascii="宋体" w:hAnsi="宋体" w:eastAsia="宋体" w:cs="宋体"/>
          <w:color w:val="000000" w:themeColor="text1"/>
          <w:kern w:val="0"/>
          <w:sz w:val="21"/>
          <w:szCs w:val="21"/>
          <w14:textFill>
            <w14:solidFill>
              <w14:schemeClr w14:val="tx1"/>
            </w14:solidFill>
          </w14:textFill>
        </w:rPr>
        <w:t>合同供货范围包括了所有合同货物、相关的技术资料。</w:t>
      </w:r>
    </w:p>
    <w:p>
      <w:pPr>
        <w:keepNext w:val="0"/>
        <w:keepLines w:val="0"/>
        <w:pageBreakBefore w:val="0"/>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2.2</w:t>
      </w:r>
      <w:r>
        <w:rPr>
          <w:rFonts w:hint="eastAsia" w:ascii="宋体" w:hAnsi="宋体" w:eastAsia="宋体" w:cs="宋体"/>
          <w:color w:val="000000" w:themeColor="text1"/>
          <w:kern w:val="0"/>
          <w:sz w:val="21"/>
          <w:szCs w:val="21"/>
          <w14:textFill>
            <w14:solidFill>
              <w14:schemeClr w14:val="tx1"/>
            </w14:solidFill>
          </w14:textFill>
        </w:rPr>
        <w:t>在执行合同过程中如发现任何漏项和短缺，在合同或附件清单并未列入，但该部分漏项或短缺是满足合同货物的性能所必须的，则均应由乙方负责免费将所漏项或短缺的货物及技术服务等在最短的合理时间内补齐。</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三、货款结算</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b/>
          <w:bCs/>
          <w:color w:val="000000" w:themeColor="text1"/>
          <w:kern w:val="0"/>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四、履约保证金</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五、质量保证与权利保证</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5.1</w:t>
      </w:r>
      <w:r>
        <w:rPr>
          <w:rFonts w:hint="eastAsia" w:ascii="宋体" w:hAnsi="宋体" w:eastAsia="宋体" w:cs="宋体"/>
          <w:color w:val="000000" w:themeColor="text1"/>
          <w:kern w:val="0"/>
          <w:sz w:val="21"/>
          <w:szCs w:val="21"/>
          <w14:textFill>
            <w14:solidFill>
              <w14:schemeClr w14:val="tx1"/>
            </w14:solidFill>
          </w14:textFill>
        </w:rPr>
        <w:t>乙方应保证所供货物是全新且未使用过的，并完全符合政府采购规定的质量性能规格型号和价格、服务要求。乙方应保证其货物在正确安装、正常使用和保养条件下，在使用寿命期内具有满意的性能。在货物最终交付验收后的质量保证期内，乙方应对由于设计、工艺或材料等缺陷而产生的故障负责。</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5.2</w:t>
      </w:r>
      <w:r>
        <w:rPr>
          <w:rFonts w:hint="eastAsia" w:ascii="宋体" w:hAnsi="宋体" w:eastAsia="宋体" w:cs="宋体"/>
          <w:color w:val="000000" w:themeColor="text1"/>
          <w:kern w:val="0"/>
          <w:sz w:val="21"/>
          <w:szCs w:val="21"/>
          <w14:textFill>
            <w14:solidFill>
              <w14:schemeClr w14:val="tx1"/>
            </w14:solidFill>
          </w14:textFill>
        </w:rPr>
        <w:t>货物质量应符合生产厂家的出厂标准和现行国家、行业各项标准，出厂标准与国家/行业标准要求不一致时，以要求较高者为准。</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5.3</w:t>
      </w:r>
      <w:r>
        <w:rPr>
          <w:rFonts w:hint="eastAsia" w:ascii="宋体" w:hAnsi="宋体" w:eastAsia="宋体" w:cs="宋体"/>
          <w:color w:val="000000" w:themeColor="text1"/>
          <w:kern w:val="0"/>
          <w:sz w:val="21"/>
          <w:szCs w:val="21"/>
          <w14:textFill>
            <w14:solidFill>
              <w14:schemeClr w14:val="tx1"/>
            </w14:solidFill>
          </w14:textFill>
        </w:rPr>
        <w:t>乙方保证其对货物及服务项下所有内容拥有完整、独立、有效的所有权，且完全有能力授权甲方永久、免费、全球范围内使用货物附属软件（如有）。</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5.4</w:t>
      </w:r>
      <w:r>
        <w:rPr>
          <w:rFonts w:hint="eastAsia" w:ascii="宋体" w:hAnsi="宋体" w:eastAsia="宋体" w:cs="宋体"/>
          <w:color w:val="000000" w:themeColor="text1"/>
          <w:kern w:val="0"/>
          <w:sz w:val="21"/>
          <w:szCs w:val="21"/>
          <w14:textFill>
            <w14:solidFill>
              <w14:schemeClr w14:val="tx1"/>
            </w14:solidFill>
          </w14:textFill>
        </w:rPr>
        <w:t>乙方保证其交付的所有货物、软件及服务等，不会侵犯任何第三方的知识产权和其它权益。如因此发生任何针对甲方的争议、索赔、诉讼等，产生的一切法律责任与费用均由乙方承担。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六、转包或分包</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6.1</w:t>
      </w:r>
      <w:r>
        <w:rPr>
          <w:rFonts w:hint="eastAsia" w:ascii="宋体" w:hAnsi="宋体" w:eastAsia="宋体" w:cs="宋体"/>
          <w:color w:val="000000" w:themeColor="text1"/>
          <w:kern w:val="0"/>
          <w:sz w:val="21"/>
          <w:szCs w:val="21"/>
          <w14:textFill>
            <w14:solidFill>
              <w14:schemeClr w14:val="tx1"/>
            </w14:solidFill>
          </w14:textFill>
        </w:rPr>
        <w:t>本合同范围的货物，应由乙方直接供应，不得转让他人供应，否则，甲方有权解除合同，没收履约保证金并追究乙方的违约责任。</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七、货物包装</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7.1</w:t>
      </w:r>
      <w:r>
        <w:rPr>
          <w:rFonts w:hint="eastAsia" w:ascii="宋体" w:hAnsi="宋体" w:eastAsia="宋体" w:cs="宋体"/>
          <w:color w:val="000000" w:themeColor="text1"/>
          <w:kern w:val="0"/>
          <w:sz w:val="21"/>
          <w:szCs w:val="21"/>
          <w14:textFill>
            <w14:solidFill>
              <w14:schemeClr w14:val="tx1"/>
            </w14:solidFill>
          </w14:textFill>
        </w:rPr>
        <w:t>乙方提供的全部货物均应按国家标准中关于包装、储运指示标志的规定及其他相关规定进行包装。该包装应适于远程运输和反复装卸，并具有防潮、防震、防锈、防霉等作用，以确保货物安全无损地运抵甲方指定地点。由于包装不善所引起的货物锈蚀、损坏和损失均由乙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7.2</w:t>
      </w:r>
      <w:r>
        <w:rPr>
          <w:rFonts w:hint="eastAsia" w:ascii="宋体" w:hAnsi="宋体" w:eastAsia="宋体" w:cs="宋体"/>
          <w:color w:val="000000" w:themeColor="text1"/>
          <w:kern w:val="0"/>
          <w:sz w:val="21"/>
          <w:szCs w:val="21"/>
          <w14:textFill>
            <w14:solidFill>
              <w14:schemeClr w14:val="tx1"/>
            </w14:solidFill>
          </w14:textFill>
        </w:rPr>
        <w:t>乙方应向甲方提供使用货物的有关技术资料，包括相应的每套设备和仪器的中文技术文件，例如：商品目录、图纸、使用说明、质量检验证明、操作手册，维护手册或服务指南等。该类文件应包装好随货发运。</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八、货物交付</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8.1</w:t>
      </w:r>
      <w:r>
        <w:rPr>
          <w:rFonts w:hint="eastAsia" w:ascii="宋体" w:hAnsi="宋体" w:eastAsia="宋体" w:cs="宋体"/>
          <w:color w:val="000000" w:themeColor="text1"/>
          <w:kern w:val="0"/>
          <w:sz w:val="21"/>
          <w:szCs w:val="21"/>
          <w14:textFill>
            <w14:solidFill>
              <w14:schemeClr w14:val="tx1"/>
            </w14:solidFill>
          </w14:textFill>
        </w:rPr>
        <w:t>交货期：</w:t>
      </w:r>
      <w:r>
        <w:rPr>
          <w:rFonts w:hint="eastAsia" w:ascii="宋体" w:hAnsi="宋体" w:cs="宋体"/>
          <w:color w:val="000000" w:themeColor="text1"/>
          <w:kern w:val="0"/>
          <w:sz w:val="21"/>
          <w:szCs w:val="21"/>
          <w:lang w:eastAsia="zh-CN"/>
          <w14:textFill>
            <w14:solidFill>
              <w14:schemeClr w14:val="tx1"/>
            </w14:solidFill>
          </w14:textFill>
        </w:rPr>
        <w:t>自合同签订之日起90天内完成项目建设及初验，试运行1个月后进行终验。</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8.2</w:t>
      </w:r>
      <w:r>
        <w:rPr>
          <w:rFonts w:hint="eastAsia" w:ascii="宋体" w:hAnsi="宋体" w:eastAsia="宋体" w:cs="宋体"/>
          <w:color w:val="000000" w:themeColor="text1"/>
          <w:kern w:val="0"/>
          <w:sz w:val="21"/>
          <w:szCs w:val="21"/>
          <w14:textFill>
            <w14:solidFill>
              <w14:schemeClr w14:val="tx1"/>
            </w14:solidFill>
          </w14:textFill>
        </w:rPr>
        <w:t xml:space="preserve">交货方式： </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8.3</w:t>
      </w:r>
      <w:r>
        <w:rPr>
          <w:rFonts w:hint="eastAsia" w:ascii="宋体" w:hAnsi="宋体" w:eastAsia="宋体" w:cs="宋体"/>
          <w:color w:val="000000" w:themeColor="text1"/>
          <w:kern w:val="0"/>
          <w:sz w:val="21"/>
          <w:szCs w:val="21"/>
          <w14:textFill>
            <w14:solidFill>
              <w14:schemeClr w14:val="tx1"/>
            </w14:solidFill>
          </w14:textFill>
        </w:rPr>
        <w:t xml:space="preserve">收货信息：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收货人：</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；手机号码：</w:t>
      </w:r>
      <w:r>
        <w:rPr>
          <w:rFonts w:hint="eastAsia" w:ascii="宋体" w:hAnsi="宋体" w:eastAsia="宋体" w:cs="宋体"/>
          <w:color w:val="000000" w:themeColor="text1"/>
          <w:kern w:val="0"/>
          <w:sz w:val="21"/>
          <w:szCs w:val="21"/>
          <w:u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none"/>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收货地址：</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8.4</w:t>
      </w:r>
      <w:r>
        <w:rPr>
          <w:rFonts w:hint="eastAsia" w:ascii="宋体" w:hAnsi="宋体" w:eastAsia="宋体" w:cs="宋体"/>
          <w:color w:val="000000" w:themeColor="text1"/>
          <w:kern w:val="0"/>
          <w:sz w:val="21"/>
          <w:szCs w:val="21"/>
          <w14:textFill>
            <w14:solidFill>
              <w14:schemeClr w14:val="tx1"/>
            </w14:solidFill>
          </w14:textFill>
        </w:rPr>
        <w:t>乙方应提前</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天以书面形式通知甲方货物备妥待运日期及装箱清单，甲方应为接收货物做好前期准备。如甲方不具备接收货物的条件，应在约定的交货日期</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日前以书面形式通知乙方，并重新确定交货日期。</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8.5</w:t>
      </w:r>
      <w:r>
        <w:rPr>
          <w:rFonts w:hint="eastAsia" w:ascii="宋体" w:hAnsi="宋体" w:eastAsia="宋体" w:cs="宋体"/>
          <w:color w:val="000000" w:themeColor="text1"/>
          <w:kern w:val="0"/>
          <w:sz w:val="21"/>
          <w:szCs w:val="21"/>
          <w14:textFill>
            <w14:solidFill>
              <w14:schemeClr w14:val="tx1"/>
            </w14:solidFill>
          </w14:textFill>
        </w:rPr>
        <w:t>交货前，乙方应对货物作出全面检查和对验收文件进行整理，并列出清单，作为甲方收货验收和使用的技术条件依据，检验的结果应随货物交甲方。</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九、安装与验收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9.1</w:t>
      </w:r>
      <w:r>
        <w:rPr>
          <w:rFonts w:hint="eastAsia" w:ascii="宋体" w:hAnsi="宋体" w:eastAsia="宋体" w:cs="宋体"/>
          <w:color w:val="000000" w:themeColor="text1"/>
          <w:kern w:val="0"/>
          <w:sz w:val="21"/>
          <w:szCs w:val="21"/>
          <w14:textFill>
            <w14:solidFill>
              <w14:schemeClr w14:val="tx1"/>
            </w14:solidFill>
          </w14:textFill>
        </w:rPr>
        <w:t>到货验收：货物运抵甲方指定地点后，甲方应依据本合同及询价文件上的技术规格要求和国家有关质量标准及时进行验收。如发生所供货物与合同约定不符，甲方有权退货或要求乙方进行更换、补齐，因此造成逾期交货的，乙方应承担逾期交货的违约责任。乙方应在接到甲方要求后</w:t>
      </w:r>
      <w:r>
        <w:rPr>
          <w:rFonts w:hint="eastAsia"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15</w:t>
      </w:r>
      <w:r>
        <w:rPr>
          <w:rFonts w:hint="eastAsia" w:ascii="宋体" w:hAnsi="宋体" w:eastAsia="宋体" w:cs="宋体"/>
          <w:color w:val="000000" w:themeColor="text1"/>
          <w:kern w:val="0"/>
          <w:sz w:val="21"/>
          <w:szCs w:val="21"/>
          <w14:textFill>
            <w14:solidFill>
              <w14:schemeClr w14:val="tx1"/>
            </w14:solidFill>
          </w14:textFill>
        </w:rPr>
        <w:t>日</w:t>
      </w:r>
      <w:r>
        <w:rPr>
          <w:rFonts w:hint="eastAsia" w:ascii="宋体" w:hAnsi="宋体" w:eastAsia="宋体" w:cs="宋体"/>
          <w:color w:val="000000" w:themeColor="text1"/>
          <w:kern w:val="0"/>
          <w:sz w:val="21"/>
          <w:szCs w:val="21"/>
          <w14:textFill>
            <w14:solidFill>
              <w14:schemeClr w14:val="tx1"/>
            </w14:solidFill>
          </w14:textFill>
        </w:rPr>
        <w:t>内予以补救，所产生的费用及法律后果由乙方承担。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9.2</w:t>
      </w:r>
      <w:r>
        <w:rPr>
          <w:rFonts w:hint="eastAsia" w:ascii="宋体" w:hAnsi="宋体" w:eastAsia="宋体" w:cs="宋体"/>
          <w:color w:val="000000" w:themeColor="text1"/>
          <w:kern w:val="0"/>
          <w:sz w:val="21"/>
          <w:szCs w:val="21"/>
          <w14:textFill>
            <w14:solidFill>
              <w14:schemeClr w14:val="tx1"/>
            </w14:solidFill>
          </w14:textFill>
        </w:rPr>
        <w:t>安装调试： 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安装调试过程中，乙方应采取安全保障措施，保证人员安全。如因乙方原因造成人员伤亡和财产损失的，乙方应承担全部赔偿责任。</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9.3</w:t>
      </w:r>
      <w:r>
        <w:rPr>
          <w:rFonts w:hint="eastAsia" w:ascii="宋体" w:hAnsi="宋体" w:eastAsia="宋体" w:cs="宋体"/>
          <w:color w:val="000000" w:themeColor="text1"/>
          <w:kern w:val="0"/>
          <w:sz w:val="21"/>
          <w:szCs w:val="21"/>
          <w14:textFill>
            <w14:solidFill>
              <w14:schemeClr w14:val="tx1"/>
            </w14:solidFill>
          </w14:textFill>
        </w:rPr>
        <w:t>最</w:t>
      </w:r>
      <w:r>
        <w:rPr>
          <w:rFonts w:hint="eastAsia" w:ascii="宋体" w:hAnsi="宋体" w:eastAsia="宋体" w:cs="宋体"/>
          <w:color w:val="000000" w:themeColor="text1"/>
          <w:kern w:val="0"/>
          <w:sz w:val="21"/>
          <w:szCs w:val="21"/>
          <w14:textFill>
            <w14:solidFill>
              <w14:schemeClr w14:val="tx1"/>
            </w14:solidFill>
          </w14:textFill>
        </w:rPr>
        <w:t xml:space="preserve">终验收：货物经安装调试完成且符合技术要求后，甲方进行最终验收。验收时乙方必须在现场。货物符合合同约定的技术规范要求和验收标准的，甲方签署验收合格证明。如货物不符合合同约定的要求的，乙方应当在 </w:t>
      </w:r>
      <w:r>
        <w:rPr>
          <w:rFonts w:hint="eastAsia" w:ascii="宋体" w:hAnsi="宋体" w:eastAsia="宋体" w:cs="宋体"/>
          <w:color w:val="000000" w:themeColor="text1"/>
          <w:kern w:val="0"/>
          <w:sz w:val="21"/>
          <w:szCs w:val="21"/>
          <w:u w:val="single"/>
          <w14:textFill>
            <w14:solidFill>
              <w14:schemeClr w14:val="tx1"/>
            </w14:solidFill>
          </w14:textFill>
        </w:rPr>
        <w:t>15</w:t>
      </w:r>
      <w:r>
        <w:rPr>
          <w:rFonts w:hint="eastAsia" w:ascii="宋体" w:hAnsi="宋体" w:eastAsia="宋体" w:cs="宋体"/>
          <w:color w:val="000000" w:themeColor="text1"/>
          <w:kern w:val="0"/>
          <w:sz w:val="21"/>
          <w:szCs w:val="21"/>
          <w14:textFill>
            <w14:solidFill>
              <w14:schemeClr w14:val="tx1"/>
            </w14:solidFill>
          </w14:textFill>
        </w:rPr>
        <w:t>日内采取措施消除缺陷后重新申请终验，并承担由此产生的费用。</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9.4</w:t>
      </w:r>
      <w:r>
        <w:rPr>
          <w:rFonts w:hint="eastAsia" w:ascii="宋体" w:hAnsi="宋体" w:eastAsia="宋体" w:cs="宋体"/>
          <w:color w:val="000000" w:themeColor="text1"/>
          <w:kern w:val="0"/>
          <w:sz w:val="21"/>
          <w:szCs w:val="21"/>
          <w14:textFill>
            <w14:solidFill>
              <w14:schemeClr w14:val="tx1"/>
            </w14:solidFill>
          </w14:textFill>
        </w:rPr>
        <w:t>对技术复杂的货物，甲方可请国家认可的专业检测机构参与验收，并由其出具质量检测报告，检测费用由</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9.5</w:t>
      </w:r>
      <w:r>
        <w:rPr>
          <w:rFonts w:hint="eastAsia" w:ascii="宋体" w:hAnsi="宋体" w:eastAsia="宋体" w:cs="宋体"/>
          <w:color w:val="000000" w:themeColor="text1"/>
          <w:kern w:val="0"/>
          <w:sz w:val="21"/>
          <w:szCs w:val="21"/>
          <w14:textFill>
            <w14:solidFill>
              <w14:schemeClr w14:val="tx1"/>
            </w14:solidFill>
          </w14:textFill>
        </w:rPr>
        <w:t>货物毁损、灭失的风险，自货物最终验收合格之日起由甲方承担。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十、保修与售后服务</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10.1</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服务器防病毒系统</w:t>
      </w:r>
      <w:r>
        <w:rPr>
          <w:rFonts w:hint="eastAsia" w:ascii="宋体" w:hAnsi="宋体" w:eastAsia="宋体" w:cs="宋体"/>
          <w:color w:val="000000" w:themeColor="text1"/>
          <w:kern w:val="0"/>
          <w:sz w:val="21"/>
          <w:szCs w:val="21"/>
          <w:lang w:eastAsia="zh-CN"/>
          <w14:textFill>
            <w14:solidFill>
              <w14:schemeClr w14:val="tx1"/>
            </w14:solidFill>
          </w14:textFill>
        </w:rPr>
        <w:t>为</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eastAsia="zh-CN"/>
          <w14:textFill>
            <w14:solidFill>
              <w14:schemeClr w14:val="tx1"/>
            </w14:solidFill>
          </w14:textFill>
        </w:rPr>
        <w:t>年，</w:t>
      </w:r>
      <w:r>
        <w:rPr>
          <w:rFonts w:hint="eastAsia" w:ascii="宋体" w:hAnsi="宋体" w:eastAsia="宋体" w:cs="宋体"/>
          <w:color w:val="000000" w:themeColor="text1"/>
          <w:kern w:val="0"/>
          <w:sz w:val="21"/>
          <w:szCs w:val="21"/>
          <w:lang w:val="en-US" w:eastAsia="zh-CN"/>
          <w14:textFill>
            <w14:solidFill>
              <w14:schemeClr w14:val="tx1"/>
            </w14:solidFill>
          </w14:textFill>
        </w:rPr>
        <w:t>护理PDA、移动护理车和智慧交互屏为</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val="en-US" w:eastAsia="zh-CN"/>
          <w14:textFill>
            <w14:solidFill>
              <w14:schemeClr w14:val="tx1"/>
            </w14:solidFill>
          </w14:textFill>
        </w:rPr>
        <w:t>年，</w:t>
      </w:r>
      <w:r>
        <w:rPr>
          <w:rFonts w:hint="eastAsia" w:ascii="宋体" w:hAnsi="宋体" w:eastAsia="宋体" w:cs="宋体"/>
          <w:color w:val="000000" w:themeColor="text1"/>
          <w:kern w:val="0"/>
          <w:sz w:val="21"/>
          <w:szCs w:val="21"/>
          <w:lang w:eastAsia="zh-CN"/>
          <w14:textFill>
            <w14:solidFill>
              <w14:schemeClr w14:val="tx1"/>
            </w14:solidFill>
          </w14:textFill>
        </w:rPr>
        <w:t>其余设备</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eastAsia="zh-CN"/>
          <w14:textFill>
            <w14:solidFill>
              <w14:schemeClr w14:val="tx1"/>
            </w14:solidFill>
          </w14:textFill>
        </w:rPr>
        <w:t>年质保期。</w:t>
      </w:r>
      <w:r>
        <w:rPr>
          <w:rFonts w:hint="eastAsia" w:ascii="宋体" w:hAnsi="宋体" w:eastAsia="宋体" w:cs="宋体"/>
          <w:color w:val="000000" w:themeColor="text1"/>
          <w:kern w:val="0"/>
          <w:sz w:val="21"/>
          <w:szCs w:val="21"/>
          <w14:textFill>
            <w14:solidFill>
              <w14:schemeClr w14:val="tx1"/>
            </w14:solidFill>
          </w14:textFill>
        </w:rPr>
        <w:t>自</w:t>
      </w:r>
      <w:r>
        <w:rPr>
          <w:rFonts w:hint="eastAsia" w:ascii="宋体" w:hAnsi="宋体" w:eastAsia="宋体" w:cs="宋体"/>
          <w:color w:val="000000" w:themeColor="text1"/>
          <w:kern w:val="0"/>
          <w:sz w:val="21"/>
          <w:szCs w:val="21"/>
          <w:u w:val="single"/>
          <w14:textFill>
            <w14:solidFill>
              <w14:schemeClr w14:val="tx1"/>
            </w14:solidFill>
          </w14:textFill>
        </w:rPr>
        <w:t>货物最终验收合格</w:t>
      </w:r>
      <w:r>
        <w:rPr>
          <w:rFonts w:hint="eastAsia" w:ascii="宋体" w:hAnsi="宋体" w:eastAsia="宋体" w:cs="宋体"/>
          <w:color w:val="000000" w:themeColor="text1"/>
          <w:kern w:val="0"/>
          <w:sz w:val="21"/>
          <w:szCs w:val="21"/>
          <w14:textFill>
            <w14:solidFill>
              <w14:schemeClr w14:val="tx1"/>
            </w14:solidFill>
          </w14:textFill>
        </w:rPr>
        <w:t>之日起至质保期届满且经甲方确认无任何质量问题时止。</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10.2</w:t>
      </w:r>
      <w:r>
        <w:rPr>
          <w:rFonts w:hint="eastAsia" w:ascii="宋体" w:hAnsi="宋体" w:eastAsia="宋体" w:cs="宋体"/>
          <w:color w:val="000000" w:themeColor="text1"/>
          <w:kern w:val="0"/>
          <w:sz w:val="21"/>
          <w:szCs w:val="21"/>
          <w14:textFill>
            <w14:solidFill>
              <w14:schemeClr w14:val="tx1"/>
            </w14:solidFill>
          </w14:textFill>
        </w:rPr>
        <w:t>技术支持</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10.2.1</w:t>
      </w:r>
      <w:r>
        <w:rPr>
          <w:rFonts w:hint="eastAsia" w:ascii="宋体" w:hAnsi="宋体" w:eastAsia="宋体" w:cs="宋体"/>
          <w:color w:val="000000" w:themeColor="text1"/>
          <w:kern w:val="0"/>
          <w:sz w:val="21"/>
          <w:szCs w:val="21"/>
          <w14:textFill>
            <w14:solidFill>
              <w14:schemeClr w14:val="tx1"/>
            </w14:solidFill>
          </w14:textFill>
        </w:rPr>
        <w:t>远程技术支持：乙方应具有稳定的技术支持队伍和完善的服务支持网络，提供</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小时技术支持服务，及时响应甲方的技术服务支持需求，提出有效的解决方案，解决甲方在货物使用过程中遇到的实际问题。</w:t>
      </w:r>
    </w:p>
    <w:p>
      <w:pPr>
        <w:keepNext w:val="0"/>
        <w:keepLines w:val="0"/>
        <w:pageBreakBefore w:val="0"/>
        <w:kinsoku/>
        <w:wordWrap/>
        <w:overflowPunct/>
        <w:topLinePunct w:val="0"/>
        <w:autoSpaceDE/>
        <w:autoSpaceDN/>
        <w:bidi w:val="0"/>
        <w:adjustRightInd/>
        <w:spacing w:line="400" w:lineRule="exact"/>
        <w:ind w:firstLine="422"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10.2.2</w:t>
      </w:r>
      <w:r>
        <w:rPr>
          <w:rFonts w:hint="eastAsia" w:ascii="宋体" w:hAnsi="宋体" w:eastAsia="宋体" w:cs="宋体"/>
          <w:color w:val="000000" w:themeColor="text1"/>
          <w:kern w:val="0"/>
          <w:sz w:val="21"/>
          <w:szCs w:val="21"/>
          <w14:textFill>
            <w14:solidFill>
              <w14:schemeClr w14:val="tx1"/>
            </w14:solidFill>
          </w14:textFill>
        </w:rPr>
        <w:t>现场技术支持：对于通过电话、邮件等远程技术支持不能解决的问题，乙方应在</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小时内响应，</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小时内到达现场，</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小时内修复。</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10.3</w:t>
      </w:r>
      <w:r>
        <w:rPr>
          <w:rFonts w:hint="eastAsia" w:ascii="宋体" w:hAnsi="宋体" w:eastAsia="宋体" w:cs="宋体"/>
          <w:color w:val="000000" w:themeColor="text1"/>
          <w:kern w:val="0"/>
          <w:sz w:val="21"/>
          <w:szCs w:val="21"/>
          <w14:textFill>
            <w14:solidFill>
              <w14:schemeClr w14:val="tx1"/>
            </w14:solidFill>
          </w14:textFill>
        </w:rPr>
        <w:t>在质保期内，乙方应保证所有系统设备正常运行，质保期内免费提供上门维护、软件升级、故障处理及定期回访服务。</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十一、保密条款</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11.1</w:t>
      </w:r>
      <w:r>
        <w:rPr>
          <w:rFonts w:hint="eastAsia" w:ascii="宋体" w:hAnsi="宋体" w:eastAsia="宋体" w:cs="宋体"/>
          <w:color w:val="000000" w:themeColor="text1"/>
          <w:kern w:val="0"/>
          <w:sz w:val="21"/>
          <w:szCs w:val="21"/>
          <w14:textFill>
            <w14:solidFill>
              <w14:schemeClr w14:val="tx1"/>
            </w14:solidFill>
          </w14:textFill>
        </w:rPr>
        <w:t>乙方对合同内容及履行合同过程中所获悉的属于甲方的且无法自公开渠道获得的文件及资料，应负保密义务，未经甲方书面同意，不得擅自利用或对外发表或披露。违反前述约定的，乙方应向甲方支付违约金</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万元；违约金不足以弥补甲方损失的，乙方还应负责赔偿。保密期限自乙方接收或知悉甲方信息资料之日起至该信息资料公开之日或甲方书面解除乙方保密义务之日止。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十二、违约责任</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12.1</w:t>
      </w:r>
      <w:r>
        <w:rPr>
          <w:rFonts w:hint="eastAsia" w:ascii="宋体" w:hAnsi="宋体" w:eastAsia="宋体" w:cs="宋体"/>
          <w:color w:val="000000" w:themeColor="text1"/>
          <w:kern w:val="0"/>
          <w:sz w:val="21"/>
          <w:szCs w:val="21"/>
          <w14:textFill>
            <w14:solidFill>
              <w14:schemeClr w14:val="tx1"/>
            </w14:solidFill>
          </w14:textFill>
        </w:rPr>
        <w:t>本合同项下货物在交货、安装调试、验收及质保期等任何阶段内不符合合同约定的技术规范要求和验收标准的，甲方有权向乙方索赔并选择下列一项或多项补救措施：</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12.1.1</w:t>
      </w:r>
      <w:r>
        <w:rPr>
          <w:rFonts w:hint="eastAsia" w:ascii="宋体" w:hAnsi="宋体" w:eastAsia="宋体" w:cs="宋体"/>
          <w:color w:val="000000" w:themeColor="text1"/>
          <w:kern w:val="0"/>
          <w:sz w:val="21"/>
          <w:szCs w:val="21"/>
          <w14:textFill>
            <w14:solidFill>
              <w14:schemeClr w14:val="tx1"/>
            </w14:solidFill>
          </w14:textFill>
        </w:rPr>
        <w:t>由乙方采取措施消除设备缺陷或不符合合同之处，如果乙方不能及时消除缺陷，甲方有权自行消除缺陷或不符合合同之处，由此产生的一切费用均由乙方承担。</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12.1.2</w:t>
      </w:r>
      <w:r>
        <w:rPr>
          <w:rFonts w:hint="eastAsia" w:ascii="宋体" w:hAnsi="宋体" w:eastAsia="宋体" w:cs="宋体"/>
          <w:color w:val="000000" w:themeColor="text1"/>
          <w:kern w:val="0"/>
          <w:sz w:val="21"/>
          <w:szCs w:val="21"/>
          <w14:textFill>
            <w14:solidFill>
              <w14:schemeClr w14:val="tx1"/>
            </w14:solidFill>
          </w14:textFill>
        </w:rPr>
        <w:t xml:space="preserve">由乙方在接到甲方通知后 </w:t>
      </w:r>
      <w:r>
        <w:rPr>
          <w:rFonts w:hint="eastAsia" w:ascii="宋体" w:hAnsi="宋体" w:eastAsia="宋体" w:cs="宋体"/>
          <w:color w:val="000000" w:themeColor="text1"/>
          <w:kern w:val="0"/>
          <w:sz w:val="21"/>
          <w:szCs w:val="21"/>
          <w:u w:val="single"/>
          <w14:textFill>
            <w14:solidFill>
              <w14:schemeClr w14:val="tx1"/>
            </w14:solidFill>
          </w14:textFill>
        </w:rPr>
        <w:t>15</w:t>
      </w:r>
      <w:r>
        <w:rPr>
          <w:rFonts w:hint="eastAsia" w:ascii="宋体" w:hAnsi="宋体" w:eastAsia="宋体" w:cs="宋体"/>
          <w:color w:val="000000" w:themeColor="text1"/>
          <w:kern w:val="0"/>
          <w:sz w:val="21"/>
          <w:szCs w:val="21"/>
          <w14:textFill>
            <w14:solidFill>
              <w14:schemeClr w14:val="tx1"/>
            </w14:solidFill>
          </w14:textFill>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12.1.3</w:t>
      </w:r>
      <w:r>
        <w:rPr>
          <w:rFonts w:hint="eastAsia" w:ascii="宋体" w:hAnsi="宋体" w:eastAsia="宋体" w:cs="宋体"/>
          <w:color w:val="000000" w:themeColor="text1"/>
          <w:kern w:val="0"/>
          <w:sz w:val="21"/>
          <w:szCs w:val="21"/>
          <w14:textFill>
            <w14:solidFill>
              <w14:schemeClr w14:val="tx1"/>
            </w14:solidFill>
          </w14:textFill>
        </w:rPr>
        <w:t>根据货物的低劣程度、损坏程度以及甲方所遭受损失的数额，乙方必须降低货物的价格。</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12.1.4</w:t>
      </w:r>
      <w:r>
        <w:rPr>
          <w:rFonts w:hint="eastAsia" w:ascii="宋体" w:hAnsi="宋体" w:eastAsia="宋体" w:cs="宋体"/>
          <w:color w:val="000000" w:themeColor="text1"/>
          <w:kern w:val="0"/>
          <w:sz w:val="21"/>
          <w:szCs w:val="21"/>
          <w14:textFill>
            <w14:solidFill>
              <w14:schemeClr w14:val="tx1"/>
            </w14:solidFill>
          </w14:textFill>
        </w:rPr>
        <w:t>退货，乙方应退还甲方支付的全部合同款，同时应承担该货物的直接费用（运输、保险、检验、货款利息及银行手续费等）。</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12.2</w:t>
      </w:r>
      <w:r>
        <w:rPr>
          <w:rFonts w:hint="eastAsia" w:ascii="宋体" w:hAnsi="宋体" w:eastAsia="宋体" w:cs="宋体"/>
          <w:color w:val="000000" w:themeColor="text1"/>
          <w:kern w:val="0"/>
          <w:sz w:val="21"/>
          <w:szCs w:val="21"/>
          <w14:textFill>
            <w14:solidFill>
              <w14:schemeClr w14:val="tx1"/>
            </w14:solidFill>
          </w14:textFill>
        </w:rPr>
        <w:t xml:space="preserve">甲方无正当理由拒收货物的，应向乙方偿付拒收货款总值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%的违约金。</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12.3</w:t>
      </w:r>
      <w:r>
        <w:rPr>
          <w:rFonts w:hint="eastAsia" w:ascii="宋体" w:hAnsi="宋体" w:eastAsia="宋体" w:cs="宋体"/>
          <w:color w:val="000000" w:themeColor="text1"/>
          <w:kern w:val="0"/>
          <w:sz w:val="21"/>
          <w:szCs w:val="21"/>
          <w14:textFill>
            <w14:solidFill>
              <w14:schemeClr w14:val="tx1"/>
            </w14:solidFill>
          </w14:textFill>
        </w:rPr>
        <w:t xml:space="preserve">甲方无故逾期验收和办理货款支付手续的，每逾期一日，应按逾期付款总额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‰向乙方支付违约金。</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12.4</w:t>
      </w:r>
      <w:r>
        <w:rPr>
          <w:rFonts w:hint="eastAsia" w:ascii="宋体" w:hAnsi="宋体" w:eastAsia="宋体" w:cs="宋体"/>
          <w:color w:val="000000" w:themeColor="text1"/>
          <w:kern w:val="0"/>
          <w:sz w:val="21"/>
          <w:szCs w:val="21"/>
          <w14:textFill>
            <w14:solidFill>
              <w14:schemeClr w14:val="tx1"/>
            </w14:solidFill>
          </w14:textFill>
        </w:rPr>
        <w:t xml:space="preserve">乙方逾期交付货物的，每逾期一日，应按逾期交货总额 </w:t>
      </w:r>
      <w:r>
        <w:rPr>
          <w:rFonts w:hint="eastAsia" w:ascii="宋体" w:hAnsi="宋体" w:eastAsia="宋体" w:cs="宋体"/>
          <w:color w:val="000000" w:themeColor="text1"/>
          <w:kern w:val="0"/>
          <w:sz w:val="21"/>
          <w:szCs w:val="21"/>
          <w:u w:val="single"/>
          <w14:textFill>
            <w14:solidFill>
              <w14:schemeClr w14:val="tx1"/>
            </w14:solidFill>
          </w14:textFill>
        </w:rPr>
        <w:t>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‰向甲方支付违约金。逾期超过约定日期 </w:t>
      </w:r>
      <w:r>
        <w:rPr>
          <w:rFonts w:hint="eastAsia" w:ascii="宋体" w:hAnsi="宋体" w:eastAsia="宋体" w:cs="宋体"/>
          <w:color w:val="000000" w:themeColor="text1"/>
          <w:kern w:val="0"/>
          <w:sz w:val="21"/>
          <w:szCs w:val="21"/>
          <w:u w:val="single"/>
          <w14:textFill>
            <w14:solidFill>
              <w14:schemeClr w14:val="tx1"/>
            </w14:solidFill>
          </w14:textFill>
        </w:rPr>
        <w:t xml:space="preserve"> 15  </w:t>
      </w:r>
      <w:r>
        <w:rPr>
          <w:rFonts w:hint="eastAsia" w:ascii="宋体" w:hAnsi="宋体" w:eastAsia="宋体" w:cs="宋体"/>
          <w:color w:val="000000" w:themeColor="text1"/>
          <w:kern w:val="0"/>
          <w:sz w:val="21"/>
          <w:szCs w:val="21"/>
          <w14:textFill>
            <w14:solidFill>
              <w14:schemeClr w14:val="tx1"/>
            </w14:solidFill>
          </w14:textFill>
        </w:rPr>
        <w:t xml:space="preserve">个工作日不能交货的，甲方有权解除本合同，并要求乙方支付合同总额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%的违约金。</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乙方未在约定时间内完成安装调试的，参照前款约定承担违约责任。</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12.5</w:t>
      </w:r>
      <w:r>
        <w:rPr>
          <w:rFonts w:hint="eastAsia" w:ascii="宋体" w:hAnsi="宋体" w:eastAsia="宋体" w:cs="宋体"/>
          <w:color w:val="000000" w:themeColor="text1"/>
          <w:kern w:val="0"/>
          <w:sz w:val="21"/>
          <w:szCs w:val="21"/>
          <w14:textFill>
            <w14:solidFill>
              <w14:schemeClr w14:val="tx1"/>
            </w14:solidFill>
          </w14:textFill>
        </w:rPr>
        <w:t xml:space="preserve">乙方所交付的货物品种、型号、规格、技术参数、质量不符合合同规定及询价文件规定标准的，甲方有权拒收该货物，乙方愿意更换货物但逾期交货的，按乙方逾期交货处理。乙方拒绝更换货物的，甲方可单方面解除合同，并要求乙方支付合同总值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%的违约金，违约金不足以弥补甲方损失的，乙方还应负责赔偿。</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12.6</w:t>
      </w:r>
      <w:r>
        <w:rPr>
          <w:rFonts w:hint="eastAsia" w:ascii="宋体" w:hAnsi="宋体" w:eastAsia="宋体" w:cs="宋体"/>
          <w:color w:val="000000" w:themeColor="text1"/>
          <w:kern w:val="0"/>
          <w:sz w:val="21"/>
          <w:szCs w:val="21"/>
          <w14:textFill>
            <w14:solidFill>
              <w14:schemeClr w14:val="tx1"/>
            </w14:solidFill>
          </w14:textFill>
        </w:rPr>
        <w:t xml:space="preserve">乙方未能按约定要求履行保修义务的，每发生一次应向甲方支付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元的违约金，同时，甲方有权委托第三方进行保修，所产生的费用由乙方承担。若因货物缺陷或乙方服务质量等问题造成甲方或任何人员人身、财产损害的，乙方应承担有关责任并作出相应赔偿。</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12.7</w:t>
      </w:r>
      <w:r>
        <w:rPr>
          <w:rFonts w:hint="eastAsia" w:ascii="宋体" w:hAnsi="宋体" w:eastAsia="宋体" w:cs="宋体"/>
          <w:color w:val="000000" w:themeColor="text1"/>
          <w:kern w:val="0"/>
          <w:sz w:val="21"/>
          <w:szCs w:val="21"/>
          <w14:textFill>
            <w14:solidFill>
              <w14:schemeClr w14:val="tx1"/>
            </w14:solidFill>
          </w14:textFill>
        </w:rPr>
        <w:t xml:space="preserve">因乙方其他违约行为导致甲方解除合同的，乙方应向甲方支付合同总值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%的违约金，如造成甲方损失超过违约金的，超出部分由乙方继续承担赔偿责任。</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十三、不可抗力</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13.1</w:t>
      </w:r>
      <w:r>
        <w:rPr>
          <w:rFonts w:hint="eastAsia" w:ascii="宋体" w:hAnsi="宋体" w:eastAsia="宋体" w:cs="宋体"/>
          <w:color w:val="000000" w:themeColor="text1"/>
          <w:kern w:val="0"/>
          <w:sz w:val="21"/>
          <w:szCs w:val="21"/>
          <w14:textFill>
            <w14:solidFill>
              <w14:schemeClr w14:val="tx1"/>
            </w14:solidFill>
          </w14:textFill>
        </w:rPr>
        <w:t>在合同有效期内，任何一方因不可抗力事件导致不能履行</w:t>
      </w:r>
      <w:r>
        <w:rPr>
          <w:rFonts w:hint="eastAsia" w:ascii="宋体" w:hAnsi="宋体" w:eastAsia="宋体" w:cs="宋体"/>
          <w:color w:val="000000" w:themeColor="text1"/>
          <w:kern w:val="0"/>
          <w:sz w:val="21"/>
          <w:szCs w:val="21"/>
          <w14:textFill>
            <w14:solidFill>
              <w14:schemeClr w14:val="tx1"/>
            </w14:solidFill>
          </w14:textFill>
        </w:rPr>
        <w:t>合同，则合同履行期可延长，其延长期与不可抗力影响期相同。</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13.2</w:t>
      </w:r>
      <w:r>
        <w:rPr>
          <w:rFonts w:hint="eastAsia" w:ascii="宋体" w:hAnsi="宋体" w:eastAsia="宋体" w:cs="宋体"/>
          <w:color w:val="000000" w:themeColor="text1"/>
          <w:kern w:val="0"/>
          <w:sz w:val="21"/>
          <w:szCs w:val="21"/>
          <w14:textFill>
            <w14:solidFill>
              <w14:schemeClr w14:val="tx1"/>
            </w14:solidFill>
          </w14:textFill>
        </w:rPr>
        <w:t>本条所述的“不可抗力”系指那些双方不可预见、不可避免、不可克服的事件，但不包括双方的违约或疏忽。这些事件包括但不限于:战争、严重火灭、洪水、台风、地震、国家政策的重大变化，以及双方商定的其他事件。</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13.3</w:t>
      </w:r>
      <w:r>
        <w:rPr>
          <w:rFonts w:hint="eastAsia" w:ascii="宋体" w:hAnsi="宋体" w:eastAsia="宋体" w:cs="宋体"/>
          <w:color w:val="000000" w:themeColor="text1"/>
          <w:kern w:val="0"/>
          <w:sz w:val="21"/>
          <w:szCs w:val="21"/>
          <w14:textFill>
            <w14:solidFill>
              <w14:schemeClr w14:val="tx1"/>
            </w14:solidFill>
          </w14:textFill>
        </w:rPr>
        <w:t>不可抗力事件发生后，受不可抗力事件影响的一方应立即通知对方，并寄送有关权威机构出具的证明。同时应立即尽一切合理努力采取措施，消除影响，减少损失。</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13.4</w:t>
      </w:r>
      <w:r>
        <w:rPr>
          <w:rFonts w:hint="eastAsia" w:ascii="宋体" w:hAnsi="宋体" w:eastAsia="宋体" w:cs="宋体"/>
          <w:color w:val="000000" w:themeColor="text1"/>
          <w:kern w:val="0"/>
          <w:sz w:val="21"/>
          <w:szCs w:val="21"/>
          <w14:textFill>
            <w14:solidFill>
              <w14:schemeClr w14:val="tx1"/>
            </w14:solidFill>
          </w14:textFill>
        </w:rPr>
        <w:t>如果不可抗力事件延续</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日以上，双方应通过友好协商，确定是否继续履行合同。</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十四、法律适用与争议解决</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14.1</w:t>
      </w:r>
      <w:r>
        <w:rPr>
          <w:rFonts w:hint="eastAsia" w:ascii="宋体" w:hAnsi="宋体" w:eastAsia="宋体" w:cs="宋体"/>
          <w:color w:val="000000" w:themeColor="text1"/>
          <w:kern w:val="0"/>
          <w:sz w:val="21"/>
          <w:szCs w:val="21"/>
          <w14:textFill>
            <w14:solidFill>
              <w14:schemeClr w14:val="tx1"/>
            </w14:solidFill>
          </w14:textFill>
        </w:rPr>
        <w:t>本合同的订立、解释、履行及争议解决，均适用中华人民共和国法律。</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14.2</w:t>
      </w:r>
      <w:r>
        <w:rPr>
          <w:rFonts w:hint="eastAsia" w:ascii="宋体" w:hAnsi="宋体" w:eastAsia="宋体" w:cs="宋体"/>
          <w:color w:val="000000" w:themeColor="text1"/>
          <w:kern w:val="0"/>
          <w:sz w:val="21"/>
          <w:szCs w:val="21"/>
          <w14:textFill>
            <w14:solidFill>
              <w14:schemeClr w14:val="tx1"/>
            </w14:solidFill>
          </w14:textFill>
        </w:rPr>
        <w:t>本合同执行过程中若有争议，双方应友好协商解决。如果双方不能通过友好协商解决争议，任何一方均可将该争议提交至宁波市仲裁委员会进行仲裁，不服裁决方可向被告方所在地人民法院提起诉讼解决。</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十五、合同生效及其他</w:t>
      </w:r>
      <w:r>
        <w:rPr>
          <w:rFonts w:hint="eastAsia" w:ascii="宋体" w:hAnsi="宋体" w:eastAsia="宋体" w:cs="宋体"/>
          <w:color w:val="000000" w:themeColor="text1"/>
          <w:kern w:val="0"/>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15.1</w:t>
      </w:r>
      <w:r>
        <w:rPr>
          <w:rFonts w:hint="eastAsia" w:ascii="宋体" w:hAnsi="宋体" w:eastAsia="宋体" w:cs="宋体"/>
          <w:color w:val="000000" w:themeColor="text1"/>
          <w:kern w:val="0"/>
          <w:sz w:val="21"/>
          <w:szCs w:val="21"/>
          <w14:textFill>
            <w14:solidFill>
              <w14:schemeClr w14:val="tx1"/>
            </w14:solidFill>
          </w14:textFill>
        </w:rPr>
        <w:t>本合同经甲、乙双方加盖单位公章后生效，合同一式肆份，甲、乙双方各执贰份，具有同等法律效力。</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15.2</w:t>
      </w:r>
      <w:r>
        <w:rPr>
          <w:rFonts w:hint="eastAsia" w:ascii="宋体" w:hAnsi="宋体" w:eastAsia="宋体" w:cs="宋体"/>
          <w:color w:val="000000" w:themeColor="text1"/>
          <w:kern w:val="0"/>
          <w:sz w:val="21"/>
          <w:szCs w:val="21"/>
          <w14:textFill>
            <w14:solidFill>
              <w14:schemeClr w14:val="tx1"/>
            </w14:solidFill>
          </w14:textFill>
        </w:rPr>
        <w:t>本次采购过程中形成的在线询价文件、响应文件、补充协议、附件等与本合同具有同等法律效力。各项文件之间约定不一致的，以签署时间在后者的为准。</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15.3</w:t>
      </w:r>
      <w:r>
        <w:rPr>
          <w:rFonts w:hint="eastAsia" w:ascii="宋体" w:hAnsi="宋体" w:eastAsia="宋体" w:cs="宋体"/>
          <w:color w:val="000000" w:themeColor="text1"/>
          <w:kern w:val="0"/>
          <w:sz w:val="21"/>
          <w:szCs w:val="21"/>
          <w14:textFill>
            <w14:solidFill>
              <w14:schemeClr w14:val="tx1"/>
            </w14:solidFill>
          </w14:textFill>
        </w:rPr>
        <w:t>本合同未尽事宜，遵照《政府采购法》等国家有关法律法规有关条文执行。</w:t>
      </w:r>
    </w:p>
    <w:p>
      <w:pPr>
        <w:spacing w:line="500" w:lineRule="exact"/>
        <w:rPr>
          <w:rFonts w:ascii="仿宋" w:hAnsi="仿宋" w:eastAsia="仿宋" w:cs="宋体"/>
          <w:color w:val="000000" w:themeColor="text1"/>
          <w:kern w:val="0"/>
          <w:sz w:val="28"/>
          <w:szCs w:val="28"/>
          <w14:textFill>
            <w14:solidFill>
              <w14:schemeClr w14:val="tx1"/>
            </w14:solidFill>
          </w14:textFill>
        </w:rPr>
      </w:pPr>
    </w:p>
    <w:p>
      <w:pPr>
        <w:pStyle w:val="50"/>
        <w:spacing w:line="360" w:lineRule="auto"/>
        <w:ind w:firstLine="404"/>
        <w:contextualSpacing/>
        <w:rPr>
          <w:rFonts w:hint="eastAsia" w:ascii="宋体" w:hAnsi="宋体" w:eastAsia="宋体" w:cs="宋体"/>
          <w:color w:val="000000" w:themeColor="text1"/>
          <w:sz w:val="21"/>
          <w:szCs w:val="21"/>
          <w:highlight w:val="none"/>
          <w:lang w:val="en-US"/>
          <w14:textFill>
            <w14:solidFill>
              <w14:schemeClr w14:val="tx1"/>
            </w14:solidFill>
          </w14:textFill>
        </w:rPr>
      </w:pPr>
    </w:p>
    <w:p>
      <w:pPr>
        <w:spacing w:line="360" w:lineRule="auto"/>
        <w:contextualSpacing/>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甲方（盖章）：</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乙方（盖章）：</w:t>
      </w:r>
    </w:p>
    <w:p>
      <w:pPr>
        <w:spacing w:line="360" w:lineRule="auto"/>
        <w:contextualSpacing/>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ab/>
      </w:r>
    </w:p>
    <w:p>
      <w:pPr>
        <w:spacing w:line="360" w:lineRule="auto"/>
        <w:contextualSpacing/>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法人代表</w:t>
      </w:r>
      <w:r>
        <w:rPr>
          <w:rFonts w:hint="eastAsia" w:ascii="宋体" w:hAnsi="宋体" w:eastAsia="宋体" w:cs="宋体"/>
          <w:color w:val="000000" w:themeColor="text1"/>
          <w:sz w:val="21"/>
          <w:szCs w:val="21"/>
          <w:highlight w:val="none"/>
          <w:lang w:val="en-US"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法人代表</w:t>
      </w:r>
      <w:r>
        <w:rPr>
          <w:rFonts w:hint="eastAsia" w:ascii="宋体" w:hAnsi="宋体" w:eastAsia="宋体" w:cs="宋体"/>
          <w:color w:val="000000" w:themeColor="text1"/>
          <w:sz w:val="21"/>
          <w:szCs w:val="21"/>
          <w:highlight w:val="none"/>
          <w:lang w:val="en-US"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contextualSpacing/>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contextualSpacing/>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                         委托代理人：</w:t>
      </w:r>
    </w:p>
    <w:p>
      <w:pPr>
        <w:spacing w:line="360" w:lineRule="auto"/>
        <w:contextualSpacing/>
        <w:rPr>
          <w:rFonts w:ascii="宋体" w:hAnsi="宋体" w:cs="宋体"/>
          <w:color w:val="000000" w:themeColor="text1"/>
          <w:szCs w:val="21"/>
          <w:highlight w:val="none"/>
          <w14:textFill>
            <w14:solidFill>
              <w14:schemeClr w14:val="tx1"/>
            </w14:solidFill>
          </w14:textFill>
        </w:rPr>
      </w:pPr>
    </w:p>
    <w:p>
      <w:pPr>
        <w:spacing w:line="360" w:lineRule="auto"/>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签订时间： 年  月  日                签订时间： 年  月  日</w:t>
      </w:r>
    </w:p>
    <w:p>
      <w:pPr>
        <w:spacing w:line="400" w:lineRule="exact"/>
        <w:jc w:val="center"/>
        <w:rPr>
          <w:rFonts w:ascii="宋体" w:hAnsi="宋体"/>
          <w:b/>
          <w:color w:val="000000" w:themeColor="text1"/>
          <w:sz w:val="32"/>
          <w:highlight w:val="none"/>
          <w14:textFill>
            <w14:solidFill>
              <w14:schemeClr w14:val="tx1"/>
            </w14:solidFill>
          </w14:textFill>
        </w:rPr>
        <w:sectPr>
          <w:pgSz w:w="11907" w:h="16840"/>
          <w:pgMar w:top="851" w:right="1275" w:bottom="1134" w:left="1276" w:header="285" w:footer="418" w:gutter="0"/>
          <w:cols w:space="720" w:num="1"/>
          <w:docGrid w:linePitch="285" w:charSpace="0"/>
        </w:sectPr>
      </w:pPr>
    </w:p>
    <w:bookmarkEnd w:id="321"/>
    <w:p>
      <w:pPr>
        <w:spacing w:line="400" w:lineRule="exact"/>
        <w:jc w:val="center"/>
        <w:outlineLvl w:val="0"/>
        <w:rPr>
          <w:rFonts w:ascii="宋体" w:hAnsi="宋体"/>
          <w:b/>
          <w:color w:val="000000" w:themeColor="text1"/>
          <w:sz w:val="32"/>
          <w:highlight w:val="none"/>
          <w14:textFill>
            <w14:solidFill>
              <w14:schemeClr w14:val="tx1"/>
            </w14:solidFill>
          </w14:textFill>
        </w:rPr>
      </w:pPr>
      <w:bookmarkStart w:id="323" w:name="_Toc44162156"/>
      <w:r>
        <w:rPr>
          <w:rFonts w:hint="eastAsia" w:ascii="宋体" w:hAnsi="宋体"/>
          <w:b/>
          <w:color w:val="000000" w:themeColor="text1"/>
          <w:sz w:val="32"/>
          <w:highlight w:val="none"/>
          <w14:textFill>
            <w14:solidFill>
              <w14:schemeClr w14:val="tx1"/>
            </w14:solidFill>
          </w14:textFill>
        </w:rPr>
        <w:t>第七章</w:t>
      </w:r>
      <w:r>
        <w:rPr>
          <w:rFonts w:hint="eastAsia" w:ascii="宋体" w:hAnsi="宋体"/>
          <w:b/>
          <w:color w:val="000000" w:themeColor="text1"/>
          <w:sz w:val="32"/>
          <w:highlight w:val="none"/>
          <w:lang w:val="en-US" w:eastAsia="zh-CN"/>
          <w14:textFill>
            <w14:solidFill>
              <w14:schemeClr w14:val="tx1"/>
            </w14:solidFill>
          </w14:textFill>
        </w:rPr>
        <w:t xml:space="preserve">  </w:t>
      </w:r>
      <w:r>
        <w:rPr>
          <w:rFonts w:hint="eastAsia" w:ascii="宋体" w:hAnsi="宋体"/>
          <w:b/>
          <w:color w:val="000000" w:themeColor="text1"/>
          <w:sz w:val="32"/>
          <w:highlight w:val="none"/>
          <w14:textFill>
            <w14:solidFill>
              <w14:schemeClr w14:val="tx1"/>
            </w14:solidFill>
          </w14:textFill>
        </w:rPr>
        <w:t>附件</w:t>
      </w:r>
      <w:bookmarkEnd w:id="323"/>
    </w:p>
    <w:p>
      <w:pPr>
        <w:autoSpaceDE w:val="0"/>
        <w:autoSpaceDN w:val="0"/>
        <w:adjustRightInd w:val="0"/>
        <w:spacing w:beforeLines="400" w:line="420" w:lineRule="exact"/>
        <w:jc w:val="center"/>
        <w:rPr>
          <w:rStyle w:val="138"/>
          <w:rFonts w:ascii="宋体" w:hAnsi="宋体"/>
          <w:color w:val="000000" w:themeColor="text1"/>
          <w:sz w:val="32"/>
          <w:szCs w:val="32"/>
          <w:highlight w:val="none"/>
          <w14:textFill>
            <w14:solidFill>
              <w14:schemeClr w14:val="tx1"/>
            </w14:solidFill>
          </w14:textFill>
        </w:rPr>
      </w:pPr>
      <w:r>
        <w:rPr>
          <w:rStyle w:val="138"/>
          <w:rFonts w:ascii="宋体" w:hAnsi="宋体"/>
          <w:color w:val="000000" w:themeColor="text1"/>
          <w:sz w:val="32"/>
          <w:szCs w:val="32"/>
          <w:highlight w:val="none"/>
          <w14:textFill>
            <w14:solidFill>
              <w14:schemeClr w14:val="tx1"/>
            </w14:solidFill>
          </w14:textFill>
        </w:rPr>
        <w:t>A.</w:t>
      </w:r>
      <w:r>
        <w:rPr>
          <w:rStyle w:val="138"/>
          <w:rFonts w:hint="eastAsia" w:ascii="宋体" w:hAnsi="宋体"/>
          <w:color w:val="000000" w:themeColor="text1"/>
          <w:sz w:val="32"/>
          <w:szCs w:val="32"/>
          <w:highlight w:val="none"/>
          <w14:textFill>
            <w14:solidFill>
              <w14:schemeClr w14:val="tx1"/>
            </w14:solidFill>
          </w14:textFill>
        </w:rPr>
        <w:t>资格文件</w:t>
      </w:r>
    </w:p>
    <w:p>
      <w:pPr>
        <w:spacing w:line="360" w:lineRule="auto"/>
        <w:ind w:firstLine="1120" w:firstLineChars="400"/>
        <w:rPr>
          <w:rFonts w:ascii="宋体" w:hAnsi="宋体"/>
          <w:color w:val="000000" w:themeColor="text1"/>
          <w:sz w:val="28"/>
          <w:highlight w:val="none"/>
          <w14:textFill>
            <w14:solidFill>
              <w14:schemeClr w14:val="tx1"/>
            </w14:solidFill>
          </w14:textFill>
        </w:rPr>
      </w:pPr>
    </w:p>
    <w:p>
      <w:pPr>
        <w:spacing w:line="360" w:lineRule="auto"/>
        <w:rPr>
          <w:rFonts w:ascii="宋体" w:hAnsi="宋体"/>
          <w:b/>
          <w:color w:val="000000" w:themeColor="text1"/>
          <w:sz w:val="32"/>
          <w:szCs w:val="32"/>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封面</w:t>
      </w:r>
    </w:p>
    <w:p>
      <w:pPr>
        <w:spacing w:line="360" w:lineRule="auto"/>
        <w:jc w:val="righ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正（副）本</w:t>
      </w:r>
    </w:p>
    <w:p>
      <w:pPr>
        <w:spacing w:line="360" w:lineRule="auto"/>
        <w:rPr>
          <w:rFonts w:ascii="宋体" w:hAnsi="宋体"/>
          <w:color w:val="000000" w:themeColor="text1"/>
          <w:sz w:val="28"/>
          <w:szCs w:val="28"/>
          <w:highlight w:val="none"/>
          <w14:textFill>
            <w14:solidFill>
              <w14:schemeClr w14:val="tx1"/>
            </w14:solidFill>
          </w14:textFill>
        </w:rPr>
      </w:pPr>
    </w:p>
    <w:p>
      <w:pPr>
        <w:spacing w:line="360" w:lineRule="auto"/>
        <w:jc w:val="center"/>
        <w:rPr>
          <w:rFonts w:hint="eastAsia" w:ascii="宋体" w:hAnsi="宋体" w:eastAsia="宋体"/>
          <w:color w:val="000000" w:themeColor="text1"/>
          <w:sz w:val="42"/>
          <w:szCs w:val="52"/>
          <w:highlight w:val="none"/>
          <w:lang w:eastAsia="zh-CN"/>
          <w14:textFill>
            <w14:solidFill>
              <w14:schemeClr w14:val="tx1"/>
            </w14:solidFill>
          </w14:textFill>
        </w:rPr>
      </w:pPr>
      <w:r>
        <w:rPr>
          <w:rFonts w:hint="eastAsia" w:ascii="宋体" w:hAnsi="宋体"/>
          <w:b/>
          <w:color w:val="000000" w:themeColor="text1"/>
          <w:sz w:val="42"/>
          <w:szCs w:val="52"/>
          <w:highlight w:val="none"/>
          <w:lang w:eastAsia="zh-CN"/>
          <w14:textFill>
            <w14:solidFill>
              <w14:schemeClr w14:val="tx1"/>
            </w14:solidFill>
          </w14:textFill>
        </w:rPr>
        <w:t>宁波大学附属第一医院智慧病房建设项目</w:t>
      </w:r>
    </w:p>
    <w:p>
      <w:pPr>
        <w:spacing w:line="360" w:lineRule="auto"/>
        <w:jc w:val="center"/>
        <w:rPr>
          <w:rFonts w:hint="eastAsia" w:ascii="宋体" w:hAnsi="宋体" w:eastAsia="宋体"/>
          <w:color w:val="000000" w:themeColor="text1"/>
          <w:sz w:val="36"/>
          <w:szCs w:val="36"/>
          <w:highlight w:val="none"/>
          <w:u w:val="single"/>
          <w:lang w:eastAsia="zh-CN"/>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采购编号：</w:t>
      </w:r>
      <w:r>
        <w:rPr>
          <w:rFonts w:hint="eastAsia" w:ascii="宋体" w:hAnsi="宋体"/>
          <w:color w:val="000000" w:themeColor="text1"/>
          <w:sz w:val="36"/>
          <w:szCs w:val="36"/>
          <w:highlight w:val="none"/>
          <w:u w:val="single"/>
          <w:lang w:eastAsia="zh-CN"/>
          <w14:textFill>
            <w14:solidFill>
              <w14:schemeClr w14:val="tx1"/>
            </w14:solidFill>
          </w14:textFill>
        </w:rPr>
        <w:t>NBITC-202311752G</w:t>
      </w:r>
    </w:p>
    <w:p>
      <w:pPr>
        <w:spacing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标项号：</w:t>
      </w:r>
      <w:r>
        <w:rPr>
          <w:rFonts w:hint="eastAsia" w:ascii="宋体" w:hAnsi="宋体"/>
          <w:color w:val="000000" w:themeColor="text1"/>
          <w:sz w:val="36"/>
          <w:szCs w:val="36"/>
          <w:highlight w:val="none"/>
          <w:u w:val="single"/>
          <w14:textFill>
            <w14:solidFill>
              <w14:schemeClr w14:val="tx1"/>
            </w14:solidFill>
          </w14:textFill>
        </w:rPr>
        <w:t>（如有多个标项）</w:t>
      </w:r>
    </w:p>
    <w:p>
      <w:pP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（资格文件）</w:t>
      </w:r>
    </w:p>
    <w:p>
      <w:pPr>
        <w:jc w:val="cente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投标文件</w:t>
      </w: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u w:val="singl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供应商全称：</w:t>
      </w:r>
      <w:r>
        <w:rPr>
          <w:rFonts w:hint="eastAsia" w:ascii="宋体" w:hAnsi="宋体"/>
          <w:color w:val="000000" w:themeColor="text1"/>
          <w:sz w:val="36"/>
          <w:szCs w:val="36"/>
          <w:highlight w:val="none"/>
          <w:u w:val="single"/>
          <w14:textFill>
            <w14:solidFill>
              <w14:schemeClr w14:val="tx1"/>
            </w14:solidFill>
          </w14:textFill>
        </w:rPr>
        <w:t>（加盖单位公章）</w:t>
      </w:r>
    </w:p>
    <w:p>
      <w:pPr>
        <w:pStyle w:val="29"/>
        <w:ind w:left="101" w:leftChars="48" w:firstLine="1920" w:firstLineChars="800"/>
        <w:jc w:val="left"/>
        <w:rPr>
          <w:rFonts w:hAnsi="宋体"/>
          <w:color w:val="000000" w:themeColor="text1"/>
          <w:kern w:val="2"/>
          <w:szCs w:val="28"/>
          <w:highlight w:val="none"/>
          <w:u w:val="singl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年月日</w:t>
      </w:r>
    </w:p>
    <w:p>
      <w:pPr>
        <w:spacing w:line="360" w:lineRule="auto"/>
        <w:rPr>
          <w:rStyle w:val="138"/>
          <w:rFonts w:ascii="宋体" w:hAnsi="宋体"/>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p>
    <w:p>
      <w:pPr>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A1</w:t>
      </w:r>
      <w:r>
        <w:rPr>
          <w:rFonts w:hint="eastAsia" w:ascii="宋体" w:hAnsi="宋体"/>
          <w:b/>
          <w:color w:val="000000" w:themeColor="text1"/>
          <w:szCs w:val="21"/>
          <w:highlight w:val="none"/>
          <w14:textFill>
            <w14:solidFill>
              <w14:schemeClr w14:val="tx1"/>
            </w14:solidFill>
          </w14:textFill>
        </w:rPr>
        <w:t>、</w:t>
      </w:r>
      <w:r>
        <w:rPr>
          <w:rStyle w:val="138"/>
          <w:rFonts w:hint="eastAsia" w:ascii="宋体" w:hAnsi="宋体"/>
          <w:color w:val="000000" w:themeColor="text1"/>
          <w:sz w:val="21"/>
          <w:szCs w:val="21"/>
          <w:highlight w:val="none"/>
          <w14:textFill>
            <w14:solidFill>
              <w14:schemeClr w14:val="tx1"/>
            </w14:solidFill>
          </w14:textFill>
        </w:rPr>
        <w:t>关于</w:t>
      </w:r>
      <w:r>
        <w:rPr>
          <w:rFonts w:hint="eastAsia" w:ascii="宋体" w:hAnsi="宋体"/>
          <w:b/>
          <w:color w:val="000000" w:themeColor="text1"/>
          <w:szCs w:val="21"/>
          <w:highlight w:val="none"/>
          <w14:textFill>
            <w14:solidFill>
              <w14:schemeClr w14:val="tx1"/>
            </w14:solidFill>
          </w14:textFill>
        </w:rPr>
        <w:t>资格的承诺函</w:t>
      </w:r>
    </w:p>
    <w:p>
      <w:pPr>
        <w:spacing w:line="400" w:lineRule="exact"/>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致：采购人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我单位承诺：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我单位满足《中华人民共和国政府采购法》第二十二条 供应商参加政府采购活动应当具备的下列条件：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（一）具有独立承担民事责任的能力；</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（二）具有良好的商业信誉和健全的财务会计制度；</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（三）具有履行合同所必需的设备和专业技术能力；</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（四）有依法缴纳税收和社会保障资金的良好记录；</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（五）参加政府采购活动前三年内，在经营活动中没有重大违法记录；</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（六）法律、行政法规规定的其他条件。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特此承诺。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exact"/>
        <w:ind w:firstLine="420" w:firstLineChars="200"/>
        <w:rPr>
          <w:rFonts w:hint="eastAsia"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p>
    <w:p>
      <w:pPr>
        <w:spacing w:line="400" w:lineRule="exact"/>
        <w:rPr>
          <w:rFonts w:ascii="宋体" w:hAnsi="宋体"/>
          <w:b/>
          <w:color w:val="000000" w:themeColor="text1"/>
          <w:szCs w:val="21"/>
          <w:highlight w:val="none"/>
          <w14:textFill>
            <w14:solidFill>
              <w14:schemeClr w14:val="tx1"/>
            </w14:solidFill>
          </w14:textFill>
        </w:rPr>
      </w:pPr>
    </w:p>
    <w:p>
      <w:pPr>
        <w:spacing w:line="400" w:lineRule="exact"/>
        <w:jc w:val="center"/>
        <w:rPr>
          <w:rFonts w:ascii="宋体" w:hAnsi="宋体"/>
          <w:b/>
          <w:color w:val="000000" w:themeColor="text1"/>
          <w:szCs w:val="21"/>
          <w:highlight w:val="none"/>
          <w14:textFill>
            <w14:solidFill>
              <w14:schemeClr w14:val="tx1"/>
            </w14:solidFill>
          </w14:textFill>
        </w:rPr>
      </w:pPr>
    </w:p>
    <w:p>
      <w:pPr>
        <w:spacing w:line="400" w:lineRule="exact"/>
        <w:ind w:firstLine="474" w:firstLineChars="200"/>
        <w:jc w:val="left"/>
        <w:rPr>
          <w:rFonts w:ascii="宋体" w:hAnsi="宋体"/>
          <w:b/>
          <w:bCs/>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r>
        <w:rPr>
          <w:rFonts w:ascii="宋体" w:hAnsi="宋体"/>
          <w:b/>
          <w:bCs/>
          <w:color w:val="000000" w:themeColor="text1"/>
          <w:szCs w:val="21"/>
          <w:highlight w:val="none"/>
          <w14:textFill>
            <w14:solidFill>
              <w14:schemeClr w14:val="tx1"/>
            </w14:solidFill>
          </w14:textFill>
        </w:rPr>
        <w:t>A</w:t>
      </w:r>
      <w:r>
        <w:rPr>
          <w:rFonts w:hint="eastAsia" w:ascii="宋体" w:hAnsi="宋体"/>
          <w:b/>
          <w:bCs/>
          <w:color w:val="000000" w:themeColor="text1"/>
          <w:szCs w:val="21"/>
          <w:highlight w:val="none"/>
          <w14:textFill>
            <w14:solidFill>
              <w14:schemeClr w14:val="tx1"/>
            </w14:solidFill>
          </w14:textFill>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2" w:firstLineChars="200"/>
        <w:jc w:val="left"/>
        <w:rPr>
          <w:rFonts w:ascii="宋体" w:hAnsi="宋体"/>
          <w:b/>
          <w:bCs/>
          <w:color w:val="000000" w:themeColor="text1"/>
          <w:szCs w:val="21"/>
          <w:highlight w:val="none"/>
          <w14:textFill>
            <w14:solidFill>
              <w14:schemeClr w14:val="tx1"/>
            </w14:solidFill>
          </w14:textFill>
        </w:rPr>
      </w:pPr>
    </w:p>
    <w:p>
      <w:pPr>
        <w:rPr>
          <w:rStyle w:val="138"/>
          <w:rFonts w:ascii="宋体" w:hAnsi="宋体"/>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p>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方正书宋简体" w:hAnsi="方正书宋简体"/>
          <w:b/>
          <w:bCs/>
          <w:color w:val="000000" w:themeColor="text1"/>
          <w:szCs w:val="21"/>
          <w:highlight w:val="none"/>
          <w:lang w:val="en-US" w:eastAsia="zh-CN"/>
          <w14:textFill>
            <w14:solidFill>
              <w14:schemeClr w14:val="tx1"/>
            </w14:solidFill>
          </w14:textFill>
        </w:rPr>
        <w:t>A</w:t>
      </w:r>
      <w:r>
        <w:rPr>
          <w:rFonts w:hint="eastAsia" w:ascii="宋体" w:hAnsi="宋体"/>
          <w:b/>
          <w:color w:val="000000" w:themeColor="text1"/>
          <w:szCs w:val="21"/>
          <w:highlight w:val="none"/>
          <w:lang w:val="en-US" w:eastAsia="zh-CN"/>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 xml:space="preserve"> 供应商认为需要的其他资料（如有需提供）</w:t>
      </w:r>
    </w:p>
    <w:p>
      <w:pPr>
        <w:spacing w:line="400" w:lineRule="exact"/>
        <w:ind w:firstLine="474" w:firstLineChars="200"/>
        <w:rPr>
          <w:rFonts w:ascii="宋体" w:hAnsi="宋体"/>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p>
    <w:p>
      <w:pPr>
        <w:rPr>
          <w:rStyle w:val="138"/>
          <w:rFonts w:ascii="宋体" w:hAnsi="宋体"/>
          <w:color w:val="000000" w:themeColor="text1"/>
          <w:szCs w:val="21"/>
          <w:highlight w:val="none"/>
          <w14:textFill>
            <w14:solidFill>
              <w14:schemeClr w14:val="tx1"/>
            </w14:solidFill>
          </w14:textFill>
        </w:rPr>
      </w:pPr>
    </w:p>
    <w:p>
      <w:pPr>
        <w:autoSpaceDE w:val="0"/>
        <w:autoSpaceDN w:val="0"/>
        <w:adjustRightInd w:val="0"/>
        <w:spacing w:line="400" w:lineRule="exact"/>
        <w:outlineLvl w:val="0"/>
        <w:rPr>
          <w:rFonts w:ascii="宋体" w:hAnsi="宋体"/>
          <w:color w:val="000000" w:themeColor="text1"/>
          <w:sz w:val="44"/>
          <w:szCs w:val="44"/>
          <w:highlight w:val="none"/>
          <w14:textFill>
            <w14:solidFill>
              <w14:schemeClr w14:val="tx1"/>
            </w14:solidFill>
          </w14:textFill>
        </w:rPr>
      </w:pPr>
    </w:p>
    <w:p>
      <w:pPr>
        <w:spacing w:line="440" w:lineRule="exact"/>
        <w:jc w:val="center"/>
        <w:rPr>
          <w:rStyle w:val="138"/>
          <w:rFonts w:ascii="宋体" w:hAnsi="宋体"/>
          <w:color w:val="000000" w:themeColor="text1"/>
          <w:szCs w:val="21"/>
          <w:highlight w:val="none"/>
          <w14:textFill>
            <w14:solidFill>
              <w14:schemeClr w14:val="tx1"/>
            </w14:solidFill>
          </w14:textFill>
        </w:rPr>
      </w:pPr>
    </w:p>
    <w:p>
      <w:pPr>
        <w:spacing w:line="400" w:lineRule="exact"/>
        <w:jc w:val="left"/>
        <w:rPr>
          <w:rStyle w:val="138"/>
          <w:rFonts w:ascii="宋体" w:hAnsi="宋体"/>
          <w:color w:val="000000" w:themeColor="text1"/>
          <w:sz w:val="28"/>
          <w:szCs w:val="28"/>
          <w:highlight w:val="none"/>
          <w14:textFill>
            <w14:solidFill>
              <w14:schemeClr w14:val="tx1"/>
            </w14:solidFill>
          </w14:textFill>
        </w:rPr>
      </w:pPr>
    </w:p>
    <w:p>
      <w:pPr>
        <w:autoSpaceDE w:val="0"/>
        <w:autoSpaceDN w:val="0"/>
        <w:adjustRightInd w:val="0"/>
        <w:spacing w:beforeLines="100" w:line="400" w:lineRule="exact"/>
        <w:jc w:val="center"/>
        <w:outlineLvl w:val="0"/>
        <w:rPr>
          <w:rStyle w:val="138"/>
          <w:rFonts w:ascii="宋体" w:hAnsi="宋体"/>
          <w:color w:val="000000" w:themeColor="text1"/>
          <w:sz w:val="32"/>
          <w:szCs w:val="32"/>
          <w:highlight w:val="none"/>
          <w14:textFill>
            <w14:solidFill>
              <w14:schemeClr w14:val="tx1"/>
            </w14:solidFill>
          </w14:textFill>
        </w:rPr>
      </w:pPr>
      <w:bookmarkStart w:id="324" w:name="_Toc21541026"/>
      <w:bookmarkStart w:id="325" w:name="_Toc44162157"/>
      <w:bookmarkStart w:id="326" w:name="_Toc16913"/>
      <w:r>
        <w:rPr>
          <w:rStyle w:val="138"/>
          <w:rFonts w:ascii="宋体" w:hAnsi="宋体"/>
          <w:color w:val="000000" w:themeColor="text1"/>
          <w:sz w:val="32"/>
          <w:szCs w:val="32"/>
          <w:highlight w:val="none"/>
          <w14:textFill>
            <w14:solidFill>
              <w14:schemeClr w14:val="tx1"/>
            </w14:solidFill>
          </w14:textFill>
        </w:rPr>
        <w:t>B.</w:t>
      </w:r>
      <w:r>
        <w:rPr>
          <w:rStyle w:val="138"/>
          <w:rFonts w:hint="eastAsia" w:ascii="宋体" w:hAnsi="宋体"/>
          <w:color w:val="000000" w:themeColor="text1"/>
          <w:sz w:val="32"/>
          <w:szCs w:val="32"/>
          <w:highlight w:val="none"/>
          <w14:textFill>
            <w14:solidFill>
              <w14:schemeClr w14:val="tx1"/>
            </w14:solidFill>
          </w14:textFill>
        </w:rPr>
        <w:t>商务和技术文件</w:t>
      </w:r>
      <w:bookmarkEnd w:id="324"/>
      <w:bookmarkEnd w:id="325"/>
      <w:bookmarkEnd w:id="326"/>
    </w:p>
    <w:p>
      <w:pPr>
        <w:autoSpaceDE w:val="0"/>
        <w:autoSpaceDN w:val="0"/>
        <w:adjustRightInd w:val="0"/>
        <w:spacing w:line="420" w:lineRule="exact"/>
        <w:rPr>
          <w:rStyle w:val="138"/>
          <w:rFonts w:ascii="宋体" w:hAnsi="宋体"/>
          <w:b w:val="0"/>
          <w:color w:val="000000" w:themeColor="text1"/>
          <w:highlight w:val="none"/>
          <w:lang w:val="zh-CN"/>
          <w14:textFill>
            <w14:solidFill>
              <w14:schemeClr w14:val="tx1"/>
            </w14:solidFill>
          </w14:textFill>
        </w:rPr>
      </w:pPr>
      <w:r>
        <w:rPr>
          <w:rStyle w:val="138"/>
          <w:rFonts w:ascii="宋体" w:hAnsi="宋体"/>
          <w:color w:val="000000" w:themeColor="text1"/>
          <w:sz w:val="32"/>
          <w:szCs w:val="32"/>
          <w:highlight w:val="none"/>
          <w14:textFill>
            <w14:solidFill>
              <w14:schemeClr w14:val="tx1"/>
            </w14:solidFill>
          </w14:textFill>
        </w:rPr>
        <w:br w:type="page"/>
      </w:r>
      <w:r>
        <w:rPr>
          <w:rStyle w:val="138"/>
          <w:rFonts w:hint="eastAsia" w:ascii="宋体" w:hAnsi="宋体"/>
          <w:color w:val="000000" w:themeColor="text1"/>
          <w:szCs w:val="21"/>
          <w:highlight w:val="none"/>
          <w14:textFill>
            <w14:solidFill>
              <w14:schemeClr w14:val="tx1"/>
            </w14:solidFill>
          </w14:textFill>
        </w:rPr>
        <w:t>封面</w:t>
      </w:r>
    </w:p>
    <w:p>
      <w:pPr>
        <w:spacing w:line="360" w:lineRule="auto"/>
        <w:ind w:firstLine="1285" w:firstLineChars="400"/>
        <w:jc w:val="righ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正本</w:t>
      </w:r>
    </w:p>
    <w:p>
      <w:pPr>
        <w:spacing w:line="360" w:lineRule="auto"/>
        <w:rPr>
          <w:rFonts w:ascii="宋体" w:hAnsi="宋体"/>
          <w:color w:val="000000" w:themeColor="text1"/>
          <w:sz w:val="28"/>
          <w:szCs w:val="28"/>
          <w:highlight w:val="none"/>
          <w14:textFill>
            <w14:solidFill>
              <w14:schemeClr w14:val="tx1"/>
            </w14:solidFill>
          </w14:textFill>
        </w:rPr>
      </w:pPr>
    </w:p>
    <w:p>
      <w:pPr>
        <w:spacing w:after="120" w:line="900" w:lineRule="exact"/>
        <w:jc w:val="center"/>
        <w:rPr>
          <w:rFonts w:hint="eastAsia" w:ascii="宋体" w:hAnsi="宋体" w:eastAsia="宋体"/>
          <w:b/>
          <w:color w:val="000000" w:themeColor="text1"/>
          <w:sz w:val="44"/>
          <w:szCs w:val="50"/>
          <w:highlight w:val="none"/>
          <w:lang w:eastAsia="zh-CN"/>
          <w14:textFill>
            <w14:solidFill>
              <w14:schemeClr w14:val="tx1"/>
            </w14:solidFill>
          </w14:textFill>
        </w:rPr>
      </w:pPr>
      <w:r>
        <w:rPr>
          <w:rFonts w:hint="eastAsia" w:ascii="宋体" w:hAnsi="宋体"/>
          <w:b/>
          <w:color w:val="000000" w:themeColor="text1"/>
          <w:sz w:val="44"/>
          <w:szCs w:val="50"/>
          <w:highlight w:val="none"/>
          <w:lang w:eastAsia="zh-CN"/>
          <w14:textFill>
            <w14:solidFill>
              <w14:schemeClr w14:val="tx1"/>
            </w14:solidFill>
          </w14:textFill>
        </w:rPr>
        <w:t>宁波大学附属第一医院智慧病房建设项目</w:t>
      </w:r>
    </w:p>
    <w:p>
      <w:pPr>
        <w:spacing w:line="360" w:lineRule="auto"/>
        <w:jc w:val="center"/>
        <w:rPr>
          <w:rFonts w:hint="eastAsia" w:ascii="宋体" w:hAnsi="宋体" w:eastAsia="宋体"/>
          <w:color w:val="000000" w:themeColor="text1"/>
          <w:sz w:val="36"/>
          <w:szCs w:val="36"/>
          <w:highlight w:val="none"/>
          <w:u w:val="single"/>
          <w:lang w:eastAsia="zh-CN"/>
          <w14:textFill>
            <w14:solidFill>
              <w14:schemeClr w14:val="tx1"/>
            </w14:solidFill>
          </w14:textFill>
        </w:rPr>
      </w:pPr>
      <w:r>
        <w:rPr>
          <w:rFonts w:hint="eastAsia" w:ascii="宋体" w:hAnsi="宋体"/>
          <w:color w:val="000000" w:themeColor="text1"/>
          <w:sz w:val="36"/>
          <w:szCs w:val="36"/>
          <w:highlight w:val="none"/>
          <w:u w:val="single"/>
          <w14:textFill>
            <w14:solidFill>
              <w14:schemeClr w14:val="tx1"/>
            </w14:solidFill>
          </w14:textFill>
        </w:rPr>
        <w:t>采购编号：</w:t>
      </w:r>
      <w:r>
        <w:rPr>
          <w:rFonts w:hint="eastAsia" w:ascii="宋体" w:hAnsi="宋体"/>
          <w:color w:val="000000" w:themeColor="text1"/>
          <w:sz w:val="36"/>
          <w:szCs w:val="36"/>
          <w:highlight w:val="none"/>
          <w:u w:val="single"/>
          <w:lang w:eastAsia="zh-CN"/>
          <w14:textFill>
            <w14:solidFill>
              <w14:schemeClr w14:val="tx1"/>
            </w14:solidFill>
          </w14:textFill>
        </w:rPr>
        <w:t>NBITC-202311752G</w:t>
      </w:r>
    </w:p>
    <w:p>
      <w:pPr>
        <w:spacing w:line="360" w:lineRule="auto"/>
        <w:ind w:firstLine="2340" w:firstLineChars="65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u w:val="single"/>
          <w14:textFill>
            <w14:solidFill>
              <w14:schemeClr w14:val="tx1"/>
            </w14:solidFill>
          </w14:textFill>
        </w:rPr>
        <w:t>标项号：（如有多个标项）</w:t>
      </w:r>
    </w:p>
    <w:p>
      <w:pP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（商务和技术文件）</w:t>
      </w:r>
    </w:p>
    <w:p>
      <w:pPr>
        <w:jc w:val="cente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72"/>
          <w:szCs w:val="72"/>
          <w:highlight w:val="none"/>
          <w14:textFill>
            <w14:solidFill>
              <w14:schemeClr w14:val="tx1"/>
            </w14:solidFill>
          </w14:textFill>
        </w:rPr>
      </w:pPr>
    </w:p>
    <w:p>
      <w:pPr>
        <w:spacing w:line="360" w:lineRule="auto"/>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投标文件</w:t>
      </w: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u w:val="singl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供应商全称：</w:t>
      </w:r>
      <w:r>
        <w:rPr>
          <w:rFonts w:hint="eastAsia" w:ascii="宋体" w:hAnsi="宋体"/>
          <w:color w:val="000000" w:themeColor="text1"/>
          <w:sz w:val="36"/>
          <w:szCs w:val="36"/>
          <w:highlight w:val="none"/>
          <w:u w:val="single"/>
          <w14:textFill>
            <w14:solidFill>
              <w14:schemeClr w14:val="tx1"/>
            </w14:solidFill>
          </w14:textFill>
        </w:rPr>
        <w:t>（加盖单位公章）</w:t>
      </w:r>
    </w:p>
    <w:p>
      <w:pPr>
        <w:pStyle w:val="29"/>
        <w:ind w:left="101" w:leftChars="48" w:firstLine="1920" w:firstLineChars="800"/>
        <w:jc w:val="left"/>
        <w:rPr>
          <w:rFonts w:hAnsi="宋体"/>
          <w:color w:val="000000" w:themeColor="text1"/>
          <w:kern w:val="2"/>
          <w:szCs w:val="28"/>
          <w:highlight w:val="none"/>
          <w:u w:val="single"/>
          <w14:textFill>
            <w14:solidFill>
              <w14:schemeClr w14:val="tx1"/>
            </w14:solidFill>
          </w14:textFill>
        </w:rPr>
      </w:pPr>
    </w:p>
    <w:p>
      <w:pPr>
        <w:autoSpaceDE w:val="0"/>
        <w:autoSpaceDN w:val="0"/>
        <w:adjustRightInd w:val="0"/>
        <w:spacing w:line="400" w:lineRule="exact"/>
        <w:jc w:val="center"/>
        <w:outlineLvl w:val="0"/>
        <w:rPr>
          <w:rStyle w:val="138"/>
          <w:rFonts w:ascii="宋体" w:hAnsi="宋体"/>
          <w:color w:val="000000" w:themeColor="text1"/>
          <w:sz w:val="28"/>
          <w:szCs w:val="28"/>
          <w:highlight w:val="none"/>
          <w14:textFill>
            <w14:solidFill>
              <w14:schemeClr w14:val="tx1"/>
            </w14:solidFill>
          </w14:textFill>
        </w:rPr>
      </w:pPr>
      <w:bookmarkStart w:id="327" w:name="_Toc12534"/>
      <w:bookmarkStart w:id="328" w:name="_Toc21541027"/>
      <w:bookmarkStart w:id="329" w:name="_Toc44162158"/>
      <w:r>
        <w:rPr>
          <w:rFonts w:hint="eastAsia"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lang w:val="en-US" w:eastAsia="zh-CN"/>
          <w14:textFill>
            <w14:solidFill>
              <w14:schemeClr w14:val="tx1"/>
            </w14:solidFill>
          </w14:textFill>
        </w:rPr>
        <w:t xml:space="preserve">  </w:t>
      </w:r>
      <w:r>
        <w:rPr>
          <w:rFonts w:hint="eastAsia"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lang w:val="en-US" w:eastAsia="zh-CN"/>
          <w14:textFill>
            <w14:solidFill>
              <w14:schemeClr w14:val="tx1"/>
            </w14:solidFill>
          </w14:textFill>
        </w:rPr>
        <w:t xml:space="preserve">  </w:t>
      </w:r>
      <w:r>
        <w:rPr>
          <w:rFonts w:hint="eastAsia" w:ascii="宋体" w:hAnsi="宋体"/>
          <w:color w:val="000000" w:themeColor="text1"/>
          <w:sz w:val="36"/>
          <w:szCs w:val="36"/>
          <w:highlight w:val="none"/>
          <w14:textFill>
            <w14:solidFill>
              <w14:schemeClr w14:val="tx1"/>
            </w14:solidFill>
          </w14:textFill>
        </w:rPr>
        <w:t>日</w:t>
      </w:r>
      <w:bookmarkEnd w:id="327"/>
      <w:bookmarkEnd w:id="328"/>
      <w:bookmarkEnd w:id="329"/>
    </w:p>
    <w:p>
      <w:pPr>
        <w:spacing w:line="360" w:lineRule="auto"/>
        <w:ind w:firstLine="4200" w:firstLineChars="2000"/>
        <w:jc w:val="left"/>
        <w:rPr>
          <w:rFonts w:ascii="宋体" w:hAnsi="宋体"/>
          <w:color w:val="000000" w:themeColor="text1"/>
          <w:szCs w:val="21"/>
          <w:highlight w:val="none"/>
          <w14:textFill>
            <w14:solidFill>
              <w14:schemeClr w14:val="tx1"/>
            </w14:solidFill>
          </w14:textFill>
        </w:rPr>
      </w:pPr>
    </w:p>
    <w:p>
      <w:pPr>
        <w:spacing w:line="360" w:lineRule="auto"/>
        <w:jc w:val="center"/>
        <w:rPr>
          <w:rFonts w:ascii="宋体" w:hAnsi="宋体"/>
          <w:b/>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r>
        <w:rPr>
          <w:rFonts w:hint="eastAsia" w:ascii="宋体" w:hAnsi="宋体"/>
          <w:b/>
          <w:color w:val="000000" w:themeColor="text1"/>
          <w:szCs w:val="21"/>
          <w:highlight w:val="none"/>
          <w14:textFill>
            <w14:solidFill>
              <w14:schemeClr w14:val="tx1"/>
            </w14:solidFill>
          </w14:textFill>
        </w:rPr>
        <w:t>B1投标书</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致：宁波市国际招标有限公司</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（供应商全称）　</w:t>
      </w:r>
      <w:r>
        <w:rPr>
          <w:rFonts w:hint="eastAsia" w:ascii="宋体" w:hAnsi="宋体"/>
          <w:color w:val="000000" w:themeColor="text1"/>
          <w:szCs w:val="21"/>
          <w:highlight w:val="none"/>
          <w14:textFill>
            <w14:solidFill>
              <w14:schemeClr w14:val="tx1"/>
            </w14:solidFill>
          </w14:textFill>
        </w:rPr>
        <w:t>授权</w:t>
      </w:r>
      <w:r>
        <w:rPr>
          <w:rFonts w:hint="eastAsia" w:ascii="宋体" w:hAnsi="宋体"/>
          <w:color w:val="000000" w:themeColor="text1"/>
          <w:szCs w:val="21"/>
          <w:highlight w:val="none"/>
          <w:u w:val="single"/>
          <w14:textFill>
            <w14:solidFill>
              <w14:schemeClr w14:val="tx1"/>
            </w14:solidFill>
          </w14:textFill>
        </w:rPr>
        <w:t xml:space="preserve">  （全名、职务）  </w:t>
      </w:r>
      <w:r>
        <w:rPr>
          <w:rFonts w:hint="eastAsia" w:ascii="宋体" w:hAnsi="宋体"/>
          <w:color w:val="000000" w:themeColor="text1"/>
          <w:szCs w:val="21"/>
          <w:highlight w:val="none"/>
          <w14:textFill>
            <w14:solidFill>
              <w14:schemeClr w14:val="tx1"/>
            </w14:solidFill>
          </w14:textFill>
        </w:rPr>
        <w:t>为全权代表，参加贵方组织的</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r>
        <w:rPr>
          <w:rFonts w:hint="eastAsia" w:ascii="宋体" w:hAnsi="宋体"/>
          <w:color w:val="000000" w:themeColor="text1"/>
          <w:szCs w:val="21"/>
          <w:highlight w:val="none"/>
          <w14:textFill>
            <w14:solidFill>
              <w14:schemeClr w14:val="tx1"/>
            </w14:solidFill>
          </w14:textFill>
        </w:rPr>
        <w:t>（采购编号：</w:t>
      </w:r>
      <w:r>
        <w:rPr>
          <w:rFonts w:hint="eastAsia" w:ascii="宋体" w:hAnsi="宋体"/>
          <w:color w:val="000000" w:themeColor="text1"/>
          <w:szCs w:val="21"/>
          <w:highlight w:val="none"/>
          <w:u w:val="single"/>
          <w:lang w:eastAsia="zh-CN"/>
          <w14:textFill>
            <w14:solidFill>
              <w14:schemeClr w14:val="tx1"/>
            </w14:solidFill>
          </w14:textFill>
        </w:rPr>
        <w:t>NBITC-202311752G</w:t>
      </w:r>
      <w:r>
        <w:rPr>
          <w:rFonts w:hint="eastAsia" w:ascii="宋体" w:hAnsi="宋体"/>
          <w:color w:val="000000" w:themeColor="text1"/>
          <w:szCs w:val="21"/>
          <w:highlight w:val="none"/>
          <w14:textFill>
            <w14:solidFill>
              <w14:schemeClr w14:val="tx1"/>
            </w14:solidFill>
          </w14:textFill>
        </w:rPr>
        <w:t>）招标活动并投标，为便于采购人公正、择优地确定中标供应商及其服务，采购人就本次投标有关事项郑重声明如下：</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1、采购人提交的所有投标文件、资料都是准确的和真实的。如有虚假或隐瞒，采购人愿意承担一切后果，并不再寻求任何旨在减轻或免除法律责任的辩解。</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2、采购人不是为本项目提供整体设计、规范编制或者项目管理、监理、检测等服务的供应商。</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ascii="宋体"/>
          <w:color w:val="000000" w:themeColor="text1"/>
          <w:highlight w:val="none"/>
          <w14:textFill>
            <w14:solidFill>
              <w14:schemeClr w14:val="tx1"/>
            </w14:solidFill>
          </w14:textFill>
        </w:rPr>
        <w:t>保证遵守招标文件有关条款规定。</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、本项目的投标报价详见“开标一览表”。</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、投标文件有效期为自开标之日起</w:t>
      </w:r>
      <w:r>
        <w:rPr>
          <w:rFonts w:hint="eastAsia" w:ascii="宋体" w:hAnsi="宋体"/>
          <w:color w:val="000000" w:themeColor="text1"/>
          <w:szCs w:val="21"/>
          <w:highlight w:val="none"/>
          <w:u w:val="single"/>
          <w14:textFill>
            <w14:solidFill>
              <w14:schemeClr w14:val="tx1"/>
            </w14:solidFill>
          </w14:textFill>
        </w:rPr>
        <w:t xml:space="preserve"> 90 </w:t>
      </w:r>
      <w:r>
        <w:rPr>
          <w:rFonts w:hint="eastAsia" w:ascii="宋体" w:hAnsi="宋体"/>
          <w:color w:val="000000" w:themeColor="text1"/>
          <w:szCs w:val="21"/>
          <w:highlight w:val="none"/>
          <w14:textFill>
            <w14:solidFill>
              <w14:schemeClr w14:val="tx1"/>
            </w14:solidFill>
          </w14:textFill>
        </w:rPr>
        <w:t>个日历日。</w:t>
      </w:r>
    </w:p>
    <w:p>
      <w:pPr>
        <w:spacing w:line="400" w:lineRule="exact"/>
        <w:ind w:firstLine="420" w:firstLineChars="200"/>
        <w:jc w:val="left"/>
        <w:rPr>
          <w:rFonts w:ascii="宋体"/>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w:t>
      </w:r>
      <w:r>
        <w:rPr>
          <w:rFonts w:hint="eastAsia" w:ascii="宋体"/>
          <w:color w:val="000000" w:themeColor="text1"/>
          <w:highlight w:val="none"/>
          <w14:textFill>
            <w14:solidFill>
              <w14:schemeClr w14:val="tx1"/>
            </w14:solidFill>
          </w14:textFill>
        </w:rPr>
        <w:t>保证在中标后忠实地执行与采购人所签署的合同，并承担合同规定的责任义务。</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8、完全同意招标文件中有关招标代理服务费的条款，保证在中标后按照招标文件规定的金额、时间和方式，向贵方一次性交纳招标代理服务费。采购人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、与本投标有关的一切正式来往通讯请寄：</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邮编：</w:t>
      </w:r>
    </w:p>
    <w:p>
      <w:pPr>
        <w:spacing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传真：</w:t>
      </w:r>
    </w:p>
    <w:p>
      <w:pPr>
        <w:spacing w:line="400" w:lineRule="exact"/>
        <w:ind w:left="540" w:firstLine="30"/>
        <w:jc w:val="left"/>
        <w:rPr>
          <w:rFonts w:ascii="宋体" w:hAnsi="宋体"/>
          <w:color w:val="000000" w:themeColor="text1"/>
          <w:szCs w:val="21"/>
          <w:highlight w:val="none"/>
          <w14:textFill>
            <w14:solidFill>
              <w14:schemeClr w14:val="tx1"/>
            </w14:solidFill>
          </w14:textFill>
        </w:rPr>
      </w:pPr>
    </w:p>
    <w:p>
      <w:pPr>
        <w:spacing w:line="400" w:lineRule="exact"/>
        <w:jc w:val="left"/>
        <w:rPr>
          <w:rFonts w:ascii="宋体" w:hAnsi="宋体"/>
          <w:color w:val="000000" w:themeColor="text1"/>
          <w:szCs w:val="21"/>
          <w:highlight w:val="none"/>
          <w14:textFill>
            <w14:solidFill>
              <w14:schemeClr w14:val="tx1"/>
            </w14:solidFill>
          </w14:textFill>
        </w:rPr>
      </w:pP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exact"/>
        <w:rPr>
          <w:rFonts w:ascii="宋体" w:hAnsi="宋体"/>
          <w:b/>
          <w:bCs/>
          <w:color w:val="000000" w:themeColor="text1"/>
          <w:kern w:val="0"/>
          <w:szCs w:val="21"/>
          <w:highlight w:val="none"/>
          <w14:textFill>
            <w14:solidFill>
              <w14:schemeClr w14:val="tx1"/>
            </w14:solidFill>
          </w14:textFill>
        </w:rPr>
      </w:pPr>
    </w:p>
    <w:p>
      <w:pPr>
        <w:spacing w:line="400" w:lineRule="exact"/>
        <w:rPr>
          <w:rFonts w:hint="eastAsia" w:ascii="宋体" w:hAnsi="宋体" w:eastAsia="宋体"/>
          <w:b/>
          <w:bCs/>
          <w:color w:val="000000" w:themeColor="text1"/>
          <w:szCs w:val="21"/>
          <w:highlight w:val="none"/>
          <w14:textFill>
            <w14:solidFill>
              <w14:schemeClr w14:val="tx1"/>
            </w14:solidFill>
          </w14:textFill>
        </w:rPr>
      </w:pPr>
      <w:r>
        <w:rPr>
          <w:rFonts w:ascii="宋体" w:hAnsi="宋体"/>
          <w:b/>
          <w:bCs/>
          <w:color w:val="000000" w:themeColor="text1"/>
          <w:kern w:val="0"/>
          <w:szCs w:val="21"/>
          <w:highlight w:val="none"/>
          <w14:textFill>
            <w14:solidFill>
              <w14:schemeClr w14:val="tx1"/>
            </w14:solidFill>
          </w14:textFill>
        </w:rPr>
        <w:t>法定代表人或其委托代理人：（签字</w:t>
      </w:r>
      <w:r>
        <w:rPr>
          <w:rFonts w:hint="eastAsia" w:ascii="宋体" w:hAnsi="宋体"/>
          <w:b/>
          <w:bCs/>
          <w:color w:val="000000" w:themeColor="text1"/>
          <w:kern w:val="0"/>
          <w:szCs w:val="21"/>
          <w:highlight w:val="none"/>
          <w:lang w:eastAsia="zh-CN"/>
          <w14:textFill>
            <w14:solidFill>
              <w14:schemeClr w14:val="tx1"/>
            </w14:solidFill>
          </w14:textFill>
        </w:rPr>
        <w:t>或盖签章</w:t>
      </w:r>
      <w:r>
        <w:rPr>
          <w:rFonts w:ascii="宋体" w:hAnsi="宋体"/>
          <w:b/>
          <w:bCs/>
          <w:color w:val="000000" w:themeColor="text1"/>
          <w:kern w:val="0"/>
          <w:szCs w:val="21"/>
          <w:highlight w:val="none"/>
          <w14:textFill>
            <w14:solidFill>
              <w14:schemeClr w14:val="tx1"/>
            </w14:solidFill>
          </w14:textFill>
        </w:rPr>
        <w:t xml:space="preserve">）    </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p>
    <w:p>
      <w:pPr>
        <w:spacing w:line="360" w:lineRule="auto"/>
        <w:jc w:val="center"/>
        <w:rPr>
          <w:rFonts w:ascii="宋体" w:hAnsi="宋体"/>
          <w:b/>
          <w:bCs/>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r>
        <w:rPr>
          <w:rFonts w:hint="eastAsia" w:ascii="宋体" w:hAnsi="宋体"/>
          <w:b/>
          <w:bCs/>
          <w:color w:val="000000" w:themeColor="text1"/>
          <w:highlight w:val="none"/>
          <w14:textFill>
            <w14:solidFill>
              <w14:schemeClr w14:val="tx1"/>
            </w14:solidFill>
          </w14:textFill>
        </w:rPr>
        <w:t>B</w:t>
      </w:r>
      <w:r>
        <w:rPr>
          <w:rFonts w:ascii="宋体" w:hAnsi="宋体"/>
          <w:b/>
          <w:bCs/>
          <w:color w:val="000000" w:themeColor="text1"/>
          <w:szCs w:val="21"/>
          <w:highlight w:val="none"/>
          <w14:textFill>
            <w14:solidFill>
              <w14:schemeClr w14:val="tx1"/>
            </w14:solidFill>
          </w14:textFill>
        </w:rPr>
        <w:t>2</w:t>
      </w:r>
      <w:r>
        <w:rPr>
          <w:rFonts w:hint="eastAsia" w:ascii="宋体" w:hAnsi="宋体"/>
          <w:b/>
          <w:bCs/>
          <w:color w:val="000000" w:themeColor="text1"/>
          <w:szCs w:val="21"/>
          <w:highlight w:val="none"/>
          <w14:textFill>
            <w14:solidFill>
              <w14:schemeClr w14:val="tx1"/>
            </w14:solidFill>
          </w14:textFill>
        </w:rPr>
        <w:t>法定代表人身份证明</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供应商名称：</w:t>
      </w:r>
      <w:r>
        <w:rPr>
          <w:rFonts w:ascii="宋体" w:hAnsi="宋体"/>
          <w:color w:val="000000" w:themeColor="text1"/>
          <w:szCs w:val="21"/>
          <w:highlight w:val="none"/>
          <w:u w:val="single"/>
          <w14:textFill>
            <w14:solidFill>
              <w14:schemeClr w14:val="tx1"/>
            </w14:solidFill>
          </w14:textFill>
        </w:rPr>
        <w:t xml:space="preserve">                   </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单位性质：</w:t>
      </w:r>
      <w:r>
        <w:rPr>
          <w:rFonts w:ascii="宋体" w:hAnsi="宋体"/>
          <w:color w:val="000000" w:themeColor="text1"/>
          <w:szCs w:val="21"/>
          <w:highlight w:val="none"/>
          <w:u w:val="single"/>
          <w14:textFill>
            <w14:solidFill>
              <w14:schemeClr w14:val="tx1"/>
            </w14:solidFill>
          </w14:textFill>
        </w:rPr>
        <w:t xml:space="preserve">                   </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ascii="宋体" w:hAnsi="宋体"/>
          <w:color w:val="000000" w:themeColor="text1"/>
          <w:szCs w:val="21"/>
          <w:highlight w:val="none"/>
          <w:u w:val="single"/>
          <w14:textFill>
            <w14:solidFill>
              <w14:schemeClr w14:val="tx1"/>
            </w14:solidFill>
          </w14:textFill>
        </w:rPr>
        <w:t xml:space="preserve">                   </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成立时间：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经营期限：</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姓名：</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性别：</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年龄：</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职务：</w:t>
      </w:r>
      <w:r>
        <w:rPr>
          <w:rFonts w:ascii="宋体" w:hAnsi="宋体"/>
          <w:color w:val="000000" w:themeColor="text1"/>
          <w:szCs w:val="21"/>
          <w:highlight w:val="none"/>
          <w:u w:val="single"/>
          <w14:textFill>
            <w14:solidFill>
              <w14:schemeClr w14:val="tx1"/>
            </w14:solidFill>
          </w14:textFill>
        </w:rPr>
        <w:t xml:space="preserve">          </w:t>
      </w:r>
    </w:p>
    <w:p>
      <w:pPr>
        <w:spacing w:after="120" w:afterLines="50"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身份证号码：</w:t>
      </w:r>
      <w:r>
        <w:rPr>
          <w:rFonts w:ascii="宋体" w:hAnsi="宋体"/>
          <w:color w:val="000000" w:themeColor="text1"/>
          <w:szCs w:val="21"/>
          <w:highlight w:val="none"/>
          <w:u w:val="single"/>
          <w14:textFill>
            <w14:solidFill>
              <w14:schemeClr w14:val="tx1"/>
            </w14:solidFill>
          </w14:textFill>
        </w:rPr>
        <w:t xml:space="preserve">                   </w:t>
      </w:r>
    </w:p>
    <w:p>
      <w:pPr>
        <w:spacing w:line="400" w:lineRule="exact"/>
        <w:ind w:firstLine="560"/>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系</w:t>
      </w:r>
      <w:r>
        <w:rPr>
          <w:rFonts w:hint="eastAsia" w:ascii="宋体" w:hAnsi="宋体"/>
          <w:color w:val="000000" w:themeColor="text1"/>
          <w:szCs w:val="21"/>
          <w:highlight w:val="none"/>
          <w:u w:val="single"/>
          <w14:textFill>
            <w14:solidFill>
              <w14:schemeClr w14:val="tx1"/>
            </w14:solidFill>
          </w14:textFill>
        </w:rPr>
        <w:t>（供应商名称）</w:t>
      </w:r>
      <w:r>
        <w:rPr>
          <w:rFonts w:hint="eastAsia" w:ascii="宋体" w:hAnsi="宋体"/>
          <w:color w:val="000000" w:themeColor="text1"/>
          <w:szCs w:val="21"/>
          <w:highlight w:val="none"/>
          <w14:textFill>
            <w14:solidFill>
              <w14:schemeClr w14:val="tx1"/>
            </w14:solidFill>
          </w14:textFill>
        </w:rPr>
        <w:t>的法定代表人。</w:t>
      </w:r>
    </w:p>
    <w:p>
      <w:pPr>
        <w:spacing w:line="400" w:lineRule="exact"/>
        <w:ind w:firstLine="560"/>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特此证明。</w:t>
      </w:r>
    </w:p>
    <w:p>
      <w:pPr>
        <w:spacing w:line="400" w:lineRule="atLeast"/>
        <w:rPr>
          <w:rFonts w:ascii="宋体" w:hAnsi="宋体"/>
          <w:color w:val="000000" w:themeColor="text1"/>
          <w:szCs w:val="21"/>
          <w:highlight w:val="none"/>
          <w:u w:val="singl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atLeast"/>
        <w:rPr>
          <w:rFonts w:hint="eastAsia" w:ascii="宋体" w:hAnsi="宋体"/>
          <w:color w:val="000000" w:themeColor="text1"/>
          <w:szCs w:val="21"/>
          <w:highlight w:val="none"/>
          <w14:textFill>
            <w14:solidFill>
              <w14:schemeClr w14:val="tx1"/>
            </w14:solidFill>
          </w14:textFill>
        </w:rPr>
      </w:pPr>
    </w:p>
    <w:p>
      <w:pPr>
        <w:spacing w:line="400" w:lineRule="atLeas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期：</w:t>
      </w:r>
    </w:p>
    <w:p>
      <w:pPr>
        <w:spacing w:line="400" w:lineRule="atLeast"/>
        <w:rPr>
          <w:rFonts w:ascii="宋体" w:hAnsi="宋体"/>
          <w:color w:val="000000" w:themeColor="text1"/>
          <w:szCs w:val="21"/>
          <w:highlight w:val="none"/>
          <w:u w:val="single"/>
          <w14:textFill>
            <w14:solidFill>
              <w14:schemeClr w14:val="tx1"/>
            </w14:solidFill>
          </w14:textFill>
        </w:rPr>
      </w:pPr>
    </w:p>
    <w:p>
      <w:pPr>
        <w:spacing w:line="400" w:lineRule="atLeast"/>
        <w:rPr>
          <w:rFonts w:ascii="宋体" w:hAnsi="宋体"/>
          <w:color w:val="000000" w:themeColor="text1"/>
          <w:szCs w:val="21"/>
          <w:highlight w:val="none"/>
          <w:u w:val="singl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400" w:lineRule="atLeast"/>
        <w:rPr>
          <w:rFonts w:ascii="宋体" w:hAnsi="宋体"/>
          <w:color w:val="000000" w:themeColor="text1"/>
          <w:szCs w:val="21"/>
          <w:highlight w:val="none"/>
          <w:u w:val="singl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后附：</w:t>
      </w:r>
      <w:r>
        <w:rPr>
          <w:rFonts w:hint="eastAsia" w:ascii="宋体" w:hAnsi="宋体"/>
          <w:b/>
          <w:bCs/>
          <w:color w:val="000000" w:themeColor="text1"/>
          <w:szCs w:val="21"/>
          <w:highlight w:val="none"/>
          <w14:textFill>
            <w14:solidFill>
              <w14:schemeClr w14:val="tx1"/>
            </w14:solidFill>
          </w14:textFill>
        </w:rPr>
        <w:t>法定代表人身份证复印件加盖供应商公章。</w:t>
      </w:r>
    </w:p>
    <w:p>
      <w:pPr>
        <w:spacing w:line="400" w:lineRule="atLeast"/>
        <w:rPr>
          <w:rFonts w:ascii="宋体" w:hAnsi="宋体"/>
          <w:color w:val="000000" w:themeColor="text1"/>
          <w:szCs w:val="21"/>
          <w:highlight w:val="none"/>
          <w:u w:val="single"/>
          <w14:textFill>
            <w14:solidFill>
              <w14:schemeClr w14:val="tx1"/>
            </w14:solidFill>
          </w14:textFill>
        </w:rPr>
      </w:pPr>
    </w:p>
    <w:p>
      <w:pPr>
        <w:spacing w:line="400" w:lineRule="exact"/>
        <w:jc w:val="center"/>
        <w:rPr>
          <w:rFonts w:ascii="宋体" w:hAnsi="宋体"/>
          <w:b/>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r>
        <w:rPr>
          <w:rFonts w:hint="eastAsia" w:ascii="宋体" w:hAnsi="宋体"/>
          <w:b/>
          <w:color w:val="000000" w:themeColor="text1"/>
          <w:szCs w:val="21"/>
          <w:highlight w:val="none"/>
          <w14:textFill>
            <w14:solidFill>
              <w14:schemeClr w14:val="tx1"/>
            </w14:solidFill>
          </w14:textFill>
        </w:rPr>
        <w:t>B</w:t>
      </w: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法定代表人授权书</w:t>
      </w:r>
    </w:p>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（投标文件由授权代表签字的须提供）</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致：采购人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（供应商全称）</w:t>
      </w:r>
      <w:r>
        <w:rPr>
          <w:rFonts w:hint="eastAsia"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Cs w:val="21"/>
          <w:highlight w:val="none"/>
          <w:u w:val="single"/>
          <w14:textFill>
            <w14:solidFill>
              <w14:schemeClr w14:val="tx1"/>
            </w14:solidFill>
          </w14:textFill>
        </w:rPr>
        <w:t>（法定代表人姓名）</w:t>
      </w:r>
      <w:r>
        <w:rPr>
          <w:rFonts w:hint="eastAsia" w:ascii="宋体" w:hAnsi="宋体"/>
          <w:color w:val="000000" w:themeColor="text1"/>
          <w:szCs w:val="21"/>
          <w:highlight w:val="none"/>
          <w14:textFill>
            <w14:solidFill>
              <w14:schemeClr w14:val="tx1"/>
            </w14:solidFill>
          </w14:textFill>
        </w:rPr>
        <w:t>授权</w:t>
      </w:r>
      <w:r>
        <w:rPr>
          <w:rFonts w:hint="eastAsia" w:ascii="宋体" w:hAnsi="宋体"/>
          <w:color w:val="000000" w:themeColor="text1"/>
          <w:szCs w:val="21"/>
          <w:highlight w:val="none"/>
          <w:u w:val="single"/>
          <w14:textFill>
            <w14:solidFill>
              <w14:schemeClr w14:val="tx1"/>
            </w14:solidFill>
          </w14:textFill>
        </w:rPr>
        <w:t>（授权代表姓名）</w:t>
      </w:r>
      <w:r>
        <w:rPr>
          <w:rFonts w:hint="eastAsia" w:ascii="宋体" w:hAnsi="宋体"/>
          <w:color w:val="000000" w:themeColor="text1"/>
          <w:szCs w:val="21"/>
          <w:highlight w:val="none"/>
          <w14:textFill>
            <w14:solidFill>
              <w14:schemeClr w14:val="tx1"/>
            </w14:solidFill>
          </w14:textFill>
        </w:rPr>
        <w:t>为授权代表，参加</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r>
        <w:rPr>
          <w:rFonts w:hint="eastAsia" w:ascii="宋体" w:hAnsi="宋体"/>
          <w:color w:val="000000" w:themeColor="text1"/>
          <w:szCs w:val="21"/>
          <w:highlight w:val="none"/>
          <w14:textFill>
            <w14:solidFill>
              <w14:schemeClr w14:val="tx1"/>
            </w14:solidFill>
          </w14:textFill>
        </w:rPr>
        <w:t>，采购编号为</w:t>
      </w:r>
      <w:r>
        <w:rPr>
          <w:rFonts w:hint="eastAsia" w:ascii="宋体" w:hAnsi="宋体"/>
          <w:color w:val="000000" w:themeColor="text1"/>
          <w:szCs w:val="21"/>
          <w:highlight w:val="none"/>
          <w:u w:val="single"/>
          <w:lang w:eastAsia="zh-CN"/>
          <w14:textFill>
            <w14:solidFill>
              <w14:schemeClr w14:val="tx1"/>
            </w14:solidFill>
          </w14:textFill>
        </w:rPr>
        <w:t>NBITC-202311752G</w:t>
      </w:r>
      <w:r>
        <w:rPr>
          <w:rFonts w:hint="eastAsia" w:ascii="宋体" w:hAnsi="宋体"/>
          <w:color w:val="000000" w:themeColor="text1"/>
          <w:szCs w:val="21"/>
          <w:highlight w:val="none"/>
          <w14:textFill>
            <w14:solidFill>
              <w14:schemeClr w14:val="tx1"/>
            </w14:solidFill>
          </w14:textFill>
        </w:rPr>
        <w:t>，其在招投标活动中的一切活动本公司均予承认。</w:t>
      </w:r>
    </w:p>
    <w:p>
      <w:pPr>
        <w:spacing w:line="400" w:lineRule="atLeast"/>
        <w:jc w:val="left"/>
        <w:rPr>
          <w:rFonts w:ascii="宋体" w:hAnsi="宋体"/>
          <w:color w:val="000000" w:themeColor="text1"/>
          <w:szCs w:val="21"/>
          <w:highlight w:val="non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atLeas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法定代表人（签字</w:t>
      </w:r>
      <w:r>
        <w:rPr>
          <w:rFonts w:hint="eastAsia" w:ascii="宋体" w:hAnsi="宋体"/>
          <w:b/>
          <w:bCs/>
          <w:color w:val="000000" w:themeColor="text1"/>
          <w:szCs w:val="21"/>
          <w:highlight w:val="none"/>
          <w:lang w:eastAsia="zh-CN"/>
          <w14:textFill>
            <w14:solidFill>
              <w14:schemeClr w14:val="tx1"/>
            </w14:solidFill>
          </w14:textFill>
        </w:rPr>
        <w:t>或盖签章</w:t>
      </w:r>
      <w:r>
        <w:rPr>
          <w:rFonts w:hint="eastAsia" w:ascii="宋体" w:hAnsi="宋体"/>
          <w:b/>
          <w:bCs/>
          <w:color w:val="000000" w:themeColor="text1"/>
          <w:szCs w:val="21"/>
          <w:highlight w:val="none"/>
          <w14:textFill>
            <w14:solidFill>
              <w14:schemeClr w14:val="tx1"/>
            </w14:solidFill>
          </w14:textFill>
        </w:rPr>
        <w:t>）：</w:t>
      </w:r>
    </w:p>
    <w:p>
      <w:pPr>
        <w:spacing w:line="400" w:lineRule="atLeas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期：</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w:t>
      </w:r>
    </w:p>
    <w:p>
      <w:pPr>
        <w:spacing w:line="360" w:lineRule="auto"/>
        <w:ind w:firstLine="555"/>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授权代表姓名：</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授权代表身份证号码：</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职务：</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详细通讯地址：</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555"/>
        <w:rPr>
          <w:rFonts w:ascii="宋体" w:hAnsi="宋体"/>
          <w:color w:val="000000" w:themeColor="text1"/>
          <w:szCs w:val="21"/>
          <w:highlight w:val="none"/>
          <w:u w:val="single"/>
          <w14:textFill>
            <w14:solidFill>
              <w14:schemeClr w14:val="tx1"/>
            </w14:solidFill>
          </w14:textFill>
        </w:rPr>
      </w:pPr>
    </w:p>
    <w:p>
      <w:pPr>
        <w:spacing w:line="360" w:lineRule="auto"/>
        <w:ind w:firstLine="525" w:firstLineChars="250"/>
        <w:rPr>
          <w:rFonts w:ascii="宋体" w:hAnsi="宋体"/>
          <w:color w:val="000000" w:themeColor="text1"/>
          <w:szCs w:val="21"/>
          <w:highlight w:val="none"/>
          <w:u w:val="single"/>
          <w14:textFill>
            <w14:solidFill>
              <w14:schemeClr w14:val="tx1"/>
            </w14:solidFill>
          </w14:textFill>
        </w:rPr>
      </w:pPr>
    </w:p>
    <w:p>
      <w:pPr>
        <w:spacing w:line="360" w:lineRule="auto"/>
        <w:ind w:firstLine="525" w:firstLineChars="250"/>
        <w:rPr>
          <w:rFonts w:ascii="宋体" w:hAnsi="宋体"/>
          <w:color w:val="000000" w:themeColor="text1"/>
          <w:szCs w:val="21"/>
          <w:highlight w:val="none"/>
          <w:u w:val="single"/>
          <w14:textFill>
            <w14:solidFill>
              <w14:schemeClr w14:val="tx1"/>
            </w14:solidFill>
          </w14:textFill>
        </w:rPr>
      </w:pPr>
    </w:p>
    <w:p>
      <w:pPr>
        <w:spacing w:line="360" w:lineRule="auto"/>
        <w:ind w:firstLine="525" w:firstLineChars="250"/>
        <w:rPr>
          <w:rFonts w:ascii="宋体" w:hAnsi="宋体"/>
          <w:color w:val="000000" w:themeColor="text1"/>
          <w:szCs w:val="21"/>
          <w:highlight w:val="none"/>
          <w:u w:val="single"/>
          <w14:textFill>
            <w14:solidFill>
              <w14:schemeClr w14:val="tx1"/>
            </w14:solidFill>
          </w14:textFill>
        </w:rPr>
      </w:pPr>
    </w:p>
    <w:p>
      <w:pPr>
        <w:spacing w:line="360" w:lineRule="auto"/>
        <w:ind w:firstLine="525" w:firstLineChars="2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后附：</w:t>
      </w:r>
    </w:p>
    <w:p>
      <w:pPr>
        <w:spacing w:line="360" w:lineRule="auto"/>
        <w:ind w:firstLine="527" w:firstLineChars="250"/>
        <w:rPr>
          <w:rFonts w:ascii="宋体" w:hAns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、授权代表身份证复印件加盖供应商公章；</w:t>
      </w:r>
    </w:p>
    <w:p>
      <w:pPr>
        <w:spacing w:line="360" w:lineRule="auto"/>
        <w:ind w:firstLine="592" w:firstLineChars="250"/>
        <w:rPr>
          <w:rFonts w:ascii="宋体" w:hAnsi="宋体"/>
          <w:b/>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p>
    <w:p>
      <w:pPr>
        <w:spacing w:line="44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B</w:t>
      </w: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供应商一般情况表</w:t>
      </w:r>
    </w:p>
    <w:tbl>
      <w:tblPr>
        <w:tblStyle w:val="51"/>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8147" w:type="dxa"/>
            <w:gridSpan w:val="3"/>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8147" w:type="dxa"/>
            <w:gridSpan w:val="3"/>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p>
        </w:tc>
        <w:tc>
          <w:tcPr>
            <w:tcW w:w="8147" w:type="dxa"/>
            <w:gridSpan w:val="3"/>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p>
        </w:tc>
        <w:tc>
          <w:tcPr>
            <w:tcW w:w="4305" w:type="dxa"/>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p>
        </w:tc>
        <w:tc>
          <w:tcPr>
            <w:tcW w:w="3842"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w:t>
            </w:r>
          </w:p>
        </w:tc>
        <w:tc>
          <w:tcPr>
            <w:tcW w:w="4305" w:type="dxa"/>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w:t>
            </w:r>
          </w:p>
        </w:tc>
        <w:tc>
          <w:tcPr>
            <w:tcW w:w="3842"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w:t>
            </w:r>
          </w:p>
        </w:tc>
        <w:tc>
          <w:tcPr>
            <w:tcW w:w="4305" w:type="dxa"/>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注册地：</w:t>
            </w:r>
          </w:p>
        </w:tc>
        <w:tc>
          <w:tcPr>
            <w:tcW w:w="3842"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7</w:t>
            </w:r>
          </w:p>
        </w:tc>
        <w:tc>
          <w:tcPr>
            <w:tcW w:w="8147" w:type="dxa"/>
            <w:gridSpan w:val="3"/>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8</w:t>
            </w:r>
          </w:p>
        </w:tc>
        <w:tc>
          <w:tcPr>
            <w:tcW w:w="8147" w:type="dxa"/>
            <w:gridSpan w:val="3"/>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9</w:t>
            </w:r>
          </w:p>
        </w:tc>
        <w:tc>
          <w:tcPr>
            <w:tcW w:w="4314"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从业人员数量</w:t>
            </w:r>
          </w:p>
        </w:tc>
        <w:tc>
          <w:tcPr>
            <w:tcW w:w="3833" w:type="dxa"/>
            <w:noWrap/>
            <w:vAlign w:val="center"/>
          </w:tcPr>
          <w:p>
            <w:pPr>
              <w:spacing w:line="400" w:lineRule="exact"/>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10</w:t>
            </w:r>
          </w:p>
        </w:tc>
        <w:tc>
          <w:tcPr>
            <w:tcW w:w="4314"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营业收入</w:t>
            </w:r>
          </w:p>
        </w:tc>
        <w:tc>
          <w:tcPr>
            <w:tcW w:w="3833" w:type="dxa"/>
            <w:noWrap/>
            <w:vAlign w:val="center"/>
          </w:tcPr>
          <w:p>
            <w:pPr>
              <w:spacing w:line="400" w:lineRule="exact"/>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11</w:t>
            </w:r>
          </w:p>
        </w:tc>
        <w:tc>
          <w:tcPr>
            <w:tcW w:w="4314" w:type="dxa"/>
            <w:gridSpan w:val="2"/>
            <w:noWrap/>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其他需要说明的情况</w:t>
            </w:r>
          </w:p>
        </w:tc>
        <w:tc>
          <w:tcPr>
            <w:tcW w:w="3833" w:type="dxa"/>
            <w:noWrap/>
            <w:vAlign w:val="center"/>
          </w:tcPr>
          <w:p>
            <w:pPr>
              <w:spacing w:line="400" w:lineRule="exact"/>
              <w:rPr>
                <w:rFonts w:ascii="宋体" w:hAnsi="宋体"/>
                <w:color w:val="000000" w:themeColor="text1"/>
                <w:szCs w:val="21"/>
                <w:highlight w:val="none"/>
                <w14:textFill>
                  <w14:solidFill>
                    <w14:schemeClr w14:val="tx1"/>
                  </w14:solidFill>
                </w14:textFill>
              </w:rPr>
            </w:pPr>
          </w:p>
        </w:tc>
      </w:tr>
    </w:tbl>
    <w:p>
      <w:pPr>
        <w:spacing w:line="400" w:lineRule="atLeast"/>
        <w:jc w:val="left"/>
        <w:rPr>
          <w:rFonts w:ascii="宋体" w:hAnsi="宋体"/>
          <w:color w:val="000000" w:themeColor="text1"/>
          <w:szCs w:val="21"/>
          <w:highlight w:val="non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atLeast"/>
        <w:rPr>
          <w:rFonts w:ascii="宋体" w:hAnsi="宋体"/>
          <w:color w:val="000000" w:themeColor="text1"/>
          <w:szCs w:val="21"/>
          <w:highlight w:val="none"/>
          <w14:textFill>
            <w14:solidFill>
              <w14:schemeClr w14:val="tx1"/>
            </w14:solidFill>
          </w14:textFill>
        </w:rPr>
      </w:pPr>
    </w:p>
    <w:p>
      <w:pPr>
        <w:spacing w:line="400" w:lineRule="atLeas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期：</w:t>
      </w: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spacing w:line="400" w:lineRule="exact"/>
        <w:jc w:val="center"/>
        <w:rPr>
          <w:rFonts w:ascii="宋体"/>
          <w:b/>
          <w:color w:val="000000" w:themeColor="text1"/>
          <w:szCs w:val="21"/>
          <w:highlight w:val="none"/>
          <w14:textFill>
            <w14:solidFill>
              <w14:schemeClr w14:val="tx1"/>
            </w14:solidFill>
          </w14:textFill>
        </w:rPr>
      </w:pPr>
      <w:bookmarkStart w:id="330" w:name="_Toc10852"/>
      <w:r>
        <w:rPr>
          <w:rFonts w:hint="eastAsia" w:ascii="宋体" w:hAnsi="宋体"/>
          <w:b/>
          <w:color w:val="000000" w:themeColor="text1"/>
          <w:szCs w:val="21"/>
          <w:highlight w:val="none"/>
          <w14:textFill>
            <w14:solidFill>
              <w14:schemeClr w14:val="tx1"/>
            </w14:solidFill>
          </w14:textFill>
        </w:rPr>
        <w:t>B5</w:t>
      </w:r>
      <w:r>
        <w:rPr>
          <w:rFonts w:hint="eastAsia" w:ascii="宋体"/>
          <w:b/>
          <w:color w:val="000000" w:themeColor="text1"/>
          <w:szCs w:val="21"/>
          <w:highlight w:val="none"/>
          <w14:textFill>
            <w14:solidFill>
              <w14:schemeClr w14:val="tx1"/>
            </w14:solidFill>
          </w14:textFill>
        </w:rPr>
        <w:t>用户需求响应表</w:t>
      </w:r>
      <w:bookmarkEnd w:id="330"/>
    </w:p>
    <w:p>
      <w:pPr>
        <w:adjustRightInd w:val="0"/>
        <w:snapToGrid w:val="0"/>
        <w:spacing w:line="40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p>
    <w:p>
      <w:pPr>
        <w:adjustRightInd w:val="0"/>
        <w:snapToGrid w:val="0"/>
        <w:spacing w:line="400" w:lineRule="exact"/>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lang w:eastAsia="zh-CN"/>
          <w14:textFill>
            <w14:solidFill>
              <w14:schemeClr w14:val="tx1"/>
            </w14:solidFill>
          </w14:textFill>
        </w:rPr>
        <w:t>NBITC-202311752G</w:t>
      </w:r>
    </w:p>
    <w:p>
      <w:pPr>
        <w:adjustRightInd w:val="0"/>
        <w:snapToGrid w:val="0"/>
        <w:spacing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标项号：</w:t>
      </w:r>
    </w:p>
    <w:tbl>
      <w:tblPr>
        <w:tblStyle w:val="51"/>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top w:val="double" w:color="auto" w:sz="4" w:space="0"/>
              <w:lef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r>
              <w:rPr>
                <w:rFonts w:hint="eastAsia" w:ascii="宋体"/>
                <w:color w:val="000000" w:themeColor="text1"/>
                <w:spacing w:val="20"/>
                <w:szCs w:val="21"/>
                <w:highlight w:val="none"/>
                <w14:textFill>
                  <w14:solidFill>
                    <w14:schemeClr w14:val="tx1"/>
                  </w14:solidFill>
                </w14:textFill>
              </w:rPr>
              <w:t>序号</w:t>
            </w:r>
          </w:p>
        </w:tc>
        <w:tc>
          <w:tcPr>
            <w:tcW w:w="1717" w:type="dxa"/>
            <w:tcBorders>
              <w:top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r>
              <w:rPr>
                <w:rFonts w:hint="eastAsia" w:ascii="宋体"/>
                <w:color w:val="000000" w:themeColor="text1"/>
                <w:spacing w:val="20"/>
                <w:szCs w:val="21"/>
                <w:highlight w:val="none"/>
                <w14:textFill>
                  <w14:solidFill>
                    <w14:schemeClr w14:val="tx1"/>
                  </w14:solidFill>
                </w14:textFill>
              </w:rPr>
              <w:t>招标要求</w:t>
            </w:r>
          </w:p>
        </w:tc>
        <w:tc>
          <w:tcPr>
            <w:tcW w:w="1794" w:type="dxa"/>
            <w:tcBorders>
              <w:top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r>
              <w:rPr>
                <w:rFonts w:hint="eastAsia" w:ascii="宋体"/>
                <w:color w:val="000000" w:themeColor="text1"/>
                <w:spacing w:val="20"/>
                <w:szCs w:val="21"/>
                <w:highlight w:val="none"/>
                <w14:textFill>
                  <w14:solidFill>
                    <w14:schemeClr w14:val="tx1"/>
                  </w14:solidFill>
                </w14:textFill>
              </w:rPr>
              <w:t>投标响应</w:t>
            </w:r>
          </w:p>
        </w:tc>
        <w:tc>
          <w:tcPr>
            <w:tcW w:w="4694" w:type="dxa"/>
            <w:tcBorders>
              <w:top w:val="double" w:color="auto" w:sz="4" w:space="0"/>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r>
              <w:rPr>
                <w:rFonts w:hint="eastAsia" w:ascii="宋体"/>
                <w:color w:val="000000" w:themeColor="text1"/>
                <w:spacing w:val="20"/>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17"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94"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4694" w:type="dxa"/>
            <w:tcBorders>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17"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94"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4694" w:type="dxa"/>
            <w:tcBorders>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17"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94"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4694" w:type="dxa"/>
            <w:tcBorders>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17"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94" w:type="dxa"/>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4694" w:type="dxa"/>
            <w:tcBorders>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bottom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17" w:type="dxa"/>
            <w:tcBorders>
              <w:bottom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1794" w:type="dxa"/>
            <w:tcBorders>
              <w:bottom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c>
          <w:tcPr>
            <w:tcW w:w="4694" w:type="dxa"/>
            <w:tcBorders>
              <w:bottom w:val="double" w:color="auto" w:sz="4" w:space="0"/>
              <w:right w:val="double" w:color="auto" w:sz="4" w:space="0"/>
            </w:tcBorders>
            <w:noWrap/>
            <w:vAlign w:val="center"/>
          </w:tcPr>
          <w:p>
            <w:pPr>
              <w:adjustRightInd w:val="0"/>
              <w:snapToGrid w:val="0"/>
              <w:spacing w:line="400" w:lineRule="exact"/>
              <w:jc w:val="center"/>
              <w:rPr>
                <w:rFonts w:ascii="宋体"/>
                <w:color w:val="000000" w:themeColor="text1"/>
                <w:spacing w:val="20"/>
                <w:szCs w:val="21"/>
                <w:highlight w:val="none"/>
                <w14:textFill>
                  <w14:solidFill>
                    <w14:schemeClr w14:val="tx1"/>
                  </w14:solidFill>
                </w14:textFill>
              </w:rPr>
            </w:pPr>
          </w:p>
        </w:tc>
      </w:tr>
    </w:tbl>
    <w:p>
      <w:pPr>
        <w:adjustRightInd w:val="0"/>
        <w:snapToGrid w:val="0"/>
        <w:spacing w:line="400" w:lineRule="exact"/>
        <w:rPr>
          <w:rFonts w:ascii="宋体"/>
          <w:color w:val="000000" w:themeColor="text1"/>
          <w:spacing w:val="2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注：须与“第</w:t>
      </w:r>
      <w:r>
        <w:rPr>
          <w:rFonts w:hint="eastAsia" w:ascii="宋体" w:hAnsi="宋体"/>
          <w:color w:val="000000" w:themeColor="text1"/>
          <w:szCs w:val="21"/>
          <w:highlight w:val="none"/>
          <w:lang w:eastAsia="zh-CN"/>
          <w14:textFill>
            <w14:solidFill>
              <w14:schemeClr w14:val="tx1"/>
            </w14:solidFill>
          </w14:textFill>
        </w:rPr>
        <w:t>三</w:t>
      </w:r>
      <w:r>
        <w:rPr>
          <w:rFonts w:hint="eastAsia" w:ascii="宋体" w:hAnsi="宋体"/>
          <w:color w:val="000000" w:themeColor="text1"/>
          <w:szCs w:val="21"/>
          <w:highlight w:val="none"/>
          <w14:textFill>
            <w14:solidFill>
              <w14:schemeClr w14:val="tx1"/>
            </w14:solidFill>
          </w14:textFill>
        </w:rPr>
        <w:t>章招标内容与技术需求”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ascii="宋体"/>
          <w:color w:val="000000" w:themeColor="text1"/>
          <w:spacing w:val="20"/>
          <w:szCs w:val="21"/>
          <w:highlight w:val="non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atLeast"/>
        <w:rPr>
          <w:rFonts w:hint="eastAsia" w:ascii="宋体" w:hAnsi="宋体"/>
          <w:color w:val="000000" w:themeColor="text1"/>
          <w:szCs w:val="21"/>
          <w:highlight w:val="none"/>
          <w14:textFill>
            <w14:solidFill>
              <w14:schemeClr w14:val="tx1"/>
            </w14:solidFill>
          </w14:textFill>
        </w:rPr>
      </w:pPr>
    </w:p>
    <w:p>
      <w:pPr>
        <w:spacing w:line="400" w:lineRule="atLeas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p>
    <w:p>
      <w:pPr>
        <w:snapToGrid w:val="0"/>
        <w:spacing w:line="400" w:lineRule="exact"/>
        <w:ind w:firstLine="4095" w:firstLineChars="1950"/>
        <w:jc w:val="left"/>
        <w:rPr>
          <w:rFonts w:ascii="宋体"/>
          <w:color w:val="000000" w:themeColor="text1"/>
          <w:szCs w:val="21"/>
          <w:highlight w:val="none"/>
          <w14:textFill>
            <w14:solidFill>
              <w14:schemeClr w14:val="tx1"/>
            </w14:solidFill>
          </w14:textFill>
        </w:rPr>
      </w:pPr>
    </w:p>
    <w:p>
      <w:pPr>
        <w:spacing w:line="400" w:lineRule="exact"/>
        <w:ind w:firstLine="4095" w:firstLineChars="1950"/>
        <w:jc w:val="left"/>
        <w:rPr>
          <w:rFonts w:ascii="宋体"/>
          <w:color w:val="000000" w:themeColor="text1"/>
          <w:szCs w:val="21"/>
          <w:highlight w:val="none"/>
          <w14:textFill>
            <w14:solidFill>
              <w14:schemeClr w14:val="tx1"/>
            </w14:solidFill>
          </w14:textFill>
        </w:rPr>
      </w:pPr>
    </w:p>
    <w:p>
      <w:pPr>
        <w:snapToGrid w:val="0"/>
        <w:spacing w:line="400" w:lineRule="exact"/>
        <w:jc w:val="left"/>
        <w:rPr>
          <w:rFonts w:ascii="宋体"/>
          <w:color w:val="000000" w:themeColor="text1"/>
          <w:szCs w:val="21"/>
          <w:highlight w:val="none"/>
          <w:u w:val="singl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Style w:val="138"/>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B</w:t>
      </w:r>
      <w:r>
        <w:rPr>
          <w:rFonts w:hint="eastAsia" w:ascii="宋体" w:hAnsi="宋体"/>
          <w:b/>
          <w:color w:val="000000" w:themeColor="text1"/>
          <w:szCs w:val="21"/>
          <w:highlight w:val="none"/>
          <w14:textFill>
            <w14:solidFill>
              <w14:schemeClr w14:val="tx1"/>
            </w14:solidFill>
          </w14:textFill>
        </w:rPr>
        <w:t>6商务条款响应表</w:t>
      </w:r>
    </w:p>
    <w:p>
      <w:pPr>
        <w:spacing w:line="360" w:lineRule="auto"/>
        <w:ind w:left="540"/>
        <w:jc w:val="center"/>
        <w:rPr>
          <w:rFonts w:ascii="宋体" w:hAnsi="宋体"/>
          <w:b/>
          <w:color w:val="000000" w:themeColor="text1"/>
          <w:szCs w:val="21"/>
          <w:highlight w:val="none"/>
          <w14:textFill>
            <w14:solidFill>
              <w14:schemeClr w14:val="tx1"/>
            </w14:solidFill>
          </w14:textFill>
        </w:rPr>
      </w:pPr>
    </w:p>
    <w:p>
      <w:pPr>
        <w:adjustRightInd w:val="0"/>
        <w:snapToGrid w:val="0"/>
        <w:spacing w:line="40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p>
    <w:p>
      <w:pPr>
        <w:adjustRightInd w:val="0"/>
        <w:snapToGrid w:val="0"/>
        <w:spacing w:line="400" w:lineRule="exact"/>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lang w:eastAsia="zh-CN"/>
          <w14:textFill>
            <w14:solidFill>
              <w14:schemeClr w14:val="tx1"/>
            </w14:solidFill>
          </w14:textFill>
        </w:rPr>
        <w:t>NBITC-202311752G</w:t>
      </w:r>
    </w:p>
    <w:p>
      <w:pPr>
        <w:adjustRightInd w:val="0"/>
        <w:snapToGrid w:val="0"/>
        <w:spacing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标项号：</w:t>
      </w:r>
    </w:p>
    <w:tbl>
      <w:tblPr>
        <w:tblStyle w:val="51"/>
        <w:tblW w:w="931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2693"/>
        <w:gridCol w:w="2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3260"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招标要求</w:t>
            </w: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投标响应</w:t>
            </w: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bCs/>
                <w:color w:val="000000" w:themeColor="text1"/>
                <w:szCs w:val="21"/>
                <w:highlight w:val="none"/>
                <w14:textFill>
                  <w14:solidFill>
                    <w14:schemeClr w14:val="tx1"/>
                  </w14:solidFill>
                </w14:textFill>
              </w:rPr>
            </w:pPr>
            <w:r>
              <w:rPr>
                <w:rFonts w:hint="eastAsia" w:ascii="宋体"/>
                <w:bCs/>
                <w:color w:val="000000" w:themeColor="text1"/>
                <w:szCs w:val="21"/>
                <w:highlight w:val="none"/>
                <w14:textFill>
                  <w14:solidFill>
                    <w14:schemeClr w14:val="tx1"/>
                  </w14:solidFill>
                </w14:textFill>
              </w:rPr>
              <w:t>1</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2</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3</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000000" w:themeColor="text1"/>
                <w:szCs w:val="21"/>
                <w:highlight w:val="none"/>
                <w:lang w:val="zh-CN"/>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4</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000000" w:themeColor="text1"/>
                <w:szCs w:val="21"/>
                <w:highlight w:val="none"/>
                <w:lang w:val="zh-CN"/>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5</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000000" w:themeColor="text1"/>
                <w:szCs w:val="21"/>
                <w:highlight w:val="none"/>
                <w:lang w:val="zh-CN"/>
                <w14:textFill>
                  <w14:solidFill>
                    <w14:schemeClr w14:val="tx1"/>
                  </w14:solidFill>
                </w14:textFill>
              </w:rPr>
            </w:pPr>
            <w:r>
              <w:rPr>
                <w:rFonts w:hint="eastAsia" w:ascii="宋体"/>
                <w:color w:val="000000" w:themeColor="text1"/>
                <w:szCs w:val="21"/>
                <w:highlight w:val="none"/>
                <w14:textFill>
                  <w14:solidFill>
                    <w14:schemeClr w14:val="tx1"/>
                  </w14:solidFill>
                </w14:textFill>
              </w:rPr>
              <w:t>6</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000000" w:themeColor="text1"/>
                <w:szCs w:val="21"/>
                <w:highlight w:val="none"/>
                <w:lang w:val="zh-CN"/>
                <w14:textFill>
                  <w14:solidFill>
                    <w14:schemeClr w14:val="tx1"/>
                  </w14:solidFill>
                </w14:textFill>
              </w:rPr>
            </w:pPr>
            <w:r>
              <w:rPr>
                <w:rFonts w:hint="eastAsia" w:ascii="宋体"/>
                <w:color w:val="000000" w:themeColor="text1"/>
                <w:szCs w:val="21"/>
                <w:highlight w:val="none"/>
                <w14:textFill>
                  <w14:solidFill>
                    <w14:schemeClr w14:val="tx1"/>
                  </w14:solidFill>
                </w14:textFill>
              </w:rPr>
              <w:t>7</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8</w:t>
            </w:r>
          </w:p>
        </w:tc>
        <w:tc>
          <w:tcPr>
            <w:tcW w:w="3260" w:type="dxa"/>
            <w:noWrap/>
            <w:vAlign w:val="center"/>
          </w:tcPr>
          <w:p>
            <w:pPr>
              <w:autoSpaceDE w:val="0"/>
              <w:autoSpaceDN w:val="0"/>
              <w:adjustRightInd w:val="0"/>
              <w:spacing w:line="400" w:lineRule="exact"/>
              <w:rPr>
                <w:rFonts w:ascii="宋体" w:hAnsi="宋体" w:cs="Arial"/>
                <w:color w:val="000000" w:themeColor="text1"/>
                <w:szCs w:val="21"/>
                <w:highlight w:val="none"/>
                <w14:textFill>
                  <w14:solidFill>
                    <w14:schemeClr w14:val="tx1"/>
                  </w14:solidFill>
                </w14:textFill>
              </w:rPr>
            </w:pPr>
          </w:p>
        </w:tc>
        <w:tc>
          <w:tcPr>
            <w:tcW w:w="2693"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c>
          <w:tcPr>
            <w:tcW w:w="2369" w:type="dxa"/>
            <w:noWrap/>
            <w:vAlign w:val="center"/>
          </w:tcPr>
          <w:p>
            <w:pPr>
              <w:adjustRightInd w:val="0"/>
              <w:snapToGrid w:val="0"/>
              <w:spacing w:line="400" w:lineRule="exact"/>
              <w:jc w:val="center"/>
              <w:rPr>
                <w:rFonts w:ascii="宋体" w:hAnsi="宋体"/>
                <w:color w:val="000000" w:themeColor="text1"/>
                <w:szCs w:val="21"/>
                <w:highlight w:val="none"/>
                <w14:textFill>
                  <w14:solidFill>
                    <w14:schemeClr w14:val="tx1"/>
                  </w14:solidFill>
                </w14:textFill>
              </w:rPr>
            </w:pPr>
          </w:p>
        </w:tc>
      </w:tr>
    </w:tbl>
    <w:p>
      <w:pPr>
        <w:adjustRightInd w:val="0"/>
        <w:snapToGrid w:val="0"/>
        <w:spacing w:line="360" w:lineRule="auto"/>
        <w:ind w:left="250" w:hanging="250" w:hanging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20"/>
          <w:szCs w:val="21"/>
          <w:highlight w:val="none"/>
          <w14:textFill>
            <w14:solidFill>
              <w14:schemeClr w14:val="tx1"/>
            </w14:solidFill>
          </w14:textFill>
        </w:rPr>
        <w:t>注：</w:t>
      </w:r>
      <w:r>
        <w:rPr>
          <w:rFonts w:ascii="宋体" w:hAnsi="宋体"/>
          <w:color w:val="000000" w:themeColor="text1"/>
          <w:spacing w:val="20"/>
          <w:szCs w:val="21"/>
          <w:highlight w:val="none"/>
          <w14:textFill>
            <w14:solidFill>
              <w14:schemeClr w14:val="tx1"/>
            </w14:solidFill>
          </w14:textFill>
        </w:rPr>
        <w:t>1</w:t>
      </w:r>
      <w:r>
        <w:rPr>
          <w:rFonts w:hint="eastAsia" w:ascii="宋体" w:hAnsi="宋体"/>
          <w:color w:val="000000" w:themeColor="text1"/>
          <w:spacing w:val="20"/>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须与“第</w:t>
      </w:r>
      <w:r>
        <w:rPr>
          <w:rFonts w:hint="eastAsia" w:ascii="宋体" w:hAnsi="宋体"/>
          <w:color w:val="000000" w:themeColor="text1"/>
          <w:szCs w:val="21"/>
          <w:highlight w:val="none"/>
          <w:lang w:eastAsia="zh-CN"/>
          <w14:textFill>
            <w14:solidFill>
              <w14:schemeClr w14:val="tx1"/>
            </w14:solidFill>
          </w14:textFill>
        </w:rPr>
        <w:t>四</w:t>
      </w:r>
      <w:r>
        <w:rPr>
          <w:rFonts w:hint="eastAsia" w:ascii="宋体" w:hAnsi="宋体"/>
          <w:color w:val="000000" w:themeColor="text1"/>
          <w:szCs w:val="21"/>
          <w:highlight w:val="none"/>
          <w14:textFill>
            <w14:solidFill>
              <w14:schemeClr w14:val="tx1"/>
            </w14:solidFill>
          </w14:textFill>
        </w:rPr>
        <w:t>章商务条款”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color w:val="000000" w:themeColor="text1"/>
          <w:szCs w:val="21"/>
          <w:highlight w:val="none"/>
          <w14:textFill>
            <w14:solidFill>
              <w14:schemeClr w14:val="tx1"/>
            </w14:solidFill>
          </w14:textFill>
        </w:rPr>
      </w:pPr>
    </w:p>
    <w:p>
      <w:pPr>
        <w:spacing w:line="400" w:lineRule="atLeast"/>
        <w:jc w:val="left"/>
        <w:rPr>
          <w:rFonts w:ascii="宋体" w:hAnsi="宋体"/>
          <w:color w:val="000000" w:themeColor="text1"/>
          <w:szCs w:val="21"/>
          <w:highlight w:val="none"/>
          <w14:textFill>
            <w14:solidFill>
              <w14:schemeClr w14:val="tx1"/>
            </w14:solidFill>
          </w14:textFill>
        </w:rPr>
      </w:pPr>
      <w:bookmarkStart w:id="331" w:name="_Toc436408720"/>
      <w:bookmarkStart w:id="332" w:name="_Toc441316563"/>
      <w:r>
        <w:rPr>
          <w:rFonts w:hint="eastAsia" w:ascii="宋体" w:hAnsi="宋体"/>
          <w:color w:val="000000" w:themeColor="text1"/>
          <w:szCs w:val="21"/>
          <w:highlight w:val="none"/>
          <w14:textFill>
            <w14:solidFill>
              <w14:schemeClr w14:val="tx1"/>
            </w14:solidFill>
          </w14:textFill>
        </w:rPr>
        <w:t>供应商（盖章）：</w:t>
      </w:r>
    </w:p>
    <w:p>
      <w:pPr>
        <w:spacing w:line="400" w:lineRule="atLeast"/>
        <w:rPr>
          <w:rFonts w:hint="eastAsia" w:ascii="宋体" w:hAnsi="宋体"/>
          <w:color w:val="000000" w:themeColor="text1"/>
          <w:szCs w:val="21"/>
          <w:highlight w:val="none"/>
          <w14:textFill>
            <w14:solidFill>
              <w14:schemeClr w14:val="tx1"/>
            </w14:solidFill>
          </w14:textFill>
        </w:rPr>
      </w:pPr>
    </w:p>
    <w:p>
      <w:pPr>
        <w:spacing w:line="400" w:lineRule="atLeas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p>
    <w:p>
      <w:pPr>
        <w:spacing w:line="400" w:lineRule="exact"/>
        <w:jc w:val="left"/>
        <w:rPr>
          <w:rFonts w:ascii="宋体" w:hAnsi="宋体"/>
          <w:b/>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bookmarkEnd w:id="331"/>
      <w:bookmarkStart w:id="333" w:name="_Toc441316564"/>
      <w:r>
        <w:rPr>
          <w:rFonts w:hint="eastAsia" w:ascii="宋体" w:hAnsi="宋体"/>
          <w:b/>
          <w:color w:val="000000" w:themeColor="text1"/>
          <w:highlight w:val="none"/>
          <w14:textFill>
            <w14:solidFill>
              <w14:schemeClr w14:val="tx1"/>
            </w14:solidFill>
          </w14:textFill>
        </w:rPr>
        <w:t>B7、</w:t>
      </w:r>
      <w:r>
        <w:rPr>
          <w:rFonts w:hint="eastAsia" w:ascii="宋体" w:hAnsi="宋体"/>
          <w:b/>
          <w:color w:val="000000" w:themeColor="text1"/>
          <w:szCs w:val="21"/>
          <w:highlight w:val="none"/>
          <w14:textFill>
            <w14:solidFill>
              <w14:schemeClr w14:val="tx1"/>
            </w14:solidFill>
          </w14:textFill>
        </w:rPr>
        <w:t>第</w:t>
      </w:r>
      <w:r>
        <w:rPr>
          <w:rFonts w:hint="eastAsia" w:ascii="宋体" w:hAnsi="宋体"/>
          <w:b/>
          <w:color w:val="000000" w:themeColor="text1"/>
          <w:szCs w:val="21"/>
          <w:highlight w:val="none"/>
          <w:lang w:eastAsia="zh-CN"/>
          <w14:textFill>
            <w14:solidFill>
              <w14:schemeClr w14:val="tx1"/>
            </w14:solidFill>
          </w14:textFill>
        </w:rPr>
        <w:t>五</w:t>
      </w:r>
      <w:r>
        <w:rPr>
          <w:rFonts w:hint="eastAsia" w:ascii="宋体" w:hAnsi="宋体"/>
          <w:b/>
          <w:color w:val="000000" w:themeColor="text1"/>
          <w:szCs w:val="21"/>
          <w:highlight w:val="none"/>
          <w14:textFill>
            <w14:solidFill>
              <w14:schemeClr w14:val="tx1"/>
            </w14:solidFill>
          </w14:textFill>
        </w:rPr>
        <w:t>章“评标办法及标准”中评分标准（兼评委打分表）</w:t>
      </w:r>
      <w:r>
        <w:rPr>
          <w:rFonts w:hint="eastAsia" w:ascii="宋体" w:hAnsi="宋体"/>
          <w:b/>
          <w:color w:val="000000" w:themeColor="text1"/>
          <w:highlight w:val="none"/>
          <w14:textFill>
            <w14:solidFill>
              <w14:schemeClr w14:val="tx1"/>
            </w14:solidFill>
          </w14:textFill>
        </w:rPr>
        <w:t>要求提供的资料（如有需提供）；</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eastAsia="宋体"/>
          <w:color w:val="000000" w:themeColor="text1"/>
          <w:szCs w:val="21"/>
          <w:highlight w:val="none"/>
          <w:lang w:val="en-US" w:eastAsia="zh-CN"/>
          <w14:textFill>
            <w14:solidFill>
              <w14:schemeClr w14:val="tx1"/>
            </w14:solidFill>
          </w14:textFill>
        </w:rPr>
        <w:t>技术性能（另须提供所投产品的技术支持资料）、产品性能、临床使用效果阐述；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eastAsia="宋体"/>
          <w:color w:val="000000" w:themeColor="text1"/>
          <w:szCs w:val="21"/>
          <w:highlight w:val="none"/>
          <w:lang w:val="en-US" w:eastAsia="zh-CN"/>
          <w14:textFill>
            <w14:solidFill>
              <w14:schemeClr w14:val="tx1"/>
            </w14:solidFill>
          </w14:textFill>
        </w:rPr>
        <w:t>拟投入设备技术水平、技术性能；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eastAsia="宋体"/>
          <w:color w:val="000000" w:themeColor="text1"/>
          <w:szCs w:val="21"/>
          <w:highlight w:val="none"/>
          <w:lang w:val="en-US" w:eastAsia="zh-CN"/>
          <w14:textFill>
            <w14:solidFill>
              <w14:schemeClr w14:val="tx1"/>
            </w14:solidFill>
          </w14:textFill>
        </w:rPr>
        <w:t>本项目的总体设计方案及功能扩展性；</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eastAsia="宋体"/>
          <w:color w:val="000000" w:themeColor="text1"/>
          <w:szCs w:val="21"/>
          <w:highlight w:val="none"/>
          <w:lang w:val="en-US" w:eastAsia="zh-CN"/>
          <w14:textFill>
            <w14:solidFill>
              <w14:schemeClr w14:val="tx1"/>
            </w14:solidFill>
          </w14:textFill>
        </w:rPr>
        <w:t>系统实施方案，包括不仅限于各系统对接、工序衔接、风险控制实施方案及对应措施；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eastAsia="宋体"/>
          <w:color w:val="000000" w:themeColor="text1"/>
          <w:szCs w:val="21"/>
          <w:highlight w:val="none"/>
          <w:lang w:val="en-US" w:eastAsia="zh-CN"/>
          <w14:textFill>
            <w14:solidFill>
              <w14:schemeClr w14:val="tx1"/>
            </w14:solidFill>
          </w14:textFill>
        </w:rPr>
        <w:t>对本项目的现状分析、需求理解、重难点分析及对应措施；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eastAsia="宋体"/>
          <w:color w:val="000000" w:themeColor="text1"/>
          <w:szCs w:val="21"/>
          <w:highlight w:val="none"/>
          <w:lang w:val="en-US" w:eastAsia="zh-CN"/>
          <w14:textFill>
            <w14:solidFill>
              <w14:schemeClr w14:val="tx1"/>
            </w14:solidFill>
          </w14:textFill>
        </w:rPr>
        <w:t>进度计划，包括不仅限于工期目标及关键点控制、进度安排计划可操作性，工期保障措施（包含组织管理保障、施工计划安排、人财物安排及技术保障等）、人员职责分工等阐述；</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eastAsia="宋体"/>
          <w:color w:val="000000" w:themeColor="text1"/>
          <w:szCs w:val="21"/>
          <w:highlight w:val="none"/>
          <w:lang w:val="en-US" w:eastAsia="zh-CN"/>
          <w14:textFill>
            <w14:solidFill>
              <w14:schemeClr w14:val="tx1"/>
            </w14:solidFill>
          </w14:textFill>
        </w:rPr>
        <w:t>拟投入本项目的实施团队的人员配置方案；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eastAsia="宋体"/>
          <w:color w:val="000000" w:themeColor="text1"/>
          <w:szCs w:val="21"/>
          <w:highlight w:val="none"/>
          <w:lang w:val="en-US" w:eastAsia="zh-CN"/>
          <w14:textFill>
            <w14:solidFill>
              <w14:schemeClr w14:val="tx1"/>
            </w14:solidFill>
          </w14:textFill>
        </w:rPr>
        <w:t>售后服务管理体系方案内容，售后服务人员数量、资质和分工、服务机制、响应时间、故障解决等；</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eastAsia="宋体"/>
          <w:color w:val="000000" w:themeColor="text1"/>
          <w:szCs w:val="21"/>
          <w:highlight w:val="none"/>
          <w:lang w:val="en-US" w:eastAsia="zh-CN"/>
          <w14:textFill>
            <w14:solidFill>
              <w14:schemeClr w14:val="tx1"/>
            </w14:solidFill>
          </w14:textFill>
        </w:rPr>
        <w:t>质量保证措施；</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eastAsia="宋体"/>
          <w:color w:val="000000" w:themeColor="text1"/>
          <w:szCs w:val="21"/>
          <w:highlight w:val="none"/>
          <w:lang w:val="en-US" w:eastAsia="zh-CN"/>
          <w14:textFill>
            <w14:solidFill>
              <w14:schemeClr w14:val="tx1"/>
            </w14:solidFill>
          </w14:textFill>
        </w:rPr>
        <w:t>应急方案；</w:t>
      </w:r>
    </w:p>
    <w:p>
      <w:pPr>
        <w:keepNext w:val="0"/>
        <w:keepLines w:val="0"/>
        <w:pageBreakBefore w:val="0"/>
        <w:widowControl w:val="0"/>
        <w:kinsoku/>
        <w:wordWrap/>
        <w:overflowPunct/>
        <w:topLinePunct w:val="0"/>
        <w:autoSpaceDE/>
        <w:autoSpaceDN/>
        <w:bidi w:val="0"/>
        <w:spacing w:line="400" w:lineRule="exact"/>
        <w:ind w:left="0" w:leftChars="0" w:firstLine="420" w:firstLineChars="200"/>
        <w:jc w:val="left"/>
        <w:textAlignment w:val="auto"/>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11）</w:t>
      </w:r>
      <w:r>
        <w:rPr>
          <w:rFonts w:hint="eastAsia" w:ascii="宋体" w:hAnsi="宋体" w:eastAsia="宋体"/>
          <w:color w:val="000000" w:themeColor="text1"/>
          <w:szCs w:val="21"/>
          <w:highlight w:val="none"/>
          <w:lang w:val="en-US" w:eastAsia="zh-CN"/>
          <w14:textFill>
            <w14:solidFill>
              <w14:schemeClr w14:val="tx1"/>
            </w14:solidFill>
          </w14:textFill>
        </w:rPr>
        <w:t>人员培训方案；</w:t>
      </w:r>
    </w:p>
    <w:p>
      <w:pPr>
        <w:spacing w:line="400" w:lineRule="exact"/>
        <w:ind w:firstLine="420" w:firstLineChars="200"/>
        <w:jc w:val="left"/>
        <w:rPr>
          <w:rFonts w:hint="eastAsia" w:ascii="宋体" w:hAnsi="宋体"/>
          <w:color w:val="000000" w:themeColor="text1"/>
          <w:szCs w:val="21"/>
          <w:highlight w:val="none"/>
          <w:lang w:val="en-US" w:eastAsia="zh-CN"/>
          <w14:textFill>
            <w14:solidFill>
              <w14:schemeClr w14:val="tx1"/>
            </w14:solidFill>
          </w14:textFill>
        </w:rPr>
      </w:pPr>
    </w:p>
    <w:p>
      <w:pPr>
        <w:spacing w:line="400" w:lineRule="exact"/>
        <w:jc w:val="left"/>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B8、供应商认为需要的其他资料（如有需提供）。</w:t>
      </w:r>
    </w:p>
    <w:p>
      <w:pPr>
        <w:spacing w:line="400" w:lineRule="exact"/>
        <w:jc w:val="left"/>
        <w:rPr>
          <w:rFonts w:ascii="宋体" w:hAnsi="宋体"/>
          <w:b/>
          <w:color w:val="000000" w:themeColor="text1"/>
          <w:highlight w:val="none"/>
          <w14:textFill>
            <w14:solidFill>
              <w14:schemeClr w14:val="tx1"/>
            </w14:solidFill>
          </w14:textFill>
        </w:rPr>
      </w:pPr>
    </w:p>
    <w:p>
      <w:pPr>
        <w:spacing w:line="400" w:lineRule="exact"/>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br w:type="page"/>
      </w:r>
    </w:p>
    <w:p>
      <w:pPr>
        <w:spacing w:line="400" w:lineRule="exact"/>
        <w:jc w:val="left"/>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部分格式如下：</w:t>
      </w:r>
    </w:p>
    <w:p>
      <w:pPr>
        <w:spacing w:line="40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业绩表</w:t>
      </w:r>
    </w:p>
    <w:p>
      <w:pPr>
        <w:adjustRightInd w:val="0"/>
        <w:snapToGrid w:val="0"/>
        <w:spacing w:line="40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p>
    <w:p>
      <w:pPr>
        <w:adjustRightInd w:val="0"/>
        <w:snapToGrid w:val="0"/>
        <w:spacing w:line="400" w:lineRule="exact"/>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lang w:eastAsia="zh-CN"/>
          <w14:textFill>
            <w14:solidFill>
              <w14:schemeClr w14:val="tx1"/>
            </w14:solidFill>
          </w14:textFill>
        </w:rPr>
        <w:t>NBITC-202311752G</w:t>
      </w:r>
    </w:p>
    <w:p>
      <w:pPr>
        <w:adjustRightInd w:val="0"/>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标项号：</w:t>
      </w:r>
    </w:p>
    <w:p>
      <w:pPr>
        <w:spacing w:line="400" w:lineRule="exact"/>
        <w:jc w:val="center"/>
        <w:rPr>
          <w:rFonts w:ascii="宋体" w:hAnsi="宋体"/>
          <w:b/>
          <w:color w:val="000000" w:themeColor="text1"/>
          <w:szCs w:val="21"/>
          <w:highlight w:val="none"/>
          <w14:textFill>
            <w14:solidFill>
              <w14:schemeClr w14:val="tx1"/>
            </w14:solidFill>
          </w14:textFill>
        </w:rPr>
      </w:pPr>
    </w:p>
    <w:tbl>
      <w:tblPr>
        <w:tblStyle w:val="5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876"/>
        <w:gridCol w:w="1439"/>
        <w:gridCol w:w="1870"/>
        <w:gridCol w:w="107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122"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76"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用户单位</w:t>
            </w:r>
          </w:p>
        </w:tc>
        <w:tc>
          <w:tcPr>
            <w:tcW w:w="1439"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合同内容</w:t>
            </w:r>
          </w:p>
        </w:tc>
        <w:tc>
          <w:tcPr>
            <w:tcW w:w="1870"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签订合同时间</w:t>
            </w:r>
          </w:p>
        </w:tc>
        <w:tc>
          <w:tcPr>
            <w:tcW w:w="1078"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联系人及方式</w:t>
            </w:r>
          </w:p>
        </w:tc>
        <w:tc>
          <w:tcPr>
            <w:tcW w:w="2253"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合同扫描件所在页码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22"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6"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39"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0"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078"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2253"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22"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6"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39"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0"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078"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2253"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22"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6"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39"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70"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078"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2253" w:type="dxa"/>
            <w:noWrap/>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bl>
    <w:p>
      <w:pPr>
        <w:spacing w:line="400" w:lineRule="exact"/>
        <w:ind w:firstLine="422" w:firstLineChars="200"/>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注：投标文件中同时提供合同扫描件加盖供应商单位公章</w:t>
      </w:r>
      <w:r>
        <w:rPr>
          <w:rFonts w:hint="eastAsia" w:ascii="宋体" w:hAnsi="宋体" w:cs="宋体"/>
          <w:b/>
          <w:bCs/>
          <w:color w:val="000000" w:themeColor="text1"/>
          <w:szCs w:val="21"/>
          <w:highlight w:val="none"/>
          <w14:textFill>
            <w14:solidFill>
              <w14:schemeClr w14:val="tx1"/>
            </w14:solidFill>
          </w14:textFill>
        </w:rPr>
        <w:t>。</w:t>
      </w:r>
    </w:p>
    <w:p>
      <w:pPr>
        <w:spacing w:line="400" w:lineRule="exact"/>
        <w:jc w:val="center"/>
        <w:rPr>
          <w:rFonts w:ascii="宋体" w:hAnsi="宋体"/>
          <w:b/>
          <w:color w:val="000000" w:themeColor="text1"/>
          <w:szCs w:val="21"/>
          <w:highlight w:val="none"/>
          <w14:textFill>
            <w14:solidFill>
              <w14:schemeClr w14:val="tx1"/>
            </w14:solidFill>
          </w14:textFill>
        </w:rPr>
      </w:pPr>
    </w:p>
    <w:p>
      <w:pPr>
        <w:spacing w:line="360" w:lineRule="auto"/>
        <w:jc w:val="left"/>
        <w:rPr>
          <w:rFonts w:ascii="宋体" w:hAnsi="宋体"/>
          <w:color w:val="000000" w:themeColor="text1"/>
          <w:szCs w:val="21"/>
          <w:highlight w:val="none"/>
          <w14:textFill>
            <w14:solidFill>
              <w14:schemeClr w14:val="tx1"/>
            </w14:solidFill>
          </w14:textFill>
        </w:rPr>
      </w:pPr>
    </w:p>
    <w:p>
      <w:pPr>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p>
    <w:p>
      <w:pPr>
        <w:rPr>
          <w:rFonts w:hint="eastAsia" w:ascii="宋体" w:hAnsi="宋体"/>
          <w:b/>
          <w:color w:val="000000" w:themeColor="text1"/>
          <w:szCs w:val="21"/>
          <w:highlight w:val="none"/>
          <w14:textFill>
            <w14:solidFill>
              <w14:schemeClr w14:val="tx1"/>
            </w14:solidFill>
          </w14:textFill>
        </w:rPr>
      </w:pPr>
    </w:p>
    <w:p>
      <w:pPr>
        <w:spacing w:line="360" w:lineRule="auto"/>
        <w:jc w:val="left"/>
        <w:rPr>
          <w:rFonts w:ascii="宋体" w:hAnsi="宋体"/>
          <w:b/>
          <w:color w:val="000000" w:themeColor="text1"/>
          <w:highlight w:val="none"/>
          <w14:textFill>
            <w14:solidFill>
              <w14:schemeClr w14:val="tx1"/>
            </w14:solidFill>
          </w14:textFill>
        </w:rPr>
      </w:pPr>
    </w:p>
    <w:p>
      <w:pP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br w:type="page"/>
      </w:r>
    </w:p>
    <w:p>
      <w:pPr>
        <w:spacing w:line="400" w:lineRule="exact"/>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证书情况表</w:t>
      </w:r>
    </w:p>
    <w:p>
      <w:pPr>
        <w:adjustRightInd w:val="0"/>
        <w:snapToGrid w:val="0"/>
        <w:spacing w:line="40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lang w:eastAsia="zh-CN"/>
          <w14:textFill>
            <w14:solidFill>
              <w14:schemeClr w14:val="tx1"/>
            </w14:solidFill>
          </w14:textFill>
        </w:rPr>
        <w:t>宁波大学附属第一医院智慧病房建设项目</w:t>
      </w:r>
    </w:p>
    <w:p>
      <w:pPr>
        <w:adjustRightInd w:val="0"/>
        <w:snapToGrid w:val="0"/>
        <w:spacing w:line="400" w:lineRule="exact"/>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lang w:eastAsia="zh-CN"/>
          <w14:textFill>
            <w14:solidFill>
              <w14:schemeClr w14:val="tx1"/>
            </w14:solidFill>
          </w14:textFill>
        </w:rPr>
        <w:t>NBITC-202311752G</w:t>
      </w:r>
    </w:p>
    <w:p>
      <w:pPr>
        <w:adjustRightInd w:val="0"/>
        <w:snapToGrid w:val="0"/>
        <w:spacing w:line="400" w:lineRule="exact"/>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标项号：</w:t>
      </w:r>
    </w:p>
    <w:tbl>
      <w:tblPr>
        <w:tblStyle w:val="5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67"/>
        <w:gridCol w:w="1657"/>
        <w:gridCol w:w="1622"/>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证书名称</w:t>
            </w:r>
          </w:p>
        </w:tc>
        <w:tc>
          <w:tcPr>
            <w:tcW w:w="1516"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颁证机构</w:t>
            </w:r>
          </w:p>
        </w:tc>
        <w:tc>
          <w:tcPr>
            <w:tcW w:w="1484"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证书有效期</w:t>
            </w:r>
          </w:p>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（起止年月）</w:t>
            </w:r>
          </w:p>
        </w:tc>
        <w:tc>
          <w:tcPr>
            <w:tcW w:w="1560" w:type="dxa"/>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证书扫描件所在页码</w:t>
            </w:r>
          </w:p>
        </w:tc>
        <w:tc>
          <w:tcPr>
            <w:tcW w:w="1560" w:type="dxa"/>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16"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84"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16"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84"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16"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84"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80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16"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484"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c>
          <w:tcPr>
            <w:tcW w:w="1560" w:type="dxa"/>
            <w:vAlign w:val="center"/>
          </w:tcPr>
          <w:p>
            <w:pPr>
              <w:adjustRightInd w:val="0"/>
              <w:snapToGrid w:val="0"/>
              <w:spacing w:line="400" w:lineRule="exact"/>
              <w:jc w:val="center"/>
              <w:rPr>
                <w:rFonts w:ascii="宋体" w:hAnsi="宋体"/>
                <w:b/>
                <w:color w:val="000000" w:themeColor="text1"/>
                <w:szCs w:val="21"/>
                <w:highlight w:val="none"/>
                <w14:textFill>
                  <w14:solidFill>
                    <w14:schemeClr w14:val="tx1"/>
                  </w14:solidFill>
                </w14:textFill>
              </w:rPr>
            </w:pPr>
          </w:p>
        </w:tc>
      </w:tr>
    </w:tbl>
    <w:p>
      <w:pPr>
        <w:spacing w:line="40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注：后附证书扫描件加盖供应商公章。</w:t>
      </w:r>
    </w:p>
    <w:p>
      <w:pPr>
        <w:spacing w:line="400" w:lineRule="exact"/>
        <w:ind w:firstLine="422" w:firstLineChars="200"/>
        <w:rPr>
          <w:rFonts w:ascii="宋体" w:hAnsi="宋体"/>
          <w:b/>
          <w:bCs/>
          <w:color w:val="000000" w:themeColor="text1"/>
          <w:szCs w:val="21"/>
          <w:highlight w:val="none"/>
          <w14:textFill>
            <w14:solidFill>
              <w14:schemeClr w14:val="tx1"/>
            </w14:solidFill>
          </w14:textFill>
        </w:rPr>
      </w:pPr>
    </w:p>
    <w:p>
      <w:pPr>
        <w:spacing w:line="400" w:lineRule="exact"/>
        <w:ind w:firstLine="422" w:firstLineChars="200"/>
        <w:rPr>
          <w:rFonts w:ascii="宋体" w:hAnsi="宋体"/>
          <w:b/>
          <w:bCs/>
          <w:color w:val="000000" w:themeColor="text1"/>
          <w:szCs w:val="21"/>
          <w:highlight w:val="none"/>
          <w14:textFill>
            <w14:solidFill>
              <w14:schemeClr w14:val="tx1"/>
            </w14:solidFill>
          </w14:textFill>
        </w:rPr>
      </w:pPr>
    </w:p>
    <w:p>
      <w:pPr>
        <w:spacing w:line="400" w:lineRule="exact"/>
        <w:jc w:val="left"/>
        <w:rPr>
          <w:rFonts w:hint="eastAsia" w:ascii="宋体" w:hAnsi="宋体"/>
          <w:color w:val="000000" w:themeColor="text1"/>
          <w:szCs w:val="21"/>
          <w:highlight w:val="none"/>
          <w14:textFill>
            <w14:solidFill>
              <w14:schemeClr w14:val="tx1"/>
            </w14:solidFill>
          </w14:textFill>
        </w:rPr>
      </w:pP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exact"/>
        <w:rPr>
          <w:rFonts w:ascii="宋体" w:hAnsi="宋体"/>
          <w:color w:val="000000" w:themeColor="text1"/>
          <w:szCs w:val="2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0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p>
    <w:p>
      <w:pPr>
        <w:pStyle w:val="49"/>
        <w:ind w:firstLine="241"/>
        <w:rPr>
          <w:b/>
          <w:bCs/>
          <w:color w:val="000000" w:themeColor="text1"/>
          <w:szCs w:val="21"/>
          <w:highlight w:val="none"/>
          <w14:textFill>
            <w14:solidFill>
              <w14:schemeClr w14:val="tx1"/>
            </w14:solidFill>
          </w14:textFill>
        </w:rPr>
      </w:pPr>
    </w:p>
    <w:p>
      <w:pPr>
        <w:pStyle w:val="49"/>
        <w:ind w:firstLine="241"/>
        <w:rPr>
          <w:b/>
          <w:bCs/>
          <w:color w:val="000000" w:themeColor="text1"/>
          <w:szCs w:val="21"/>
          <w:highlight w:val="none"/>
          <w14:textFill>
            <w14:solidFill>
              <w14:schemeClr w14:val="tx1"/>
            </w14:solidFill>
          </w14:textFill>
        </w:rPr>
      </w:pPr>
    </w:p>
    <w:p>
      <w:pPr>
        <w:pStyle w:val="49"/>
        <w:ind w:firstLine="240"/>
        <w:rPr>
          <w:color w:val="000000" w:themeColor="text1"/>
          <w:highlight w:val="none"/>
          <w14:textFill>
            <w14:solidFill>
              <w14:schemeClr w14:val="tx1"/>
            </w14:solidFill>
          </w14:textFill>
        </w:rPr>
        <w:sectPr>
          <w:headerReference r:id="rId11" w:type="default"/>
          <w:footerReference r:id="rId12" w:type="default"/>
          <w:pgSz w:w="11907" w:h="16840"/>
          <w:pgMar w:top="1138" w:right="1588" w:bottom="1423" w:left="1339" w:header="285" w:footer="990" w:gutter="0"/>
          <w:cols w:space="720" w:num="1"/>
          <w:docGrid w:linePitch="285" w:charSpace="0"/>
        </w:sectPr>
      </w:pPr>
    </w:p>
    <w:p>
      <w:pPr>
        <w:pStyle w:val="49"/>
        <w:ind w:firstLine="240"/>
        <w:rPr>
          <w:color w:val="000000" w:themeColor="text1"/>
          <w:highlight w:val="none"/>
          <w14:textFill>
            <w14:solidFill>
              <w14:schemeClr w14:val="tx1"/>
            </w14:solidFill>
          </w14:textFill>
        </w:rPr>
      </w:pPr>
    </w:p>
    <w:p>
      <w:pPr>
        <w:spacing w:line="400" w:lineRule="exact"/>
        <w:ind w:firstLine="474" w:firstLineChars="200"/>
        <w:jc w:val="left"/>
        <w:rPr>
          <w:rStyle w:val="138"/>
          <w:rFonts w:ascii="宋体" w:hAnsi="宋体"/>
          <w:color w:val="000000" w:themeColor="text1"/>
          <w:szCs w:val="21"/>
          <w:highlight w:val="none"/>
          <w14:textFill>
            <w14:solidFill>
              <w14:schemeClr w14:val="tx1"/>
            </w14:solidFill>
          </w14:textFill>
        </w:rPr>
      </w:pPr>
    </w:p>
    <w:p>
      <w:pPr>
        <w:spacing w:line="400" w:lineRule="exact"/>
        <w:jc w:val="left"/>
        <w:rPr>
          <w:rStyle w:val="138"/>
          <w:rFonts w:ascii="宋体" w:hAnsi="宋体"/>
          <w:color w:val="000000" w:themeColor="text1"/>
          <w:sz w:val="28"/>
          <w:szCs w:val="28"/>
          <w:highlight w:val="none"/>
          <w14:textFill>
            <w14:solidFill>
              <w14:schemeClr w14:val="tx1"/>
            </w14:solidFill>
          </w14:textFill>
        </w:rPr>
      </w:pPr>
    </w:p>
    <w:p>
      <w:pPr>
        <w:autoSpaceDE w:val="0"/>
        <w:autoSpaceDN w:val="0"/>
        <w:adjustRightInd w:val="0"/>
        <w:spacing w:beforeLines="100" w:line="400" w:lineRule="exact"/>
        <w:jc w:val="center"/>
        <w:outlineLvl w:val="0"/>
        <w:rPr>
          <w:rStyle w:val="138"/>
          <w:rFonts w:ascii="宋体" w:hAnsi="宋体"/>
          <w:color w:val="000000" w:themeColor="text1"/>
          <w:sz w:val="32"/>
          <w:szCs w:val="32"/>
          <w:highlight w:val="none"/>
          <w14:textFill>
            <w14:solidFill>
              <w14:schemeClr w14:val="tx1"/>
            </w14:solidFill>
          </w14:textFill>
        </w:rPr>
      </w:pPr>
      <w:bookmarkStart w:id="334" w:name="_Toc21541028"/>
      <w:bookmarkStart w:id="335" w:name="_Toc443468293"/>
      <w:bookmarkStart w:id="336" w:name="_Toc8677"/>
      <w:bookmarkStart w:id="337" w:name="_Toc44162159"/>
      <w:r>
        <w:rPr>
          <w:rStyle w:val="138"/>
          <w:rFonts w:ascii="宋体" w:hAnsi="宋体"/>
          <w:color w:val="000000" w:themeColor="text1"/>
          <w:sz w:val="32"/>
          <w:szCs w:val="32"/>
          <w:highlight w:val="none"/>
          <w14:textFill>
            <w14:solidFill>
              <w14:schemeClr w14:val="tx1"/>
            </w14:solidFill>
          </w14:textFill>
        </w:rPr>
        <w:t>C.</w:t>
      </w:r>
      <w:r>
        <w:rPr>
          <w:rStyle w:val="138"/>
          <w:rFonts w:hint="eastAsia" w:ascii="宋体" w:hAnsi="宋体"/>
          <w:color w:val="000000" w:themeColor="text1"/>
          <w:sz w:val="32"/>
          <w:szCs w:val="32"/>
          <w:highlight w:val="none"/>
          <w14:textFill>
            <w14:solidFill>
              <w14:schemeClr w14:val="tx1"/>
            </w14:solidFill>
          </w14:textFill>
        </w:rPr>
        <w:t>报价文件</w:t>
      </w:r>
      <w:bookmarkEnd w:id="334"/>
      <w:bookmarkEnd w:id="335"/>
      <w:bookmarkEnd w:id="336"/>
      <w:bookmarkEnd w:id="337"/>
    </w:p>
    <w:p>
      <w:pPr>
        <w:autoSpaceDE w:val="0"/>
        <w:autoSpaceDN w:val="0"/>
        <w:adjustRightInd w:val="0"/>
        <w:spacing w:line="420" w:lineRule="exact"/>
        <w:rPr>
          <w:rStyle w:val="138"/>
          <w:rFonts w:ascii="宋体" w:hAnsi="宋体"/>
          <w:b w:val="0"/>
          <w:color w:val="000000" w:themeColor="text1"/>
          <w:highlight w:val="none"/>
          <w:lang w:val="zh-CN"/>
          <w14:textFill>
            <w14:solidFill>
              <w14:schemeClr w14:val="tx1"/>
            </w14:solidFill>
          </w14:textFill>
        </w:rPr>
      </w:pPr>
      <w:r>
        <w:rPr>
          <w:rStyle w:val="138"/>
          <w:rFonts w:ascii="宋体" w:hAnsi="宋体"/>
          <w:color w:val="000000" w:themeColor="text1"/>
          <w:sz w:val="32"/>
          <w:szCs w:val="32"/>
          <w:highlight w:val="none"/>
          <w14:textFill>
            <w14:solidFill>
              <w14:schemeClr w14:val="tx1"/>
            </w14:solidFill>
          </w14:textFill>
        </w:rPr>
        <w:br w:type="page"/>
      </w:r>
      <w:r>
        <w:rPr>
          <w:rStyle w:val="138"/>
          <w:rFonts w:hint="eastAsia" w:ascii="宋体" w:hAnsi="宋体"/>
          <w:color w:val="000000" w:themeColor="text1"/>
          <w:szCs w:val="21"/>
          <w:highlight w:val="none"/>
          <w14:textFill>
            <w14:solidFill>
              <w14:schemeClr w14:val="tx1"/>
            </w14:solidFill>
          </w14:textFill>
        </w:rPr>
        <w:t>封面</w:t>
      </w:r>
    </w:p>
    <w:p>
      <w:pPr>
        <w:spacing w:line="360" w:lineRule="auto"/>
        <w:ind w:firstLine="1285" w:firstLineChars="400"/>
        <w:jc w:val="righ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正（副）本</w:t>
      </w:r>
    </w:p>
    <w:p>
      <w:pPr>
        <w:spacing w:line="360" w:lineRule="auto"/>
        <w:rPr>
          <w:rFonts w:ascii="宋体" w:hAnsi="宋体"/>
          <w:color w:val="000000" w:themeColor="text1"/>
          <w:sz w:val="28"/>
          <w:szCs w:val="28"/>
          <w:highlight w:val="none"/>
          <w14:textFill>
            <w14:solidFill>
              <w14:schemeClr w14:val="tx1"/>
            </w14:solidFill>
          </w14:textFill>
        </w:rPr>
      </w:pPr>
    </w:p>
    <w:p>
      <w:pPr>
        <w:spacing w:after="120" w:line="900" w:lineRule="exact"/>
        <w:jc w:val="center"/>
        <w:rPr>
          <w:rFonts w:hint="eastAsia" w:ascii="宋体" w:hAnsi="宋体" w:eastAsia="宋体"/>
          <w:b/>
          <w:color w:val="000000" w:themeColor="text1"/>
          <w:sz w:val="44"/>
          <w:szCs w:val="50"/>
          <w:highlight w:val="none"/>
          <w:lang w:eastAsia="zh-CN"/>
          <w14:textFill>
            <w14:solidFill>
              <w14:schemeClr w14:val="tx1"/>
            </w14:solidFill>
          </w14:textFill>
        </w:rPr>
      </w:pPr>
      <w:r>
        <w:rPr>
          <w:rFonts w:hint="eastAsia" w:ascii="宋体" w:hAnsi="宋体"/>
          <w:b/>
          <w:color w:val="000000" w:themeColor="text1"/>
          <w:sz w:val="44"/>
          <w:szCs w:val="50"/>
          <w:highlight w:val="none"/>
          <w:lang w:eastAsia="zh-CN"/>
          <w14:textFill>
            <w14:solidFill>
              <w14:schemeClr w14:val="tx1"/>
            </w14:solidFill>
          </w14:textFill>
        </w:rPr>
        <w:t>宁波大学附属第一医院智慧病房建设项目</w:t>
      </w:r>
    </w:p>
    <w:p>
      <w:pPr>
        <w:spacing w:line="360" w:lineRule="auto"/>
        <w:jc w:val="center"/>
        <w:rPr>
          <w:rFonts w:hint="eastAsia" w:ascii="宋体" w:hAnsi="宋体" w:eastAsia="宋体"/>
          <w:color w:val="000000" w:themeColor="text1"/>
          <w:sz w:val="36"/>
          <w:szCs w:val="36"/>
          <w:highlight w:val="none"/>
          <w:u w:val="single"/>
          <w:lang w:eastAsia="zh-CN"/>
          <w14:textFill>
            <w14:solidFill>
              <w14:schemeClr w14:val="tx1"/>
            </w14:solidFill>
          </w14:textFill>
        </w:rPr>
      </w:pPr>
      <w:r>
        <w:rPr>
          <w:rFonts w:hint="eastAsia" w:ascii="宋体" w:hAnsi="宋体"/>
          <w:color w:val="000000" w:themeColor="text1"/>
          <w:sz w:val="36"/>
          <w:szCs w:val="36"/>
          <w:highlight w:val="none"/>
          <w:u w:val="single"/>
          <w14:textFill>
            <w14:solidFill>
              <w14:schemeClr w14:val="tx1"/>
            </w14:solidFill>
          </w14:textFill>
        </w:rPr>
        <w:t>采购编号：</w:t>
      </w:r>
      <w:r>
        <w:rPr>
          <w:rFonts w:hint="eastAsia" w:ascii="宋体" w:hAnsi="宋体"/>
          <w:color w:val="000000" w:themeColor="text1"/>
          <w:sz w:val="36"/>
          <w:szCs w:val="36"/>
          <w:highlight w:val="none"/>
          <w:u w:val="single"/>
          <w:lang w:eastAsia="zh-CN"/>
          <w14:textFill>
            <w14:solidFill>
              <w14:schemeClr w14:val="tx1"/>
            </w14:solidFill>
          </w14:textFill>
        </w:rPr>
        <w:t>NBITC-202311752G</w:t>
      </w:r>
    </w:p>
    <w:p>
      <w:pPr>
        <w:spacing w:line="360" w:lineRule="auto"/>
        <w:ind w:firstLine="2340" w:firstLineChars="65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u w:val="single"/>
          <w14:textFill>
            <w14:solidFill>
              <w14:schemeClr w14:val="tx1"/>
            </w14:solidFill>
          </w14:textFill>
        </w:rPr>
        <w:t>标项号：（如有多个标项）</w:t>
      </w:r>
    </w:p>
    <w:p>
      <w:pP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（报价文件）</w:t>
      </w:r>
    </w:p>
    <w:p>
      <w:pPr>
        <w:jc w:val="center"/>
        <w:rPr>
          <w:rFonts w:ascii="宋体" w:hAnsi="宋体"/>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72"/>
          <w:szCs w:val="72"/>
          <w:highlight w:val="none"/>
          <w14:textFill>
            <w14:solidFill>
              <w14:schemeClr w14:val="tx1"/>
            </w14:solidFill>
          </w14:textFill>
        </w:rPr>
      </w:pPr>
    </w:p>
    <w:p>
      <w:pPr>
        <w:spacing w:line="360" w:lineRule="auto"/>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投标文件</w:t>
      </w: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14:textFill>
            <w14:solidFill>
              <w14:schemeClr w14:val="tx1"/>
            </w14:solidFill>
          </w14:textFill>
        </w:rPr>
      </w:pPr>
    </w:p>
    <w:p>
      <w:pPr>
        <w:spacing w:line="360" w:lineRule="auto"/>
        <w:jc w:val="center"/>
        <w:rPr>
          <w:rFonts w:ascii="宋体" w:hAnsi="宋体"/>
          <w:color w:val="000000" w:themeColor="text1"/>
          <w:sz w:val="36"/>
          <w:szCs w:val="36"/>
          <w:highlight w:val="none"/>
          <w:u w:val="singl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供应商全称：</w:t>
      </w:r>
      <w:r>
        <w:rPr>
          <w:rFonts w:hint="eastAsia" w:ascii="宋体" w:hAnsi="宋体"/>
          <w:color w:val="000000" w:themeColor="text1"/>
          <w:sz w:val="36"/>
          <w:szCs w:val="36"/>
          <w:highlight w:val="none"/>
          <w:u w:val="single"/>
          <w14:textFill>
            <w14:solidFill>
              <w14:schemeClr w14:val="tx1"/>
            </w14:solidFill>
          </w14:textFill>
        </w:rPr>
        <w:t>（加盖单位公章）</w:t>
      </w:r>
    </w:p>
    <w:p>
      <w:pPr>
        <w:pStyle w:val="29"/>
        <w:ind w:left="101" w:leftChars="48" w:firstLine="1920" w:firstLineChars="800"/>
        <w:jc w:val="left"/>
        <w:rPr>
          <w:rFonts w:hAnsi="宋体"/>
          <w:color w:val="000000" w:themeColor="text1"/>
          <w:kern w:val="2"/>
          <w:szCs w:val="28"/>
          <w:highlight w:val="none"/>
          <w:u w:val="single"/>
          <w14:textFill>
            <w14:solidFill>
              <w14:schemeClr w14:val="tx1"/>
            </w14:solidFill>
          </w14:textFill>
        </w:rPr>
      </w:pPr>
    </w:p>
    <w:p>
      <w:pPr>
        <w:autoSpaceDE w:val="0"/>
        <w:autoSpaceDN w:val="0"/>
        <w:adjustRightInd w:val="0"/>
        <w:spacing w:line="400" w:lineRule="exact"/>
        <w:jc w:val="center"/>
        <w:outlineLvl w:val="0"/>
        <w:rPr>
          <w:rStyle w:val="138"/>
          <w:rFonts w:ascii="宋体" w:hAnsi="宋体"/>
          <w:color w:val="000000" w:themeColor="text1"/>
          <w:sz w:val="28"/>
          <w:szCs w:val="28"/>
          <w:highlight w:val="none"/>
          <w14:textFill>
            <w14:solidFill>
              <w14:schemeClr w14:val="tx1"/>
            </w14:solidFill>
          </w14:textFill>
        </w:rPr>
      </w:pPr>
      <w:bookmarkStart w:id="338" w:name="_Toc21541029"/>
      <w:bookmarkStart w:id="339" w:name="_Toc443468294"/>
      <w:bookmarkStart w:id="340" w:name="_Toc44162160"/>
      <w:bookmarkStart w:id="341" w:name="_Toc4975"/>
      <w:r>
        <w:rPr>
          <w:rFonts w:hint="eastAsia"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lang w:val="en-US" w:eastAsia="zh-CN"/>
          <w14:textFill>
            <w14:solidFill>
              <w14:schemeClr w14:val="tx1"/>
            </w14:solidFill>
          </w14:textFill>
        </w:rPr>
        <w:t xml:space="preserve">  </w:t>
      </w:r>
      <w:r>
        <w:rPr>
          <w:rFonts w:hint="eastAsia"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lang w:val="en-US" w:eastAsia="zh-CN"/>
          <w14:textFill>
            <w14:solidFill>
              <w14:schemeClr w14:val="tx1"/>
            </w14:solidFill>
          </w14:textFill>
        </w:rPr>
        <w:t xml:space="preserve">  </w:t>
      </w:r>
      <w:r>
        <w:rPr>
          <w:rFonts w:hint="eastAsia" w:ascii="宋体" w:hAnsi="宋体"/>
          <w:color w:val="000000" w:themeColor="text1"/>
          <w:sz w:val="36"/>
          <w:szCs w:val="36"/>
          <w:highlight w:val="none"/>
          <w14:textFill>
            <w14:solidFill>
              <w14:schemeClr w14:val="tx1"/>
            </w14:solidFill>
          </w14:textFill>
        </w:rPr>
        <w:t>日</w:t>
      </w:r>
      <w:bookmarkEnd w:id="338"/>
      <w:bookmarkEnd w:id="339"/>
      <w:bookmarkEnd w:id="340"/>
      <w:bookmarkEnd w:id="341"/>
    </w:p>
    <w:p>
      <w:pPr>
        <w:autoSpaceDE w:val="0"/>
        <w:autoSpaceDN w:val="0"/>
        <w:adjustRightInd w:val="0"/>
        <w:spacing w:line="400" w:lineRule="exact"/>
        <w:jc w:val="center"/>
        <w:outlineLvl w:val="0"/>
        <w:rPr>
          <w:rStyle w:val="138"/>
          <w:rFonts w:ascii="宋体" w:hAnsi="宋体"/>
          <w:color w:val="000000" w:themeColor="text1"/>
          <w:sz w:val="28"/>
          <w:szCs w:val="28"/>
          <w:highlight w:val="none"/>
          <w14:textFill>
            <w14:solidFill>
              <w14:schemeClr w14:val="tx1"/>
            </w14:solidFill>
          </w14:textFill>
        </w:rPr>
      </w:pPr>
    </w:p>
    <w:p>
      <w:pPr>
        <w:autoSpaceDE w:val="0"/>
        <w:autoSpaceDN w:val="0"/>
        <w:adjustRightInd w:val="0"/>
        <w:spacing w:line="400" w:lineRule="exact"/>
        <w:jc w:val="center"/>
        <w:outlineLvl w:val="0"/>
        <w:rPr>
          <w:rStyle w:val="138"/>
          <w:rFonts w:ascii="宋体" w:hAnsi="宋体"/>
          <w:color w:val="000000" w:themeColor="text1"/>
          <w:sz w:val="28"/>
          <w:szCs w:val="28"/>
          <w:highlight w:val="none"/>
          <w14:textFill>
            <w14:solidFill>
              <w14:schemeClr w14:val="tx1"/>
            </w14:solidFill>
          </w14:textFill>
        </w:rPr>
      </w:pPr>
    </w:p>
    <w:p>
      <w:pPr>
        <w:spacing w:line="400" w:lineRule="exact"/>
        <w:jc w:val="center"/>
        <w:rPr>
          <w:rFonts w:ascii="宋体" w:hAnsi="宋体"/>
          <w:b/>
          <w:color w:val="000000" w:themeColor="text1"/>
          <w:szCs w:val="21"/>
          <w:highlight w:val="none"/>
          <w14:textFill>
            <w14:solidFill>
              <w14:schemeClr w14:val="tx1"/>
            </w14:solidFill>
          </w14:textFill>
        </w:rPr>
      </w:pPr>
      <w:r>
        <w:rPr>
          <w:rStyle w:val="138"/>
          <w:rFonts w:ascii="宋体" w:hAnsi="宋体"/>
          <w:color w:val="000000" w:themeColor="text1"/>
          <w:sz w:val="28"/>
          <w:szCs w:val="28"/>
          <w:highlight w:val="none"/>
          <w14:textFill>
            <w14:solidFill>
              <w14:schemeClr w14:val="tx1"/>
            </w14:solidFill>
          </w14:textFill>
        </w:rPr>
        <w:br w:type="page"/>
      </w:r>
      <w:bookmarkEnd w:id="332"/>
      <w:bookmarkEnd w:id="333"/>
      <w:bookmarkStart w:id="342" w:name="_Toc44162161"/>
      <w:bookmarkStart w:id="343" w:name="_Toc14907"/>
      <w:bookmarkStart w:id="344" w:name="_Toc21541030"/>
      <w:r>
        <w:rPr>
          <w:rFonts w:ascii="宋体" w:hAnsi="宋体"/>
          <w:b/>
          <w:color w:val="000000" w:themeColor="text1"/>
          <w:szCs w:val="21"/>
          <w:highlight w:val="none"/>
          <w14:textFill>
            <w14:solidFill>
              <w14:schemeClr w14:val="tx1"/>
            </w14:solidFill>
          </w14:textFill>
        </w:rPr>
        <w:t>C1</w:t>
      </w:r>
      <w:bookmarkEnd w:id="342"/>
      <w:bookmarkEnd w:id="343"/>
      <w:bookmarkEnd w:id="344"/>
      <w:bookmarkStart w:id="345" w:name="_Toc14922"/>
      <w:bookmarkStart w:id="346" w:name="_Toc44162162"/>
      <w:bookmarkStart w:id="347" w:name="_Toc21541032"/>
      <w:r>
        <w:rPr>
          <w:rFonts w:hint="eastAsia" w:ascii="宋体" w:hAnsi="宋体"/>
          <w:b/>
          <w:color w:val="000000" w:themeColor="text1"/>
          <w:szCs w:val="21"/>
          <w:highlight w:val="none"/>
          <w14:textFill>
            <w14:solidFill>
              <w14:schemeClr w14:val="tx1"/>
            </w14:solidFill>
          </w14:textFill>
        </w:rPr>
        <w:t>开标一览表</w:t>
      </w:r>
    </w:p>
    <w:p>
      <w:pPr>
        <w:pStyle w:val="22"/>
        <w:spacing w:line="400" w:lineRule="exact"/>
        <w:ind w:firstLine="0"/>
        <w:rPr>
          <w:rFonts w:ascii="宋体" w:hAnsi="宋体" w:eastAsia="宋体"/>
          <w:color w:val="000000" w:themeColor="text1"/>
          <w:sz w:val="21"/>
          <w:szCs w:val="21"/>
          <w:highlight w:val="none"/>
          <w14:textFill>
            <w14:solidFill>
              <w14:schemeClr w14:val="tx1"/>
            </w14:solidFill>
          </w14:textFill>
        </w:rPr>
      </w:pPr>
    </w:p>
    <w:p>
      <w:pPr>
        <w:pStyle w:val="22"/>
        <w:spacing w:line="400" w:lineRule="exact"/>
        <w:ind w:firstLine="0"/>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项目名称：</w:t>
      </w:r>
      <w:r>
        <w:rPr>
          <w:rFonts w:hint="eastAsia" w:ascii="宋体" w:hAnsi="宋体" w:eastAsia="宋体"/>
          <w:color w:val="000000" w:themeColor="text1"/>
          <w:sz w:val="21"/>
          <w:szCs w:val="21"/>
          <w:highlight w:val="none"/>
          <w:u w:val="single"/>
          <w:lang w:eastAsia="zh-CN"/>
          <w14:textFill>
            <w14:solidFill>
              <w14:schemeClr w14:val="tx1"/>
            </w14:solidFill>
          </w14:textFill>
        </w:rPr>
        <w:t>宁波大学附属第一医院智慧病房建设项目</w:t>
      </w:r>
    </w:p>
    <w:p>
      <w:pPr>
        <w:pStyle w:val="22"/>
        <w:spacing w:line="400" w:lineRule="exact"/>
        <w:ind w:firstLine="0"/>
        <w:rPr>
          <w:rFonts w:hint="eastAsia" w:ascii="宋体" w:hAnsi="宋体" w:eastAsia="宋体"/>
          <w:color w:val="000000" w:themeColor="text1"/>
          <w:sz w:val="21"/>
          <w:szCs w:val="21"/>
          <w:highlight w:val="none"/>
          <w:u w:val="single"/>
          <w:lang w:eastAsia="zh-CN"/>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项目编号：</w:t>
      </w:r>
      <w:r>
        <w:rPr>
          <w:rFonts w:hint="eastAsia" w:ascii="宋体" w:hAnsi="宋体" w:eastAsia="宋体"/>
          <w:color w:val="000000" w:themeColor="text1"/>
          <w:sz w:val="21"/>
          <w:szCs w:val="21"/>
          <w:highlight w:val="none"/>
          <w:u w:val="single"/>
          <w:lang w:eastAsia="zh-CN"/>
          <w14:textFill>
            <w14:solidFill>
              <w14:schemeClr w14:val="tx1"/>
            </w14:solidFill>
          </w14:textFill>
        </w:rPr>
        <w:t>NBITC-202311752G</w:t>
      </w:r>
    </w:p>
    <w:p>
      <w:pPr>
        <w:pStyle w:val="22"/>
        <w:spacing w:line="400" w:lineRule="exact"/>
        <w:ind w:firstLine="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标项号：</w:t>
      </w:r>
    </w:p>
    <w:tbl>
      <w:tblPr>
        <w:tblStyle w:val="51"/>
        <w:tblW w:w="9354" w:type="dxa"/>
        <w:jc w:val="center"/>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Layout w:type="fixed"/>
        <w:tblCellMar>
          <w:top w:w="0" w:type="dxa"/>
          <w:left w:w="108" w:type="dxa"/>
          <w:bottom w:w="0" w:type="dxa"/>
          <w:right w:w="108" w:type="dxa"/>
        </w:tblCellMar>
      </w:tblPr>
      <w:tblGrid>
        <w:gridCol w:w="786"/>
        <w:gridCol w:w="4161"/>
        <w:gridCol w:w="3477"/>
        <w:gridCol w:w="930"/>
      </w:tblGrid>
      <w:tr>
        <w:tblPrEx>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86" w:type="dxa"/>
            <w:noWrap w:val="0"/>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子包</w:t>
            </w:r>
          </w:p>
        </w:tc>
        <w:tc>
          <w:tcPr>
            <w:tcW w:w="4161" w:type="dxa"/>
            <w:noWrap w:val="0"/>
            <w:vAlign w:val="center"/>
          </w:tcPr>
          <w:p>
            <w:pPr>
              <w:spacing w:line="400" w:lineRule="exact"/>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项目名称</w:t>
            </w:r>
          </w:p>
        </w:tc>
        <w:tc>
          <w:tcPr>
            <w:tcW w:w="3477" w:type="dxa"/>
            <w:noWrap w:val="0"/>
            <w:vAlign w:val="center"/>
          </w:tcPr>
          <w:p>
            <w:pPr>
              <w:spacing w:line="520" w:lineRule="exact"/>
              <w:ind w:right="25" w:rightChars="12"/>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cs="仿宋_GB2312"/>
                <w:b/>
                <w:color w:val="000000" w:themeColor="text1"/>
                <w:szCs w:val="21"/>
                <w:highlight w:val="none"/>
                <w14:textFill>
                  <w14:solidFill>
                    <w14:schemeClr w14:val="tx1"/>
                  </w14:solidFill>
                </w14:textFill>
              </w:rPr>
              <w:t>投标报价</w:t>
            </w:r>
          </w:p>
        </w:tc>
        <w:tc>
          <w:tcPr>
            <w:tcW w:w="930" w:type="dxa"/>
            <w:noWrap w:val="0"/>
            <w:vAlign w:val="center"/>
          </w:tcPr>
          <w:p>
            <w:pPr>
              <w:spacing w:line="400" w:lineRule="exact"/>
              <w:ind w:right="25" w:rightChars="12"/>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CellMar>
            <w:top w:w="0" w:type="dxa"/>
            <w:left w:w="108" w:type="dxa"/>
            <w:bottom w:w="0" w:type="dxa"/>
            <w:right w:w="108" w:type="dxa"/>
          </w:tblCellMar>
        </w:tblPrEx>
        <w:trPr>
          <w:cantSplit/>
          <w:trHeight w:val="1723" w:hRule="atLeast"/>
          <w:jc w:val="center"/>
        </w:trPr>
        <w:tc>
          <w:tcPr>
            <w:tcW w:w="786" w:type="dxa"/>
            <w:noWrap w:val="0"/>
            <w:vAlign w:val="center"/>
          </w:tcPr>
          <w:p>
            <w:pPr>
              <w:spacing w:line="40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4161" w:type="dxa"/>
            <w:noWrap w:val="0"/>
            <w:vAlign w:val="center"/>
          </w:tcPr>
          <w:p>
            <w:pPr>
              <w:spacing w:line="360" w:lineRule="auto"/>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宁波大学附属第一医院智慧病房建设</w:t>
            </w:r>
          </w:p>
        </w:tc>
        <w:tc>
          <w:tcPr>
            <w:tcW w:w="3477" w:type="dxa"/>
            <w:noWrap w:val="0"/>
            <w:vAlign w:val="center"/>
          </w:tcPr>
          <w:p>
            <w:pPr>
              <w:spacing w:line="400" w:lineRule="exact"/>
              <w:ind w:right="25" w:rightChars="12"/>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人民币</w:t>
            </w:r>
            <w:r>
              <w:rPr>
                <w:rFonts w:hint="eastAsia" w:ascii="宋体" w:hAnsi="宋体"/>
                <w:color w:val="000000" w:themeColor="text1"/>
                <w:szCs w:val="21"/>
                <w:highlight w:val="none"/>
                <w:u w:val="single"/>
                <w14:textFill>
                  <w14:solidFill>
                    <w14:schemeClr w14:val="tx1"/>
                  </w14:solidFill>
                </w14:textFill>
              </w:rPr>
              <w:t xml:space="preserve">（大写）              </w:t>
            </w:r>
            <w:r>
              <w:rPr>
                <w:rFonts w:hint="eastAsia" w:ascii="宋体" w:hAnsi="宋体"/>
                <w:color w:val="000000" w:themeColor="text1"/>
                <w:szCs w:val="21"/>
                <w:highlight w:val="none"/>
                <w14:textFill>
                  <w14:solidFill>
                    <w14:schemeClr w14:val="tx1"/>
                  </w14:solidFill>
                </w14:textFill>
              </w:rPr>
              <w:t>元</w:t>
            </w:r>
          </w:p>
          <w:p>
            <w:pPr>
              <w:snapToGrid w:val="0"/>
              <w:spacing w:line="400" w:lineRule="exact"/>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w:t>
            </w:r>
          </w:p>
        </w:tc>
        <w:tc>
          <w:tcPr>
            <w:tcW w:w="930" w:type="dxa"/>
            <w:noWrap w:val="0"/>
            <w:vAlign w:val="center"/>
          </w:tcPr>
          <w:p>
            <w:pPr>
              <w:spacing w:line="400" w:lineRule="exact"/>
              <w:ind w:right="25" w:rightChars="12"/>
              <w:jc w:val="center"/>
              <w:rPr>
                <w:rFonts w:hint="eastAsia" w:ascii="宋体" w:hAnsi="宋体"/>
                <w:color w:val="000000" w:themeColor="text1"/>
                <w:szCs w:val="21"/>
                <w:highlight w:val="none"/>
                <w14:textFill>
                  <w14:solidFill>
                    <w14:schemeClr w14:val="tx1"/>
                  </w14:solidFill>
                </w14:textFill>
              </w:rPr>
            </w:pPr>
          </w:p>
        </w:tc>
      </w:tr>
    </w:tbl>
    <w:p>
      <w:pPr>
        <w:snapToGrid w:val="0"/>
        <w:spacing w:line="400" w:lineRule="exact"/>
        <w:rPr>
          <w:rFonts w:hint="eastAsia" w:ascii="宋体" w:hAnsi="宋体" w:cs="宋体"/>
          <w:color w:val="000000" w:themeColor="text1"/>
          <w:highlight w:val="none"/>
          <w14:textFill>
            <w14:solidFill>
              <w14:schemeClr w14:val="tx1"/>
            </w14:solidFill>
          </w14:textFill>
        </w:rPr>
      </w:pPr>
    </w:p>
    <w:p>
      <w:pPr>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 （1）以上报价合计应与“分项报价表”中的“投标报价”相一致。</w:t>
      </w:r>
    </w:p>
    <w:p>
      <w:pPr>
        <w:snapToGrid w:val="0"/>
        <w:spacing w:line="400" w:lineRule="exact"/>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（2）投标文件中开标一览表内容与政采云系统“开标一览表”中录入的报价内容不一致的，以</w:t>
      </w:r>
      <w:r>
        <w:rPr>
          <w:rFonts w:hint="eastAsia" w:ascii="宋体" w:hAnsi="宋体" w:cs="宋体"/>
          <w:color w:val="000000" w:themeColor="text1"/>
          <w:highlight w:val="none"/>
          <w:lang w:eastAsia="zh-CN"/>
          <w14:textFill>
            <w14:solidFill>
              <w14:schemeClr w14:val="tx1"/>
            </w14:solidFill>
          </w14:textFill>
        </w:rPr>
        <w:t>上传的签字盖章版</w:t>
      </w:r>
      <w:r>
        <w:rPr>
          <w:rFonts w:hint="eastAsia" w:ascii="宋体" w:hAnsi="宋体" w:eastAsia="宋体" w:cs="宋体"/>
          <w:color w:val="000000" w:themeColor="text1"/>
          <w:highlight w:val="none"/>
          <w14:textFill>
            <w14:solidFill>
              <w14:schemeClr w14:val="tx1"/>
            </w14:solidFill>
          </w14:textFill>
        </w:rPr>
        <w:t>投标文件中开标一览表为准；</w:t>
      </w:r>
    </w:p>
    <w:p>
      <w:pPr>
        <w:spacing w:line="400" w:lineRule="exact"/>
        <w:jc w:val="left"/>
        <w:rPr>
          <w:rFonts w:hint="eastAsia" w:ascii="宋体" w:hAnsi="宋体"/>
          <w:color w:val="000000" w:themeColor="text1"/>
          <w:szCs w:val="21"/>
          <w:highlight w:val="none"/>
          <w14:textFill>
            <w14:solidFill>
              <w14:schemeClr w14:val="tx1"/>
            </w14:solidFill>
          </w14:textFill>
        </w:rPr>
      </w:pP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供应商（盖章）：</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eastAsia="宋体"/>
          <w:color w:val="000000" w:themeColor="text1"/>
          <w:sz w:val="2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p>
    <w:p>
      <w:pP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br w:type="page"/>
      </w:r>
    </w:p>
    <w:p>
      <w:pPr>
        <w:pStyle w:val="3"/>
        <w:snapToGrid w:val="0"/>
        <w:spacing w:line="400" w:lineRule="exact"/>
        <w:jc w:val="center"/>
        <w:rPr>
          <w:rFonts w:hint="eastAsia"/>
          <w:b/>
          <w:color w:val="000000" w:themeColor="text1"/>
          <w:kern w:val="2"/>
          <w:sz w:val="21"/>
          <w:szCs w:val="21"/>
          <w:highlight w:val="none"/>
          <w14:textFill>
            <w14:solidFill>
              <w14:schemeClr w14:val="tx1"/>
            </w14:solidFill>
          </w14:textFill>
        </w:rPr>
      </w:pPr>
      <w:r>
        <w:rPr>
          <w:rFonts w:hAnsi="宋体"/>
          <w:b/>
          <w:color w:val="000000" w:themeColor="text1"/>
          <w:szCs w:val="21"/>
          <w:highlight w:val="none"/>
          <w14:textFill>
            <w14:solidFill>
              <w14:schemeClr w14:val="tx1"/>
            </w14:solidFill>
          </w14:textFill>
        </w:rPr>
        <w:t>C</w:t>
      </w:r>
      <w:r>
        <w:rPr>
          <w:rFonts w:hint="eastAsia" w:hAnsi="宋体"/>
          <w:b/>
          <w:color w:val="000000" w:themeColor="text1"/>
          <w:szCs w:val="21"/>
          <w:highlight w:val="none"/>
          <w14:textFill>
            <w14:solidFill>
              <w14:schemeClr w14:val="tx1"/>
            </w14:solidFill>
          </w14:textFill>
        </w:rPr>
        <w:t>2</w:t>
      </w:r>
      <w:r>
        <w:rPr>
          <w:rFonts w:hint="eastAsia"/>
          <w:b/>
          <w:color w:val="000000" w:themeColor="text1"/>
          <w:kern w:val="2"/>
          <w:sz w:val="21"/>
          <w:szCs w:val="21"/>
          <w:highlight w:val="none"/>
          <w14:textFill>
            <w14:solidFill>
              <w14:schemeClr w14:val="tx1"/>
            </w14:solidFill>
          </w14:textFill>
        </w:rPr>
        <w:t>分项报价表</w:t>
      </w:r>
    </w:p>
    <w:p>
      <w:pPr>
        <w:pStyle w:val="3"/>
        <w:snapToGrid w:val="0"/>
        <w:spacing w:line="400" w:lineRule="exact"/>
        <w:jc w:val="center"/>
        <w:rPr>
          <w:rFonts w:hint="eastAsia"/>
          <w:b/>
          <w:color w:val="000000" w:themeColor="text1"/>
          <w:kern w:val="2"/>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1、投标报价分析表</w:t>
      </w:r>
    </w:p>
    <w:p>
      <w:pPr>
        <w:pStyle w:val="22"/>
        <w:spacing w:line="400" w:lineRule="exact"/>
        <w:ind w:firstLine="0"/>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项目名称：</w:t>
      </w:r>
      <w:r>
        <w:rPr>
          <w:rFonts w:hint="eastAsia" w:ascii="宋体" w:hAnsi="宋体" w:eastAsia="宋体"/>
          <w:color w:val="000000" w:themeColor="text1"/>
          <w:sz w:val="21"/>
          <w:szCs w:val="21"/>
          <w:highlight w:val="none"/>
          <w:u w:val="single"/>
          <w:lang w:eastAsia="zh-CN"/>
          <w14:textFill>
            <w14:solidFill>
              <w14:schemeClr w14:val="tx1"/>
            </w14:solidFill>
          </w14:textFill>
        </w:rPr>
        <w:t>宁波大学附属第一医院智慧病房建设项目</w:t>
      </w:r>
    </w:p>
    <w:p>
      <w:pPr>
        <w:pStyle w:val="22"/>
        <w:spacing w:line="400" w:lineRule="exact"/>
        <w:ind w:firstLine="0"/>
        <w:rPr>
          <w:rFonts w:hint="eastAsia" w:ascii="宋体" w:hAnsi="宋体" w:eastAsia="宋体"/>
          <w:color w:val="000000" w:themeColor="text1"/>
          <w:sz w:val="21"/>
          <w:szCs w:val="21"/>
          <w:highlight w:val="none"/>
          <w:u w:val="single"/>
          <w:lang w:eastAsia="zh-CN"/>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项目编号：</w:t>
      </w:r>
      <w:r>
        <w:rPr>
          <w:rFonts w:hint="eastAsia" w:ascii="宋体" w:hAnsi="宋体" w:eastAsia="宋体"/>
          <w:color w:val="000000" w:themeColor="text1"/>
          <w:sz w:val="21"/>
          <w:szCs w:val="21"/>
          <w:highlight w:val="none"/>
          <w:u w:val="single"/>
          <w:lang w:eastAsia="zh-CN"/>
          <w14:textFill>
            <w14:solidFill>
              <w14:schemeClr w14:val="tx1"/>
            </w14:solidFill>
          </w14:textFill>
        </w:rPr>
        <w:t>NBITC-202311752G</w:t>
      </w:r>
    </w:p>
    <w:p>
      <w:pPr>
        <w:pStyle w:val="22"/>
        <w:spacing w:line="400" w:lineRule="exact"/>
        <w:ind w:firstLine="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标项号：</w:t>
      </w:r>
    </w:p>
    <w:p>
      <w:pPr>
        <w:pStyle w:val="22"/>
        <w:spacing w:line="400" w:lineRule="exact"/>
        <w:ind w:firstLine="0"/>
        <w:rPr>
          <w:rFonts w:hint="eastAsia" w:ascii="宋体" w:hAnsi="宋体" w:eastAsia="宋体"/>
          <w:color w:val="000000" w:themeColor="text1"/>
          <w:sz w:val="21"/>
          <w:szCs w:val="21"/>
          <w:highlight w:val="none"/>
          <w:u w:val="singl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lang w:val="en-US" w:eastAsia="zh-CN"/>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货币单位：人民币元</w:t>
      </w:r>
    </w:p>
    <w:tbl>
      <w:tblPr>
        <w:tblStyle w:val="51"/>
        <w:tblW w:w="9190" w:type="dxa"/>
        <w:jc w:val="center"/>
        <w:tblLayout w:type="fixed"/>
        <w:tblCellMar>
          <w:top w:w="0" w:type="dxa"/>
          <w:left w:w="0" w:type="dxa"/>
          <w:bottom w:w="0" w:type="dxa"/>
          <w:right w:w="0" w:type="dxa"/>
        </w:tblCellMar>
      </w:tblPr>
      <w:tblGrid>
        <w:gridCol w:w="815"/>
        <w:gridCol w:w="1613"/>
        <w:gridCol w:w="1517"/>
        <w:gridCol w:w="803"/>
        <w:gridCol w:w="803"/>
        <w:gridCol w:w="1235"/>
        <w:gridCol w:w="1235"/>
        <w:gridCol w:w="1169"/>
      </w:tblGrid>
      <w:tr>
        <w:tblPrEx>
          <w:tblCellMar>
            <w:top w:w="0" w:type="dxa"/>
            <w:left w:w="0" w:type="dxa"/>
            <w:bottom w:w="0" w:type="dxa"/>
            <w:right w:w="0" w:type="dxa"/>
          </w:tblCellMar>
        </w:tblPrEx>
        <w:trPr>
          <w:trHeight w:val="674"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编号</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b/>
                <w:bCs/>
                <w:color w:val="000000" w:themeColor="text1"/>
                <w:kern w:val="0"/>
                <w:szCs w:val="21"/>
                <w:highlight w:val="none"/>
                <w:lang w:eastAsia="zh-CN"/>
                <w14:textFill>
                  <w14:solidFill>
                    <w14:schemeClr w14:val="tx1"/>
                  </w14:solidFill>
                </w14:textFill>
              </w:rPr>
              <w:t>项目</w:t>
            </w:r>
            <w:r>
              <w:rPr>
                <w:rFonts w:hint="eastAsia" w:ascii="宋体" w:hAnsi="宋体"/>
                <w:b/>
                <w:bCs/>
                <w:color w:val="000000" w:themeColor="text1"/>
                <w:kern w:val="0"/>
                <w:szCs w:val="21"/>
                <w:highlight w:val="none"/>
                <w14:textFill>
                  <w14:solidFill>
                    <w14:schemeClr w14:val="tx1"/>
                  </w14:solidFill>
                </w14:textFill>
              </w:rPr>
              <w:t>内容</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产地品牌</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规格型号</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数量</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单位</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综合</w:t>
            </w:r>
          </w:p>
          <w:p>
            <w:pPr>
              <w:spacing w:line="240" w:lineRule="exact"/>
              <w:jc w:val="cente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单价</w:t>
            </w: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b/>
                <w:color w:val="000000" w:themeColor="text1"/>
                <w:szCs w:val="21"/>
                <w:highlight w:val="none"/>
                <w14:textFill>
                  <w14:solidFill>
                    <w14:schemeClr w14:val="tx1"/>
                  </w14:solidFill>
                </w14:textFill>
              </w:rPr>
              <w:t>合价</w:t>
            </w: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护理PDA</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250</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移动护理车</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49</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智慧交互屏</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36</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移动终端安全扩充点位加更新设备</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1</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套</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全局负载均衡</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1</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highlight w:val="none"/>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6</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容灾备份系统（虚拟化）的扩容</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个</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7</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服务器防病毒系统</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30</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val="0"/>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套</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8</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园区核心交换机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序号8-1</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园区核心交换机</w:t>
            </w: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(核心产品)</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序号8-2</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ED边缘交换机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序号8-3</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DC核心交换机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序号8-4</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服务器汇聚交换机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序号8-5</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DC南北向防火墙</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序号8-6</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园区容灾交换机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default"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序号8-7</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ADDC软件</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套</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序号8-8</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光模块</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个</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9</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楼层网络扩容</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序号9-1</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48口汇聚交换机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序号9-2</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24口汇聚交换机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序号9-3</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48口接入交换机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32</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序号9-4</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24口接入交换机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序号9-5</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POE交换机</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41"/>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序号9-6</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光模块和光转电模块</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default"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199</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个</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71" w:hRule="atLeast"/>
          <w:jc w:val="center"/>
        </w:trPr>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w:t>
            </w:r>
          </w:p>
        </w:tc>
        <w:tc>
          <w:tcPr>
            <w:tcW w:w="1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r>
        <w:tblPrEx>
          <w:tblCellMar>
            <w:top w:w="0" w:type="dxa"/>
            <w:left w:w="0" w:type="dxa"/>
            <w:bottom w:w="0" w:type="dxa"/>
            <w:right w:w="0" w:type="dxa"/>
          </w:tblCellMar>
        </w:tblPrEx>
        <w:trPr>
          <w:trHeight w:val="519" w:hRule="atLeast"/>
          <w:jc w:val="center"/>
        </w:trPr>
        <w:tc>
          <w:tcPr>
            <w:tcW w:w="8021"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投标报价</w:t>
            </w:r>
          </w:p>
        </w:tc>
        <w:tc>
          <w:tcPr>
            <w:tcW w:w="1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p>
        </w:tc>
      </w:tr>
    </w:tbl>
    <w:p>
      <w:pPr>
        <w:spacing w:line="400" w:lineRule="exact"/>
        <w:ind w:right="210"/>
        <w:jc w:val="left"/>
        <w:rPr>
          <w:rFonts w:hint="eastAsia"/>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w:t>
      </w:r>
      <w:r>
        <w:rPr>
          <w:rFonts w:hint="eastAsia" w:ascii="宋体" w:hAnsi="宋体"/>
          <w:b/>
          <w:color w:val="000000" w:themeColor="text1"/>
          <w:szCs w:val="21"/>
          <w:highlight w:val="none"/>
          <w:lang w:val="en-US" w:eastAsia="zh-CN"/>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本表中的总价应与开标一览表中的投标</w:t>
      </w:r>
      <w:r>
        <w:rPr>
          <w:rFonts w:hint="eastAsia" w:ascii="宋体" w:hAnsi="宋体"/>
          <w:b/>
          <w:color w:val="000000" w:themeColor="text1"/>
          <w:szCs w:val="21"/>
          <w:highlight w:val="none"/>
          <w:lang w:eastAsia="zh-CN"/>
          <w14:textFill>
            <w14:solidFill>
              <w14:schemeClr w14:val="tx1"/>
            </w14:solidFill>
          </w14:textFill>
        </w:rPr>
        <w:t>报</w:t>
      </w:r>
      <w:r>
        <w:rPr>
          <w:rFonts w:hint="eastAsia" w:ascii="宋体" w:hAnsi="宋体"/>
          <w:b/>
          <w:color w:val="000000" w:themeColor="text1"/>
          <w:szCs w:val="21"/>
          <w:highlight w:val="none"/>
          <w14:textFill>
            <w14:solidFill>
              <w14:schemeClr w14:val="tx1"/>
            </w14:solidFill>
          </w14:textFill>
        </w:rPr>
        <w:t>价一致。</w:t>
      </w:r>
    </w:p>
    <w:p>
      <w:pPr>
        <w:pStyle w:val="22"/>
        <w:spacing w:line="400" w:lineRule="exact"/>
        <w:ind w:firstLine="210"/>
        <w:rPr>
          <w:rFonts w:hint="eastAsia"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lang w:val="en-US" w:eastAsia="zh-CN"/>
          <w14:textFill>
            <w14:solidFill>
              <w14:schemeClr w14:val="tx1"/>
            </w14:solidFill>
          </w14:textFill>
        </w:rPr>
        <w:t>2</w:t>
      </w:r>
      <w:r>
        <w:rPr>
          <w:rFonts w:hint="eastAsia" w:ascii="宋体" w:hAnsi="宋体" w:eastAsia="宋体"/>
          <w:color w:val="000000" w:themeColor="text1"/>
          <w:sz w:val="21"/>
          <w:szCs w:val="21"/>
          <w:highlight w:val="none"/>
          <w14:textFill>
            <w14:solidFill>
              <w14:schemeClr w14:val="tx1"/>
            </w14:solidFill>
          </w14:textFill>
        </w:rPr>
        <w:t>、供应商可根据实际情况自行填写，但必须注明具体的细目内容，栏目不够可自行添加。</w:t>
      </w:r>
    </w:p>
    <w:p>
      <w:pPr>
        <w:pStyle w:val="22"/>
        <w:spacing w:line="400" w:lineRule="exact"/>
        <w:ind w:firstLine="0"/>
        <w:rPr>
          <w:rFonts w:hint="eastAsia" w:ascii="宋体" w:hAnsi="宋体" w:eastAsia="宋体"/>
          <w:color w:val="000000" w:themeColor="text1"/>
          <w:sz w:val="21"/>
          <w:szCs w:val="21"/>
          <w:highlight w:val="none"/>
          <w14:textFill>
            <w14:solidFill>
              <w14:schemeClr w14:val="tx1"/>
            </w14:solidFill>
          </w14:textFill>
        </w:rPr>
      </w:pPr>
    </w:p>
    <w:p>
      <w:pPr>
        <w:spacing w:line="40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供应商（盖章）：  </w:t>
      </w:r>
    </w:p>
    <w:p>
      <w:pPr>
        <w:spacing w:line="400" w:lineRule="exact"/>
        <w:jc w:val="left"/>
        <w:rPr>
          <w:rFonts w:hint="eastAsia" w:ascii="宋体" w:hAnsi="宋体"/>
          <w:color w:val="000000" w:themeColor="text1"/>
          <w:szCs w:val="21"/>
          <w:highlight w:val="none"/>
          <w14:textFill>
            <w14:solidFill>
              <w14:schemeClr w14:val="tx1"/>
            </w14:solidFill>
          </w14:textFill>
        </w:rPr>
      </w:pPr>
    </w:p>
    <w:p>
      <w:pPr>
        <w:spacing w:line="40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r>
        <w:rPr>
          <w:rFonts w:ascii="宋体" w:hAnsi="宋体"/>
          <w:color w:val="000000" w:themeColor="text1"/>
          <w:szCs w:val="21"/>
          <w:highlight w:val="none"/>
          <w14:textFill>
            <w14:solidFill>
              <w14:schemeClr w14:val="tx1"/>
            </w14:solidFill>
          </w14:textFill>
        </w:rPr>
        <w:t xml:space="preserve">  </w:t>
      </w:r>
    </w:p>
    <w:p>
      <w:pPr>
        <w:rPr>
          <w:rFonts w:ascii="宋体" w:hAnsi="宋体"/>
          <w:b/>
          <w:color w:val="000000" w:themeColor="text1"/>
          <w:szCs w:val="21"/>
          <w:highlight w:val="none"/>
          <w14:textFill>
            <w14:solidFill>
              <w14:schemeClr w14:val="tx1"/>
            </w14:solidFill>
          </w14:textFill>
        </w:rPr>
      </w:pPr>
      <w:r>
        <w:rPr>
          <w:rFonts w:hint="eastAsia" w:ascii="宋体" w:hAnsi="宋体" w:eastAsia="宋体"/>
          <w:b/>
          <w:color w:val="000000" w:themeColor="text1"/>
          <w:sz w:val="21"/>
          <w:szCs w:val="21"/>
          <w:highlight w:val="none"/>
          <w14:textFill>
            <w14:solidFill>
              <w14:schemeClr w14:val="tx1"/>
            </w14:solidFill>
          </w14:textFill>
        </w:rPr>
        <w:br w:type="page"/>
      </w:r>
    </w:p>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方正书宋简体" w:hAnsi="方正书宋简体"/>
          <w:b/>
          <w:bCs/>
          <w:color w:val="000000" w:themeColor="text1"/>
          <w:szCs w:val="21"/>
          <w:highlight w:val="none"/>
          <w:lang w:val="en-US" w:eastAsia="zh-CN"/>
          <w14:textFill>
            <w14:solidFill>
              <w14:schemeClr w14:val="tx1"/>
            </w14:solidFill>
          </w14:textFill>
        </w:rPr>
        <w:t>C</w:t>
      </w: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中小企业声明函</w:t>
      </w:r>
    </w:p>
    <w:p>
      <w:pPr>
        <w:spacing w:line="400" w:lineRule="exact"/>
        <w:rPr>
          <w:rFonts w:ascii="宋体" w:hAnsi="宋体"/>
          <w:b/>
          <w:color w:val="000000" w:themeColor="text1"/>
          <w:szCs w:val="21"/>
          <w:highlight w:val="none"/>
          <w14:textFill>
            <w14:solidFill>
              <w14:schemeClr w14:val="tx1"/>
            </w14:solidFill>
          </w14:textFill>
        </w:rPr>
      </w:pPr>
    </w:p>
    <w:p>
      <w:pPr>
        <w:spacing w:line="400" w:lineRule="exact"/>
        <w:rPr>
          <w:rFonts w:hint="eastAsia" w:ascii="宋体" w:hAnsi="宋体" w:cs="宋体"/>
          <w:b/>
          <w:color w:val="000000" w:themeColor="text1"/>
          <w:szCs w:val="21"/>
          <w:highlight w:val="none"/>
          <w14:textFill>
            <w14:solidFill>
              <w14:schemeClr w14:val="tx1"/>
            </w14:solidFill>
          </w14:textFill>
        </w:rPr>
      </w:pPr>
    </w:p>
    <w:p>
      <w:pPr>
        <w:pStyle w:val="45"/>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本公司（联合体）郑重声明，根据《政府采购促进中小企业发展管理办法》（财库﹝2020﹞46号）的规定，本公司（联合体）参加</w:t>
      </w:r>
      <w:r>
        <w:rPr>
          <w:rStyle w:val="57"/>
          <w:rFonts w:hint="eastAsia"/>
          <w:color w:val="000000" w:themeColor="text1"/>
          <w:sz w:val="21"/>
          <w:szCs w:val="21"/>
          <w:highlight w:val="none"/>
          <w:u w:val="single"/>
          <w14:textFill>
            <w14:solidFill>
              <w14:schemeClr w14:val="tx1"/>
            </w14:solidFill>
          </w14:textFill>
        </w:rPr>
        <w:t>（单位名称）</w:t>
      </w:r>
      <w:r>
        <w:rPr>
          <w:rFonts w:hint="eastAsia"/>
          <w:color w:val="000000" w:themeColor="text1"/>
          <w:sz w:val="21"/>
          <w:szCs w:val="21"/>
          <w:highlight w:val="none"/>
          <w14:textFill>
            <w14:solidFill>
              <w14:schemeClr w14:val="tx1"/>
            </w14:solidFill>
          </w14:textFill>
        </w:rPr>
        <w:t>的</w:t>
      </w:r>
      <w:r>
        <w:rPr>
          <w:rStyle w:val="57"/>
          <w:rFonts w:hint="eastAsia"/>
          <w:color w:val="000000" w:themeColor="text1"/>
          <w:sz w:val="21"/>
          <w:szCs w:val="21"/>
          <w:highlight w:val="none"/>
          <w:u w:val="single"/>
          <w14:textFill>
            <w14:solidFill>
              <w14:schemeClr w14:val="tx1"/>
            </w14:solidFill>
          </w14:textFill>
        </w:rPr>
        <w:t>（项目名称）</w:t>
      </w:r>
      <w:r>
        <w:rPr>
          <w:rFonts w:hint="eastAsia"/>
          <w:color w:val="000000" w:themeColor="text1"/>
          <w:sz w:val="21"/>
          <w:szCs w:val="2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45"/>
        <w:keepNext w:val="0"/>
        <w:keepLines w:val="0"/>
        <w:pageBreakBefore w:val="0"/>
        <w:widowControl/>
        <w:numPr>
          <w:ilvl w:val="0"/>
          <w:numId w:val="6"/>
        </w:numPr>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u w:val="single"/>
          <w:lang w:val="en-US" w:eastAsia="zh-CN"/>
          <w14:textFill>
            <w14:solidFill>
              <w14:schemeClr w14:val="tx1"/>
            </w14:solidFill>
          </w14:textFill>
        </w:rPr>
        <w:t xml:space="preserve">   护理PDA   </w:t>
      </w:r>
      <w:r>
        <w:rPr>
          <w:rFonts w:hint="eastAsia"/>
          <w:color w:val="000000" w:themeColor="text1"/>
          <w:sz w:val="21"/>
          <w:szCs w:val="21"/>
          <w:highlight w:val="none"/>
          <w14:textFill>
            <w14:solidFill>
              <w14:schemeClr w14:val="tx1"/>
            </w14:solidFill>
          </w14:textFill>
        </w:rPr>
        <w:t>，属于</w:t>
      </w:r>
      <w:r>
        <w:rPr>
          <w:rFonts w:hint="eastAsia" w:cs="宋体"/>
          <w:i w:val="0"/>
          <w:iCs w:val="0"/>
          <w:color w:val="000000" w:themeColor="text1"/>
          <w:sz w:val="21"/>
          <w:szCs w:val="21"/>
          <w:highlight w:val="none"/>
          <w:u w:val="single"/>
          <w:lang w:eastAsia="zh-CN"/>
          <w14:textFill>
            <w14:solidFill>
              <w14:schemeClr w14:val="tx1"/>
            </w14:solidFill>
          </w14:textFill>
        </w:rPr>
        <w:t>工业</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rFonts w:hint="eastAsia" w:cs="宋体"/>
          <w:b w:val="0"/>
          <w:bCs w:val="0"/>
          <w:color w:val="000000" w:themeColor="text1"/>
          <w:sz w:val="21"/>
          <w:szCs w:val="21"/>
          <w:highlight w:val="none"/>
          <w:u w:val="single"/>
          <w:lang w:val="en-US" w:eastAsia="zh-CN"/>
          <w14:textFill>
            <w14:solidFill>
              <w14:schemeClr w14:val="tx1"/>
            </w14:solidFill>
          </w14:textFill>
        </w:rPr>
        <w:t xml:space="preserve">   移动护理车 </w:t>
      </w:r>
      <w:r>
        <w:rPr>
          <w:rFonts w:hint="eastAsia"/>
          <w:color w:val="000000" w:themeColor="text1"/>
          <w:sz w:val="21"/>
          <w:szCs w:val="21"/>
          <w:highlight w:val="none"/>
          <w14:textFill>
            <w14:solidFill>
              <w14:schemeClr w14:val="tx1"/>
            </w14:solidFill>
          </w14:textFill>
        </w:rPr>
        <w:t>，属于</w:t>
      </w:r>
      <w:r>
        <w:rPr>
          <w:rFonts w:hint="eastAsia" w:cs="宋体"/>
          <w:i w:val="0"/>
          <w:iCs w:val="0"/>
          <w:color w:val="000000" w:themeColor="text1"/>
          <w:sz w:val="21"/>
          <w:szCs w:val="21"/>
          <w:highlight w:val="none"/>
          <w:u w:val="single"/>
          <w:lang w:eastAsia="zh-CN"/>
          <w14:textFill>
            <w14:solidFill>
              <w14:schemeClr w14:val="tx1"/>
            </w14:solidFill>
          </w14:textFill>
        </w:rPr>
        <w:t>工业</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highlight w:val="none"/>
          <w:u w:val="single"/>
          <w:lang w:val="en-US" w:eastAsia="zh-CN"/>
          <w14:textFill>
            <w14:solidFill>
              <w14:schemeClr w14:val="tx1"/>
            </w14:solidFill>
          </w14:textFill>
        </w:rPr>
        <w:t xml:space="preserve">  智慧交互屏  </w:t>
      </w:r>
      <w:r>
        <w:rPr>
          <w:rFonts w:hint="eastAsia"/>
          <w:color w:val="000000" w:themeColor="text1"/>
          <w:sz w:val="21"/>
          <w:szCs w:val="21"/>
          <w:highlight w:val="none"/>
          <w:u w:val="single"/>
          <w14:textFill>
            <w14:solidFill>
              <w14:schemeClr w14:val="tx1"/>
            </w14:solidFill>
          </w14:textFill>
        </w:rPr>
        <w:t>，</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工业</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u w:val="none"/>
          <w:lang w:val="en-US" w:eastAsia="zh-CN"/>
          <w14:textFill>
            <w14:solidFill>
              <w14:schemeClr w14:val="tx1"/>
            </w14:solidFill>
          </w14:textFill>
        </w:rPr>
        <w:t>4、</w:t>
      </w:r>
      <w:r>
        <w:rPr>
          <w:rFonts w:hint="eastAsia"/>
          <w:color w:val="000000" w:themeColor="text1"/>
          <w:sz w:val="21"/>
          <w:szCs w:val="21"/>
          <w:highlight w:val="none"/>
          <w:u w:val="single"/>
          <w:lang w:val="en-US" w:eastAsia="zh-CN"/>
          <w14:textFill>
            <w14:solidFill>
              <w14:schemeClr w14:val="tx1"/>
            </w14:solidFill>
          </w14:textFill>
        </w:rPr>
        <w:t xml:space="preserve">   全局负载均衡   </w:t>
      </w:r>
      <w:r>
        <w:rPr>
          <w:rFonts w:hint="eastAsia"/>
          <w:color w:val="000000" w:themeColor="text1"/>
          <w:sz w:val="21"/>
          <w:szCs w:val="21"/>
          <w:highlight w:val="none"/>
          <w14:textFill>
            <w14:solidFill>
              <w14:schemeClr w14:val="tx1"/>
            </w14:solidFill>
          </w14:textFill>
        </w:rPr>
        <w:t>，属于</w:t>
      </w:r>
      <w:r>
        <w:rPr>
          <w:rFonts w:hint="eastAsia" w:cs="宋体"/>
          <w:i w:val="0"/>
          <w:iCs w:val="0"/>
          <w:color w:val="000000" w:themeColor="text1"/>
          <w:sz w:val="21"/>
          <w:szCs w:val="21"/>
          <w:highlight w:val="none"/>
          <w:u w:val="single"/>
          <w:lang w:eastAsia="zh-CN"/>
          <w14:textFill>
            <w14:solidFill>
              <w14:schemeClr w14:val="tx1"/>
            </w14:solidFill>
          </w14:textFill>
        </w:rPr>
        <w:t>工业</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u w:val="single"/>
          <w:lang w:val="en-US" w:eastAsia="zh-CN"/>
          <w14:textFill>
            <w14:solidFill>
              <w14:schemeClr w14:val="tx1"/>
            </w14:solidFill>
          </w14:textFill>
        </w:rPr>
        <w:t xml:space="preserve">   移动终端安全扩充点位加更新设备 </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工业</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u w:val="single"/>
          <w:lang w:val="en-US" w:eastAsia="zh-CN"/>
          <w14:textFill>
            <w14:solidFill>
              <w14:schemeClr w14:val="tx1"/>
            </w14:solidFill>
          </w14:textFill>
        </w:rPr>
        <w:t xml:space="preserve"> 数据中心网络扩容  </w:t>
      </w:r>
      <w:r>
        <w:rPr>
          <w:rFonts w:hint="eastAsia"/>
          <w:color w:val="000000" w:themeColor="text1"/>
          <w:sz w:val="21"/>
          <w:szCs w:val="21"/>
          <w:highlight w:val="none"/>
          <w:u w:val="single"/>
          <w14:textFill>
            <w14:solidFill>
              <w14:schemeClr w14:val="tx1"/>
            </w14:solidFill>
          </w14:textFill>
        </w:rPr>
        <w:t>，</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软件和信息技术服务</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u w:val="single"/>
          <w:lang w:val="en-US" w:eastAsia="zh-CN"/>
          <w14:textFill>
            <w14:solidFill>
              <w14:schemeClr w14:val="tx1"/>
            </w14:solidFill>
          </w14:textFill>
        </w:rPr>
        <w:t xml:space="preserve"> 楼层网络扩容  </w:t>
      </w:r>
      <w:r>
        <w:rPr>
          <w:rFonts w:hint="eastAsia"/>
          <w:color w:val="000000" w:themeColor="text1"/>
          <w:sz w:val="21"/>
          <w:szCs w:val="21"/>
          <w:highlight w:val="none"/>
          <w:u w:val="single"/>
          <w14:textFill>
            <w14:solidFill>
              <w14:schemeClr w14:val="tx1"/>
            </w14:solidFill>
          </w14:textFill>
        </w:rPr>
        <w:t>，</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软件和信息技术服务</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8</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u w:val="single"/>
          <w:lang w:val="en-US" w:eastAsia="zh-CN"/>
          <w14:textFill>
            <w14:solidFill>
              <w14:schemeClr w14:val="tx1"/>
            </w14:solidFill>
          </w14:textFill>
        </w:rPr>
        <w:t xml:space="preserve">   容灾备份系统（虚拟化）的扩容  </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软件和信息技术服务</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9</w:t>
      </w:r>
      <w:r>
        <w:rPr>
          <w:rFonts w:hint="eastAsia"/>
          <w:color w:val="000000" w:themeColor="text1"/>
          <w:sz w:val="21"/>
          <w:szCs w:val="21"/>
          <w:highlight w:val="none"/>
          <w14:textFill>
            <w14:solidFill>
              <w14:schemeClr w14:val="tx1"/>
            </w14:solidFill>
          </w14:textFill>
        </w:rPr>
        <w:t>、</w:t>
      </w:r>
      <w:r>
        <w:rPr>
          <w:rFonts w:hint="eastAsia" w:cs="宋体"/>
          <w:b w:val="0"/>
          <w:bCs w:val="0"/>
          <w:color w:val="000000" w:themeColor="text1"/>
          <w:sz w:val="21"/>
          <w:szCs w:val="21"/>
          <w:u w:val="single"/>
          <w:lang w:val="en-US" w:eastAsia="zh-CN"/>
          <w14:textFill>
            <w14:solidFill>
              <w14:schemeClr w14:val="tx1"/>
            </w14:solidFill>
          </w14:textFill>
        </w:rPr>
        <w:t xml:space="preserve">   服务器防病毒系统  </w:t>
      </w:r>
      <w:r>
        <w:rPr>
          <w:rFonts w:hint="eastAsia"/>
          <w:color w:val="000000" w:themeColor="text1"/>
          <w:sz w:val="21"/>
          <w:szCs w:val="21"/>
          <w:highlight w:val="none"/>
          <w14:textFill>
            <w14:solidFill>
              <w14:schemeClr w14:val="tx1"/>
            </w14:solidFill>
          </w14:textFill>
        </w:rPr>
        <w:t>，属于</w:t>
      </w:r>
      <w:r>
        <w:rPr>
          <w:rFonts w:hint="eastAsia"/>
          <w:color w:val="000000" w:themeColor="text1"/>
          <w:sz w:val="21"/>
          <w:szCs w:val="21"/>
          <w:highlight w:val="none"/>
          <w:u w:val="single"/>
          <w:lang w:eastAsia="zh-CN"/>
          <w14:textFill>
            <w14:solidFill>
              <w14:schemeClr w14:val="tx1"/>
            </w14:solidFill>
          </w14:textFill>
        </w:rPr>
        <w:t>软件和信息技术服务</w:t>
      </w:r>
      <w:r>
        <w:rPr>
          <w:rFonts w:hint="eastAsia"/>
          <w:color w:val="000000" w:themeColor="text1"/>
          <w:sz w:val="21"/>
          <w:szCs w:val="21"/>
          <w:highlight w:val="none"/>
          <w14:textFill>
            <w14:solidFill>
              <w14:schemeClr w14:val="tx1"/>
            </w14:solidFill>
          </w14:textFill>
        </w:rPr>
        <w:t>行业；制造商为</w:t>
      </w:r>
      <w:r>
        <w:rPr>
          <w:rStyle w:val="57"/>
          <w:rFonts w:hint="eastAsia"/>
          <w:color w:val="000000" w:themeColor="text1"/>
          <w:sz w:val="21"/>
          <w:szCs w:val="21"/>
          <w:highlight w:val="none"/>
          <w:u w:val="single"/>
          <w14:textFill>
            <w14:solidFill>
              <w14:schemeClr w14:val="tx1"/>
            </w14:solidFill>
          </w14:textFill>
        </w:rPr>
        <w:t>（企业名称）</w:t>
      </w:r>
      <w:r>
        <w:rPr>
          <w:rFonts w:hint="eastAsia"/>
          <w:color w:val="000000" w:themeColor="text1"/>
          <w:sz w:val="21"/>
          <w:szCs w:val="21"/>
          <w:highlight w:val="none"/>
          <w14:textFill>
            <w14:solidFill>
              <w14:schemeClr w14:val="tx1"/>
            </w14:solidFill>
          </w14:textFill>
        </w:rPr>
        <w:t>，从业人员</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人，营业收入为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万元，资产总额为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万元，属于</w:t>
      </w:r>
      <w:r>
        <w:rPr>
          <w:rStyle w:val="57"/>
          <w:rFonts w:hint="eastAsia"/>
          <w:color w:val="000000" w:themeColor="text1"/>
          <w:sz w:val="21"/>
          <w:szCs w:val="21"/>
          <w:highlight w:val="none"/>
          <w:u w:val="single"/>
          <w14:textFill>
            <w14:solidFill>
              <w14:schemeClr w14:val="tx1"/>
            </w14:solidFill>
          </w14:textFill>
        </w:rPr>
        <w:t>（中型企业、小型企业、微型企业）</w:t>
      </w: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p>
    <w:p>
      <w:pPr>
        <w:pStyle w:val="45"/>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eastAsia="zh-CN"/>
          <w14:textFill>
            <w14:solidFill>
              <w14:schemeClr w14:val="tx1"/>
            </w14:solidFill>
          </w14:textFill>
        </w:rPr>
        <w:t>（供应商应当根据采购产品清单逐项对所投产品的制造商进行填报）</w:t>
      </w:r>
    </w:p>
    <w:p>
      <w:pPr>
        <w:pStyle w:val="21"/>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以上企业，不属于大企业的分支机构，不存在控股股东为大企业的情形，也不存在与大企业的负责人为同一人的情形。</w:t>
      </w:r>
    </w:p>
    <w:p>
      <w:pPr>
        <w:pStyle w:val="21"/>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本企业对上述声明内容的真实性负责。如有虚假，将依法承担相应责任。</w:t>
      </w:r>
    </w:p>
    <w:p>
      <w:pPr>
        <w:pStyle w:val="21"/>
        <w:keepNext w:val="0"/>
        <w:keepLines w:val="0"/>
        <w:pageBreakBefore w:val="0"/>
        <w:kinsoku/>
        <w:wordWrap/>
        <w:overflowPunct/>
        <w:topLinePunct w:val="0"/>
        <w:autoSpaceDE/>
        <w:autoSpaceDN/>
        <w:bidi w:val="0"/>
        <w:adjustRightInd/>
        <w:snapToGrid/>
        <w:spacing w:line="400" w:lineRule="exact"/>
        <w:ind w:firstLine="2784" w:firstLineChars="1600"/>
        <w:jc w:val="left"/>
        <w:textAlignment w:val="auto"/>
        <w:rPr>
          <w:rFonts w:hint="eastAsia" w:cs="宋体"/>
          <w:color w:val="000000" w:themeColor="text1"/>
          <w:spacing w:val="-18"/>
          <w:sz w:val="21"/>
          <w:szCs w:val="21"/>
          <w:highlight w:val="none"/>
          <w14:textFill>
            <w14:solidFill>
              <w14:schemeClr w14:val="tx1"/>
            </w14:solidFill>
          </w14:textFill>
        </w:rPr>
      </w:pPr>
    </w:p>
    <w:p>
      <w:pPr>
        <w:pStyle w:val="21"/>
        <w:keepNext w:val="0"/>
        <w:keepLines w:val="0"/>
        <w:pageBreakBefore w:val="0"/>
        <w:kinsoku/>
        <w:wordWrap/>
        <w:overflowPunct/>
        <w:topLinePunct w:val="0"/>
        <w:autoSpaceDE/>
        <w:autoSpaceDN/>
        <w:bidi w:val="0"/>
        <w:adjustRightInd/>
        <w:snapToGrid/>
        <w:spacing w:line="400" w:lineRule="exact"/>
        <w:jc w:val="left"/>
        <w:textAlignment w:val="auto"/>
        <w:rPr>
          <w:rFonts w:hint="eastAsia" w:cs="宋体"/>
          <w:color w:val="000000" w:themeColor="text1"/>
          <w:spacing w:val="-18"/>
          <w:sz w:val="21"/>
          <w:szCs w:val="21"/>
          <w:highlight w:val="none"/>
          <w:lang w:eastAsia="zh-CN"/>
          <w14:textFill>
            <w14:solidFill>
              <w14:schemeClr w14:val="tx1"/>
            </w14:solidFill>
          </w14:textFill>
        </w:rPr>
      </w:pPr>
    </w:p>
    <w:p>
      <w:pPr>
        <w:pStyle w:val="21"/>
        <w:keepNext w:val="0"/>
        <w:keepLines w:val="0"/>
        <w:pageBreakBefore w:val="0"/>
        <w:kinsoku/>
        <w:wordWrap/>
        <w:overflowPunct/>
        <w:topLinePunct w:val="0"/>
        <w:autoSpaceDE/>
        <w:autoSpaceDN/>
        <w:bidi w:val="0"/>
        <w:adjustRightInd/>
        <w:snapToGrid/>
        <w:spacing w:line="400" w:lineRule="exact"/>
        <w:jc w:val="left"/>
        <w:textAlignment w:val="auto"/>
        <w:rPr>
          <w:rFonts w:hint="eastAsia" w:cs="宋体"/>
          <w:color w:val="000000" w:themeColor="text1"/>
          <w:spacing w:val="-18"/>
          <w:sz w:val="21"/>
          <w:szCs w:val="21"/>
          <w:highlight w:val="none"/>
          <w:lang w:eastAsia="zh-CN"/>
          <w14:textFill>
            <w14:solidFill>
              <w14:schemeClr w14:val="tx1"/>
            </w14:solidFill>
          </w14:textFill>
        </w:rPr>
      </w:pPr>
    </w:p>
    <w:p>
      <w:pPr>
        <w:pStyle w:val="21"/>
        <w:keepNext w:val="0"/>
        <w:keepLines w:val="0"/>
        <w:pageBreakBefore w:val="0"/>
        <w:kinsoku/>
        <w:wordWrap/>
        <w:overflowPunct/>
        <w:topLinePunct w:val="0"/>
        <w:autoSpaceDE/>
        <w:autoSpaceDN/>
        <w:bidi w:val="0"/>
        <w:adjustRightInd/>
        <w:snapToGrid/>
        <w:spacing w:line="400" w:lineRule="exact"/>
        <w:jc w:val="left"/>
        <w:textAlignment w:val="auto"/>
        <w:rPr>
          <w:rFonts w:hint="eastAsia" w:cs="宋体"/>
          <w:color w:val="000000" w:themeColor="text1"/>
          <w:spacing w:val="-18"/>
          <w:sz w:val="21"/>
          <w:szCs w:val="21"/>
          <w:highlight w:val="none"/>
          <w14:textFill>
            <w14:solidFill>
              <w14:schemeClr w14:val="tx1"/>
            </w14:solidFill>
          </w14:textFill>
        </w:rPr>
      </w:pPr>
      <w:r>
        <w:rPr>
          <w:rFonts w:hint="eastAsia" w:cs="宋体"/>
          <w:color w:val="000000" w:themeColor="text1"/>
          <w:spacing w:val="-18"/>
          <w:sz w:val="21"/>
          <w:szCs w:val="21"/>
          <w:highlight w:val="none"/>
          <w:lang w:eastAsia="zh-CN"/>
          <w14:textFill>
            <w14:solidFill>
              <w14:schemeClr w14:val="tx1"/>
            </w14:solidFill>
          </w14:textFill>
        </w:rPr>
        <w:t>供应商</w:t>
      </w:r>
      <w:r>
        <w:rPr>
          <w:rFonts w:hint="eastAsia" w:cs="宋体"/>
          <w:color w:val="000000" w:themeColor="text1"/>
          <w:spacing w:val="-18"/>
          <w:sz w:val="21"/>
          <w:szCs w:val="21"/>
          <w:highlight w:val="none"/>
          <w14:textFill>
            <w14:solidFill>
              <w14:schemeClr w14:val="tx1"/>
            </w14:solidFill>
          </w14:textFill>
        </w:rPr>
        <w:t>名称（盖章）：</w:t>
      </w:r>
    </w:p>
    <w:p>
      <w:pPr>
        <w:pStyle w:val="21"/>
        <w:keepNext w:val="0"/>
        <w:keepLines w:val="0"/>
        <w:pageBreakBefore w:val="0"/>
        <w:kinsoku/>
        <w:wordWrap/>
        <w:overflowPunct/>
        <w:topLinePunct w:val="0"/>
        <w:autoSpaceDE/>
        <w:autoSpaceDN/>
        <w:bidi w:val="0"/>
        <w:adjustRightInd/>
        <w:snapToGrid/>
        <w:spacing w:line="400" w:lineRule="exact"/>
        <w:jc w:val="left"/>
        <w:textAlignment w:val="auto"/>
        <w:rPr>
          <w:rFonts w:hint="eastAsia"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日</w:t>
      </w:r>
      <w:r>
        <w:rPr>
          <w:rFonts w:hint="eastAsia" w:cs="宋体"/>
          <w:color w:val="000000" w:themeColor="text1"/>
          <w:spacing w:val="-91"/>
          <w:sz w:val="21"/>
          <w:szCs w:val="21"/>
          <w:highlight w:val="none"/>
          <w14:textFill>
            <w14:solidFill>
              <w14:schemeClr w14:val="tx1"/>
            </w14:solidFill>
          </w14:textFill>
        </w:rPr>
        <w:t xml:space="preserve"> </w:t>
      </w:r>
      <w:r>
        <w:rPr>
          <w:rFonts w:hint="eastAsia" w:cs="宋体"/>
          <w:color w:val="000000" w:themeColor="text1"/>
          <w:sz w:val="21"/>
          <w:szCs w:val="21"/>
          <w:highlight w:val="none"/>
          <w14:textFill>
            <w14:solidFill>
              <w14:schemeClr w14:val="tx1"/>
            </w14:solidFill>
          </w14:textFill>
        </w:rPr>
        <w:t>期：</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注：从业人员、营业收入、资产总额填报上一年度数据，无上一年度数据的新成立企业可不填报。</w:t>
      </w:r>
      <w:r>
        <w:rPr>
          <w:rFonts w:ascii="宋体" w:hAnsi="宋体"/>
          <w:color w:val="000000" w:themeColor="text1"/>
          <w:szCs w:val="21"/>
          <w:highlight w:val="none"/>
          <w14:textFill>
            <w14:solidFill>
              <w14:schemeClr w14:val="tx1"/>
            </w14:solidFill>
          </w14:textFill>
        </w:rPr>
        <w:br w:type="page"/>
      </w:r>
      <w:r>
        <w:rPr>
          <w:rFonts w:hint="eastAsia" w:ascii="方正书宋简体" w:hAnsi="方正书宋简体"/>
          <w:b/>
          <w:bCs/>
          <w:color w:val="000000" w:themeColor="text1"/>
          <w:szCs w:val="21"/>
          <w:highlight w:val="none"/>
          <w:lang w:val="en-US" w:eastAsia="zh-CN"/>
          <w14:textFill>
            <w14:solidFill>
              <w14:schemeClr w14:val="tx1"/>
            </w14:solidFill>
          </w14:textFill>
        </w:rPr>
        <w:t>C</w:t>
      </w: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残疾人福利性单位声明函（如有需提供）</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本单位郑重声明，根据《财政部</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民政部</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中国残疾人联合会关于促进残疾人就业政府采购政策的通知》（财库〔</w:t>
      </w:r>
      <w:r>
        <w:rPr>
          <w:rFonts w:ascii="宋体" w:hAnsi="宋体"/>
          <w:color w:val="000000" w:themeColor="text1"/>
          <w:szCs w:val="21"/>
          <w:highlight w:val="none"/>
          <w14:textFill>
            <w14:solidFill>
              <w14:schemeClr w14:val="tx1"/>
            </w14:solidFill>
          </w14:textFill>
        </w:rPr>
        <w:t>2017</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141</w:t>
      </w:r>
      <w:r>
        <w:rPr>
          <w:rFonts w:hint="eastAsia" w:ascii="宋体" w:hAnsi="宋体"/>
          <w:color w:val="000000" w:themeColor="text1"/>
          <w:szCs w:val="21"/>
          <w:highlight w:val="none"/>
          <w14:textFill>
            <w14:solidFill>
              <w14:schemeClr w14:val="tx1"/>
            </w14:solidFill>
          </w14:textFill>
        </w:rPr>
        <w:t>号）的规定，本单位为符合条件的残疾人福利性单位，且本单位参加</w:t>
      </w:r>
      <w:r>
        <w:rPr>
          <w:rFonts w:ascii="宋体" w:hAnsi="宋体"/>
          <w:color w:val="000000" w:themeColor="text1"/>
          <w:szCs w:val="21"/>
          <w:highlight w:val="non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单位的</w:t>
      </w:r>
      <w:r>
        <w:rPr>
          <w:rFonts w:ascii="宋体" w:hAnsi="宋体"/>
          <w:color w:val="000000" w:themeColor="text1"/>
          <w:szCs w:val="21"/>
          <w:highlight w:val="non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项目采购活动提供本单位制造的货物（由本单位承担工程</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提供服务），或者提供其他残疾人福利性单位制造的货物（不包括使用非残疾人福利性单位注册商标的货物）。</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本单位对上述声明的真实性负责。如有虚假，将依法承担相应责任。</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单位名称（盖章）：</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期：</w:t>
      </w:r>
    </w:p>
    <w:p>
      <w:pPr>
        <w:spacing w:line="400" w:lineRule="exact"/>
        <w:rPr>
          <w:rFonts w:ascii="宋体" w:hAnsi="宋体"/>
          <w:b/>
          <w:color w:val="000000" w:themeColor="text1"/>
          <w:szCs w:val="21"/>
          <w:highlight w:val="none"/>
          <w14:textFill>
            <w14:solidFill>
              <w14:schemeClr w14:val="tx1"/>
            </w14:solidFill>
          </w14:textFill>
        </w:rPr>
      </w:pPr>
    </w:p>
    <w:p>
      <w:pPr>
        <w:pStyle w:val="8"/>
        <w:rPr>
          <w:rFonts w:eastAsia="等线"/>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享受政府采购支持政策的残疾人福利性单位应当同时满足以下条件：</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（一）安置的残疾人占本单位在职职工人数的比例不低于</w:t>
      </w:r>
      <w:r>
        <w:rPr>
          <w:rFonts w:ascii="宋体" w:hAnsi="宋体"/>
          <w:color w:val="000000" w:themeColor="text1"/>
          <w:szCs w:val="21"/>
          <w:highlight w:val="none"/>
          <w14:textFill>
            <w14:solidFill>
              <w14:schemeClr w14:val="tx1"/>
            </w14:solidFill>
          </w14:textFill>
        </w:rPr>
        <w:t>25%</w:t>
      </w:r>
      <w:r>
        <w:rPr>
          <w:rFonts w:hint="eastAsia" w:ascii="宋体" w:hAnsi="宋体"/>
          <w:color w:val="000000" w:themeColor="text1"/>
          <w:szCs w:val="21"/>
          <w:highlight w:val="none"/>
          <w14:textFill>
            <w14:solidFill>
              <w14:schemeClr w14:val="tx1"/>
            </w14:solidFill>
          </w14:textFill>
        </w:rPr>
        <w:t>（含</w:t>
      </w:r>
      <w:r>
        <w:rPr>
          <w:rFonts w:ascii="宋体" w:hAnsi="宋体"/>
          <w:color w:val="000000" w:themeColor="text1"/>
          <w:szCs w:val="21"/>
          <w:highlight w:val="none"/>
          <w14:textFill>
            <w14:solidFill>
              <w14:schemeClr w14:val="tx1"/>
            </w14:solidFill>
          </w14:textFill>
        </w:rPr>
        <w:t>25%</w:t>
      </w:r>
      <w:r>
        <w:rPr>
          <w:rFonts w:hint="eastAsia" w:ascii="宋体" w:hAnsi="宋体"/>
          <w:color w:val="000000" w:themeColor="text1"/>
          <w:szCs w:val="21"/>
          <w:highlight w:val="none"/>
          <w14:textFill>
            <w14:solidFill>
              <w14:schemeClr w14:val="tx1"/>
            </w14:solidFill>
          </w14:textFill>
        </w:rPr>
        <w:t>），并且安置的残疾人人数不少于</w:t>
      </w:r>
      <w:r>
        <w:rPr>
          <w:rFonts w:ascii="宋体" w:hAnsi="宋体"/>
          <w:color w:val="000000" w:themeColor="text1"/>
          <w:szCs w:val="21"/>
          <w:highlight w:val="none"/>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人（含</w:t>
      </w:r>
      <w:r>
        <w:rPr>
          <w:rFonts w:ascii="宋体" w:hAnsi="宋体"/>
          <w:color w:val="000000" w:themeColor="text1"/>
          <w:szCs w:val="21"/>
          <w:highlight w:val="none"/>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人）；</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（二）依法与安置的每位残疾人签订了一年以上（含一年）的劳动合同或服务协议；</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（三）为安置的每位残疾人按月足额缴纳了基本养老保险、基本医疗保险、失业保险、工伤保险和生育保险等社会保险费；</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前款所称残疾人是指法定劳动年龄内，持有《中华人民共和国残疾人证》或者《中华人民共和国残疾军人证（</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至</w:t>
      </w:r>
      <w:r>
        <w:rPr>
          <w:rFonts w:ascii="宋体" w:hAnsi="宋体"/>
          <w:color w:val="000000" w:themeColor="text1"/>
          <w:szCs w:val="21"/>
          <w:highlight w:val="none"/>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级）》的自然人，包括具有劳动条件和劳动意愿的精神残疾人。在职职工人数是指与残疾人福利性单位建立劳动关系并依法签订劳动合同或者服务协议的雇员人数。</w:t>
      </w:r>
    </w:p>
    <w:p>
      <w:pPr>
        <w:spacing w:line="400" w:lineRule="exact"/>
        <w:rPr>
          <w:rFonts w:ascii="宋体" w:hAnsi="宋体"/>
          <w:color w:val="000000" w:themeColor="text1"/>
          <w:szCs w:val="21"/>
          <w:highlight w:val="none"/>
          <w14:textFill>
            <w14:solidFill>
              <w14:schemeClr w14:val="tx1"/>
            </w14:solidFill>
          </w14:textFill>
        </w:rPr>
      </w:pPr>
    </w:p>
    <w:p>
      <w:pPr>
        <w:jc w:val="center"/>
        <w:rPr>
          <w:rFonts w:hint="eastAsia" w:ascii="宋体" w:hAnsi="宋体"/>
          <w:b/>
          <w:color w:val="000000" w:themeColor="text1"/>
          <w:szCs w:val="21"/>
          <w:highlight w:val="none"/>
          <w14:textFill>
            <w14:solidFill>
              <w14:schemeClr w14:val="tx1"/>
            </w14:solidFill>
          </w14:textFill>
        </w:rPr>
      </w:pPr>
      <w:r>
        <w:rPr>
          <w:rStyle w:val="138"/>
          <w:rFonts w:ascii="宋体" w:hAnsi="宋体" w:eastAsia="宋体"/>
          <w:color w:val="000000" w:themeColor="text1"/>
          <w:sz w:val="21"/>
          <w:szCs w:val="21"/>
          <w:highlight w:val="none"/>
          <w14:textFill>
            <w14:solidFill>
              <w14:schemeClr w14:val="tx1"/>
            </w14:solidFill>
          </w14:textFill>
        </w:rPr>
        <w:br w:type="page"/>
      </w:r>
      <w:r>
        <w:rPr>
          <w:rFonts w:hint="eastAsia" w:ascii="方正书宋简体" w:hAnsi="方正书宋简体"/>
          <w:b/>
          <w:bCs/>
          <w:color w:val="000000" w:themeColor="text1"/>
          <w:szCs w:val="21"/>
          <w:highlight w:val="none"/>
          <w:lang w:val="en-US" w:eastAsia="zh-CN"/>
          <w14:textFill>
            <w14:solidFill>
              <w14:schemeClr w14:val="tx1"/>
            </w14:solidFill>
          </w14:textFill>
        </w:rPr>
        <w:t>C</w:t>
      </w:r>
      <w:r>
        <w:rPr>
          <w:rFonts w:hint="eastAsia" w:ascii="宋体" w:hAnsi="宋体"/>
          <w:b/>
          <w:color w:val="000000" w:themeColor="text1"/>
          <w:szCs w:val="21"/>
          <w:highlight w:val="none"/>
          <w:lang w:val="en-US" w:eastAsia="zh-CN"/>
          <w14:textFill>
            <w14:solidFill>
              <w14:schemeClr w14:val="tx1"/>
            </w14:solidFill>
          </w14:textFill>
        </w:rPr>
        <w:t>5</w:t>
      </w:r>
      <w:r>
        <w:rPr>
          <w:rFonts w:hint="eastAsia" w:ascii="宋体" w:hAnsi="宋体"/>
          <w:b/>
          <w:color w:val="000000" w:themeColor="text1"/>
          <w:szCs w:val="21"/>
          <w:highlight w:val="none"/>
          <w:lang w:eastAsia="zh-CN"/>
          <w14:textFill>
            <w14:solidFill>
              <w14:schemeClr w14:val="tx1"/>
            </w14:solidFill>
          </w14:textFill>
        </w:rPr>
        <w:t>监狱企业证明资料</w:t>
      </w:r>
      <w:r>
        <w:rPr>
          <w:rFonts w:hint="eastAsia" w:ascii="宋体" w:hAnsi="宋体"/>
          <w:b/>
          <w:color w:val="000000" w:themeColor="text1"/>
          <w:szCs w:val="21"/>
          <w:highlight w:val="none"/>
          <w14:textFill>
            <w14:solidFill>
              <w14:schemeClr w14:val="tx1"/>
            </w14:solidFill>
          </w14:textFill>
        </w:rPr>
        <w:t>（如有需提供）</w:t>
      </w:r>
    </w:p>
    <w:p>
      <w:pPr>
        <w:rPr>
          <w:rStyle w:val="138"/>
          <w:rFonts w:ascii="宋体" w:hAnsi="宋体" w:eastAsia="宋体"/>
          <w:color w:val="000000" w:themeColor="text1"/>
          <w:sz w:val="21"/>
          <w:szCs w:val="21"/>
          <w:highlight w:val="none"/>
          <w14:textFill>
            <w14:solidFill>
              <w14:schemeClr w14:val="tx1"/>
            </w14:solidFill>
          </w14:textFill>
        </w:rPr>
      </w:pPr>
      <w:r>
        <w:rPr>
          <w:rStyle w:val="138"/>
          <w:rFonts w:ascii="宋体" w:hAnsi="宋体" w:eastAsia="宋体"/>
          <w:color w:val="000000" w:themeColor="text1"/>
          <w:sz w:val="21"/>
          <w:szCs w:val="21"/>
          <w:highlight w:val="none"/>
          <w14:textFill>
            <w14:solidFill>
              <w14:schemeClr w14:val="tx1"/>
            </w14:solidFill>
          </w14:textFill>
        </w:rPr>
        <w:br w:type="page"/>
      </w:r>
    </w:p>
    <w:p>
      <w:pPr>
        <w:rPr>
          <w:rFonts w:hint="eastAsia" w:ascii="方正书宋简体" w:hAnsi="方正书宋简体"/>
          <w:b/>
          <w:bCs/>
          <w:color w:val="000000" w:themeColor="text1"/>
          <w:szCs w:val="21"/>
          <w:highlight w:val="none"/>
          <w:lang w:val="en-US" w:eastAsia="zh-CN"/>
          <w14:textFill>
            <w14:solidFill>
              <w14:schemeClr w14:val="tx1"/>
            </w14:solidFill>
          </w14:textFill>
        </w:rPr>
      </w:pPr>
    </w:p>
    <w:p>
      <w:pPr>
        <w:spacing w:line="400" w:lineRule="exact"/>
        <w:jc w:val="center"/>
        <w:rPr>
          <w:rFonts w:ascii="宋体" w:hAnsi="宋体"/>
          <w:b/>
          <w:color w:val="000000" w:themeColor="text1"/>
          <w:szCs w:val="21"/>
          <w:highlight w:val="none"/>
          <w14:textFill>
            <w14:solidFill>
              <w14:schemeClr w14:val="tx1"/>
            </w14:solidFill>
          </w14:textFill>
        </w:rPr>
      </w:pPr>
      <w:r>
        <w:rPr>
          <w:rFonts w:hint="eastAsia" w:ascii="方正书宋简体" w:hAnsi="方正书宋简体"/>
          <w:b/>
          <w:bCs/>
          <w:color w:val="000000" w:themeColor="text1"/>
          <w:szCs w:val="21"/>
          <w:highlight w:val="none"/>
          <w:lang w:val="en-US" w:eastAsia="zh-CN"/>
          <w14:textFill>
            <w14:solidFill>
              <w14:schemeClr w14:val="tx1"/>
            </w14:solidFill>
          </w14:textFill>
        </w:rPr>
        <w:t>C</w:t>
      </w:r>
      <w:r>
        <w:rPr>
          <w:rFonts w:hint="eastAsia" w:ascii="宋体" w:hAnsi="宋体"/>
          <w:b/>
          <w:color w:val="000000" w:themeColor="text1"/>
          <w:szCs w:val="21"/>
          <w:highlight w:val="none"/>
          <w:lang w:val="en-US" w:eastAsia="zh-CN"/>
          <w14:textFill>
            <w14:solidFill>
              <w14:schemeClr w14:val="tx1"/>
            </w14:solidFill>
          </w14:textFill>
        </w:rPr>
        <w:t>6</w:t>
      </w:r>
      <w:r>
        <w:rPr>
          <w:rFonts w:hint="eastAsia" w:ascii="宋体" w:hAnsi="宋体"/>
          <w:b/>
          <w:color w:val="000000" w:themeColor="text1"/>
          <w:szCs w:val="21"/>
          <w:highlight w:val="none"/>
          <w14:textFill>
            <w14:solidFill>
              <w14:schemeClr w14:val="tx1"/>
            </w14:solidFill>
          </w14:textFill>
        </w:rPr>
        <w:t xml:space="preserve"> 供应商认为需要的其他资料（如有需提供）</w:t>
      </w:r>
    </w:p>
    <w:p>
      <w:pPr>
        <w:spacing w:line="400" w:lineRule="exact"/>
        <w:ind w:firstLine="474" w:firstLineChars="200"/>
        <w:rPr>
          <w:rFonts w:ascii="宋体" w:hAnsi="宋体"/>
          <w:color w:val="000000" w:themeColor="text1"/>
          <w:szCs w:val="21"/>
          <w:highlight w:val="none"/>
          <w14:textFill>
            <w14:solidFill>
              <w14:schemeClr w14:val="tx1"/>
            </w14:solidFill>
          </w14:textFill>
        </w:rPr>
      </w:pPr>
      <w:r>
        <w:rPr>
          <w:rStyle w:val="138"/>
          <w:rFonts w:ascii="宋体" w:hAnsi="宋体"/>
          <w:color w:val="000000" w:themeColor="text1"/>
          <w:szCs w:val="21"/>
          <w:highlight w:val="none"/>
          <w14:textFill>
            <w14:solidFill>
              <w14:schemeClr w14:val="tx1"/>
            </w14:solidFill>
          </w14:textFill>
        </w:rPr>
        <w:br w:type="page"/>
      </w:r>
    </w:p>
    <w:p>
      <w:pPr>
        <w:rPr>
          <w:rFonts w:ascii="宋体" w:hAnsi="宋体"/>
          <w:b/>
          <w:color w:val="000000" w:themeColor="text1"/>
          <w:szCs w:val="21"/>
          <w:highlight w:val="none"/>
          <w14:textFill>
            <w14:solidFill>
              <w14:schemeClr w14:val="tx1"/>
            </w14:solidFill>
          </w14:textFill>
        </w:rPr>
      </w:pPr>
    </w:p>
    <w:bookmarkEnd w:id="345"/>
    <w:bookmarkEnd w:id="346"/>
    <w:bookmarkEnd w:id="347"/>
    <w:p>
      <w:pPr>
        <w:autoSpaceDE w:val="0"/>
        <w:autoSpaceDN w:val="0"/>
        <w:adjustRightInd w:val="0"/>
        <w:spacing w:line="400" w:lineRule="exact"/>
        <w:jc w:val="center"/>
        <w:outlineLvl w:val="0"/>
        <w:rPr>
          <w:b/>
          <w:color w:val="000000" w:themeColor="text1"/>
          <w:highlight w:val="none"/>
          <w14:textFill>
            <w14:solidFill>
              <w14:schemeClr w14:val="tx1"/>
            </w14:solidFill>
          </w14:textFill>
        </w:rPr>
      </w:pPr>
      <w:bookmarkStart w:id="348" w:name="_Toc44162164"/>
      <w:bookmarkStart w:id="349" w:name="_Toc28120"/>
      <w:r>
        <w:rPr>
          <w:rFonts w:hint="eastAsia"/>
          <w:b/>
          <w:color w:val="000000" w:themeColor="text1"/>
          <w:highlight w:val="none"/>
          <w14:textFill>
            <w14:solidFill>
              <w14:schemeClr w14:val="tx1"/>
            </w14:solidFill>
          </w14:textFill>
        </w:rPr>
        <w:t>政府采购活动现场确认声明书</w:t>
      </w:r>
      <w:bookmarkEnd w:id="348"/>
      <w:bookmarkEnd w:id="349"/>
    </w:p>
    <w:p>
      <w:pPr>
        <w:pStyle w:val="154"/>
        <w:snapToGrid w:val="0"/>
        <w:spacing w:line="400" w:lineRule="exact"/>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致：采购人</w:t>
      </w:r>
    </w:p>
    <w:p>
      <w:pPr>
        <w:pStyle w:val="154"/>
        <w:snapToGrid w:val="0"/>
        <w:spacing w:line="400" w:lineRule="exact"/>
        <w:ind w:firstLine="420" w:firstLineChars="2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本人经由</w:t>
      </w:r>
      <w:r>
        <w:rPr>
          <w:rFonts w:hint="eastAsia" w:hAnsi="宋体" w:cs="宋体"/>
          <w:color w:val="000000" w:themeColor="text1"/>
          <w:szCs w:val="21"/>
          <w:highlight w:val="none"/>
          <w:u w:val="single"/>
          <w14:textFill>
            <w14:solidFill>
              <w14:schemeClr w14:val="tx1"/>
            </w14:solidFill>
          </w14:textFill>
        </w:rPr>
        <w:t>（供应商名称）</w:t>
      </w:r>
      <w:r>
        <w:rPr>
          <w:rFonts w:hint="eastAsia" w:hAnsi="宋体"/>
          <w:color w:val="000000" w:themeColor="text1"/>
          <w:szCs w:val="21"/>
          <w:highlight w:val="none"/>
          <w14:textFill>
            <w14:solidFill>
              <w14:schemeClr w14:val="tx1"/>
            </w14:solidFill>
          </w14:textFill>
        </w:rPr>
        <w:t>法人代表（负责人）</w:t>
      </w:r>
      <w:r>
        <w:rPr>
          <w:rFonts w:hint="eastAsia" w:hAnsi="宋体"/>
          <w:color w:val="000000" w:themeColor="text1"/>
          <w:szCs w:val="21"/>
          <w:highlight w:val="none"/>
          <w:u w:val="single"/>
          <w14:textFill>
            <w14:solidFill>
              <w14:schemeClr w14:val="tx1"/>
            </w14:solidFill>
          </w14:textFill>
        </w:rPr>
        <w:t>（姓名）</w:t>
      </w:r>
      <w:r>
        <w:rPr>
          <w:rFonts w:hint="eastAsia" w:hAnsi="宋体"/>
          <w:color w:val="000000" w:themeColor="text1"/>
          <w:szCs w:val="21"/>
          <w:highlight w:val="none"/>
          <w14:textFill>
            <w14:solidFill>
              <w14:schemeClr w14:val="tx1"/>
            </w14:solidFill>
          </w14:textFill>
        </w:rPr>
        <w:t>合法授权参加</w:t>
      </w:r>
      <w:r>
        <w:rPr>
          <w:rFonts w:hint="eastAsia" w:hAnsi="宋体"/>
          <w:color w:val="000000" w:themeColor="text1"/>
          <w:szCs w:val="21"/>
          <w:highlight w:val="none"/>
          <w:u w:val="single"/>
          <w:lang w:eastAsia="zh-CN"/>
          <w14:textFill>
            <w14:solidFill>
              <w14:schemeClr w14:val="tx1"/>
            </w14:solidFill>
          </w14:textFill>
        </w:rPr>
        <w:t>宁波大学附属第一医院智慧病房建设项目</w:t>
      </w:r>
      <w:r>
        <w:rPr>
          <w:rFonts w:hint="eastAsia" w:hAnsi="宋体"/>
          <w:color w:val="000000" w:themeColor="text1"/>
          <w:szCs w:val="21"/>
          <w:highlight w:val="none"/>
          <w14:textFill>
            <w14:solidFill>
              <w14:schemeClr w14:val="tx1"/>
            </w14:solidFill>
          </w14:textFill>
        </w:rPr>
        <w:t>（采购编号：</w:t>
      </w:r>
      <w:r>
        <w:rPr>
          <w:rFonts w:hint="eastAsia" w:hAnsi="宋体"/>
          <w:color w:val="000000" w:themeColor="text1"/>
          <w:szCs w:val="21"/>
          <w:highlight w:val="none"/>
          <w:u w:val="single"/>
          <w:lang w:eastAsia="zh-CN"/>
          <w14:textFill>
            <w14:solidFill>
              <w14:schemeClr w14:val="tx1"/>
            </w14:solidFill>
          </w14:textFill>
        </w:rPr>
        <w:t>NBITC-202311752G</w:t>
      </w:r>
      <w:r>
        <w:rPr>
          <w:rFonts w:hint="eastAsia" w:hAnsi="宋体"/>
          <w:color w:val="000000" w:themeColor="text1"/>
          <w:szCs w:val="21"/>
          <w:highlight w:val="none"/>
          <w14:textFill>
            <w14:solidFill>
              <w14:schemeClr w14:val="tx1"/>
            </w14:solidFill>
          </w14:textFill>
        </w:rPr>
        <w:t>）政府采购活动，经与本单位法人代表（负责人）联系确认，现就有关公平竞争事项郑重声明如下：</w:t>
      </w:r>
    </w:p>
    <w:p>
      <w:pPr>
        <w:pStyle w:val="62"/>
        <w:widowControl/>
        <w:numPr>
          <w:ilvl w:val="0"/>
          <w:numId w:val="7"/>
        </w:numPr>
        <w:snapToGrid w:val="0"/>
        <w:spacing w:line="400" w:lineRule="exact"/>
        <w:ind w:firstLine="396" w:firstLineChars="18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本单位与采购人之间</w:t>
      </w:r>
    </w:p>
    <w:p>
      <w:pPr>
        <w:pStyle w:val="62"/>
        <w:widowControl/>
        <w:snapToGrid w:val="0"/>
        <w:spacing w:line="400" w:lineRule="exact"/>
        <w:ind w:firstLine="425"/>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不存在利害关系</w:t>
      </w:r>
    </w:p>
    <w:p>
      <w:pPr>
        <w:pStyle w:val="62"/>
        <w:widowControl/>
        <w:snapToGrid w:val="0"/>
        <w:spacing w:line="400" w:lineRule="exact"/>
        <w:ind w:firstLine="425"/>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存在下列利害关系：</w:t>
      </w:r>
    </w:p>
    <w:p>
      <w:pPr>
        <w:pStyle w:val="62"/>
        <w:widowControl/>
        <w:snapToGrid w:val="0"/>
        <w:spacing w:line="400" w:lineRule="exact"/>
        <w:ind w:left="397" w:firstLine="28"/>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投资关系</w:t>
      </w:r>
      <w:r>
        <w:rPr>
          <w:rFonts w:ascii="宋体" w:hAnsi="宋体"/>
          <w:color w:val="000000" w:themeColor="text1"/>
          <w:szCs w:val="21"/>
          <w:highlight w:val="none"/>
          <w14:textFill>
            <w14:solidFill>
              <w14:schemeClr w14:val="tx1"/>
            </w14:solidFill>
          </w14:textFill>
        </w:rPr>
        <w:t xml:space="preserve">    B.</w:t>
      </w:r>
      <w:r>
        <w:rPr>
          <w:rFonts w:hint="eastAsia" w:ascii="宋体" w:hAnsi="宋体"/>
          <w:color w:val="000000" w:themeColor="text1"/>
          <w:szCs w:val="21"/>
          <w:highlight w:val="none"/>
          <w14:textFill>
            <w14:solidFill>
              <w14:schemeClr w14:val="tx1"/>
            </w14:solidFill>
          </w14:textFill>
        </w:rPr>
        <w:t>行政隶属关系</w:t>
      </w:r>
      <w:r>
        <w:rPr>
          <w:rFonts w:ascii="宋体" w:hAnsi="宋体"/>
          <w:color w:val="000000" w:themeColor="text1"/>
          <w:szCs w:val="21"/>
          <w:highlight w:val="none"/>
          <w14:textFill>
            <w14:solidFill>
              <w14:schemeClr w14:val="tx1"/>
            </w14:solidFill>
          </w14:textFill>
        </w:rPr>
        <w:t xml:space="preserve">    C.</w:t>
      </w:r>
      <w:r>
        <w:rPr>
          <w:rFonts w:hint="eastAsia" w:ascii="宋体" w:hAnsi="宋体"/>
          <w:color w:val="000000" w:themeColor="text1"/>
          <w:szCs w:val="21"/>
          <w:highlight w:val="none"/>
          <w14:textFill>
            <w14:solidFill>
              <w14:schemeClr w14:val="tx1"/>
            </w14:solidFill>
          </w14:textFill>
        </w:rPr>
        <w:t>业务指导关系</w:t>
      </w:r>
    </w:p>
    <w:p>
      <w:pPr>
        <w:pStyle w:val="62"/>
        <w:widowControl/>
        <w:snapToGrid w:val="0"/>
        <w:spacing w:line="400" w:lineRule="exact"/>
        <w:ind w:left="397" w:firstLine="23"/>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D.</w:t>
      </w:r>
      <w:r>
        <w:rPr>
          <w:rFonts w:hint="eastAsia" w:ascii="宋体" w:hAnsi="宋体"/>
          <w:color w:val="000000" w:themeColor="text1"/>
          <w:szCs w:val="21"/>
          <w:highlight w:val="none"/>
          <w14:textFill>
            <w14:solidFill>
              <w14:schemeClr w14:val="tx1"/>
            </w14:solidFill>
          </w14:textFill>
        </w:rPr>
        <w:t>其他可能影响采购公正的利害关系</w:t>
      </w:r>
      <w:r>
        <w:rPr>
          <w:rFonts w:hint="eastAsia" w:ascii="宋体" w:hAnsi="宋体"/>
          <w:color w:val="000000" w:themeColor="text1"/>
          <w:szCs w:val="21"/>
          <w:highlight w:val="none"/>
          <w:u w:val="single"/>
          <w14:textFill>
            <w14:solidFill>
              <w14:schemeClr w14:val="tx1"/>
            </w14:solidFill>
          </w14:textFill>
        </w:rPr>
        <w:t>（如有，请如实说明）</w:t>
      </w:r>
      <w:r>
        <w:rPr>
          <w:rFonts w:hint="eastAsia" w:ascii="宋体" w:hAnsi="宋体"/>
          <w:color w:val="000000" w:themeColor="text1"/>
          <w:szCs w:val="21"/>
          <w:highlight w:val="none"/>
          <w14:textFill>
            <w14:solidFill>
              <w14:schemeClr w14:val="tx1"/>
            </w14:solidFill>
          </w14:textFill>
        </w:rPr>
        <w:t>。</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二、现已清楚知道参加本项目采购活动的其他所有供应商名称，本单位</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□与其他所有供应商之间均</w:t>
      </w:r>
      <w:r>
        <w:rPr>
          <w:rFonts w:hint="eastAsia" w:ascii="宋体" w:hAnsi="宋体"/>
          <w:color w:val="000000" w:themeColor="text1"/>
          <w:szCs w:val="21"/>
          <w:highlight w:val="none"/>
          <w14:textFill>
            <w14:solidFill>
              <w14:schemeClr w14:val="tx1"/>
            </w14:solidFill>
          </w14:textFill>
        </w:rPr>
        <w:t>不存在利害关系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w:t>
      </w:r>
      <w:r>
        <w:rPr>
          <w:rFonts w:hint="eastAsia" w:ascii="宋体" w:hAnsi="宋体" w:cs="宋体"/>
          <w:color w:val="000000" w:themeColor="text1"/>
          <w:szCs w:val="21"/>
          <w:highlight w:val="none"/>
          <w:u w:val="single"/>
          <w14:textFill>
            <w14:solidFill>
              <w14:schemeClr w14:val="tx1"/>
            </w14:solidFill>
          </w14:textFill>
        </w:rPr>
        <w:t>（供应商名称）</w:t>
      </w:r>
      <w:r>
        <w:rPr>
          <w:rFonts w:hint="eastAsia" w:ascii="宋体" w:hAnsi="宋体" w:cs="宋体"/>
          <w:color w:val="000000" w:themeColor="text1"/>
          <w:szCs w:val="21"/>
          <w:highlight w:val="none"/>
          <w14:textFill>
            <w14:solidFill>
              <w14:schemeClr w14:val="tx1"/>
            </w14:solidFill>
          </w14:textFill>
        </w:rPr>
        <w:t>之间</w:t>
      </w:r>
      <w:r>
        <w:rPr>
          <w:rFonts w:hint="eastAsia" w:ascii="宋体" w:hAnsi="宋体"/>
          <w:color w:val="000000" w:themeColor="text1"/>
          <w:szCs w:val="21"/>
          <w:highlight w:val="none"/>
          <w14:textFill>
            <w14:solidFill>
              <w14:schemeClr w14:val="tx1"/>
            </w14:solidFill>
          </w14:textFill>
        </w:rPr>
        <w:t>存在下列利害关系：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法定代表人或负责人或实际控制人是同一人</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B.</w:t>
      </w:r>
      <w:r>
        <w:rPr>
          <w:rFonts w:hint="eastAsia" w:ascii="宋体" w:hAnsi="宋体"/>
          <w:color w:val="000000" w:themeColor="text1"/>
          <w:szCs w:val="21"/>
          <w:highlight w:val="none"/>
          <w14:textFill>
            <w14:solidFill>
              <w14:schemeClr w14:val="tx1"/>
            </w14:solidFill>
          </w14:textFill>
        </w:rPr>
        <w:t>法定代表人或负责人或实际控制人是夫妻关系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C.</w:t>
      </w:r>
      <w:r>
        <w:rPr>
          <w:rFonts w:hint="eastAsia" w:ascii="宋体" w:hAnsi="宋体"/>
          <w:color w:val="000000" w:themeColor="text1"/>
          <w:szCs w:val="21"/>
          <w:highlight w:val="none"/>
          <w14:textFill>
            <w14:solidFill>
              <w14:schemeClr w14:val="tx1"/>
            </w14:solidFill>
          </w14:textFill>
        </w:rPr>
        <w:t>法定代表人或负责人或实际控制人是直系血亲关系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D.</w:t>
      </w:r>
      <w:r>
        <w:rPr>
          <w:rFonts w:hint="eastAsia" w:ascii="宋体" w:hAnsi="宋体"/>
          <w:color w:val="000000" w:themeColor="text1"/>
          <w:szCs w:val="21"/>
          <w:highlight w:val="none"/>
          <w14:textFill>
            <w14:solidFill>
              <w14:schemeClr w14:val="tx1"/>
            </w14:solidFill>
          </w14:textFill>
        </w:rPr>
        <w:t>法定代表人或负责人或实际控制人存在三代以内旁系血亲关系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E.</w:t>
      </w:r>
      <w:r>
        <w:rPr>
          <w:rFonts w:hint="eastAsia" w:ascii="宋体" w:hAnsi="宋体"/>
          <w:color w:val="000000" w:themeColor="text1"/>
          <w:szCs w:val="21"/>
          <w:highlight w:val="none"/>
          <w14:textFill>
            <w14:solidFill>
              <w14:schemeClr w14:val="tx1"/>
            </w14:solidFill>
          </w14:textFill>
        </w:rPr>
        <w:t>法定代表人或负责人或实际控制人存在近姻亲关系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F.</w:t>
      </w:r>
      <w:r>
        <w:rPr>
          <w:rFonts w:hint="eastAsia" w:ascii="宋体" w:hAnsi="宋体"/>
          <w:color w:val="000000" w:themeColor="text1"/>
          <w:szCs w:val="21"/>
          <w:highlight w:val="none"/>
          <w14:textFill>
            <w14:solidFill>
              <w14:schemeClr w14:val="tx1"/>
            </w14:solidFill>
          </w14:textFill>
        </w:rPr>
        <w:t>法定代表人或负责人或实际控制人存在股份控制或实际控制关系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G.</w:t>
      </w:r>
      <w:r>
        <w:rPr>
          <w:rFonts w:hint="eastAsia" w:ascii="宋体" w:hAnsi="宋体"/>
          <w:color w:val="000000" w:themeColor="text1"/>
          <w:szCs w:val="21"/>
          <w:highlight w:val="none"/>
          <w14:textFill>
            <w14:solidFill>
              <w14:schemeClr w14:val="tx1"/>
            </w14:solidFill>
          </w14:textFill>
        </w:rPr>
        <w:t>存在共同直接或间接投资设立子公司、联营企业和合营企业情况</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H.</w:t>
      </w:r>
      <w:r>
        <w:rPr>
          <w:rFonts w:hint="eastAsia" w:ascii="宋体" w:hAnsi="宋体"/>
          <w:color w:val="000000" w:themeColor="text1"/>
          <w:szCs w:val="21"/>
          <w:highlight w:val="none"/>
          <w14:textFill>
            <w14:solidFill>
              <w14:schemeClr w14:val="tx1"/>
            </w14:solidFill>
          </w14:textFill>
        </w:rPr>
        <w:t>存在分级代理或代销关系、同一生产制造商关系、管理关系、重要业务（占主营业务收入</w:t>
      </w:r>
      <w:r>
        <w:rPr>
          <w:rFonts w:ascii="宋体" w:hAnsi="宋体"/>
          <w:color w:val="000000" w:themeColor="text1"/>
          <w:szCs w:val="21"/>
          <w:highlight w:val="none"/>
          <w14:textFill>
            <w14:solidFill>
              <w14:schemeClr w14:val="tx1"/>
            </w14:solidFill>
          </w14:textFill>
        </w:rPr>
        <w:t>50%</w:t>
      </w:r>
      <w:r>
        <w:rPr>
          <w:rFonts w:hint="eastAsia" w:ascii="宋体" w:hAnsi="宋体"/>
          <w:color w:val="000000" w:themeColor="text1"/>
          <w:szCs w:val="21"/>
          <w:highlight w:val="none"/>
          <w14:textFill>
            <w14:solidFill>
              <w14:schemeClr w14:val="tx1"/>
            </w14:solidFill>
          </w14:textFill>
        </w:rPr>
        <w:t>以上）或重要财务往来关系（如融资）等其他实质性控制关系</w:t>
      </w:r>
    </w:p>
    <w:p>
      <w:pPr>
        <w:pStyle w:val="62"/>
        <w:widowControl/>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I.</w:t>
      </w:r>
      <w:r>
        <w:rPr>
          <w:rFonts w:hint="eastAsia" w:ascii="宋体" w:hAnsi="宋体"/>
          <w:color w:val="000000" w:themeColor="text1"/>
          <w:szCs w:val="21"/>
          <w:highlight w:val="none"/>
          <w14:textFill>
            <w14:solidFill>
              <w14:schemeClr w14:val="tx1"/>
            </w14:solidFill>
          </w14:textFill>
        </w:rPr>
        <w:t>其他利害关系情况。</w:t>
      </w:r>
    </w:p>
    <w:p>
      <w:pPr>
        <w:pStyle w:val="62"/>
        <w:widowControl/>
        <w:numPr>
          <w:ilvl w:val="0"/>
          <w:numId w:val="8"/>
        </w:numPr>
        <w:snapToGrid w:val="0"/>
        <w:spacing w:line="400" w:lineRule="exact"/>
        <w:ind w:firstLine="396" w:firstLineChars="18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现已清楚知道并严格遵守政府采购法律法规和现场纪律。</w:t>
      </w:r>
    </w:p>
    <w:p>
      <w:pPr>
        <w:pStyle w:val="62"/>
        <w:widowControl/>
        <w:numPr>
          <w:ilvl w:val="0"/>
          <w:numId w:val="8"/>
        </w:numPr>
        <w:snapToGrid w:val="0"/>
        <w:spacing w:line="400" w:lineRule="exact"/>
        <w:ind w:firstLine="396" w:firstLineChars="18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我发现</w:t>
      </w:r>
      <w:r>
        <w:rPr>
          <w:rFonts w:hint="eastAsia" w:ascii="宋体" w:hAnsi="宋体"/>
          <w:color w:val="000000" w:themeColor="text1"/>
          <w:szCs w:val="21"/>
          <w:highlight w:val="none"/>
          <w:u w:val="singl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之间存在或可能存在上述第二条第项利害关系。</w:t>
      </w:r>
    </w:p>
    <w:p>
      <w:pPr>
        <w:pStyle w:val="154"/>
        <w:snapToGrid w:val="0"/>
        <w:spacing w:line="400" w:lineRule="exact"/>
        <w:ind w:firstLine="420" w:firstLineChars="200"/>
        <w:rPr>
          <w:rFonts w:hAnsi="宋体"/>
          <w:color w:val="000000" w:themeColor="text1"/>
          <w:szCs w:val="21"/>
          <w:highlight w:val="none"/>
          <w14:textFill>
            <w14:solidFill>
              <w14:schemeClr w14:val="tx1"/>
            </w14:solidFill>
          </w14:textFill>
        </w:rPr>
      </w:pPr>
    </w:p>
    <w:p>
      <w:pPr>
        <w:pStyle w:val="154"/>
        <w:snapToGrid w:val="0"/>
        <w:spacing w:line="400" w:lineRule="exact"/>
        <w:ind w:firstLine="1365" w:firstLineChars="65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（供应商代表签名）</w:t>
      </w:r>
    </w:p>
    <w:p>
      <w:pPr>
        <w:spacing w:line="400" w:lineRule="exact"/>
        <w:ind w:firstLine="1738" w:firstLineChars="828"/>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p>
    <w:p>
      <w:pPr>
        <w:spacing w:line="500" w:lineRule="exact"/>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注：</w:t>
      </w:r>
      <w:r>
        <w:rPr>
          <w:rFonts w:ascii="宋体" w:hAnsi="宋体"/>
          <w:b/>
          <w:color w:val="000000" w:themeColor="text1"/>
          <w:sz w:val="28"/>
          <w:szCs w:val="28"/>
          <w:highlight w:val="none"/>
          <w14:textFill>
            <w14:solidFill>
              <w14:schemeClr w14:val="tx1"/>
            </w14:solidFill>
          </w14:textFill>
        </w:rPr>
        <w:t>1</w:t>
      </w:r>
      <w:r>
        <w:rPr>
          <w:rFonts w:hint="eastAsia" w:ascii="宋体" w:hAnsi="宋体"/>
          <w:b/>
          <w:color w:val="000000" w:themeColor="text1"/>
          <w:sz w:val="28"/>
          <w:szCs w:val="28"/>
          <w:highlight w:val="none"/>
          <w14:textFill>
            <w14:solidFill>
              <w14:schemeClr w14:val="tx1"/>
            </w14:solidFill>
          </w14:textFill>
        </w:rPr>
        <w:t>、本表非投标文件的组成内容，不须在投标文件中提供。</w:t>
      </w:r>
    </w:p>
    <w:p>
      <w:pPr>
        <w:spacing w:line="500" w:lineRule="exact"/>
        <w:ind w:firstLine="548" w:firstLineChars="195"/>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2</w:t>
      </w:r>
      <w:r>
        <w:rPr>
          <w:rFonts w:hint="eastAsia" w:ascii="宋体" w:hAnsi="宋体"/>
          <w:b/>
          <w:color w:val="000000" w:themeColor="text1"/>
          <w:sz w:val="28"/>
          <w:szCs w:val="28"/>
          <w:highlight w:val="none"/>
          <w14:textFill>
            <w14:solidFill>
              <w14:schemeClr w14:val="tx1"/>
            </w14:solidFill>
          </w14:textFill>
        </w:rPr>
        <w:t>、本表在开标现场由代理机构提供给各供应商，由各供应商签署。</w:t>
      </w:r>
    </w:p>
    <w:p>
      <w:pPr>
        <w:spacing w:line="500" w:lineRule="exact"/>
        <w:ind w:firstLine="548" w:firstLineChars="195"/>
        <w:rPr>
          <w:rFonts w:ascii="宋体" w:hAnsi="宋体"/>
          <w:b/>
          <w:color w:val="000000" w:themeColor="text1"/>
          <w:sz w:val="28"/>
          <w:szCs w:val="28"/>
          <w:highlight w:val="none"/>
          <w14:textFill>
            <w14:solidFill>
              <w14:schemeClr w14:val="tx1"/>
            </w14:solidFill>
          </w14:textFill>
        </w:rPr>
      </w:pPr>
    </w:p>
    <w:p>
      <w:pPr>
        <w:pStyle w:val="29"/>
        <w:spacing w:line="360" w:lineRule="auto"/>
        <w:ind w:left="101" w:leftChars="48" w:firstLine="2880" w:firstLineChars="800"/>
        <w:jc w:val="left"/>
        <w:rPr>
          <w:rFonts w:hAnsi="宋体"/>
          <w:color w:val="000000" w:themeColor="text1"/>
          <w:sz w:val="36"/>
          <w:szCs w:val="36"/>
          <w:highlight w:val="none"/>
          <w14:textFill>
            <w14:solidFill>
              <w14:schemeClr w14:val="tx1"/>
            </w14:solidFill>
          </w14:textFill>
        </w:rPr>
        <w:sectPr>
          <w:pgSz w:w="11907" w:h="16840"/>
          <w:pgMar w:top="1138" w:right="1588" w:bottom="1423" w:left="1159" w:header="285" w:footer="990" w:gutter="0"/>
          <w:cols w:space="720" w:num="1"/>
          <w:docGrid w:linePitch="285" w:charSpace="0"/>
        </w:sectPr>
      </w:pPr>
    </w:p>
    <w:tbl>
      <w:tblPr>
        <w:tblStyle w:val="51"/>
        <w:tblW w:w="0" w:type="auto"/>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ign w:val="bottom"/>
          </w:tcPr>
          <w:p>
            <w:pPr>
              <w:widowControl/>
              <w:jc w:val="center"/>
              <w:rPr>
                <w:rFonts w:ascii="宋体" w:hAnsi="宋体" w:cs="宋体"/>
                <w:b/>
                <w:bCs/>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中小微行业划型标准规定（根据工信部联企业〔</w:t>
            </w:r>
            <w:r>
              <w:rPr>
                <w:rFonts w:ascii="宋体" w:hAnsi="宋体" w:cs="宋体"/>
                <w:b/>
                <w:bCs/>
                <w:color w:val="000000" w:themeColor="text1"/>
                <w:kern w:val="0"/>
                <w:sz w:val="24"/>
                <w:highlight w:val="none"/>
                <w14:textFill>
                  <w14:solidFill>
                    <w14:schemeClr w14:val="tx1"/>
                  </w14:solidFill>
                </w14:textFill>
              </w:rPr>
              <w:t>2011</w:t>
            </w:r>
            <w:r>
              <w:rPr>
                <w:rFonts w:hint="eastAsia" w:ascii="宋体" w:hAnsi="宋体" w:cs="宋体"/>
                <w:b/>
                <w:bCs/>
                <w:color w:val="000000" w:themeColor="text1"/>
                <w:kern w:val="0"/>
                <w:sz w:val="24"/>
                <w:highlight w:val="none"/>
                <w14:textFill>
                  <w14:solidFill>
                    <w14:schemeClr w14:val="tx1"/>
                  </w14:solidFill>
                </w14:textFill>
              </w:rPr>
              <w:t>〕</w:t>
            </w:r>
            <w:r>
              <w:rPr>
                <w:rFonts w:ascii="宋体" w:hAnsi="宋体" w:cs="宋体"/>
                <w:b/>
                <w:bCs/>
                <w:color w:val="000000" w:themeColor="text1"/>
                <w:kern w:val="0"/>
                <w:sz w:val="24"/>
                <w:highlight w:val="none"/>
                <w14:textFill>
                  <w14:solidFill>
                    <w14:schemeClr w14:val="tx1"/>
                  </w14:solidFill>
                </w14:textFill>
              </w:rPr>
              <w:t>300</w:t>
            </w:r>
            <w:r>
              <w:rPr>
                <w:rFonts w:hint="eastAsia" w:ascii="宋体" w:hAnsi="宋体" w:cs="宋体"/>
                <w:b/>
                <w:bCs/>
                <w:color w:val="000000" w:themeColor="text1"/>
                <w:kern w:val="0"/>
                <w:sz w:val="24"/>
                <w:highlight w:val="none"/>
                <w14:textFill>
                  <w14:solidFill>
                    <w14:schemeClr w14:val="tx1"/>
                  </w14:solidFill>
                </w14:textFill>
              </w:rPr>
              <w:t>号制定）</w:t>
            </w:r>
          </w:p>
        </w:tc>
      </w:tr>
      <w:tr>
        <w:tblPrEx>
          <w:tblCellMar>
            <w:top w:w="0" w:type="dxa"/>
            <w:left w:w="108" w:type="dxa"/>
            <w:bottom w:w="0" w:type="dxa"/>
            <w:right w:w="108" w:type="dxa"/>
          </w:tblCellMar>
        </w:tblPrEx>
        <w:trPr>
          <w:gridAfter w:val="1"/>
          <w:wAfter w:w="3"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行业</w:t>
            </w:r>
          </w:p>
        </w:tc>
        <w:tc>
          <w:tcPr>
            <w:tcW w:w="496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中型企业</w:t>
            </w:r>
          </w:p>
        </w:tc>
        <w:tc>
          <w:tcPr>
            <w:tcW w:w="4282"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小型企业</w:t>
            </w:r>
          </w:p>
        </w:tc>
        <w:tc>
          <w:tcPr>
            <w:tcW w:w="381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ign w:val="center"/>
          </w:tcPr>
          <w:p>
            <w:pPr>
              <w:widowControl/>
              <w:jc w:val="left"/>
              <w:rPr>
                <w:rFonts w:ascii="宋体" w:hAnsi="宋体" w:cs="宋体"/>
                <w:b/>
                <w:bCs/>
                <w:color w:val="000000" w:themeColor="text1"/>
                <w:kern w:val="0"/>
                <w:sz w:val="24"/>
                <w:highlight w:val="none"/>
                <w14:textFill>
                  <w14:solidFill>
                    <w14:schemeClr w14:val="tx1"/>
                  </w14:solidFill>
                </w14:textFill>
              </w:rPr>
            </w:pPr>
          </w:p>
        </w:tc>
        <w:tc>
          <w:tcPr>
            <w:tcW w:w="1512"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从业人员</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（人）</w:t>
            </w:r>
          </w:p>
        </w:tc>
        <w:tc>
          <w:tcPr>
            <w:tcW w:w="1779"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营业收入</w:t>
            </w:r>
            <w:r>
              <w:rPr>
                <w:rFonts w:ascii="宋体" w:hAnsi="宋体" w:cs="宋体"/>
                <w:color w:val="000000" w:themeColor="text1"/>
                <w:kern w:val="0"/>
                <w:sz w:val="20"/>
                <w:highlight w:val="none"/>
                <w14:textFill>
                  <w14:solidFill>
                    <w14:schemeClr w14:val="tx1"/>
                  </w14:solidFill>
                </w14:textFill>
              </w:rPr>
              <w:t>Y</w:t>
            </w:r>
          </w:p>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（万元）</w:t>
            </w:r>
          </w:p>
        </w:tc>
        <w:tc>
          <w:tcPr>
            <w:tcW w:w="1677" w:type="dxa"/>
            <w:tcBorders>
              <w:top w:val="nil"/>
              <w:left w:val="nil"/>
              <w:bottom w:val="single" w:color="auto" w:sz="4" w:space="0"/>
              <w:right w:val="single" w:color="auto" w:sz="8"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资产总额</w:t>
            </w:r>
            <w:r>
              <w:rPr>
                <w:rFonts w:ascii="宋体" w:hAnsi="宋体" w:cs="宋体"/>
                <w:color w:val="000000" w:themeColor="text1"/>
                <w:kern w:val="0"/>
                <w:sz w:val="20"/>
                <w:highlight w:val="none"/>
                <w14:textFill>
                  <w14:solidFill>
                    <w14:schemeClr w14:val="tx1"/>
                  </w14:solidFill>
                </w14:textFill>
              </w:rPr>
              <w:t>Z</w:t>
            </w:r>
          </w:p>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（万元）</w:t>
            </w:r>
          </w:p>
        </w:tc>
        <w:tc>
          <w:tcPr>
            <w:tcW w:w="1252"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从业人员</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（人）</w:t>
            </w:r>
          </w:p>
        </w:tc>
        <w:tc>
          <w:tcPr>
            <w:tcW w:w="1494"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营业收入</w:t>
            </w:r>
            <w:r>
              <w:rPr>
                <w:rFonts w:ascii="宋体" w:hAnsi="宋体" w:cs="宋体"/>
                <w:color w:val="000000" w:themeColor="text1"/>
                <w:kern w:val="0"/>
                <w:sz w:val="20"/>
                <w:highlight w:val="none"/>
                <w14:textFill>
                  <w14:solidFill>
                    <w14:schemeClr w14:val="tx1"/>
                  </w14:solidFill>
                </w14:textFill>
              </w:rPr>
              <w:t>Y</w:t>
            </w:r>
          </w:p>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（万元）</w:t>
            </w:r>
          </w:p>
        </w:tc>
        <w:tc>
          <w:tcPr>
            <w:tcW w:w="1536" w:type="dxa"/>
            <w:tcBorders>
              <w:top w:val="nil"/>
              <w:left w:val="nil"/>
              <w:bottom w:val="single" w:color="auto" w:sz="4" w:space="0"/>
              <w:right w:val="single" w:color="auto" w:sz="8"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资产总额</w:t>
            </w:r>
            <w:r>
              <w:rPr>
                <w:rFonts w:ascii="宋体" w:hAnsi="宋体" w:cs="宋体"/>
                <w:color w:val="000000" w:themeColor="text1"/>
                <w:kern w:val="0"/>
                <w:sz w:val="20"/>
                <w:highlight w:val="none"/>
                <w14:textFill>
                  <w14:solidFill>
                    <w14:schemeClr w14:val="tx1"/>
                  </w14:solidFill>
                </w14:textFill>
              </w:rPr>
              <w:t>Z</w:t>
            </w:r>
          </w:p>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（万元）</w:t>
            </w:r>
          </w:p>
        </w:tc>
        <w:tc>
          <w:tcPr>
            <w:tcW w:w="1297"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从业人员</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（人）</w:t>
            </w:r>
          </w:p>
        </w:tc>
        <w:tc>
          <w:tcPr>
            <w:tcW w:w="1287" w:type="dxa"/>
            <w:tcBorders>
              <w:top w:val="nil"/>
              <w:left w:val="nil"/>
              <w:bottom w:val="single" w:color="auto" w:sz="4" w:space="0"/>
              <w:right w:val="single" w:color="auto" w:sz="4"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营业收入</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（万元）</w:t>
            </w:r>
          </w:p>
        </w:tc>
        <w:tc>
          <w:tcPr>
            <w:tcW w:w="1234" w:type="dxa"/>
            <w:tcBorders>
              <w:top w:val="nil"/>
              <w:left w:val="nil"/>
              <w:bottom w:val="single" w:color="auto" w:sz="4" w:space="0"/>
              <w:right w:val="single" w:color="auto" w:sz="8" w:space="0"/>
            </w:tcBorders>
            <w:noWrap/>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资产总额</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1</w:t>
            </w:r>
            <w:r>
              <w:rPr>
                <w:rFonts w:hint="eastAsia" w:ascii="宋体" w:hAnsi="宋体" w:cs="宋体"/>
                <w:color w:val="000000" w:themeColor="text1"/>
                <w:kern w:val="0"/>
                <w:sz w:val="20"/>
                <w:highlight w:val="none"/>
                <w14:textFill>
                  <w14:solidFill>
                    <w14:schemeClr w14:val="tx1"/>
                  </w14:solidFill>
                </w14:textFill>
              </w:rPr>
              <w:t>、农林牧渔业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2</w:t>
            </w:r>
            <w:r>
              <w:rPr>
                <w:rFonts w:hint="eastAsia" w:ascii="宋体" w:hAnsi="宋体" w:cs="宋体"/>
                <w:color w:val="000000" w:themeColor="text1"/>
                <w:kern w:val="0"/>
                <w:sz w:val="20"/>
                <w:highlight w:val="none"/>
                <w14:textFill>
                  <w14:solidFill>
                    <w14:schemeClr w14:val="tx1"/>
                  </w14:solidFill>
                </w14:textFill>
              </w:rPr>
              <w:t>、工业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3</w:t>
            </w:r>
            <w:r>
              <w:rPr>
                <w:rFonts w:hint="eastAsia" w:ascii="宋体" w:hAnsi="宋体" w:cs="宋体"/>
                <w:color w:val="000000" w:themeColor="text1"/>
                <w:kern w:val="0"/>
                <w:sz w:val="20"/>
                <w:highlight w:val="none"/>
                <w14:textFill>
                  <w14:solidFill>
                    <w14:schemeClr w14:val="tx1"/>
                  </w14:solidFill>
                </w14:textFill>
              </w:rPr>
              <w:t>、建筑业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6000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80000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5000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80000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6000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4</w:t>
            </w:r>
            <w:r>
              <w:rPr>
                <w:rFonts w:hint="eastAsia" w:ascii="宋体" w:hAnsi="宋体" w:cs="宋体"/>
                <w:color w:val="000000" w:themeColor="text1"/>
                <w:kern w:val="0"/>
                <w:sz w:val="20"/>
                <w:highlight w:val="none"/>
                <w14:textFill>
                  <w14:solidFill>
                    <w14:schemeClr w14:val="tx1"/>
                  </w14:solidFill>
                </w14:textFill>
              </w:rPr>
              <w:t>、批发业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20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5000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w:t>
            </w:r>
            <w:r>
              <w:rPr>
                <w:rFonts w:hint="eastAsia" w:ascii="宋体" w:hAnsi="宋体" w:cs="宋体"/>
                <w:color w:val="000000" w:themeColor="text1"/>
                <w:kern w:val="0"/>
                <w:sz w:val="20"/>
                <w:highlight w:val="none"/>
                <w14:textFill>
                  <w14:solidFill>
                    <w14:schemeClr w14:val="tx1"/>
                  </w14:solidFill>
                </w14:textFill>
              </w:rPr>
              <w:t>、零售业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6</w:t>
            </w:r>
            <w:r>
              <w:rPr>
                <w:rFonts w:hint="eastAsia" w:ascii="宋体" w:hAnsi="宋体" w:cs="宋体"/>
                <w:color w:val="000000" w:themeColor="text1"/>
                <w:kern w:val="0"/>
                <w:sz w:val="20"/>
                <w:highlight w:val="none"/>
                <w14:textFill>
                  <w14:solidFill>
                    <w14:schemeClr w14:val="tx1"/>
                  </w14:solidFill>
                </w14:textFill>
              </w:rPr>
              <w:t>、交通运输业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V</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7</w:t>
            </w:r>
            <w:r>
              <w:rPr>
                <w:rFonts w:hint="eastAsia" w:ascii="宋体" w:hAnsi="宋体" w:cs="宋体"/>
                <w:color w:val="000000" w:themeColor="text1"/>
                <w:kern w:val="0"/>
                <w:sz w:val="20"/>
                <w:highlight w:val="none"/>
                <w14:textFill>
                  <w14:solidFill>
                    <w14:schemeClr w14:val="tx1"/>
                  </w14:solidFill>
                </w14:textFill>
              </w:rPr>
              <w:t>、仓储业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8</w:t>
            </w:r>
            <w:r>
              <w:rPr>
                <w:rFonts w:hint="eastAsia" w:ascii="宋体" w:hAnsi="宋体" w:cs="宋体"/>
                <w:color w:val="000000" w:themeColor="text1"/>
                <w:kern w:val="0"/>
                <w:sz w:val="20"/>
                <w:highlight w:val="none"/>
                <w14:textFill>
                  <w14:solidFill>
                    <w14:schemeClr w14:val="tx1"/>
                  </w14:solidFill>
                </w14:textFill>
              </w:rPr>
              <w:t>、邮政业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9</w:t>
            </w:r>
            <w:r>
              <w:rPr>
                <w:rFonts w:hint="eastAsia" w:ascii="宋体" w:hAnsi="宋体" w:cs="宋体"/>
                <w:color w:val="000000" w:themeColor="text1"/>
                <w:kern w:val="0"/>
                <w:sz w:val="20"/>
                <w:highlight w:val="none"/>
                <w14:textFill>
                  <w14:solidFill>
                    <w14:schemeClr w14:val="tx1"/>
                  </w14:solidFill>
                </w14:textFill>
              </w:rPr>
              <w:t>、住宿业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、餐饮业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V</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11</w:t>
            </w:r>
            <w:r>
              <w:rPr>
                <w:rFonts w:hint="eastAsia" w:ascii="宋体" w:hAnsi="宋体" w:cs="宋体"/>
                <w:color w:val="000000" w:themeColor="text1"/>
                <w:kern w:val="0"/>
                <w:sz w:val="20"/>
                <w:highlight w:val="none"/>
                <w14:textFill>
                  <w14:solidFill>
                    <w14:schemeClr w14:val="tx1"/>
                  </w14:solidFill>
                </w14:textFill>
              </w:rPr>
              <w:t>、信息传输业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12</w:t>
            </w:r>
            <w:r>
              <w:rPr>
                <w:rFonts w:hint="eastAsia" w:ascii="宋体" w:hAnsi="宋体" w:cs="宋体"/>
                <w:color w:val="000000" w:themeColor="text1"/>
                <w:kern w:val="0"/>
                <w:sz w:val="20"/>
                <w:highlight w:val="none"/>
                <w14:textFill>
                  <w14:solidFill>
                    <w14:schemeClr w14:val="tx1"/>
                  </w14:solidFill>
                </w14:textFill>
              </w:rPr>
              <w:t>、软件和信息技术服务业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50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13</w:t>
            </w:r>
            <w:r>
              <w:rPr>
                <w:rFonts w:hint="eastAsia" w:ascii="宋体" w:hAnsi="宋体" w:cs="宋体"/>
                <w:color w:val="000000" w:themeColor="text1"/>
                <w:kern w:val="0"/>
                <w:sz w:val="20"/>
                <w:highlight w:val="none"/>
                <w14:textFill>
                  <w14:solidFill>
                    <w14:schemeClr w14:val="tx1"/>
                  </w14:solidFill>
                </w14:textFill>
              </w:rPr>
              <w:t>、房地产开发经营</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5000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14</w:t>
            </w:r>
            <w:r>
              <w:rPr>
                <w:rFonts w:hint="eastAsia" w:ascii="宋体" w:hAnsi="宋体" w:cs="宋体"/>
                <w:color w:val="000000" w:themeColor="text1"/>
                <w:kern w:val="0"/>
                <w:sz w:val="20"/>
                <w:highlight w:val="none"/>
                <w14:textFill>
                  <w14:solidFill>
                    <w14:schemeClr w14:val="tx1"/>
                  </w14:solidFill>
                </w14:textFill>
              </w:rPr>
              <w:t>、物业管理</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500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Y</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500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15</w:t>
            </w:r>
            <w:r>
              <w:rPr>
                <w:rFonts w:hint="eastAsia" w:ascii="宋体" w:hAnsi="宋体" w:cs="宋体"/>
                <w:color w:val="000000" w:themeColor="text1"/>
                <w:kern w:val="0"/>
                <w:sz w:val="20"/>
                <w:highlight w:val="none"/>
                <w14:textFill>
                  <w14:solidFill>
                    <w14:schemeClr w14:val="tx1"/>
                  </w14:solidFill>
                </w14:textFill>
              </w:rPr>
              <w:t>、租赁和商务服务业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8000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120000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 xml:space="preserve"> 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8000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Z</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ign w:val="bottom"/>
          </w:tcPr>
          <w:p>
            <w:pPr>
              <w:widowControl/>
              <w:jc w:val="left"/>
              <w:rPr>
                <w:rFonts w:hint="eastAsia" w:ascii="宋体" w:hAnsi="宋体" w:eastAsia="宋体" w:cs="宋体"/>
                <w:color w:val="000000" w:themeColor="text1"/>
                <w:kern w:val="0"/>
                <w:sz w:val="20"/>
                <w:highlight w:val="none"/>
                <w:lang w:eastAsia="zh-CN"/>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16</w:t>
            </w:r>
            <w:r>
              <w:rPr>
                <w:rFonts w:hint="eastAsia" w:ascii="宋体" w:hAnsi="宋体" w:cs="宋体"/>
                <w:color w:val="000000" w:themeColor="text1"/>
                <w:kern w:val="0"/>
                <w:sz w:val="20"/>
                <w:highlight w:val="none"/>
                <w14:textFill>
                  <w14:solidFill>
                    <w14:schemeClr w14:val="tx1"/>
                  </w14:solidFill>
                </w14:textFill>
              </w:rPr>
              <w:t>、</w:t>
            </w:r>
            <w:r>
              <w:rPr>
                <w:rFonts w:hint="eastAsia" w:ascii="宋体" w:hAnsi="宋体" w:cs="宋体"/>
                <w:color w:val="000000" w:themeColor="text1"/>
                <w:kern w:val="0"/>
                <w:sz w:val="20"/>
                <w:highlight w:val="none"/>
                <w:lang w:eastAsia="zh-CN"/>
                <w14:textFill>
                  <w14:solidFill>
                    <w14:schemeClr w14:val="tx1"/>
                  </w14:solidFill>
                </w14:textFill>
              </w:rPr>
              <w:t>其他未列明</w:t>
            </w:r>
          </w:p>
        </w:tc>
        <w:tc>
          <w:tcPr>
            <w:tcW w:w="1512"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300</w:t>
            </w:r>
          </w:p>
        </w:tc>
        <w:tc>
          <w:tcPr>
            <w:tcW w:w="1779"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677" w:type="dxa"/>
            <w:tcBorders>
              <w:top w:val="nil"/>
              <w:left w:val="nil"/>
              <w:bottom w:val="single" w:color="auto" w:sz="8"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52"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10</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100</w:t>
            </w:r>
          </w:p>
        </w:tc>
        <w:tc>
          <w:tcPr>
            <w:tcW w:w="1494"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536" w:type="dxa"/>
            <w:tcBorders>
              <w:top w:val="nil"/>
              <w:left w:val="nil"/>
              <w:bottom w:val="single" w:color="auto" w:sz="8"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97"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X</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10</w:t>
            </w:r>
          </w:p>
        </w:tc>
        <w:tc>
          <w:tcPr>
            <w:tcW w:w="1287" w:type="dxa"/>
            <w:tcBorders>
              <w:top w:val="nil"/>
              <w:left w:val="nil"/>
              <w:bottom w:val="single" w:color="auto" w:sz="8" w:space="0"/>
              <w:right w:val="single" w:color="auto" w:sz="4"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c>
          <w:tcPr>
            <w:tcW w:w="1234" w:type="dxa"/>
            <w:tcBorders>
              <w:top w:val="nil"/>
              <w:left w:val="nil"/>
              <w:bottom w:val="single" w:color="auto" w:sz="8" w:space="0"/>
              <w:right w:val="single" w:color="auto" w:sz="8" w:space="0"/>
            </w:tcBorders>
            <w:noWrap/>
            <w:vAlign w:val="center"/>
          </w:tcPr>
          <w:p>
            <w:pPr>
              <w:widowControl/>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1124" w:hRule="atLeast"/>
        </w:trPr>
        <w:tc>
          <w:tcPr>
            <w:tcW w:w="15077" w:type="dxa"/>
            <w:gridSpan w:val="11"/>
            <w:tcBorders>
              <w:top w:val="nil"/>
              <w:left w:val="nil"/>
              <w:bottom w:val="nil"/>
              <w:right w:val="nil"/>
            </w:tcBorders>
            <w:noWrap/>
            <w:vAlign w:val="bottom"/>
          </w:tcPr>
          <w:p>
            <w:pPr>
              <w:widowControl/>
              <w:jc w:val="left"/>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说明　</w:t>
            </w:r>
            <w:r>
              <w:rPr>
                <w:rFonts w:ascii="宋体" w:hAnsi="宋体" w:cs="宋体"/>
                <w:color w:val="000000" w:themeColor="text1"/>
                <w:kern w:val="0"/>
                <w:sz w:val="20"/>
                <w:highlight w:val="none"/>
                <w14:textFill>
                  <w14:solidFill>
                    <w14:schemeClr w14:val="tx1"/>
                  </w14:solidFill>
                </w14:textFill>
              </w:rPr>
              <w:t>1</w:t>
            </w:r>
            <w:r>
              <w:rPr>
                <w:rFonts w:hint="eastAsia" w:ascii="宋体" w:hAnsi="宋体" w:cs="宋体"/>
                <w:color w:val="000000" w:themeColor="text1"/>
                <w:kern w:val="0"/>
                <w:sz w:val="20"/>
                <w:highlight w:val="none"/>
                <w14:textFill>
                  <w14:solidFill>
                    <w14:schemeClr w14:val="tx1"/>
                  </w14:solidFill>
                </w14:textFill>
              </w:rPr>
              <w:t>、企业类型的划分以统计部门的统计数据为依据。</w:t>
            </w:r>
          </w:p>
          <w:p>
            <w:pPr>
              <w:widowControl/>
              <w:ind w:firstLine="600" w:firstLineChars="300"/>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2</w:t>
            </w:r>
            <w:r>
              <w:rPr>
                <w:rFonts w:hint="eastAsia" w:ascii="宋体" w:hAnsi="宋体" w:cs="宋体"/>
                <w:color w:val="000000" w:themeColor="text1"/>
                <w:kern w:val="0"/>
                <w:sz w:val="20"/>
                <w:highlight w:val="none"/>
                <w14:textFill>
                  <w14:solidFill>
                    <w14:schemeClr w14:val="tx1"/>
                  </w14:solidFill>
                </w14:textFill>
              </w:rPr>
              <w:t>、个体工商户和本规定以外的行业，参照本规定进行划型。</w:t>
            </w:r>
          </w:p>
          <w:p>
            <w:pPr>
              <w:widowControl/>
              <w:ind w:firstLine="600" w:firstLineChars="300"/>
              <w:jc w:val="left"/>
              <w:rPr>
                <w:rFonts w:ascii="宋体" w:hAnsi="宋体" w:cs="宋体"/>
                <w:color w:val="000000" w:themeColor="text1"/>
                <w:kern w:val="0"/>
                <w:sz w:val="20"/>
                <w:highlight w:val="none"/>
                <w14:textFill>
                  <w14:solidFill>
                    <w14:schemeClr w14:val="tx1"/>
                  </w14:solidFill>
                </w14:textFill>
              </w:rPr>
            </w:pPr>
            <w:r>
              <w:rPr>
                <w:rFonts w:ascii="宋体" w:hAnsi="宋体" w:cs="宋体"/>
                <w:color w:val="000000" w:themeColor="text1"/>
                <w:kern w:val="0"/>
                <w:sz w:val="20"/>
                <w:highlight w:val="none"/>
                <w14:textFill>
                  <w14:solidFill>
                    <w14:schemeClr w14:val="tx1"/>
                  </w14:solidFill>
                </w14:textFill>
              </w:rPr>
              <w:t>3</w:t>
            </w:r>
            <w:r>
              <w:rPr>
                <w:rFonts w:hint="eastAsia" w:ascii="宋体" w:hAnsi="宋体" w:cs="宋体"/>
                <w:color w:val="000000" w:themeColor="text1"/>
                <w:kern w:val="0"/>
                <w:sz w:val="20"/>
                <w:highlight w:val="none"/>
                <w14:textFill>
                  <w14:solidFill>
                    <w14:schemeClr w14:val="tx1"/>
                  </w14:solidFill>
                </w14:textFill>
              </w:rPr>
              <w:t>、本规定的中型企业标准上限即为大型企业标准的下限。</w:t>
            </w:r>
          </w:p>
        </w:tc>
      </w:tr>
    </w:tbl>
    <w:p>
      <w:pPr>
        <w:pStyle w:val="29"/>
        <w:tabs>
          <w:tab w:val="left" w:pos="3450"/>
        </w:tabs>
        <w:spacing w:line="20" w:lineRule="exact"/>
        <w:jc w:val="left"/>
        <w:rPr>
          <w:rFonts w:hAnsi="宋体"/>
          <w:color w:val="000000" w:themeColor="text1"/>
          <w:sz w:val="36"/>
          <w:szCs w:val="36"/>
          <w:highlight w:val="none"/>
          <w14:textFill>
            <w14:solidFill>
              <w14:schemeClr w14:val="tx1"/>
            </w14:solidFill>
          </w14:textFill>
        </w:rPr>
      </w:pPr>
    </w:p>
    <w:sectPr>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Univers">
    <w:panose1 w:val="020B0603020202030204"/>
    <w:charset w:val="00"/>
    <w:family w:val="swiss"/>
    <w:pitch w:val="default"/>
    <w:sig w:usb0="00000000" w:usb1="00000000" w:usb2="00000000" w:usb3="00000000" w:csb0="00000000" w:csb1="00000000"/>
  </w:font>
  <w:font w:name="font-weight : 400">
    <w:altName w:val="微软雅黑"/>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separate"/>
    </w:r>
    <w:r>
      <w:rPr>
        <w:rStyle w:val="55"/>
      </w:rPr>
      <w:t>4</w:t>
    </w:r>
    <w:r>
      <w:fldChar w:fldCharType="end"/>
    </w:r>
  </w:p>
  <w:p>
    <w:pPr>
      <w:pStyle w:val="3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Style w:val="55"/>
                            </w:rPr>
                          </w:pPr>
                          <w:r>
                            <w:fldChar w:fldCharType="begin"/>
                          </w:r>
                          <w:r>
                            <w:rPr>
                              <w:rStyle w:val="55"/>
                            </w:rPr>
                            <w:instrText xml:space="preserve">PAGE  </w:instrText>
                          </w:r>
                          <w:r>
                            <w:fldChar w:fldCharType="separate"/>
                          </w:r>
                          <w:r>
                            <w:rPr>
                              <w:rStyle w:val="55"/>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2"/>
                      <w:rPr>
                        <w:rStyle w:val="55"/>
                      </w:rPr>
                    </w:pPr>
                    <w:r>
                      <w:fldChar w:fldCharType="begin"/>
                    </w:r>
                    <w:r>
                      <w:rPr>
                        <w:rStyle w:val="55"/>
                      </w:rPr>
                      <w:instrText xml:space="preserve">PAGE  </w:instrText>
                    </w:r>
                    <w:r>
                      <w:fldChar w:fldCharType="separate"/>
                    </w:r>
                    <w:r>
                      <w:rPr>
                        <w:rStyle w:val="55"/>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separate"/>
    </w:r>
    <w:r>
      <w:rPr>
        <w:rStyle w:val="55"/>
      </w:rPr>
      <w:t>27</w:t>
    </w:r>
    <w: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h="850" w:hRule="exact" w:wrap="around" w:vAnchor="text" w:hAnchor="margin" w:xAlign="center" w:y="348"/>
      <w:jc w:val="center"/>
      <w:rPr>
        <w:rStyle w:val="55"/>
      </w:rPr>
    </w:pPr>
    <w:r>
      <w:fldChar w:fldCharType="begin"/>
    </w:r>
    <w:r>
      <w:rPr>
        <w:rStyle w:val="55"/>
      </w:rPr>
      <w:instrText xml:space="preserve">PAGE  </w:instrText>
    </w:r>
    <w:r>
      <w:fldChar w:fldCharType="separate"/>
    </w:r>
    <w:r>
      <w:rPr>
        <w:rStyle w:val="55"/>
      </w:rPr>
      <w:t>36</w: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left"/>
    </w:pPr>
    <w:r>
      <w:rPr>
        <w:rFonts w:hint="eastAsia" w:ascii="宋体" w:hAnsi="宋体" w:cs="宋体"/>
        <w:b/>
        <w:sz w:val="28"/>
        <w:szCs w:val="28"/>
      </w:rPr>
      <w:drawing>
        <wp:inline distT="0" distB="0" distL="114300" distR="114300">
          <wp:extent cx="1060450" cy="299720"/>
          <wp:effectExtent l="0" t="0" r="6350" b="5080"/>
          <wp:docPr id="3" name="图片 3" descr="LOGO版本一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版本一15MM"/>
                  <pic:cNvPicPr>
                    <a:picLocks noChangeAspect="1"/>
                  </pic:cNvPicPr>
                </pic:nvPicPr>
                <pic:blipFill>
                  <a:blip r:embed="rId1">
                    <a:grayscl/>
                    <a:lum bright="20001"/>
                  </a:blip>
                  <a:stretch>
                    <a:fillRect/>
                  </a:stretch>
                </pic:blipFill>
                <pic:spPr>
                  <a:xfrm>
                    <a:off x="0" y="0"/>
                    <a:ext cx="1060450" cy="299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1"/>
      <w:snapToGrid/>
      <w:spacing w:line="360" w:lineRule="exac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06431"/>
    <w:multiLevelType w:val="singleLevel"/>
    <w:tmpl w:val="B8506431"/>
    <w:lvl w:ilvl="0" w:tentative="0">
      <w:start w:val="7"/>
      <w:numFmt w:val="decimal"/>
      <w:lvlText w:val="%1."/>
      <w:lvlJc w:val="left"/>
      <w:pPr>
        <w:tabs>
          <w:tab w:val="left" w:pos="312"/>
        </w:tabs>
      </w:pPr>
    </w:lvl>
  </w:abstractNum>
  <w:abstractNum w:abstractNumId="1">
    <w:nsid w:val="E2750A2B"/>
    <w:multiLevelType w:val="singleLevel"/>
    <w:tmpl w:val="E2750A2B"/>
    <w:lvl w:ilvl="0" w:tentative="0">
      <w:start w:val="1"/>
      <w:numFmt w:val="decimal"/>
      <w:suff w:val="space"/>
      <w:lvlText w:val="%1、"/>
      <w:lvlJc w:val="left"/>
    </w:lvl>
  </w:abstractNum>
  <w:abstractNum w:abstractNumId="2">
    <w:nsid w:val="F7D14DA9"/>
    <w:multiLevelType w:val="singleLevel"/>
    <w:tmpl w:val="F7D14DA9"/>
    <w:lvl w:ilvl="0" w:tentative="0">
      <w:start w:val="6"/>
      <w:numFmt w:val="decimal"/>
      <w:suff w:val="space"/>
      <w:lvlText w:val="%1."/>
      <w:lvlJc w:val="left"/>
    </w:lvl>
  </w:abstractNum>
  <w:abstractNum w:abstractNumId="3">
    <w:nsid w:val="08C9C3E3"/>
    <w:multiLevelType w:val="singleLevel"/>
    <w:tmpl w:val="08C9C3E3"/>
    <w:lvl w:ilvl="0" w:tentative="0">
      <w:start w:val="2"/>
      <w:numFmt w:val="chineseCounting"/>
      <w:suff w:val="nothing"/>
      <w:lvlText w:val="%1、"/>
      <w:lvlJc w:val="left"/>
      <w:rPr>
        <w:rFonts w:hint="eastAsia"/>
      </w:rPr>
    </w:lvl>
  </w:abstractNum>
  <w:abstractNum w:abstractNumId="4">
    <w:nsid w:val="54F403B5"/>
    <w:multiLevelType w:val="singleLevel"/>
    <w:tmpl w:val="54F403B5"/>
    <w:lvl w:ilvl="0" w:tentative="0">
      <w:start w:val="1"/>
      <w:numFmt w:val="chineseCounting"/>
      <w:suff w:val="nothing"/>
      <w:lvlText w:val="%1、"/>
      <w:lvlJc w:val="left"/>
      <w:rPr>
        <w:rFonts w:cs="Times New Roman"/>
      </w:rPr>
    </w:lvl>
  </w:abstractNum>
  <w:abstractNum w:abstractNumId="5">
    <w:nsid w:val="557FD3DA"/>
    <w:multiLevelType w:val="singleLevel"/>
    <w:tmpl w:val="557FD3DA"/>
    <w:lvl w:ilvl="0" w:tentative="0">
      <w:start w:val="3"/>
      <w:numFmt w:val="chineseCounting"/>
      <w:suff w:val="nothing"/>
      <w:lvlText w:val="%1、"/>
      <w:lvlJc w:val="left"/>
      <w:rPr>
        <w:rFonts w:cs="Times New Roman"/>
      </w:rPr>
    </w:lvl>
  </w:abstractNum>
  <w:abstractNum w:abstractNumId="6">
    <w:nsid w:val="57A74C8F"/>
    <w:multiLevelType w:val="singleLevel"/>
    <w:tmpl w:val="57A74C8F"/>
    <w:lvl w:ilvl="0" w:tentative="0">
      <w:start w:val="1"/>
      <w:numFmt w:val="chineseCounting"/>
      <w:pStyle w:val="206"/>
      <w:suff w:val="nothing"/>
      <w:lvlText w:val="%1、"/>
      <w:lvlJc w:val="left"/>
      <w:rPr>
        <w:rFonts w:hint="eastAsia" w:cs="Times New Roman"/>
      </w:rPr>
    </w:lvl>
  </w:abstractNum>
  <w:abstractNum w:abstractNumId="7">
    <w:nsid w:val="62F491EE"/>
    <w:multiLevelType w:val="singleLevel"/>
    <w:tmpl w:val="62F491EE"/>
    <w:lvl w:ilvl="0" w:tentative="0">
      <w:start w:val="1"/>
      <w:numFmt w:val="decimal"/>
      <w:suff w:val="nothing"/>
      <w:lvlText w:val="%1）"/>
      <w:lvlJc w:val="left"/>
      <w:pPr>
        <w:ind w:left="210"/>
      </w:pPr>
    </w:lvl>
  </w:abstractNum>
  <w:num w:numId="1">
    <w:abstractNumId w:val="6"/>
  </w:num>
  <w:num w:numId="2">
    <w:abstractNumId w:val="3"/>
  </w:num>
  <w:num w:numId="3">
    <w:abstractNumId w:val="0"/>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ZjdkMTc3ZGRjYmFiNTk1OWVjZGNlYTcwYjUxYTcifQ=="/>
  </w:docVars>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C9A"/>
    <w:rsid w:val="00013D65"/>
    <w:rsid w:val="0001464E"/>
    <w:rsid w:val="0001475D"/>
    <w:rsid w:val="00014763"/>
    <w:rsid w:val="000147A6"/>
    <w:rsid w:val="000147E2"/>
    <w:rsid w:val="000171FF"/>
    <w:rsid w:val="000212AE"/>
    <w:rsid w:val="000217E4"/>
    <w:rsid w:val="00022DC6"/>
    <w:rsid w:val="00023516"/>
    <w:rsid w:val="00024548"/>
    <w:rsid w:val="00024E7B"/>
    <w:rsid w:val="0002570D"/>
    <w:rsid w:val="00026061"/>
    <w:rsid w:val="0002646B"/>
    <w:rsid w:val="0002795F"/>
    <w:rsid w:val="00030242"/>
    <w:rsid w:val="00031AAB"/>
    <w:rsid w:val="00032452"/>
    <w:rsid w:val="00032826"/>
    <w:rsid w:val="000328FE"/>
    <w:rsid w:val="00032DBA"/>
    <w:rsid w:val="0003306F"/>
    <w:rsid w:val="00034204"/>
    <w:rsid w:val="000344B9"/>
    <w:rsid w:val="00034745"/>
    <w:rsid w:val="00035959"/>
    <w:rsid w:val="00035A8D"/>
    <w:rsid w:val="000361B2"/>
    <w:rsid w:val="00036CCF"/>
    <w:rsid w:val="000378FE"/>
    <w:rsid w:val="00037CE4"/>
    <w:rsid w:val="0004001F"/>
    <w:rsid w:val="000414C4"/>
    <w:rsid w:val="00041A39"/>
    <w:rsid w:val="00041B3B"/>
    <w:rsid w:val="00043143"/>
    <w:rsid w:val="00043490"/>
    <w:rsid w:val="00043715"/>
    <w:rsid w:val="000437D4"/>
    <w:rsid w:val="00044435"/>
    <w:rsid w:val="00045CE3"/>
    <w:rsid w:val="00046F89"/>
    <w:rsid w:val="00047990"/>
    <w:rsid w:val="00050357"/>
    <w:rsid w:val="00050DE7"/>
    <w:rsid w:val="00050E71"/>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5622"/>
    <w:rsid w:val="00067502"/>
    <w:rsid w:val="000675B4"/>
    <w:rsid w:val="0007088F"/>
    <w:rsid w:val="0007129B"/>
    <w:rsid w:val="00071AB2"/>
    <w:rsid w:val="000726A2"/>
    <w:rsid w:val="00074517"/>
    <w:rsid w:val="00074FCC"/>
    <w:rsid w:val="000757E0"/>
    <w:rsid w:val="000766AD"/>
    <w:rsid w:val="00076EAC"/>
    <w:rsid w:val="000770AD"/>
    <w:rsid w:val="000775E3"/>
    <w:rsid w:val="00077864"/>
    <w:rsid w:val="00077F66"/>
    <w:rsid w:val="00077FAF"/>
    <w:rsid w:val="000816EB"/>
    <w:rsid w:val="00081DAC"/>
    <w:rsid w:val="0008275C"/>
    <w:rsid w:val="00083CA0"/>
    <w:rsid w:val="0008426D"/>
    <w:rsid w:val="000846B2"/>
    <w:rsid w:val="0008644B"/>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5C01"/>
    <w:rsid w:val="000A7D12"/>
    <w:rsid w:val="000B1368"/>
    <w:rsid w:val="000B1619"/>
    <w:rsid w:val="000B1AFE"/>
    <w:rsid w:val="000B1B5F"/>
    <w:rsid w:val="000B2117"/>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E16"/>
    <w:rsid w:val="000C509A"/>
    <w:rsid w:val="000C5943"/>
    <w:rsid w:val="000C596C"/>
    <w:rsid w:val="000C59C2"/>
    <w:rsid w:val="000C7792"/>
    <w:rsid w:val="000D0D7B"/>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6DBD"/>
    <w:rsid w:val="000E72B7"/>
    <w:rsid w:val="000E77CE"/>
    <w:rsid w:val="000E7D4D"/>
    <w:rsid w:val="000F03E6"/>
    <w:rsid w:val="000F0DA4"/>
    <w:rsid w:val="000F0F1E"/>
    <w:rsid w:val="000F22BF"/>
    <w:rsid w:val="000F4832"/>
    <w:rsid w:val="000F4A28"/>
    <w:rsid w:val="000F52F1"/>
    <w:rsid w:val="000F5C44"/>
    <w:rsid w:val="000F5E59"/>
    <w:rsid w:val="000F5EA9"/>
    <w:rsid w:val="000F635C"/>
    <w:rsid w:val="000F6493"/>
    <w:rsid w:val="000F6CBF"/>
    <w:rsid w:val="000F6E44"/>
    <w:rsid w:val="000F76B2"/>
    <w:rsid w:val="000F7B7C"/>
    <w:rsid w:val="001000D7"/>
    <w:rsid w:val="00100738"/>
    <w:rsid w:val="00100A83"/>
    <w:rsid w:val="00102A0A"/>
    <w:rsid w:val="001049AF"/>
    <w:rsid w:val="00106100"/>
    <w:rsid w:val="001062FF"/>
    <w:rsid w:val="00106308"/>
    <w:rsid w:val="00110454"/>
    <w:rsid w:val="00110480"/>
    <w:rsid w:val="00110FE8"/>
    <w:rsid w:val="001113F5"/>
    <w:rsid w:val="00113033"/>
    <w:rsid w:val="0011397C"/>
    <w:rsid w:val="0011637E"/>
    <w:rsid w:val="001178EF"/>
    <w:rsid w:val="00117BF7"/>
    <w:rsid w:val="00117C5C"/>
    <w:rsid w:val="00121861"/>
    <w:rsid w:val="00123213"/>
    <w:rsid w:val="00123DB0"/>
    <w:rsid w:val="00123E67"/>
    <w:rsid w:val="00123F60"/>
    <w:rsid w:val="00124275"/>
    <w:rsid w:val="00124541"/>
    <w:rsid w:val="0012455A"/>
    <w:rsid w:val="00124690"/>
    <w:rsid w:val="001246FC"/>
    <w:rsid w:val="00124F2B"/>
    <w:rsid w:val="00125836"/>
    <w:rsid w:val="00125DA2"/>
    <w:rsid w:val="00125DFE"/>
    <w:rsid w:val="00130106"/>
    <w:rsid w:val="001305AF"/>
    <w:rsid w:val="001310CF"/>
    <w:rsid w:val="0013128B"/>
    <w:rsid w:val="0013209A"/>
    <w:rsid w:val="001321AC"/>
    <w:rsid w:val="0013323D"/>
    <w:rsid w:val="00133AAC"/>
    <w:rsid w:val="00133F6B"/>
    <w:rsid w:val="0013482F"/>
    <w:rsid w:val="001358BE"/>
    <w:rsid w:val="00135D87"/>
    <w:rsid w:val="0013625F"/>
    <w:rsid w:val="00137933"/>
    <w:rsid w:val="0014093D"/>
    <w:rsid w:val="00141A3D"/>
    <w:rsid w:val="00141DA4"/>
    <w:rsid w:val="00141FD2"/>
    <w:rsid w:val="00143987"/>
    <w:rsid w:val="0014627F"/>
    <w:rsid w:val="0014669B"/>
    <w:rsid w:val="0014709C"/>
    <w:rsid w:val="001474EC"/>
    <w:rsid w:val="0015014F"/>
    <w:rsid w:val="001511A8"/>
    <w:rsid w:val="001515A3"/>
    <w:rsid w:val="0015242E"/>
    <w:rsid w:val="00152A25"/>
    <w:rsid w:val="00152D09"/>
    <w:rsid w:val="0015323D"/>
    <w:rsid w:val="00153474"/>
    <w:rsid w:val="00155DD1"/>
    <w:rsid w:val="0015656F"/>
    <w:rsid w:val="001565FC"/>
    <w:rsid w:val="00157814"/>
    <w:rsid w:val="00157AC5"/>
    <w:rsid w:val="00160AEE"/>
    <w:rsid w:val="0016197A"/>
    <w:rsid w:val="00162216"/>
    <w:rsid w:val="00162340"/>
    <w:rsid w:val="00162D8C"/>
    <w:rsid w:val="001635BE"/>
    <w:rsid w:val="00164368"/>
    <w:rsid w:val="0016437F"/>
    <w:rsid w:val="00164884"/>
    <w:rsid w:val="00164BD5"/>
    <w:rsid w:val="00165710"/>
    <w:rsid w:val="001657E4"/>
    <w:rsid w:val="001659BA"/>
    <w:rsid w:val="00165F65"/>
    <w:rsid w:val="001673DA"/>
    <w:rsid w:val="00170FC3"/>
    <w:rsid w:val="0017189E"/>
    <w:rsid w:val="00171CC9"/>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12"/>
    <w:rsid w:val="001843A4"/>
    <w:rsid w:val="00184CCA"/>
    <w:rsid w:val="00184DDF"/>
    <w:rsid w:val="0018503F"/>
    <w:rsid w:val="001854F3"/>
    <w:rsid w:val="001854FC"/>
    <w:rsid w:val="00185801"/>
    <w:rsid w:val="0018608B"/>
    <w:rsid w:val="0018614A"/>
    <w:rsid w:val="00186DA3"/>
    <w:rsid w:val="00186F65"/>
    <w:rsid w:val="00187452"/>
    <w:rsid w:val="00187636"/>
    <w:rsid w:val="00187B3F"/>
    <w:rsid w:val="00187DE5"/>
    <w:rsid w:val="00191184"/>
    <w:rsid w:val="00191C5D"/>
    <w:rsid w:val="00192116"/>
    <w:rsid w:val="00192C32"/>
    <w:rsid w:val="00193DC1"/>
    <w:rsid w:val="00193EBA"/>
    <w:rsid w:val="001945DD"/>
    <w:rsid w:val="00194FA2"/>
    <w:rsid w:val="00195381"/>
    <w:rsid w:val="00195CDC"/>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2042"/>
    <w:rsid w:val="001B20C1"/>
    <w:rsid w:val="001B2E12"/>
    <w:rsid w:val="001B4088"/>
    <w:rsid w:val="001B4173"/>
    <w:rsid w:val="001B4592"/>
    <w:rsid w:val="001B4CF7"/>
    <w:rsid w:val="001B543E"/>
    <w:rsid w:val="001B5E56"/>
    <w:rsid w:val="001B6C9B"/>
    <w:rsid w:val="001B6EE2"/>
    <w:rsid w:val="001C0372"/>
    <w:rsid w:val="001C040D"/>
    <w:rsid w:val="001C0919"/>
    <w:rsid w:val="001C0D00"/>
    <w:rsid w:val="001C1322"/>
    <w:rsid w:val="001C1364"/>
    <w:rsid w:val="001C2294"/>
    <w:rsid w:val="001C27EC"/>
    <w:rsid w:val="001C3086"/>
    <w:rsid w:val="001C3F9C"/>
    <w:rsid w:val="001C4710"/>
    <w:rsid w:val="001C4A57"/>
    <w:rsid w:val="001C4FDF"/>
    <w:rsid w:val="001C520B"/>
    <w:rsid w:val="001C5777"/>
    <w:rsid w:val="001C5E59"/>
    <w:rsid w:val="001C66C4"/>
    <w:rsid w:val="001C711E"/>
    <w:rsid w:val="001C775E"/>
    <w:rsid w:val="001C7864"/>
    <w:rsid w:val="001C7BA9"/>
    <w:rsid w:val="001D0098"/>
    <w:rsid w:val="001D00EE"/>
    <w:rsid w:val="001D0795"/>
    <w:rsid w:val="001D08E4"/>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42EE"/>
    <w:rsid w:val="001E4614"/>
    <w:rsid w:val="001E47D7"/>
    <w:rsid w:val="001E4B3F"/>
    <w:rsid w:val="001E4B42"/>
    <w:rsid w:val="001E56B5"/>
    <w:rsid w:val="001E5B5D"/>
    <w:rsid w:val="001E6DA3"/>
    <w:rsid w:val="001E729A"/>
    <w:rsid w:val="001E7BBF"/>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201011"/>
    <w:rsid w:val="00201193"/>
    <w:rsid w:val="0020244F"/>
    <w:rsid w:val="00203012"/>
    <w:rsid w:val="00204CB4"/>
    <w:rsid w:val="00205CA2"/>
    <w:rsid w:val="0020679D"/>
    <w:rsid w:val="002069A1"/>
    <w:rsid w:val="00207AD7"/>
    <w:rsid w:val="00210108"/>
    <w:rsid w:val="00210749"/>
    <w:rsid w:val="002110F1"/>
    <w:rsid w:val="002113AD"/>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34A0"/>
    <w:rsid w:val="00223D32"/>
    <w:rsid w:val="00224483"/>
    <w:rsid w:val="00224993"/>
    <w:rsid w:val="00224AE7"/>
    <w:rsid w:val="00225714"/>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7752"/>
    <w:rsid w:val="00237F21"/>
    <w:rsid w:val="002430F9"/>
    <w:rsid w:val="002438A9"/>
    <w:rsid w:val="00243AF1"/>
    <w:rsid w:val="00243CA8"/>
    <w:rsid w:val="00244AF8"/>
    <w:rsid w:val="0024539B"/>
    <w:rsid w:val="002457BC"/>
    <w:rsid w:val="00246E6A"/>
    <w:rsid w:val="00247521"/>
    <w:rsid w:val="00247835"/>
    <w:rsid w:val="00250514"/>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5ABD"/>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7A1C"/>
    <w:rsid w:val="00272DD0"/>
    <w:rsid w:val="002739A0"/>
    <w:rsid w:val="00273BF6"/>
    <w:rsid w:val="00273FC8"/>
    <w:rsid w:val="002761E0"/>
    <w:rsid w:val="002779BA"/>
    <w:rsid w:val="00277C3C"/>
    <w:rsid w:val="002804F4"/>
    <w:rsid w:val="002807FE"/>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3C9C"/>
    <w:rsid w:val="002949ED"/>
    <w:rsid w:val="002951E1"/>
    <w:rsid w:val="0029533D"/>
    <w:rsid w:val="002963A6"/>
    <w:rsid w:val="00297B92"/>
    <w:rsid w:val="002A07FF"/>
    <w:rsid w:val="002A0FC3"/>
    <w:rsid w:val="002A13D8"/>
    <w:rsid w:val="002A1D3C"/>
    <w:rsid w:val="002A5301"/>
    <w:rsid w:val="002A65DA"/>
    <w:rsid w:val="002A74CF"/>
    <w:rsid w:val="002B0267"/>
    <w:rsid w:val="002B2BC5"/>
    <w:rsid w:val="002B37E3"/>
    <w:rsid w:val="002B4DA2"/>
    <w:rsid w:val="002B65D6"/>
    <w:rsid w:val="002B6E8B"/>
    <w:rsid w:val="002B7A93"/>
    <w:rsid w:val="002C00F0"/>
    <w:rsid w:val="002C01B1"/>
    <w:rsid w:val="002C0E7C"/>
    <w:rsid w:val="002C0FEA"/>
    <w:rsid w:val="002C2A7F"/>
    <w:rsid w:val="002C2B1E"/>
    <w:rsid w:val="002C31FB"/>
    <w:rsid w:val="002C3E3D"/>
    <w:rsid w:val="002C480A"/>
    <w:rsid w:val="002C4F35"/>
    <w:rsid w:val="002C5234"/>
    <w:rsid w:val="002C5956"/>
    <w:rsid w:val="002C5EF9"/>
    <w:rsid w:val="002C6C35"/>
    <w:rsid w:val="002C76FC"/>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4649"/>
    <w:rsid w:val="002E6A87"/>
    <w:rsid w:val="002E709C"/>
    <w:rsid w:val="002E7DD7"/>
    <w:rsid w:val="002F0A9A"/>
    <w:rsid w:val="002F0C9C"/>
    <w:rsid w:val="002F125E"/>
    <w:rsid w:val="002F12B2"/>
    <w:rsid w:val="002F1CCB"/>
    <w:rsid w:val="002F37D5"/>
    <w:rsid w:val="002F3C6A"/>
    <w:rsid w:val="002F4187"/>
    <w:rsid w:val="002F4337"/>
    <w:rsid w:val="002F46C6"/>
    <w:rsid w:val="002F4E75"/>
    <w:rsid w:val="002F51EC"/>
    <w:rsid w:val="002F5F0F"/>
    <w:rsid w:val="002F62A3"/>
    <w:rsid w:val="00300AA7"/>
    <w:rsid w:val="00300E6D"/>
    <w:rsid w:val="00302055"/>
    <w:rsid w:val="00302955"/>
    <w:rsid w:val="00302C4D"/>
    <w:rsid w:val="003036FD"/>
    <w:rsid w:val="00303BD2"/>
    <w:rsid w:val="00303C59"/>
    <w:rsid w:val="00304CC5"/>
    <w:rsid w:val="00304D6F"/>
    <w:rsid w:val="003071F9"/>
    <w:rsid w:val="003073BF"/>
    <w:rsid w:val="003074F4"/>
    <w:rsid w:val="00307D1F"/>
    <w:rsid w:val="00310DE0"/>
    <w:rsid w:val="0031116B"/>
    <w:rsid w:val="003115CB"/>
    <w:rsid w:val="00312165"/>
    <w:rsid w:val="00312D44"/>
    <w:rsid w:val="00313831"/>
    <w:rsid w:val="00313D22"/>
    <w:rsid w:val="003148A4"/>
    <w:rsid w:val="00315053"/>
    <w:rsid w:val="0031720C"/>
    <w:rsid w:val="0032024A"/>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E59"/>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3D15"/>
    <w:rsid w:val="00384555"/>
    <w:rsid w:val="003852D9"/>
    <w:rsid w:val="00385805"/>
    <w:rsid w:val="00385E98"/>
    <w:rsid w:val="0038624A"/>
    <w:rsid w:val="00386529"/>
    <w:rsid w:val="003913E8"/>
    <w:rsid w:val="003914CA"/>
    <w:rsid w:val="003927F9"/>
    <w:rsid w:val="00392FA6"/>
    <w:rsid w:val="00393562"/>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06B5"/>
    <w:rsid w:val="003B10C4"/>
    <w:rsid w:val="003B1E93"/>
    <w:rsid w:val="003B26FD"/>
    <w:rsid w:val="003B2DA6"/>
    <w:rsid w:val="003B3E34"/>
    <w:rsid w:val="003B430C"/>
    <w:rsid w:val="003B58C2"/>
    <w:rsid w:val="003B5C8A"/>
    <w:rsid w:val="003B69B9"/>
    <w:rsid w:val="003B6ACF"/>
    <w:rsid w:val="003B7092"/>
    <w:rsid w:val="003B7469"/>
    <w:rsid w:val="003B7869"/>
    <w:rsid w:val="003B7B18"/>
    <w:rsid w:val="003C109F"/>
    <w:rsid w:val="003C1669"/>
    <w:rsid w:val="003C1F05"/>
    <w:rsid w:val="003C221A"/>
    <w:rsid w:val="003C22E8"/>
    <w:rsid w:val="003C23B0"/>
    <w:rsid w:val="003C3C69"/>
    <w:rsid w:val="003C4809"/>
    <w:rsid w:val="003C5618"/>
    <w:rsid w:val="003C5E1D"/>
    <w:rsid w:val="003C68B9"/>
    <w:rsid w:val="003C72D1"/>
    <w:rsid w:val="003D013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6944"/>
    <w:rsid w:val="003F6A89"/>
    <w:rsid w:val="003F6C5B"/>
    <w:rsid w:val="003F7510"/>
    <w:rsid w:val="003F7600"/>
    <w:rsid w:val="003F764A"/>
    <w:rsid w:val="003F79C5"/>
    <w:rsid w:val="003F7F1B"/>
    <w:rsid w:val="004028E0"/>
    <w:rsid w:val="00403024"/>
    <w:rsid w:val="00406C01"/>
    <w:rsid w:val="00407483"/>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3C1E"/>
    <w:rsid w:val="004248ED"/>
    <w:rsid w:val="00424F58"/>
    <w:rsid w:val="0042564D"/>
    <w:rsid w:val="00425CB8"/>
    <w:rsid w:val="0042622A"/>
    <w:rsid w:val="00426536"/>
    <w:rsid w:val="00427636"/>
    <w:rsid w:val="00427669"/>
    <w:rsid w:val="00427E8A"/>
    <w:rsid w:val="00427F4F"/>
    <w:rsid w:val="00430D31"/>
    <w:rsid w:val="0043143A"/>
    <w:rsid w:val="00431F15"/>
    <w:rsid w:val="004323A6"/>
    <w:rsid w:val="004339E5"/>
    <w:rsid w:val="004341F7"/>
    <w:rsid w:val="00435142"/>
    <w:rsid w:val="00435B9F"/>
    <w:rsid w:val="004364F1"/>
    <w:rsid w:val="00436A31"/>
    <w:rsid w:val="004375C6"/>
    <w:rsid w:val="00437FDB"/>
    <w:rsid w:val="00440340"/>
    <w:rsid w:val="00440689"/>
    <w:rsid w:val="004410E9"/>
    <w:rsid w:val="00441703"/>
    <w:rsid w:val="00441DDA"/>
    <w:rsid w:val="00441FBA"/>
    <w:rsid w:val="00442E01"/>
    <w:rsid w:val="00445448"/>
    <w:rsid w:val="00446870"/>
    <w:rsid w:val="00446923"/>
    <w:rsid w:val="00446C56"/>
    <w:rsid w:val="00450C96"/>
    <w:rsid w:val="00451850"/>
    <w:rsid w:val="00451BB1"/>
    <w:rsid w:val="00451EFC"/>
    <w:rsid w:val="00452121"/>
    <w:rsid w:val="004526A4"/>
    <w:rsid w:val="00452E92"/>
    <w:rsid w:val="0045336C"/>
    <w:rsid w:val="0045385F"/>
    <w:rsid w:val="00453AB9"/>
    <w:rsid w:val="00457097"/>
    <w:rsid w:val="00457244"/>
    <w:rsid w:val="0046045F"/>
    <w:rsid w:val="00460679"/>
    <w:rsid w:val="00461101"/>
    <w:rsid w:val="00461DD2"/>
    <w:rsid w:val="004622CB"/>
    <w:rsid w:val="00462420"/>
    <w:rsid w:val="00464178"/>
    <w:rsid w:val="004644D4"/>
    <w:rsid w:val="00464DC3"/>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77FFB"/>
    <w:rsid w:val="00481186"/>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4C10"/>
    <w:rsid w:val="00495268"/>
    <w:rsid w:val="004966B6"/>
    <w:rsid w:val="004A06A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78"/>
    <w:rsid w:val="004C7A29"/>
    <w:rsid w:val="004C7C7A"/>
    <w:rsid w:val="004D0179"/>
    <w:rsid w:val="004D0EF2"/>
    <w:rsid w:val="004D0FD2"/>
    <w:rsid w:val="004D3210"/>
    <w:rsid w:val="004D3217"/>
    <w:rsid w:val="004D3248"/>
    <w:rsid w:val="004D362D"/>
    <w:rsid w:val="004D4CFE"/>
    <w:rsid w:val="004D5876"/>
    <w:rsid w:val="004D5EEF"/>
    <w:rsid w:val="004D637F"/>
    <w:rsid w:val="004D65E8"/>
    <w:rsid w:val="004D67B3"/>
    <w:rsid w:val="004D755F"/>
    <w:rsid w:val="004E01A1"/>
    <w:rsid w:val="004E0A92"/>
    <w:rsid w:val="004E0C8E"/>
    <w:rsid w:val="004E1227"/>
    <w:rsid w:val="004E1BEB"/>
    <w:rsid w:val="004E2DE0"/>
    <w:rsid w:val="004E45DF"/>
    <w:rsid w:val="004E467B"/>
    <w:rsid w:val="004E4EE5"/>
    <w:rsid w:val="004E66A2"/>
    <w:rsid w:val="004E6CFE"/>
    <w:rsid w:val="004E6D19"/>
    <w:rsid w:val="004E75A9"/>
    <w:rsid w:val="004E7D78"/>
    <w:rsid w:val="004F0BA4"/>
    <w:rsid w:val="004F0F45"/>
    <w:rsid w:val="004F1A80"/>
    <w:rsid w:val="004F1A98"/>
    <w:rsid w:val="004F35DD"/>
    <w:rsid w:val="004F40DF"/>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584"/>
    <w:rsid w:val="005027CE"/>
    <w:rsid w:val="00505225"/>
    <w:rsid w:val="00505FA4"/>
    <w:rsid w:val="005068CD"/>
    <w:rsid w:val="00507499"/>
    <w:rsid w:val="0051108B"/>
    <w:rsid w:val="00511A26"/>
    <w:rsid w:val="005131E8"/>
    <w:rsid w:val="00514223"/>
    <w:rsid w:val="00515B04"/>
    <w:rsid w:val="00515CDD"/>
    <w:rsid w:val="005172FF"/>
    <w:rsid w:val="00517EAD"/>
    <w:rsid w:val="00517FF6"/>
    <w:rsid w:val="005217C7"/>
    <w:rsid w:val="00521A64"/>
    <w:rsid w:val="00521F1C"/>
    <w:rsid w:val="00522F1F"/>
    <w:rsid w:val="0052418F"/>
    <w:rsid w:val="00524515"/>
    <w:rsid w:val="00524BE9"/>
    <w:rsid w:val="00525023"/>
    <w:rsid w:val="00525CED"/>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229"/>
    <w:rsid w:val="00537DC6"/>
    <w:rsid w:val="00540B79"/>
    <w:rsid w:val="00540C21"/>
    <w:rsid w:val="00541F2F"/>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223F"/>
    <w:rsid w:val="00552AA8"/>
    <w:rsid w:val="0055324F"/>
    <w:rsid w:val="00553737"/>
    <w:rsid w:val="0055392D"/>
    <w:rsid w:val="00553C61"/>
    <w:rsid w:val="00553D1A"/>
    <w:rsid w:val="00553ECC"/>
    <w:rsid w:val="005541A1"/>
    <w:rsid w:val="00554ABB"/>
    <w:rsid w:val="00554F88"/>
    <w:rsid w:val="00556401"/>
    <w:rsid w:val="0056056A"/>
    <w:rsid w:val="00560B7C"/>
    <w:rsid w:val="00561255"/>
    <w:rsid w:val="00562B12"/>
    <w:rsid w:val="00562CEC"/>
    <w:rsid w:val="00563A9C"/>
    <w:rsid w:val="00563F9F"/>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E77"/>
    <w:rsid w:val="00574BC7"/>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6232"/>
    <w:rsid w:val="005863B7"/>
    <w:rsid w:val="0058703E"/>
    <w:rsid w:val="00587169"/>
    <w:rsid w:val="005871EE"/>
    <w:rsid w:val="00590B28"/>
    <w:rsid w:val="00593A1A"/>
    <w:rsid w:val="00593A49"/>
    <w:rsid w:val="00593B77"/>
    <w:rsid w:val="00593CD4"/>
    <w:rsid w:val="00594459"/>
    <w:rsid w:val="005944E8"/>
    <w:rsid w:val="005944EE"/>
    <w:rsid w:val="00595320"/>
    <w:rsid w:val="00595D4B"/>
    <w:rsid w:val="00595ECE"/>
    <w:rsid w:val="0059630A"/>
    <w:rsid w:val="005966BA"/>
    <w:rsid w:val="005968EC"/>
    <w:rsid w:val="00596E8C"/>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B0E4F"/>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4DAE"/>
    <w:rsid w:val="005C5DD2"/>
    <w:rsid w:val="005C5E64"/>
    <w:rsid w:val="005C5F9B"/>
    <w:rsid w:val="005C6A0B"/>
    <w:rsid w:val="005C77AE"/>
    <w:rsid w:val="005C7F37"/>
    <w:rsid w:val="005D03A3"/>
    <w:rsid w:val="005D15DA"/>
    <w:rsid w:val="005D1A91"/>
    <w:rsid w:val="005D1AA4"/>
    <w:rsid w:val="005D1AE8"/>
    <w:rsid w:val="005D1CED"/>
    <w:rsid w:val="005D47A8"/>
    <w:rsid w:val="005D579D"/>
    <w:rsid w:val="005D5C81"/>
    <w:rsid w:val="005D6408"/>
    <w:rsid w:val="005D7750"/>
    <w:rsid w:val="005D7A32"/>
    <w:rsid w:val="005E0B69"/>
    <w:rsid w:val="005E1214"/>
    <w:rsid w:val="005E19AD"/>
    <w:rsid w:val="005E2397"/>
    <w:rsid w:val="005E2CC6"/>
    <w:rsid w:val="005E336B"/>
    <w:rsid w:val="005E3538"/>
    <w:rsid w:val="005E3906"/>
    <w:rsid w:val="005E3B01"/>
    <w:rsid w:val="005E3D61"/>
    <w:rsid w:val="005E42B4"/>
    <w:rsid w:val="005E4745"/>
    <w:rsid w:val="005E4E92"/>
    <w:rsid w:val="005E6434"/>
    <w:rsid w:val="005E6E4B"/>
    <w:rsid w:val="005E7604"/>
    <w:rsid w:val="005E7AFC"/>
    <w:rsid w:val="005F0341"/>
    <w:rsid w:val="005F1614"/>
    <w:rsid w:val="005F1729"/>
    <w:rsid w:val="005F1D3C"/>
    <w:rsid w:val="005F27F0"/>
    <w:rsid w:val="005F3E79"/>
    <w:rsid w:val="005F4897"/>
    <w:rsid w:val="005F5253"/>
    <w:rsid w:val="005F662D"/>
    <w:rsid w:val="005F6C32"/>
    <w:rsid w:val="005F75D0"/>
    <w:rsid w:val="005F7C9A"/>
    <w:rsid w:val="00600A45"/>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6F7F"/>
    <w:rsid w:val="00617581"/>
    <w:rsid w:val="0062122B"/>
    <w:rsid w:val="00621767"/>
    <w:rsid w:val="00622FD3"/>
    <w:rsid w:val="00623A1B"/>
    <w:rsid w:val="00626815"/>
    <w:rsid w:val="00626E3D"/>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3EF0"/>
    <w:rsid w:val="006440EE"/>
    <w:rsid w:val="006455B4"/>
    <w:rsid w:val="00645758"/>
    <w:rsid w:val="00645DDE"/>
    <w:rsid w:val="00647B4C"/>
    <w:rsid w:val="00647BA9"/>
    <w:rsid w:val="00647DC0"/>
    <w:rsid w:val="006501DF"/>
    <w:rsid w:val="00650490"/>
    <w:rsid w:val="00650C16"/>
    <w:rsid w:val="006513B5"/>
    <w:rsid w:val="00651463"/>
    <w:rsid w:val="0065146D"/>
    <w:rsid w:val="00651595"/>
    <w:rsid w:val="00652C88"/>
    <w:rsid w:val="00653C4A"/>
    <w:rsid w:val="00653DDC"/>
    <w:rsid w:val="00654D85"/>
    <w:rsid w:val="00656D8A"/>
    <w:rsid w:val="00657324"/>
    <w:rsid w:val="00657D80"/>
    <w:rsid w:val="0066046F"/>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40E1"/>
    <w:rsid w:val="006743E0"/>
    <w:rsid w:val="00674689"/>
    <w:rsid w:val="00674C12"/>
    <w:rsid w:val="006757CE"/>
    <w:rsid w:val="00676A92"/>
    <w:rsid w:val="0067702D"/>
    <w:rsid w:val="0067710C"/>
    <w:rsid w:val="00677F71"/>
    <w:rsid w:val="00680569"/>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6DE"/>
    <w:rsid w:val="006A3FD6"/>
    <w:rsid w:val="006A4FD8"/>
    <w:rsid w:val="006A5B07"/>
    <w:rsid w:val="006A5DBD"/>
    <w:rsid w:val="006A5DC0"/>
    <w:rsid w:val="006A69CF"/>
    <w:rsid w:val="006A6BE6"/>
    <w:rsid w:val="006A72D8"/>
    <w:rsid w:val="006A766B"/>
    <w:rsid w:val="006B032A"/>
    <w:rsid w:val="006B0AE0"/>
    <w:rsid w:val="006B198E"/>
    <w:rsid w:val="006B1A95"/>
    <w:rsid w:val="006B2315"/>
    <w:rsid w:val="006B269D"/>
    <w:rsid w:val="006B2CFF"/>
    <w:rsid w:val="006B2D05"/>
    <w:rsid w:val="006B2E58"/>
    <w:rsid w:val="006B3112"/>
    <w:rsid w:val="006B31ED"/>
    <w:rsid w:val="006B3261"/>
    <w:rsid w:val="006B3600"/>
    <w:rsid w:val="006B3B0B"/>
    <w:rsid w:val="006B3D9C"/>
    <w:rsid w:val="006B3DA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711"/>
    <w:rsid w:val="006F4B11"/>
    <w:rsid w:val="006F4E58"/>
    <w:rsid w:val="006F5713"/>
    <w:rsid w:val="006F6B67"/>
    <w:rsid w:val="006F7EA9"/>
    <w:rsid w:val="00701C06"/>
    <w:rsid w:val="00702B71"/>
    <w:rsid w:val="00703084"/>
    <w:rsid w:val="0070347F"/>
    <w:rsid w:val="007035CE"/>
    <w:rsid w:val="00705561"/>
    <w:rsid w:val="007055A2"/>
    <w:rsid w:val="00706457"/>
    <w:rsid w:val="00706554"/>
    <w:rsid w:val="00706D20"/>
    <w:rsid w:val="00710B0E"/>
    <w:rsid w:val="00710B6E"/>
    <w:rsid w:val="00711005"/>
    <w:rsid w:val="007114DB"/>
    <w:rsid w:val="00712C3C"/>
    <w:rsid w:val="00712CBE"/>
    <w:rsid w:val="00713EA2"/>
    <w:rsid w:val="007141F6"/>
    <w:rsid w:val="007142DE"/>
    <w:rsid w:val="00714794"/>
    <w:rsid w:val="007159E8"/>
    <w:rsid w:val="007163B4"/>
    <w:rsid w:val="0071675A"/>
    <w:rsid w:val="00716AB7"/>
    <w:rsid w:val="00717F6C"/>
    <w:rsid w:val="00720013"/>
    <w:rsid w:val="007212CC"/>
    <w:rsid w:val="0072135A"/>
    <w:rsid w:val="00721F96"/>
    <w:rsid w:val="007224A1"/>
    <w:rsid w:val="00722C0C"/>
    <w:rsid w:val="00723528"/>
    <w:rsid w:val="00723566"/>
    <w:rsid w:val="00724372"/>
    <w:rsid w:val="007303F0"/>
    <w:rsid w:val="00731667"/>
    <w:rsid w:val="007316BE"/>
    <w:rsid w:val="00733949"/>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7A7"/>
    <w:rsid w:val="00775E38"/>
    <w:rsid w:val="007760F9"/>
    <w:rsid w:val="007768B8"/>
    <w:rsid w:val="00777F0D"/>
    <w:rsid w:val="0078004B"/>
    <w:rsid w:val="0078064D"/>
    <w:rsid w:val="007819B0"/>
    <w:rsid w:val="00781BDA"/>
    <w:rsid w:val="00782855"/>
    <w:rsid w:val="007837ED"/>
    <w:rsid w:val="00784079"/>
    <w:rsid w:val="00785A23"/>
    <w:rsid w:val="0078657C"/>
    <w:rsid w:val="00786B2C"/>
    <w:rsid w:val="007872A6"/>
    <w:rsid w:val="00787367"/>
    <w:rsid w:val="00787487"/>
    <w:rsid w:val="00790052"/>
    <w:rsid w:val="00790A05"/>
    <w:rsid w:val="00791498"/>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8B"/>
    <w:rsid w:val="007A6FDB"/>
    <w:rsid w:val="007A714D"/>
    <w:rsid w:val="007A77A8"/>
    <w:rsid w:val="007B055B"/>
    <w:rsid w:val="007B14EE"/>
    <w:rsid w:val="007B32DB"/>
    <w:rsid w:val="007B548B"/>
    <w:rsid w:val="007B629A"/>
    <w:rsid w:val="007B711D"/>
    <w:rsid w:val="007B7471"/>
    <w:rsid w:val="007B7897"/>
    <w:rsid w:val="007B7903"/>
    <w:rsid w:val="007B7D60"/>
    <w:rsid w:val="007C0A4E"/>
    <w:rsid w:val="007C1025"/>
    <w:rsid w:val="007C1536"/>
    <w:rsid w:val="007C193F"/>
    <w:rsid w:val="007C1A74"/>
    <w:rsid w:val="007C268C"/>
    <w:rsid w:val="007C2CA7"/>
    <w:rsid w:val="007C2E96"/>
    <w:rsid w:val="007C3719"/>
    <w:rsid w:val="007C374A"/>
    <w:rsid w:val="007C3884"/>
    <w:rsid w:val="007C5CFB"/>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5D42"/>
    <w:rsid w:val="007E5DAF"/>
    <w:rsid w:val="007E637A"/>
    <w:rsid w:val="007F216A"/>
    <w:rsid w:val="007F2DF2"/>
    <w:rsid w:val="007F3DD9"/>
    <w:rsid w:val="007F44DF"/>
    <w:rsid w:val="007F571F"/>
    <w:rsid w:val="007F6DDE"/>
    <w:rsid w:val="007F71A1"/>
    <w:rsid w:val="007F7770"/>
    <w:rsid w:val="007F7BA5"/>
    <w:rsid w:val="0080015F"/>
    <w:rsid w:val="008002B3"/>
    <w:rsid w:val="0080162A"/>
    <w:rsid w:val="008017DE"/>
    <w:rsid w:val="00801ADE"/>
    <w:rsid w:val="00801CF4"/>
    <w:rsid w:val="0080292D"/>
    <w:rsid w:val="00805517"/>
    <w:rsid w:val="00805603"/>
    <w:rsid w:val="00805A76"/>
    <w:rsid w:val="008078BB"/>
    <w:rsid w:val="00807BC1"/>
    <w:rsid w:val="00807C5A"/>
    <w:rsid w:val="008114AA"/>
    <w:rsid w:val="008122FD"/>
    <w:rsid w:val="00814B71"/>
    <w:rsid w:val="00814F1E"/>
    <w:rsid w:val="0081566C"/>
    <w:rsid w:val="00817233"/>
    <w:rsid w:val="008173DD"/>
    <w:rsid w:val="00817A9B"/>
    <w:rsid w:val="008219F9"/>
    <w:rsid w:val="00821EED"/>
    <w:rsid w:val="00822327"/>
    <w:rsid w:val="00822398"/>
    <w:rsid w:val="008227A6"/>
    <w:rsid w:val="00822A3E"/>
    <w:rsid w:val="00822B95"/>
    <w:rsid w:val="00824794"/>
    <w:rsid w:val="00824900"/>
    <w:rsid w:val="00824DB5"/>
    <w:rsid w:val="00824FC2"/>
    <w:rsid w:val="00825CF0"/>
    <w:rsid w:val="00825DD2"/>
    <w:rsid w:val="00827E95"/>
    <w:rsid w:val="0083068C"/>
    <w:rsid w:val="00831067"/>
    <w:rsid w:val="00831183"/>
    <w:rsid w:val="00831647"/>
    <w:rsid w:val="00831817"/>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242F"/>
    <w:rsid w:val="00842467"/>
    <w:rsid w:val="008435BB"/>
    <w:rsid w:val="0084510B"/>
    <w:rsid w:val="00845E89"/>
    <w:rsid w:val="00846712"/>
    <w:rsid w:val="00846731"/>
    <w:rsid w:val="008468A4"/>
    <w:rsid w:val="008468CD"/>
    <w:rsid w:val="008469C3"/>
    <w:rsid w:val="00846B20"/>
    <w:rsid w:val="008477D7"/>
    <w:rsid w:val="00847CA3"/>
    <w:rsid w:val="00847EEB"/>
    <w:rsid w:val="008501EF"/>
    <w:rsid w:val="0085060F"/>
    <w:rsid w:val="0085102B"/>
    <w:rsid w:val="0085112B"/>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286D"/>
    <w:rsid w:val="00863562"/>
    <w:rsid w:val="008646FD"/>
    <w:rsid w:val="00864F1E"/>
    <w:rsid w:val="00865870"/>
    <w:rsid w:val="008669D0"/>
    <w:rsid w:val="00866C1B"/>
    <w:rsid w:val="00867143"/>
    <w:rsid w:val="0086742B"/>
    <w:rsid w:val="00870528"/>
    <w:rsid w:val="008708E1"/>
    <w:rsid w:val="008710DC"/>
    <w:rsid w:val="00871F97"/>
    <w:rsid w:val="008735D6"/>
    <w:rsid w:val="0087371F"/>
    <w:rsid w:val="00873A7D"/>
    <w:rsid w:val="00873DCA"/>
    <w:rsid w:val="00875EA8"/>
    <w:rsid w:val="0087780A"/>
    <w:rsid w:val="00880F8A"/>
    <w:rsid w:val="00881AA1"/>
    <w:rsid w:val="00881CDA"/>
    <w:rsid w:val="00881F4A"/>
    <w:rsid w:val="00883375"/>
    <w:rsid w:val="00883525"/>
    <w:rsid w:val="00884644"/>
    <w:rsid w:val="00884C8C"/>
    <w:rsid w:val="00885115"/>
    <w:rsid w:val="00885189"/>
    <w:rsid w:val="00885803"/>
    <w:rsid w:val="008861AF"/>
    <w:rsid w:val="008862E0"/>
    <w:rsid w:val="00887821"/>
    <w:rsid w:val="00887A9A"/>
    <w:rsid w:val="00887B9C"/>
    <w:rsid w:val="00887D35"/>
    <w:rsid w:val="00891975"/>
    <w:rsid w:val="00891E1D"/>
    <w:rsid w:val="00891E62"/>
    <w:rsid w:val="00891F7F"/>
    <w:rsid w:val="008927E8"/>
    <w:rsid w:val="00892E04"/>
    <w:rsid w:val="0089324D"/>
    <w:rsid w:val="00893892"/>
    <w:rsid w:val="00893D31"/>
    <w:rsid w:val="00894C87"/>
    <w:rsid w:val="00894DE8"/>
    <w:rsid w:val="00895D7E"/>
    <w:rsid w:val="0089683D"/>
    <w:rsid w:val="008968CF"/>
    <w:rsid w:val="00896E8D"/>
    <w:rsid w:val="00897289"/>
    <w:rsid w:val="00897BF1"/>
    <w:rsid w:val="00897DD4"/>
    <w:rsid w:val="008A137C"/>
    <w:rsid w:val="008A26B3"/>
    <w:rsid w:val="008A2B1A"/>
    <w:rsid w:val="008A2DA3"/>
    <w:rsid w:val="008A3023"/>
    <w:rsid w:val="008A33B1"/>
    <w:rsid w:val="008A5C31"/>
    <w:rsid w:val="008A63D7"/>
    <w:rsid w:val="008A6DA8"/>
    <w:rsid w:val="008B0F3C"/>
    <w:rsid w:val="008B178D"/>
    <w:rsid w:val="008B1800"/>
    <w:rsid w:val="008B1AD7"/>
    <w:rsid w:val="008B1F3A"/>
    <w:rsid w:val="008B205D"/>
    <w:rsid w:val="008B2534"/>
    <w:rsid w:val="008B2575"/>
    <w:rsid w:val="008B25CF"/>
    <w:rsid w:val="008B2BC7"/>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1667"/>
    <w:rsid w:val="008E1991"/>
    <w:rsid w:val="008E1A52"/>
    <w:rsid w:val="008E2A5D"/>
    <w:rsid w:val="008E2AFA"/>
    <w:rsid w:val="008E3574"/>
    <w:rsid w:val="008E3589"/>
    <w:rsid w:val="008E380B"/>
    <w:rsid w:val="008E383C"/>
    <w:rsid w:val="008E5134"/>
    <w:rsid w:val="008E67CA"/>
    <w:rsid w:val="008E7940"/>
    <w:rsid w:val="008E7F9D"/>
    <w:rsid w:val="008F0293"/>
    <w:rsid w:val="008F256B"/>
    <w:rsid w:val="008F2684"/>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BB5"/>
    <w:rsid w:val="00905548"/>
    <w:rsid w:val="00905D04"/>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7957"/>
    <w:rsid w:val="0092083E"/>
    <w:rsid w:val="00920B36"/>
    <w:rsid w:val="00921F2B"/>
    <w:rsid w:val="00922058"/>
    <w:rsid w:val="0092283F"/>
    <w:rsid w:val="00923638"/>
    <w:rsid w:val="009244EE"/>
    <w:rsid w:val="00924DF4"/>
    <w:rsid w:val="00924F84"/>
    <w:rsid w:val="00925095"/>
    <w:rsid w:val="009252BA"/>
    <w:rsid w:val="009261D9"/>
    <w:rsid w:val="00926677"/>
    <w:rsid w:val="00926A42"/>
    <w:rsid w:val="0092728E"/>
    <w:rsid w:val="009278CE"/>
    <w:rsid w:val="00931776"/>
    <w:rsid w:val="00932FB6"/>
    <w:rsid w:val="0093374B"/>
    <w:rsid w:val="00934DB6"/>
    <w:rsid w:val="00935041"/>
    <w:rsid w:val="00935928"/>
    <w:rsid w:val="00936631"/>
    <w:rsid w:val="00936BB4"/>
    <w:rsid w:val="00936C0A"/>
    <w:rsid w:val="00936CB6"/>
    <w:rsid w:val="00936CBC"/>
    <w:rsid w:val="009371B3"/>
    <w:rsid w:val="00937735"/>
    <w:rsid w:val="00937D44"/>
    <w:rsid w:val="009409A1"/>
    <w:rsid w:val="00941234"/>
    <w:rsid w:val="00942B10"/>
    <w:rsid w:val="00943A78"/>
    <w:rsid w:val="00943E32"/>
    <w:rsid w:val="00944306"/>
    <w:rsid w:val="00944AB3"/>
    <w:rsid w:val="0094523F"/>
    <w:rsid w:val="00947409"/>
    <w:rsid w:val="00950609"/>
    <w:rsid w:val="00950839"/>
    <w:rsid w:val="0095209D"/>
    <w:rsid w:val="0095279F"/>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9EC"/>
    <w:rsid w:val="009661BD"/>
    <w:rsid w:val="00966AD6"/>
    <w:rsid w:val="00967234"/>
    <w:rsid w:val="00967279"/>
    <w:rsid w:val="00967580"/>
    <w:rsid w:val="0096766C"/>
    <w:rsid w:val="00970BAB"/>
    <w:rsid w:val="0097131F"/>
    <w:rsid w:val="00972EA4"/>
    <w:rsid w:val="00972EB8"/>
    <w:rsid w:val="00973172"/>
    <w:rsid w:val="00973FA3"/>
    <w:rsid w:val="00974361"/>
    <w:rsid w:val="009743F4"/>
    <w:rsid w:val="00975653"/>
    <w:rsid w:val="0097618F"/>
    <w:rsid w:val="00976475"/>
    <w:rsid w:val="0097722D"/>
    <w:rsid w:val="009816B2"/>
    <w:rsid w:val="0098170D"/>
    <w:rsid w:val="009826DC"/>
    <w:rsid w:val="00982FAC"/>
    <w:rsid w:val="00983247"/>
    <w:rsid w:val="009834A0"/>
    <w:rsid w:val="0098365F"/>
    <w:rsid w:val="00983E39"/>
    <w:rsid w:val="009845C6"/>
    <w:rsid w:val="009858CF"/>
    <w:rsid w:val="00985D19"/>
    <w:rsid w:val="00986FC9"/>
    <w:rsid w:val="0099020D"/>
    <w:rsid w:val="0099073D"/>
    <w:rsid w:val="009918D3"/>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3CD9"/>
    <w:rsid w:val="009A4249"/>
    <w:rsid w:val="009A4649"/>
    <w:rsid w:val="009A47DB"/>
    <w:rsid w:val="009A511B"/>
    <w:rsid w:val="009A6307"/>
    <w:rsid w:val="009A63F9"/>
    <w:rsid w:val="009A6AA5"/>
    <w:rsid w:val="009A7892"/>
    <w:rsid w:val="009B1C49"/>
    <w:rsid w:val="009B48CA"/>
    <w:rsid w:val="009B48E8"/>
    <w:rsid w:val="009B49D6"/>
    <w:rsid w:val="009B5626"/>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4D9"/>
    <w:rsid w:val="009C6400"/>
    <w:rsid w:val="009C6662"/>
    <w:rsid w:val="009C6E84"/>
    <w:rsid w:val="009D0490"/>
    <w:rsid w:val="009D0A06"/>
    <w:rsid w:val="009D0B1E"/>
    <w:rsid w:val="009D153F"/>
    <w:rsid w:val="009D337F"/>
    <w:rsid w:val="009D3484"/>
    <w:rsid w:val="009D3685"/>
    <w:rsid w:val="009D3735"/>
    <w:rsid w:val="009D4BA6"/>
    <w:rsid w:val="009D4DF1"/>
    <w:rsid w:val="009D6199"/>
    <w:rsid w:val="009D738D"/>
    <w:rsid w:val="009D73C4"/>
    <w:rsid w:val="009D7594"/>
    <w:rsid w:val="009D7C10"/>
    <w:rsid w:val="009E10CA"/>
    <w:rsid w:val="009E392C"/>
    <w:rsid w:val="009E4CF7"/>
    <w:rsid w:val="009E5195"/>
    <w:rsid w:val="009E5DBB"/>
    <w:rsid w:val="009E6BEA"/>
    <w:rsid w:val="009E6CB3"/>
    <w:rsid w:val="009E7509"/>
    <w:rsid w:val="009E7955"/>
    <w:rsid w:val="009E7DEA"/>
    <w:rsid w:val="009F0646"/>
    <w:rsid w:val="009F1492"/>
    <w:rsid w:val="009F2548"/>
    <w:rsid w:val="009F27D9"/>
    <w:rsid w:val="009F3529"/>
    <w:rsid w:val="009F3A7D"/>
    <w:rsid w:val="009F4AF9"/>
    <w:rsid w:val="009F4D04"/>
    <w:rsid w:val="009F56F4"/>
    <w:rsid w:val="009F5E18"/>
    <w:rsid w:val="009F62C5"/>
    <w:rsid w:val="009F63A0"/>
    <w:rsid w:val="009F649C"/>
    <w:rsid w:val="009F68C7"/>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7303"/>
    <w:rsid w:val="00A27629"/>
    <w:rsid w:val="00A300A6"/>
    <w:rsid w:val="00A30524"/>
    <w:rsid w:val="00A319DE"/>
    <w:rsid w:val="00A31B3C"/>
    <w:rsid w:val="00A3432E"/>
    <w:rsid w:val="00A3510D"/>
    <w:rsid w:val="00A35C15"/>
    <w:rsid w:val="00A36E32"/>
    <w:rsid w:val="00A37E36"/>
    <w:rsid w:val="00A40023"/>
    <w:rsid w:val="00A40877"/>
    <w:rsid w:val="00A41403"/>
    <w:rsid w:val="00A42D20"/>
    <w:rsid w:val="00A44207"/>
    <w:rsid w:val="00A444E7"/>
    <w:rsid w:val="00A44AB0"/>
    <w:rsid w:val="00A45429"/>
    <w:rsid w:val="00A4581E"/>
    <w:rsid w:val="00A46C1C"/>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3EED"/>
    <w:rsid w:val="00A642B4"/>
    <w:rsid w:val="00A64FBC"/>
    <w:rsid w:val="00A66F40"/>
    <w:rsid w:val="00A66FF4"/>
    <w:rsid w:val="00A67789"/>
    <w:rsid w:val="00A6791D"/>
    <w:rsid w:val="00A7027F"/>
    <w:rsid w:val="00A7249D"/>
    <w:rsid w:val="00A72AB3"/>
    <w:rsid w:val="00A734C0"/>
    <w:rsid w:val="00A74A1B"/>
    <w:rsid w:val="00A806F1"/>
    <w:rsid w:val="00A80BB5"/>
    <w:rsid w:val="00A818A9"/>
    <w:rsid w:val="00A81D07"/>
    <w:rsid w:val="00A82CBC"/>
    <w:rsid w:val="00A83204"/>
    <w:rsid w:val="00A836BE"/>
    <w:rsid w:val="00A83CD9"/>
    <w:rsid w:val="00A83FB5"/>
    <w:rsid w:val="00A8443F"/>
    <w:rsid w:val="00A847E6"/>
    <w:rsid w:val="00A8496C"/>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A041B"/>
    <w:rsid w:val="00AA08E1"/>
    <w:rsid w:val="00AA1D75"/>
    <w:rsid w:val="00AA2097"/>
    <w:rsid w:val="00AA24AF"/>
    <w:rsid w:val="00AA3CEF"/>
    <w:rsid w:val="00AA436D"/>
    <w:rsid w:val="00AA6111"/>
    <w:rsid w:val="00AA73CD"/>
    <w:rsid w:val="00AA79E3"/>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858"/>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988"/>
    <w:rsid w:val="00AE4C00"/>
    <w:rsid w:val="00AE5883"/>
    <w:rsid w:val="00AE5B8E"/>
    <w:rsid w:val="00AE69EE"/>
    <w:rsid w:val="00AE6D5F"/>
    <w:rsid w:val="00AE6E7D"/>
    <w:rsid w:val="00AE778D"/>
    <w:rsid w:val="00AE7C3D"/>
    <w:rsid w:val="00AE7C8F"/>
    <w:rsid w:val="00AE7FF1"/>
    <w:rsid w:val="00AF03C1"/>
    <w:rsid w:val="00AF0674"/>
    <w:rsid w:val="00AF0818"/>
    <w:rsid w:val="00AF0B79"/>
    <w:rsid w:val="00AF111A"/>
    <w:rsid w:val="00AF14FB"/>
    <w:rsid w:val="00AF1D77"/>
    <w:rsid w:val="00AF2467"/>
    <w:rsid w:val="00AF4074"/>
    <w:rsid w:val="00AF56EE"/>
    <w:rsid w:val="00AF5981"/>
    <w:rsid w:val="00AF6545"/>
    <w:rsid w:val="00AF769E"/>
    <w:rsid w:val="00B0006C"/>
    <w:rsid w:val="00B000EB"/>
    <w:rsid w:val="00B00105"/>
    <w:rsid w:val="00B00279"/>
    <w:rsid w:val="00B00707"/>
    <w:rsid w:val="00B00805"/>
    <w:rsid w:val="00B012A6"/>
    <w:rsid w:val="00B01965"/>
    <w:rsid w:val="00B01FA7"/>
    <w:rsid w:val="00B030E7"/>
    <w:rsid w:val="00B03765"/>
    <w:rsid w:val="00B037E1"/>
    <w:rsid w:val="00B0399B"/>
    <w:rsid w:val="00B039EC"/>
    <w:rsid w:val="00B048D3"/>
    <w:rsid w:val="00B04DDE"/>
    <w:rsid w:val="00B04F96"/>
    <w:rsid w:val="00B055AD"/>
    <w:rsid w:val="00B0607B"/>
    <w:rsid w:val="00B10DF2"/>
    <w:rsid w:val="00B110F5"/>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02B9"/>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571"/>
    <w:rsid w:val="00B46CD3"/>
    <w:rsid w:val="00B4727B"/>
    <w:rsid w:val="00B476A4"/>
    <w:rsid w:val="00B50A08"/>
    <w:rsid w:val="00B50AFD"/>
    <w:rsid w:val="00B5196E"/>
    <w:rsid w:val="00B529DE"/>
    <w:rsid w:val="00B535B9"/>
    <w:rsid w:val="00B53D68"/>
    <w:rsid w:val="00B54A08"/>
    <w:rsid w:val="00B54C29"/>
    <w:rsid w:val="00B54EA2"/>
    <w:rsid w:val="00B569AA"/>
    <w:rsid w:val="00B57120"/>
    <w:rsid w:val="00B579E9"/>
    <w:rsid w:val="00B57B4C"/>
    <w:rsid w:val="00B57E30"/>
    <w:rsid w:val="00B613F2"/>
    <w:rsid w:val="00B6176C"/>
    <w:rsid w:val="00B626EA"/>
    <w:rsid w:val="00B62720"/>
    <w:rsid w:val="00B62875"/>
    <w:rsid w:val="00B62E51"/>
    <w:rsid w:val="00B62F42"/>
    <w:rsid w:val="00B62FB9"/>
    <w:rsid w:val="00B63128"/>
    <w:rsid w:val="00B646A5"/>
    <w:rsid w:val="00B64E05"/>
    <w:rsid w:val="00B64F92"/>
    <w:rsid w:val="00B665B8"/>
    <w:rsid w:val="00B667A7"/>
    <w:rsid w:val="00B702B1"/>
    <w:rsid w:val="00B70C16"/>
    <w:rsid w:val="00B71FFF"/>
    <w:rsid w:val="00B72D45"/>
    <w:rsid w:val="00B73273"/>
    <w:rsid w:val="00B7541E"/>
    <w:rsid w:val="00B7615C"/>
    <w:rsid w:val="00B767F5"/>
    <w:rsid w:val="00B7680F"/>
    <w:rsid w:val="00B8047F"/>
    <w:rsid w:val="00B80D65"/>
    <w:rsid w:val="00B812CC"/>
    <w:rsid w:val="00B816F4"/>
    <w:rsid w:val="00B819B9"/>
    <w:rsid w:val="00B82860"/>
    <w:rsid w:val="00B82A64"/>
    <w:rsid w:val="00B82E71"/>
    <w:rsid w:val="00B83E21"/>
    <w:rsid w:val="00B8411E"/>
    <w:rsid w:val="00B84427"/>
    <w:rsid w:val="00B85BE3"/>
    <w:rsid w:val="00B86086"/>
    <w:rsid w:val="00B86626"/>
    <w:rsid w:val="00B86B2F"/>
    <w:rsid w:val="00B90A1F"/>
    <w:rsid w:val="00B90EA1"/>
    <w:rsid w:val="00B91436"/>
    <w:rsid w:val="00B921E7"/>
    <w:rsid w:val="00B92943"/>
    <w:rsid w:val="00B92E2F"/>
    <w:rsid w:val="00B9354F"/>
    <w:rsid w:val="00B94979"/>
    <w:rsid w:val="00B96A6E"/>
    <w:rsid w:val="00B9755C"/>
    <w:rsid w:val="00BA01EE"/>
    <w:rsid w:val="00BA147B"/>
    <w:rsid w:val="00BA3A5C"/>
    <w:rsid w:val="00BA4BEA"/>
    <w:rsid w:val="00BA4E0A"/>
    <w:rsid w:val="00BA6950"/>
    <w:rsid w:val="00BA6D7C"/>
    <w:rsid w:val="00BA762E"/>
    <w:rsid w:val="00BA7D7B"/>
    <w:rsid w:val="00BB090D"/>
    <w:rsid w:val="00BB0EEF"/>
    <w:rsid w:val="00BB0FAE"/>
    <w:rsid w:val="00BB1914"/>
    <w:rsid w:val="00BB2294"/>
    <w:rsid w:val="00BB3C2D"/>
    <w:rsid w:val="00BB714A"/>
    <w:rsid w:val="00BC1037"/>
    <w:rsid w:val="00BC2587"/>
    <w:rsid w:val="00BC26EC"/>
    <w:rsid w:val="00BC2CD0"/>
    <w:rsid w:val="00BC365C"/>
    <w:rsid w:val="00BC3E53"/>
    <w:rsid w:val="00BC4C4D"/>
    <w:rsid w:val="00BC4DAF"/>
    <w:rsid w:val="00BC5005"/>
    <w:rsid w:val="00BC6022"/>
    <w:rsid w:val="00BC67D3"/>
    <w:rsid w:val="00BD0F15"/>
    <w:rsid w:val="00BD2047"/>
    <w:rsid w:val="00BD216D"/>
    <w:rsid w:val="00BD2506"/>
    <w:rsid w:val="00BD477B"/>
    <w:rsid w:val="00BD488C"/>
    <w:rsid w:val="00BD4CB9"/>
    <w:rsid w:val="00BD4E3B"/>
    <w:rsid w:val="00BD73E6"/>
    <w:rsid w:val="00BD7FAE"/>
    <w:rsid w:val="00BE09C8"/>
    <w:rsid w:val="00BE0A92"/>
    <w:rsid w:val="00BE103F"/>
    <w:rsid w:val="00BE1850"/>
    <w:rsid w:val="00BE1B6C"/>
    <w:rsid w:val="00BE2C25"/>
    <w:rsid w:val="00BE2CAA"/>
    <w:rsid w:val="00BE2D02"/>
    <w:rsid w:val="00BE2E37"/>
    <w:rsid w:val="00BE3060"/>
    <w:rsid w:val="00BE336E"/>
    <w:rsid w:val="00BE342F"/>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DD2"/>
    <w:rsid w:val="00C014A5"/>
    <w:rsid w:val="00C02164"/>
    <w:rsid w:val="00C02B6B"/>
    <w:rsid w:val="00C034FE"/>
    <w:rsid w:val="00C045DE"/>
    <w:rsid w:val="00C04D6C"/>
    <w:rsid w:val="00C04F94"/>
    <w:rsid w:val="00C069B4"/>
    <w:rsid w:val="00C076D1"/>
    <w:rsid w:val="00C11103"/>
    <w:rsid w:val="00C116F0"/>
    <w:rsid w:val="00C117C5"/>
    <w:rsid w:val="00C11EE2"/>
    <w:rsid w:val="00C13F6C"/>
    <w:rsid w:val="00C161B7"/>
    <w:rsid w:val="00C17880"/>
    <w:rsid w:val="00C17BB0"/>
    <w:rsid w:val="00C17D29"/>
    <w:rsid w:val="00C2011C"/>
    <w:rsid w:val="00C205D4"/>
    <w:rsid w:val="00C22E28"/>
    <w:rsid w:val="00C2366F"/>
    <w:rsid w:val="00C244DE"/>
    <w:rsid w:val="00C2587B"/>
    <w:rsid w:val="00C25DF8"/>
    <w:rsid w:val="00C26A67"/>
    <w:rsid w:val="00C27C89"/>
    <w:rsid w:val="00C27CBC"/>
    <w:rsid w:val="00C27E35"/>
    <w:rsid w:val="00C30119"/>
    <w:rsid w:val="00C3052F"/>
    <w:rsid w:val="00C31E6E"/>
    <w:rsid w:val="00C332B3"/>
    <w:rsid w:val="00C33C90"/>
    <w:rsid w:val="00C34804"/>
    <w:rsid w:val="00C357E6"/>
    <w:rsid w:val="00C36090"/>
    <w:rsid w:val="00C368E7"/>
    <w:rsid w:val="00C36AAB"/>
    <w:rsid w:val="00C36D89"/>
    <w:rsid w:val="00C37103"/>
    <w:rsid w:val="00C37D3E"/>
    <w:rsid w:val="00C407E5"/>
    <w:rsid w:val="00C40BC7"/>
    <w:rsid w:val="00C40FBE"/>
    <w:rsid w:val="00C41A04"/>
    <w:rsid w:val="00C433EE"/>
    <w:rsid w:val="00C43CCF"/>
    <w:rsid w:val="00C43F7E"/>
    <w:rsid w:val="00C44CAE"/>
    <w:rsid w:val="00C44D29"/>
    <w:rsid w:val="00C46508"/>
    <w:rsid w:val="00C47162"/>
    <w:rsid w:val="00C47C92"/>
    <w:rsid w:val="00C47DB5"/>
    <w:rsid w:val="00C507CD"/>
    <w:rsid w:val="00C50C71"/>
    <w:rsid w:val="00C51AA7"/>
    <w:rsid w:val="00C51EDD"/>
    <w:rsid w:val="00C526E0"/>
    <w:rsid w:val="00C53925"/>
    <w:rsid w:val="00C551C4"/>
    <w:rsid w:val="00C554BC"/>
    <w:rsid w:val="00C55E57"/>
    <w:rsid w:val="00C5637D"/>
    <w:rsid w:val="00C5660C"/>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667"/>
    <w:rsid w:val="00C67EFA"/>
    <w:rsid w:val="00C703F6"/>
    <w:rsid w:val="00C71CBD"/>
    <w:rsid w:val="00C71DCC"/>
    <w:rsid w:val="00C7225D"/>
    <w:rsid w:val="00C7236A"/>
    <w:rsid w:val="00C73E70"/>
    <w:rsid w:val="00C73E90"/>
    <w:rsid w:val="00C7464B"/>
    <w:rsid w:val="00C746BF"/>
    <w:rsid w:val="00C74C8E"/>
    <w:rsid w:val="00C750C4"/>
    <w:rsid w:val="00C751FB"/>
    <w:rsid w:val="00C75272"/>
    <w:rsid w:val="00C759CF"/>
    <w:rsid w:val="00C75D46"/>
    <w:rsid w:val="00C77136"/>
    <w:rsid w:val="00C778AE"/>
    <w:rsid w:val="00C811ED"/>
    <w:rsid w:val="00C81A64"/>
    <w:rsid w:val="00C82073"/>
    <w:rsid w:val="00C82540"/>
    <w:rsid w:val="00C82C9C"/>
    <w:rsid w:val="00C83210"/>
    <w:rsid w:val="00C833C8"/>
    <w:rsid w:val="00C83D6A"/>
    <w:rsid w:val="00C84EE8"/>
    <w:rsid w:val="00C856E2"/>
    <w:rsid w:val="00C85957"/>
    <w:rsid w:val="00C85ED7"/>
    <w:rsid w:val="00C86F06"/>
    <w:rsid w:val="00C87B96"/>
    <w:rsid w:val="00C87CE5"/>
    <w:rsid w:val="00C9022C"/>
    <w:rsid w:val="00C903A8"/>
    <w:rsid w:val="00C91702"/>
    <w:rsid w:val="00C9183A"/>
    <w:rsid w:val="00C91E57"/>
    <w:rsid w:val="00C921AA"/>
    <w:rsid w:val="00C92A0F"/>
    <w:rsid w:val="00C92CF0"/>
    <w:rsid w:val="00C9323E"/>
    <w:rsid w:val="00C936F8"/>
    <w:rsid w:val="00C9436F"/>
    <w:rsid w:val="00C94CE5"/>
    <w:rsid w:val="00C953AB"/>
    <w:rsid w:val="00C95AE9"/>
    <w:rsid w:val="00C97488"/>
    <w:rsid w:val="00C97AB4"/>
    <w:rsid w:val="00CA0173"/>
    <w:rsid w:val="00CA0325"/>
    <w:rsid w:val="00CA0B22"/>
    <w:rsid w:val="00CA0CA1"/>
    <w:rsid w:val="00CA105A"/>
    <w:rsid w:val="00CA1B7D"/>
    <w:rsid w:val="00CA21F4"/>
    <w:rsid w:val="00CA3732"/>
    <w:rsid w:val="00CA37B4"/>
    <w:rsid w:val="00CA37C4"/>
    <w:rsid w:val="00CA44B3"/>
    <w:rsid w:val="00CA4E1D"/>
    <w:rsid w:val="00CA5032"/>
    <w:rsid w:val="00CA5371"/>
    <w:rsid w:val="00CA53A4"/>
    <w:rsid w:val="00CA54E5"/>
    <w:rsid w:val="00CA6908"/>
    <w:rsid w:val="00CA7921"/>
    <w:rsid w:val="00CB0016"/>
    <w:rsid w:val="00CB06BD"/>
    <w:rsid w:val="00CB07E7"/>
    <w:rsid w:val="00CB0BD6"/>
    <w:rsid w:val="00CB1285"/>
    <w:rsid w:val="00CB1ACA"/>
    <w:rsid w:val="00CB26EA"/>
    <w:rsid w:val="00CB3B59"/>
    <w:rsid w:val="00CB44C3"/>
    <w:rsid w:val="00CB4672"/>
    <w:rsid w:val="00CB4CD5"/>
    <w:rsid w:val="00CB56B8"/>
    <w:rsid w:val="00CB61CC"/>
    <w:rsid w:val="00CB691B"/>
    <w:rsid w:val="00CB6C30"/>
    <w:rsid w:val="00CB7A25"/>
    <w:rsid w:val="00CC03D9"/>
    <w:rsid w:val="00CC07EB"/>
    <w:rsid w:val="00CC161C"/>
    <w:rsid w:val="00CC28BF"/>
    <w:rsid w:val="00CC28C3"/>
    <w:rsid w:val="00CC2B2F"/>
    <w:rsid w:val="00CC2BD8"/>
    <w:rsid w:val="00CC307C"/>
    <w:rsid w:val="00CC32F6"/>
    <w:rsid w:val="00CC5C4C"/>
    <w:rsid w:val="00CC723C"/>
    <w:rsid w:val="00CD15D6"/>
    <w:rsid w:val="00CD1660"/>
    <w:rsid w:val="00CD16F8"/>
    <w:rsid w:val="00CD174C"/>
    <w:rsid w:val="00CD1BD8"/>
    <w:rsid w:val="00CD1C6E"/>
    <w:rsid w:val="00CD2198"/>
    <w:rsid w:val="00CD2FBC"/>
    <w:rsid w:val="00CD30FF"/>
    <w:rsid w:val="00CD32A6"/>
    <w:rsid w:val="00CD3479"/>
    <w:rsid w:val="00CD3EF3"/>
    <w:rsid w:val="00CD3F01"/>
    <w:rsid w:val="00CD5159"/>
    <w:rsid w:val="00CD67C4"/>
    <w:rsid w:val="00CD6C10"/>
    <w:rsid w:val="00CE091E"/>
    <w:rsid w:val="00CE0DE1"/>
    <w:rsid w:val="00CE1D5E"/>
    <w:rsid w:val="00CE1E16"/>
    <w:rsid w:val="00CE3F47"/>
    <w:rsid w:val="00CE6AE0"/>
    <w:rsid w:val="00CE72FD"/>
    <w:rsid w:val="00CE7678"/>
    <w:rsid w:val="00CE792A"/>
    <w:rsid w:val="00CE7C23"/>
    <w:rsid w:val="00CF06E5"/>
    <w:rsid w:val="00CF07F5"/>
    <w:rsid w:val="00CF0D08"/>
    <w:rsid w:val="00CF1553"/>
    <w:rsid w:val="00CF1EC7"/>
    <w:rsid w:val="00CF2721"/>
    <w:rsid w:val="00CF3779"/>
    <w:rsid w:val="00CF3C14"/>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19E2"/>
    <w:rsid w:val="00D12C34"/>
    <w:rsid w:val="00D155A0"/>
    <w:rsid w:val="00D16374"/>
    <w:rsid w:val="00D16581"/>
    <w:rsid w:val="00D1661E"/>
    <w:rsid w:val="00D16F0E"/>
    <w:rsid w:val="00D1738F"/>
    <w:rsid w:val="00D2003D"/>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7703"/>
    <w:rsid w:val="00D40A33"/>
    <w:rsid w:val="00D40AED"/>
    <w:rsid w:val="00D4262E"/>
    <w:rsid w:val="00D438D6"/>
    <w:rsid w:val="00D446AB"/>
    <w:rsid w:val="00D448A5"/>
    <w:rsid w:val="00D44B89"/>
    <w:rsid w:val="00D44DA6"/>
    <w:rsid w:val="00D45D31"/>
    <w:rsid w:val="00D46F90"/>
    <w:rsid w:val="00D47DF7"/>
    <w:rsid w:val="00D5009B"/>
    <w:rsid w:val="00D504A5"/>
    <w:rsid w:val="00D50F41"/>
    <w:rsid w:val="00D514AF"/>
    <w:rsid w:val="00D5156D"/>
    <w:rsid w:val="00D52A67"/>
    <w:rsid w:val="00D5324A"/>
    <w:rsid w:val="00D5377A"/>
    <w:rsid w:val="00D53E68"/>
    <w:rsid w:val="00D53E6B"/>
    <w:rsid w:val="00D5420E"/>
    <w:rsid w:val="00D55224"/>
    <w:rsid w:val="00D552CE"/>
    <w:rsid w:val="00D5596C"/>
    <w:rsid w:val="00D56A27"/>
    <w:rsid w:val="00D61CF9"/>
    <w:rsid w:val="00D62B3D"/>
    <w:rsid w:val="00D630DD"/>
    <w:rsid w:val="00D6313F"/>
    <w:rsid w:val="00D64005"/>
    <w:rsid w:val="00D654D0"/>
    <w:rsid w:val="00D665CB"/>
    <w:rsid w:val="00D66A5C"/>
    <w:rsid w:val="00D66B84"/>
    <w:rsid w:val="00D7066C"/>
    <w:rsid w:val="00D713CC"/>
    <w:rsid w:val="00D7197D"/>
    <w:rsid w:val="00D719E6"/>
    <w:rsid w:val="00D71EC2"/>
    <w:rsid w:val="00D72381"/>
    <w:rsid w:val="00D72984"/>
    <w:rsid w:val="00D7357C"/>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C0A"/>
    <w:rsid w:val="00D9028F"/>
    <w:rsid w:val="00D91101"/>
    <w:rsid w:val="00D922FE"/>
    <w:rsid w:val="00D9454F"/>
    <w:rsid w:val="00D95C91"/>
    <w:rsid w:val="00D95EC6"/>
    <w:rsid w:val="00D95F84"/>
    <w:rsid w:val="00D979E2"/>
    <w:rsid w:val="00DA043D"/>
    <w:rsid w:val="00DA108C"/>
    <w:rsid w:val="00DA2939"/>
    <w:rsid w:val="00DA2CA1"/>
    <w:rsid w:val="00DA2CCF"/>
    <w:rsid w:val="00DA2E20"/>
    <w:rsid w:val="00DA3581"/>
    <w:rsid w:val="00DA3E7E"/>
    <w:rsid w:val="00DA4D73"/>
    <w:rsid w:val="00DA5AA6"/>
    <w:rsid w:val="00DA6110"/>
    <w:rsid w:val="00DA6141"/>
    <w:rsid w:val="00DA6491"/>
    <w:rsid w:val="00DA6798"/>
    <w:rsid w:val="00DA6B8E"/>
    <w:rsid w:val="00DA70CD"/>
    <w:rsid w:val="00DA76F0"/>
    <w:rsid w:val="00DA7A24"/>
    <w:rsid w:val="00DB0067"/>
    <w:rsid w:val="00DB0362"/>
    <w:rsid w:val="00DB0ABB"/>
    <w:rsid w:val="00DB0F71"/>
    <w:rsid w:val="00DB11A3"/>
    <w:rsid w:val="00DB1C5C"/>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60B7"/>
    <w:rsid w:val="00DD7058"/>
    <w:rsid w:val="00DD73AA"/>
    <w:rsid w:val="00DD7494"/>
    <w:rsid w:val="00DD79EE"/>
    <w:rsid w:val="00DD7A43"/>
    <w:rsid w:val="00DE0919"/>
    <w:rsid w:val="00DE11DC"/>
    <w:rsid w:val="00DE1B1B"/>
    <w:rsid w:val="00DE1BD7"/>
    <w:rsid w:val="00DE2460"/>
    <w:rsid w:val="00DE54BE"/>
    <w:rsid w:val="00DE5B1F"/>
    <w:rsid w:val="00DE695E"/>
    <w:rsid w:val="00DF00D6"/>
    <w:rsid w:val="00DF0577"/>
    <w:rsid w:val="00DF0709"/>
    <w:rsid w:val="00DF0761"/>
    <w:rsid w:val="00DF0A6C"/>
    <w:rsid w:val="00DF0C06"/>
    <w:rsid w:val="00DF14B0"/>
    <w:rsid w:val="00DF1D64"/>
    <w:rsid w:val="00DF2104"/>
    <w:rsid w:val="00DF31CF"/>
    <w:rsid w:val="00DF344B"/>
    <w:rsid w:val="00DF3B54"/>
    <w:rsid w:val="00DF40F6"/>
    <w:rsid w:val="00DF4277"/>
    <w:rsid w:val="00DF46AB"/>
    <w:rsid w:val="00DF4E7F"/>
    <w:rsid w:val="00DF5C0D"/>
    <w:rsid w:val="00DF5F23"/>
    <w:rsid w:val="00DF5F90"/>
    <w:rsid w:val="00DF65B6"/>
    <w:rsid w:val="00DF7350"/>
    <w:rsid w:val="00DF7DDB"/>
    <w:rsid w:val="00E00FC2"/>
    <w:rsid w:val="00E0102C"/>
    <w:rsid w:val="00E02C7D"/>
    <w:rsid w:val="00E03036"/>
    <w:rsid w:val="00E036D4"/>
    <w:rsid w:val="00E03C57"/>
    <w:rsid w:val="00E03E74"/>
    <w:rsid w:val="00E042B1"/>
    <w:rsid w:val="00E049CC"/>
    <w:rsid w:val="00E04AD1"/>
    <w:rsid w:val="00E054EF"/>
    <w:rsid w:val="00E0597B"/>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3594"/>
    <w:rsid w:val="00E435DC"/>
    <w:rsid w:val="00E44F52"/>
    <w:rsid w:val="00E4566B"/>
    <w:rsid w:val="00E4621D"/>
    <w:rsid w:val="00E46FE7"/>
    <w:rsid w:val="00E471C4"/>
    <w:rsid w:val="00E478F3"/>
    <w:rsid w:val="00E53AC7"/>
    <w:rsid w:val="00E53F28"/>
    <w:rsid w:val="00E5603B"/>
    <w:rsid w:val="00E560A5"/>
    <w:rsid w:val="00E5757D"/>
    <w:rsid w:val="00E577DC"/>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7465"/>
    <w:rsid w:val="00E8791B"/>
    <w:rsid w:val="00E87B3C"/>
    <w:rsid w:val="00E90E92"/>
    <w:rsid w:val="00E91697"/>
    <w:rsid w:val="00E9225C"/>
    <w:rsid w:val="00E92730"/>
    <w:rsid w:val="00E92D33"/>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EE"/>
    <w:rsid w:val="00EC61F5"/>
    <w:rsid w:val="00ED033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D0F"/>
    <w:rsid w:val="00EE3557"/>
    <w:rsid w:val="00EE370E"/>
    <w:rsid w:val="00EE3C21"/>
    <w:rsid w:val="00EE4F8D"/>
    <w:rsid w:val="00EE523A"/>
    <w:rsid w:val="00EE5848"/>
    <w:rsid w:val="00EE59B1"/>
    <w:rsid w:val="00EE618F"/>
    <w:rsid w:val="00EE6857"/>
    <w:rsid w:val="00EE7308"/>
    <w:rsid w:val="00EE7C77"/>
    <w:rsid w:val="00EF01D6"/>
    <w:rsid w:val="00EF042C"/>
    <w:rsid w:val="00EF0B99"/>
    <w:rsid w:val="00EF11F7"/>
    <w:rsid w:val="00EF317F"/>
    <w:rsid w:val="00EF3775"/>
    <w:rsid w:val="00EF3CD1"/>
    <w:rsid w:val="00EF405B"/>
    <w:rsid w:val="00EF5BCB"/>
    <w:rsid w:val="00EF5CD4"/>
    <w:rsid w:val="00EF7B69"/>
    <w:rsid w:val="00F0038C"/>
    <w:rsid w:val="00F00881"/>
    <w:rsid w:val="00F00B37"/>
    <w:rsid w:val="00F0122C"/>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41E2"/>
    <w:rsid w:val="00F45394"/>
    <w:rsid w:val="00F453B8"/>
    <w:rsid w:val="00F45737"/>
    <w:rsid w:val="00F45EE1"/>
    <w:rsid w:val="00F4659B"/>
    <w:rsid w:val="00F4706D"/>
    <w:rsid w:val="00F51AC0"/>
    <w:rsid w:val="00F51F41"/>
    <w:rsid w:val="00F52022"/>
    <w:rsid w:val="00F53D5F"/>
    <w:rsid w:val="00F54A0B"/>
    <w:rsid w:val="00F5515F"/>
    <w:rsid w:val="00F562CC"/>
    <w:rsid w:val="00F5665A"/>
    <w:rsid w:val="00F5743B"/>
    <w:rsid w:val="00F57A44"/>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66B0"/>
    <w:rsid w:val="00F876E7"/>
    <w:rsid w:val="00F87AFA"/>
    <w:rsid w:val="00F91A57"/>
    <w:rsid w:val="00F933DF"/>
    <w:rsid w:val="00F93698"/>
    <w:rsid w:val="00F93E1D"/>
    <w:rsid w:val="00F94191"/>
    <w:rsid w:val="00F9431E"/>
    <w:rsid w:val="00F95997"/>
    <w:rsid w:val="00F97D51"/>
    <w:rsid w:val="00FA070C"/>
    <w:rsid w:val="00FA147A"/>
    <w:rsid w:val="00FA184F"/>
    <w:rsid w:val="00FA25D4"/>
    <w:rsid w:val="00FA2D45"/>
    <w:rsid w:val="00FA3757"/>
    <w:rsid w:val="00FA3E6D"/>
    <w:rsid w:val="00FA4880"/>
    <w:rsid w:val="00FA4BF0"/>
    <w:rsid w:val="00FA5295"/>
    <w:rsid w:val="00FA64DB"/>
    <w:rsid w:val="00FA65D1"/>
    <w:rsid w:val="00FA7F68"/>
    <w:rsid w:val="00FB03DA"/>
    <w:rsid w:val="00FB0B3B"/>
    <w:rsid w:val="00FB1051"/>
    <w:rsid w:val="00FB16DB"/>
    <w:rsid w:val="00FB356D"/>
    <w:rsid w:val="00FB4CD4"/>
    <w:rsid w:val="00FB63F8"/>
    <w:rsid w:val="00FB6637"/>
    <w:rsid w:val="00FB74AC"/>
    <w:rsid w:val="00FC0401"/>
    <w:rsid w:val="00FC2129"/>
    <w:rsid w:val="00FC24A9"/>
    <w:rsid w:val="00FC2F4B"/>
    <w:rsid w:val="00FC3AB8"/>
    <w:rsid w:val="00FC3B03"/>
    <w:rsid w:val="00FC3C05"/>
    <w:rsid w:val="00FC3D35"/>
    <w:rsid w:val="00FC40F4"/>
    <w:rsid w:val="00FC45D3"/>
    <w:rsid w:val="00FC7280"/>
    <w:rsid w:val="00FD01DE"/>
    <w:rsid w:val="00FD0687"/>
    <w:rsid w:val="00FD1216"/>
    <w:rsid w:val="00FD1A01"/>
    <w:rsid w:val="00FD3AF2"/>
    <w:rsid w:val="00FD4012"/>
    <w:rsid w:val="00FD42C7"/>
    <w:rsid w:val="00FD455B"/>
    <w:rsid w:val="00FD4650"/>
    <w:rsid w:val="00FD4F86"/>
    <w:rsid w:val="00FD5AE9"/>
    <w:rsid w:val="00FD6511"/>
    <w:rsid w:val="00FD6B40"/>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0F5"/>
    <w:rsid w:val="00FF4202"/>
    <w:rsid w:val="00FF472C"/>
    <w:rsid w:val="00FF4A0A"/>
    <w:rsid w:val="00FF4A3E"/>
    <w:rsid w:val="00FF4B29"/>
    <w:rsid w:val="00FF5DF3"/>
    <w:rsid w:val="00FF67DE"/>
    <w:rsid w:val="00FF7F95"/>
    <w:rsid w:val="018E74D7"/>
    <w:rsid w:val="01EF5295"/>
    <w:rsid w:val="01F41286"/>
    <w:rsid w:val="0209330B"/>
    <w:rsid w:val="02366906"/>
    <w:rsid w:val="02AB295A"/>
    <w:rsid w:val="02B35D48"/>
    <w:rsid w:val="02D0381A"/>
    <w:rsid w:val="02E157ED"/>
    <w:rsid w:val="02FF7A7B"/>
    <w:rsid w:val="033861D1"/>
    <w:rsid w:val="034C024D"/>
    <w:rsid w:val="038D27D3"/>
    <w:rsid w:val="03970EF3"/>
    <w:rsid w:val="03EC1F79"/>
    <w:rsid w:val="042C2531"/>
    <w:rsid w:val="044309E1"/>
    <w:rsid w:val="04664A43"/>
    <w:rsid w:val="04823DD8"/>
    <w:rsid w:val="048C44D0"/>
    <w:rsid w:val="04E45291"/>
    <w:rsid w:val="04FF3EFD"/>
    <w:rsid w:val="05105120"/>
    <w:rsid w:val="055D00F4"/>
    <w:rsid w:val="056D1B0A"/>
    <w:rsid w:val="05E742EE"/>
    <w:rsid w:val="0623601E"/>
    <w:rsid w:val="065906F6"/>
    <w:rsid w:val="06654A60"/>
    <w:rsid w:val="066A4E12"/>
    <w:rsid w:val="06E41AF9"/>
    <w:rsid w:val="0733046D"/>
    <w:rsid w:val="07674A7D"/>
    <w:rsid w:val="07AD2F74"/>
    <w:rsid w:val="07AE0EB7"/>
    <w:rsid w:val="07E70758"/>
    <w:rsid w:val="087C4F4B"/>
    <w:rsid w:val="08C7632B"/>
    <w:rsid w:val="08EF7436"/>
    <w:rsid w:val="0914152B"/>
    <w:rsid w:val="091D4A6C"/>
    <w:rsid w:val="092F3068"/>
    <w:rsid w:val="097A3797"/>
    <w:rsid w:val="09874963"/>
    <w:rsid w:val="09D013B7"/>
    <w:rsid w:val="0A5D23C2"/>
    <w:rsid w:val="0B0E7430"/>
    <w:rsid w:val="0BA70C31"/>
    <w:rsid w:val="0BC11EE9"/>
    <w:rsid w:val="0C19710E"/>
    <w:rsid w:val="0C8E5CCC"/>
    <w:rsid w:val="0C94339F"/>
    <w:rsid w:val="0D5364A5"/>
    <w:rsid w:val="0D835B7E"/>
    <w:rsid w:val="0DF012B2"/>
    <w:rsid w:val="0DFC0C73"/>
    <w:rsid w:val="0E493DF1"/>
    <w:rsid w:val="0E691A30"/>
    <w:rsid w:val="0E794195"/>
    <w:rsid w:val="0E996B65"/>
    <w:rsid w:val="0EC7519C"/>
    <w:rsid w:val="0ECB2F66"/>
    <w:rsid w:val="0ED15F2C"/>
    <w:rsid w:val="0F510A30"/>
    <w:rsid w:val="0F663403"/>
    <w:rsid w:val="0F855BE7"/>
    <w:rsid w:val="0F980C7B"/>
    <w:rsid w:val="0FAF7EE0"/>
    <w:rsid w:val="1024466C"/>
    <w:rsid w:val="105E3E15"/>
    <w:rsid w:val="109A7611"/>
    <w:rsid w:val="10EC2AC2"/>
    <w:rsid w:val="114B0997"/>
    <w:rsid w:val="11BA27CD"/>
    <w:rsid w:val="11C86E50"/>
    <w:rsid w:val="12160F3D"/>
    <w:rsid w:val="12383670"/>
    <w:rsid w:val="12737362"/>
    <w:rsid w:val="12B21A21"/>
    <w:rsid w:val="12BD3DDD"/>
    <w:rsid w:val="12D07D2E"/>
    <w:rsid w:val="12E54A8E"/>
    <w:rsid w:val="13772D39"/>
    <w:rsid w:val="14044A65"/>
    <w:rsid w:val="143119FB"/>
    <w:rsid w:val="14314A47"/>
    <w:rsid w:val="14744662"/>
    <w:rsid w:val="14A57740"/>
    <w:rsid w:val="14BE346A"/>
    <w:rsid w:val="15633BC1"/>
    <w:rsid w:val="156B7D52"/>
    <w:rsid w:val="158D4055"/>
    <w:rsid w:val="1595204E"/>
    <w:rsid w:val="159D203F"/>
    <w:rsid w:val="1652716C"/>
    <w:rsid w:val="16AE0171"/>
    <w:rsid w:val="175947A3"/>
    <w:rsid w:val="17893D8A"/>
    <w:rsid w:val="17DC4231"/>
    <w:rsid w:val="181E4800"/>
    <w:rsid w:val="197A4670"/>
    <w:rsid w:val="19A04C96"/>
    <w:rsid w:val="1A1A69B3"/>
    <w:rsid w:val="1A3A4F71"/>
    <w:rsid w:val="1B334C68"/>
    <w:rsid w:val="1B5753C5"/>
    <w:rsid w:val="1B6028EE"/>
    <w:rsid w:val="1BD03658"/>
    <w:rsid w:val="1BE80BC8"/>
    <w:rsid w:val="1C171C54"/>
    <w:rsid w:val="1C6528D1"/>
    <w:rsid w:val="1CFD009B"/>
    <w:rsid w:val="1D131CD1"/>
    <w:rsid w:val="1D35215F"/>
    <w:rsid w:val="1D7F23F9"/>
    <w:rsid w:val="1DAB2F77"/>
    <w:rsid w:val="1DBF0856"/>
    <w:rsid w:val="1E017B93"/>
    <w:rsid w:val="1E1E344E"/>
    <w:rsid w:val="1E4C3C27"/>
    <w:rsid w:val="1EC40006"/>
    <w:rsid w:val="1F1C0096"/>
    <w:rsid w:val="1FBE4EC5"/>
    <w:rsid w:val="20090412"/>
    <w:rsid w:val="20166414"/>
    <w:rsid w:val="204D2F02"/>
    <w:rsid w:val="207F4BDE"/>
    <w:rsid w:val="20895CE0"/>
    <w:rsid w:val="20CF008E"/>
    <w:rsid w:val="20E35932"/>
    <w:rsid w:val="20EA0B82"/>
    <w:rsid w:val="21213C0C"/>
    <w:rsid w:val="213C6EC8"/>
    <w:rsid w:val="214F03B6"/>
    <w:rsid w:val="21800088"/>
    <w:rsid w:val="21C82EB5"/>
    <w:rsid w:val="21D94EAE"/>
    <w:rsid w:val="2279461F"/>
    <w:rsid w:val="228E1C2D"/>
    <w:rsid w:val="230B5842"/>
    <w:rsid w:val="23111B23"/>
    <w:rsid w:val="232D41AB"/>
    <w:rsid w:val="234264D3"/>
    <w:rsid w:val="236A4A10"/>
    <w:rsid w:val="238201DC"/>
    <w:rsid w:val="240C3C72"/>
    <w:rsid w:val="24236091"/>
    <w:rsid w:val="24764DC1"/>
    <w:rsid w:val="24967662"/>
    <w:rsid w:val="24A22503"/>
    <w:rsid w:val="24C8152A"/>
    <w:rsid w:val="24F52727"/>
    <w:rsid w:val="25175BF6"/>
    <w:rsid w:val="25206135"/>
    <w:rsid w:val="2581355B"/>
    <w:rsid w:val="25AA584B"/>
    <w:rsid w:val="25B5385F"/>
    <w:rsid w:val="25F12005"/>
    <w:rsid w:val="262827A7"/>
    <w:rsid w:val="263536FB"/>
    <w:rsid w:val="26F0490D"/>
    <w:rsid w:val="27171BEE"/>
    <w:rsid w:val="273E5DC8"/>
    <w:rsid w:val="276E5A9A"/>
    <w:rsid w:val="27E66808"/>
    <w:rsid w:val="27F966F3"/>
    <w:rsid w:val="28104D40"/>
    <w:rsid w:val="28354429"/>
    <w:rsid w:val="284678BC"/>
    <w:rsid w:val="285F1E1A"/>
    <w:rsid w:val="28737276"/>
    <w:rsid w:val="287B0AE2"/>
    <w:rsid w:val="28C22931"/>
    <w:rsid w:val="292F387B"/>
    <w:rsid w:val="29353928"/>
    <w:rsid w:val="298A7967"/>
    <w:rsid w:val="2A12319B"/>
    <w:rsid w:val="2A4370E4"/>
    <w:rsid w:val="2A543418"/>
    <w:rsid w:val="2A74496A"/>
    <w:rsid w:val="2A920384"/>
    <w:rsid w:val="2ACF254B"/>
    <w:rsid w:val="2AEE6B01"/>
    <w:rsid w:val="2B366201"/>
    <w:rsid w:val="2B4C3B06"/>
    <w:rsid w:val="2B545148"/>
    <w:rsid w:val="2B59568D"/>
    <w:rsid w:val="2B7E5897"/>
    <w:rsid w:val="2B875CF3"/>
    <w:rsid w:val="2B886F75"/>
    <w:rsid w:val="2B9D32F3"/>
    <w:rsid w:val="2BAC0025"/>
    <w:rsid w:val="2BC43236"/>
    <w:rsid w:val="2BF81E12"/>
    <w:rsid w:val="2C1106C8"/>
    <w:rsid w:val="2C404347"/>
    <w:rsid w:val="2C773583"/>
    <w:rsid w:val="2C852FD1"/>
    <w:rsid w:val="2C8E32A3"/>
    <w:rsid w:val="2CAB1A78"/>
    <w:rsid w:val="2CC714B4"/>
    <w:rsid w:val="2CD15648"/>
    <w:rsid w:val="2CF34431"/>
    <w:rsid w:val="2CFA646F"/>
    <w:rsid w:val="2D452523"/>
    <w:rsid w:val="2D9E4B7C"/>
    <w:rsid w:val="2DA33FD6"/>
    <w:rsid w:val="2DAF2FE1"/>
    <w:rsid w:val="2DB2355B"/>
    <w:rsid w:val="2DB472E1"/>
    <w:rsid w:val="2E1632AB"/>
    <w:rsid w:val="2E47579B"/>
    <w:rsid w:val="2E5D03BB"/>
    <w:rsid w:val="2E7447DA"/>
    <w:rsid w:val="2E7F7FE3"/>
    <w:rsid w:val="2E81541B"/>
    <w:rsid w:val="2EA80AA8"/>
    <w:rsid w:val="2EC94A38"/>
    <w:rsid w:val="2F0D2540"/>
    <w:rsid w:val="2F145D5B"/>
    <w:rsid w:val="2F165A4A"/>
    <w:rsid w:val="2FFD5233"/>
    <w:rsid w:val="30155C99"/>
    <w:rsid w:val="30182835"/>
    <w:rsid w:val="30491724"/>
    <w:rsid w:val="30863BAF"/>
    <w:rsid w:val="30A74EDF"/>
    <w:rsid w:val="311015D2"/>
    <w:rsid w:val="313708CB"/>
    <w:rsid w:val="315B380F"/>
    <w:rsid w:val="31783AC4"/>
    <w:rsid w:val="31B16D7E"/>
    <w:rsid w:val="31B72774"/>
    <w:rsid w:val="32180091"/>
    <w:rsid w:val="32273E1A"/>
    <w:rsid w:val="322E2CC1"/>
    <w:rsid w:val="32744B8F"/>
    <w:rsid w:val="329A3370"/>
    <w:rsid w:val="329D5730"/>
    <w:rsid w:val="32AC233C"/>
    <w:rsid w:val="32BB3C6E"/>
    <w:rsid w:val="32F800A4"/>
    <w:rsid w:val="332B5C1B"/>
    <w:rsid w:val="33377D20"/>
    <w:rsid w:val="335F25A6"/>
    <w:rsid w:val="336A21D3"/>
    <w:rsid w:val="337F3C12"/>
    <w:rsid w:val="339716C1"/>
    <w:rsid w:val="33C767A4"/>
    <w:rsid w:val="33FB069A"/>
    <w:rsid w:val="3424001A"/>
    <w:rsid w:val="35621FF4"/>
    <w:rsid w:val="356928AF"/>
    <w:rsid w:val="35995F31"/>
    <w:rsid w:val="35C577F0"/>
    <w:rsid w:val="35FC1619"/>
    <w:rsid w:val="35FF488B"/>
    <w:rsid w:val="364808EA"/>
    <w:rsid w:val="36597C9C"/>
    <w:rsid w:val="368E176D"/>
    <w:rsid w:val="36A24C49"/>
    <w:rsid w:val="36F53B9F"/>
    <w:rsid w:val="36F9504B"/>
    <w:rsid w:val="36FB77C2"/>
    <w:rsid w:val="37386E9E"/>
    <w:rsid w:val="373A1EFF"/>
    <w:rsid w:val="37467A89"/>
    <w:rsid w:val="37D320B4"/>
    <w:rsid w:val="37E66028"/>
    <w:rsid w:val="3823305A"/>
    <w:rsid w:val="387A77E0"/>
    <w:rsid w:val="388C1D33"/>
    <w:rsid w:val="38A3074E"/>
    <w:rsid w:val="38D75836"/>
    <w:rsid w:val="39255B4E"/>
    <w:rsid w:val="39BE7B8B"/>
    <w:rsid w:val="39FA1EDA"/>
    <w:rsid w:val="3A9C2D71"/>
    <w:rsid w:val="3ABF0A6D"/>
    <w:rsid w:val="3ADB1B86"/>
    <w:rsid w:val="3B352E3E"/>
    <w:rsid w:val="3BAB17C0"/>
    <w:rsid w:val="3C072DE6"/>
    <w:rsid w:val="3C146F9D"/>
    <w:rsid w:val="3C27521F"/>
    <w:rsid w:val="3C5F11A3"/>
    <w:rsid w:val="3C65796A"/>
    <w:rsid w:val="3C7C2505"/>
    <w:rsid w:val="3CB0790D"/>
    <w:rsid w:val="3CB8263D"/>
    <w:rsid w:val="3CEC61F3"/>
    <w:rsid w:val="3D50466B"/>
    <w:rsid w:val="3D7A2ADA"/>
    <w:rsid w:val="3DA474A7"/>
    <w:rsid w:val="3E1F15C2"/>
    <w:rsid w:val="3E4D38B4"/>
    <w:rsid w:val="3ED26EF7"/>
    <w:rsid w:val="3ED810C8"/>
    <w:rsid w:val="3F431F24"/>
    <w:rsid w:val="3F83690D"/>
    <w:rsid w:val="3FA63174"/>
    <w:rsid w:val="3FED2FEE"/>
    <w:rsid w:val="40236B6C"/>
    <w:rsid w:val="40254D5C"/>
    <w:rsid w:val="405638F2"/>
    <w:rsid w:val="40D01062"/>
    <w:rsid w:val="41786CC9"/>
    <w:rsid w:val="41BF0895"/>
    <w:rsid w:val="42542524"/>
    <w:rsid w:val="427E65EA"/>
    <w:rsid w:val="429664C2"/>
    <w:rsid w:val="42B20141"/>
    <w:rsid w:val="42DE2F39"/>
    <w:rsid w:val="42ED5254"/>
    <w:rsid w:val="42FE4651"/>
    <w:rsid w:val="435E6F8B"/>
    <w:rsid w:val="4398674F"/>
    <w:rsid w:val="43D731A7"/>
    <w:rsid w:val="44017717"/>
    <w:rsid w:val="446B246D"/>
    <w:rsid w:val="447569F3"/>
    <w:rsid w:val="45365B70"/>
    <w:rsid w:val="45876536"/>
    <w:rsid w:val="45C81F49"/>
    <w:rsid w:val="45FC0CDF"/>
    <w:rsid w:val="46022CFA"/>
    <w:rsid w:val="46033C1A"/>
    <w:rsid w:val="460D1AD1"/>
    <w:rsid w:val="467557CF"/>
    <w:rsid w:val="46F22B79"/>
    <w:rsid w:val="47117FD1"/>
    <w:rsid w:val="47701C07"/>
    <w:rsid w:val="483D2D03"/>
    <w:rsid w:val="483F4663"/>
    <w:rsid w:val="486B1B57"/>
    <w:rsid w:val="488355B6"/>
    <w:rsid w:val="48981CF4"/>
    <w:rsid w:val="492E33A9"/>
    <w:rsid w:val="49353926"/>
    <w:rsid w:val="49516920"/>
    <w:rsid w:val="49593384"/>
    <w:rsid w:val="498C18CA"/>
    <w:rsid w:val="49903C66"/>
    <w:rsid w:val="49956188"/>
    <w:rsid w:val="49A3785C"/>
    <w:rsid w:val="49C83D8B"/>
    <w:rsid w:val="49E34016"/>
    <w:rsid w:val="4A216B47"/>
    <w:rsid w:val="4A481D20"/>
    <w:rsid w:val="4A495A51"/>
    <w:rsid w:val="4A8153EE"/>
    <w:rsid w:val="4AE868AB"/>
    <w:rsid w:val="4AEA7F27"/>
    <w:rsid w:val="4AF43D99"/>
    <w:rsid w:val="4B4B5BA4"/>
    <w:rsid w:val="4B602D7A"/>
    <w:rsid w:val="4B6D7CA0"/>
    <w:rsid w:val="4B876221"/>
    <w:rsid w:val="4BF71C3E"/>
    <w:rsid w:val="4C2048B3"/>
    <w:rsid w:val="4C6960AC"/>
    <w:rsid w:val="4CB849CD"/>
    <w:rsid w:val="4D155AE9"/>
    <w:rsid w:val="4D1F394F"/>
    <w:rsid w:val="4D216D63"/>
    <w:rsid w:val="4D872E10"/>
    <w:rsid w:val="4D9D294B"/>
    <w:rsid w:val="4E296D07"/>
    <w:rsid w:val="4E5C4A2F"/>
    <w:rsid w:val="4E6867C7"/>
    <w:rsid w:val="4EC24A00"/>
    <w:rsid w:val="4ECD19C9"/>
    <w:rsid w:val="4F0D5F99"/>
    <w:rsid w:val="4F45079D"/>
    <w:rsid w:val="4F596E09"/>
    <w:rsid w:val="4FB72EC4"/>
    <w:rsid w:val="4FFF5657"/>
    <w:rsid w:val="50303E71"/>
    <w:rsid w:val="50464A35"/>
    <w:rsid w:val="50567CE2"/>
    <w:rsid w:val="508D1BD9"/>
    <w:rsid w:val="51587843"/>
    <w:rsid w:val="515A047F"/>
    <w:rsid w:val="51AC651C"/>
    <w:rsid w:val="51BD639D"/>
    <w:rsid w:val="51BE21EF"/>
    <w:rsid w:val="52715451"/>
    <w:rsid w:val="529342F4"/>
    <w:rsid w:val="52C57C7B"/>
    <w:rsid w:val="52F57E4A"/>
    <w:rsid w:val="52FF6532"/>
    <w:rsid w:val="530865C0"/>
    <w:rsid w:val="530D4C73"/>
    <w:rsid w:val="531801C4"/>
    <w:rsid w:val="53847714"/>
    <w:rsid w:val="540C7DB2"/>
    <w:rsid w:val="54207D48"/>
    <w:rsid w:val="54E5072B"/>
    <w:rsid w:val="550D180D"/>
    <w:rsid w:val="551212BD"/>
    <w:rsid w:val="5531595A"/>
    <w:rsid w:val="55323DE5"/>
    <w:rsid w:val="559840EB"/>
    <w:rsid w:val="55AE2BFE"/>
    <w:rsid w:val="55F54981"/>
    <w:rsid w:val="55FC6467"/>
    <w:rsid w:val="5604752C"/>
    <w:rsid w:val="56107BDA"/>
    <w:rsid w:val="56483EBC"/>
    <w:rsid w:val="5678513B"/>
    <w:rsid w:val="56C44824"/>
    <w:rsid w:val="57083215"/>
    <w:rsid w:val="570854BD"/>
    <w:rsid w:val="5827489A"/>
    <w:rsid w:val="584C5CEF"/>
    <w:rsid w:val="584D1551"/>
    <w:rsid w:val="58805926"/>
    <w:rsid w:val="589B6092"/>
    <w:rsid w:val="5911444A"/>
    <w:rsid w:val="59584E20"/>
    <w:rsid w:val="595D785A"/>
    <w:rsid w:val="596A7D11"/>
    <w:rsid w:val="5999369C"/>
    <w:rsid w:val="59A47E1B"/>
    <w:rsid w:val="59BB63C2"/>
    <w:rsid w:val="5A9056E2"/>
    <w:rsid w:val="5A941740"/>
    <w:rsid w:val="5A9602CD"/>
    <w:rsid w:val="5AAC6819"/>
    <w:rsid w:val="5ABD0C80"/>
    <w:rsid w:val="5B5B6114"/>
    <w:rsid w:val="5B5F51E1"/>
    <w:rsid w:val="5B991B29"/>
    <w:rsid w:val="5BA10461"/>
    <w:rsid w:val="5BAA15A6"/>
    <w:rsid w:val="5BEA3E40"/>
    <w:rsid w:val="5C14286F"/>
    <w:rsid w:val="5C496465"/>
    <w:rsid w:val="5C60789B"/>
    <w:rsid w:val="5C926B4F"/>
    <w:rsid w:val="5CAA70E4"/>
    <w:rsid w:val="5CCA6F24"/>
    <w:rsid w:val="5D0134C1"/>
    <w:rsid w:val="5D7E29BE"/>
    <w:rsid w:val="5DE428BB"/>
    <w:rsid w:val="5DED2A30"/>
    <w:rsid w:val="5E420FEF"/>
    <w:rsid w:val="5E4A17D7"/>
    <w:rsid w:val="5E564705"/>
    <w:rsid w:val="5E735C99"/>
    <w:rsid w:val="5F272E87"/>
    <w:rsid w:val="5F6A36A5"/>
    <w:rsid w:val="5F760169"/>
    <w:rsid w:val="5FA117D3"/>
    <w:rsid w:val="5FC324AB"/>
    <w:rsid w:val="5FC96C97"/>
    <w:rsid w:val="5FD5288F"/>
    <w:rsid w:val="5FE96431"/>
    <w:rsid w:val="5FF067F2"/>
    <w:rsid w:val="60D90710"/>
    <w:rsid w:val="60E62632"/>
    <w:rsid w:val="60FA6AB1"/>
    <w:rsid w:val="60FE69AF"/>
    <w:rsid w:val="61AF31B0"/>
    <w:rsid w:val="61C979DA"/>
    <w:rsid w:val="61DC4B03"/>
    <w:rsid w:val="62165216"/>
    <w:rsid w:val="621F545C"/>
    <w:rsid w:val="622B0C82"/>
    <w:rsid w:val="626B386A"/>
    <w:rsid w:val="629B76DE"/>
    <w:rsid w:val="62D01A62"/>
    <w:rsid w:val="63196012"/>
    <w:rsid w:val="639A466F"/>
    <w:rsid w:val="63C162C7"/>
    <w:rsid w:val="64200858"/>
    <w:rsid w:val="64567117"/>
    <w:rsid w:val="64A1499C"/>
    <w:rsid w:val="64AA1F09"/>
    <w:rsid w:val="64B1694B"/>
    <w:rsid w:val="65382D11"/>
    <w:rsid w:val="65F061AB"/>
    <w:rsid w:val="66006D06"/>
    <w:rsid w:val="662D7A22"/>
    <w:rsid w:val="664034E9"/>
    <w:rsid w:val="66714A01"/>
    <w:rsid w:val="667707C3"/>
    <w:rsid w:val="66787559"/>
    <w:rsid w:val="669406BC"/>
    <w:rsid w:val="66B5632B"/>
    <w:rsid w:val="67154A40"/>
    <w:rsid w:val="673960D0"/>
    <w:rsid w:val="67B76D3A"/>
    <w:rsid w:val="67E802BB"/>
    <w:rsid w:val="681A728D"/>
    <w:rsid w:val="68231787"/>
    <w:rsid w:val="686A5375"/>
    <w:rsid w:val="68CA77A4"/>
    <w:rsid w:val="69093274"/>
    <w:rsid w:val="69382A2C"/>
    <w:rsid w:val="69434640"/>
    <w:rsid w:val="695E59BB"/>
    <w:rsid w:val="69BE761B"/>
    <w:rsid w:val="69F44B05"/>
    <w:rsid w:val="6A3B5CCC"/>
    <w:rsid w:val="6A4E5A82"/>
    <w:rsid w:val="6A750CAB"/>
    <w:rsid w:val="6ACC5DFD"/>
    <w:rsid w:val="6AF57E4F"/>
    <w:rsid w:val="6AFC2405"/>
    <w:rsid w:val="6B410941"/>
    <w:rsid w:val="6B531F31"/>
    <w:rsid w:val="6BC3237E"/>
    <w:rsid w:val="6C175138"/>
    <w:rsid w:val="6C1C5327"/>
    <w:rsid w:val="6C2000E4"/>
    <w:rsid w:val="6C5543F6"/>
    <w:rsid w:val="6C6E0A2D"/>
    <w:rsid w:val="6C9B7F7B"/>
    <w:rsid w:val="6CC610F6"/>
    <w:rsid w:val="6CD97AAE"/>
    <w:rsid w:val="6CE326B4"/>
    <w:rsid w:val="6CFA0B34"/>
    <w:rsid w:val="6D6431E7"/>
    <w:rsid w:val="6DEF7AF4"/>
    <w:rsid w:val="6DF87AF7"/>
    <w:rsid w:val="6E076DA5"/>
    <w:rsid w:val="6E0A5AC7"/>
    <w:rsid w:val="6EA346C1"/>
    <w:rsid w:val="6ECE52E3"/>
    <w:rsid w:val="6ED060D6"/>
    <w:rsid w:val="6F073579"/>
    <w:rsid w:val="6F3C7D55"/>
    <w:rsid w:val="6FDB5281"/>
    <w:rsid w:val="70366E3A"/>
    <w:rsid w:val="70770658"/>
    <w:rsid w:val="7092189C"/>
    <w:rsid w:val="70EF6FC3"/>
    <w:rsid w:val="71452A5C"/>
    <w:rsid w:val="715C5EA4"/>
    <w:rsid w:val="71B7559E"/>
    <w:rsid w:val="71BA50E1"/>
    <w:rsid w:val="71D10E38"/>
    <w:rsid w:val="71FA788D"/>
    <w:rsid w:val="72556331"/>
    <w:rsid w:val="7281544F"/>
    <w:rsid w:val="73187FD2"/>
    <w:rsid w:val="733A3A51"/>
    <w:rsid w:val="7375187B"/>
    <w:rsid w:val="73FA382B"/>
    <w:rsid w:val="74456497"/>
    <w:rsid w:val="746E765E"/>
    <w:rsid w:val="747E0CDD"/>
    <w:rsid w:val="749A33CB"/>
    <w:rsid w:val="74BE0602"/>
    <w:rsid w:val="74D93AE8"/>
    <w:rsid w:val="75047483"/>
    <w:rsid w:val="75AF0E73"/>
    <w:rsid w:val="75BC758A"/>
    <w:rsid w:val="763A3D27"/>
    <w:rsid w:val="763D1425"/>
    <w:rsid w:val="766522DD"/>
    <w:rsid w:val="766E211A"/>
    <w:rsid w:val="76870A83"/>
    <w:rsid w:val="771409EA"/>
    <w:rsid w:val="77241A92"/>
    <w:rsid w:val="7727446A"/>
    <w:rsid w:val="7728605E"/>
    <w:rsid w:val="77CA6518"/>
    <w:rsid w:val="77E36DBE"/>
    <w:rsid w:val="781A3F51"/>
    <w:rsid w:val="782D1E34"/>
    <w:rsid w:val="786D0E17"/>
    <w:rsid w:val="78B91C5E"/>
    <w:rsid w:val="78E06897"/>
    <w:rsid w:val="79411154"/>
    <w:rsid w:val="79636BD8"/>
    <w:rsid w:val="797E2695"/>
    <w:rsid w:val="79B73810"/>
    <w:rsid w:val="7A073A10"/>
    <w:rsid w:val="7A665991"/>
    <w:rsid w:val="7AD0650C"/>
    <w:rsid w:val="7AE37597"/>
    <w:rsid w:val="7B023D27"/>
    <w:rsid w:val="7B0E02C9"/>
    <w:rsid w:val="7B28499C"/>
    <w:rsid w:val="7B2F1082"/>
    <w:rsid w:val="7B3A497C"/>
    <w:rsid w:val="7B466115"/>
    <w:rsid w:val="7B7F2425"/>
    <w:rsid w:val="7B8B7F63"/>
    <w:rsid w:val="7BA0360C"/>
    <w:rsid w:val="7C232079"/>
    <w:rsid w:val="7C4C347A"/>
    <w:rsid w:val="7C5A65DC"/>
    <w:rsid w:val="7C636A2D"/>
    <w:rsid w:val="7D300BEB"/>
    <w:rsid w:val="7D31489A"/>
    <w:rsid w:val="7D423053"/>
    <w:rsid w:val="7D7D15ED"/>
    <w:rsid w:val="7DA22D3C"/>
    <w:rsid w:val="7DC75B86"/>
    <w:rsid w:val="7E2D2934"/>
    <w:rsid w:val="7E3F3472"/>
    <w:rsid w:val="7E42673D"/>
    <w:rsid w:val="7E465FAF"/>
    <w:rsid w:val="7E8018F3"/>
    <w:rsid w:val="7ECB6813"/>
    <w:rsid w:val="7EF3324B"/>
    <w:rsid w:val="7F3C61CA"/>
    <w:rsid w:val="7F401510"/>
    <w:rsid w:val="7F49430F"/>
    <w:rsid w:val="7F9B7693"/>
    <w:rsid w:val="7FFA5E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4"/>
    <w:qFormat/>
    <w:uiPriority w:val="9"/>
    <w:pPr>
      <w:keepNext/>
      <w:spacing w:line="380" w:lineRule="exact"/>
      <w:jc w:val="center"/>
      <w:outlineLvl w:val="0"/>
    </w:pPr>
    <w:rPr>
      <w:rFonts w:ascii="宋体" w:hAnsi="宋体"/>
      <w:b/>
      <w:kern w:val="44"/>
      <w:sz w:val="44"/>
      <w:szCs w:val="44"/>
    </w:rPr>
  </w:style>
  <w:style w:type="paragraph" w:styleId="6">
    <w:name w:val="heading 2"/>
    <w:basedOn w:val="1"/>
    <w:next w:val="1"/>
    <w:link w:val="65"/>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7">
    <w:name w:val="heading 3"/>
    <w:basedOn w:val="1"/>
    <w:next w:val="1"/>
    <w:link w:val="66"/>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8">
    <w:name w:val="heading 4"/>
    <w:basedOn w:val="1"/>
    <w:next w:val="1"/>
    <w:link w:val="67"/>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9">
    <w:name w:val="heading 5"/>
    <w:basedOn w:val="1"/>
    <w:next w:val="1"/>
    <w:link w:val="68"/>
    <w:qFormat/>
    <w:uiPriority w:val="9"/>
    <w:pPr>
      <w:keepNext/>
      <w:keepLines/>
      <w:tabs>
        <w:tab w:val="left" w:pos="1548"/>
      </w:tabs>
      <w:spacing w:before="280" w:after="290" w:line="376" w:lineRule="auto"/>
      <w:ind w:left="1548" w:hanging="1548"/>
      <w:outlineLvl w:val="4"/>
    </w:pPr>
    <w:rPr>
      <w:b/>
      <w:sz w:val="28"/>
    </w:rPr>
  </w:style>
  <w:style w:type="paragraph" w:styleId="10">
    <w:name w:val="heading 6"/>
    <w:basedOn w:val="1"/>
    <w:next w:val="1"/>
    <w:link w:val="69"/>
    <w:qFormat/>
    <w:uiPriority w:val="9"/>
    <w:pPr>
      <w:keepNext/>
      <w:keepLines/>
      <w:spacing w:before="240" w:after="64" w:line="320" w:lineRule="auto"/>
      <w:outlineLvl w:val="5"/>
    </w:pPr>
    <w:rPr>
      <w:rFonts w:ascii="Cambria" w:hAnsi="Cambria"/>
      <w:b/>
      <w:sz w:val="24"/>
    </w:rPr>
  </w:style>
  <w:style w:type="paragraph" w:styleId="11">
    <w:name w:val="heading 7"/>
    <w:basedOn w:val="1"/>
    <w:next w:val="1"/>
    <w:link w:val="70"/>
    <w:qFormat/>
    <w:uiPriority w:val="9"/>
    <w:pPr>
      <w:keepNext/>
      <w:keepLines/>
      <w:tabs>
        <w:tab w:val="left" w:pos="1296"/>
      </w:tabs>
      <w:spacing w:before="240" w:after="64" w:line="317" w:lineRule="auto"/>
      <w:ind w:left="2940" w:hanging="420"/>
      <w:outlineLvl w:val="6"/>
    </w:pPr>
    <w:rPr>
      <w:b/>
      <w:sz w:val="24"/>
    </w:rPr>
  </w:style>
  <w:style w:type="paragraph" w:styleId="12">
    <w:name w:val="heading 8"/>
    <w:basedOn w:val="1"/>
    <w:next w:val="1"/>
    <w:link w:val="71"/>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3">
    <w:name w:val="heading 9"/>
    <w:basedOn w:val="1"/>
    <w:next w:val="1"/>
    <w:link w:val="72"/>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next w:val="1"/>
    <w:qFormat/>
    <w:uiPriority w:val="0"/>
    <w:pPr>
      <w:tabs>
        <w:tab w:val="left" w:pos="709"/>
      </w:tabs>
      <w:spacing w:before="0" w:after="0"/>
      <w:ind w:left="709" w:hanging="709"/>
    </w:pPr>
    <w:rPr>
      <w:rFonts w:ascii="Tahoma" w:hAnsi="Tahoma"/>
      <w:sz w:val="28"/>
    </w:rPr>
  </w:style>
  <w:style w:type="paragraph" w:styleId="3">
    <w:name w:val="Plain Text"/>
    <w:basedOn w:val="1"/>
    <w:next w:val="4"/>
    <w:link w:val="78"/>
    <w:qFormat/>
    <w:uiPriority w:val="0"/>
    <w:pPr>
      <w:widowControl/>
      <w:spacing w:before="100" w:beforeAutospacing="1" w:after="100" w:afterAutospacing="1"/>
      <w:jc w:val="left"/>
    </w:pPr>
    <w:rPr>
      <w:rFonts w:ascii="宋体" w:hAnsi="Courier New"/>
      <w:kern w:val="0"/>
      <w:sz w:val="20"/>
    </w:rPr>
  </w:style>
  <w:style w:type="paragraph" w:styleId="4">
    <w:name w:val="toc 2"/>
    <w:basedOn w:val="1"/>
    <w:next w:val="1"/>
    <w:qFormat/>
    <w:uiPriority w:val="39"/>
    <w:pPr>
      <w:ind w:left="210"/>
      <w:jc w:val="left"/>
    </w:pPr>
    <w:rPr>
      <w:smallCaps/>
      <w:sz w:val="20"/>
    </w:rPr>
  </w:style>
  <w:style w:type="paragraph" w:styleId="14">
    <w:name w:val="toc 7"/>
    <w:basedOn w:val="1"/>
    <w:next w:val="1"/>
    <w:qFormat/>
    <w:uiPriority w:val="39"/>
    <w:pPr>
      <w:ind w:left="1260"/>
      <w:jc w:val="left"/>
    </w:pPr>
    <w:rPr>
      <w:sz w:val="18"/>
      <w:szCs w:val="18"/>
    </w:rPr>
  </w:style>
  <w:style w:type="paragraph" w:styleId="15">
    <w:name w:val="Normal Indent"/>
    <w:basedOn w:val="1"/>
    <w:next w:val="1"/>
    <w:link w:val="73"/>
    <w:qFormat/>
    <w:uiPriority w:val="0"/>
    <w:pPr>
      <w:ind w:firstLine="420" w:firstLineChars="200"/>
    </w:pPr>
    <w:rPr>
      <w:rFonts w:ascii="宋体" w:hAnsi="宋体"/>
      <w:spacing w:val="14"/>
      <w:kern w:val="24"/>
      <w:sz w:val="24"/>
      <w:szCs w:val="24"/>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Document Map"/>
    <w:basedOn w:val="1"/>
    <w:link w:val="74"/>
    <w:qFormat/>
    <w:uiPriority w:val="0"/>
    <w:pPr>
      <w:shd w:val="clear" w:color="auto" w:fill="000080"/>
    </w:pPr>
  </w:style>
  <w:style w:type="paragraph" w:styleId="18">
    <w:name w:val="toa heading"/>
    <w:basedOn w:val="1"/>
    <w:next w:val="1"/>
    <w:semiHidden/>
    <w:qFormat/>
    <w:uiPriority w:val="0"/>
    <w:pPr>
      <w:spacing w:before="120"/>
    </w:pPr>
    <w:rPr>
      <w:rFonts w:ascii="Arial" w:hAnsi="Arial"/>
      <w:b/>
      <w:bCs/>
      <w:szCs w:val="24"/>
    </w:rPr>
  </w:style>
  <w:style w:type="paragraph" w:styleId="19">
    <w:name w:val="annotation text"/>
    <w:basedOn w:val="1"/>
    <w:link w:val="75"/>
    <w:qFormat/>
    <w:uiPriority w:val="0"/>
    <w:pPr>
      <w:jc w:val="left"/>
    </w:pPr>
    <w:rPr>
      <w:rFonts w:ascii="宋体" w:hAnsi="宋体"/>
      <w:szCs w:val="21"/>
    </w:rPr>
  </w:style>
  <w:style w:type="paragraph" w:styleId="20">
    <w:name w:val="Body Text 3"/>
    <w:basedOn w:val="1"/>
    <w:link w:val="76"/>
    <w:qFormat/>
    <w:uiPriority w:val="0"/>
    <w:pPr>
      <w:spacing w:after="120" w:line="360" w:lineRule="auto"/>
    </w:pPr>
    <w:rPr>
      <w:kern w:val="0"/>
      <w:sz w:val="16"/>
    </w:rPr>
  </w:style>
  <w:style w:type="paragraph" w:styleId="21">
    <w:name w:val="Body Text"/>
    <w:basedOn w:val="1"/>
    <w:link w:val="63"/>
    <w:qFormat/>
    <w:uiPriority w:val="99"/>
    <w:rPr>
      <w:rFonts w:ascii="宋体" w:hAnsi="宋体"/>
      <w:kern w:val="0"/>
      <w:sz w:val="20"/>
    </w:rPr>
  </w:style>
  <w:style w:type="paragraph" w:styleId="22">
    <w:name w:val="Body Text Indent"/>
    <w:basedOn w:val="1"/>
    <w:next w:val="1"/>
    <w:link w:val="77"/>
    <w:qFormat/>
    <w:uiPriority w:val="0"/>
    <w:pPr>
      <w:spacing w:line="380" w:lineRule="exact"/>
      <w:ind w:firstLine="480"/>
    </w:pPr>
    <w:rPr>
      <w:rFonts w:eastAsia="方正书宋简体"/>
      <w:sz w:val="24"/>
    </w:rPr>
  </w:style>
  <w:style w:type="paragraph" w:styleId="23">
    <w:name w:val="List Number 3"/>
    <w:basedOn w:val="1"/>
    <w:qFormat/>
    <w:uiPriority w:val="99"/>
    <w:pPr>
      <w:widowControl/>
      <w:tabs>
        <w:tab w:val="left" w:pos="482"/>
      </w:tabs>
      <w:spacing w:afterLines="50"/>
      <w:ind w:left="482" w:hanging="340"/>
      <w:jc w:val="left"/>
    </w:pPr>
    <w:rPr>
      <w:kern w:val="0"/>
      <w:sz w:val="24"/>
    </w:rPr>
  </w:style>
  <w:style w:type="paragraph" w:styleId="24">
    <w:name w:val="List 2"/>
    <w:basedOn w:val="1"/>
    <w:qFormat/>
    <w:uiPriority w:val="0"/>
    <w:pPr>
      <w:ind w:left="100" w:leftChars="200" w:hanging="200" w:hangingChars="200"/>
    </w:pPr>
    <w:rPr>
      <w:sz w:val="28"/>
      <w:szCs w:val="24"/>
    </w:rPr>
  </w:style>
  <w:style w:type="paragraph" w:styleId="25">
    <w:name w:val="Block Text"/>
    <w:basedOn w:val="1"/>
    <w:next w:val="1"/>
    <w:unhideWhenUsed/>
    <w:qFormat/>
    <w:uiPriority w:val="99"/>
    <w:pPr>
      <w:spacing w:after="120"/>
      <w:ind w:left="1440" w:leftChars="700" w:right="1440" w:rightChars="700"/>
    </w:pPr>
  </w:style>
  <w:style w:type="paragraph" w:styleId="26">
    <w:name w:val="toc 5"/>
    <w:basedOn w:val="1"/>
    <w:next w:val="1"/>
    <w:qFormat/>
    <w:uiPriority w:val="39"/>
    <w:pPr>
      <w:ind w:left="840"/>
      <w:jc w:val="left"/>
    </w:pPr>
    <w:rPr>
      <w:sz w:val="18"/>
      <w:szCs w:val="18"/>
    </w:rPr>
  </w:style>
  <w:style w:type="paragraph" w:styleId="27">
    <w:name w:val="toc 3"/>
    <w:basedOn w:val="1"/>
    <w:next w:val="1"/>
    <w:qFormat/>
    <w:uiPriority w:val="39"/>
    <w:pPr>
      <w:ind w:left="420"/>
      <w:jc w:val="left"/>
    </w:pPr>
    <w:rPr>
      <w:i/>
      <w:iCs/>
      <w:sz w:val="20"/>
    </w:rPr>
  </w:style>
  <w:style w:type="paragraph" w:styleId="28">
    <w:name w:val="toc 8"/>
    <w:basedOn w:val="1"/>
    <w:next w:val="1"/>
    <w:qFormat/>
    <w:uiPriority w:val="39"/>
    <w:pPr>
      <w:ind w:left="1470"/>
      <w:jc w:val="left"/>
    </w:pPr>
    <w:rPr>
      <w:sz w:val="18"/>
      <w:szCs w:val="18"/>
    </w:rPr>
  </w:style>
  <w:style w:type="paragraph" w:styleId="29">
    <w:name w:val="Date"/>
    <w:basedOn w:val="1"/>
    <w:next w:val="1"/>
    <w:link w:val="79"/>
    <w:qFormat/>
    <w:uiPriority w:val="0"/>
    <w:pPr>
      <w:adjustRightInd w:val="0"/>
      <w:spacing w:line="312" w:lineRule="atLeast"/>
      <w:jc w:val="right"/>
      <w:textAlignment w:val="baseline"/>
    </w:pPr>
    <w:rPr>
      <w:rFonts w:ascii="宋体"/>
      <w:kern w:val="0"/>
      <w:sz w:val="24"/>
    </w:rPr>
  </w:style>
  <w:style w:type="paragraph" w:styleId="30">
    <w:name w:val="Body Text Indent 2"/>
    <w:basedOn w:val="1"/>
    <w:link w:val="80"/>
    <w:qFormat/>
    <w:uiPriority w:val="0"/>
    <w:pPr>
      <w:spacing w:line="380" w:lineRule="exact"/>
      <w:ind w:left="840" w:hanging="45"/>
    </w:pPr>
    <w:rPr>
      <w:rFonts w:ascii="宋体"/>
      <w:sz w:val="24"/>
    </w:rPr>
  </w:style>
  <w:style w:type="paragraph" w:styleId="31">
    <w:name w:val="Balloon Text"/>
    <w:basedOn w:val="1"/>
    <w:link w:val="81"/>
    <w:qFormat/>
    <w:uiPriority w:val="99"/>
    <w:rPr>
      <w:rFonts w:ascii="宋体" w:hAnsi="宋体"/>
      <w:sz w:val="18"/>
      <w:szCs w:val="18"/>
    </w:rPr>
  </w:style>
  <w:style w:type="paragraph" w:styleId="32">
    <w:name w:val="footer"/>
    <w:basedOn w:val="1"/>
    <w:link w:val="82"/>
    <w:qFormat/>
    <w:uiPriority w:val="99"/>
    <w:pPr>
      <w:tabs>
        <w:tab w:val="center" w:pos="4153"/>
        <w:tab w:val="right" w:pos="8306"/>
      </w:tabs>
      <w:snapToGrid w:val="0"/>
      <w:jc w:val="left"/>
    </w:pPr>
    <w:rPr>
      <w:rFonts w:ascii="宋体" w:hAnsi="宋体"/>
      <w:sz w:val="18"/>
      <w:szCs w:val="18"/>
    </w:rPr>
  </w:style>
  <w:style w:type="paragraph" w:styleId="33">
    <w:name w:val="envelope return"/>
    <w:basedOn w:val="1"/>
    <w:qFormat/>
    <w:uiPriority w:val="0"/>
    <w:pPr>
      <w:snapToGrid w:val="0"/>
    </w:pPr>
    <w:rPr>
      <w:rFonts w:ascii="Arial" w:hAnsi="Arial"/>
    </w:rPr>
  </w:style>
  <w:style w:type="paragraph" w:styleId="34">
    <w:name w:val="header"/>
    <w:basedOn w:val="1"/>
    <w:link w:val="83"/>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5">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6">
    <w:name w:val="toc 4"/>
    <w:basedOn w:val="1"/>
    <w:next w:val="1"/>
    <w:qFormat/>
    <w:uiPriority w:val="39"/>
    <w:pPr>
      <w:ind w:left="630"/>
      <w:jc w:val="left"/>
    </w:pPr>
    <w:rPr>
      <w:sz w:val="18"/>
      <w:szCs w:val="18"/>
    </w:rPr>
  </w:style>
  <w:style w:type="paragraph" w:styleId="37">
    <w:name w:val="List Number 5"/>
    <w:basedOn w:val="1"/>
    <w:qFormat/>
    <w:uiPriority w:val="99"/>
    <w:pPr>
      <w:tabs>
        <w:tab w:val="left" w:pos="2608"/>
      </w:tabs>
      <w:spacing w:line="360" w:lineRule="auto"/>
      <w:ind w:left="840" w:hanging="360"/>
    </w:pPr>
    <w:rPr>
      <w:sz w:val="24"/>
      <w:szCs w:val="24"/>
    </w:rPr>
  </w:style>
  <w:style w:type="paragraph" w:styleId="38">
    <w:name w:val="List"/>
    <w:basedOn w:val="1"/>
    <w:qFormat/>
    <w:uiPriority w:val="0"/>
    <w:pPr>
      <w:ind w:left="200" w:hanging="200" w:hangingChars="200"/>
    </w:pPr>
    <w:rPr>
      <w:szCs w:val="22"/>
    </w:rPr>
  </w:style>
  <w:style w:type="paragraph" w:styleId="39">
    <w:name w:val="toc 6"/>
    <w:basedOn w:val="1"/>
    <w:next w:val="1"/>
    <w:qFormat/>
    <w:uiPriority w:val="39"/>
    <w:pPr>
      <w:ind w:left="1050"/>
      <w:jc w:val="left"/>
    </w:pPr>
    <w:rPr>
      <w:sz w:val="18"/>
      <w:szCs w:val="18"/>
    </w:rPr>
  </w:style>
  <w:style w:type="paragraph" w:styleId="40">
    <w:name w:val="Body Text Indent 3"/>
    <w:basedOn w:val="1"/>
    <w:link w:val="84"/>
    <w:qFormat/>
    <w:uiPriority w:val="0"/>
    <w:pPr>
      <w:spacing w:line="380" w:lineRule="exact"/>
      <w:ind w:left="525"/>
    </w:pPr>
    <w:rPr>
      <w:rFonts w:ascii="宋体" w:hAnsi="宋体"/>
      <w:b/>
      <w:sz w:val="24"/>
      <w:szCs w:val="24"/>
    </w:rPr>
  </w:style>
  <w:style w:type="paragraph" w:styleId="41">
    <w:name w:val="table of figures"/>
    <w:basedOn w:val="1"/>
    <w:next w:val="1"/>
    <w:qFormat/>
    <w:uiPriority w:val="99"/>
    <w:pPr>
      <w:ind w:left="420" w:hanging="420"/>
      <w:jc w:val="left"/>
    </w:pPr>
    <w:rPr>
      <w:smallCaps/>
      <w:sz w:val="20"/>
    </w:rPr>
  </w:style>
  <w:style w:type="paragraph" w:styleId="42">
    <w:name w:val="toc 9"/>
    <w:basedOn w:val="1"/>
    <w:next w:val="1"/>
    <w:qFormat/>
    <w:uiPriority w:val="39"/>
    <w:pPr>
      <w:ind w:left="1680"/>
      <w:jc w:val="left"/>
    </w:pPr>
    <w:rPr>
      <w:sz w:val="18"/>
      <w:szCs w:val="18"/>
    </w:rPr>
  </w:style>
  <w:style w:type="paragraph" w:styleId="43">
    <w:name w:val="Body Text 2"/>
    <w:basedOn w:val="1"/>
    <w:link w:val="85"/>
    <w:qFormat/>
    <w:uiPriority w:val="0"/>
    <w:pPr>
      <w:spacing w:after="120" w:line="480" w:lineRule="auto"/>
    </w:pPr>
    <w:rPr>
      <w:kern w:val="0"/>
      <w:sz w:val="24"/>
    </w:rPr>
  </w:style>
  <w:style w:type="paragraph" w:styleId="44">
    <w:name w:val="HTML Preformatted"/>
    <w:basedOn w:val="1"/>
    <w:link w:val="86"/>
    <w:qFormat/>
    <w:uiPriority w:val="99"/>
    <w:rPr>
      <w:rFonts w:ascii="Courier New" w:hAnsi="Courier New"/>
      <w:sz w:val="20"/>
    </w:rPr>
  </w:style>
  <w:style w:type="paragraph" w:styleId="45">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6">
    <w:name w:val="index 1"/>
    <w:basedOn w:val="1"/>
    <w:next w:val="1"/>
    <w:semiHidden/>
    <w:qFormat/>
    <w:uiPriority w:val="99"/>
  </w:style>
  <w:style w:type="paragraph" w:styleId="47">
    <w:name w:val="Title"/>
    <w:basedOn w:val="1"/>
    <w:link w:val="87"/>
    <w:qFormat/>
    <w:uiPriority w:val="0"/>
    <w:pPr>
      <w:spacing w:before="240" w:after="60"/>
      <w:jc w:val="center"/>
      <w:outlineLvl w:val="0"/>
    </w:pPr>
    <w:rPr>
      <w:rFonts w:ascii="Cambria" w:hAnsi="Cambria"/>
      <w:b/>
      <w:bCs/>
      <w:kern w:val="0"/>
      <w:sz w:val="32"/>
      <w:szCs w:val="32"/>
    </w:rPr>
  </w:style>
  <w:style w:type="paragraph" w:styleId="48">
    <w:name w:val="annotation subject"/>
    <w:basedOn w:val="19"/>
    <w:next w:val="19"/>
    <w:link w:val="88"/>
    <w:semiHidden/>
    <w:qFormat/>
    <w:uiPriority w:val="99"/>
    <w:rPr>
      <w:b/>
    </w:rPr>
  </w:style>
  <w:style w:type="paragraph" w:styleId="49">
    <w:name w:val="Body Text First Indent"/>
    <w:basedOn w:val="21"/>
    <w:next w:val="1"/>
    <w:link w:val="89"/>
    <w:qFormat/>
    <w:uiPriority w:val="99"/>
    <w:pPr>
      <w:spacing w:after="120"/>
      <w:ind w:firstLine="420" w:firstLineChars="100"/>
    </w:pPr>
    <w:rPr>
      <w:i/>
      <w:kern w:val="2"/>
      <w:sz w:val="24"/>
    </w:rPr>
  </w:style>
  <w:style w:type="paragraph" w:styleId="50">
    <w:name w:val="Body Text First Indent 2"/>
    <w:basedOn w:val="22"/>
    <w:next w:val="1"/>
    <w:qFormat/>
    <w:uiPriority w:val="0"/>
    <w:pPr>
      <w:spacing w:line="360" w:lineRule="auto"/>
      <w:ind w:firstLine="0"/>
    </w:pPr>
    <w:rPr>
      <w:lang w:val="zh-CN"/>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basedOn w:val="53"/>
    <w:qFormat/>
    <w:uiPriority w:val="22"/>
    <w:rPr>
      <w:b/>
    </w:rPr>
  </w:style>
  <w:style w:type="character" w:styleId="55">
    <w:name w:val="page number"/>
    <w:qFormat/>
    <w:uiPriority w:val="0"/>
    <w:rPr>
      <w:rFonts w:cs="Times New Roman"/>
    </w:rPr>
  </w:style>
  <w:style w:type="character" w:styleId="56">
    <w:name w:val="FollowedHyperlink"/>
    <w:qFormat/>
    <w:uiPriority w:val="0"/>
    <w:rPr>
      <w:color w:val="800080"/>
      <w:u w:val="single"/>
    </w:rPr>
  </w:style>
  <w:style w:type="character" w:styleId="57">
    <w:name w:val="Emphasis"/>
    <w:qFormat/>
    <w:uiPriority w:val="0"/>
    <w:rPr>
      <w:i/>
    </w:rPr>
  </w:style>
  <w:style w:type="character" w:styleId="58">
    <w:name w:val="HTML Typewriter"/>
    <w:qFormat/>
    <w:uiPriority w:val="99"/>
    <w:rPr>
      <w:rFonts w:ascii="Courier New" w:hAnsi="Courier New"/>
      <w:sz w:val="20"/>
    </w:rPr>
  </w:style>
  <w:style w:type="character" w:styleId="59">
    <w:name w:val="Hyperlink"/>
    <w:qFormat/>
    <w:uiPriority w:val="99"/>
    <w:rPr>
      <w:color w:val="0000FF"/>
      <w:u w:val="single"/>
    </w:rPr>
  </w:style>
  <w:style w:type="character" w:styleId="60">
    <w:name w:val="annotation reference"/>
    <w:qFormat/>
    <w:uiPriority w:val="99"/>
    <w:rPr>
      <w:sz w:val="21"/>
    </w:rPr>
  </w:style>
  <w:style w:type="character" w:styleId="61">
    <w:name w:val="HTML Cite"/>
    <w:qFormat/>
    <w:uiPriority w:val="0"/>
    <w:rPr>
      <w:rFonts w:ascii="仿宋_GB2312" w:eastAsia="仿宋_GB2312"/>
      <w:b/>
      <w:color w:val="008000"/>
      <w:sz w:val="32"/>
      <w:szCs w:val="32"/>
    </w:rPr>
  </w:style>
  <w:style w:type="paragraph" w:customStyle="1" w:styleId="62">
    <w:name w:val="正文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 Char2"/>
    <w:link w:val="21"/>
    <w:qFormat/>
    <w:locked/>
    <w:uiPriority w:val="99"/>
    <w:rPr>
      <w:rFonts w:ascii="宋体" w:hAnsi="宋体" w:eastAsia="宋体" w:cs="宋体"/>
      <w:lang w:val="en-US" w:eastAsia="zh-CN"/>
    </w:rPr>
  </w:style>
  <w:style w:type="character" w:customStyle="1" w:styleId="64">
    <w:name w:val="标题 1 Char1"/>
    <w:link w:val="5"/>
    <w:qFormat/>
    <w:locked/>
    <w:uiPriority w:val="9"/>
    <w:rPr>
      <w:rFonts w:ascii="宋体" w:hAnsi="宋体" w:eastAsia="宋体" w:cs="宋体"/>
      <w:b/>
      <w:kern w:val="44"/>
      <w:sz w:val="44"/>
      <w:szCs w:val="44"/>
      <w:lang w:val="en-US" w:eastAsia="zh-CN"/>
    </w:rPr>
  </w:style>
  <w:style w:type="character" w:customStyle="1" w:styleId="65">
    <w:name w:val="标题 2 Char1"/>
    <w:link w:val="6"/>
    <w:qFormat/>
    <w:locked/>
    <w:uiPriority w:val="9"/>
    <w:rPr>
      <w:rFonts w:ascii="Cambria" w:hAnsi="Cambria" w:eastAsia="宋体" w:cs="Cambria"/>
      <w:kern w:val="2"/>
      <w:sz w:val="21"/>
      <w:szCs w:val="21"/>
      <w:lang w:val="en-US" w:eastAsia="zh-CN"/>
    </w:rPr>
  </w:style>
  <w:style w:type="character" w:customStyle="1" w:styleId="66">
    <w:name w:val="标题 3 Char1"/>
    <w:link w:val="7"/>
    <w:qFormat/>
    <w:locked/>
    <w:uiPriority w:val="9"/>
    <w:rPr>
      <w:rFonts w:ascii="宋体" w:hAnsi="宋体" w:eastAsia="宋体" w:cs="宋体"/>
      <w:b/>
      <w:kern w:val="2"/>
      <w:sz w:val="32"/>
      <w:szCs w:val="32"/>
      <w:lang w:val="en-US" w:eastAsia="zh-CN"/>
    </w:rPr>
  </w:style>
  <w:style w:type="character" w:customStyle="1" w:styleId="67">
    <w:name w:val="标题 4 Char"/>
    <w:link w:val="8"/>
    <w:qFormat/>
    <w:locked/>
    <w:uiPriority w:val="0"/>
    <w:rPr>
      <w:rFonts w:ascii="Arial" w:hAnsi="Arial" w:eastAsia="黑体"/>
      <w:b/>
      <w:kern w:val="2"/>
      <w:sz w:val="28"/>
      <w:lang w:val="en-US" w:eastAsia="zh-CN"/>
    </w:rPr>
  </w:style>
  <w:style w:type="character" w:customStyle="1" w:styleId="68">
    <w:name w:val="标题 5 Char"/>
    <w:link w:val="9"/>
    <w:qFormat/>
    <w:locked/>
    <w:uiPriority w:val="9"/>
    <w:rPr>
      <w:rFonts w:eastAsia="宋体"/>
      <w:b/>
      <w:kern w:val="2"/>
      <w:sz w:val="28"/>
      <w:lang w:val="en-US" w:eastAsia="zh-CN"/>
    </w:rPr>
  </w:style>
  <w:style w:type="character" w:customStyle="1" w:styleId="69">
    <w:name w:val="标题 6 Char"/>
    <w:link w:val="10"/>
    <w:qFormat/>
    <w:locked/>
    <w:uiPriority w:val="9"/>
    <w:rPr>
      <w:rFonts w:ascii="Cambria" w:hAnsi="Cambria" w:eastAsia="宋体"/>
      <w:b/>
      <w:kern w:val="2"/>
      <w:sz w:val="24"/>
      <w:lang w:val="en-US" w:eastAsia="zh-CN"/>
    </w:rPr>
  </w:style>
  <w:style w:type="character" w:customStyle="1" w:styleId="70">
    <w:name w:val="标题 7 Char"/>
    <w:link w:val="11"/>
    <w:qFormat/>
    <w:locked/>
    <w:uiPriority w:val="9"/>
    <w:rPr>
      <w:b/>
      <w:kern w:val="2"/>
      <w:sz w:val="24"/>
    </w:rPr>
  </w:style>
  <w:style w:type="character" w:customStyle="1" w:styleId="71">
    <w:name w:val="标题 8 Char"/>
    <w:link w:val="12"/>
    <w:qFormat/>
    <w:locked/>
    <w:uiPriority w:val="9"/>
    <w:rPr>
      <w:rFonts w:ascii="Arial" w:hAnsi="Arial" w:eastAsia="黑体"/>
      <w:kern w:val="2"/>
      <w:sz w:val="24"/>
    </w:rPr>
  </w:style>
  <w:style w:type="character" w:customStyle="1" w:styleId="72">
    <w:name w:val="标题 9 Char"/>
    <w:link w:val="13"/>
    <w:qFormat/>
    <w:locked/>
    <w:uiPriority w:val="9"/>
    <w:rPr>
      <w:rFonts w:ascii="Arial" w:hAnsi="Arial" w:eastAsia="黑体"/>
      <w:kern w:val="2"/>
      <w:sz w:val="21"/>
    </w:rPr>
  </w:style>
  <w:style w:type="character" w:customStyle="1" w:styleId="73">
    <w:name w:val="正文缩进 Char1"/>
    <w:link w:val="15"/>
    <w:qFormat/>
    <w:locked/>
    <w:uiPriority w:val="0"/>
    <w:rPr>
      <w:rFonts w:ascii="宋体" w:hAnsi="宋体" w:eastAsia="宋体" w:cs="宋体"/>
      <w:spacing w:val="14"/>
      <w:kern w:val="24"/>
      <w:sz w:val="24"/>
      <w:szCs w:val="24"/>
      <w:lang w:val="en-US" w:eastAsia="zh-CN"/>
    </w:rPr>
  </w:style>
  <w:style w:type="character" w:customStyle="1" w:styleId="74">
    <w:name w:val="文档结构图 Char"/>
    <w:link w:val="17"/>
    <w:qFormat/>
    <w:locked/>
    <w:uiPriority w:val="0"/>
    <w:rPr>
      <w:rFonts w:eastAsia="宋体"/>
      <w:kern w:val="2"/>
      <w:sz w:val="21"/>
      <w:lang w:val="en-US" w:eastAsia="zh-CN"/>
    </w:rPr>
  </w:style>
  <w:style w:type="character" w:customStyle="1" w:styleId="75">
    <w:name w:val="批注文字 Char1"/>
    <w:link w:val="19"/>
    <w:qFormat/>
    <w:locked/>
    <w:uiPriority w:val="0"/>
    <w:rPr>
      <w:rFonts w:ascii="宋体" w:hAnsi="宋体" w:eastAsia="宋体" w:cs="宋体"/>
      <w:kern w:val="2"/>
      <w:sz w:val="21"/>
      <w:szCs w:val="21"/>
      <w:lang w:val="en-US" w:eastAsia="zh-CN"/>
    </w:rPr>
  </w:style>
  <w:style w:type="character" w:customStyle="1" w:styleId="76">
    <w:name w:val="正文文本 3 Char"/>
    <w:link w:val="20"/>
    <w:qFormat/>
    <w:locked/>
    <w:uiPriority w:val="0"/>
    <w:rPr>
      <w:rFonts w:eastAsia="宋体"/>
      <w:sz w:val="16"/>
    </w:rPr>
  </w:style>
  <w:style w:type="character" w:customStyle="1" w:styleId="77">
    <w:name w:val="正文文本缩进 Char"/>
    <w:link w:val="22"/>
    <w:qFormat/>
    <w:locked/>
    <w:uiPriority w:val="0"/>
    <w:rPr>
      <w:rFonts w:eastAsia="方正书宋简体"/>
      <w:kern w:val="2"/>
      <w:sz w:val="24"/>
      <w:lang w:val="en-US" w:eastAsia="zh-CN"/>
    </w:rPr>
  </w:style>
  <w:style w:type="character" w:customStyle="1" w:styleId="78">
    <w:name w:val="纯文本 Char1"/>
    <w:link w:val="3"/>
    <w:qFormat/>
    <w:locked/>
    <w:uiPriority w:val="0"/>
    <w:rPr>
      <w:rFonts w:ascii="宋体" w:hAnsi="Courier New" w:eastAsia="宋体" w:cs="宋体"/>
      <w:lang w:val="en-US" w:eastAsia="zh-CN"/>
    </w:rPr>
  </w:style>
  <w:style w:type="character" w:customStyle="1" w:styleId="79">
    <w:name w:val="日期 Char"/>
    <w:link w:val="29"/>
    <w:qFormat/>
    <w:locked/>
    <w:uiPriority w:val="0"/>
    <w:rPr>
      <w:rFonts w:ascii="宋体" w:cs="Times New Roman"/>
      <w:sz w:val="24"/>
    </w:rPr>
  </w:style>
  <w:style w:type="character" w:customStyle="1" w:styleId="80">
    <w:name w:val="正文文本缩进 2 Char"/>
    <w:link w:val="30"/>
    <w:qFormat/>
    <w:locked/>
    <w:uiPriority w:val="0"/>
    <w:rPr>
      <w:rFonts w:ascii="宋体" w:eastAsia="宋体"/>
      <w:kern w:val="2"/>
      <w:sz w:val="24"/>
      <w:lang w:val="en-US" w:eastAsia="zh-CN"/>
    </w:rPr>
  </w:style>
  <w:style w:type="character" w:customStyle="1" w:styleId="81">
    <w:name w:val="批注框文本 Char1"/>
    <w:link w:val="31"/>
    <w:qFormat/>
    <w:locked/>
    <w:uiPriority w:val="99"/>
    <w:rPr>
      <w:rFonts w:ascii="宋体" w:hAnsi="宋体" w:eastAsia="宋体" w:cs="宋体"/>
      <w:kern w:val="2"/>
      <w:sz w:val="18"/>
      <w:szCs w:val="18"/>
      <w:lang w:val="en-US" w:eastAsia="zh-CN"/>
    </w:rPr>
  </w:style>
  <w:style w:type="character" w:customStyle="1" w:styleId="82">
    <w:name w:val="页脚 Char1"/>
    <w:link w:val="32"/>
    <w:qFormat/>
    <w:locked/>
    <w:uiPriority w:val="99"/>
    <w:rPr>
      <w:rFonts w:ascii="宋体" w:hAnsi="宋体" w:eastAsia="宋体" w:cs="宋体"/>
      <w:kern w:val="2"/>
      <w:sz w:val="18"/>
      <w:szCs w:val="18"/>
      <w:lang w:val="en-US" w:eastAsia="zh-CN"/>
    </w:rPr>
  </w:style>
  <w:style w:type="character" w:customStyle="1" w:styleId="83">
    <w:name w:val="页眉 Char1"/>
    <w:link w:val="34"/>
    <w:qFormat/>
    <w:locked/>
    <w:uiPriority w:val="99"/>
    <w:rPr>
      <w:rFonts w:ascii="宋体" w:hAnsi="宋体" w:eastAsia="宋体" w:cs="宋体"/>
      <w:kern w:val="2"/>
      <w:sz w:val="18"/>
      <w:szCs w:val="18"/>
      <w:lang w:val="en-US" w:eastAsia="zh-CN"/>
    </w:rPr>
  </w:style>
  <w:style w:type="character" w:customStyle="1" w:styleId="84">
    <w:name w:val="正文文本缩进 3 Char1"/>
    <w:link w:val="40"/>
    <w:qFormat/>
    <w:locked/>
    <w:uiPriority w:val="0"/>
    <w:rPr>
      <w:rFonts w:ascii="宋体" w:hAnsi="宋体" w:eastAsia="宋体" w:cs="宋体"/>
      <w:b/>
      <w:kern w:val="2"/>
      <w:sz w:val="24"/>
      <w:szCs w:val="24"/>
      <w:lang w:val="en-US" w:eastAsia="zh-CN"/>
    </w:rPr>
  </w:style>
  <w:style w:type="character" w:customStyle="1" w:styleId="85">
    <w:name w:val="正文文本 2 Char"/>
    <w:link w:val="43"/>
    <w:qFormat/>
    <w:locked/>
    <w:uiPriority w:val="0"/>
    <w:rPr>
      <w:rFonts w:eastAsia="宋体"/>
      <w:sz w:val="24"/>
    </w:rPr>
  </w:style>
  <w:style w:type="character" w:customStyle="1" w:styleId="86">
    <w:name w:val="HTML 预设格式 Char"/>
    <w:link w:val="44"/>
    <w:qFormat/>
    <w:locked/>
    <w:uiPriority w:val="99"/>
    <w:rPr>
      <w:rFonts w:ascii="Courier New" w:hAnsi="Courier New"/>
      <w:kern w:val="2"/>
    </w:rPr>
  </w:style>
  <w:style w:type="character" w:customStyle="1" w:styleId="87">
    <w:name w:val="标题 Char"/>
    <w:link w:val="47"/>
    <w:qFormat/>
    <w:uiPriority w:val="0"/>
    <w:rPr>
      <w:rFonts w:ascii="Cambria" w:hAnsi="Cambria"/>
      <w:b/>
      <w:bCs/>
      <w:sz w:val="32"/>
      <w:szCs w:val="32"/>
    </w:rPr>
  </w:style>
  <w:style w:type="character" w:customStyle="1" w:styleId="88">
    <w:name w:val="批注主题 Char1"/>
    <w:link w:val="48"/>
    <w:qFormat/>
    <w:locked/>
    <w:uiPriority w:val="99"/>
    <w:rPr>
      <w:rFonts w:ascii="宋体" w:hAnsi="宋体" w:eastAsia="宋体" w:cs="宋体"/>
      <w:b/>
      <w:kern w:val="2"/>
      <w:sz w:val="21"/>
      <w:szCs w:val="21"/>
      <w:lang w:val="en-US" w:eastAsia="zh-CN"/>
    </w:rPr>
  </w:style>
  <w:style w:type="character" w:customStyle="1" w:styleId="89">
    <w:name w:val="正文首行缩进 Char"/>
    <w:link w:val="49"/>
    <w:qFormat/>
    <w:locked/>
    <w:uiPriority w:val="99"/>
    <w:rPr>
      <w:rFonts w:ascii="宋体" w:hAnsi="宋体" w:eastAsia="宋体" w:cs="宋体"/>
      <w:i/>
      <w:kern w:val="2"/>
      <w:sz w:val="24"/>
      <w:lang w:val="en-US" w:eastAsia="zh-CN"/>
    </w:rPr>
  </w:style>
  <w:style w:type="character" w:customStyle="1" w:styleId="90">
    <w:name w:val="纯文本 字符2"/>
    <w:qFormat/>
    <w:locked/>
    <w:uiPriority w:val="99"/>
    <w:rPr>
      <w:rFonts w:ascii="宋体" w:hAnsi="Courier New" w:eastAsia="宋体" w:cs="宋体"/>
      <w:lang w:val="en-US" w:eastAsia="zh-CN"/>
    </w:rPr>
  </w:style>
  <w:style w:type="character" w:customStyle="1" w:styleId="91">
    <w:name w:val="正文文本缩进 字符3"/>
    <w:qFormat/>
    <w:locked/>
    <w:uiPriority w:val="99"/>
    <w:rPr>
      <w:rFonts w:eastAsia="方正书宋简体"/>
      <w:kern w:val="2"/>
      <w:sz w:val="24"/>
      <w:lang w:val="en-US" w:eastAsia="zh-CN"/>
    </w:rPr>
  </w:style>
  <w:style w:type="character" w:customStyle="1" w:styleId="92">
    <w:name w:val="页眉 Char"/>
    <w:qFormat/>
    <w:uiPriority w:val="0"/>
    <w:rPr>
      <w:rFonts w:eastAsia="宋体"/>
      <w:kern w:val="2"/>
      <w:sz w:val="18"/>
      <w:lang w:val="en-US" w:eastAsia="zh-CN"/>
    </w:rPr>
  </w:style>
  <w:style w:type="character" w:customStyle="1" w:styleId="93">
    <w:name w:val="正文文本首行缩进 字符"/>
    <w:semiHidden/>
    <w:qFormat/>
    <w:uiPriority w:val="99"/>
  </w:style>
  <w:style w:type="character" w:customStyle="1" w:styleId="94">
    <w:name w:val="标题 4 字符"/>
    <w:qFormat/>
    <w:locked/>
    <w:uiPriority w:val="9"/>
    <w:rPr>
      <w:rFonts w:ascii="Arial" w:hAnsi="Arial" w:eastAsia="黑体"/>
      <w:b/>
      <w:kern w:val="2"/>
      <w:sz w:val="28"/>
      <w:lang w:val="en-US" w:eastAsia="zh-CN"/>
    </w:rPr>
  </w:style>
  <w:style w:type="character" w:customStyle="1" w:styleId="95">
    <w:name w:val="标题2正文 Char Char"/>
    <w:link w:val="96"/>
    <w:qFormat/>
    <w:locked/>
    <w:uiPriority w:val="0"/>
    <w:rPr>
      <w:rFonts w:eastAsia="宋体"/>
      <w:sz w:val="24"/>
    </w:rPr>
  </w:style>
  <w:style w:type="paragraph" w:customStyle="1" w:styleId="96">
    <w:name w:val="标题2正文 Char"/>
    <w:basedOn w:val="1"/>
    <w:link w:val="95"/>
    <w:qFormat/>
    <w:uiPriority w:val="0"/>
    <w:pPr>
      <w:spacing w:beforeLines="50" w:afterLines="50"/>
      <w:ind w:right="38" w:rightChars="18" w:firstLine="420"/>
    </w:pPr>
    <w:rPr>
      <w:kern w:val="0"/>
      <w:sz w:val="24"/>
    </w:rPr>
  </w:style>
  <w:style w:type="character" w:customStyle="1" w:styleId="97">
    <w:name w:val="文档结构图 字符1"/>
    <w:semiHidden/>
    <w:qFormat/>
    <w:uiPriority w:val="99"/>
    <w:rPr>
      <w:rFonts w:ascii="Microsoft YaHei UI" w:eastAsia="Microsoft YaHei UI"/>
      <w:kern w:val="2"/>
      <w:sz w:val="18"/>
      <w:szCs w:val="18"/>
    </w:rPr>
  </w:style>
  <w:style w:type="character" w:customStyle="1" w:styleId="98">
    <w:name w:val="纯文本 Char2"/>
    <w:qFormat/>
    <w:uiPriority w:val="0"/>
    <w:rPr>
      <w:rFonts w:ascii="宋体" w:hAnsi="宋体" w:eastAsia="宋体"/>
      <w:color w:val="000000"/>
      <w:sz w:val="24"/>
      <w:lang w:val="en-US" w:eastAsia="zh-CN"/>
    </w:rPr>
  </w:style>
  <w:style w:type="character" w:customStyle="1" w:styleId="99">
    <w:name w:val="批注主题 字符"/>
    <w:qFormat/>
    <w:locked/>
    <w:uiPriority w:val="99"/>
    <w:rPr>
      <w:rFonts w:ascii="宋体" w:hAnsi="宋体" w:eastAsia="宋体" w:cs="宋体"/>
      <w:b/>
      <w:kern w:val="2"/>
      <w:sz w:val="21"/>
      <w:szCs w:val="21"/>
      <w:lang w:val="en-US" w:eastAsia="zh-CN"/>
    </w:rPr>
  </w:style>
  <w:style w:type="character" w:customStyle="1" w:styleId="100">
    <w:name w:val="bookmark-item"/>
    <w:basedOn w:val="53"/>
    <w:qFormat/>
    <w:uiPriority w:val="0"/>
  </w:style>
  <w:style w:type="character" w:customStyle="1" w:styleId="101">
    <w:name w:val="正文文本缩进 字符1"/>
    <w:qFormat/>
    <w:locked/>
    <w:uiPriority w:val="99"/>
    <w:rPr>
      <w:rFonts w:eastAsia="方正书宋简体"/>
      <w:kern w:val="2"/>
      <w:sz w:val="24"/>
      <w:lang w:val="en-US" w:eastAsia="zh-CN"/>
    </w:rPr>
  </w:style>
  <w:style w:type="character" w:customStyle="1" w:styleId="102">
    <w:name w:val="正文文本缩进 3 Char"/>
    <w:qFormat/>
    <w:uiPriority w:val="0"/>
    <w:rPr>
      <w:rFonts w:ascii="宋体" w:eastAsia="宋体"/>
      <w:kern w:val="2"/>
      <w:sz w:val="24"/>
      <w:lang w:val="en-US" w:eastAsia="zh-CN"/>
    </w:rPr>
  </w:style>
  <w:style w:type="character" w:customStyle="1" w:styleId="103">
    <w:name w:val="批注文字 Char"/>
    <w:qFormat/>
    <w:locked/>
    <w:uiPriority w:val="0"/>
    <w:rPr>
      <w:rFonts w:cs="Times New Roman"/>
      <w:kern w:val="2"/>
      <w:sz w:val="21"/>
    </w:rPr>
  </w:style>
  <w:style w:type="character" w:customStyle="1" w:styleId="104">
    <w:name w:val="h6 Char"/>
    <w:qFormat/>
    <w:uiPriority w:val="0"/>
    <w:rPr>
      <w:rFonts w:ascii="Arial" w:hAnsi="Arial" w:eastAsia="宋体"/>
      <w:b/>
      <w:kern w:val="2"/>
      <w:sz w:val="24"/>
      <w:lang w:val="en-US" w:eastAsia="zh-CN"/>
    </w:rPr>
  </w:style>
  <w:style w:type="character" w:customStyle="1" w:styleId="105">
    <w:name w:val="标题 8 字符"/>
    <w:qFormat/>
    <w:locked/>
    <w:uiPriority w:val="9"/>
    <w:rPr>
      <w:rFonts w:ascii="Arial" w:hAnsi="Arial" w:eastAsia="黑体"/>
      <w:kern w:val="2"/>
      <w:sz w:val="24"/>
    </w:rPr>
  </w:style>
  <w:style w:type="character" w:customStyle="1" w:styleId="106">
    <w:name w:val="日期 字符1"/>
    <w:semiHidden/>
    <w:qFormat/>
    <w:uiPriority w:val="99"/>
    <w:rPr>
      <w:kern w:val="2"/>
      <w:sz w:val="21"/>
    </w:rPr>
  </w:style>
  <w:style w:type="character" w:customStyle="1" w:styleId="107">
    <w:name w:val="样式2 Char"/>
    <w:link w:val="108"/>
    <w:qFormat/>
    <w:locked/>
    <w:uiPriority w:val="0"/>
    <w:rPr>
      <w:rFonts w:ascii="黑体" w:hAnsi="黑体" w:eastAsia="黑体"/>
      <w:color w:val="FF0000"/>
      <w:kern w:val="2"/>
      <w:sz w:val="32"/>
      <w:lang w:val="en-US" w:eastAsia="zh-CN"/>
    </w:rPr>
  </w:style>
  <w:style w:type="paragraph" w:customStyle="1" w:styleId="108">
    <w:name w:val="样式2"/>
    <w:basedOn w:val="7"/>
    <w:link w:val="107"/>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09">
    <w:name w:val="font101"/>
    <w:qFormat/>
    <w:uiPriority w:val="0"/>
    <w:rPr>
      <w:rFonts w:hint="default" w:ascii="Times New Roman" w:hAnsi="Times New Roman" w:cs="Times New Roman"/>
      <w:b/>
      <w:color w:val="000000"/>
      <w:sz w:val="22"/>
      <w:szCs w:val="22"/>
      <w:u w:val="none"/>
    </w:rPr>
  </w:style>
  <w:style w:type="character" w:customStyle="1" w:styleId="110">
    <w:name w:val="正文文本 Char"/>
    <w:qFormat/>
    <w:uiPriority w:val="0"/>
    <w:rPr>
      <w:rFonts w:eastAsia="宋体"/>
      <w:i/>
      <w:kern w:val="2"/>
      <w:sz w:val="18"/>
      <w:lang w:val="en-US" w:eastAsia="zh-CN"/>
    </w:rPr>
  </w:style>
  <w:style w:type="character" w:customStyle="1" w:styleId="111">
    <w:name w:val="hui3"/>
    <w:qFormat/>
    <w:uiPriority w:val="0"/>
    <w:rPr>
      <w:color w:val="333333"/>
    </w:rPr>
  </w:style>
  <w:style w:type="character" w:customStyle="1" w:styleId="112">
    <w:name w:val="标题 9 字符"/>
    <w:qFormat/>
    <w:locked/>
    <w:uiPriority w:val="9"/>
    <w:rPr>
      <w:rFonts w:ascii="Arial" w:hAnsi="Arial" w:eastAsia="黑体"/>
      <w:kern w:val="2"/>
      <w:sz w:val="21"/>
    </w:rPr>
  </w:style>
  <w:style w:type="character" w:customStyle="1" w:styleId="113">
    <w:name w:val="批注文字 字符1"/>
    <w:semiHidden/>
    <w:qFormat/>
    <w:uiPriority w:val="99"/>
    <w:rPr>
      <w:kern w:val="2"/>
      <w:sz w:val="21"/>
    </w:rPr>
  </w:style>
  <w:style w:type="character" w:customStyle="1" w:styleId="114">
    <w:name w:val="无间距字符"/>
    <w:link w:val="115"/>
    <w:qFormat/>
    <w:locked/>
    <w:uiPriority w:val="0"/>
    <w:rPr>
      <w:sz w:val="22"/>
      <w:lang w:val="en-US" w:eastAsia="zh-CN" w:bidi="ar-SA"/>
    </w:rPr>
  </w:style>
  <w:style w:type="paragraph" w:customStyle="1" w:styleId="115">
    <w:name w:val="无间距"/>
    <w:link w:val="114"/>
    <w:qFormat/>
    <w:uiPriority w:val="0"/>
    <w:rPr>
      <w:rFonts w:ascii="Times New Roman" w:hAnsi="Times New Roman" w:eastAsia="宋体" w:cs="Times New Roman"/>
      <w:sz w:val="22"/>
      <w:lang w:val="en-US" w:eastAsia="zh-CN" w:bidi="ar-SA"/>
    </w:rPr>
  </w:style>
  <w:style w:type="character" w:customStyle="1" w:styleId="116">
    <w:name w:val="标题 2 字符"/>
    <w:qFormat/>
    <w:locked/>
    <w:uiPriority w:val="9"/>
    <w:rPr>
      <w:rFonts w:ascii="Cambria" w:hAnsi="Cambria" w:eastAsia="宋体" w:cs="Cambria"/>
      <w:kern w:val="2"/>
      <w:sz w:val="21"/>
      <w:szCs w:val="21"/>
      <w:lang w:val="en-US" w:eastAsia="zh-CN"/>
    </w:rPr>
  </w:style>
  <w:style w:type="character" w:customStyle="1" w:styleId="117">
    <w:name w:val="批注框文本 字符"/>
    <w:qFormat/>
    <w:locked/>
    <w:uiPriority w:val="99"/>
    <w:rPr>
      <w:rFonts w:ascii="宋体" w:hAnsi="宋体" w:eastAsia="宋体" w:cs="宋体"/>
      <w:kern w:val="2"/>
      <w:sz w:val="18"/>
      <w:szCs w:val="18"/>
      <w:lang w:val="en-US" w:eastAsia="zh-CN"/>
    </w:rPr>
  </w:style>
  <w:style w:type="character" w:customStyle="1" w:styleId="118">
    <w:name w:val="正文缩进 Char"/>
    <w:qFormat/>
    <w:uiPriority w:val="0"/>
    <w:rPr>
      <w:rFonts w:eastAsia="宋体"/>
      <w:kern w:val="2"/>
      <w:sz w:val="24"/>
      <w:lang w:val="en-US" w:eastAsia="zh-CN"/>
    </w:rPr>
  </w:style>
  <w:style w:type="character" w:customStyle="1" w:styleId="119">
    <w:name w:val="正文文本 2 字符1"/>
    <w:semiHidden/>
    <w:qFormat/>
    <w:uiPriority w:val="99"/>
    <w:rPr>
      <w:kern w:val="2"/>
      <w:sz w:val="21"/>
    </w:rPr>
  </w:style>
  <w:style w:type="character" w:customStyle="1" w:styleId="120">
    <w:name w:val="正文首行缩进 字符"/>
    <w:qFormat/>
    <w:locked/>
    <w:uiPriority w:val="99"/>
    <w:rPr>
      <w:rFonts w:ascii="宋体" w:hAnsi="宋体" w:eastAsia="宋体" w:cs="宋体"/>
      <w:i/>
      <w:kern w:val="2"/>
      <w:sz w:val="24"/>
      <w:lang w:val="en-US" w:eastAsia="zh-CN"/>
    </w:rPr>
  </w:style>
  <w:style w:type="character" w:customStyle="1" w:styleId="121">
    <w:name w:val="正文文本 字符1"/>
    <w:semiHidden/>
    <w:qFormat/>
    <w:uiPriority w:val="99"/>
    <w:rPr>
      <w:kern w:val="2"/>
      <w:sz w:val="21"/>
    </w:rPr>
  </w:style>
  <w:style w:type="character" w:customStyle="1" w:styleId="122">
    <w:name w:val="中等深浅网格 1 - 强调文字颜色 2 Char"/>
    <w:link w:val="123"/>
    <w:qFormat/>
    <w:locked/>
    <w:uiPriority w:val="34"/>
    <w:rPr>
      <w:rFonts w:ascii="Calibri" w:hAnsi="Calibri"/>
      <w:kern w:val="2"/>
      <w:sz w:val="22"/>
    </w:rPr>
  </w:style>
  <w:style w:type="paragraph" w:customStyle="1" w:styleId="123">
    <w:name w:val="中等深浅网格 1 - 强调文字颜色 21"/>
    <w:basedOn w:val="1"/>
    <w:link w:val="122"/>
    <w:qFormat/>
    <w:uiPriority w:val="34"/>
    <w:pPr>
      <w:ind w:firstLine="420" w:firstLineChars="200"/>
    </w:pPr>
    <w:rPr>
      <w:rFonts w:ascii="Calibri" w:hAnsi="Calibri"/>
      <w:sz w:val="22"/>
    </w:rPr>
  </w:style>
  <w:style w:type="character" w:customStyle="1" w:styleId="124">
    <w:name w:val="页脚 字符1"/>
    <w:semiHidden/>
    <w:qFormat/>
    <w:uiPriority w:val="99"/>
    <w:rPr>
      <w:kern w:val="2"/>
      <w:sz w:val="18"/>
      <w:szCs w:val="18"/>
    </w:rPr>
  </w:style>
  <w:style w:type="character" w:customStyle="1" w:styleId="125">
    <w:name w:val="标题 7 字符"/>
    <w:qFormat/>
    <w:locked/>
    <w:uiPriority w:val="9"/>
    <w:rPr>
      <w:b/>
      <w:kern w:val="2"/>
      <w:sz w:val="24"/>
    </w:rPr>
  </w:style>
  <w:style w:type="character" w:customStyle="1" w:styleId="126">
    <w:name w:val="方案－正文 Char"/>
    <w:link w:val="127"/>
    <w:qFormat/>
    <w:locked/>
    <w:uiPriority w:val="0"/>
    <w:rPr>
      <w:rFonts w:ascii="仿宋_GB2312" w:hAnsi="宋体"/>
      <w:sz w:val="24"/>
    </w:rPr>
  </w:style>
  <w:style w:type="paragraph" w:customStyle="1" w:styleId="127">
    <w:name w:val="方案－正文"/>
    <w:basedOn w:val="1"/>
    <w:link w:val="126"/>
    <w:qFormat/>
    <w:uiPriority w:val="0"/>
    <w:pPr>
      <w:spacing w:line="360" w:lineRule="auto"/>
      <w:ind w:firstLine="480" w:firstLineChars="200"/>
    </w:pPr>
    <w:rPr>
      <w:rFonts w:ascii="仿宋_GB2312" w:hAnsi="宋体"/>
      <w:kern w:val="0"/>
      <w:sz w:val="24"/>
    </w:rPr>
  </w:style>
  <w:style w:type="character" w:customStyle="1" w:styleId="128">
    <w:name w:val="页脚 Char"/>
    <w:qFormat/>
    <w:uiPriority w:val="99"/>
    <w:rPr>
      <w:rFonts w:eastAsia="宋体"/>
      <w:kern w:val="2"/>
      <w:sz w:val="18"/>
      <w:lang w:val="en-US" w:eastAsia="zh-CN"/>
    </w:rPr>
  </w:style>
  <w:style w:type="character" w:customStyle="1" w:styleId="129">
    <w:name w:val="正文文本缩进 3 字符1"/>
    <w:semiHidden/>
    <w:qFormat/>
    <w:uiPriority w:val="99"/>
    <w:rPr>
      <w:kern w:val="2"/>
      <w:sz w:val="16"/>
      <w:szCs w:val="16"/>
    </w:rPr>
  </w:style>
  <w:style w:type="character" w:customStyle="1" w:styleId="130">
    <w:name w:val="纯文本 Char"/>
    <w:qFormat/>
    <w:uiPriority w:val="0"/>
    <w:rPr>
      <w:rFonts w:ascii="宋体" w:hAnsi="宋体" w:eastAsia="宋体"/>
      <w:color w:val="000000"/>
      <w:sz w:val="24"/>
      <w:lang w:val="en-US" w:eastAsia="zh-CN"/>
    </w:rPr>
  </w:style>
  <w:style w:type="character" w:customStyle="1" w:styleId="131">
    <w:name w:val="样式5 Char"/>
    <w:link w:val="132"/>
    <w:qFormat/>
    <w:locked/>
    <w:uiPriority w:val="0"/>
    <w:rPr>
      <w:rFonts w:eastAsia="宋体"/>
      <w:b/>
      <w:kern w:val="2"/>
      <w:sz w:val="28"/>
      <w:lang w:val="en-US" w:eastAsia="zh-CN"/>
    </w:rPr>
  </w:style>
  <w:style w:type="paragraph" w:customStyle="1" w:styleId="132">
    <w:name w:val="样式5"/>
    <w:basedOn w:val="1"/>
    <w:link w:val="131"/>
    <w:qFormat/>
    <w:uiPriority w:val="0"/>
    <w:pPr>
      <w:keepNext/>
      <w:keepLines/>
      <w:spacing w:before="280" w:after="290" w:line="376" w:lineRule="auto"/>
      <w:ind w:left="210" w:leftChars="100" w:right="210" w:rightChars="100"/>
      <w:outlineLvl w:val="4"/>
    </w:pPr>
    <w:rPr>
      <w:b/>
      <w:sz w:val="28"/>
    </w:rPr>
  </w:style>
  <w:style w:type="character" w:customStyle="1" w:styleId="133">
    <w:name w:val="纯文本 字符"/>
    <w:qFormat/>
    <w:locked/>
    <w:uiPriority w:val="0"/>
    <w:rPr>
      <w:rFonts w:ascii="宋体" w:hAnsi="Courier New" w:eastAsia="宋体" w:cs="宋体"/>
      <w:lang w:val="en-US" w:eastAsia="zh-CN"/>
    </w:rPr>
  </w:style>
  <w:style w:type="character" w:customStyle="1" w:styleId="134">
    <w:name w:val="正文缩进 字符"/>
    <w:qFormat/>
    <w:locked/>
    <w:uiPriority w:val="0"/>
    <w:rPr>
      <w:rFonts w:ascii="宋体" w:hAnsi="宋体" w:eastAsia="宋体" w:cs="宋体"/>
      <w:spacing w:val="14"/>
      <w:kern w:val="24"/>
      <w:sz w:val="24"/>
      <w:szCs w:val="24"/>
      <w:lang w:val="en-US" w:eastAsia="zh-CN"/>
    </w:rPr>
  </w:style>
  <w:style w:type="character" w:customStyle="1" w:styleId="135">
    <w:name w:val="批注主题 字符1"/>
    <w:semiHidden/>
    <w:qFormat/>
    <w:uiPriority w:val="99"/>
    <w:rPr>
      <w:b/>
      <w:bCs/>
      <w:kern w:val="2"/>
      <w:sz w:val="21"/>
    </w:rPr>
  </w:style>
  <w:style w:type="character" w:customStyle="1" w:styleId="136">
    <w:name w:val="正文文本 3 字符1"/>
    <w:semiHidden/>
    <w:qFormat/>
    <w:uiPriority w:val="99"/>
    <w:rPr>
      <w:kern w:val="2"/>
      <w:sz w:val="16"/>
      <w:szCs w:val="16"/>
    </w:rPr>
  </w:style>
  <w:style w:type="character" w:customStyle="1" w:styleId="137">
    <w:name w:val="标题 3 字符"/>
    <w:qFormat/>
    <w:locked/>
    <w:uiPriority w:val="9"/>
    <w:rPr>
      <w:rFonts w:ascii="宋体" w:hAnsi="宋体" w:eastAsia="宋体" w:cs="宋体"/>
      <w:b/>
      <w:kern w:val="2"/>
      <w:sz w:val="32"/>
      <w:szCs w:val="32"/>
      <w:lang w:val="en-US" w:eastAsia="zh-CN"/>
    </w:rPr>
  </w:style>
  <w:style w:type="character" w:customStyle="1" w:styleId="138">
    <w:name w:val="标题 1 Char Char"/>
    <w:basedOn w:val="53"/>
    <w:qFormat/>
    <w:uiPriority w:val="0"/>
    <w:rPr>
      <w:rFonts w:eastAsia="宋体"/>
      <w:b/>
      <w:spacing w:val="-2"/>
      <w:sz w:val="24"/>
      <w:lang w:val="en-US" w:eastAsia="zh-CN"/>
    </w:rPr>
  </w:style>
  <w:style w:type="character" w:customStyle="1" w:styleId="139">
    <w:name w:val="标题 3 Char"/>
    <w:qFormat/>
    <w:uiPriority w:val="9"/>
    <w:rPr>
      <w:rFonts w:ascii="Arial" w:hAnsi="Arial" w:eastAsia="黑体"/>
      <w:b/>
      <w:kern w:val="2"/>
      <w:sz w:val="32"/>
      <w:lang w:val="en-US" w:eastAsia="zh-CN"/>
    </w:rPr>
  </w:style>
  <w:style w:type="character" w:customStyle="1" w:styleId="140">
    <w:name w:val="日期 字符2"/>
    <w:qFormat/>
    <w:locked/>
    <w:uiPriority w:val="99"/>
    <w:rPr>
      <w:rFonts w:ascii="宋体" w:cs="Times New Roman"/>
      <w:sz w:val="24"/>
    </w:rPr>
  </w:style>
  <w:style w:type="character" w:customStyle="1" w:styleId="141">
    <w:name w:val="apple-style-span"/>
    <w:qFormat/>
    <w:uiPriority w:val="0"/>
    <w:rPr>
      <w:rFonts w:cs="Times New Roman"/>
    </w:rPr>
  </w:style>
  <w:style w:type="character" w:customStyle="1" w:styleId="142">
    <w:name w:val="批注文字 字符"/>
    <w:qFormat/>
    <w:locked/>
    <w:uiPriority w:val="0"/>
    <w:rPr>
      <w:rFonts w:ascii="宋体" w:hAnsi="宋体" w:eastAsia="宋体" w:cs="宋体"/>
      <w:kern w:val="2"/>
      <w:sz w:val="21"/>
      <w:szCs w:val="21"/>
      <w:lang w:val="en-US" w:eastAsia="zh-CN"/>
    </w:rPr>
  </w:style>
  <w:style w:type="character" w:customStyle="1" w:styleId="143">
    <w:name w:val="apple-converted-space"/>
    <w:qFormat/>
    <w:uiPriority w:val="0"/>
    <w:rPr>
      <w:rFonts w:cs="Times New Roman"/>
    </w:rPr>
  </w:style>
  <w:style w:type="character" w:customStyle="1" w:styleId="144">
    <w:name w:val="页眉 字符"/>
    <w:qFormat/>
    <w:locked/>
    <w:uiPriority w:val="99"/>
    <w:rPr>
      <w:rFonts w:ascii="宋体" w:hAnsi="宋体" w:eastAsia="宋体" w:cs="宋体"/>
      <w:kern w:val="2"/>
      <w:sz w:val="18"/>
      <w:szCs w:val="18"/>
      <w:lang w:val="en-US" w:eastAsia="zh-CN"/>
    </w:rPr>
  </w:style>
  <w:style w:type="character" w:customStyle="1" w:styleId="145">
    <w:name w:val="标题 6 字符"/>
    <w:qFormat/>
    <w:locked/>
    <w:uiPriority w:val="9"/>
    <w:rPr>
      <w:rFonts w:ascii="Cambria" w:hAnsi="Cambria" w:eastAsia="宋体"/>
      <w:b/>
      <w:kern w:val="2"/>
      <w:sz w:val="24"/>
      <w:lang w:val="en-US" w:eastAsia="zh-CN"/>
    </w:rPr>
  </w:style>
  <w:style w:type="character" w:customStyle="1" w:styleId="146">
    <w:name w:val="金保标题3 Char"/>
    <w:link w:val="147"/>
    <w:qFormat/>
    <w:locked/>
    <w:uiPriority w:val="0"/>
    <w:rPr>
      <w:rFonts w:ascii="楷体" w:hAnsi="楷体" w:eastAsia="楷体"/>
      <w:b/>
      <w:sz w:val="28"/>
    </w:rPr>
  </w:style>
  <w:style w:type="paragraph" w:customStyle="1" w:styleId="147">
    <w:name w:val="金保标题3"/>
    <w:basedOn w:val="7"/>
    <w:next w:val="1"/>
    <w:link w:val="146"/>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48">
    <w:name w:val="哈哈正文 Char"/>
    <w:link w:val="149"/>
    <w:qFormat/>
    <w:locked/>
    <w:uiPriority w:val="0"/>
    <w:rPr>
      <w:rFonts w:ascii="宋体" w:hAnsi="宋体" w:eastAsia="宋体"/>
      <w:kern w:val="2"/>
      <w:sz w:val="24"/>
      <w:lang w:val="en-US" w:eastAsia="zh-CN"/>
    </w:rPr>
  </w:style>
  <w:style w:type="paragraph" w:customStyle="1" w:styleId="149">
    <w:name w:val="哈哈正文"/>
    <w:basedOn w:val="1"/>
    <w:link w:val="148"/>
    <w:qFormat/>
    <w:uiPriority w:val="0"/>
    <w:pPr>
      <w:spacing w:line="360" w:lineRule="auto"/>
      <w:ind w:firstLine="200" w:firstLineChars="200"/>
    </w:pPr>
    <w:rPr>
      <w:rFonts w:ascii="宋体" w:hAnsi="宋体"/>
      <w:sz w:val="24"/>
    </w:rPr>
  </w:style>
  <w:style w:type="character" w:customStyle="1" w:styleId="150">
    <w:name w:val="正文文本缩进 Char1"/>
    <w:qFormat/>
    <w:uiPriority w:val="0"/>
    <w:rPr>
      <w:rFonts w:eastAsia="方正书宋简体"/>
      <w:kern w:val="2"/>
      <w:sz w:val="24"/>
      <w:lang w:val="en-US" w:eastAsia="zh-CN"/>
    </w:rPr>
  </w:style>
  <w:style w:type="character" w:customStyle="1" w:styleId="151">
    <w:name w:val="样式4 Char"/>
    <w:link w:val="152"/>
    <w:qFormat/>
    <w:locked/>
    <w:uiPriority w:val="0"/>
    <w:rPr>
      <w:rFonts w:ascii="黑体" w:hAnsi="黑体" w:eastAsia="黑体"/>
      <w:kern w:val="44"/>
      <w:sz w:val="44"/>
      <w:lang w:val="en-US" w:eastAsia="zh-CN"/>
    </w:rPr>
  </w:style>
  <w:style w:type="paragraph" w:customStyle="1" w:styleId="152">
    <w:name w:val="样式4"/>
    <w:basedOn w:val="5"/>
    <w:link w:val="151"/>
    <w:qFormat/>
    <w:uiPriority w:val="0"/>
    <w:pPr>
      <w:keepLines/>
      <w:spacing w:line="360" w:lineRule="auto"/>
    </w:pPr>
    <w:rPr>
      <w:rFonts w:ascii="黑体" w:hAnsi="黑体" w:eastAsia="黑体"/>
      <w:b w:val="0"/>
      <w:szCs w:val="20"/>
    </w:rPr>
  </w:style>
  <w:style w:type="character" w:customStyle="1" w:styleId="153">
    <w:name w:val="纯文本 Char Char"/>
    <w:link w:val="154"/>
    <w:qFormat/>
    <w:uiPriority w:val="0"/>
    <w:rPr>
      <w:rFonts w:ascii="宋体" w:hAnsi="Courier New"/>
      <w:kern w:val="2"/>
      <w:sz w:val="21"/>
    </w:rPr>
  </w:style>
  <w:style w:type="paragraph" w:customStyle="1" w:styleId="154">
    <w:name w:val="纯文本1"/>
    <w:basedOn w:val="1"/>
    <w:link w:val="153"/>
    <w:qFormat/>
    <w:uiPriority w:val="0"/>
    <w:rPr>
      <w:rFonts w:ascii="宋体" w:hAnsi="Courier New"/>
    </w:rPr>
  </w:style>
  <w:style w:type="character" w:customStyle="1" w:styleId="155">
    <w:name w:val="批注框文本 Char"/>
    <w:semiHidden/>
    <w:qFormat/>
    <w:locked/>
    <w:uiPriority w:val="99"/>
    <w:rPr>
      <w:rFonts w:cs="Times New Roman"/>
      <w:kern w:val="2"/>
      <w:sz w:val="18"/>
      <w:szCs w:val="18"/>
    </w:rPr>
  </w:style>
  <w:style w:type="character" w:customStyle="1" w:styleId="156">
    <w:name w:val="正文文本缩进 2 字符"/>
    <w:qFormat/>
    <w:locked/>
    <w:uiPriority w:val="99"/>
    <w:rPr>
      <w:rFonts w:ascii="宋体" w:eastAsia="宋体"/>
      <w:kern w:val="2"/>
      <w:sz w:val="24"/>
      <w:lang w:val="en-US" w:eastAsia="zh-CN"/>
    </w:rPr>
  </w:style>
  <w:style w:type="character" w:customStyle="1" w:styleId="157">
    <w:name w:val="批注主题 Char"/>
    <w:semiHidden/>
    <w:qFormat/>
    <w:locked/>
    <w:uiPriority w:val="0"/>
    <w:rPr>
      <w:rFonts w:cs="Times New Roman"/>
      <w:b/>
      <w:bCs/>
      <w:kern w:val="2"/>
      <w:sz w:val="21"/>
    </w:rPr>
  </w:style>
  <w:style w:type="character" w:customStyle="1" w:styleId="158">
    <w:name w:val="标题 2 Char"/>
    <w:qFormat/>
    <w:uiPriority w:val="0"/>
    <w:rPr>
      <w:rFonts w:ascii="Arial" w:hAnsi="Arial" w:eastAsia="黑体"/>
      <w:b/>
      <w:kern w:val="2"/>
      <w:sz w:val="32"/>
      <w:lang w:val="en-US" w:eastAsia="zh-CN"/>
    </w:rPr>
  </w:style>
  <w:style w:type="character" w:customStyle="1" w:styleId="159">
    <w:name w:val="样式1 Char"/>
    <w:link w:val="160"/>
    <w:qFormat/>
    <w:locked/>
    <w:uiPriority w:val="0"/>
    <w:rPr>
      <w:rFonts w:ascii="黑体" w:hAnsi="黑体" w:eastAsia="黑体"/>
      <w:b/>
      <w:kern w:val="2"/>
      <w:sz w:val="32"/>
    </w:rPr>
  </w:style>
  <w:style w:type="paragraph" w:customStyle="1" w:styleId="160">
    <w:name w:val="样式1"/>
    <w:basedOn w:val="6"/>
    <w:link w:val="159"/>
    <w:qFormat/>
    <w:uiPriority w:val="0"/>
    <w:pPr>
      <w:tabs>
        <w:tab w:val="clear" w:pos="578"/>
      </w:tabs>
      <w:spacing w:beforeLines="0" w:afterLines="0"/>
      <w:ind w:left="0" w:firstLine="0"/>
    </w:pPr>
    <w:rPr>
      <w:rFonts w:ascii="黑体" w:hAnsi="黑体" w:eastAsia="黑体"/>
      <w:b/>
      <w:sz w:val="32"/>
      <w:szCs w:val="20"/>
    </w:rPr>
  </w:style>
  <w:style w:type="character" w:customStyle="1" w:styleId="161">
    <w:name w:val="标题 1 字符"/>
    <w:qFormat/>
    <w:locked/>
    <w:uiPriority w:val="9"/>
    <w:rPr>
      <w:rFonts w:ascii="宋体" w:hAnsi="宋体" w:eastAsia="宋体" w:cs="宋体"/>
      <w:b/>
      <w:kern w:val="44"/>
      <w:sz w:val="44"/>
      <w:szCs w:val="44"/>
      <w:lang w:val="en-US" w:eastAsia="zh-CN"/>
    </w:rPr>
  </w:style>
  <w:style w:type="character" w:customStyle="1" w:styleId="162">
    <w:name w:val="font11"/>
    <w:qFormat/>
    <w:uiPriority w:val="0"/>
    <w:rPr>
      <w:rFonts w:ascii="Times New Roman" w:hAnsi="Times New Roman"/>
      <w:color w:val="000000"/>
      <w:sz w:val="24"/>
      <w:u w:val="none"/>
    </w:rPr>
  </w:style>
  <w:style w:type="character" w:customStyle="1" w:styleId="163">
    <w:name w:val="列出段落 字符"/>
    <w:qFormat/>
    <w:locked/>
    <w:uiPriority w:val="34"/>
    <w:rPr>
      <w:rFonts w:eastAsia="宋体"/>
      <w:kern w:val="2"/>
      <w:sz w:val="24"/>
      <w:lang w:val="en-US" w:eastAsia="zh-CN"/>
    </w:rPr>
  </w:style>
  <w:style w:type="character" w:customStyle="1" w:styleId="164">
    <w:name w:val="font61"/>
    <w:qFormat/>
    <w:uiPriority w:val="0"/>
    <w:rPr>
      <w:rFonts w:ascii="Times New Roman" w:hAnsi="Times New Roman"/>
      <w:color w:val="000000"/>
      <w:sz w:val="20"/>
      <w:u w:val="none"/>
    </w:rPr>
  </w:style>
  <w:style w:type="character" w:customStyle="1" w:styleId="165">
    <w:name w:val="列出段落 Char"/>
    <w:link w:val="166"/>
    <w:qFormat/>
    <w:locked/>
    <w:uiPriority w:val="34"/>
    <w:rPr>
      <w:rFonts w:eastAsia="宋体"/>
      <w:kern w:val="2"/>
      <w:sz w:val="24"/>
      <w:lang w:val="en-US" w:eastAsia="zh-CN"/>
    </w:rPr>
  </w:style>
  <w:style w:type="paragraph" w:styleId="166">
    <w:name w:val="List Paragraph"/>
    <w:basedOn w:val="1"/>
    <w:link w:val="165"/>
    <w:qFormat/>
    <w:uiPriority w:val="34"/>
    <w:pPr>
      <w:spacing w:line="360" w:lineRule="auto"/>
      <w:ind w:firstLine="420" w:firstLineChars="200"/>
    </w:pPr>
    <w:rPr>
      <w:sz w:val="24"/>
    </w:rPr>
  </w:style>
  <w:style w:type="character" w:customStyle="1" w:styleId="167">
    <w:name w:val="正文文本缩进 字符2"/>
    <w:semiHidden/>
    <w:qFormat/>
    <w:uiPriority w:val="99"/>
    <w:rPr>
      <w:kern w:val="2"/>
      <w:sz w:val="21"/>
    </w:rPr>
  </w:style>
  <w:style w:type="character" w:customStyle="1" w:styleId="168">
    <w:name w:val="font01"/>
    <w:qFormat/>
    <w:uiPriority w:val="0"/>
    <w:rPr>
      <w:rFonts w:ascii="宋体" w:hAnsi="宋体" w:eastAsia="宋体"/>
      <w:color w:val="000000"/>
      <w:sz w:val="24"/>
      <w:u w:val="none"/>
    </w:rPr>
  </w:style>
  <w:style w:type="character" w:customStyle="1" w:styleId="169">
    <w:name w:val="标题 1 Char"/>
    <w:qFormat/>
    <w:uiPriority w:val="9"/>
    <w:rPr>
      <w:rFonts w:ascii="宋体" w:eastAsia="宋体"/>
      <w:b/>
      <w:kern w:val="2"/>
      <w:sz w:val="28"/>
      <w:lang w:val="en-US" w:eastAsia="zh-CN"/>
    </w:rPr>
  </w:style>
  <w:style w:type="character" w:customStyle="1" w:styleId="170">
    <w:name w:val="标题 5 字符"/>
    <w:qFormat/>
    <w:locked/>
    <w:uiPriority w:val="9"/>
    <w:rPr>
      <w:rFonts w:eastAsia="宋体"/>
      <w:b/>
      <w:kern w:val="2"/>
      <w:sz w:val="28"/>
      <w:lang w:val="en-US" w:eastAsia="zh-CN"/>
    </w:rPr>
  </w:style>
  <w:style w:type="character" w:customStyle="1" w:styleId="171">
    <w:name w:val="表格 字符"/>
    <w:link w:val="172"/>
    <w:qFormat/>
    <w:uiPriority w:val="0"/>
    <w:rPr>
      <w:rFonts w:ascii="宋体" w:hAnsi="宋体" w:cs="Times New Roman"/>
      <w:kern w:val="2"/>
      <w:sz w:val="21"/>
      <w:szCs w:val="22"/>
    </w:rPr>
  </w:style>
  <w:style w:type="paragraph" w:customStyle="1" w:styleId="172">
    <w:name w:val="表格"/>
    <w:basedOn w:val="1"/>
    <w:link w:val="171"/>
    <w:qFormat/>
    <w:uiPriority w:val="0"/>
    <w:pPr>
      <w:spacing w:line="276" w:lineRule="auto"/>
      <w:jc w:val="center"/>
    </w:pPr>
    <w:rPr>
      <w:rFonts w:ascii="宋体" w:hAnsi="宋体"/>
      <w:szCs w:val="22"/>
    </w:rPr>
  </w:style>
  <w:style w:type="character" w:customStyle="1" w:styleId="173">
    <w:name w:val="List Paragraph Char"/>
    <w:link w:val="174"/>
    <w:qFormat/>
    <w:locked/>
    <w:uiPriority w:val="0"/>
    <w:rPr>
      <w:rFonts w:ascii="Calibri" w:hAnsi="Calibri" w:eastAsia="宋体"/>
      <w:kern w:val="2"/>
      <w:sz w:val="22"/>
      <w:lang w:val="en-US" w:eastAsia="zh-CN"/>
    </w:rPr>
  </w:style>
  <w:style w:type="paragraph" w:customStyle="1" w:styleId="174">
    <w:name w:val="列出段落1"/>
    <w:basedOn w:val="1"/>
    <w:link w:val="173"/>
    <w:qFormat/>
    <w:uiPriority w:val="0"/>
    <w:pPr>
      <w:ind w:firstLine="420" w:firstLineChars="200"/>
    </w:pPr>
    <w:rPr>
      <w:rFonts w:ascii="Calibri" w:hAnsi="Calibri"/>
      <w:sz w:val="22"/>
    </w:rPr>
  </w:style>
  <w:style w:type="character" w:customStyle="1" w:styleId="175">
    <w:name w:val="HTML 预设格式 字符1"/>
    <w:semiHidden/>
    <w:qFormat/>
    <w:uiPriority w:val="99"/>
    <w:rPr>
      <w:rFonts w:ascii="Courier New" w:hAnsi="Courier New" w:cs="Courier New"/>
      <w:kern w:val="2"/>
    </w:rPr>
  </w:style>
  <w:style w:type="character" w:customStyle="1" w:styleId="176">
    <w:name w:val="正文文本 3 字符"/>
    <w:qFormat/>
    <w:locked/>
    <w:uiPriority w:val="99"/>
    <w:rPr>
      <w:rFonts w:eastAsia="宋体"/>
      <w:sz w:val="16"/>
    </w:rPr>
  </w:style>
  <w:style w:type="character" w:customStyle="1" w:styleId="177">
    <w:name w:val="日期 字符"/>
    <w:qFormat/>
    <w:locked/>
    <w:uiPriority w:val="99"/>
    <w:rPr>
      <w:rFonts w:ascii="宋体" w:cs="Times New Roman"/>
      <w:sz w:val="24"/>
    </w:rPr>
  </w:style>
  <w:style w:type="character" w:customStyle="1" w:styleId="178">
    <w:name w:val="HTML 预设格式 字符"/>
    <w:qFormat/>
    <w:locked/>
    <w:uiPriority w:val="99"/>
    <w:rPr>
      <w:rFonts w:ascii="Courier New" w:hAnsi="Courier New"/>
      <w:kern w:val="2"/>
    </w:rPr>
  </w:style>
  <w:style w:type="character" w:customStyle="1" w:styleId="179">
    <w:name w:val="页脚 字符"/>
    <w:qFormat/>
    <w:locked/>
    <w:uiPriority w:val="99"/>
    <w:rPr>
      <w:rFonts w:ascii="宋体" w:hAnsi="宋体" w:eastAsia="宋体" w:cs="宋体"/>
      <w:kern w:val="2"/>
      <w:sz w:val="18"/>
      <w:szCs w:val="18"/>
      <w:lang w:val="en-US" w:eastAsia="zh-CN"/>
    </w:rPr>
  </w:style>
  <w:style w:type="character" w:customStyle="1" w:styleId="180">
    <w:name w:val="正文文本 Char1"/>
    <w:qFormat/>
    <w:uiPriority w:val="0"/>
    <w:rPr>
      <w:rFonts w:ascii="Times New Roman" w:hAnsi="Times New Roman" w:eastAsia="宋体" w:cs="Times New Roman"/>
      <w:sz w:val="24"/>
      <w:szCs w:val="24"/>
    </w:rPr>
  </w:style>
  <w:style w:type="character" w:customStyle="1" w:styleId="181">
    <w:name w:val="正文文本缩进 3 字符"/>
    <w:qFormat/>
    <w:locked/>
    <w:uiPriority w:val="99"/>
    <w:rPr>
      <w:rFonts w:ascii="宋体" w:hAnsi="宋体" w:eastAsia="宋体" w:cs="宋体"/>
      <w:b/>
      <w:kern w:val="2"/>
      <w:sz w:val="24"/>
      <w:szCs w:val="24"/>
      <w:lang w:val="en-US" w:eastAsia="zh-CN"/>
    </w:rPr>
  </w:style>
  <w:style w:type="character" w:customStyle="1" w:styleId="182">
    <w:name w:val="正文文本 2 字符"/>
    <w:qFormat/>
    <w:locked/>
    <w:uiPriority w:val="99"/>
    <w:rPr>
      <w:rFonts w:eastAsia="宋体"/>
      <w:sz w:val="24"/>
    </w:rPr>
  </w:style>
  <w:style w:type="character" w:customStyle="1" w:styleId="183">
    <w:name w:val="正文文本缩进 2 字符1"/>
    <w:semiHidden/>
    <w:qFormat/>
    <w:uiPriority w:val="99"/>
    <w:rPr>
      <w:kern w:val="2"/>
      <w:sz w:val="21"/>
    </w:rPr>
  </w:style>
  <w:style w:type="character" w:customStyle="1" w:styleId="184">
    <w:name w:val="纯文本 字符1"/>
    <w:semiHidden/>
    <w:qFormat/>
    <w:uiPriority w:val="99"/>
    <w:rPr>
      <w:rFonts w:ascii="等线" w:hAnsi="Courier New" w:eastAsia="等线" w:cs="Courier New"/>
      <w:kern w:val="2"/>
      <w:sz w:val="21"/>
    </w:rPr>
  </w:style>
  <w:style w:type="character" w:customStyle="1" w:styleId="185">
    <w:name w:val="正文文本缩进 字符"/>
    <w:qFormat/>
    <w:uiPriority w:val="0"/>
    <w:rPr>
      <w:rFonts w:ascii="Calibri" w:hAnsi="Calibri" w:cs="Calibri"/>
    </w:rPr>
  </w:style>
  <w:style w:type="character" w:customStyle="1" w:styleId="186">
    <w:name w:val="正文文本 字符"/>
    <w:qFormat/>
    <w:locked/>
    <w:uiPriority w:val="99"/>
    <w:rPr>
      <w:rFonts w:ascii="宋体" w:hAnsi="宋体" w:eastAsia="宋体" w:cs="宋体"/>
      <w:lang w:val="en-US" w:eastAsia="zh-CN"/>
    </w:rPr>
  </w:style>
  <w:style w:type="character" w:customStyle="1" w:styleId="187">
    <w:name w:val="页眉 字符1"/>
    <w:semiHidden/>
    <w:qFormat/>
    <w:uiPriority w:val="99"/>
    <w:rPr>
      <w:kern w:val="2"/>
      <w:sz w:val="18"/>
      <w:szCs w:val="18"/>
    </w:rPr>
  </w:style>
  <w:style w:type="character" w:customStyle="1" w:styleId="188">
    <w:name w:val="批注框文本 字符1"/>
    <w:semiHidden/>
    <w:qFormat/>
    <w:uiPriority w:val="99"/>
    <w:rPr>
      <w:kern w:val="2"/>
      <w:sz w:val="18"/>
      <w:szCs w:val="18"/>
    </w:rPr>
  </w:style>
  <w:style w:type="character" w:customStyle="1" w:styleId="189">
    <w:name w:val="文档结构图 字符"/>
    <w:qFormat/>
    <w:locked/>
    <w:uiPriority w:val="99"/>
    <w:rPr>
      <w:rFonts w:eastAsia="宋体"/>
      <w:kern w:val="2"/>
      <w:sz w:val="21"/>
      <w:lang w:val="en-US" w:eastAsia="zh-CN"/>
    </w:rPr>
  </w:style>
  <w:style w:type="paragraph" w:customStyle="1" w:styleId="190">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4">
    <w:name w:val="Char1"/>
    <w:basedOn w:val="1"/>
    <w:qFormat/>
    <w:uiPriority w:val="0"/>
    <w:rPr>
      <w:rFonts w:ascii="仿宋_GB2312" w:eastAsia="仿宋_GB2312"/>
      <w:b/>
      <w:sz w:val="32"/>
      <w:szCs w:val="32"/>
    </w:rPr>
  </w:style>
  <w:style w:type="paragraph" w:customStyle="1" w:styleId="195">
    <w:name w:val="Table Paragraph"/>
    <w:basedOn w:val="1"/>
    <w:unhideWhenUsed/>
    <w:qFormat/>
    <w:uiPriority w:val="1"/>
    <w:pPr>
      <w:spacing w:before="100" w:beforeAutospacing="1" w:after="100" w:afterAutospacing="1" w:line="360" w:lineRule="auto"/>
    </w:pPr>
    <w:rPr>
      <w:sz w:val="24"/>
      <w:szCs w:val="24"/>
    </w:rPr>
  </w:style>
  <w:style w:type="paragraph" w:customStyle="1" w:styleId="196">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97">
    <w:name w:val="p0"/>
    <w:basedOn w:val="1"/>
    <w:qFormat/>
    <w:uiPriority w:val="0"/>
    <w:pPr>
      <w:widowControl/>
    </w:pPr>
    <w:rPr>
      <w:kern w:val="0"/>
      <w:szCs w:val="21"/>
    </w:rPr>
  </w:style>
  <w:style w:type="paragraph" w:customStyle="1" w:styleId="198">
    <w:name w:val="Proposals body"/>
    <w:basedOn w:val="1"/>
    <w:next w:val="1"/>
    <w:qFormat/>
    <w:uiPriority w:val="0"/>
    <w:pPr>
      <w:widowControl/>
      <w:spacing w:line="360" w:lineRule="auto"/>
      <w:jc w:val="left"/>
    </w:pPr>
    <w:rPr>
      <w:rFonts w:ascii="宋体"/>
      <w:color w:val="000000"/>
      <w:kern w:val="0"/>
      <w:sz w:val="24"/>
    </w:rPr>
  </w:style>
  <w:style w:type="paragraph" w:customStyle="1" w:styleId="199">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0">
    <w:name w:val="Default"/>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01">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02">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正文行首缩进]"/>
    <w:qFormat/>
    <w:uiPriority w:val="0"/>
    <w:pPr>
      <w:widowControl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paragraph" w:styleId="204">
    <w:name w:val="No Spacing"/>
    <w:link w:val="205"/>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05">
    <w:name w:val="无间隔 Char"/>
    <w:link w:val="204"/>
    <w:qFormat/>
    <w:uiPriority w:val="1"/>
    <w:rPr>
      <w:kern w:val="2"/>
      <w:sz w:val="21"/>
      <w:lang w:bidi="ar-SA"/>
    </w:rPr>
  </w:style>
  <w:style w:type="paragraph" w:customStyle="1" w:styleId="206">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07">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08">
    <w:name w:val="列出段落11"/>
    <w:basedOn w:val="1"/>
    <w:qFormat/>
    <w:uiPriority w:val="34"/>
    <w:pPr>
      <w:ind w:firstLine="420" w:firstLineChars="200"/>
    </w:pPr>
    <w:rPr>
      <w:szCs w:val="24"/>
    </w:rPr>
  </w:style>
  <w:style w:type="paragraph" w:customStyle="1" w:styleId="209">
    <w:name w:val="标题3"/>
    <w:basedOn w:val="7"/>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10">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11">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12">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13">
    <w:name w:val="Char Char Char"/>
    <w:basedOn w:val="1"/>
    <w:qFormat/>
    <w:uiPriority w:val="0"/>
    <w:pPr>
      <w:spacing w:before="120" w:after="120" w:line="360" w:lineRule="auto"/>
      <w:ind w:firstLine="200" w:firstLineChars="200"/>
    </w:pPr>
    <w:rPr>
      <w:rFonts w:ascii="Tahoma" w:hAnsi="Tahoma"/>
      <w:sz w:val="24"/>
    </w:rPr>
  </w:style>
  <w:style w:type="paragraph" w:customStyle="1" w:styleId="214">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15">
    <w:name w:val="Char Char Char1 Char"/>
    <w:basedOn w:val="1"/>
    <w:qFormat/>
    <w:uiPriority w:val="0"/>
    <w:pPr>
      <w:spacing w:line="360" w:lineRule="auto"/>
      <w:ind w:firstLine="200" w:firstLineChars="200"/>
    </w:pPr>
  </w:style>
  <w:style w:type="paragraph" w:customStyle="1" w:styleId="216">
    <w:name w:val="正文 居中"/>
    <w:basedOn w:val="1"/>
    <w:qFormat/>
    <w:uiPriority w:val="0"/>
    <w:pPr>
      <w:spacing w:line="360" w:lineRule="auto"/>
      <w:jc w:val="center"/>
    </w:pPr>
    <w:rPr>
      <w:rFonts w:cs="宋体"/>
      <w:sz w:val="24"/>
    </w:rPr>
  </w:style>
  <w:style w:type="paragraph" w:customStyle="1" w:styleId="217">
    <w:name w:val="默认段落字体 Para Char Char Char Char Char Char Char Char Char1 Char Char Char Char"/>
    <w:basedOn w:val="1"/>
    <w:qFormat/>
    <w:uiPriority w:val="0"/>
    <w:rPr>
      <w:rFonts w:ascii="Tahoma" w:hAnsi="Tahoma"/>
      <w:sz w:val="24"/>
    </w:rPr>
  </w:style>
  <w:style w:type="paragraph" w:customStyle="1" w:styleId="218">
    <w:name w:val="正文2"/>
    <w:basedOn w:val="1"/>
    <w:link w:val="219"/>
    <w:qFormat/>
    <w:uiPriority w:val="0"/>
    <w:pPr>
      <w:spacing w:beforeLines="50" w:afterLines="50" w:line="360" w:lineRule="auto"/>
      <w:ind w:firstLine="480" w:firstLineChars="200"/>
    </w:pPr>
    <w:rPr>
      <w:rFonts w:ascii="宋体" w:hAnsi="宋体"/>
      <w:sz w:val="24"/>
      <w:szCs w:val="24"/>
    </w:rPr>
  </w:style>
  <w:style w:type="character" w:customStyle="1" w:styleId="219">
    <w:name w:val="正文2 Char"/>
    <w:link w:val="218"/>
    <w:qFormat/>
    <w:uiPriority w:val="0"/>
    <w:rPr>
      <w:rFonts w:ascii="宋体" w:hAnsi="宋体"/>
      <w:kern w:val="2"/>
      <w:sz w:val="24"/>
      <w:szCs w:val="24"/>
    </w:rPr>
  </w:style>
  <w:style w:type="paragraph" w:customStyle="1" w:styleId="220">
    <w:name w:val="符号 2"/>
    <w:basedOn w:val="221"/>
    <w:qFormat/>
    <w:uiPriority w:val="0"/>
    <w:pPr>
      <w:tabs>
        <w:tab w:val="left" w:pos="900"/>
        <w:tab w:val="left" w:pos="1320"/>
      </w:tabs>
      <w:ind w:left="1320" w:hanging="420"/>
    </w:pPr>
  </w:style>
  <w:style w:type="paragraph" w:customStyle="1" w:styleId="221">
    <w:name w:val="符号 1"/>
    <w:basedOn w:val="22"/>
    <w:qFormat/>
    <w:uiPriority w:val="0"/>
    <w:pPr>
      <w:tabs>
        <w:tab w:val="left" w:pos="900"/>
      </w:tabs>
      <w:spacing w:line="360" w:lineRule="auto"/>
      <w:ind w:left="1200" w:hanging="720"/>
    </w:pPr>
    <w:rPr>
      <w:rFonts w:eastAsia="宋体"/>
      <w:kern w:val="28"/>
      <w:szCs w:val="24"/>
    </w:rPr>
  </w:style>
  <w:style w:type="paragraph" w:customStyle="1" w:styleId="222">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23">
    <w:name w:val="Char2"/>
    <w:basedOn w:val="1"/>
    <w:qFormat/>
    <w:uiPriority w:val="0"/>
    <w:pPr>
      <w:tabs>
        <w:tab w:val="left" w:pos="1200"/>
      </w:tabs>
      <w:ind w:left="1200" w:hanging="720"/>
    </w:pPr>
    <w:rPr>
      <w:sz w:val="24"/>
      <w:szCs w:val="24"/>
    </w:rPr>
  </w:style>
  <w:style w:type="paragraph" w:customStyle="1" w:styleId="224">
    <w:name w:val="标题1"/>
    <w:basedOn w:val="5"/>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25">
    <w:name w:val="Char11"/>
    <w:basedOn w:val="1"/>
    <w:qFormat/>
    <w:uiPriority w:val="0"/>
    <w:rPr>
      <w:szCs w:val="24"/>
    </w:rPr>
  </w:style>
  <w:style w:type="paragraph" w:customStyle="1" w:styleId="226">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27">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28">
    <w:name w:val="List Paragraph1"/>
    <w:basedOn w:val="1"/>
    <w:qFormat/>
    <w:uiPriority w:val="0"/>
    <w:pPr>
      <w:widowControl/>
      <w:spacing w:before="15" w:after="15" w:line="460" w:lineRule="exact"/>
      <w:ind w:firstLine="420" w:firstLineChars="200"/>
      <w:jc w:val="left"/>
    </w:pPr>
    <w:rPr>
      <w:rFonts w:ascii="Calibri" w:hAnsi="Calibri"/>
      <w:sz w:val="24"/>
      <w:szCs w:val="22"/>
    </w:rPr>
  </w:style>
  <w:style w:type="paragraph" w:customStyle="1" w:styleId="229">
    <w:name w:val="Table Text"/>
    <w:basedOn w:val="1"/>
    <w:qFormat/>
    <w:uiPriority w:val="0"/>
    <w:pPr>
      <w:widowControl/>
      <w:jc w:val="left"/>
    </w:pPr>
    <w:rPr>
      <w:rFonts w:ascii="Arial" w:hAnsi="Arial"/>
      <w:kern w:val="0"/>
      <w:szCs w:val="21"/>
    </w:rPr>
  </w:style>
  <w:style w:type="paragraph" w:customStyle="1" w:styleId="230">
    <w:name w:val="正文编码"/>
    <w:basedOn w:val="49"/>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3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32">
    <w:name w:val="Char Char Char Char"/>
    <w:basedOn w:val="1"/>
    <w:qFormat/>
    <w:uiPriority w:val="0"/>
    <w:pPr>
      <w:widowControl/>
      <w:spacing w:line="400" w:lineRule="exact"/>
      <w:jc w:val="center"/>
    </w:pPr>
    <w:rPr>
      <w:rFonts w:ascii="Verdana" w:hAnsi="Verdana"/>
      <w:kern w:val="0"/>
      <w:lang w:eastAsia="en-US"/>
    </w:rPr>
  </w:style>
  <w:style w:type="paragraph" w:customStyle="1" w:styleId="233">
    <w:name w:val="正文段"/>
    <w:basedOn w:val="1"/>
    <w:qFormat/>
    <w:uiPriority w:val="0"/>
    <w:pPr>
      <w:widowControl/>
      <w:snapToGrid w:val="0"/>
      <w:spacing w:afterLines="50"/>
      <w:ind w:firstLine="200" w:firstLineChars="200"/>
    </w:pPr>
    <w:rPr>
      <w:kern w:val="0"/>
      <w:sz w:val="24"/>
    </w:rPr>
  </w:style>
  <w:style w:type="paragraph" w:customStyle="1" w:styleId="234">
    <w:name w:val="正文文本缩进 + 四号"/>
    <w:basedOn w:val="22"/>
    <w:qFormat/>
    <w:uiPriority w:val="0"/>
    <w:pPr>
      <w:spacing w:line="360" w:lineRule="auto"/>
      <w:ind w:firstLine="560" w:firstLineChars="200"/>
    </w:pPr>
    <w:rPr>
      <w:rFonts w:ascii="仿宋_GB2312" w:eastAsia="仿宋_GB2312"/>
      <w:color w:val="000000"/>
      <w:sz w:val="28"/>
      <w:szCs w:val="28"/>
    </w:rPr>
  </w:style>
  <w:style w:type="paragraph" w:customStyle="1" w:styleId="235">
    <w:name w:val="标准正文"/>
    <w:basedOn w:val="1"/>
    <w:qFormat/>
    <w:uiPriority w:val="0"/>
    <w:pPr>
      <w:adjustRightInd w:val="0"/>
      <w:spacing w:line="360" w:lineRule="auto"/>
      <w:ind w:firstLine="480" w:firstLineChars="200"/>
    </w:pPr>
    <w:rPr>
      <w:kern w:val="0"/>
      <w:sz w:val="24"/>
    </w:rPr>
  </w:style>
  <w:style w:type="paragraph" w:customStyle="1" w:styleId="236">
    <w:name w:val="Char Char Char Char Char Char Char"/>
    <w:basedOn w:val="1"/>
    <w:qFormat/>
    <w:uiPriority w:val="0"/>
    <w:pPr>
      <w:tabs>
        <w:tab w:val="left" w:pos="432"/>
      </w:tabs>
      <w:ind w:left="432" w:hanging="432"/>
    </w:pPr>
    <w:rPr>
      <w:rFonts w:ascii="Tahoma" w:hAnsi="Tahoma"/>
      <w:sz w:val="24"/>
    </w:rPr>
  </w:style>
  <w:style w:type="paragraph" w:customStyle="1" w:styleId="237">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默认段落字体 Para Char Char Char Char Char Char Char Char Char Char"/>
    <w:basedOn w:val="1"/>
    <w:qFormat/>
    <w:uiPriority w:val="0"/>
    <w:rPr>
      <w:rFonts w:ascii="Tahoma" w:hAnsi="Tahoma"/>
      <w:sz w:val="24"/>
    </w:rPr>
  </w:style>
  <w:style w:type="paragraph" w:customStyle="1" w:styleId="239">
    <w:name w:val="表格正文"/>
    <w:basedOn w:val="1"/>
    <w:qFormat/>
    <w:uiPriority w:val="0"/>
    <w:rPr>
      <w:rFonts w:eastAsia="黑体"/>
    </w:rPr>
  </w:style>
  <w:style w:type="paragraph" w:customStyle="1" w:styleId="240">
    <w:name w:val="Char Char1 Char Char Char Char"/>
    <w:basedOn w:val="1"/>
    <w:qFormat/>
    <w:uiPriority w:val="0"/>
    <w:rPr>
      <w:rFonts w:ascii="Tahoma" w:hAnsi="Tahoma"/>
      <w:sz w:val="24"/>
    </w:rPr>
  </w:style>
  <w:style w:type="paragraph" w:customStyle="1" w:styleId="241">
    <w:name w:val="彩色列表 - 强调文字颜色 11"/>
    <w:basedOn w:val="1"/>
    <w:qFormat/>
    <w:uiPriority w:val="0"/>
    <w:pPr>
      <w:ind w:firstLine="420" w:firstLineChars="200"/>
    </w:pPr>
    <w:rPr>
      <w:rFonts w:ascii="Calibri" w:hAnsi="Calibri"/>
      <w:szCs w:val="22"/>
    </w:rPr>
  </w:style>
  <w:style w:type="character" w:customStyle="1" w:styleId="242">
    <w:name w:val="zbggmain style9"/>
    <w:basedOn w:val="53"/>
    <w:qFormat/>
    <w:uiPriority w:val="0"/>
  </w:style>
  <w:style w:type="character" w:customStyle="1" w:styleId="243">
    <w:name w:val="pubtime"/>
    <w:qFormat/>
    <w:uiPriority w:val="0"/>
    <w:rPr>
      <w:rFonts w:ascii="仿宋_GB2312" w:eastAsia="仿宋_GB2312"/>
      <w:color w:val="000000"/>
      <w:sz w:val="14"/>
      <w:szCs w:val="14"/>
    </w:rPr>
  </w:style>
  <w:style w:type="character" w:customStyle="1" w:styleId="244">
    <w:name w:val="font41"/>
    <w:qFormat/>
    <w:uiPriority w:val="0"/>
    <w:rPr>
      <w:rFonts w:ascii="font-weight : 400" w:hAnsi="font-weight : 400" w:eastAsia="font-weight : 400" w:cs="font-weight : 400"/>
      <w:b/>
      <w:color w:val="000000"/>
      <w:sz w:val="22"/>
      <w:szCs w:val="22"/>
      <w:u w:val="none"/>
    </w:rPr>
  </w:style>
  <w:style w:type="character" w:customStyle="1" w:styleId="245">
    <w:name w:val="c-icon16"/>
    <w:basedOn w:val="53"/>
    <w:qFormat/>
    <w:uiPriority w:val="0"/>
  </w:style>
  <w:style w:type="character" w:customStyle="1" w:styleId="246">
    <w:name w:val="p12"/>
    <w:basedOn w:val="53"/>
    <w:qFormat/>
    <w:uiPriority w:val="0"/>
  </w:style>
  <w:style w:type="character" w:customStyle="1" w:styleId="247">
    <w:name w:val="font131"/>
    <w:qFormat/>
    <w:uiPriority w:val="0"/>
    <w:rPr>
      <w:rFonts w:hint="eastAsia" w:ascii="宋体" w:hAnsi="宋体" w:eastAsia="宋体"/>
      <w:color w:val="000000"/>
      <w:sz w:val="24"/>
      <w:szCs w:val="24"/>
      <w:u w:val="none"/>
    </w:rPr>
  </w:style>
  <w:style w:type="character" w:customStyle="1" w:styleId="248">
    <w:name w:val="正文文本 3 Char1"/>
    <w:semiHidden/>
    <w:qFormat/>
    <w:uiPriority w:val="99"/>
    <w:rPr>
      <w:rFonts w:ascii="Times New Roman" w:hAnsi="Times New Roman" w:eastAsia="宋体" w:cs="Times New Roman"/>
      <w:sz w:val="16"/>
      <w:szCs w:val="16"/>
    </w:rPr>
  </w:style>
  <w:style w:type="character" w:customStyle="1" w:styleId="249">
    <w:name w:val="h Char Char"/>
    <w:qFormat/>
    <w:uiPriority w:val="0"/>
    <w:rPr>
      <w:rFonts w:ascii="仿宋_GB2312" w:eastAsia="仿宋_GB2312"/>
      <w:b/>
      <w:kern w:val="2"/>
      <w:sz w:val="18"/>
      <w:szCs w:val="18"/>
    </w:rPr>
  </w:style>
  <w:style w:type="character" w:customStyle="1" w:styleId="250">
    <w:name w:val="style171"/>
    <w:qFormat/>
    <w:uiPriority w:val="0"/>
    <w:rPr>
      <w:rFonts w:ascii="仿宋_GB2312" w:eastAsia="仿宋_GB2312"/>
      <w:b/>
      <w:bCs/>
      <w:color w:val="000000"/>
      <w:sz w:val="32"/>
      <w:szCs w:val="32"/>
    </w:rPr>
  </w:style>
  <w:style w:type="character" w:customStyle="1" w:styleId="251">
    <w:name w:val="font21"/>
    <w:qFormat/>
    <w:uiPriority w:val="0"/>
    <w:rPr>
      <w:rFonts w:hint="eastAsia" w:ascii="宋体" w:hAnsi="宋体" w:eastAsia="宋体" w:cs="宋体"/>
      <w:b/>
      <w:color w:val="000000"/>
      <w:sz w:val="22"/>
      <w:szCs w:val="22"/>
      <w:u w:val="none"/>
    </w:rPr>
  </w:style>
  <w:style w:type="character" w:customStyle="1" w:styleId="252">
    <w:name w:val="正文文本缩进 Char2"/>
    <w:semiHidden/>
    <w:qFormat/>
    <w:uiPriority w:val="99"/>
    <w:rPr>
      <w:rFonts w:ascii="Times New Roman" w:hAnsi="Times New Roman" w:eastAsia="宋体" w:cs="Times New Roman"/>
      <w:szCs w:val="24"/>
    </w:rPr>
  </w:style>
  <w:style w:type="character" w:customStyle="1" w:styleId="253">
    <w:name w:val="样式 样式 首行缩进:  2.25 字符 + 首行缩进:  2.25 字符 Char"/>
    <w:link w:val="254"/>
    <w:qFormat/>
    <w:uiPriority w:val="0"/>
    <w:rPr>
      <w:rFonts w:ascii="宋体" w:hAnsi="宋体" w:cs="宋体"/>
      <w:b/>
      <w:szCs w:val="21"/>
    </w:rPr>
  </w:style>
  <w:style w:type="paragraph" w:customStyle="1" w:styleId="254">
    <w:name w:val="样式 样式 首行缩进:  2.25 字符 + 首行缩进:  2.25 字符"/>
    <w:basedOn w:val="1"/>
    <w:link w:val="253"/>
    <w:qFormat/>
    <w:uiPriority w:val="0"/>
    <w:pPr>
      <w:spacing w:line="360" w:lineRule="auto"/>
      <w:ind w:firstLine="420" w:firstLineChars="200"/>
    </w:pPr>
    <w:rPr>
      <w:rFonts w:ascii="宋体" w:hAnsi="宋体"/>
      <w:b/>
      <w:kern w:val="0"/>
      <w:sz w:val="20"/>
      <w:szCs w:val="21"/>
    </w:rPr>
  </w:style>
  <w:style w:type="character" w:customStyle="1" w:styleId="255">
    <w:name w:val="op_dict3_lineone_result_tip"/>
    <w:qFormat/>
    <w:uiPriority w:val="0"/>
    <w:rPr>
      <w:color w:val="999999"/>
    </w:rPr>
  </w:style>
  <w:style w:type="character" w:customStyle="1" w:styleId="256">
    <w:name w:val="HTML 预设格式 Char1"/>
    <w:semiHidden/>
    <w:qFormat/>
    <w:uiPriority w:val="99"/>
    <w:rPr>
      <w:rFonts w:ascii="Courier New" w:hAnsi="Courier New" w:eastAsia="宋体" w:cs="Courier New"/>
      <w:sz w:val="20"/>
      <w:szCs w:val="20"/>
    </w:rPr>
  </w:style>
  <w:style w:type="character" w:customStyle="1" w:styleId="257">
    <w:name w:val="文档结构图 Char1"/>
    <w:qFormat/>
    <w:uiPriority w:val="0"/>
    <w:rPr>
      <w:rFonts w:ascii="宋体" w:eastAsia="仿宋_GB2312"/>
      <w:b/>
      <w:kern w:val="2"/>
      <w:sz w:val="18"/>
      <w:szCs w:val="18"/>
    </w:rPr>
  </w:style>
  <w:style w:type="character" w:customStyle="1" w:styleId="258">
    <w:name w:val="无"/>
    <w:qFormat/>
    <w:uiPriority w:val="99"/>
  </w:style>
  <w:style w:type="character" w:customStyle="1" w:styleId="259">
    <w:name w:val="工可正文 Char"/>
    <w:link w:val="260"/>
    <w:qFormat/>
    <w:uiPriority w:val="0"/>
    <w:rPr>
      <w:rFonts w:ascii="宋体" w:hAnsi="Courier New"/>
      <w:sz w:val="28"/>
    </w:rPr>
  </w:style>
  <w:style w:type="paragraph" w:customStyle="1" w:styleId="260">
    <w:name w:val="工可正文"/>
    <w:basedOn w:val="1"/>
    <w:link w:val="259"/>
    <w:qFormat/>
    <w:uiPriority w:val="0"/>
    <w:pPr>
      <w:spacing w:line="360" w:lineRule="auto"/>
      <w:ind w:firstLine="560" w:firstLineChars="200"/>
    </w:pPr>
    <w:rPr>
      <w:rFonts w:ascii="宋体" w:hAnsi="Courier New"/>
      <w:kern w:val="0"/>
      <w:sz w:val="28"/>
    </w:rPr>
  </w:style>
  <w:style w:type="character" w:customStyle="1" w:styleId="261">
    <w:name w:val="标题 Char2"/>
    <w:qFormat/>
    <w:uiPriority w:val="10"/>
    <w:rPr>
      <w:rFonts w:ascii="Cambria" w:hAnsi="Cambria" w:eastAsia="宋体" w:cs="Times New Roman"/>
      <w:b/>
      <w:bCs/>
      <w:sz w:val="32"/>
      <w:szCs w:val="32"/>
    </w:rPr>
  </w:style>
  <w:style w:type="character" w:customStyle="1" w:styleId="262">
    <w:name w:val="font111"/>
    <w:qFormat/>
    <w:uiPriority w:val="0"/>
    <w:rPr>
      <w:rFonts w:hint="default" w:ascii="Times New Roman" w:hAnsi="Times New Roman" w:cs="Times New Roman"/>
      <w:color w:val="000000"/>
      <w:sz w:val="24"/>
      <w:szCs w:val="24"/>
      <w:u w:val="none"/>
    </w:rPr>
  </w:style>
  <w:style w:type="character" w:customStyle="1" w:styleId="263">
    <w:name w:val="f11"/>
    <w:qFormat/>
    <w:uiPriority w:val="0"/>
    <w:rPr>
      <w:rFonts w:ascii="仿宋_GB2312" w:eastAsia="仿宋_GB2312"/>
      <w:b/>
      <w:sz w:val="24"/>
      <w:szCs w:val="24"/>
    </w:rPr>
  </w:style>
  <w:style w:type="character" w:customStyle="1" w:styleId="264">
    <w:name w:val="文档结构图 Char2"/>
    <w:semiHidden/>
    <w:qFormat/>
    <w:uiPriority w:val="99"/>
    <w:rPr>
      <w:rFonts w:ascii="宋体" w:hAnsi="Times New Roman" w:eastAsia="宋体" w:cs="Times New Roman"/>
      <w:sz w:val="18"/>
      <w:szCs w:val="18"/>
    </w:rPr>
  </w:style>
  <w:style w:type="character" w:customStyle="1" w:styleId="265">
    <w:name w:val="font31"/>
    <w:qFormat/>
    <w:uiPriority w:val="0"/>
    <w:rPr>
      <w:rFonts w:hint="eastAsia" w:ascii="宋体" w:hAnsi="宋体" w:eastAsia="宋体"/>
      <w:color w:val="000000"/>
      <w:sz w:val="24"/>
      <w:szCs w:val="24"/>
      <w:u w:val="none"/>
    </w:rPr>
  </w:style>
  <w:style w:type="character" w:customStyle="1" w:styleId="266">
    <w:name w:val="z-窗体底端 Char"/>
    <w:link w:val="267"/>
    <w:qFormat/>
    <w:uiPriority w:val="0"/>
    <w:rPr>
      <w:rFonts w:ascii="Arial"/>
      <w:vanish/>
      <w:sz w:val="16"/>
      <w:szCs w:val="24"/>
    </w:rPr>
  </w:style>
  <w:style w:type="paragraph" w:customStyle="1" w:styleId="267">
    <w:name w:val="_Style 265"/>
    <w:basedOn w:val="1"/>
    <w:next w:val="1"/>
    <w:link w:val="266"/>
    <w:qFormat/>
    <w:uiPriority w:val="0"/>
    <w:pPr>
      <w:pBdr>
        <w:top w:val="single" w:color="auto" w:sz="6" w:space="1"/>
      </w:pBdr>
      <w:jc w:val="center"/>
    </w:pPr>
    <w:rPr>
      <w:rFonts w:ascii="Arial"/>
      <w:vanish/>
      <w:kern w:val="0"/>
      <w:sz w:val="16"/>
      <w:szCs w:val="24"/>
    </w:rPr>
  </w:style>
  <w:style w:type="character" w:customStyle="1" w:styleId="268">
    <w:name w:val="正文文本缩进 3 Char2"/>
    <w:semiHidden/>
    <w:qFormat/>
    <w:uiPriority w:val="99"/>
    <w:rPr>
      <w:rFonts w:ascii="Times New Roman" w:hAnsi="Times New Roman" w:eastAsia="宋体" w:cs="Times New Roman"/>
      <w:sz w:val="16"/>
      <w:szCs w:val="16"/>
    </w:rPr>
  </w:style>
  <w:style w:type="character" w:customStyle="1" w:styleId="269">
    <w:name w:val="标题 Char1"/>
    <w:qFormat/>
    <w:uiPriority w:val="0"/>
    <w:rPr>
      <w:rFonts w:ascii="Cambria" w:hAnsi="Cambria" w:eastAsia="仿宋_GB2312" w:cs="Times New Roman"/>
      <w:b/>
      <w:bCs/>
      <w:kern w:val="2"/>
      <w:sz w:val="32"/>
      <w:szCs w:val="32"/>
    </w:rPr>
  </w:style>
  <w:style w:type="character" w:customStyle="1" w:styleId="270">
    <w:name w:val="op-map-singlepoint-info-right"/>
    <w:qFormat/>
    <w:uiPriority w:val="99"/>
    <w:rPr>
      <w:rFonts w:ascii="仿宋_GB2312" w:eastAsia="仿宋_GB2312"/>
      <w:b/>
      <w:sz w:val="32"/>
      <w:szCs w:val="32"/>
    </w:rPr>
  </w:style>
  <w:style w:type="character" w:customStyle="1" w:styleId="271">
    <w:name w:val="z-窗体顶端 Char"/>
    <w:link w:val="272"/>
    <w:qFormat/>
    <w:uiPriority w:val="0"/>
    <w:rPr>
      <w:rFonts w:ascii="Arial"/>
      <w:vanish/>
      <w:sz w:val="16"/>
      <w:szCs w:val="24"/>
    </w:rPr>
  </w:style>
  <w:style w:type="paragraph" w:customStyle="1" w:styleId="272">
    <w:name w:val="_Style 270"/>
    <w:basedOn w:val="1"/>
    <w:next w:val="1"/>
    <w:link w:val="271"/>
    <w:qFormat/>
    <w:uiPriority w:val="0"/>
    <w:pPr>
      <w:pBdr>
        <w:bottom w:val="single" w:color="auto" w:sz="6" w:space="1"/>
      </w:pBdr>
      <w:jc w:val="center"/>
    </w:pPr>
    <w:rPr>
      <w:rFonts w:ascii="Arial"/>
      <w:vanish/>
      <w:kern w:val="0"/>
      <w:sz w:val="16"/>
      <w:szCs w:val="24"/>
    </w:rPr>
  </w:style>
  <w:style w:type="character" w:customStyle="1" w:styleId="273">
    <w:name w:val="font71"/>
    <w:qFormat/>
    <w:uiPriority w:val="0"/>
    <w:rPr>
      <w:rFonts w:hint="eastAsia" w:ascii="宋体" w:hAnsi="宋体" w:eastAsia="宋体" w:cs="宋体"/>
      <w:b/>
      <w:color w:val="0000FF"/>
      <w:sz w:val="22"/>
      <w:szCs w:val="22"/>
      <w:u w:val="none"/>
    </w:rPr>
  </w:style>
  <w:style w:type="character" w:customStyle="1" w:styleId="274">
    <w:name w:val="font51"/>
    <w:qFormat/>
    <w:uiPriority w:val="0"/>
    <w:rPr>
      <w:rFonts w:hint="eastAsia" w:ascii="宋体" w:hAnsi="宋体" w:eastAsia="宋体"/>
      <w:color w:val="000000"/>
      <w:sz w:val="24"/>
      <w:szCs w:val="24"/>
      <w:u w:val="none"/>
    </w:rPr>
  </w:style>
  <w:style w:type="character" w:customStyle="1" w:styleId="275">
    <w:name w:val="style2 bin1"/>
    <w:qFormat/>
    <w:uiPriority w:val="0"/>
    <w:rPr>
      <w:rFonts w:ascii="仿宋_GB2312" w:eastAsia="仿宋_GB2312"/>
      <w:b/>
      <w:sz w:val="32"/>
      <w:szCs w:val="32"/>
    </w:rPr>
  </w:style>
  <w:style w:type="character" w:customStyle="1" w:styleId="276">
    <w:name w:val="font12gray1"/>
    <w:qFormat/>
    <w:uiPriority w:val="0"/>
    <w:rPr>
      <w:rFonts w:ascii="仿宋_GB2312" w:eastAsia="仿宋_GB2312"/>
      <w:b/>
      <w:sz w:val="18"/>
      <w:szCs w:val="18"/>
    </w:rPr>
  </w:style>
  <w:style w:type="character" w:customStyle="1" w:styleId="277">
    <w:name w:val="font91"/>
    <w:qFormat/>
    <w:uiPriority w:val="0"/>
    <w:rPr>
      <w:rFonts w:hint="eastAsia" w:ascii="华文细黑" w:hAnsi="华文细黑" w:eastAsia="华文细黑"/>
      <w:color w:val="FF0000"/>
      <w:sz w:val="18"/>
      <w:szCs w:val="18"/>
      <w:u w:val="none"/>
    </w:rPr>
  </w:style>
  <w:style w:type="character" w:customStyle="1" w:styleId="278">
    <w:name w:val="style191"/>
    <w:qFormat/>
    <w:uiPriority w:val="0"/>
    <w:rPr>
      <w:rFonts w:ascii="仿宋_GB2312" w:eastAsia="仿宋_GB2312"/>
      <w:b/>
      <w:bCs/>
      <w:sz w:val="21"/>
      <w:szCs w:val="21"/>
    </w:rPr>
  </w:style>
  <w:style w:type="paragraph" w:customStyle="1" w:styleId="279">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0">
    <w:name w:val="et2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character" w:customStyle="1" w:styleId="281">
    <w:name w:val="标题 Char3"/>
    <w:qFormat/>
    <w:uiPriority w:val="0"/>
    <w:rPr>
      <w:rFonts w:ascii="Cambria" w:hAnsi="Cambria" w:cs="Times New Roman"/>
      <w:b/>
      <w:bCs/>
      <w:kern w:val="2"/>
      <w:sz w:val="32"/>
      <w:szCs w:val="32"/>
    </w:rPr>
  </w:style>
  <w:style w:type="paragraph" w:customStyle="1" w:styleId="282">
    <w:name w:val="et20"/>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283">
    <w:name w:val="et4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4">
    <w:name w:val="et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5">
    <w:name w:val="et2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7">
    <w:name w:val="xl1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88">
    <w:name w:val="xl10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character" w:customStyle="1" w:styleId="289">
    <w:name w:val="z-窗体底端 Char1"/>
    <w:semiHidden/>
    <w:qFormat/>
    <w:uiPriority w:val="99"/>
    <w:rPr>
      <w:rFonts w:ascii="Arial" w:hAnsi="Arial" w:cs="Arial"/>
      <w:vanish/>
      <w:kern w:val="2"/>
      <w:sz w:val="16"/>
      <w:szCs w:val="16"/>
    </w:rPr>
  </w:style>
  <w:style w:type="paragraph" w:customStyle="1" w:styleId="290">
    <w:name w:val="xl1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91">
    <w:name w:val="et5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2">
    <w:name w:val="et5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3">
    <w:name w:val="et4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4">
    <w:name w:val="2"/>
    <w:basedOn w:val="1"/>
    <w:next w:val="1"/>
    <w:qFormat/>
    <w:uiPriority w:val="0"/>
    <w:rPr>
      <w:rFonts w:ascii="Calibri" w:hAnsi="Calibri" w:eastAsia="仿宋_GB2312"/>
      <w:sz w:val="18"/>
    </w:rPr>
  </w:style>
  <w:style w:type="paragraph" w:customStyle="1" w:styleId="295">
    <w:name w:val="xl1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6">
    <w:name w:val="标题6"/>
    <w:basedOn w:val="1"/>
    <w:next w:val="5"/>
    <w:qFormat/>
    <w:uiPriority w:val="0"/>
    <w:pPr>
      <w:widowControl/>
      <w:snapToGrid w:val="0"/>
      <w:spacing w:beforeLines="50" w:afterLines="50" w:line="520" w:lineRule="atLeast"/>
      <w:ind w:firstLine="200" w:firstLineChars="200"/>
    </w:pPr>
    <w:rPr>
      <w:rFonts w:ascii="Calibri" w:hAnsi="Calibri" w:cs="Arial"/>
      <w:b/>
      <w:sz w:val="24"/>
      <w:szCs w:val="24"/>
    </w:rPr>
  </w:style>
  <w:style w:type="paragraph" w:customStyle="1" w:styleId="297">
    <w:name w:val="et25"/>
    <w:basedOn w:val="1"/>
    <w:qFormat/>
    <w:uiPriority w:val="0"/>
    <w:pPr>
      <w:widowControl/>
      <w:spacing w:before="100" w:beforeAutospacing="1" w:after="100" w:afterAutospacing="1"/>
      <w:jc w:val="left"/>
      <w:textAlignment w:val="bottom"/>
    </w:pPr>
    <w:rPr>
      <w:color w:val="000000"/>
      <w:kern w:val="0"/>
      <w:sz w:val="22"/>
      <w:szCs w:val="22"/>
    </w:rPr>
  </w:style>
  <w:style w:type="paragraph" w:customStyle="1" w:styleId="298">
    <w:name w:val="et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99">
    <w:name w:val="_Style 297"/>
    <w:basedOn w:val="5"/>
    <w:next w:val="1"/>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300">
    <w:name w:val="et12"/>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01">
    <w:name w:val="xl1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02">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3">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04">
    <w:name w:val="Char12"/>
    <w:basedOn w:val="1"/>
    <w:qFormat/>
    <w:uiPriority w:val="0"/>
    <w:rPr>
      <w:szCs w:val="22"/>
    </w:rPr>
  </w:style>
  <w:style w:type="paragraph" w:customStyle="1" w:styleId="305">
    <w:name w:val="et2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6">
    <w:name w:val="et1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7">
    <w:name w:val="xl1088"/>
    <w:basedOn w:val="1"/>
    <w:qFormat/>
    <w:uiPriority w:val="0"/>
    <w:pPr>
      <w:widowControl/>
      <w:spacing w:before="100" w:beforeAutospacing="1" w:after="100" w:afterAutospacing="1"/>
      <w:jc w:val="left"/>
    </w:pPr>
    <w:rPr>
      <w:rFonts w:ascii="宋体" w:hAnsi="宋体" w:cs="宋体"/>
      <w:kern w:val="0"/>
      <w:sz w:val="20"/>
    </w:rPr>
  </w:style>
  <w:style w:type="paragraph" w:customStyle="1" w:styleId="308">
    <w:name w:val="Char Char2 Char Char"/>
    <w:basedOn w:val="1"/>
    <w:qFormat/>
    <w:uiPriority w:val="0"/>
    <w:rPr>
      <w:rFonts w:ascii="Tahoma" w:hAnsi="Tahoma"/>
      <w:sz w:val="24"/>
    </w:rPr>
  </w:style>
  <w:style w:type="paragraph" w:customStyle="1" w:styleId="309">
    <w:name w:val="et2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0">
    <w:name w:val="Char Char Char Char2"/>
    <w:basedOn w:val="1"/>
    <w:qFormat/>
    <w:uiPriority w:val="0"/>
    <w:rPr>
      <w:rFonts w:ascii="Tahoma" w:hAnsi="Tahoma"/>
      <w:sz w:val="24"/>
    </w:rPr>
  </w:style>
  <w:style w:type="paragraph" w:customStyle="1" w:styleId="311">
    <w:name w:val="Char23"/>
    <w:basedOn w:val="1"/>
    <w:qFormat/>
    <w:uiPriority w:val="0"/>
    <w:rPr>
      <w:rFonts w:ascii="仿宋_GB2312" w:eastAsia="仿宋_GB2312"/>
      <w:b/>
      <w:sz w:val="32"/>
      <w:szCs w:val="32"/>
    </w:rPr>
  </w:style>
  <w:style w:type="paragraph" w:customStyle="1" w:styleId="312">
    <w:name w:val="et1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3">
    <w:name w:val="et38"/>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14">
    <w:name w:val="Char13"/>
    <w:basedOn w:val="1"/>
    <w:qFormat/>
    <w:uiPriority w:val="0"/>
    <w:rPr>
      <w:szCs w:val="22"/>
    </w:rPr>
  </w:style>
  <w:style w:type="paragraph" w:customStyle="1" w:styleId="315">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16">
    <w:name w:val="et1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7">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18">
    <w:name w:val="et35"/>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19">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0">
    <w:name w:val="xl1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1">
    <w:name w:val="et3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2">
    <w:name w:val="xl1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23">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24">
    <w:name w:val="et3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5">
    <w:name w:val="Char Char Char Char Char Char2 Char Char Char Char1"/>
    <w:basedOn w:val="1"/>
    <w:qFormat/>
    <w:uiPriority w:val="0"/>
    <w:rPr>
      <w:szCs w:val="24"/>
    </w:rPr>
  </w:style>
  <w:style w:type="paragraph" w:customStyle="1" w:styleId="326">
    <w:name w:val="Char21"/>
    <w:basedOn w:val="1"/>
    <w:qFormat/>
    <w:uiPriority w:val="0"/>
    <w:rPr>
      <w:rFonts w:ascii="仿宋_GB2312" w:eastAsia="仿宋_GB2312"/>
      <w:b/>
      <w:sz w:val="32"/>
      <w:szCs w:val="32"/>
    </w:rPr>
  </w:style>
  <w:style w:type="paragraph" w:customStyle="1" w:styleId="327">
    <w:name w:val="Char22"/>
    <w:basedOn w:val="1"/>
    <w:qFormat/>
    <w:uiPriority w:val="0"/>
    <w:rPr>
      <w:rFonts w:ascii="仿宋_GB2312" w:eastAsia="仿宋_GB2312"/>
      <w:b/>
      <w:sz w:val="32"/>
      <w:szCs w:val="32"/>
    </w:rPr>
  </w:style>
  <w:style w:type="paragraph" w:customStyle="1" w:styleId="328">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29">
    <w:name w:val="xl1125"/>
    <w:basedOn w:val="1"/>
    <w:qFormat/>
    <w:uiPriority w:val="0"/>
    <w:pPr>
      <w:widowControl/>
      <w:pBdr>
        <w:top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 w:val="24"/>
      <w:szCs w:val="24"/>
    </w:rPr>
  </w:style>
  <w:style w:type="paragraph" w:customStyle="1" w:styleId="330">
    <w:name w:val="et3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1">
    <w:name w:val="et52"/>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32">
    <w:name w:val="Char Char Char Char Char Char Char11"/>
    <w:basedOn w:val="1"/>
    <w:qFormat/>
    <w:uiPriority w:val="0"/>
    <w:pPr>
      <w:widowControl/>
      <w:spacing w:after="160" w:line="240" w:lineRule="exact"/>
      <w:jc w:val="left"/>
    </w:pPr>
    <w:rPr>
      <w:rFonts w:ascii="Verdana" w:hAnsi="Verdana"/>
      <w:kern w:val="0"/>
      <w:szCs w:val="24"/>
      <w:lang w:eastAsia="en-US"/>
    </w:rPr>
  </w:style>
  <w:style w:type="paragraph" w:customStyle="1" w:styleId="333">
    <w:name w:val="xl110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34">
    <w:name w:val="et3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5">
    <w:name w:val="xl11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6">
    <w:name w:val="et5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7">
    <w:name w:val="font7"/>
    <w:basedOn w:val="1"/>
    <w:qFormat/>
    <w:uiPriority w:val="0"/>
    <w:pPr>
      <w:widowControl/>
      <w:spacing w:before="100" w:beforeAutospacing="1" w:after="100" w:afterAutospacing="1"/>
      <w:jc w:val="left"/>
    </w:pPr>
    <w:rPr>
      <w:kern w:val="0"/>
      <w:sz w:val="20"/>
    </w:rPr>
  </w:style>
  <w:style w:type="paragraph" w:customStyle="1" w:styleId="338">
    <w:name w:val="Char3"/>
    <w:basedOn w:val="1"/>
    <w:qFormat/>
    <w:uiPriority w:val="0"/>
    <w:rPr>
      <w:rFonts w:ascii="Tahoma" w:hAnsi="Tahoma"/>
      <w:sz w:val="24"/>
    </w:rPr>
  </w:style>
  <w:style w:type="paragraph" w:customStyle="1" w:styleId="339">
    <w:name w:val="et4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0">
    <w:name w:val="et5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1">
    <w:name w:val="xl108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42">
    <w:name w:val="et1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3">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44">
    <w:name w:val="2册标题2"/>
    <w:basedOn w:val="1"/>
    <w:next w:val="1"/>
    <w:qFormat/>
    <w:uiPriority w:val="0"/>
    <w:pPr>
      <w:spacing w:beforeLines="50" w:afterLines="50" w:line="300" w:lineRule="auto"/>
      <w:outlineLvl w:val="1"/>
    </w:pPr>
    <w:rPr>
      <w:rFonts w:ascii="Arial" w:hAnsi="Arial" w:eastAsia="黑体"/>
      <w:sz w:val="30"/>
      <w:szCs w:val="30"/>
    </w:rPr>
  </w:style>
  <w:style w:type="paragraph" w:customStyle="1" w:styleId="345">
    <w:name w:val="xl110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46">
    <w:name w:val="et53"/>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47">
    <w:name w:val="et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48">
    <w:name w:val="et4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9">
    <w:name w:val="et5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0">
    <w:name w:val="et2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1">
    <w:name w:val="et3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2">
    <w:name w:val="xl1129"/>
    <w:basedOn w:val="1"/>
    <w:qFormat/>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53">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4">
    <w:name w:val="xl1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55">
    <w:name w:val="xl1097"/>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56">
    <w:name w:val="xl111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57">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8">
    <w:name w:val="et2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9">
    <w:name w:val="Char Char Char Char Char Char Char1"/>
    <w:basedOn w:val="1"/>
    <w:qFormat/>
    <w:uiPriority w:val="0"/>
    <w:rPr>
      <w:rFonts w:ascii="仿宋_GB2312" w:eastAsia="仿宋_GB2312"/>
      <w:b/>
      <w:sz w:val="32"/>
      <w:szCs w:val="32"/>
    </w:rPr>
  </w:style>
  <w:style w:type="paragraph" w:customStyle="1" w:styleId="360">
    <w:name w:val="样式 标题 2 + Times New Roman 四号 非加粗 段前: 5 磅 段后: 0 磅 行距: 固定值 20..."/>
    <w:basedOn w:val="6"/>
    <w:qFormat/>
    <w:uiPriority w:val="0"/>
    <w:pPr>
      <w:tabs>
        <w:tab w:val="clear" w:pos="578"/>
      </w:tabs>
      <w:spacing w:beforeLines="0" w:afterLines="0" w:line="400" w:lineRule="exact"/>
      <w:ind w:left="0" w:firstLine="0"/>
    </w:pPr>
    <w:rPr>
      <w:rFonts w:ascii="Times New Roman" w:hAnsi="Times New Roman" w:eastAsia="黑体" w:cs="宋体"/>
      <w:sz w:val="28"/>
      <w:szCs w:val="20"/>
    </w:rPr>
  </w:style>
  <w:style w:type="paragraph" w:customStyle="1" w:styleId="361">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2">
    <w:name w:val="xl10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3">
    <w:name w:val="xl1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64">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65">
    <w:name w:val="et4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6">
    <w:name w:val="et1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7">
    <w:name w:val="xl1113"/>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68">
    <w:name w:val="et2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9">
    <w:name w:val="xl1107"/>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70">
    <w:name w:val="xl1128"/>
    <w:basedOn w:val="1"/>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71">
    <w:name w:val="xl11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2">
    <w:name w:val="1册标题1"/>
    <w:basedOn w:val="1"/>
    <w:next w:val="1"/>
    <w:qFormat/>
    <w:uiPriority w:val="0"/>
    <w:pPr>
      <w:spacing w:beforeLines="50" w:afterLines="50" w:line="300" w:lineRule="auto"/>
      <w:jc w:val="center"/>
      <w:outlineLvl w:val="0"/>
    </w:pPr>
    <w:rPr>
      <w:rFonts w:ascii="Arial" w:hAnsi="Arial" w:eastAsia="黑体"/>
      <w:b/>
      <w:bCs/>
      <w:sz w:val="48"/>
    </w:rPr>
  </w:style>
  <w:style w:type="paragraph" w:customStyle="1" w:styleId="373">
    <w:name w:val="xl1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4">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75">
    <w:name w:val="xl11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376">
    <w:name w:val="z-窗体顶端 Char1"/>
    <w:semiHidden/>
    <w:qFormat/>
    <w:uiPriority w:val="99"/>
    <w:rPr>
      <w:rFonts w:ascii="Arial" w:hAnsi="Arial" w:cs="Arial"/>
      <w:vanish/>
      <w:kern w:val="2"/>
      <w:sz w:val="16"/>
      <w:szCs w:val="16"/>
    </w:rPr>
  </w:style>
  <w:style w:type="paragraph" w:customStyle="1" w:styleId="377">
    <w:name w:val="et4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8">
    <w:name w:val="et3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9">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80">
    <w:name w:val="et1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1">
    <w:name w:val="xl1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382">
    <w:name w:val="et11"/>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83">
    <w:name w:val="font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84">
    <w:name w:val="et3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5">
    <w:name w:val="Char Char"/>
    <w:basedOn w:val="1"/>
    <w:qFormat/>
    <w:uiPriority w:val="0"/>
    <w:pPr>
      <w:spacing w:line="360" w:lineRule="auto"/>
    </w:pPr>
    <w:rPr>
      <w:rFonts w:ascii="Tahoma" w:hAnsi="Tahoma"/>
      <w:sz w:val="24"/>
    </w:rPr>
  </w:style>
  <w:style w:type="paragraph" w:customStyle="1" w:styleId="386">
    <w:name w:val="Char Char Char Char Char Char2 Char Char Char Char"/>
    <w:basedOn w:val="1"/>
    <w:qFormat/>
    <w:uiPriority w:val="0"/>
    <w:rPr>
      <w:szCs w:val="24"/>
    </w:rPr>
  </w:style>
  <w:style w:type="paragraph" w:customStyle="1" w:styleId="387">
    <w:name w:val="et3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8">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89">
    <w:name w:val="TOC 标题1"/>
    <w:basedOn w:val="5"/>
    <w:next w:val="1"/>
    <w:qFormat/>
    <w:uiPriority w:val="0"/>
    <w:pPr>
      <w:keepLines/>
      <w:widowControl/>
      <w:spacing w:line="276" w:lineRule="auto"/>
      <w:jc w:val="left"/>
      <w:outlineLvl w:val="9"/>
    </w:pPr>
    <w:rPr>
      <w:rFonts w:ascii="Cambria" w:hAnsi="Cambria"/>
      <w:bCs/>
      <w:color w:val="365F91"/>
      <w:kern w:val="0"/>
      <w:sz w:val="28"/>
      <w:szCs w:val="28"/>
    </w:rPr>
  </w:style>
  <w:style w:type="paragraph" w:customStyle="1" w:styleId="390">
    <w:name w:val="xl109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b/>
      <w:bCs/>
      <w:kern w:val="0"/>
      <w:sz w:val="20"/>
    </w:rPr>
  </w:style>
  <w:style w:type="paragraph" w:customStyle="1" w:styleId="391">
    <w:name w:val="xl112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92">
    <w:name w:val="Char Char Char Char Char Char2 Char Char Char Char2"/>
    <w:basedOn w:val="1"/>
    <w:qFormat/>
    <w:uiPriority w:val="0"/>
    <w:rPr>
      <w:szCs w:val="24"/>
    </w:rPr>
  </w:style>
  <w:style w:type="paragraph" w:customStyle="1" w:styleId="393">
    <w:name w:val="xl1090"/>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94">
    <w:name w:val="Char Char Char Char Char Char Char2"/>
    <w:basedOn w:val="1"/>
    <w:qFormat/>
    <w:uiPriority w:val="0"/>
    <w:rPr>
      <w:rFonts w:ascii="仿宋_GB2312" w:eastAsia="仿宋_GB2312"/>
      <w:b/>
      <w:sz w:val="32"/>
      <w:szCs w:val="32"/>
    </w:rPr>
  </w:style>
  <w:style w:type="paragraph" w:customStyle="1" w:styleId="395">
    <w:name w:val="文档正文"/>
    <w:basedOn w:val="1"/>
    <w:qFormat/>
    <w:uiPriority w:val="0"/>
    <w:pPr>
      <w:adjustRightInd w:val="0"/>
      <w:spacing w:line="480" w:lineRule="atLeast"/>
      <w:ind w:firstLine="567" w:firstLineChars="200"/>
      <w:textAlignment w:val="baseline"/>
    </w:pPr>
    <w:rPr>
      <w:rFonts w:ascii="长城仿宋" w:eastAsia="长城仿宋"/>
      <w:kern w:val="0"/>
      <w:sz w:val="28"/>
    </w:rPr>
  </w:style>
  <w:style w:type="paragraph" w:customStyle="1" w:styleId="396">
    <w:name w:val="et56"/>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9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8">
    <w:name w:val="et4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99">
    <w:name w:val="font3"/>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00">
    <w:name w:val="xl1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401">
    <w:name w:val="xl1117"/>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4"/>
      <w:szCs w:val="24"/>
    </w:rPr>
  </w:style>
  <w:style w:type="paragraph" w:customStyle="1" w:styleId="402">
    <w:name w:val="正文（缩进）"/>
    <w:basedOn w:val="1"/>
    <w:qFormat/>
    <w:uiPriority w:val="0"/>
    <w:pPr>
      <w:widowControl/>
      <w:spacing w:before="156" w:after="156"/>
      <w:ind w:firstLine="480" w:firstLineChars="200"/>
      <w:jc w:val="left"/>
    </w:pPr>
    <w:rPr>
      <w:rFonts w:ascii="Arial" w:eastAsia="Arial"/>
      <w:kern w:val="0"/>
      <w:sz w:val="24"/>
      <w:szCs w:val="24"/>
    </w:rPr>
  </w:style>
  <w:style w:type="paragraph" w:customStyle="1" w:styleId="403">
    <w:name w:val="xl1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404">
    <w:name w:val="et5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5">
    <w:name w:val="et28"/>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6">
    <w:name w:val="et10"/>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7">
    <w:name w:val="et41"/>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8">
    <w:name w:val="xl111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pPr>
    <w:rPr>
      <w:rFonts w:ascii="宋体" w:hAnsi="宋体" w:cs="宋体"/>
      <w:b/>
      <w:bCs/>
      <w:kern w:val="0"/>
      <w:sz w:val="20"/>
    </w:rPr>
  </w:style>
  <w:style w:type="paragraph" w:customStyle="1" w:styleId="409">
    <w:name w:val="style17"/>
    <w:basedOn w:val="1"/>
    <w:qFormat/>
    <w:uiPriority w:val="0"/>
    <w:pPr>
      <w:widowControl/>
      <w:spacing w:before="100" w:beforeAutospacing="1" w:after="100" w:afterAutospacing="1"/>
      <w:jc w:val="left"/>
    </w:pPr>
    <w:rPr>
      <w:rFonts w:ascii="宋体" w:hAnsi="宋体" w:cs="宋体"/>
      <w:b/>
      <w:bCs/>
      <w:color w:val="000000"/>
      <w:kern w:val="0"/>
      <w:sz w:val="24"/>
      <w:szCs w:val="22"/>
    </w:rPr>
  </w:style>
  <w:style w:type="paragraph" w:customStyle="1" w:styleId="410">
    <w:name w:val="xl1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411">
    <w:name w:val="正文缩进1"/>
    <w:basedOn w:val="1"/>
    <w:next w:val="22"/>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2">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13">
    <w:name w:val="Char4"/>
    <w:basedOn w:val="1"/>
    <w:qFormat/>
    <w:uiPriority w:val="0"/>
    <w:rPr>
      <w:rFonts w:ascii="Tahoma" w:hAnsi="Tahoma"/>
      <w:sz w:val="24"/>
    </w:rPr>
  </w:style>
  <w:style w:type="paragraph" w:customStyle="1" w:styleId="414">
    <w:name w:val="xl110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20"/>
    </w:rPr>
  </w:style>
  <w:style w:type="paragraph" w:customStyle="1" w:styleId="415">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16">
    <w:name w:val="样式 标题 3 + (中文) 黑体 小四 非加粗 段前: 7.8 磅 段后: 0 磅 行距: 固定值 20 磅"/>
    <w:basedOn w:val="7"/>
    <w:qFormat/>
    <w:uiPriority w:val="0"/>
    <w:pPr>
      <w:keepNext w:val="0"/>
      <w:keepLines w:val="0"/>
      <w:tabs>
        <w:tab w:val="clear" w:pos="1620"/>
      </w:tabs>
      <w:autoSpaceDE w:val="0"/>
      <w:autoSpaceDN w:val="0"/>
      <w:adjustRightInd w:val="0"/>
      <w:spacing w:beforeLines="0" w:afterLines="0" w:line="400" w:lineRule="exact"/>
      <w:ind w:left="0" w:firstLine="0"/>
      <w:jc w:val="left"/>
    </w:pPr>
    <w:rPr>
      <w:rFonts w:hAnsi="Times New Roman" w:eastAsia="黑体" w:cs="宋体"/>
      <w:b w:val="0"/>
      <w:bCs/>
      <w:kern w:val="0"/>
      <w:sz w:val="24"/>
      <w:szCs w:val="20"/>
    </w:rPr>
  </w:style>
  <w:style w:type="paragraph" w:customStyle="1" w:styleId="417">
    <w:name w:val="font0"/>
    <w:basedOn w:val="1"/>
    <w:qFormat/>
    <w:uiPriority w:val="0"/>
    <w:pPr>
      <w:widowControl/>
      <w:spacing w:before="100" w:beforeAutospacing="1" w:after="100" w:afterAutospacing="1"/>
      <w:jc w:val="left"/>
    </w:pPr>
    <w:rPr>
      <w:rFonts w:ascii="华文细黑" w:hAnsi="华文细黑" w:eastAsia="华文细黑" w:cs="宋体"/>
      <w:color w:val="000000"/>
      <w:kern w:val="0"/>
      <w:sz w:val="18"/>
      <w:szCs w:val="18"/>
      <w:vertAlign w:val="superscript"/>
    </w:rPr>
  </w:style>
  <w:style w:type="paragraph" w:customStyle="1" w:styleId="418">
    <w:name w:val="Char5"/>
    <w:basedOn w:val="1"/>
    <w:qFormat/>
    <w:uiPriority w:val="0"/>
    <w:rPr>
      <w:rFonts w:ascii="Tahoma" w:hAnsi="Tahoma"/>
      <w:sz w:val="24"/>
    </w:rPr>
  </w:style>
  <w:style w:type="paragraph" w:customStyle="1" w:styleId="419">
    <w:name w:val="et1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0">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1">
    <w:name w:val="Char1 Char Char Char"/>
    <w:basedOn w:val="1"/>
    <w:qFormat/>
    <w:uiPriority w:val="0"/>
    <w:rPr>
      <w:rFonts w:ascii="Tahoma" w:hAnsi="Tahoma"/>
      <w:sz w:val="24"/>
    </w:rPr>
  </w:style>
  <w:style w:type="paragraph" w:customStyle="1" w:styleId="422">
    <w:name w:val="et4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3">
    <w:name w:val="et4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4">
    <w:name w:val="Char Char Char Char1"/>
    <w:basedOn w:val="1"/>
    <w:qFormat/>
    <w:uiPriority w:val="0"/>
    <w:rPr>
      <w:rFonts w:ascii="Tahoma" w:hAnsi="Tahoma"/>
      <w:sz w:val="24"/>
    </w:rPr>
  </w:style>
  <w:style w:type="paragraph" w:customStyle="1" w:styleId="425">
    <w:name w:val="style11"/>
    <w:basedOn w:val="1"/>
    <w:qFormat/>
    <w:uiPriority w:val="0"/>
    <w:pPr>
      <w:widowControl/>
      <w:spacing w:before="100" w:beforeAutospacing="1" w:after="100" w:afterAutospacing="1"/>
      <w:jc w:val="left"/>
    </w:pPr>
    <w:rPr>
      <w:rFonts w:ascii="宋体" w:hAnsi="宋体" w:cs="宋体"/>
      <w:kern w:val="0"/>
      <w:sz w:val="24"/>
      <w:szCs w:val="22"/>
    </w:rPr>
  </w:style>
  <w:style w:type="paragraph" w:customStyle="1" w:styleId="426">
    <w:name w:val="et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table" w:customStyle="1" w:styleId="427">
    <w:name w:val="网格型1"/>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8">
    <w:name w:val="网格型2"/>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29">
    <w:name w:val="font122"/>
    <w:basedOn w:val="53"/>
    <w:qFormat/>
    <w:uiPriority w:val="0"/>
    <w:rPr>
      <w:rFonts w:hint="eastAsia" w:ascii="宋体" w:hAnsi="宋体" w:eastAsia="宋体" w:cs="宋体"/>
      <w:b/>
      <w:bCs/>
      <w:color w:val="000000"/>
      <w:sz w:val="21"/>
      <w:szCs w:val="21"/>
      <w:u w:val="none"/>
    </w:rPr>
  </w:style>
  <w:style w:type="character" w:customStyle="1" w:styleId="430">
    <w:name w:val="font141"/>
    <w:basedOn w:val="53"/>
    <w:qFormat/>
    <w:uiPriority w:val="0"/>
    <w:rPr>
      <w:rFonts w:hint="default" w:ascii="Times New Roman" w:hAnsi="Times New Roman" w:cs="Times New Roman"/>
      <w:b/>
      <w:bCs/>
      <w:color w:val="000000"/>
      <w:sz w:val="22"/>
      <w:szCs w:val="22"/>
      <w:u w:val="none"/>
    </w:rPr>
  </w:style>
  <w:style w:type="character" w:customStyle="1" w:styleId="431">
    <w:name w:val="font151"/>
    <w:basedOn w:val="53"/>
    <w:qFormat/>
    <w:uiPriority w:val="0"/>
    <w:rPr>
      <w:rFonts w:hint="eastAsia" w:ascii="宋体" w:hAnsi="宋体" w:eastAsia="宋体" w:cs="宋体"/>
      <w:color w:val="000000"/>
      <w:sz w:val="21"/>
      <w:szCs w:val="21"/>
      <w:u w:val="none"/>
    </w:rPr>
  </w:style>
  <w:style w:type="character" w:customStyle="1" w:styleId="432">
    <w:name w:val="font161"/>
    <w:basedOn w:val="53"/>
    <w:qFormat/>
    <w:uiPriority w:val="0"/>
    <w:rPr>
      <w:rFonts w:hint="eastAsia" w:ascii="宋体" w:hAnsi="宋体" w:eastAsia="宋体" w:cs="宋体"/>
      <w:color w:val="000000"/>
      <w:sz w:val="22"/>
      <w:szCs w:val="22"/>
      <w:u w:val="none"/>
    </w:rPr>
  </w:style>
  <w:style w:type="character" w:customStyle="1" w:styleId="433">
    <w:name w:val="font81"/>
    <w:basedOn w:val="53"/>
    <w:qFormat/>
    <w:uiPriority w:val="0"/>
    <w:rPr>
      <w:rFonts w:hint="eastAsia" w:ascii="宋体" w:hAnsi="宋体" w:eastAsia="宋体" w:cs="宋体"/>
      <w:color w:val="000000"/>
      <w:sz w:val="22"/>
      <w:szCs w:val="22"/>
      <w:u w:val="none"/>
    </w:rPr>
  </w:style>
  <w:style w:type="character" w:customStyle="1" w:styleId="434">
    <w:name w:val="font112"/>
    <w:basedOn w:val="53"/>
    <w:qFormat/>
    <w:uiPriority w:val="0"/>
    <w:rPr>
      <w:rFonts w:hint="eastAsia" w:ascii="宋体" w:hAnsi="宋体" w:eastAsia="宋体" w:cs="宋体"/>
      <w:color w:val="000000"/>
      <w:sz w:val="22"/>
      <w:szCs w:val="22"/>
      <w:u w:val="none"/>
    </w:rPr>
  </w:style>
  <w:style w:type="paragraph" w:customStyle="1" w:styleId="435">
    <w:name w:val="首行缩进"/>
    <w:basedOn w:val="1"/>
    <w:qFormat/>
    <w:uiPriority w:val="0"/>
    <w:pPr>
      <w:spacing w:line="360" w:lineRule="auto"/>
      <w:ind w:firstLine="480" w:firstLineChars="200"/>
      <w:jc w:val="left"/>
    </w:pPr>
    <w:rPr>
      <w:rFonts w:ascii="宋体" w:hAnsi="宋体"/>
      <w:sz w:val="24"/>
    </w:rPr>
  </w:style>
  <w:style w:type="paragraph" w:customStyle="1" w:styleId="436">
    <w:name w:val="_Style 2"/>
    <w:basedOn w:val="1"/>
    <w:qFormat/>
    <w:uiPriority w:val="0"/>
    <w:pPr>
      <w:ind w:firstLine="420" w:firstLineChars="200"/>
    </w:pPr>
    <w:rPr>
      <w:rFonts w:ascii="Calibri" w:hAnsi="Calibri"/>
      <w:szCs w:val="22"/>
    </w:rPr>
  </w:style>
  <w:style w:type="paragraph" w:customStyle="1" w:styleId="437">
    <w:name w:val="正文文本 (3)"/>
    <w:basedOn w:val="1"/>
    <w:qFormat/>
    <w:uiPriority w:val="0"/>
    <w:pPr>
      <w:shd w:val="clear" w:color="auto" w:fill="FFFFFF"/>
      <w:spacing w:before="660" w:line="950" w:lineRule="exact"/>
      <w:jc w:val="distribute"/>
    </w:pPr>
    <w:rPr>
      <w:rFonts w:ascii="宋体" w:hAnsi="宋体" w:eastAsia="Times New Roman"/>
      <w:kern w:val="0"/>
      <w:sz w:val="46"/>
      <w:szCs w:val="46"/>
      <w:shd w:val="clear" w:color="auto" w:fill="FFFFFF"/>
    </w:rPr>
  </w:style>
  <w:style w:type="paragraph" w:customStyle="1" w:styleId="438">
    <w:name w:val="样式 正文2 + 仿宋_GB2312 黑色 段前: 0 磅 行距: 固定值 23 磅"/>
    <w:basedOn w:val="218"/>
    <w:qFormat/>
    <w:uiPriority w:val="99"/>
    <w:pPr>
      <w:spacing w:line="360" w:lineRule="exact"/>
      <w:ind w:left="-51" w:leftChars="-51" w:firstLine="0" w:firstLineChars="0"/>
    </w:pPr>
    <w:rPr>
      <w:rFonts w:ascii="仿宋_GB2312" w:hAnsi="仿宋_GB2312" w:eastAsia="仿宋_GB2312" w:cs="宋体"/>
      <w:color w:val="000000"/>
    </w:rPr>
  </w:style>
  <w:style w:type="paragraph" w:customStyle="1" w:styleId="439">
    <w:name w:val="biaoge"/>
    <w:basedOn w:val="1"/>
    <w:qFormat/>
    <w:uiPriority w:val="0"/>
    <w:pPr>
      <w:framePr w:hSpace="180" w:wrap="around" w:vAnchor="text" w:hAnchor="page" w:x="1171" w:y="294"/>
      <w:suppressOverlap/>
      <w:spacing w:line="240" w:lineRule="auto"/>
      <w:ind w:firstLine="0" w:firstLineChars="0"/>
    </w:pPr>
    <w:rPr>
      <w:sz w:val="21"/>
    </w:rPr>
  </w:style>
  <w:style w:type="paragraph" w:customStyle="1" w:styleId="440">
    <w:name w:val="正文首行缩进 21"/>
    <w:basedOn w:val="22"/>
    <w:next w:val="1"/>
    <w:semiHidden/>
    <w:qFormat/>
    <w:uiPriority w:val="0"/>
    <w:pPr>
      <w:spacing w:before="100" w:beforeAutospacing="1" w:line="380" w:lineRule="exact"/>
      <w:ind w:firstLine="420"/>
    </w:pPr>
    <w:rPr>
      <w:rFonts w:eastAsia="方正书宋简体"/>
      <w:sz w:val="24"/>
      <w:szCs w:val="24"/>
    </w:rPr>
  </w:style>
  <w:style w:type="paragraph" w:customStyle="1" w:styleId="441">
    <w:name w:val="表格用"/>
    <w:basedOn w:val="1"/>
    <w:qFormat/>
    <w:uiPriority w:val="0"/>
    <w:pPr>
      <w:ind w:firstLine="0" w:firstLineChars="0"/>
    </w:pPr>
    <w:rPr>
      <w:rFonts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86</Pages>
  <Words>44605</Words>
  <Characters>50119</Characters>
  <Lines>284</Lines>
  <Paragraphs>80</Paragraphs>
  <TotalTime>4</TotalTime>
  <ScaleCrop>false</ScaleCrop>
  <LinksUpToDate>false</LinksUpToDate>
  <CharactersWithSpaces>51699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2022-09-13T14:45:00Z</dcterms:created>
  <dc:creator>dyp</dc:creator>
  <cp:lastModifiedBy>__</cp:lastModifiedBy>
  <cp:lastPrinted>2023-09-22T06:31:00Z</cp:lastPrinted>
  <dcterms:modified xsi:type="dcterms:W3CDTF">2023-11-25T01:26:27Z</dcterms:modified>
  <dc:title>第一部分  投标方须知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63B2C3DC1B344074A17575DE651AD0C3_13</vt:lpwstr>
  </property>
  <property fmtid="{D5CDD505-2E9C-101B-9397-08002B2CF9AE}" pid="4" name="commondata">
    <vt:lpwstr>eyJoZGlkIjoiZDc2ZjdkMTc3ZGRjYmFiNTk1OWVjZGNlYTcwYjUxYTcifQ==</vt:lpwstr>
  </property>
</Properties>
</file>