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obfuscatedFont" PartName="/word/fonts/font1.odttf"/>
  <Override ContentType="application/vnd.openxmlformats-officedocument.obfuscatedFont" PartName="/word/fonts/font2.odttf"/>
  <Override ContentType="application/vnd.openxmlformats-officedocument.obfuscatedFont" PartName="/word/fonts/font3.odttf"/>
  <Override ContentType="application/vnd.openxmlformats-officedocument.obfuscatedFont" PartName="/word/fonts/font4.odttf"/>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right"/>
        <w:outlineLvl w:val="0"/>
        <w:rPr>
          <w:rFonts w:hint="eastAsia" w:ascii="宋体" w:hAnsi="宋体"/>
          <w:b/>
          <w:color w:val="auto"/>
          <w:sz w:val="28"/>
          <w:szCs w:val="48"/>
          <w:highlight w:val="none"/>
        </w:rPr>
      </w:pPr>
      <w:bookmarkStart w:id="41" w:name="_GoBack"/>
      <w:bookmarkEnd w:id="41"/>
      <w:r>
        <w:rPr>
          <w:rFonts w:hint="eastAsia" w:ascii="宋体" w:hAnsi="宋体"/>
          <w:b/>
          <w:color w:val="auto"/>
          <w:sz w:val="28"/>
          <w:szCs w:val="48"/>
          <w:highlight w:val="none"/>
        </w:rPr>
        <w:t xml:space="preserve">       </w:t>
      </w:r>
      <w:bookmarkStart w:id="0" w:name="_Toc30498"/>
      <w:bookmarkStart w:id="1" w:name="_Toc13048"/>
      <w:r>
        <w:rPr>
          <w:rFonts w:hint="eastAsia" w:ascii="宋体" w:hAnsi="宋体"/>
          <w:b/>
          <w:color w:val="auto"/>
          <w:sz w:val="28"/>
          <w:szCs w:val="48"/>
          <w:highlight w:val="none"/>
        </w:rPr>
        <w:t>交易</w:t>
      </w:r>
      <w:r>
        <w:rPr>
          <w:rFonts w:ascii="宋体" w:hAnsi="宋体"/>
          <w:b/>
          <w:color w:val="auto"/>
          <w:sz w:val="28"/>
          <w:szCs w:val="48"/>
          <w:highlight w:val="none"/>
        </w:rPr>
        <w:t>登记号：</w:t>
      </w:r>
      <w:bookmarkEnd w:id="0"/>
      <w:bookmarkEnd w:id="1"/>
      <w:r>
        <w:rPr>
          <w:rFonts w:hint="eastAsia" w:ascii="宋体" w:hAnsi="宋体"/>
          <w:b/>
          <w:color w:val="auto"/>
          <w:sz w:val="28"/>
          <w:szCs w:val="48"/>
          <w:highlight w:val="none"/>
        </w:rPr>
        <w:t>FSCG2023290</w:t>
      </w:r>
    </w:p>
    <w:p>
      <w:pPr>
        <w:spacing w:after="120"/>
        <w:jc w:val="center"/>
        <w:rPr>
          <w:rFonts w:hint="eastAsia" w:ascii="宋体" w:hAnsi="宋体"/>
          <w:b/>
          <w:color w:val="auto"/>
          <w:sz w:val="48"/>
          <w:szCs w:val="48"/>
          <w:highlight w:val="none"/>
        </w:rPr>
      </w:pPr>
    </w:p>
    <w:p>
      <w:pPr>
        <w:spacing w:after="120"/>
        <w:jc w:val="center"/>
        <w:outlineLvl w:val="0"/>
        <w:rPr>
          <w:rFonts w:hint="eastAsia" w:ascii="宋体" w:hAnsi="宋体"/>
          <w:b/>
          <w:color w:val="auto"/>
          <w:sz w:val="48"/>
          <w:szCs w:val="48"/>
          <w:highlight w:val="none"/>
        </w:rPr>
      </w:pPr>
      <w:bookmarkStart w:id="2" w:name="_Toc22660"/>
      <w:bookmarkStart w:id="3" w:name="_Toc10220"/>
      <w:r>
        <w:rPr>
          <w:rFonts w:hint="eastAsia" w:ascii="宋体" w:hAnsi="宋体"/>
          <w:b/>
          <w:color w:val="auto"/>
          <w:sz w:val="48"/>
          <w:szCs w:val="48"/>
          <w:highlight w:val="none"/>
        </w:rPr>
        <w:t>政 府 采 购 项 目</w:t>
      </w:r>
      <w:bookmarkEnd w:id="2"/>
      <w:bookmarkEnd w:id="3"/>
    </w:p>
    <w:p>
      <w:pPr>
        <w:spacing w:after="120"/>
        <w:jc w:val="center"/>
        <w:outlineLvl w:val="0"/>
        <w:rPr>
          <w:rFonts w:hint="eastAsia" w:ascii="宋体" w:hAnsi="宋体"/>
          <w:b/>
          <w:color w:val="auto"/>
          <w:sz w:val="72"/>
          <w:highlight w:val="none"/>
        </w:rPr>
      </w:pPr>
      <w:bookmarkStart w:id="4" w:name="_Toc2203"/>
      <w:bookmarkStart w:id="5" w:name="_Toc19433"/>
      <w:r>
        <w:rPr>
          <w:rFonts w:hint="eastAsia" w:ascii="宋体" w:hAnsi="宋体"/>
          <w:b/>
          <w:color w:val="auto"/>
          <w:sz w:val="72"/>
          <w:highlight w:val="none"/>
        </w:rPr>
        <w:t>公开招标采购文件</w:t>
      </w:r>
      <w:bookmarkEnd w:id="4"/>
      <w:bookmarkEnd w:id="5"/>
    </w:p>
    <w:p>
      <w:pPr>
        <w:spacing w:after="120"/>
        <w:ind w:firstLine="420"/>
        <w:jc w:val="center"/>
        <w:rPr>
          <w:rFonts w:hint="eastAsia" w:ascii="宋体" w:hAnsi="宋体"/>
          <w:b/>
          <w:color w:val="auto"/>
          <w:sz w:val="28"/>
          <w:szCs w:val="28"/>
          <w:highlight w:val="none"/>
        </w:rPr>
      </w:pPr>
    </w:p>
    <w:p>
      <w:pPr>
        <w:spacing w:after="120"/>
        <w:jc w:val="center"/>
        <w:rPr>
          <w:rFonts w:hint="eastAsia" w:ascii="宋体" w:hAnsi="宋体"/>
          <w:b/>
          <w:color w:val="auto"/>
          <w:sz w:val="28"/>
          <w:szCs w:val="28"/>
          <w:highlight w:val="none"/>
        </w:rPr>
      </w:pPr>
    </w:p>
    <w:p>
      <w:pPr>
        <w:jc w:val="center"/>
        <w:rPr>
          <w:rFonts w:hint="eastAsia" w:ascii="宋体" w:hAnsi="宋体"/>
          <w:b/>
          <w:color w:val="auto"/>
          <w:sz w:val="44"/>
          <w:szCs w:val="44"/>
          <w:highlight w:val="none"/>
        </w:rPr>
      </w:pPr>
      <w:r>
        <w:rPr>
          <w:rFonts w:hint="eastAsia" w:ascii="宋体" w:hAnsi="宋体"/>
          <w:b/>
          <w:color w:val="auto"/>
          <w:sz w:val="44"/>
          <w:szCs w:val="44"/>
          <w:highlight w:val="none"/>
        </w:rPr>
        <w:t>(全册)</w:t>
      </w:r>
    </w:p>
    <w:p>
      <w:pPr>
        <w:jc w:val="center"/>
        <w:rPr>
          <w:rFonts w:hint="eastAsia" w:ascii="宋体" w:hAnsi="宋体"/>
          <w:b/>
          <w:color w:val="auto"/>
          <w:szCs w:val="21"/>
          <w:highlight w:val="none"/>
        </w:rPr>
      </w:pPr>
    </w:p>
    <w:p>
      <w:pPr>
        <w:jc w:val="center"/>
        <w:rPr>
          <w:rFonts w:hint="eastAsia" w:ascii="宋体" w:hAnsi="宋体"/>
          <w:b/>
          <w:color w:val="auto"/>
          <w:highlight w:val="none"/>
        </w:rPr>
      </w:pPr>
    </w:p>
    <w:p>
      <w:pPr>
        <w:jc w:val="center"/>
        <w:rPr>
          <w:rFonts w:hint="eastAsia" w:ascii="宋体" w:hAnsi="宋体"/>
          <w:b/>
          <w:color w:val="auto"/>
          <w:highlight w:val="none"/>
        </w:rPr>
      </w:pPr>
    </w:p>
    <w:p>
      <w:pPr>
        <w:jc w:val="center"/>
        <w:rPr>
          <w:rFonts w:hint="eastAsia" w:ascii="宋体" w:hAnsi="宋体"/>
          <w:b/>
          <w:color w:val="auto"/>
          <w:highlight w:val="none"/>
        </w:rPr>
      </w:pPr>
    </w:p>
    <w:p>
      <w:pPr>
        <w:jc w:val="center"/>
        <w:rPr>
          <w:rFonts w:hint="eastAsia" w:ascii="宋体" w:hAnsi="宋体"/>
          <w:b/>
          <w:color w:val="auto"/>
          <w:highlight w:val="none"/>
        </w:rPr>
      </w:pPr>
    </w:p>
    <w:p>
      <w:pPr>
        <w:pStyle w:val="21"/>
        <w:snapToGrid w:val="0"/>
        <w:spacing w:line="360" w:lineRule="auto"/>
        <w:outlineLvl w:val="0"/>
        <w:rPr>
          <w:rFonts w:hint="eastAsia" w:hAnsi="宋体" w:eastAsia="宋体" w:cs="宋体"/>
          <w:b/>
          <w:bCs/>
          <w:color w:val="auto"/>
          <w:sz w:val="30"/>
          <w:szCs w:val="30"/>
          <w:highlight w:val="none"/>
          <w:lang w:eastAsia="zh-CN"/>
        </w:rPr>
      </w:pPr>
      <w:bookmarkStart w:id="6" w:name="_Toc12876"/>
      <w:bookmarkStart w:id="7" w:name="_Toc9499"/>
      <w:r>
        <w:rPr>
          <w:rFonts w:hAnsi="宋体"/>
          <w:b/>
          <w:bCs/>
          <w:color w:val="auto"/>
          <w:sz w:val="30"/>
          <w:szCs w:val="30"/>
          <w:highlight w:val="none"/>
        </w:rPr>
        <w:t>项目编号：</w:t>
      </w:r>
      <w:bookmarkEnd w:id="6"/>
      <w:bookmarkEnd w:id="7"/>
      <w:r>
        <w:rPr>
          <w:rFonts w:hint="eastAsia" w:hAnsi="宋体" w:cs="宋体"/>
          <w:b/>
          <w:bCs/>
          <w:color w:val="auto"/>
          <w:sz w:val="30"/>
          <w:szCs w:val="30"/>
          <w:highlight w:val="none"/>
          <w:u w:val="single"/>
          <w:lang w:eastAsia="zh-CN"/>
        </w:rPr>
        <w:t>NBITC-202320580G</w:t>
      </w:r>
    </w:p>
    <w:p>
      <w:pPr>
        <w:snapToGrid w:val="0"/>
        <w:spacing w:before="156" w:beforeLines="50" w:line="360" w:lineRule="auto"/>
        <w:ind w:left="1506" w:hanging="1506" w:hangingChars="500"/>
        <w:rPr>
          <w:rFonts w:hint="eastAsia" w:ascii="宋体" w:hAnsi="宋体" w:eastAsia="宋体" w:cs="宋体"/>
          <w:b/>
          <w:color w:val="auto"/>
          <w:sz w:val="30"/>
          <w:szCs w:val="72"/>
          <w:highlight w:val="none"/>
          <w:u w:val="single"/>
          <w:lang w:eastAsia="zh-CN"/>
        </w:rPr>
      </w:pPr>
      <w:r>
        <w:rPr>
          <w:rFonts w:hint="eastAsia" w:ascii="宋体" w:hAnsi="宋体" w:cs="宋体"/>
          <w:b/>
          <w:color w:val="auto"/>
          <w:sz w:val="30"/>
          <w:szCs w:val="72"/>
          <w:highlight w:val="none"/>
        </w:rPr>
        <w:t>项目名称：</w:t>
      </w:r>
      <w:r>
        <w:rPr>
          <w:rFonts w:hint="eastAsia" w:ascii="宋体" w:hAnsi="宋体" w:cs="宋体"/>
          <w:b/>
          <w:color w:val="auto"/>
          <w:sz w:val="30"/>
          <w:szCs w:val="72"/>
          <w:highlight w:val="none"/>
          <w:u w:val="single"/>
          <w:lang w:eastAsia="zh-CN"/>
        </w:rPr>
        <w:t>宁波市江北区教育局采购下属学校安保服务项目</w:t>
      </w:r>
    </w:p>
    <w:p>
      <w:pPr>
        <w:snapToGrid w:val="0"/>
        <w:spacing w:before="156" w:beforeLines="50" w:line="360" w:lineRule="auto"/>
        <w:ind w:left="1424" w:hanging="1431" w:hangingChars="500"/>
        <w:rPr>
          <w:rFonts w:hAnsi="宋体"/>
          <w:b/>
          <w:bCs/>
          <w:color w:val="auto"/>
          <w:w w:val="95"/>
          <w:sz w:val="30"/>
          <w:szCs w:val="30"/>
          <w:highlight w:val="none"/>
        </w:rPr>
      </w:pPr>
    </w:p>
    <w:p>
      <w:pPr>
        <w:snapToGrid w:val="0"/>
        <w:spacing w:before="156" w:beforeLines="50" w:line="360" w:lineRule="auto"/>
        <w:ind w:left="1424" w:hanging="1431" w:hangingChars="500"/>
        <w:rPr>
          <w:rFonts w:hint="eastAsia" w:hAnsi="宋体"/>
          <w:b/>
          <w:bCs/>
          <w:color w:val="auto"/>
          <w:w w:val="95"/>
          <w:sz w:val="30"/>
          <w:szCs w:val="30"/>
          <w:highlight w:val="none"/>
        </w:rPr>
      </w:pPr>
    </w:p>
    <w:p>
      <w:pPr>
        <w:pStyle w:val="21"/>
        <w:snapToGrid w:val="0"/>
        <w:spacing w:line="360" w:lineRule="auto"/>
        <w:outlineLvl w:val="0"/>
        <w:rPr>
          <w:rFonts w:hint="eastAsia" w:hAnsi="宋体" w:eastAsia="宋体"/>
          <w:b/>
          <w:bCs/>
          <w:color w:val="auto"/>
          <w:w w:val="95"/>
          <w:sz w:val="30"/>
          <w:szCs w:val="30"/>
          <w:highlight w:val="none"/>
          <w:lang w:eastAsia="zh-CN"/>
        </w:rPr>
      </w:pPr>
      <w:bookmarkStart w:id="8" w:name="_Toc8441"/>
      <w:bookmarkStart w:id="9" w:name="_Toc9031"/>
      <w:r>
        <w:rPr>
          <w:rFonts w:hint="eastAsia" w:hAnsi="宋体"/>
          <w:b/>
          <w:bCs/>
          <w:color w:val="auto"/>
          <w:w w:val="95"/>
          <w:sz w:val="30"/>
          <w:szCs w:val="30"/>
          <w:highlight w:val="none"/>
        </w:rPr>
        <w:t>采 购 人：</w:t>
      </w:r>
      <w:bookmarkEnd w:id="8"/>
      <w:bookmarkEnd w:id="9"/>
      <w:r>
        <w:rPr>
          <w:rFonts w:hint="eastAsia" w:hAnsi="宋体"/>
          <w:b/>
          <w:bCs/>
          <w:color w:val="auto"/>
          <w:w w:val="95"/>
          <w:sz w:val="30"/>
          <w:szCs w:val="30"/>
          <w:highlight w:val="none"/>
          <w:lang w:eastAsia="zh-CN"/>
        </w:rPr>
        <w:t>宁波市江北区教育局</w:t>
      </w:r>
    </w:p>
    <w:p>
      <w:pPr>
        <w:pStyle w:val="21"/>
        <w:snapToGrid w:val="0"/>
        <w:spacing w:line="360" w:lineRule="auto"/>
        <w:rPr>
          <w:rFonts w:hint="eastAsia" w:hAnsi="宋体"/>
          <w:b/>
          <w:bCs/>
          <w:color w:val="auto"/>
          <w:w w:val="95"/>
          <w:sz w:val="30"/>
          <w:szCs w:val="30"/>
          <w:highlight w:val="none"/>
        </w:rPr>
      </w:pPr>
    </w:p>
    <w:p>
      <w:pPr>
        <w:pStyle w:val="21"/>
        <w:snapToGrid w:val="0"/>
        <w:spacing w:line="360" w:lineRule="auto"/>
        <w:rPr>
          <w:rFonts w:hint="eastAsia" w:hAnsi="宋体"/>
          <w:b/>
          <w:bCs/>
          <w:color w:val="auto"/>
          <w:w w:val="95"/>
          <w:sz w:val="30"/>
          <w:szCs w:val="30"/>
          <w:highlight w:val="none"/>
        </w:rPr>
      </w:pPr>
      <w:r>
        <w:rPr>
          <w:rFonts w:hint="eastAsia" w:hAnsi="宋体"/>
          <w:b/>
          <w:bCs/>
          <w:color w:val="auto"/>
          <w:w w:val="95"/>
          <w:sz w:val="30"/>
          <w:szCs w:val="30"/>
          <w:highlight w:val="none"/>
        </w:rPr>
        <w:t>采购代理机构：宁波市国际招标有限公司</w:t>
      </w:r>
    </w:p>
    <w:p>
      <w:pPr>
        <w:pStyle w:val="21"/>
        <w:snapToGrid w:val="0"/>
        <w:spacing w:line="360" w:lineRule="auto"/>
        <w:rPr>
          <w:rFonts w:hint="eastAsia" w:hAnsi="宋体"/>
          <w:bCs/>
          <w:color w:val="auto"/>
          <w:w w:val="95"/>
          <w:sz w:val="30"/>
          <w:szCs w:val="30"/>
          <w:highlight w:val="none"/>
        </w:rPr>
      </w:pPr>
      <w:r>
        <w:rPr>
          <w:rFonts w:hAnsi="宋体"/>
          <w:bCs/>
          <w:color w:val="auto"/>
          <w:w w:val="95"/>
          <w:sz w:val="30"/>
          <w:szCs w:val="30"/>
          <w:highlight w:val="none"/>
        </w:rPr>
        <w:t xml:space="preserve"> </w:t>
      </w:r>
    </w:p>
    <w:p>
      <w:pPr>
        <w:snapToGrid w:val="0"/>
        <w:spacing w:before="156" w:beforeLines="50" w:line="360" w:lineRule="auto"/>
        <w:ind w:right="1136"/>
        <w:jc w:val="center"/>
        <w:outlineLvl w:val="0"/>
        <w:rPr>
          <w:rFonts w:ascii="宋体" w:hAnsi="宋体"/>
          <w:b/>
          <w:color w:val="auto"/>
          <w:sz w:val="30"/>
          <w:szCs w:val="20"/>
          <w:highlight w:val="none"/>
        </w:rPr>
      </w:pPr>
      <w:r>
        <w:rPr>
          <w:rFonts w:hint="eastAsia" w:ascii="宋体" w:hAnsi="宋体"/>
          <w:b/>
          <w:bCs/>
          <w:color w:val="auto"/>
          <w:w w:val="95"/>
          <w:sz w:val="30"/>
          <w:szCs w:val="30"/>
          <w:highlight w:val="none"/>
        </w:rPr>
        <w:t xml:space="preserve">        </w:t>
      </w:r>
      <w:bookmarkStart w:id="10" w:name="_Toc29278"/>
      <w:bookmarkStart w:id="11" w:name="_Toc21040"/>
      <w:r>
        <w:rPr>
          <w:rFonts w:hint="eastAsia" w:ascii="宋体" w:hAnsi="宋体"/>
          <w:b/>
          <w:bCs/>
          <w:color w:val="auto"/>
          <w:w w:val="95"/>
          <w:sz w:val="30"/>
          <w:szCs w:val="30"/>
          <w:highlight w:val="none"/>
        </w:rPr>
        <w:t>20</w:t>
      </w:r>
      <w:r>
        <w:rPr>
          <w:rFonts w:ascii="宋体" w:hAnsi="宋体"/>
          <w:b/>
          <w:bCs/>
          <w:color w:val="auto"/>
          <w:w w:val="95"/>
          <w:sz w:val="30"/>
          <w:szCs w:val="30"/>
          <w:highlight w:val="none"/>
        </w:rPr>
        <w:t>2</w:t>
      </w:r>
      <w:r>
        <w:rPr>
          <w:rFonts w:hint="eastAsia" w:ascii="宋体" w:hAnsi="宋体"/>
          <w:b/>
          <w:bCs/>
          <w:color w:val="auto"/>
          <w:w w:val="95"/>
          <w:sz w:val="30"/>
          <w:szCs w:val="30"/>
          <w:highlight w:val="none"/>
        </w:rPr>
        <w:t>3年</w:t>
      </w:r>
      <w:r>
        <w:rPr>
          <w:rFonts w:hint="eastAsia" w:ascii="宋体" w:hAnsi="宋体"/>
          <w:b/>
          <w:bCs/>
          <w:color w:val="auto"/>
          <w:w w:val="95"/>
          <w:sz w:val="30"/>
          <w:szCs w:val="30"/>
          <w:highlight w:val="none"/>
          <w:lang w:val="en-US" w:eastAsia="zh-CN"/>
        </w:rPr>
        <w:t>1</w:t>
      </w:r>
      <w:r>
        <w:rPr>
          <w:rFonts w:hint="eastAsia" w:ascii="宋体" w:hAnsi="宋体"/>
          <w:b/>
          <w:bCs/>
          <w:color w:val="auto"/>
          <w:w w:val="95"/>
          <w:sz w:val="30"/>
          <w:szCs w:val="30"/>
          <w:highlight w:val="none"/>
          <w:lang w:val="en-US" w:eastAsia="zh-CN"/>
        </w:rPr>
        <w:t>2</w:t>
      </w:r>
      <w:r>
        <w:rPr>
          <w:rFonts w:hint="eastAsia" w:ascii="宋体" w:hAnsi="宋体"/>
          <w:b/>
          <w:bCs/>
          <w:color w:val="auto"/>
          <w:w w:val="95"/>
          <w:sz w:val="30"/>
          <w:szCs w:val="30"/>
          <w:highlight w:val="none"/>
        </w:rPr>
        <w:t>月</w:t>
      </w:r>
      <w:bookmarkEnd w:id="10"/>
      <w:bookmarkEnd w:id="11"/>
    </w:p>
    <w:p>
      <w:pPr>
        <w:jc w:val="center"/>
        <w:rPr>
          <w:rFonts w:ascii="宋体" w:hAnsi="宋体"/>
          <w:b/>
          <w:color w:val="auto"/>
          <w:sz w:val="24"/>
          <w:highlight w:val="none"/>
        </w:rPr>
        <w:sectPr>
          <w:headerReference r:id="rId3" w:type="default"/>
          <w:pgSz w:w="11906" w:h="16838"/>
          <w:pgMar w:top="567" w:right="1532" w:bottom="567" w:left="987" w:header="851" w:footer="992" w:gutter="567"/>
          <w:pgNumType w:start="1"/>
          <w:cols w:space="720" w:num="1"/>
          <w:docGrid w:type="lines" w:linePitch="312" w:charSpace="0"/>
        </w:sectPr>
      </w:pPr>
    </w:p>
    <w:p>
      <w:pPr>
        <w:pStyle w:val="116"/>
        <w:spacing w:line="360" w:lineRule="auto"/>
        <w:jc w:val="center"/>
        <w:rPr>
          <w:rFonts w:ascii="宋体" w:hAnsi="宋体"/>
          <w:color w:val="auto"/>
          <w:sz w:val="32"/>
          <w:szCs w:val="32"/>
          <w:highlight w:val="none"/>
        </w:rPr>
      </w:pPr>
      <w:bookmarkStart w:id="12" w:name="_Toc6771"/>
      <w:bookmarkStart w:id="13" w:name="_Toc24200"/>
      <w:r>
        <w:rPr>
          <w:rFonts w:ascii="宋体" w:hAnsi="宋体"/>
          <w:color w:val="auto"/>
          <w:sz w:val="32"/>
          <w:szCs w:val="32"/>
          <w:highlight w:val="none"/>
          <w:lang w:val="zh-CN"/>
        </w:rPr>
        <w:t>目</w:t>
      </w:r>
      <w:r>
        <w:rPr>
          <w:rFonts w:hint="eastAsia" w:ascii="宋体" w:hAnsi="宋体"/>
          <w:color w:val="auto"/>
          <w:sz w:val="32"/>
          <w:szCs w:val="32"/>
          <w:highlight w:val="none"/>
          <w:lang w:val="zh-CN"/>
        </w:rPr>
        <w:t xml:space="preserve">   </w:t>
      </w:r>
      <w:r>
        <w:rPr>
          <w:rFonts w:ascii="宋体" w:hAnsi="宋体"/>
          <w:color w:val="auto"/>
          <w:sz w:val="32"/>
          <w:szCs w:val="32"/>
          <w:highlight w:val="none"/>
          <w:lang w:val="zh-CN"/>
        </w:rPr>
        <w:t>录</w:t>
      </w:r>
      <w:bookmarkEnd w:id="12"/>
      <w:bookmarkEnd w:id="13"/>
    </w:p>
    <w:p>
      <w:pPr>
        <w:pStyle w:val="111"/>
        <w:tabs>
          <w:tab w:val="right" w:leader="dot" w:pos="8312"/>
        </w:tabs>
        <w:rPr>
          <w:color w:val="auto"/>
          <w:highlight w:val="none"/>
          <w:lang/>
        </w:rPr>
      </w:pPr>
      <w:r>
        <w:rPr>
          <w:color w:val="auto"/>
          <w:highlight w:val="none"/>
        </w:rPr>
        <w:fldChar w:fldCharType="begin"/>
      </w:r>
      <w:r>
        <w:rPr>
          <w:color w:val="auto"/>
          <w:highlight w:val="none"/>
        </w:rPr>
        <w:instrText xml:space="preserve">TOC \o "1-1" \h \u </w:instrText>
      </w:r>
      <w:r>
        <w:rPr>
          <w:color w:val="auto"/>
          <w:highlight w:val="none"/>
        </w:rPr>
        <w:fldChar w:fldCharType="separate"/>
      </w:r>
    </w:p>
    <w:p>
      <w:pPr>
        <w:pStyle w:val="111"/>
        <w:tabs>
          <w:tab w:val="right" w:leader="dot" w:pos="8820"/>
        </w:tabs>
        <w:rPr>
          <w:color w:val="auto"/>
          <w:highlight w:val="none"/>
          <w:lang/>
        </w:rPr>
      </w:pPr>
      <w:r>
        <w:rPr>
          <w:color w:val="auto"/>
          <w:highlight w:val="none"/>
          <w:lang/>
        </w:rPr>
        <w:fldChar w:fldCharType="begin"/>
      </w:r>
      <w:r>
        <w:rPr>
          <w:color w:val="auto"/>
          <w:highlight w:val="none"/>
          <w:lang/>
        </w:rPr>
        <w:instrText xml:space="preserve">TOC \o "1-1" \h \u </w:instrText>
      </w:r>
      <w:r>
        <w:rPr>
          <w:color w:val="auto"/>
          <w:highlight w:val="none"/>
          <w:lang/>
        </w:rPr>
        <w:fldChar w:fldCharType="separate"/>
      </w:r>
    </w:p>
    <w:p>
      <w:pPr>
        <w:pStyle w:val="111"/>
        <w:tabs>
          <w:tab w:val="right" w:leader="dot" w:pos="8820"/>
        </w:tabs>
        <w:spacing w:line="480" w:lineRule="auto"/>
        <w:rPr>
          <w:rFonts w:hint="eastAsia" w:ascii="宋体" w:hAnsi="宋体" w:cs="宋体"/>
          <w:color w:val="auto"/>
          <w:sz w:val="28"/>
          <w:szCs w:val="28"/>
          <w:highlight w:val="none"/>
          <w:lang/>
        </w:rPr>
      </w:pPr>
      <w:r>
        <w:rPr>
          <w:rFonts w:hint="eastAsia" w:ascii="宋体" w:hAnsi="宋体" w:cs="宋体"/>
          <w:color w:val="auto"/>
          <w:sz w:val="28"/>
          <w:szCs w:val="28"/>
          <w:highlight w:val="none"/>
          <w:lang/>
        </w:rPr>
        <w:fldChar w:fldCharType="begin"/>
      </w:r>
      <w:r>
        <w:rPr>
          <w:rFonts w:hint="eastAsia" w:ascii="宋体" w:hAnsi="宋体" w:cs="宋体"/>
          <w:color w:val="auto"/>
          <w:sz w:val="28"/>
          <w:szCs w:val="28"/>
          <w:highlight w:val="none"/>
          <w:lang/>
        </w:rPr>
        <w:instrText xml:space="preserve"> HYPERLINK \l _Toc12253 </w:instrText>
      </w:r>
      <w:r>
        <w:rPr>
          <w:rFonts w:hint="eastAsia" w:ascii="宋体" w:hAnsi="宋体" w:cs="宋体"/>
          <w:color w:val="auto"/>
          <w:sz w:val="28"/>
          <w:szCs w:val="28"/>
          <w:highlight w:val="none"/>
          <w:lang/>
        </w:rPr>
        <w:fldChar w:fldCharType="separate"/>
      </w:r>
      <w:r>
        <w:rPr>
          <w:rFonts w:hint="eastAsia" w:ascii="宋体" w:hAnsi="宋体" w:cs="宋体"/>
          <w:color w:val="auto"/>
          <w:sz w:val="28"/>
          <w:szCs w:val="28"/>
          <w:highlight w:val="none"/>
          <w:lang/>
        </w:rPr>
        <w:t>第一章 招标公告</w:t>
      </w:r>
      <w:r>
        <w:rPr>
          <w:rFonts w:hint="eastAsia" w:ascii="宋体" w:hAnsi="宋体" w:cs="宋体"/>
          <w:color w:val="auto"/>
          <w:sz w:val="28"/>
          <w:szCs w:val="28"/>
          <w:highlight w:val="none"/>
          <w:lang/>
        </w:rPr>
        <w:tab/>
      </w:r>
      <w:r>
        <w:rPr>
          <w:rFonts w:hint="eastAsia" w:ascii="宋体" w:hAnsi="宋体" w:cs="宋体"/>
          <w:color w:val="auto"/>
          <w:sz w:val="28"/>
          <w:szCs w:val="28"/>
          <w:highlight w:val="none"/>
          <w:lang/>
        </w:rPr>
        <w:fldChar w:fldCharType="begin"/>
      </w:r>
      <w:r>
        <w:rPr>
          <w:rFonts w:hint="eastAsia" w:ascii="宋体" w:hAnsi="宋体" w:cs="宋体"/>
          <w:color w:val="auto"/>
          <w:sz w:val="28"/>
          <w:szCs w:val="28"/>
          <w:highlight w:val="none"/>
          <w:lang/>
        </w:rPr>
        <w:instrText xml:space="preserve"> PAGEREF _Toc12253 \h </w:instrText>
      </w:r>
      <w:r>
        <w:rPr>
          <w:rFonts w:hint="eastAsia" w:ascii="宋体" w:hAnsi="宋体" w:cs="宋体"/>
          <w:color w:val="auto"/>
          <w:sz w:val="28"/>
          <w:szCs w:val="28"/>
          <w:highlight w:val="none"/>
          <w:lang/>
        </w:rPr>
        <w:fldChar w:fldCharType="separate"/>
      </w:r>
      <w:r>
        <w:rPr>
          <w:rFonts w:hint="eastAsia" w:ascii="宋体" w:hAnsi="宋体" w:cs="宋体"/>
          <w:color w:val="auto"/>
          <w:sz w:val="28"/>
          <w:szCs w:val="28"/>
          <w:highlight w:val="none"/>
          <w:lang/>
        </w:rPr>
        <w:t>1</w:t>
      </w:r>
      <w:r>
        <w:rPr>
          <w:rFonts w:hint="eastAsia" w:ascii="宋体" w:hAnsi="宋体" w:cs="宋体"/>
          <w:color w:val="auto"/>
          <w:sz w:val="28"/>
          <w:szCs w:val="28"/>
          <w:highlight w:val="none"/>
          <w:lang/>
        </w:rPr>
        <w:fldChar w:fldCharType="end"/>
      </w:r>
      <w:r>
        <w:rPr>
          <w:rFonts w:hint="eastAsia" w:ascii="宋体" w:hAnsi="宋体" w:cs="宋体"/>
          <w:color w:val="auto"/>
          <w:sz w:val="28"/>
          <w:szCs w:val="28"/>
          <w:highlight w:val="none"/>
          <w:lang/>
        </w:rPr>
        <w:fldChar w:fldCharType="end"/>
      </w:r>
    </w:p>
    <w:p>
      <w:pPr>
        <w:pStyle w:val="111"/>
        <w:tabs>
          <w:tab w:val="right" w:leader="dot" w:pos="8820"/>
        </w:tabs>
        <w:spacing w:line="480" w:lineRule="auto"/>
        <w:rPr>
          <w:rFonts w:hint="eastAsia" w:ascii="宋体" w:hAnsi="宋体" w:cs="宋体"/>
          <w:color w:val="auto"/>
          <w:sz w:val="28"/>
          <w:szCs w:val="28"/>
          <w:highlight w:val="none"/>
          <w:lang/>
        </w:rPr>
      </w:pPr>
      <w:r>
        <w:rPr>
          <w:rFonts w:hint="eastAsia" w:ascii="宋体" w:hAnsi="宋体" w:cs="宋体"/>
          <w:color w:val="auto"/>
          <w:sz w:val="28"/>
          <w:szCs w:val="28"/>
          <w:highlight w:val="none"/>
          <w:lang/>
        </w:rPr>
        <w:fldChar w:fldCharType="begin"/>
      </w:r>
      <w:r>
        <w:rPr>
          <w:rFonts w:hint="eastAsia" w:ascii="宋体" w:hAnsi="宋体" w:cs="宋体"/>
          <w:color w:val="auto"/>
          <w:sz w:val="28"/>
          <w:szCs w:val="28"/>
          <w:highlight w:val="none"/>
          <w:lang/>
        </w:rPr>
        <w:instrText xml:space="preserve"> HYPERLINK \l _Toc7572 </w:instrText>
      </w:r>
      <w:r>
        <w:rPr>
          <w:rFonts w:hint="eastAsia" w:ascii="宋体" w:hAnsi="宋体" w:cs="宋体"/>
          <w:color w:val="auto"/>
          <w:sz w:val="28"/>
          <w:szCs w:val="28"/>
          <w:highlight w:val="none"/>
          <w:lang/>
        </w:rPr>
        <w:fldChar w:fldCharType="separate"/>
      </w:r>
      <w:r>
        <w:rPr>
          <w:rFonts w:hint="eastAsia" w:ascii="宋体" w:hAnsi="宋体" w:cs="宋体"/>
          <w:color w:val="auto"/>
          <w:sz w:val="28"/>
          <w:szCs w:val="28"/>
          <w:highlight w:val="none"/>
          <w:lang/>
        </w:rPr>
        <w:t>第二章 采购需求</w:t>
      </w:r>
      <w:r>
        <w:rPr>
          <w:rFonts w:hint="eastAsia" w:ascii="宋体" w:hAnsi="宋体" w:cs="宋体"/>
          <w:color w:val="auto"/>
          <w:sz w:val="28"/>
          <w:szCs w:val="28"/>
          <w:highlight w:val="none"/>
          <w:lang/>
        </w:rPr>
        <w:tab/>
      </w:r>
      <w:r>
        <w:rPr>
          <w:rFonts w:hint="eastAsia" w:ascii="宋体" w:hAnsi="宋体" w:cs="宋体"/>
          <w:color w:val="auto"/>
          <w:sz w:val="28"/>
          <w:szCs w:val="28"/>
          <w:highlight w:val="none"/>
          <w:lang/>
        </w:rPr>
        <w:fldChar w:fldCharType="begin"/>
      </w:r>
      <w:r>
        <w:rPr>
          <w:rFonts w:hint="eastAsia" w:ascii="宋体" w:hAnsi="宋体" w:cs="宋体"/>
          <w:color w:val="auto"/>
          <w:sz w:val="28"/>
          <w:szCs w:val="28"/>
          <w:highlight w:val="none"/>
          <w:lang/>
        </w:rPr>
        <w:instrText xml:space="preserve"> PAGEREF _Toc7572 \h </w:instrText>
      </w:r>
      <w:r>
        <w:rPr>
          <w:rFonts w:hint="eastAsia" w:ascii="宋体" w:hAnsi="宋体" w:cs="宋体"/>
          <w:color w:val="auto"/>
          <w:sz w:val="28"/>
          <w:szCs w:val="28"/>
          <w:highlight w:val="none"/>
          <w:lang/>
        </w:rPr>
        <w:fldChar w:fldCharType="separate"/>
      </w:r>
      <w:r>
        <w:rPr>
          <w:rFonts w:hint="eastAsia" w:ascii="宋体" w:hAnsi="宋体" w:cs="宋体"/>
          <w:color w:val="auto"/>
          <w:sz w:val="28"/>
          <w:szCs w:val="28"/>
          <w:highlight w:val="none"/>
          <w:lang/>
        </w:rPr>
        <w:t>4</w:t>
      </w:r>
      <w:r>
        <w:rPr>
          <w:rFonts w:hint="eastAsia" w:ascii="宋体" w:hAnsi="宋体" w:cs="宋体"/>
          <w:color w:val="auto"/>
          <w:sz w:val="28"/>
          <w:szCs w:val="28"/>
          <w:highlight w:val="none"/>
          <w:lang/>
        </w:rPr>
        <w:fldChar w:fldCharType="end"/>
      </w:r>
      <w:r>
        <w:rPr>
          <w:rFonts w:hint="eastAsia" w:ascii="宋体" w:hAnsi="宋体" w:cs="宋体"/>
          <w:color w:val="auto"/>
          <w:sz w:val="28"/>
          <w:szCs w:val="28"/>
          <w:highlight w:val="none"/>
          <w:lang/>
        </w:rPr>
        <w:fldChar w:fldCharType="end"/>
      </w:r>
    </w:p>
    <w:p>
      <w:pPr>
        <w:pStyle w:val="111"/>
        <w:tabs>
          <w:tab w:val="right" w:leader="dot" w:pos="8820"/>
        </w:tabs>
        <w:spacing w:line="480" w:lineRule="auto"/>
        <w:rPr>
          <w:rFonts w:hint="eastAsia" w:ascii="宋体" w:hAnsi="宋体" w:cs="宋体"/>
          <w:color w:val="auto"/>
          <w:sz w:val="28"/>
          <w:szCs w:val="28"/>
          <w:highlight w:val="none"/>
          <w:lang/>
        </w:rPr>
      </w:pPr>
      <w:r>
        <w:rPr>
          <w:rFonts w:hint="eastAsia" w:ascii="宋体" w:hAnsi="宋体" w:cs="宋体"/>
          <w:color w:val="auto"/>
          <w:sz w:val="28"/>
          <w:szCs w:val="28"/>
          <w:highlight w:val="none"/>
          <w:lang/>
        </w:rPr>
        <w:fldChar w:fldCharType="begin"/>
      </w:r>
      <w:r>
        <w:rPr>
          <w:rFonts w:hint="eastAsia" w:ascii="宋体" w:hAnsi="宋体" w:cs="宋体"/>
          <w:color w:val="auto"/>
          <w:sz w:val="28"/>
          <w:szCs w:val="28"/>
          <w:highlight w:val="none"/>
          <w:lang/>
        </w:rPr>
        <w:instrText xml:space="preserve"> HYPERLINK \l _Toc10284 </w:instrText>
      </w:r>
      <w:r>
        <w:rPr>
          <w:rFonts w:hint="eastAsia" w:ascii="宋体" w:hAnsi="宋体" w:cs="宋体"/>
          <w:color w:val="auto"/>
          <w:sz w:val="28"/>
          <w:szCs w:val="28"/>
          <w:highlight w:val="none"/>
          <w:lang/>
        </w:rPr>
        <w:fldChar w:fldCharType="separate"/>
      </w:r>
      <w:r>
        <w:rPr>
          <w:rFonts w:hint="eastAsia" w:ascii="宋体" w:hAnsi="宋体" w:cs="宋体"/>
          <w:color w:val="auto"/>
          <w:sz w:val="28"/>
          <w:szCs w:val="28"/>
          <w:highlight w:val="none"/>
          <w:lang/>
        </w:rPr>
        <w:t>第三章  投标人须知</w:t>
      </w:r>
      <w:r>
        <w:rPr>
          <w:rFonts w:hint="eastAsia" w:ascii="宋体" w:hAnsi="宋体" w:cs="宋体"/>
          <w:color w:val="auto"/>
          <w:sz w:val="28"/>
          <w:szCs w:val="28"/>
          <w:highlight w:val="none"/>
          <w:lang/>
        </w:rPr>
        <w:tab/>
      </w:r>
      <w:r>
        <w:rPr>
          <w:rFonts w:hint="eastAsia" w:ascii="宋体" w:hAnsi="宋体" w:cs="宋体"/>
          <w:color w:val="auto"/>
          <w:sz w:val="28"/>
          <w:szCs w:val="28"/>
          <w:highlight w:val="none"/>
          <w:lang/>
        </w:rPr>
        <w:fldChar w:fldCharType="begin"/>
      </w:r>
      <w:r>
        <w:rPr>
          <w:rFonts w:hint="eastAsia" w:ascii="宋体" w:hAnsi="宋体" w:cs="宋体"/>
          <w:color w:val="auto"/>
          <w:sz w:val="28"/>
          <w:szCs w:val="28"/>
          <w:highlight w:val="none"/>
          <w:lang/>
        </w:rPr>
        <w:instrText xml:space="preserve"> PAGEREF _Toc10284 \h </w:instrText>
      </w:r>
      <w:r>
        <w:rPr>
          <w:rFonts w:hint="eastAsia" w:ascii="宋体" w:hAnsi="宋体" w:cs="宋体"/>
          <w:color w:val="auto"/>
          <w:sz w:val="28"/>
          <w:szCs w:val="28"/>
          <w:highlight w:val="none"/>
          <w:lang/>
        </w:rPr>
        <w:fldChar w:fldCharType="separate"/>
      </w:r>
      <w:r>
        <w:rPr>
          <w:rFonts w:hint="eastAsia" w:ascii="宋体" w:hAnsi="宋体" w:cs="宋体"/>
          <w:color w:val="auto"/>
          <w:sz w:val="28"/>
          <w:szCs w:val="28"/>
          <w:highlight w:val="none"/>
          <w:lang/>
        </w:rPr>
        <w:t>11</w:t>
      </w:r>
      <w:r>
        <w:rPr>
          <w:rFonts w:hint="eastAsia" w:ascii="宋体" w:hAnsi="宋体" w:cs="宋体"/>
          <w:color w:val="auto"/>
          <w:sz w:val="28"/>
          <w:szCs w:val="28"/>
          <w:highlight w:val="none"/>
          <w:lang/>
        </w:rPr>
        <w:fldChar w:fldCharType="end"/>
      </w:r>
      <w:r>
        <w:rPr>
          <w:rFonts w:hint="eastAsia" w:ascii="宋体" w:hAnsi="宋体" w:cs="宋体"/>
          <w:color w:val="auto"/>
          <w:sz w:val="28"/>
          <w:szCs w:val="28"/>
          <w:highlight w:val="none"/>
          <w:lang/>
        </w:rPr>
        <w:fldChar w:fldCharType="end"/>
      </w:r>
    </w:p>
    <w:p>
      <w:pPr>
        <w:pStyle w:val="111"/>
        <w:tabs>
          <w:tab w:val="right" w:leader="dot" w:pos="8820"/>
        </w:tabs>
        <w:spacing w:line="480" w:lineRule="auto"/>
        <w:rPr>
          <w:rFonts w:hint="eastAsia" w:ascii="宋体" w:hAnsi="宋体" w:cs="宋体"/>
          <w:color w:val="auto"/>
          <w:sz w:val="28"/>
          <w:szCs w:val="28"/>
          <w:highlight w:val="none"/>
          <w:lang/>
        </w:rPr>
      </w:pPr>
      <w:r>
        <w:rPr>
          <w:rFonts w:hint="eastAsia" w:ascii="宋体" w:hAnsi="宋体" w:cs="宋体"/>
          <w:color w:val="auto"/>
          <w:sz w:val="28"/>
          <w:szCs w:val="28"/>
          <w:highlight w:val="none"/>
          <w:lang/>
        </w:rPr>
        <w:fldChar w:fldCharType="begin"/>
      </w:r>
      <w:r>
        <w:rPr>
          <w:rFonts w:hint="eastAsia" w:ascii="宋体" w:hAnsi="宋体" w:cs="宋体"/>
          <w:color w:val="auto"/>
          <w:sz w:val="28"/>
          <w:szCs w:val="28"/>
          <w:highlight w:val="none"/>
          <w:lang/>
        </w:rPr>
        <w:instrText xml:space="preserve"> HYPERLINK \l _Toc1978 </w:instrText>
      </w:r>
      <w:r>
        <w:rPr>
          <w:rFonts w:hint="eastAsia" w:ascii="宋体" w:hAnsi="宋体" w:cs="宋体"/>
          <w:color w:val="auto"/>
          <w:sz w:val="28"/>
          <w:szCs w:val="28"/>
          <w:highlight w:val="none"/>
          <w:lang/>
        </w:rPr>
        <w:fldChar w:fldCharType="separate"/>
      </w:r>
      <w:r>
        <w:rPr>
          <w:rFonts w:hint="eastAsia" w:ascii="宋体" w:hAnsi="宋体" w:cs="宋体"/>
          <w:color w:val="auto"/>
          <w:sz w:val="28"/>
          <w:szCs w:val="28"/>
          <w:highlight w:val="none"/>
          <w:lang/>
        </w:rPr>
        <w:t>第四章  评标方法及评标标准</w:t>
      </w:r>
      <w:r>
        <w:rPr>
          <w:rFonts w:hint="eastAsia" w:ascii="宋体" w:hAnsi="宋体" w:cs="宋体"/>
          <w:color w:val="auto"/>
          <w:sz w:val="28"/>
          <w:szCs w:val="28"/>
          <w:highlight w:val="none"/>
          <w:lang/>
        </w:rPr>
        <w:tab/>
      </w:r>
      <w:r>
        <w:rPr>
          <w:rFonts w:hint="eastAsia" w:ascii="宋体" w:hAnsi="宋体" w:cs="宋体"/>
          <w:color w:val="auto"/>
          <w:sz w:val="28"/>
          <w:szCs w:val="28"/>
          <w:highlight w:val="none"/>
          <w:lang/>
        </w:rPr>
        <w:fldChar w:fldCharType="begin"/>
      </w:r>
      <w:r>
        <w:rPr>
          <w:rFonts w:hint="eastAsia" w:ascii="宋体" w:hAnsi="宋体" w:cs="宋体"/>
          <w:color w:val="auto"/>
          <w:sz w:val="28"/>
          <w:szCs w:val="28"/>
          <w:highlight w:val="none"/>
          <w:lang/>
        </w:rPr>
        <w:instrText xml:space="preserve"> PAGEREF _Toc1978 \h </w:instrText>
      </w:r>
      <w:r>
        <w:rPr>
          <w:rFonts w:hint="eastAsia" w:ascii="宋体" w:hAnsi="宋体" w:cs="宋体"/>
          <w:color w:val="auto"/>
          <w:sz w:val="28"/>
          <w:szCs w:val="28"/>
          <w:highlight w:val="none"/>
          <w:lang/>
        </w:rPr>
        <w:fldChar w:fldCharType="separate"/>
      </w:r>
      <w:r>
        <w:rPr>
          <w:rFonts w:hint="eastAsia" w:ascii="宋体" w:hAnsi="宋体" w:cs="宋体"/>
          <w:color w:val="auto"/>
          <w:sz w:val="28"/>
          <w:szCs w:val="28"/>
          <w:highlight w:val="none"/>
          <w:lang/>
        </w:rPr>
        <w:t>24</w:t>
      </w:r>
      <w:r>
        <w:rPr>
          <w:rFonts w:hint="eastAsia" w:ascii="宋体" w:hAnsi="宋体" w:cs="宋体"/>
          <w:color w:val="auto"/>
          <w:sz w:val="28"/>
          <w:szCs w:val="28"/>
          <w:highlight w:val="none"/>
          <w:lang/>
        </w:rPr>
        <w:fldChar w:fldCharType="end"/>
      </w:r>
      <w:r>
        <w:rPr>
          <w:rFonts w:hint="eastAsia" w:ascii="宋体" w:hAnsi="宋体" w:cs="宋体"/>
          <w:color w:val="auto"/>
          <w:sz w:val="28"/>
          <w:szCs w:val="28"/>
          <w:highlight w:val="none"/>
          <w:lang/>
        </w:rPr>
        <w:fldChar w:fldCharType="end"/>
      </w:r>
    </w:p>
    <w:p>
      <w:pPr>
        <w:pStyle w:val="111"/>
        <w:tabs>
          <w:tab w:val="right" w:leader="dot" w:pos="8820"/>
        </w:tabs>
        <w:spacing w:line="480" w:lineRule="auto"/>
        <w:rPr>
          <w:rFonts w:hint="eastAsia" w:ascii="宋体" w:hAnsi="宋体" w:cs="宋体"/>
          <w:color w:val="auto"/>
          <w:sz w:val="28"/>
          <w:szCs w:val="28"/>
          <w:highlight w:val="none"/>
          <w:lang/>
        </w:rPr>
      </w:pPr>
      <w:r>
        <w:rPr>
          <w:rFonts w:hint="eastAsia" w:ascii="宋体" w:hAnsi="宋体" w:cs="宋体"/>
          <w:color w:val="auto"/>
          <w:sz w:val="28"/>
          <w:szCs w:val="28"/>
          <w:highlight w:val="none"/>
          <w:lang/>
        </w:rPr>
        <w:fldChar w:fldCharType="begin"/>
      </w:r>
      <w:r>
        <w:rPr>
          <w:rFonts w:hint="eastAsia" w:ascii="宋体" w:hAnsi="宋体" w:cs="宋体"/>
          <w:color w:val="auto"/>
          <w:sz w:val="28"/>
          <w:szCs w:val="28"/>
          <w:highlight w:val="none"/>
          <w:lang/>
        </w:rPr>
        <w:instrText xml:space="preserve"> HYPERLINK \l _Toc21756 </w:instrText>
      </w:r>
      <w:r>
        <w:rPr>
          <w:rFonts w:hint="eastAsia" w:ascii="宋体" w:hAnsi="宋体" w:cs="宋体"/>
          <w:color w:val="auto"/>
          <w:sz w:val="28"/>
          <w:szCs w:val="28"/>
          <w:highlight w:val="none"/>
          <w:lang/>
        </w:rPr>
        <w:fldChar w:fldCharType="separate"/>
      </w:r>
      <w:r>
        <w:rPr>
          <w:rFonts w:hint="eastAsia" w:ascii="宋体" w:hAnsi="宋体" w:cs="宋体"/>
          <w:color w:val="auto"/>
          <w:sz w:val="28"/>
          <w:szCs w:val="28"/>
          <w:highlight w:val="none"/>
          <w:lang/>
        </w:rPr>
        <w:t>第五章  合同文本</w:t>
      </w:r>
      <w:r>
        <w:rPr>
          <w:rFonts w:hint="eastAsia" w:ascii="宋体" w:hAnsi="宋体" w:cs="宋体"/>
          <w:color w:val="auto"/>
          <w:sz w:val="28"/>
          <w:szCs w:val="28"/>
          <w:highlight w:val="none"/>
          <w:lang/>
        </w:rPr>
        <w:tab/>
      </w:r>
      <w:r>
        <w:rPr>
          <w:rFonts w:hint="eastAsia" w:ascii="宋体" w:hAnsi="宋体" w:cs="宋体"/>
          <w:color w:val="auto"/>
          <w:sz w:val="28"/>
          <w:szCs w:val="28"/>
          <w:highlight w:val="none"/>
          <w:lang/>
        </w:rPr>
        <w:fldChar w:fldCharType="begin"/>
      </w:r>
      <w:r>
        <w:rPr>
          <w:rFonts w:hint="eastAsia" w:ascii="宋体" w:hAnsi="宋体" w:cs="宋体"/>
          <w:color w:val="auto"/>
          <w:sz w:val="28"/>
          <w:szCs w:val="28"/>
          <w:highlight w:val="none"/>
          <w:lang/>
        </w:rPr>
        <w:instrText xml:space="preserve"> PAGEREF _Toc21756 \h </w:instrText>
      </w:r>
      <w:r>
        <w:rPr>
          <w:rFonts w:hint="eastAsia" w:ascii="宋体" w:hAnsi="宋体" w:cs="宋体"/>
          <w:color w:val="auto"/>
          <w:sz w:val="28"/>
          <w:szCs w:val="28"/>
          <w:highlight w:val="none"/>
          <w:lang/>
        </w:rPr>
        <w:fldChar w:fldCharType="separate"/>
      </w:r>
      <w:r>
        <w:rPr>
          <w:rFonts w:hint="eastAsia" w:ascii="宋体" w:hAnsi="宋体" w:cs="宋体"/>
          <w:color w:val="auto"/>
          <w:sz w:val="28"/>
          <w:szCs w:val="28"/>
          <w:highlight w:val="none"/>
          <w:lang/>
        </w:rPr>
        <w:t>33</w:t>
      </w:r>
      <w:r>
        <w:rPr>
          <w:rFonts w:hint="eastAsia" w:ascii="宋体" w:hAnsi="宋体" w:cs="宋体"/>
          <w:color w:val="auto"/>
          <w:sz w:val="28"/>
          <w:szCs w:val="28"/>
          <w:highlight w:val="none"/>
          <w:lang/>
        </w:rPr>
        <w:fldChar w:fldCharType="end"/>
      </w:r>
      <w:r>
        <w:rPr>
          <w:rFonts w:hint="eastAsia" w:ascii="宋体" w:hAnsi="宋体" w:cs="宋体"/>
          <w:color w:val="auto"/>
          <w:sz w:val="28"/>
          <w:szCs w:val="28"/>
          <w:highlight w:val="none"/>
          <w:lang/>
        </w:rPr>
        <w:fldChar w:fldCharType="end"/>
      </w:r>
    </w:p>
    <w:p>
      <w:pPr>
        <w:pStyle w:val="111"/>
        <w:tabs>
          <w:tab w:val="right" w:leader="dot" w:pos="8820"/>
        </w:tabs>
        <w:spacing w:line="480" w:lineRule="auto"/>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rPr>
        <w:fldChar w:fldCharType="begin"/>
      </w:r>
      <w:r>
        <w:rPr>
          <w:rFonts w:hint="eastAsia" w:ascii="宋体" w:hAnsi="宋体" w:cs="宋体"/>
          <w:color w:val="auto"/>
          <w:sz w:val="28"/>
          <w:szCs w:val="28"/>
          <w:highlight w:val="none"/>
          <w:lang/>
        </w:rPr>
        <w:instrText xml:space="preserve"> HYPERLINK \l _Toc23584 </w:instrText>
      </w:r>
      <w:r>
        <w:rPr>
          <w:rFonts w:hint="eastAsia" w:ascii="宋体" w:hAnsi="宋体" w:cs="宋体"/>
          <w:color w:val="auto"/>
          <w:sz w:val="28"/>
          <w:szCs w:val="28"/>
          <w:highlight w:val="none"/>
          <w:lang/>
        </w:rPr>
        <w:fldChar w:fldCharType="separate"/>
      </w:r>
      <w:r>
        <w:rPr>
          <w:rFonts w:hint="eastAsia" w:ascii="宋体" w:hAnsi="宋体" w:cs="宋体"/>
          <w:color w:val="auto"/>
          <w:sz w:val="28"/>
          <w:szCs w:val="28"/>
          <w:highlight w:val="none"/>
          <w:lang/>
        </w:rPr>
        <w:t>第六章　投标文件格式</w:t>
      </w:r>
      <w:r>
        <w:rPr>
          <w:rFonts w:hint="eastAsia" w:ascii="宋体" w:hAnsi="宋体" w:cs="宋体"/>
          <w:color w:val="auto"/>
          <w:sz w:val="28"/>
          <w:szCs w:val="28"/>
          <w:highlight w:val="none"/>
          <w:lang/>
        </w:rPr>
        <w:tab/>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lang/>
        </w:rPr>
        <w:fldChar w:fldCharType="end"/>
      </w:r>
      <w:r>
        <w:rPr>
          <w:rFonts w:hint="eastAsia" w:ascii="宋体" w:hAnsi="宋体" w:cs="宋体"/>
          <w:color w:val="auto"/>
          <w:sz w:val="28"/>
          <w:szCs w:val="28"/>
          <w:highlight w:val="none"/>
          <w:lang w:val="en-US" w:eastAsia="zh-CN"/>
        </w:rPr>
        <w:t>6</w:t>
      </w:r>
    </w:p>
    <w:p>
      <w:pPr>
        <w:pStyle w:val="111"/>
        <w:tabs>
          <w:tab w:val="right" w:leader="dot" w:pos="8820"/>
        </w:tabs>
        <w:rPr>
          <w:color w:val="auto"/>
          <w:highlight w:val="none"/>
          <w:lang/>
        </w:rPr>
      </w:pPr>
    </w:p>
    <w:p>
      <w:pPr>
        <w:pStyle w:val="111"/>
        <w:tabs>
          <w:tab w:val="right" w:leader="dot" w:pos="8312"/>
        </w:tabs>
        <w:spacing w:line="600" w:lineRule="auto"/>
        <w:rPr>
          <w:color w:val="auto"/>
          <w:highlight w:val="none"/>
          <w:lang/>
        </w:rPr>
      </w:pPr>
      <w:r>
        <w:rPr>
          <w:color w:val="auto"/>
          <w:highlight w:val="none"/>
          <w:lang/>
        </w:rPr>
        <w:fldChar w:fldCharType="end"/>
      </w:r>
    </w:p>
    <w:p>
      <w:pPr>
        <w:rPr>
          <w:color w:val="auto"/>
          <w:highlight w:val="none"/>
        </w:rPr>
      </w:pPr>
      <w:r>
        <w:rPr>
          <w:color w:val="auto"/>
          <w:highlight w:val="none"/>
        </w:rPr>
        <w:fldChar w:fldCharType="end"/>
      </w: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rPr>
          <w:color w:val="auto"/>
          <w:highlight w:val="none"/>
        </w:rPr>
      </w:pPr>
    </w:p>
    <w:p>
      <w:pPr>
        <w:pStyle w:val="17"/>
        <w:rPr>
          <w:color w:val="auto"/>
          <w:highlight w:val="none"/>
        </w:rPr>
      </w:pPr>
    </w:p>
    <w:p>
      <w:pPr>
        <w:rPr>
          <w:color w:val="auto"/>
          <w:highlight w:val="none"/>
        </w:rPr>
      </w:pPr>
    </w:p>
    <w:p>
      <w:pPr>
        <w:pStyle w:val="17"/>
        <w:rPr>
          <w:color w:val="auto"/>
          <w:highlight w:val="none"/>
        </w:rPr>
      </w:pPr>
    </w:p>
    <w:p>
      <w:pPr>
        <w:rPr>
          <w:color w:val="auto"/>
          <w:highlight w:val="none"/>
        </w:rPr>
      </w:pPr>
    </w:p>
    <w:p>
      <w:pPr>
        <w:pStyle w:val="96"/>
        <w:rPr>
          <w:color w:val="auto"/>
          <w:highlight w:val="none"/>
        </w:rPr>
      </w:pPr>
    </w:p>
    <w:p>
      <w:pPr>
        <w:pStyle w:val="96"/>
        <w:rPr>
          <w:color w:val="auto"/>
          <w:highlight w:val="none"/>
        </w:rPr>
      </w:pPr>
    </w:p>
    <w:p>
      <w:pPr>
        <w:pStyle w:val="96"/>
        <w:rPr>
          <w:color w:val="auto"/>
          <w:highlight w:val="none"/>
        </w:rPr>
      </w:pPr>
    </w:p>
    <w:p>
      <w:pPr>
        <w:pStyle w:val="96"/>
        <w:rPr>
          <w:color w:val="auto"/>
          <w:highlight w:val="none"/>
        </w:rPr>
      </w:pPr>
    </w:p>
    <w:p>
      <w:pPr>
        <w:pStyle w:val="96"/>
        <w:rPr>
          <w:color w:val="auto"/>
          <w:highlight w:val="none"/>
        </w:rPr>
        <w:sectPr>
          <w:headerReference r:id="rId4" w:type="default"/>
          <w:pgSz w:w="11906" w:h="16838"/>
          <w:pgMar w:top="567" w:right="1532" w:bottom="567" w:left="987" w:header="851" w:footer="992" w:gutter="567"/>
          <w:pgNumType w:start="1"/>
          <w:cols w:space="720" w:num="1"/>
          <w:docGrid w:type="lines" w:linePitch="312" w:charSpace="0"/>
        </w:sectPr>
      </w:pPr>
    </w:p>
    <w:p>
      <w:pPr>
        <w:pStyle w:val="96"/>
        <w:rPr>
          <w:color w:val="auto"/>
          <w:highlight w:val="none"/>
        </w:rPr>
      </w:pPr>
    </w:p>
    <w:p>
      <w:pPr>
        <w:pStyle w:val="2"/>
        <w:numPr>
          <w:ilvl w:val="0"/>
          <w:numId w:val="3"/>
        </w:numPr>
        <w:rPr>
          <w:rFonts w:hint="eastAsia" w:hAnsi="宋体"/>
          <w:color w:val="auto"/>
          <w:highlight w:val="none"/>
        </w:rPr>
      </w:pPr>
      <w:bookmarkStart w:id="14" w:name="_Toc514168589"/>
      <w:r>
        <w:rPr>
          <w:rFonts w:hint="eastAsia" w:hAnsi="宋体"/>
          <w:color w:val="auto"/>
          <w:highlight w:val="none"/>
        </w:rPr>
        <w:t xml:space="preserve"> </w:t>
      </w:r>
      <w:bookmarkEnd w:id="14"/>
      <w:bookmarkStart w:id="15" w:name="_Toc28216"/>
      <w:bookmarkStart w:id="16" w:name="_Toc12253"/>
      <w:r>
        <w:rPr>
          <w:rFonts w:hint="eastAsia" w:hAnsi="宋体"/>
          <w:color w:val="auto"/>
          <w:highlight w:val="none"/>
        </w:rPr>
        <w:t>招标公告</w:t>
      </w:r>
      <w:bookmarkEnd w:id="15"/>
      <w:bookmarkEnd w:id="16"/>
    </w:p>
    <w:p>
      <w:pPr>
        <w:pStyle w:val="35"/>
        <w:spacing w:before="0" w:beforeAutospacing="0" w:after="0" w:afterAutospacing="0" w:line="320" w:lineRule="exact"/>
        <w:jc w:val="center"/>
        <w:rPr>
          <w:rFonts w:ascii="仿宋" w:hAnsi="仿宋" w:eastAsia="仿宋" w:cs="仿宋"/>
          <w:color w:val="auto"/>
          <w:sz w:val="27"/>
          <w:szCs w:val="27"/>
          <w:highlight w:val="none"/>
        </w:rPr>
      </w:pPr>
      <w:r>
        <w:rPr>
          <w:rFonts w:ascii="仿宋" w:hAnsi="仿宋" w:eastAsia="仿宋" w:cs="仿宋"/>
          <w:color w:val="auto"/>
          <w:sz w:val="27"/>
          <w:szCs w:val="27"/>
          <w:highlight w:val="none"/>
        </w:rPr>
        <w:t>发布日期：202</w:t>
      </w:r>
      <w:r>
        <w:rPr>
          <w:rFonts w:hint="eastAsia" w:ascii="仿宋" w:hAnsi="仿宋" w:eastAsia="仿宋" w:cs="仿宋"/>
          <w:color w:val="auto"/>
          <w:sz w:val="27"/>
          <w:szCs w:val="27"/>
          <w:highlight w:val="none"/>
        </w:rPr>
        <w:t>3</w:t>
      </w:r>
      <w:r>
        <w:rPr>
          <w:rFonts w:ascii="仿宋" w:hAnsi="仿宋" w:eastAsia="仿宋" w:cs="仿宋"/>
          <w:color w:val="auto"/>
          <w:sz w:val="27"/>
          <w:szCs w:val="27"/>
          <w:highlight w:val="none"/>
        </w:rPr>
        <w:t>年</w:t>
      </w:r>
      <w:r>
        <w:rPr>
          <w:rFonts w:hint="eastAsia" w:ascii="仿宋" w:hAnsi="仿宋" w:eastAsia="仿宋" w:cs="仿宋"/>
          <w:color w:val="auto"/>
          <w:sz w:val="27"/>
          <w:szCs w:val="27"/>
          <w:highlight w:val="none"/>
          <w:lang w:val="en-US" w:eastAsia="zh-CN"/>
        </w:rPr>
        <w:t>12</w:t>
      </w:r>
      <w:r>
        <w:rPr>
          <w:rFonts w:ascii="仿宋" w:hAnsi="仿宋" w:eastAsia="仿宋" w:cs="仿宋"/>
          <w:color w:val="auto"/>
          <w:sz w:val="27"/>
          <w:szCs w:val="27"/>
          <w:highlight w:val="none"/>
        </w:rPr>
        <w:t>月</w:t>
      </w:r>
      <w:r>
        <w:rPr>
          <w:rFonts w:hint="eastAsia" w:ascii="仿宋" w:hAnsi="仿宋" w:eastAsia="仿宋" w:cs="仿宋"/>
          <w:color w:val="auto"/>
          <w:sz w:val="27"/>
          <w:szCs w:val="27"/>
          <w:highlight w:val="none"/>
          <w:lang w:val="en-US" w:eastAsia="zh-CN"/>
        </w:rPr>
        <w:t>27</w:t>
      </w:r>
      <w:r>
        <w:rPr>
          <w:rFonts w:ascii="仿宋" w:hAnsi="仿宋" w:eastAsia="仿宋" w:cs="仿宋"/>
          <w:color w:val="auto"/>
          <w:sz w:val="27"/>
          <w:szCs w:val="27"/>
          <w:highlight w:val="none"/>
        </w:rPr>
        <w:t>日</w:t>
      </w:r>
    </w:p>
    <w:p>
      <w:pPr>
        <w:pStyle w:val="35"/>
        <w:pBdr>
          <w:top w:val="single" w:color="auto" w:sz="4" w:space="0"/>
          <w:left w:val="single" w:color="auto" w:sz="4" w:space="0"/>
          <w:bottom w:val="single" w:color="auto" w:sz="4" w:space="0"/>
          <w:right w:val="single" w:color="auto" w:sz="4" w:space="0"/>
        </w:pBdr>
        <w:spacing w:before="0" w:beforeAutospacing="0" w:after="0" w:afterAutospacing="0" w:line="360" w:lineRule="exact"/>
        <w:rPr>
          <w:rFonts w:hint="eastAsia"/>
          <w:color w:val="auto"/>
          <w:sz w:val="21"/>
          <w:szCs w:val="21"/>
          <w:highlight w:val="none"/>
        </w:rPr>
      </w:pPr>
      <w:bookmarkStart w:id="17" w:name="_Toc514168590"/>
      <w:r>
        <w:rPr>
          <w:rFonts w:ascii="仿宋" w:hAnsi="仿宋" w:eastAsia="仿宋" w:cs="仿宋"/>
          <w:color w:val="auto"/>
          <w:sz w:val="27"/>
          <w:szCs w:val="27"/>
          <w:highlight w:val="none"/>
        </w:rPr>
        <w:t xml:space="preserve"> </w:t>
      </w:r>
      <w:r>
        <w:rPr>
          <w:rFonts w:hint="eastAsia"/>
          <w:color w:val="auto"/>
          <w:sz w:val="21"/>
          <w:szCs w:val="21"/>
          <w:highlight w:val="none"/>
        </w:rPr>
        <w:t xml:space="preserve"> 项目概况                                                    </w:t>
      </w:r>
    </w:p>
    <w:p>
      <w:pPr>
        <w:pStyle w:val="35"/>
        <w:pBdr>
          <w:top w:val="single" w:color="auto" w:sz="4" w:space="0"/>
          <w:left w:val="single" w:color="auto" w:sz="4" w:space="0"/>
          <w:bottom w:val="single" w:color="auto" w:sz="4" w:space="0"/>
          <w:right w:val="single" w:color="auto" w:sz="4" w:space="0"/>
        </w:pBdr>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w:t>
      </w:r>
      <w:r>
        <w:rPr>
          <w:rFonts w:hint="eastAsia"/>
          <w:color w:val="auto"/>
          <w:sz w:val="21"/>
          <w:szCs w:val="21"/>
          <w:highlight w:val="none"/>
          <w:lang w:eastAsia="zh-CN"/>
        </w:rPr>
        <w:t>宁波市江北区教育局采购下属学校安保服务项目</w:t>
      </w:r>
      <w:r>
        <w:rPr>
          <w:rFonts w:hint="eastAsia"/>
          <w:color w:val="auto"/>
          <w:sz w:val="21"/>
          <w:szCs w:val="21"/>
          <w:highlight w:val="none"/>
        </w:rPr>
        <w:t>的潜在投标人应在政府采购云平台（www.zcygov.cn）获取（下载）招标文件，并于202</w:t>
      </w:r>
      <w:r>
        <w:rPr>
          <w:rFonts w:hint="eastAsia"/>
          <w:color w:val="auto"/>
          <w:sz w:val="21"/>
          <w:szCs w:val="21"/>
          <w:highlight w:val="none"/>
          <w:lang w:val="en-US" w:eastAsia="zh-CN"/>
        </w:rPr>
        <w:t>4</w:t>
      </w:r>
      <w:r>
        <w:rPr>
          <w:rFonts w:hint="eastAsia"/>
          <w:color w:val="auto"/>
          <w:sz w:val="21"/>
          <w:szCs w:val="21"/>
          <w:highlight w:val="none"/>
        </w:rPr>
        <w:t>年</w:t>
      </w:r>
      <w:r>
        <w:rPr>
          <w:rFonts w:hint="eastAsia"/>
          <w:color w:val="auto"/>
          <w:sz w:val="21"/>
          <w:szCs w:val="21"/>
          <w:highlight w:val="none"/>
          <w:lang w:val="en-US" w:eastAsia="zh-CN"/>
        </w:rPr>
        <w:t>01</w:t>
      </w:r>
      <w:r>
        <w:rPr>
          <w:rFonts w:hint="eastAsia"/>
          <w:color w:val="auto"/>
          <w:sz w:val="21"/>
          <w:szCs w:val="21"/>
          <w:highlight w:val="none"/>
        </w:rPr>
        <w:t>月</w:t>
      </w:r>
      <w:r>
        <w:rPr>
          <w:rFonts w:hint="eastAsia"/>
          <w:color w:val="auto"/>
          <w:sz w:val="21"/>
          <w:szCs w:val="21"/>
          <w:highlight w:val="none"/>
          <w:lang w:val="en-US" w:eastAsia="zh-CN"/>
        </w:rPr>
        <w:t>17</w:t>
      </w:r>
      <w:r>
        <w:rPr>
          <w:rFonts w:hint="eastAsia"/>
          <w:color w:val="auto"/>
          <w:sz w:val="21"/>
          <w:szCs w:val="21"/>
          <w:highlight w:val="none"/>
        </w:rPr>
        <w:t>日09:00（北京时间）前递交（上传）投标文件。</w:t>
      </w:r>
    </w:p>
    <w:p>
      <w:pPr>
        <w:pStyle w:val="35"/>
        <w:numPr>
          <w:ilvl w:val="0"/>
          <w:numId w:val="4"/>
        </w:numPr>
        <w:spacing w:before="0" w:beforeAutospacing="0" w:after="0" w:afterAutospacing="0" w:line="360" w:lineRule="exact"/>
        <w:jc w:val="both"/>
        <w:rPr>
          <w:rStyle w:val="42"/>
          <w:rFonts w:hint="eastAsia"/>
          <w:color w:val="auto"/>
          <w:sz w:val="21"/>
          <w:szCs w:val="21"/>
          <w:highlight w:val="none"/>
        </w:rPr>
      </w:pPr>
      <w:r>
        <w:rPr>
          <w:rStyle w:val="42"/>
          <w:rFonts w:hint="eastAsia"/>
          <w:color w:val="auto"/>
          <w:sz w:val="21"/>
          <w:szCs w:val="21"/>
          <w:highlight w:val="none"/>
        </w:rPr>
        <w:t>项目基本情况</w:t>
      </w:r>
    </w:p>
    <w:p>
      <w:pPr>
        <w:pStyle w:val="35"/>
        <w:spacing w:before="0" w:beforeAutospacing="0" w:after="0" w:afterAutospacing="0" w:line="360" w:lineRule="exact"/>
        <w:rPr>
          <w:rFonts w:hint="eastAsia" w:eastAsia="宋体"/>
          <w:color w:val="auto"/>
          <w:sz w:val="21"/>
          <w:szCs w:val="21"/>
          <w:highlight w:val="none"/>
          <w:lang w:eastAsia="zh-CN"/>
        </w:rPr>
      </w:pPr>
      <w:r>
        <w:rPr>
          <w:rFonts w:hint="eastAsia"/>
          <w:color w:val="auto"/>
          <w:sz w:val="21"/>
          <w:szCs w:val="21"/>
          <w:highlight w:val="none"/>
        </w:rPr>
        <w:t>    项目编号：</w:t>
      </w:r>
      <w:r>
        <w:rPr>
          <w:rFonts w:hint="eastAsia"/>
          <w:color w:val="auto"/>
          <w:sz w:val="21"/>
          <w:szCs w:val="21"/>
          <w:highlight w:val="none"/>
          <w:lang w:eastAsia="zh-CN"/>
        </w:rPr>
        <w:t>NBITC-202320580G</w:t>
      </w:r>
    </w:p>
    <w:p>
      <w:pPr>
        <w:pStyle w:val="35"/>
        <w:spacing w:before="0" w:beforeAutospacing="0" w:after="0" w:afterAutospacing="0" w:line="360" w:lineRule="exact"/>
        <w:rPr>
          <w:rFonts w:hint="eastAsia" w:eastAsia="宋体"/>
          <w:color w:val="auto"/>
          <w:sz w:val="21"/>
          <w:szCs w:val="21"/>
          <w:highlight w:val="none"/>
          <w:lang w:eastAsia="zh-CN"/>
        </w:rPr>
      </w:pPr>
      <w:r>
        <w:rPr>
          <w:rFonts w:hint="eastAsia"/>
          <w:color w:val="auto"/>
          <w:sz w:val="21"/>
          <w:szCs w:val="21"/>
          <w:highlight w:val="none"/>
        </w:rPr>
        <w:t>    项目名称：</w:t>
      </w:r>
      <w:r>
        <w:rPr>
          <w:rFonts w:hint="eastAsia"/>
          <w:color w:val="auto"/>
          <w:sz w:val="21"/>
          <w:szCs w:val="21"/>
          <w:highlight w:val="none"/>
          <w:lang w:eastAsia="zh-CN"/>
        </w:rPr>
        <w:t>宁波市江北区教育局采购下属学校安保服务项目</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预算金额（元）：</w:t>
      </w:r>
      <w:r>
        <w:rPr>
          <w:rFonts w:hint="eastAsia"/>
          <w:color w:val="auto"/>
          <w:sz w:val="21"/>
          <w:szCs w:val="21"/>
          <w:highlight w:val="none"/>
          <w:lang w:val="en-US" w:eastAsia="zh-CN"/>
        </w:rPr>
        <w:t>14937120</w:t>
      </w:r>
      <w:r>
        <w:rPr>
          <w:rFonts w:hint="eastAsia"/>
          <w:color w:val="auto"/>
          <w:sz w:val="21"/>
          <w:szCs w:val="21"/>
          <w:highlight w:val="none"/>
        </w:rPr>
        <w:t>  </w:t>
      </w:r>
    </w:p>
    <w:p>
      <w:pPr>
        <w:pStyle w:val="35"/>
        <w:spacing w:before="0" w:beforeAutospacing="0" w:after="0" w:afterAutospacing="0" w:line="360" w:lineRule="exact"/>
        <w:rPr>
          <w:color w:val="auto"/>
          <w:sz w:val="21"/>
          <w:szCs w:val="21"/>
          <w:highlight w:val="none"/>
        </w:rPr>
      </w:pPr>
      <w:r>
        <w:rPr>
          <w:rFonts w:hint="eastAsia"/>
          <w:color w:val="auto"/>
          <w:sz w:val="21"/>
          <w:szCs w:val="21"/>
          <w:highlight w:val="none"/>
        </w:rPr>
        <w:t>    最高限价（元）：</w:t>
      </w:r>
      <w:r>
        <w:rPr>
          <w:rFonts w:hint="eastAsia"/>
          <w:color w:val="auto"/>
          <w:sz w:val="21"/>
          <w:szCs w:val="21"/>
          <w:highlight w:val="none"/>
          <w:lang w:val="en-US" w:eastAsia="zh-CN"/>
        </w:rPr>
        <w:t>14937120</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采购需求：</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xml:space="preserve">  </w:t>
      </w:r>
      <w:r>
        <w:rPr>
          <w:rFonts w:hint="eastAsia"/>
          <w:color w:val="auto"/>
          <w:sz w:val="21"/>
          <w:szCs w:val="21"/>
          <w:highlight w:val="none"/>
        </w:rPr>
        <w:br w:type="textWrapping"/>
      </w:r>
      <w:r>
        <w:rPr>
          <w:rFonts w:hint="eastAsia"/>
          <w:color w:val="auto"/>
          <w:sz w:val="21"/>
          <w:szCs w:val="21"/>
          <w:highlight w:val="none"/>
        </w:rPr>
        <w:t>    标项名</w:t>
      </w:r>
      <w:r>
        <w:rPr>
          <w:rFonts w:hint="eastAsia" w:ascii="宋体" w:hAnsi="宋体" w:eastAsia="宋体" w:cs="宋体"/>
          <w:color w:val="auto"/>
          <w:sz w:val="21"/>
          <w:szCs w:val="21"/>
          <w:highlight w:val="none"/>
        </w:rPr>
        <w:t>称: 下属学校安保服务</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数量</w:t>
      </w:r>
      <w:r>
        <w:rPr>
          <w:rFonts w:hint="eastAsia"/>
          <w:color w:val="auto"/>
          <w:sz w:val="21"/>
          <w:szCs w:val="21"/>
          <w:highlight w:val="none"/>
          <w:lang w:eastAsia="zh-CN"/>
        </w:rPr>
        <w:t>：</w:t>
      </w:r>
      <w:r>
        <w:rPr>
          <w:rFonts w:hint="eastAsia"/>
          <w:color w:val="auto"/>
          <w:sz w:val="21"/>
          <w:szCs w:val="21"/>
          <w:highlight w:val="none"/>
        </w:rPr>
        <w:t>1  </w:t>
      </w:r>
      <w:r>
        <w:rPr>
          <w:rFonts w:hint="eastAsia"/>
          <w:color w:val="auto"/>
          <w:sz w:val="21"/>
          <w:szCs w:val="21"/>
          <w:highlight w:val="none"/>
        </w:rPr>
        <w:br w:type="textWrapping"/>
      </w:r>
      <w:r>
        <w:rPr>
          <w:rFonts w:hint="eastAsia"/>
          <w:color w:val="auto"/>
          <w:sz w:val="21"/>
          <w:szCs w:val="21"/>
          <w:highlight w:val="none"/>
        </w:rPr>
        <w:t>    预算金额（元）：</w:t>
      </w:r>
      <w:r>
        <w:rPr>
          <w:rFonts w:hint="eastAsia"/>
          <w:color w:val="auto"/>
          <w:sz w:val="21"/>
          <w:szCs w:val="21"/>
          <w:highlight w:val="none"/>
          <w:lang w:val="en-US" w:eastAsia="zh-CN"/>
        </w:rPr>
        <w:t>14937120</w:t>
      </w:r>
      <w:r>
        <w:rPr>
          <w:rFonts w:hint="eastAsia"/>
          <w:color w:val="auto"/>
          <w:sz w:val="21"/>
          <w:szCs w:val="21"/>
          <w:highlight w:val="none"/>
        </w:rPr>
        <w:t> </w:t>
      </w:r>
      <w:r>
        <w:rPr>
          <w:rFonts w:hint="eastAsia"/>
          <w:color w:val="auto"/>
          <w:sz w:val="21"/>
          <w:szCs w:val="21"/>
          <w:highlight w:val="none"/>
        </w:rPr>
        <w:br w:type="textWrapping"/>
      </w:r>
      <w:r>
        <w:rPr>
          <w:rFonts w:hint="eastAsia"/>
          <w:color w:val="auto"/>
          <w:sz w:val="21"/>
          <w:szCs w:val="21"/>
          <w:highlight w:val="none"/>
        </w:rPr>
        <w:t>    简要规格描述或项目基本概况介绍、用途：详见招标文件第</w:t>
      </w:r>
      <w:r>
        <w:rPr>
          <w:rFonts w:hint="eastAsia"/>
          <w:color w:val="auto"/>
          <w:sz w:val="21"/>
          <w:szCs w:val="21"/>
          <w:highlight w:val="none"/>
          <w:lang w:eastAsia="zh-CN"/>
        </w:rPr>
        <w:t>二</w:t>
      </w:r>
      <w:r>
        <w:rPr>
          <w:rFonts w:hint="eastAsia"/>
          <w:color w:val="auto"/>
          <w:sz w:val="21"/>
          <w:szCs w:val="21"/>
          <w:highlight w:val="none"/>
        </w:rPr>
        <w:t>部分招标需求 </w:t>
      </w:r>
      <w:r>
        <w:rPr>
          <w:rFonts w:hint="eastAsia"/>
          <w:color w:val="auto"/>
          <w:sz w:val="21"/>
          <w:szCs w:val="21"/>
          <w:highlight w:val="none"/>
        </w:rPr>
        <w:br w:type="textWrapping"/>
      </w:r>
      <w:r>
        <w:rPr>
          <w:rFonts w:hint="eastAsia"/>
          <w:color w:val="auto"/>
          <w:sz w:val="21"/>
          <w:szCs w:val="21"/>
          <w:highlight w:val="none"/>
        </w:rPr>
        <w:t>    备注：采购需求详见招标文件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w:t>
      </w:r>
    </w:p>
    <w:p>
      <w:pPr>
        <w:pStyle w:val="35"/>
        <w:spacing w:before="0" w:beforeAutospacing="0" w:after="0" w:afterAutospacing="0" w:line="360" w:lineRule="exact"/>
        <w:ind w:firstLine="630" w:firstLineChars="300"/>
        <w:rPr>
          <w:rFonts w:hint="eastAsia"/>
          <w:color w:val="auto"/>
          <w:sz w:val="21"/>
          <w:szCs w:val="21"/>
          <w:highlight w:val="none"/>
        </w:rPr>
      </w:pPr>
      <w:r>
        <w:rPr>
          <w:rFonts w:hint="eastAsia"/>
          <w:color w:val="auto"/>
          <w:sz w:val="21"/>
          <w:szCs w:val="21"/>
          <w:highlight w:val="none"/>
        </w:rPr>
        <w:t xml:space="preserve">合同履约期限：自合同生效之日至合同全部权利义务履行完毕之日止。   </w:t>
      </w:r>
    </w:p>
    <w:p>
      <w:pPr>
        <w:pStyle w:val="35"/>
        <w:spacing w:before="0" w:beforeAutospacing="0" w:after="0" w:afterAutospacing="0" w:line="360" w:lineRule="exact"/>
        <w:ind w:firstLine="630" w:firstLineChars="300"/>
        <w:rPr>
          <w:rFonts w:hint="eastAsia"/>
          <w:color w:val="auto"/>
          <w:sz w:val="21"/>
          <w:szCs w:val="21"/>
          <w:highlight w:val="none"/>
        </w:rPr>
      </w:pPr>
      <w:r>
        <w:rPr>
          <w:rFonts w:hint="eastAsia"/>
          <w:color w:val="auto"/>
          <w:sz w:val="21"/>
          <w:szCs w:val="21"/>
          <w:highlight w:val="none"/>
        </w:rPr>
        <w:t>本项目不接受联合体投标。</w:t>
      </w:r>
    </w:p>
    <w:p>
      <w:pPr>
        <w:pStyle w:val="35"/>
        <w:spacing w:before="0" w:beforeAutospacing="0" w:after="0" w:afterAutospacing="0" w:line="360" w:lineRule="exact"/>
        <w:rPr>
          <w:rFonts w:hint="eastAsia"/>
          <w:color w:val="auto"/>
          <w:sz w:val="21"/>
          <w:szCs w:val="21"/>
          <w:highlight w:val="none"/>
        </w:rPr>
      </w:pPr>
      <w:r>
        <w:rPr>
          <w:rStyle w:val="42"/>
          <w:rFonts w:hint="eastAsia"/>
          <w:color w:val="auto"/>
          <w:sz w:val="21"/>
          <w:szCs w:val="21"/>
          <w:highlight w:val="none"/>
        </w:rPr>
        <w:t>二、申请人的资格要求：</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1.满足《中华人民共和国政府采购法》第二十二条规定；未被“信用中国”（www.creditchina.gov.cn)、中国政府采购网（www.ccgp.gov.cn）列入失信被执行人、重大税收违法案件当事人名单（重大税收违法失信主体）、政府采购严重违法失信行为记录名单。</w:t>
      </w:r>
    </w:p>
    <w:p>
      <w:pPr>
        <w:pStyle w:val="35"/>
        <w:keepNext w:val="0"/>
        <w:keepLines w:val="0"/>
        <w:pageBreakBefore w:val="0"/>
        <w:kinsoku/>
        <w:overflowPunct/>
        <w:topLinePunct w:val="0"/>
        <w:autoSpaceDE/>
        <w:autoSpaceDN/>
        <w:bidi w:val="0"/>
        <w:adjustRightInd/>
        <w:snapToGrid/>
        <w:spacing w:before="0" w:beforeAutospacing="0" w:after="0" w:afterAutospacing="0" w:line="360" w:lineRule="exact"/>
        <w:textAlignment w:val="auto"/>
        <w:rPr>
          <w:rFonts w:hint="eastAsia"/>
          <w:color w:val="auto"/>
          <w:sz w:val="21"/>
          <w:szCs w:val="21"/>
          <w:highlight w:val="none"/>
        </w:rPr>
      </w:pPr>
      <w:r>
        <w:rPr>
          <w:rFonts w:hint="eastAsia"/>
          <w:color w:val="auto"/>
          <w:sz w:val="21"/>
          <w:szCs w:val="21"/>
          <w:highlight w:val="none"/>
        </w:rPr>
        <w:t>    2.落实政府采购政策需满足的资格要求：本项目为专门面向中小企业采购</w:t>
      </w:r>
      <w:r>
        <w:rPr>
          <w:rFonts w:hint="eastAsia"/>
          <w:color w:val="auto"/>
          <w:sz w:val="21"/>
          <w:szCs w:val="21"/>
          <w:highlight w:val="none"/>
          <w:lang w:eastAsia="zh-CN"/>
        </w:rPr>
        <w:t>，服务全部由符合政策要求的中小企业</w:t>
      </w:r>
      <w:r>
        <w:rPr>
          <w:rFonts w:hint="eastAsia"/>
          <w:color w:val="auto"/>
          <w:sz w:val="21"/>
          <w:szCs w:val="21"/>
          <w:highlight w:val="none"/>
        </w:rPr>
        <w:t>或微型企业</w:t>
      </w:r>
      <w:r>
        <w:rPr>
          <w:rFonts w:hint="eastAsia"/>
          <w:color w:val="auto"/>
          <w:sz w:val="21"/>
          <w:szCs w:val="21"/>
          <w:highlight w:val="none"/>
          <w:lang w:eastAsia="zh-CN"/>
        </w:rPr>
        <w:t>承接</w:t>
      </w:r>
      <w:r>
        <w:rPr>
          <w:rFonts w:hint="eastAsia"/>
          <w:color w:val="auto"/>
          <w:sz w:val="21"/>
          <w:szCs w:val="21"/>
          <w:highlight w:val="none"/>
        </w:rPr>
        <w:t>，提供中小企业声明函。（残疾人福利性企业、监狱企业视同小微企业）。</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3.本项目的特定资格要求：</w:t>
      </w:r>
      <w:r>
        <w:rPr>
          <w:rFonts w:hint="eastAsia"/>
          <w:color w:val="auto"/>
          <w:sz w:val="21"/>
          <w:szCs w:val="21"/>
          <w:highlight w:val="none"/>
          <w:lang w:eastAsia="zh-CN"/>
        </w:rPr>
        <w:t>投标人具有保安服务许可证</w:t>
      </w:r>
    </w:p>
    <w:p>
      <w:pPr>
        <w:pStyle w:val="35"/>
        <w:spacing w:before="0" w:beforeAutospacing="0" w:after="0" w:afterAutospacing="0" w:line="360" w:lineRule="exact"/>
        <w:jc w:val="both"/>
        <w:rPr>
          <w:rFonts w:hint="eastAsia"/>
          <w:color w:val="auto"/>
          <w:sz w:val="21"/>
          <w:szCs w:val="21"/>
          <w:highlight w:val="none"/>
        </w:rPr>
      </w:pPr>
      <w:r>
        <w:rPr>
          <w:rStyle w:val="42"/>
          <w:rFonts w:hint="eastAsia"/>
          <w:color w:val="auto"/>
          <w:sz w:val="21"/>
          <w:szCs w:val="21"/>
          <w:highlight w:val="none"/>
        </w:rPr>
        <w:t>三、获取招标文件</w:t>
      </w:r>
      <w:r>
        <w:rPr>
          <w:rFonts w:hint="eastAsia"/>
          <w:color w:val="auto"/>
          <w:sz w:val="21"/>
          <w:szCs w:val="21"/>
          <w:highlight w:val="none"/>
        </w:rPr>
        <w:t>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时间：</w:t>
      </w:r>
      <w:r>
        <w:rPr>
          <w:rFonts w:hint="eastAsia"/>
          <w:color w:val="auto"/>
          <w:sz w:val="21"/>
          <w:szCs w:val="21"/>
          <w:highlight w:val="none"/>
          <w:lang w:eastAsia="zh-CN"/>
        </w:rPr>
        <w:t>自公告发布之日起</w:t>
      </w:r>
      <w:r>
        <w:rPr>
          <w:rFonts w:hint="eastAsia"/>
          <w:color w:val="auto"/>
          <w:sz w:val="21"/>
          <w:szCs w:val="21"/>
          <w:highlight w:val="none"/>
        </w:rPr>
        <w:t>至202</w:t>
      </w:r>
      <w:r>
        <w:rPr>
          <w:rFonts w:hint="eastAsia"/>
          <w:color w:val="auto"/>
          <w:sz w:val="21"/>
          <w:szCs w:val="21"/>
          <w:highlight w:val="none"/>
          <w:lang w:val="en-US" w:eastAsia="zh-CN"/>
        </w:rPr>
        <w:t>4</w:t>
      </w:r>
      <w:r>
        <w:rPr>
          <w:rFonts w:hint="eastAsia"/>
          <w:color w:val="auto"/>
          <w:sz w:val="21"/>
          <w:szCs w:val="21"/>
          <w:highlight w:val="none"/>
        </w:rPr>
        <w:t>年</w:t>
      </w:r>
      <w:r>
        <w:rPr>
          <w:rFonts w:hint="eastAsia"/>
          <w:color w:val="auto"/>
          <w:sz w:val="21"/>
          <w:szCs w:val="21"/>
          <w:highlight w:val="none"/>
          <w:lang w:val="en-US" w:eastAsia="zh-CN"/>
        </w:rPr>
        <w:t>01</w:t>
      </w:r>
      <w:r>
        <w:rPr>
          <w:rFonts w:hint="eastAsia"/>
          <w:color w:val="auto"/>
          <w:sz w:val="21"/>
          <w:szCs w:val="21"/>
          <w:highlight w:val="none"/>
        </w:rPr>
        <w:t>月</w:t>
      </w:r>
      <w:r>
        <w:rPr>
          <w:rFonts w:hint="eastAsia"/>
          <w:color w:val="auto"/>
          <w:sz w:val="21"/>
          <w:szCs w:val="21"/>
          <w:highlight w:val="none"/>
          <w:lang w:val="en-US" w:eastAsia="zh-CN"/>
        </w:rPr>
        <w:t>17</w:t>
      </w:r>
      <w:r>
        <w:rPr>
          <w:rFonts w:hint="eastAsia"/>
          <w:color w:val="auto"/>
          <w:sz w:val="21"/>
          <w:szCs w:val="21"/>
          <w:highlight w:val="none"/>
        </w:rPr>
        <w:t>日，每天上午00:00至12:00，下午12:00至23:59（北京时间，线上获取法定节假日均可，线下获取文件法定节假日除外）</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地点（网址）：政府采购云平台（www.zcygov.cn）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方式：供应商登录政府采购云平台（www.zcygov.cn）的注册账号后，进入政采云系统“项目采购”模块“获取采购文件”菜单，进行网上获取采购文件。如有疑问请及时咨询网站客服，咨询电话：</w:t>
      </w:r>
      <w:r>
        <w:rPr>
          <w:rFonts w:hint="eastAsia"/>
          <w:color w:val="auto"/>
          <w:sz w:val="21"/>
          <w:szCs w:val="21"/>
          <w:highlight w:val="none"/>
          <w:lang w:eastAsia="zh-CN"/>
        </w:rPr>
        <w:t>95763</w:t>
      </w:r>
      <w:r>
        <w:rPr>
          <w:rFonts w:hint="eastAsia"/>
          <w:color w:val="auto"/>
          <w:sz w:val="21"/>
          <w:szCs w:val="21"/>
          <w:highlight w:val="none"/>
        </w:rPr>
        <w:t>。获取采购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w:t>
      </w:r>
      <w:r>
        <w:rPr>
          <w:rFonts w:hint="eastAsia"/>
          <w:color w:val="auto"/>
          <w:sz w:val="21"/>
          <w:szCs w:val="21"/>
          <w:highlight w:val="none"/>
          <w:lang w:eastAsia="zh-CN"/>
        </w:rPr>
        <w:t>95763</w:t>
      </w:r>
      <w:r>
        <w:rPr>
          <w:rFonts w:hint="eastAsia"/>
          <w:color w:val="auto"/>
          <w:sz w:val="21"/>
          <w:szCs w:val="21"/>
          <w:highlight w:val="none"/>
        </w:rPr>
        <w:t>，如未注册的供应商，请注意注册所需时间。 本招标公告附件中的采购文件仅供阅览使用，供应商应在规定的采购文件提供期限内在政采云平台登录上述供应商注册的账号后获取采购文件，未在规定的采购文件提供期限内或未按上述方式获取采购文件的，其投标均视为无效，并不得对采购文件提起质疑投诉。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售价（元）：0 </w:t>
      </w:r>
    </w:p>
    <w:p>
      <w:pPr>
        <w:pStyle w:val="35"/>
        <w:spacing w:before="0" w:beforeAutospacing="0" w:after="0" w:afterAutospacing="0" w:line="360" w:lineRule="exact"/>
        <w:jc w:val="both"/>
        <w:rPr>
          <w:rFonts w:hint="eastAsia"/>
          <w:color w:val="auto"/>
          <w:sz w:val="21"/>
          <w:szCs w:val="21"/>
          <w:highlight w:val="none"/>
        </w:rPr>
      </w:pPr>
      <w:r>
        <w:rPr>
          <w:rStyle w:val="42"/>
          <w:rFonts w:hint="eastAsia"/>
          <w:color w:val="auto"/>
          <w:sz w:val="21"/>
          <w:szCs w:val="21"/>
          <w:highlight w:val="none"/>
        </w:rPr>
        <w:t>四、提交投标文件截止时间、开标时间和地点</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提交投标文件截止时间：202</w:t>
      </w:r>
      <w:r>
        <w:rPr>
          <w:rFonts w:hint="eastAsia"/>
          <w:color w:val="auto"/>
          <w:sz w:val="21"/>
          <w:szCs w:val="21"/>
          <w:highlight w:val="none"/>
          <w:lang w:val="en-US" w:eastAsia="zh-CN"/>
        </w:rPr>
        <w:t>4</w:t>
      </w:r>
      <w:r>
        <w:rPr>
          <w:rFonts w:hint="eastAsia"/>
          <w:color w:val="auto"/>
          <w:sz w:val="21"/>
          <w:szCs w:val="21"/>
          <w:highlight w:val="none"/>
        </w:rPr>
        <w:t>年</w:t>
      </w:r>
      <w:r>
        <w:rPr>
          <w:rFonts w:hint="eastAsia"/>
          <w:color w:val="auto"/>
          <w:sz w:val="21"/>
          <w:szCs w:val="21"/>
          <w:highlight w:val="none"/>
          <w:lang w:val="en-US" w:eastAsia="zh-CN"/>
        </w:rPr>
        <w:t>01</w:t>
      </w:r>
      <w:r>
        <w:rPr>
          <w:rFonts w:hint="eastAsia"/>
          <w:color w:val="auto"/>
          <w:sz w:val="21"/>
          <w:szCs w:val="21"/>
          <w:highlight w:val="none"/>
        </w:rPr>
        <w:t>月</w:t>
      </w:r>
      <w:r>
        <w:rPr>
          <w:rFonts w:hint="eastAsia"/>
          <w:color w:val="auto"/>
          <w:sz w:val="21"/>
          <w:szCs w:val="21"/>
          <w:highlight w:val="none"/>
          <w:lang w:val="en-US" w:eastAsia="zh-CN"/>
        </w:rPr>
        <w:t>17</w:t>
      </w:r>
      <w:r>
        <w:rPr>
          <w:rFonts w:hint="eastAsia"/>
          <w:color w:val="auto"/>
          <w:sz w:val="21"/>
          <w:szCs w:val="21"/>
          <w:highlight w:val="none"/>
        </w:rPr>
        <w:t>日09:00（北京时间）</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投标地点（网址）：政采云平台（https://www.zcygov.cn）。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开标时间：202</w:t>
      </w:r>
      <w:r>
        <w:rPr>
          <w:rFonts w:hint="eastAsia"/>
          <w:color w:val="auto"/>
          <w:sz w:val="21"/>
          <w:szCs w:val="21"/>
          <w:highlight w:val="none"/>
          <w:lang w:val="en-US" w:eastAsia="zh-CN"/>
        </w:rPr>
        <w:t>4</w:t>
      </w:r>
      <w:r>
        <w:rPr>
          <w:rFonts w:hint="eastAsia"/>
          <w:color w:val="auto"/>
          <w:sz w:val="21"/>
          <w:szCs w:val="21"/>
          <w:highlight w:val="none"/>
        </w:rPr>
        <w:t>年</w:t>
      </w:r>
      <w:r>
        <w:rPr>
          <w:rFonts w:hint="eastAsia"/>
          <w:color w:val="auto"/>
          <w:sz w:val="21"/>
          <w:szCs w:val="21"/>
          <w:highlight w:val="none"/>
          <w:lang w:val="en-US" w:eastAsia="zh-CN"/>
        </w:rPr>
        <w:t>01</w:t>
      </w:r>
      <w:r>
        <w:rPr>
          <w:rFonts w:hint="eastAsia"/>
          <w:color w:val="auto"/>
          <w:sz w:val="21"/>
          <w:szCs w:val="21"/>
          <w:highlight w:val="none"/>
        </w:rPr>
        <w:t>月</w:t>
      </w:r>
      <w:r>
        <w:rPr>
          <w:rFonts w:hint="eastAsia"/>
          <w:color w:val="auto"/>
          <w:sz w:val="21"/>
          <w:szCs w:val="21"/>
          <w:highlight w:val="none"/>
          <w:lang w:val="en-US" w:eastAsia="zh-CN"/>
        </w:rPr>
        <w:t>17</w:t>
      </w:r>
      <w:r>
        <w:rPr>
          <w:rFonts w:hint="eastAsia"/>
          <w:color w:val="auto"/>
          <w:sz w:val="21"/>
          <w:szCs w:val="21"/>
          <w:highlight w:val="none"/>
        </w:rPr>
        <w:t>日09:00（北京时间）</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开标地点（网址）：政采云平台（https://www.zcygov.cn）。  </w:t>
      </w:r>
    </w:p>
    <w:p>
      <w:pPr>
        <w:pStyle w:val="35"/>
        <w:spacing w:before="0" w:beforeAutospacing="0" w:after="0" w:afterAutospacing="0" w:line="360" w:lineRule="exact"/>
        <w:jc w:val="both"/>
        <w:rPr>
          <w:rFonts w:hint="eastAsia"/>
          <w:color w:val="auto"/>
          <w:sz w:val="21"/>
          <w:szCs w:val="21"/>
          <w:highlight w:val="none"/>
        </w:rPr>
      </w:pPr>
      <w:r>
        <w:rPr>
          <w:rStyle w:val="42"/>
          <w:rFonts w:hint="eastAsia"/>
          <w:color w:val="auto"/>
          <w:sz w:val="21"/>
          <w:szCs w:val="21"/>
          <w:highlight w:val="none"/>
        </w:rPr>
        <w:t>五、公告期限</w:t>
      </w:r>
      <w:r>
        <w:rPr>
          <w:rFonts w:hint="eastAsia"/>
          <w:color w:val="auto"/>
          <w:sz w:val="21"/>
          <w:szCs w:val="21"/>
          <w:highlight w:val="none"/>
        </w:rPr>
        <w:t>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自本公告发布之日起5个工作日。</w:t>
      </w:r>
    </w:p>
    <w:p>
      <w:pPr>
        <w:pStyle w:val="35"/>
        <w:spacing w:before="0" w:beforeAutospacing="0" w:after="0" w:afterAutospacing="0" w:line="360" w:lineRule="exact"/>
        <w:jc w:val="both"/>
        <w:rPr>
          <w:rFonts w:hint="eastAsia"/>
          <w:color w:val="auto"/>
          <w:sz w:val="21"/>
          <w:szCs w:val="21"/>
          <w:highlight w:val="none"/>
        </w:rPr>
      </w:pPr>
      <w:r>
        <w:rPr>
          <w:rStyle w:val="42"/>
          <w:rFonts w:hint="eastAsia"/>
          <w:color w:val="auto"/>
          <w:sz w:val="21"/>
          <w:szCs w:val="21"/>
          <w:highlight w:val="none"/>
        </w:rPr>
        <w:t>六、其他补充事宜</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color w:val="auto"/>
          <w:sz w:val="21"/>
          <w:szCs w:val="21"/>
          <w:highlight w:val="none"/>
        </w:rPr>
        <w:br w:type="textWrapping"/>
      </w:r>
      <w:r>
        <w:rPr>
          <w:rFonts w:hint="eastAsia"/>
          <w:color w:val="auto"/>
          <w:sz w:val="21"/>
          <w:szCs w:val="21"/>
          <w:highlight w:val="none"/>
        </w:rPr>
        <w:t>    2.其他事项：(1)单位负责人为同一人或者存在直接控股、管理关系的不同供应商，不得参加同一标项号的投标。(2)为本项目提供整体设计、规范编制或者项目管理、监理、检测等服务的供应商，不得再参加本项目的投标。(3)落实的政策：《关于促进残疾人就业政府采购政策的通知》（财库[2017]141号）、《政府采购促进中小企业发展管理办法》（财库〔2020〕46号）、《关于政府采购支持监狱企业发展有关问题的通知》(财库[2014]68号)、《关于环境标志产品政府采购实施的意见》（财库〔2006〕90号、《节能产品政府采购实施意见》的通知（财库〔2004〕185号）。</w:t>
      </w:r>
      <w:r>
        <w:rPr>
          <w:rFonts w:hint="eastAsia"/>
          <w:color w:val="auto"/>
          <w:sz w:val="21"/>
          <w:szCs w:val="21"/>
          <w:highlight w:val="none"/>
        </w:rPr>
        <w:br w:type="textWrapping"/>
      </w:r>
      <w:r>
        <w:rPr>
          <w:rFonts w:hint="eastAsia"/>
          <w:color w:val="auto"/>
          <w:sz w:val="21"/>
          <w:szCs w:val="21"/>
          <w:highlight w:val="none"/>
        </w:rPr>
        <w:t xml:space="preserve">      3.供应商应于提交投标文件截止时间前将电子投标文件上传到政府采购云平台（www.zcygov.cn），并应于提交投标文件截止时间前一天，将以U盘或光盘存储的电子备份投标文件密封后邮寄：宁波市江北区环城北路西段207弄19号世茂茂悦商业中心1号楼八楼，苏芸，0574-87300418；或开标当天投标截止时间前送至开标地点：宁波市江北区公共资源交易中心开标室（江北区育才路138号北投大厦南楼7楼）。</w:t>
      </w:r>
      <w:r>
        <w:rPr>
          <w:rFonts w:hint="eastAsia"/>
          <w:color w:val="auto"/>
          <w:sz w:val="21"/>
          <w:szCs w:val="21"/>
          <w:highlight w:val="none"/>
        </w:rPr>
        <w:br w:type="textWrapping"/>
      </w:r>
      <w:r>
        <w:rPr>
          <w:rFonts w:hint="eastAsia"/>
          <w:color w:val="auto"/>
          <w:sz w:val="21"/>
          <w:szCs w:val="21"/>
          <w:highlight w:val="none"/>
        </w:rPr>
        <w:t xml:space="preserve">      4.开标时间后半小时内供应商可以登录政府采购云平台（www.zcygov.cn），用“项目采购-开标评标”功能进行解密投标文件。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如因系统或部分电子响应文件无法解密，供应商在截止时间前未提交电子备份响应文件的，视为供应商放弃投标。无论是否启用备份电子投标文件，均不退还供应商。</w:t>
      </w:r>
      <w:r>
        <w:rPr>
          <w:rFonts w:hint="eastAsia"/>
          <w:color w:val="auto"/>
          <w:sz w:val="21"/>
          <w:szCs w:val="21"/>
          <w:highlight w:val="none"/>
        </w:rPr>
        <w:br w:type="textWrapping"/>
      </w:r>
      <w:r>
        <w:rPr>
          <w:rFonts w:hint="eastAsia"/>
          <w:color w:val="auto"/>
          <w:sz w:val="21"/>
          <w:szCs w:val="21"/>
          <w:highlight w:val="none"/>
        </w:rPr>
        <w:t xml:space="preserve">      5.本项目实行网上投标，采用电子投标文件。若供应商参与投标，自行承担投标一切费用。</w:t>
      </w:r>
      <w:r>
        <w:rPr>
          <w:rFonts w:hint="eastAsia"/>
          <w:color w:val="auto"/>
          <w:sz w:val="21"/>
          <w:szCs w:val="21"/>
          <w:highlight w:val="none"/>
        </w:rPr>
        <w:br w:type="textWrapping"/>
      </w:r>
      <w:r>
        <w:rPr>
          <w:rFonts w:hint="eastAsia"/>
          <w:color w:val="auto"/>
          <w:sz w:val="21"/>
          <w:szCs w:val="21"/>
          <w:highlight w:val="none"/>
        </w:rPr>
        <w:t xml:space="preserve">      6.开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elp.zcygov.cn/web/site_2/2018/11-29/2452.html），完成CA数字证书办理预计一周左右，请供应商自行把握时间。</w:t>
      </w:r>
      <w:r>
        <w:rPr>
          <w:rFonts w:hint="eastAsia"/>
          <w:color w:val="auto"/>
          <w:sz w:val="21"/>
          <w:szCs w:val="21"/>
          <w:highlight w:val="none"/>
        </w:rPr>
        <w:br w:type="textWrapping"/>
      </w:r>
      <w:r>
        <w:rPr>
          <w:rFonts w:hint="eastAsia"/>
          <w:color w:val="auto"/>
          <w:sz w:val="21"/>
          <w:szCs w:val="21"/>
          <w:highlight w:val="none"/>
        </w:rPr>
        <w:t xml:space="preserve">      7.投标文件制作：（1）应按照本项目采购文件和政府采购云平台的要求编制、加密并递交投标文件。供应商在使用系统进行投标的过程中遇到涉及平台使用的任何问题，可致电政府采购云平台技术支持热线咨询，联系方式：97653。（2）供应商通过政府采购云平台电子投标工具制作投标文件。电子投标工具请供应商自行前往浙江政府采购网下载并安装（zfcg.czt.zj.gov.cn/bidClientTemplate/2019-05-27/12946.html）。供应商投标文件制作及电子交易操作指南详见：①政府采购项目电子交易管理操作指南（视频）：service.zcygov.cn/#/knowledges/CW1EtGwBFdiHxlNd6I3m/7GyLXW0BXgMSmLUuYuPM（电脑登录账号观看）；②政府采购项目电子交易管理操作指南（文本）：service.zcygov.cn/#/knowledges/CW1EtGwBFdiHxlNd6I3m/6IMVAG0BFdiHxlNdQ8Na（电脑登录账号浏览）。（3）以U盘或光盘存储的电子备份投标文件1份，即按“项目采购-电子招投标操作指南”制作的电子备份文件，以用于异常情况处理。  </w:t>
      </w:r>
    </w:p>
    <w:p>
      <w:pPr>
        <w:pStyle w:val="35"/>
        <w:spacing w:before="0" w:beforeAutospacing="0" w:after="0" w:afterAutospacing="0" w:line="360" w:lineRule="exact"/>
        <w:jc w:val="both"/>
        <w:rPr>
          <w:rFonts w:hint="eastAsia"/>
          <w:color w:val="auto"/>
          <w:sz w:val="21"/>
          <w:szCs w:val="21"/>
          <w:highlight w:val="none"/>
        </w:rPr>
      </w:pPr>
      <w:r>
        <w:rPr>
          <w:rStyle w:val="42"/>
          <w:rFonts w:hint="eastAsia"/>
          <w:color w:val="auto"/>
          <w:sz w:val="21"/>
          <w:szCs w:val="21"/>
          <w:highlight w:val="none"/>
        </w:rPr>
        <w:t>七、对本次采购提出询问、质疑、投诉，请按以下方式联系</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1.采购人信息</w:t>
      </w:r>
    </w:p>
    <w:p>
      <w:pPr>
        <w:pStyle w:val="35"/>
        <w:spacing w:before="0" w:beforeAutospacing="0" w:after="0" w:afterAutospacing="0" w:line="360" w:lineRule="exact"/>
        <w:rPr>
          <w:rFonts w:hint="eastAsia" w:eastAsia="宋体"/>
          <w:color w:val="auto"/>
          <w:sz w:val="21"/>
          <w:szCs w:val="21"/>
          <w:highlight w:val="none"/>
          <w:lang w:eastAsia="zh-CN"/>
        </w:rPr>
      </w:pPr>
      <w:r>
        <w:rPr>
          <w:rFonts w:hint="eastAsia"/>
          <w:color w:val="auto"/>
          <w:sz w:val="21"/>
          <w:szCs w:val="21"/>
          <w:highlight w:val="none"/>
        </w:rPr>
        <w:t>    名    称：</w:t>
      </w:r>
      <w:r>
        <w:rPr>
          <w:rFonts w:hint="eastAsia"/>
          <w:color w:val="auto"/>
          <w:sz w:val="21"/>
          <w:szCs w:val="21"/>
          <w:highlight w:val="none"/>
          <w:lang w:eastAsia="zh-CN"/>
        </w:rPr>
        <w:t>宁波市江北区教育局</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地    址：宁波市江北区丽江东路85弄16号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传    真：/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项目联系人（询问）：</w:t>
      </w:r>
      <w:r>
        <w:rPr>
          <w:rFonts w:hint="eastAsia"/>
          <w:color w:val="auto"/>
          <w:sz w:val="21"/>
          <w:szCs w:val="21"/>
          <w:highlight w:val="none"/>
          <w:lang w:eastAsia="zh-CN"/>
        </w:rPr>
        <w:t>沈</w:t>
      </w:r>
      <w:r>
        <w:rPr>
          <w:rFonts w:hint="eastAsia"/>
          <w:color w:val="auto"/>
          <w:sz w:val="21"/>
          <w:szCs w:val="21"/>
          <w:highlight w:val="none"/>
        </w:rPr>
        <w:t>老师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项目联系方式（询问）：0574-88191177</w:t>
      </w:r>
    </w:p>
    <w:p>
      <w:pPr>
        <w:pStyle w:val="35"/>
        <w:spacing w:before="0" w:beforeAutospacing="0" w:after="0" w:afterAutospacing="0" w:line="360" w:lineRule="exact"/>
        <w:ind w:firstLine="630" w:firstLineChars="300"/>
        <w:rPr>
          <w:rFonts w:hint="eastAsia"/>
          <w:color w:val="auto"/>
          <w:sz w:val="21"/>
          <w:szCs w:val="21"/>
          <w:highlight w:val="none"/>
        </w:rPr>
      </w:pPr>
      <w:r>
        <w:rPr>
          <w:rFonts w:hint="eastAsia"/>
          <w:color w:val="auto"/>
          <w:sz w:val="21"/>
          <w:szCs w:val="21"/>
          <w:highlight w:val="none"/>
        </w:rPr>
        <w:t>质疑联系人：郑老师</w:t>
      </w:r>
    </w:p>
    <w:p>
      <w:pPr>
        <w:pStyle w:val="35"/>
        <w:spacing w:before="0" w:beforeAutospacing="0" w:after="0" w:afterAutospacing="0" w:line="360" w:lineRule="exact"/>
        <w:ind w:firstLine="630" w:firstLineChars="300"/>
        <w:rPr>
          <w:rFonts w:hint="eastAsia"/>
          <w:color w:val="auto"/>
          <w:sz w:val="21"/>
          <w:szCs w:val="21"/>
          <w:highlight w:val="none"/>
        </w:rPr>
      </w:pPr>
      <w:r>
        <w:rPr>
          <w:rFonts w:hint="eastAsia"/>
          <w:color w:val="auto"/>
          <w:sz w:val="21"/>
          <w:szCs w:val="21"/>
          <w:highlight w:val="none"/>
        </w:rPr>
        <w:t>质疑联系方式：0574-87666863   </w:t>
      </w:r>
      <w:r>
        <w:rPr>
          <w:rFonts w:hint="eastAsia"/>
          <w:color w:val="auto"/>
          <w:sz w:val="21"/>
          <w:szCs w:val="21"/>
          <w:highlight w:val="none"/>
        </w:rPr>
        <w:br w:type="textWrapping"/>
      </w:r>
      <w:r>
        <w:rPr>
          <w:rFonts w:hint="eastAsia"/>
          <w:color w:val="auto"/>
          <w:sz w:val="21"/>
          <w:szCs w:val="21"/>
          <w:highlight w:val="none"/>
        </w:rPr>
        <w:t>    2.采购代理机构信息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名    称：宁波市国际招标有限公司             </w:t>
      </w:r>
    </w:p>
    <w:p>
      <w:pPr>
        <w:pStyle w:val="35"/>
        <w:spacing w:before="0" w:beforeAutospacing="0" w:after="0" w:afterAutospacing="0" w:line="360" w:lineRule="exact"/>
        <w:ind w:firstLine="630"/>
        <w:rPr>
          <w:rFonts w:hint="eastAsia"/>
          <w:color w:val="auto"/>
          <w:sz w:val="21"/>
          <w:szCs w:val="21"/>
          <w:highlight w:val="none"/>
        </w:rPr>
      </w:pPr>
      <w:r>
        <w:rPr>
          <w:rFonts w:hint="eastAsia"/>
          <w:color w:val="auto"/>
          <w:sz w:val="21"/>
          <w:szCs w:val="21"/>
          <w:highlight w:val="none"/>
        </w:rPr>
        <w:t>地    址：宁波市江北区环城北路西段207弄19号世茂茂悦商业中心1号楼八楼</w:t>
      </w:r>
    </w:p>
    <w:p>
      <w:pPr>
        <w:pStyle w:val="35"/>
        <w:spacing w:before="0" w:beforeAutospacing="0" w:after="0" w:afterAutospacing="0" w:line="360" w:lineRule="exact"/>
        <w:ind w:firstLine="630"/>
        <w:rPr>
          <w:rFonts w:hint="eastAsia"/>
          <w:color w:val="auto"/>
          <w:sz w:val="21"/>
          <w:szCs w:val="21"/>
          <w:highlight w:val="none"/>
        </w:rPr>
      </w:pPr>
      <w:r>
        <w:rPr>
          <w:rFonts w:hint="eastAsia"/>
          <w:color w:val="auto"/>
          <w:sz w:val="21"/>
          <w:szCs w:val="21"/>
          <w:highlight w:val="none"/>
        </w:rPr>
        <w:t>传    真：/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项目联系人（询问）：陈琴、苏芸、</w:t>
      </w:r>
      <w:r>
        <w:rPr>
          <w:rFonts w:hint="eastAsia"/>
          <w:color w:val="auto"/>
          <w:sz w:val="21"/>
          <w:szCs w:val="21"/>
          <w:highlight w:val="none"/>
          <w:lang w:eastAsia="zh-CN"/>
        </w:rPr>
        <w:t>陆岚彬、翁伟冬、</w:t>
      </w:r>
      <w:r>
        <w:rPr>
          <w:rFonts w:hint="eastAsia"/>
          <w:color w:val="auto"/>
          <w:sz w:val="21"/>
          <w:szCs w:val="21"/>
          <w:highlight w:val="none"/>
        </w:rPr>
        <w:t>严锋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项目联系方式（询问）：0574-87300418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质疑联系人：章海波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质疑联系方式：0574-87495260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w:t>
      </w:r>
      <w:r>
        <w:rPr>
          <w:rFonts w:hint="eastAsia"/>
          <w:color w:val="auto"/>
          <w:sz w:val="21"/>
          <w:szCs w:val="21"/>
          <w:highlight w:val="none"/>
        </w:rPr>
        <w:br w:type="textWrapping"/>
      </w:r>
      <w:r>
        <w:rPr>
          <w:rFonts w:hint="eastAsia"/>
          <w:color w:val="auto"/>
          <w:sz w:val="21"/>
          <w:szCs w:val="21"/>
          <w:highlight w:val="none"/>
        </w:rPr>
        <w:t>    3.同级政府采购监督管理部门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名    称：宁波市江北区采购管理办公室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地    址：/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传    真：/             </w:t>
      </w:r>
    </w:p>
    <w:p>
      <w:pPr>
        <w:pStyle w:val="35"/>
        <w:spacing w:before="0" w:beforeAutospacing="0" w:after="0" w:afterAutospacing="0" w:line="360" w:lineRule="exact"/>
        <w:rPr>
          <w:rFonts w:hint="eastAsia"/>
          <w:color w:val="auto"/>
          <w:sz w:val="21"/>
          <w:szCs w:val="21"/>
          <w:highlight w:val="none"/>
        </w:rPr>
      </w:pPr>
      <w:r>
        <w:rPr>
          <w:rFonts w:hint="eastAsia"/>
          <w:color w:val="auto"/>
          <w:sz w:val="21"/>
          <w:szCs w:val="21"/>
          <w:highlight w:val="none"/>
        </w:rPr>
        <w:t>    联系人 ：林老师             </w:t>
      </w:r>
    </w:p>
    <w:p>
      <w:pPr>
        <w:spacing w:line="360" w:lineRule="exact"/>
        <w:rPr>
          <w:rFonts w:hint="eastAsia" w:ascii="宋体" w:hAnsi="宋体" w:cs="宋体"/>
          <w:color w:val="auto"/>
          <w:szCs w:val="21"/>
          <w:highlight w:val="none"/>
        </w:rPr>
      </w:pPr>
      <w:r>
        <w:rPr>
          <w:rFonts w:hint="eastAsia" w:ascii="宋体" w:hAnsi="宋体" w:cs="宋体"/>
          <w:color w:val="auto"/>
          <w:szCs w:val="21"/>
          <w:highlight w:val="none"/>
        </w:rPr>
        <w:t>    监督投诉电话：0574-8738806</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 xml:space="preserve"> </w:t>
      </w:r>
    </w:p>
    <w:p>
      <w:pPr>
        <w:spacing w:line="360" w:lineRule="exact"/>
        <w:rPr>
          <w:rFonts w:hint="eastAsia" w:ascii="宋体" w:hAnsi="宋体" w:cs="宋体"/>
          <w:color w:val="auto"/>
          <w:szCs w:val="21"/>
          <w:highlight w:val="none"/>
        </w:rPr>
      </w:pPr>
    </w:p>
    <w:p>
      <w:pPr>
        <w:wordWrap w:val="0"/>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若对项目采购电子交易系统操作有疑问，可登录政采云（https://www.zcygov.cn/），点击右侧咨询小采，获取采小蜜智能服务管家帮助，或拨打政采云服务热线97653获取热线服务帮助。 </w:t>
      </w:r>
    </w:p>
    <w:p>
      <w:pPr>
        <w:pStyle w:val="35"/>
        <w:spacing w:before="0" w:beforeAutospacing="0" w:after="0" w:afterAutospacing="0" w:line="360" w:lineRule="exact"/>
        <w:ind w:firstLine="420"/>
        <w:rPr>
          <w:rFonts w:hint="eastAsia"/>
          <w:color w:val="auto"/>
          <w:sz w:val="21"/>
          <w:szCs w:val="21"/>
          <w:highlight w:val="none"/>
        </w:rPr>
      </w:pPr>
      <w:r>
        <w:rPr>
          <w:rFonts w:hint="eastAsia"/>
          <w:color w:val="auto"/>
          <w:sz w:val="21"/>
          <w:szCs w:val="21"/>
          <w:highlight w:val="none"/>
        </w:rPr>
        <w:t>CA问题联系电话（人工）：汇信CA 400-888-4636；天谷CA 400-087-8198。</w:t>
      </w:r>
    </w:p>
    <w:p>
      <w:pPr>
        <w:pStyle w:val="17"/>
        <w:rPr>
          <w:color w:val="auto"/>
          <w:highlight w:val="none"/>
        </w:rPr>
      </w:pPr>
    </w:p>
    <w:p>
      <w:pPr>
        <w:pStyle w:val="2"/>
        <w:ind w:firstLine="562" w:firstLineChars="200"/>
        <w:rPr>
          <w:rFonts w:hint="eastAsia" w:hAnsi="宋体"/>
          <w:color w:val="auto"/>
          <w:highlight w:val="none"/>
        </w:rPr>
        <w:sectPr>
          <w:footerReference r:id="rId5" w:type="default"/>
          <w:pgSz w:w="11906" w:h="16838"/>
          <w:pgMar w:top="567" w:right="1112" w:bottom="567" w:left="567" w:header="851" w:footer="992" w:gutter="567"/>
          <w:pgNumType w:start="1"/>
          <w:cols w:space="720" w:num="1"/>
          <w:docGrid w:type="lines" w:linePitch="312" w:charSpace="0"/>
        </w:sectPr>
      </w:pPr>
    </w:p>
    <w:p>
      <w:pPr>
        <w:pStyle w:val="2"/>
        <w:numPr>
          <w:ilvl w:val="0"/>
          <w:numId w:val="3"/>
        </w:numPr>
        <w:rPr>
          <w:rFonts w:hint="eastAsia" w:hAnsi="宋体"/>
          <w:color w:val="auto"/>
          <w:highlight w:val="none"/>
        </w:rPr>
      </w:pPr>
      <w:r>
        <w:rPr>
          <w:rFonts w:hint="eastAsia" w:hAnsi="宋体"/>
          <w:color w:val="auto"/>
          <w:highlight w:val="none"/>
        </w:rPr>
        <w:t xml:space="preserve"> </w:t>
      </w:r>
      <w:bookmarkStart w:id="18" w:name="_Toc8945"/>
      <w:bookmarkStart w:id="19" w:name="_Toc7572"/>
      <w:r>
        <w:rPr>
          <w:rFonts w:hint="eastAsia" w:hAnsi="宋体"/>
          <w:color w:val="auto"/>
          <w:highlight w:val="none"/>
        </w:rPr>
        <w:t>采购需求</w:t>
      </w:r>
      <w:bookmarkEnd w:id="18"/>
      <w:bookmarkEnd w:id="19"/>
    </w:p>
    <w:bookmarkEnd w:id="17"/>
    <w:p>
      <w:pPr>
        <w:keepNext w:val="0"/>
        <w:keepLines w:val="0"/>
        <w:pageBreakBefore w:val="0"/>
        <w:widowControl w:val="0"/>
        <w:wordWrap/>
        <w:topLinePunct w:val="0"/>
        <w:autoSpaceDE/>
        <w:autoSpaceDN/>
        <w:bidi w:val="0"/>
        <w:snapToGrid/>
        <w:spacing w:line="400" w:lineRule="exact"/>
        <w:ind w:right="0" w:rightChars="0" w:firstLine="422" w:firstLineChars="200"/>
        <w:textAlignment w:val="auto"/>
        <w:rPr>
          <w:rFonts w:hint="eastAsia" w:ascii="宋体" w:hAnsi="宋体" w:eastAsia="宋体" w:cs="宋体"/>
          <w:b/>
          <w:bCs/>
          <w:color w:val="auto"/>
          <w:sz w:val="21"/>
          <w:szCs w:val="21"/>
        </w:rPr>
      </w:pPr>
      <w:bookmarkStart w:id="20" w:name="_Toc514168593"/>
      <w:r>
        <w:rPr>
          <w:rFonts w:hint="eastAsia" w:ascii="宋体" w:hAnsi="宋体" w:eastAsia="宋体" w:cs="宋体"/>
          <w:b/>
          <w:bCs/>
          <w:color w:val="auto"/>
          <w:sz w:val="21"/>
          <w:szCs w:val="21"/>
        </w:rPr>
        <w:t xml:space="preserve">一、招标需求的技术要求 </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 </w:t>
      </w:r>
      <w:bookmarkStart w:id="21" w:name="_Toc475350892"/>
      <w:bookmarkStart w:id="22" w:name="_Toc417038757"/>
      <w:bookmarkStart w:id="23" w:name="_Toc30410"/>
      <w:r>
        <w:rPr>
          <w:rFonts w:hint="eastAsia" w:ascii="宋体" w:hAnsi="宋体" w:eastAsia="宋体" w:cs="宋体"/>
          <w:b w:val="0"/>
          <w:bCs w:val="0"/>
          <w:color w:val="auto"/>
          <w:sz w:val="21"/>
          <w:szCs w:val="21"/>
        </w:rPr>
        <w:t>一）项目基本情况</w:t>
      </w:r>
      <w:bookmarkEnd w:id="21"/>
      <w:bookmarkEnd w:id="22"/>
      <w:bookmarkEnd w:id="23"/>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u w:val="single"/>
        </w:rPr>
      </w:pPr>
      <w:r>
        <w:rPr>
          <w:rFonts w:hint="eastAsia" w:ascii="宋体" w:hAnsi="宋体" w:eastAsia="宋体" w:cs="宋体"/>
          <w:b w:val="0"/>
          <w:bCs w:val="0"/>
          <w:color w:val="auto"/>
          <w:sz w:val="21"/>
          <w:szCs w:val="21"/>
        </w:rPr>
        <w:t>1.项目名称：</w:t>
      </w:r>
      <w:r>
        <w:rPr>
          <w:rFonts w:hint="eastAsia" w:ascii="宋体" w:hAnsi="宋体" w:eastAsia="宋体" w:cs="宋体"/>
          <w:b w:val="0"/>
          <w:bCs w:val="0"/>
          <w:color w:val="auto"/>
          <w:sz w:val="21"/>
          <w:szCs w:val="21"/>
          <w:u w:val="none"/>
        </w:rPr>
        <w:t>江北区教育局下属学校安保服务招标项目</w:t>
      </w:r>
    </w:p>
    <w:p>
      <w:pPr>
        <w:keepNext w:val="0"/>
        <w:keepLines w:val="0"/>
        <w:pageBreakBefore w:val="0"/>
        <w:widowControl w:val="0"/>
        <w:kinsoku w:val="0"/>
        <w:wordWrap/>
        <w:overflowPunct w:val="0"/>
        <w:topLinePunct w:val="0"/>
        <w:autoSpaceDE/>
        <w:autoSpaceDN/>
        <w:bidi w:val="0"/>
        <w:snapToGrid/>
        <w:spacing w:line="400" w:lineRule="exact"/>
        <w:ind w:right="0" w:rightChars="0" w:firstLine="420" w:firstLineChars="200"/>
        <w:jc w:val="both"/>
        <w:textAlignment w:val="auto"/>
        <w:rPr>
          <w:rFonts w:hint="eastAsia" w:ascii="宋体" w:hAnsi="宋体" w:eastAsia="宋体" w:cs="宋体"/>
          <w:b w:val="0"/>
          <w:bCs w:val="0"/>
          <w:i/>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2.服务地点：江北区下属各学校（部分，如有变化，按实际）</w:t>
      </w:r>
    </w:p>
    <w:p>
      <w:pPr>
        <w:keepNext w:val="0"/>
        <w:keepLines w:val="0"/>
        <w:pageBreakBefore w:val="0"/>
        <w:widowControl w:val="0"/>
        <w:kinsoku w:val="0"/>
        <w:wordWrap/>
        <w:overflowPunct w:val="0"/>
        <w:topLinePunct w:val="0"/>
        <w:autoSpaceDE/>
        <w:autoSpaceDN/>
        <w:bidi w:val="0"/>
        <w:snapToGrid/>
        <w:spacing w:line="400" w:lineRule="exact"/>
        <w:ind w:right="0" w:rightChars="0" w:firstLine="420" w:firstLineChars="200"/>
        <w:jc w:val="both"/>
        <w:textAlignment w:val="auto"/>
        <w:rPr>
          <w:rFonts w:hint="eastAsia" w:ascii="宋体" w:hAnsi="宋体" w:eastAsia="宋体" w:cs="宋体"/>
          <w:b w:val="0"/>
          <w:bCs w:val="0"/>
          <w:i/>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宁波市惠贞书院、宁波市江北外国语学校、宁波市江北区育才实验学校、宁波大学附属学校、宁波市江北区新城外国语学校、宁波市江北区实验中学、上海交大教育集团宁波实验学校、宁波市孔浦中学、宁波市庄桥中学、宁波市洪塘中学、宁波市江北中心学校、宁波市江北区实验小学、宁波市育才小学、宁波市江北区外国语艺术学校、宁波市江北区第二实验小学、宁波市江北区红梅小学、宁波市怡江小学、宁波市唐弢学校、宁波市江北区甬江实验学校、宁波市江北区养正书院、宁波市江北区庄桥中心小学、宁波市江北区费市小学、宁波市江北区洪塘中心小学、宁波市江北区洪塘实验学校、宁波福山正达外国语学校、宁波市江北区裘市小学、宁波市中城小学、宁波市江北区慈城中心小学、宁波市修人学校、宁波市江北区慈城镇妙山小学、宁波大学青藤书院、宁波上海世外学校、宁波市江北区灵峰学校、宁波市江北区尚德学校、宁波市江北区普迪学校、宁波市江北区老年大学、宁波市江北区社区教育学院、宁波市江北区中心幼儿园、宁波市江北区甬港幼儿园、宁波市江北区实验幼儿园、宁波市江北区槐树幼儿园、宁波市祥星幼儿园、宁波市东方幼儿园、宁波市绿梅幼儿园、宁波怡江幼儿园、宁波市倡棋幼儿园、宁波市江北区湖滨幼儿园、宁波市江北区悦和幼儿园、宁波市江北区星海托育中心、宁波市江北区育才实验幼儿园、宁波市江北区启慧托育园、宁波市江北区滨江实验幼儿园、宁波市江北区庄桥街道中心幼儿园、宁波江北区养正幼儿园、宁波市江北区志道幼儿园、宁波市江北区阳光实验幼儿园、宁波市江北区慈城镇中心幼儿园、宁波市江北区怀之幼儿园、、宁波市江北区依仁幼儿园、宁波市江北区慈城信之幼儿园、宁波市江北区慈城安之幼儿园、宁波市江北区慈城实验幼儿园、宁波市江北区洪塘街道中心幼儿园、宁波市江北区祥云幼儿园、宁波市江北区洪塘实验幼儿园、宁波市江北区前江街道中心幼儿园、宁波市江北区甬江街道中心幼儿园、宁波市江北区星湖湾幼儿园、宁波市江北区童蒙幼儿园。</w:t>
      </w:r>
    </w:p>
    <w:p>
      <w:pPr>
        <w:keepNext w:val="0"/>
        <w:keepLines w:val="0"/>
        <w:pageBreakBefore w:val="0"/>
        <w:widowControl w:val="0"/>
        <w:kinsoku w:val="0"/>
        <w:wordWrap/>
        <w:overflowPunct w:val="0"/>
        <w:topLinePunct w:val="0"/>
        <w:autoSpaceDE/>
        <w:autoSpaceDN/>
        <w:bidi w:val="0"/>
        <w:snapToGrid/>
        <w:spacing w:line="400" w:lineRule="exact"/>
        <w:ind w:right="0" w:rightChars="0" w:firstLine="420" w:firstLineChars="200"/>
        <w:jc w:val="both"/>
        <w:textAlignment w:val="auto"/>
        <w:rPr>
          <w:rFonts w:hint="eastAsia" w:ascii="宋体" w:hAnsi="宋体" w:eastAsia="宋体" w:cs="宋体"/>
          <w:b w:val="0"/>
          <w:bCs w:val="0"/>
          <w:i/>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本项目不安排投标人统一现场踏勘，请各投标人自行现场踏勘，了解各学校情况。</w:t>
      </w:r>
    </w:p>
    <w:p>
      <w:pPr>
        <w:keepNext w:val="0"/>
        <w:keepLines w:val="0"/>
        <w:pageBreakBefore w:val="0"/>
        <w:widowControl w:val="0"/>
        <w:kinsoku w:val="0"/>
        <w:wordWrap/>
        <w:overflowPunct w:val="0"/>
        <w:topLinePunct w:val="0"/>
        <w:autoSpaceDE/>
        <w:autoSpaceDN/>
        <w:bidi w:val="0"/>
        <w:adjustRightInd w:val="0"/>
        <w:snapToGrid/>
        <w:spacing w:line="400" w:lineRule="exact"/>
        <w:ind w:right="0" w:rightChars="0" w:firstLine="420" w:firstLineChars="200"/>
        <w:jc w:val="both"/>
        <w:textAlignment w:val="auto"/>
        <w:rPr>
          <w:rFonts w:hint="eastAsia" w:ascii="宋体" w:hAnsi="宋体" w:eastAsia="宋体" w:cs="宋体"/>
          <w:b w:val="0"/>
          <w:bCs w:val="0"/>
          <w:i/>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w:t>
      </w:r>
      <w:bookmarkStart w:id="24" w:name="_Toc475350896"/>
      <w:r>
        <w:rPr>
          <w:rFonts w:hint="eastAsia" w:ascii="宋体" w:hAnsi="宋体" w:eastAsia="宋体" w:cs="宋体"/>
          <w:b w:val="0"/>
          <w:bCs w:val="0"/>
          <w:color w:val="auto"/>
          <w:kern w:val="2"/>
          <w:sz w:val="21"/>
          <w:szCs w:val="21"/>
          <w:lang w:val="en-US" w:eastAsia="zh-CN" w:bidi="ar-SA"/>
        </w:rPr>
        <w:t>.人员配置的具体要求</w:t>
      </w:r>
      <w:bookmarkEnd w:id="24"/>
    </w:p>
    <w:tbl>
      <w:tblPr>
        <w:tblStyle w:val="39"/>
        <w:tblW w:w="8520" w:type="dxa"/>
        <w:jc w:val="center"/>
        <w:tblLayout w:type="fixed"/>
        <w:tblCellMar>
          <w:top w:w="0" w:type="dxa"/>
          <w:left w:w="108" w:type="dxa"/>
          <w:bottom w:w="0" w:type="dxa"/>
          <w:right w:w="108" w:type="dxa"/>
        </w:tblCellMar>
      </w:tblPr>
      <w:tblGrid>
        <w:gridCol w:w="700"/>
        <w:gridCol w:w="1352"/>
        <w:gridCol w:w="850"/>
        <w:gridCol w:w="4890"/>
        <w:gridCol w:w="728"/>
      </w:tblGrid>
      <w:tr>
        <w:tblPrEx>
          <w:tblCellMar>
            <w:top w:w="0" w:type="dxa"/>
            <w:left w:w="108" w:type="dxa"/>
            <w:bottom w:w="0" w:type="dxa"/>
            <w:right w:w="108" w:type="dxa"/>
          </w:tblCellMar>
        </w:tblPrEx>
        <w:trPr>
          <w:trHeight w:val="634"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序号</w:t>
            </w:r>
          </w:p>
        </w:tc>
        <w:tc>
          <w:tcPr>
            <w:tcW w:w="135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职位名称</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人员</w:t>
            </w:r>
          </w:p>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数量</w:t>
            </w:r>
          </w:p>
        </w:tc>
        <w:tc>
          <w:tcPr>
            <w:tcW w:w="489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具体要求</w:t>
            </w:r>
          </w:p>
        </w:tc>
        <w:tc>
          <w:tcPr>
            <w:tcW w:w="72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备注</w:t>
            </w:r>
          </w:p>
        </w:tc>
      </w:tr>
      <w:tr>
        <w:tblPrEx>
          <w:tblCellMar>
            <w:top w:w="0" w:type="dxa"/>
            <w:left w:w="108" w:type="dxa"/>
            <w:bottom w:w="0" w:type="dxa"/>
            <w:right w:w="108" w:type="dxa"/>
          </w:tblCellMar>
        </w:tblPrEx>
        <w:trPr>
          <w:trHeight w:val="634"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w:t>
            </w:r>
          </w:p>
        </w:tc>
        <w:tc>
          <w:tcPr>
            <w:tcW w:w="135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项目负责人</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1人</w:t>
            </w:r>
          </w:p>
        </w:tc>
        <w:tc>
          <w:tcPr>
            <w:tcW w:w="489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男女不限，年龄不超过</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5周岁。</w:t>
            </w:r>
          </w:p>
        </w:tc>
        <w:tc>
          <w:tcPr>
            <w:tcW w:w="72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p>
        </w:tc>
      </w:tr>
      <w:tr>
        <w:tblPrEx>
          <w:tblCellMar>
            <w:top w:w="0" w:type="dxa"/>
            <w:left w:w="108" w:type="dxa"/>
            <w:bottom w:w="0" w:type="dxa"/>
            <w:right w:w="108" w:type="dxa"/>
          </w:tblCellMar>
        </w:tblPrEx>
        <w:trPr>
          <w:jc w:val="center"/>
        </w:trPr>
        <w:tc>
          <w:tcPr>
            <w:tcW w:w="70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w:t>
            </w:r>
          </w:p>
        </w:tc>
        <w:tc>
          <w:tcPr>
            <w:tcW w:w="135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安保人员</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w:t>
            </w: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rPr>
              <w:t>6人</w:t>
            </w:r>
          </w:p>
        </w:tc>
        <w:tc>
          <w:tcPr>
            <w:tcW w:w="489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男女不限，男子年龄不超过55周岁</w:t>
            </w:r>
            <w:r>
              <w:rPr>
                <w:rFonts w:hint="eastAsia" w:ascii="宋体" w:hAnsi="宋体" w:eastAsia="宋体" w:cs="宋体"/>
                <w:b w:val="0"/>
                <w:bCs w:val="0"/>
                <w:color w:val="auto"/>
                <w:sz w:val="21"/>
                <w:szCs w:val="21"/>
                <w:lang w:eastAsia="zh-CN"/>
              </w:rPr>
              <w:t>（有校园保安经历的适当放宽）</w:t>
            </w:r>
            <w:r>
              <w:rPr>
                <w:rFonts w:hint="eastAsia" w:ascii="宋体" w:hAnsi="宋体" w:eastAsia="宋体" w:cs="宋体"/>
                <w:b w:val="0"/>
                <w:bCs w:val="0"/>
                <w:color w:val="auto"/>
                <w:sz w:val="21"/>
                <w:szCs w:val="21"/>
              </w:rPr>
              <w:t>，女子年龄不超过</w:t>
            </w:r>
            <w:r>
              <w:rPr>
                <w:rFonts w:hint="eastAsia" w:ascii="宋体" w:hAnsi="宋体" w:eastAsia="宋体" w:cs="宋体"/>
                <w:b w:val="0"/>
                <w:bCs w:val="0"/>
                <w:color w:val="auto"/>
                <w:sz w:val="21"/>
                <w:szCs w:val="21"/>
                <w:lang w:val="en-US" w:eastAsia="zh-CN"/>
              </w:rPr>
              <w:t>45</w:t>
            </w:r>
            <w:r>
              <w:rPr>
                <w:rFonts w:hint="eastAsia" w:ascii="宋体" w:hAnsi="宋体" w:eastAsia="宋体" w:cs="宋体"/>
                <w:b w:val="0"/>
                <w:bCs w:val="0"/>
                <w:color w:val="auto"/>
                <w:sz w:val="21"/>
                <w:szCs w:val="21"/>
              </w:rPr>
              <w:t>周岁。</w:t>
            </w:r>
          </w:p>
        </w:tc>
        <w:tc>
          <w:tcPr>
            <w:tcW w:w="72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wordWrap/>
              <w:topLinePunct w:val="0"/>
              <w:autoSpaceDE/>
              <w:autoSpaceDN/>
              <w:bidi w:val="0"/>
              <w:snapToGrid/>
              <w:spacing w:line="400" w:lineRule="exact"/>
              <w:ind w:right="0" w:rightChars="0"/>
              <w:jc w:val="center"/>
              <w:textAlignment w:val="auto"/>
              <w:rPr>
                <w:rFonts w:hint="eastAsia" w:ascii="宋体" w:hAnsi="宋体" w:eastAsia="宋体" w:cs="宋体"/>
                <w:b w:val="0"/>
                <w:bCs w:val="0"/>
                <w:color w:val="auto"/>
                <w:sz w:val="21"/>
                <w:szCs w:val="21"/>
              </w:rPr>
            </w:pPr>
          </w:p>
        </w:tc>
      </w:tr>
    </w:tbl>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u w:val="single"/>
        </w:rPr>
      </w:pPr>
      <w:r>
        <w:rPr>
          <w:rFonts w:hint="eastAsia" w:ascii="宋体" w:hAnsi="宋体" w:eastAsia="宋体" w:cs="宋体"/>
          <w:b w:val="0"/>
          <w:bCs w:val="0"/>
          <w:color w:val="auto"/>
          <w:sz w:val="21"/>
          <w:szCs w:val="21"/>
          <w:u w:val="single"/>
        </w:rPr>
        <w:t>注：关键岗、管理岗的人员薪酬请各位投标人自行考虑折算。</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（二）服务内容及要求</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人员配备要求：要求作风正派，无违法犯罪记录，身体健康，精神面貌佳，组织性、纪律性、原则性强，服从学校工作安排，全心全意确保学校安全，自觉遵守学校规章制度；一般为男性，55周岁以下（如学校需要女性保安，年龄为</w:t>
      </w:r>
      <w:r>
        <w:rPr>
          <w:rFonts w:hint="eastAsia" w:ascii="宋体" w:hAnsi="宋体" w:eastAsia="宋体" w:cs="宋体"/>
          <w:b w:val="0"/>
          <w:bCs w:val="0"/>
          <w:color w:val="auto"/>
          <w:sz w:val="21"/>
          <w:szCs w:val="21"/>
          <w:lang w:val="en-US" w:eastAsia="zh-CN"/>
        </w:rPr>
        <w:t>45</w:t>
      </w:r>
      <w:r>
        <w:rPr>
          <w:rFonts w:hint="eastAsia" w:ascii="宋体" w:hAnsi="宋体" w:eastAsia="宋体" w:cs="宋体"/>
          <w:b w:val="0"/>
          <w:bCs w:val="0"/>
          <w:color w:val="auto"/>
          <w:sz w:val="21"/>
          <w:szCs w:val="21"/>
        </w:rPr>
        <w:t>周岁以下），通过岗前培训，须持有公安部门颁发的上岗证书。</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2.须熟练使用安保器械、技防设施（视频监控、智能访客机、防入侵报警装置等）及一键报警装置。</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须严格落实校园封闭式管理要求，按规定做好校园门岗值守，严格做到四个“一律”:即外来人员一律由教职工带入校园并逐一登记，闲散人员一律禁止进入校园，外来车辆未经许可一律禁止进入校园，上学、放学时段一律在门口护送，严防社会闲散人员和危险物品进入校园。按要求及时记录人员、车辆进出及校园检查等情况，做好校园**联络室相关台账的登记整理和保管等。</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教学日在岗时间一般为上午7时至下午18时（具体时间由学校确定），学校工作日确保有2名及以上保安在岗，其他时间及人员数量由学校安排。有学生寄宿的学校根据相关规定执行。学生上学、放学高峰时段，2名保安必须佩戴“五件套（钢盔、防刺背心、武装带、警棍、</w:t>
      </w:r>
      <w:r>
        <w:rPr>
          <w:rFonts w:hint="eastAsia" w:ascii="宋体" w:hAnsi="宋体" w:eastAsia="宋体" w:cs="宋体"/>
          <w:b w:val="0"/>
          <w:bCs w:val="0"/>
          <w:color w:val="auto"/>
          <w:kern w:val="0"/>
          <w:sz w:val="21"/>
          <w:szCs w:val="21"/>
        </w:rPr>
        <w:t>自卫喷雾催泪罐</w:t>
      </w:r>
      <w:r>
        <w:rPr>
          <w:rFonts w:hint="eastAsia" w:ascii="宋体" w:hAnsi="宋体" w:eastAsia="宋体" w:cs="宋体"/>
          <w:b w:val="0"/>
          <w:bCs w:val="0"/>
          <w:color w:val="auto"/>
          <w:sz w:val="21"/>
          <w:szCs w:val="21"/>
        </w:rPr>
        <w:t>）”值岗，并在校门口做好秩序维持；教学日确保1人在**联络室值勤及监控视频；校园巡逻每天不少于5次，并做好相关记录，发现问题及时处置并向学校相关人员报告。</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5.应懂得防火、防盗、防灾害性事故的基本知识和技能，须配合学校做好治安、防盗、防火、防灾害事故等安全保卫工作。</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6.指引外来车辆到指定停车场地，管理好服务区域内机动车和非机动车的停放，及时劝离停在校门外影响交通的车辆。学校有临时接待等活动时，需全力配合校方需求。</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7.及时发现、处置在大门口及周边发生的突发事件并及时报告学校相关人员。</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8.保持校园**联络室的环境卫生，做到物品摆放整洁，**室内无大功率电器。</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9.对派驻学校的保安负有主体责任，在涉及刑事、治安或公共事件中造成危害的，有责任配合有关部门侦查、调查。经相关部门查实，如属于保安纪律等问题而造成危害的，应依法追究当事人责任，触犯刑法者移交司法部门处理；对于学校造成的损失，视情节轻重，赔偿损失。</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（三）总体管理要求</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1.中标单位须履行的职责：在中标后，必须按甲方要求，准时配备保安到位，未及时到位的，甲方可以取消中标人资格，与第二中标人</w:t>
      </w:r>
      <w:r>
        <w:rPr>
          <w:rFonts w:hint="eastAsia" w:ascii="宋体" w:hAnsi="宋体" w:eastAsia="宋体" w:cs="宋体"/>
          <w:b w:val="0"/>
          <w:bCs w:val="0"/>
          <w:color w:val="auto"/>
          <w:sz w:val="21"/>
          <w:szCs w:val="21"/>
          <w:lang w:eastAsia="zh-CN"/>
        </w:rPr>
        <w:t>候选人</w:t>
      </w:r>
      <w:r>
        <w:rPr>
          <w:rFonts w:hint="eastAsia" w:ascii="宋体" w:hAnsi="宋体" w:eastAsia="宋体" w:cs="宋体"/>
          <w:b w:val="0"/>
          <w:bCs w:val="0"/>
          <w:color w:val="auto"/>
          <w:sz w:val="21"/>
          <w:szCs w:val="21"/>
        </w:rPr>
        <w:t>重新签订合作协议；严格按招标项目中的质量要求做好各项工作，确保人员在岗在位、尽职尽责，保证服务质量。</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2.由中标单位按国家规定支付上岗人员的各项工资、津贴、社会保险及其他相关费用。</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中标单位必须对上岗人员按规定进行岗位培训，并对上岗人员定期进行职业道德教育，端正服务态度，提高服务质量。遵守业主单位的各项规章制度及工作规范，维护业主单位形象。对不遵守劳动纪律、作风拖拉的人员，业主单位有权要求更换。</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4.中标单位须</w:t>
      </w:r>
      <w:r>
        <w:rPr>
          <w:rFonts w:hint="eastAsia" w:ascii="宋体" w:hAnsi="宋体" w:eastAsia="宋体" w:cs="宋体"/>
          <w:b w:val="0"/>
          <w:bCs w:val="0"/>
          <w:color w:val="auto"/>
          <w:sz w:val="21"/>
          <w:szCs w:val="21"/>
          <w:lang w:eastAsia="zh-CN"/>
        </w:rPr>
        <w:t>在中标后为</w:t>
      </w:r>
      <w:r>
        <w:rPr>
          <w:rFonts w:hint="eastAsia" w:ascii="宋体" w:hAnsi="宋体" w:eastAsia="宋体" w:cs="宋体"/>
          <w:b w:val="0"/>
          <w:bCs w:val="0"/>
          <w:color w:val="auto"/>
          <w:sz w:val="21"/>
          <w:szCs w:val="21"/>
        </w:rPr>
        <w:t>本项目设立专职管理办公室。中标单位应制定各项内部管理制度，指派专职督导人员进行现场管理，并落实好各项规章制度。</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5.业主单位有权对中标单位工作质量进行定期与不定期考核。质量考核优秀的，业主单位给予中标单位适当奖励（奖励办法另定）。</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（四）其他相关规定</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1.中标单位应按照国家法律法规给每位员工办理用工手续。</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2.中标单位须提供受业主单位认可的安保服务工作标准，接受业主单位的相关规定。</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3.中标单位及其员工应主动配合业主单位行政管理工作，服从调度，听从指挥，认真听取业主单位提出的建议和意见，对在安保服务中出现问题和薄弱环节立即整改。</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4.投诉处理率达100%。</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5.所有工作人员应履行保密义务，做到不打听、不偷看、不传播、不遗失、不擅自处理保密纸物等。</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6.确保设备、设施完好。因员工不慎导致设备、设施损坏、丢失的应按原价赔偿。</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7.建立门卫登记、巡逻，车辆停放以及其他需要记录在案的文档制度，并妥善保管。</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8.捡到物品应及时上交业主单位。</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（五）奖  励</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视中标单位工作情况设立考核奖，奖励细则另行协商制定。</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（六）扣  罚</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1.工作人员因态度恶劣、违规违纪被有效投诉，每人次扣中标单位100元。情节严重的应将违规违纪人员调离业主单位。</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2.业主单位在正常的检查过程中，发现安保人员有下列情形之一的，每人次扣中标单位100元（1-7项，8、9项按实际损失赔偿）：</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（1）服务人员不能熟练使用安保器械、监控操作及一键报警装置。</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（2）服务人员制服混穿，衣帽不整，举止不端。</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（3）服务人员在接待来访人员时服务不周，言行粗鲁。</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（4）工作人员擅离岗位或睡觉的。</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（5）上放学高峰时段未按规定佩戴“五件套”值岗的。</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（6）因服务人员失职而未发现或制止，造成无关人员进入校园的。</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（7）被各级各类安全检查发现安保人员存在的其他问题。</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（8）夜间安保人员因工作失职造成管理区内财产失窃的，由中标单位按实际损失负责赔偿。</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（9）因人为因素造成设备损坏无法修复、工具丢失、按价赔偿。</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（七）中标方需负担的其它支出</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1.通讯费：中标单位自行承担电话、网络等通讯费用。</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2.服装费用：中标单位承担员工的工作服费用。</w:t>
      </w:r>
    </w:p>
    <w:p>
      <w:pPr>
        <w:keepNext w:val="0"/>
        <w:keepLines w:val="0"/>
        <w:pageBreakBefore w:val="0"/>
        <w:widowControl w:val="0"/>
        <w:wordWrap/>
        <w:topLinePunct w:val="0"/>
        <w:autoSpaceDE/>
        <w:autoSpaceDN/>
        <w:bidi w:val="0"/>
        <w:snapToGrid/>
        <w:spacing w:line="400" w:lineRule="exact"/>
        <w:ind w:right="0" w:rightChars="0" w:firstLine="411" w:firstLineChars="196"/>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3.物资器材：对讲机、橡胶警棍、武装带、各项表单及耗材等。</w:t>
      </w:r>
    </w:p>
    <w:p>
      <w:pPr>
        <w:keepNext w:val="0"/>
        <w:keepLines w:val="0"/>
        <w:pageBreakBefore w:val="0"/>
        <w:widowControl w:val="0"/>
        <w:wordWrap/>
        <w:topLinePunct w:val="0"/>
        <w:autoSpaceDE/>
        <w:autoSpaceDN/>
        <w:bidi w:val="0"/>
        <w:snapToGrid/>
        <w:spacing w:line="400" w:lineRule="exact"/>
        <w:ind w:right="0" w:rightChars="0"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二、服务费用及补充说明</w:t>
      </w:r>
    </w:p>
    <w:p>
      <w:pPr>
        <w:keepNext w:val="0"/>
        <w:keepLines w:val="0"/>
        <w:pageBreakBefore w:val="0"/>
        <w:widowControl w:val="0"/>
        <w:wordWrap/>
        <w:topLinePunct w:val="0"/>
        <w:autoSpaceDE/>
        <w:autoSpaceDN/>
        <w:bidi w:val="0"/>
        <w:snapToGrid/>
        <w:spacing w:line="400" w:lineRule="exact"/>
        <w:ind w:right="0" w:rightChars="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   （一）服务费用包括以下内容：</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1.所有人员费用【工资、各类福利和补贴（如高温补贴、加班补贴等）、社保（五金）、各种保险、培训费、服装费】；</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2.行政办公费用；</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3.其他费用；</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4.上述部分的管理费；</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5.上述部分的税金；</w:t>
      </w:r>
    </w:p>
    <w:p>
      <w:pPr>
        <w:keepNext w:val="0"/>
        <w:keepLines w:val="0"/>
        <w:pageBreakBefore w:val="0"/>
        <w:widowControl w:val="0"/>
        <w:wordWrap/>
        <w:topLinePunct w:val="0"/>
        <w:autoSpaceDE/>
        <w:autoSpaceDN/>
        <w:bidi w:val="0"/>
        <w:snapToGrid/>
        <w:spacing w:line="400" w:lineRule="exact"/>
        <w:ind w:right="0" w:rightChars="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   （二）其它补充说明</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1.本次招标委托方委托中标单位服务管理期限为</w:t>
      </w:r>
      <w:r>
        <w:rPr>
          <w:rFonts w:hint="eastAsia" w:ascii="宋体" w:hAnsi="宋体" w:eastAsia="宋体" w:cs="宋体"/>
          <w:b w:val="0"/>
          <w:bCs w:val="0"/>
          <w:color w:val="auto"/>
          <w:sz w:val="21"/>
          <w:szCs w:val="21"/>
          <w:lang w:eastAsia="zh-CN"/>
        </w:rPr>
        <w:t>三</w:t>
      </w:r>
      <w:r>
        <w:rPr>
          <w:rFonts w:hint="eastAsia" w:ascii="宋体" w:hAnsi="宋体" w:eastAsia="宋体" w:cs="宋体"/>
          <w:b w:val="0"/>
          <w:bCs w:val="0"/>
          <w:color w:val="auto"/>
          <w:sz w:val="21"/>
          <w:szCs w:val="21"/>
        </w:rPr>
        <w:t>年。</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2.管理合同为一年一签，一年结束后，经考核，如甲方满意，双方协商一致同意后续签</w:t>
      </w:r>
      <w:r>
        <w:rPr>
          <w:rFonts w:hint="eastAsia" w:ascii="宋体" w:hAnsi="宋体" w:eastAsia="宋体" w:cs="宋体"/>
          <w:b w:val="0"/>
          <w:bCs w:val="0"/>
          <w:color w:val="auto"/>
          <w:sz w:val="21"/>
          <w:szCs w:val="21"/>
          <w:lang w:eastAsia="zh-CN"/>
        </w:rPr>
        <w:t>下一</w:t>
      </w:r>
      <w:r>
        <w:rPr>
          <w:rFonts w:hint="eastAsia" w:ascii="宋体" w:hAnsi="宋体" w:eastAsia="宋体" w:cs="宋体"/>
          <w:b w:val="0"/>
          <w:bCs w:val="0"/>
          <w:color w:val="auto"/>
          <w:sz w:val="21"/>
          <w:szCs w:val="21"/>
        </w:rPr>
        <w:t>年管理合同；若考核不满意，则终止合同。</w:t>
      </w:r>
    </w:p>
    <w:p>
      <w:pPr>
        <w:keepNext w:val="0"/>
        <w:keepLines w:val="0"/>
        <w:pageBreakBefore w:val="0"/>
        <w:widowControl w:val="0"/>
        <w:wordWrap/>
        <w:topLinePunct w:val="0"/>
        <w:autoSpaceDE/>
        <w:autoSpaceDN/>
        <w:bidi w:val="0"/>
        <w:snapToGrid/>
        <w:spacing w:line="400" w:lineRule="exact"/>
        <w:ind w:right="0" w:rightChars="0" w:firstLine="48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3.委托方每年对该服务进行考核，考核结果与服务费挂钩，具体在管理合同中明确。</w:t>
      </w:r>
    </w:p>
    <w:p>
      <w:pPr>
        <w:keepNext w:val="0"/>
        <w:keepLines w:val="0"/>
        <w:pageBreakBefore w:val="0"/>
        <w:widowControl w:val="0"/>
        <w:wordWrap/>
        <w:topLinePunct w:val="0"/>
        <w:autoSpaceDE/>
        <w:autoSpaceDN/>
        <w:bidi w:val="0"/>
        <w:snapToGrid/>
        <w:spacing w:line="400" w:lineRule="exact"/>
        <w:ind w:right="0" w:rightChars="0" w:firstLine="48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4.服务采用包干制。中标单位根据有关法规与委托方签订服务合同，对本项目实行管理，自主经营，自负盈亏。</w:t>
      </w:r>
    </w:p>
    <w:p>
      <w:pPr>
        <w:keepNext w:val="0"/>
        <w:keepLines w:val="0"/>
        <w:pageBreakBefore w:val="0"/>
        <w:widowControl w:val="0"/>
        <w:wordWrap/>
        <w:topLinePunct w:val="0"/>
        <w:autoSpaceDE/>
        <w:autoSpaceDN/>
        <w:bidi w:val="0"/>
        <w:snapToGrid/>
        <w:spacing w:line="400" w:lineRule="exact"/>
        <w:ind w:right="0" w:rightChars="0" w:firstLine="48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5.中标单位必须严格管理，制订相应的规章制度，人员要坚守岗位，服从管理，做到服务第一，质量第一。</w:t>
      </w:r>
    </w:p>
    <w:p>
      <w:pPr>
        <w:keepNext w:val="0"/>
        <w:keepLines w:val="0"/>
        <w:pageBreakBefore w:val="0"/>
        <w:widowControl w:val="0"/>
        <w:wordWrap/>
        <w:topLinePunct w:val="0"/>
        <w:autoSpaceDE/>
        <w:autoSpaceDN/>
        <w:bidi w:val="0"/>
        <w:snapToGrid/>
        <w:spacing w:line="400" w:lineRule="exact"/>
        <w:ind w:right="0" w:rightChars="0" w:firstLine="48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6.中标方和委派人员应遵守国家法律法规和委托方的规章制度，违者依法必究。派驻人员应服从委托方管理和指导，若不服从，中标方应在5天时间内调换人员。</w:t>
      </w:r>
    </w:p>
    <w:p>
      <w:pPr>
        <w:keepNext w:val="0"/>
        <w:keepLines w:val="0"/>
        <w:pageBreakBefore w:val="0"/>
        <w:widowControl w:val="0"/>
        <w:wordWrap/>
        <w:topLinePunct w:val="0"/>
        <w:autoSpaceDE/>
        <w:autoSpaceDN/>
        <w:bidi w:val="0"/>
        <w:snapToGrid/>
        <w:spacing w:line="400" w:lineRule="exact"/>
        <w:ind w:right="0" w:rightChars="0" w:firstLine="48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7.管理用房。在委托管理期限内委托方免费提供相应的管理用房，具体根据委托方的实际与管理要求而定。</w:t>
      </w:r>
    </w:p>
    <w:p>
      <w:pPr>
        <w:keepNext w:val="0"/>
        <w:keepLines w:val="0"/>
        <w:pageBreakBefore w:val="0"/>
        <w:widowControl w:val="0"/>
        <w:wordWrap/>
        <w:topLinePunct w:val="0"/>
        <w:autoSpaceDE/>
        <w:autoSpaceDN/>
        <w:bidi w:val="0"/>
        <w:snapToGrid/>
        <w:spacing w:line="400" w:lineRule="exact"/>
        <w:ind w:right="0" w:rightChars="0"/>
        <w:textAlignment w:val="auto"/>
        <w:rPr>
          <w:rFonts w:hint="eastAsia" w:ascii="宋体" w:hAnsi="宋体" w:eastAsia="宋体" w:cs="宋体"/>
          <w:b w:val="0"/>
          <w:bCs w:val="0"/>
          <w:color w:val="auto"/>
          <w:sz w:val="21"/>
          <w:szCs w:val="21"/>
        </w:rPr>
      </w:pPr>
    </w:p>
    <w:p>
      <w:pPr>
        <w:keepNext w:val="0"/>
        <w:keepLines w:val="0"/>
        <w:pageBreakBefore w:val="0"/>
        <w:widowControl w:val="0"/>
        <w:wordWrap/>
        <w:topLinePunct w:val="0"/>
        <w:autoSpaceDE/>
        <w:autoSpaceDN/>
        <w:bidi w:val="0"/>
        <w:snapToGrid/>
        <w:spacing w:line="400" w:lineRule="exact"/>
        <w:ind w:right="0" w:rightChars="0"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三、注意事项</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1.中标人不得将项目非法分包或整体转包给任何单位和个人。否则，业主单位有权即刻终止合同，并要求中标人赔偿相应损失。</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2.投标人若认为招标文件的技术要求或其他要求有倾向性或不公正性，可在招标答疑阶段提出，以维护招标行为的公平、公正。</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3.投标人使用的标准必须是国际公认或国家、或地方政府颁布的同等或更高的标准，如投标人使用的标准低于上述标准</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评标委员会将有权不予接受，投标人必须列表将明显的差异详细说明。</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4.如投标人提交伪造资质证书、合同文件，一经发现按有关规定进行处罚,投标保证金不予退还，并在宁波市江北区公共资源交易中心网上公布。</w:t>
      </w:r>
    </w:p>
    <w:p>
      <w:pPr>
        <w:keepNext w:val="0"/>
        <w:keepLines w:val="0"/>
        <w:pageBreakBefore w:val="0"/>
        <w:widowControl w:val="0"/>
        <w:wordWrap/>
        <w:topLinePunct w:val="0"/>
        <w:autoSpaceDE/>
        <w:autoSpaceDN/>
        <w:bidi w:val="0"/>
        <w:snapToGrid/>
        <w:spacing w:line="400" w:lineRule="exact"/>
        <w:ind w:right="0" w:righ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5.违反招标文件规定及在投标过程中违法违纪，或以任何形式采取不正当竞争手段的，一经查实，由招标单位按规定给予处罚，取消本次投标资格，已经中标的终止委托管理合同，一切后果由责任者自负。</w:t>
      </w:r>
    </w:p>
    <w:p>
      <w:pPr>
        <w:keepNext w:val="0"/>
        <w:keepLines w:val="0"/>
        <w:pageBreakBefore w:val="0"/>
        <w:widowControl w:val="0"/>
        <w:wordWrap/>
        <w:topLinePunct w:val="0"/>
        <w:autoSpaceDE/>
        <w:autoSpaceDN/>
        <w:bidi w:val="0"/>
        <w:snapToGrid/>
        <w:spacing w:line="400" w:lineRule="exact"/>
        <w:ind w:right="0" w:rightChars="0" w:firstLine="472" w:firstLineChars="225"/>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6.中标人的业务安排：</w:t>
      </w:r>
    </w:p>
    <w:p>
      <w:pPr>
        <w:keepNext w:val="0"/>
        <w:keepLines w:val="0"/>
        <w:pageBreakBefore w:val="0"/>
        <w:widowControl w:val="0"/>
        <w:wordWrap/>
        <w:topLinePunct w:val="0"/>
        <w:autoSpaceDE/>
        <w:autoSpaceDN/>
        <w:bidi w:val="0"/>
        <w:snapToGrid/>
        <w:spacing w:line="400" w:lineRule="exact"/>
        <w:ind w:right="0" w:rightChars="0" w:firstLine="577" w:firstLineChars="275"/>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6.1.由江北区教育局统计全年下属学校所有的安保岗位数量，由中标人承接下属学校安保岗位数量。</w:t>
      </w:r>
    </w:p>
    <w:p>
      <w:pPr>
        <w:keepNext w:val="0"/>
        <w:keepLines w:val="0"/>
        <w:pageBreakBefore w:val="0"/>
        <w:widowControl w:val="0"/>
        <w:wordWrap/>
        <w:topLinePunct w:val="0"/>
        <w:autoSpaceDE/>
        <w:autoSpaceDN/>
        <w:bidi w:val="0"/>
        <w:snapToGrid/>
        <w:spacing w:line="400" w:lineRule="exact"/>
        <w:ind w:right="0" w:rightChars="0" w:firstLine="525" w:firstLineChars="25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6.2.由江北区教育局下属各学校与中标人签订保安服务合同。</w:t>
      </w:r>
    </w:p>
    <w:p>
      <w:pPr>
        <w:pStyle w:val="17"/>
        <w:keepNext w:val="0"/>
        <w:keepLines w:val="0"/>
        <w:pageBreakBefore w:val="0"/>
        <w:widowControl w:val="0"/>
        <w:wordWrap/>
        <w:topLinePunct w:val="0"/>
        <w:bidi w:val="0"/>
        <w:spacing w:after="0" w:line="400" w:lineRule="exact"/>
        <w:ind w:right="0" w:rightChars="0"/>
        <w:rPr>
          <w:rFonts w:hint="eastAsia" w:ascii="宋体" w:hAnsi="宋体" w:eastAsia="宋体" w:cs="宋体"/>
          <w:color w:val="auto"/>
          <w:sz w:val="21"/>
          <w:szCs w:val="21"/>
        </w:rPr>
      </w:pPr>
    </w:p>
    <w:p>
      <w:pPr>
        <w:keepNext w:val="0"/>
        <w:keepLines w:val="0"/>
        <w:pageBreakBefore w:val="0"/>
        <w:widowControl w:val="0"/>
        <w:wordWrap/>
        <w:topLinePunct w:val="0"/>
        <w:autoSpaceDE/>
        <w:autoSpaceDN/>
        <w:bidi w:val="0"/>
        <w:snapToGrid/>
        <w:spacing w:line="400" w:lineRule="exact"/>
        <w:ind w:right="0" w:rightChars="0"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四、考核标准</w:t>
      </w:r>
    </w:p>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b/>
          <w:color w:val="auto"/>
          <w:kern w:val="0"/>
          <w:sz w:val="21"/>
          <w:szCs w:val="21"/>
          <w:lang w:eastAsia="zh-CN"/>
        </w:rPr>
      </w:pPr>
      <w:r>
        <w:rPr>
          <w:rFonts w:hint="eastAsia" w:ascii="宋体" w:hAnsi="宋体" w:eastAsia="宋体" w:cs="宋体"/>
          <w:b/>
          <w:color w:val="auto"/>
          <w:kern w:val="0"/>
          <w:sz w:val="21"/>
          <w:szCs w:val="21"/>
        </w:rPr>
        <w:t>宁波市江北区教育局安保服务考核</w:t>
      </w:r>
      <w:r>
        <w:rPr>
          <w:rFonts w:hint="eastAsia" w:ascii="宋体" w:hAnsi="宋体" w:eastAsia="宋体" w:cs="宋体"/>
          <w:b/>
          <w:color w:val="auto"/>
          <w:kern w:val="0"/>
          <w:sz w:val="21"/>
          <w:szCs w:val="21"/>
          <w:lang w:eastAsia="zh-CN"/>
        </w:rPr>
        <w:t>办法</w:t>
      </w:r>
    </w:p>
    <w:p>
      <w:pPr>
        <w:keepNext w:val="0"/>
        <w:keepLines w:val="0"/>
        <w:pageBreakBefore w:val="0"/>
        <w:widowControl w:val="0"/>
        <w:kinsoku/>
        <w:wordWrap/>
        <w:overflowPunct/>
        <w:topLinePunct w:val="0"/>
        <w:autoSpaceDE/>
        <w:autoSpaceDN/>
        <w:bidi w:val="0"/>
        <w:adjustRightInd/>
        <w:snapToGrid w:val="0"/>
        <w:spacing w:line="400" w:lineRule="exact"/>
        <w:ind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采购人对成交供应商的</w:t>
      </w:r>
      <w:r>
        <w:rPr>
          <w:rFonts w:hint="eastAsia" w:ascii="宋体" w:hAnsi="宋体" w:eastAsia="宋体" w:cs="宋体"/>
          <w:color w:val="auto"/>
          <w:sz w:val="21"/>
          <w:szCs w:val="21"/>
          <w:lang w:eastAsia="zh-CN"/>
        </w:rPr>
        <w:t>安保</w:t>
      </w:r>
      <w:r>
        <w:rPr>
          <w:rFonts w:hint="eastAsia" w:ascii="宋体" w:hAnsi="宋体" w:eastAsia="宋体" w:cs="宋体"/>
          <w:color w:val="auto"/>
          <w:sz w:val="21"/>
          <w:szCs w:val="21"/>
        </w:rPr>
        <w:t>服务进行全过程监管，成交供应商工作不到位，不达标或有违约现象，采购人将作出相应的违约处理与处罚；考核周期以每季度为一个周期。</w:t>
      </w:r>
    </w:p>
    <w:p>
      <w:pPr>
        <w:keepNext w:val="0"/>
        <w:keepLines w:val="0"/>
        <w:pageBreakBefore w:val="0"/>
        <w:widowControl w:val="0"/>
        <w:kinsoku/>
        <w:wordWrap/>
        <w:overflowPunct/>
        <w:topLinePunct w:val="0"/>
        <w:autoSpaceDE/>
        <w:autoSpaceDN/>
        <w:bidi w:val="0"/>
        <w:adjustRightInd/>
        <w:snapToGrid w:val="0"/>
        <w:spacing w:line="400" w:lineRule="exact"/>
        <w:ind w:right="0" w:righ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二、</w:t>
      </w:r>
      <w:r>
        <w:rPr>
          <w:rFonts w:hint="eastAsia" w:ascii="宋体" w:hAnsi="宋体" w:eastAsia="宋体" w:cs="宋体"/>
          <w:color w:val="auto"/>
          <w:sz w:val="21"/>
          <w:szCs w:val="21"/>
        </w:rPr>
        <w:t>考核标准</w:t>
      </w:r>
      <w:r>
        <w:rPr>
          <w:rFonts w:hint="eastAsia" w:ascii="宋体" w:hAnsi="宋体" w:eastAsia="宋体" w:cs="宋体"/>
          <w:color w:val="auto"/>
          <w:sz w:val="21"/>
          <w:szCs w:val="21"/>
          <w:lang w:eastAsia="zh-CN"/>
        </w:rPr>
        <w:t>：</w:t>
      </w:r>
    </w:p>
    <w:tbl>
      <w:tblPr>
        <w:tblStyle w:val="3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6459"/>
        <w:gridCol w:w="625"/>
        <w:gridCol w:w="465"/>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6459"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考核内容</w:t>
            </w:r>
          </w:p>
        </w:tc>
        <w:tc>
          <w:tcPr>
            <w:tcW w:w="62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满</w:t>
            </w:r>
            <w:r>
              <w:rPr>
                <w:rFonts w:hint="eastAsia" w:ascii="宋体" w:hAnsi="宋体" w:eastAsia="宋体" w:cs="宋体"/>
                <w:color w:val="auto"/>
                <w:sz w:val="21"/>
                <w:szCs w:val="21"/>
              </w:rPr>
              <w:t>分</w:t>
            </w:r>
          </w:p>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值</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考核分</w:t>
            </w: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459" w:type="dxa"/>
            <w:noWrap w:val="0"/>
            <w:vAlign w:val="center"/>
          </w:tcPr>
          <w:p>
            <w:pPr>
              <w:keepNext w:val="0"/>
              <w:keepLines w:val="0"/>
              <w:pageBreakBefore w:val="0"/>
              <w:widowControl w:val="0"/>
              <w:wordWrap/>
              <w:topLinePunct w:val="0"/>
              <w:bidi w:val="0"/>
              <w:spacing w:line="400" w:lineRule="exact"/>
              <w:ind w:right="0" w:rightChars="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遵守学校工作纪律，按规定时间上下班，不迟到、早退，有病有事向校方管理人员请假。值岗期间不得私自换岗、缺岗、串岗，不得上岗前及值岗期间饮酒，不得有在值岗时打瞌睡、玩手机等与工作无关的行为，不得将无关人员引入**室、监控室陪岗、闲聊。</w:t>
            </w:r>
          </w:p>
        </w:tc>
        <w:tc>
          <w:tcPr>
            <w:tcW w:w="62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6459" w:type="dxa"/>
            <w:noWrap w:val="0"/>
            <w:vAlign w:val="center"/>
          </w:tcPr>
          <w:p>
            <w:pPr>
              <w:keepNext w:val="0"/>
              <w:keepLines w:val="0"/>
              <w:pageBreakBefore w:val="0"/>
              <w:widowControl w:val="0"/>
              <w:wordWrap/>
              <w:topLinePunct w:val="0"/>
              <w:bidi w:val="0"/>
              <w:spacing w:line="400" w:lineRule="exact"/>
              <w:ind w:right="0" w:rightChars="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言行举止文明礼貌，对师生、访客等热情大方，无粗鲁言行。</w:t>
            </w:r>
          </w:p>
        </w:tc>
        <w:tc>
          <w:tcPr>
            <w:tcW w:w="62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6459" w:type="dxa"/>
            <w:noWrap w:val="0"/>
            <w:vAlign w:val="center"/>
          </w:tcPr>
          <w:p>
            <w:pPr>
              <w:keepNext w:val="0"/>
              <w:keepLines w:val="0"/>
              <w:pageBreakBefore w:val="0"/>
              <w:widowControl w:val="0"/>
              <w:wordWrap/>
              <w:topLinePunct w:val="0"/>
              <w:bidi w:val="0"/>
              <w:spacing w:line="400" w:lineRule="exact"/>
              <w:ind w:right="0" w:rightChars="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执勤期间规范着装，仪容仪表端庄整洁，无制服混穿情况。</w:t>
            </w:r>
          </w:p>
        </w:tc>
        <w:tc>
          <w:tcPr>
            <w:tcW w:w="62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6459" w:type="dxa"/>
            <w:noWrap w:val="0"/>
            <w:vAlign w:val="center"/>
          </w:tcPr>
          <w:p>
            <w:pPr>
              <w:keepNext w:val="0"/>
              <w:keepLines w:val="0"/>
              <w:pageBreakBefore w:val="0"/>
              <w:widowControl w:val="0"/>
              <w:wordWrap/>
              <w:topLinePunct w:val="0"/>
              <w:bidi w:val="0"/>
              <w:spacing w:line="400" w:lineRule="exact"/>
              <w:ind w:right="0" w:rightChars="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熟练使用</w:t>
            </w:r>
            <w:r>
              <w:rPr>
                <w:rFonts w:hint="eastAsia" w:ascii="宋体" w:hAnsi="宋体" w:eastAsia="宋体" w:cs="宋体"/>
                <w:color w:val="auto"/>
                <w:sz w:val="21"/>
                <w:szCs w:val="21"/>
                <w:lang w:eastAsia="zh-CN"/>
              </w:rPr>
              <w:t>物防</w:t>
            </w:r>
            <w:r>
              <w:rPr>
                <w:rFonts w:hint="eastAsia" w:ascii="宋体" w:hAnsi="宋体" w:eastAsia="宋体" w:cs="宋体"/>
                <w:color w:val="auto"/>
                <w:sz w:val="21"/>
                <w:szCs w:val="21"/>
              </w:rPr>
              <w:t>器械、监控</w:t>
            </w:r>
            <w:r>
              <w:rPr>
                <w:rFonts w:hint="eastAsia" w:ascii="宋体" w:hAnsi="宋体" w:eastAsia="宋体" w:cs="宋体"/>
                <w:color w:val="auto"/>
                <w:sz w:val="21"/>
                <w:szCs w:val="21"/>
                <w:lang w:eastAsia="zh-CN"/>
              </w:rPr>
              <w:t>、访客、防入侵报警</w:t>
            </w:r>
            <w:r>
              <w:rPr>
                <w:rFonts w:hint="eastAsia" w:ascii="宋体" w:hAnsi="宋体" w:eastAsia="宋体" w:cs="宋体"/>
                <w:color w:val="auto"/>
                <w:sz w:val="21"/>
                <w:szCs w:val="21"/>
              </w:rPr>
              <w:t>及</w:t>
            </w:r>
            <w:r>
              <w:rPr>
                <w:rFonts w:hint="eastAsia" w:ascii="宋体" w:hAnsi="宋体" w:eastAsia="宋体" w:cs="宋体"/>
                <w:color w:val="auto"/>
                <w:sz w:val="21"/>
                <w:szCs w:val="21"/>
                <w:lang w:val="en-US" w:eastAsia="zh-CN"/>
              </w:rPr>
              <w:t>CK</w:t>
            </w:r>
            <w:r>
              <w:rPr>
                <w:rFonts w:hint="eastAsia" w:ascii="宋体" w:hAnsi="宋体" w:eastAsia="宋体" w:cs="宋体"/>
                <w:color w:val="auto"/>
                <w:sz w:val="21"/>
                <w:szCs w:val="21"/>
              </w:rPr>
              <w:t>报警</w:t>
            </w:r>
            <w:r>
              <w:rPr>
                <w:rFonts w:hint="eastAsia" w:ascii="宋体" w:hAnsi="宋体" w:eastAsia="宋体" w:cs="宋体"/>
                <w:color w:val="auto"/>
                <w:sz w:val="21"/>
                <w:szCs w:val="21"/>
                <w:lang w:eastAsia="zh-CN"/>
              </w:rPr>
              <w:t>等设施，按要求进行测试与检查，并规范记录。</w:t>
            </w:r>
          </w:p>
        </w:tc>
        <w:tc>
          <w:tcPr>
            <w:tcW w:w="62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459" w:type="dxa"/>
            <w:noWrap w:val="0"/>
            <w:vAlign w:val="center"/>
          </w:tcPr>
          <w:p>
            <w:pPr>
              <w:keepNext w:val="0"/>
              <w:keepLines w:val="0"/>
              <w:pageBreakBefore w:val="0"/>
              <w:widowControl w:val="0"/>
              <w:wordWrap/>
              <w:topLinePunct w:val="0"/>
              <w:bidi w:val="0"/>
              <w:spacing w:line="400" w:lineRule="exact"/>
              <w:ind w:right="0" w:rightChars="0"/>
              <w:jc w:val="left"/>
              <w:rPr>
                <w:rFonts w:hint="eastAsia" w:ascii="宋体" w:hAnsi="宋体" w:eastAsia="宋体" w:cs="宋体"/>
                <w:color w:val="auto"/>
                <w:sz w:val="21"/>
                <w:szCs w:val="21"/>
              </w:rPr>
            </w:pPr>
            <w:r>
              <w:rPr>
                <w:rFonts w:hint="eastAsia" w:ascii="宋体" w:hAnsi="宋体" w:eastAsia="宋体" w:cs="宋体"/>
                <w:color w:val="auto"/>
                <w:sz w:val="21"/>
                <w:szCs w:val="21"/>
              </w:rPr>
              <w:t>加强校园门岗值守，严格做到四个“一律”:即外来人员一律由教职工带入校园并逐一登记，闲散人员一律禁止进入校园，外来车辆未经许可一律禁止进入校园，上学、放学时段一律安排教师和保安人员在门口护送，严防社会闲散人员和危险物品进入校园。</w:t>
            </w:r>
          </w:p>
        </w:tc>
        <w:tc>
          <w:tcPr>
            <w:tcW w:w="62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6459" w:type="dxa"/>
            <w:noWrap w:val="0"/>
            <w:vAlign w:val="center"/>
          </w:tcPr>
          <w:p>
            <w:pPr>
              <w:keepNext w:val="0"/>
              <w:keepLines w:val="0"/>
              <w:pageBreakBefore w:val="0"/>
              <w:widowControl w:val="0"/>
              <w:wordWrap/>
              <w:topLinePunct w:val="0"/>
              <w:bidi w:val="0"/>
              <w:spacing w:line="400" w:lineRule="exact"/>
              <w:ind w:right="0" w:rightChars="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学生上学、放学高峰时段，保安须佩戴“五件套（钢盔、防刺背心、武装带</w:t>
            </w:r>
            <w:r>
              <w:rPr>
                <w:rFonts w:hint="eastAsia" w:ascii="宋体" w:hAnsi="宋体" w:eastAsia="宋体" w:cs="宋体"/>
                <w:color w:val="auto"/>
                <w:sz w:val="21"/>
                <w:szCs w:val="21"/>
                <w:lang w:eastAsia="zh-CN"/>
              </w:rPr>
              <w:t>（含防割手套、警哨等器具）</w:t>
            </w:r>
            <w:r>
              <w:rPr>
                <w:rFonts w:hint="eastAsia" w:ascii="宋体" w:hAnsi="宋体" w:eastAsia="宋体" w:cs="宋体"/>
                <w:color w:val="auto"/>
                <w:sz w:val="21"/>
                <w:szCs w:val="21"/>
              </w:rPr>
              <w:t>、警棍、</w:t>
            </w:r>
            <w:r>
              <w:rPr>
                <w:rFonts w:hint="eastAsia" w:ascii="宋体" w:hAnsi="宋体" w:eastAsia="宋体" w:cs="宋体"/>
                <w:color w:val="auto"/>
                <w:kern w:val="0"/>
                <w:sz w:val="21"/>
                <w:szCs w:val="21"/>
              </w:rPr>
              <w:t>自卫喷雾催泪罐</w:t>
            </w:r>
            <w:r>
              <w:rPr>
                <w:rFonts w:hint="eastAsia" w:ascii="宋体" w:hAnsi="宋体" w:eastAsia="宋体" w:cs="宋体"/>
                <w:color w:val="auto"/>
                <w:sz w:val="21"/>
                <w:szCs w:val="21"/>
              </w:rPr>
              <w:t>）”值岗，并在校门口做好秩序维持</w:t>
            </w:r>
            <w:r>
              <w:rPr>
                <w:rFonts w:hint="eastAsia" w:ascii="宋体" w:hAnsi="宋体" w:eastAsia="宋体" w:cs="宋体"/>
                <w:color w:val="auto"/>
                <w:sz w:val="21"/>
                <w:szCs w:val="21"/>
                <w:lang w:eastAsia="zh-CN"/>
              </w:rPr>
              <w:t>。</w:t>
            </w:r>
          </w:p>
        </w:tc>
        <w:tc>
          <w:tcPr>
            <w:tcW w:w="62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教学时间段</w:t>
            </w:r>
            <w:r>
              <w:rPr>
                <w:rFonts w:hint="eastAsia" w:ascii="宋体" w:hAnsi="宋体" w:eastAsia="宋体" w:cs="宋体"/>
                <w:color w:val="auto"/>
                <w:sz w:val="21"/>
                <w:szCs w:val="21"/>
              </w:rPr>
              <w:t>确保1人在**联络室值勤</w:t>
            </w:r>
            <w:r>
              <w:rPr>
                <w:rFonts w:hint="eastAsia" w:ascii="宋体" w:hAnsi="宋体" w:eastAsia="宋体" w:cs="宋体"/>
                <w:color w:val="auto"/>
                <w:sz w:val="21"/>
                <w:szCs w:val="21"/>
                <w:lang w:eastAsia="zh-CN"/>
              </w:rPr>
              <w:t>，另一</w:t>
            </w:r>
            <w:r>
              <w:rPr>
                <w:rFonts w:hint="eastAsia" w:ascii="宋体" w:hAnsi="宋体" w:eastAsia="宋体" w:cs="宋体"/>
                <w:color w:val="auto"/>
                <w:sz w:val="21"/>
                <w:szCs w:val="21"/>
              </w:rPr>
              <w:t>1人监控视频</w:t>
            </w:r>
            <w:r>
              <w:rPr>
                <w:rFonts w:hint="eastAsia" w:ascii="宋体" w:hAnsi="宋体" w:eastAsia="宋体" w:cs="宋体"/>
                <w:color w:val="auto"/>
                <w:sz w:val="21"/>
                <w:szCs w:val="21"/>
                <w:lang w:eastAsia="zh-CN"/>
              </w:rPr>
              <w:t>或</w:t>
            </w:r>
            <w:r>
              <w:rPr>
                <w:rFonts w:hint="eastAsia" w:ascii="宋体" w:hAnsi="宋体" w:eastAsia="宋体" w:cs="宋体"/>
                <w:color w:val="auto"/>
                <w:sz w:val="21"/>
                <w:szCs w:val="21"/>
              </w:rPr>
              <w:t>校园巡逻</w:t>
            </w:r>
            <w:r>
              <w:rPr>
                <w:rFonts w:hint="eastAsia" w:ascii="宋体" w:hAnsi="宋体" w:eastAsia="宋体" w:cs="宋体"/>
                <w:color w:val="auto"/>
                <w:sz w:val="21"/>
                <w:szCs w:val="21"/>
                <w:lang w:eastAsia="zh-CN"/>
              </w:rPr>
              <w:t>，校园巡查</w:t>
            </w:r>
            <w:r>
              <w:rPr>
                <w:rFonts w:hint="eastAsia" w:ascii="宋体" w:hAnsi="宋体" w:eastAsia="宋体" w:cs="宋体"/>
                <w:color w:val="auto"/>
                <w:sz w:val="21"/>
                <w:szCs w:val="21"/>
              </w:rPr>
              <w:t>每天不少于5次，并作记录</w:t>
            </w:r>
            <w:r>
              <w:rPr>
                <w:rFonts w:hint="eastAsia" w:ascii="宋体" w:hAnsi="宋体" w:eastAsia="宋体" w:cs="宋体"/>
                <w:color w:val="auto"/>
                <w:sz w:val="21"/>
                <w:szCs w:val="21"/>
                <w:lang w:eastAsia="zh-CN"/>
              </w:rPr>
              <w:t>（寄宿制学校夜巡另按规定）</w:t>
            </w:r>
            <w:r>
              <w:rPr>
                <w:rFonts w:hint="eastAsia" w:ascii="宋体" w:hAnsi="宋体" w:eastAsia="宋体" w:cs="宋体"/>
                <w:color w:val="auto"/>
                <w:sz w:val="21"/>
                <w:szCs w:val="21"/>
              </w:rPr>
              <w:t>。</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规范登记**室台账（涉及</w:t>
            </w:r>
            <w:r>
              <w:rPr>
                <w:rFonts w:hint="eastAsia" w:ascii="宋体" w:hAnsi="宋体" w:eastAsia="宋体" w:cs="宋体"/>
                <w:color w:val="auto"/>
                <w:sz w:val="21"/>
                <w:szCs w:val="21"/>
                <w:lang w:val="en-US" w:eastAsia="zh-CN"/>
              </w:rPr>
              <w:t>6本</w:t>
            </w:r>
            <w:r>
              <w:rPr>
                <w:rFonts w:hint="eastAsia" w:ascii="宋体" w:hAnsi="宋体" w:eastAsia="宋体" w:cs="宋体"/>
                <w:color w:val="auto"/>
                <w:sz w:val="21"/>
                <w:szCs w:val="21"/>
                <w:lang w:eastAsia="zh-CN"/>
              </w:rPr>
              <w:t>），无漏记迟记乱记等情况，安全巡查发现问题及时处置，</w:t>
            </w:r>
            <w:r>
              <w:rPr>
                <w:rFonts w:hint="eastAsia" w:ascii="宋体" w:hAnsi="宋体" w:eastAsia="宋体" w:cs="宋体"/>
                <w:color w:val="auto"/>
                <w:sz w:val="21"/>
                <w:szCs w:val="21"/>
              </w:rPr>
              <w:t>对个人无法处置的问题及时报告学校管理人员，</w:t>
            </w:r>
            <w:r>
              <w:rPr>
                <w:rFonts w:hint="eastAsia" w:ascii="宋体" w:hAnsi="宋体" w:eastAsia="宋体" w:cs="宋体"/>
                <w:color w:val="auto"/>
                <w:sz w:val="21"/>
                <w:szCs w:val="21"/>
                <w:lang w:eastAsia="zh-CN"/>
              </w:rPr>
              <w:t>并及时记录包括后续整改记录，按要求整理和保管台账</w:t>
            </w:r>
            <w:r>
              <w:rPr>
                <w:rFonts w:hint="eastAsia" w:ascii="宋体" w:hAnsi="宋体" w:eastAsia="宋体" w:cs="宋体"/>
                <w:color w:val="auto"/>
                <w:sz w:val="21"/>
                <w:szCs w:val="21"/>
              </w:rPr>
              <w:t>。</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保持校园**联络室的环境卫生，物件摆放整齐，垃圾及时倾倒，不得有大功率电器。</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学生在校学习期间需外出时，必须持有班主任签字的规范的书面请假条，</w:t>
            </w:r>
            <w:r>
              <w:rPr>
                <w:rFonts w:hint="eastAsia" w:ascii="宋体" w:hAnsi="宋体" w:eastAsia="宋体" w:cs="宋体"/>
                <w:color w:val="auto"/>
                <w:sz w:val="21"/>
                <w:szCs w:val="21"/>
                <w:lang w:eastAsia="zh-CN"/>
              </w:rPr>
              <w:t>与班主任联系确认，</w:t>
            </w:r>
            <w:r>
              <w:rPr>
                <w:rFonts w:hint="eastAsia" w:ascii="宋体" w:hAnsi="宋体" w:eastAsia="宋体" w:cs="宋体"/>
                <w:color w:val="auto"/>
                <w:sz w:val="21"/>
                <w:szCs w:val="21"/>
              </w:rPr>
              <w:t>做好出校登记并保存请假条。</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经校方批准</w:t>
            </w:r>
            <w:r>
              <w:rPr>
                <w:rFonts w:hint="eastAsia" w:ascii="宋体" w:hAnsi="宋体" w:eastAsia="宋体" w:cs="宋体"/>
                <w:color w:val="auto"/>
                <w:sz w:val="21"/>
                <w:szCs w:val="21"/>
              </w:rPr>
              <w:t>进入</w:t>
            </w:r>
            <w:r>
              <w:rPr>
                <w:rFonts w:hint="eastAsia" w:ascii="宋体" w:hAnsi="宋体" w:eastAsia="宋体" w:cs="宋体"/>
                <w:color w:val="auto"/>
                <w:sz w:val="21"/>
                <w:szCs w:val="21"/>
                <w:lang w:eastAsia="zh-CN"/>
              </w:rPr>
              <w:t>学校内部的车辆，</w:t>
            </w:r>
            <w:r>
              <w:rPr>
                <w:rFonts w:hint="eastAsia" w:ascii="宋体" w:hAnsi="宋体" w:eastAsia="宋体" w:cs="宋体"/>
                <w:color w:val="auto"/>
                <w:sz w:val="21"/>
                <w:szCs w:val="21"/>
              </w:rPr>
              <w:t>放行时</w:t>
            </w:r>
            <w:r>
              <w:rPr>
                <w:rFonts w:hint="eastAsia" w:ascii="宋体" w:hAnsi="宋体" w:eastAsia="宋体" w:cs="宋体"/>
                <w:color w:val="auto"/>
                <w:sz w:val="21"/>
                <w:szCs w:val="21"/>
                <w:lang w:eastAsia="zh-CN"/>
              </w:rPr>
              <w:t>须</w:t>
            </w:r>
            <w:r>
              <w:rPr>
                <w:rFonts w:hint="eastAsia" w:ascii="宋体" w:hAnsi="宋体" w:eastAsia="宋体" w:cs="宋体"/>
                <w:color w:val="auto"/>
                <w:sz w:val="21"/>
                <w:szCs w:val="21"/>
              </w:rPr>
              <w:t>告知：机动车校内不能鸣笛、减速慢行，非机动车下车推行，同时引导车辆按指定车位停放。</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w:t>
            </w: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严禁各类车辆在校门口内外随意停放，确保校门出入畅通。除上放学高峰时段外，其余时间经校园允许的人员及车辆出入后，</w:t>
            </w:r>
            <w:r>
              <w:rPr>
                <w:rFonts w:hint="eastAsia" w:ascii="宋体" w:hAnsi="宋体" w:eastAsia="宋体" w:cs="宋体"/>
                <w:color w:val="auto"/>
                <w:sz w:val="21"/>
                <w:szCs w:val="21"/>
                <w:lang w:eastAsia="zh-CN"/>
              </w:rPr>
              <w:t>及时</w:t>
            </w:r>
            <w:r>
              <w:rPr>
                <w:rFonts w:hint="eastAsia" w:ascii="宋体" w:hAnsi="宋体" w:eastAsia="宋体" w:cs="宋体"/>
                <w:color w:val="auto"/>
                <w:sz w:val="21"/>
                <w:szCs w:val="21"/>
              </w:rPr>
              <w:t>关闭校门。</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3</w:t>
            </w: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对运物品出校门的车辆要进行仔细检查，凡学校公物须持有学校</w:t>
            </w:r>
            <w:r>
              <w:rPr>
                <w:rFonts w:hint="eastAsia" w:ascii="宋体" w:hAnsi="宋体" w:eastAsia="宋体" w:cs="宋体"/>
                <w:color w:val="auto"/>
                <w:sz w:val="21"/>
                <w:szCs w:val="21"/>
                <w:lang w:eastAsia="zh-CN"/>
              </w:rPr>
              <w:t>相</w:t>
            </w:r>
            <w:r>
              <w:rPr>
                <w:rFonts w:hint="eastAsia" w:ascii="宋体" w:hAnsi="宋体" w:eastAsia="宋体" w:cs="宋体"/>
                <w:color w:val="auto"/>
                <w:sz w:val="21"/>
                <w:szCs w:val="21"/>
              </w:rPr>
              <w:t>关证明，并进行登记，方能放行。</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接收邮件、报刊、信件</w:t>
            </w:r>
            <w:r>
              <w:rPr>
                <w:rFonts w:hint="eastAsia" w:ascii="宋体" w:hAnsi="宋体" w:eastAsia="宋体" w:cs="宋体"/>
                <w:color w:val="auto"/>
                <w:sz w:val="21"/>
                <w:szCs w:val="21"/>
                <w:lang w:eastAsia="zh-CN"/>
              </w:rPr>
              <w:t>、快递等</w:t>
            </w:r>
            <w:r>
              <w:rPr>
                <w:rFonts w:hint="eastAsia" w:ascii="宋体" w:hAnsi="宋体" w:eastAsia="宋体" w:cs="宋体"/>
                <w:color w:val="auto"/>
                <w:sz w:val="21"/>
                <w:szCs w:val="21"/>
              </w:rPr>
              <w:t>有序堆放。</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6459" w:type="dxa"/>
            <w:noWrap w:val="0"/>
            <w:vAlign w:val="center"/>
          </w:tcPr>
          <w:p>
            <w:pPr>
              <w:keepNext w:val="0"/>
              <w:keepLines w:val="0"/>
              <w:pageBreakBefore w:val="0"/>
              <w:widowControl w:val="0"/>
              <w:wordWrap/>
              <w:topLinePunct w:val="0"/>
              <w:bidi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按要求进行消防设施设备检查，并做好记录。如校内有消控设施，发出警报后第一时间查看报警点现场及时处置，并报告校方管理人员。</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师生放学离校后，全面巡视，锁好各</w:t>
            </w:r>
            <w:r>
              <w:rPr>
                <w:rFonts w:hint="eastAsia" w:ascii="宋体" w:hAnsi="宋体" w:eastAsia="宋体" w:cs="宋体"/>
                <w:color w:val="auto"/>
                <w:sz w:val="21"/>
                <w:szCs w:val="21"/>
                <w:lang w:eastAsia="zh-CN"/>
              </w:rPr>
              <w:t>扇</w:t>
            </w:r>
            <w:r>
              <w:rPr>
                <w:rFonts w:hint="eastAsia" w:ascii="宋体" w:hAnsi="宋体" w:eastAsia="宋体" w:cs="宋体"/>
                <w:color w:val="auto"/>
                <w:sz w:val="21"/>
                <w:szCs w:val="21"/>
              </w:rPr>
              <w:t>大门，发现学校有异常情况，要及时处理</w:t>
            </w:r>
            <w:r>
              <w:rPr>
                <w:rFonts w:hint="eastAsia" w:ascii="宋体" w:hAnsi="宋体" w:eastAsia="宋体" w:cs="宋体"/>
                <w:color w:val="auto"/>
                <w:sz w:val="21"/>
                <w:szCs w:val="21"/>
                <w:lang w:eastAsia="zh-CN"/>
              </w:rPr>
              <w:t>并</w:t>
            </w:r>
            <w:r>
              <w:rPr>
                <w:rFonts w:hint="eastAsia" w:ascii="宋体" w:hAnsi="宋体" w:eastAsia="宋体" w:cs="宋体"/>
                <w:color w:val="auto"/>
                <w:sz w:val="21"/>
                <w:szCs w:val="21"/>
              </w:rPr>
              <w:t>报告学校</w:t>
            </w:r>
            <w:r>
              <w:rPr>
                <w:rFonts w:hint="eastAsia" w:ascii="宋体" w:hAnsi="宋体" w:eastAsia="宋体" w:cs="宋体"/>
                <w:color w:val="auto"/>
                <w:sz w:val="21"/>
                <w:szCs w:val="21"/>
                <w:lang w:eastAsia="zh-CN"/>
              </w:rPr>
              <w:t>管理人员</w:t>
            </w:r>
            <w:r>
              <w:rPr>
                <w:rFonts w:hint="eastAsia" w:ascii="宋体" w:hAnsi="宋体" w:eastAsia="宋体" w:cs="宋体"/>
                <w:color w:val="auto"/>
                <w:sz w:val="21"/>
                <w:szCs w:val="21"/>
              </w:rPr>
              <w:t>。</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w:t>
            </w: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遵守校方保密纪律，无泄密行为。</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465"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职责范围内，学校安排工作及时完成任务。</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46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w:t>
            </w: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其他学校要求配合辅助完成的事项</w:t>
            </w:r>
            <w:r>
              <w:rPr>
                <w:rFonts w:hint="eastAsia" w:ascii="宋体" w:hAnsi="宋体" w:eastAsia="宋体" w:cs="宋体"/>
                <w:color w:val="auto"/>
                <w:sz w:val="21"/>
                <w:szCs w:val="21"/>
                <w:lang w:eastAsia="zh-CN"/>
              </w:rPr>
              <w:t>。</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46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供应商对学校安保项目的总体服务响应情况。</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46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rPr>
            </w:pPr>
          </w:p>
        </w:tc>
        <w:tc>
          <w:tcPr>
            <w:tcW w:w="6459" w:type="dxa"/>
            <w:noWrap w:val="0"/>
            <w:vAlign w:val="center"/>
          </w:tcPr>
          <w:p>
            <w:pPr>
              <w:keepNext w:val="0"/>
              <w:keepLines w:val="0"/>
              <w:pageBreakBefore w:val="0"/>
              <w:widowControl w:val="0"/>
              <w:wordWrap/>
              <w:topLinePunct w:val="0"/>
              <w:bidi w:val="0"/>
              <w:adjustRightInd w:val="0"/>
              <w:snapToGrid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考核满分（100分）</w:t>
            </w:r>
          </w:p>
        </w:tc>
        <w:tc>
          <w:tcPr>
            <w:tcW w:w="62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rPr>
            </w:pPr>
          </w:p>
        </w:tc>
        <w:tc>
          <w:tcPr>
            <w:tcW w:w="465"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rPr>
            </w:pPr>
          </w:p>
        </w:tc>
        <w:tc>
          <w:tcPr>
            <w:tcW w:w="540" w:type="dxa"/>
            <w:noWrap w:val="0"/>
            <w:vAlign w:val="center"/>
          </w:tcPr>
          <w:p>
            <w:pPr>
              <w:keepNext w:val="0"/>
              <w:keepLines w:val="0"/>
              <w:pageBreakBefore w:val="0"/>
              <w:widowControl w:val="0"/>
              <w:wordWrap/>
              <w:topLinePunct w:val="0"/>
              <w:bidi w:val="0"/>
              <w:adjustRightInd w:val="0"/>
              <w:snapToGrid w:val="0"/>
              <w:spacing w:line="400" w:lineRule="exact"/>
              <w:ind w:right="0" w:rightChars="0"/>
              <w:jc w:val="center"/>
              <w:rPr>
                <w:rFonts w:hint="eastAsia" w:ascii="宋体" w:hAnsi="宋体" w:eastAsia="宋体" w:cs="宋体"/>
                <w:color w:val="auto"/>
                <w:sz w:val="21"/>
                <w:szCs w:val="21"/>
              </w:rPr>
            </w:pPr>
          </w:p>
        </w:tc>
      </w:tr>
    </w:tbl>
    <w:p>
      <w:pPr>
        <w:keepNext w:val="0"/>
        <w:keepLines w:val="0"/>
        <w:pageBreakBefore w:val="0"/>
        <w:widowControl w:val="0"/>
        <w:kinsoku/>
        <w:wordWrap/>
        <w:overflowPunct/>
        <w:topLinePunct w:val="0"/>
        <w:autoSpaceDE/>
        <w:autoSpaceDN/>
        <w:bidi w:val="0"/>
        <w:adjustRightInd/>
        <w:snapToGrid w:val="0"/>
        <w:spacing w:line="400" w:lineRule="exact"/>
        <w:ind w:right="0" w:rightChars="0"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三、</w:t>
      </w:r>
      <w:r>
        <w:rPr>
          <w:rFonts w:hint="eastAsia" w:ascii="宋体" w:hAnsi="宋体" w:eastAsia="宋体" w:cs="宋体"/>
          <w:color w:val="auto"/>
          <w:sz w:val="21"/>
          <w:szCs w:val="21"/>
        </w:rPr>
        <w:t>考评方法</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pacing w:line="400" w:lineRule="exact"/>
        <w:ind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考核指标共</w:t>
      </w:r>
      <w:r>
        <w:rPr>
          <w:rFonts w:hint="eastAsia" w:ascii="宋体" w:hAnsi="宋体" w:eastAsia="宋体" w:cs="宋体"/>
          <w:color w:val="auto"/>
          <w:sz w:val="21"/>
          <w:szCs w:val="21"/>
          <w:lang w:val="en-US" w:eastAsia="zh-CN"/>
        </w:rPr>
        <w:t>20项，</w:t>
      </w:r>
      <w:r>
        <w:rPr>
          <w:rFonts w:hint="eastAsia" w:ascii="宋体" w:hAnsi="宋体" w:eastAsia="宋体" w:cs="宋体"/>
          <w:color w:val="auto"/>
          <w:sz w:val="21"/>
          <w:szCs w:val="21"/>
        </w:rPr>
        <w:t>满分</w:t>
      </w:r>
      <w:r>
        <w:rPr>
          <w:rFonts w:hint="eastAsia" w:ascii="宋体" w:hAnsi="宋体" w:eastAsia="宋体" w:cs="宋体"/>
          <w:color w:val="auto"/>
          <w:sz w:val="21"/>
          <w:szCs w:val="21"/>
          <w:lang w:eastAsia="zh-CN"/>
        </w:rPr>
        <w:t>总值</w:t>
      </w:r>
      <w:r>
        <w:rPr>
          <w:rFonts w:hint="eastAsia" w:ascii="宋体" w:hAnsi="宋体" w:eastAsia="宋体" w:cs="宋体"/>
          <w:color w:val="auto"/>
          <w:sz w:val="21"/>
          <w:szCs w:val="21"/>
        </w:rPr>
        <w:t>100分，</w:t>
      </w:r>
      <w:r>
        <w:rPr>
          <w:rFonts w:hint="eastAsia" w:ascii="宋体" w:hAnsi="宋体" w:eastAsia="宋体" w:cs="宋体"/>
          <w:color w:val="auto"/>
          <w:sz w:val="21"/>
          <w:szCs w:val="21"/>
          <w:lang w:val="en-US" w:eastAsia="zh-CN"/>
        </w:rPr>
        <w:t>每项得分按“优秀”、“良好”、“合格”、“不合格”4类赋分，得分按优秀（100%）、良好（80%）、合格（60%）、不合格（</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60%）计，每项指标得分保留小数点后一位，</w:t>
      </w:r>
      <w:r>
        <w:rPr>
          <w:rFonts w:hint="eastAsia" w:ascii="宋体" w:hAnsi="宋体" w:eastAsia="宋体" w:cs="宋体"/>
          <w:color w:val="auto"/>
          <w:sz w:val="21"/>
          <w:szCs w:val="21"/>
        </w:rPr>
        <w:t>考核分为</w:t>
      </w:r>
      <w:r>
        <w:rPr>
          <w:rFonts w:hint="eastAsia" w:ascii="宋体" w:hAnsi="宋体" w:eastAsia="宋体" w:cs="宋体"/>
          <w:color w:val="auto"/>
          <w:sz w:val="21"/>
          <w:szCs w:val="21"/>
          <w:lang w:eastAsia="zh-CN"/>
        </w:rPr>
        <w:t>实际得分相加</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下属学校（幼儿园）对安保人员的考核情况按季度上报区教育局，由教育局汇总并计算考核得分。</w:t>
      </w:r>
    </w:p>
    <w:p>
      <w:pPr>
        <w:keepNext w:val="0"/>
        <w:keepLines w:val="0"/>
        <w:pageBreakBefore w:val="0"/>
        <w:widowControl w:val="0"/>
        <w:kinsoku/>
        <w:wordWrap/>
        <w:overflowPunct/>
        <w:topLinePunct w:val="0"/>
        <w:autoSpaceDE/>
        <w:autoSpaceDN/>
        <w:bidi w:val="0"/>
        <w:adjustRightInd/>
        <w:spacing w:line="400" w:lineRule="exact"/>
        <w:ind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（2）考核</w:t>
      </w:r>
      <w:r>
        <w:rPr>
          <w:rFonts w:hint="eastAsia" w:ascii="宋体" w:hAnsi="宋体" w:eastAsia="宋体" w:cs="宋体"/>
          <w:color w:val="auto"/>
          <w:sz w:val="21"/>
          <w:szCs w:val="21"/>
          <w:lang w:eastAsia="zh-CN"/>
        </w:rPr>
        <w:t>总</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值</w:t>
      </w:r>
      <w:r>
        <w:rPr>
          <w:rFonts w:hint="eastAsia" w:ascii="宋体" w:hAnsi="宋体" w:eastAsia="宋体" w:cs="宋体"/>
          <w:color w:val="auto"/>
          <w:sz w:val="21"/>
          <w:szCs w:val="21"/>
        </w:rPr>
        <w:t>≥80，视为“合格”。</w:t>
      </w:r>
    </w:p>
    <w:p>
      <w:pPr>
        <w:keepNext w:val="0"/>
        <w:keepLines w:val="0"/>
        <w:pageBreakBefore w:val="0"/>
        <w:widowControl w:val="0"/>
        <w:kinsoku/>
        <w:wordWrap/>
        <w:overflowPunct/>
        <w:topLinePunct w:val="0"/>
        <w:autoSpaceDE/>
        <w:autoSpaceDN/>
        <w:bidi w:val="0"/>
        <w:adjustRightInd/>
        <w:spacing w:line="400" w:lineRule="exact"/>
        <w:ind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考核分数＜80分，视为“不合格”，在考核周期内，将处以1万元人民的罚款。如果供应商管理混乱，经采购人督促后未改进则加倍扣除分值，连续两次考核不合格或总年度考核不合格的，采购人有权终止合同，并罚没其履约保证金。</w:t>
      </w:r>
    </w:p>
    <w:p>
      <w:pPr>
        <w:keepNext w:val="0"/>
        <w:keepLines w:val="0"/>
        <w:pageBreakBefore w:val="0"/>
        <w:widowControl w:val="0"/>
        <w:kinsoku/>
        <w:wordWrap/>
        <w:overflowPunct/>
        <w:topLinePunct w:val="0"/>
        <w:autoSpaceDE/>
        <w:autoSpaceDN/>
        <w:bidi w:val="0"/>
        <w:adjustRightInd/>
        <w:spacing w:line="400" w:lineRule="exact"/>
        <w:ind w:right="0" w:rightChars="0"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考核周期内成绩不转入下个考核周期。</w:t>
      </w:r>
    </w:p>
    <w:p>
      <w:pPr>
        <w:keepNext w:val="0"/>
        <w:keepLines w:val="0"/>
        <w:pageBreakBefore w:val="0"/>
        <w:widowControl w:val="0"/>
        <w:kinsoku/>
        <w:wordWrap/>
        <w:overflowPunct/>
        <w:topLinePunct w:val="0"/>
        <w:autoSpaceDE/>
        <w:autoSpaceDN/>
        <w:bidi w:val="0"/>
        <w:adjustRightInd/>
        <w:spacing w:line="400" w:lineRule="exact"/>
        <w:ind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）教育局对供应商的年度考核作为下一年度是否续签合同的依据。</w:t>
      </w:r>
    </w:p>
    <w:p>
      <w:pPr>
        <w:keepNext w:val="0"/>
        <w:keepLines w:val="0"/>
        <w:pageBreakBefore w:val="0"/>
        <w:widowControl w:val="0"/>
        <w:wordWrap/>
        <w:topLinePunct w:val="0"/>
        <w:bidi w:val="0"/>
        <w:spacing w:line="400" w:lineRule="exact"/>
        <w:ind w:right="0" w:rightChars="0"/>
        <w:jc w:val="both"/>
        <w:rPr>
          <w:rFonts w:hint="eastAsia" w:ascii="宋体" w:hAnsi="宋体" w:eastAsia="宋体" w:cs="宋体"/>
          <w:color w:val="auto"/>
          <w:kern w:val="2"/>
          <w:sz w:val="21"/>
          <w:szCs w:val="21"/>
          <w:lang w:val="en-US" w:eastAsia="zh-CN" w:bidi="ar-SA"/>
        </w:rPr>
      </w:pPr>
    </w:p>
    <w:p>
      <w:pPr>
        <w:keepNext w:val="0"/>
        <w:keepLines w:val="0"/>
        <w:pageBreakBefore w:val="0"/>
        <w:widowControl w:val="0"/>
        <w:wordWrap/>
        <w:topLinePunct w:val="0"/>
        <w:bidi w:val="0"/>
        <w:spacing w:line="400" w:lineRule="exact"/>
        <w:ind w:right="0" w:rightChars="0"/>
        <w:jc w:val="both"/>
        <w:rPr>
          <w:rFonts w:hint="eastAsia" w:ascii="宋体" w:hAnsi="宋体" w:eastAsia="宋体" w:cs="宋体"/>
          <w:color w:val="auto"/>
          <w:kern w:val="2"/>
          <w:sz w:val="21"/>
          <w:szCs w:val="21"/>
          <w:lang w:val="en-US" w:eastAsia="zh-CN" w:bidi="ar-SA"/>
        </w:rPr>
      </w:pPr>
    </w:p>
    <w:p>
      <w:pPr>
        <w:keepNext w:val="0"/>
        <w:keepLines w:val="0"/>
        <w:pageBreakBefore w:val="0"/>
        <w:widowControl w:val="0"/>
        <w:wordWrap/>
        <w:topLinePunct w:val="0"/>
        <w:bidi w:val="0"/>
        <w:spacing w:line="400" w:lineRule="exact"/>
        <w:ind w:right="0" w:rightChars="0"/>
        <w:jc w:val="both"/>
        <w:rPr>
          <w:rFonts w:hint="eastAsia" w:ascii="宋体" w:hAnsi="宋体" w:eastAsia="宋体" w:cs="宋体"/>
          <w:color w:val="auto"/>
          <w:kern w:val="2"/>
          <w:sz w:val="21"/>
          <w:szCs w:val="21"/>
          <w:lang w:val="en-US" w:eastAsia="zh-CN" w:bidi="ar-SA"/>
        </w:rPr>
      </w:pPr>
    </w:p>
    <w:p>
      <w:pPr>
        <w:keepNext w:val="0"/>
        <w:keepLines w:val="0"/>
        <w:pageBreakBefore w:val="0"/>
        <w:widowControl w:val="0"/>
        <w:wordWrap/>
        <w:topLinePunct w:val="0"/>
        <w:autoSpaceDE/>
        <w:autoSpaceDN/>
        <w:bidi w:val="0"/>
        <w:snapToGrid/>
        <w:spacing w:line="400" w:lineRule="exact"/>
        <w:ind w:right="0" w:rightChars="0"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五、商务条款要求</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7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29" w:type="dxa"/>
            <w:noWrap w:val="0"/>
            <w:vAlign w:val="center"/>
          </w:tcPr>
          <w:p>
            <w:pPr>
              <w:keepNext w:val="0"/>
              <w:keepLines w:val="0"/>
              <w:pageBreakBefore w:val="0"/>
              <w:widowControl w:val="0"/>
              <w:wordWrap/>
              <w:topLinePunct w:val="0"/>
              <w:bidi w:val="0"/>
              <w:snapToGrid w:val="0"/>
              <w:spacing w:line="400" w:lineRule="exact"/>
              <w:ind w:right="0" w:rightChars="0"/>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序号</w:t>
            </w:r>
          </w:p>
        </w:tc>
        <w:tc>
          <w:tcPr>
            <w:tcW w:w="7270" w:type="dxa"/>
            <w:noWrap w:val="0"/>
            <w:vAlign w:val="center"/>
          </w:tcPr>
          <w:p>
            <w:pPr>
              <w:keepNext w:val="0"/>
              <w:keepLines w:val="0"/>
              <w:pageBreakBefore w:val="0"/>
              <w:widowControl w:val="0"/>
              <w:wordWrap/>
              <w:topLinePunct w:val="0"/>
              <w:bidi w:val="0"/>
              <w:snapToGrid w:val="0"/>
              <w:spacing w:line="400" w:lineRule="exact"/>
              <w:ind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商务条款要求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29" w:type="dxa"/>
            <w:noWrap w:val="0"/>
            <w:vAlign w:val="center"/>
          </w:tcPr>
          <w:p>
            <w:pPr>
              <w:keepNext w:val="0"/>
              <w:keepLines w:val="0"/>
              <w:pageBreakBefore w:val="0"/>
              <w:widowControl w:val="0"/>
              <w:wordWrap/>
              <w:topLinePunct w:val="0"/>
              <w:bidi w:val="0"/>
              <w:snapToGrid w:val="0"/>
              <w:spacing w:line="400" w:lineRule="exact"/>
              <w:ind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270" w:type="dxa"/>
            <w:noWrap w:val="0"/>
            <w:vAlign w:val="center"/>
          </w:tcPr>
          <w:p>
            <w:pPr>
              <w:keepNext w:val="0"/>
              <w:keepLines w:val="0"/>
              <w:pageBreakBefore w:val="0"/>
              <w:widowControl w:val="0"/>
              <w:wordWrap/>
              <w:topLinePunct w:val="0"/>
              <w:bidi w:val="0"/>
              <w:spacing w:line="400" w:lineRule="exact"/>
              <w:ind w:right="0" w:rightChars="0"/>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rPr>
              <w:t>履约保证金金额：</w:t>
            </w:r>
            <w:r>
              <w:rPr>
                <w:rFonts w:hint="eastAsia" w:ascii="宋体" w:hAnsi="宋体" w:eastAsia="宋体" w:cs="宋体"/>
                <w:color w:val="auto"/>
                <w:sz w:val="21"/>
                <w:szCs w:val="21"/>
                <w:u w:val="none"/>
                <w:lang w:eastAsia="zh-CN"/>
              </w:rPr>
              <w:t>合同金额的</w:t>
            </w:r>
            <w:r>
              <w:rPr>
                <w:rFonts w:hint="eastAsia" w:ascii="宋体" w:hAnsi="宋体" w:eastAsia="宋体" w:cs="宋体"/>
                <w:color w:val="auto"/>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29" w:type="dxa"/>
            <w:noWrap w:val="0"/>
            <w:vAlign w:val="center"/>
          </w:tcPr>
          <w:p>
            <w:pPr>
              <w:keepNext w:val="0"/>
              <w:keepLines w:val="0"/>
              <w:pageBreakBefore w:val="0"/>
              <w:widowControl w:val="0"/>
              <w:wordWrap/>
              <w:topLinePunct w:val="0"/>
              <w:bidi w:val="0"/>
              <w:snapToGrid w:val="0"/>
              <w:spacing w:line="400" w:lineRule="exact"/>
              <w:ind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270" w:type="dxa"/>
            <w:noWrap w:val="0"/>
            <w:vAlign w:val="center"/>
          </w:tcPr>
          <w:p>
            <w:pPr>
              <w:keepNext w:val="0"/>
              <w:keepLines w:val="0"/>
              <w:pageBreakBefore w:val="0"/>
              <w:widowControl w:val="0"/>
              <w:wordWrap/>
              <w:topLinePunct w:val="0"/>
              <w:autoSpaceDE w:val="0"/>
              <w:autoSpaceDN w:val="0"/>
              <w:bidi w:val="0"/>
              <w:snapToGrid w:val="0"/>
              <w:spacing w:line="400" w:lineRule="exact"/>
              <w:ind w:right="0" w:rightChars="0"/>
              <w:textAlignment w:val="bottom"/>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val="en-US" w:eastAsia="zh-CN"/>
              </w:rPr>
              <w:t>1</w:t>
            </w:r>
            <w:r>
              <w:rPr>
                <w:rFonts w:hint="eastAsia" w:ascii="宋体" w:hAnsi="宋体" w:eastAsia="宋体" w:cs="宋体"/>
                <w:color w:val="auto"/>
                <w:sz w:val="21"/>
                <w:szCs w:val="21"/>
                <w:u w:val="none"/>
              </w:rPr>
              <w:t>、提交时间：中标通知书发出之日起30日内；</w:t>
            </w:r>
          </w:p>
          <w:p>
            <w:pPr>
              <w:keepNext w:val="0"/>
              <w:keepLines w:val="0"/>
              <w:pageBreakBefore w:val="0"/>
              <w:widowControl w:val="0"/>
              <w:wordWrap/>
              <w:topLinePunct w:val="0"/>
              <w:autoSpaceDE w:val="0"/>
              <w:autoSpaceDN w:val="0"/>
              <w:bidi w:val="0"/>
              <w:snapToGrid w:val="0"/>
              <w:spacing w:line="400" w:lineRule="exact"/>
              <w:ind w:right="0" w:rightChars="0"/>
              <w:textAlignment w:val="bottom"/>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val="en-US" w:eastAsia="zh-CN"/>
              </w:rPr>
              <w:t>2</w:t>
            </w:r>
            <w:r>
              <w:rPr>
                <w:rFonts w:hint="eastAsia" w:ascii="宋体" w:hAnsi="宋体" w:eastAsia="宋体" w:cs="宋体"/>
                <w:color w:val="auto"/>
                <w:sz w:val="21"/>
                <w:szCs w:val="21"/>
                <w:u w:val="none"/>
              </w:rPr>
              <w:t>、履约保证金形式：银行汇票、电汇、支票</w:t>
            </w:r>
            <w:r>
              <w:rPr>
                <w:rFonts w:hint="eastAsia" w:ascii="宋体" w:hAnsi="宋体" w:eastAsia="宋体" w:cs="宋体"/>
                <w:color w:val="auto"/>
                <w:sz w:val="21"/>
                <w:szCs w:val="21"/>
                <w:u w:val="none"/>
                <w:lang w:eastAsia="zh-CN"/>
              </w:rPr>
              <w:t>、银行或保险公司出具的保函</w:t>
            </w:r>
            <w:r>
              <w:rPr>
                <w:rFonts w:hint="eastAsia" w:ascii="宋体" w:hAnsi="宋体" w:eastAsia="宋体" w:cs="宋体"/>
                <w:color w:val="auto"/>
                <w:sz w:val="21"/>
                <w:szCs w:val="21"/>
                <w:u w:val="none"/>
              </w:rPr>
              <w:t>；</w:t>
            </w:r>
          </w:p>
          <w:p>
            <w:pPr>
              <w:keepNext w:val="0"/>
              <w:keepLines w:val="0"/>
              <w:pageBreakBefore w:val="0"/>
              <w:widowControl w:val="0"/>
              <w:wordWrap/>
              <w:topLinePunct w:val="0"/>
              <w:autoSpaceDE w:val="0"/>
              <w:autoSpaceDN w:val="0"/>
              <w:bidi w:val="0"/>
              <w:snapToGrid w:val="0"/>
              <w:spacing w:line="400" w:lineRule="exact"/>
              <w:ind w:right="0" w:rightChars="0"/>
              <w:textAlignment w:val="bottom"/>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val="en-US" w:eastAsia="zh-CN"/>
              </w:rPr>
              <w:t>3</w:t>
            </w:r>
            <w:r>
              <w:rPr>
                <w:rFonts w:hint="eastAsia" w:ascii="宋体" w:hAnsi="宋体" w:eastAsia="宋体" w:cs="宋体"/>
                <w:color w:val="auto"/>
                <w:sz w:val="21"/>
                <w:szCs w:val="21"/>
                <w:u w:val="none"/>
              </w:rPr>
              <w:t>、履约保证金退回时间：合同期结束后10个工作日内无息退回。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929" w:type="dxa"/>
            <w:noWrap w:val="0"/>
            <w:vAlign w:val="center"/>
          </w:tcPr>
          <w:p>
            <w:pPr>
              <w:keepNext w:val="0"/>
              <w:keepLines w:val="0"/>
              <w:pageBreakBefore w:val="0"/>
              <w:widowControl w:val="0"/>
              <w:wordWrap/>
              <w:topLinePunct w:val="0"/>
              <w:bidi w:val="0"/>
              <w:snapToGrid w:val="0"/>
              <w:spacing w:line="400" w:lineRule="exact"/>
              <w:ind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270" w:type="dxa"/>
            <w:noWrap w:val="0"/>
            <w:vAlign w:val="center"/>
          </w:tcPr>
          <w:p>
            <w:pPr>
              <w:keepNext w:val="0"/>
              <w:keepLines w:val="0"/>
              <w:pageBreakBefore w:val="0"/>
              <w:widowControl w:val="0"/>
              <w:wordWrap/>
              <w:topLinePunct w:val="0"/>
              <w:bidi w:val="0"/>
              <w:spacing w:line="400" w:lineRule="exact"/>
              <w:ind w:right="0" w:rightChars="0"/>
              <w:rPr>
                <w:rFonts w:hint="eastAsia" w:ascii="宋体" w:hAnsi="宋体" w:eastAsia="宋体" w:cs="宋体"/>
                <w:color w:val="auto"/>
                <w:sz w:val="21"/>
                <w:szCs w:val="21"/>
                <w:u w:val="single"/>
              </w:rPr>
            </w:pPr>
            <w:r>
              <w:rPr>
                <w:rFonts w:hint="eastAsia" w:ascii="宋体" w:hAnsi="宋体" w:eastAsia="宋体" w:cs="宋体"/>
                <w:color w:val="auto"/>
                <w:sz w:val="21"/>
                <w:szCs w:val="21"/>
              </w:rPr>
              <w:t>服务期限：</w:t>
            </w:r>
            <w:r>
              <w:rPr>
                <w:rFonts w:hint="eastAsia" w:ascii="宋体" w:hAnsi="宋体" w:eastAsia="宋体" w:cs="宋体"/>
                <w:color w:val="auto"/>
                <w:sz w:val="21"/>
                <w:szCs w:val="21"/>
                <w:lang w:val="en-US" w:eastAsia="zh-CN"/>
              </w:rPr>
              <w:t>三年，合同</w:t>
            </w:r>
            <w:r>
              <w:rPr>
                <w:rFonts w:hint="eastAsia" w:ascii="宋体" w:hAnsi="宋体" w:eastAsia="宋体" w:cs="宋体"/>
                <w:color w:val="auto"/>
                <w:sz w:val="21"/>
                <w:szCs w:val="21"/>
              </w:rPr>
              <w:t>一年一签，一年结束后，经考核，如甲方满意，双方协商一致同意后续签第二年</w:t>
            </w:r>
            <w:r>
              <w:rPr>
                <w:rFonts w:hint="eastAsia" w:ascii="宋体" w:hAnsi="宋体" w:eastAsia="宋体" w:cs="宋体"/>
                <w:color w:val="auto"/>
                <w:sz w:val="21"/>
                <w:szCs w:val="21"/>
                <w:lang w:val="en-US" w:eastAsia="zh-CN"/>
              </w:rPr>
              <w:t>服务</w:t>
            </w:r>
            <w:r>
              <w:rPr>
                <w:rFonts w:hint="eastAsia" w:ascii="宋体" w:hAnsi="宋体" w:eastAsia="宋体" w:cs="宋体"/>
                <w:color w:val="auto"/>
                <w:sz w:val="21"/>
                <w:szCs w:val="21"/>
              </w:rPr>
              <w:t>合同</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929" w:type="dxa"/>
            <w:noWrap w:val="0"/>
            <w:vAlign w:val="center"/>
          </w:tcPr>
          <w:p>
            <w:pPr>
              <w:keepNext w:val="0"/>
              <w:keepLines w:val="0"/>
              <w:pageBreakBefore w:val="0"/>
              <w:widowControl w:val="0"/>
              <w:wordWrap/>
              <w:topLinePunct w:val="0"/>
              <w:bidi w:val="0"/>
              <w:snapToGrid w:val="0"/>
              <w:spacing w:line="400" w:lineRule="exact"/>
              <w:ind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7270" w:type="dxa"/>
            <w:noWrap w:val="0"/>
            <w:vAlign w:val="center"/>
          </w:tcPr>
          <w:p>
            <w:pPr>
              <w:keepNext w:val="0"/>
              <w:keepLines w:val="0"/>
              <w:pageBreakBefore w:val="0"/>
              <w:widowControl w:val="0"/>
              <w:wordWrap/>
              <w:topLinePunct w:val="0"/>
              <w:bidi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付款方法和条件：</w:t>
            </w:r>
          </w:p>
          <w:p>
            <w:pPr>
              <w:keepNext w:val="0"/>
              <w:keepLines w:val="0"/>
              <w:pageBreakBefore w:val="0"/>
              <w:widowControl w:val="0"/>
              <w:numPr>
                <w:ilvl w:val="0"/>
                <w:numId w:val="0"/>
              </w:numPr>
              <w:wordWrap/>
              <w:topLinePunct w:val="0"/>
              <w:bidi w:val="0"/>
              <w:spacing w:line="400" w:lineRule="exact"/>
              <w:ind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承包费用由招标人在确认工作完成的情况下并经考核，次月10日前按考核情况支付上月相关管理费用。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29" w:type="dxa"/>
            <w:noWrap w:val="0"/>
            <w:vAlign w:val="center"/>
          </w:tcPr>
          <w:p>
            <w:pPr>
              <w:keepNext w:val="0"/>
              <w:keepLines w:val="0"/>
              <w:pageBreakBefore w:val="0"/>
              <w:widowControl w:val="0"/>
              <w:wordWrap/>
              <w:topLinePunct w:val="0"/>
              <w:bidi w:val="0"/>
              <w:snapToGrid w:val="0"/>
              <w:spacing w:line="400" w:lineRule="exact"/>
              <w:ind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7270" w:type="dxa"/>
            <w:noWrap w:val="0"/>
            <w:vAlign w:val="center"/>
          </w:tcPr>
          <w:p>
            <w:pPr>
              <w:keepNext w:val="0"/>
              <w:keepLines w:val="0"/>
              <w:pageBreakBefore w:val="0"/>
              <w:widowControl w:val="0"/>
              <w:wordWrap/>
              <w:topLinePunct w:val="0"/>
              <w:bidi w:val="0"/>
              <w:spacing w:line="400" w:lineRule="exact"/>
              <w:ind w:right="0" w:rightChars="0"/>
              <w:rPr>
                <w:rFonts w:hint="eastAsia" w:ascii="宋体" w:hAnsi="宋体" w:eastAsia="宋体" w:cs="宋体"/>
                <w:color w:val="auto"/>
                <w:sz w:val="21"/>
                <w:szCs w:val="21"/>
                <w:u w:val="single"/>
              </w:rPr>
            </w:pPr>
            <w:r>
              <w:rPr>
                <w:rFonts w:hint="eastAsia" w:ascii="宋体" w:hAnsi="宋体" w:eastAsia="宋体" w:cs="宋体"/>
                <w:color w:val="auto"/>
                <w:sz w:val="21"/>
                <w:szCs w:val="21"/>
              </w:rPr>
              <w:t>按照采购文件的规定、中标人的投标响应、中标通知书确定的规格、数量和金额签订合同。</w:t>
            </w:r>
          </w:p>
        </w:tc>
      </w:tr>
    </w:tbl>
    <w:p>
      <w:pPr>
        <w:keepNext/>
        <w:widowControl w:val="0"/>
        <w:spacing w:line="380" w:lineRule="exact"/>
        <w:jc w:val="center"/>
        <w:outlineLvl w:val="0"/>
        <w:rPr>
          <w:rFonts w:hint="eastAsia" w:ascii="宋体" w:hAnsi="宋体" w:eastAsia="宋体" w:cs="Times New Roman"/>
          <w:b/>
          <w:bCs/>
          <w:color w:val="auto"/>
          <w:kern w:val="2"/>
          <w:sz w:val="28"/>
          <w:szCs w:val="20"/>
          <w:lang w:val="en-US" w:eastAsia="zh-CN" w:bidi="ar-SA"/>
        </w:rPr>
      </w:pPr>
    </w:p>
    <w:p>
      <w:pPr>
        <w:rPr>
          <w:rFonts w:ascii="Times New Roman" w:hAnsi="Times New Roman" w:eastAsia="宋体" w:cs="Times New Roman"/>
          <w:color w:val="auto"/>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96"/>
        <w:rPr>
          <w:rFonts w:hint="eastAsia"/>
          <w:color w:val="auto"/>
          <w:highlight w:val="none"/>
        </w:rPr>
      </w:pPr>
    </w:p>
    <w:p>
      <w:pPr>
        <w:pStyle w:val="2"/>
        <w:rPr>
          <w:rFonts w:hint="eastAsia" w:hAnsi="宋体"/>
          <w:color w:val="auto"/>
          <w:highlight w:val="none"/>
        </w:rPr>
      </w:pPr>
      <w:bookmarkStart w:id="25" w:name="_Toc10284"/>
      <w:bookmarkStart w:id="26" w:name="_Toc3292"/>
      <w:r>
        <w:rPr>
          <w:rFonts w:hint="eastAsia" w:hAnsi="宋体"/>
          <w:color w:val="auto"/>
          <w:highlight w:val="none"/>
        </w:rPr>
        <w:t>第三章  投标人须知</w:t>
      </w:r>
      <w:bookmarkEnd w:id="20"/>
      <w:bookmarkEnd w:id="25"/>
      <w:bookmarkEnd w:id="26"/>
    </w:p>
    <w:p>
      <w:pPr>
        <w:spacing w:line="360" w:lineRule="auto"/>
        <w:jc w:val="center"/>
        <w:rPr>
          <w:rFonts w:ascii="宋体" w:hAnsi="宋体"/>
          <w:b/>
          <w:color w:val="auto"/>
          <w:sz w:val="24"/>
          <w:highlight w:val="none"/>
        </w:rPr>
      </w:pPr>
      <w:r>
        <w:rPr>
          <w:rFonts w:hint="eastAsia" w:ascii="宋体" w:hAnsi="宋体"/>
          <w:b/>
          <w:color w:val="auto"/>
          <w:sz w:val="24"/>
          <w:highlight w:val="none"/>
        </w:rPr>
        <w:t>前附表</w:t>
      </w:r>
    </w:p>
    <w:tbl>
      <w:tblPr>
        <w:tblStyle w:val="3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0"/>
        <w:gridCol w:w="1179"/>
        <w:gridCol w:w="7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序号</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对应投标人须知条款号</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31"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1.2.1</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rPr>
                <w:rFonts w:hint="eastAsia" w:ascii="宋体" w:hAnsi="宋体" w:eastAsia="宋体"/>
                <w:color w:val="auto"/>
                <w:szCs w:val="21"/>
                <w:highlight w:val="none"/>
                <w:lang w:eastAsia="zh-CN"/>
              </w:rPr>
            </w:pPr>
            <w:r>
              <w:rPr>
                <w:rFonts w:hint="eastAsia" w:ascii="宋体" w:hAnsi="宋体"/>
                <w:color w:val="auto"/>
                <w:szCs w:val="21"/>
                <w:highlight w:val="none"/>
              </w:rPr>
              <w:t>采购人：</w:t>
            </w:r>
            <w:r>
              <w:rPr>
                <w:rFonts w:hint="eastAsia" w:ascii="宋体" w:hAnsi="宋体"/>
                <w:color w:val="auto"/>
                <w:szCs w:val="21"/>
                <w:highlight w:val="none"/>
                <w:lang w:eastAsia="zh-CN"/>
              </w:rPr>
              <w:t>宁波市江北区教育局</w:t>
            </w:r>
          </w:p>
          <w:p>
            <w:pPr>
              <w:keepNext w:val="0"/>
              <w:keepLines w:val="0"/>
              <w:pageBreakBefore w:val="0"/>
              <w:widowControl w:val="0"/>
              <w:kinsoku/>
              <w:wordWrap/>
              <w:overflowPunct/>
              <w:topLinePunct w:val="0"/>
              <w:bidi w:val="0"/>
              <w:snapToGrid w:val="0"/>
              <w:spacing w:line="400" w:lineRule="exact"/>
              <w:rPr>
                <w:rFonts w:hint="eastAsia" w:ascii="宋体" w:hAnsi="宋体"/>
                <w:color w:val="auto"/>
                <w:szCs w:val="21"/>
                <w:highlight w:val="none"/>
              </w:rPr>
            </w:pPr>
            <w:r>
              <w:rPr>
                <w:rFonts w:hint="eastAsia" w:ascii="宋体" w:hAnsi="宋体"/>
                <w:color w:val="auto"/>
                <w:szCs w:val="21"/>
                <w:highlight w:val="none"/>
              </w:rPr>
              <w:t>地址：宁波市江北区丽江东路85弄16号 </w:t>
            </w:r>
          </w:p>
          <w:p>
            <w:pPr>
              <w:keepNext w:val="0"/>
              <w:keepLines w:val="0"/>
              <w:pageBreakBefore w:val="0"/>
              <w:widowControl w:val="0"/>
              <w:kinsoku/>
              <w:wordWrap/>
              <w:overflowPunct/>
              <w:topLinePunct w:val="0"/>
              <w:bidi w:val="0"/>
              <w:snapToGrid w:val="0"/>
              <w:spacing w:line="400" w:lineRule="exact"/>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lang w:eastAsia="zh-CN"/>
              </w:rPr>
              <w:t>沈</w:t>
            </w:r>
            <w:r>
              <w:rPr>
                <w:rFonts w:hint="eastAsia" w:ascii="宋体" w:hAnsi="宋体"/>
                <w:color w:val="auto"/>
                <w:szCs w:val="21"/>
                <w:highlight w:val="none"/>
              </w:rPr>
              <w:t>老师</w:t>
            </w:r>
          </w:p>
          <w:p>
            <w:pPr>
              <w:keepNext w:val="0"/>
              <w:keepLines w:val="0"/>
              <w:pageBreakBefore w:val="0"/>
              <w:widowControl w:val="0"/>
              <w:kinsoku/>
              <w:wordWrap/>
              <w:overflowPunct/>
              <w:topLinePunct w:val="0"/>
              <w:bidi w:val="0"/>
              <w:snapToGrid w:val="0"/>
              <w:spacing w:line="400" w:lineRule="exact"/>
              <w:rPr>
                <w:rFonts w:ascii="宋体" w:hAnsi="宋体"/>
                <w:color w:val="auto"/>
                <w:szCs w:val="21"/>
                <w:highlight w:val="none"/>
              </w:rPr>
            </w:pPr>
            <w:r>
              <w:rPr>
                <w:rFonts w:hint="eastAsia" w:ascii="宋体" w:hAnsi="宋体"/>
                <w:color w:val="auto"/>
                <w:szCs w:val="21"/>
                <w:highlight w:val="none"/>
              </w:rPr>
              <w:t>联系电话：0574-88191177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3"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1.2.2</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rPr>
                <w:rFonts w:hint="eastAsia" w:ascii="宋体" w:hAnsi="宋体"/>
                <w:color w:val="auto"/>
                <w:szCs w:val="21"/>
                <w:highlight w:val="none"/>
              </w:rPr>
            </w:pPr>
            <w:r>
              <w:rPr>
                <w:rFonts w:hint="eastAsia" w:ascii="宋体" w:hAnsi="宋体"/>
                <w:color w:val="auto"/>
                <w:szCs w:val="21"/>
                <w:highlight w:val="none"/>
              </w:rPr>
              <w:t>采购代理机构：宁波市国际招标有限公司</w:t>
            </w:r>
          </w:p>
          <w:p>
            <w:pPr>
              <w:keepNext w:val="0"/>
              <w:keepLines w:val="0"/>
              <w:pageBreakBefore w:val="0"/>
              <w:widowControl w:val="0"/>
              <w:kinsoku/>
              <w:wordWrap/>
              <w:overflowPunct/>
              <w:topLinePunct w:val="0"/>
              <w:bidi w:val="0"/>
              <w:snapToGrid w:val="0"/>
              <w:spacing w:line="400" w:lineRule="exact"/>
              <w:rPr>
                <w:rFonts w:hint="eastAsia" w:ascii="宋体" w:hAnsi="宋体"/>
                <w:color w:val="auto"/>
                <w:szCs w:val="21"/>
                <w:highlight w:val="none"/>
              </w:rPr>
            </w:pPr>
            <w:r>
              <w:rPr>
                <w:rFonts w:hint="eastAsia" w:ascii="宋体" w:hAnsi="宋体"/>
                <w:color w:val="auto"/>
                <w:szCs w:val="21"/>
                <w:highlight w:val="none"/>
              </w:rPr>
              <w:t>地址：宁波市江北区环城北路西段207弄19号世茂茂悦商业中心1号楼八楼</w:t>
            </w:r>
          </w:p>
          <w:p>
            <w:pPr>
              <w:keepNext w:val="0"/>
              <w:keepLines w:val="0"/>
              <w:pageBreakBefore w:val="0"/>
              <w:widowControl w:val="0"/>
              <w:kinsoku/>
              <w:wordWrap/>
              <w:overflowPunct/>
              <w:topLinePunct w:val="0"/>
              <w:bidi w:val="0"/>
              <w:snapToGrid w:val="0"/>
              <w:spacing w:line="400" w:lineRule="exact"/>
              <w:rPr>
                <w:rFonts w:hint="eastAsia" w:ascii="宋体" w:hAnsi="宋体" w:eastAsia="宋体"/>
                <w:color w:val="auto"/>
                <w:szCs w:val="21"/>
                <w:highlight w:val="none"/>
                <w:lang w:eastAsia="zh-CN"/>
              </w:rPr>
            </w:pPr>
            <w:r>
              <w:rPr>
                <w:rFonts w:hint="eastAsia" w:ascii="宋体" w:hAnsi="宋体"/>
                <w:color w:val="auto"/>
                <w:szCs w:val="21"/>
                <w:highlight w:val="none"/>
              </w:rPr>
              <w:t>联系人：陈琴、苏芸</w:t>
            </w:r>
            <w:r>
              <w:rPr>
                <w:rFonts w:hint="eastAsia" w:ascii="宋体" w:hAnsi="宋体"/>
                <w:color w:val="auto"/>
                <w:szCs w:val="21"/>
                <w:highlight w:val="none"/>
                <w:lang w:eastAsia="zh-CN"/>
              </w:rPr>
              <w:t>、陆岚彬、翁伟冬、严锋</w:t>
            </w:r>
          </w:p>
          <w:p>
            <w:pPr>
              <w:keepNext w:val="0"/>
              <w:keepLines w:val="0"/>
              <w:pageBreakBefore w:val="0"/>
              <w:widowControl w:val="0"/>
              <w:kinsoku/>
              <w:wordWrap/>
              <w:overflowPunct/>
              <w:topLinePunct w:val="0"/>
              <w:bidi w:val="0"/>
              <w:snapToGrid w:val="0"/>
              <w:spacing w:line="400" w:lineRule="exact"/>
              <w:rPr>
                <w:rFonts w:ascii="宋体" w:hAnsi="宋体"/>
                <w:color w:val="auto"/>
                <w:szCs w:val="21"/>
                <w:highlight w:val="none"/>
              </w:rPr>
            </w:pPr>
            <w:r>
              <w:rPr>
                <w:rFonts w:hint="eastAsia" w:ascii="宋体" w:hAnsi="宋体"/>
                <w:color w:val="auto"/>
                <w:szCs w:val="21"/>
                <w:highlight w:val="none"/>
              </w:rPr>
              <w:t>联系电话：0574-87300418</w:t>
            </w:r>
          </w:p>
          <w:p>
            <w:pPr>
              <w:keepNext w:val="0"/>
              <w:keepLines w:val="0"/>
              <w:pageBreakBefore w:val="0"/>
              <w:widowControl w:val="0"/>
              <w:kinsoku/>
              <w:wordWrap/>
              <w:overflowPunct/>
              <w:topLinePunct w:val="0"/>
              <w:bidi w:val="0"/>
              <w:snapToGrid w:val="0"/>
              <w:spacing w:line="400" w:lineRule="exact"/>
              <w:rPr>
                <w:rFonts w:ascii="宋体" w:hAnsi="宋体"/>
                <w:color w:val="auto"/>
                <w:szCs w:val="21"/>
                <w:highlight w:val="none"/>
              </w:rPr>
            </w:pPr>
            <w:r>
              <w:rPr>
                <w:rFonts w:hint="eastAsia" w:ascii="宋体" w:hAnsi="宋体"/>
                <w:color w:val="auto"/>
                <w:szCs w:val="21"/>
                <w:highlight w:val="none"/>
              </w:rPr>
              <w:t>邮箱：nbitc02@126.com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3"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3</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1.2.8</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color w:val="auto"/>
                <w:szCs w:val="21"/>
                <w:highlight w:val="none"/>
              </w:rPr>
              <w:t>发布媒体：</w:t>
            </w:r>
          </w:p>
          <w:p>
            <w:pPr>
              <w:keepNext w:val="0"/>
              <w:keepLines w:val="0"/>
              <w:pageBreakBefore w:val="0"/>
              <w:widowControl w:val="0"/>
              <w:kinsoku/>
              <w:wordWrap/>
              <w:overflowPunct/>
              <w:topLinePunct w:val="0"/>
              <w:bidi w:val="0"/>
              <w:spacing w:line="400" w:lineRule="exact"/>
              <w:rPr>
                <w:rFonts w:ascii="宋体" w:hAnsi="宋体"/>
                <w:color w:val="auto"/>
                <w:szCs w:val="21"/>
                <w:highlight w:val="none"/>
              </w:rPr>
            </w:pPr>
            <w:r>
              <w:rPr>
                <w:rFonts w:hint="eastAsia" w:ascii="宋体" w:hAnsi="宋体"/>
                <w:color w:val="auto"/>
                <w:szCs w:val="21"/>
                <w:highlight w:val="none"/>
              </w:rPr>
              <w:t>浙江政府采购网</w:t>
            </w:r>
          </w:p>
          <w:p>
            <w:pPr>
              <w:keepNext w:val="0"/>
              <w:keepLines w:val="0"/>
              <w:pageBreakBefore w:val="0"/>
              <w:widowControl w:val="0"/>
              <w:kinsoku/>
              <w:wordWrap/>
              <w:overflowPunct/>
              <w:topLinePunct w:val="0"/>
              <w:bidi w:val="0"/>
              <w:spacing w:line="400" w:lineRule="exact"/>
              <w:rPr>
                <w:rFonts w:ascii="宋体" w:hAnsi="宋体"/>
                <w:color w:val="auto"/>
                <w:szCs w:val="21"/>
                <w:highlight w:val="none"/>
              </w:rPr>
            </w:pPr>
            <w:r>
              <w:rPr>
                <w:rFonts w:hint="eastAsia" w:ascii="宋体" w:hAnsi="宋体"/>
                <w:color w:val="auto"/>
                <w:szCs w:val="21"/>
                <w:highlight w:val="none"/>
              </w:rPr>
              <w:t>宁波市公共资源交易电子服务系统</w:t>
            </w:r>
          </w:p>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color w:val="auto"/>
                <w:szCs w:val="21"/>
                <w:highlight w:val="none"/>
              </w:rPr>
              <w:t xml:space="preserve">宁波市国际招标有限公司网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4"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4</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b/>
                <w:color w:val="auto"/>
                <w:szCs w:val="21"/>
                <w:highlight w:val="none"/>
                <w:lang w:eastAsia="zh-CN"/>
              </w:rPr>
              <w:t>★</w:t>
            </w:r>
            <w:r>
              <w:rPr>
                <w:rFonts w:hint="eastAsia" w:ascii="宋体" w:hAnsi="宋体"/>
                <w:color w:val="auto"/>
                <w:szCs w:val="21"/>
                <w:highlight w:val="none"/>
              </w:rPr>
              <w:t>2.2</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u w:val="single"/>
              </w:rPr>
            </w:pPr>
            <w:r>
              <w:rPr>
                <w:rFonts w:hint="eastAsia" w:ascii="宋体" w:hAnsi="宋体"/>
                <w:color w:val="auto"/>
                <w:szCs w:val="21"/>
                <w:highlight w:val="none"/>
              </w:rPr>
              <w:t>合格的投标服务来源：国内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3"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5</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3.4.1</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color w:val="auto"/>
                <w:szCs w:val="21"/>
                <w:highlight w:val="none"/>
              </w:rPr>
              <w:t>现场考察或开标前答疑会：</w:t>
            </w:r>
            <w:r>
              <w:rPr>
                <w:rFonts w:hint="eastAsia" w:ascii="宋体" w:hAnsi="宋体"/>
                <w:iCs/>
                <w:color w:val="auto"/>
                <w:szCs w:val="21"/>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3"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6</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4.3</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rPr>
                <w:rFonts w:hint="eastAsia" w:ascii="宋体" w:hAnsi="宋体"/>
                <w:color w:val="auto"/>
                <w:szCs w:val="21"/>
                <w:highlight w:val="none"/>
              </w:rPr>
            </w:pPr>
            <w:r>
              <w:rPr>
                <w:rFonts w:hint="eastAsia" w:ascii="宋体" w:hAnsi="宋体"/>
                <w:color w:val="auto"/>
                <w:szCs w:val="21"/>
                <w:highlight w:val="none"/>
              </w:rPr>
              <w:t>备选投标方案：</w:t>
            </w:r>
            <w:r>
              <w:rPr>
                <w:rFonts w:hint="eastAsia" w:ascii="宋体" w:hAnsi="宋体"/>
                <w:iCs/>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7</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b/>
                <w:color w:val="auto"/>
                <w:szCs w:val="21"/>
                <w:highlight w:val="none"/>
                <w:lang w:eastAsia="zh-CN"/>
              </w:rPr>
              <w:t>★</w:t>
            </w:r>
            <w:r>
              <w:rPr>
                <w:rFonts w:hint="eastAsia" w:ascii="宋体" w:hAnsi="宋体"/>
                <w:color w:val="auto"/>
                <w:szCs w:val="21"/>
                <w:highlight w:val="none"/>
              </w:rPr>
              <w:t>4.4</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u w:val="single"/>
              </w:rPr>
            </w:pPr>
            <w:r>
              <w:rPr>
                <w:rFonts w:hint="eastAsia" w:ascii="宋体" w:hAnsi="宋体"/>
                <w:color w:val="auto"/>
                <w:szCs w:val="21"/>
                <w:highlight w:val="none"/>
              </w:rPr>
              <w:t>本项目最高限价</w:t>
            </w:r>
            <w:r>
              <w:rPr>
                <w:rFonts w:hint="eastAsia" w:ascii="宋体" w:hAnsi="宋体"/>
                <w:color w:val="auto"/>
                <w:szCs w:val="21"/>
                <w:highlight w:val="none"/>
                <w:lang w:eastAsia="zh-CN"/>
              </w:rPr>
              <w:t>（预算）</w:t>
            </w:r>
            <w:r>
              <w:rPr>
                <w:rFonts w:hint="eastAsia" w:ascii="宋体" w:hAnsi="宋体"/>
                <w:color w:val="auto"/>
                <w:szCs w:val="21"/>
                <w:highlight w:val="none"/>
              </w:rPr>
              <w:t>14937120</w:t>
            </w:r>
            <w:r>
              <w:rPr>
                <w:rFonts w:hint="eastAsia" w:ascii="宋体" w:hAnsi="宋体"/>
                <w:color w:val="auto"/>
                <w:szCs w:val="21"/>
                <w:highlight w:val="none"/>
                <w:lang w:eastAsia="zh-CN"/>
              </w:rPr>
              <w:t>元</w:t>
            </w:r>
            <w:r>
              <w:rPr>
                <w:rFonts w:hint="eastAsia" w:ascii="宋体" w:hAnsi="宋体"/>
                <w:color w:val="auto"/>
                <w:szCs w:val="21"/>
                <w:highlight w:val="none"/>
                <w:lang w:val="en-US" w:eastAsia="zh-CN"/>
              </w:rPr>
              <w:t>/年</w:t>
            </w:r>
            <w:r>
              <w:rPr>
                <w:rFonts w:hint="eastAsia" w:ascii="宋体" w:hAnsi="宋体"/>
                <w:color w:val="auto"/>
                <w:szCs w:val="21"/>
                <w:highlight w:val="none"/>
              </w:rPr>
              <w:t>，投标报价超过最高限价的投标将作无效投标处理。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97"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8</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b/>
                <w:color w:val="auto"/>
                <w:szCs w:val="21"/>
                <w:highlight w:val="none"/>
                <w:lang w:eastAsia="zh-CN"/>
              </w:rPr>
              <w:t>★</w:t>
            </w:r>
            <w:r>
              <w:rPr>
                <w:rFonts w:hint="eastAsia" w:ascii="宋体" w:hAnsi="宋体"/>
                <w:color w:val="auto"/>
                <w:szCs w:val="21"/>
                <w:highlight w:val="none"/>
              </w:rPr>
              <w:t>4.5</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rPr>
                <w:rFonts w:hint="eastAsia"/>
                <w:color w:val="auto"/>
                <w:highlight w:val="none"/>
              </w:rPr>
            </w:pPr>
            <w:r>
              <w:rPr>
                <w:rFonts w:hint="eastAsia"/>
                <w:color w:val="auto"/>
                <w:highlight w:val="none"/>
              </w:rPr>
              <w:t>投标报价：</w:t>
            </w:r>
          </w:p>
          <w:p>
            <w:pPr>
              <w:keepNext w:val="0"/>
              <w:keepLines w:val="0"/>
              <w:pageBreakBefore w:val="0"/>
              <w:widowControl w:val="0"/>
              <w:kinsoku/>
              <w:wordWrap/>
              <w:overflowPunct/>
              <w:topLinePunct w:val="0"/>
              <w:bidi w:val="0"/>
              <w:spacing w:line="400" w:lineRule="exact"/>
              <w:rPr>
                <w:rFonts w:hint="eastAsia"/>
                <w:color w:val="auto"/>
                <w:highlight w:val="none"/>
              </w:rPr>
            </w:pPr>
            <w:r>
              <w:rPr>
                <w:rFonts w:hint="eastAsia"/>
                <w:color w:val="auto"/>
                <w:highlight w:val="none"/>
              </w:rPr>
              <w:t>1、包括但不限于第二部分招标需求的服务内容、保险、利润、税金及本项目包含的所有风险、责任等各项应有一切费用。</w:t>
            </w:r>
          </w:p>
          <w:p>
            <w:pPr>
              <w:keepNext w:val="0"/>
              <w:keepLines w:val="0"/>
              <w:pageBreakBefore w:val="0"/>
              <w:widowControl w:val="0"/>
              <w:kinsoku/>
              <w:wordWrap/>
              <w:overflowPunct/>
              <w:topLinePunct w:val="0"/>
              <w:bidi w:val="0"/>
              <w:spacing w:line="400" w:lineRule="exact"/>
              <w:rPr>
                <w:rFonts w:hint="eastAsia" w:ascii="Times New Roman" w:hAnsi="Times New Roman" w:eastAsia="宋体" w:cs="Times New Roman"/>
                <w:color w:val="auto"/>
                <w:highlight w:val="none"/>
              </w:rPr>
            </w:pPr>
            <w:r>
              <w:rPr>
                <w:rFonts w:hint="eastAsia"/>
                <w:color w:val="auto"/>
                <w:highlight w:val="none"/>
              </w:rPr>
              <w:t>2、不论</w:t>
            </w:r>
            <w:r>
              <w:rPr>
                <w:rFonts w:hint="eastAsia" w:ascii="Times New Roman" w:hAnsi="Times New Roman" w:eastAsia="宋体" w:cs="Times New Roman"/>
                <w:color w:val="auto"/>
                <w:highlight w:val="none"/>
              </w:rPr>
              <w:t>投标结果如何，投标人均应自行承担所有与投标有关的全部费用；</w:t>
            </w:r>
          </w:p>
          <w:p>
            <w:pPr>
              <w:keepNext w:val="0"/>
              <w:keepLines w:val="0"/>
              <w:pageBreakBefore w:val="0"/>
              <w:widowControl w:val="0"/>
              <w:kinsoku/>
              <w:wordWrap/>
              <w:overflowPunct/>
              <w:topLinePunct w:val="0"/>
              <w:bidi w:val="0"/>
              <w:spacing w:line="400" w:lineRule="exact"/>
              <w:rPr>
                <w:rFonts w:hint="eastAsia" w:eastAsia="宋体"/>
                <w:color w:val="auto"/>
                <w:lang w:eastAsia="zh-CN"/>
              </w:rPr>
            </w:pPr>
            <w:r>
              <w:rPr>
                <w:rFonts w:hint="eastAsia" w:ascii="Times New Roman" w:hAnsi="Times New Roman" w:eastAsia="宋体" w:cs="Times New Roman"/>
                <w:color w:val="auto"/>
                <w:highlight w:val="none"/>
                <w:lang w:val="en-US" w:eastAsia="zh-CN"/>
              </w:rPr>
              <w:t>3、</w:t>
            </w:r>
            <w:r>
              <w:rPr>
                <w:rFonts w:hint="eastAsia" w:ascii="Times New Roman" w:hAnsi="Times New Roman" w:eastAsia="宋体" w:cs="Times New Roman"/>
                <w:color w:val="auto"/>
                <w:highlight w:val="none"/>
              </w:rPr>
              <w:t>投标报价应包含人员工资（服务期内员工工资不得低于宁波市政府规定的当年最低工资标准）、税金和社会保障资金（所有人员必须交纳包括养老、工伤、失业、生育、医疗、工会大病保险等在内的社会保障资金，服务期内不得低于宁波市政府规定的当年社保基数）等各项应有费用，以及为完成招标文件规定的服务项目所涉及到的一切相关费用。如有漏项，视同已包含在其它项目中。在合同执行期间，遇到宁波市政府规定最低工资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社保缴费基数比例</w:t>
            </w:r>
            <w:r>
              <w:rPr>
                <w:rFonts w:hint="eastAsia" w:ascii="Times New Roman" w:hAnsi="Times New Roman" w:eastAsia="宋体" w:cs="Times New Roman"/>
                <w:color w:val="auto"/>
                <w:highlight w:val="none"/>
                <w:lang w:eastAsia="zh-CN"/>
              </w:rPr>
              <w:t>调整等政策变化</w:t>
            </w:r>
            <w:r>
              <w:rPr>
                <w:rFonts w:hint="eastAsia"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eastAsia="zh-CN"/>
              </w:rPr>
              <w:t>安保费用则根据政府文件作相应调整。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5"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9</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b/>
                <w:color w:val="auto"/>
                <w:szCs w:val="21"/>
                <w:highlight w:val="none"/>
                <w:lang w:eastAsia="zh-CN"/>
              </w:rPr>
              <w:t>★</w:t>
            </w:r>
            <w:r>
              <w:rPr>
                <w:rFonts w:hint="eastAsia" w:ascii="宋体" w:hAnsi="宋体"/>
                <w:color w:val="auto"/>
                <w:szCs w:val="21"/>
                <w:highlight w:val="none"/>
              </w:rPr>
              <w:t>5.1</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color w:val="auto"/>
                <w:szCs w:val="21"/>
                <w:highlight w:val="none"/>
              </w:rPr>
              <w:t>投标有效期：</w:t>
            </w:r>
            <w:r>
              <w:rPr>
                <w:rFonts w:hint="eastAsia" w:ascii="宋体" w:hAnsi="宋体"/>
                <w:color w:val="auto"/>
                <w:szCs w:val="21"/>
                <w:highlight w:val="none"/>
                <w:u w:val="single"/>
              </w:rPr>
              <w:t>90</w:t>
            </w:r>
            <w:r>
              <w:rPr>
                <w:rFonts w:hint="eastAsia" w:ascii="宋体" w:hAnsi="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1"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10</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b/>
                <w:color w:val="auto"/>
                <w:szCs w:val="21"/>
                <w:highlight w:val="none"/>
                <w:lang w:eastAsia="zh-CN"/>
              </w:rPr>
              <w:t>★</w:t>
            </w:r>
            <w:r>
              <w:rPr>
                <w:rFonts w:hint="eastAsia" w:ascii="宋体" w:hAnsi="宋体"/>
                <w:color w:val="auto"/>
                <w:szCs w:val="21"/>
                <w:highlight w:val="none"/>
              </w:rPr>
              <w:t>6.1</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color w:val="auto"/>
                <w:szCs w:val="21"/>
                <w:highlight w:val="none"/>
              </w:rPr>
              <w:t>投标保证金金额：</w:t>
            </w:r>
            <w:r>
              <w:rPr>
                <w:rStyle w:val="74"/>
                <w:rFonts w:hint="eastAsia" w:ascii="宋体" w:hAnsi="宋体"/>
                <w:color w:val="auto"/>
                <w:szCs w:val="21"/>
                <w:highlight w:val="none"/>
              </w:rPr>
              <w:t>不适用</w:t>
            </w:r>
            <w:r>
              <w:rPr>
                <w:rFonts w:hint="eastAsia" w:ascii="宋体" w:hAnsi="宋体"/>
                <w:color w:val="auto"/>
                <w:szCs w:val="21"/>
                <w:highlight w:val="none"/>
              </w:rPr>
              <w:t>（本项目所有涉及保证金内容的条款均不适用）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4"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11</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7.1</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投标文件组成：</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资格证明文件组成：</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（1）关于资格的承诺函；</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（2）法人或者其他组织的营业执照（副本复印件）、自然人的身份证明（身份证复印件，有效期内）；</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）特定资格条件要求提供的资格证明材料；</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）中小企业声明函（如是提供）；</w:t>
            </w:r>
          </w:p>
          <w:p>
            <w:pPr>
              <w:keepNext w:val="0"/>
              <w:keepLines w:val="0"/>
              <w:pageBreakBefore w:val="0"/>
              <w:widowControl w:val="0"/>
              <w:kinsoku/>
              <w:wordWrap/>
              <w:overflowPunct/>
              <w:topLinePunct w:val="0"/>
              <w:bidi w:val="0"/>
              <w:snapToGrid w:val="0"/>
              <w:spacing w:line="400" w:lineRule="exact"/>
              <w:rPr>
                <w:rFonts w:hint="eastAsia"/>
                <w:color w:val="auto"/>
                <w:highlight w:val="none"/>
                <w:lang w:val="en-US" w:eastAsia="zh-CN"/>
              </w:rPr>
            </w:pPr>
            <w:r>
              <w:rPr>
                <w:rFonts w:hint="eastAsia"/>
                <w:color w:val="auto"/>
                <w:highlight w:val="none"/>
              </w:rPr>
              <w:t>（</w:t>
            </w:r>
            <w:r>
              <w:rPr>
                <w:rFonts w:hint="eastAsia"/>
                <w:color w:val="auto"/>
                <w:highlight w:val="none"/>
                <w:lang w:val="en-US" w:eastAsia="zh-CN"/>
              </w:rPr>
              <w:t>5</w:t>
            </w:r>
            <w:r>
              <w:rPr>
                <w:rFonts w:hint="eastAsia"/>
                <w:color w:val="auto"/>
                <w:highlight w:val="none"/>
              </w:rPr>
              <w:t>）残疾人福利性单位声明函（如是提供）</w:t>
            </w:r>
            <w:r>
              <w:rPr>
                <w:rFonts w:hint="eastAsia"/>
                <w:color w:val="auto"/>
                <w:highlight w:val="none"/>
                <w:lang w:val="en-US" w:eastAsia="zh-CN"/>
              </w:rPr>
              <w:t>。</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技术</w:t>
            </w:r>
            <w:r>
              <w:rPr>
                <w:rFonts w:hint="eastAsia"/>
                <w:color w:val="auto"/>
                <w:highlight w:val="none"/>
                <w:lang w:eastAsia="zh-CN"/>
              </w:rPr>
              <w:t>资信</w:t>
            </w:r>
            <w:r>
              <w:rPr>
                <w:rFonts w:hint="eastAsia"/>
                <w:color w:val="auto"/>
                <w:highlight w:val="none"/>
              </w:rPr>
              <w:t>商务文件组成：</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w:t>
            </w:r>
            <w:r>
              <w:rPr>
                <w:rFonts w:hint="eastAsia"/>
                <w:color w:val="auto"/>
                <w:highlight w:val="none"/>
                <w:lang w:val="en-US" w:eastAsia="zh-CN"/>
              </w:rPr>
              <w:t>1</w:t>
            </w:r>
            <w:r>
              <w:rPr>
                <w:rFonts w:hint="eastAsia"/>
                <w:color w:val="auto"/>
                <w:highlight w:val="none"/>
              </w:rPr>
              <w:t>）法定代表人授权委托书或法定代表人身份证明；</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 xml:space="preserve">）法定代表授权人社保证明；                </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）技术条款响应表；</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）商务条款响应表。</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）技术方案、实施方案、措施及进度计划安排；</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）售后服务方案；</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w:t>
            </w:r>
            <w:r>
              <w:rPr>
                <w:rFonts w:hint="eastAsia"/>
                <w:color w:val="auto"/>
                <w:highlight w:val="none"/>
                <w:lang w:val="en-US" w:eastAsia="zh-CN"/>
              </w:rPr>
              <w:t>7</w:t>
            </w:r>
            <w:r>
              <w:rPr>
                <w:rFonts w:hint="eastAsia"/>
                <w:color w:val="auto"/>
                <w:highlight w:val="none"/>
              </w:rPr>
              <w:t>）技术支持和培训方案；</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w:t>
            </w:r>
            <w:r>
              <w:rPr>
                <w:rFonts w:hint="eastAsia"/>
                <w:color w:val="auto"/>
                <w:highlight w:val="none"/>
                <w:lang w:val="en-US" w:eastAsia="zh-CN"/>
              </w:rPr>
              <w:t>8</w:t>
            </w:r>
            <w:r>
              <w:rPr>
                <w:rFonts w:hint="eastAsia"/>
                <w:color w:val="auto"/>
                <w:highlight w:val="none"/>
              </w:rPr>
              <w:t>）提供第四章评标标准（兼评委打分表）所需证明资料；</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w:t>
            </w:r>
            <w:r>
              <w:rPr>
                <w:rFonts w:hint="eastAsia"/>
                <w:color w:val="auto"/>
                <w:highlight w:val="none"/>
                <w:lang w:val="en-US" w:eastAsia="zh-CN"/>
              </w:rPr>
              <w:t>9</w:t>
            </w:r>
            <w:r>
              <w:rPr>
                <w:rFonts w:hint="eastAsia"/>
                <w:color w:val="auto"/>
                <w:highlight w:val="none"/>
              </w:rPr>
              <w:t>）其他招标文件要求或投标人认为有必要提供的文件资料。</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投标报价文件组成：</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（1）开标一览表；</w:t>
            </w:r>
          </w:p>
          <w:p>
            <w:pPr>
              <w:keepNext w:val="0"/>
              <w:keepLines w:val="0"/>
              <w:pageBreakBefore w:val="0"/>
              <w:widowControl w:val="0"/>
              <w:kinsoku/>
              <w:wordWrap/>
              <w:overflowPunct/>
              <w:topLinePunct w:val="0"/>
              <w:bidi w:val="0"/>
              <w:snapToGrid w:val="0"/>
              <w:spacing w:line="400" w:lineRule="exact"/>
              <w:rPr>
                <w:rFonts w:hint="eastAsia"/>
                <w:color w:val="auto"/>
                <w:highlight w:val="none"/>
              </w:rPr>
            </w:pPr>
            <w:r>
              <w:rPr>
                <w:rFonts w:hint="eastAsia"/>
                <w:color w:val="auto"/>
                <w:highlight w:val="none"/>
              </w:rPr>
              <w:t>（2）投标函；</w:t>
            </w:r>
          </w:p>
          <w:p>
            <w:pPr>
              <w:keepNext w:val="0"/>
              <w:keepLines w:val="0"/>
              <w:pageBreakBefore w:val="0"/>
              <w:widowControl w:val="0"/>
              <w:kinsoku/>
              <w:wordWrap/>
              <w:overflowPunct/>
              <w:topLinePunct w:val="0"/>
              <w:bidi w:val="0"/>
              <w:snapToGrid w:val="0"/>
              <w:spacing w:line="400" w:lineRule="exact"/>
              <w:rPr>
                <w:rFonts w:hint="eastAsia"/>
                <w:color w:val="auto"/>
              </w:rPr>
            </w:pPr>
            <w:r>
              <w:rPr>
                <w:rFonts w:hint="eastAsia"/>
                <w:color w:val="auto"/>
                <w:highlight w:val="none"/>
              </w:rPr>
              <w:t>（3）投标价格明细表</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7.3.1</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color w:val="auto"/>
                <w:szCs w:val="21"/>
                <w:highlight w:val="none"/>
              </w:rPr>
              <w:t>本项目实行网上投标，供应商应准备以下投标文件：</w:t>
            </w:r>
          </w:p>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rPr>
              <w:t>（1）上传到政府采购云平台的电子投标文件（含资格证明文件，技术</w:t>
            </w:r>
            <w:r>
              <w:rPr>
                <w:rFonts w:hint="eastAsia" w:ascii="宋体" w:hAnsi="宋体"/>
                <w:color w:val="auto"/>
                <w:szCs w:val="21"/>
                <w:highlight w:val="none"/>
                <w:lang w:eastAsia="zh-CN"/>
              </w:rPr>
              <w:t>资信</w:t>
            </w:r>
            <w:r>
              <w:rPr>
                <w:rFonts w:hint="eastAsia" w:ascii="宋体" w:hAnsi="宋体"/>
                <w:color w:val="auto"/>
                <w:szCs w:val="21"/>
                <w:highlight w:val="none"/>
              </w:rPr>
              <w:t>商务文件、投标报价文件）1份。</w:t>
            </w:r>
          </w:p>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color w:val="auto"/>
                <w:szCs w:val="21"/>
                <w:highlight w:val="none"/>
              </w:rPr>
              <w:t>（2）以U盘或光盘存储的电子备份投标文件（含资格证明文件，技术</w:t>
            </w:r>
            <w:r>
              <w:rPr>
                <w:rFonts w:hint="eastAsia" w:ascii="宋体" w:hAnsi="宋体"/>
                <w:color w:val="auto"/>
                <w:szCs w:val="21"/>
                <w:highlight w:val="none"/>
                <w:lang w:eastAsia="zh-CN"/>
              </w:rPr>
              <w:t>资信</w:t>
            </w:r>
            <w:r>
              <w:rPr>
                <w:rFonts w:hint="eastAsia" w:ascii="宋体" w:hAnsi="宋体"/>
                <w:color w:val="auto"/>
                <w:szCs w:val="21"/>
                <w:highlight w:val="none"/>
              </w:rPr>
              <w:t>商务文件、投标报价文件）1份（自愿提供，用于异常处理）。</w:t>
            </w:r>
          </w:p>
          <w:p>
            <w:pPr>
              <w:keepNext w:val="0"/>
              <w:keepLines w:val="0"/>
              <w:pageBreakBefore w:val="0"/>
              <w:widowControl w:val="0"/>
              <w:kinsoku/>
              <w:wordWrap/>
              <w:overflowPunct/>
              <w:topLinePunct w:val="0"/>
              <w:bidi w:val="0"/>
              <w:snapToGrid w:val="0"/>
              <w:spacing w:line="400" w:lineRule="exact"/>
              <w:rPr>
                <w:rFonts w:hint="eastAsia" w:ascii="宋体" w:hAnsi="宋体"/>
                <w:color w:val="auto"/>
                <w:szCs w:val="21"/>
                <w:highlight w:val="none"/>
              </w:rPr>
            </w:pPr>
            <w:r>
              <w:rPr>
                <w:rFonts w:hint="eastAsia" w:ascii="宋体" w:hAnsi="宋体"/>
                <w:b/>
                <w:color w:val="auto"/>
                <w:szCs w:val="21"/>
                <w:highlight w:val="none"/>
              </w:rPr>
              <w:t>（3）中标人中标后3个</w:t>
            </w:r>
            <w:r>
              <w:rPr>
                <w:rFonts w:ascii="宋体" w:hAnsi="宋体"/>
                <w:b/>
                <w:color w:val="auto"/>
                <w:szCs w:val="21"/>
                <w:highlight w:val="none"/>
              </w:rPr>
              <w:t>工作日内</w:t>
            </w:r>
            <w:r>
              <w:rPr>
                <w:rFonts w:hint="eastAsia" w:ascii="宋体" w:hAnsi="宋体"/>
                <w:b/>
                <w:color w:val="auto"/>
                <w:szCs w:val="21"/>
                <w:highlight w:val="none"/>
              </w:rPr>
              <w:t>须另行提供纸质投标文件：资格</w:t>
            </w:r>
            <w:r>
              <w:rPr>
                <w:rFonts w:hint="eastAsia" w:ascii="宋体" w:hAnsi="宋体"/>
                <w:b/>
                <w:color w:val="auto"/>
                <w:szCs w:val="21"/>
                <w:highlight w:val="none"/>
                <w:lang w:eastAsia="zh-CN"/>
              </w:rPr>
              <w:t>、</w:t>
            </w:r>
            <w:r>
              <w:rPr>
                <w:rFonts w:hint="eastAsia" w:ascii="宋体" w:hAnsi="宋体"/>
                <w:b/>
                <w:color w:val="auto"/>
                <w:szCs w:val="21"/>
                <w:highlight w:val="none"/>
              </w:rPr>
              <w:t>技术</w:t>
            </w:r>
            <w:r>
              <w:rPr>
                <w:rFonts w:hint="eastAsia" w:ascii="宋体" w:hAnsi="宋体"/>
                <w:b/>
                <w:color w:val="auto"/>
                <w:szCs w:val="21"/>
                <w:highlight w:val="none"/>
                <w:lang w:eastAsia="zh-CN"/>
              </w:rPr>
              <w:t>资信</w:t>
            </w:r>
            <w:r>
              <w:rPr>
                <w:rFonts w:hint="eastAsia" w:ascii="宋体" w:hAnsi="宋体"/>
                <w:b/>
                <w:color w:val="auto"/>
                <w:szCs w:val="21"/>
                <w:highlight w:val="none"/>
              </w:rPr>
              <w:t>商务文件和报价文件</w:t>
            </w:r>
            <w:r>
              <w:rPr>
                <w:rFonts w:ascii="宋体" w:hAnsi="宋体"/>
                <w:b/>
                <w:color w:val="auto"/>
                <w:szCs w:val="21"/>
                <w:highlight w:val="none"/>
              </w:rPr>
              <w:t>2</w:t>
            </w:r>
            <w:r>
              <w:rPr>
                <w:rFonts w:hint="eastAsia" w:ascii="宋体" w:hAnsi="宋体"/>
                <w:b/>
                <w:color w:val="auto"/>
                <w:szCs w:val="21"/>
                <w:highlight w:val="none"/>
              </w:rPr>
              <w:t>份，纸质投标文件需与</w:t>
            </w:r>
            <w:r>
              <w:rPr>
                <w:rFonts w:ascii="宋体" w:hAnsi="宋体"/>
                <w:b/>
                <w:color w:val="auto"/>
                <w:szCs w:val="21"/>
                <w:highlight w:val="none"/>
              </w:rPr>
              <w:t>电子</w:t>
            </w:r>
            <w:r>
              <w:rPr>
                <w:rFonts w:hint="eastAsia" w:ascii="宋体" w:hAnsi="宋体"/>
                <w:b/>
                <w:color w:val="auto"/>
                <w:szCs w:val="21"/>
                <w:highlight w:val="none"/>
              </w:rPr>
              <w:t>投标</w:t>
            </w:r>
            <w:r>
              <w:rPr>
                <w:rFonts w:ascii="宋体" w:hAnsi="宋体"/>
                <w:b/>
                <w:color w:val="auto"/>
                <w:szCs w:val="21"/>
                <w:highlight w:val="none"/>
              </w:rPr>
              <w:t>文件一致</w:t>
            </w:r>
            <w:r>
              <w:rPr>
                <w:rFonts w:hint="eastAsia"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9"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13</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b/>
                <w:color w:val="auto"/>
                <w:szCs w:val="21"/>
                <w:highlight w:val="none"/>
                <w:lang w:eastAsia="zh-CN"/>
              </w:rPr>
              <w:t>★</w:t>
            </w:r>
            <w:r>
              <w:rPr>
                <w:rFonts w:hint="eastAsia" w:ascii="宋体" w:hAnsi="宋体"/>
                <w:color w:val="auto"/>
                <w:szCs w:val="21"/>
                <w:highlight w:val="none"/>
              </w:rPr>
              <w:t>7.3.5</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iCs/>
                <w:color w:val="auto"/>
                <w:szCs w:val="21"/>
                <w:highlight w:val="none"/>
              </w:rPr>
              <w:t>多个子包投标装订要求：</w:t>
            </w:r>
            <w:r>
              <w:rPr>
                <w:rFonts w:hint="eastAsia" w:ascii="宋体" w:hAnsi="宋体"/>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3"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14</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b/>
                <w:color w:val="auto"/>
                <w:szCs w:val="21"/>
                <w:highlight w:val="none"/>
                <w:lang w:eastAsia="zh-CN"/>
              </w:rPr>
              <w:t>★</w:t>
            </w:r>
            <w:r>
              <w:rPr>
                <w:rFonts w:hint="eastAsia" w:ascii="宋体" w:hAnsi="宋体"/>
                <w:color w:val="auto"/>
                <w:szCs w:val="21"/>
                <w:highlight w:val="none"/>
              </w:rPr>
              <w:t>7.4.2</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iCs/>
                <w:color w:val="auto"/>
                <w:szCs w:val="21"/>
                <w:highlight w:val="none"/>
              </w:rPr>
              <w:t>多个子包投标密封要求：</w:t>
            </w:r>
            <w:r>
              <w:rPr>
                <w:rFonts w:hint="eastAsia" w:ascii="宋体" w:hAnsi="宋体"/>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8"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15</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7.5.1</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color w:val="auto"/>
                <w:szCs w:val="21"/>
                <w:highlight w:val="none"/>
              </w:rPr>
              <w:t>投标截止时间及地点</w:t>
            </w: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01</w:t>
            </w:r>
            <w:r>
              <w:rPr>
                <w:rFonts w:hint="eastAsia" w:cs="宋体"/>
                <w:color w:val="auto"/>
                <w:szCs w:val="21"/>
                <w:highlight w:val="none"/>
              </w:rPr>
              <w:t>月</w:t>
            </w:r>
            <w:r>
              <w:rPr>
                <w:rFonts w:hint="eastAsia" w:cs="宋体"/>
                <w:color w:val="auto"/>
                <w:szCs w:val="21"/>
                <w:highlight w:val="none"/>
                <w:lang w:val="en-US" w:eastAsia="zh-CN"/>
              </w:rPr>
              <w:t>17</w:t>
            </w:r>
            <w:r>
              <w:rPr>
                <w:rFonts w:hint="eastAsia" w:ascii="宋体" w:hAnsi="宋体" w:cs="宋体"/>
                <w:color w:val="auto"/>
                <w:szCs w:val="21"/>
                <w:highlight w:val="none"/>
              </w:rPr>
              <w:t>日</w:t>
            </w:r>
            <w:r>
              <w:rPr>
                <w:rFonts w:hint="eastAsia" w:cs="宋体"/>
                <w:color w:val="auto"/>
                <w:szCs w:val="21"/>
                <w:highlight w:val="none"/>
              </w:rPr>
              <w:t>09</w:t>
            </w:r>
            <w:r>
              <w:rPr>
                <w:rFonts w:hint="eastAsia" w:ascii="宋体" w:hAnsi="宋体" w:cs="宋体"/>
                <w:color w:val="auto"/>
                <w:szCs w:val="21"/>
                <w:highlight w:val="none"/>
              </w:rPr>
              <w:t>:</w:t>
            </w:r>
            <w:r>
              <w:rPr>
                <w:rFonts w:hint="eastAsia" w:cs="宋体"/>
                <w:color w:val="auto"/>
                <w:szCs w:val="21"/>
                <w:highlight w:val="none"/>
              </w:rPr>
              <w:t>00</w:t>
            </w:r>
            <w:r>
              <w:rPr>
                <w:rFonts w:hint="eastAsia" w:ascii="宋体" w:hAnsi="宋体"/>
                <w:color w:val="auto"/>
                <w:szCs w:val="21"/>
                <w:highlight w:val="none"/>
              </w:rPr>
              <w:t>（北京时间）</w:t>
            </w:r>
          </w:p>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u w:val="single"/>
              </w:rPr>
            </w:pPr>
            <w:r>
              <w:rPr>
                <w:rFonts w:hint="eastAsia" w:ascii="宋体" w:hAnsi="宋体"/>
                <w:color w:val="auto"/>
                <w:szCs w:val="21"/>
                <w:highlight w:val="none"/>
              </w:rPr>
              <w:t>政采云平台（https://www.zcygov.cn）。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3"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16</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8.2.1</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color w:val="auto"/>
                <w:szCs w:val="21"/>
                <w:highlight w:val="none"/>
              </w:rPr>
              <w:t>开标时间及地点：</w:t>
            </w: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01</w:t>
            </w:r>
            <w:r>
              <w:rPr>
                <w:rFonts w:hint="eastAsia" w:cs="宋体"/>
                <w:color w:val="auto"/>
                <w:szCs w:val="21"/>
                <w:highlight w:val="none"/>
              </w:rPr>
              <w:t>月</w:t>
            </w:r>
            <w:r>
              <w:rPr>
                <w:rFonts w:hint="eastAsia" w:cs="宋体"/>
                <w:color w:val="auto"/>
                <w:szCs w:val="21"/>
                <w:highlight w:val="none"/>
                <w:lang w:val="en-US" w:eastAsia="zh-CN"/>
              </w:rPr>
              <w:t>17</w:t>
            </w:r>
            <w:r>
              <w:rPr>
                <w:rFonts w:hint="eastAsia" w:ascii="宋体" w:hAnsi="宋体" w:cs="宋体"/>
                <w:color w:val="auto"/>
                <w:szCs w:val="21"/>
                <w:highlight w:val="none"/>
              </w:rPr>
              <w:t>日</w:t>
            </w:r>
            <w:r>
              <w:rPr>
                <w:rFonts w:hint="eastAsia" w:cs="宋体"/>
                <w:color w:val="auto"/>
                <w:szCs w:val="21"/>
                <w:highlight w:val="none"/>
              </w:rPr>
              <w:t>09</w:t>
            </w:r>
            <w:r>
              <w:rPr>
                <w:rFonts w:hint="eastAsia" w:ascii="宋体" w:hAnsi="宋体" w:cs="宋体"/>
                <w:color w:val="auto"/>
                <w:szCs w:val="21"/>
                <w:highlight w:val="none"/>
              </w:rPr>
              <w:t>:</w:t>
            </w:r>
            <w:r>
              <w:rPr>
                <w:rFonts w:hint="eastAsia" w:cs="宋体"/>
                <w:color w:val="auto"/>
                <w:szCs w:val="21"/>
                <w:highlight w:val="none"/>
              </w:rPr>
              <w:t>00</w:t>
            </w:r>
            <w:r>
              <w:rPr>
                <w:rFonts w:hint="eastAsia" w:ascii="宋体" w:hAnsi="宋体"/>
                <w:color w:val="auto"/>
                <w:szCs w:val="21"/>
                <w:highlight w:val="none"/>
              </w:rPr>
              <w:t>（北京时间）</w:t>
            </w:r>
          </w:p>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color w:val="auto"/>
                <w:szCs w:val="21"/>
                <w:highlight w:val="none"/>
              </w:rPr>
              <w:t xml:space="preserve">政采云平台（https://www.zcygov.cn）。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2"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17</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9.4.1</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00" w:lineRule="exact"/>
              <w:rPr>
                <w:rFonts w:hint="eastAsia" w:ascii="宋体" w:hAnsi="宋体"/>
                <w:color w:val="auto"/>
                <w:szCs w:val="21"/>
                <w:highlight w:val="none"/>
              </w:rPr>
            </w:pPr>
            <w:r>
              <w:rPr>
                <w:rFonts w:hint="eastAsia" w:ascii="宋体" w:hAnsi="宋体"/>
                <w:color w:val="auto"/>
                <w:szCs w:val="21"/>
                <w:highlight w:val="none"/>
              </w:rPr>
              <w:t>中标候选人数量：按评标结果排序推荐中标候选人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9"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18</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10.1.1</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val="0"/>
              <w:spacing w:line="400" w:lineRule="exact"/>
              <w:textAlignment w:val="bottom"/>
              <w:rPr>
                <w:rFonts w:hint="eastAsia" w:ascii="宋体" w:hAnsi="宋体"/>
                <w:color w:val="auto"/>
                <w:szCs w:val="21"/>
                <w:highlight w:val="none"/>
              </w:rPr>
            </w:pPr>
            <w:r>
              <w:rPr>
                <w:rFonts w:hint="eastAsia" w:ascii="宋体" w:hAnsi="宋体"/>
                <w:color w:val="auto"/>
                <w:szCs w:val="21"/>
                <w:highlight w:val="none"/>
              </w:rPr>
              <w:t>中标人确定：</w:t>
            </w:r>
            <w:r>
              <w:rPr>
                <w:rFonts w:hint="eastAsia" w:ascii="宋体" w:hAnsi="宋体"/>
                <w:iCs/>
                <w:color w:val="auto"/>
                <w:szCs w:val="21"/>
                <w:highlight w:val="none"/>
              </w:rPr>
              <w:t>采购人应当自收到评审报告之日起5个工作日内在评审报告推荐的中标或者成交候选人中按顺序确定中标或者成交供应商。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1"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19</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11.3.1</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val="0"/>
              <w:spacing w:line="400" w:lineRule="exact"/>
              <w:textAlignment w:val="bottom"/>
              <w:rPr>
                <w:rFonts w:hint="eastAsia" w:ascii="宋体" w:hAnsi="宋体"/>
                <w:color w:val="auto"/>
                <w:szCs w:val="21"/>
                <w:highlight w:val="none"/>
              </w:rPr>
            </w:pPr>
            <w:r>
              <w:rPr>
                <w:rFonts w:hint="eastAsia" w:ascii="宋体" w:hAnsi="宋体"/>
                <w:color w:val="auto"/>
                <w:szCs w:val="21"/>
                <w:highlight w:val="none"/>
              </w:rPr>
              <w:t>签订合同时间：中标通知书发出之日起</w:t>
            </w:r>
            <w:r>
              <w:rPr>
                <w:rFonts w:hint="eastAsia" w:ascii="宋体" w:hAnsi="宋体"/>
                <w:color w:val="auto"/>
                <w:szCs w:val="21"/>
                <w:highlight w:val="none"/>
                <w:u w:val="single"/>
              </w:rPr>
              <w:t>30</w:t>
            </w:r>
            <w:r>
              <w:rPr>
                <w:rFonts w:hint="eastAsia" w:ascii="宋体" w:hAnsi="宋体"/>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7"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20</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11.3.3</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val="0"/>
              <w:spacing w:line="400" w:lineRule="exact"/>
              <w:textAlignment w:val="bottom"/>
              <w:rPr>
                <w:rFonts w:hint="eastAsia" w:ascii="宋体" w:hAnsi="宋体"/>
                <w:color w:val="auto"/>
                <w:szCs w:val="21"/>
                <w:highlight w:val="none"/>
              </w:rPr>
            </w:pPr>
            <w:r>
              <w:rPr>
                <w:rFonts w:hint="eastAsia" w:ascii="宋体" w:hAnsi="宋体"/>
                <w:color w:val="auto"/>
                <w:szCs w:val="21"/>
                <w:highlight w:val="none"/>
              </w:rPr>
              <w:t>中标人放弃中标后的处理：中标或者成交供应商拒绝与采购人签订合同的，采购人可以按照评审报告推荐的中标或者成交候选人名单排序，确定下一候选人为中标或者成交供应商，也可以重新开展政府采购活动。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7"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21</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11.4.2</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val="0"/>
              <w:spacing w:line="400" w:lineRule="exact"/>
              <w:textAlignment w:val="bottom"/>
              <w:rPr>
                <w:rFonts w:hint="eastAsia" w:ascii="宋体" w:hAnsi="宋体"/>
                <w:color w:val="auto"/>
                <w:szCs w:val="21"/>
                <w:highlight w:val="none"/>
              </w:rPr>
            </w:pPr>
            <w:r>
              <w:rPr>
                <w:rFonts w:hint="eastAsia" w:ascii="宋体" w:hAnsi="宋体"/>
                <w:color w:val="auto"/>
                <w:szCs w:val="21"/>
                <w:highlight w:val="none"/>
              </w:rPr>
              <w:t>履约保证金：</w:t>
            </w:r>
            <w:r>
              <w:rPr>
                <w:rFonts w:hint="eastAsia" w:ascii="宋体" w:hAnsi="宋体"/>
                <w:color w:val="auto"/>
                <w:szCs w:val="21"/>
                <w:highlight w:val="none"/>
                <w:lang w:eastAsia="zh-CN"/>
              </w:rPr>
              <w:t>合同金额的</w:t>
            </w:r>
            <w:r>
              <w:rPr>
                <w:rFonts w:hint="eastAsia" w:ascii="宋体" w:hAnsi="宋体"/>
                <w:color w:val="auto"/>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028"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22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12.1</w:t>
            </w:r>
          </w:p>
        </w:tc>
        <w:tc>
          <w:tcPr>
            <w:tcW w:w="7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pacing w:line="400" w:lineRule="exact"/>
              <w:textAlignment w:val="bottom"/>
              <w:rPr>
                <w:rFonts w:hint="eastAsia" w:ascii="宋体" w:hAnsi="宋体"/>
                <w:color w:val="auto"/>
                <w:szCs w:val="21"/>
                <w:highlight w:val="none"/>
              </w:rPr>
            </w:pPr>
            <w:r>
              <w:rPr>
                <w:rFonts w:hint="eastAsia" w:ascii="宋体" w:hAnsi="宋体"/>
                <w:color w:val="auto"/>
                <w:szCs w:val="21"/>
                <w:highlight w:val="none"/>
              </w:rPr>
              <w:t>1、本采购代理机构向中标供应商收取招标服务费</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60000</w:t>
            </w:r>
            <w:r>
              <w:rPr>
                <w:rFonts w:hint="eastAsia" w:ascii="宋体" w:hAnsi="宋体"/>
                <w:color w:val="auto"/>
                <w:szCs w:val="21"/>
                <w:highlight w:val="none"/>
              </w:rPr>
              <w:t>元。</w:t>
            </w:r>
          </w:p>
          <w:p>
            <w:pPr>
              <w:keepNext w:val="0"/>
              <w:keepLines w:val="0"/>
              <w:pageBreakBefore w:val="0"/>
              <w:widowControl w:val="0"/>
              <w:kinsoku/>
              <w:wordWrap/>
              <w:overflowPunct/>
              <w:topLinePunct w:val="0"/>
              <w:autoSpaceDE w:val="0"/>
              <w:autoSpaceDN w:val="0"/>
              <w:bidi w:val="0"/>
              <w:spacing w:line="400" w:lineRule="exact"/>
              <w:textAlignment w:val="bottom"/>
              <w:rPr>
                <w:rFonts w:hint="eastAsia"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、中标人应当在采购代理机构发出中标通知书5个工作日内支付招标代理服务费。</w:t>
            </w:r>
          </w:p>
          <w:p>
            <w:pPr>
              <w:keepNext w:val="0"/>
              <w:keepLines w:val="0"/>
              <w:pageBreakBefore w:val="0"/>
              <w:widowControl w:val="0"/>
              <w:kinsoku/>
              <w:wordWrap/>
              <w:overflowPunct/>
              <w:topLinePunct w:val="0"/>
              <w:autoSpaceDE w:val="0"/>
              <w:autoSpaceDN w:val="0"/>
              <w:bidi w:val="0"/>
              <w:spacing w:line="400" w:lineRule="exact"/>
              <w:textAlignment w:val="bottom"/>
              <w:rPr>
                <w:rFonts w:hint="eastAsia"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、招标代理服务费只收现金、银行票汇款、电汇款。</w:t>
            </w:r>
          </w:p>
          <w:p>
            <w:pPr>
              <w:keepNext w:val="0"/>
              <w:keepLines w:val="0"/>
              <w:pageBreakBefore w:val="0"/>
              <w:widowControl w:val="0"/>
              <w:kinsoku/>
              <w:wordWrap/>
              <w:overflowPunct/>
              <w:topLinePunct w:val="0"/>
              <w:autoSpaceDE w:val="0"/>
              <w:autoSpaceDN w:val="0"/>
              <w:bidi w:val="0"/>
              <w:spacing w:line="400" w:lineRule="exact"/>
              <w:textAlignment w:val="bottom"/>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、服务费缴纳：</w:t>
            </w:r>
          </w:p>
          <w:p>
            <w:pPr>
              <w:keepNext w:val="0"/>
              <w:keepLines w:val="0"/>
              <w:pageBreakBefore w:val="0"/>
              <w:widowControl w:val="0"/>
              <w:kinsoku/>
              <w:wordWrap/>
              <w:overflowPunct/>
              <w:topLinePunct w:val="0"/>
              <w:autoSpaceDE w:val="0"/>
              <w:autoSpaceDN w:val="0"/>
              <w:bidi w:val="0"/>
              <w:spacing w:line="400" w:lineRule="exact"/>
              <w:textAlignment w:val="bottom"/>
              <w:rPr>
                <w:rFonts w:hint="eastAsia" w:ascii="宋体" w:hAnsi="宋体"/>
                <w:color w:val="auto"/>
                <w:szCs w:val="21"/>
                <w:highlight w:val="none"/>
              </w:rPr>
            </w:pPr>
            <w:r>
              <w:rPr>
                <w:rFonts w:hint="eastAsia" w:ascii="宋体" w:hAnsi="宋体"/>
                <w:color w:val="auto"/>
                <w:szCs w:val="21"/>
                <w:highlight w:val="none"/>
              </w:rPr>
              <w:t>开户名称：宁波市国际招标有限公司</w:t>
            </w:r>
          </w:p>
          <w:p>
            <w:pPr>
              <w:keepNext w:val="0"/>
              <w:keepLines w:val="0"/>
              <w:pageBreakBefore w:val="0"/>
              <w:widowControl w:val="0"/>
              <w:kinsoku/>
              <w:wordWrap/>
              <w:overflowPunct/>
              <w:topLinePunct w:val="0"/>
              <w:autoSpaceDE w:val="0"/>
              <w:autoSpaceDN w:val="0"/>
              <w:bidi w:val="0"/>
              <w:spacing w:line="400" w:lineRule="exact"/>
              <w:textAlignment w:val="bottom"/>
              <w:rPr>
                <w:rFonts w:hint="eastAsia" w:ascii="宋体" w:hAnsi="宋体"/>
                <w:color w:val="auto"/>
                <w:szCs w:val="21"/>
                <w:highlight w:val="none"/>
              </w:rPr>
            </w:pPr>
            <w:r>
              <w:rPr>
                <w:rFonts w:hint="eastAsia" w:ascii="宋体" w:hAnsi="宋体"/>
                <w:color w:val="auto"/>
                <w:szCs w:val="21"/>
                <w:highlight w:val="none"/>
              </w:rPr>
              <w:t>开户银行：上海浦东发展银行宁波分行江北支行</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bottom"/>
              <w:rPr>
                <w:rFonts w:hint="eastAsia" w:ascii="宋体" w:hAnsi="宋体"/>
                <w:color w:val="auto"/>
                <w:szCs w:val="21"/>
                <w:highlight w:val="none"/>
              </w:rPr>
            </w:pPr>
            <w:r>
              <w:rPr>
                <w:rFonts w:hint="eastAsia" w:ascii="宋体" w:hAnsi="宋体"/>
                <w:color w:val="auto"/>
                <w:szCs w:val="21"/>
                <w:highlight w:val="none"/>
              </w:rPr>
              <w:t>账    号： 94090154800000191</w:t>
            </w:r>
          </w:p>
        </w:tc>
      </w:tr>
    </w:tbl>
    <w:p>
      <w:pPr>
        <w:pStyle w:val="21"/>
        <w:snapToGrid w:val="0"/>
        <w:spacing w:before="120" w:after="120" w:line="240" w:lineRule="auto"/>
        <w:jc w:val="center"/>
        <w:rPr>
          <w:rFonts w:hint="eastAsia" w:hAnsi="宋体"/>
          <w:b/>
          <w:color w:val="auto"/>
          <w:sz w:val="30"/>
          <w:szCs w:val="30"/>
          <w:highlight w:val="none"/>
        </w:rPr>
      </w:pPr>
    </w:p>
    <w:p>
      <w:pPr>
        <w:pStyle w:val="21"/>
        <w:snapToGrid w:val="0"/>
        <w:spacing w:before="120" w:after="120" w:line="240" w:lineRule="auto"/>
        <w:jc w:val="center"/>
        <w:rPr>
          <w:rFonts w:hint="eastAsia" w:hAnsi="宋体"/>
          <w:b/>
          <w:color w:val="auto"/>
          <w:sz w:val="30"/>
          <w:szCs w:val="30"/>
          <w:highlight w:val="none"/>
        </w:rPr>
      </w:pPr>
      <w:r>
        <w:rPr>
          <w:rFonts w:hAnsi="宋体"/>
          <w:b/>
          <w:color w:val="auto"/>
          <w:sz w:val="30"/>
          <w:szCs w:val="30"/>
          <w:highlight w:val="none"/>
        </w:rPr>
        <w:br w:type="page"/>
      </w:r>
      <w:r>
        <w:rPr>
          <w:rFonts w:hint="eastAsia" w:hAnsi="宋体"/>
          <w:b/>
          <w:color w:val="auto"/>
          <w:sz w:val="30"/>
          <w:szCs w:val="30"/>
          <w:highlight w:val="none"/>
        </w:rPr>
        <w:t>投标人须知正文</w:t>
      </w:r>
    </w:p>
    <w:p>
      <w:pPr>
        <w:pStyle w:val="21"/>
        <w:snapToGrid w:val="0"/>
        <w:spacing w:before="120" w:after="120" w:line="240" w:lineRule="auto"/>
        <w:rPr>
          <w:rFonts w:hint="eastAsia" w:hAnsi="宋体"/>
          <w:b/>
          <w:color w:val="auto"/>
          <w:highlight w:val="none"/>
        </w:rPr>
      </w:pPr>
      <w:r>
        <w:rPr>
          <w:rFonts w:hint="eastAsia" w:hAnsi="宋体"/>
          <w:b/>
          <w:color w:val="auto"/>
          <w:highlight w:val="none"/>
        </w:rPr>
        <w:t>一、总  则</w:t>
      </w:r>
    </w:p>
    <w:p>
      <w:pPr>
        <w:spacing w:line="400" w:lineRule="exact"/>
        <w:rPr>
          <w:rFonts w:hint="eastAsia" w:ascii="宋体" w:hAnsi="宋体"/>
          <w:color w:val="auto"/>
          <w:szCs w:val="21"/>
          <w:highlight w:val="none"/>
        </w:rPr>
      </w:pPr>
      <w:r>
        <w:rPr>
          <w:rFonts w:hint="eastAsia" w:ascii="宋体" w:hAnsi="宋体"/>
          <w:color w:val="auto"/>
          <w:szCs w:val="21"/>
          <w:highlight w:val="none"/>
        </w:rPr>
        <w:t>1.1适用范围</w:t>
      </w:r>
    </w:p>
    <w:p>
      <w:pPr>
        <w:spacing w:line="400" w:lineRule="exact"/>
        <w:rPr>
          <w:rFonts w:hint="eastAsia" w:ascii="宋体" w:hAnsi="宋体"/>
          <w:color w:val="auto"/>
          <w:szCs w:val="21"/>
          <w:highlight w:val="none"/>
        </w:rPr>
      </w:pPr>
      <w:r>
        <w:rPr>
          <w:rFonts w:hint="eastAsia" w:ascii="宋体" w:hAnsi="宋体"/>
          <w:color w:val="auto"/>
          <w:szCs w:val="21"/>
          <w:highlight w:val="none"/>
        </w:rPr>
        <w:t>本采购文件适用于本次采购项目的招标、投标、评标、定标、验收、合同履约、付款等行为（法律、法规另有规定的，从其规定）。</w:t>
      </w:r>
    </w:p>
    <w:p>
      <w:pPr>
        <w:spacing w:line="400" w:lineRule="exact"/>
        <w:rPr>
          <w:rFonts w:hint="eastAsia" w:ascii="宋体" w:hAnsi="宋体"/>
          <w:color w:val="auto"/>
          <w:szCs w:val="21"/>
          <w:highlight w:val="none"/>
        </w:rPr>
      </w:pPr>
      <w:r>
        <w:rPr>
          <w:rFonts w:hint="eastAsia" w:ascii="宋体" w:hAnsi="宋体"/>
          <w:color w:val="auto"/>
          <w:szCs w:val="21"/>
          <w:highlight w:val="none"/>
        </w:rPr>
        <w:t>1.2定义</w:t>
      </w:r>
    </w:p>
    <w:p>
      <w:pPr>
        <w:spacing w:line="400" w:lineRule="exact"/>
        <w:rPr>
          <w:rFonts w:hint="eastAsia" w:ascii="宋体" w:hAnsi="宋体"/>
          <w:color w:val="auto"/>
          <w:szCs w:val="21"/>
          <w:highlight w:val="none"/>
        </w:rPr>
      </w:pPr>
      <w:r>
        <w:rPr>
          <w:rFonts w:hint="eastAsia" w:ascii="宋体" w:hAnsi="宋体"/>
          <w:color w:val="auto"/>
          <w:szCs w:val="21"/>
          <w:highlight w:val="none"/>
        </w:rPr>
        <w:t>1.2.1采购人：见前附表</w:t>
      </w:r>
    </w:p>
    <w:p>
      <w:pPr>
        <w:spacing w:line="400" w:lineRule="exact"/>
        <w:rPr>
          <w:rFonts w:hint="eastAsia" w:ascii="宋体" w:hAnsi="宋体"/>
          <w:color w:val="auto"/>
          <w:szCs w:val="21"/>
          <w:highlight w:val="none"/>
        </w:rPr>
      </w:pPr>
      <w:r>
        <w:rPr>
          <w:rFonts w:hint="eastAsia" w:ascii="宋体" w:hAnsi="宋体"/>
          <w:color w:val="auto"/>
          <w:szCs w:val="21"/>
          <w:highlight w:val="none"/>
        </w:rPr>
        <w:t>1.2.2 采购代理机构：宁波市国际招标有限公司</w:t>
      </w:r>
    </w:p>
    <w:p>
      <w:pPr>
        <w:spacing w:line="400" w:lineRule="exact"/>
        <w:rPr>
          <w:rFonts w:hint="eastAsia" w:ascii="宋体" w:hAnsi="宋体"/>
          <w:color w:val="auto"/>
          <w:szCs w:val="21"/>
          <w:highlight w:val="none"/>
        </w:rPr>
      </w:pPr>
      <w:r>
        <w:rPr>
          <w:rFonts w:hint="eastAsia" w:ascii="宋体" w:hAnsi="宋体"/>
          <w:color w:val="auto"/>
          <w:szCs w:val="21"/>
          <w:highlight w:val="none"/>
        </w:rPr>
        <w:t>1.2.3 投标人、供应商：均指向招标方提交投标文件的法人、其他组织或者自然人。</w:t>
      </w:r>
    </w:p>
    <w:p>
      <w:pPr>
        <w:spacing w:line="400" w:lineRule="exact"/>
        <w:rPr>
          <w:rFonts w:hint="eastAsia" w:ascii="宋体" w:hAnsi="宋体"/>
          <w:color w:val="auto"/>
          <w:szCs w:val="21"/>
          <w:highlight w:val="none"/>
        </w:rPr>
      </w:pPr>
      <w:r>
        <w:rPr>
          <w:rFonts w:hint="eastAsia" w:ascii="宋体" w:hAnsi="宋体"/>
          <w:color w:val="auto"/>
          <w:szCs w:val="21"/>
          <w:highlight w:val="none"/>
        </w:rPr>
        <w:t>1.2.4货物：系指供应商按照采购文件规定，须向采购人提供的一切设备、保险、税金、备品备件、工具、手册及其它有关技术资料和材料。</w:t>
      </w:r>
    </w:p>
    <w:p>
      <w:pPr>
        <w:spacing w:line="400" w:lineRule="exact"/>
        <w:rPr>
          <w:rFonts w:hint="eastAsia" w:ascii="宋体" w:hAnsi="宋体"/>
          <w:color w:val="auto"/>
          <w:szCs w:val="21"/>
          <w:highlight w:val="none"/>
        </w:rPr>
      </w:pPr>
      <w:r>
        <w:rPr>
          <w:rFonts w:hint="eastAsia" w:ascii="宋体" w:hAnsi="宋体"/>
          <w:color w:val="auto"/>
          <w:szCs w:val="21"/>
          <w:highlight w:val="none"/>
        </w:rPr>
        <w:t>1.2.5服务：系指供应商按照采购文件规定，须承担的安装、调试、技术协助、校准、培训、技术指导以及其他类似的义务。</w:t>
      </w:r>
    </w:p>
    <w:p>
      <w:pPr>
        <w:spacing w:line="400" w:lineRule="exact"/>
        <w:rPr>
          <w:rFonts w:hint="eastAsia" w:ascii="宋体" w:hAnsi="宋体"/>
          <w:color w:val="auto"/>
          <w:szCs w:val="21"/>
          <w:highlight w:val="none"/>
        </w:rPr>
      </w:pPr>
      <w:r>
        <w:rPr>
          <w:rFonts w:hint="eastAsia" w:ascii="宋体" w:hAnsi="宋体"/>
          <w:color w:val="auto"/>
          <w:szCs w:val="21"/>
          <w:highlight w:val="none"/>
        </w:rPr>
        <w:t>1.2.6“书面形式”包括信函、传真、电报等。</w:t>
      </w:r>
    </w:p>
    <w:p>
      <w:pPr>
        <w:spacing w:line="400" w:lineRule="exact"/>
        <w:rPr>
          <w:rFonts w:hint="eastAsia" w:ascii="宋体" w:hAnsi="宋体"/>
          <w:color w:val="auto"/>
          <w:szCs w:val="21"/>
          <w:highlight w:val="none"/>
        </w:rPr>
      </w:pPr>
      <w:r>
        <w:rPr>
          <w:rFonts w:hint="eastAsia" w:ascii="宋体" w:hAnsi="宋体"/>
          <w:color w:val="auto"/>
          <w:szCs w:val="21"/>
          <w:highlight w:val="none"/>
        </w:rPr>
        <w:t>1.2.7采购文件中标注有“</w:t>
      </w:r>
      <w:r>
        <w:rPr>
          <w:rFonts w:hint="eastAsia" w:ascii="宋体" w:hAnsi="宋体" w:eastAsia="宋体" w:cs="宋体"/>
          <w:color w:val="auto"/>
          <w:szCs w:val="21"/>
          <w:highlight w:val="none"/>
        </w:rPr>
        <w:t>★</w:t>
      </w:r>
      <w:r>
        <w:rPr>
          <w:rFonts w:hint="eastAsia" w:ascii="宋体" w:hAnsi="宋体"/>
          <w:color w:val="auto"/>
          <w:szCs w:val="21"/>
          <w:highlight w:val="none"/>
        </w:rPr>
        <w:t>”号的条款为“实质性要求”条款，投标文件对这些条款的任何负偏离将视为没有对采购文件的实质性要求做出响应，将被认定为无效投标。</w:t>
      </w:r>
    </w:p>
    <w:p>
      <w:pPr>
        <w:spacing w:line="400" w:lineRule="exact"/>
        <w:rPr>
          <w:rFonts w:hint="eastAsia" w:ascii="宋体" w:hAnsi="宋体"/>
          <w:color w:val="auto"/>
          <w:szCs w:val="21"/>
          <w:highlight w:val="none"/>
        </w:rPr>
      </w:pPr>
      <w:r>
        <w:rPr>
          <w:rFonts w:hint="eastAsia" w:ascii="宋体" w:hAnsi="宋体"/>
          <w:color w:val="auto"/>
          <w:szCs w:val="21"/>
          <w:highlight w:val="none"/>
        </w:rPr>
        <w:t>1.2.8发布媒体：本项目采购信息公开发布的媒体，具体见前附表。本项目所有采购信息在指定媒体发布后，</w:t>
      </w:r>
      <w:r>
        <w:rPr>
          <w:rFonts w:ascii="宋体" w:hAnsi="宋体"/>
          <w:color w:val="auto"/>
          <w:szCs w:val="21"/>
          <w:highlight w:val="none"/>
        </w:rPr>
        <w:t>视同送达所有</w:t>
      </w:r>
      <w:r>
        <w:rPr>
          <w:rFonts w:hint="eastAsia" w:ascii="宋体" w:hAnsi="宋体"/>
          <w:color w:val="auto"/>
          <w:szCs w:val="21"/>
          <w:highlight w:val="none"/>
        </w:rPr>
        <w:t>供应商</w:t>
      </w:r>
      <w:r>
        <w:rPr>
          <w:rFonts w:ascii="宋体" w:hAnsi="宋体"/>
          <w:color w:val="auto"/>
          <w:szCs w:val="21"/>
          <w:highlight w:val="none"/>
        </w:rPr>
        <w:t>。</w:t>
      </w:r>
    </w:p>
    <w:p>
      <w:pPr>
        <w:spacing w:line="400" w:lineRule="exact"/>
        <w:rPr>
          <w:rFonts w:ascii="宋体" w:hAnsi="宋体"/>
          <w:b/>
          <w:color w:val="auto"/>
          <w:sz w:val="24"/>
          <w:highlight w:val="none"/>
        </w:rPr>
      </w:pPr>
      <w:r>
        <w:rPr>
          <w:rFonts w:hint="eastAsia" w:ascii="宋体" w:hAnsi="宋体"/>
          <w:b/>
          <w:color w:val="auto"/>
          <w:sz w:val="24"/>
          <w:highlight w:val="none"/>
        </w:rPr>
        <w:t>二、投标</w:t>
      </w:r>
    </w:p>
    <w:p>
      <w:pPr>
        <w:spacing w:line="400" w:lineRule="exact"/>
        <w:rPr>
          <w:rFonts w:hint="eastAsia" w:ascii="宋体"/>
          <w:color w:val="auto"/>
          <w:szCs w:val="21"/>
          <w:highlight w:val="none"/>
        </w:rPr>
      </w:pPr>
      <w:r>
        <w:rPr>
          <w:rFonts w:hint="eastAsia" w:ascii="宋体"/>
          <w:b/>
          <w:color w:val="auto"/>
          <w:szCs w:val="21"/>
          <w:highlight w:val="none"/>
        </w:rPr>
        <w:t>2.1合格的投标人：</w:t>
      </w:r>
      <w:r>
        <w:rPr>
          <w:rFonts w:hint="eastAsia" w:ascii="宋体"/>
          <w:color w:val="auto"/>
          <w:szCs w:val="21"/>
          <w:highlight w:val="none"/>
        </w:rPr>
        <w:t>指符合采购公告供应商资格要求的投标人。</w:t>
      </w:r>
    </w:p>
    <w:p>
      <w:pPr>
        <w:spacing w:line="400" w:lineRule="exact"/>
        <w:rPr>
          <w:rFonts w:hint="eastAsia" w:ascii="宋体"/>
          <w:color w:val="auto"/>
          <w:szCs w:val="21"/>
          <w:highlight w:val="none"/>
        </w:rPr>
      </w:pPr>
      <w:r>
        <w:rPr>
          <w:rFonts w:hint="eastAsia" w:ascii="宋体"/>
          <w:color w:val="auto"/>
          <w:szCs w:val="21"/>
          <w:highlight w:val="none"/>
        </w:rPr>
        <w:t>2.1.1 法人的分支机构由于其</w:t>
      </w:r>
      <w:r>
        <w:rPr>
          <w:rFonts w:ascii="宋体"/>
          <w:color w:val="auto"/>
          <w:szCs w:val="21"/>
          <w:highlight w:val="none"/>
        </w:rPr>
        <w:t>不能独立承担民事责任</w:t>
      </w:r>
      <w:r>
        <w:rPr>
          <w:rFonts w:hint="eastAsia" w:ascii="宋体"/>
          <w:color w:val="auto"/>
          <w:szCs w:val="21"/>
          <w:highlight w:val="none"/>
        </w:rPr>
        <w:t>，</w:t>
      </w:r>
      <w:r>
        <w:rPr>
          <w:rFonts w:ascii="宋体"/>
          <w:color w:val="auto"/>
          <w:szCs w:val="21"/>
          <w:highlight w:val="none"/>
        </w:rPr>
        <w:t>不能以分支机构的身份参加政府采购，只能</w:t>
      </w:r>
      <w:r>
        <w:rPr>
          <w:rFonts w:hint="eastAsia" w:ascii="宋体"/>
          <w:color w:val="auto"/>
          <w:szCs w:val="21"/>
          <w:highlight w:val="none"/>
        </w:rPr>
        <w:t>以</w:t>
      </w:r>
      <w:r>
        <w:rPr>
          <w:rFonts w:ascii="宋体"/>
          <w:color w:val="auto"/>
          <w:szCs w:val="21"/>
          <w:highlight w:val="none"/>
        </w:rPr>
        <w:t>法人身份参加。</w:t>
      </w:r>
      <w:r>
        <w:rPr>
          <w:rFonts w:hint="eastAsia" w:ascii="宋体"/>
          <w:color w:val="auto"/>
          <w:szCs w:val="21"/>
          <w:highlight w:val="none"/>
        </w:rPr>
        <w:t>分公司为法人的分支机构，以分公司名义参与投标的为无效投标，但</w:t>
      </w:r>
      <w:r>
        <w:rPr>
          <w:rFonts w:ascii="宋体"/>
          <w:color w:val="auto"/>
          <w:szCs w:val="21"/>
          <w:highlight w:val="none"/>
        </w:rPr>
        <w:t>银行、保险、石油石化、电力、电信等特殊行业</w:t>
      </w:r>
      <w:r>
        <w:rPr>
          <w:rFonts w:hint="eastAsia" w:ascii="宋体"/>
          <w:color w:val="auto"/>
          <w:szCs w:val="21"/>
          <w:highlight w:val="none"/>
        </w:rPr>
        <w:t>除</w:t>
      </w:r>
      <w:r>
        <w:rPr>
          <w:rFonts w:ascii="宋体"/>
          <w:color w:val="auto"/>
          <w:szCs w:val="21"/>
          <w:highlight w:val="none"/>
        </w:rPr>
        <w:t xml:space="preserve">外。 </w:t>
      </w:r>
    </w:p>
    <w:p>
      <w:pPr>
        <w:spacing w:line="400" w:lineRule="exact"/>
        <w:rPr>
          <w:rFonts w:hint="eastAsia" w:ascii="宋体"/>
          <w:color w:val="auto"/>
          <w:szCs w:val="21"/>
          <w:highlight w:val="none"/>
        </w:rPr>
      </w:pPr>
      <w:r>
        <w:rPr>
          <w:rFonts w:hint="eastAsia" w:ascii="宋体"/>
          <w:color w:val="auto"/>
          <w:szCs w:val="21"/>
          <w:highlight w:val="none"/>
        </w:rPr>
        <w:t>2.1.2自然人仅指中国公民。</w:t>
      </w:r>
    </w:p>
    <w:p>
      <w:pPr>
        <w:spacing w:line="400" w:lineRule="exact"/>
        <w:rPr>
          <w:rFonts w:hint="eastAsia" w:ascii="宋体"/>
          <w:color w:val="auto"/>
          <w:szCs w:val="21"/>
          <w:highlight w:val="none"/>
        </w:rPr>
      </w:pPr>
      <w:r>
        <w:rPr>
          <w:rFonts w:hint="eastAsia" w:ascii="宋体"/>
          <w:color w:val="auto"/>
          <w:szCs w:val="21"/>
          <w:highlight w:val="none"/>
        </w:rPr>
        <w:t>2.1.3投标人名称：投标文件投标人名称、采购文件购买人名称应当一致。</w:t>
      </w:r>
    </w:p>
    <w:p>
      <w:pPr>
        <w:spacing w:line="400" w:lineRule="exact"/>
        <w:rPr>
          <w:rFonts w:hint="eastAsia" w:ascii="宋体"/>
          <w:color w:val="auto"/>
          <w:szCs w:val="21"/>
          <w:highlight w:val="none"/>
        </w:rPr>
      </w:pPr>
      <w:r>
        <w:rPr>
          <w:rFonts w:hint="eastAsia" w:ascii="宋体"/>
          <w:b/>
          <w:color w:val="auto"/>
          <w:szCs w:val="21"/>
          <w:highlight w:val="none"/>
        </w:rPr>
        <w:t>2.2合格的投标货物来源：</w:t>
      </w:r>
      <w:r>
        <w:rPr>
          <w:rFonts w:hint="eastAsia" w:ascii="宋体"/>
          <w:color w:val="auto"/>
          <w:szCs w:val="21"/>
          <w:highlight w:val="none"/>
        </w:rPr>
        <w:t>见前附表。卖方应保护买方在使用该货物或其任何一部分时不受第三方提出侵犯专利权、商标权或工业设计权等知识产权的指控。如果任何第三方提出侵权指控，卖方须与第三方交涉并承担可能发生的一切法律责任和费用。</w:t>
      </w:r>
    </w:p>
    <w:p>
      <w:pPr>
        <w:spacing w:line="400" w:lineRule="exact"/>
        <w:rPr>
          <w:rFonts w:hint="eastAsia" w:ascii="宋体" w:hAnsi="宋体"/>
          <w:color w:val="auto"/>
          <w:szCs w:val="21"/>
          <w:highlight w:val="none"/>
        </w:rPr>
      </w:pPr>
      <w:r>
        <w:rPr>
          <w:rFonts w:hint="eastAsia" w:ascii="宋体" w:hAnsi="宋体"/>
          <w:color w:val="auto"/>
          <w:szCs w:val="21"/>
          <w:highlight w:val="none"/>
        </w:rPr>
        <w:t>2.2.1合格的投标货物或服务应该是中国境内生产的货物或提供的服务。</w:t>
      </w:r>
    </w:p>
    <w:p>
      <w:pPr>
        <w:spacing w:line="400" w:lineRule="exact"/>
        <w:rPr>
          <w:rFonts w:hint="eastAsia" w:ascii="宋体" w:hAnsi="宋体"/>
          <w:color w:val="auto"/>
          <w:szCs w:val="21"/>
          <w:highlight w:val="none"/>
        </w:rPr>
      </w:pPr>
      <w:r>
        <w:rPr>
          <w:rFonts w:hint="eastAsia" w:ascii="宋体" w:hAnsi="宋体"/>
          <w:color w:val="auto"/>
          <w:szCs w:val="21"/>
          <w:highlight w:val="none"/>
        </w:rPr>
        <w:t>若投标货物或服务是国家实行许可证制度或生产注册证制度的产品或服务，则应具备相应有效的证书。招标文件允许采购进口产品的，若投标货物是进口产品，投标人应保证所投产品为可履行合法报通关手续进入中国关境内、在中国海关完税的可合法销售的货物。</w:t>
      </w:r>
    </w:p>
    <w:p>
      <w:pPr>
        <w:spacing w:line="400" w:lineRule="exact"/>
        <w:rPr>
          <w:rFonts w:hint="eastAsia" w:ascii="宋体" w:hAnsi="宋体"/>
          <w:color w:val="auto"/>
          <w:szCs w:val="21"/>
          <w:highlight w:val="none"/>
        </w:rPr>
      </w:pPr>
      <w:r>
        <w:rPr>
          <w:rFonts w:hint="eastAsia" w:ascii="宋体" w:hAnsi="宋体"/>
          <w:color w:val="auto"/>
          <w:szCs w:val="21"/>
          <w:highlight w:val="none"/>
        </w:rPr>
        <w:t>2.2.2国家规定有标准及规范的，投标货物或服务应按有效的标准及规范执行，应符合国家及招标文件提出的有关技术、质量、安全标准。</w:t>
      </w:r>
    </w:p>
    <w:p>
      <w:pPr>
        <w:spacing w:line="400" w:lineRule="exact"/>
        <w:rPr>
          <w:rFonts w:hint="eastAsia" w:ascii="宋体" w:hAnsi="宋体"/>
          <w:color w:val="auto"/>
          <w:szCs w:val="21"/>
          <w:highlight w:val="none"/>
        </w:rPr>
      </w:pPr>
      <w:r>
        <w:rPr>
          <w:rFonts w:hint="eastAsia" w:ascii="宋体" w:hAnsi="宋体"/>
          <w:color w:val="auto"/>
          <w:szCs w:val="21"/>
          <w:highlight w:val="none"/>
        </w:rPr>
        <w:t>2.2.3投标人应保证所提供的产品或服务免受第三方提出侵犯其知识产权（专利权、商标权、工业设计权及使用权等）的索赔或起诉，否则，由此可能产生的一切法律责任和经济责任均由投标人承担。</w:t>
      </w:r>
    </w:p>
    <w:p>
      <w:pPr>
        <w:spacing w:line="400" w:lineRule="exact"/>
        <w:rPr>
          <w:rFonts w:ascii="宋体"/>
          <w:color w:val="auto"/>
          <w:szCs w:val="21"/>
          <w:highlight w:val="none"/>
        </w:rPr>
      </w:pPr>
      <w:r>
        <w:rPr>
          <w:rFonts w:hint="eastAsia" w:ascii="宋体"/>
          <w:b/>
          <w:color w:val="auto"/>
          <w:szCs w:val="21"/>
          <w:highlight w:val="none"/>
        </w:rPr>
        <w:t>2.3投标人代表</w:t>
      </w:r>
    </w:p>
    <w:p>
      <w:pPr>
        <w:spacing w:line="400" w:lineRule="exact"/>
        <w:ind w:left="206" w:hanging="206"/>
        <w:rPr>
          <w:rFonts w:hint="eastAsia" w:ascii="宋体" w:hAnsi="宋体"/>
          <w:color w:val="auto"/>
          <w:szCs w:val="21"/>
          <w:highlight w:val="none"/>
        </w:rPr>
      </w:pPr>
      <w:r>
        <w:rPr>
          <w:rFonts w:hint="eastAsia" w:ascii="宋体"/>
          <w:color w:val="auto"/>
          <w:szCs w:val="21"/>
          <w:highlight w:val="none"/>
        </w:rPr>
        <w:t>2.3.1若投标人代表不是法定代表人，投标文件须提供</w:t>
      </w:r>
      <w:r>
        <w:rPr>
          <w:rFonts w:ascii="宋体" w:hAnsi="宋体"/>
          <w:color w:val="auto"/>
          <w:szCs w:val="21"/>
          <w:highlight w:val="none"/>
        </w:rPr>
        <w:t>《</w:t>
      </w:r>
      <w:r>
        <w:rPr>
          <w:rFonts w:hint="eastAsia" w:ascii="宋体" w:hAnsi="宋体"/>
          <w:color w:val="auto"/>
          <w:szCs w:val="21"/>
          <w:highlight w:val="none"/>
        </w:rPr>
        <w:t>法定代表人授权委托书</w:t>
      </w:r>
      <w:r>
        <w:rPr>
          <w:rFonts w:ascii="宋体" w:hAnsi="宋体"/>
          <w:color w:val="auto"/>
          <w:szCs w:val="21"/>
          <w:highlight w:val="none"/>
        </w:rPr>
        <w:t>》</w:t>
      </w:r>
      <w:r>
        <w:rPr>
          <w:rFonts w:hint="eastAsia" w:ascii="宋体" w:hAnsi="宋体"/>
          <w:color w:val="auto"/>
          <w:szCs w:val="21"/>
          <w:highlight w:val="none"/>
        </w:rPr>
        <w:t>[格式见第六章]，或《组织授权书》（适用非法人的其它组织，格式参照《法定代表人授权委托书》）；</w:t>
      </w:r>
    </w:p>
    <w:p>
      <w:pPr>
        <w:spacing w:line="400" w:lineRule="exact"/>
        <w:ind w:left="206" w:hanging="206"/>
        <w:rPr>
          <w:rFonts w:hint="eastAsia" w:ascii="宋体"/>
          <w:color w:val="auto"/>
          <w:szCs w:val="21"/>
          <w:highlight w:val="none"/>
        </w:rPr>
      </w:pPr>
      <w:r>
        <w:rPr>
          <w:rFonts w:hint="eastAsia" w:ascii="宋体"/>
          <w:color w:val="auto"/>
          <w:szCs w:val="21"/>
          <w:highlight w:val="none"/>
        </w:rPr>
        <w:t>2.3.2若投标人代表是法定代表人，</w:t>
      </w:r>
      <w:r>
        <w:rPr>
          <w:rFonts w:hint="eastAsia" w:ascii="宋体" w:hAnsi="宋体"/>
          <w:color w:val="auto"/>
          <w:szCs w:val="21"/>
          <w:highlight w:val="none"/>
        </w:rPr>
        <w:t>投标文件无须提供</w:t>
      </w:r>
      <w:r>
        <w:rPr>
          <w:rFonts w:ascii="宋体" w:hAnsi="宋体"/>
          <w:color w:val="auto"/>
          <w:szCs w:val="21"/>
          <w:highlight w:val="none"/>
        </w:rPr>
        <w:t>《</w:t>
      </w:r>
      <w:r>
        <w:rPr>
          <w:rFonts w:hint="eastAsia" w:ascii="宋体" w:hAnsi="宋体"/>
          <w:color w:val="auto"/>
          <w:szCs w:val="21"/>
          <w:highlight w:val="none"/>
        </w:rPr>
        <w:t>法定代表人授权委托书</w:t>
      </w:r>
      <w:r>
        <w:rPr>
          <w:rFonts w:ascii="宋体" w:hAnsi="宋体"/>
          <w:color w:val="auto"/>
          <w:szCs w:val="21"/>
          <w:highlight w:val="none"/>
        </w:rPr>
        <w:t>》</w:t>
      </w:r>
      <w:r>
        <w:rPr>
          <w:rFonts w:hint="eastAsia" w:ascii="宋体" w:hAnsi="宋体"/>
          <w:color w:val="auto"/>
          <w:szCs w:val="21"/>
          <w:highlight w:val="none"/>
        </w:rPr>
        <w:t>，但须提供与营业执照相符合的法定代表人身份证明。</w:t>
      </w:r>
    </w:p>
    <w:p>
      <w:pPr>
        <w:spacing w:line="400" w:lineRule="exact"/>
        <w:rPr>
          <w:rFonts w:hint="eastAsia" w:ascii="宋体" w:hAnsi="宋体"/>
          <w:b/>
          <w:color w:val="auto"/>
          <w:szCs w:val="21"/>
          <w:highlight w:val="none"/>
        </w:rPr>
      </w:pPr>
      <w:r>
        <w:rPr>
          <w:rFonts w:hint="eastAsia" w:ascii="宋体"/>
          <w:color w:val="auto"/>
          <w:szCs w:val="21"/>
          <w:highlight w:val="none"/>
        </w:rPr>
        <w:t>2.4</w:t>
      </w:r>
      <w:r>
        <w:rPr>
          <w:rFonts w:hint="eastAsia" w:ascii="宋体"/>
          <w:b/>
          <w:color w:val="auto"/>
          <w:szCs w:val="21"/>
          <w:highlight w:val="none"/>
        </w:rPr>
        <w:t>投标费用：</w:t>
      </w:r>
      <w:r>
        <w:rPr>
          <w:rFonts w:hint="eastAsia" w:ascii="宋体"/>
          <w:color w:val="auto"/>
          <w:szCs w:val="21"/>
          <w:highlight w:val="none"/>
        </w:rPr>
        <w:t>不论招标的结果如何，投标人自行承担其参加本次投标有关的全部费用和风险。</w:t>
      </w:r>
    </w:p>
    <w:p>
      <w:pPr>
        <w:spacing w:line="400" w:lineRule="exact"/>
        <w:rPr>
          <w:rFonts w:hint="eastAsia" w:ascii="宋体" w:hAnsi="宋体"/>
          <w:b/>
          <w:bCs/>
          <w:color w:val="auto"/>
          <w:sz w:val="24"/>
          <w:highlight w:val="none"/>
        </w:rPr>
      </w:pPr>
      <w:r>
        <w:rPr>
          <w:rFonts w:hint="eastAsia" w:ascii="宋体" w:hAnsi="宋体"/>
          <w:b/>
          <w:bCs/>
          <w:color w:val="auto"/>
          <w:sz w:val="24"/>
          <w:highlight w:val="none"/>
        </w:rPr>
        <w:t>三、采购文件</w:t>
      </w:r>
    </w:p>
    <w:p>
      <w:pPr>
        <w:spacing w:line="400" w:lineRule="exact"/>
        <w:rPr>
          <w:rFonts w:hint="eastAsia" w:ascii="宋体" w:hAnsi="宋体"/>
          <w:color w:val="auto"/>
          <w:szCs w:val="21"/>
          <w:highlight w:val="none"/>
        </w:rPr>
      </w:pPr>
      <w:r>
        <w:rPr>
          <w:rFonts w:hint="eastAsia" w:ascii="宋体" w:hAnsi="宋体"/>
          <w:color w:val="auto"/>
          <w:szCs w:val="21"/>
          <w:highlight w:val="none"/>
        </w:rPr>
        <w:t>3.1采购文件的组成</w:t>
      </w:r>
    </w:p>
    <w:p>
      <w:pPr>
        <w:spacing w:line="400" w:lineRule="exact"/>
        <w:rPr>
          <w:rFonts w:hint="eastAsia" w:ascii="宋体" w:hAnsi="宋体"/>
          <w:color w:val="auto"/>
          <w:szCs w:val="21"/>
          <w:highlight w:val="none"/>
        </w:rPr>
      </w:pPr>
      <w:r>
        <w:rPr>
          <w:rFonts w:hint="eastAsia" w:ascii="宋体" w:hAnsi="宋体"/>
          <w:color w:val="auto"/>
          <w:szCs w:val="21"/>
          <w:highlight w:val="none"/>
        </w:rPr>
        <w:t>1.招标公告</w:t>
      </w:r>
    </w:p>
    <w:p>
      <w:pPr>
        <w:spacing w:line="400" w:lineRule="exact"/>
        <w:rPr>
          <w:rFonts w:hint="eastAsia" w:ascii="宋体" w:hAnsi="宋体"/>
          <w:color w:val="auto"/>
          <w:szCs w:val="21"/>
          <w:highlight w:val="none"/>
        </w:rPr>
      </w:pPr>
      <w:r>
        <w:rPr>
          <w:rFonts w:hint="eastAsia" w:ascii="宋体" w:hAnsi="宋体"/>
          <w:color w:val="auto"/>
          <w:szCs w:val="21"/>
          <w:highlight w:val="none"/>
        </w:rPr>
        <w:t>2.采购需求</w:t>
      </w:r>
    </w:p>
    <w:p>
      <w:pPr>
        <w:spacing w:line="400" w:lineRule="exact"/>
        <w:rPr>
          <w:rFonts w:hint="eastAsia" w:ascii="宋体" w:hAnsi="宋体"/>
          <w:color w:val="auto"/>
          <w:szCs w:val="21"/>
          <w:highlight w:val="none"/>
        </w:rPr>
      </w:pPr>
      <w:r>
        <w:rPr>
          <w:rFonts w:hint="eastAsia" w:ascii="宋体" w:hAnsi="宋体"/>
          <w:color w:val="auto"/>
          <w:szCs w:val="21"/>
          <w:highlight w:val="none"/>
        </w:rPr>
        <w:t>3.投标人须知</w:t>
      </w:r>
    </w:p>
    <w:p>
      <w:pPr>
        <w:spacing w:line="400" w:lineRule="exact"/>
        <w:rPr>
          <w:rFonts w:hint="eastAsia" w:ascii="宋体" w:hAnsi="宋体"/>
          <w:color w:val="auto"/>
          <w:szCs w:val="21"/>
          <w:highlight w:val="none"/>
        </w:rPr>
      </w:pPr>
      <w:r>
        <w:rPr>
          <w:rFonts w:hint="eastAsia" w:ascii="宋体" w:hAnsi="宋体"/>
          <w:color w:val="auto"/>
          <w:szCs w:val="21"/>
          <w:highlight w:val="none"/>
        </w:rPr>
        <w:t>4.评标方法及评标标准</w:t>
      </w:r>
    </w:p>
    <w:p>
      <w:pPr>
        <w:spacing w:line="400" w:lineRule="exact"/>
        <w:rPr>
          <w:rFonts w:hint="eastAsia" w:ascii="宋体" w:hAnsi="宋体"/>
          <w:color w:val="auto"/>
          <w:szCs w:val="21"/>
          <w:highlight w:val="none"/>
        </w:rPr>
      </w:pPr>
      <w:r>
        <w:rPr>
          <w:rFonts w:hint="eastAsia" w:ascii="宋体" w:hAnsi="宋体"/>
          <w:color w:val="auto"/>
          <w:szCs w:val="21"/>
          <w:highlight w:val="none"/>
        </w:rPr>
        <w:t>5.合同文本</w:t>
      </w:r>
    </w:p>
    <w:p>
      <w:pPr>
        <w:spacing w:line="400" w:lineRule="exact"/>
        <w:rPr>
          <w:rFonts w:hint="eastAsia" w:ascii="宋体" w:hAnsi="宋体"/>
          <w:color w:val="auto"/>
          <w:szCs w:val="21"/>
          <w:highlight w:val="none"/>
        </w:rPr>
      </w:pPr>
      <w:r>
        <w:rPr>
          <w:rFonts w:hint="eastAsia" w:ascii="宋体" w:hAnsi="宋体"/>
          <w:color w:val="auto"/>
          <w:szCs w:val="21"/>
          <w:highlight w:val="none"/>
        </w:rPr>
        <w:t>6.投标文件格式</w:t>
      </w:r>
    </w:p>
    <w:p>
      <w:pPr>
        <w:spacing w:line="400" w:lineRule="exact"/>
        <w:rPr>
          <w:rFonts w:hint="eastAsia" w:ascii="宋体" w:hAnsi="宋体"/>
          <w:b/>
          <w:color w:val="auto"/>
          <w:szCs w:val="21"/>
          <w:highlight w:val="none"/>
        </w:rPr>
      </w:pPr>
      <w:r>
        <w:rPr>
          <w:rFonts w:hint="eastAsia" w:ascii="宋体" w:hAnsi="宋体"/>
          <w:b/>
          <w:color w:val="auto"/>
          <w:szCs w:val="21"/>
          <w:highlight w:val="none"/>
        </w:rPr>
        <w:t>3.2采购文件的依法获取：见招标公告</w:t>
      </w:r>
    </w:p>
    <w:p>
      <w:pPr>
        <w:spacing w:line="400" w:lineRule="exact"/>
        <w:rPr>
          <w:rFonts w:hint="eastAsia" w:ascii="宋体" w:hAnsi="宋体"/>
          <w:color w:val="auto"/>
          <w:szCs w:val="21"/>
          <w:highlight w:val="none"/>
        </w:rPr>
      </w:pPr>
      <w:r>
        <w:rPr>
          <w:rFonts w:hint="eastAsia" w:ascii="宋体" w:hAnsi="宋体"/>
          <w:b/>
          <w:color w:val="auto"/>
          <w:szCs w:val="21"/>
          <w:highlight w:val="none"/>
        </w:rPr>
        <w:t>3.3采购文件的澄清和修改：</w:t>
      </w:r>
    </w:p>
    <w:p>
      <w:pPr>
        <w:spacing w:line="400" w:lineRule="exact"/>
        <w:rPr>
          <w:rFonts w:hint="eastAsia" w:ascii="宋体" w:hAnsi="宋体"/>
          <w:color w:val="auto"/>
          <w:szCs w:val="21"/>
          <w:highlight w:val="none"/>
        </w:rPr>
      </w:pPr>
      <w:r>
        <w:rPr>
          <w:rFonts w:hint="eastAsia" w:ascii="宋体" w:hAnsi="宋体"/>
          <w:color w:val="auto"/>
          <w:szCs w:val="21"/>
          <w:highlight w:val="none"/>
        </w:rPr>
        <w:t>3.3.1</w:t>
      </w:r>
      <w:r>
        <w:rPr>
          <w:rFonts w:hint="eastAsia" w:ascii="宋体" w:hAnsi="宋体"/>
          <w:b/>
          <w:color w:val="auto"/>
          <w:szCs w:val="21"/>
          <w:highlight w:val="none"/>
        </w:rPr>
        <w:t>采购人可以对已发出的采购文件进行必要的澄清或者修改，将以“更正公告”的形式发布在政采云平台，供应商应及时登录政采云平台，进行浏览并下载，未及时浏览下载的责任自负。</w:t>
      </w:r>
      <w:r>
        <w:rPr>
          <w:rFonts w:hint="eastAsia" w:ascii="宋体" w:hAnsi="宋体"/>
          <w:color w:val="auto"/>
          <w:szCs w:val="21"/>
          <w:highlight w:val="none"/>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采购文件的组成部分，对所有供应商具有约束力。</w:t>
      </w:r>
    </w:p>
    <w:p>
      <w:pPr>
        <w:spacing w:line="400" w:lineRule="exact"/>
        <w:rPr>
          <w:rFonts w:hint="eastAsia" w:ascii="宋体" w:hAnsi="宋体"/>
          <w:b/>
          <w:color w:val="auto"/>
          <w:szCs w:val="21"/>
          <w:highlight w:val="none"/>
        </w:rPr>
      </w:pPr>
      <w:r>
        <w:rPr>
          <w:rFonts w:hint="eastAsia" w:ascii="宋体" w:hAnsi="宋体"/>
          <w:b/>
          <w:color w:val="auto"/>
          <w:szCs w:val="21"/>
          <w:highlight w:val="none"/>
        </w:rPr>
        <w:t>3.4现场考察或者开标前答疑会</w:t>
      </w:r>
    </w:p>
    <w:p>
      <w:pPr>
        <w:spacing w:line="400" w:lineRule="exact"/>
        <w:rPr>
          <w:rFonts w:hint="eastAsia" w:ascii="宋体" w:hAnsi="宋体"/>
          <w:color w:val="auto"/>
          <w:szCs w:val="21"/>
          <w:highlight w:val="none"/>
        </w:rPr>
      </w:pPr>
      <w:r>
        <w:rPr>
          <w:rFonts w:hint="eastAsia" w:ascii="宋体" w:hAnsi="宋体"/>
          <w:color w:val="auto"/>
          <w:szCs w:val="21"/>
          <w:highlight w:val="none"/>
        </w:rPr>
        <w:t>3.4.1采购人或者采购代理机构可以在采购文件提供期限截止后，组织已获取采购文件的潜在供应商现场考察或者召开开标前答疑会，组织现场考察或者召开答疑会的，将在采购文件中载明。具体见前附表。</w:t>
      </w:r>
    </w:p>
    <w:p>
      <w:pPr>
        <w:spacing w:line="400" w:lineRule="exact"/>
        <w:rPr>
          <w:rFonts w:ascii="宋体" w:hAnsi="宋体"/>
          <w:b/>
          <w:color w:val="auto"/>
          <w:sz w:val="24"/>
          <w:highlight w:val="none"/>
        </w:rPr>
      </w:pPr>
      <w:r>
        <w:rPr>
          <w:rFonts w:hint="eastAsia" w:ascii="宋体" w:hAnsi="宋体"/>
          <w:b/>
          <w:color w:val="auto"/>
          <w:sz w:val="24"/>
          <w:highlight w:val="none"/>
        </w:rPr>
        <w:t>四、投标报价要求</w:t>
      </w:r>
    </w:p>
    <w:p>
      <w:pPr>
        <w:spacing w:line="400" w:lineRule="exact"/>
        <w:ind w:left="120" w:hanging="120"/>
        <w:rPr>
          <w:rFonts w:hint="eastAsia" w:ascii="宋体" w:hAnsi="宋体"/>
          <w:b/>
          <w:color w:val="auto"/>
          <w:szCs w:val="21"/>
          <w:highlight w:val="none"/>
        </w:rPr>
      </w:pPr>
      <w:r>
        <w:rPr>
          <w:rFonts w:hint="eastAsia" w:ascii="宋体" w:hAnsi="宋体"/>
          <w:color w:val="auto"/>
          <w:szCs w:val="21"/>
          <w:highlight w:val="none"/>
        </w:rPr>
        <w:t>4.1 投标报价：指“开标一览表”中的投标报价，是评标委员会评审的依据之一，开标程序中采购代理机构将依据“开标一览表”唱出各投标人的投标报价。</w:t>
      </w:r>
    </w:p>
    <w:p>
      <w:pPr>
        <w:spacing w:line="400" w:lineRule="exact"/>
        <w:ind w:left="120" w:hanging="120"/>
        <w:rPr>
          <w:rFonts w:ascii="宋体" w:hAnsi="宋体"/>
          <w:b/>
          <w:color w:val="auto"/>
          <w:szCs w:val="21"/>
          <w:highlight w:val="none"/>
        </w:rPr>
      </w:pPr>
      <w:r>
        <w:rPr>
          <w:rFonts w:hint="eastAsia" w:ascii="宋体" w:hAnsi="宋体"/>
          <w:color w:val="auto"/>
          <w:szCs w:val="21"/>
          <w:highlight w:val="none"/>
        </w:rPr>
        <w:t>4.2投标报价必须是人民币报价。</w:t>
      </w:r>
    </w:p>
    <w:p>
      <w:pPr>
        <w:spacing w:line="400" w:lineRule="exact"/>
        <w:rPr>
          <w:rFonts w:hint="eastAsia" w:ascii="宋体" w:hAnsi="宋体"/>
          <w:color w:val="auto"/>
          <w:szCs w:val="21"/>
          <w:highlight w:val="none"/>
        </w:rPr>
      </w:pPr>
      <w:r>
        <w:rPr>
          <w:rFonts w:hint="eastAsia" w:ascii="宋体" w:hAnsi="宋体"/>
          <w:color w:val="auto"/>
          <w:szCs w:val="21"/>
          <w:highlight w:val="none"/>
        </w:rPr>
        <w:t>4.3投标报价为一次性报价且只允许一个报价，不接受两个及两个以上的投标报价，不接受选择性报价或者具有附加条件的报价。采购文件要求提交备选投标方案的除外，具体见前附表。</w:t>
      </w:r>
    </w:p>
    <w:p>
      <w:pPr>
        <w:spacing w:line="400" w:lineRule="exact"/>
        <w:rPr>
          <w:rFonts w:hint="eastAsia" w:ascii="宋体" w:hAnsi="宋体"/>
          <w:color w:val="auto"/>
          <w:szCs w:val="21"/>
          <w:highlight w:val="none"/>
        </w:rPr>
      </w:pPr>
      <w:r>
        <w:rPr>
          <w:rFonts w:hint="eastAsia" w:ascii="宋体" w:hAnsi="宋体"/>
          <w:color w:val="auto"/>
          <w:szCs w:val="21"/>
          <w:highlight w:val="none"/>
        </w:rPr>
        <w:t>4.4投标报价不得高于采购预算，采购文件设有最高限价的，不得高于最高限价。</w:t>
      </w:r>
    </w:p>
    <w:p>
      <w:pPr>
        <w:spacing w:line="400" w:lineRule="exact"/>
        <w:rPr>
          <w:rFonts w:hint="eastAsia" w:ascii="宋体" w:hAnsi="宋体"/>
          <w:color w:val="auto"/>
          <w:szCs w:val="21"/>
          <w:highlight w:val="none"/>
        </w:rPr>
      </w:pPr>
      <w:r>
        <w:rPr>
          <w:rFonts w:hint="eastAsia" w:ascii="宋体" w:hAnsi="宋体"/>
          <w:color w:val="auto"/>
          <w:szCs w:val="21"/>
          <w:highlight w:val="none"/>
        </w:rPr>
        <w:t>4.5投标报价应当包含的内容：见前附表。</w:t>
      </w:r>
    </w:p>
    <w:p>
      <w:pPr>
        <w:spacing w:line="400" w:lineRule="exact"/>
        <w:rPr>
          <w:rFonts w:ascii="宋体" w:hAnsi="宋体"/>
          <w:color w:val="auto"/>
          <w:sz w:val="24"/>
          <w:highlight w:val="none"/>
        </w:rPr>
      </w:pPr>
      <w:r>
        <w:rPr>
          <w:rFonts w:hint="eastAsia" w:ascii="宋体" w:hAnsi="宋体"/>
          <w:b/>
          <w:color w:val="auto"/>
          <w:sz w:val="24"/>
          <w:highlight w:val="none"/>
        </w:rPr>
        <w:t>五、投标有效期</w:t>
      </w:r>
    </w:p>
    <w:p>
      <w:pPr>
        <w:spacing w:line="400" w:lineRule="exact"/>
        <w:ind w:left="194" w:hanging="194" w:hangingChars="92"/>
        <w:rPr>
          <w:rFonts w:hint="eastAsia" w:ascii="宋体" w:hAnsi="宋体"/>
          <w:color w:val="auto"/>
          <w:szCs w:val="21"/>
          <w:highlight w:val="none"/>
        </w:rPr>
      </w:pPr>
      <w:r>
        <w:rPr>
          <w:rFonts w:hint="eastAsia" w:ascii="宋体" w:hAnsi="宋体"/>
          <w:b/>
          <w:color w:val="auto"/>
          <w:szCs w:val="21"/>
          <w:highlight w:val="none"/>
        </w:rPr>
        <w:t>5.1</w:t>
      </w:r>
      <w:r>
        <w:rPr>
          <w:rFonts w:hint="eastAsia" w:ascii="宋体" w:hAnsi="宋体"/>
          <w:color w:val="auto"/>
          <w:szCs w:val="21"/>
          <w:highlight w:val="none"/>
        </w:rPr>
        <w:t>投标有效期从提交投标文件的截止之日起算。投标文件中承诺的投标有效期应当不少于采购文件中载明的投标有效期(见前附表)。</w:t>
      </w:r>
    </w:p>
    <w:p>
      <w:pPr>
        <w:spacing w:line="400" w:lineRule="exact"/>
        <w:ind w:left="193" w:hanging="193" w:hangingChars="92"/>
        <w:rPr>
          <w:rFonts w:hint="eastAsia" w:ascii="宋体" w:hAnsi="宋体"/>
          <w:color w:val="auto"/>
          <w:szCs w:val="21"/>
          <w:highlight w:val="none"/>
        </w:rPr>
      </w:pPr>
      <w:r>
        <w:rPr>
          <w:rFonts w:hint="eastAsia" w:ascii="宋体" w:hAnsi="宋体"/>
          <w:color w:val="auto"/>
          <w:szCs w:val="21"/>
          <w:highlight w:val="none"/>
        </w:rPr>
        <w:t>5.2投标有效期内投标人撤销投标文件的，应承担相关的法律责任。</w:t>
      </w:r>
    </w:p>
    <w:p>
      <w:pPr>
        <w:spacing w:line="400" w:lineRule="exact"/>
        <w:rPr>
          <w:rFonts w:hint="eastAsia" w:ascii="宋体" w:hAnsi="宋体"/>
          <w:color w:val="auto"/>
          <w:sz w:val="24"/>
          <w:highlight w:val="none"/>
        </w:rPr>
      </w:pPr>
      <w:r>
        <w:rPr>
          <w:rFonts w:hint="eastAsia" w:ascii="宋体" w:hAnsi="宋体"/>
          <w:b/>
          <w:color w:val="auto"/>
          <w:sz w:val="24"/>
          <w:highlight w:val="none"/>
        </w:rPr>
        <w:t>六、投标保证金</w:t>
      </w:r>
    </w:p>
    <w:p>
      <w:pPr>
        <w:spacing w:line="400" w:lineRule="exact"/>
        <w:rPr>
          <w:rFonts w:ascii="宋体" w:hAnsi="宋体"/>
          <w:color w:val="auto"/>
          <w:szCs w:val="21"/>
          <w:highlight w:val="none"/>
        </w:rPr>
      </w:pPr>
      <w:r>
        <w:rPr>
          <w:rFonts w:hint="eastAsia" w:ascii="宋体" w:hAnsi="宋体"/>
          <w:color w:val="auto"/>
          <w:szCs w:val="21"/>
          <w:highlight w:val="none"/>
        </w:rPr>
        <w:t>本项目不收取投标保证金。</w:t>
      </w:r>
    </w:p>
    <w:p>
      <w:pPr>
        <w:spacing w:line="400" w:lineRule="exact"/>
        <w:rPr>
          <w:rFonts w:ascii="宋体" w:hAnsi="宋体"/>
          <w:b/>
          <w:color w:val="auto"/>
          <w:sz w:val="28"/>
          <w:highlight w:val="none"/>
        </w:rPr>
      </w:pPr>
      <w:r>
        <w:rPr>
          <w:rFonts w:hint="eastAsia" w:ascii="宋体" w:hAnsi="宋体"/>
          <w:b/>
          <w:color w:val="auto"/>
          <w:sz w:val="24"/>
          <w:highlight w:val="none"/>
        </w:rPr>
        <w:t>七、投标文件</w:t>
      </w:r>
    </w:p>
    <w:p>
      <w:pPr>
        <w:spacing w:line="400" w:lineRule="exact"/>
        <w:rPr>
          <w:rFonts w:hint="eastAsia" w:ascii="宋体"/>
          <w:color w:val="auto"/>
          <w:szCs w:val="21"/>
          <w:highlight w:val="none"/>
          <w:u w:val="single"/>
        </w:rPr>
      </w:pPr>
      <w:r>
        <w:rPr>
          <w:rFonts w:hint="eastAsia" w:ascii="宋体"/>
          <w:b/>
          <w:color w:val="auto"/>
          <w:szCs w:val="21"/>
          <w:highlight w:val="none"/>
        </w:rPr>
        <w:t>7.1投标文件的组成：</w:t>
      </w:r>
      <w:r>
        <w:rPr>
          <w:rFonts w:hint="eastAsia" w:ascii="宋体"/>
          <w:color w:val="auto"/>
          <w:szCs w:val="21"/>
          <w:highlight w:val="none"/>
        </w:rPr>
        <w:t>投标文件由资格证明文件，技术</w:t>
      </w:r>
      <w:r>
        <w:rPr>
          <w:rFonts w:hint="eastAsia" w:ascii="宋体"/>
          <w:color w:val="auto"/>
          <w:szCs w:val="21"/>
          <w:highlight w:val="none"/>
          <w:lang w:eastAsia="zh-CN"/>
        </w:rPr>
        <w:t>资信</w:t>
      </w:r>
      <w:r>
        <w:rPr>
          <w:rFonts w:hint="eastAsia" w:ascii="宋体"/>
          <w:color w:val="auto"/>
          <w:szCs w:val="21"/>
          <w:highlight w:val="none"/>
        </w:rPr>
        <w:t>商务文件、投标报价文件三部分组成。具体见前附表。</w:t>
      </w:r>
    </w:p>
    <w:p>
      <w:pPr>
        <w:spacing w:line="400" w:lineRule="exact"/>
        <w:rPr>
          <w:rFonts w:hint="eastAsia" w:ascii="宋体"/>
          <w:b/>
          <w:color w:val="auto"/>
          <w:szCs w:val="21"/>
          <w:highlight w:val="none"/>
        </w:rPr>
      </w:pPr>
      <w:r>
        <w:rPr>
          <w:rFonts w:hint="eastAsia" w:ascii="宋体"/>
          <w:b/>
          <w:color w:val="auto"/>
          <w:szCs w:val="21"/>
          <w:highlight w:val="none"/>
        </w:rPr>
        <w:t>7.2投标文件编制和格式</w:t>
      </w:r>
    </w:p>
    <w:p>
      <w:pPr>
        <w:spacing w:line="400" w:lineRule="exact"/>
        <w:rPr>
          <w:rFonts w:hint="eastAsia" w:ascii="宋体"/>
          <w:color w:val="auto"/>
          <w:szCs w:val="21"/>
          <w:highlight w:val="none"/>
        </w:rPr>
      </w:pPr>
      <w:r>
        <w:rPr>
          <w:rFonts w:hint="eastAsia" w:ascii="宋体"/>
          <w:color w:val="auto"/>
          <w:szCs w:val="21"/>
          <w:highlight w:val="none"/>
        </w:rPr>
        <w:t>7.2.1投标人应当按照采购文件要求的内容、格式和顺序编制投标文件。投标文件应当对采购文件提出的要求和条件作出明确响应。投标人应详细阅读采购文件的全部内容和要求，不按采购文件的要求提供投标文件和资料导致的风险由投标人承担。</w:t>
      </w:r>
    </w:p>
    <w:p>
      <w:pPr>
        <w:spacing w:line="400" w:lineRule="exact"/>
        <w:rPr>
          <w:rFonts w:ascii="宋体"/>
          <w:color w:val="auto"/>
          <w:szCs w:val="21"/>
          <w:highlight w:val="none"/>
        </w:rPr>
      </w:pPr>
      <w:r>
        <w:rPr>
          <w:rFonts w:hint="eastAsia" w:ascii="宋体"/>
          <w:color w:val="auto"/>
          <w:szCs w:val="21"/>
          <w:highlight w:val="none"/>
        </w:rPr>
        <w:t>7.2.2投标语言：中文，当不同文字文本投标文件的解释发生异议的，以中文文本为准。</w:t>
      </w:r>
    </w:p>
    <w:p>
      <w:pPr>
        <w:spacing w:line="400" w:lineRule="exact"/>
        <w:rPr>
          <w:rFonts w:ascii="宋体"/>
          <w:color w:val="auto"/>
          <w:szCs w:val="21"/>
          <w:highlight w:val="none"/>
        </w:rPr>
      </w:pPr>
      <w:r>
        <w:rPr>
          <w:rFonts w:hint="eastAsia" w:ascii="宋体"/>
          <w:color w:val="auto"/>
          <w:szCs w:val="21"/>
          <w:highlight w:val="none"/>
        </w:rPr>
        <w:t>7.2.3投标文件中所使用的计量单位，除采购文件有特殊要求外，应当采用国家法定计量单位。</w:t>
      </w:r>
    </w:p>
    <w:p>
      <w:pPr>
        <w:spacing w:line="400" w:lineRule="exact"/>
        <w:rPr>
          <w:rFonts w:hint="eastAsia" w:ascii="宋体"/>
          <w:color w:val="auto"/>
          <w:szCs w:val="21"/>
          <w:highlight w:val="none"/>
        </w:rPr>
      </w:pPr>
      <w:r>
        <w:rPr>
          <w:rFonts w:hint="eastAsia" w:ascii="宋体"/>
          <w:color w:val="auto"/>
          <w:szCs w:val="21"/>
          <w:highlight w:val="none"/>
        </w:rPr>
        <w:t>7.2.4投标文件格式见第六章，投标文件应当按照格式要求编制。</w:t>
      </w:r>
      <w:r>
        <w:rPr>
          <w:rFonts w:ascii="宋体" w:hAnsi="宋体"/>
          <w:color w:val="auto"/>
          <w:szCs w:val="21"/>
          <w:highlight w:val="none"/>
        </w:rPr>
        <w:t>投标人应</w:t>
      </w:r>
      <w:r>
        <w:rPr>
          <w:rFonts w:hint="eastAsia" w:ascii="宋体" w:hAnsi="宋体"/>
          <w:color w:val="auto"/>
          <w:szCs w:val="21"/>
          <w:highlight w:val="none"/>
        </w:rPr>
        <w:t>按资格证明文件，技术</w:t>
      </w:r>
      <w:r>
        <w:rPr>
          <w:rFonts w:hint="eastAsia" w:ascii="宋体" w:hAnsi="宋体"/>
          <w:color w:val="auto"/>
          <w:szCs w:val="21"/>
          <w:highlight w:val="none"/>
          <w:lang w:eastAsia="zh-CN"/>
        </w:rPr>
        <w:t>资信</w:t>
      </w:r>
      <w:r>
        <w:rPr>
          <w:rFonts w:hint="eastAsia" w:ascii="宋体" w:hAnsi="宋体"/>
          <w:color w:val="auto"/>
          <w:szCs w:val="21"/>
          <w:highlight w:val="none"/>
        </w:rPr>
        <w:t>商务文件、投标报价文件分别编制。</w:t>
      </w:r>
    </w:p>
    <w:p>
      <w:pPr>
        <w:spacing w:line="400" w:lineRule="exact"/>
        <w:rPr>
          <w:rFonts w:hint="eastAsia" w:ascii="宋体"/>
          <w:color w:val="auto"/>
          <w:szCs w:val="21"/>
          <w:highlight w:val="none"/>
        </w:rPr>
      </w:pPr>
      <w:r>
        <w:rPr>
          <w:rFonts w:hint="eastAsia" w:ascii="宋体"/>
          <w:color w:val="auto"/>
          <w:szCs w:val="21"/>
          <w:highlight w:val="none"/>
        </w:rPr>
        <w:t>7.2.5</w:t>
      </w:r>
      <w:r>
        <w:rPr>
          <w:rFonts w:ascii="宋体"/>
          <w:color w:val="auto"/>
          <w:szCs w:val="21"/>
          <w:highlight w:val="none"/>
        </w:rPr>
        <w:t>投标文件</w:t>
      </w:r>
      <w:r>
        <w:rPr>
          <w:rFonts w:hint="eastAsia" w:ascii="宋体"/>
          <w:color w:val="auto"/>
          <w:szCs w:val="21"/>
          <w:highlight w:val="none"/>
        </w:rPr>
        <w:t>应标注页码</w:t>
      </w:r>
      <w:r>
        <w:rPr>
          <w:rFonts w:ascii="宋体"/>
          <w:color w:val="auto"/>
          <w:szCs w:val="21"/>
          <w:highlight w:val="none"/>
        </w:rPr>
        <w:t>，投标文件内容不完整、编排混乱导致投标文件被误读、漏读或者查找不到相关内容的，是投标人的责任。</w:t>
      </w:r>
    </w:p>
    <w:p>
      <w:pPr>
        <w:spacing w:line="400" w:lineRule="exact"/>
        <w:rPr>
          <w:rFonts w:hint="eastAsia" w:ascii="宋体"/>
          <w:b/>
          <w:color w:val="auto"/>
          <w:szCs w:val="21"/>
          <w:highlight w:val="none"/>
        </w:rPr>
      </w:pPr>
      <w:r>
        <w:rPr>
          <w:rFonts w:hint="eastAsia" w:ascii="宋体"/>
          <w:b/>
          <w:color w:val="auto"/>
          <w:szCs w:val="21"/>
          <w:highlight w:val="none"/>
        </w:rPr>
        <w:t>7.3投标文件的签署、盖章、装订及份数</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7.3.1供应商应按本采购文件规定的格式和顺序编制、装订投标文件，投标文件要求有目录并标注页码，投标文件内容不完整、编排混乱导致投标文件被误读、漏读或者查找不到相关内容的，是供应商的责任。</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7.3.2电子投标文件：</w:t>
      </w:r>
    </w:p>
    <w:p>
      <w:pPr>
        <w:spacing w:line="40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供应商应根据政府采购云平台的要求及本采购文件规定的格式和顺序编制电子投标文件并进行关联定位。</w:t>
      </w:r>
    </w:p>
    <w:p>
      <w:pPr>
        <w:spacing w:line="400" w:lineRule="exact"/>
        <w:rPr>
          <w:rFonts w:ascii="宋体" w:hAnsi="宋体"/>
          <w:color w:val="auto"/>
          <w:szCs w:val="21"/>
          <w:highlight w:val="none"/>
        </w:rPr>
      </w:pPr>
      <w:r>
        <w:rPr>
          <w:rFonts w:hint="eastAsia" w:ascii="宋体" w:hAnsi="宋体"/>
          <w:b/>
          <w:color w:val="auto"/>
          <w:szCs w:val="21"/>
          <w:highlight w:val="none"/>
        </w:rPr>
        <w:t>7.4投标文件的密封、标记和递送</w:t>
      </w:r>
    </w:p>
    <w:p>
      <w:pPr>
        <w:spacing w:line="400" w:lineRule="exact"/>
        <w:ind w:left="59" w:leftChars="28"/>
        <w:rPr>
          <w:rFonts w:hint="eastAsia" w:ascii="宋体"/>
          <w:color w:val="auto"/>
          <w:szCs w:val="21"/>
          <w:highlight w:val="none"/>
        </w:rPr>
      </w:pPr>
      <w:r>
        <w:rPr>
          <w:rFonts w:ascii="宋体"/>
          <w:color w:val="auto"/>
          <w:szCs w:val="21"/>
          <w:highlight w:val="none"/>
        </w:rPr>
        <w:t>7.4.</w:t>
      </w:r>
      <w:r>
        <w:rPr>
          <w:rFonts w:hint="eastAsia" w:ascii="宋体"/>
          <w:color w:val="auto"/>
          <w:szCs w:val="21"/>
          <w:highlight w:val="none"/>
        </w:rPr>
        <w:t>1、投标文件分为电子投标文件以及备份投标文件，备份投标文件分为以U盘或光盘存储的电子备份投标文件。</w:t>
      </w:r>
    </w:p>
    <w:p>
      <w:pPr>
        <w:spacing w:line="400" w:lineRule="exact"/>
        <w:ind w:left="59" w:leftChars="28"/>
        <w:rPr>
          <w:rFonts w:hint="eastAsia" w:ascii="宋体"/>
          <w:color w:val="auto"/>
          <w:szCs w:val="21"/>
          <w:highlight w:val="none"/>
        </w:rPr>
      </w:pPr>
      <w:r>
        <w:rPr>
          <w:rFonts w:ascii="宋体"/>
          <w:color w:val="auto"/>
          <w:szCs w:val="21"/>
          <w:highlight w:val="none"/>
        </w:rPr>
        <w:t>7.4.</w:t>
      </w:r>
      <w:r>
        <w:rPr>
          <w:rFonts w:hint="eastAsia" w:ascii="宋体"/>
          <w:color w:val="auto"/>
          <w:szCs w:val="21"/>
          <w:highlight w:val="none"/>
        </w:rPr>
        <w:t>2、电子投标文件，按“项目采购-电子招投标操作指南”及本招标文件要求制作，并加密。</w:t>
      </w:r>
    </w:p>
    <w:p>
      <w:pPr>
        <w:spacing w:line="400" w:lineRule="exact"/>
        <w:ind w:left="59" w:leftChars="28"/>
        <w:rPr>
          <w:rFonts w:hint="eastAsia" w:ascii="宋体"/>
          <w:color w:val="auto"/>
          <w:szCs w:val="21"/>
          <w:highlight w:val="none"/>
        </w:rPr>
      </w:pPr>
      <w:r>
        <w:rPr>
          <w:rFonts w:ascii="宋体"/>
          <w:color w:val="auto"/>
          <w:szCs w:val="21"/>
          <w:highlight w:val="none"/>
        </w:rPr>
        <w:t>7.4.</w:t>
      </w:r>
      <w:r>
        <w:rPr>
          <w:rFonts w:hint="eastAsia" w:ascii="宋体"/>
          <w:color w:val="auto"/>
          <w:szCs w:val="21"/>
          <w:highlight w:val="none"/>
        </w:rPr>
        <w:t>3、以U盘或光盘存储的电子备份投标文件，按“项目采购-电子招投标操作指南”制作的电子备份文件。</w:t>
      </w:r>
    </w:p>
    <w:p>
      <w:pPr>
        <w:snapToGrid w:val="0"/>
        <w:spacing w:line="400" w:lineRule="exact"/>
        <w:rPr>
          <w:rFonts w:hint="eastAsia" w:ascii="宋体" w:hAnsi="宋体" w:cs="宋体"/>
          <w:color w:val="auto"/>
          <w:szCs w:val="21"/>
          <w:highlight w:val="none"/>
        </w:rPr>
      </w:pPr>
      <w:r>
        <w:rPr>
          <w:rFonts w:ascii="宋体"/>
          <w:color w:val="auto"/>
          <w:szCs w:val="21"/>
          <w:highlight w:val="none"/>
        </w:rPr>
        <w:t>7.4.4</w:t>
      </w:r>
      <w:r>
        <w:rPr>
          <w:rFonts w:hint="eastAsia" w:ascii="宋体"/>
          <w:color w:val="auto"/>
          <w:szCs w:val="21"/>
          <w:highlight w:val="none"/>
        </w:rPr>
        <w:t>、投标文件填写字迹必须清楚、工整，对不同文字文本投标文件的解释发生异议的，以中文文本为准。</w:t>
      </w:r>
    </w:p>
    <w:p>
      <w:pPr>
        <w:spacing w:line="400" w:lineRule="exact"/>
        <w:ind w:left="59" w:leftChars="28"/>
        <w:rPr>
          <w:rFonts w:hint="eastAsia" w:ascii="宋体"/>
          <w:color w:val="auto"/>
          <w:szCs w:val="21"/>
          <w:highlight w:val="none"/>
        </w:rPr>
      </w:pPr>
      <w:r>
        <w:rPr>
          <w:rFonts w:ascii="宋体"/>
          <w:color w:val="auto"/>
          <w:szCs w:val="21"/>
          <w:highlight w:val="none"/>
        </w:rPr>
        <w:t>7.4.5</w:t>
      </w:r>
      <w:r>
        <w:rPr>
          <w:rFonts w:hint="eastAsia" w:ascii="宋体"/>
          <w:color w:val="auto"/>
          <w:szCs w:val="21"/>
          <w:highlight w:val="none"/>
        </w:rPr>
        <w:t>、投标文件的效力</w:t>
      </w:r>
    </w:p>
    <w:p>
      <w:pPr>
        <w:spacing w:line="400" w:lineRule="exact"/>
        <w:ind w:left="59" w:leftChars="28"/>
        <w:rPr>
          <w:rFonts w:hint="eastAsia" w:ascii="宋体"/>
          <w:color w:val="auto"/>
          <w:szCs w:val="21"/>
          <w:highlight w:val="none"/>
        </w:rPr>
      </w:pPr>
      <w:r>
        <w:rPr>
          <w:rFonts w:hint="eastAsia" w:ascii="宋体"/>
          <w:color w:val="auto"/>
          <w:szCs w:val="21"/>
          <w:highlight w:val="none"/>
        </w:rPr>
        <w:t>投标文件的启用，按先后顺位分别为电子投标文件、以U盘或光盘存储的电子备份投标文件。在下一顺位的投标文件启用时，前一顺位的投标文件自动失效。</w:t>
      </w:r>
    </w:p>
    <w:p>
      <w:pPr>
        <w:spacing w:line="400" w:lineRule="exact"/>
        <w:ind w:left="59" w:leftChars="28"/>
        <w:rPr>
          <w:rFonts w:hint="eastAsia" w:ascii="宋体"/>
          <w:color w:val="auto"/>
          <w:szCs w:val="21"/>
          <w:highlight w:val="none"/>
        </w:rPr>
      </w:pPr>
      <w:r>
        <w:rPr>
          <w:rFonts w:hint="eastAsia" w:ascii="宋体"/>
          <w:color w:val="auto"/>
          <w:szCs w:val="21"/>
          <w:highlight w:val="none"/>
        </w:rPr>
        <w:t>电子投标文件未能按时解密，供应商提供了电子</w:t>
      </w:r>
      <w:bookmarkStart w:id="27" w:name="OLE_LINK1"/>
      <w:r>
        <w:rPr>
          <w:rFonts w:hint="eastAsia" w:ascii="宋体"/>
          <w:color w:val="auto"/>
          <w:szCs w:val="21"/>
          <w:highlight w:val="none"/>
        </w:rPr>
        <w:t>备份</w:t>
      </w:r>
      <w:bookmarkEnd w:id="27"/>
      <w:r>
        <w:rPr>
          <w:rFonts w:hint="eastAsia" w:ascii="宋体"/>
          <w:color w:val="auto"/>
          <w:szCs w:val="21"/>
          <w:highlight w:val="none"/>
        </w:rPr>
        <w:t>投标文件的，以电子备份投标文件作为依据，否则视为投标文件撤回。电子投标文件已按时解密的，备份投标文件自动失效。</w:t>
      </w:r>
    </w:p>
    <w:p>
      <w:pPr>
        <w:pStyle w:val="9"/>
        <w:spacing w:line="400" w:lineRule="exact"/>
        <w:ind w:firstLine="0"/>
        <w:rPr>
          <w:rFonts w:hint="eastAsia" w:ascii="宋体" w:hAnsi="宋体"/>
          <w:color w:val="auto"/>
          <w:szCs w:val="21"/>
          <w:highlight w:val="none"/>
        </w:rPr>
      </w:pPr>
      <w:r>
        <w:rPr>
          <w:rFonts w:hint="eastAsia" w:ascii="宋体"/>
          <w:color w:val="auto"/>
          <w:szCs w:val="21"/>
          <w:highlight w:val="none"/>
        </w:rPr>
        <w:t>7.4.6、</w:t>
      </w:r>
      <w:r>
        <w:rPr>
          <w:rFonts w:hint="eastAsia" w:ascii="宋体" w:hAnsi="宋体" w:cs="宋体"/>
          <w:color w:val="auto"/>
          <w:kern w:val="0"/>
          <w:szCs w:val="21"/>
          <w:highlight w:val="none"/>
        </w:rPr>
        <w:t>电子备份投标文件须在</w:t>
      </w:r>
      <w:r>
        <w:rPr>
          <w:rFonts w:hint="eastAsia" w:ascii="宋体" w:hAnsi="宋体"/>
          <w:color w:val="auto"/>
          <w:szCs w:val="21"/>
          <w:highlight w:val="none"/>
        </w:rPr>
        <w:t>封袋上注明：</w:t>
      </w:r>
    </w:p>
    <w:p>
      <w:pPr>
        <w:tabs>
          <w:tab w:val="left" w:pos="900"/>
        </w:tabs>
        <w:spacing w:line="400" w:lineRule="exact"/>
        <w:jc w:val="left"/>
        <w:rPr>
          <w:rFonts w:hint="eastAsia" w:ascii="宋体" w:hAnsi="宋体"/>
          <w:color w:val="auto"/>
          <w:szCs w:val="21"/>
          <w:highlight w:val="none"/>
          <w:u w:val="singl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）注    明：</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“电子备份投标文件”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tabs>
          <w:tab w:val="left" w:pos="900"/>
        </w:tabs>
        <w:spacing w:line="400" w:lineRule="exact"/>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tabs>
          <w:tab w:val="left" w:pos="900"/>
        </w:tabs>
        <w:spacing w:line="400" w:lineRule="exact"/>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）项目名称：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tabs>
          <w:tab w:val="left" w:pos="900"/>
        </w:tabs>
        <w:spacing w:line="400" w:lineRule="exact"/>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）所投子包（如有多个子包须填写）：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tabs>
          <w:tab w:val="left" w:pos="900"/>
        </w:tabs>
        <w:spacing w:line="400" w:lineRule="exact"/>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）在</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rPr>
        <w:t>日（规定的开启日期和时间）前不准启封；</w:t>
      </w:r>
    </w:p>
    <w:p>
      <w:pPr>
        <w:tabs>
          <w:tab w:val="left" w:pos="900"/>
        </w:tabs>
        <w:spacing w:line="400" w:lineRule="exact"/>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）供应商的名称：</w:t>
      </w:r>
      <w:r>
        <w:rPr>
          <w:rFonts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jc w:val="left"/>
        <w:rPr>
          <w:rFonts w:hint="eastAsia" w:ascii="宋体" w:hAnsi="宋体"/>
          <w:color w:val="auto"/>
          <w:szCs w:val="21"/>
          <w:highlight w:val="none"/>
        </w:rPr>
      </w:pPr>
      <w:r>
        <w:rPr>
          <w:rFonts w:hint="eastAsia" w:ascii="宋体" w:hAnsi="宋体"/>
          <w:color w:val="auto"/>
          <w:szCs w:val="21"/>
          <w:highlight w:val="none"/>
        </w:rPr>
        <w:t>供应商须在包封上按要求加盖供应商公章或由其法定代表人或授权代表签字。</w:t>
      </w:r>
    </w:p>
    <w:p>
      <w:pPr>
        <w:spacing w:line="400" w:lineRule="exact"/>
        <w:ind w:left="59" w:leftChars="28"/>
        <w:rPr>
          <w:rFonts w:ascii="宋体"/>
          <w:color w:val="auto"/>
          <w:szCs w:val="21"/>
          <w:highlight w:val="none"/>
        </w:rPr>
      </w:pPr>
      <w:r>
        <w:rPr>
          <w:rFonts w:hint="eastAsia" w:ascii="宋体" w:hAnsi="宋体"/>
          <w:color w:val="auto"/>
          <w:szCs w:val="21"/>
          <w:highlight w:val="none"/>
        </w:rPr>
        <w:t>供应商未按上述要求标记的，采购人（代理机构）不承担错放或提前开封的责任。</w:t>
      </w:r>
    </w:p>
    <w:p>
      <w:pPr>
        <w:spacing w:line="400" w:lineRule="exact"/>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7.5</w:t>
      </w:r>
      <w:r>
        <w:rPr>
          <w:rFonts w:hint="eastAsia" w:ascii="宋体" w:hAnsi="宋体"/>
          <w:b/>
          <w:color w:val="auto"/>
          <w:szCs w:val="21"/>
          <w:highlight w:val="none"/>
        </w:rPr>
        <w:t>投标文件的递交</w:t>
      </w:r>
    </w:p>
    <w:p>
      <w:pPr>
        <w:spacing w:line="400" w:lineRule="exact"/>
        <w:ind w:firstLine="420" w:firstLineChars="200"/>
        <w:jc w:val="left"/>
        <w:rPr>
          <w:rFonts w:hint="eastAsia" w:ascii="宋体" w:hAnsi="宋体" w:cs="仿宋"/>
          <w:color w:val="auto"/>
          <w:kern w:val="0"/>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rPr>
        <w:t>1、</w:t>
      </w:r>
      <w:r>
        <w:rPr>
          <w:rFonts w:hint="eastAsia" w:ascii="宋体" w:hAnsi="宋体" w:cs="仿宋"/>
          <w:b/>
          <w:bCs/>
          <w:color w:val="auto"/>
          <w:kern w:val="0"/>
          <w:szCs w:val="21"/>
          <w:highlight w:val="none"/>
        </w:rPr>
        <w:t>电子投标文件：</w:t>
      </w:r>
      <w:r>
        <w:rPr>
          <w:rFonts w:hint="eastAsia" w:ascii="宋体" w:hAnsi="宋体" w:cs="仿宋"/>
          <w:color w:val="auto"/>
          <w:kern w:val="0"/>
          <w:szCs w:val="21"/>
          <w:highlight w:val="none"/>
        </w:rPr>
        <w:t>供应商应于提交投标文件截止时间前将电子投标文件</w:t>
      </w:r>
      <w:r>
        <w:rPr>
          <w:rFonts w:hint="eastAsia" w:ascii="宋体" w:hAnsi="宋体" w:cs="宋体"/>
          <w:color w:val="auto"/>
          <w:kern w:val="0"/>
          <w:szCs w:val="21"/>
          <w:highlight w:val="none"/>
        </w:rPr>
        <w:t>（含</w:t>
      </w:r>
      <w:r>
        <w:rPr>
          <w:rFonts w:hint="eastAsia" w:ascii="宋体" w:hAnsi="宋体"/>
          <w:color w:val="auto"/>
          <w:szCs w:val="21"/>
          <w:highlight w:val="none"/>
        </w:rPr>
        <w:t>资格证明文件，技术</w:t>
      </w:r>
      <w:r>
        <w:rPr>
          <w:rFonts w:hint="eastAsia" w:ascii="宋体" w:hAnsi="宋体"/>
          <w:color w:val="auto"/>
          <w:szCs w:val="21"/>
          <w:highlight w:val="none"/>
          <w:lang w:eastAsia="zh-CN"/>
        </w:rPr>
        <w:t>资信</w:t>
      </w:r>
      <w:r>
        <w:rPr>
          <w:rFonts w:hint="eastAsia" w:ascii="宋体" w:hAnsi="宋体"/>
          <w:color w:val="auto"/>
          <w:szCs w:val="21"/>
          <w:highlight w:val="none"/>
        </w:rPr>
        <w:t>商务文件、投标报价文件）</w:t>
      </w:r>
      <w:r>
        <w:rPr>
          <w:rFonts w:hint="eastAsia" w:ascii="宋体" w:hAnsi="宋体" w:cs="仿宋"/>
          <w:color w:val="auto"/>
          <w:kern w:val="0"/>
          <w:szCs w:val="21"/>
          <w:highlight w:val="none"/>
        </w:rPr>
        <w:t>上传到政府采购云平台（</w:t>
      </w:r>
      <w:r>
        <w:rPr>
          <w:rFonts w:ascii="宋体" w:hAnsi="宋体" w:cs="仿宋"/>
          <w:color w:val="auto"/>
          <w:kern w:val="0"/>
          <w:szCs w:val="21"/>
          <w:highlight w:val="none"/>
        </w:rPr>
        <w:fldChar w:fldCharType="begin"/>
      </w:r>
      <w:r>
        <w:rPr>
          <w:rFonts w:ascii="宋体" w:hAnsi="宋体" w:cs="仿宋"/>
          <w:color w:val="auto"/>
          <w:kern w:val="0"/>
          <w:szCs w:val="21"/>
          <w:highlight w:val="none"/>
        </w:rPr>
        <w:instrText xml:space="preserve"> HYPERLINK "http://www.zcygov.cn" </w:instrText>
      </w:r>
      <w:r>
        <w:rPr>
          <w:rFonts w:ascii="宋体" w:hAnsi="宋体" w:cs="仿宋"/>
          <w:color w:val="auto"/>
          <w:kern w:val="0"/>
          <w:szCs w:val="21"/>
          <w:highlight w:val="none"/>
        </w:rPr>
        <w:fldChar w:fldCharType="separate"/>
      </w:r>
      <w:r>
        <w:rPr>
          <w:rFonts w:hint="eastAsia" w:ascii="宋体" w:hAnsi="宋体"/>
          <w:color w:val="auto"/>
          <w:kern w:val="0"/>
          <w:szCs w:val="21"/>
          <w:highlight w:val="none"/>
        </w:rPr>
        <w:t>www.zcygov.cn</w:t>
      </w:r>
      <w:r>
        <w:rPr>
          <w:rFonts w:ascii="宋体" w:hAnsi="宋体" w:cs="仿宋"/>
          <w:color w:val="auto"/>
          <w:kern w:val="0"/>
          <w:szCs w:val="21"/>
          <w:highlight w:val="none"/>
        </w:rPr>
        <w:fldChar w:fldCharType="end"/>
      </w:r>
      <w:r>
        <w:rPr>
          <w:rFonts w:hint="eastAsia" w:ascii="宋体" w:hAnsi="宋体" w:cs="仿宋"/>
          <w:color w:val="auto"/>
          <w:kern w:val="0"/>
          <w:szCs w:val="21"/>
          <w:highlight w:val="none"/>
        </w:rPr>
        <w:t>）。</w:t>
      </w:r>
    </w:p>
    <w:p>
      <w:pPr>
        <w:numPr>
          <w:ilvl w:val="0"/>
          <w:numId w:val="5"/>
        </w:numPr>
        <w:spacing w:line="400" w:lineRule="exact"/>
        <w:ind w:firstLine="422" w:firstLineChars="200"/>
        <w:jc w:val="left"/>
        <w:rPr>
          <w:rFonts w:hint="eastAsia" w:ascii="宋体" w:hAnsi="宋体" w:cs="宋体"/>
          <w:color w:val="auto"/>
          <w:kern w:val="0"/>
          <w:szCs w:val="21"/>
          <w:highlight w:val="none"/>
        </w:rPr>
      </w:pPr>
      <w:r>
        <w:rPr>
          <w:rFonts w:hint="eastAsia" w:ascii="宋体" w:hAnsi="宋体" w:cs="仿宋"/>
          <w:b/>
          <w:bCs/>
          <w:color w:val="auto"/>
          <w:kern w:val="0"/>
          <w:szCs w:val="21"/>
          <w:highlight w:val="none"/>
        </w:rPr>
        <w:t>电子备份投标文件：</w:t>
      </w:r>
      <w:r>
        <w:rPr>
          <w:rFonts w:hint="eastAsia" w:ascii="宋体" w:hAnsi="宋体" w:cs="仿宋"/>
          <w:color w:val="auto"/>
          <w:kern w:val="0"/>
          <w:szCs w:val="21"/>
          <w:highlight w:val="none"/>
        </w:rPr>
        <w:t>供应商于提交投标文件截止时间前一天，将以U盘或光盘存储的电子备份投标文件（1份，含资格证明文件，技术</w:t>
      </w:r>
      <w:r>
        <w:rPr>
          <w:rFonts w:hint="eastAsia" w:ascii="宋体" w:hAnsi="宋体" w:cs="仿宋"/>
          <w:color w:val="auto"/>
          <w:kern w:val="0"/>
          <w:szCs w:val="21"/>
          <w:highlight w:val="none"/>
          <w:lang w:eastAsia="zh-CN"/>
        </w:rPr>
        <w:t>资信</w:t>
      </w:r>
      <w:r>
        <w:rPr>
          <w:rFonts w:hint="eastAsia" w:ascii="宋体" w:hAnsi="宋体" w:cs="仿宋"/>
          <w:color w:val="auto"/>
          <w:kern w:val="0"/>
          <w:szCs w:val="21"/>
          <w:highlight w:val="none"/>
        </w:rPr>
        <w:t>商务文件、投标报价文件）密封后通过邮寄：宁波市江北区环城北路西段207弄19号世茂茂悦商业中心1号楼八楼，苏芸，0574-87300418；或开标当天投标截止时间前送至开标地点：宁波市江北区公共资源交易中心开标室（江北区育才路138号北投大厦南楼7楼）。</w:t>
      </w:r>
    </w:p>
    <w:p>
      <w:pPr>
        <w:spacing w:line="40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邮寄后须将邮件单号、联系电话发送至代理机构电子邮箱（电子邮箱：nbitc02@126.com），并致电采购代理机构，以便采购代理机构查询物流记录。各供应商应当确保电子备份投标文件的密封包装在邮寄过程保持完好，并在邮寄包裹上注明项目名称、项目编号。</w:t>
      </w:r>
    </w:p>
    <w:p>
      <w:pPr>
        <w:spacing w:line="40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电子备份投标文件密封破损而不符合招标文件对电子备份投标文件的密封要求的、或电子备份投标文件未能在投标截止时间前送达的，代理机构将拒绝其电子备份投标文件。供应商自行考虑邮寄在途时间，电子备份投标文件送达时间以代理机构工作人员实际签收时间为准。</w:t>
      </w:r>
    </w:p>
    <w:p>
      <w:pPr>
        <w:spacing w:line="400" w:lineRule="exact"/>
        <w:ind w:firstLine="422" w:firstLineChars="200"/>
        <w:jc w:val="left"/>
        <w:rPr>
          <w:rFonts w:hint="eastAsia" w:ascii="宋体" w:hAnsi="宋体"/>
          <w:color w:val="auto"/>
          <w:szCs w:val="21"/>
          <w:highlight w:val="none"/>
        </w:rPr>
      </w:pPr>
      <w:r>
        <w:rPr>
          <w:rFonts w:hint="eastAsia" w:ascii="宋体" w:hAnsi="宋体"/>
          <w:b/>
          <w:bCs/>
          <w:color w:val="auto"/>
          <w:szCs w:val="21"/>
          <w:highlight w:val="none"/>
        </w:rPr>
        <w:t>电子备份投标文件不强制要求提交，但因电子投标文件未能按时解密或解密失败，投标人又未提交电子备份投标文件的，将被视为投标文件撤回，投标无效</w:t>
      </w:r>
      <w:r>
        <w:rPr>
          <w:rFonts w:hint="eastAsia" w:ascii="宋体" w:hAnsi="宋体"/>
          <w:color w:val="auto"/>
          <w:szCs w:val="21"/>
          <w:highlight w:val="none"/>
        </w:rPr>
        <w:t>。</w:t>
      </w:r>
    </w:p>
    <w:p>
      <w:pPr>
        <w:numPr>
          <w:ilvl w:val="0"/>
          <w:numId w:val="5"/>
        </w:num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逾期送达的或者未送达指定地点的</w:t>
      </w:r>
      <w:r>
        <w:rPr>
          <w:rFonts w:hint="eastAsia" w:ascii="宋体" w:hAnsi="宋体" w:cs="宋体"/>
          <w:b/>
          <w:bCs/>
          <w:color w:val="auto"/>
          <w:kern w:val="0"/>
          <w:szCs w:val="21"/>
          <w:highlight w:val="none"/>
        </w:rPr>
        <w:t>电子备份投标文件</w:t>
      </w:r>
      <w:r>
        <w:rPr>
          <w:rFonts w:ascii="宋体" w:hAnsi="宋体"/>
          <w:color w:val="auto"/>
          <w:szCs w:val="21"/>
          <w:highlight w:val="none"/>
        </w:rPr>
        <w:t>，</w:t>
      </w:r>
      <w:r>
        <w:rPr>
          <w:rFonts w:hint="eastAsia" w:ascii="宋体" w:hAnsi="宋体"/>
          <w:color w:val="auto"/>
          <w:szCs w:val="21"/>
          <w:highlight w:val="none"/>
        </w:rPr>
        <w:t>代理机构</w:t>
      </w:r>
      <w:r>
        <w:rPr>
          <w:rFonts w:ascii="宋体" w:hAnsi="宋体"/>
          <w:color w:val="auto"/>
          <w:szCs w:val="21"/>
          <w:highlight w:val="none"/>
        </w:rPr>
        <w:t>不予</w:t>
      </w:r>
      <w:r>
        <w:rPr>
          <w:rFonts w:hint="eastAsia" w:ascii="宋体" w:hAnsi="宋体"/>
          <w:color w:val="auto"/>
          <w:szCs w:val="21"/>
          <w:highlight w:val="none"/>
        </w:rPr>
        <w:t>接收</w:t>
      </w:r>
      <w:r>
        <w:rPr>
          <w:rFonts w:ascii="宋体" w:hAnsi="宋体"/>
          <w:color w:val="auto"/>
          <w:szCs w:val="21"/>
          <w:highlight w:val="none"/>
        </w:rPr>
        <w:t>。</w:t>
      </w:r>
    </w:p>
    <w:p>
      <w:pPr>
        <w:numPr>
          <w:ilvl w:val="0"/>
          <w:numId w:val="5"/>
        </w:num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投标截止时间前，供应商可以对递交的投标文件进行补充、修改，</w:t>
      </w:r>
      <w:r>
        <w:rPr>
          <w:rFonts w:hint="eastAsia" w:ascii="宋体" w:hAnsi="宋体"/>
          <w:color w:val="auto"/>
          <w:szCs w:val="21"/>
          <w:highlight w:val="none"/>
          <w:lang w:val="en"/>
        </w:rPr>
        <w:t>补充、修改</w:t>
      </w:r>
      <w:r>
        <w:rPr>
          <w:rFonts w:hint="eastAsia" w:ascii="宋体" w:hAnsi="宋体"/>
          <w:color w:val="auto"/>
          <w:szCs w:val="21"/>
          <w:highlight w:val="none"/>
        </w:rPr>
        <w:t>电子投标文件</w:t>
      </w:r>
      <w:r>
        <w:rPr>
          <w:rFonts w:hint="eastAsia" w:ascii="宋体" w:hAnsi="宋体"/>
          <w:color w:val="auto"/>
          <w:szCs w:val="21"/>
          <w:highlight w:val="none"/>
          <w:lang w:val="en"/>
        </w:rPr>
        <w:t>的，应当先行撤回原文件，补充、修改后重新上传，电子备份投标文件也需重新制作。修改后的</w:t>
      </w:r>
      <w:r>
        <w:rPr>
          <w:rFonts w:hint="eastAsia" w:ascii="宋体" w:hAnsi="宋体"/>
          <w:color w:val="auto"/>
          <w:szCs w:val="21"/>
          <w:highlight w:val="none"/>
        </w:rPr>
        <w:t>备份投标文件需按本采购文件的要求签署、盖章和密封递交。在投标截止时间之后，供应商不得对其投标文件进行补充、修改。投标截止时间之后供应商要求撤销投标文件的，应向采购人提交正式文件。</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5、在投标截止时间之后,投标人不得对其投标文件进行补充、修改或者撤回。</w:t>
      </w:r>
    </w:p>
    <w:p>
      <w:pPr>
        <w:spacing w:line="400" w:lineRule="exact"/>
        <w:rPr>
          <w:rFonts w:hint="eastAsia" w:ascii="宋体" w:hAnsi="宋体"/>
          <w:b/>
          <w:color w:val="auto"/>
          <w:sz w:val="24"/>
          <w:highlight w:val="none"/>
        </w:rPr>
      </w:pPr>
      <w:r>
        <w:rPr>
          <w:rFonts w:hint="eastAsia" w:ascii="宋体" w:hAnsi="宋体"/>
          <w:b/>
          <w:color w:val="auto"/>
          <w:sz w:val="24"/>
          <w:highlight w:val="none"/>
        </w:rPr>
        <w:t>八、开标</w:t>
      </w:r>
    </w:p>
    <w:p>
      <w:pPr>
        <w:spacing w:line="400" w:lineRule="exact"/>
        <w:rPr>
          <w:rFonts w:hint="eastAsia" w:ascii="宋体" w:hAnsi="宋体"/>
          <w:b/>
          <w:color w:val="auto"/>
          <w:szCs w:val="21"/>
          <w:highlight w:val="none"/>
        </w:rPr>
      </w:pPr>
      <w:r>
        <w:rPr>
          <w:rFonts w:hint="eastAsia" w:ascii="宋体" w:hAnsi="宋体"/>
          <w:b/>
          <w:color w:val="auto"/>
          <w:szCs w:val="21"/>
          <w:highlight w:val="none"/>
        </w:rPr>
        <w:t>8.1接收投标文件</w:t>
      </w:r>
    </w:p>
    <w:p>
      <w:pPr>
        <w:spacing w:line="400" w:lineRule="exact"/>
        <w:rPr>
          <w:rFonts w:hint="eastAsia" w:ascii="宋体" w:hAnsi="宋体"/>
          <w:color w:val="auto"/>
          <w:szCs w:val="21"/>
          <w:highlight w:val="none"/>
        </w:rPr>
      </w:pPr>
      <w:r>
        <w:rPr>
          <w:rFonts w:hint="eastAsia" w:ascii="宋体" w:hAnsi="宋体"/>
          <w:color w:val="auto"/>
          <w:szCs w:val="21"/>
          <w:highlight w:val="none"/>
        </w:rPr>
        <w:t>8.1.1采购代理机构将于投标截止时间前30分钟内安排工作人员在采购文件规定的投标地点接收投标文件。</w:t>
      </w:r>
    </w:p>
    <w:p>
      <w:pPr>
        <w:spacing w:line="400" w:lineRule="exact"/>
        <w:rPr>
          <w:rFonts w:hint="eastAsia" w:ascii="宋体" w:hAnsi="宋体"/>
          <w:color w:val="auto"/>
          <w:szCs w:val="21"/>
          <w:highlight w:val="none"/>
        </w:rPr>
      </w:pPr>
      <w:r>
        <w:rPr>
          <w:rFonts w:hint="eastAsia" w:ascii="宋体" w:hAnsi="宋体"/>
          <w:color w:val="auto"/>
          <w:szCs w:val="21"/>
          <w:highlight w:val="none"/>
        </w:rPr>
        <w:t>8.1.2有下列情形之一的投标文件拒绝接收：</w:t>
      </w:r>
    </w:p>
    <w:p>
      <w:pPr>
        <w:spacing w:line="400" w:lineRule="exact"/>
        <w:rPr>
          <w:rFonts w:hint="eastAsia" w:ascii="宋体" w:hAnsi="宋体"/>
          <w:color w:val="auto"/>
          <w:szCs w:val="21"/>
          <w:highlight w:val="none"/>
        </w:rPr>
      </w:pPr>
      <w:r>
        <w:rPr>
          <w:rFonts w:hint="eastAsia" w:ascii="宋体" w:hAnsi="宋体"/>
          <w:color w:val="auto"/>
          <w:szCs w:val="21"/>
          <w:highlight w:val="none"/>
        </w:rPr>
        <w:t>（1）逾期送达的投标文件；</w:t>
      </w:r>
    </w:p>
    <w:p>
      <w:pPr>
        <w:spacing w:line="400" w:lineRule="exact"/>
        <w:rPr>
          <w:rFonts w:hint="eastAsia" w:ascii="宋体" w:hAnsi="宋体"/>
          <w:color w:val="auto"/>
          <w:szCs w:val="21"/>
          <w:highlight w:val="none"/>
        </w:rPr>
      </w:pPr>
      <w:r>
        <w:rPr>
          <w:rFonts w:hint="eastAsia" w:ascii="宋体" w:hAnsi="宋体"/>
          <w:color w:val="auto"/>
          <w:szCs w:val="21"/>
          <w:highlight w:val="none"/>
        </w:rPr>
        <w:t>（2）未按照采购文件要求密封的投标文件；</w:t>
      </w:r>
    </w:p>
    <w:p>
      <w:pPr>
        <w:spacing w:line="400" w:lineRule="exact"/>
        <w:rPr>
          <w:rFonts w:hint="eastAsia" w:ascii="宋体" w:hAnsi="宋体"/>
          <w:color w:val="auto"/>
          <w:szCs w:val="21"/>
          <w:highlight w:val="none"/>
        </w:rPr>
      </w:pPr>
      <w:r>
        <w:rPr>
          <w:rFonts w:hint="eastAsia" w:ascii="宋体" w:hAnsi="宋体"/>
          <w:color w:val="auto"/>
          <w:szCs w:val="21"/>
          <w:highlight w:val="none"/>
        </w:rPr>
        <w:t>（3）未购买采购文件的投标人的投标文件。</w:t>
      </w:r>
    </w:p>
    <w:p>
      <w:pPr>
        <w:spacing w:line="400" w:lineRule="exact"/>
        <w:rPr>
          <w:rFonts w:hint="eastAsia" w:ascii="宋体" w:hAnsi="宋体"/>
          <w:b/>
          <w:color w:val="auto"/>
          <w:szCs w:val="21"/>
          <w:highlight w:val="none"/>
        </w:rPr>
      </w:pPr>
      <w:r>
        <w:rPr>
          <w:rFonts w:hint="eastAsia" w:ascii="宋体" w:hAnsi="宋体"/>
          <w:b/>
          <w:color w:val="auto"/>
          <w:szCs w:val="21"/>
          <w:highlight w:val="none"/>
        </w:rPr>
        <w:t>8.2 开标</w:t>
      </w:r>
    </w:p>
    <w:p>
      <w:pPr>
        <w:spacing w:line="400" w:lineRule="exact"/>
        <w:ind w:firstLine="420" w:firstLineChars="200"/>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1、电子招投标开标程序：</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第一阶段：</w:t>
      </w:r>
    </w:p>
    <w:p>
      <w:pPr>
        <w:numPr>
          <w:ilvl w:val="0"/>
          <w:numId w:val="6"/>
        </w:num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投标截止时间后，供应商登录政府采购云平台，用“项目采购-开标评标”功能对电子投标文件进行在线解密，在线解密电子投标文件时间为开标时间后半小时内。</w:t>
      </w:r>
    </w:p>
    <w:p>
      <w:pPr>
        <w:numPr>
          <w:ilvl w:val="0"/>
          <w:numId w:val="6"/>
        </w:num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在政府采购云平台开启已解密供应商的“资格</w:t>
      </w:r>
      <w:r>
        <w:rPr>
          <w:rFonts w:hint="eastAsia" w:ascii="宋体" w:hAnsi="宋体" w:cs="宋体"/>
          <w:color w:val="auto"/>
          <w:szCs w:val="21"/>
          <w:highlight w:val="none"/>
          <w:lang w:eastAsia="zh-CN"/>
        </w:rPr>
        <w:t>、</w:t>
      </w:r>
      <w:r>
        <w:rPr>
          <w:rFonts w:hint="eastAsia" w:ascii="宋体" w:hAnsi="宋体" w:cs="宋体"/>
          <w:color w:val="auto"/>
          <w:szCs w:val="21"/>
          <w:highlight w:val="none"/>
        </w:rPr>
        <w:t>技术</w:t>
      </w:r>
      <w:r>
        <w:rPr>
          <w:rFonts w:hint="eastAsia" w:ascii="宋体" w:hAnsi="宋体" w:cs="宋体"/>
          <w:color w:val="auto"/>
          <w:szCs w:val="21"/>
          <w:highlight w:val="none"/>
          <w:lang w:eastAsia="zh-CN"/>
        </w:rPr>
        <w:t>资信</w:t>
      </w:r>
      <w:r>
        <w:rPr>
          <w:rFonts w:hint="eastAsia" w:ascii="宋体" w:hAnsi="宋体" w:cs="宋体"/>
          <w:color w:val="auto"/>
          <w:szCs w:val="21"/>
          <w:highlight w:val="none"/>
        </w:rPr>
        <w:t>商务文件”，并做开标记录；</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第二阶段：</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（1）在政府采购云平台宣告第一阶段评审无效供应商名单及理由；</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（2）公布经第一阶段评审符合采购文件要求的供应商的技术</w:t>
      </w:r>
      <w:r>
        <w:rPr>
          <w:rFonts w:hint="eastAsia" w:ascii="宋体" w:hAnsi="宋体" w:cs="宋体"/>
          <w:color w:val="auto"/>
          <w:szCs w:val="21"/>
          <w:highlight w:val="none"/>
          <w:lang w:eastAsia="zh-CN"/>
        </w:rPr>
        <w:t>资信</w:t>
      </w:r>
      <w:r>
        <w:rPr>
          <w:rFonts w:hint="eastAsia" w:ascii="宋体" w:hAnsi="宋体" w:cs="宋体"/>
          <w:color w:val="auto"/>
          <w:szCs w:val="21"/>
          <w:highlight w:val="none"/>
        </w:rPr>
        <w:t>商务文件得分情况；</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（3）在政府采购云平台开启除第一阶段无效标外的供应商的“报价文件”，并做开标记录；</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（4）在政府采购云平台公布评审结果。</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（5）开标会议结束。</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2、特别说明：政府采购云平台如对电子化开标及评审程序有调整的，按调整后的程序操作。</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本项目原则上采用政采云</w:t>
      </w:r>
      <w:r>
        <w:rPr>
          <w:rFonts w:hint="eastAsia" w:ascii="宋体" w:hAnsi="宋体" w:cs="宋体"/>
          <w:bCs/>
          <w:color w:val="auto"/>
          <w:szCs w:val="21"/>
          <w:highlight w:val="none"/>
          <w:lang w:bidi="ar"/>
        </w:rPr>
        <w:t>电子招投标开标程序</w:t>
      </w:r>
      <w:r>
        <w:rPr>
          <w:rFonts w:hint="eastAsia" w:ascii="宋体" w:hAnsi="宋体" w:cs="宋体"/>
          <w:color w:val="auto"/>
          <w:szCs w:val="21"/>
          <w:highlight w:val="none"/>
        </w:rPr>
        <w:t>，但有下情形之一的，按以下情况处理：</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（1）若有供应商在规定时间内无法解密或解密失败，代理机构将开启该供应商递交的以U盘存储的电子备份投标文件，上传至政采云平台项目采购模块，以完成开标，电子投标文件自动失效。</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2.1电子交易平台发生故障而无法登录访问的； </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2.2电子交易平台应用或数据库出现错误，不能进行正常操作的；</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2.3电子交易平台发现严重安全漏洞，有潜在泄密危险的；</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2.4病毒发作导致不能进行正常操作的； </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2.5其他无法保证电子交易的公平、公正和安全的情况。</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出现前款规定情形，不影响采购公平、公正性的，采购人（或代理机构）可以待上述情形消除后继续组织电子交易活动。</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（3）无论是否启用备份投标文件，备份投标文件均不退还供应商。若供应商在规定时间内无法解密或解密失败且未提供备份投标文件或所提供的备份投标文件无法读取的，视为投标文件撤回。</w:t>
      </w:r>
    </w:p>
    <w:p>
      <w:pPr>
        <w:spacing w:line="400" w:lineRule="exact"/>
        <w:rPr>
          <w:rFonts w:hint="eastAsia" w:ascii="宋体" w:hAnsi="宋体"/>
          <w:color w:val="auto"/>
          <w:sz w:val="24"/>
          <w:highlight w:val="none"/>
        </w:rPr>
      </w:pPr>
      <w:r>
        <w:rPr>
          <w:rFonts w:hint="eastAsia" w:ascii="宋体" w:hAnsi="宋体"/>
          <w:b/>
          <w:bCs/>
          <w:color w:val="auto"/>
          <w:sz w:val="24"/>
          <w:highlight w:val="none"/>
        </w:rPr>
        <w:t>九、</w:t>
      </w:r>
      <w:r>
        <w:rPr>
          <w:rFonts w:hint="eastAsia" w:ascii="宋体" w:hAnsi="宋体"/>
          <w:b/>
          <w:bCs/>
          <w:color w:val="auto"/>
          <w:sz w:val="28"/>
          <w:szCs w:val="28"/>
          <w:highlight w:val="none"/>
        </w:rPr>
        <w:t>评标</w:t>
      </w:r>
    </w:p>
    <w:p>
      <w:pPr>
        <w:spacing w:line="400" w:lineRule="exact"/>
        <w:rPr>
          <w:rFonts w:ascii="宋体" w:hAnsi="宋体"/>
          <w:color w:val="auto"/>
          <w:szCs w:val="21"/>
          <w:highlight w:val="none"/>
        </w:rPr>
      </w:pPr>
      <w:r>
        <w:rPr>
          <w:rFonts w:hint="eastAsia" w:ascii="宋体" w:hAnsi="宋体"/>
          <w:b/>
          <w:color w:val="auto"/>
          <w:szCs w:val="21"/>
          <w:highlight w:val="none"/>
        </w:rPr>
        <w:t>9.1评标委员会</w:t>
      </w:r>
    </w:p>
    <w:p>
      <w:pPr>
        <w:spacing w:line="400" w:lineRule="exact"/>
        <w:ind w:left="210" w:hanging="210" w:hangingChars="100"/>
        <w:rPr>
          <w:rFonts w:hint="eastAsia" w:ascii="宋体" w:hAnsi="宋体"/>
          <w:color w:val="auto"/>
          <w:szCs w:val="21"/>
          <w:highlight w:val="none"/>
        </w:rPr>
      </w:pPr>
      <w:r>
        <w:rPr>
          <w:rFonts w:hint="eastAsia" w:ascii="宋体" w:hAnsi="宋体"/>
          <w:color w:val="auto"/>
          <w:szCs w:val="21"/>
          <w:highlight w:val="none"/>
        </w:rPr>
        <w:t>9.1.1 受采购人的委托，采购代理机构将依法组建评标委员会，评标委员会负责评标工作。评标委员会由采购人代表和评标专家组成。评标专家将按规定在财政部门设立的评审专家库中随机抽取。评标委员会成员名单在评标结果公示之前依法保密。</w:t>
      </w:r>
    </w:p>
    <w:p>
      <w:pPr>
        <w:spacing w:line="400" w:lineRule="exact"/>
        <w:ind w:left="210" w:hanging="210" w:hangingChars="100"/>
        <w:rPr>
          <w:rFonts w:hint="eastAsia" w:ascii="宋体" w:hAnsi="宋体"/>
          <w:color w:val="auto"/>
          <w:szCs w:val="21"/>
          <w:highlight w:val="none"/>
        </w:rPr>
      </w:pPr>
      <w:r>
        <w:rPr>
          <w:rFonts w:hint="eastAsia" w:ascii="宋体" w:hAnsi="宋体"/>
          <w:color w:val="auto"/>
          <w:szCs w:val="21"/>
          <w:highlight w:val="none"/>
        </w:rPr>
        <w:t>9.1.2评标委员会将遵循公平、公正、科学、廉洁的原则和规定的程序进行评标，并且只依据投标文件本身对采购文件的响应情况进行评审，不考虑投标人在开标后提交的任何的补充声明、修正方案。</w:t>
      </w:r>
    </w:p>
    <w:p>
      <w:pPr>
        <w:spacing w:line="400" w:lineRule="exact"/>
        <w:rPr>
          <w:rFonts w:hint="eastAsia" w:ascii="宋体" w:hAnsi="宋体"/>
          <w:color w:val="auto"/>
          <w:szCs w:val="21"/>
          <w:highlight w:val="none"/>
        </w:rPr>
      </w:pPr>
      <w:r>
        <w:rPr>
          <w:rFonts w:hint="eastAsia" w:ascii="宋体" w:hAnsi="宋体"/>
          <w:b/>
          <w:color w:val="auto"/>
          <w:szCs w:val="21"/>
          <w:highlight w:val="none"/>
        </w:rPr>
        <w:t>9.2评标方法</w:t>
      </w:r>
    </w:p>
    <w:p>
      <w:pPr>
        <w:spacing w:line="400" w:lineRule="exact"/>
        <w:ind w:left="182" w:leftChars="-98" w:hanging="388" w:hangingChars="185"/>
        <w:rPr>
          <w:rFonts w:hint="eastAsia"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9.2.1评标方法见第四章。</w:t>
      </w:r>
    </w:p>
    <w:p>
      <w:pPr>
        <w:spacing w:line="400" w:lineRule="exact"/>
        <w:ind w:left="-105" w:leftChars="-50" w:firstLine="105" w:firstLineChars="50"/>
        <w:rPr>
          <w:rFonts w:hint="eastAsia" w:ascii="宋体" w:hAnsi="宋体"/>
          <w:b/>
          <w:color w:val="auto"/>
          <w:szCs w:val="21"/>
          <w:highlight w:val="none"/>
        </w:rPr>
      </w:pPr>
      <w:r>
        <w:rPr>
          <w:rFonts w:hint="eastAsia" w:ascii="宋体" w:hAnsi="宋体"/>
          <w:b/>
          <w:color w:val="auto"/>
          <w:szCs w:val="21"/>
          <w:highlight w:val="none"/>
        </w:rPr>
        <w:t>9.3评标程序</w:t>
      </w:r>
      <w:r>
        <w:rPr>
          <w:rFonts w:ascii="宋体" w:hAnsi="宋体"/>
          <w:b/>
          <w:color w:val="auto"/>
          <w:szCs w:val="21"/>
          <w:highlight w:val="none"/>
        </w:rPr>
        <w:t xml:space="preserve"> </w:t>
      </w:r>
    </w:p>
    <w:p>
      <w:pPr>
        <w:spacing w:line="400" w:lineRule="exact"/>
        <w:ind w:left="-105" w:leftChars="-50" w:firstLine="105" w:firstLineChars="50"/>
        <w:rPr>
          <w:rFonts w:hint="eastAsia" w:ascii="宋体" w:hAnsi="宋体"/>
          <w:color w:val="auto"/>
          <w:szCs w:val="21"/>
          <w:highlight w:val="none"/>
        </w:rPr>
      </w:pPr>
      <w:r>
        <w:rPr>
          <w:rFonts w:hint="eastAsia" w:ascii="宋体" w:hAnsi="宋体"/>
          <w:color w:val="auto"/>
          <w:szCs w:val="21"/>
          <w:highlight w:val="none"/>
        </w:rPr>
        <w:t>9.3.1评标程序见第四章。</w:t>
      </w:r>
      <w:r>
        <w:rPr>
          <w:rFonts w:ascii="宋体" w:hAnsi="宋体"/>
          <w:color w:val="auto"/>
          <w:szCs w:val="21"/>
          <w:highlight w:val="none"/>
        </w:rPr>
        <w:t xml:space="preserve">  </w:t>
      </w:r>
    </w:p>
    <w:p>
      <w:pPr>
        <w:spacing w:line="400" w:lineRule="exact"/>
        <w:rPr>
          <w:rFonts w:hint="eastAsia" w:ascii="宋体" w:hAnsi="宋体"/>
          <w:b/>
          <w:color w:val="auto"/>
          <w:szCs w:val="21"/>
          <w:highlight w:val="none"/>
        </w:rPr>
      </w:pPr>
      <w:r>
        <w:rPr>
          <w:rFonts w:hint="eastAsia" w:ascii="宋体" w:hAnsi="宋体"/>
          <w:b/>
          <w:color w:val="auto"/>
          <w:szCs w:val="21"/>
          <w:highlight w:val="none"/>
        </w:rPr>
        <w:t>9.4推荐中标候选人：</w:t>
      </w:r>
    </w:p>
    <w:p>
      <w:pPr>
        <w:spacing w:line="400" w:lineRule="exact"/>
        <w:rPr>
          <w:rFonts w:hint="eastAsia" w:ascii="宋体" w:hAnsi="宋体"/>
          <w:color w:val="auto"/>
          <w:szCs w:val="21"/>
          <w:highlight w:val="none"/>
        </w:rPr>
      </w:pPr>
      <w:r>
        <w:rPr>
          <w:rFonts w:hint="eastAsia" w:ascii="宋体" w:hAnsi="宋体"/>
          <w:color w:val="auto"/>
          <w:szCs w:val="21"/>
          <w:highlight w:val="none"/>
        </w:rPr>
        <w:t>9.4.1评标委员会将按照评标结果排序，推荐中标候选人名单。中标候选人数量见前附表。</w:t>
      </w:r>
    </w:p>
    <w:p>
      <w:pPr>
        <w:spacing w:line="400" w:lineRule="exact"/>
        <w:rPr>
          <w:rFonts w:hint="eastAsia" w:ascii="宋体" w:hAnsi="宋体"/>
          <w:b/>
          <w:color w:val="auto"/>
          <w:szCs w:val="21"/>
          <w:highlight w:val="none"/>
        </w:rPr>
      </w:pPr>
      <w:r>
        <w:rPr>
          <w:rFonts w:hint="eastAsia" w:ascii="宋体" w:hAnsi="宋体"/>
          <w:b/>
          <w:color w:val="auto"/>
          <w:szCs w:val="21"/>
          <w:highlight w:val="none"/>
        </w:rPr>
        <w:t>9.5 评标过程保密</w:t>
      </w:r>
    </w:p>
    <w:p>
      <w:pPr>
        <w:spacing w:line="400" w:lineRule="exact"/>
        <w:ind w:left="210" w:hanging="210" w:hangingChars="100"/>
        <w:rPr>
          <w:rFonts w:hint="eastAsia" w:ascii="宋体" w:hAnsi="宋体"/>
          <w:color w:val="auto"/>
          <w:szCs w:val="21"/>
          <w:highlight w:val="none"/>
        </w:rPr>
      </w:pPr>
      <w:r>
        <w:rPr>
          <w:rFonts w:hint="eastAsia" w:ascii="宋体" w:hAnsi="宋体"/>
          <w:color w:val="auto"/>
          <w:szCs w:val="21"/>
          <w:highlight w:val="none"/>
        </w:rPr>
        <w:t>9.5.1中标结果公示发布之前，评标委员会名单应该保密。评标委员会成员、采购人和采购代理机构的有关参与人员应该对评标过程保密，不得向投标人或其他无关的人员透露。</w:t>
      </w:r>
    </w:p>
    <w:p>
      <w:pPr>
        <w:spacing w:line="400" w:lineRule="exact"/>
        <w:rPr>
          <w:rFonts w:hint="eastAsia" w:ascii="宋体" w:hAnsi="宋体"/>
          <w:b/>
          <w:color w:val="auto"/>
          <w:sz w:val="24"/>
          <w:highlight w:val="none"/>
        </w:rPr>
      </w:pPr>
      <w:r>
        <w:rPr>
          <w:rFonts w:hint="eastAsia" w:ascii="宋体" w:hAnsi="宋体"/>
          <w:b/>
          <w:color w:val="auto"/>
          <w:sz w:val="24"/>
          <w:highlight w:val="none"/>
        </w:rPr>
        <w:t>十、定标</w:t>
      </w:r>
    </w:p>
    <w:p>
      <w:pPr>
        <w:spacing w:line="400" w:lineRule="exact"/>
        <w:rPr>
          <w:rFonts w:ascii="宋体" w:hAnsi="宋体"/>
          <w:b/>
          <w:color w:val="auto"/>
          <w:szCs w:val="21"/>
          <w:highlight w:val="none"/>
        </w:rPr>
      </w:pPr>
      <w:r>
        <w:rPr>
          <w:rFonts w:hint="eastAsia" w:ascii="宋体" w:hAnsi="宋体"/>
          <w:b/>
          <w:color w:val="auto"/>
          <w:szCs w:val="21"/>
          <w:highlight w:val="none"/>
        </w:rPr>
        <w:t>10.1确定中标人</w:t>
      </w:r>
    </w:p>
    <w:p>
      <w:pPr>
        <w:spacing w:line="400" w:lineRule="exact"/>
        <w:rPr>
          <w:rFonts w:hint="eastAsia" w:ascii="宋体" w:hAnsi="宋体"/>
          <w:color w:val="auto"/>
          <w:szCs w:val="21"/>
          <w:highlight w:val="none"/>
        </w:rPr>
      </w:pPr>
      <w:r>
        <w:rPr>
          <w:rFonts w:hint="eastAsia" w:ascii="宋体" w:hAnsi="宋体"/>
          <w:color w:val="auto"/>
          <w:szCs w:val="21"/>
          <w:highlight w:val="none"/>
        </w:rPr>
        <w:t>10.1.1本项目确定中标人的规定见前附表。</w:t>
      </w:r>
    </w:p>
    <w:p>
      <w:pPr>
        <w:spacing w:line="400" w:lineRule="exact"/>
        <w:rPr>
          <w:rFonts w:hint="eastAsia" w:ascii="宋体" w:hAnsi="宋体"/>
          <w:color w:val="auto"/>
          <w:szCs w:val="21"/>
          <w:highlight w:val="none"/>
        </w:rPr>
      </w:pPr>
      <w:r>
        <w:rPr>
          <w:rFonts w:hint="eastAsia" w:ascii="宋体" w:hAnsi="宋体"/>
          <w:color w:val="auto"/>
          <w:szCs w:val="21"/>
          <w:highlight w:val="none"/>
        </w:rPr>
        <w:t>10.1.2采购人确定中标人的，采购代理机构应当在评标结束后2个工作日内将评标报告送采购人，采购人应当自收到评标报告之日起5个工作日内，在评标报告确定的中标候选人名单中按照顺序确定中标人。中标候选人并列的，采取随机抽取的方式确定。</w:t>
      </w:r>
    </w:p>
    <w:p>
      <w:pPr>
        <w:spacing w:line="400" w:lineRule="exact"/>
        <w:rPr>
          <w:rFonts w:hint="eastAsia" w:ascii="宋体" w:hAnsi="宋体"/>
          <w:color w:val="auto"/>
          <w:szCs w:val="21"/>
          <w:highlight w:val="none"/>
        </w:rPr>
      </w:pPr>
      <w:r>
        <w:rPr>
          <w:rFonts w:hint="eastAsia" w:ascii="宋体" w:hAnsi="宋体"/>
          <w:color w:val="auto"/>
          <w:szCs w:val="21"/>
          <w:highlight w:val="none"/>
        </w:rPr>
        <w:t>10.1.3中标或者成交供应商拒绝与采购人签订合同的，采购人可以按照评审报告推荐的中标或者成交候选 人名单排序，确定下一候选人为中标或者成交供应商，也可以重新开展政府采购活动。</w:t>
      </w:r>
    </w:p>
    <w:p>
      <w:pPr>
        <w:spacing w:line="400" w:lineRule="exact"/>
        <w:rPr>
          <w:rFonts w:hint="eastAsia" w:ascii="宋体" w:hAnsi="宋体"/>
          <w:color w:val="auto"/>
          <w:szCs w:val="21"/>
          <w:highlight w:val="none"/>
        </w:rPr>
      </w:pPr>
      <w:r>
        <w:rPr>
          <w:rFonts w:hint="eastAsia" w:ascii="宋体" w:hAnsi="宋体"/>
          <w:color w:val="auto"/>
          <w:szCs w:val="21"/>
          <w:highlight w:val="none"/>
        </w:rPr>
        <w:t>10.1.4评标委员会受采购人事先授权委托直接确定中标人的，评标委员会在评标报告确定的中标候选人名单中按照顺序确定中标人。中标候选人并列的，采取随机抽取的方式确定。</w:t>
      </w:r>
    </w:p>
    <w:p>
      <w:pPr>
        <w:spacing w:line="400" w:lineRule="exact"/>
        <w:rPr>
          <w:rFonts w:hint="eastAsia" w:ascii="宋体" w:hAnsi="宋体"/>
          <w:color w:val="auto"/>
          <w:szCs w:val="21"/>
          <w:highlight w:val="none"/>
        </w:rPr>
      </w:pPr>
      <w:r>
        <w:rPr>
          <w:rFonts w:hint="eastAsia" w:ascii="宋体" w:hAnsi="宋体"/>
          <w:color w:val="auto"/>
          <w:szCs w:val="21"/>
          <w:highlight w:val="none"/>
        </w:rPr>
        <w:t>10.1.5采购人、采购代理机构自中标人确定之日起2个工作日内，在本项目指定的媒体上公告中标结果。</w:t>
      </w:r>
    </w:p>
    <w:p>
      <w:pPr>
        <w:spacing w:line="400" w:lineRule="exact"/>
        <w:rPr>
          <w:rFonts w:hint="eastAsia" w:ascii="宋体" w:hAnsi="宋体"/>
          <w:b/>
          <w:color w:val="auto"/>
          <w:sz w:val="24"/>
          <w:highlight w:val="none"/>
        </w:rPr>
      </w:pPr>
      <w:r>
        <w:rPr>
          <w:rFonts w:hint="eastAsia" w:ascii="宋体" w:hAnsi="宋体"/>
          <w:b/>
          <w:color w:val="auto"/>
          <w:sz w:val="24"/>
          <w:highlight w:val="none"/>
        </w:rPr>
        <w:t>十一、政府采购合同签订</w:t>
      </w:r>
    </w:p>
    <w:p>
      <w:pPr>
        <w:spacing w:line="400" w:lineRule="exact"/>
        <w:ind w:left="210" w:hanging="210" w:hangingChars="100"/>
        <w:rPr>
          <w:rFonts w:hint="eastAsia" w:ascii="宋体" w:hAnsi="宋体"/>
          <w:color w:val="auto"/>
          <w:szCs w:val="21"/>
          <w:highlight w:val="none"/>
        </w:rPr>
      </w:pPr>
      <w:r>
        <w:rPr>
          <w:rFonts w:hint="eastAsia" w:ascii="宋体" w:hAnsi="宋体"/>
          <w:color w:val="auto"/>
          <w:szCs w:val="21"/>
          <w:highlight w:val="none"/>
        </w:rPr>
        <w:t>11.1 政府采购合同适用民法典，采购人和供应商之间的权力和义务，应当按照平等、自愿的原则以合同方式约定。合同应当采用书面形式。政府采购合同的双方当事人不得擅自变更、中止或者终止合同。</w:t>
      </w:r>
    </w:p>
    <w:p>
      <w:pPr>
        <w:spacing w:line="400" w:lineRule="exact"/>
        <w:rPr>
          <w:rFonts w:ascii="宋体" w:hAnsi="宋体"/>
          <w:color w:val="auto"/>
          <w:szCs w:val="21"/>
          <w:highlight w:val="none"/>
        </w:rPr>
      </w:pPr>
      <w:r>
        <w:rPr>
          <w:rFonts w:hint="eastAsia" w:ascii="宋体" w:hAnsi="宋体"/>
          <w:b/>
          <w:color w:val="auto"/>
          <w:szCs w:val="21"/>
          <w:highlight w:val="none"/>
        </w:rPr>
        <w:t>11.2中标通知书</w:t>
      </w:r>
    </w:p>
    <w:p>
      <w:pPr>
        <w:spacing w:line="400" w:lineRule="exact"/>
        <w:ind w:left="210" w:hanging="210" w:hangingChars="100"/>
        <w:rPr>
          <w:rFonts w:hint="eastAsia" w:ascii="宋体" w:hAnsi="宋体"/>
          <w:color w:val="auto"/>
          <w:szCs w:val="21"/>
          <w:highlight w:val="none"/>
        </w:rPr>
      </w:pPr>
      <w:r>
        <w:rPr>
          <w:rFonts w:hint="eastAsia" w:ascii="宋体" w:hAnsi="宋体"/>
          <w:color w:val="auto"/>
          <w:szCs w:val="21"/>
          <w:highlight w:val="none"/>
        </w:rPr>
        <w:t>11.2.1在公告中标结果的同时，采购人或者采购代理机构向中标人发出中标通知书。</w:t>
      </w:r>
    </w:p>
    <w:p>
      <w:pPr>
        <w:spacing w:line="400" w:lineRule="exact"/>
        <w:rPr>
          <w:rFonts w:hint="eastAsia" w:ascii="宋体" w:hAnsi="宋体"/>
          <w:color w:val="auto"/>
          <w:szCs w:val="21"/>
          <w:highlight w:val="none"/>
        </w:rPr>
      </w:pPr>
      <w:r>
        <w:rPr>
          <w:rFonts w:hint="eastAsia" w:ascii="宋体" w:hAnsi="宋体"/>
          <w:color w:val="auto"/>
          <w:szCs w:val="21"/>
          <w:highlight w:val="none"/>
        </w:rPr>
        <w:t>11.2.2中标通知书发出后，采购人不得违法改变中标结果，中标人无正当理由不得放弃中标。</w:t>
      </w:r>
    </w:p>
    <w:p>
      <w:pPr>
        <w:spacing w:line="400" w:lineRule="exact"/>
        <w:rPr>
          <w:rFonts w:ascii="宋体" w:hAnsi="宋体"/>
          <w:color w:val="auto"/>
          <w:szCs w:val="21"/>
          <w:highlight w:val="none"/>
        </w:rPr>
      </w:pPr>
      <w:r>
        <w:rPr>
          <w:rFonts w:hint="eastAsia" w:ascii="宋体" w:hAnsi="宋体"/>
          <w:b/>
          <w:color w:val="auto"/>
          <w:szCs w:val="21"/>
          <w:highlight w:val="none"/>
        </w:rPr>
        <w:t>11.3签订合同</w:t>
      </w:r>
    </w:p>
    <w:p>
      <w:pPr>
        <w:spacing w:line="400" w:lineRule="exact"/>
        <w:rPr>
          <w:rFonts w:ascii="宋体" w:hAnsi="宋体"/>
          <w:color w:val="auto"/>
          <w:szCs w:val="21"/>
          <w:highlight w:val="none"/>
        </w:rPr>
      </w:pPr>
      <w:r>
        <w:rPr>
          <w:rFonts w:hint="eastAsia" w:ascii="宋体" w:hAnsi="宋体"/>
          <w:color w:val="auto"/>
          <w:szCs w:val="21"/>
          <w:highlight w:val="none"/>
        </w:rPr>
        <w:t>11.3.1采购人与中标人应当自中标通知书发出之日起最迟30日内按照采购文件、中标人投标文件和中标通知书的内容签订书面合同，根据本项目具体情况，采购人要求签订合同的具体时间见前附表，所签订的合同不得对采购文件确定的事项和中标人投标文件作实质性修改。</w:t>
      </w:r>
    </w:p>
    <w:p>
      <w:pPr>
        <w:spacing w:line="400" w:lineRule="exact"/>
        <w:ind w:left="210" w:hanging="210" w:hangingChars="100"/>
        <w:rPr>
          <w:rFonts w:hint="eastAsia" w:ascii="宋体" w:hAnsi="宋体"/>
          <w:color w:val="auto"/>
          <w:szCs w:val="21"/>
          <w:highlight w:val="none"/>
        </w:rPr>
      </w:pPr>
      <w:r>
        <w:rPr>
          <w:rFonts w:hint="eastAsia" w:ascii="宋体" w:hAnsi="宋体"/>
          <w:color w:val="auto"/>
          <w:szCs w:val="21"/>
          <w:highlight w:val="none"/>
        </w:rPr>
        <w:t>11.3.2采购文件、中标人的投标文件、中标通知书及评标过程中有关的澄清文件均应作为合同附件。</w:t>
      </w:r>
    </w:p>
    <w:p>
      <w:pPr>
        <w:spacing w:line="400" w:lineRule="exact"/>
        <w:ind w:left="210" w:hanging="210" w:hangingChars="100"/>
        <w:rPr>
          <w:rFonts w:hint="eastAsia" w:ascii="宋体" w:hAnsi="宋体"/>
          <w:color w:val="auto"/>
          <w:szCs w:val="21"/>
          <w:highlight w:val="none"/>
        </w:rPr>
      </w:pPr>
      <w:r>
        <w:rPr>
          <w:rFonts w:hint="eastAsia" w:ascii="宋体" w:hAnsi="宋体"/>
          <w:color w:val="auto"/>
          <w:szCs w:val="21"/>
          <w:highlight w:val="none"/>
        </w:rPr>
        <w:t>11.3.3 中标或者成交供应商拒绝与采购人签订合同的，采购人将按照前附表的规定进行处理。</w:t>
      </w:r>
    </w:p>
    <w:p>
      <w:pPr>
        <w:spacing w:line="400" w:lineRule="exact"/>
        <w:rPr>
          <w:rFonts w:hint="eastAsia" w:ascii="宋体" w:hAnsi="宋体"/>
          <w:color w:val="auto"/>
          <w:szCs w:val="21"/>
          <w:highlight w:val="none"/>
        </w:rPr>
      </w:pPr>
      <w:r>
        <w:rPr>
          <w:rFonts w:hint="eastAsia" w:ascii="宋体" w:hAnsi="宋体"/>
          <w:b/>
          <w:color w:val="auto"/>
          <w:szCs w:val="21"/>
          <w:highlight w:val="none"/>
        </w:rPr>
        <w:t>11.4履约保证金</w:t>
      </w:r>
    </w:p>
    <w:p>
      <w:pPr>
        <w:spacing w:line="400" w:lineRule="exact"/>
        <w:rPr>
          <w:rFonts w:hint="eastAsia" w:ascii="宋体" w:hAnsi="宋体"/>
          <w:color w:val="auto"/>
          <w:szCs w:val="21"/>
          <w:highlight w:val="none"/>
        </w:rPr>
      </w:pPr>
      <w:r>
        <w:rPr>
          <w:rFonts w:hint="eastAsia" w:ascii="宋体" w:hAnsi="宋体"/>
          <w:color w:val="auto"/>
          <w:szCs w:val="21"/>
          <w:highlight w:val="none"/>
        </w:rPr>
        <w:t>11.4.1 履约保证金是中标人按照采购文件要求而向采购人提交的用以保障其履行合同义务的一种担保，促使中标人全面履行与采购人订立的合同，确保合同目标的实现。中标人违约的，采购人将按照合同约定扣除其全部或部分履约保证金，或由担保人承担担保责任，如果中标人违约给采购人造成的损失超过履约保证金的，还应当依法赔偿超过部分的损失。</w:t>
      </w:r>
    </w:p>
    <w:p>
      <w:pPr>
        <w:spacing w:line="400" w:lineRule="exact"/>
        <w:rPr>
          <w:rFonts w:hint="eastAsia" w:ascii="宋体" w:hAnsi="宋体"/>
          <w:color w:val="auto"/>
          <w:szCs w:val="21"/>
          <w:highlight w:val="none"/>
        </w:rPr>
      </w:pPr>
      <w:r>
        <w:rPr>
          <w:rFonts w:hint="eastAsia" w:ascii="宋体" w:hAnsi="宋体"/>
          <w:color w:val="auto"/>
          <w:szCs w:val="21"/>
          <w:highlight w:val="none"/>
        </w:rPr>
        <w:t>11.4.2履约保证金的要求见前附表。</w:t>
      </w:r>
    </w:p>
    <w:p>
      <w:pPr>
        <w:spacing w:line="400" w:lineRule="exact"/>
        <w:ind w:left="88" w:hanging="88" w:hangingChars="42"/>
        <w:rPr>
          <w:rFonts w:hint="eastAsia" w:ascii="宋体" w:hAnsi="宋体"/>
          <w:color w:val="auto"/>
          <w:szCs w:val="21"/>
          <w:highlight w:val="none"/>
        </w:rPr>
      </w:pPr>
      <w:r>
        <w:rPr>
          <w:rFonts w:hint="eastAsia" w:ascii="宋体" w:hAnsi="宋体"/>
          <w:color w:val="auto"/>
          <w:szCs w:val="21"/>
          <w:highlight w:val="none"/>
        </w:rPr>
        <w:t>11.4.3履约保证金的有效期自合同生效之日起至合同约定的中标人义务完毕止。</w:t>
      </w:r>
    </w:p>
    <w:p>
      <w:pPr>
        <w:spacing w:line="400" w:lineRule="exact"/>
        <w:ind w:left="88" w:hanging="88" w:hangingChars="42"/>
        <w:rPr>
          <w:rFonts w:ascii="宋体" w:hAnsi="宋体"/>
          <w:color w:val="auto"/>
          <w:szCs w:val="21"/>
          <w:highlight w:val="none"/>
        </w:rPr>
      </w:pPr>
      <w:r>
        <w:rPr>
          <w:rFonts w:hint="eastAsia" w:ascii="宋体" w:hAnsi="宋体"/>
          <w:color w:val="auto"/>
          <w:szCs w:val="21"/>
          <w:highlight w:val="none"/>
        </w:rPr>
        <w:t>11.4.4履约保证金的退还由合同进行约定。</w:t>
      </w:r>
    </w:p>
    <w:p>
      <w:pPr>
        <w:spacing w:line="400" w:lineRule="exact"/>
        <w:rPr>
          <w:rFonts w:hint="eastAsia" w:ascii="宋体" w:hAnsi="宋体"/>
          <w:b/>
          <w:color w:val="auto"/>
          <w:sz w:val="24"/>
          <w:highlight w:val="none"/>
        </w:rPr>
      </w:pPr>
      <w:r>
        <w:rPr>
          <w:rFonts w:hint="eastAsia" w:ascii="宋体" w:hAnsi="宋体"/>
          <w:b/>
          <w:color w:val="auto"/>
          <w:sz w:val="24"/>
          <w:highlight w:val="none"/>
        </w:rPr>
        <w:t>十二、招标代理服务收费</w:t>
      </w:r>
    </w:p>
    <w:p>
      <w:pPr>
        <w:spacing w:line="400" w:lineRule="exact"/>
        <w:rPr>
          <w:rFonts w:hint="eastAsia" w:ascii="宋体" w:hAnsi="宋体"/>
          <w:b/>
          <w:color w:val="auto"/>
          <w:szCs w:val="21"/>
          <w:highlight w:val="none"/>
        </w:rPr>
      </w:pPr>
      <w:r>
        <w:rPr>
          <w:rFonts w:hint="eastAsia" w:ascii="宋体" w:hAnsi="宋体"/>
          <w:color w:val="auto"/>
          <w:szCs w:val="21"/>
          <w:highlight w:val="none"/>
        </w:rPr>
        <w:t>12.1招标代理服务收费：是指采购代理机构接受采购人委托，从事编制采购文件，审查投标人资格，组织投标人踏勘现场并答疑，组织开标、评标、定标，以及提供招标前期咨询、协调合同的签订等业务所收取的费用。费用收取方式及收费标准见前附表。</w:t>
      </w:r>
    </w:p>
    <w:p>
      <w:pPr>
        <w:spacing w:line="400" w:lineRule="exact"/>
        <w:rPr>
          <w:rFonts w:hint="eastAsia" w:ascii="宋体" w:hAnsi="宋体"/>
          <w:b/>
          <w:color w:val="auto"/>
          <w:sz w:val="24"/>
          <w:highlight w:val="none"/>
        </w:rPr>
      </w:pPr>
      <w:r>
        <w:rPr>
          <w:rFonts w:hint="eastAsia" w:ascii="宋体" w:hAnsi="宋体"/>
          <w:b/>
          <w:color w:val="auto"/>
          <w:sz w:val="24"/>
          <w:highlight w:val="none"/>
        </w:rPr>
        <w:t>十三、落实政府采购政策的特别说明</w:t>
      </w:r>
    </w:p>
    <w:p>
      <w:pPr>
        <w:spacing w:line="400" w:lineRule="exact"/>
        <w:rPr>
          <w:rFonts w:ascii="宋体" w:hAnsi="宋体"/>
          <w:color w:val="auto"/>
          <w:szCs w:val="21"/>
          <w:highlight w:val="none"/>
        </w:rPr>
      </w:pPr>
      <w:r>
        <w:rPr>
          <w:rFonts w:hint="eastAsia" w:ascii="宋体" w:hAnsi="宋体"/>
          <w:color w:val="auto"/>
          <w:szCs w:val="21"/>
          <w:highlight w:val="none"/>
        </w:rPr>
        <w:t>13.1执行财政部、工业和信息化部《政府采购促进中小企业发展管理办法》（财库〔2020〕46号）。政府采购活动中有关中小企业的相关规定如下：</w:t>
      </w:r>
    </w:p>
    <w:p>
      <w:pPr>
        <w:spacing w:line="400" w:lineRule="exact"/>
        <w:rPr>
          <w:rFonts w:hint="eastAsia" w:ascii="宋体" w:hAnsi="宋体"/>
          <w:color w:val="auto"/>
          <w:szCs w:val="21"/>
          <w:highlight w:val="none"/>
        </w:rPr>
      </w:pPr>
      <w:r>
        <w:rPr>
          <w:rFonts w:hint="eastAsia" w:ascii="宋体" w:hAnsi="宋体"/>
          <w:color w:val="auto"/>
          <w:szCs w:val="21"/>
          <w:highlight w:val="none"/>
        </w:rPr>
        <w:t>13.2中小企业，是指在中华人民共和国境内依法设立，依据国务院批准的中小企业划分标准确定的中型企业、小型企业和微型企业，但与大企业的负责人为同一人，或者与大企业存在直接控股、管理关系的除外。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00" w:lineRule="exact"/>
        <w:ind w:firstLine="420"/>
        <w:rPr>
          <w:rFonts w:hint="eastAsia" w:ascii="宋体" w:hAnsi="宋体"/>
          <w:color w:val="auto"/>
          <w:szCs w:val="21"/>
          <w:highlight w:val="none"/>
        </w:rPr>
      </w:pPr>
      <w:r>
        <w:rPr>
          <w:rFonts w:hint="eastAsia" w:ascii="宋体" w:hAnsi="宋体"/>
          <w:color w:val="auto"/>
          <w:szCs w:val="21"/>
          <w:highlight w:val="none"/>
        </w:rPr>
        <w:t>符合中小企业划分标准的个体工商户，在政府采购活动中视同中小企业。</w:t>
      </w:r>
    </w:p>
    <w:p>
      <w:pPr>
        <w:spacing w:line="400" w:lineRule="exact"/>
        <w:rPr>
          <w:rFonts w:hint="eastAsia" w:ascii="宋体" w:hAnsi="宋体"/>
          <w:color w:val="auto"/>
          <w:szCs w:val="21"/>
          <w:highlight w:val="none"/>
        </w:rPr>
      </w:pPr>
      <w:r>
        <w:rPr>
          <w:rFonts w:hint="eastAsia" w:ascii="宋体" w:hAnsi="宋体"/>
          <w:color w:val="auto"/>
          <w:szCs w:val="21"/>
          <w:highlight w:val="none"/>
        </w:rPr>
        <w:t>13.3在政府采购活动中，供应商提供的货物、工程或者服务符合下列情形的，享受《政府采购促进中小企业发展管理办法》规定的中小企业扶持政策：</w:t>
      </w:r>
    </w:p>
    <w:p>
      <w:pPr>
        <w:spacing w:line="400" w:lineRule="exact"/>
        <w:ind w:firstLine="420"/>
        <w:rPr>
          <w:rFonts w:hint="eastAsia" w:ascii="宋体" w:hAnsi="宋体"/>
          <w:color w:val="auto"/>
          <w:szCs w:val="21"/>
          <w:highlight w:val="none"/>
        </w:rPr>
      </w:pPr>
      <w:r>
        <w:rPr>
          <w:rFonts w:hint="eastAsia" w:ascii="宋体" w:hAnsi="宋体"/>
          <w:color w:val="auto"/>
          <w:szCs w:val="21"/>
          <w:highlight w:val="none"/>
        </w:rPr>
        <w:t>（1）在货物采购项目中，货物由中小企业制造，即货物由中小企业生产且使用该中小企业商号或者注册商标；</w:t>
      </w:r>
    </w:p>
    <w:p>
      <w:pPr>
        <w:spacing w:line="400" w:lineRule="exact"/>
        <w:ind w:firstLine="420"/>
        <w:rPr>
          <w:rFonts w:hint="eastAsia" w:ascii="宋体" w:hAnsi="宋体"/>
          <w:color w:val="auto"/>
          <w:szCs w:val="21"/>
          <w:highlight w:val="none"/>
        </w:rPr>
      </w:pPr>
      <w:r>
        <w:rPr>
          <w:rFonts w:hint="eastAsia" w:ascii="宋体" w:hAnsi="宋体"/>
          <w:color w:val="auto"/>
          <w:szCs w:val="21"/>
          <w:highlight w:val="none"/>
        </w:rPr>
        <w:t>（2）在工程采购项目中，工程由中小企业承建，即工程施工单位为中小企业；</w:t>
      </w:r>
    </w:p>
    <w:p>
      <w:pPr>
        <w:spacing w:line="400" w:lineRule="exact"/>
        <w:ind w:firstLine="420"/>
        <w:rPr>
          <w:rFonts w:hint="eastAsia" w:ascii="宋体" w:hAnsi="宋体"/>
          <w:color w:val="auto"/>
          <w:szCs w:val="21"/>
          <w:highlight w:val="none"/>
        </w:rPr>
      </w:pPr>
      <w:r>
        <w:rPr>
          <w:rFonts w:hint="eastAsia" w:ascii="宋体" w:hAnsi="宋体"/>
          <w:color w:val="auto"/>
          <w:szCs w:val="21"/>
          <w:highlight w:val="none"/>
        </w:rPr>
        <w:t xml:space="preserve">（3）在服务采购项目中，服务由中小企业承接，即提供服务的人员为中小企业依照《中华人民共和国劳动合同法》订立劳动合同的从业人员。 </w:t>
      </w:r>
    </w:p>
    <w:p>
      <w:pPr>
        <w:spacing w:line="400" w:lineRule="exact"/>
        <w:ind w:firstLine="420"/>
        <w:rPr>
          <w:rFonts w:hint="eastAsia" w:ascii="宋体" w:hAnsi="宋体"/>
          <w:color w:val="auto"/>
          <w:szCs w:val="21"/>
          <w:highlight w:val="none"/>
        </w:rPr>
      </w:pPr>
      <w:r>
        <w:rPr>
          <w:rFonts w:hint="eastAsia" w:ascii="宋体" w:hAnsi="宋体"/>
          <w:color w:val="auto"/>
          <w:szCs w:val="21"/>
          <w:highlight w:val="none"/>
        </w:rPr>
        <w:t>在货物采购项目中，供应商提供的货物既有中小企业制造货物，也有大型企业制造货物的，不享受《政府采购促进中小企业发展管理办法》规定的中小企业扶持政策。</w:t>
      </w:r>
    </w:p>
    <w:p>
      <w:pPr>
        <w:spacing w:line="400" w:lineRule="exact"/>
        <w:ind w:firstLine="420"/>
        <w:rPr>
          <w:rFonts w:hint="eastAsia" w:ascii="宋体" w:hAnsi="宋体"/>
          <w:color w:val="auto"/>
          <w:szCs w:val="21"/>
          <w:highlight w:val="none"/>
        </w:rPr>
      </w:pPr>
      <w:r>
        <w:rPr>
          <w:rFonts w:hint="eastAsia" w:ascii="宋体" w:hAnsi="宋体"/>
          <w:color w:val="auto"/>
          <w:szCs w:val="21"/>
          <w:highlight w:val="none"/>
        </w:rPr>
        <w:t>以联合体形式参加政府采购活动，联合体各方均为中小企业的，联合体视同中小企业。其中，联合体各方均为小微企业的，联合体视同小微企业。</w:t>
      </w:r>
    </w:p>
    <w:p>
      <w:pPr>
        <w:spacing w:line="400" w:lineRule="exact"/>
        <w:rPr>
          <w:rFonts w:hint="eastAsia" w:ascii="宋体" w:hAnsi="宋体"/>
          <w:color w:val="auto"/>
          <w:szCs w:val="21"/>
          <w:highlight w:val="none"/>
        </w:rPr>
      </w:pPr>
      <w:r>
        <w:rPr>
          <w:rFonts w:hint="eastAsia" w:ascii="宋体" w:hAnsi="宋体"/>
          <w:color w:val="auto"/>
          <w:szCs w:val="21"/>
          <w:highlight w:val="none"/>
        </w:rPr>
        <w:t>13.4中小企业参加政府采购活动，应当出具《政府采购促进中小企业发展管理办法》规定的《中小企业声明函》（格式见本采购文件附件），否则不得享受相关中小企业扶持政策。</w:t>
      </w:r>
    </w:p>
    <w:p>
      <w:pPr>
        <w:spacing w:line="400" w:lineRule="exact"/>
        <w:rPr>
          <w:rFonts w:hint="eastAsia" w:ascii="宋体" w:hAnsi="宋体"/>
          <w:color w:val="auto"/>
          <w:szCs w:val="21"/>
          <w:highlight w:val="none"/>
        </w:rPr>
      </w:pPr>
      <w:r>
        <w:rPr>
          <w:rFonts w:hint="eastAsia" w:ascii="宋体" w:hAnsi="宋体"/>
          <w:color w:val="auto"/>
          <w:szCs w:val="21"/>
          <w:highlight w:val="none"/>
        </w:rPr>
        <w:t>13.5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00" w:lineRule="exact"/>
        <w:ind w:firstLine="420"/>
        <w:rPr>
          <w:rFonts w:hint="eastAsia" w:ascii="宋体" w:hAnsi="宋体"/>
          <w:color w:val="auto"/>
          <w:szCs w:val="21"/>
          <w:highlight w:val="none"/>
        </w:rPr>
      </w:pPr>
      <w:r>
        <w:rPr>
          <w:rFonts w:hint="eastAsia" w:ascii="宋体" w:hAnsi="宋体"/>
          <w:color w:val="auto"/>
          <w:szCs w:val="21"/>
          <w:highlight w:val="none"/>
        </w:rPr>
        <w:t>供应商提供声明函内容不实的，属于提供虚假材料谋取中标、成交，依照《中华人民共和国政府采购法》等国家有关规定追究相应责任。</w:t>
      </w:r>
    </w:p>
    <w:p>
      <w:pPr>
        <w:spacing w:line="400" w:lineRule="exact"/>
        <w:ind w:firstLine="420"/>
        <w:rPr>
          <w:rFonts w:hint="eastAsia" w:ascii="宋体" w:hAnsi="宋体"/>
          <w:color w:val="auto"/>
          <w:szCs w:val="21"/>
          <w:highlight w:val="none"/>
        </w:rPr>
      </w:pPr>
      <w:r>
        <w:rPr>
          <w:rFonts w:hint="eastAsia" w:ascii="宋体" w:hAnsi="宋体"/>
          <w:color w:val="auto"/>
          <w:szCs w:val="21"/>
          <w:highlight w:val="none"/>
        </w:rPr>
        <w:t>适用招标投标法的政府采购工程建设项目，投标人提供声明函内容不实的，属于弄虚作假骗取中标，依照《中华人民共和国招标投标法》等国家有关规定追究相应责任。</w:t>
      </w:r>
    </w:p>
    <w:p>
      <w:pPr>
        <w:spacing w:line="400" w:lineRule="exact"/>
        <w:rPr>
          <w:rFonts w:hint="eastAsia" w:ascii="宋体" w:hAnsi="宋体"/>
          <w:color w:val="auto"/>
          <w:szCs w:val="21"/>
          <w:highlight w:val="none"/>
        </w:rPr>
      </w:pPr>
      <w:r>
        <w:rPr>
          <w:rFonts w:hint="eastAsia" w:ascii="宋体" w:hAnsi="宋体"/>
          <w:color w:val="auto"/>
          <w:szCs w:val="21"/>
          <w:highlight w:val="none"/>
        </w:rPr>
        <w:t>13.6 《中小企业声明函》由参加投标的供应商提交，如供应商为代理商，须自行采集制造商的中小企业划分类型信息填入相应栏目并对其真实性负责。</w:t>
      </w:r>
    </w:p>
    <w:p>
      <w:pPr>
        <w:spacing w:line="400" w:lineRule="exact"/>
        <w:rPr>
          <w:rFonts w:hint="eastAsia" w:ascii="宋体" w:hAnsi="宋体"/>
          <w:color w:val="auto"/>
          <w:szCs w:val="21"/>
          <w:highlight w:val="none"/>
        </w:rPr>
      </w:pPr>
      <w:r>
        <w:rPr>
          <w:rFonts w:hint="eastAsia" w:ascii="宋体" w:hAnsi="宋体"/>
          <w:color w:val="auto"/>
          <w:szCs w:val="21"/>
          <w:highlight w:val="none"/>
        </w:rPr>
        <w:t>13.7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pPr>
        <w:spacing w:line="400" w:lineRule="exact"/>
        <w:rPr>
          <w:rFonts w:ascii="宋体" w:hAnsi="宋体"/>
          <w:color w:val="auto"/>
          <w:szCs w:val="21"/>
          <w:highlight w:val="none"/>
        </w:rPr>
      </w:pPr>
      <w:bookmarkStart w:id="28" w:name="_Toc21541016"/>
      <w:r>
        <w:rPr>
          <w:rFonts w:hint="eastAsia" w:ascii="宋体" w:hAnsi="宋体"/>
          <w:color w:val="auto"/>
          <w:szCs w:val="21"/>
          <w:highlight w:val="none"/>
        </w:rPr>
        <w:t>13.8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28"/>
    </w:p>
    <w:p>
      <w:pPr>
        <w:spacing w:line="400" w:lineRule="exact"/>
        <w:rPr>
          <w:rFonts w:hint="eastAsia" w:ascii="宋体" w:hAnsi="宋体"/>
          <w:b/>
          <w:color w:val="auto"/>
          <w:sz w:val="24"/>
          <w:highlight w:val="none"/>
        </w:rPr>
      </w:pPr>
      <w:r>
        <w:rPr>
          <w:rFonts w:hint="eastAsia" w:ascii="宋体" w:hAnsi="宋体"/>
          <w:b/>
          <w:color w:val="auto"/>
          <w:sz w:val="24"/>
          <w:highlight w:val="none"/>
        </w:rPr>
        <w:t>十四、对供应商质疑的有关规定:</w:t>
      </w:r>
    </w:p>
    <w:p>
      <w:pPr>
        <w:spacing w:line="400" w:lineRule="exact"/>
        <w:rPr>
          <w:rFonts w:hint="eastAsia" w:ascii="宋体" w:hAnsi="宋体"/>
          <w:color w:val="auto"/>
          <w:szCs w:val="21"/>
          <w:highlight w:val="none"/>
        </w:rPr>
      </w:pPr>
      <w:r>
        <w:rPr>
          <w:rFonts w:hint="eastAsia" w:ascii="宋体" w:hAnsi="宋体"/>
          <w:color w:val="auto"/>
          <w:szCs w:val="21"/>
          <w:highlight w:val="none"/>
        </w:rPr>
        <w:t>14.1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招标公告、采购文件、开标评标、采购结果等同一采购程序环节的质疑，第二次提出的质疑视为质疑无效，采购人、采购代理机构将不予受理（对于采购人、采购代理机构作出的澄清或者修改的内容提出质疑的除外）。</w:t>
      </w:r>
    </w:p>
    <w:p>
      <w:pPr>
        <w:spacing w:line="400" w:lineRule="exact"/>
        <w:rPr>
          <w:rFonts w:hint="eastAsia" w:ascii="宋体" w:hAnsi="宋体"/>
          <w:color w:val="auto"/>
          <w:szCs w:val="21"/>
          <w:highlight w:val="none"/>
        </w:rPr>
      </w:pPr>
      <w:r>
        <w:rPr>
          <w:rFonts w:hint="eastAsia" w:ascii="宋体" w:hAnsi="宋体"/>
          <w:color w:val="auto"/>
          <w:szCs w:val="21"/>
          <w:highlight w:val="none"/>
        </w:rPr>
        <w:t>14.2</w:t>
      </w:r>
      <w:r>
        <w:rPr>
          <w:rFonts w:ascii="宋体" w:hAnsi="宋体"/>
          <w:color w:val="auto"/>
          <w:szCs w:val="21"/>
          <w:highlight w:val="none"/>
        </w:rPr>
        <w:t>提出质疑的供应商应当是参与所质疑项目采购活动的供应商。</w:t>
      </w:r>
      <w:r>
        <w:rPr>
          <w:rFonts w:hint="eastAsia" w:ascii="宋体" w:hAnsi="宋体"/>
          <w:color w:val="auto"/>
          <w:szCs w:val="21"/>
          <w:highlight w:val="none"/>
        </w:rPr>
        <w:t>未依法获取采购文件的</w:t>
      </w:r>
      <w:r>
        <w:rPr>
          <w:rFonts w:ascii="宋体" w:hAnsi="宋体"/>
          <w:color w:val="auto"/>
          <w:szCs w:val="21"/>
          <w:highlight w:val="none"/>
        </w:rPr>
        <w:t>，不得</w:t>
      </w:r>
      <w:r>
        <w:rPr>
          <w:rFonts w:hint="eastAsia" w:ascii="宋体" w:hAnsi="宋体"/>
          <w:color w:val="auto"/>
          <w:szCs w:val="21"/>
          <w:highlight w:val="none"/>
        </w:rPr>
        <w:t>就采购文件</w:t>
      </w:r>
      <w:r>
        <w:rPr>
          <w:rFonts w:ascii="宋体" w:hAnsi="宋体"/>
          <w:color w:val="auto"/>
          <w:szCs w:val="21"/>
          <w:highlight w:val="none"/>
        </w:rPr>
        <w:t>提出质疑</w:t>
      </w:r>
      <w:r>
        <w:rPr>
          <w:rFonts w:hint="eastAsia" w:ascii="宋体" w:hAnsi="宋体"/>
          <w:color w:val="auto"/>
          <w:szCs w:val="21"/>
          <w:highlight w:val="none"/>
        </w:rPr>
        <w:t>；</w:t>
      </w:r>
      <w:r>
        <w:rPr>
          <w:rFonts w:ascii="宋体" w:hAnsi="宋体"/>
          <w:color w:val="auto"/>
          <w:szCs w:val="21"/>
          <w:highlight w:val="none"/>
        </w:rPr>
        <w:t>未提交</w:t>
      </w:r>
      <w:r>
        <w:rPr>
          <w:rFonts w:hint="eastAsia" w:ascii="宋体" w:hAnsi="宋体"/>
          <w:color w:val="auto"/>
          <w:szCs w:val="21"/>
          <w:highlight w:val="none"/>
        </w:rPr>
        <w:t>投标文件</w:t>
      </w:r>
      <w:r>
        <w:rPr>
          <w:rFonts w:ascii="宋体" w:hAnsi="宋体"/>
          <w:color w:val="auto"/>
          <w:szCs w:val="21"/>
          <w:highlight w:val="none"/>
        </w:rPr>
        <w:t>的供应商，视为与采购结果没有利害关系，不得就采购响应截止时间后的采购过程、采购结果提出质疑。</w:t>
      </w:r>
    </w:p>
    <w:p>
      <w:pPr>
        <w:spacing w:line="400" w:lineRule="exact"/>
        <w:rPr>
          <w:rFonts w:hint="eastAsia" w:ascii="宋体" w:hAnsi="宋体"/>
          <w:color w:val="auto"/>
          <w:szCs w:val="21"/>
          <w:highlight w:val="none"/>
        </w:rPr>
      </w:pPr>
      <w:r>
        <w:rPr>
          <w:rFonts w:hint="eastAsia" w:ascii="宋体" w:hAnsi="宋体"/>
          <w:color w:val="auto"/>
          <w:szCs w:val="21"/>
          <w:highlight w:val="none"/>
        </w:rPr>
        <w:t>14.3 供应商提出质疑应当提交质疑函和必要的证明材料，质疑函应当以书面形式提出，质疑函格式和内容须符合财政部《质疑函范本》要求，供应商可到中国政府采购网自行下载财政部《质疑函范本》。</w:t>
      </w:r>
    </w:p>
    <w:p>
      <w:pPr>
        <w:spacing w:line="400" w:lineRule="exact"/>
        <w:rPr>
          <w:rFonts w:hint="eastAsia" w:ascii="宋体" w:hAnsi="宋体"/>
          <w:color w:val="auto"/>
          <w:szCs w:val="21"/>
          <w:highlight w:val="none"/>
        </w:rPr>
      </w:pPr>
      <w:r>
        <w:rPr>
          <w:rFonts w:hint="eastAsia" w:ascii="宋体" w:hAnsi="宋体"/>
          <w:color w:val="auto"/>
          <w:szCs w:val="21"/>
          <w:highlight w:val="none"/>
        </w:rPr>
        <w:t>14.4供应商质疑实行实名制，质疑函应当署名，供应商为自然人的，</w:t>
      </w:r>
      <w:r>
        <w:rPr>
          <w:rFonts w:ascii="宋体" w:hAnsi="宋体"/>
          <w:color w:val="auto"/>
          <w:szCs w:val="21"/>
          <w:highlight w:val="none"/>
        </w:rPr>
        <w:t>应当由本人签字；</w:t>
      </w:r>
      <w:r>
        <w:rPr>
          <w:rFonts w:hint="eastAsia" w:ascii="宋体" w:hAnsi="宋体"/>
          <w:color w:val="auto"/>
          <w:szCs w:val="21"/>
          <w:highlight w:val="none"/>
        </w:rPr>
        <w:t>供应商</w:t>
      </w:r>
      <w:r>
        <w:rPr>
          <w:rFonts w:ascii="宋体" w:hAnsi="宋体"/>
          <w:color w:val="auto"/>
          <w:szCs w:val="21"/>
          <w:highlight w:val="none"/>
        </w:rPr>
        <w:t>为法人</w:t>
      </w:r>
      <w:r>
        <w:rPr>
          <w:rFonts w:hint="eastAsia" w:ascii="宋体" w:hAnsi="宋体"/>
          <w:color w:val="auto"/>
          <w:szCs w:val="21"/>
          <w:highlight w:val="none"/>
        </w:rPr>
        <w:t>或者</w:t>
      </w:r>
      <w:r>
        <w:rPr>
          <w:rFonts w:ascii="宋体" w:hAnsi="宋体"/>
          <w:color w:val="auto"/>
          <w:szCs w:val="21"/>
          <w:highlight w:val="none"/>
        </w:rPr>
        <w:t>其他组织的，应当由法定代表人</w:t>
      </w:r>
      <w:r>
        <w:rPr>
          <w:rFonts w:hint="eastAsia" w:ascii="宋体" w:hAnsi="宋体"/>
          <w:color w:val="auto"/>
          <w:szCs w:val="21"/>
          <w:highlight w:val="none"/>
        </w:rPr>
        <w:t>、</w:t>
      </w:r>
      <w:r>
        <w:rPr>
          <w:rFonts w:ascii="宋体" w:hAnsi="宋体"/>
          <w:color w:val="auto"/>
          <w:szCs w:val="21"/>
          <w:highlight w:val="none"/>
        </w:rPr>
        <w:t>主要负责人</w:t>
      </w:r>
      <w:r>
        <w:rPr>
          <w:rFonts w:hint="eastAsia" w:ascii="宋体" w:hAnsi="宋体"/>
          <w:color w:val="auto"/>
          <w:szCs w:val="21"/>
          <w:highlight w:val="none"/>
        </w:rPr>
        <w:t>，或者其授权代表（指代理人</w:t>
      </w:r>
      <w:r>
        <w:rPr>
          <w:rFonts w:ascii="宋体" w:hAnsi="宋体"/>
          <w:color w:val="auto"/>
          <w:szCs w:val="21"/>
          <w:highlight w:val="none"/>
        </w:rPr>
        <w:t>）签字</w:t>
      </w:r>
      <w:r>
        <w:rPr>
          <w:rFonts w:hint="eastAsia" w:ascii="宋体" w:hAnsi="宋体"/>
          <w:color w:val="auto"/>
          <w:szCs w:val="21"/>
          <w:highlight w:val="none"/>
        </w:rPr>
        <w:t>或者</w:t>
      </w:r>
      <w:r>
        <w:rPr>
          <w:rFonts w:ascii="宋体" w:hAnsi="宋体"/>
          <w:color w:val="auto"/>
          <w:szCs w:val="21"/>
          <w:highlight w:val="none"/>
        </w:rPr>
        <w:t>盖章</w:t>
      </w:r>
      <w:r>
        <w:rPr>
          <w:rFonts w:hint="eastAsia" w:ascii="宋体" w:hAnsi="宋体"/>
          <w:color w:val="auto"/>
          <w:szCs w:val="21"/>
          <w:highlight w:val="none"/>
        </w:rPr>
        <w:t>，</w:t>
      </w:r>
      <w:r>
        <w:rPr>
          <w:rFonts w:ascii="宋体" w:hAnsi="宋体"/>
          <w:color w:val="auto"/>
          <w:szCs w:val="21"/>
          <w:highlight w:val="none"/>
        </w:rPr>
        <w:t>并加盖公章</w:t>
      </w:r>
      <w:r>
        <w:rPr>
          <w:rFonts w:hint="eastAsia" w:ascii="宋体" w:hAnsi="宋体"/>
          <w:color w:val="auto"/>
          <w:szCs w:val="21"/>
          <w:highlight w:val="none"/>
        </w:rPr>
        <w:t>；代理人提出质疑的，应当提交供应商签署的授权委托书；以联合体形式参加政府采购活动的，其质疑应当由组成联合体的所有供应商共同提出。</w:t>
      </w:r>
    </w:p>
    <w:p>
      <w:pPr>
        <w:spacing w:line="400" w:lineRule="exact"/>
        <w:rPr>
          <w:rFonts w:hint="eastAsia" w:ascii="宋体" w:hAnsi="宋体"/>
          <w:color w:val="auto"/>
          <w:szCs w:val="21"/>
          <w:highlight w:val="none"/>
        </w:rPr>
      </w:pPr>
      <w:r>
        <w:rPr>
          <w:rFonts w:hint="eastAsia" w:ascii="宋体" w:hAnsi="宋体"/>
          <w:color w:val="auto"/>
          <w:szCs w:val="21"/>
          <w:highlight w:val="none"/>
        </w:rPr>
        <w:t>14.5采购人、采购代理机构接收质疑函的方式：只接收供应商</w:t>
      </w:r>
      <w:r>
        <w:rPr>
          <w:rFonts w:ascii="宋体" w:hAnsi="宋体"/>
          <w:color w:val="auto"/>
          <w:szCs w:val="21"/>
          <w:highlight w:val="none"/>
        </w:rPr>
        <w:t>以</w:t>
      </w:r>
      <w:r>
        <w:rPr>
          <w:rFonts w:hint="eastAsia" w:ascii="宋体" w:hAnsi="宋体"/>
          <w:color w:val="auto"/>
          <w:szCs w:val="21"/>
          <w:highlight w:val="none"/>
        </w:rPr>
        <w:t>当面</w:t>
      </w:r>
      <w:r>
        <w:rPr>
          <w:rFonts w:ascii="宋体" w:hAnsi="宋体"/>
          <w:color w:val="auto"/>
          <w:szCs w:val="21"/>
          <w:highlight w:val="none"/>
        </w:rPr>
        <w:t>递交</w:t>
      </w:r>
      <w:r>
        <w:rPr>
          <w:rFonts w:hint="eastAsia" w:ascii="宋体" w:hAnsi="宋体"/>
          <w:color w:val="auto"/>
          <w:szCs w:val="21"/>
          <w:highlight w:val="none"/>
        </w:rPr>
        <w:t>、</w:t>
      </w:r>
      <w:r>
        <w:rPr>
          <w:rFonts w:ascii="宋体" w:hAnsi="宋体"/>
          <w:color w:val="auto"/>
          <w:szCs w:val="21"/>
          <w:highlight w:val="none"/>
        </w:rPr>
        <w:t>邮寄</w:t>
      </w:r>
      <w:r>
        <w:rPr>
          <w:rFonts w:hint="eastAsia" w:ascii="宋体" w:hAnsi="宋体"/>
          <w:color w:val="auto"/>
          <w:szCs w:val="21"/>
          <w:highlight w:val="none"/>
        </w:rPr>
        <w:t>、传真或电子邮件</w:t>
      </w:r>
      <w:r>
        <w:rPr>
          <w:rFonts w:ascii="宋体" w:hAnsi="宋体"/>
          <w:color w:val="auto"/>
          <w:szCs w:val="21"/>
          <w:highlight w:val="none"/>
        </w:rPr>
        <w:t>方式提</w:t>
      </w:r>
      <w:r>
        <w:rPr>
          <w:rFonts w:hint="eastAsia" w:ascii="宋体" w:hAnsi="宋体"/>
          <w:color w:val="auto"/>
          <w:szCs w:val="21"/>
          <w:highlight w:val="none"/>
        </w:rPr>
        <w:t>出的质疑函，</w:t>
      </w:r>
      <w:r>
        <w:rPr>
          <w:rFonts w:ascii="宋体" w:hAnsi="宋体"/>
          <w:color w:val="auto"/>
          <w:szCs w:val="21"/>
          <w:highlight w:val="none"/>
        </w:rPr>
        <w:t>以其他方式提出的质疑不予</w:t>
      </w:r>
      <w:r>
        <w:rPr>
          <w:rFonts w:hint="eastAsia" w:ascii="宋体" w:hAnsi="宋体"/>
          <w:color w:val="auto"/>
          <w:szCs w:val="21"/>
          <w:highlight w:val="none"/>
        </w:rPr>
        <w:t>接收</w:t>
      </w:r>
      <w:r>
        <w:rPr>
          <w:rFonts w:ascii="宋体" w:hAnsi="宋体"/>
          <w:color w:val="auto"/>
          <w:szCs w:val="21"/>
          <w:highlight w:val="none"/>
        </w:rPr>
        <w:t>。</w:t>
      </w:r>
    </w:p>
    <w:p>
      <w:pPr>
        <w:spacing w:line="400" w:lineRule="exact"/>
        <w:rPr>
          <w:rFonts w:hint="eastAsia" w:ascii="宋体" w:hAnsi="宋体"/>
          <w:color w:val="auto"/>
          <w:szCs w:val="21"/>
          <w:highlight w:val="none"/>
        </w:rPr>
      </w:pPr>
      <w:r>
        <w:rPr>
          <w:rFonts w:hint="eastAsia" w:ascii="宋体" w:hAnsi="宋体"/>
          <w:color w:val="auto"/>
          <w:szCs w:val="21"/>
          <w:highlight w:val="none"/>
        </w:rPr>
        <w:t>采取邮寄方式的，提出质疑的时间为</w:t>
      </w:r>
      <w:r>
        <w:rPr>
          <w:rFonts w:ascii="宋体" w:hAnsi="宋体"/>
          <w:color w:val="auto"/>
          <w:szCs w:val="21"/>
          <w:highlight w:val="none"/>
        </w:rPr>
        <w:t>质疑函</w:t>
      </w:r>
      <w:r>
        <w:rPr>
          <w:rFonts w:hint="eastAsia" w:ascii="宋体" w:hAnsi="宋体"/>
          <w:color w:val="auto"/>
          <w:szCs w:val="21"/>
          <w:highlight w:val="none"/>
        </w:rPr>
        <w:t>原件交邮</w:t>
      </w:r>
      <w:r>
        <w:rPr>
          <w:rFonts w:ascii="宋体" w:hAnsi="宋体"/>
          <w:color w:val="auto"/>
          <w:szCs w:val="21"/>
          <w:highlight w:val="none"/>
        </w:rPr>
        <w:t>的</w:t>
      </w:r>
      <w:r>
        <w:rPr>
          <w:rFonts w:hint="eastAsia" w:ascii="宋体" w:hAnsi="宋体"/>
          <w:color w:val="auto"/>
          <w:szCs w:val="21"/>
          <w:highlight w:val="none"/>
        </w:rPr>
        <w:t>时间（以邮戳时间或快递收件时间为准）。</w:t>
      </w:r>
    </w:p>
    <w:p>
      <w:pPr>
        <w:spacing w:line="400" w:lineRule="exact"/>
        <w:rPr>
          <w:rFonts w:hint="eastAsia" w:ascii="宋体" w:hAnsi="宋体"/>
          <w:color w:val="auto"/>
          <w:szCs w:val="21"/>
          <w:highlight w:val="none"/>
        </w:rPr>
      </w:pPr>
      <w:r>
        <w:rPr>
          <w:rFonts w:hint="eastAsia" w:ascii="宋体" w:hAnsi="宋体"/>
          <w:color w:val="auto"/>
          <w:szCs w:val="21"/>
          <w:highlight w:val="none"/>
        </w:rPr>
        <w:t>采取传真、电子邮件方式的，供应商应当在传真、电子邮件发出后将质疑函原件邮寄给被质疑人，提出质疑的时间为</w:t>
      </w:r>
      <w:r>
        <w:rPr>
          <w:rFonts w:ascii="宋体" w:hAnsi="宋体"/>
          <w:color w:val="auto"/>
          <w:szCs w:val="21"/>
          <w:highlight w:val="none"/>
        </w:rPr>
        <w:t>质疑函</w:t>
      </w:r>
      <w:r>
        <w:rPr>
          <w:rFonts w:hint="eastAsia" w:ascii="宋体" w:hAnsi="宋体"/>
          <w:color w:val="auto"/>
          <w:szCs w:val="21"/>
          <w:highlight w:val="none"/>
        </w:rPr>
        <w:t>原件交邮</w:t>
      </w:r>
      <w:r>
        <w:rPr>
          <w:rFonts w:ascii="宋体" w:hAnsi="宋体"/>
          <w:color w:val="auto"/>
          <w:szCs w:val="21"/>
          <w:highlight w:val="none"/>
        </w:rPr>
        <w:t>的</w:t>
      </w:r>
      <w:r>
        <w:rPr>
          <w:rFonts w:hint="eastAsia" w:ascii="宋体" w:hAnsi="宋体"/>
          <w:color w:val="auto"/>
          <w:szCs w:val="21"/>
          <w:highlight w:val="none"/>
        </w:rPr>
        <w:t>时间（以邮戳时间或快递公司收件时间为准）。</w:t>
      </w:r>
    </w:p>
    <w:p>
      <w:pPr>
        <w:spacing w:line="400" w:lineRule="exact"/>
        <w:rPr>
          <w:rFonts w:hint="eastAsia" w:ascii="宋体" w:hAnsi="宋体"/>
          <w:color w:val="auto"/>
          <w:szCs w:val="21"/>
          <w:highlight w:val="none"/>
        </w:rPr>
      </w:pPr>
      <w:r>
        <w:rPr>
          <w:rFonts w:hint="eastAsia" w:ascii="宋体" w:hAnsi="宋体"/>
          <w:color w:val="auto"/>
          <w:szCs w:val="21"/>
          <w:highlight w:val="none"/>
        </w:rPr>
        <w:t>14.6采购人、采购代理机构</w:t>
      </w:r>
      <w:r>
        <w:rPr>
          <w:rFonts w:ascii="宋体" w:hAnsi="宋体"/>
          <w:color w:val="auto"/>
          <w:szCs w:val="21"/>
          <w:highlight w:val="none"/>
        </w:rPr>
        <w:t>以实际收到</w:t>
      </w:r>
      <w:r>
        <w:rPr>
          <w:rFonts w:hint="eastAsia" w:ascii="宋体" w:hAnsi="宋体"/>
          <w:color w:val="auto"/>
          <w:szCs w:val="21"/>
          <w:highlight w:val="none"/>
        </w:rPr>
        <w:t>质疑函</w:t>
      </w:r>
      <w:r>
        <w:rPr>
          <w:rFonts w:ascii="宋体" w:hAnsi="宋体"/>
          <w:color w:val="auto"/>
          <w:szCs w:val="21"/>
          <w:highlight w:val="none"/>
        </w:rPr>
        <w:t>原件之日作为收到</w:t>
      </w:r>
      <w:r>
        <w:rPr>
          <w:rFonts w:hint="eastAsia" w:ascii="宋体" w:hAnsi="宋体"/>
          <w:color w:val="auto"/>
          <w:szCs w:val="21"/>
          <w:highlight w:val="none"/>
        </w:rPr>
        <w:t>质疑函</w:t>
      </w:r>
      <w:r>
        <w:rPr>
          <w:rFonts w:ascii="宋体" w:hAnsi="宋体"/>
          <w:color w:val="auto"/>
          <w:szCs w:val="21"/>
          <w:highlight w:val="none"/>
        </w:rPr>
        <w:t>的日期</w:t>
      </w:r>
      <w:r>
        <w:rPr>
          <w:rFonts w:hint="eastAsia" w:ascii="宋体" w:hAnsi="宋体"/>
          <w:color w:val="auto"/>
          <w:szCs w:val="21"/>
          <w:highlight w:val="none"/>
        </w:rPr>
        <w:t>，将在收到质疑函后7个工作日内作出答复。</w:t>
      </w:r>
    </w:p>
    <w:p>
      <w:pPr>
        <w:spacing w:line="400" w:lineRule="exact"/>
        <w:rPr>
          <w:rFonts w:hint="eastAsia" w:ascii="宋体" w:hAnsi="宋体"/>
          <w:color w:val="auto"/>
          <w:szCs w:val="21"/>
          <w:highlight w:val="none"/>
        </w:rPr>
      </w:pPr>
      <w:r>
        <w:rPr>
          <w:rFonts w:hint="eastAsia" w:ascii="宋体" w:hAnsi="宋体"/>
          <w:color w:val="auto"/>
          <w:szCs w:val="21"/>
          <w:highlight w:val="none"/>
        </w:rPr>
        <w:t>14.7 采购人、采购代理机构接收质疑函的联系人、联系电话和通讯地址等信息详见招标公告。</w:t>
      </w:r>
    </w:p>
    <w:p>
      <w:pPr>
        <w:pStyle w:val="107"/>
        <w:ind w:firstLine="480"/>
        <w:rPr>
          <w:rFonts w:hint="eastAsia" w:ascii="宋体" w:hAnsi="宋体"/>
          <w:color w:val="auto"/>
          <w:szCs w:val="21"/>
          <w:highlight w:val="none"/>
        </w:rPr>
      </w:pPr>
    </w:p>
    <w:p>
      <w:pPr>
        <w:pStyle w:val="107"/>
        <w:ind w:firstLine="480"/>
        <w:rPr>
          <w:rFonts w:hint="eastAsia" w:ascii="宋体" w:hAnsi="宋体"/>
          <w:color w:val="auto"/>
          <w:szCs w:val="21"/>
          <w:highlight w:val="none"/>
        </w:rPr>
      </w:pPr>
    </w:p>
    <w:p>
      <w:pPr>
        <w:pStyle w:val="107"/>
        <w:ind w:firstLine="480"/>
        <w:rPr>
          <w:rFonts w:hint="eastAsia" w:ascii="宋体" w:hAnsi="宋体"/>
          <w:color w:val="auto"/>
          <w:szCs w:val="21"/>
          <w:highlight w:val="none"/>
        </w:rPr>
      </w:pPr>
    </w:p>
    <w:p>
      <w:pPr>
        <w:pStyle w:val="107"/>
        <w:ind w:firstLine="480"/>
        <w:rPr>
          <w:rFonts w:hint="eastAsia" w:ascii="宋体" w:hAnsi="宋体"/>
          <w:color w:val="auto"/>
          <w:szCs w:val="21"/>
          <w:highlight w:val="none"/>
        </w:rPr>
      </w:pPr>
    </w:p>
    <w:p>
      <w:pPr>
        <w:pStyle w:val="107"/>
        <w:ind w:firstLine="480"/>
        <w:rPr>
          <w:rFonts w:hint="eastAsia" w:ascii="宋体" w:hAnsi="宋体"/>
          <w:color w:val="auto"/>
          <w:szCs w:val="21"/>
          <w:highlight w:val="none"/>
        </w:rPr>
      </w:pPr>
    </w:p>
    <w:p>
      <w:pPr>
        <w:pStyle w:val="2"/>
        <w:rPr>
          <w:rFonts w:hint="eastAsia" w:hAnsi="宋体"/>
          <w:color w:val="auto"/>
          <w:highlight w:val="none"/>
        </w:rPr>
      </w:pPr>
      <w:bookmarkStart w:id="29" w:name="_Toc514168594"/>
      <w:bookmarkStart w:id="30" w:name="_Toc514168595"/>
      <w:r>
        <w:rPr>
          <w:rFonts w:hint="eastAsia" w:hAnsi="宋体"/>
          <w:color w:val="auto"/>
          <w:highlight w:val="none"/>
        </w:rPr>
        <w:br w:type="page"/>
      </w:r>
      <w:bookmarkStart w:id="31" w:name="_Toc1978"/>
      <w:bookmarkStart w:id="32" w:name="_Toc13033"/>
      <w:r>
        <w:rPr>
          <w:rFonts w:hint="eastAsia" w:hAnsi="宋体"/>
          <w:color w:val="auto"/>
          <w:highlight w:val="none"/>
        </w:rPr>
        <w:t>第四章  评标方法及评标标准</w:t>
      </w:r>
      <w:bookmarkEnd w:id="29"/>
      <w:bookmarkEnd w:id="31"/>
      <w:bookmarkEnd w:id="32"/>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为公正、公平、科学地选择中标人，根据《中华人民共和国政府采购法》等有关法律法规的规定，并结合本项目的实际，制定本评标方法及评标标准。</w:t>
      </w:r>
    </w:p>
    <w:p>
      <w:pPr>
        <w:spacing w:line="400" w:lineRule="exact"/>
        <w:rPr>
          <w:rFonts w:hint="eastAsia" w:ascii="宋体" w:hAnsi="宋体"/>
          <w:b/>
          <w:bCs/>
          <w:color w:val="auto"/>
          <w:szCs w:val="21"/>
          <w:highlight w:val="none"/>
        </w:rPr>
      </w:pPr>
      <w:r>
        <w:rPr>
          <w:rFonts w:hint="eastAsia" w:ascii="宋体" w:hAnsi="宋体"/>
          <w:b/>
          <w:bCs/>
          <w:color w:val="auto"/>
          <w:szCs w:val="21"/>
          <w:highlight w:val="none"/>
        </w:rPr>
        <w:t>一、总则</w:t>
      </w:r>
    </w:p>
    <w:p>
      <w:pPr>
        <w:spacing w:line="400" w:lineRule="exact"/>
        <w:rPr>
          <w:rFonts w:hint="eastAsia" w:ascii="宋体" w:hAnsi="宋体"/>
          <w:color w:val="auto"/>
          <w:szCs w:val="21"/>
          <w:highlight w:val="none"/>
        </w:rPr>
      </w:pPr>
      <w:r>
        <w:rPr>
          <w:rFonts w:hint="eastAsia" w:ascii="宋体" w:hAnsi="宋体"/>
          <w:color w:val="auto"/>
          <w:szCs w:val="21"/>
          <w:highlight w:val="none"/>
        </w:rPr>
        <w:t>1、本项目评标方法：综合评分法。</w:t>
      </w:r>
    </w:p>
    <w:p>
      <w:pPr>
        <w:spacing w:line="400" w:lineRule="exact"/>
        <w:rPr>
          <w:rFonts w:hint="eastAsia" w:ascii="宋体" w:hAnsi="宋体"/>
          <w:color w:val="auto"/>
          <w:szCs w:val="21"/>
          <w:highlight w:val="none"/>
        </w:rPr>
      </w:pPr>
      <w:r>
        <w:rPr>
          <w:rFonts w:hint="eastAsia" w:ascii="宋体" w:hAnsi="宋体"/>
          <w:color w:val="auto"/>
          <w:szCs w:val="21"/>
          <w:highlight w:val="none"/>
        </w:rPr>
        <w:t>2、综合评分总分为100分，由资格证明文件，技术</w:t>
      </w:r>
      <w:r>
        <w:rPr>
          <w:rFonts w:hint="eastAsia" w:ascii="宋体" w:hAnsi="宋体"/>
          <w:color w:val="auto"/>
          <w:szCs w:val="21"/>
          <w:highlight w:val="none"/>
          <w:lang w:eastAsia="zh-CN"/>
        </w:rPr>
        <w:t>资信</w:t>
      </w:r>
      <w:r>
        <w:rPr>
          <w:rFonts w:hint="eastAsia" w:ascii="宋体" w:hAnsi="宋体"/>
          <w:color w:val="auto"/>
          <w:szCs w:val="21"/>
          <w:highlight w:val="none"/>
        </w:rPr>
        <w:t>商务文件、投标报价文件三部分组成，具体分值见评标标准。</w:t>
      </w:r>
    </w:p>
    <w:p>
      <w:pPr>
        <w:spacing w:line="400" w:lineRule="exact"/>
        <w:rPr>
          <w:rFonts w:hint="eastAsia" w:ascii="宋体" w:hAnsi="宋体"/>
          <w:color w:val="auto"/>
          <w:szCs w:val="21"/>
          <w:highlight w:val="none"/>
        </w:rPr>
      </w:pPr>
      <w:r>
        <w:rPr>
          <w:rFonts w:hint="eastAsia" w:ascii="宋体" w:hAnsi="宋体"/>
          <w:color w:val="auto"/>
          <w:szCs w:val="21"/>
          <w:highlight w:val="none"/>
        </w:rPr>
        <w:t>3、评标委员会成员根据采购文件规定的评标程序、评标方法和评标标准对各投标人进行独立评审，对各投标人的综合评分=技术</w:t>
      </w:r>
      <w:r>
        <w:rPr>
          <w:rFonts w:hint="eastAsia" w:ascii="宋体" w:hAnsi="宋体"/>
          <w:color w:val="auto"/>
          <w:szCs w:val="21"/>
          <w:highlight w:val="none"/>
          <w:lang w:eastAsia="zh-CN"/>
        </w:rPr>
        <w:t>资信</w:t>
      </w:r>
      <w:r>
        <w:rPr>
          <w:rFonts w:hint="eastAsia" w:ascii="宋体" w:hAnsi="宋体"/>
          <w:color w:val="auto"/>
          <w:szCs w:val="21"/>
          <w:highlight w:val="none"/>
        </w:rPr>
        <w:t>商务分+价格分。</w:t>
      </w:r>
    </w:p>
    <w:p>
      <w:pPr>
        <w:spacing w:line="400" w:lineRule="exact"/>
        <w:rPr>
          <w:rFonts w:hint="eastAsia" w:ascii="宋体" w:hAnsi="宋体"/>
          <w:color w:val="auto"/>
          <w:szCs w:val="21"/>
          <w:highlight w:val="none"/>
        </w:rPr>
      </w:pPr>
      <w:r>
        <w:rPr>
          <w:rFonts w:hint="eastAsia" w:ascii="宋体" w:hAnsi="宋体"/>
          <w:color w:val="auto"/>
          <w:szCs w:val="21"/>
          <w:highlight w:val="none"/>
        </w:rPr>
        <w:t>4、本项目先开技术</w:t>
      </w:r>
      <w:r>
        <w:rPr>
          <w:rFonts w:hint="eastAsia" w:ascii="宋体" w:hAnsi="宋体"/>
          <w:color w:val="auto"/>
          <w:szCs w:val="21"/>
          <w:highlight w:val="none"/>
          <w:lang w:eastAsia="zh-CN"/>
        </w:rPr>
        <w:t>资信</w:t>
      </w:r>
      <w:r>
        <w:rPr>
          <w:rFonts w:hint="eastAsia" w:ascii="宋体" w:hAnsi="宋体"/>
          <w:color w:val="auto"/>
          <w:szCs w:val="21"/>
          <w:highlight w:val="none"/>
        </w:rPr>
        <w:t>商务文件，技术</w:t>
      </w:r>
      <w:r>
        <w:rPr>
          <w:rFonts w:hint="eastAsia" w:ascii="宋体" w:hAnsi="宋体"/>
          <w:color w:val="auto"/>
          <w:szCs w:val="21"/>
          <w:highlight w:val="none"/>
          <w:lang w:eastAsia="zh-CN"/>
        </w:rPr>
        <w:t>资信</w:t>
      </w:r>
      <w:r>
        <w:rPr>
          <w:rFonts w:hint="eastAsia" w:ascii="宋体" w:hAnsi="宋体"/>
          <w:color w:val="auto"/>
          <w:szCs w:val="21"/>
          <w:highlight w:val="none"/>
        </w:rPr>
        <w:t>商务文件评审结束后开报价文件。</w:t>
      </w:r>
    </w:p>
    <w:p>
      <w:pPr>
        <w:spacing w:line="400" w:lineRule="exact"/>
        <w:rPr>
          <w:rFonts w:hint="eastAsia" w:ascii="宋体" w:hAnsi="宋体"/>
          <w:color w:val="auto"/>
          <w:szCs w:val="21"/>
          <w:highlight w:val="none"/>
        </w:rPr>
      </w:pPr>
      <w:r>
        <w:rPr>
          <w:rFonts w:hint="eastAsia" w:ascii="宋体" w:hAnsi="宋体"/>
          <w:color w:val="auto"/>
          <w:szCs w:val="21"/>
          <w:highlight w:val="none"/>
        </w:rPr>
        <w:t>5、各投标人最终得分：计算各评标委员会成员对各投标人的综合评分的算术平均值（保留小数点后二位）。</w:t>
      </w:r>
    </w:p>
    <w:p>
      <w:pPr>
        <w:spacing w:line="400" w:lineRule="exact"/>
        <w:rPr>
          <w:rFonts w:hint="eastAsia" w:ascii="宋体" w:hAnsi="宋体"/>
          <w:color w:val="auto"/>
          <w:szCs w:val="21"/>
          <w:highlight w:val="none"/>
        </w:rPr>
      </w:pPr>
      <w:r>
        <w:rPr>
          <w:rFonts w:hint="eastAsia" w:ascii="宋体" w:hAnsi="宋体"/>
          <w:color w:val="auto"/>
          <w:szCs w:val="21"/>
          <w:highlight w:val="none"/>
        </w:rPr>
        <w:t>6、评标结果排序：按照各投标人最终得分由高到低顺序排列。得分相同的，按投标报价由低到高顺序排列。得分且投标报价相同的并列。</w:t>
      </w:r>
    </w:p>
    <w:p>
      <w:pPr>
        <w:spacing w:line="400" w:lineRule="exact"/>
        <w:rPr>
          <w:rFonts w:hint="eastAsia" w:ascii="宋体" w:hAnsi="宋体"/>
          <w:color w:val="auto"/>
          <w:szCs w:val="21"/>
          <w:highlight w:val="none"/>
        </w:rPr>
      </w:pPr>
      <w:r>
        <w:rPr>
          <w:rFonts w:hint="eastAsia" w:ascii="宋体" w:hAnsi="宋体"/>
          <w:color w:val="auto"/>
          <w:szCs w:val="21"/>
          <w:highlight w:val="none"/>
        </w:rPr>
        <w:t>7、确定中标候选人名单：按照采购文件规定的中标候选人数量确定中标候选人名单，按照评标结果排序，最终得分排名第一的候选人为中标人。</w:t>
      </w:r>
    </w:p>
    <w:p>
      <w:pPr>
        <w:spacing w:line="400" w:lineRule="exact"/>
        <w:rPr>
          <w:rFonts w:hint="eastAsia" w:ascii="宋体" w:hAnsi="宋体"/>
          <w:b/>
          <w:bCs/>
          <w:color w:val="auto"/>
          <w:szCs w:val="21"/>
          <w:highlight w:val="none"/>
        </w:rPr>
      </w:pPr>
      <w:r>
        <w:rPr>
          <w:rFonts w:hint="eastAsia" w:ascii="宋体" w:hAnsi="宋体"/>
          <w:b/>
          <w:bCs/>
          <w:color w:val="auto"/>
          <w:szCs w:val="21"/>
          <w:highlight w:val="none"/>
        </w:rPr>
        <w:t>二、政府采购政策的具体落实</w:t>
      </w:r>
    </w:p>
    <w:p>
      <w:pPr>
        <w:wordWrap w:val="0"/>
        <w:spacing w:line="440" w:lineRule="exact"/>
        <w:rPr>
          <w:rFonts w:hint="eastAsia" w:ascii="宋体" w:hAnsi="宋体"/>
          <w:color w:val="auto"/>
          <w:szCs w:val="21"/>
          <w:highlight w:val="none"/>
        </w:rPr>
      </w:pPr>
      <w:r>
        <w:rPr>
          <w:rFonts w:hint="eastAsia" w:ascii="宋体" w:hAnsi="宋体"/>
          <w:color w:val="auto"/>
          <w:szCs w:val="21"/>
          <w:highlight w:val="none"/>
        </w:rPr>
        <w:t>1、本次采购为本项目为专门面向中小企业采购</w:t>
      </w:r>
      <w:r>
        <w:rPr>
          <w:rFonts w:hint="eastAsia" w:ascii="宋体" w:hAnsi="宋体"/>
          <w:color w:val="auto"/>
          <w:szCs w:val="21"/>
          <w:highlight w:val="none"/>
          <w:lang w:eastAsia="zh-CN"/>
        </w:rPr>
        <w:t>，</w:t>
      </w:r>
      <w:r>
        <w:rPr>
          <w:rFonts w:hint="eastAsia" w:ascii="宋体" w:hAnsi="宋体" w:cs="宋体"/>
          <w:color w:val="auto"/>
          <w:highlight w:val="none"/>
        </w:rPr>
        <w:t>采购标的对应的中小企业划分标准所属行业为：</w:t>
      </w:r>
      <w:r>
        <w:rPr>
          <w:rFonts w:hint="eastAsia" w:ascii="宋体" w:hAnsi="宋体" w:cs="宋体"/>
          <w:color w:val="auto"/>
          <w:highlight w:val="none"/>
          <w:u w:val="single"/>
        </w:rPr>
        <w:t>租赁和商务服务业</w:t>
      </w:r>
      <w:r>
        <w:rPr>
          <w:rFonts w:hint="eastAsia" w:ascii="宋体" w:hAnsi="宋体" w:cs="宋体"/>
          <w:color w:val="auto"/>
          <w:highlight w:val="none"/>
        </w:rPr>
        <w:t>。</w:t>
      </w:r>
    </w:p>
    <w:p>
      <w:pPr>
        <w:spacing w:line="400" w:lineRule="exact"/>
        <w:rPr>
          <w:rFonts w:hint="eastAsia" w:ascii="宋体" w:hAnsi="宋体"/>
          <w:color w:val="auto"/>
          <w:szCs w:val="21"/>
          <w:highlight w:val="none"/>
        </w:rPr>
      </w:pPr>
      <w:r>
        <w:rPr>
          <w:rFonts w:hint="eastAsia" w:ascii="宋体" w:hAnsi="宋体"/>
          <w:color w:val="auto"/>
          <w:szCs w:val="21"/>
          <w:highlight w:val="none"/>
        </w:rPr>
        <w:t>2、本项目将对节能产品、环境标志产品给予政策性因素技术加分，投标产品如属于节能产品、环境标志产品的，投标人须提供由国家确定的认证机构出具的、处于有效期之内的节能产品、环境标志产品认证证书，未按要求提供认证证书或认证证书与中国政府采购网（www.ccgp.gov.cn）节能产品、环境标志产品查询结果不相符的评标委员会将不予认可，不得享受技术加分。由多个产品集成的项目（子包），必须所有产品符合上述要求才能享受技术加分（本项目不适用）。</w:t>
      </w:r>
    </w:p>
    <w:p>
      <w:pPr>
        <w:spacing w:line="400" w:lineRule="exact"/>
        <w:rPr>
          <w:rFonts w:hint="eastAsia" w:ascii="宋体" w:hAnsi="宋体"/>
          <w:b/>
          <w:bCs/>
          <w:color w:val="auto"/>
          <w:szCs w:val="21"/>
          <w:highlight w:val="none"/>
        </w:rPr>
      </w:pPr>
      <w:r>
        <w:rPr>
          <w:rFonts w:hint="eastAsia" w:ascii="宋体" w:hAnsi="宋体"/>
          <w:b/>
          <w:bCs/>
          <w:color w:val="auto"/>
          <w:szCs w:val="21"/>
          <w:highlight w:val="none"/>
        </w:rPr>
        <w:t>三、评标委员会须知和评标过程处理原则</w:t>
      </w:r>
    </w:p>
    <w:p>
      <w:pPr>
        <w:spacing w:line="400" w:lineRule="exact"/>
        <w:rPr>
          <w:rFonts w:hint="eastAsia" w:ascii="宋体" w:hAnsi="宋体"/>
          <w:color w:val="auto"/>
          <w:szCs w:val="21"/>
          <w:highlight w:val="none"/>
        </w:rPr>
      </w:pPr>
      <w:r>
        <w:rPr>
          <w:rFonts w:hint="eastAsia" w:ascii="宋体" w:hAnsi="宋体"/>
          <w:color w:val="auto"/>
          <w:szCs w:val="21"/>
          <w:highlight w:val="none"/>
        </w:rPr>
        <w:t>1、出现评标专家缺席、回避等情形导致评标现场专家数量不符合规定的，采购人或者采购代理机构应当及时补抽评审专家，或者经采购人主管预算单位同意自行选定补足评审专家。</w:t>
      </w:r>
    </w:p>
    <w:p>
      <w:pPr>
        <w:spacing w:line="400" w:lineRule="exact"/>
        <w:rPr>
          <w:rFonts w:hint="eastAsia" w:ascii="宋体" w:hAnsi="宋体"/>
          <w:color w:val="auto"/>
          <w:szCs w:val="21"/>
          <w:highlight w:val="none"/>
        </w:rPr>
      </w:pPr>
      <w:r>
        <w:rPr>
          <w:rFonts w:hint="eastAsia" w:ascii="宋体" w:hAnsi="宋体"/>
          <w:color w:val="auto"/>
          <w:szCs w:val="21"/>
          <w:highlight w:val="none"/>
        </w:rPr>
        <w:t>2、评标专家应当严格遵守评审工作纪律,按照客观、公正、审慎的原则，根据采购文件规定的评审程序、评审方法和评审标准进行独立评审。</w:t>
      </w:r>
    </w:p>
    <w:p>
      <w:pPr>
        <w:spacing w:line="400" w:lineRule="exact"/>
        <w:rPr>
          <w:rFonts w:hint="eastAsia" w:ascii="宋体" w:hAnsi="宋体"/>
          <w:color w:val="auto"/>
          <w:szCs w:val="21"/>
          <w:highlight w:val="none"/>
        </w:rPr>
      </w:pPr>
      <w:r>
        <w:rPr>
          <w:rFonts w:hint="eastAsia" w:ascii="宋体" w:hAnsi="宋体"/>
          <w:color w:val="auto"/>
          <w:szCs w:val="21"/>
          <w:highlight w:val="none"/>
        </w:rPr>
        <w:t>3、通过资格审查的合格投标人不足3家的，不得评标。</w:t>
      </w:r>
    </w:p>
    <w:p>
      <w:pPr>
        <w:spacing w:line="400" w:lineRule="exact"/>
        <w:rPr>
          <w:rFonts w:hint="eastAsia" w:ascii="宋体" w:hAnsi="宋体"/>
          <w:color w:val="auto"/>
          <w:szCs w:val="21"/>
          <w:highlight w:val="none"/>
        </w:rPr>
      </w:pPr>
      <w:r>
        <w:rPr>
          <w:rFonts w:hint="eastAsia" w:ascii="宋体" w:hAnsi="宋体"/>
          <w:color w:val="auto"/>
          <w:szCs w:val="21"/>
          <w:highlight w:val="none"/>
        </w:rPr>
        <w:t>4、通过符合性审查的有效投标人不足3家的，不得进入下一步评标程序。</w:t>
      </w:r>
    </w:p>
    <w:p>
      <w:pPr>
        <w:spacing w:line="400" w:lineRule="exact"/>
        <w:rPr>
          <w:rFonts w:hint="eastAsia" w:ascii="宋体" w:hAnsi="宋体"/>
          <w:color w:val="auto"/>
          <w:szCs w:val="21"/>
          <w:highlight w:val="none"/>
        </w:rPr>
      </w:pPr>
      <w:r>
        <w:rPr>
          <w:rFonts w:hint="eastAsia" w:ascii="宋体" w:hAnsi="宋体"/>
          <w:color w:val="auto"/>
          <w:szCs w:val="21"/>
          <w:highlight w:val="none"/>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rPr>
          <w:rFonts w:hint="eastAsia" w:ascii="宋体" w:hAnsi="宋体"/>
          <w:color w:val="auto"/>
          <w:szCs w:val="21"/>
          <w:highlight w:val="none"/>
        </w:rPr>
      </w:pPr>
      <w:r>
        <w:rPr>
          <w:rFonts w:hint="eastAsia" w:ascii="宋体" w:hAnsi="宋体"/>
          <w:color w:val="auto"/>
          <w:szCs w:val="21"/>
          <w:highlight w:val="none"/>
        </w:rPr>
        <w:t>6、评标专家应当在评审报告上签字，对自己的评审意见承担法律责任。评标委员会成员对需要共同认定的事项存在争议的，应当按照少数服从多数的原则作出结论。持不同意见的评标委员会成员应当在评标报告上签署不同意见及理由，否则视为同意评标报告。</w:t>
      </w:r>
    </w:p>
    <w:p>
      <w:pPr>
        <w:spacing w:line="400" w:lineRule="exact"/>
        <w:rPr>
          <w:rFonts w:hint="eastAsia" w:ascii="宋体" w:hAnsi="宋体"/>
          <w:color w:val="auto"/>
          <w:szCs w:val="21"/>
          <w:highlight w:val="none"/>
        </w:rPr>
      </w:pPr>
      <w:r>
        <w:rPr>
          <w:rFonts w:hint="eastAsia" w:ascii="宋体" w:hAnsi="宋体"/>
          <w:color w:val="auto"/>
          <w:szCs w:val="21"/>
          <w:highlight w:val="none"/>
        </w:rPr>
        <w:t>7、评标委员会发现采购文件存在歧义、重大缺陷导致评标工作无法进行，或者采购文件内容违反国家有关强制性规定的，应当停止评标工作，与采购人或者采购代理机构沟通并作书面记录。采购人或者采购代理机构确认后，应当修改采购文件，重新组织采购活动。</w:t>
      </w:r>
    </w:p>
    <w:p>
      <w:pPr>
        <w:spacing w:line="400" w:lineRule="exact"/>
        <w:rPr>
          <w:rFonts w:hint="eastAsia" w:ascii="宋体" w:hAnsi="宋体"/>
          <w:color w:val="auto"/>
          <w:szCs w:val="21"/>
          <w:highlight w:val="none"/>
        </w:rPr>
      </w:pPr>
      <w:r>
        <w:rPr>
          <w:rFonts w:hint="eastAsia" w:ascii="宋体" w:hAnsi="宋体"/>
          <w:color w:val="auto"/>
          <w:szCs w:val="21"/>
          <w:highlight w:val="none"/>
        </w:rPr>
        <w:t>8、提供相同品牌产品且通过资格审查、符合性审查的不同投标人参加同一子包项投标的，按一家投标人计算，评审后得分最高的同品牌投标人获得中标人推荐资格；评审得分相同的，由采购人或者采购人委托评标委员会采取随机抽取方式确定，其他同品牌投标人不作为中标候选人。</w:t>
      </w:r>
    </w:p>
    <w:p>
      <w:pPr>
        <w:spacing w:line="400" w:lineRule="exact"/>
        <w:rPr>
          <w:rFonts w:hint="eastAsia" w:ascii="宋体" w:hAnsi="宋体"/>
          <w:color w:val="auto"/>
          <w:szCs w:val="21"/>
          <w:highlight w:val="none"/>
        </w:rPr>
      </w:pPr>
      <w:r>
        <w:rPr>
          <w:rFonts w:hint="eastAsia" w:ascii="宋体" w:hAnsi="宋体"/>
          <w:color w:val="auto"/>
          <w:szCs w:val="21"/>
          <w:highlight w:val="none"/>
        </w:rPr>
        <w:t>非单一产品采购子包，采购文件中应载明核心产品(如有，具体见第二章采购需求技术条款要求)，多家投标人提供的核心产品品牌相同的，按上述规定处理。</w:t>
      </w:r>
    </w:p>
    <w:p>
      <w:pPr>
        <w:spacing w:line="400" w:lineRule="exact"/>
        <w:rPr>
          <w:rFonts w:hint="eastAsia" w:ascii="宋体" w:hAnsi="宋体"/>
          <w:color w:val="auto"/>
          <w:szCs w:val="21"/>
          <w:highlight w:val="none"/>
        </w:rPr>
      </w:pPr>
      <w:r>
        <w:rPr>
          <w:rFonts w:hint="eastAsia" w:ascii="宋体" w:hAnsi="宋体"/>
          <w:color w:val="auto"/>
          <w:szCs w:val="21"/>
          <w:highlight w:val="none"/>
        </w:rPr>
        <w:t>9、单位负责人为同一人或者存在直接控股、管理关系的不同供应商，不得参加同一子包号的投标。评审中</w:t>
      </w:r>
      <w:r>
        <w:rPr>
          <w:rFonts w:ascii="宋体" w:hAnsi="宋体"/>
          <w:color w:val="auto"/>
          <w:szCs w:val="21"/>
          <w:highlight w:val="none"/>
        </w:rPr>
        <w:t>，有两家或两家以上供应商的单位负责人为同一人或者存在直接控股、管理关系的，</w:t>
      </w:r>
      <w:r>
        <w:rPr>
          <w:rFonts w:hint="eastAsia" w:ascii="宋体" w:hAnsi="宋体"/>
          <w:color w:val="auto"/>
          <w:szCs w:val="21"/>
          <w:highlight w:val="none"/>
        </w:rPr>
        <w:t>所有供应商都按照无效投标处理。</w:t>
      </w:r>
    </w:p>
    <w:p>
      <w:pPr>
        <w:spacing w:line="400" w:lineRule="exact"/>
        <w:rPr>
          <w:rFonts w:hint="eastAsia" w:ascii="宋体" w:hAnsi="宋体"/>
          <w:color w:val="auto"/>
          <w:szCs w:val="21"/>
          <w:highlight w:val="none"/>
        </w:rPr>
      </w:pPr>
      <w:r>
        <w:rPr>
          <w:rFonts w:hint="eastAsia" w:ascii="宋体" w:hAnsi="宋体"/>
          <w:color w:val="auto"/>
          <w:szCs w:val="21"/>
          <w:highlight w:val="none"/>
        </w:rPr>
        <w:t>10、为本项目提供整体设计、规范编制或者项目管理、监理、检测等服务的供应商，不得再参加本项目的投标，评审中，按照无效投标处理。</w:t>
      </w:r>
    </w:p>
    <w:p>
      <w:pPr>
        <w:spacing w:line="400" w:lineRule="exact"/>
        <w:rPr>
          <w:rFonts w:hint="eastAsia" w:ascii="宋体" w:hAnsi="宋体"/>
          <w:color w:val="auto"/>
          <w:szCs w:val="21"/>
          <w:highlight w:val="none"/>
        </w:rPr>
      </w:pPr>
      <w:r>
        <w:rPr>
          <w:rFonts w:hint="eastAsia" w:ascii="宋体" w:hAnsi="宋体"/>
          <w:color w:val="auto"/>
          <w:szCs w:val="21"/>
          <w:highlight w:val="none"/>
        </w:rPr>
        <w:t>11、有下列情形之一的，视为投标人串通投标，其投标无效：</w:t>
      </w:r>
    </w:p>
    <w:p>
      <w:pPr>
        <w:spacing w:line="400" w:lineRule="exact"/>
        <w:rPr>
          <w:rFonts w:hint="eastAsia" w:ascii="宋体" w:hAnsi="宋体"/>
          <w:color w:val="auto"/>
          <w:szCs w:val="21"/>
          <w:highlight w:val="none"/>
        </w:rPr>
      </w:pPr>
      <w:r>
        <w:rPr>
          <w:rFonts w:hint="eastAsia" w:ascii="宋体" w:hAnsi="宋体"/>
          <w:color w:val="auto"/>
          <w:szCs w:val="21"/>
          <w:highlight w:val="none"/>
        </w:rPr>
        <w:t>　　（1）不同投标人的投标文件由同一单位或者个人编制；</w:t>
      </w:r>
    </w:p>
    <w:p>
      <w:pPr>
        <w:spacing w:line="400" w:lineRule="exact"/>
        <w:rPr>
          <w:rFonts w:hint="eastAsia" w:ascii="宋体" w:hAnsi="宋体"/>
          <w:color w:val="auto"/>
          <w:szCs w:val="21"/>
          <w:highlight w:val="none"/>
        </w:rPr>
      </w:pPr>
      <w:r>
        <w:rPr>
          <w:rFonts w:hint="eastAsia" w:ascii="宋体" w:hAnsi="宋体"/>
          <w:color w:val="auto"/>
          <w:szCs w:val="21"/>
          <w:highlight w:val="none"/>
        </w:rPr>
        <w:t>　　（2）不同投标人委托同一单位或者个人办理投标事宜；</w:t>
      </w:r>
    </w:p>
    <w:p>
      <w:pPr>
        <w:spacing w:line="400" w:lineRule="exact"/>
        <w:rPr>
          <w:rFonts w:hint="eastAsia" w:ascii="宋体" w:hAnsi="宋体"/>
          <w:color w:val="auto"/>
          <w:szCs w:val="21"/>
          <w:highlight w:val="none"/>
        </w:rPr>
      </w:pPr>
      <w:r>
        <w:rPr>
          <w:rFonts w:hint="eastAsia" w:ascii="宋体" w:hAnsi="宋体"/>
          <w:color w:val="auto"/>
          <w:szCs w:val="21"/>
          <w:highlight w:val="none"/>
        </w:rPr>
        <w:t>　　（3）不同投标人的投标文件载明的项目管理成员或者联系人员为同一人；</w:t>
      </w:r>
    </w:p>
    <w:p>
      <w:pPr>
        <w:spacing w:line="400" w:lineRule="exact"/>
        <w:rPr>
          <w:rFonts w:hint="eastAsia" w:ascii="宋体" w:hAnsi="宋体"/>
          <w:color w:val="auto"/>
          <w:szCs w:val="21"/>
          <w:highlight w:val="none"/>
        </w:rPr>
      </w:pPr>
      <w:r>
        <w:rPr>
          <w:rFonts w:hint="eastAsia" w:ascii="宋体" w:hAnsi="宋体"/>
          <w:color w:val="auto"/>
          <w:szCs w:val="21"/>
          <w:highlight w:val="none"/>
        </w:rPr>
        <w:t>　　（4）不同投标人的投标文件异常一致或者投标报价呈规律性差异；</w:t>
      </w:r>
    </w:p>
    <w:p>
      <w:pPr>
        <w:spacing w:line="400" w:lineRule="exact"/>
        <w:rPr>
          <w:rFonts w:hint="eastAsia" w:ascii="宋体" w:hAnsi="宋体"/>
          <w:color w:val="auto"/>
          <w:szCs w:val="21"/>
          <w:highlight w:val="none"/>
        </w:rPr>
      </w:pPr>
      <w:r>
        <w:rPr>
          <w:rFonts w:hint="eastAsia" w:ascii="宋体" w:hAnsi="宋体"/>
          <w:color w:val="auto"/>
          <w:szCs w:val="21"/>
          <w:highlight w:val="none"/>
        </w:rPr>
        <w:t>　　（5）不同投标人的投标文件相互混装；</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）不同投标人的投标保证金从同一单位或者个人的账户转出。</w:t>
      </w:r>
    </w:p>
    <w:p>
      <w:pPr>
        <w:spacing w:line="400" w:lineRule="exact"/>
        <w:rPr>
          <w:rFonts w:ascii="宋体" w:hAnsi="宋体"/>
          <w:color w:val="auto"/>
          <w:szCs w:val="21"/>
          <w:highlight w:val="none"/>
        </w:rPr>
      </w:pPr>
      <w:r>
        <w:rPr>
          <w:rFonts w:hint="eastAsia" w:ascii="宋体" w:hAnsi="宋体"/>
          <w:color w:val="auto"/>
          <w:szCs w:val="21"/>
          <w:highlight w:val="none"/>
        </w:rPr>
        <w:t>12、投标文件报价出现前后不一致的，评标委员会应当对发现的投标文件报价错误按下列规定修正：</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（1）投标文件中开标一览表内容与投标文件中相应内容不一致的，以开标一览表为准；</w:t>
      </w:r>
    </w:p>
    <w:p>
      <w:pPr>
        <w:spacing w:line="400" w:lineRule="exact"/>
        <w:rPr>
          <w:rFonts w:hint="eastAsia" w:ascii="宋体" w:hAnsi="宋体"/>
          <w:color w:val="auto"/>
          <w:szCs w:val="21"/>
          <w:highlight w:val="none"/>
        </w:rPr>
      </w:pPr>
      <w:r>
        <w:rPr>
          <w:rFonts w:hint="eastAsia" w:ascii="宋体" w:hAnsi="宋体"/>
          <w:color w:val="auto"/>
          <w:szCs w:val="21"/>
          <w:highlight w:val="none"/>
        </w:rPr>
        <w:t>　　（2）大写金额和小写金额不一致的，以大写金额为准；</w:t>
      </w:r>
    </w:p>
    <w:p>
      <w:pPr>
        <w:spacing w:line="400" w:lineRule="exact"/>
        <w:rPr>
          <w:rFonts w:hint="eastAsia" w:ascii="宋体" w:hAnsi="宋体"/>
          <w:color w:val="auto"/>
          <w:szCs w:val="21"/>
          <w:highlight w:val="none"/>
        </w:rPr>
      </w:pPr>
      <w:r>
        <w:rPr>
          <w:rFonts w:hint="eastAsia" w:ascii="宋体" w:hAnsi="宋体"/>
          <w:color w:val="auto"/>
          <w:szCs w:val="21"/>
          <w:highlight w:val="none"/>
        </w:rPr>
        <w:t>　　（3）单价金额小数点或者百分比有明显错位的，以开标一览表的总价为准，并修改单价；</w:t>
      </w:r>
    </w:p>
    <w:p>
      <w:pPr>
        <w:spacing w:line="400" w:lineRule="exact"/>
        <w:rPr>
          <w:rFonts w:hint="eastAsia" w:ascii="宋体" w:hAnsi="宋体"/>
          <w:color w:val="auto"/>
          <w:szCs w:val="21"/>
          <w:highlight w:val="none"/>
        </w:rPr>
      </w:pPr>
      <w:r>
        <w:rPr>
          <w:rFonts w:hint="eastAsia" w:ascii="宋体" w:hAnsi="宋体"/>
          <w:color w:val="auto"/>
          <w:szCs w:val="21"/>
          <w:highlight w:val="none"/>
        </w:rPr>
        <w:t>　　（4）总价金额与按单价汇总金额不一致的，以单价金额计算结果为准。</w:t>
      </w:r>
    </w:p>
    <w:p>
      <w:pPr>
        <w:spacing w:line="400" w:lineRule="exact"/>
        <w:rPr>
          <w:rFonts w:hint="eastAsia" w:ascii="宋体" w:hAnsi="宋体"/>
          <w:color w:val="auto"/>
          <w:szCs w:val="21"/>
          <w:highlight w:val="none"/>
        </w:rPr>
      </w:pPr>
      <w:r>
        <w:rPr>
          <w:rFonts w:hint="eastAsia" w:ascii="宋体" w:hAnsi="宋体"/>
          <w:color w:val="auto"/>
          <w:szCs w:val="21"/>
          <w:highlight w:val="none"/>
        </w:rPr>
        <w:t>　　同时出现两种以上不一致的，按照前款规定的顺序修正。修正后的报价经投标人确认后产生约束力，投标人不确认的，其投标无效。</w:t>
      </w:r>
    </w:p>
    <w:p>
      <w:pPr>
        <w:spacing w:line="400" w:lineRule="exact"/>
        <w:rPr>
          <w:rFonts w:hint="eastAsia" w:ascii="宋体" w:hAnsi="宋体"/>
          <w:color w:val="auto"/>
          <w:szCs w:val="21"/>
          <w:highlight w:val="none"/>
        </w:rPr>
      </w:pPr>
      <w:r>
        <w:rPr>
          <w:rFonts w:hint="eastAsia" w:ascii="宋体" w:hAnsi="宋体"/>
          <w:color w:val="auto"/>
          <w:szCs w:val="21"/>
          <w:highlight w:val="none"/>
        </w:rPr>
        <w:t>13、废标：评标过程中，出现下列情形之一的，应予废标，评标终止：</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（1）通过资格审查、符合性审查的投标人不足3家的；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出现影响采购公正的违法、违规行为的；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（3）投标人的报价均超过了采购预算，采购人不能支付的；</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（4）因重大变故，采购任务取消的。</w:t>
      </w:r>
    </w:p>
    <w:p>
      <w:pPr>
        <w:spacing w:line="400" w:lineRule="exact"/>
        <w:rPr>
          <w:rFonts w:hint="eastAsia" w:ascii="宋体" w:hAnsi="宋体"/>
          <w:b/>
          <w:color w:val="auto"/>
          <w:sz w:val="24"/>
          <w:highlight w:val="none"/>
        </w:rPr>
      </w:pPr>
      <w:r>
        <w:rPr>
          <w:rFonts w:hint="eastAsia" w:ascii="宋体" w:hAnsi="宋体"/>
          <w:b/>
          <w:color w:val="auto"/>
          <w:sz w:val="24"/>
          <w:highlight w:val="none"/>
        </w:rPr>
        <w:t>四、评标过程中投标无效的认定：</w:t>
      </w:r>
    </w:p>
    <w:p>
      <w:pPr>
        <w:spacing w:line="400" w:lineRule="exact"/>
        <w:rPr>
          <w:rFonts w:hint="eastAsia" w:ascii="宋体" w:hAnsi="宋体"/>
          <w:color w:val="auto"/>
          <w:szCs w:val="21"/>
          <w:highlight w:val="none"/>
        </w:rPr>
      </w:pPr>
      <w:r>
        <w:rPr>
          <w:rFonts w:hint="eastAsia" w:ascii="宋体" w:hAnsi="宋体"/>
          <w:color w:val="auto"/>
          <w:szCs w:val="21"/>
          <w:highlight w:val="none"/>
        </w:rPr>
        <w:t>投标文件存在下列情形之一的，其投标无效：</w:t>
      </w:r>
    </w:p>
    <w:p>
      <w:pPr>
        <w:spacing w:line="400" w:lineRule="exact"/>
        <w:ind w:firstLine="424" w:firstLineChars="202"/>
        <w:rPr>
          <w:rFonts w:hint="eastAsia" w:ascii="宋体" w:hAnsi="宋体"/>
          <w:color w:val="auto"/>
          <w:szCs w:val="21"/>
          <w:highlight w:val="none"/>
        </w:rPr>
      </w:pPr>
      <w:r>
        <w:rPr>
          <w:rFonts w:hint="eastAsia" w:ascii="宋体" w:hAnsi="宋体"/>
          <w:color w:val="auto"/>
          <w:szCs w:val="21"/>
          <w:highlight w:val="none"/>
        </w:rPr>
        <w:t>（1）投标文件未按采购文件要求编制、签署、盖章的；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（2）不具备采购文件中规定的资格要求的；资格证明文件未按照采购文件要求提供或不全或虽提供但格式、签署与盖章等不符合采购文件要求的；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（3）投标报价超过采购文件中规定的预算金额或者最高限价的；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（4）投标文件含有采购人不能接受的附加条件的；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（5）投标有效期不符合采购文件要求的；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（6）投标文件组成或投标文件数量不符合采购文件要求的；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（7）采购文件中标注有“</w:t>
      </w:r>
      <w:r>
        <w:rPr>
          <w:rFonts w:hint="eastAsia" w:ascii="宋体" w:hAnsi="宋体"/>
          <w:color w:val="auto"/>
          <w:szCs w:val="21"/>
          <w:highlight w:val="none"/>
          <w:lang w:eastAsia="zh-CN"/>
        </w:rPr>
        <w:t>★</w:t>
      </w:r>
      <w:r>
        <w:rPr>
          <w:rFonts w:hint="eastAsia" w:ascii="宋体" w:hAnsi="宋体"/>
          <w:color w:val="auto"/>
          <w:szCs w:val="21"/>
          <w:highlight w:val="none"/>
        </w:rPr>
        <w:t>”号的条款为“实质性要求”条款，投标文件对这些条款有负偏离的；或未标注有“</w:t>
      </w:r>
      <w:r>
        <w:rPr>
          <w:rFonts w:hint="eastAsia" w:ascii="宋体" w:hAnsi="宋体"/>
          <w:color w:val="auto"/>
          <w:szCs w:val="21"/>
          <w:highlight w:val="none"/>
          <w:lang w:eastAsia="zh-CN"/>
        </w:rPr>
        <w:t>★</w:t>
      </w:r>
      <w:r>
        <w:rPr>
          <w:rFonts w:hint="eastAsia" w:ascii="宋体" w:hAnsi="宋体"/>
          <w:color w:val="auto"/>
          <w:szCs w:val="21"/>
          <w:highlight w:val="none"/>
        </w:rPr>
        <w:t>”号的条款负偏离达到或超过采购文件规定数量的；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（8）商务条款响应表或技术条款响应表有缺项、漏项且评标委员会认定该缺项、漏项使得投标文件没有对采购文件的要求作出实质性响应的；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（9）符合采购文件“评标标准”规定的无效投标条件的；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（10）评标委员会认为投标人的报价明显低于其他通过符合性审查投标人的报价，有可能影响产品质量或者不能诚信履约的，投标人不能证明其报价合理性的；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（11）评标委员会经过审查，认定投标人投标报价低于成本价的；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（12）评标委员会对投标人投标文件报价有修正的，投标人不予确认的；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（13） </w:t>
      </w:r>
      <w:r>
        <w:rPr>
          <w:rFonts w:ascii="宋体" w:hAnsi="宋体"/>
          <w:color w:val="auto"/>
          <w:szCs w:val="21"/>
          <w:highlight w:val="none"/>
        </w:rPr>
        <w:t>有两家或两家以上供应商的单位负责人为同一人或者存在直接控股、管理关系的</w:t>
      </w:r>
      <w:r>
        <w:rPr>
          <w:rFonts w:hint="eastAsia" w:ascii="宋体" w:hAnsi="宋体"/>
          <w:color w:val="auto"/>
          <w:szCs w:val="21"/>
          <w:highlight w:val="none"/>
        </w:rPr>
        <w:t>投标人参与同一子包投标的；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（14）为本项目提供整体设计、规范编制或者项目管理、监理、检测等服务的供应商的投标；</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（15）评标委员会经过审查，认定投标人虚假应标、串通投标的；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（16）法律、法规和本项目采购文件规定的其他无效情形。</w:t>
      </w:r>
    </w:p>
    <w:p>
      <w:pPr>
        <w:spacing w:before="120" w:beforeLines="50" w:after="120" w:afterLines="50" w:line="400" w:lineRule="exact"/>
        <w:rPr>
          <w:rFonts w:hint="eastAsia" w:ascii="宋体" w:hAnsi="宋体"/>
          <w:b/>
          <w:color w:val="auto"/>
          <w:sz w:val="24"/>
          <w:highlight w:val="none"/>
        </w:rPr>
      </w:pPr>
      <w:r>
        <w:rPr>
          <w:rFonts w:hint="eastAsia" w:ascii="宋体" w:hAnsi="宋体"/>
          <w:b/>
          <w:color w:val="auto"/>
          <w:sz w:val="24"/>
          <w:highlight w:val="none"/>
        </w:rPr>
        <w:t>五、评标程序</w:t>
      </w:r>
    </w:p>
    <w:p>
      <w:pPr>
        <w:spacing w:line="400" w:lineRule="exact"/>
        <w:rPr>
          <w:rFonts w:hint="eastAsia" w:ascii="宋体" w:hAnsi="宋体"/>
          <w:color w:val="auto"/>
          <w:szCs w:val="21"/>
          <w:highlight w:val="none"/>
        </w:rPr>
      </w:pPr>
      <w:r>
        <w:rPr>
          <w:rFonts w:hint="eastAsia" w:ascii="宋体" w:hAnsi="宋体"/>
          <w:color w:val="auto"/>
          <w:szCs w:val="21"/>
          <w:highlight w:val="none"/>
        </w:rPr>
        <w:t>评标程序包括资格审查、符合性审查、澄清或者说明、比较和评价、确定中标候选人名单等程序。</w:t>
      </w:r>
    </w:p>
    <w:p>
      <w:pPr>
        <w:spacing w:line="400" w:lineRule="exact"/>
        <w:rPr>
          <w:rFonts w:hint="eastAsia" w:ascii="宋体" w:hAnsi="宋体"/>
          <w:b/>
          <w:bCs/>
          <w:color w:val="auto"/>
          <w:szCs w:val="21"/>
          <w:highlight w:val="none"/>
        </w:rPr>
      </w:pPr>
      <w:r>
        <w:rPr>
          <w:rFonts w:hint="eastAsia" w:ascii="宋体" w:hAnsi="宋体"/>
          <w:b/>
          <w:bCs/>
          <w:color w:val="auto"/>
          <w:szCs w:val="21"/>
          <w:highlight w:val="none"/>
        </w:rPr>
        <w:t>（一）资格审查</w:t>
      </w:r>
    </w:p>
    <w:p>
      <w:pPr>
        <w:spacing w:line="400" w:lineRule="exact"/>
        <w:rPr>
          <w:rFonts w:hint="eastAsia" w:ascii="宋体" w:hAnsi="宋体"/>
          <w:color w:val="auto"/>
          <w:szCs w:val="21"/>
          <w:highlight w:val="none"/>
        </w:rPr>
      </w:pPr>
      <w:r>
        <w:rPr>
          <w:rFonts w:hint="eastAsia" w:ascii="宋体" w:hAnsi="宋体"/>
          <w:color w:val="auto"/>
          <w:szCs w:val="21"/>
          <w:highlight w:val="none"/>
        </w:rPr>
        <w:t>本项目为资格后审，由采购人、采购代理机构对投标人的资格进行审查。资格审查不合格的投标人，不得进入下一步程序。资格审查后，合格的投标人不足3家的，不得继续评标。</w:t>
      </w:r>
    </w:p>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资格审查内容（兼审查表）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616"/>
        <w:gridCol w:w="293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序号</w:t>
            </w:r>
          </w:p>
        </w:tc>
        <w:tc>
          <w:tcPr>
            <w:tcW w:w="3616"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资格要求</w:t>
            </w:r>
          </w:p>
        </w:tc>
        <w:tc>
          <w:tcPr>
            <w:tcW w:w="2932"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审查内容</w:t>
            </w:r>
          </w:p>
        </w:tc>
        <w:tc>
          <w:tcPr>
            <w:tcW w:w="1732"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符合性</w:t>
            </w:r>
          </w:p>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2" w:hRule="atLeast"/>
          <w:jc w:val="center"/>
        </w:trPr>
        <w:tc>
          <w:tcPr>
            <w:tcW w:w="64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1</w:t>
            </w:r>
          </w:p>
        </w:tc>
        <w:tc>
          <w:tcPr>
            <w:tcW w:w="3616" w:type="dxa"/>
            <w:noWrap w:val="0"/>
            <w:vAlign w:val="top"/>
          </w:tcPr>
          <w:p>
            <w:pPr>
              <w:snapToGrid w:val="0"/>
              <w:rPr>
                <w:rFonts w:hint="eastAsia" w:ascii="宋体" w:hAnsi="宋体"/>
                <w:color w:val="auto"/>
                <w:szCs w:val="21"/>
                <w:highlight w:val="none"/>
              </w:rPr>
            </w:pPr>
            <w:r>
              <w:rPr>
                <w:rFonts w:ascii="宋体" w:hAnsi="宋体"/>
                <w:color w:val="auto"/>
                <w:szCs w:val="21"/>
                <w:highlight w:val="none"/>
              </w:rPr>
              <w:t>符合《中华人民共和国政府采购法》第</w:t>
            </w:r>
            <w:r>
              <w:rPr>
                <w:rFonts w:hint="eastAsia" w:ascii="宋体" w:hAnsi="宋体"/>
                <w:color w:val="auto"/>
                <w:szCs w:val="21"/>
                <w:highlight w:val="none"/>
              </w:rPr>
              <w:t>二十二</w:t>
            </w:r>
            <w:r>
              <w:rPr>
                <w:rFonts w:ascii="宋体" w:hAnsi="宋体"/>
                <w:color w:val="auto"/>
                <w:szCs w:val="21"/>
                <w:highlight w:val="none"/>
              </w:rPr>
              <w:t>条的一般资格条件的规定</w:t>
            </w:r>
            <w:r>
              <w:rPr>
                <w:rFonts w:hint="eastAsia" w:ascii="宋体" w:hAnsi="宋体"/>
                <w:color w:val="auto"/>
                <w:szCs w:val="21"/>
                <w:highlight w:val="none"/>
              </w:rPr>
              <w:t>：</w:t>
            </w:r>
          </w:p>
          <w:p>
            <w:pPr>
              <w:snapToGrid w:val="0"/>
              <w:rPr>
                <w:rFonts w:hint="eastAsia" w:ascii="宋体" w:hAnsi="宋体"/>
                <w:color w:val="auto"/>
                <w:szCs w:val="21"/>
                <w:highlight w:val="none"/>
              </w:rPr>
            </w:pPr>
            <w:r>
              <w:rPr>
                <w:rFonts w:hint="eastAsia" w:ascii="宋体" w:hAnsi="宋体"/>
                <w:color w:val="auto"/>
                <w:szCs w:val="21"/>
                <w:highlight w:val="none"/>
              </w:rPr>
              <w:t>（一）具有独立承担民事责任的能力；</w:t>
            </w:r>
          </w:p>
          <w:p>
            <w:pPr>
              <w:snapToGrid w:val="0"/>
              <w:rPr>
                <w:rFonts w:hint="eastAsia" w:ascii="宋体" w:hAnsi="宋体"/>
                <w:color w:val="auto"/>
                <w:szCs w:val="21"/>
                <w:highlight w:val="none"/>
              </w:rPr>
            </w:pPr>
            <w:r>
              <w:rPr>
                <w:rFonts w:hint="eastAsia" w:ascii="宋体" w:hAnsi="宋体"/>
                <w:color w:val="auto"/>
                <w:szCs w:val="21"/>
                <w:highlight w:val="none"/>
              </w:rPr>
              <w:t>（二）具有良好的商业信誉和健全的财务会计制度；</w:t>
            </w:r>
          </w:p>
          <w:p>
            <w:pPr>
              <w:snapToGrid w:val="0"/>
              <w:rPr>
                <w:rFonts w:hint="eastAsia" w:ascii="宋体" w:hAnsi="宋体"/>
                <w:color w:val="auto"/>
                <w:szCs w:val="21"/>
                <w:highlight w:val="none"/>
              </w:rPr>
            </w:pPr>
            <w:r>
              <w:rPr>
                <w:rFonts w:hint="eastAsia" w:ascii="宋体" w:hAnsi="宋体"/>
                <w:color w:val="auto"/>
                <w:szCs w:val="21"/>
                <w:highlight w:val="none"/>
              </w:rPr>
              <w:t>（三）具有履行合同所必需的设备和专业技术能力；</w:t>
            </w:r>
          </w:p>
          <w:p>
            <w:pPr>
              <w:snapToGrid w:val="0"/>
              <w:rPr>
                <w:rFonts w:hint="eastAsia" w:ascii="宋体" w:hAnsi="宋体"/>
                <w:color w:val="auto"/>
                <w:szCs w:val="21"/>
                <w:highlight w:val="none"/>
              </w:rPr>
            </w:pPr>
            <w:r>
              <w:rPr>
                <w:rFonts w:hint="eastAsia" w:ascii="宋体" w:hAnsi="宋体"/>
                <w:color w:val="auto"/>
                <w:szCs w:val="21"/>
                <w:highlight w:val="none"/>
              </w:rPr>
              <w:t>（四）有依法缴纳税收和社会保障资金的良好记录；</w:t>
            </w:r>
          </w:p>
          <w:p>
            <w:pPr>
              <w:snapToGrid w:val="0"/>
              <w:rPr>
                <w:rFonts w:hint="eastAsia" w:ascii="宋体" w:hAnsi="宋体"/>
                <w:color w:val="auto"/>
                <w:szCs w:val="21"/>
                <w:highlight w:val="none"/>
              </w:rPr>
            </w:pPr>
            <w:r>
              <w:rPr>
                <w:rFonts w:hint="eastAsia" w:ascii="宋体" w:hAnsi="宋体"/>
                <w:color w:val="auto"/>
                <w:szCs w:val="21"/>
                <w:highlight w:val="none"/>
              </w:rPr>
              <w:t>（五）参加政府采购活动前三年内，在经营活动中没有重大违法记录；</w:t>
            </w:r>
          </w:p>
          <w:p>
            <w:pPr>
              <w:snapToGrid w:val="0"/>
              <w:rPr>
                <w:rFonts w:hint="eastAsia" w:ascii="宋体" w:hAnsi="宋体"/>
                <w:color w:val="auto"/>
                <w:szCs w:val="21"/>
                <w:highlight w:val="none"/>
              </w:rPr>
            </w:pPr>
            <w:r>
              <w:rPr>
                <w:rFonts w:hint="eastAsia" w:ascii="宋体" w:hAnsi="宋体"/>
                <w:color w:val="auto"/>
                <w:szCs w:val="21"/>
                <w:highlight w:val="none"/>
              </w:rPr>
              <w:t>（六）法律、行政法规规定的其他条件。</w:t>
            </w:r>
          </w:p>
        </w:tc>
        <w:tc>
          <w:tcPr>
            <w:tcW w:w="2932" w:type="dxa"/>
            <w:noWrap w:val="0"/>
            <w:vAlign w:val="top"/>
          </w:tcPr>
          <w:p>
            <w:pPr>
              <w:spacing w:line="400" w:lineRule="exact"/>
              <w:rPr>
                <w:rFonts w:hint="eastAsia" w:ascii="宋体" w:hAnsi="宋体"/>
                <w:color w:val="auto"/>
                <w:szCs w:val="21"/>
                <w:highlight w:val="none"/>
              </w:rPr>
            </w:pPr>
            <w:r>
              <w:rPr>
                <w:rFonts w:hint="eastAsia" w:ascii="宋体" w:hAnsi="宋体"/>
                <w:color w:val="auto"/>
                <w:szCs w:val="21"/>
                <w:highlight w:val="none"/>
              </w:rPr>
              <w:t>（1）关于资格的承诺函；</w:t>
            </w:r>
          </w:p>
          <w:p>
            <w:pPr>
              <w:spacing w:line="400" w:lineRule="exact"/>
              <w:rPr>
                <w:rFonts w:hint="eastAsia" w:ascii="宋体" w:hAnsi="宋体"/>
                <w:color w:val="auto"/>
                <w:szCs w:val="21"/>
                <w:highlight w:val="none"/>
              </w:rPr>
            </w:pPr>
            <w:r>
              <w:rPr>
                <w:rFonts w:hint="eastAsia" w:ascii="宋体" w:hAnsi="宋体"/>
                <w:color w:val="auto"/>
                <w:szCs w:val="21"/>
                <w:highlight w:val="none"/>
              </w:rPr>
              <w:t>（2）法人或者其他组织的营业执照（副本复印件）、自然人的身份证明（身份证复印件，有效期内）；</w:t>
            </w:r>
          </w:p>
          <w:p>
            <w:pPr>
              <w:spacing w:line="400" w:lineRule="exact"/>
              <w:rPr>
                <w:rFonts w:hint="eastAsia" w:ascii="宋体" w:hAnsi="宋体"/>
                <w:color w:val="auto"/>
                <w:szCs w:val="21"/>
                <w:highlight w:val="none"/>
              </w:rPr>
            </w:pPr>
          </w:p>
        </w:tc>
        <w:tc>
          <w:tcPr>
            <w:tcW w:w="1732"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2</w:t>
            </w:r>
          </w:p>
        </w:tc>
        <w:tc>
          <w:tcPr>
            <w:tcW w:w="3616" w:type="dxa"/>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rPr>
              <w:t>未被信用中国网站（</w:t>
            </w:r>
            <w:r>
              <w:rPr>
                <w:rFonts w:ascii="宋体" w:hAnsi="宋体"/>
                <w:color w:val="auto"/>
                <w:szCs w:val="21"/>
                <w:highlight w:val="none"/>
              </w:rPr>
              <w:fldChar w:fldCharType="begin"/>
            </w:r>
            <w:r>
              <w:rPr>
                <w:rFonts w:ascii="宋体" w:hAnsi="宋体"/>
                <w:color w:val="auto"/>
                <w:szCs w:val="21"/>
                <w:highlight w:val="none"/>
              </w:rPr>
              <w:instrText xml:space="preserve"> HYPERLINK "http://</w:instrText>
            </w:r>
            <w:r>
              <w:rPr>
                <w:rFonts w:hint="eastAsia" w:ascii="宋体" w:hAnsi="宋体"/>
                <w:color w:val="auto"/>
                <w:szCs w:val="21"/>
                <w:highlight w:val="none"/>
              </w:rPr>
              <w:instrText xml:space="preserve">www.creditchina.gov.cn</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Fonts w:hint="eastAsia" w:ascii="宋体" w:hAnsi="宋体"/>
                <w:color w:val="auto"/>
                <w:szCs w:val="21"/>
                <w:highlight w:val="none"/>
              </w:rPr>
              <w:t>www.creditchina.gov.cn</w:t>
            </w:r>
            <w:r>
              <w:rPr>
                <w:rFonts w:ascii="宋体" w:hAnsi="宋体"/>
                <w:color w:val="auto"/>
                <w:szCs w:val="21"/>
                <w:highlight w:val="none"/>
              </w:rPr>
              <w:fldChar w:fldCharType="end"/>
            </w:r>
            <w:r>
              <w:rPr>
                <w:rFonts w:hint="eastAsia" w:ascii="宋体" w:hAnsi="宋体"/>
                <w:color w:val="auto"/>
                <w:szCs w:val="21"/>
                <w:highlight w:val="none"/>
              </w:rPr>
              <w:t>）列入失信被执行人、重大税收违法案件当事人名单（重大税收违法失信主体），未被中国政府采购网（www.ccgp.gov.cn）列入政府采购严重违法失信行为记录名单。</w:t>
            </w:r>
          </w:p>
          <w:p>
            <w:pPr>
              <w:snapToGrid w:val="0"/>
              <w:rPr>
                <w:rFonts w:hint="eastAsia" w:ascii="宋体" w:hAnsi="宋体"/>
                <w:color w:val="auto"/>
                <w:szCs w:val="21"/>
                <w:highlight w:val="none"/>
              </w:rPr>
            </w:pPr>
          </w:p>
        </w:tc>
        <w:tc>
          <w:tcPr>
            <w:tcW w:w="2932" w:type="dxa"/>
            <w:noWrap w:val="0"/>
            <w:vAlign w:val="top"/>
          </w:tcPr>
          <w:p>
            <w:pPr>
              <w:snapToGrid w:val="0"/>
              <w:jc w:val="left"/>
              <w:rPr>
                <w:rFonts w:hint="eastAsia" w:ascii="宋体" w:hAnsi="宋体"/>
                <w:color w:val="auto"/>
                <w:szCs w:val="21"/>
                <w:highlight w:val="none"/>
              </w:rPr>
            </w:pPr>
            <w:r>
              <w:rPr>
                <w:rFonts w:hint="eastAsia" w:ascii="宋体" w:hAnsi="宋体"/>
                <w:color w:val="auto"/>
                <w:szCs w:val="21"/>
                <w:highlight w:val="none"/>
              </w:rPr>
              <w:t>采购人、采购代理机构将于投标截止时间</w:t>
            </w:r>
            <w:r>
              <w:rPr>
                <w:rFonts w:hint="eastAsia" w:ascii="宋体" w:hAnsi="宋体"/>
                <w:iCs/>
                <w:color w:val="auto"/>
                <w:szCs w:val="21"/>
                <w:highlight w:val="none"/>
              </w:rPr>
              <w:t>当天</w:t>
            </w:r>
            <w:r>
              <w:rPr>
                <w:rFonts w:hint="eastAsia" w:ascii="宋体" w:hAnsi="宋体"/>
                <w:color w:val="auto"/>
                <w:szCs w:val="21"/>
                <w:highlight w:val="none"/>
              </w:rPr>
              <w:t>通过“信用中国”网站（www.creditchina.gov.cn）查询投标人失信被执行人、重大税收违法案件当事人（重大税收违法失信主体）信用记录，通过中国政府采购网（www.ccgp.gov.cn）查询投标人政府采购严重违法失信行为信用记录。</w:t>
            </w:r>
          </w:p>
        </w:tc>
        <w:tc>
          <w:tcPr>
            <w:tcW w:w="1732"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3</w:t>
            </w:r>
          </w:p>
        </w:tc>
        <w:tc>
          <w:tcPr>
            <w:tcW w:w="3616" w:type="dxa"/>
            <w:noWrap w:val="0"/>
            <w:vAlign w:val="center"/>
          </w:tcPr>
          <w:p>
            <w:pPr>
              <w:snapToGrid w:val="0"/>
              <w:jc w:val="both"/>
              <w:rPr>
                <w:rFonts w:hint="eastAsia" w:ascii="宋体" w:hAnsi="宋体"/>
                <w:color w:val="auto"/>
                <w:szCs w:val="21"/>
                <w:highlight w:val="none"/>
              </w:rPr>
            </w:pPr>
            <w:r>
              <w:rPr>
                <w:rFonts w:hint="eastAsia"/>
                <w:color w:val="auto"/>
                <w:sz w:val="21"/>
                <w:szCs w:val="21"/>
                <w:highlight w:val="none"/>
              </w:rPr>
              <w:t>落实政府采购政策需满足的资格要求</w:t>
            </w:r>
          </w:p>
        </w:tc>
        <w:tc>
          <w:tcPr>
            <w:tcW w:w="2932" w:type="dxa"/>
            <w:noWrap w:val="0"/>
            <w:vAlign w:val="center"/>
          </w:tcPr>
          <w:p>
            <w:pPr>
              <w:snapToGrid w:val="0"/>
              <w:jc w:val="both"/>
              <w:rPr>
                <w:rFonts w:hint="eastAsia" w:ascii="宋体" w:hAnsi="宋体"/>
                <w:color w:val="auto"/>
                <w:szCs w:val="21"/>
                <w:highlight w:val="none"/>
              </w:rPr>
            </w:pPr>
            <w:r>
              <w:rPr>
                <w:rFonts w:hint="eastAsia"/>
                <w:color w:val="auto"/>
                <w:sz w:val="21"/>
                <w:szCs w:val="21"/>
                <w:highlight w:val="none"/>
              </w:rPr>
              <w:t>本项目为专门面向中小企业采购</w:t>
            </w:r>
            <w:r>
              <w:rPr>
                <w:rFonts w:hint="eastAsia"/>
                <w:color w:val="auto"/>
                <w:sz w:val="21"/>
                <w:szCs w:val="21"/>
                <w:highlight w:val="none"/>
                <w:lang w:eastAsia="zh-CN"/>
              </w:rPr>
              <w:t>，服务全部由符合政策要求的中小企业</w:t>
            </w:r>
            <w:r>
              <w:rPr>
                <w:rFonts w:hint="eastAsia"/>
                <w:color w:val="auto"/>
                <w:sz w:val="21"/>
                <w:szCs w:val="21"/>
                <w:highlight w:val="none"/>
              </w:rPr>
              <w:t>或微型企业</w:t>
            </w:r>
            <w:r>
              <w:rPr>
                <w:rFonts w:hint="eastAsia"/>
                <w:color w:val="auto"/>
                <w:sz w:val="21"/>
                <w:szCs w:val="21"/>
                <w:highlight w:val="none"/>
                <w:lang w:eastAsia="zh-CN"/>
              </w:rPr>
              <w:t>承接</w:t>
            </w:r>
            <w:r>
              <w:rPr>
                <w:rFonts w:hint="eastAsia"/>
                <w:color w:val="auto"/>
                <w:sz w:val="21"/>
                <w:szCs w:val="21"/>
                <w:highlight w:val="none"/>
              </w:rPr>
              <w:t>，提供中小企业声明函。（残疾人福利性企业、监狱企业视同小微企业）。</w:t>
            </w:r>
          </w:p>
        </w:tc>
        <w:tc>
          <w:tcPr>
            <w:tcW w:w="1732"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spacing w:line="40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4</w:t>
            </w:r>
          </w:p>
        </w:tc>
        <w:tc>
          <w:tcPr>
            <w:tcW w:w="3616" w:type="dxa"/>
            <w:noWrap w:val="0"/>
            <w:vAlign w:val="center"/>
          </w:tcPr>
          <w:p>
            <w:pPr>
              <w:snapToGrid w:val="0"/>
              <w:jc w:val="both"/>
              <w:rPr>
                <w:rFonts w:hint="eastAsia"/>
                <w:color w:val="auto"/>
                <w:sz w:val="21"/>
                <w:szCs w:val="21"/>
                <w:highlight w:val="none"/>
              </w:rPr>
            </w:pPr>
            <w:r>
              <w:rPr>
                <w:rFonts w:hint="eastAsia"/>
                <w:color w:val="auto"/>
                <w:sz w:val="21"/>
                <w:szCs w:val="21"/>
                <w:highlight w:val="none"/>
              </w:rPr>
              <w:t>本项目的特定资格要求</w:t>
            </w:r>
          </w:p>
        </w:tc>
        <w:tc>
          <w:tcPr>
            <w:tcW w:w="2932" w:type="dxa"/>
            <w:noWrap w:val="0"/>
            <w:vAlign w:val="center"/>
          </w:tcPr>
          <w:p>
            <w:pPr>
              <w:snapToGrid w:val="0"/>
              <w:jc w:val="both"/>
              <w:rPr>
                <w:rFonts w:hint="eastAsia" w:ascii="宋体" w:hAnsi="宋体" w:eastAsia="宋体" w:cs="Times New Roman"/>
                <w:color w:val="auto"/>
                <w:szCs w:val="21"/>
                <w:highlight w:val="none"/>
                <w:lang w:eastAsia="zh-CN"/>
              </w:rPr>
            </w:pPr>
            <w:r>
              <w:rPr>
                <w:rFonts w:hint="eastAsia" w:eastAsia="宋体"/>
                <w:b w:val="0"/>
                <w:bCs w:val="0"/>
                <w:color w:val="auto"/>
                <w:sz w:val="21"/>
                <w:szCs w:val="21"/>
                <w:highlight w:val="none"/>
                <w:lang w:eastAsia="zh-CN"/>
              </w:rPr>
              <w:t>投标人具有保安服务许可证</w:t>
            </w:r>
          </w:p>
        </w:tc>
        <w:tc>
          <w:tcPr>
            <w:tcW w:w="1732"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6" w:type="dxa"/>
            <w:gridSpan w:val="3"/>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审查结论（合格/不合格）</w:t>
            </w:r>
          </w:p>
        </w:tc>
        <w:tc>
          <w:tcPr>
            <w:tcW w:w="1732" w:type="dxa"/>
            <w:noWrap w:val="0"/>
            <w:vAlign w:val="top"/>
          </w:tcPr>
          <w:p>
            <w:pPr>
              <w:spacing w:line="400" w:lineRule="exact"/>
              <w:rPr>
                <w:rFonts w:hint="eastAsia" w:ascii="宋体" w:hAnsi="宋体"/>
                <w:color w:val="auto"/>
                <w:szCs w:val="21"/>
                <w:highlight w:val="none"/>
              </w:rPr>
            </w:pPr>
          </w:p>
        </w:tc>
      </w:tr>
    </w:tbl>
    <w:p>
      <w:pPr>
        <w:spacing w:line="400" w:lineRule="exact"/>
        <w:rPr>
          <w:rFonts w:hint="eastAsia" w:ascii="宋体" w:hAnsi="宋体"/>
          <w:color w:val="auto"/>
          <w:szCs w:val="21"/>
          <w:highlight w:val="none"/>
        </w:rPr>
      </w:pPr>
      <w:r>
        <w:rPr>
          <w:rFonts w:hint="eastAsia" w:ascii="宋体" w:hAnsi="宋体"/>
          <w:color w:val="auto"/>
          <w:szCs w:val="21"/>
          <w:highlight w:val="none"/>
        </w:rPr>
        <w:t>注：1、采购文件要求投标人提供资格证明文件的，资格证明文件未提供或提供不齐全的，资格审查为不合格。</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2、上述资格审查内容中，任意一项不符合的，资格审查为不合格。</w:t>
      </w:r>
    </w:p>
    <w:p>
      <w:pPr>
        <w:spacing w:line="400" w:lineRule="exact"/>
        <w:rPr>
          <w:rFonts w:hint="eastAsia" w:ascii="宋体" w:hAnsi="宋体"/>
          <w:color w:val="auto"/>
          <w:szCs w:val="21"/>
          <w:highlight w:val="none"/>
        </w:rPr>
      </w:pPr>
      <w:r>
        <w:rPr>
          <w:rFonts w:hint="eastAsia" w:ascii="宋体" w:hAnsi="宋体"/>
          <w:b/>
          <w:bCs/>
          <w:color w:val="auto"/>
          <w:szCs w:val="21"/>
          <w:highlight w:val="none"/>
        </w:rPr>
        <w:t>（二）符合性审查</w:t>
      </w:r>
    </w:p>
    <w:p>
      <w:pPr>
        <w:spacing w:line="400" w:lineRule="exact"/>
        <w:rPr>
          <w:rFonts w:hint="eastAsia" w:ascii="宋体" w:hAnsi="宋体"/>
          <w:color w:val="auto"/>
          <w:szCs w:val="21"/>
          <w:highlight w:val="none"/>
        </w:rPr>
      </w:pPr>
      <w:r>
        <w:rPr>
          <w:rFonts w:hint="eastAsia" w:ascii="宋体" w:hAnsi="宋体"/>
          <w:color w:val="auto"/>
          <w:szCs w:val="21"/>
          <w:highlight w:val="none"/>
        </w:rPr>
        <w:t>由评标委员会对符合资格要求的投标人的投标文件进行符合性审查，以确定其是否满足采购文件的商务、技术等实质性要求。符合性审查不合格的投标人，不得进入下一步评审。符合性审查后，有效投标人不足3家的，不得继续评标。</w:t>
      </w:r>
    </w:p>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符合性审查内容（兼评委审查表）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4217"/>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序号</w:t>
            </w:r>
          </w:p>
        </w:tc>
        <w:tc>
          <w:tcPr>
            <w:tcW w:w="2160"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审查项目</w:t>
            </w:r>
          </w:p>
        </w:tc>
        <w:tc>
          <w:tcPr>
            <w:tcW w:w="4217"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采购文件要求</w:t>
            </w:r>
          </w:p>
        </w:tc>
        <w:tc>
          <w:tcPr>
            <w:tcW w:w="1761" w:type="dxa"/>
            <w:noWrap w:val="0"/>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符合性</w:t>
            </w:r>
          </w:p>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1</w:t>
            </w:r>
          </w:p>
        </w:tc>
        <w:tc>
          <w:tcPr>
            <w:tcW w:w="2160" w:type="dxa"/>
            <w:noWrap w:val="0"/>
            <w:vAlign w:val="center"/>
          </w:tcPr>
          <w:p>
            <w:pPr>
              <w:spacing w:line="400" w:lineRule="exact"/>
              <w:rPr>
                <w:rFonts w:hint="eastAsia" w:ascii="宋体" w:hAnsi="宋体"/>
                <w:color w:val="auto"/>
                <w:szCs w:val="21"/>
                <w:highlight w:val="none"/>
              </w:rPr>
            </w:pPr>
            <w:r>
              <w:rPr>
                <w:rFonts w:hint="eastAsia" w:ascii="宋体" w:hAnsi="宋体"/>
                <w:color w:val="auto"/>
                <w:szCs w:val="21"/>
                <w:highlight w:val="none"/>
              </w:rPr>
              <w:t>投标人名称</w:t>
            </w:r>
          </w:p>
        </w:tc>
        <w:tc>
          <w:tcPr>
            <w:tcW w:w="4217" w:type="dxa"/>
            <w:noWrap w:val="0"/>
            <w:vAlign w:val="top"/>
          </w:tcPr>
          <w:p>
            <w:pPr>
              <w:spacing w:line="400" w:lineRule="exact"/>
              <w:rPr>
                <w:rFonts w:hint="eastAsia" w:ascii="宋体" w:hAnsi="宋体"/>
                <w:color w:val="auto"/>
                <w:szCs w:val="21"/>
                <w:highlight w:val="none"/>
              </w:rPr>
            </w:pPr>
            <w:r>
              <w:rPr>
                <w:rFonts w:hint="eastAsia" w:ascii="宋体" w:hAnsi="宋体"/>
                <w:color w:val="auto"/>
                <w:szCs w:val="21"/>
                <w:highlight w:val="none"/>
              </w:rPr>
              <w:t>投标文件投标人名称、采购文件购买人名称、投标保证金递交人名称应当一致。</w:t>
            </w:r>
          </w:p>
        </w:tc>
        <w:tc>
          <w:tcPr>
            <w:tcW w:w="1761"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2</w:t>
            </w:r>
          </w:p>
        </w:tc>
        <w:tc>
          <w:tcPr>
            <w:tcW w:w="2160" w:type="dxa"/>
            <w:noWrap w:val="0"/>
            <w:vAlign w:val="center"/>
          </w:tcPr>
          <w:p>
            <w:pPr>
              <w:spacing w:line="400" w:lineRule="exact"/>
              <w:rPr>
                <w:rFonts w:hint="eastAsia" w:ascii="宋体" w:hAnsi="宋体"/>
                <w:color w:val="auto"/>
                <w:szCs w:val="21"/>
                <w:highlight w:val="none"/>
              </w:rPr>
            </w:pPr>
            <w:r>
              <w:rPr>
                <w:rFonts w:hint="eastAsia" w:ascii="宋体" w:hAnsi="宋体"/>
                <w:color w:val="auto"/>
                <w:szCs w:val="21"/>
                <w:highlight w:val="none"/>
              </w:rPr>
              <w:t>法定代表人授权委托书或法定代表人身份证明</w:t>
            </w:r>
          </w:p>
        </w:tc>
        <w:tc>
          <w:tcPr>
            <w:tcW w:w="4217" w:type="dxa"/>
            <w:noWrap w:val="0"/>
            <w:vAlign w:val="center"/>
          </w:tcPr>
          <w:p>
            <w:pPr>
              <w:spacing w:line="400" w:lineRule="exact"/>
              <w:jc w:val="both"/>
              <w:rPr>
                <w:rFonts w:hint="eastAsia" w:ascii="宋体" w:hAnsi="宋体"/>
                <w:color w:val="auto"/>
                <w:szCs w:val="21"/>
                <w:highlight w:val="none"/>
              </w:rPr>
            </w:pPr>
            <w:r>
              <w:rPr>
                <w:rFonts w:hint="eastAsia" w:ascii="宋体" w:hAnsi="宋体"/>
                <w:bCs/>
                <w:color w:val="auto"/>
                <w:szCs w:val="21"/>
                <w:highlight w:val="none"/>
              </w:rPr>
              <w:t>详见投标人须知2.3投标人代表</w:t>
            </w:r>
          </w:p>
        </w:tc>
        <w:tc>
          <w:tcPr>
            <w:tcW w:w="1761"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3</w:t>
            </w:r>
          </w:p>
        </w:tc>
        <w:tc>
          <w:tcPr>
            <w:tcW w:w="2160" w:type="dxa"/>
            <w:noWrap w:val="0"/>
            <w:vAlign w:val="center"/>
          </w:tcPr>
          <w:p>
            <w:pPr>
              <w:spacing w:line="400" w:lineRule="exact"/>
              <w:rPr>
                <w:rFonts w:hint="eastAsia" w:ascii="宋体" w:hAnsi="宋体"/>
                <w:color w:val="auto"/>
                <w:szCs w:val="21"/>
                <w:highlight w:val="none"/>
              </w:rPr>
            </w:pPr>
            <w:r>
              <w:rPr>
                <w:rFonts w:hint="eastAsia" w:ascii="宋体" w:hAnsi="宋体"/>
                <w:color w:val="auto"/>
                <w:szCs w:val="21"/>
                <w:highlight w:val="none"/>
              </w:rPr>
              <w:t>投标有效期</w:t>
            </w:r>
          </w:p>
        </w:tc>
        <w:tc>
          <w:tcPr>
            <w:tcW w:w="4217" w:type="dxa"/>
            <w:noWrap w:val="0"/>
            <w:vAlign w:val="top"/>
          </w:tcPr>
          <w:p>
            <w:pPr>
              <w:spacing w:line="400" w:lineRule="exact"/>
              <w:rPr>
                <w:rFonts w:hint="eastAsia" w:ascii="宋体" w:hAnsi="宋体"/>
                <w:color w:val="auto"/>
                <w:szCs w:val="21"/>
                <w:highlight w:val="none"/>
              </w:rPr>
            </w:pPr>
            <w:r>
              <w:rPr>
                <w:rFonts w:hint="eastAsia" w:ascii="宋体" w:hAnsi="宋体"/>
                <w:bCs/>
                <w:color w:val="auto"/>
                <w:szCs w:val="21"/>
                <w:highlight w:val="none"/>
              </w:rPr>
              <w:t>详见投标人须知前附表</w:t>
            </w:r>
            <w:r>
              <w:rPr>
                <w:rFonts w:hint="eastAsia" w:ascii="宋体" w:hAnsi="宋体"/>
                <w:b/>
                <w:color w:val="auto"/>
                <w:szCs w:val="21"/>
                <w:highlight w:val="none"/>
                <w:lang w:eastAsia="zh-CN"/>
              </w:rPr>
              <w:t>★</w:t>
            </w:r>
            <w:r>
              <w:rPr>
                <w:rFonts w:hint="eastAsia" w:ascii="宋体" w:hAnsi="宋体"/>
                <w:color w:val="auto"/>
                <w:szCs w:val="21"/>
                <w:highlight w:val="none"/>
              </w:rPr>
              <w:t>5.1</w:t>
            </w:r>
          </w:p>
        </w:tc>
        <w:tc>
          <w:tcPr>
            <w:tcW w:w="1761"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4</w:t>
            </w:r>
          </w:p>
        </w:tc>
        <w:tc>
          <w:tcPr>
            <w:tcW w:w="2160" w:type="dxa"/>
            <w:noWrap w:val="0"/>
            <w:vAlign w:val="center"/>
          </w:tcPr>
          <w:p>
            <w:pPr>
              <w:spacing w:line="400" w:lineRule="exact"/>
              <w:rPr>
                <w:rFonts w:hint="eastAsia" w:ascii="宋体" w:hAnsi="宋体"/>
                <w:color w:val="auto"/>
                <w:szCs w:val="21"/>
                <w:highlight w:val="none"/>
              </w:rPr>
            </w:pPr>
            <w:r>
              <w:rPr>
                <w:rFonts w:hint="eastAsia" w:ascii="宋体" w:hAnsi="宋体"/>
                <w:color w:val="auto"/>
                <w:szCs w:val="21"/>
                <w:highlight w:val="none"/>
              </w:rPr>
              <w:t>投标文件的签署、盖章、</w:t>
            </w:r>
            <w:r>
              <w:rPr>
                <w:rFonts w:hint="eastAsia" w:ascii="宋体" w:hAnsi="宋体"/>
                <w:bCs/>
                <w:color w:val="auto"/>
                <w:szCs w:val="21"/>
                <w:highlight w:val="none"/>
              </w:rPr>
              <w:t>装订及份数</w:t>
            </w:r>
          </w:p>
        </w:tc>
        <w:tc>
          <w:tcPr>
            <w:tcW w:w="4217" w:type="dxa"/>
            <w:noWrap w:val="0"/>
            <w:vAlign w:val="top"/>
          </w:tcPr>
          <w:p>
            <w:pPr>
              <w:spacing w:line="400" w:lineRule="exact"/>
              <w:rPr>
                <w:rFonts w:hint="eastAsia" w:ascii="宋体" w:hAnsi="宋体"/>
                <w:color w:val="auto"/>
                <w:szCs w:val="21"/>
                <w:highlight w:val="none"/>
              </w:rPr>
            </w:pPr>
            <w:r>
              <w:rPr>
                <w:rFonts w:hint="eastAsia" w:ascii="宋体" w:hAnsi="宋体"/>
                <w:bCs/>
                <w:color w:val="auto"/>
                <w:szCs w:val="21"/>
                <w:highlight w:val="none"/>
              </w:rPr>
              <w:t>详见投标人须知7.3投标文件的签署、盖章、装订及份数</w:t>
            </w:r>
          </w:p>
        </w:tc>
        <w:tc>
          <w:tcPr>
            <w:tcW w:w="1761"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5</w:t>
            </w:r>
          </w:p>
        </w:tc>
        <w:tc>
          <w:tcPr>
            <w:tcW w:w="2160" w:type="dxa"/>
            <w:noWrap w:val="0"/>
            <w:vAlign w:val="center"/>
          </w:tcPr>
          <w:p>
            <w:pPr>
              <w:spacing w:line="400" w:lineRule="exact"/>
              <w:rPr>
                <w:rFonts w:hint="eastAsia" w:ascii="宋体" w:hAnsi="宋体"/>
                <w:color w:val="auto"/>
                <w:szCs w:val="21"/>
                <w:highlight w:val="none"/>
              </w:rPr>
            </w:pPr>
            <w:r>
              <w:rPr>
                <w:rFonts w:hint="eastAsia" w:ascii="宋体" w:hAnsi="宋体"/>
                <w:color w:val="auto"/>
                <w:szCs w:val="21"/>
                <w:highlight w:val="none"/>
              </w:rPr>
              <w:t>投标文件组成</w:t>
            </w:r>
          </w:p>
        </w:tc>
        <w:tc>
          <w:tcPr>
            <w:tcW w:w="4217" w:type="dxa"/>
            <w:noWrap w:val="0"/>
            <w:vAlign w:val="top"/>
          </w:tcPr>
          <w:p>
            <w:pPr>
              <w:spacing w:line="400" w:lineRule="exact"/>
              <w:rPr>
                <w:rFonts w:hint="eastAsia" w:ascii="宋体" w:hAnsi="宋体"/>
                <w:color w:val="auto"/>
                <w:szCs w:val="21"/>
                <w:highlight w:val="none"/>
              </w:rPr>
            </w:pPr>
            <w:r>
              <w:rPr>
                <w:rFonts w:hint="eastAsia" w:ascii="宋体" w:hAnsi="宋体"/>
                <w:bCs/>
                <w:color w:val="auto"/>
                <w:szCs w:val="21"/>
                <w:highlight w:val="none"/>
              </w:rPr>
              <w:t>详见投标人须知前附表</w:t>
            </w:r>
            <w:r>
              <w:rPr>
                <w:rFonts w:hint="eastAsia" w:ascii="宋体" w:hAnsi="宋体"/>
                <w:b/>
                <w:color w:val="auto"/>
                <w:szCs w:val="21"/>
                <w:highlight w:val="none"/>
                <w:lang w:eastAsia="zh-CN"/>
              </w:rPr>
              <w:t>★</w:t>
            </w:r>
            <w:r>
              <w:rPr>
                <w:rFonts w:hint="eastAsia" w:ascii="宋体" w:hAnsi="宋体"/>
                <w:color w:val="auto"/>
                <w:szCs w:val="21"/>
                <w:highlight w:val="none"/>
              </w:rPr>
              <w:t>7.1</w:t>
            </w:r>
          </w:p>
        </w:tc>
        <w:tc>
          <w:tcPr>
            <w:tcW w:w="1761"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6</w:t>
            </w:r>
          </w:p>
        </w:tc>
        <w:tc>
          <w:tcPr>
            <w:tcW w:w="2160" w:type="dxa"/>
            <w:noWrap w:val="0"/>
            <w:vAlign w:val="top"/>
          </w:tcPr>
          <w:p>
            <w:pPr>
              <w:spacing w:line="400" w:lineRule="exact"/>
              <w:rPr>
                <w:rFonts w:hint="eastAsia" w:ascii="宋体" w:hAnsi="宋体"/>
                <w:color w:val="auto"/>
                <w:szCs w:val="21"/>
                <w:highlight w:val="none"/>
              </w:rPr>
            </w:pPr>
            <w:r>
              <w:rPr>
                <w:rFonts w:hint="eastAsia" w:ascii="宋体" w:hAnsi="宋体"/>
                <w:color w:val="auto"/>
                <w:szCs w:val="21"/>
                <w:highlight w:val="none"/>
              </w:rPr>
              <w:t>投标报价</w:t>
            </w:r>
          </w:p>
        </w:tc>
        <w:tc>
          <w:tcPr>
            <w:tcW w:w="4217" w:type="dxa"/>
            <w:noWrap w:val="0"/>
            <w:vAlign w:val="top"/>
          </w:tcPr>
          <w:p>
            <w:pPr>
              <w:spacing w:line="400" w:lineRule="exact"/>
              <w:rPr>
                <w:rFonts w:hint="eastAsia" w:ascii="宋体" w:hAnsi="宋体"/>
                <w:color w:val="auto"/>
                <w:szCs w:val="21"/>
                <w:highlight w:val="none"/>
              </w:rPr>
            </w:pPr>
            <w:r>
              <w:rPr>
                <w:rFonts w:hint="eastAsia" w:ascii="宋体" w:hAnsi="宋体"/>
                <w:bCs/>
                <w:color w:val="auto"/>
                <w:szCs w:val="21"/>
                <w:highlight w:val="none"/>
              </w:rPr>
              <w:t>详见投标人须知四、投标报价要求</w:t>
            </w:r>
          </w:p>
        </w:tc>
        <w:tc>
          <w:tcPr>
            <w:tcW w:w="1761"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7</w:t>
            </w:r>
          </w:p>
        </w:tc>
        <w:tc>
          <w:tcPr>
            <w:tcW w:w="2160" w:type="dxa"/>
            <w:noWrap w:val="0"/>
            <w:vAlign w:val="top"/>
          </w:tcPr>
          <w:p>
            <w:pPr>
              <w:spacing w:line="400" w:lineRule="exact"/>
              <w:rPr>
                <w:rFonts w:hint="eastAsia" w:ascii="宋体" w:hAnsi="宋体"/>
                <w:color w:val="auto"/>
                <w:szCs w:val="21"/>
                <w:highlight w:val="none"/>
              </w:rPr>
            </w:pPr>
            <w:r>
              <w:rPr>
                <w:rFonts w:hint="eastAsia" w:ascii="宋体" w:hAnsi="宋体"/>
                <w:color w:val="auto"/>
                <w:szCs w:val="21"/>
                <w:highlight w:val="none"/>
              </w:rPr>
              <w:t>商务实质性条款（带</w:t>
            </w:r>
            <w:r>
              <w:rPr>
                <w:rFonts w:hint="eastAsia" w:ascii="宋体" w:hAnsi="宋体"/>
                <w:color w:val="auto"/>
                <w:szCs w:val="21"/>
                <w:highlight w:val="none"/>
                <w:lang w:eastAsia="zh-CN"/>
              </w:rPr>
              <w:t>★</w:t>
            </w:r>
            <w:r>
              <w:rPr>
                <w:rFonts w:hint="eastAsia" w:ascii="宋体" w:hAnsi="宋体"/>
                <w:color w:val="auto"/>
                <w:szCs w:val="21"/>
                <w:highlight w:val="none"/>
              </w:rPr>
              <w:t>号条款）</w:t>
            </w:r>
          </w:p>
        </w:tc>
        <w:tc>
          <w:tcPr>
            <w:tcW w:w="4217" w:type="dxa"/>
            <w:noWrap w:val="0"/>
            <w:vAlign w:val="top"/>
          </w:tcPr>
          <w:p>
            <w:pPr>
              <w:spacing w:line="400" w:lineRule="exact"/>
              <w:rPr>
                <w:rFonts w:hint="eastAsia" w:ascii="宋体" w:hAnsi="宋体"/>
                <w:color w:val="auto"/>
                <w:szCs w:val="21"/>
                <w:highlight w:val="none"/>
              </w:rPr>
            </w:pPr>
            <w:r>
              <w:rPr>
                <w:rFonts w:hint="eastAsia" w:ascii="宋体" w:hAnsi="宋体"/>
                <w:color w:val="auto"/>
                <w:szCs w:val="21"/>
                <w:highlight w:val="none"/>
              </w:rPr>
              <w:t>详见第二章采购需求</w:t>
            </w:r>
          </w:p>
        </w:tc>
        <w:tc>
          <w:tcPr>
            <w:tcW w:w="1761"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8</w:t>
            </w:r>
          </w:p>
        </w:tc>
        <w:tc>
          <w:tcPr>
            <w:tcW w:w="2160" w:type="dxa"/>
            <w:noWrap w:val="0"/>
            <w:vAlign w:val="top"/>
          </w:tcPr>
          <w:p>
            <w:pPr>
              <w:spacing w:line="400" w:lineRule="exact"/>
              <w:rPr>
                <w:rFonts w:hint="eastAsia" w:ascii="宋体" w:hAnsi="宋体"/>
                <w:color w:val="auto"/>
                <w:szCs w:val="21"/>
                <w:highlight w:val="none"/>
              </w:rPr>
            </w:pPr>
            <w:r>
              <w:rPr>
                <w:rFonts w:hint="eastAsia" w:ascii="宋体" w:hAnsi="宋体"/>
                <w:color w:val="auto"/>
                <w:szCs w:val="21"/>
                <w:highlight w:val="none"/>
              </w:rPr>
              <w:t>技术实质性条款（带</w:t>
            </w:r>
            <w:r>
              <w:rPr>
                <w:rFonts w:hint="eastAsia" w:ascii="宋体" w:hAnsi="宋体"/>
                <w:color w:val="auto"/>
                <w:szCs w:val="21"/>
                <w:highlight w:val="none"/>
                <w:lang w:eastAsia="zh-CN"/>
              </w:rPr>
              <w:t>★</w:t>
            </w:r>
            <w:r>
              <w:rPr>
                <w:rFonts w:hint="eastAsia" w:ascii="宋体" w:hAnsi="宋体"/>
                <w:color w:val="auto"/>
                <w:szCs w:val="21"/>
                <w:highlight w:val="none"/>
              </w:rPr>
              <w:t>号条款）</w:t>
            </w:r>
          </w:p>
        </w:tc>
        <w:tc>
          <w:tcPr>
            <w:tcW w:w="4217" w:type="dxa"/>
            <w:noWrap w:val="0"/>
            <w:vAlign w:val="top"/>
          </w:tcPr>
          <w:p>
            <w:pPr>
              <w:spacing w:line="400" w:lineRule="exact"/>
              <w:rPr>
                <w:rFonts w:hint="eastAsia" w:ascii="宋体" w:hAnsi="宋体"/>
                <w:color w:val="auto"/>
                <w:szCs w:val="21"/>
                <w:highlight w:val="none"/>
              </w:rPr>
            </w:pPr>
            <w:r>
              <w:rPr>
                <w:rFonts w:hint="eastAsia" w:ascii="宋体" w:hAnsi="宋体"/>
                <w:color w:val="auto"/>
                <w:szCs w:val="21"/>
                <w:highlight w:val="none"/>
              </w:rPr>
              <w:t>详见第二章采购需求</w:t>
            </w:r>
          </w:p>
        </w:tc>
        <w:tc>
          <w:tcPr>
            <w:tcW w:w="1761"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9</w:t>
            </w:r>
          </w:p>
        </w:tc>
        <w:tc>
          <w:tcPr>
            <w:tcW w:w="2160" w:type="dxa"/>
            <w:noWrap w:val="0"/>
            <w:vAlign w:val="top"/>
          </w:tcPr>
          <w:p>
            <w:pPr>
              <w:spacing w:line="400" w:lineRule="exact"/>
              <w:rPr>
                <w:rFonts w:hint="eastAsia" w:ascii="宋体" w:hAnsi="宋体"/>
                <w:color w:val="auto"/>
                <w:szCs w:val="21"/>
                <w:highlight w:val="none"/>
              </w:rPr>
            </w:pPr>
            <w:r>
              <w:rPr>
                <w:rFonts w:hint="eastAsia" w:ascii="宋体" w:hAnsi="宋体"/>
                <w:color w:val="auto"/>
                <w:szCs w:val="21"/>
                <w:highlight w:val="none"/>
              </w:rPr>
              <w:t>其他无效投标认定情形</w:t>
            </w:r>
          </w:p>
        </w:tc>
        <w:tc>
          <w:tcPr>
            <w:tcW w:w="4217" w:type="dxa"/>
            <w:noWrap w:val="0"/>
            <w:vAlign w:val="top"/>
          </w:tcPr>
          <w:p>
            <w:pPr>
              <w:spacing w:line="400" w:lineRule="exact"/>
              <w:rPr>
                <w:rFonts w:hint="eastAsia" w:ascii="宋体" w:hAnsi="宋体"/>
                <w:color w:val="auto"/>
                <w:szCs w:val="21"/>
                <w:highlight w:val="none"/>
              </w:rPr>
            </w:pPr>
            <w:r>
              <w:rPr>
                <w:rFonts w:hint="eastAsia" w:ascii="宋体" w:hAnsi="宋体"/>
                <w:bCs/>
                <w:color w:val="auto"/>
                <w:szCs w:val="21"/>
                <w:highlight w:val="none"/>
              </w:rPr>
              <w:t>详见本章四、评标过程中投标无效的认定及采购文件</w:t>
            </w:r>
          </w:p>
        </w:tc>
        <w:tc>
          <w:tcPr>
            <w:tcW w:w="1761"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10</w:t>
            </w:r>
          </w:p>
        </w:tc>
        <w:tc>
          <w:tcPr>
            <w:tcW w:w="2160" w:type="dxa"/>
            <w:noWrap w:val="0"/>
            <w:vAlign w:val="top"/>
          </w:tcPr>
          <w:p>
            <w:pPr>
              <w:spacing w:line="360" w:lineRule="exact"/>
              <w:rPr>
                <w:rFonts w:hint="eastAsia" w:ascii="宋体" w:hAnsi="宋体"/>
                <w:color w:val="auto"/>
                <w:szCs w:val="21"/>
                <w:highlight w:val="none"/>
              </w:rPr>
            </w:pPr>
            <w:r>
              <w:rPr>
                <w:rFonts w:hint="eastAsia" w:ascii="宋体" w:hAnsi="宋体"/>
                <w:color w:val="auto"/>
                <w:szCs w:val="21"/>
                <w:highlight w:val="none"/>
              </w:rPr>
              <w:t>本项目不接受联合体投标</w:t>
            </w:r>
          </w:p>
        </w:tc>
        <w:tc>
          <w:tcPr>
            <w:tcW w:w="4217" w:type="dxa"/>
            <w:noWrap w:val="0"/>
            <w:vAlign w:val="top"/>
          </w:tcPr>
          <w:p>
            <w:pPr>
              <w:spacing w:line="360" w:lineRule="exact"/>
              <w:rPr>
                <w:rFonts w:hint="eastAsia" w:ascii="宋体" w:hAnsi="宋体"/>
                <w:bCs/>
                <w:color w:val="auto"/>
                <w:szCs w:val="21"/>
                <w:highlight w:val="none"/>
              </w:rPr>
            </w:pPr>
            <w:r>
              <w:rPr>
                <w:rFonts w:hint="eastAsia" w:ascii="宋体" w:hAnsi="宋体"/>
                <w:bCs/>
                <w:color w:val="auto"/>
                <w:szCs w:val="21"/>
                <w:highlight w:val="none"/>
              </w:rPr>
              <w:t>关于资格的承诺函</w:t>
            </w:r>
          </w:p>
        </w:tc>
        <w:tc>
          <w:tcPr>
            <w:tcW w:w="1761" w:type="dxa"/>
            <w:noWrap w:val="0"/>
            <w:vAlign w:val="top"/>
          </w:tcPr>
          <w:p>
            <w:pPr>
              <w:spacing w:line="40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5" w:type="dxa"/>
            <w:gridSpan w:val="3"/>
            <w:noWrap w:val="0"/>
            <w:vAlign w:val="center"/>
          </w:tcPr>
          <w:p>
            <w:pPr>
              <w:spacing w:line="400" w:lineRule="exact"/>
              <w:jc w:val="center"/>
              <w:rPr>
                <w:rFonts w:hint="eastAsia" w:ascii="宋体" w:hAnsi="宋体"/>
                <w:bCs/>
                <w:color w:val="auto"/>
                <w:szCs w:val="21"/>
                <w:highlight w:val="none"/>
              </w:rPr>
            </w:pPr>
            <w:r>
              <w:rPr>
                <w:rFonts w:hint="eastAsia" w:ascii="宋体" w:hAnsi="宋体"/>
                <w:color w:val="auto"/>
                <w:szCs w:val="21"/>
                <w:highlight w:val="none"/>
              </w:rPr>
              <w:t>审查结论（合格/不合格）</w:t>
            </w:r>
          </w:p>
        </w:tc>
        <w:tc>
          <w:tcPr>
            <w:tcW w:w="1761" w:type="dxa"/>
            <w:noWrap w:val="0"/>
            <w:vAlign w:val="top"/>
          </w:tcPr>
          <w:p>
            <w:pPr>
              <w:spacing w:line="400" w:lineRule="exact"/>
              <w:rPr>
                <w:rFonts w:hint="eastAsia" w:ascii="宋体" w:hAnsi="宋体"/>
                <w:color w:val="auto"/>
                <w:szCs w:val="21"/>
                <w:highlight w:val="none"/>
              </w:rPr>
            </w:pPr>
          </w:p>
        </w:tc>
      </w:tr>
    </w:tbl>
    <w:p>
      <w:pPr>
        <w:spacing w:line="400" w:lineRule="exact"/>
        <w:rPr>
          <w:rFonts w:hint="eastAsia" w:ascii="宋体" w:hAnsi="宋体"/>
          <w:b/>
          <w:bCs/>
          <w:color w:val="auto"/>
          <w:szCs w:val="21"/>
          <w:highlight w:val="none"/>
        </w:rPr>
      </w:pPr>
    </w:p>
    <w:p>
      <w:pPr>
        <w:spacing w:line="400" w:lineRule="exact"/>
        <w:rPr>
          <w:rFonts w:hint="eastAsia" w:ascii="宋体" w:hAnsi="宋体"/>
          <w:color w:val="auto"/>
          <w:szCs w:val="21"/>
          <w:highlight w:val="none"/>
        </w:rPr>
      </w:pPr>
      <w:r>
        <w:rPr>
          <w:rFonts w:hint="eastAsia" w:ascii="宋体" w:hAnsi="宋体"/>
          <w:b/>
          <w:bCs/>
          <w:color w:val="auto"/>
          <w:szCs w:val="21"/>
          <w:highlight w:val="none"/>
        </w:rPr>
        <w:t>（三）澄清或者说明</w:t>
      </w:r>
    </w:p>
    <w:p>
      <w:pPr>
        <w:spacing w:line="400" w:lineRule="exact"/>
        <w:rPr>
          <w:rFonts w:hint="eastAsia" w:ascii="宋体" w:hAnsi="宋体"/>
          <w:color w:val="auto"/>
          <w:szCs w:val="21"/>
          <w:highlight w:val="none"/>
        </w:rPr>
      </w:pPr>
      <w:r>
        <w:rPr>
          <w:rFonts w:hint="eastAsia" w:ascii="宋体" w:hAnsi="宋体"/>
          <w:color w:val="auto"/>
          <w:szCs w:val="21"/>
          <w:highlight w:val="none"/>
        </w:rPr>
        <w:t>1、对投标文件审查中发现的投标文件表达含义不明确、同类问题表述不一致或者有明显文字和计算错误的内容，评标委员会应当书面形式要求供应商作出必要的澄清、说明或者补正。</w:t>
      </w:r>
    </w:p>
    <w:p>
      <w:pPr>
        <w:spacing w:line="400" w:lineRule="exact"/>
        <w:rPr>
          <w:rFonts w:hint="eastAsia" w:ascii="宋体" w:hAnsi="宋体"/>
          <w:color w:val="auto"/>
          <w:szCs w:val="21"/>
          <w:highlight w:val="none"/>
        </w:rPr>
      </w:pPr>
      <w:r>
        <w:rPr>
          <w:rFonts w:hint="eastAsia" w:ascii="宋体" w:hAnsi="宋体"/>
          <w:color w:val="auto"/>
          <w:szCs w:val="21"/>
          <w:highlight w:val="none"/>
        </w:rPr>
        <w:t>2、供应商的澄清、说明或者补正应当采用书面形式，并加盖公章，或者由法定代表人或其委托代理人的签字。供应商的澄清、说明或者补正不得超出投标文件的范围或者改变投标文件的实质性内容。</w:t>
      </w:r>
    </w:p>
    <w:p>
      <w:pPr>
        <w:spacing w:line="400" w:lineRule="exact"/>
        <w:rPr>
          <w:rFonts w:hint="eastAsia" w:ascii="宋体" w:hAnsi="宋体"/>
          <w:color w:val="auto"/>
          <w:szCs w:val="21"/>
          <w:highlight w:val="none"/>
        </w:rPr>
      </w:pPr>
      <w:r>
        <w:rPr>
          <w:rFonts w:hint="eastAsia" w:ascii="宋体" w:hAnsi="宋体"/>
          <w:color w:val="auto"/>
          <w:szCs w:val="21"/>
          <w:highlight w:val="none"/>
        </w:rPr>
        <w:t>3、若供应商未响应澄清安排的通知进行答疑和澄清，将被视作自动放弃。</w:t>
      </w:r>
    </w:p>
    <w:p>
      <w:pPr>
        <w:spacing w:line="400" w:lineRule="exact"/>
        <w:rPr>
          <w:rFonts w:hint="eastAsia" w:ascii="宋体"/>
          <w:color w:val="auto"/>
          <w:szCs w:val="21"/>
          <w:highlight w:val="none"/>
        </w:rPr>
      </w:pPr>
      <w:r>
        <w:rPr>
          <w:rFonts w:hint="eastAsia" w:ascii="宋体"/>
          <w:color w:val="auto"/>
          <w:szCs w:val="21"/>
          <w:highlight w:val="none"/>
        </w:rPr>
        <w:t>4、政采云具体操作如下：</w:t>
      </w:r>
    </w:p>
    <w:p>
      <w:pPr>
        <w:spacing w:line="400" w:lineRule="exact"/>
        <w:rPr>
          <w:rFonts w:hint="eastAsia" w:ascii="宋体"/>
          <w:color w:val="auto"/>
          <w:szCs w:val="21"/>
          <w:highlight w:val="none"/>
        </w:rPr>
      </w:pPr>
      <w:r>
        <w:rPr>
          <w:rFonts w:hint="eastAsia" w:ascii="宋体"/>
          <w:color w:val="auto"/>
          <w:szCs w:val="21"/>
          <w:highlight w:val="none"/>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rPr>
          <w:rFonts w:hint="eastAsia" w:ascii="宋体"/>
          <w:color w:val="auto"/>
          <w:szCs w:val="21"/>
          <w:highlight w:val="none"/>
        </w:rPr>
      </w:pPr>
      <w:r>
        <w:rPr>
          <w:rFonts w:hint="eastAsia" w:ascii="宋体"/>
          <w:color w:val="auto"/>
          <w:szCs w:val="21"/>
          <w:highlight w:val="none"/>
        </w:rPr>
        <w:t>路径：用户中心—项目采购—询标澄清</w:t>
      </w:r>
    </w:p>
    <w:p>
      <w:pPr>
        <w:spacing w:line="400" w:lineRule="exact"/>
        <w:rPr>
          <w:rFonts w:hint="eastAsia" w:ascii="宋体"/>
          <w:color w:val="auto"/>
          <w:szCs w:val="21"/>
          <w:highlight w:val="none"/>
        </w:rPr>
      </w:pPr>
      <w:r>
        <w:rPr>
          <w:rFonts w:hint="eastAsia" w:ascii="宋体"/>
          <w:color w:val="auto"/>
          <w:szCs w:val="21"/>
          <w:highlight w:val="none"/>
        </w:rPr>
        <w:t>（1）政采云平台通过待办事项和短信提醒供应商在截止时间前完成澄清。</w:t>
      </w:r>
    </w:p>
    <w:p>
      <w:pPr>
        <w:spacing w:line="400" w:lineRule="exact"/>
        <w:rPr>
          <w:rFonts w:hint="eastAsia" w:ascii="宋体"/>
          <w:color w:val="auto"/>
          <w:szCs w:val="21"/>
          <w:highlight w:val="none"/>
        </w:rPr>
      </w:pPr>
      <w:r>
        <w:rPr>
          <w:rFonts w:hint="eastAsia" w:ascii="宋体"/>
          <w:color w:val="auto"/>
          <w:szCs w:val="21"/>
          <w:highlight w:val="none"/>
        </w:rPr>
        <w:t>（2）供应商在“询标澄清-待办理”标签页下选择状态为“待澄清”的项目，点击操作栏【澄清】。</w:t>
      </w:r>
    </w:p>
    <w:p>
      <w:pPr>
        <w:spacing w:line="400" w:lineRule="exact"/>
        <w:rPr>
          <w:rFonts w:hint="eastAsia" w:ascii="宋体"/>
          <w:color w:val="auto"/>
          <w:szCs w:val="21"/>
          <w:highlight w:val="none"/>
        </w:rPr>
      </w:pPr>
      <w:r>
        <w:rPr>
          <w:rFonts w:hint="eastAsia" w:ascii="宋体"/>
          <w:color w:val="auto"/>
          <w:szCs w:val="21"/>
          <w:highlight w:val="none"/>
        </w:rPr>
        <w:t>（3）查看函内容，在澄清截止时间前上传澄清文件并对澄清文件进行签章。（注：澄清文件必须以PDF格式上传，文件大小：50M）</w:t>
      </w:r>
    </w:p>
    <w:p>
      <w:pPr>
        <w:spacing w:line="400" w:lineRule="exact"/>
        <w:rPr>
          <w:rFonts w:hint="eastAsia" w:ascii="宋体"/>
          <w:color w:val="auto"/>
          <w:szCs w:val="21"/>
          <w:highlight w:val="none"/>
        </w:rPr>
      </w:pPr>
      <w:r>
        <w:rPr>
          <w:rFonts w:hint="eastAsia" w:ascii="宋体"/>
          <w:color w:val="auto"/>
          <w:szCs w:val="21"/>
          <w:highlight w:val="none"/>
        </w:rPr>
        <w:t>（4）签章完成，文件名称处显示“已签章”，供应商可“撤回签章”修改澄清函和“查看文件”。</w:t>
      </w:r>
    </w:p>
    <w:p>
      <w:pPr>
        <w:spacing w:line="400" w:lineRule="exact"/>
        <w:rPr>
          <w:rFonts w:hint="eastAsia" w:ascii="宋体"/>
          <w:color w:val="auto"/>
          <w:szCs w:val="21"/>
          <w:highlight w:val="none"/>
        </w:rPr>
      </w:pPr>
      <w:r>
        <w:rPr>
          <w:rFonts w:hint="eastAsia" w:ascii="宋体"/>
          <w:color w:val="auto"/>
          <w:szCs w:val="21"/>
          <w:highlight w:val="none"/>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rPr>
          <w:rFonts w:hint="eastAsia" w:ascii="宋体" w:hAnsi="宋体"/>
          <w:color w:val="auto"/>
          <w:szCs w:val="21"/>
          <w:highlight w:val="none"/>
        </w:rPr>
      </w:pPr>
      <w:r>
        <w:rPr>
          <w:rFonts w:hint="eastAsia" w:ascii="宋体"/>
          <w:color w:val="auto"/>
          <w:szCs w:val="21"/>
          <w:highlight w:val="none"/>
        </w:rPr>
        <w:t>（6）完成状态：供应商澄清文件提交成功后，在“询标澄清-全部”标签页下显示状态为“已澄清”。</w:t>
      </w:r>
    </w:p>
    <w:p>
      <w:pPr>
        <w:spacing w:line="400" w:lineRule="exact"/>
        <w:rPr>
          <w:rFonts w:hint="eastAsia" w:ascii="宋体" w:hAnsi="宋体"/>
          <w:b/>
          <w:bCs/>
          <w:color w:val="auto"/>
          <w:szCs w:val="21"/>
          <w:highlight w:val="none"/>
        </w:rPr>
      </w:pPr>
      <w:r>
        <w:rPr>
          <w:rFonts w:hint="eastAsia" w:ascii="宋体" w:hAnsi="宋体"/>
          <w:b/>
          <w:bCs/>
          <w:color w:val="auto"/>
          <w:szCs w:val="21"/>
          <w:highlight w:val="none"/>
        </w:rPr>
        <w:t>（四）投标文件比较和评价</w:t>
      </w:r>
    </w:p>
    <w:p>
      <w:pPr>
        <w:spacing w:line="400" w:lineRule="exact"/>
        <w:rPr>
          <w:rFonts w:hint="eastAsia" w:ascii="宋体" w:hAnsi="宋体"/>
          <w:color w:val="auto"/>
          <w:szCs w:val="21"/>
          <w:highlight w:val="none"/>
        </w:rPr>
      </w:pPr>
      <w:r>
        <w:rPr>
          <w:rFonts w:hint="eastAsia" w:ascii="宋体" w:hAnsi="宋体"/>
          <w:color w:val="auto"/>
          <w:szCs w:val="21"/>
          <w:highlight w:val="none"/>
        </w:rPr>
        <w:t>1、由评标委员会按照采购文件的要求和“评标标准（兼评委打分表）”对照投标人投标文件的响应进行技术资信商务比较和评价，评定其偏离性质和程度，并对其技术资信商务进行评分。</w:t>
      </w:r>
    </w:p>
    <w:p>
      <w:pPr>
        <w:spacing w:line="400" w:lineRule="exact"/>
        <w:rPr>
          <w:rFonts w:hint="eastAsia" w:ascii="宋体" w:hAnsi="宋体"/>
          <w:color w:val="auto"/>
          <w:szCs w:val="21"/>
          <w:highlight w:val="none"/>
        </w:rPr>
      </w:pPr>
      <w:r>
        <w:rPr>
          <w:rFonts w:hint="eastAsia" w:ascii="宋体" w:hAnsi="宋体"/>
          <w:color w:val="auto"/>
          <w:szCs w:val="21"/>
          <w:highlight w:val="none"/>
        </w:rPr>
        <w:t>2、 综合评分：计算各投标人的价格得分。评标委员会成员对各投标人进行综合评分。各投标人的综合评分=技术资信商务分+价格分</w:t>
      </w:r>
    </w:p>
    <w:p>
      <w:pPr>
        <w:spacing w:line="400" w:lineRule="exact"/>
        <w:rPr>
          <w:rFonts w:ascii="宋体" w:hAnsi="宋体"/>
          <w:color w:val="auto"/>
          <w:szCs w:val="21"/>
          <w:highlight w:val="none"/>
        </w:rPr>
      </w:pPr>
      <w:r>
        <w:rPr>
          <w:rFonts w:hint="eastAsia" w:ascii="宋体" w:hAnsi="宋体"/>
          <w:b/>
          <w:bCs/>
          <w:color w:val="auto"/>
          <w:szCs w:val="21"/>
          <w:highlight w:val="none"/>
        </w:rPr>
        <w:t>（五）确定中标候选人名单</w:t>
      </w:r>
    </w:p>
    <w:p>
      <w:pPr>
        <w:spacing w:line="400" w:lineRule="exact"/>
        <w:rPr>
          <w:rFonts w:hint="eastAsia" w:ascii="宋体" w:hAnsi="宋体"/>
          <w:color w:val="auto"/>
          <w:szCs w:val="21"/>
          <w:highlight w:val="none"/>
        </w:rPr>
      </w:pPr>
      <w:r>
        <w:rPr>
          <w:rFonts w:hint="eastAsia" w:ascii="宋体" w:hAnsi="宋体"/>
          <w:color w:val="auto"/>
          <w:szCs w:val="21"/>
          <w:highlight w:val="none"/>
        </w:rPr>
        <w:t>1、由评标委员会负责计算各投标人最终得分：计算各评标委员会成员对各投标人的综合评分的算术平均值（保留小数点后二位）。</w:t>
      </w:r>
    </w:p>
    <w:p>
      <w:pPr>
        <w:spacing w:line="400" w:lineRule="exact"/>
        <w:rPr>
          <w:rFonts w:hint="eastAsia" w:ascii="宋体" w:hAnsi="宋体"/>
          <w:color w:val="auto"/>
          <w:szCs w:val="21"/>
          <w:highlight w:val="none"/>
        </w:rPr>
      </w:pPr>
      <w:r>
        <w:rPr>
          <w:rFonts w:hint="eastAsia" w:ascii="宋体" w:hAnsi="宋体"/>
          <w:color w:val="auto"/>
          <w:szCs w:val="21"/>
          <w:highlight w:val="none"/>
        </w:rPr>
        <w:t>2、评标结果排序：按照各投标人最终得分由高到低顺序排列。得分相同的，按投标报价由低到高顺序排列。得分且投标报价相同的并列。</w:t>
      </w:r>
    </w:p>
    <w:p>
      <w:pPr>
        <w:spacing w:line="400" w:lineRule="exact"/>
        <w:rPr>
          <w:rFonts w:hint="eastAsia" w:ascii="宋体" w:hAnsi="宋体"/>
          <w:color w:val="auto"/>
          <w:szCs w:val="21"/>
          <w:highlight w:val="none"/>
        </w:rPr>
      </w:pPr>
      <w:r>
        <w:rPr>
          <w:rFonts w:hint="eastAsia" w:ascii="宋体" w:hAnsi="宋体"/>
          <w:color w:val="auto"/>
          <w:szCs w:val="21"/>
          <w:highlight w:val="none"/>
        </w:rPr>
        <w:t>3、确定中标候选人名单：投标文件满足采购文件全部实质性要求，且按照评审因素的量化指标按评标结果排序推荐中标候选人，最终得分排名第一的候选人为中标人。</w:t>
      </w:r>
    </w:p>
    <w:p>
      <w:pPr>
        <w:spacing w:line="400" w:lineRule="exact"/>
        <w:rPr>
          <w:rFonts w:hint="eastAsia" w:ascii="宋体" w:hAnsi="宋体"/>
          <w:b/>
          <w:bCs/>
          <w:color w:val="auto"/>
          <w:szCs w:val="21"/>
          <w:highlight w:val="none"/>
        </w:rPr>
      </w:pPr>
      <w:r>
        <w:rPr>
          <w:rFonts w:hint="eastAsia" w:ascii="宋体" w:hAnsi="宋体"/>
          <w:b/>
          <w:bCs/>
          <w:color w:val="auto"/>
          <w:szCs w:val="21"/>
          <w:highlight w:val="none"/>
        </w:rPr>
        <w:t>（六）编写评标报告</w:t>
      </w:r>
    </w:p>
    <w:p>
      <w:pPr>
        <w:spacing w:line="400" w:lineRule="exact"/>
        <w:rPr>
          <w:rFonts w:hint="eastAsia" w:ascii="宋体" w:hAnsi="宋体"/>
          <w:color w:val="auto"/>
          <w:szCs w:val="21"/>
          <w:highlight w:val="none"/>
        </w:rPr>
      </w:pPr>
      <w:r>
        <w:rPr>
          <w:rFonts w:hint="eastAsia" w:ascii="宋体" w:hAnsi="宋体"/>
          <w:color w:val="auto"/>
          <w:szCs w:val="21"/>
          <w:highlight w:val="none"/>
        </w:rPr>
        <w:t>1、评标委员会根据全体评标成员签字的原始评标记录和评标结果编写评标报告；</w:t>
      </w:r>
    </w:p>
    <w:p>
      <w:pPr>
        <w:spacing w:line="400" w:lineRule="exact"/>
        <w:rPr>
          <w:rFonts w:hint="eastAsia" w:ascii="宋体" w:hAnsi="宋体"/>
          <w:color w:val="auto"/>
          <w:szCs w:val="21"/>
          <w:highlight w:val="none"/>
        </w:rPr>
      </w:pPr>
      <w:r>
        <w:rPr>
          <w:rFonts w:hint="eastAsia" w:ascii="宋体" w:hAnsi="宋体"/>
          <w:color w:val="auto"/>
          <w:szCs w:val="21"/>
          <w:highlight w:val="none"/>
        </w:rPr>
        <w:t>2、评标结束。</w:t>
      </w:r>
    </w:p>
    <w:p>
      <w:pPr>
        <w:spacing w:line="400" w:lineRule="exact"/>
        <w:jc w:val="center"/>
        <w:outlineLvl w:val="0"/>
        <w:rPr>
          <w:rFonts w:ascii="宋体" w:hAnsi="宋体"/>
          <w:color w:val="auto"/>
          <w:szCs w:val="21"/>
          <w:highlight w:val="none"/>
        </w:rPr>
      </w:pPr>
      <w:r>
        <w:rPr>
          <w:rFonts w:hint="eastAsia" w:ascii="宋体" w:hAnsi="宋体"/>
          <w:b/>
          <w:color w:val="auto"/>
          <w:szCs w:val="21"/>
          <w:highlight w:val="none"/>
        </w:rPr>
        <w:br w:type="page"/>
      </w:r>
      <w:bookmarkStart w:id="33" w:name="_Toc9951"/>
      <w:r>
        <w:rPr>
          <w:rFonts w:hint="eastAsia" w:ascii="宋体" w:hAnsi="宋体"/>
          <w:b/>
          <w:color w:val="auto"/>
          <w:szCs w:val="21"/>
          <w:highlight w:val="none"/>
        </w:rPr>
        <w:t>评分标准（兼评委打分表）</w:t>
      </w:r>
      <w:bookmarkEnd w:id="33"/>
    </w:p>
    <w:tbl>
      <w:tblPr>
        <w:tblStyle w:val="39"/>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182"/>
        <w:gridCol w:w="717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917" w:type="dxa"/>
            <w:gridSpan w:val="3"/>
            <w:tcBorders>
              <w:top w:val="double" w:color="auto" w:sz="4" w:space="0"/>
              <w:left w:val="double" w:color="auto" w:sz="4" w:space="0"/>
              <w:bottom w:val="single" w:color="auto" w:sz="4" w:space="0"/>
              <w:right w:val="single" w:color="auto" w:sz="4" w:space="0"/>
              <w:tl2br w:val="single" w:color="000000" w:sz="4" w:space="0"/>
            </w:tcBorders>
            <w:noWrap w:val="0"/>
            <w:vAlign w:val="top"/>
          </w:tcPr>
          <w:p>
            <w:pPr>
              <w:spacing w:line="300" w:lineRule="exact"/>
              <w:ind w:right="420" w:firstLine="5040" w:firstLineChars="2400"/>
              <w:rPr>
                <w:rFonts w:ascii="宋体" w:hAnsi="宋体" w:eastAsia="宋体" w:cs="Times New Roman"/>
                <w:color w:val="auto"/>
                <w:szCs w:val="21"/>
              </w:rPr>
            </w:pPr>
            <w:r>
              <w:rPr>
                <w:rFonts w:hint="eastAsia" w:ascii="宋体" w:hAnsi="宋体" w:eastAsia="宋体" w:cs="Times New Roman"/>
                <w:color w:val="auto"/>
                <w:szCs w:val="21"/>
              </w:rPr>
              <w:t>投标单位</w:t>
            </w:r>
          </w:p>
          <w:p>
            <w:pPr>
              <w:spacing w:line="300" w:lineRule="exact"/>
              <w:rPr>
                <w:rFonts w:ascii="宋体" w:hAnsi="宋体" w:eastAsia="宋体" w:cs="Times New Roman"/>
                <w:color w:val="auto"/>
                <w:szCs w:val="21"/>
                <w:lang w:val="ru-RU"/>
              </w:rPr>
            </w:pPr>
            <w:r>
              <w:rPr>
                <w:rFonts w:hint="eastAsia" w:ascii="宋体" w:hAnsi="宋体" w:eastAsia="宋体" w:cs="Times New Roman"/>
                <w:color w:val="auto"/>
                <w:szCs w:val="21"/>
              </w:rPr>
              <w:t>分值</w:t>
            </w:r>
          </w:p>
        </w:tc>
        <w:tc>
          <w:tcPr>
            <w:tcW w:w="599" w:type="dxa"/>
            <w:tcBorders>
              <w:top w:val="doub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56" w:type="dxa"/>
            <w:vMerge w:val="restart"/>
            <w:tcBorders>
              <w:top w:val="single" w:color="auto" w:sz="4" w:space="0"/>
              <w:left w:val="double" w:color="auto" w:sz="4" w:space="0"/>
              <w:right w:val="single" w:color="auto" w:sz="4" w:space="0"/>
            </w:tcBorders>
            <w:noWrap w:val="0"/>
            <w:vAlign w:val="center"/>
          </w:tcPr>
          <w:p>
            <w:pPr>
              <w:spacing w:line="300" w:lineRule="exact"/>
              <w:jc w:val="center"/>
              <w:rPr>
                <w:rFonts w:ascii="宋体" w:hAnsi="宋体" w:eastAsia="宋体" w:cs="Times New Roman"/>
                <w:color w:val="auto"/>
                <w:szCs w:val="21"/>
              </w:rPr>
            </w:pPr>
            <w:r>
              <w:rPr>
                <w:rFonts w:hint="eastAsia" w:ascii="宋体" w:hAnsi="宋体" w:eastAsia="宋体" w:cs="Times New Roman"/>
                <w:color w:val="auto"/>
                <w:szCs w:val="21"/>
              </w:rPr>
              <w:t>技术资信商务分</w:t>
            </w:r>
            <w:r>
              <w:rPr>
                <w:rFonts w:hint="eastAsia" w:ascii="宋体" w:hAnsi="宋体" w:eastAsia="宋体" w:cs="Times New Roman"/>
                <w:color w:val="auto"/>
                <w:szCs w:val="21"/>
                <w:lang w:val="en-US" w:eastAsia="zh-CN"/>
              </w:rPr>
              <w:t>80</w:t>
            </w:r>
            <w:r>
              <w:rPr>
                <w:rFonts w:hint="eastAsia" w:ascii="宋体" w:hAnsi="宋体" w:eastAsia="宋体" w:cs="Times New Roman"/>
                <w:color w:val="auto"/>
                <w:szCs w:val="21"/>
              </w:rPr>
              <w:t>分</w:t>
            </w:r>
          </w:p>
        </w:tc>
        <w:tc>
          <w:tcPr>
            <w:tcW w:w="83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Times New Roman"/>
                <w:color w:val="auto"/>
                <w:szCs w:val="21"/>
              </w:rPr>
            </w:pPr>
            <w:r>
              <w:rPr>
                <w:rFonts w:hint="eastAsia" w:ascii="宋体" w:hAnsi="宋体" w:eastAsia="宋体" w:cs="Times New Roman"/>
                <w:b/>
                <w:color w:val="auto"/>
                <w:szCs w:val="21"/>
              </w:rPr>
              <w:t>招标需求（</w:t>
            </w:r>
            <w:r>
              <w:rPr>
                <w:rFonts w:hint="eastAsia" w:ascii="宋体" w:hAnsi="宋体" w:eastAsia="宋体" w:cs="Times New Roman"/>
                <w:b/>
                <w:color w:val="auto"/>
                <w:szCs w:val="21"/>
                <w:lang w:val="en-US" w:eastAsia="zh-CN"/>
              </w:rPr>
              <w:t>26</w:t>
            </w:r>
            <w:r>
              <w:rPr>
                <w:rFonts w:hint="eastAsia" w:ascii="宋体" w:hAnsi="宋体" w:eastAsia="宋体" w:cs="Times New Roman"/>
                <w:b/>
                <w:color w:val="auto"/>
                <w:szCs w:val="21"/>
              </w:rPr>
              <w:t>分）</w:t>
            </w:r>
            <w:r>
              <w:rPr>
                <w:rFonts w:hint="eastAsia" w:ascii="宋体" w:hAnsi="宋体" w:eastAsia="宋体" w:cs="Times New Roman"/>
                <w:color w:val="auto"/>
                <w:szCs w:val="21"/>
              </w:rPr>
              <w:t>：</w:t>
            </w:r>
          </w:p>
          <w:p>
            <w:pPr>
              <w:spacing w:line="300" w:lineRule="exact"/>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rPr>
              <w:t>响应全部满足招标文件第二章《招标需求》的得2</w:t>
            </w:r>
            <w:r>
              <w:rPr>
                <w:rFonts w:hint="eastAsia" w:ascii="宋体" w:hAnsi="宋体" w:eastAsia="宋体" w:cs="Times New Roman"/>
                <w:color w:val="auto"/>
                <w:szCs w:val="21"/>
                <w:lang w:val="en-US" w:eastAsia="zh-CN"/>
              </w:rPr>
              <w:t>6</w:t>
            </w:r>
            <w:r>
              <w:rPr>
                <w:rFonts w:hint="eastAsia" w:ascii="宋体" w:hAnsi="宋体" w:eastAsia="宋体" w:cs="Times New Roman"/>
                <w:color w:val="auto"/>
                <w:szCs w:val="21"/>
              </w:rPr>
              <w:t>分。</w:t>
            </w:r>
          </w:p>
          <w:p>
            <w:pPr>
              <w:spacing w:line="300" w:lineRule="exact"/>
              <w:rPr>
                <w:rFonts w:hint="eastAsia" w:ascii="宋体" w:hAnsi="宋体" w:eastAsia="宋体" w:cs="Times New Roman"/>
                <w:b/>
                <w:color w:val="auto"/>
                <w:szCs w:val="21"/>
              </w:rPr>
            </w:pPr>
            <w:r>
              <w:rPr>
                <w:rFonts w:hint="eastAsia" w:ascii="宋体" w:hAnsi="宋体" w:eastAsia="宋体" w:cs="Times New Roman"/>
                <w:color w:val="auto"/>
                <w:szCs w:val="21"/>
              </w:rPr>
              <w:t>2</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每负偏离一条技术指标扣2分，当扣减分数＞</w:t>
            </w:r>
            <w:r>
              <w:rPr>
                <w:rFonts w:hint="eastAsia" w:ascii="宋体" w:hAnsi="宋体" w:eastAsia="宋体" w:cs="Times New Roman"/>
                <w:color w:val="auto"/>
                <w:szCs w:val="21"/>
                <w:lang w:val="en-US" w:eastAsia="zh-CN"/>
              </w:rPr>
              <w:t>26</w:t>
            </w:r>
            <w:r>
              <w:rPr>
                <w:rFonts w:hint="eastAsia" w:ascii="宋体" w:hAnsi="宋体" w:eastAsia="宋体" w:cs="Times New Roman"/>
                <w:color w:val="auto"/>
                <w:szCs w:val="21"/>
              </w:rPr>
              <w:t>分时，作无效投标处理。</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556" w:type="dxa"/>
            <w:vMerge w:val="continue"/>
            <w:tcBorders>
              <w:left w:val="double" w:color="auto" w:sz="4" w:space="0"/>
              <w:right w:val="single" w:color="auto" w:sz="4" w:space="0"/>
            </w:tcBorders>
            <w:noWrap w:val="0"/>
            <w:vAlign w:val="center"/>
          </w:tcPr>
          <w:p>
            <w:pPr>
              <w:spacing w:line="300" w:lineRule="exact"/>
              <w:jc w:val="center"/>
              <w:rPr>
                <w:rFonts w:ascii="宋体" w:hAnsi="宋体" w:eastAsia="宋体" w:cs="Times New Roman"/>
                <w:color w:val="auto"/>
                <w:szCs w:val="21"/>
              </w:rPr>
            </w:pPr>
          </w:p>
        </w:tc>
        <w:tc>
          <w:tcPr>
            <w:tcW w:w="83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auto"/>
                <w:sz w:val="21"/>
                <w:szCs w:val="21"/>
                <w:lang w:eastAsia="zh-CN"/>
              </w:rPr>
            </w:pPr>
            <w:r>
              <w:rPr>
                <w:rFonts w:hint="eastAsia" w:ascii="宋体" w:hAnsi="宋体" w:eastAsia="宋体" w:cs="Times New Roman"/>
                <w:b/>
                <w:color w:val="auto"/>
                <w:szCs w:val="21"/>
              </w:rPr>
              <w:t>项目管理整体设想和目标（</w:t>
            </w:r>
            <w:r>
              <w:rPr>
                <w:rFonts w:hint="eastAsia" w:ascii="宋体" w:hAnsi="宋体" w:eastAsia="宋体" w:cs="Times New Roman"/>
                <w:b/>
                <w:color w:val="auto"/>
                <w:szCs w:val="21"/>
                <w:lang w:val="en-US" w:eastAsia="zh-CN"/>
              </w:rPr>
              <w:t>7</w:t>
            </w:r>
            <w:r>
              <w:rPr>
                <w:rFonts w:hint="eastAsia" w:ascii="宋体" w:hAnsi="宋体" w:eastAsia="宋体" w:cs="Times New Roman"/>
                <w:b/>
                <w:color w:val="auto"/>
                <w:szCs w:val="21"/>
              </w:rPr>
              <w:t>分）</w:t>
            </w:r>
            <w:r>
              <w:rPr>
                <w:rFonts w:hint="eastAsia" w:ascii="宋体" w:hAnsi="宋体" w:eastAsia="宋体" w:cs="Times New Roman"/>
                <w:b/>
                <w:color w:val="auto"/>
                <w:szCs w:val="21"/>
                <w:lang w:eastAsia="zh-CN"/>
              </w:rPr>
              <w:t>：</w:t>
            </w:r>
            <w:r>
              <w:rPr>
                <w:rFonts w:hint="eastAsia" w:ascii="宋体" w:hAnsi="宋体" w:eastAsia="宋体" w:cs="宋体"/>
                <w:b w:val="0"/>
                <w:bCs/>
                <w:color w:val="auto"/>
                <w:sz w:val="21"/>
                <w:szCs w:val="21"/>
                <w:lang w:eastAsia="zh-CN"/>
              </w:rPr>
              <w:t>评标委员会</w:t>
            </w:r>
            <w:r>
              <w:rPr>
                <w:rFonts w:hint="eastAsia" w:ascii="宋体" w:hAnsi="宋体" w:eastAsia="宋体" w:cs="宋体"/>
                <w:color w:val="auto"/>
                <w:sz w:val="21"/>
                <w:szCs w:val="21"/>
              </w:rPr>
              <w:t>对本项目整体构想的</w:t>
            </w:r>
            <w:r>
              <w:rPr>
                <w:rFonts w:hint="eastAsia" w:ascii="宋体" w:hAnsi="宋体" w:eastAsia="宋体" w:cs="宋体"/>
                <w:color w:val="auto"/>
                <w:sz w:val="21"/>
                <w:szCs w:val="21"/>
                <w:lang w:eastAsia="zh-CN"/>
              </w:rPr>
              <w:t>完整性、</w:t>
            </w:r>
            <w:r>
              <w:rPr>
                <w:rFonts w:hint="eastAsia" w:ascii="宋体" w:hAnsi="宋体" w:eastAsia="宋体" w:cs="宋体"/>
                <w:color w:val="auto"/>
                <w:sz w:val="21"/>
                <w:szCs w:val="21"/>
              </w:rPr>
              <w:t>创新性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相符</w:t>
            </w:r>
            <w:r>
              <w:rPr>
                <w:rFonts w:hint="eastAsia" w:ascii="宋体" w:hAnsi="宋体" w:eastAsia="宋体" w:cs="宋体"/>
                <w:color w:val="auto"/>
                <w:sz w:val="21"/>
                <w:szCs w:val="21"/>
                <w:lang w:eastAsia="zh-CN"/>
              </w:rPr>
              <w:t>性，前期准备充分性，</w:t>
            </w:r>
            <w:r>
              <w:rPr>
                <w:rFonts w:hint="eastAsia" w:ascii="宋体" w:hAnsi="宋体" w:eastAsia="宋体" w:cs="宋体"/>
                <w:color w:val="auto"/>
                <w:sz w:val="21"/>
                <w:szCs w:val="21"/>
              </w:rPr>
              <w:t>管理目标明确性及设置合理性</w:t>
            </w:r>
            <w:r>
              <w:rPr>
                <w:rFonts w:hint="eastAsia" w:ascii="宋体" w:hAnsi="宋体" w:eastAsia="宋体" w:cs="宋体"/>
                <w:color w:val="auto"/>
                <w:sz w:val="21"/>
                <w:szCs w:val="21"/>
                <w:lang w:eastAsia="zh-CN"/>
              </w:rPr>
              <w:t>进行综合评审：</w:t>
            </w:r>
          </w:p>
          <w:p>
            <w:pPr>
              <w:spacing w:line="3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实施方案内容完全符合学校实际情况，工作内容详细、完善、有创新性，工作理解全面透彻的得</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分；</w:t>
            </w:r>
          </w:p>
          <w:p>
            <w:pPr>
              <w:spacing w:line="3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实施方案内容完全符合学校实际情况，工作内容完整，细节略有欠缺，工作理解不够全面透彻的得</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分；</w:t>
            </w:r>
          </w:p>
          <w:p>
            <w:pPr>
              <w:spacing w:line="3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实施方案内容基本符合学校实际情况，但存在缺陷，了解不全且不透彻的得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分；</w:t>
            </w:r>
          </w:p>
          <w:p>
            <w:pPr>
              <w:spacing w:line="300" w:lineRule="exact"/>
              <w:rPr>
                <w:color w:val="auto"/>
              </w:rPr>
            </w:pPr>
            <w:r>
              <w:rPr>
                <w:rFonts w:hint="eastAsia" w:ascii="宋体" w:hAnsi="宋体" w:eastAsia="宋体" w:cs="宋体"/>
                <w:color w:val="auto"/>
                <w:sz w:val="21"/>
                <w:szCs w:val="21"/>
                <w:lang w:eastAsia="zh-CN"/>
              </w:rPr>
              <w:t>未提供不得分。</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6" w:type="dxa"/>
            <w:vMerge w:val="continue"/>
            <w:tcBorders>
              <w:left w:val="double" w:color="auto" w:sz="4" w:space="0"/>
              <w:right w:val="single" w:color="auto" w:sz="4" w:space="0"/>
            </w:tcBorders>
            <w:noWrap w:val="0"/>
            <w:vAlign w:val="center"/>
          </w:tcPr>
          <w:p>
            <w:pPr>
              <w:widowControl/>
              <w:spacing w:line="300" w:lineRule="exact"/>
              <w:jc w:val="left"/>
              <w:rPr>
                <w:rFonts w:ascii="宋体" w:hAnsi="宋体" w:eastAsia="宋体" w:cs="Times New Roman"/>
                <w:color w:val="auto"/>
                <w:szCs w:val="21"/>
              </w:rPr>
            </w:pPr>
          </w:p>
        </w:tc>
        <w:tc>
          <w:tcPr>
            <w:tcW w:w="83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b w:val="0"/>
                <w:bCs/>
                <w:color w:val="auto"/>
                <w:sz w:val="21"/>
                <w:szCs w:val="21"/>
                <w:lang w:eastAsia="zh-CN"/>
              </w:rPr>
            </w:pPr>
            <w:r>
              <w:rPr>
                <w:rFonts w:hint="eastAsia" w:ascii="宋体" w:hAnsi="宋体" w:eastAsia="宋体" w:cs="Times New Roman"/>
                <w:b/>
                <w:color w:val="auto"/>
                <w:szCs w:val="21"/>
                <w:lang w:eastAsia="zh-CN"/>
              </w:rPr>
              <w:t>管理方案</w:t>
            </w:r>
            <w:r>
              <w:rPr>
                <w:rFonts w:hint="eastAsia" w:ascii="宋体" w:hAnsi="宋体" w:eastAsia="宋体" w:cs="Times New Roman"/>
                <w:b/>
                <w:color w:val="auto"/>
                <w:szCs w:val="21"/>
              </w:rPr>
              <w:t>（</w:t>
            </w:r>
            <w:r>
              <w:rPr>
                <w:rFonts w:hint="eastAsia" w:ascii="宋体" w:hAnsi="宋体" w:eastAsia="宋体" w:cs="Times New Roman"/>
                <w:b/>
                <w:color w:val="auto"/>
                <w:szCs w:val="21"/>
                <w:lang w:val="en-US" w:eastAsia="zh-CN"/>
              </w:rPr>
              <w:t>6</w:t>
            </w:r>
            <w:r>
              <w:rPr>
                <w:rFonts w:hint="eastAsia" w:ascii="宋体" w:hAnsi="宋体" w:eastAsia="宋体" w:cs="Times New Roman"/>
                <w:b/>
                <w:color w:val="auto"/>
                <w:szCs w:val="21"/>
              </w:rPr>
              <w:t>分）</w:t>
            </w:r>
            <w:r>
              <w:rPr>
                <w:rFonts w:hint="eastAsia" w:ascii="宋体" w:hAnsi="宋体" w:eastAsia="宋体" w:cs="Times New Roman"/>
                <w:b/>
                <w:color w:val="auto"/>
                <w:szCs w:val="21"/>
                <w:lang w:eastAsia="zh-CN"/>
              </w:rPr>
              <w:t>：</w:t>
            </w:r>
            <w:r>
              <w:rPr>
                <w:rFonts w:hint="eastAsia" w:ascii="宋体" w:hAnsi="宋体" w:eastAsia="宋体" w:cs="宋体"/>
                <w:b w:val="0"/>
                <w:bCs/>
                <w:color w:val="auto"/>
                <w:sz w:val="21"/>
                <w:szCs w:val="21"/>
                <w:lang w:eastAsia="zh-CN"/>
              </w:rPr>
              <w:t>评标委员会对投标人管理机构设置合理性，管理构架和各部门职责是否明确，管理的科学合理性，实际操作性，管理、激励、监督、奖惩等规章制度是否健全规范，是否体现高标准、高档次等进行综合评审：</w:t>
            </w:r>
          </w:p>
          <w:p>
            <w:pPr>
              <w:spacing w:line="300" w:lineRule="exact"/>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管理方案详细、完善，涵盖所列举的内容的得</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eastAsia="zh-CN"/>
              </w:rPr>
              <w:t>分；</w:t>
            </w:r>
          </w:p>
          <w:p>
            <w:pPr>
              <w:spacing w:line="300" w:lineRule="exact"/>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管理方案完整，基本涵盖所列举的内容的得</w:t>
            </w: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eastAsia="zh-CN"/>
              </w:rPr>
              <w:t>分；</w:t>
            </w:r>
          </w:p>
          <w:p>
            <w:pPr>
              <w:spacing w:line="300" w:lineRule="exact"/>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管理方案存在缺陷，所列举内容不全的得</w:t>
            </w: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eastAsia="zh-CN"/>
              </w:rPr>
              <w:t>分；</w:t>
            </w:r>
          </w:p>
          <w:p>
            <w:pPr>
              <w:spacing w:line="300" w:lineRule="exact"/>
              <w:rPr>
                <w:rFonts w:ascii="宋体" w:hAnsi="宋体" w:eastAsia="宋体" w:cs="Times New Roman"/>
                <w:b/>
                <w:color w:val="auto"/>
                <w:szCs w:val="21"/>
              </w:rPr>
            </w:pPr>
            <w:r>
              <w:rPr>
                <w:rFonts w:hint="eastAsia" w:ascii="宋体" w:hAnsi="宋体" w:eastAsia="宋体" w:cs="宋体"/>
                <w:b w:val="0"/>
                <w:bCs/>
                <w:color w:val="auto"/>
                <w:sz w:val="21"/>
                <w:szCs w:val="21"/>
                <w:lang w:eastAsia="zh-CN"/>
              </w:rPr>
              <w:t>未提供不得分</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556" w:type="dxa"/>
            <w:vMerge w:val="continue"/>
            <w:tcBorders>
              <w:left w:val="double" w:color="auto" w:sz="4" w:space="0"/>
              <w:right w:val="single" w:color="auto" w:sz="4" w:space="0"/>
            </w:tcBorders>
            <w:noWrap w:val="0"/>
            <w:vAlign w:val="center"/>
          </w:tcPr>
          <w:p>
            <w:pPr>
              <w:widowControl/>
              <w:spacing w:line="300" w:lineRule="exact"/>
              <w:jc w:val="left"/>
              <w:rPr>
                <w:rFonts w:ascii="宋体" w:hAnsi="宋体" w:eastAsia="宋体" w:cs="Times New Roman"/>
                <w:color w:val="auto"/>
                <w:szCs w:val="21"/>
              </w:rPr>
            </w:pPr>
          </w:p>
        </w:tc>
        <w:tc>
          <w:tcPr>
            <w:tcW w:w="83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lang w:eastAsia="zh-CN"/>
              </w:rPr>
              <w:t>安全教育及培训制度（</w:t>
            </w:r>
            <w:r>
              <w:rPr>
                <w:rFonts w:hint="eastAsia" w:ascii="宋体" w:hAnsi="宋体" w:eastAsia="宋体" w:cs="宋体"/>
                <w:b/>
                <w:bCs/>
                <w:color w:val="auto"/>
                <w:sz w:val="21"/>
                <w:szCs w:val="21"/>
                <w:lang w:val="en-US" w:eastAsia="zh-CN"/>
              </w:rPr>
              <w:t>6分</w:t>
            </w:r>
            <w:r>
              <w:rPr>
                <w:rFonts w:hint="eastAsia" w:ascii="宋体" w:hAnsi="宋体" w:eastAsia="宋体" w:cs="宋体"/>
                <w:b/>
                <w:bCs/>
                <w:color w:val="auto"/>
                <w:sz w:val="21"/>
                <w:szCs w:val="21"/>
                <w:lang w:eastAsia="zh-CN"/>
              </w:rPr>
              <w:t>）：</w:t>
            </w:r>
            <w:r>
              <w:rPr>
                <w:rFonts w:hint="eastAsia" w:ascii="宋体" w:hAnsi="宋体" w:eastAsia="宋体" w:cs="宋体"/>
                <w:color w:val="auto"/>
                <w:sz w:val="21"/>
                <w:szCs w:val="21"/>
                <w:lang w:eastAsia="zh-CN"/>
              </w:rPr>
              <w:t>评标委员会对投标人是否按省、市公安部门要求实行上岗前和上岗期间的教育培训，培训制度内容是否全面可行，对选派的安保人员在素质教育、安全教育等方面是否严格把关，是否严守保安纪律等进行综合评审：</w:t>
            </w:r>
          </w:p>
          <w:p>
            <w:pPr>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安全教育及培训制度详细、完善，涵盖所列举的内容的得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p>
            <w:pPr>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安全教育及培训制度完整，基本涵盖所列举的内容的得</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分；</w:t>
            </w:r>
          </w:p>
          <w:p>
            <w:pPr>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安全教育及培训制度存在缺陷，所列举内容不全的得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分；</w:t>
            </w:r>
          </w:p>
          <w:p>
            <w:pPr>
              <w:spacing w:line="300" w:lineRule="exact"/>
              <w:rPr>
                <w:rFonts w:ascii="宋体" w:hAnsi="宋体" w:eastAsia="宋体" w:cs="Times New Roman"/>
                <w:b/>
                <w:color w:val="auto"/>
                <w:szCs w:val="21"/>
              </w:rPr>
            </w:pPr>
            <w:r>
              <w:rPr>
                <w:rFonts w:hint="eastAsia" w:ascii="宋体" w:hAnsi="宋体" w:eastAsia="宋体" w:cs="宋体"/>
                <w:color w:val="auto"/>
                <w:sz w:val="21"/>
                <w:szCs w:val="21"/>
                <w:lang w:eastAsia="zh-CN"/>
              </w:rPr>
              <w:t>未提供不得分。</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556" w:type="dxa"/>
            <w:vMerge w:val="continue"/>
            <w:tcBorders>
              <w:left w:val="double" w:color="auto" w:sz="4" w:space="0"/>
              <w:right w:val="single" w:color="auto" w:sz="4" w:space="0"/>
            </w:tcBorders>
            <w:noWrap w:val="0"/>
            <w:vAlign w:val="center"/>
          </w:tcPr>
          <w:p>
            <w:pPr>
              <w:widowControl/>
              <w:spacing w:line="300" w:lineRule="exact"/>
              <w:jc w:val="left"/>
              <w:rPr>
                <w:rFonts w:ascii="宋体" w:hAnsi="宋体" w:eastAsia="宋体" w:cs="Times New Roman"/>
                <w:color w:val="auto"/>
                <w:szCs w:val="21"/>
              </w:rPr>
            </w:pPr>
          </w:p>
        </w:tc>
        <w:tc>
          <w:tcPr>
            <w:tcW w:w="83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auto"/>
                <w:sz w:val="21"/>
                <w:szCs w:val="21"/>
                <w:lang w:eastAsia="zh-CN"/>
              </w:rPr>
            </w:pPr>
            <w:r>
              <w:rPr>
                <w:rFonts w:hint="eastAsia" w:ascii="宋体" w:hAnsi="宋体" w:eastAsia="宋体" w:cs="Times New Roman"/>
                <w:b/>
                <w:color w:val="auto"/>
                <w:szCs w:val="21"/>
              </w:rPr>
              <w:t>服务质量和人员配备承诺（</w:t>
            </w:r>
            <w:r>
              <w:rPr>
                <w:rFonts w:hint="eastAsia" w:ascii="宋体" w:hAnsi="宋体" w:eastAsia="宋体" w:cs="Times New Roman"/>
                <w:b/>
                <w:color w:val="auto"/>
                <w:szCs w:val="21"/>
                <w:lang w:val="en-US" w:eastAsia="zh-CN"/>
              </w:rPr>
              <w:t>6</w:t>
            </w:r>
            <w:r>
              <w:rPr>
                <w:rFonts w:hint="eastAsia" w:ascii="宋体" w:hAnsi="宋体" w:eastAsia="宋体" w:cs="Times New Roman"/>
                <w:b/>
                <w:color w:val="auto"/>
                <w:szCs w:val="21"/>
              </w:rPr>
              <w:t>分）</w:t>
            </w:r>
            <w:r>
              <w:rPr>
                <w:rFonts w:hint="eastAsia" w:ascii="宋体" w:hAnsi="宋体" w:eastAsia="宋体" w:cs="Times New Roman"/>
                <w:b/>
                <w:color w:val="auto"/>
                <w:szCs w:val="21"/>
                <w:lang w:eastAsia="zh-CN"/>
              </w:rPr>
              <w:t>：</w:t>
            </w:r>
            <w:r>
              <w:rPr>
                <w:rFonts w:hint="eastAsia" w:ascii="宋体" w:hAnsi="宋体" w:eastAsia="宋体" w:cs="宋体"/>
                <w:color w:val="auto"/>
                <w:sz w:val="21"/>
                <w:szCs w:val="21"/>
              </w:rPr>
              <w:t>各岗位人员配置对招标方要求的响应以及配备的人员综合素质</w:t>
            </w:r>
            <w:r>
              <w:rPr>
                <w:rFonts w:hint="eastAsia" w:ascii="宋体" w:hAnsi="宋体" w:eastAsia="宋体" w:cs="宋体"/>
                <w:color w:val="auto"/>
                <w:sz w:val="21"/>
                <w:szCs w:val="21"/>
                <w:lang w:eastAsia="zh-CN"/>
              </w:rPr>
              <w:t>，年龄构成、退伍军人数量、</w:t>
            </w:r>
            <w:r>
              <w:rPr>
                <w:rFonts w:hint="eastAsia" w:ascii="宋体" w:hAnsi="宋体" w:eastAsia="宋体" w:cs="宋体"/>
                <w:color w:val="auto"/>
                <w:sz w:val="21"/>
                <w:szCs w:val="21"/>
              </w:rPr>
              <w:t>培训机制与运行机制是否科学，培训内容与项目定位和管理目标是否相符</w:t>
            </w:r>
            <w:r>
              <w:rPr>
                <w:rFonts w:hint="eastAsia" w:ascii="宋体" w:hAnsi="宋体" w:eastAsia="宋体" w:cs="宋体"/>
                <w:color w:val="auto"/>
                <w:sz w:val="21"/>
                <w:szCs w:val="21"/>
                <w:lang w:eastAsia="zh-CN"/>
              </w:rPr>
              <w:t>进行评议：</w:t>
            </w:r>
          </w:p>
          <w:p>
            <w:pPr>
              <w:spacing w:line="3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内容详细、完善，涵盖所列举的内容的得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p>
            <w:pPr>
              <w:spacing w:line="3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内容完整，基本涵盖所列举的内容的得</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分；</w:t>
            </w:r>
          </w:p>
          <w:p>
            <w:pPr>
              <w:spacing w:line="3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内容存在缺陷，所列举内容不全的得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分；</w:t>
            </w:r>
          </w:p>
          <w:p>
            <w:pPr>
              <w:spacing w:line="300" w:lineRule="exact"/>
              <w:rPr>
                <w:color w:val="auto"/>
              </w:rPr>
            </w:pPr>
            <w:r>
              <w:rPr>
                <w:rFonts w:hint="eastAsia" w:ascii="宋体" w:hAnsi="宋体" w:eastAsia="宋体" w:cs="宋体"/>
                <w:color w:val="auto"/>
                <w:sz w:val="21"/>
                <w:szCs w:val="21"/>
                <w:lang w:eastAsia="zh-CN"/>
              </w:rPr>
              <w:t>未提供不得分</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56" w:type="dxa"/>
            <w:vMerge w:val="continue"/>
            <w:tcBorders>
              <w:left w:val="double" w:color="auto" w:sz="4" w:space="0"/>
              <w:right w:val="single" w:color="auto" w:sz="4" w:space="0"/>
            </w:tcBorders>
            <w:noWrap w:val="0"/>
            <w:vAlign w:val="center"/>
          </w:tcPr>
          <w:p>
            <w:pPr>
              <w:widowControl/>
              <w:spacing w:line="300" w:lineRule="exact"/>
              <w:jc w:val="left"/>
              <w:rPr>
                <w:rFonts w:ascii="宋体" w:hAnsi="宋体" w:eastAsia="宋体" w:cs="Times New Roman"/>
                <w:color w:val="auto"/>
                <w:szCs w:val="21"/>
              </w:rPr>
            </w:pPr>
          </w:p>
        </w:tc>
        <w:tc>
          <w:tcPr>
            <w:tcW w:w="83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Times New Roman"/>
                <w:color w:val="auto"/>
                <w:szCs w:val="21"/>
                <w:lang w:eastAsia="zh-CN"/>
              </w:rPr>
            </w:pPr>
            <w:r>
              <w:rPr>
                <w:rFonts w:hint="eastAsia" w:ascii="宋体" w:hAnsi="宋体" w:eastAsia="宋体" w:cs="Times New Roman"/>
                <w:b/>
                <w:bCs/>
                <w:color w:val="auto"/>
                <w:szCs w:val="21"/>
                <w:lang w:eastAsia="zh-CN"/>
              </w:rPr>
              <w:t>设备器材配置（</w:t>
            </w:r>
            <w:r>
              <w:rPr>
                <w:rFonts w:hint="eastAsia" w:ascii="宋体" w:hAnsi="宋体" w:eastAsia="宋体" w:cs="Times New Roman"/>
                <w:b/>
                <w:bCs/>
                <w:color w:val="auto"/>
                <w:szCs w:val="21"/>
                <w:lang w:val="en-US" w:eastAsia="zh-CN"/>
              </w:rPr>
              <w:t>5分</w:t>
            </w:r>
            <w:r>
              <w:rPr>
                <w:rFonts w:hint="eastAsia" w:ascii="宋体" w:hAnsi="宋体" w:eastAsia="宋体" w:cs="Times New Roman"/>
                <w:b/>
                <w:bCs/>
                <w:color w:val="auto"/>
                <w:szCs w:val="21"/>
                <w:lang w:eastAsia="zh-CN"/>
              </w:rPr>
              <w:t>）：</w:t>
            </w:r>
            <w:r>
              <w:rPr>
                <w:rFonts w:hint="eastAsia" w:ascii="宋体" w:hAnsi="宋体" w:eastAsia="宋体" w:cs="Times New Roman"/>
                <w:color w:val="auto"/>
                <w:szCs w:val="21"/>
                <w:lang w:eastAsia="zh-CN"/>
              </w:rPr>
              <w:t>评标委员会对投标人针对本项目安保服务人员所配备的安保器材（包括服装、安保器械等）配置情况进行综合评审：</w:t>
            </w:r>
          </w:p>
          <w:p>
            <w:pPr>
              <w:spacing w:line="300" w:lineRule="exac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eastAsia="zh-CN"/>
              </w:rPr>
              <w:t>设备器材配置齐全、先进的得</w:t>
            </w:r>
            <w:r>
              <w:rPr>
                <w:rFonts w:hint="eastAsia" w:ascii="宋体" w:hAnsi="宋体" w:eastAsia="宋体" w:cs="Times New Roman"/>
                <w:color w:val="auto"/>
                <w:szCs w:val="21"/>
                <w:lang w:val="en-US" w:eastAsia="zh-CN"/>
              </w:rPr>
              <w:t>5分；</w:t>
            </w:r>
          </w:p>
          <w:p>
            <w:pPr>
              <w:spacing w:line="300" w:lineRule="exac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eastAsia="zh-CN"/>
              </w:rPr>
              <w:t>设备器材配置齐全、先进性不够的得</w:t>
            </w:r>
            <w:r>
              <w:rPr>
                <w:rFonts w:hint="eastAsia" w:ascii="宋体" w:hAnsi="宋体" w:eastAsia="宋体" w:cs="Times New Roman"/>
                <w:color w:val="auto"/>
                <w:szCs w:val="21"/>
                <w:lang w:val="en-US" w:eastAsia="zh-CN"/>
              </w:rPr>
              <w:t>3分；</w:t>
            </w:r>
          </w:p>
          <w:p>
            <w:pPr>
              <w:spacing w:line="300" w:lineRule="exact"/>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eastAsia="zh-CN"/>
              </w:rPr>
              <w:t>设备器材配置不全面、先进性不够的得</w:t>
            </w:r>
            <w:r>
              <w:rPr>
                <w:rFonts w:hint="eastAsia" w:ascii="宋体" w:hAnsi="宋体" w:eastAsia="宋体" w:cs="Times New Roman"/>
                <w:color w:val="auto"/>
                <w:szCs w:val="21"/>
                <w:lang w:val="en-US" w:eastAsia="zh-CN"/>
              </w:rPr>
              <w:t>1分；</w:t>
            </w:r>
          </w:p>
          <w:p>
            <w:pPr>
              <w:spacing w:line="300" w:lineRule="exact"/>
              <w:rPr>
                <w:rFonts w:ascii="宋体" w:hAnsi="宋体" w:eastAsia="宋体" w:cs="Times New Roman"/>
                <w:color w:val="auto"/>
                <w:szCs w:val="21"/>
              </w:rPr>
            </w:pPr>
            <w:r>
              <w:rPr>
                <w:rFonts w:hint="eastAsia" w:ascii="宋体" w:hAnsi="宋体" w:eastAsia="宋体" w:cs="Times New Roman"/>
                <w:color w:val="auto"/>
                <w:szCs w:val="21"/>
                <w:lang w:val="en-US" w:eastAsia="zh-CN"/>
              </w:rPr>
              <w:t>未提供不得分。</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56" w:type="dxa"/>
            <w:vMerge w:val="continue"/>
            <w:tcBorders>
              <w:left w:val="double" w:color="auto" w:sz="4" w:space="0"/>
              <w:right w:val="single" w:color="auto" w:sz="4" w:space="0"/>
            </w:tcBorders>
            <w:noWrap w:val="0"/>
            <w:vAlign w:val="center"/>
          </w:tcPr>
          <w:p>
            <w:pPr>
              <w:widowControl/>
              <w:spacing w:line="300" w:lineRule="exact"/>
              <w:jc w:val="left"/>
              <w:rPr>
                <w:rFonts w:ascii="宋体" w:hAnsi="宋体" w:eastAsia="宋体" w:cs="Times New Roman"/>
                <w:color w:val="auto"/>
                <w:szCs w:val="21"/>
              </w:rPr>
            </w:pPr>
          </w:p>
        </w:tc>
        <w:tc>
          <w:tcPr>
            <w:tcW w:w="11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textAlignment w:val="auto"/>
              <w:rPr>
                <w:rFonts w:hint="eastAsia" w:ascii="宋体" w:hAnsi="宋体" w:eastAsia="宋体" w:cs="宋体"/>
                <w:b/>
                <w:snapToGrid w:val="0"/>
                <w:color w:val="auto"/>
                <w:szCs w:val="21"/>
              </w:rPr>
            </w:pPr>
            <w:r>
              <w:rPr>
                <w:rFonts w:hint="eastAsia" w:ascii="宋体" w:hAnsi="宋体" w:eastAsia="宋体" w:cs="Times New Roman"/>
                <w:b/>
                <w:color w:val="auto"/>
                <w:szCs w:val="21"/>
              </w:rPr>
              <w:t>应急事件的处理和实施方案(10</w:t>
            </w:r>
            <w:r>
              <w:rPr>
                <w:rFonts w:hint="eastAsia" w:ascii="宋体" w:hAnsi="宋体" w:eastAsia="宋体" w:cs="Times New Roman"/>
                <w:b/>
                <w:color w:val="auto"/>
                <w:szCs w:val="21"/>
                <w:lang w:eastAsia="zh-CN"/>
              </w:rPr>
              <w:t>分</w:t>
            </w:r>
            <w:r>
              <w:rPr>
                <w:rFonts w:hint="eastAsia" w:ascii="宋体" w:hAnsi="宋体" w:eastAsia="宋体" w:cs="Times New Roman"/>
                <w:b/>
                <w:color w:val="auto"/>
                <w:szCs w:val="21"/>
              </w:rPr>
              <w:t>)</w:t>
            </w:r>
          </w:p>
        </w:tc>
        <w:tc>
          <w:tcPr>
            <w:tcW w:w="7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pacing w:line="32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应对火灾、盗窃事件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台风、暴雨等灾害性天气的应急预案及相应的措施</w:t>
            </w:r>
            <w:r>
              <w:rPr>
                <w:rFonts w:hint="eastAsia" w:ascii="宋体" w:hAnsi="宋体" w:eastAsia="宋体" w:cs="宋体"/>
                <w:color w:val="auto"/>
                <w:sz w:val="21"/>
                <w:szCs w:val="21"/>
                <w:lang w:eastAsia="zh-CN"/>
              </w:rPr>
              <w:t>进行评议</w:t>
            </w:r>
            <w:r>
              <w:rPr>
                <w:rFonts w:hint="eastAsia" w:ascii="宋体" w:hAnsi="宋体" w:eastAsia="宋体" w:cs="宋体"/>
                <w:color w:val="auto"/>
                <w:sz w:val="21"/>
                <w:szCs w:val="21"/>
                <w:lang w:val="en-US" w:eastAsia="zh-CN"/>
              </w:rPr>
              <w:t>（3分）：</w:t>
            </w:r>
          </w:p>
          <w:p>
            <w:pPr>
              <w:keepNext w:val="0"/>
              <w:keepLines w:val="0"/>
              <w:pageBreakBefore w:val="0"/>
              <w:widowControl w:val="0"/>
              <w:numPr>
                <w:ilvl w:val="0"/>
                <w:numId w:val="0"/>
              </w:numPr>
              <w:kinsoku/>
              <w:wordWrap/>
              <w:overflowPunct/>
              <w:topLinePunct w:val="0"/>
              <w:autoSpaceDE/>
              <w:autoSpaceDN/>
              <w:bidi w:val="0"/>
              <w:adjustRightInd/>
              <w:spacing w:line="3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内容详细、完善，涵盖所列举的内容的得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分；</w:t>
            </w:r>
          </w:p>
          <w:p>
            <w:pPr>
              <w:keepNext w:val="0"/>
              <w:keepLines w:val="0"/>
              <w:pageBreakBefore w:val="0"/>
              <w:widowControl w:val="0"/>
              <w:numPr>
                <w:ilvl w:val="0"/>
                <w:numId w:val="0"/>
              </w:numPr>
              <w:kinsoku/>
              <w:wordWrap/>
              <w:overflowPunct/>
              <w:topLinePunct w:val="0"/>
              <w:autoSpaceDE/>
              <w:autoSpaceDN/>
              <w:bidi w:val="0"/>
              <w:adjustRightInd/>
              <w:spacing w:line="3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内容完整，基本涵盖所列举的内容的得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分；</w:t>
            </w:r>
          </w:p>
          <w:p>
            <w:pPr>
              <w:keepNext w:val="0"/>
              <w:keepLines w:val="0"/>
              <w:pageBreakBefore w:val="0"/>
              <w:widowControl w:val="0"/>
              <w:numPr>
                <w:ilvl w:val="0"/>
                <w:numId w:val="0"/>
              </w:numPr>
              <w:kinsoku/>
              <w:wordWrap/>
              <w:overflowPunct/>
              <w:topLinePunct w:val="0"/>
              <w:autoSpaceDE/>
              <w:autoSpaceDN/>
              <w:bidi w:val="0"/>
              <w:adjustRightInd/>
              <w:spacing w:line="3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内容存在缺陷，所列举内容不全的得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分；</w:t>
            </w:r>
          </w:p>
          <w:p>
            <w:pPr>
              <w:keepNext w:val="0"/>
              <w:keepLines w:val="0"/>
              <w:pageBreakBefore w:val="0"/>
              <w:widowControl w:val="0"/>
              <w:numPr>
                <w:ilvl w:val="0"/>
                <w:numId w:val="0"/>
              </w:numPr>
              <w:kinsoku/>
              <w:wordWrap/>
              <w:overflowPunct/>
              <w:topLinePunct w:val="0"/>
              <w:autoSpaceDE/>
              <w:autoSpaceDN/>
              <w:bidi w:val="0"/>
              <w:adjustRightInd/>
              <w:spacing w:line="320" w:lineRule="exact"/>
              <w:textAlignment w:val="auto"/>
              <w:rPr>
                <w:rFonts w:hint="eastAsia"/>
                <w:color w:val="auto"/>
              </w:rPr>
            </w:pPr>
            <w:r>
              <w:rPr>
                <w:rFonts w:hint="eastAsia" w:ascii="宋体" w:hAnsi="宋体" w:eastAsia="宋体" w:cs="宋体"/>
                <w:color w:val="auto"/>
                <w:sz w:val="21"/>
                <w:szCs w:val="21"/>
                <w:lang w:eastAsia="zh-CN"/>
              </w:rPr>
              <w:t>未提供不得分</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56" w:type="dxa"/>
            <w:vMerge w:val="continue"/>
            <w:tcBorders>
              <w:left w:val="double" w:color="auto" w:sz="4" w:space="0"/>
              <w:right w:val="single" w:color="auto" w:sz="4" w:space="0"/>
            </w:tcBorders>
            <w:noWrap w:val="0"/>
            <w:vAlign w:val="center"/>
          </w:tcPr>
          <w:p>
            <w:pPr>
              <w:widowControl/>
              <w:spacing w:line="300" w:lineRule="exact"/>
              <w:jc w:val="left"/>
              <w:rPr>
                <w:rFonts w:ascii="宋体" w:hAnsi="宋体" w:eastAsia="宋体" w:cs="Times New Roman"/>
                <w:color w:val="auto"/>
                <w:szCs w:val="21"/>
              </w:rPr>
            </w:pPr>
          </w:p>
        </w:tc>
        <w:tc>
          <w:tcPr>
            <w:tcW w:w="1182" w:type="dxa"/>
            <w:vMerge w:val="continue"/>
            <w:tcBorders>
              <w:left w:val="single" w:color="auto" w:sz="4" w:space="0"/>
              <w:right w:val="single" w:color="auto" w:sz="4" w:space="0"/>
            </w:tcBorders>
            <w:noWrap w:val="0"/>
            <w:vAlign w:val="center"/>
          </w:tcPr>
          <w:p>
            <w:pPr>
              <w:spacing w:line="300" w:lineRule="exact"/>
              <w:rPr>
                <w:rFonts w:hint="eastAsia" w:ascii="宋体" w:hAnsi="宋体" w:eastAsia="宋体" w:cs="宋体"/>
                <w:b/>
                <w:snapToGrid w:val="0"/>
                <w:color w:val="auto"/>
                <w:szCs w:val="21"/>
              </w:rPr>
            </w:pPr>
          </w:p>
        </w:tc>
        <w:tc>
          <w:tcPr>
            <w:tcW w:w="7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2、应对群体性事件、暴恐事件的应急预案及相应的措施</w:t>
            </w:r>
            <w:r>
              <w:rPr>
                <w:rFonts w:hint="eastAsia" w:ascii="宋体" w:hAnsi="宋体" w:eastAsia="宋体" w:cs="宋体"/>
                <w:color w:val="auto"/>
                <w:sz w:val="21"/>
                <w:szCs w:val="21"/>
                <w:lang w:eastAsia="zh-CN"/>
              </w:rPr>
              <w:t>进行评议</w:t>
            </w:r>
            <w:r>
              <w:rPr>
                <w:rFonts w:hint="eastAsia" w:ascii="宋体" w:hAnsi="宋体" w:eastAsia="宋体" w:cs="宋体"/>
                <w:color w:val="auto"/>
                <w:sz w:val="21"/>
                <w:szCs w:val="21"/>
                <w:lang w:val="en-US" w:eastAsia="zh-CN"/>
              </w:rPr>
              <w:t>（3分）：</w:t>
            </w:r>
          </w:p>
          <w:p>
            <w:pPr>
              <w:keepNext w:val="0"/>
              <w:keepLines w:val="0"/>
              <w:pageBreakBefore w:val="0"/>
              <w:widowControl w:val="0"/>
              <w:kinsoku/>
              <w:wordWrap/>
              <w:overflowPunct/>
              <w:topLinePunct w:val="0"/>
              <w:autoSpaceDE/>
              <w:autoSpaceDN/>
              <w:bidi w:val="0"/>
              <w:adjustRightInd/>
              <w:spacing w:line="3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内容详细、完善，涵盖所列举的内容的得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分；</w:t>
            </w:r>
          </w:p>
          <w:p>
            <w:pPr>
              <w:keepNext w:val="0"/>
              <w:keepLines w:val="0"/>
              <w:pageBreakBefore w:val="0"/>
              <w:widowControl w:val="0"/>
              <w:kinsoku/>
              <w:wordWrap/>
              <w:overflowPunct/>
              <w:topLinePunct w:val="0"/>
              <w:autoSpaceDE/>
              <w:autoSpaceDN/>
              <w:bidi w:val="0"/>
              <w:adjustRightInd/>
              <w:spacing w:line="3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内容完整，基本涵盖所列举的内容的得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分；</w:t>
            </w:r>
          </w:p>
          <w:p>
            <w:pPr>
              <w:keepNext w:val="0"/>
              <w:keepLines w:val="0"/>
              <w:pageBreakBefore w:val="0"/>
              <w:widowControl w:val="0"/>
              <w:kinsoku/>
              <w:wordWrap/>
              <w:overflowPunct/>
              <w:topLinePunct w:val="0"/>
              <w:autoSpaceDE/>
              <w:autoSpaceDN/>
              <w:bidi w:val="0"/>
              <w:adjustRightInd/>
              <w:spacing w:line="3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内容存在缺陷，所列举内容不全的得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分；</w:t>
            </w:r>
          </w:p>
          <w:p>
            <w:pPr>
              <w:keepNext w:val="0"/>
              <w:keepLines w:val="0"/>
              <w:pageBreakBefore w:val="0"/>
              <w:widowControl w:val="0"/>
              <w:kinsoku/>
              <w:wordWrap/>
              <w:overflowPunct/>
              <w:topLinePunct w:val="0"/>
              <w:autoSpaceDE/>
              <w:autoSpaceDN/>
              <w:bidi w:val="0"/>
              <w:adjustRightInd/>
              <w:spacing w:line="320" w:lineRule="exact"/>
              <w:textAlignment w:val="auto"/>
              <w:rPr>
                <w:rFonts w:hint="eastAsia" w:ascii="宋体" w:hAnsi="宋体" w:eastAsia="宋体" w:cs="宋体"/>
                <w:b/>
                <w:snapToGrid w:val="0"/>
                <w:color w:val="auto"/>
                <w:szCs w:val="21"/>
              </w:rPr>
            </w:pPr>
            <w:r>
              <w:rPr>
                <w:rFonts w:hint="eastAsia" w:ascii="宋体" w:hAnsi="宋体" w:eastAsia="宋体" w:cs="宋体"/>
                <w:color w:val="auto"/>
                <w:sz w:val="21"/>
                <w:szCs w:val="21"/>
                <w:lang w:eastAsia="zh-CN"/>
              </w:rPr>
              <w:t>未提供不得分</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556" w:type="dxa"/>
            <w:vMerge w:val="continue"/>
            <w:tcBorders>
              <w:left w:val="double" w:color="auto" w:sz="4" w:space="0"/>
              <w:right w:val="single" w:color="auto" w:sz="4" w:space="0"/>
            </w:tcBorders>
            <w:noWrap w:val="0"/>
            <w:vAlign w:val="center"/>
          </w:tcPr>
          <w:p>
            <w:pPr>
              <w:widowControl/>
              <w:spacing w:line="300" w:lineRule="exact"/>
              <w:jc w:val="left"/>
              <w:rPr>
                <w:rFonts w:ascii="宋体" w:hAnsi="宋体" w:eastAsia="宋体" w:cs="Times New Roman"/>
                <w:color w:val="auto"/>
                <w:szCs w:val="21"/>
              </w:rPr>
            </w:pPr>
          </w:p>
        </w:tc>
        <w:tc>
          <w:tcPr>
            <w:tcW w:w="1182" w:type="dxa"/>
            <w:vMerge w:val="continue"/>
            <w:tcBorders>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b/>
                <w:snapToGrid w:val="0"/>
                <w:color w:val="auto"/>
                <w:szCs w:val="21"/>
              </w:rPr>
            </w:pPr>
          </w:p>
        </w:tc>
        <w:tc>
          <w:tcPr>
            <w:tcW w:w="71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、当有重大事件发生时，能额外调派支援人员的能力及承诺</w:t>
            </w:r>
            <w:r>
              <w:rPr>
                <w:rFonts w:hint="eastAsia" w:ascii="宋体" w:hAnsi="宋体" w:eastAsia="宋体" w:cs="宋体"/>
                <w:color w:val="auto"/>
                <w:sz w:val="21"/>
                <w:szCs w:val="21"/>
                <w:lang w:eastAsia="zh-CN"/>
              </w:rPr>
              <w:t>进行评议</w:t>
            </w:r>
            <w:r>
              <w:rPr>
                <w:rFonts w:hint="eastAsia" w:ascii="宋体" w:hAnsi="宋体" w:eastAsia="宋体" w:cs="宋体"/>
                <w:color w:val="auto"/>
                <w:sz w:val="21"/>
                <w:szCs w:val="21"/>
                <w:lang w:val="en-US" w:eastAsia="zh-CN"/>
              </w:rPr>
              <w:t>（4分）：</w:t>
            </w:r>
          </w:p>
          <w:p>
            <w:pPr>
              <w:spacing w:line="3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内容详细、完善，涵盖所列举的内容的得</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分；</w:t>
            </w:r>
          </w:p>
          <w:p>
            <w:pPr>
              <w:spacing w:line="3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内容完整，基本涵盖所列举的内容的得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分；</w:t>
            </w:r>
          </w:p>
          <w:p>
            <w:pPr>
              <w:spacing w:line="3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内容存在缺陷，所列举内容不全的得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分；</w:t>
            </w:r>
          </w:p>
          <w:p>
            <w:pPr>
              <w:spacing w:line="300" w:lineRule="exact"/>
              <w:rPr>
                <w:rFonts w:hint="eastAsia" w:ascii="宋体" w:hAnsi="宋体" w:eastAsia="宋体" w:cs="宋体"/>
                <w:b/>
                <w:snapToGrid w:val="0"/>
                <w:color w:val="auto"/>
                <w:szCs w:val="21"/>
              </w:rPr>
            </w:pPr>
            <w:r>
              <w:rPr>
                <w:rFonts w:hint="eastAsia" w:ascii="宋体" w:hAnsi="宋体" w:eastAsia="宋体" w:cs="宋体"/>
                <w:color w:val="auto"/>
                <w:sz w:val="21"/>
                <w:szCs w:val="21"/>
                <w:lang w:eastAsia="zh-CN"/>
              </w:rPr>
              <w:t>未提供不得分</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556" w:type="dxa"/>
            <w:vMerge w:val="continue"/>
            <w:tcBorders>
              <w:left w:val="double" w:color="auto" w:sz="4" w:space="0"/>
              <w:right w:val="single" w:color="auto" w:sz="4" w:space="0"/>
            </w:tcBorders>
            <w:noWrap w:val="0"/>
            <w:vAlign w:val="center"/>
          </w:tcPr>
          <w:p>
            <w:pPr>
              <w:spacing w:line="300" w:lineRule="exact"/>
              <w:jc w:val="center"/>
              <w:rPr>
                <w:rFonts w:hint="eastAsia" w:ascii="宋体" w:hAnsi="宋体" w:eastAsia="宋体" w:cs="Times New Roman"/>
                <w:color w:val="auto"/>
                <w:szCs w:val="21"/>
              </w:rPr>
            </w:pPr>
          </w:p>
        </w:tc>
        <w:tc>
          <w:tcPr>
            <w:tcW w:w="83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27" w:hanging="527" w:hangingChars="250"/>
              <w:rPr>
                <w:rFonts w:hint="eastAsia" w:ascii="宋体" w:hAnsi="宋体" w:eastAsia="宋体" w:cs="Times New Roman"/>
                <w:b/>
                <w:color w:val="auto"/>
                <w:kern w:val="0"/>
                <w:szCs w:val="21"/>
                <w:lang w:val="en-US" w:eastAsia="zh-CN"/>
              </w:rPr>
            </w:pPr>
            <w:r>
              <w:rPr>
                <w:rFonts w:hint="eastAsia" w:ascii="宋体" w:hAnsi="宋体" w:eastAsia="宋体" w:cs="Times New Roman"/>
                <w:b/>
                <w:color w:val="auto"/>
                <w:kern w:val="0"/>
                <w:szCs w:val="21"/>
                <w:lang w:val="en-US" w:eastAsia="zh-CN"/>
              </w:rPr>
              <w:t>项目负责人：（4分）</w:t>
            </w:r>
          </w:p>
          <w:p>
            <w:pPr>
              <w:spacing w:line="300" w:lineRule="exact"/>
              <w:rPr>
                <w:rFonts w:hint="default"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1、</w:t>
            </w:r>
            <w:r>
              <w:rPr>
                <w:rFonts w:hint="default" w:ascii="宋体" w:hAnsi="宋体" w:eastAsia="宋体" w:cs="Times New Roman"/>
                <w:color w:val="auto"/>
                <w:kern w:val="0"/>
                <w:szCs w:val="21"/>
                <w:lang w:val="en-US" w:eastAsia="zh-CN"/>
              </w:rPr>
              <w:t>拟投入</w:t>
            </w:r>
            <w:r>
              <w:rPr>
                <w:rFonts w:hint="eastAsia" w:ascii="宋体" w:hAnsi="宋体" w:eastAsia="宋体" w:cs="Times New Roman"/>
                <w:color w:val="auto"/>
                <w:kern w:val="0"/>
                <w:szCs w:val="21"/>
                <w:lang w:val="en-US" w:eastAsia="zh-CN"/>
              </w:rPr>
              <w:t>项目负责人年龄55周岁及以下且具有大专及以上学历的得2分；</w:t>
            </w:r>
          </w:p>
          <w:p>
            <w:pPr>
              <w:spacing w:line="300" w:lineRule="exact"/>
              <w:rPr>
                <w:rFonts w:hint="default" w:ascii="Times New Roman" w:hAnsi="Times New Roman" w:eastAsia="宋体" w:cs="Times New Roman"/>
                <w:color w:val="auto"/>
                <w:lang w:val="en-US" w:eastAsia="zh-CN"/>
              </w:rPr>
            </w:pPr>
            <w:r>
              <w:rPr>
                <w:rFonts w:hint="eastAsia" w:ascii="宋体" w:hAnsi="宋体" w:eastAsia="宋体" w:cs="Times New Roman"/>
                <w:color w:val="auto"/>
                <w:kern w:val="0"/>
                <w:szCs w:val="21"/>
                <w:lang w:val="en-US" w:eastAsia="zh-CN"/>
              </w:rPr>
              <w:t>2、</w:t>
            </w:r>
            <w:r>
              <w:rPr>
                <w:rFonts w:hint="default" w:ascii="宋体" w:hAnsi="宋体" w:eastAsia="宋体" w:cs="Times New Roman"/>
                <w:color w:val="auto"/>
                <w:kern w:val="0"/>
                <w:szCs w:val="21"/>
                <w:lang w:val="en-US" w:eastAsia="zh-CN"/>
              </w:rPr>
              <w:t>拟投入</w:t>
            </w:r>
            <w:r>
              <w:rPr>
                <w:rFonts w:hint="eastAsia" w:ascii="宋体" w:hAnsi="宋体" w:eastAsia="宋体" w:cs="Times New Roman"/>
                <w:color w:val="auto"/>
                <w:kern w:val="0"/>
                <w:szCs w:val="21"/>
                <w:lang w:val="en-US" w:eastAsia="zh-CN"/>
              </w:rPr>
              <w:t>项目负责人</w:t>
            </w:r>
            <w:r>
              <w:rPr>
                <w:rFonts w:hint="default" w:ascii="宋体" w:hAnsi="宋体" w:eastAsia="宋体" w:cs="Times New Roman"/>
                <w:color w:val="auto"/>
                <w:kern w:val="0"/>
                <w:szCs w:val="21"/>
                <w:lang w:val="en-US" w:eastAsia="zh-CN"/>
              </w:rPr>
              <w:t>取得</w:t>
            </w:r>
            <w:r>
              <w:rPr>
                <w:rFonts w:hint="eastAsia" w:ascii="宋体" w:hAnsi="宋体" w:eastAsia="宋体" w:cs="Times New Roman"/>
                <w:color w:val="auto"/>
                <w:kern w:val="0"/>
                <w:szCs w:val="21"/>
                <w:lang w:val="en-US" w:eastAsia="zh-CN"/>
              </w:rPr>
              <w:t>一</w:t>
            </w:r>
            <w:r>
              <w:rPr>
                <w:rFonts w:hint="default" w:ascii="宋体" w:hAnsi="宋体" w:eastAsia="宋体" w:cs="Times New Roman"/>
                <w:color w:val="auto"/>
                <w:kern w:val="0"/>
                <w:szCs w:val="21"/>
                <w:lang w:val="en-US" w:eastAsia="zh-CN"/>
              </w:rPr>
              <w:t>级保安员证书</w:t>
            </w:r>
            <w:r>
              <w:rPr>
                <w:rFonts w:hint="eastAsia" w:ascii="宋体" w:hAnsi="宋体" w:eastAsia="宋体" w:cs="Times New Roman"/>
                <w:color w:val="auto"/>
                <w:kern w:val="0"/>
                <w:szCs w:val="21"/>
                <w:lang w:val="en-US" w:eastAsia="zh-CN"/>
              </w:rPr>
              <w:t>的得2分。提供证书复印件（或提供职业技能鉴定指导中心政府网职业资格查询截图），且须提供招标前一个月在本单位就职的社保缴纳证明资料，加盖公章，未提供的不得分。</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jc w:val="center"/>
        </w:trPr>
        <w:tc>
          <w:tcPr>
            <w:tcW w:w="556" w:type="dxa"/>
            <w:vMerge w:val="continue"/>
            <w:tcBorders>
              <w:left w:val="double" w:color="auto" w:sz="4" w:space="0"/>
              <w:right w:val="single" w:color="auto" w:sz="4" w:space="0"/>
            </w:tcBorders>
            <w:noWrap w:val="0"/>
            <w:vAlign w:val="center"/>
          </w:tcPr>
          <w:p>
            <w:pPr>
              <w:spacing w:line="300" w:lineRule="exact"/>
              <w:jc w:val="center"/>
              <w:rPr>
                <w:rFonts w:ascii="宋体" w:hAnsi="宋体" w:eastAsia="宋体" w:cs="Times New Roman"/>
                <w:color w:val="auto"/>
                <w:szCs w:val="21"/>
              </w:rPr>
            </w:pPr>
          </w:p>
        </w:tc>
        <w:tc>
          <w:tcPr>
            <w:tcW w:w="83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eastAsia="宋体" w:cs="Times New Roman"/>
                <w:b/>
                <w:color w:val="auto"/>
                <w:szCs w:val="21"/>
              </w:rPr>
            </w:pPr>
            <w:r>
              <w:rPr>
                <w:rFonts w:ascii="宋体" w:hAnsi="宋体" w:eastAsia="宋体" w:cs="Times New Roman"/>
                <w:b/>
                <w:color w:val="auto"/>
                <w:szCs w:val="21"/>
              </w:rPr>
              <w:t>保安员资格证：（3分）</w:t>
            </w:r>
            <w:r>
              <w:rPr>
                <w:rFonts w:ascii="宋体" w:hAnsi="宋体" w:eastAsia="宋体" w:cs="Times New Roman"/>
                <w:b/>
                <w:color w:val="auto"/>
                <w:szCs w:val="21"/>
              </w:rPr>
              <w:br w:type="textWrapping"/>
            </w:r>
            <w:r>
              <w:rPr>
                <w:rFonts w:ascii="宋体" w:hAnsi="宋体" w:eastAsia="宋体" w:cs="Times New Roman"/>
                <w:b w:val="0"/>
                <w:bCs/>
                <w:color w:val="auto"/>
                <w:szCs w:val="21"/>
              </w:rPr>
              <w:t>对投标人拟投入本项目具有</w:t>
            </w:r>
            <w:r>
              <w:rPr>
                <w:rFonts w:hint="eastAsia" w:ascii="宋体" w:hAnsi="宋体" w:eastAsia="宋体" w:cs="Times New Roman"/>
                <w:b w:val="0"/>
                <w:bCs/>
                <w:color w:val="auto"/>
                <w:szCs w:val="21"/>
              </w:rPr>
              <w:t>保安员证</w:t>
            </w:r>
            <w:r>
              <w:rPr>
                <w:rFonts w:ascii="宋体" w:hAnsi="宋体" w:eastAsia="宋体" w:cs="Times New Roman"/>
                <w:b w:val="0"/>
                <w:bCs/>
                <w:color w:val="auto"/>
                <w:szCs w:val="21"/>
              </w:rPr>
              <w:t>的安保力量</w:t>
            </w:r>
            <w:r>
              <w:rPr>
                <w:rFonts w:hint="eastAsia" w:ascii="宋体" w:hAnsi="宋体" w:eastAsia="宋体" w:cs="Times New Roman"/>
                <w:b w:val="0"/>
                <w:bCs/>
                <w:color w:val="auto"/>
                <w:szCs w:val="21"/>
                <w:lang w:eastAsia="zh-CN"/>
              </w:rPr>
              <w:t>、人数满足采购需求的得</w:t>
            </w:r>
            <w:r>
              <w:rPr>
                <w:rFonts w:ascii="宋体" w:hAnsi="宋体" w:eastAsia="宋体" w:cs="Times New Roman"/>
                <w:b w:val="0"/>
                <w:bCs/>
                <w:color w:val="auto"/>
                <w:szCs w:val="21"/>
              </w:rPr>
              <w:t>3分</w:t>
            </w:r>
            <w:r>
              <w:rPr>
                <w:rFonts w:hint="eastAsia" w:ascii="宋体" w:hAnsi="宋体" w:eastAsia="宋体" w:cs="Times New Roman"/>
                <w:b w:val="0"/>
                <w:bCs/>
                <w:color w:val="auto"/>
                <w:szCs w:val="21"/>
                <w:lang w:eastAsia="zh-CN"/>
              </w:rPr>
              <w:t>，不满足不得分</w:t>
            </w:r>
            <w:r>
              <w:rPr>
                <w:rFonts w:ascii="宋体" w:hAnsi="宋体" w:eastAsia="宋体" w:cs="Times New Roman"/>
                <w:b w:val="0"/>
                <w:bCs/>
                <w:color w:val="auto"/>
                <w:szCs w:val="21"/>
              </w:rPr>
              <w:t>。提供资格证书复印件（或提供职业技能鉴定指导中心政府网职业资格查询截图），且须提供招标前一个月在本单位就职的社保缴纳证明资料，</w:t>
            </w:r>
            <w:r>
              <w:rPr>
                <w:rFonts w:hint="eastAsia" w:ascii="宋体" w:hAnsi="宋体" w:eastAsia="宋体" w:cs="Times New Roman"/>
                <w:b w:val="0"/>
                <w:bCs/>
                <w:color w:val="auto"/>
                <w:szCs w:val="21"/>
                <w:lang w:eastAsia="zh-CN"/>
              </w:rPr>
              <w:t>加盖公章，</w:t>
            </w:r>
            <w:r>
              <w:rPr>
                <w:rFonts w:ascii="宋体" w:hAnsi="宋体" w:eastAsia="宋体" w:cs="Times New Roman"/>
                <w:b w:val="0"/>
                <w:bCs/>
                <w:color w:val="auto"/>
                <w:szCs w:val="21"/>
              </w:rPr>
              <w:t>未提供的不得分。</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556" w:type="dxa"/>
            <w:vMerge w:val="continue"/>
            <w:tcBorders>
              <w:left w:val="double" w:color="auto" w:sz="4" w:space="0"/>
              <w:right w:val="single" w:color="auto" w:sz="4" w:space="0"/>
            </w:tcBorders>
            <w:noWrap w:val="0"/>
            <w:vAlign w:val="center"/>
          </w:tcPr>
          <w:p>
            <w:pPr>
              <w:widowControl/>
              <w:spacing w:line="300" w:lineRule="exact"/>
              <w:jc w:val="left"/>
              <w:rPr>
                <w:rFonts w:ascii="宋体" w:hAnsi="宋体" w:eastAsia="宋体" w:cs="Times New Roman"/>
                <w:color w:val="auto"/>
                <w:szCs w:val="21"/>
              </w:rPr>
            </w:pPr>
          </w:p>
        </w:tc>
        <w:tc>
          <w:tcPr>
            <w:tcW w:w="83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Times New Roman"/>
                <w:b w:val="0"/>
                <w:bCs/>
                <w:color w:val="auto"/>
                <w:kern w:val="0"/>
                <w:szCs w:val="21"/>
                <w:lang w:eastAsia="zh-CN"/>
              </w:rPr>
            </w:pPr>
            <w:r>
              <w:rPr>
                <w:rFonts w:ascii="宋体" w:hAnsi="宋体" w:eastAsia="宋体" w:cs="Times New Roman"/>
                <w:b/>
                <w:color w:val="auto"/>
                <w:kern w:val="0"/>
                <w:szCs w:val="21"/>
              </w:rPr>
              <w:t>特殊技能：（</w:t>
            </w:r>
            <w:r>
              <w:rPr>
                <w:rFonts w:hint="eastAsia" w:ascii="宋体" w:hAnsi="宋体" w:eastAsia="宋体" w:cs="Times New Roman"/>
                <w:b/>
                <w:color w:val="auto"/>
                <w:kern w:val="0"/>
                <w:szCs w:val="21"/>
                <w:lang w:val="en-US" w:eastAsia="zh-CN"/>
              </w:rPr>
              <w:t>3.5</w:t>
            </w:r>
            <w:r>
              <w:rPr>
                <w:rFonts w:ascii="宋体" w:hAnsi="宋体" w:eastAsia="宋体" w:cs="Times New Roman"/>
                <w:b/>
                <w:color w:val="auto"/>
                <w:kern w:val="0"/>
                <w:szCs w:val="21"/>
              </w:rPr>
              <w:t>分）</w:t>
            </w:r>
            <w:r>
              <w:rPr>
                <w:rFonts w:ascii="宋体" w:hAnsi="宋体" w:eastAsia="宋体" w:cs="Times New Roman"/>
                <w:b/>
                <w:color w:val="auto"/>
                <w:kern w:val="0"/>
                <w:szCs w:val="21"/>
              </w:rPr>
              <w:br w:type="textWrapping"/>
            </w:r>
            <w:r>
              <w:rPr>
                <w:rFonts w:ascii="宋体" w:hAnsi="宋体" w:eastAsia="宋体" w:cs="Times New Roman"/>
                <w:b w:val="0"/>
                <w:bCs/>
                <w:color w:val="auto"/>
                <w:kern w:val="0"/>
                <w:szCs w:val="21"/>
              </w:rPr>
              <w:t>对投标人的人身伤害救助等应急处置能力进行综合评议</w:t>
            </w:r>
            <w:r>
              <w:rPr>
                <w:rFonts w:hint="eastAsia" w:ascii="宋体" w:hAnsi="宋体" w:eastAsia="宋体" w:cs="Times New Roman"/>
                <w:b w:val="0"/>
                <w:bCs/>
                <w:color w:val="auto"/>
                <w:kern w:val="0"/>
                <w:szCs w:val="21"/>
                <w:lang w:eastAsia="zh-CN"/>
              </w:rPr>
              <w:t>：</w:t>
            </w:r>
          </w:p>
          <w:p>
            <w:pPr>
              <w:spacing w:line="300" w:lineRule="exact"/>
              <w:rPr>
                <w:rFonts w:hint="eastAsia" w:ascii="宋体" w:hAnsi="宋体" w:eastAsia="宋体" w:cs="Times New Roman"/>
                <w:b w:val="0"/>
                <w:bCs/>
                <w:color w:val="auto"/>
                <w:kern w:val="0"/>
                <w:szCs w:val="21"/>
                <w:lang w:val="en-US" w:eastAsia="zh-CN"/>
              </w:rPr>
            </w:pPr>
            <w:r>
              <w:rPr>
                <w:rFonts w:hint="eastAsia" w:ascii="宋体" w:hAnsi="宋体" w:eastAsia="宋体" w:cs="Times New Roman"/>
                <w:b w:val="0"/>
                <w:bCs/>
                <w:color w:val="auto"/>
                <w:kern w:val="0"/>
                <w:szCs w:val="21"/>
                <w:lang w:val="en-US" w:eastAsia="zh-CN"/>
              </w:rPr>
              <w:t>应急处理人员力量强、经验丰富得3.5分；</w:t>
            </w:r>
          </w:p>
          <w:p>
            <w:pPr>
              <w:spacing w:line="300" w:lineRule="exact"/>
              <w:rPr>
                <w:rFonts w:hint="eastAsia" w:ascii="宋体" w:hAnsi="宋体" w:eastAsia="宋体" w:cs="Times New Roman"/>
                <w:b w:val="0"/>
                <w:bCs/>
                <w:color w:val="auto"/>
                <w:kern w:val="0"/>
                <w:szCs w:val="21"/>
                <w:lang w:val="en-US" w:eastAsia="zh-CN"/>
              </w:rPr>
            </w:pPr>
            <w:r>
              <w:rPr>
                <w:rFonts w:hint="eastAsia" w:ascii="宋体" w:hAnsi="宋体" w:eastAsia="宋体" w:cs="Times New Roman"/>
                <w:b w:val="0"/>
                <w:bCs/>
                <w:color w:val="auto"/>
                <w:kern w:val="0"/>
                <w:szCs w:val="21"/>
                <w:lang w:val="en-US" w:eastAsia="zh-CN"/>
              </w:rPr>
              <w:t>应急处理人员力量薄弱，经验不够丰富得2分；</w:t>
            </w:r>
          </w:p>
          <w:p>
            <w:pPr>
              <w:spacing w:line="300" w:lineRule="exact"/>
              <w:rPr>
                <w:rFonts w:hint="eastAsia" w:ascii="宋体" w:hAnsi="宋体" w:eastAsia="宋体" w:cs="Times New Roman"/>
                <w:b w:val="0"/>
                <w:bCs/>
                <w:color w:val="auto"/>
                <w:kern w:val="0"/>
                <w:szCs w:val="21"/>
                <w:lang w:val="en-US" w:eastAsia="zh-CN"/>
              </w:rPr>
            </w:pPr>
            <w:r>
              <w:rPr>
                <w:rFonts w:hint="eastAsia" w:ascii="宋体" w:hAnsi="宋体" w:eastAsia="宋体" w:cs="Times New Roman"/>
                <w:b w:val="0"/>
                <w:bCs/>
                <w:color w:val="auto"/>
                <w:kern w:val="0"/>
                <w:szCs w:val="21"/>
                <w:lang w:val="en-US" w:eastAsia="zh-CN"/>
              </w:rPr>
              <w:t>未提供的不得分。</w:t>
            </w:r>
          </w:p>
          <w:p>
            <w:pPr>
              <w:spacing w:line="300" w:lineRule="exact"/>
              <w:rPr>
                <w:rFonts w:ascii="宋体" w:hAnsi="宋体" w:eastAsia="宋体" w:cs="Times New Roman"/>
                <w:b/>
                <w:color w:val="auto"/>
                <w:kern w:val="0"/>
                <w:szCs w:val="21"/>
              </w:rPr>
            </w:pPr>
            <w:r>
              <w:rPr>
                <w:rFonts w:ascii="宋体" w:hAnsi="宋体" w:eastAsia="宋体" w:cs="Times New Roman"/>
                <w:b w:val="0"/>
                <w:bCs/>
                <w:color w:val="auto"/>
                <w:kern w:val="0"/>
                <w:szCs w:val="21"/>
              </w:rPr>
              <w:t>提供保安员人身伤害救助培训证书复印件（或提供职业技能鉴定指导中心政府网职业资格查询截图）等相关证明资料，且须提供招标前一个月在本单位就职的社保缴纳证明资料，</w:t>
            </w:r>
            <w:r>
              <w:rPr>
                <w:rFonts w:hint="eastAsia" w:ascii="宋体" w:hAnsi="宋体" w:eastAsia="宋体" w:cs="Times New Roman"/>
                <w:b w:val="0"/>
                <w:bCs/>
                <w:color w:val="auto"/>
                <w:kern w:val="0"/>
                <w:szCs w:val="21"/>
                <w:lang w:eastAsia="zh-CN"/>
              </w:rPr>
              <w:t>加盖公章，</w:t>
            </w:r>
            <w:r>
              <w:rPr>
                <w:rFonts w:ascii="宋体" w:hAnsi="宋体" w:eastAsia="宋体" w:cs="Times New Roman"/>
                <w:b w:val="0"/>
                <w:bCs/>
                <w:color w:val="auto"/>
                <w:kern w:val="0"/>
                <w:szCs w:val="21"/>
              </w:rPr>
              <w:t>未提供的不得分。</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556" w:type="dxa"/>
            <w:vMerge w:val="continue"/>
            <w:tcBorders>
              <w:left w:val="double" w:color="auto" w:sz="4" w:space="0"/>
              <w:right w:val="single" w:color="auto" w:sz="4" w:space="0"/>
            </w:tcBorders>
            <w:noWrap w:val="0"/>
            <w:vAlign w:val="center"/>
          </w:tcPr>
          <w:p>
            <w:pPr>
              <w:widowControl/>
              <w:spacing w:line="300" w:lineRule="exact"/>
              <w:jc w:val="left"/>
              <w:rPr>
                <w:rFonts w:ascii="宋体" w:hAnsi="宋体" w:eastAsia="宋体" w:cs="Times New Roman"/>
                <w:color w:val="auto"/>
                <w:szCs w:val="21"/>
              </w:rPr>
            </w:pPr>
          </w:p>
        </w:tc>
        <w:tc>
          <w:tcPr>
            <w:tcW w:w="83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Times New Roman"/>
                <w:b/>
                <w:color w:val="auto"/>
                <w:kern w:val="0"/>
                <w:szCs w:val="21"/>
              </w:rPr>
            </w:pPr>
            <w:r>
              <w:rPr>
                <w:rFonts w:hint="eastAsia" w:ascii="宋体" w:hAnsi="宋体" w:eastAsia="宋体" w:cs="Times New Roman"/>
                <w:b/>
                <w:color w:val="auto"/>
                <w:kern w:val="0"/>
                <w:szCs w:val="21"/>
              </w:rPr>
              <w:t>公司业绩：（</w:t>
            </w:r>
            <w:r>
              <w:rPr>
                <w:rFonts w:hint="eastAsia" w:ascii="宋体" w:hAnsi="宋体" w:eastAsia="宋体" w:cs="Times New Roman"/>
                <w:b/>
                <w:color w:val="auto"/>
                <w:kern w:val="0"/>
                <w:szCs w:val="21"/>
                <w:lang w:val="en-US" w:eastAsia="zh-CN"/>
              </w:rPr>
              <w:t>2</w:t>
            </w:r>
            <w:r>
              <w:rPr>
                <w:rFonts w:hint="eastAsia" w:ascii="宋体" w:hAnsi="宋体" w:eastAsia="宋体" w:cs="Times New Roman"/>
                <w:b/>
                <w:color w:val="auto"/>
                <w:kern w:val="0"/>
                <w:szCs w:val="21"/>
              </w:rPr>
              <w:t>分）</w:t>
            </w:r>
          </w:p>
          <w:p>
            <w:pPr>
              <w:spacing w:line="300" w:lineRule="exact"/>
              <w:rPr>
                <w:rFonts w:ascii="宋体" w:hAnsi="宋体" w:eastAsia="宋体" w:cs="Times New Roman"/>
                <w:b/>
                <w:color w:val="auto"/>
                <w:sz w:val="24"/>
                <w:szCs w:val="24"/>
              </w:rPr>
            </w:pPr>
            <w:r>
              <w:rPr>
                <w:rFonts w:hint="eastAsia" w:ascii="宋体" w:hAnsi="宋体" w:eastAsia="宋体" w:cs="Times New Roman"/>
                <w:color w:val="auto"/>
                <w:kern w:val="0"/>
                <w:szCs w:val="21"/>
                <w:lang w:eastAsia="zh-CN"/>
              </w:rPr>
              <w:t>投标人从事过类似安保服务项目的业绩，每一家得</w:t>
            </w:r>
            <w:r>
              <w:rPr>
                <w:rFonts w:hint="eastAsia" w:ascii="宋体" w:hAnsi="宋体" w:eastAsia="宋体" w:cs="Times New Roman"/>
                <w:color w:val="auto"/>
                <w:kern w:val="0"/>
                <w:szCs w:val="21"/>
                <w:lang w:val="en-US" w:eastAsia="zh-CN"/>
              </w:rPr>
              <w:t>0.5</w:t>
            </w:r>
            <w:r>
              <w:rPr>
                <w:rFonts w:hint="eastAsia" w:ascii="宋体" w:hAnsi="宋体" w:eastAsia="宋体" w:cs="Times New Roman"/>
                <w:color w:val="auto"/>
                <w:kern w:val="0"/>
                <w:szCs w:val="21"/>
                <w:lang w:eastAsia="zh-CN"/>
              </w:rPr>
              <w:t>分，最高</w:t>
            </w:r>
            <w:r>
              <w:rPr>
                <w:rFonts w:hint="eastAsia" w:ascii="宋体" w:hAnsi="宋体" w:eastAsia="宋体" w:cs="Times New Roman"/>
                <w:color w:val="auto"/>
                <w:kern w:val="0"/>
                <w:szCs w:val="21"/>
                <w:lang w:val="en-US" w:eastAsia="zh-CN"/>
              </w:rPr>
              <w:t>2</w:t>
            </w:r>
            <w:r>
              <w:rPr>
                <w:rFonts w:hint="eastAsia" w:ascii="宋体" w:hAnsi="宋体" w:eastAsia="宋体" w:cs="Times New Roman"/>
                <w:color w:val="auto"/>
                <w:kern w:val="0"/>
                <w:szCs w:val="21"/>
                <w:lang w:eastAsia="zh-CN"/>
              </w:rPr>
              <w:t>分（须提供20</w:t>
            </w:r>
            <w:r>
              <w:rPr>
                <w:rFonts w:hint="eastAsia" w:ascii="宋体" w:hAnsi="宋体" w:eastAsia="宋体" w:cs="Times New Roman"/>
                <w:color w:val="auto"/>
                <w:kern w:val="0"/>
                <w:szCs w:val="21"/>
                <w:lang w:val="en-US" w:eastAsia="zh-CN"/>
              </w:rPr>
              <w:t>21</w:t>
            </w:r>
            <w:r>
              <w:rPr>
                <w:rFonts w:hint="eastAsia" w:ascii="宋体" w:hAnsi="宋体" w:eastAsia="宋体" w:cs="Times New Roman"/>
                <w:color w:val="auto"/>
                <w:kern w:val="0"/>
                <w:szCs w:val="21"/>
                <w:lang w:eastAsia="zh-CN"/>
              </w:rPr>
              <w:t xml:space="preserve">年1月1日至今完整的合同复印件加盖公章，同一个单位的业绩不得重复累计得分。） </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6" w:type="dxa"/>
            <w:vMerge w:val="continue"/>
            <w:tcBorders>
              <w:left w:val="double" w:color="auto" w:sz="4" w:space="0"/>
              <w:right w:val="single" w:color="auto" w:sz="4" w:space="0"/>
            </w:tcBorders>
            <w:noWrap w:val="0"/>
            <w:vAlign w:val="center"/>
          </w:tcPr>
          <w:p>
            <w:pPr>
              <w:widowControl/>
              <w:spacing w:line="300" w:lineRule="exact"/>
              <w:jc w:val="left"/>
              <w:rPr>
                <w:rFonts w:ascii="宋体" w:hAnsi="宋体" w:eastAsia="宋体" w:cs="Times New Roman"/>
                <w:color w:val="auto"/>
                <w:szCs w:val="21"/>
              </w:rPr>
            </w:pPr>
          </w:p>
        </w:tc>
        <w:tc>
          <w:tcPr>
            <w:tcW w:w="83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Times New Roman"/>
                <w:b/>
                <w:color w:val="auto"/>
                <w:kern w:val="0"/>
                <w:szCs w:val="21"/>
              </w:rPr>
            </w:pPr>
            <w:r>
              <w:rPr>
                <w:rFonts w:hint="eastAsia" w:ascii="宋体" w:hAnsi="宋体" w:eastAsia="宋体" w:cs="Times New Roman"/>
                <w:b/>
                <w:color w:val="auto"/>
                <w:kern w:val="0"/>
                <w:szCs w:val="21"/>
              </w:rPr>
              <w:t>资质证书：（</w:t>
            </w:r>
            <w:r>
              <w:rPr>
                <w:rFonts w:hint="eastAsia" w:ascii="宋体" w:hAnsi="宋体" w:eastAsia="宋体" w:cs="Times New Roman"/>
                <w:b/>
                <w:color w:val="auto"/>
                <w:kern w:val="0"/>
                <w:szCs w:val="21"/>
                <w:lang w:val="en-US" w:eastAsia="zh-CN"/>
              </w:rPr>
              <w:t>1.5</w:t>
            </w:r>
            <w:r>
              <w:rPr>
                <w:rFonts w:hint="eastAsia" w:ascii="宋体" w:hAnsi="宋体" w:eastAsia="宋体" w:cs="Times New Roman"/>
                <w:b/>
                <w:color w:val="auto"/>
                <w:kern w:val="0"/>
                <w:szCs w:val="21"/>
              </w:rPr>
              <w:t>分）</w:t>
            </w:r>
          </w:p>
          <w:p>
            <w:pPr>
              <w:spacing w:line="300" w:lineRule="exact"/>
              <w:rPr>
                <w:rFonts w:hint="eastAsia" w:ascii="宋体" w:hAnsi="宋体" w:eastAsia="宋体" w:cs="Times New Roman"/>
                <w:color w:val="auto"/>
                <w:kern w:val="0"/>
                <w:szCs w:val="21"/>
                <w:lang w:eastAsia="zh-CN"/>
              </w:rPr>
            </w:pPr>
            <w:r>
              <w:rPr>
                <w:rFonts w:hint="eastAsia" w:ascii="宋体" w:hAnsi="宋体" w:eastAsia="宋体" w:cs="Times New Roman"/>
                <w:color w:val="auto"/>
                <w:kern w:val="0"/>
                <w:szCs w:val="21"/>
                <w:lang w:eastAsia="zh-CN"/>
              </w:rPr>
              <w:t>（1）投标人具有质量管理体系认证证书的，得</w:t>
            </w:r>
            <w:r>
              <w:rPr>
                <w:rFonts w:hint="eastAsia" w:ascii="宋体" w:hAnsi="宋体" w:eastAsia="宋体" w:cs="Times New Roman"/>
                <w:color w:val="auto"/>
                <w:kern w:val="0"/>
                <w:szCs w:val="21"/>
                <w:lang w:val="en-US" w:eastAsia="zh-CN"/>
              </w:rPr>
              <w:t>0.5</w:t>
            </w:r>
            <w:r>
              <w:rPr>
                <w:rFonts w:hint="eastAsia" w:ascii="宋体" w:hAnsi="宋体" w:eastAsia="宋体" w:cs="Times New Roman"/>
                <w:color w:val="auto"/>
                <w:kern w:val="0"/>
                <w:szCs w:val="21"/>
                <w:lang w:eastAsia="zh-CN"/>
              </w:rPr>
              <w:t>分；</w:t>
            </w:r>
          </w:p>
          <w:p>
            <w:pPr>
              <w:spacing w:line="300" w:lineRule="exact"/>
              <w:rPr>
                <w:rFonts w:hint="eastAsia" w:ascii="宋体" w:hAnsi="宋体" w:eastAsia="宋体" w:cs="Times New Roman"/>
                <w:color w:val="auto"/>
                <w:kern w:val="0"/>
                <w:szCs w:val="21"/>
                <w:lang w:eastAsia="zh-CN"/>
              </w:rPr>
            </w:pPr>
            <w:r>
              <w:rPr>
                <w:rFonts w:hint="eastAsia" w:ascii="宋体" w:hAnsi="宋体" w:eastAsia="宋体" w:cs="Times New Roman"/>
                <w:color w:val="auto"/>
                <w:kern w:val="0"/>
                <w:szCs w:val="21"/>
                <w:lang w:eastAsia="zh-CN"/>
              </w:rPr>
              <w:t>（2）投标人具有环境管理体系认证证书的，得</w:t>
            </w:r>
            <w:r>
              <w:rPr>
                <w:rFonts w:hint="eastAsia" w:ascii="宋体" w:hAnsi="宋体" w:eastAsia="宋体" w:cs="Times New Roman"/>
                <w:color w:val="auto"/>
                <w:kern w:val="0"/>
                <w:szCs w:val="21"/>
                <w:lang w:val="en-US" w:eastAsia="zh-CN"/>
              </w:rPr>
              <w:t>0.5</w:t>
            </w:r>
            <w:r>
              <w:rPr>
                <w:rFonts w:hint="eastAsia" w:ascii="宋体" w:hAnsi="宋体" w:eastAsia="宋体" w:cs="Times New Roman"/>
                <w:color w:val="auto"/>
                <w:kern w:val="0"/>
                <w:szCs w:val="21"/>
                <w:lang w:eastAsia="zh-CN"/>
              </w:rPr>
              <w:t>分；</w:t>
            </w:r>
          </w:p>
          <w:p>
            <w:pPr>
              <w:spacing w:line="300" w:lineRule="exact"/>
              <w:rPr>
                <w:rFonts w:hint="eastAsia" w:ascii="宋体" w:hAnsi="宋体" w:eastAsia="宋体" w:cs="Times New Roman"/>
                <w:color w:val="auto"/>
                <w:kern w:val="0"/>
                <w:szCs w:val="21"/>
                <w:lang w:eastAsia="zh-CN"/>
              </w:rPr>
            </w:pPr>
            <w:r>
              <w:rPr>
                <w:rFonts w:hint="eastAsia" w:ascii="宋体" w:hAnsi="宋体" w:eastAsia="宋体" w:cs="Times New Roman"/>
                <w:color w:val="auto"/>
                <w:kern w:val="0"/>
                <w:szCs w:val="21"/>
                <w:lang w:eastAsia="zh-CN"/>
              </w:rPr>
              <w:t>（3）投标人具有职业健康安全管理体系认证证书的，得</w:t>
            </w:r>
            <w:r>
              <w:rPr>
                <w:rFonts w:hint="eastAsia" w:ascii="宋体" w:hAnsi="宋体" w:eastAsia="宋体" w:cs="Times New Roman"/>
                <w:color w:val="auto"/>
                <w:kern w:val="0"/>
                <w:szCs w:val="21"/>
                <w:lang w:val="en-US" w:eastAsia="zh-CN"/>
              </w:rPr>
              <w:t>0.5</w:t>
            </w:r>
            <w:r>
              <w:rPr>
                <w:rFonts w:hint="eastAsia" w:ascii="宋体" w:hAnsi="宋体" w:eastAsia="宋体" w:cs="Times New Roman"/>
                <w:color w:val="auto"/>
                <w:kern w:val="0"/>
                <w:szCs w:val="21"/>
                <w:lang w:eastAsia="zh-CN"/>
              </w:rPr>
              <w:t>分；</w:t>
            </w:r>
          </w:p>
          <w:p>
            <w:pPr>
              <w:spacing w:line="300" w:lineRule="exact"/>
              <w:rPr>
                <w:rFonts w:ascii="宋体" w:hAnsi="宋体" w:eastAsia="宋体" w:cs="Times New Roman"/>
                <w:color w:val="auto"/>
                <w:sz w:val="24"/>
                <w:szCs w:val="24"/>
              </w:rPr>
            </w:pPr>
            <w:r>
              <w:rPr>
                <w:rFonts w:hint="eastAsia" w:ascii="宋体" w:hAnsi="宋体" w:eastAsia="宋体" w:cs="Times New Roman"/>
                <w:b/>
                <w:color w:val="auto"/>
                <w:kern w:val="0"/>
                <w:szCs w:val="21"/>
              </w:rPr>
              <w:t>投标文件中需提供有效期的认证证书复印件加盖公章。</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8" w:hRule="atLeast"/>
          <w:jc w:val="center"/>
        </w:trPr>
        <w:tc>
          <w:tcPr>
            <w:tcW w:w="556" w:type="dxa"/>
            <w:tcBorders>
              <w:top w:val="single" w:color="auto" w:sz="4" w:space="0"/>
              <w:left w:val="double" w:color="auto" w:sz="4" w:space="0"/>
              <w:bottom w:val="single" w:color="auto" w:sz="4" w:space="0"/>
              <w:right w:val="single" w:color="auto" w:sz="4" w:space="0"/>
            </w:tcBorders>
            <w:noWrap w:val="0"/>
            <w:vAlign w:val="center"/>
          </w:tcPr>
          <w:p>
            <w:pPr>
              <w:spacing w:line="300" w:lineRule="exact"/>
              <w:jc w:val="center"/>
              <w:rPr>
                <w:rFonts w:ascii="宋体" w:hAnsi="宋体" w:eastAsia="宋体" w:cs="Times New Roman"/>
                <w:color w:val="auto"/>
                <w:szCs w:val="21"/>
              </w:rPr>
            </w:pPr>
            <w:r>
              <w:rPr>
                <w:rFonts w:hint="eastAsia" w:ascii="宋体" w:hAnsi="宋体" w:eastAsia="宋体" w:cs="Times New Roman"/>
                <w:color w:val="auto"/>
                <w:szCs w:val="21"/>
              </w:rPr>
              <w:t>价</w:t>
            </w:r>
          </w:p>
          <w:p>
            <w:pPr>
              <w:spacing w:line="300" w:lineRule="exact"/>
              <w:jc w:val="center"/>
              <w:rPr>
                <w:rFonts w:ascii="宋体" w:hAnsi="宋体" w:eastAsia="宋体" w:cs="Times New Roman"/>
                <w:color w:val="auto"/>
                <w:szCs w:val="21"/>
              </w:rPr>
            </w:pPr>
            <w:r>
              <w:rPr>
                <w:rFonts w:hint="eastAsia" w:ascii="宋体" w:hAnsi="宋体" w:eastAsia="宋体" w:cs="Times New Roman"/>
                <w:color w:val="auto"/>
                <w:szCs w:val="21"/>
              </w:rPr>
              <w:t>格</w:t>
            </w:r>
          </w:p>
          <w:p>
            <w:pPr>
              <w:spacing w:line="300" w:lineRule="exact"/>
              <w:jc w:val="center"/>
              <w:rPr>
                <w:rFonts w:ascii="宋体" w:hAnsi="宋体" w:eastAsia="宋体" w:cs="Times New Roman"/>
                <w:color w:val="auto"/>
                <w:szCs w:val="21"/>
              </w:rPr>
            </w:pPr>
            <w:r>
              <w:rPr>
                <w:rFonts w:hint="eastAsia" w:ascii="宋体" w:hAnsi="宋体" w:eastAsia="宋体" w:cs="Times New Roman"/>
                <w:color w:val="auto"/>
                <w:szCs w:val="21"/>
              </w:rPr>
              <w:t>分</w:t>
            </w:r>
          </w:p>
          <w:p>
            <w:pPr>
              <w:spacing w:line="300" w:lineRule="exact"/>
              <w:jc w:val="center"/>
              <w:rPr>
                <w:rFonts w:ascii="宋体" w:hAnsi="宋体" w:eastAsia="宋体" w:cs="Times New Roman"/>
                <w:color w:val="auto"/>
                <w:szCs w:val="21"/>
              </w:rPr>
            </w:pPr>
            <w:r>
              <w:rPr>
                <w:rFonts w:hint="eastAsia" w:ascii="宋体" w:hAnsi="宋体" w:eastAsia="宋体" w:cs="Times New Roman"/>
                <w:color w:val="auto"/>
                <w:szCs w:val="21"/>
              </w:rPr>
              <w:t>20</w:t>
            </w:r>
          </w:p>
          <w:p>
            <w:pPr>
              <w:spacing w:line="300" w:lineRule="exact"/>
              <w:jc w:val="center"/>
              <w:rPr>
                <w:rFonts w:ascii="宋体" w:hAnsi="宋体" w:eastAsia="宋体" w:cs="Times New Roman"/>
                <w:color w:val="auto"/>
                <w:szCs w:val="21"/>
              </w:rPr>
            </w:pPr>
            <w:r>
              <w:rPr>
                <w:rFonts w:hint="eastAsia" w:ascii="宋体" w:hAnsi="宋体" w:eastAsia="宋体" w:cs="Times New Roman"/>
                <w:color w:val="auto"/>
                <w:szCs w:val="21"/>
              </w:rPr>
              <w:t>分</w:t>
            </w:r>
          </w:p>
        </w:tc>
        <w:tc>
          <w:tcPr>
            <w:tcW w:w="83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eastAsia="宋体" w:cs="Times New Roman"/>
                <w:snapToGrid w:val="0"/>
                <w:color w:val="auto"/>
                <w:kern w:val="0"/>
                <w:szCs w:val="21"/>
              </w:rPr>
            </w:pPr>
            <w:r>
              <w:rPr>
                <w:rFonts w:hint="eastAsia" w:ascii="宋体" w:hAnsi="宋体" w:eastAsia="宋体" w:cs="Times New Roman"/>
                <w:snapToGrid w:val="0"/>
                <w:color w:val="auto"/>
                <w:szCs w:val="21"/>
              </w:rPr>
              <w:t>评标基准价=满足招标文件要求且最低的参与评审的价格</w:t>
            </w:r>
          </w:p>
          <w:p>
            <w:pPr>
              <w:spacing w:line="300" w:lineRule="exact"/>
              <w:rPr>
                <w:rFonts w:ascii="宋体" w:hAnsi="宋体" w:eastAsia="宋体" w:cs="Times New Roman"/>
                <w:snapToGrid w:val="0"/>
                <w:color w:val="auto"/>
                <w:szCs w:val="21"/>
              </w:rPr>
            </w:pPr>
            <w:r>
              <w:rPr>
                <w:rFonts w:hint="eastAsia" w:ascii="宋体" w:hAnsi="宋体" w:eastAsia="宋体" w:cs="Times New Roman"/>
                <w:snapToGrid w:val="0"/>
                <w:color w:val="auto"/>
                <w:szCs w:val="21"/>
              </w:rPr>
              <w:t>参与评审的价格=投标报价</w:t>
            </w:r>
          </w:p>
          <w:p>
            <w:pPr>
              <w:spacing w:line="300" w:lineRule="exact"/>
              <w:rPr>
                <w:rFonts w:ascii="宋体" w:hAnsi="宋体" w:eastAsia="宋体" w:cs="Times New Roman"/>
                <w:snapToGrid w:val="0"/>
                <w:color w:val="auto"/>
                <w:szCs w:val="21"/>
              </w:rPr>
            </w:pPr>
            <w:r>
              <w:rPr>
                <w:rFonts w:hint="eastAsia" w:ascii="宋体" w:hAnsi="宋体" w:eastAsia="宋体" w:cs="Times New Roman"/>
                <w:snapToGrid w:val="0"/>
                <w:color w:val="auto"/>
                <w:szCs w:val="21"/>
              </w:rPr>
              <w:t>基准价得分为满分。</w:t>
            </w:r>
          </w:p>
          <w:p>
            <w:pPr>
              <w:spacing w:line="300" w:lineRule="exact"/>
              <w:rPr>
                <w:rFonts w:ascii="宋体" w:hAnsi="宋体" w:eastAsia="宋体" w:cs="Times New Roman"/>
                <w:snapToGrid w:val="0"/>
                <w:color w:val="auto"/>
                <w:szCs w:val="21"/>
              </w:rPr>
            </w:pPr>
            <w:r>
              <w:rPr>
                <w:rFonts w:hint="eastAsia" w:ascii="宋体" w:hAnsi="宋体" w:eastAsia="宋体" w:cs="Times New Roman"/>
                <w:snapToGrid w:val="0"/>
                <w:color w:val="auto"/>
                <w:szCs w:val="21"/>
              </w:rPr>
              <w:t>投标报价得分=（评标基准价/参与评审的价格）×价格权重×100</w:t>
            </w:r>
          </w:p>
          <w:p>
            <w:pPr>
              <w:spacing w:line="300" w:lineRule="exact"/>
              <w:rPr>
                <w:rFonts w:ascii="宋体" w:hAnsi="宋体" w:eastAsia="宋体" w:cs="Times New Roman"/>
                <w:color w:val="auto"/>
                <w:szCs w:val="21"/>
              </w:rPr>
            </w:pPr>
            <w:r>
              <w:rPr>
                <w:rFonts w:hint="eastAsia" w:ascii="宋体" w:hAnsi="宋体" w:eastAsia="宋体" w:cs="Times New Roman"/>
                <w:color w:val="auto"/>
                <w:szCs w:val="21"/>
              </w:rPr>
              <w:t>投标报价得分保留小数点后一位。</w:t>
            </w:r>
          </w:p>
        </w:tc>
        <w:tc>
          <w:tcPr>
            <w:tcW w:w="599" w:type="dxa"/>
            <w:tcBorders>
              <w:top w:val="single" w:color="auto" w:sz="4" w:space="0"/>
              <w:left w:val="single" w:color="auto" w:sz="4" w:space="0"/>
              <w:bottom w:val="sing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917" w:type="dxa"/>
            <w:gridSpan w:val="3"/>
            <w:tcBorders>
              <w:top w:val="single" w:color="auto" w:sz="4" w:space="0"/>
              <w:left w:val="double" w:color="auto" w:sz="4" w:space="0"/>
              <w:bottom w:val="double" w:color="auto" w:sz="4" w:space="0"/>
              <w:right w:val="single" w:color="auto" w:sz="4" w:space="0"/>
            </w:tcBorders>
            <w:noWrap w:val="0"/>
            <w:vAlign w:val="center"/>
          </w:tcPr>
          <w:p>
            <w:pPr>
              <w:spacing w:line="300" w:lineRule="exact"/>
              <w:jc w:val="center"/>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合计100分</w:t>
            </w:r>
          </w:p>
        </w:tc>
        <w:tc>
          <w:tcPr>
            <w:tcW w:w="599" w:type="dxa"/>
            <w:tcBorders>
              <w:top w:val="single" w:color="auto" w:sz="4" w:space="0"/>
              <w:left w:val="single" w:color="auto" w:sz="4" w:space="0"/>
              <w:bottom w:val="double" w:color="auto" w:sz="4" w:space="0"/>
              <w:right w:val="double" w:color="auto" w:sz="4" w:space="0"/>
            </w:tcBorders>
            <w:noWrap w:val="0"/>
            <w:vAlign w:val="center"/>
          </w:tcPr>
          <w:p>
            <w:pPr>
              <w:spacing w:line="300" w:lineRule="exact"/>
              <w:jc w:val="center"/>
              <w:rPr>
                <w:rFonts w:ascii="宋体" w:hAnsi="宋体" w:eastAsia="宋体" w:cs="Times New Roman"/>
                <w:color w:val="auto"/>
                <w:szCs w:val="21"/>
              </w:rPr>
            </w:pPr>
          </w:p>
        </w:tc>
      </w:tr>
    </w:tbl>
    <w:p>
      <w:pPr>
        <w:ind w:right="560"/>
        <w:rPr>
          <w:rFonts w:hint="eastAsia" w:ascii="宋体" w:hAnsi="宋体"/>
          <w:color w:val="auto"/>
          <w:szCs w:val="21"/>
          <w:highlight w:val="none"/>
        </w:rPr>
      </w:pPr>
      <w:r>
        <w:rPr>
          <w:rFonts w:hint="eastAsia" w:ascii="宋体" w:hAnsi="宋体"/>
          <w:color w:val="auto"/>
          <w:szCs w:val="21"/>
          <w:highlight w:val="none"/>
        </w:rPr>
        <w:t>打分人签名:                                               时间：   年  月  日</w:t>
      </w:r>
    </w:p>
    <w:p>
      <w:pPr>
        <w:pStyle w:val="2"/>
        <w:rPr>
          <w:rFonts w:hAnsi="宋体"/>
          <w:color w:val="auto"/>
          <w:highlight w:val="none"/>
        </w:rPr>
      </w:pPr>
      <w:r>
        <w:rPr>
          <w:rFonts w:hint="eastAsia" w:hAnsi="宋体"/>
          <w:color w:val="auto"/>
          <w:highlight w:val="none"/>
        </w:rPr>
        <w:br w:type="page"/>
      </w:r>
      <w:bookmarkStart w:id="34" w:name="_Toc21756"/>
      <w:bookmarkStart w:id="35" w:name="_Toc20983"/>
      <w:r>
        <w:rPr>
          <w:rFonts w:hint="eastAsia" w:hAnsi="宋体"/>
          <w:color w:val="auto"/>
          <w:highlight w:val="none"/>
        </w:rPr>
        <w:t>第五章  合同文本</w:t>
      </w:r>
      <w:bookmarkEnd w:id="30"/>
      <w:bookmarkEnd w:id="34"/>
      <w:bookmarkEnd w:id="35"/>
      <w:r>
        <w:rPr>
          <w:rFonts w:hint="eastAsia" w:hAnsi="宋体"/>
          <w:color w:val="auto"/>
          <w:highlight w:val="none"/>
        </w:rPr>
        <w:t xml:space="preserve">                           </w:t>
      </w:r>
    </w:p>
    <w:p>
      <w:pPr>
        <w:spacing w:line="360" w:lineRule="exact"/>
        <w:ind w:firstLine="480"/>
        <w:rPr>
          <w:rFonts w:hint="eastAsia" w:ascii="宋体" w:hAnsi="宋体" w:cs="宋体"/>
          <w:color w:val="auto"/>
          <w:szCs w:val="21"/>
          <w:highlight w:val="none"/>
          <w:u w:val="singl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p>
    <w:p>
      <w:pPr>
        <w:spacing w:line="360" w:lineRule="exact"/>
        <w:ind w:firstLine="480"/>
        <w:rPr>
          <w:rFonts w:hint="eastAsia" w:ascii="宋体" w:hAnsi="宋体" w:cs="宋体"/>
          <w:color w:val="auto"/>
          <w:szCs w:val="21"/>
          <w:highlight w:val="none"/>
          <w:u w:val="singl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p>
    <w:p>
      <w:pPr>
        <w:spacing w:line="360" w:lineRule="exact"/>
        <w:ind w:firstLine="480"/>
        <w:rPr>
          <w:rFonts w:hint="eastAsia" w:ascii="宋体" w:hAnsi="宋体" w:cs="宋体"/>
          <w:color w:val="auto"/>
          <w:szCs w:val="21"/>
          <w:highlight w:val="none"/>
          <w:u w:val="single"/>
        </w:rPr>
      </w:pPr>
      <w:r>
        <w:rPr>
          <w:rFonts w:hint="eastAsia" w:ascii="宋体" w:hAnsi="宋体" w:cs="宋体"/>
          <w:color w:val="auto"/>
          <w:szCs w:val="21"/>
          <w:highlight w:val="none"/>
        </w:rPr>
        <w:t>合同编号：</w:t>
      </w:r>
      <w:r>
        <w:rPr>
          <w:rFonts w:hint="eastAsia" w:ascii="宋体" w:hAnsi="宋体" w:cs="宋体"/>
          <w:color w:val="auto"/>
          <w:szCs w:val="21"/>
          <w:highlight w:val="none"/>
          <w:u w:val="single"/>
        </w:rPr>
        <w:t xml:space="preserve">                </w:t>
      </w:r>
    </w:p>
    <w:p>
      <w:pPr>
        <w:spacing w:line="360" w:lineRule="exact"/>
        <w:ind w:firstLine="480"/>
        <w:rPr>
          <w:rFonts w:hint="eastAsia" w:ascii="宋体" w:hAnsi="宋体" w:cs="宋体"/>
          <w:color w:val="auto"/>
          <w:szCs w:val="21"/>
          <w:highlight w:val="none"/>
          <w:u w:val="thick"/>
        </w:rPr>
      </w:pPr>
      <w:r>
        <w:rPr>
          <w:rFonts w:hint="eastAsia" w:ascii="宋体" w:hAnsi="宋体" w:cs="宋体"/>
          <w:color w:val="auto"/>
          <w:szCs w:val="21"/>
          <w:highlight w:val="none"/>
        </w:rPr>
        <w:t>签约日期和地点：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 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exact"/>
        <w:ind w:firstLine="480"/>
        <w:rPr>
          <w:rFonts w:hint="eastAsia" w:ascii="宋体" w:hAnsi="宋体" w:cs="宋体"/>
          <w:color w:val="auto"/>
          <w:szCs w:val="21"/>
          <w:highlight w:val="none"/>
        </w:rPr>
      </w:pPr>
    </w:p>
    <w:p>
      <w:pPr>
        <w:spacing w:line="360" w:lineRule="exact"/>
        <w:ind w:firstLine="480"/>
        <w:rPr>
          <w:rFonts w:hint="eastAsia" w:ascii="宋体" w:hAnsi="宋体" w:cs="宋体"/>
          <w:color w:val="auto"/>
          <w:szCs w:val="21"/>
          <w:highlight w:val="none"/>
        </w:rPr>
      </w:pPr>
      <w:r>
        <w:rPr>
          <w:rFonts w:hint="eastAsia" w:ascii="宋体" w:hAnsi="宋体" w:cs="宋体"/>
          <w:color w:val="auto"/>
          <w:szCs w:val="21"/>
          <w:highlight w:val="none"/>
        </w:rPr>
        <w:t xml:space="preserve">鉴于买方为获得 </w:t>
      </w:r>
      <w:r>
        <w:rPr>
          <w:rFonts w:hint="eastAsia" w:ascii="宋体" w:hAnsi="宋体" w:cs="宋体"/>
          <w:color w:val="auto"/>
          <w:szCs w:val="21"/>
          <w:highlight w:val="none"/>
          <w:u w:val="single"/>
        </w:rPr>
        <w:t xml:space="preserve">    （项目名称）    </w:t>
      </w:r>
      <w:r>
        <w:rPr>
          <w:rFonts w:hint="eastAsia" w:ascii="宋体" w:hAnsi="宋体" w:cs="宋体"/>
          <w:color w:val="auto"/>
          <w:szCs w:val="21"/>
          <w:highlight w:val="none"/>
        </w:rPr>
        <w:t xml:space="preserve"> 而进行公开采购，并选定由卖方以单价金额</w:t>
      </w:r>
      <w:r>
        <w:rPr>
          <w:rFonts w:hint="eastAsia" w:ascii="宋体" w:hAnsi="宋体" w:cs="宋体"/>
          <w:color w:val="auto"/>
          <w:szCs w:val="21"/>
          <w:highlight w:val="none"/>
          <w:u w:val="single"/>
        </w:rPr>
        <w:t xml:space="preserve">  （币种、用文字表示的价格） </w:t>
      </w:r>
      <w:r>
        <w:rPr>
          <w:rFonts w:hint="eastAsia" w:ascii="宋体" w:hAnsi="宋体" w:cs="宋体"/>
          <w:color w:val="auto"/>
          <w:szCs w:val="21"/>
          <w:highlight w:val="none"/>
        </w:rPr>
        <w:t xml:space="preserve"> （以下简称合同价）提供的项目的响应。本合同由</w:t>
      </w:r>
      <w:r>
        <w:rPr>
          <w:rFonts w:hint="eastAsia" w:ascii="宋体" w:hAnsi="宋体" w:cs="宋体"/>
          <w:color w:val="auto"/>
          <w:szCs w:val="21"/>
          <w:highlight w:val="none"/>
          <w:u w:val="single"/>
        </w:rPr>
        <w:t xml:space="preserve">买 方 名 </w:t>
      </w:r>
      <w:r>
        <w:rPr>
          <w:rFonts w:hint="eastAsia" w:ascii="宋体" w:hAnsi="宋体" w:cs="宋体"/>
          <w:color w:val="auto"/>
          <w:szCs w:val="21"/>
          <w:highlight w:val="none"/>
        </w:rPr>
        <w:t>（简称买方）为一方和</w:t>
      </w:r>
      <w:r>
        <w:rPr>
          <w:rFonts w:hint="eastAsia" w:ascii="宋体" w:hAnsi="宋体" w:cs="宋体"/>
          <w:color w:val="auto"/>
          <w:szCs w:val="21"/>
          <w:highlight w:val="none"/>
          <w:u w:val="single"/>
        </w:rPr>
        <w:t>卖 方 名</w:t>
      </w:r>
      <w:r>
        <w:rPr>
          <w:rFonts w:hint="eastAsia" w:ascii="宋体" w:hAnsi="宋体" w:cs="宋体"/>
          <w:color w:val="auto"/>
          <w:szCs w:val="21"/>
          <w:highlight w:val="none"/>
        </w:rPr>
        <w:t>（简称卖方）为另一方按以下条款和条件签署。</w:t>
      </w:r>
    </w:p>
    <w:p>
      <w:pPr>
        <w:spacing w:line="360" w:lineRule="exact"/>
        <w:ind w:firstLine="480"/>
        <w:rPr>
          <w:rFonts w:hint="eastAsia" w:ascii="宋体" w:hAnsi="宋体" w:cs="宋体"/>
          <w:color w:val="auto"/>
          <w:szCs w:val="21"/>
          <w:highlight w:val="none"/>
          <w:u w:val="single"/>
        </w:rPr>
      </w:pPr>
      <w:r>
        <w:rPr>
          <w:rFonts w:hint="eastAsia" w:ascii="宋体" w:hAnsi="宋体" w:cs="宋体"/>
          <w:color w:val="auto"/>
          <w:szCs w:val="21"/>
          <w:highlight w:val="none"/>
        </w:rPr>
        <w:t xml:space="preserve">    本合同声明，作为附件，下述文件是合同的一部分，并与本合同一起阅读和解释：</w:t>
      </w:r>
    </w:p>
    <w:p>
      <w:pPr>
        <w:numPr>
          <w:ilvl w:val="0"/>
          <w:numId w:val="7"/>
        </w:numPr>
        <w:spacing w:line="360" w:lineRule="exact"/>
        <w:ind w:left="0" w:firstLine="480"/>
        <w:rPr>
          <w:rFonts w:hint="eastAsia" w:ascii="宋体" w:hAnsi="宋体" w:cs="宋体"/>
          <w:color w:val="auto"/>
          <w:szCs w:val="21"/>
          <w:highlight w:val="none"/>
        </w:rPr>
      </w:pPr>
      <w:r>
        <w:rPr>
          <w:rFonts w:hint="eastAsia" w:ascii="宋体" w:hAnsi="宋体" w:cs="宋体"/>
          <w:color w:val="auto"/>
          <w:szCs w:val="21"/>
          <w:highlight w:val="none"/>
        </w:rPr>
        <w:t>采购文件；</w:t>
      </w:r>
    </w:p>
    <w:p>
      <w:pPr>
        <w:numPr>
          <w:ilvl w:val="0"/>
          <w:numId w:val="7"/>
        </w:numPr>
        <w:spacing w:line="360" w:lineRule="exact"/>
        <w:ind w:left="0" w:firstLine="480"/>
        <w:rPr>
          <w:rFonts w:hint="eastAsia" w:ascii="宋体" w:hAnsi="宋体" w:cs="宋体"/>
          <w:color w:val="auto"/>
          <w:szCs w:val="21"/>
          <w:highlight w:val="none"/>
        </w:rPr>
      </w:pPr>
      <w:r>
        <w:rPr>
          <w:rFonts w:hint="eastAsia" w:ascii="宋体" w:hAnsi="宋体" w:cs="宋体"/>
          <w:color w:val="auto"/>
          <w:szCs w:val="21"/>
          <w:highlight w:val="none"/>
        </w:rPr>
        <w:t>卖方的响应文件、卖方在招响应中提供的澄清文件；</w:t>
      </w:r>
    </w:p>
    <w:p>
      <w:pPr>
        <w:numPr>
          <w:ilvl w:val="0"/>
          <w:numId w:val="7"/>
        </w:numPr>
        <w:spacing w:line="360" w:lineRule="exact"/>
        <w:ind w:left="0" w:firstLine="480"/>
        <w:rPr>
          <w:rFonts w:hint="eastAsia" w:ascii="宋体" w:hAnsi="宋体" w:cs="宋体"/>
          <w:color w:val="auto"/>
          <w:szCs w:val="21"/>
          <w:highlight w:val="none"/>
        </w:rPr>
      </w:pPr>
      <w:r>
        <w:rPr>
          <w:rFonts w:hint="eastAsia" w:ascii="宋体" w:hAnsi="宋体" w:cs="宋体"/>
          <w:color w:val="auto"/>
          <w:szCs w:val="21"/>
          <w:highlight w:val="none"/>
        </w:rPr>
        <w:t>中标通知书；</w:t>
      </w:r>
    </w:p>
    <w:p>
      <w:pPr>
        <w:spacing w:line="360" w:lineRule="exact"/>
        <w:ind w:firstLine="480"/>
        <w:rPr>
          <w:rFonts w:hint="eastAsia" w:ascii="宋体" w:hAnsi="宋体" w:cs="宋体"/>
          <w:color w:val="auto"/>
          <w:szCs w:val="21"/>
          <w:highlight w:val="none"/>
        </w:rPr>
      </w:pPr>
      <w:r>
        <w:rPr>
          <w:rFonts w:hint="eastAsia" w:ascii="宋体" w:hAnsi="宋体" w:cs="宋体"/>
          <w:color w:val="auto"/>
          <w:szCs w:val="21"/>
          <w:highlight w:val="none"/>
        </w:rPr>
        <w:t>上述文件与合同若有不一致之处，文件的优先次序应为第一合同、第二附件。</w:t>
      </w:r>
    </w:p>
    <w:p>
      <w:pPr>
        <w:numPr>
          <w:ilvl w:val="0"/>
          <w:numId w:val="8"/>
        </w:numPr>
        <w:tabs>
          <w:tab w:val="left" w:pos="669"/>
          <w:tab w:val="left" w:pos="720"/>
        </w:tabs>
        <w:spacing w:line="360" w:lineRule="exact"/>
        <w:ind w:left="0" w:firstLine="480"/>
        <w:rPr>
          <w:rFonts w:hint="eastAsia" w:ascii="宋体" w:hAnsi="宋体" w:cs="宋体"/>
          <w:color w:val="auto"/>
          <w:szCs w:val="21"/>
          <w:highlight w:val="none"/>
        </w:rPr>
      </w:pPr>
      <w:r>
        <w:rPr>
          <w:rFonts w:hint="eastAsia" w:ascii="宋体" w:hAnsi="宋体" w:cs="宋体"/>
          <w:color w:val="auto"/>
          <w:szCs w:val="21"/>
          <w:highlight w:val="none"/>
        </w:rPr>
        <w:t>合同项目的名称、数量/服务期限及价格</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62"/>
        <w:gridCol w:w="2279"/>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4" w:type="dxa"/>
            <w:noWrap w:val="0"/>
            <w:vAlign w:val="center"/>
          </w:tcPr>
          <w:p>
            <w:pPr>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2562" w:type="dxa"/>
            <w:noWrap w:val="0"/>
            <w:vAlign w:val="center"/>
          </w:tcPr>
          <w:p>
            <w:pPr>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内   容</w:t>
            </w:r>
          </w:p>
        </w:tc>
        <w:tc>
          <w:tcPr>
            <w:tcW w:w="2279" w:type="dxa"/>
            <w:noWrap w:val="0"/>
            <w:vAlign w:val="center"/>
          </w:tcPr>
          <w:p>
            <w:pPr>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数 量/服务期限</w:t>
            </w:r>
          </w:p>
        </w:tc>
        <w:tc>
          <w:tcPr>
            <w:tcW w:w="1442" w:type="dxa"/>
            <w:noWrap w:val="0"/>
            <w:vAlign w:val="center"/>
          </w:tcPr>
          <w:p>
            <w:pPr>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4" w:type="dxa"/>
            <w:noWrap w:val="0"/>
            <w:vAlign w:val="top"/>
          </w:tcPr>
          <w:p>
            <w:pPr>
              <w:spacing w:line="360" w:lineRule="exact"/>
              <w:rPr>
                <w:rFonts w:hint="eastAsia" w:ascii="宋体" w:hAnsi="宋体" w:cs="宋体"/>
                <w:color w:val="auto"/>
                <w:szCs w:val="21"/>
                <w:highlight w:val="none"/>
              </w:rPr>
            </w:pPr>
          </w:p>
        </w:tc>
        <w:tc>
          <w:tcPr>
            <w:tcW w:w="2562" w:type="dxa"/>
            <w:noWrap w:val="0"/>
            <w:vAlign w:val="top"/>
          </w:tcPr>
          <w:p>
            <w:pPr>
              <w:spacing w:line="360" w:lineRule="exact"/>
              <w:rPr>
                <w:rFonts w:hint="eastAsia" w:ascii="宋体" w:hAnsi="宋体" w:cs="宋体"/>
                <w:color w:val="auto"/>
                <w:szCs w:val="21"/>
                <w:highlight w:val="none"/>
              </w:rPr>
            </w:pPr>
          </w:p>
        </w:tc>
        <w:tc>
          <w:tcPr>
            <w:tcW w:w="2279" w:type="dxa"/>
            <w:noWrap w:val="0"/>
            <w:vAlign w:val="top"/>
          </w:tcPr>
          <w:p>
            <w:pPr>
              <w:spacing w:line="360" w:lineRule="exact"/>
              <w:rPr>
                <w:rFonts w:hint="eastAsia" w:ascii="宋体" w:hAnsi="宋体" w:cs="宋体"/>
                <w:color w:val="auto"/>
                <w:szCs w:val="21"/>
                <w:highlight w:val="none"/>
              </w:rPr>
            </w:pPr>
          </w:p>
        </w:tc>
        <w:tc>
          <w:tcPr>
            <w:tcW w:w="1442" w:type="dxa"/>
            <w:noWrap w:val="0"/>
            <w:vAlign w:val="top"/>
          </w:tcPr>
          <w:p>
            <w:pPr>
              <w:spacing w:line="3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4" w:type="dxa"/>
            <w:noWrap w:val="0"/>
            <w:vAlign w:val="top"/>
          </w:tcPr>
          <w:p>
            <w:pPr>
              <w:spacing w:line="360" w:lineRule="exact"/>
              <w:rPr>
                <w:rFonts w:hint="eastAsia" w:ascii="宋体" w:hAnsi="宋体" w:cs="宋体"/>
                <w:color w:val="auto"/>
                <w:szCs w:val="21"/>
                <w:highlight w:val="none"/>
              </w:rPr>
            </w:pPr>
          </w:p>
        </w:tc>
        <w:tc>
          <w:tcPr>
            <w:tcW w:w="2562" w:type="dxa"/>
            <w:noWrap w:val="0"/>
            <w:vAlign w:val="top"/>
          </w:tcPr>
          <w:p>
            <w:pPr>
              <w:spacing w:line="360" w:lineRule="exact"/>
              <w:rPr>
                <w:rFonts w:hint="eastAsia" w:ascii="宋体" w:hAnsi="宋体" w:cs="宋体"/>
                <w:color w:val="auto"/>
                <w:szCs w:val="21"/>
                <w:highlight w:val="none"/>
              </w:rPr>
            </w:pPr>
          </w:p>
        </w:tc>
        <w:tc>
          <w:tcPr>
            <w:tcW w:w="2279" w:type="dxa"/>
            <w:noWrap w:val="0"/>
            <w:vAlign w:val="top"/>
          </w:tcPr>
          <w:p>
            <w:pPr>
              <w:spacing w:line="360" w:lineRule="exact"/>
              <w:rPr>
                <w:rFonts w:hint="eastAsia" w:ascii="宋体" w:hAnsi="宋体" w:cs="宋体"/>
                <w:color w:val="auto"/>
                <w:szCs w:val="21"/>
                <w:highlight w:val="none"/>
              </w:rPr>
            </w:pPr>
          </w:p>
        </w:tc>
        <w:tc>
          <w:tcPr>
            <w:tcW w:w="1442" w:type="dxa"/>
            <w:noWrap w:val="0"/>
            <w:vAlign w:val="top"/>
          </w:tcPr>
          <w:p>
            <w:pPr>
              <w:spacing w:line="3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4" w:type="dxa"/>
            <w:noWrap w:val="0"/>
            <w:vAlign w:val="top"/>
          </w:tcPr>
          <w:p>
            <w:pPr>
              <w:spacing w:line="360" w:lineRule="exact"/>
              <w:rPr>
                <w:rFonts w:hint="eastAsia" w:ascii="宋体" w:hAnsi="宋体" w:cs="宋体"/>
                <w:color w:val="auto"/>
                <w:szCs w:val="21"/>
                <w:highlight w:val="none"/>
              </w:rPr>
            </w:pPr>
          </w:p>
        </w:tc>
        <w:tc>
          <w:tcPr>
            <w:tcW w:w="2562" w:type="dxa"/>
            <w:noWrap w:val="0"/>
            <w:vAlign w:val="top"/>
          </w:tcPr>
          <w:p>
            <w:pPr>
              <w:spacing w:line="360" w:lineRule="exact"/>
              <w:rPr>
                <w:rFonts w:hint="eastAsia" w:ascii="宋体" w:hAnsi="宋体" w:cs="宋体"/>
                <w:color w:val="auto"/>
                <w:szCs w:val="21"/>
                <w:highlight w:val="none"/>
              </w:rPr>
            </w:pPr>
          </w:p>
        </w:tc>
        <w:tc>
          <w:tcPr>
            <w:tcW w:w="2279" w:type="dxa"/>
            <w:noWrap w:val="0"/>
            <w:vAlign w:val="top"/>
          </w:tcPr>
          <w:p>
            <w:pPr>
              <w:spacing w:line="360" w:lineRule="exact"/>
              <w:rPr>
                <w:rFonts w:hint="eastAsia" w:ascii="宋体" w:hAnsi="宋体" w:cs="宋体"/>
                <w:color w:val="auto"/>
                <w:szCs w:val="21"/>
                <w:highlight w:val="none"/>
              </w:rPr>
            </w:pPr>
          </w:p>
        </w:tc>
        <w:tc>
          <w:tcPr>
            <w:tcW w:w="1442" w:type="dxa"/>
            <w:noWrap w:val="0"/>
            <w:vAlign w:val="top"/>
          </w:tcPr>
          <w:p>
            <w:pPr>
              <w:spacing w:line="3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6" w:type="dxa"/>
            <w:gridSpan w:val="2"/>
            <w:noWrap w:val="0"/>
            <w:vAlign w:val="center"/>
          </w:tcPr>
          <w:p>
            <w:pPr>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合同价（大写金额）</w:t>
            </w:r>
          </w:p>
        </w:tc>
        <w:tc>
          <w:tcPr>
            <w:tcW w:w="3721" w:type="dxa"/>
            <w:gridSpan w:val="2"/>
            <w:noWrap w:val="0"/>
            <w:vAlign w:val="top"/>
          </w:tcPr>
          <w:p>
            <w:pPr>
              <w:spacing w:line="360" w:lineRule="exact"/>
              <w:rPr>
                <w:rFonts w:hint="eastAsia" w:ascii="宋体" w:hAnsi="宋体" w:cs="宋体"/>
                <w:color w:val="auto"/>
                <w:szCs w:val="21"/>
                <w:highlight w:val="none"/>
              </w:rPr>
            </w:pPr>
          </w:p>
        </w:tc>
      </w:tr>
    </w:tbl>
    <w:p>
      <w:pPr>
        <w:spacing w:line="360" w:lineRule="exact"/>
        <w:ind w:firstLine="480"/>
        <w:rPr>
          <w:rFonts w:hint="eastAsia" w:ascii="宋体" w:hAnsi="宋体" w:cs="宋体"/>
          <w:color w:val="auto"/>
          <w:szCs w:val="21"/>
          <w:highlight w:val="none"/>
        </w:rPr>
      </w:pPr>
      <w:r>
        <w:rPr>
          <w:rFonts w:hint="eastAsia" w:ascii="宋体" w:hAnsi="宋体" w:cs="宋体"/>
          <w:color w:val="auto"/>
          <w:szCs w:val="21"/>
          <w:highlight w:val="none"/>
        </w:rPr>
        <w:t>本合同总价内包含的服务内容：</w:t>
      </w:r>
    </w:p>
    <w:p>
      <w:pPr>
        <w:tabs>
          <w:tab w:val="left" w:pos="772"/>
        </w:tabs>
        <w:spacing w:line="360" w:lineRule="exact"/>
        <w:ind w:firstLine="482"/>
        <w:rPr>
          <w:rFonts w:hint="eastAsia" w:ascii="宋体" w:hAnsi="宋体" w:cs="宋体"/>
          <w:b/>
          <w:color w:val="auto"/>
          <w:szCs w:val="21"/>
          <w:highlight w:val="none"/>
        </w:rPr>
      </w:pPr>
      <w:r>
        <w:rPr>
          <w:rFonts w:hint="eastAsia" w:ascii="宋体" w:hAnsi="宋体" w:cs="宋体"/>
          <w:b/>
          <w:color w:val="auto"/>
          <w:szCs w:val="21"/>
          <w:highlight w:val="none"/>
        </w:rPr>
        <w:t>2、质量保证金</w:t>
      </w:r>
    </w:p>
    <w:p>
      <w:pPr>
        <w:spacing w:line="360" w:lineRule="exact"/>
        <w:ind w:left="840" w:hanging="840" w:hangingChars="400"/>
        <w:jc w:val="left"/>
        <w:rPr>
          <w:rFonts w:hint="eastAsia" w:ascii="宋体" w:hAnsi="宋体" w:cs="宋体"/>
          <w:color w:val="auto"/>
          <w:szCs w:val="21"/>
          <w:highlight w:val="none"/>
        </w:rPr>
      </w:pPr>
      <w:r>
        <w:rPr>
          <w:rFonts w:hint="eastAsia" w:ascii="宋体" w:hAnsi="宋体" w:cs="宋体"/>
          <w:color w:val="auto"/>
          <w:szCs w:val="21"/>
          <w:highlight w:val="none"/>
        </w:rPr>
        <w:t>本项目不适用。</w:t>
      </w:r>
    </w:p>
    <w:p>
      <w:pPr>
        <w:spacing w:line="360" w:lineRule="exact"/>
        <w:ind w:firstLine="482"/>
        <w:rPr>
          <w:rFonts w:hint="eastAsia" w:ascii="宋体" w:hAnsi="宋体" w:cs="宋体"/>
          <w:color w:val="auto"/>
          <w:szCs w:val="21"/>
          <w:highlight w:val="none"/>
        </w:rPr>
      </w:pPr>
      <w:r>
        <w:rPr>
          <w:rFonts w:hint="eastAsia" w:ascii="宋体" w:hAnsi="宋体" w:cs="宋体"/>
          <w:b/>
          <w:color w:val="auto"/>
          <w:szCs w:val="21"/>
          <w:highlight w:val="none"/>
        </w:rPr>
        <w:t>3、付款方式及付款期</w:t>
      </w:r>
      <w:r>
        <w:rPr>
          <w:rFonts w:hint="eastAsia" w:ascii="宋体" w:hAnsi="宋体" w:cs="宋体"/>
          <w:color w:val="auto"/>
          <w:szCs w:val="21"/>
          <w:highlight w:val="none"/>
        </w:rPr>
        <w:t>：</w:t>
      </w:r>
    </w:p>
    <w:p>
      <w:pPr>
        <w:spacing w:line="360" w:lineRule="exact"/>
        <w:ind w:firstLine="480"/>
        <w:rPr>
          <w:rFonts w:hint="eastAsia" w:ascii="宋体" w:hAnsi="宋体" w:cs="宋体"/>
          <w:color w:val="auto"/>
          <w:szCs w:val="21"/>
          <w:highlight w:val="none"/>
        </w:rPr>
      </w:pPr>
    </w:p>
    <w:p>
      <w:pPr>
        <w:spacing w:line="360" w:lineRule="exact"/>
        <w:ind w:firstLine="316" w:firstLineChars="150"/>
        <w:rPr>
          <w:rFonts w:hint="eastAsia" w:ascii="宋体" w:hAnsi="宋体" w:cs="宋体"/>
          <w:b/>
          <w:color w:val="auto"/>
          <w:szCs w:val="21"/>
          <w:highlight w:val="none"/>
        </w:rPr>
      </w:pPr>
      <w:r>
        <w:rPr>
          <w:rFonts w:hint="eastAsia" w:ascii="宋体" w:hAnsi="宋体" w:cs="宋体"/>
          <w:b/>
          <w:color w:val="auto"/>
          <w:szCs w:val="21"/>
          <w:highlight w:val="none"/>
        </w:rPr>
        <w:t>4、使用合同文件和资料：</w:t>
      </w:r>
    </w:p>
    <w:p>
      <w:pPr>
        <w:spacing w:line="360" w:lineRule="exact"/>
        <w:ind w:firstLine="482"/>
        <w:rPr>
          <w:rFonts w:hint="eastAsia" w:ascii="宋体" w:hAnsi="宋体" w:cs="宋体"/>
          <w:color w:val="auto"/>
          <w:szCs w:val="21"/>
          <w:highlight w:val="none"/>
        </w:rPr>
      </w:pPr>
      <w:r>
        <w:rPr>
          <w:rFonts w:hint="eastAsia" w:ascii="宋体" w:hAnsi="宋体" w:cs="宋体"/>
          <w:b/>
          <w:color w:val="auto"/>
          <w:szCs w:val="21"/>
          <w:highlight w:val="none"/>
        </w:rPr>
        <w:t>4.1</w:t>
      </w:r>
      <w:r>
        <w:rPr>
          <w:rFonts w:hint="eastAsia" w:ascii="宋体" w:hAnsi="宋体" w:cs="宋体"/>
          <w:color w:val="auto"/>
          <w:szCs w:val="21"/>
          <w:highlight w:val="none"/>
        </w:rPr>
        <w:t xml:space="preserve"> 没有买方事先书面同意，卖方不得将由买方或代表买方提供的有关合同或任何合同条文、计划、图纸或资料提供给与履行本合同无关的任何其他人。即使向与履行本合同有关的人员提供，也应注意保密并限于履行合同必须的范围。</w:t>
      </w:r>
    </w:p>
    <w:p>
      <w:pPr>
        <w:spacing w:line="360" w:lineRule="exact"/>
        <w:ind w:firstLine="482"/>
        <w:rPr>
          <w:rFonts w:hint="eastAsia" w:ascii="宋体" w:hAnsi="宋体" w:cs="宋体"/>
          <w:color w:val="auto"/>
          <w:szCs w:val="21"/>
          <w:highlight w:val="none"/>
        </w:rPr>
      </w:pPr>
      <w:r>
        <w:rPr>
          <w:rFonts w:hint="eastAsia" w:ascii="宋体" w:hAnsi="宋体" w:cs="宋体"/>
          <w:b/>
          <w:color w:val="auto"/>
          <w:szCs w:val="21"/>
          <w:highlight w:val="none"/>
        </w:rPr>
        <w:t>4.2</w:t>
      </w:r>
      <w:r>
        <w:rPr>
          <w:rFonts w:hint="eastAsia" w:ascii="宋体" w:hAnsi="宋体" w:cs="宋体"/>
          <w:color w:val="auto"/>
          <w:szCs w:val="21"/>
          <w:highlight w:val="none"/>
        </w:rPr>
        <w:t xml:space="preserve"> 没有买方事先书面同意，除了履行本合同之外，卖方不应使用</w:t>
      </w:r>
      <w:r>
        <w:rPr>
          <w:rFonts w:hint="eastAsia" w:ascii="宋体" w:hAnsi="宋体" w:cs="宋体"/>
          <w:b/>
          <w:color w:val="auto"/>
          <w:szCs w:val="21"/>
          <w:highlight w:val="none"/>
        </w:rPr>
        <w:t>4.1</w:t>
      </w:r>
      <w:r>
        <w:rPr>
          <w:rFonts w:hint="eastAsia" w:ascii="宋体" w:hAnsi="宋体" w:cs="宋体"/>
          <w:color w:val="auto"/>
          <w:szCs w:val="21"/>
          <w:highlight w:val="none"/>
        </w:rPr>
        <w:t>条款所列举的任何文件和资料。</w:t>
      </w:r>
    </w:p>
    <w:p>
      <w:pPr>
        <w:spacing w:line="360" w:lineRule="exact"/>
        <w:ind w:firstLine="482"/>
        <w:rPr>
          <w:rFonts w:hint="eastAsia" w:ascii="宋体" w:hAnsi="宋体" w:cs="宋体"/>
          <w:color w:val="auto"/>
          <w:szCs w:val="21"/>
          <w:highlight w:val="none"/>
        </w:rPr>
      </w:pPr>
      <w:r>
        <w:rPr>
          <w:rFonts w:hint="eastAsia" w:ascii="宋体" w:hAnsi="宋体" w:cs="宋体"/>
          <w:b/>
          <w:color w:val="auto"/>
          <w:szCs w:val="21"/>
          <w:highlight w:val="none"/>
        </w:rPr>
        <w:t xml:space="preserve">4.3 </w:t>
      </w:r>
      <w:r>
        <w:rPr>
          <w:rFonts w:hint="eastAsia" w:ascii="宋体" w:hAnsi="宋体" w:cs="宋体"/>
          <w:color w:val="auto"/>
          <w:szCs w:val="21"/>
          <w:highlight w:val="none"/>
        </w:rPr>
        <w:t>除了合同本身外，</w:t>
      </w:r>
      <w:r>
        <w:rPr>
          <w:rFonts w:hint="eastAsia" w:ascii="宋体" w:hAnsi="宋体" w:cs="宋体"/>
          <w:b/>
          <w:color w:val="auto"/>
          <w:szCs w:val="21"/>
          <w:highlight w:val="none"/>
        </w:rPr>
        <w:t xml:space="preserve"> 4.1</w:t>
      </w:r>
      <w:r>
        <w:rPr>
          <w:rFonts w:hint="eastAsia" w:ascii="宋体" w:hAnsi="宋体" w:cs="宋体"/>
          <w:color w:val="auto"/>
          <w:szCs w:val="21"/>
          <w:highlight w:val="none"/>
        </w:rPr>
        <w:t>条款所列举的任何文件是买方的财产。如果买方有要求，卖方应在完成合同后将这些文件及全部复制件归还给买方。</w:t>
      </w:r>
    </w:p>
    <w:p>
      <w:pPr>
        <w:spacing w:line="360" w:lineRule="exact"/>
        <w:ind w:firstLine="316" w:firstLineChars="150"/>
        <w:rPr>
          <w:rFonts w:hint="eastAsia" w:ascii="宋体" w:hAnsi="宋体" w:cs="宋体"/>
          <w:color w:val="auto"/>
          <w:szCs w:val="21"/>
          <w:highlight w:val="none"/>
        </w:rPr>
      </w:pPr>
      <w:r>
        <w:rPr>
          <w:rFonts w:hint="eastAsia" w:ascii="宋体" w:hAnsi="宋体" w:cs="宋体"/>
          <w:b/>
          <w:color w:val="auto"/>
          <w:szCs w:val="21"/>
          <w:highlight w:val="none"/>
        </w:rPr>
        <w:t>5、履约保证金</w:t>
      </w:r>
    </w:p>
    <w:p>
      <w:pPr>
        <w:spacing w:line="360" w:lineRule="exact"/>
        <w:ind w:left="315" w:hanging="315" w:hangingChars="150"/>
        <w:rPr>
          <w:rFonts w:hint="eastAsia" w:ascii="宋体" w:hAnsi="宋体" w:cs="宋体"/>
          <w:color w:val="auto"/>
          <w:szCs w:val="21"/>
          <w:highlight w:val="none"/>
          <w:u w:val="singl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5.1</w:t>
      </w:r>
      <w:r>
        <w:rPr>
          <w:rFonts w:hint="eastAsia" w:ascii="宋体" w:hAnsi="宋体" w:cs="宋体"/>
          <w:color w:val="auto"/>
          <w:szCs w:val="21"/>
          <w:highlight w:val="none"/>
        </w:rPr>
        <w:t>履约保证金形式为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exact"/>
        <w:ind w:left="316" w:hanging="316" w:hangingChars="150"/>
        <w:rPr>
          <w:rFonts w:hint="eastAsia" w:ascii="宋体" w:hAnsi="宋体" w:cs="宋体"/>
          <w:color w:val="auto"/>
          <w:szCs w:val="21"/>
          <w:highlight w:val="none"/>
        </w:rPr>
      </w:pPr>
      <w:r>
        <w:rPr>
          <w:rFonts w:hint="eastAsia" w:ascii="宋体" w:hAnsi="宋体" w:cs="宋体"/>
          <w:b/>
          <w:color w:val="auto"/>
          <w:szCs w:val="21"/>
          <w:highlight w:val="none"/>
        </w:rPr>
        <w:t xml:space="preserve">   5.2</w:t>
      </w:r>
      <w:r>
        <w:rPr>
          <w:rFonts w:hint="eastAsia" w:ascii="宋体" w:hAnsi="宋体" w:cs="宋体"/>
          <w:color w:val="auto"/>
          <w:szCs w:val="21"/>
          <w:highlight w:val="none"/>
        </w:rPr>
        <w:t>卖方提供的履约保证金保函应按采购文件所附的格式提供，与此有关的费用由卖方负担。履约保证金保函的有效期至卖方完成合同规定的义务时止。</w:t>
      </w:r>
    </w:p>
    <w:p>
      <w:pPr>
        <w:spacing w:line="360" w:lineRule="exact"/>
        <w:ind w:left="422" w:hanging="422" w:hangingChars="200"/>
        <w:rPr>
          <w:rFonts w:hint="eastAsia" w:ascii="宋体" w:hAnsi="宋体" w:cs="宋体"/>
          <w:color w:val="auto"/>
          <w:szCs w:val="21"/>
          <w:highlight w:val="none"/>
        </w:rPr>
      </w:pPr>
      <w:r>
        <w:rPr>
          <w:rFonts w:hint="eastAsia" w:ascii="宋体" w:hAnsi="宋体" w:cs="宋体"/>
          <w:b/>
          <w:color w:val="auto"/>
          <w:szCs w:val="21"/>
          <w:highlight w:val="none"/>
        </w:rPr>
        <w:t xml:space="preserve">   5.3</w:t>
      </w:r>
      <w:r>
        <w:rPr>
          <w:rFonts w:hint="eastAsia" w:ascii="宋体" w:hAnsi="宋体" w:cs="宋体"/>
          <w:color w:val="auto"/>
          <w:szCs w:val="21"/>
          <w:highlight w:val="none"/>
        </w:rPr>
        <w:t>如卖方未能履行合同规定的任何义务，买方有权从履约保证金中得到补偿。</w:t>
      </w:r>
    </w:p>
    <w:p>
      <w:pPr>
        <w:spacing w:line="360" w:lineRule="exact"/>
        <w:ind w:left="210" w:leftChars="100" w:firstLine="105" w:firstLineChars="50"/>
        <w:rPr>
          <w:rFonts w:hint="eastAsia"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b/>
          <w:color w:val="auto"/>
          <w:szCs w:val="21"/>
          <w:highlight w:val="none"/>
        </w:rPr>
        <w:t>知识产权</w:t>
      </w:r>
    </w:p>
    <w:p>
      <w:pPr>
        <w:spacing w:line="360" w:lineRule="exact"/>
        <w:ind w:firstLine="480"/>
        <w:rPr>
          <w:rFonts w:hint="eastAsia" w:ascii="宋体" w:hAnsi="宋体" w:cs="宋体"/>
          <w:color w:val="auto"/>
          <w:szCs w:val="21"/>
          <w:highlight w:val="none"/>
        </w:rPr>
      </w:pPr>
      <w:r>
        <w:rPr>
          <w:rFonts w:hint="eastAsia" w:ascii="宋体" w:hAnsi="宋体" w:cs="宋体"/>
          <w:color w:val="auto"/>
          <w:szCs w:val="21"/>
          <w:highlight w:val="none"/>
        </w:rPr>
        <w:t>卖方应保证提供服务过程中不会侵犯任何第三方的知识产权，如果任何第三方提出侵权指控，卖方须与第三方交涉并承担可能发生的一切法律责任和费用。</w:t>
      </w:r>
    </w:p>
    <w:p>
      <w:pPr>
        <w:spacing w:line="360" w:lineRule="exact"/>
        <w:ind w:firstLine="316" w:firstLineChars="150"/>
        <w:rPr>
          <w:rFonts w:hint="eastAsia" w:ascii="宋体" w:hAnsi="宋体" w:cs="宋体"/>
          <w:color w:val="auto"/>
          <w:szCs w:val="21"/>
          <w:highlight w:val="none"/>
        </w:rPr>
      </w:pPr>
      <w:r>
        <w:rPr>
          <w:rFonts w:hint="eastAsia" w:ascii="宋体" w:hAnsi="宋体" w:cs="宋体"/>
          <w:b/>
          <w:color w:val="auto"/>
          <w:szCs w:val="21"/>
          <w:highlight w:val="none"/>
        </w:rPr>
        <w:t>7、不可抗力</w:t>
      </w:r>
    </w:p>
    <w:p>
      <w:pPr>
        <w:spacing w:line="360" w:lineRule="exact"/>
        <w:ind w:left="211" w:hanging="211" w:hangingChars="100"/>
        <w:rPr>
          <w:rFonts w:hint="eastAsia" w:ascii="宋体" w:hAnsi="宋体" w:cs="宋体"/>
          <w:color w:val="auto"/>
          <w:szCs w:val="21"/>
          <w:highlight w:val="none"/>
        </w:rPr>
      </w:pPr>
      <w:r>
        <w:rPr>
          <w:rFonts w:hint="eastAsia" w:ascii="宋体" w:hAnsi="宋体" w:cs="宋体"/>
          <w:b/>
          <w:color w:val="auto"/>
          <w:szCs w:val="21"/>
          <w:highlight w:val="none"/>
        </w:rPr>
        <w:t xml:space="preserve">   7.1</w:t>
      </w:r>
      <w:r>
        <w:rPr>
          <w:rFonts w:hint="eastAsia" w:ascii="宋体" w:hAnsi="宋体" w:cs="宋体"/>
          <w:color w:val="auto"/>
          <w:szCs w:val="21"/>
          <w:highlight w:val="none"/>
        </w:rPr>
        <w:t>如果双方中任何一方由于战争、严重火灾、水灾、台风和地震以及其它经双方同意属于不可抗力的事故，致使合同履行受阻时，受不可抗力影响导致合同义务延迟或不能履行的一方不承担责任，但应尽快以传真方式将不可抗力事件结束或消除的情况通知另一方，并立即继续履行合同义务，合同的期限也应予相应延长。</w:t>
      </w:r>
    </w:p>
    <w:p>
      <w:pPr>
        <w:spacing w:line="360" w:lineRule="exact"/>
        <w:ind w:left="316" w:hanging="316" w:hangingChars="150"/>
        <w:rPr>
          <w:rFonts w:hint="eastAsia" w:ascii="宋体" w:hAnsi="宋体" w:cs="宋体"/>
          <w:color w:val="auto"/>
          <w:szCs w:val="21"/>
          <w:highlight w:val="none"/>
        </w:rPr>
      </w:pPr>
      <w:r>
        <w:rPr>
          <w:rFonts w:hint="eastAsia" w:ascii="宋体" w:hAnsi="宋体" w:cs="宋体"/>
          <w:b/>
          <w:color w:val="auto"/>
          <w:szCs w:val="21"/>
          <w:highlight w:val="none"/>
        </w:rPr>
        <w:t xml:space="preserve">   7.2</w:t>
      </w:r>
      <w:r>
        <w:rPr>
          <w:rFonts w:hint="eastAsia" w:ascii="宋体" w:hAnsi="宋体" w:cs="宋体"/>
          <w:color w:val="auto"/>
          <w:szCs w:val="21"/>
          <w:highlight w:val="none"/>
        </w:rPr>
        <w:t>受事故影响的一方应在不可抗力的事故发生后尽快以传真通知另一方，并在事故发生后14天内，将有关部门出具的证明文件用挂号信邮寄或派人送达另一方。如果不可抗力影响时间超过合同规定的期限的，合同任何一方均有权以书面通知终止合同。</w:t>
      </w:r>
    </w:p>
    <w:p>
      <w:pPr>
        <w:spacing w:line="360" w:lineRule="exact"/>
        <w:ind w:firstLine="316" w:firstLineChars="150"/>
        <w:rPr>
          <w:rFonts w:hint="eastAsia" w:ascii="宋体" w:hAnsi="宋体" w:cs="宋体"/>
          <w:color w:val="auto"/>
          <w:szCs w:val="21"/>
          <w:highlight w:val="none"/>
        </w:rPr>
      </w:pPr>
      <w:r>
        <w:rPr>
          <w:rFonts w:hint="eastAsia" w:ascii="宋体" w:hAnsi="宋体" w:cs="宋体"/>
          <w:b/>
          <w:color w:val="auto"/>
          <w:szCs w:val="21"/>
          <w:highlight w:val="none"/>
        </w:rPr>
        <w:t>8.税费</w:t>
      </w:r>
    </w:p>
    <w:p>
      <w:pPr>
        <w:spacing w:line="360" w:lineRule="exact"/>
        <w:ind w:firstLine="48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8.1</w:t>
      </w:r>
      <w:r>
        <w:rPr>
          <w:rFonts w:hint="eastAsia" w:ascii="宋体" w:hAnsi="宋体" w:cs="宋体"/>
          <w:color w:val="auto"/>
          <w:szCs w:val="21"/>
          <w:highlight w:val="none"/>
        </w:rPr>
        <w:t>根据国家现行税法对买方征收的与合同有关的一切税费均由买方负担。</w:t>
      </w:r>
    </w:p>
    <w:p>
      <w:pPr>
        <w:spacing w:line="360" w:lineRule="exact"/>
        <w:ind w:firstLine="482"/>
        <w:rPr>
          <w:rFonts w:hint="eastAsia" w:ascii="宋体" w:hAnsi="宋体" w:cs="宋体"/>
          <w:color w:val="auto"/>
          <w:szCs w:val="21"/>
          <w:highlight w:val="none"/>
        </w:rPr>
      </w:pPr>
      <w:r>
        <w:rPr>
          <w:rFonts w:hint="eastAsia" w:ascii="宋体" w:hAnsi="宋体" w:cs="宋体"/>
          <w:b/>
          <w:color w:val="auto"/>
          <w:szCs w:val="21"/>
          <w:highlight w:val="none"/>
        </w:rPr>
        <w:t xml:space="preserve">   8.2</w:t>
      </w:r>
      <w:r>
        <w:rPr>
          <w:rFonts w:hint="eastAsia" w:ascii="宋体" w:hAnsi="宋体" w:cs="宋体"/>
          <w:color w:val="auto"/>
          <w:szCs w:val="21"/>
          <w:highlight w:val="none"/>
        </w:rPr>
        <w:t>根据国家现行税法对卖方征收的与合同有关的一切税费均由卖方负担。</w:t>
      </w:r>
    </w:p>
    <w:p>
      <w:pPr>
        <w:spacing w:line="360" w:lineRule="exact"/>
        <w:ind w:firstLine="299" w:firstLineChars="142"/>
        <w:rPr>
          <w:rFonts w:hint="eastAsia" w:ascii="宋体" w:hAnsi="宋体" w:cs="宋体"/>
          <w:color w:val="auto"/>
          <w:szCs w:val="21"/>
          <w:highlight w:val="none"/>
        </w:rPr>
      </w:pPr>
      <w:r>
        <w:rPr>
          <w:rFonts w:hint="eastAsia" w:ascii="宋体" w:hAnsi="宋体" w:cs="宋体"/>
          <w:b/>
          <w:color w:val="auto"/>
          <w:szCs w:val="21"/>
          <w:highlight w:val="none"/>
        </w:rPr>
        <w:t>9.违约终止合同</w:t>
      </w:r>
    </w:p>
    <w:p>
      <w:pPr>
        <w:spacing w:line="360" w:lineRule="exact"/>
        <w:ind w:left="316" w:hanging="316" w:hangingChars="150"/>
        <w:rPr>
          <w:rFonts w:hint="eastAsia" w:ascii="宋体" w:hAnsi="宋体" w:cs="宋体"/>
          <w:color w:val="auto"/>
          <w:szCs w:val="21"/>
          <w:highlight w:val="none"/>
        </w:rPr>
      </w:pPr>
      <w:r>
        <w:rPr>
          <w:rFonts w:hint="eastAsia" w:ascii="宋体" w:hAnsi="宋体" w:cs="宋体"/>
          <w:b/>
          <w:color w:val="auto"/>
          <w:szCs w:val="21"/>
          <w:highlight w:val="none"/>
        </w:rPr>
        <w:t xml:space="preserve">   9.1</w:t>
      </w:r>
      <w:r>
        <w:rPr>
          <w:rFonts w:hint="eastAsia" w:ascii="宋体" w:hAnsi="宋体" w:cs="宋体"/>
          <w:color w:val="auto"/>
          <w:szCs w:val="21"/>
          <w:highlight w:val="none"/>
        </w:rPr>
        <w:t>如果卖方有下述违约行为或采购文件中规定的其它违约行为的情况，买方可以向卖方发出书面违约通知，全部或部分地终止合同，在这些情况下，并不影响买方向卖方提出的索赔：</w:t>
      </w:r>
    </w:p>
    <w:p>
      <w:pPr>
        <w:numPr>
          <w:ilvl w:val="0"/>
          <w:numId w:val="9"/>
        </w:numPr>
        <w:tabs>
          <w:tab w:val="left" w:pos="721"/>
        </w:tabs>
        <w:spacing w:line="360" w:lineRule="exact"/>
        <w:ind w:left="0" w:firstLine="480"/>
        <w:rPr>
          <w:rFonts w:hint="eastAsia" w:ascii="宋体" w:hAnsi="宋体" w:cs="宋体"/>
          <w:color w:val="auto"/>
          <w:szCs w:val="21"/>
          <w:highlight w:val="none"/>
        </w:rPr>
      </w:pPr>
      <w:r>
        <w:rPr>
          <w:rFonts w:hint="eastAsia" w:ascii="宋体" w:hAnsi="宋体" w:cs="宋体"/>
          <w:color w:val="auto"/>
          <w:szCs w:val="21"/>
          <w:highlight w:val="none"/>
        </w:rPr>
        <w:t>卖方未能在合同规定的限期或买方同意延长的最终限期内提供全部或部分服务项目、技术文件；</w:t>
      </w:r>
    </w:p>
    <w:p>
      <w:pPr>
        <w:numPr>
          <w:ilvl w:val="0"/>
          <w:numId w:val="9"/>
        </w:numPr>
        <w:tabs>
          <w:tab w:val="left" w:pos="721"/>
        </w:tabs>
        <w:spacing w:line="360" w:lineRule="exact"/>
        <w:ind w:left="0" w:firstLine="480"/>
        <w:rPr>
          <w:rFonts w:hint="eastAsia" w:ascii="宋体" w:hAnsi="宋体" w:cs="宋体"/>
          <w:color w:val="auto"/>
          <w:szCs w:val="21"/>
          <w:highlight w:val="none"/>
        </w:rPr>
      </w:pPr>
      <w:r>
        <w:rPr>
          <w:rFonts w:hint="eastAsia" w:ascii="宋体" w:hAnsi="宋体" w:cs="宋体"/>
          <w:color w:val="auto"/>
          <w:szCs w:val="21"/>
          <w:highlight w:val="none"/>
        </w:rPr>
        <w:t>卖方未能使合同的服务项目达到合同附件规定的最低技术要求；</w:t>
      </w:r>
    </w:p>
    <w:p>
      <w:pPr>
        <w:spacing w:line="360" w:lineRule="exact"/>
        <w:ind w:left="355" w:hanging="354" w:hangingChars="169"/>
        <w:rPr>
          <w:rFonts w:hint="eastAsia" w:ascii="宋体" w:hAnsi="宋体" w:cs="宋体"/>
          <w:color w:val="auto"/>
          <w:szCs w:val="21"/>
          <w:highlight w:val="none"/>
        </w:rPr>
      </w:pPr>
      <w:r>
        <w:rPr>
          <w:rFonts w:hint="eastAsia" w:ascii="宋体" w:hAnsi="宋体" w:cs="宋体"/>
          <w:color w:val="auto"/>
          <w:szCs w:val="21"/>
          <w:highlight w:val="none"/>
        </w:rPr>
        <w:t xml:space="preserve">(3)卖方未能履行合同规定的其它义务（细微义务除外），且卖方在收到买方发出的违约通知后30天内或经买方书面认可延长的时间内未能纠正其违约行为。 </w:t>
      </w:r>
    </w:p>
    <w:p>
      <w:pPr>
        <w:spacing w:line="360" w:lineRule="exact"/>
        <w:ind w:left="316" w:hanging="316" w:hangingChars="150"/>
        <w:rPr>
          <w:rFonts w:hint="eastAsia" w:ascii="宋体" w:hAnsi="宋体" w:cs="宋体"/>
          <w:color w:val="auto"/>
          <w:szCs w:val="21"/>
          <w:highlight w:val="none"/>
        </w:rPr>
      </w:pPr>
      <w:r>
        <w:rPr>
          <w:rFonts w:hint="eastAsia" w:ascii="宋体" w:hAnsi="宋体" w:cs="宋体"/>
          <w:b/>
          <w:color w:val="auto"/>
          <w:szCs w:val="21"/>
          <w:highlight w:val="none"/>
        </w:rPr>
        <w:t xml:space="preserve">   9.2</w:t>
      </w:r>
      <w:r>
        <w:rPr>
          <w:rFonts w:hint="eastAsia" w:ascii="宋体" w:hAnsi="宋体" w:cs="宋体"/>
          <w:color w:val="auto"/>
          <w:szCs w:val="21"/>
          <w:highlight w:val="none"/>
        </w:rPr>
        <w:t>在买方根据第</w:t>
      </w:r>
      <w:r>
        <w:rPr>
          <w:rFonts w:hint="eastAsia" w:ascii="宋体" w:hAnsi="宋体" w:cs="宋体"/>
          <w:b/>
          <w:color w:val="auto"/>
          <w:szCs w:val="21"/>
          <w:highlight w:val="none"/>
        </w:rPr>
        <w:t>9.1</w:t>
      </w:r>
      <w:r>
        <w:rPr>
          <w:rFonts w:hint="eastAsia" w:ascii="宋体" w:hAnsi="宋体" w:cs="宋体"/>
          <w:color w:val="auto"/>
          <w:szCs w:val="21"/>
          <w:highlight w:val="none"/>
        </w:rPr>
        <w:t>条款规定，终止了全部或部分合同，买方可以依其认为适当的条件和方法向卖方或其他人购买与合同被终止部分同种的服务项目，卖方应对买方购买同种服务项目所超出的费用负责。而且卖方还应继续执行合同中未终止的部分。</w:t>
      </w:r>
    </w:p>
    <w:p>
      <w:pPr>
        <w:spacing w:line="360" w:lineRule="exact"/>
        <w:ind w:firstLine="299" w:firstLineChars="142"/>
        <w:rPr>
          <w:rFonts w:hint="eastAsia" w:ascii="宋体" w:hAnsi="宋体" w:cs="宋体"/>
          <w:b/>
          <w:color w:val="auto"/>
          <w:szCs w:val="21"/>
          <w:highlight w:val="none"/>
        </w:rPr>
      </w:pPr>
      <w:r>
        <w:rPr>
          <w:rFonts w:hint="eastAsia" w:ascii="宋体" w:hAnsi="宋体" w:cs="宋体"/>
          <w:b/>
          <w:color w:val="auto"/>
          <w:szCs w:val="21"/>
          <w:highlight w:val="none"/>
        </w:rPr>
        <w:t>10.其他情况终止合同</w:t>
      </w:r>
    </w:p>
    <w:p>
      <w:pPr>
        <w:spacing w:line="360" w:lineRule="exact"/>
        <w:ind w:left="315" w:hanging="315" w:hangingChars="15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10.1</w:t>
      </w:r>
      <w:r>
        <w:rPr>
          <w:rFonts w:hint="eastAsia" w:ascii="宋体" w:hAnsi="宋体" w:cs="宋体"/>
          <w:color w:val="auto"/>
          <w:szCs w:val="21"/>
          <w:highlight w:val="none"/>
        </w:rPr>
        <w:t>如果卖方破产或发生资不抵债的情况，买方可在任何时候以书面通知终止合同，而不给对方补偿。该终止合同将不损害或影响买方已经采取或将要采取的补救措施的权利。</w:t>
      </w:r>
    </w:p>
    <w:p>
      <w:pPr>
        <w:spacing w:line="360" w:lineRule="exact"/>
        <w:ind w:left="210" w:hanging="210" w:hangingChars="10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 xml:space="preserve">10.2 </w:t>
      </w:r>
      <w:r>
        <w:rPr>
          <w:rFonts w:hint="eastAsia" w:ascii="宋体" w:hAnsi="宋体" w:cs="宋体"/>
          <w:color w:val="auto"/>
          <w:szCs w:val="21"/>
          <w:highlight w:val="none"/>
        </w:rPr>
        <w:t>如果买方认定卖方在竞标、采购和合同执行等过程中有腐败或欺诈行为，买方有权在任何时候发出书面通知终止合同。</w:t>
      </w:r>
    </w:p>
    <w:p>
      <w:pPr>
        <w:spacing w:line="360" w:lineRule="exact"/>
        <w:ind w:left="315" w:hanging="315" w:hangingChars="15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10.3</w:t>
      </w:r>
      <w:r>
        <w:rPr>
          <w:rFonts w:hint="eastAsia" w:ascii="宋体" w:hAnsi="宋体" w:cs="宋体"/>
          <w:color w:val="auto"/>
          <w:szCs w:val="21"/>
          <w:highlight w:val="none"/>
        </w:rPr>
        <w:t>如果合同履行过程中出现危害国家利益和社会公众利益的，买方有权在任何时候发出书面通知终止合同。</w:t>
      </w:r>
    </w:p>
    <w:p>
      <w:pPr>
        <w:spacing w:line="360" w:lineRule="exact"/>
        <w:ind w:firstLine="316" w:firstLineChars="150"/>
        <w:rPr>
          <w:rFonts w:hint="eastAsia" w:ascii="宋体" w:hAnsi="宋体" w:cs="宋体"/>
          <w:color w:val="auto"/>
          <w:szCs w:val="21"/>
          <w:highlight w:val="none"/>
        </w:rPr>
      </w:pPr>
      <w:r>
        <w:rPr>
          <w:rFonts w:hint="eastAsia" w:ascii="宋体" w:hAnsi="宋体" w:cs="宋体"/>
          <w:b/>
          <w:color w:val="auto"/>
          <w:szCs w:val="21"/>
          <w:highlight w:val="none"/>
        </w:rPr>
        <w:t>11.转让和分包</w:t>
      </w:r>
    </w:p>
    <w:p>
      <w:pPr>
        <w:spacing w:line="360" w:lineRule="exact"/>
        <w:ind w:firstLine="482"/>
        <w:rPr>
          <w:rFonts w:hint="eastAsia" w:ascii="宋体" w:hAnsi="宋体" w:cs="宋体"/>
          <w:color w:val="auto"/>
          <w:szCs w:val="21"/>
          <w:highlight w:val="none"/>
        </w:rPr>
      </w:pPr>
      <w:r>
        <w:rPr>
          <w:rFonts w:hint="eastAsia" w:ascii="宋体" w:hAnsi="宋体" w:cs="宋体"/>
          <w:b/>
          <w:color w:val="auto"/>
          <w:szCs w:val="21"/>
          <w:highlight w:val="none"/>
        </w:rPr>
        <w:t xml:space="preserve">   11.1</w:t>
      </w:r>
      <w:r>
        <w:rPr>
          <w:rFonts w:hint="eastAsia" w:ascii="宋体" w:hAnsi="宋体" w:cs="宋体"/>
          <w:color w:val="auto"/>
          <w:szCs w:val="21"/>
          <w:highlight w:val="none"/>
        </w:rPr>
        <w:t>卖方不得部分转让或全部转让其应履行的合同义务。</w:t>
      </w:r>
    </w:p>
    <w:p>
      <w:pPr>
        <w:spacing w:line="360" w:lineRule="exact"/>
        <w:ind w:left="315" w:hanging="315" w:hangingChars="15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11.2</w:t>
      </w:r>
      <w:r>
        <w:rPr>
          <w:rFonts w:hint="eastAsia" w:ascii="宋体" w:hAnsi="宋体" w:cs="宋体"/>
          <w:color w:val="auto"/>
          <w:szCs w:val="21"/>
          <w:highlight w:val="none"/>
        </w:rPr>
        <w:t>对响应中明确分包的合同，卖方应将合同的全部分包合同书面通知买方，但此分包通知书不能解除卖方履行合同的责任和义务。</w:t>
      </w:r>
    </w:p>
    <w:p>
      <w:pPr>
        <w:spacing w:line="360" w:lineRule="exact"/>
        <w:ind w:firstLine="48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11.3</w:t>
      </w:r>
      <w:r>
        <w:rPr>
          <w:rFonts w:hint="eastAsia" w:ascii="宋体" w:hAnsi="宋体" w:cs="宋体"/>
          <w:color w:val="auto"/>
          <w:szCs w:val="21"/>
          <w:highlight w:val="none"/>
        </w:rPr>
        <w:t xml:space="preserve"> 分包必须符合国家法律的相关规定。</w:t>
      </w:r>
    </w:p>
    <w:p>
      <w:pPr>
        <w:spacing w:line="360" w:lineRule="exact"/>
        <w:ind w:firstLine="316" w:firstLineChars="150"/>
        <w:rPr>
          <w:rFonts w:hint="eastAsia" w:ascii="宋体" w:hAnsi="宋体" w:cs="宋体"/>
          <w:b/>
          <w:color w:val="auto"/>
          <w:szCs w:val="21"/>
          <w:highlight w:val="none"/>
        </w:rPr>
      </w:pPr>
      <w:r>
        <w:rPr>
          <w:rFonts w:hint="eastAsia" w:ascii="宋体" w:hAnsi="宋体" w:cs="宋体"/>
          <w:b/>
          <w:color w:val="auto"/>
          <w:szCs w:val="21"/>
          <w:highlight w:val="none"/>
        </w:rPr>
        <w:t>12.合同的协商变更与修改</w:t>
      </w:r>
    </w:p>
    <w:p>
      <w:pPr>
        <w:spacing w:line="360" w:lineRule="exact"/>
        <w:ind w:firstLine="482"/>
        <w:rPr>
          <w:rFonts w:hint="eastAsia" w:ascii="宋体" w:hAnsi="宋体" w:cs="宋体"/>
          <w:color w:val="auto"/>
          <w:szCs w:val="21"/>
          <w:highlight w:val="none"/>
        </w:rPr>
      </w:pPr>
      <w:r>
        <w:rPr>
          <w:rFonts w:hint="eastAsia" w:ascii="宋体" w:hAnsi="宋体" w:cs="宋体"/>
          <w:b/>
          <w:color w:val="auto"/>
          <w:szCs w:val="21"/>
          <w:highlight w:val="none"/>
        </w:rPr>
        <w:t xml:space="preserve">12.1 </w:t>
      </w:r>
      <w:r>
        <w:rPr>
          <w:rFonts w:hint="eastAsia" w:ascii="宋体" w:hAnsi="宋体" w:cs="宋体"/>
          <w:color w:val="auto"/>
          <w:szCs w:val="21"/>
          <w:highlight w:val="none"/>
        </w:rPr>
        <w:t>买方可以以书面方式向卖方发出变更要求，协商在本合同的一般范围内变更事项，合同修改书应由双方授权代表签字，具有合同的法律效力。</w:t>
      </w:r>
      <w:r>
        <w:rPr>
          <w:rFonts w:hint="eastAsia" w:ascii="宋体" w:hAnsi="宋体" w:cs="宋体"/>
          <w:color w:val="auto"/>
          <w:szCs w:val="21"/>
          <w:highlight w:val="none"/>
        </w:rPr>
        <w:br w:type="textWrapping"/>
      </w:r>
      <w:r>
        <w:rPr>
          <w:rFonts w:hint="eastAsia" w:ascii="宋体" w:hAnsi="宋体" w:cs="宋体"/>
          <w:color w:val="auto"/>
          <w:szCs w:val="21"/>
          <w:highlight w:val="none"/>
          <w:lang w:val="en-US" w:eastAsia="zh-CN"/>
        </w:rPr>
        <w:t xml:space="preserve">  </w:t>
      </w:r>
      <w:r>
        <w:rPr>
          <w:rFonts w:hint="eastAsia" w:ascii="宋体" w:hAnsi="宋体" w:cs="宋体"/>
          <w:b/>
          <w:color w:val="auto"/>
          <w:szCs w:val="21"/>
          <w:highlight w:val="none"/>
        </w:rPr>
        <w:t>13.争端的解决</w:t>
      </w:r>
    </w:p>
    <w:p>
      <w:pPr>
        <w:spacing w:line="360" w:lineRule="exact"/>
        <w:ind w:left="315" w:hanging="315" w:hangingChars="15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13.1</w:t>
      </w:r>
      <w:r>
        <w:rPr>
          <w:rFonts w:hint="eastAsia" w:ascii="宋体" w:hAnsi="宋体" w:cs="宋体"/>
          <w:color w:val="auto"/>
          <w:szCs w:val="21"/>
          <w:highlight w:val="none"/>
        </w:rPr>
        <w:t xml:space="preserve"> 合同实施或与合同有关的一切争端应依据《中华人民共和国民法典》并通过双方协商解决。如果协商开始后六十天还不能解决，争端应提交仲裁或诉讼，仲裁和诉讼应在买方所在地进行。</w:t>
      </w:r>
    </w:p>
    <w:p>
      <w:pPr>
        <w:spacing w:line="360" w:lineRule="exact"/>
        <w:ind w:left="315" w:hanging="315" w:hangingChars="15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 xml:space="preserve">13.2 </w:t>
      </w:r>
      <w:r>
        <w:rPr>
          <w:rFonts w:hint="eastAsia" w:ascii="宋体" w:hAnsi="宋体" w:cs="宋体"/>
          <w:color w:val="auto"/>
          <w:szCs w:val="21"/>
          <w:highlight w:val="none"/>
        </w:rPr>
        <w:t>仲裁或诉讼裁决应为最终裁决，对双方均有约束力。除另有裁决外，仲裁或诉讼费均应由败诉方负担。</w:t>
      </w:r>
    </w:p>
    <w:p>
      <w:pPr>
        <w:spacing w:line="360" w:lineRule="exact"/>
        <w:ind w:left="315" w:hanging="315" w:hangingChars="15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13.3</w:t>
      </w:r>
      <w:r>
        <w:rPr>
          <w:rFonts w:hint="eastAsia" w:ascii="宋体" w:hAnsi="宋体" w:cs="宋体"/>
          <w:color w:val="auto"/>
          <w:szCs w:val="21"/>
          <w:highlight w:val="none"/>
        </w:rPr>
        <w:t xml:space="preserve"> 在仲裁或诉讼期间，除正在进行仲裁或诉讼的部分外，合同其他部分应继续执行。</w:t>
      </w:r>
    </w:p>
    <w:p>
      <w:pPr>
        <w:spacing w:line="360" w:lineRule="exact"/>
        <w:ind w:firstLine="316" w:firstLineChars="150"/>
        <w:rPr>
          <w:rFonts w:hint="eastAsia" w:ascii="宋体" w:hAnsi="宋体" w:cs="宋体"/>
          <w:color w:val="auto"/>
          <w:szCs w:val="21"/>
          <w:highlight w:val="none"/>
        </w:rPr>
      </w:pPr>
      <w:r>
        <w:rPr>
          <w:rFonts w:hint="eastAsia" w:ascii="宋体" w:hAnsi="宋体" w:cs="宋体"/>
          <w:b/>
          <w:color w:val="auto"/>
          <w:szCs w:val="21"/>
          <w:highlight w:val="none"/>
        </w:rPr>
        <w:t>14.通知</w:t>
      </w:r>
    </w:p>
    <w:p>
      <w:pPr>
        <w:spacing w:line="360" w:lineRule="exact"/>
        <w:ind w:left="316" w:hanging="316" w:hangingChars="150"/>
        <w:rPr>
          <w:rFonts w:hint="eastAsia" w:ascii="宋体" w:hAnsi="宋体" w:cs="宋体"/>
          <w:color w:val="auto"/>
          <w:szCs w:val="21"/>
          <w:highlight w:val="none"/>
        </w:rPr>
      </w:pPr>
      <w:r>
        <w:rPr>
          <w:rFonts w:hint="eastAsia" w:ascii="宋体" w:hAnsi="宋体" w:cs="宋体"/>
          <w:b/>
          <w:color w:val="auto"/>
          <w:szCs w:val="21"/>
          <w:highlight w:val="none"/>
        </w:rPr>
        <w:t xml:space="preserve">   14.1</w:t>
      </w:r>
      <w:r>
        <w:rPr>
          <w:rFonts w:hint="eastAsia" w:ascii="宋体" w:hAnsi="宋体" w:cs="宋体"/>
          <w:color w:val="auto"/>
          <w:szCs w:val="21"/>
          <w:highlight w:val="none"/>
        </w:rPr>
        <w:t>本合同任何一方给另一方的通知，都应以书面或传真的形式发送，而另一方应以书面或传真形式确认，回复对方。</w:t>
      </w:r>
    </w:p>
    <w:p>
      <w:pPr>
        <w:spacing w:line="360" w:lineRule="exact"/>
        <w:ind w:left="315" w:hanging="315" w:hangingChars="15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 xml:space="preserve">14.2 </w:t>
      </w:r>
      <w:r>
        <w:rPr>
          <w:rFonts w:hint="eastAsia" w:ascii="宋体" w:hAnsi="宋体" w:cs="宋体"/>
          <w:color w:val="auto"/>
          <w:szCs w:val="21"/>
          <w:highlight w:val="none"/>
        </w:rPr>
        <w:t>通知以送到日期或通知书的生效日起为生效日期，两者中以较晚的一个日期为准。</w:t>
      </w:r>
    </w:p>
    <w:p>
      <w:pPr>
        <w:spacing w:line="360" w:lineRule="exact"/>
        <w:ind w:firstLine="316" w:firstLineChars="150"/>
        <w:rPr>
          <w:rFonts w:hint="eastAsia" w:ascii="宋体" w:hAnsi="宋体" w:cs="宋体"/>
          <w:b/>
          <w:color w:val="auto"/>
          <w:szCs w:val="21"/>
          <w:highlight w:val="none"/>
        </w:rPr>
      </w:pPr>
    </w:p>
    <w:p>
      <w:pPr>
        <w:pStyle w:val="10"/>
        <w:spacing w:line="360" w:lineRule="exact"/>
        <w:ind w:firstLine="456" w:firstLineChars="225"/>
        <w:rPr>
          <w:rFonts w:hint="eastAsia" w:hAnsi="宋体" w:cs="宋体"/>
          <w:color w:val="auto"/>
          <w:sz w:val="21"/>
          <w:szCs w:val="21"/>
          <w:highlight w:val="none"/>
        </w:rPr>
      </w:pPr>
      <w:r>
        <w:rPr>
          <w:rFonts w:hint="eastAsia" w:hAnsi="宋体" w:cs="宋体"/>
          <w:b/>
          <w:color w:val="auto"/>
          <w:sz w:val="21"/>
          <w:szCs w:val="21"/>
          <w:highlight w:val="none"/>
        </w:rPr>
        <w:t>15、</w:t>
      </w:r>
      <w:r>
        <w:rPr>
          <w:rFonts w:hint="eastAsia" w:hAnsi="宋体" w:cs="宋体"/>
          <w:color w:val="auto"/>
          <w:sz w:val="21"/>
          <w:szCs w:val="21"/>
          <w:highlight w:val="none"/>
        </w:rPr>
        <w:t>鉴于买方将按照本合同向卖方支付款项，卖方在此保证全部按照合同的规定向买方提供服务并修补缺陷。</w:t>
      </w:r>
    </w:p>
    <w:p>
      <w:pPr>
        <w:spacing w:line="360" w:lineRule="exact"/>
        <w:ind w:firstLine="480"/>
        <w:rPr>
          <w:rFonts w:hint="eastAsia" w:ascii="宋体" w:hAnsi="宋体" w:cs="宋体"/>
          <w:b/>
          <w:color w:val="auto"/>
          <w:szCs w:val="21"/>
          <w:highlight w:val="none"/>
        </w:rPr>
      </w:pPr>
      <w:r>
        <w:rPr>
          <w:rFonts w:hint="eastAsia" w:ascii="宋体" w:hAnsi="宋体" w:cs="宋体"/>
          <w:color w:val="auto"/>
          <w:szCs w:val="21"/>
          <w:highlight w:val="none"/>
        </w:rPr>
        <w:t>鉴于卖方将按本合同规定提供服务并修补缺陷，买方在此保证按照合同规定的时间和方式向买方支付合同价或其它按合同应支付的金额。</w:t>
      </w:r>
    </w:p>
    <w:p>
      <w:pPr>
        <w:spacing w:line="360" w:lineRule="exact"/>
        <w:ind w:firstLine="316" w:firstLineChars="150"/>
        <w:rPr>
          <w:rFonts w:hint="eastAsia" w:ascii="宋体" w:hAnsi="宋体" w:cs="宋体"/>
          <w:b/>
          <w:color w:val="auto"/>
          <w:szCs w:val="21"/>
          <w:highlight w:val="none"/>
        </w:rPr>
      </w:pPr>
      <w:r>
        <w:rPr>
          <w:rFonts w:hint="eastAsia" w:ascii="宋体" w:hAnsi="宋体" w:cs="宋体"/>
          <w:b/>
          <w:color w:val="auto"/>
          <w:szCs w:val="21"/>
          <w:highlight w:val="none"/>
        </w:rPr>
        <w:t>16、其他约定事项：</w:t>
      </w:r>
    </w:p>
    <w:p>
      <w:pPr>
        <w:spacing w:line="360" w:lineRule="exact"/>
        <w:ind w:firstLine="315" w:firstLineChars="150"/>
        <w:rPr>
          <w:rFonts w:hint="eastAsia" w:ascii="宋体" w:hAnsi="宋体" w:cs="宋体"/>
          <w:color w:val="auto"/>
          <w:szCs w:val="21"/>
          <w:highlight w:val="none"/>
        </w:rPr>
      </w:pPr>
    </w:p>
    <w:p>
      <w:pPr>
        <w:spacing w:line="360" w:lineRule="exact"/>
        <w:ind w:firstLine="480"/>
        <w:rPr>
          <w:rFonts w:hint="eastAsia" w:ascii="宋体" w:hAnsi="宋体" w:cs="宋体"/>
          <w:color w:val="auto"/>
          <w:szCs w:val="21"/>
          <w:highlight w:val="none"/>
        </w:rPr>
      </w:pPr>
    </w:p>
    <w:p>
      <w:pPr>
        <w:pStyle w:val="10"/>
        <w:spacing w:line="360" w:lineRule="exact"/>
        <w:ind w:firstLine="260" w:firstLineChars="128"/>
        <w:rPr>
          <w:rFonts w:hint="eastAsia" w:hAnsi="宋体" w:cs="宋体"/>
          <w:b/>
          <w:color w:val="auto"/>
          <w:sz w:val="21"/>
          <w:szCs w:val="21"/>
          <w:highlight w:val="none"/>
        </w:rPr>
      </w:pPr>
      <w:r>
        <w:rPr>
          <w:rFonts w:hint="eastAsia" w:hAnsi="宋体" w:cs="宋体"/>
          <w:b/>
          <w:color w:val="auto"/>
          <w:sz w:val="21"/>
          <w:szCs w:val="21"/>
          <w:highlight w:val="none"/>
        </w:rPr>
        <w:t>17、本合同未尽事宜，遵照《中华人民共和国民法典》有关条文执行。</w:t>
      </w:r>
    </w:p>
    <w:p>
      <w:pPr>
        <w:pStyle w:val="10"/>
        <w:spacing w:line="360" w:lineRule="exact"/>
        <w:ind w:firstLine="256" w:firstLineChars="126"/>
        <w:rPr>
          <w:rFonts w:hint="eastAsia" w:hAnsi="宋体" w:cs="宋体"/>
          <w:color w:val="auto"/>
          <w:sz w:val="21"/>
          <w:szCs w:val="21"/>
          <w:highlight w:val="none"/>
        </w:rPr>
      </w:pPr>
      <w:r>
        <w:rPr>
          <w:rFonts w:hint="eastAsia" w:hAnsi="宋体" w:cs="宋体"/>
          <w:b/>
          <w:color w:val="auto"/>
          <w:sz w:val="21"/>
          <w:szCs w:val="21"/>
          <w:highlight w:val="none"/>
        </w:rPr>
        <w:t>18、</w:t>
      </w:r>
      <w:r>
        <w:rPr>
          <w:rFonts w:hint="eastAsia" w:hAnsi="宋体" w:cs="宋体"/>
          <w:color w:val="auto"/>
          <w:sz w:val="21"/>
          <w:szCs w:val="21"/>
          <w:highlight w:val="none"/>
        </w:rPr>
        <w:t>合同经双方授权代表签署，买卖双方加盖印章，且买方收到卖方提交的履约保证金之后生效。</w:t>
      </w:r>
    </w:p>
    <w:p>
      <w:pPr>
        <w:pStyle w:val="10"/>
        <w:spacing w:line="360" w:lineRule="exact"/>
        <w:ind w:firstLine="304" w:firstLineChars="150"/>
        <w:rPr>
          <w:rFonts w:hint="eastAsia" w:hAnsi="宋体" w:cs="宋体"/>
          <w:color w:val="auto"/>
          <w:sz w:val="21"/>
          <w:szCs w:val="21"/>
          <w:highlight w:val="none"/>
        </w:rPr>
      </w:pPr>
      <w:r>
        <w:rPr>
          <w:rFonts w:hint="eastAsia" w:hAnsi="宋体" w:cs="宋体"/>
          <w:b/>
          <w:color w:val="auto"/>
          <w:sz w:val="21"/>
          <w:szCs w:val="21"/>
          <w:highlight w:val="none"/>
        </w:rPr>
        <w:t>19、</w:t>
      </w:r>
      <w:r>
        <w:rPr>
          <w:rFonts w:hint="eastAsia" w:hAnsi="宋体" w:cs="宋体"/>
          <w:color w:val="auto"/>
          <w:sz w:val="21"/>
          <w:szCs w:val="21"/>
          <w:highlight w:val="none"/>
        </w:rPr>
        <w:t>本合同一式</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份，双方各执</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份。</w:t>
      </w:r>
    </w:p>
    <w:p>
      <w:pPr>
        <w:pStyle w:val="10"/>
        <w:spacing w:line="360" w:lineRule="exact"/>
        <w:rPr>
          <w:rFonts w:hint="eastAsia" w:hAnsi="宋体" w:cs="宋体"/>
          <w:color w:val="auto"/>
          <w:sz w:val="21"/>
          <w:szCs w:val="21"/>
          <w:highlight w:val="none"/>
        </w:rPr>
      </w:pPr>
    </w:p>
    <w:p>
      <w:pPr>
        <w:pStyle w:val="10"/>
        <w:spacing w:line="360" w:lineRule="exact"/>
        <w:rPr>
          <w:rFonts w:hint="eastAsia" w:hAnsi="宋体" w:cs="宋体"/>
          <w:color w:val="auto"/>
          <w:sz w:val="21"/>
          <w:szCs w:val="21"/>
          <w:highlight w:val="none"/>
        </w:rPr>
      </w:pPr>
      <w:r>
        <w:rPr>
          <w:rFonts w:hint="eastAsia" w:hAnsi="宋体" w:cs="宋体"/>
          <w:color w:val="auto"/>
          <w:sz w:val="21"/>
          <w:szCs w:val="21"/>
          <w:highlight w:val="none"/>
        </w:rPr>
        <w:t xml:space="preserve">买  方：                          卖  方：              </w:t>
      </w:r>
    </w:p>
    <w:p>
      <w:pPr>
        <w:pStyle w:val="10"/>
        <w:spacing w:line="360" w:lineRule="exact"/>
        <w:rPr>
          <w:rFonts w:hint="eastAsia" w:hAnsi="宋体" w:cs="宋体"/>
          <w:color w:val="auto"/>
          <w:sz w:val="21"/>
          <w:szCs w:val="21"/>
          <w:highlight w:val="none"/>
        </w:rPr>
      </w:pPr>
      <w:r>
        <w:rPr>
          <w:rFonts w:hint="eastAsia" w:hAnsi="宋体" w:cs="宋体"/>
          <w:color w:val="auto"/>
          <w:sz w:val="21"/>
          <w:szCs w:val="21"/>
          <w:highlight w:val="none"/>
        </w:rPr>
        <w:t>名  称：（印章）                   名  称：（印章）</w:t>
      </w:r>
    </w:p>
    <w:p>
      <w:pPr>
        <w:pStyle w:val="10"/>
        <w:spacing w:line="360" w:lineRule="exact"/>
        <w:rPr>
          <w:rFonts w:hint="eastAsia" w:hAnsi="宋体" w:cs="宋体"/>
          <w:color w:val="auto"/>
          <w:sz w:val="21"/>
          <w:szCs w:val="21"/>
          <w:highlight w:val="none"/>
        </w:rPr>
      </w:pPr>
      <w:r>
        <w:rPr>
          <w:rFonts w:hint="eastAsia" w:hAnsi="宋体" w:cs="宋体"/>
          <w:color w:val="auto"/>
          <w:sz w:val="21"/>
          <w:szCs w:val="21"/>
          <w:highlight w:val="none"/>
        </w:rPr>
        <w:t xml:space="preserve">全权代表（签字）：                 全权代表（签字）： </w:t>
      </w:r>
    </w:p>
    <w:p>
      <w:pPr>
        <w:pStyle w:val="10"/>
        <w:spacing w:line="360" w:lineRule="exact"/>
        <w:rPr>
          <w:rFonts w:hint="eastAsia" w:hAnsi="宋体" w:cs="宋体"/>
          <w:color w:val="auto"/>
          <w:sz w:val="21"/>
          <w:szCs w:val="21"/>
          <w:highlight w:val="none"/>
        </w:rPr>
      </w:pPr>
      <w:r>
        <w:rPr>
          <w:rFonts w:hint="eastAsia" w:hAnsi="宋体" w:cs="宋体"/>
          <w:color w:val="auto"/>
          <w:sz w:val="21"/>
          <w:szCs w:val="21"/>
          <w:highlight w:val="none"/>
        </w:rPr>
        <w:t>地    址：                        地    址：</w:t>
      </w:r>
    </w:p>
    <w:p>
      <w:pPr>
        <w:pStyle w:val="10"/>
        <w:spacing w:line="360" w:lineRule="exact"/>
        <w:rPr>
          <w:rFonts w:hint="eastAsia" w:hAnsi="宋体" w:cs="宋体"/>
          <w:color w:val="auto"/>
          <w:sz w:val="21"/>
          <w:szCs w:val="21"/>
          <w:highlight w:val="none"/>
        </w:rPr>
      </w:pPr>
      <w:r>
        <w:rPr>
          <w:rFonts w:hint="eastAsia" w:hAnsi="宋体" w:cs="宋体"/>
          <w:color w:val="auto"/>
          <w:sz w:val="21"/>
          <w:szCs w:val="21"/>
          <w:highlight w:val="none"/>
        </w:rPr>
        <w:t>邮政编码：                        邮政编码：</w:t>
      </w:r>
    </w:p>
    <w:p>
      <w:pPr>
        <w:pStyle w:val="10"/>
        <w:spacing w:line="360" w:lineRule="exact"/>
        <w:rPr>
          <w:rFonts w:hint="eastAsia" w:hAnsi="宋体" w:cs="宋体"/>
          <w:color w:val="auto"/>
          <w:sz w:val="21"/>
          <w:szCs w:val="21"/>
          <w:highlight w:val="none"/>
        </w:rPr>
      </w:pPr>
      <w:r>
        <w:rPr>
          <w:rFonts w:hint="eastAsia" w:hAnsi="宋体" w:cs="宋体"/>
          <w:color w:val="auto"/>
          <w:sz w:val="21"/>
          <w:szCs w:val="21"/>
          <w:highlight w:val="none"/>
        </w:rPr>
        <w:t xml:space="preserve">电    话：                        电    话： </w:t>
      </w:r>
    </w:p>
    <w:p>
      <w:pPr>
        <w:pStyle w:val="10"/>
        <w:spacing w:line="360" w:lineRule="exact"/>
        <w:rPr>
          <w:rFonts w:hint="eastAsia" w:hAnsi="宋体" w:cs="宋体"/>
          <w:color w:val="auto"/>
          <w:sz w:val="21"/>
          <w:szCs w:val="21"/>
          <w:highlight w:val="none"/>
        </w:rPr>
      </w:pPr>
      <w:r>
        <w:rPr>
          <w:rFonts w:hint="eastAsia" w:hAnsi="宋体" w:cs="宋体"/>
          <w:color w:val="auto"/>
          <w:sz w:val="21"/>
          <w:szCs w:val="21"/>
          <w:highlight w:val="none"/>
        </w:rPr>
        <w:t>传    真：                        传    真：</w:t>
      </w:r>
    </w:p>
    <w:p>
      <w:pPr>
        <w:pStyle w:val="10"/>
        <w:spacing w:line="360" w:lineRule="exact"/>
        <w:rPr>
          <w:rFonts w:hint="eastAsia" w:hAnsi="宋体" w:cs="宋体"/>
          <w:color w:val="auto"/>
          <w:sz w:val="21"/>
          <w:szCs w:val="21"/>
          <w:highlight w:val="none"/>
        </w:rPr>
      </w:pPr>
      <w:r>
        <w:rPr>
          <w:rFonts w:hint="eastAsia" w:hAnsi="宋体" w:cs="宋体"/>
          <w:color w:val="auto"/>
          <w:sz w:val="21"/>
          <w:szCs w:val="21"/>
          <w:highlight w:val="none"/>
        </w:rPr>
        <w:t xml:space="preserve">开户银行：                        开户银行：       </w:t>
      </w:r>
    </w:p>
    <w:p>
      <w:pPr>
        <w:pStyle w:val="10"/>
        <w:spacing w:line="360" w:lineRule="exact"/>
        <w:rPr>
          <w:rFonts w:hint="eastAsia" w:hAnsi="宋体" w:cs="宋体"/>
          <w:color w:val="auto"/>
          <w:sz w:val="21"/>
          <w:szCs w:val="21"/>
          <w:highlight w:val="none"/>
        </w:rPr>
      </w:pPr>
      <w:r>
        <w:rPr>
          <w:rFonts w:hint="eastAsia" w:hAnsi="宋体" w:cs="宋体"/>
          <w:color w:val="auto"/>
          <w:sz w:val="21"/>
          <w:szCs w:val="21"/>
          <w:highlight w:val="none"/>
        </w:rPr>
        <w:t>帐    号：                        帐    号：</w:t>
      </w:r>
    </w:p>
    <w:p>
      <w:pPr>
        <w:pStyle w:val="21"/>
        <w:snapToGrid w:val="0"/>
        <w:spacing w:before="0" w:beforeLines="0" w:after="0" w:afterLines="0" w:line="360" w:lineRule="exact"/>
        <w:jc w:val="center"/>
        <w:rPr>
          <w:rFonts w:hint="eastAsia" w:hAnsi="宋体" w:cs="宋体"/>
          <w:b/>
          <w:color w:val="auto"/>
          <w:sz w:val="21"/>
          <w:szCs w:val="21"/>
          <w:highlight w:val="none"/>
        </w:rPr>
      </w:pPr>
    </w:p>
    <w:p>
      <w:pPr>
        <w:pStyle w:val="21"/>
        <w:snapToGrid w:val="0"/>
        <w:spacing w:before="120" w:after="120" w:line="240" w:lineRule="auto"/>
        <w:jc w:val="center"/>
        <w:rPr>
          <w:rFonts w:hint="eastAsia" w:hAnsi="宋体"/>
          <w:b/>
          <w:color w:val="auto"/>
          <w:sz w:val="21"/>
          <w:szCs w:val="21"/>
          <w:highlight w:val="none"/>
        </w:rPr>
      </w:pPr>
    </w:p>
    <w:p>
      <w:pPr>
        <w:pStyle w:val="21"/>
        <w:snapToGrid w:val="0"/>
        <w:spacing w:before="120" w:after="120" w:line="240" w:lineRule="auto"/>
        <w:jc w:val="center"/>
        <w:rPr>
          <w:rFonts w:hint="eastAsia" w:hAnsi="宋体"/>
          <w:b/>
          <w:color w:val="auto"/>
          <w:sz w:val="21"/>
          <w:szCs w:val="21"/>
          <w:highlight w:val="none"/>
        </w:rPr>
      </w:pPr>
    </w:p>
    <w:p>
      <w:pPr>
        <w:pStyle w:val="2"/>
        <w:bidi w:val="0"/>
        <w:rPr>
          <w:rFonts w:hint="eastAsia"/>
          <w:color w:val="auto"/>
          <w:lang w:val="en-US" w:eastAsia="zh-CN"/>
        </w:rPr>
      </w:pPr>
      <w:bookmarkStart w:id="36" w:name="_Toc15687"/>
      <w:r>
        <w:rPr>
          <w:rFonts w:hint="eastAsia"/>
          <w:color w:val="auto"/>
          <w:lang w:val="en-US" w:eastAsia="zh-CN"/>
        </w:rPr>
        <w:t>第六章　投标文件格式</w:t>
      </w:r>
      <w:bookmarkEnd w:id="36"/>
    </w:p>
    <w:p>
      <w:pPr>
        <w:spacing w:line="360" w:lineRule="auto"/>
        <w:rPr>
          <w:rFonts w:hint="eastAsia" w:ascii="宋体" w:hAnsi="宋体" w:eastAsia="宋体" w:cs="Times New Roman"/>
          <w:b/>
          <w:bCs/>
          <w:color w:val="auto"/>
          <w:sz w:val="24"/>
          <w:highlight w:val="none"/>
        </w:rPr>
      </w:pPr>
      <w:r>
        <w:rPr>
          <w:rFonts w:hint="eastAsia" w:ascii="宋体" w:hAnsi="宋体" w:eastAsia="宋体" w:cs="Times New Roman"/>
          <w:b/>
          <w:bCs/>
          <w:color w:val="auto"/>
          <w:sz w:val="24"/>
          <w:highlight w:val="none"/>
        </w:rPr>
        <w:t>一、资格证明文件</w:t>
      </w:r>
    </w:p>
    <w:p>
      <w:pPr>
        <w:spacing w:line="360" w:lineRule="auto"/>
        <w:rPr>
          <w:rFonts w:hint="eastAsia" w:ascii="宋体" w:hAnsi="宋体" w:eastAsia="宋体" w:cs="Times New Roman"/>
          <w:b/>
          <w:color w:val="auto"/>
          <w:sz w:val="32"/>
          <w:szCs w:val="32"/>
        </w:rPr>
      </w:pPr>
    </w:p>
    <w:p>
      <w:pPr>
        <w:spacing w:line="360" w:lineRule="auto"/>
        <w:rPr>
          <w:rFonts w:ascii="宋体" w:hAnsi="宋体" w:eastAsia="宋体" w:cs="Times New Roman"/>
          <w:b/>
          <w:color w:val="auto"/>
          <w:sz w:val="32"/>
          <w:szCs w:val="32"/>
        </w:rPr>
      </w:pPr>
      <w:r>
        <w:rPr>
          <w:rFonts w:hint="eastAsia" w:ascii="宋体" w:hAnsi="宋体" w:eastAsia="宋体" w:cs="Times New Roman"/>
          <w:b/>
          <w:color w:val="auto"/>
          <w:sz w:val="32"/>
          <w:szCs w:val="32"/>
        </w:rPr>
        <w:t>封面</w:t>
      </w:r>
      <w:r>
        <w:rPr>
          <w:rFonts w:ascii="宋体" w:hAnsi="宋体" w:eastAsia="宋体" w:cs="Times New Roman"/>
          <w:b/>
          <w:color w:val="auto"/>
          <w:sz w:val="32"/>
          <w:szCs w:val="32"/>
        </w:rPr>
        <w:t xml:space="preserve">                                       </w:t>
      </w:r>
    </w:p>
    <w:p>
      <w:pPr>
        <w:spacing w:line="360" w:lineRule="auto"/>
        <w:jc w:val="right"/>
        <w:rPr>
          <w:rFonts w:ascii="宋体" w:hAnsi="宋体" w:eastAsia="宋体" w:cs="Times New Roman"/>
          <w:b/>
          <w:color w:val="auto"/>
          <w:sz w:val="32"/>
          <w:szCs w:val="32"/>
        </w:rPr>
      </w:pPr>
      <w:r>
        <w:rPr>
          <w:rFonts w:hint="eastAsia" w:ascii="宋体" w:hAnsi="宋体" w:eastAsia="宋体" w:cs="Times New Roman"/>
          <w:b/>
          <w:color w:val="auto"/>
          <w:sz w:val="32"/>
          <w:szCs w:val="32"/>
        </w:rPr>
        <w:t>正（副）本</w:t>
      </w:r>
    </w:p>
    <w:p>
      <w:pPr>
        <w:spacing w:line="360" w:lineRule="auto"/>
        <w:rPr>
          <w:rFonts w:ascii="宋体" w:hAnsi="宋体" w:eastAsia="宋体" w:cs="Times New Roman"/>
          <w:color w:val="auto"/>
          <w:sz w:val="28"/>
          <w:szCs w:val="28"/>
        </w:rPr>
      </w:pPr>
    </w:p>
    <w:p>
      <w:pPr>
        <w:spacing w:line="360" w:lineRule="auto"/>
        <w:jc w:val="center"/>
        <w:rPr>
          <w:rFonts w:hint="eastAsia" w:ascii="宋体" w:hAnsi="宋体" w:eastAsia="宋体" w:cs="Times New Roman"/>
          <w:b/>
          <w:color w:val="auto"/>
          <w:sz w:val="36"/>
          <w:szCs w:val="36"/>
          <w:lang w:eastAsia="zh-CN"/>
        </w:rPr>
      </w:pPr>
      <w:r>
        <w:rPr>
          <w:rFonts w:hint="eastAsia" w:ascii="宋体" w:hAnsi="宋体" w:eastAsia="宋体" w:cs="Times New Roman"/>
          <w:b/>
          <w:color w:val="auto"/>
          <w:sz w:val="36"/>
          <w:szCs w:val="36"/>
          <w:lang w:eastAsia="zh-CN"/>
        </w:rPr>
        <w:t>宁波市江北区教育局采购下属学校安保服务项目</w:t>
      </w:r>
    </w:p>
    <w:p>
      <w:pPr>
        <w:spacing w:line="360" w:lineRule="auto"/>
        <w:jc w:val="center"/>
        <w:rPr>
          <w:rFonts w:hint="eastAsia" w:ascii="宋体" w:hAnsi="宋体" w:eastAsia="宋体" w:cs="Times New Roman"/>
          <w:color w:val="auto"/>
          <w:sz w:val="36"/>
          <w:szCs w:val="36"/>
          <w:lang w:eastAsia="zh-CN"/>
        </w:rPr>
      </w:pPr>
      <w:r>
        <w:rPr>
          <w:rFonts w:hint="eastAsia" w:ascii="宋体" w:hAnsi="宋体" w:eastAsia="宋体" w:cs="Times New Roman"/>
          <w:color w:val="auto"/>
          <w:sz w:val="36"/>
          <w:szCs w:val="36"/>
        </w:rPr>
        <w:t>采购编号：</w:t>
      </w:r>
      <w:r>
        <w:rPr>
          <w:rFonts w:hint="eastAsia" w:ascii="宋体" w:hAnsi="宋体" w:eastAsia="宋体" w:cs="Times New Roman"/>
          <w:color w:val="auto"/>
          <w:sz w:val="36"/>
          <w:szCs w:val="36"/>
          <w:u w:val="single"/>
          <w:lang w:eastAsia="zh-CN"/>
        </w:rPr>
        <w:t>NBITC-202320580G</w:t>
      </w:r>
    </w:p>
    <w:p>
      <w:pPr>
        <w:spacing w:line="360" w:lineRule="auto"/>
        <w:jc w:val="center"/>
        <w:rPr>
          <w:rFonts w:ascii="宋体" w:hAnsi="宋体" w:eastAsia="宋体" w:cs="Times New Roman"/>
          <w:color w:val="auto"/>
          <w:sz w:val="36"/>
          <w:szCs w:val="36"/>
        </w:rPr>
      </w:pPr>
      <w:r>
        <w:rPr>
          <w:rFonts w:hint="eastAsia" w:ascii="宋体" w:hAnsi="宋体" w:eastAsia="宋体" w:cs="Times New Roman"/>
          <w:color w:val="auto"/>
          <w:sz w:val="36"/>
          <w:szCs w:val="36"/>
        </w:rPr>
        <w:t>子</w:t>
      </w:r>
      <w:r>
        <w:rPr>
          <w:rFonts w:ascii="宋体" w:hAnsi="宋体" w:eastAsia="宋体" w:cs="Times New Roman"/>
          <w:color w:val="auto"/>
          <w:sz w:val="36"/>
          <w:szCs w:val="36"/>
        </w:rPr>
        <w:t xml:space="preserve">    </w:t>
      </w:r>
      <w:r>
        <w:rPr>
          <w:rFonts w:hint="eastAsia" w:ascii="宋体" w:hAnsi="宋体" w:eastAsia="宋体" w:cs="Times New Roman"/>
          <w:color w:val="auto"/>
          <w:sz w:val="36"/>
          <w:szCs w:val="36"/>
        </w:rPr>
        <w:t>包：</w:t>
      </w:r>
      <w:r>
        <w:rPr>
          <w:rFonts w:hint="eastAsia" w:ascii="宋体" w:hAnsi="宋体" w:eastAsia="宋体" w:cs="Times New Roman"/>
          <w:color w:val="auto"/>
          <w:sz w:val="36"/>
          <w:szCs w:val="36"/>
          <w:u w:val="single"/>
        </w:rPr>
        <w:t>（如有多个标项）</w:t>
      </w:r>
    </w:p>
    <w:p>
      <w:pPr>
        <w:rPr>
          <w:rFonts w:ascii="宋体" w:hAnsi="宋体" w:eastAsia="宋体" w:cs="Times New Roman"/>
          <w:color w:val="auto"/>
          <w:sz w:val="28"/>
          <w:szCs w:val="28"/>
        </w:rPr>
      </w:pPr>
    </w:p>
    <w:p>
      <w:pPr>
        <w:spacing w:line="360" w:lineRule="auto"/>
        <w:jc w:val="center"/>
        <w:rPr>
          <w:rFonts w:ascii="宋体" w:hAnsi="宋体" w:eastAsia="宋体" w:cs="Times New Roman"/>
          <w:color w:val="auto"/>
          <w:sz w:val="36"/>
          <w:szCs w:val="36"/>
        </w:rPr>
      </w:pPr>
      <w:r>
        <w:rPr>
          <w:rFonts w:hint="eastAsia" w:ascii="宋体" w:hAnsi="宋体" w:eastAsia="宋体" w:cs="Times New Roman"/>
          <w:color w:val="auto"/>
          <w:sz w:val="36"/>
          <w:szCs w:val="36"/>
        </w:rPr>
        <w:t>（资格证明文件）</w:t>
      </w:r>
    </w:p>
    <w:p>
      <w:pPr>
        <w:jc w:val="center"/>
        <w:rPr>
          <w:rFonts w:ascii="宋体" w:hAnsi="宋体" w:eastAsia="宋体" w:cs="Times New Roman"/>
          <w:color w:val="auto"/>
          <w:sz w:val="28"/>
          <w:szCs w:val="28"/>
        </w:rPr>
      </w:pPr>
    </w:p>
    <w:p>
      <w:pPr>
        <w:spacing w:line="360" w:lineRule="auto"/>
        <w:jc w:val="center"/>
        <w:rPr>
          <w:rFonts w:ascii="宋体" w:hAnsi="宋体" w:eastAsia="宋体" w:cs="Times New Roman"/>
          <w:b/>
          <w:color w:val="auto"/>
          <w:sz w:val="72"/>
          <w:szCs w:val="72"/>
        </w:rPr>
      </w:pPr>
      <w:r>
        <w:rPr>
          <w:rFonts w:hint="eastAsia" w:ascii="宋体" w:hAnsi="宋体" w:eastAsia="宋体" w:cs="Times New Roman"/>
          <w:b/>
          <w:color w:val="auto"/>
          <w:sz w:val="72"/>
          <w:szCs w:val="72"/>
        </w:rPr>
        <w:t>投标文件</w:t>
      </w:r>
    </w:p>
    <w:p>
      <w:pPr>
        <w:spacing w:line="360" w:lineRule="auto"/>
        <w:jc w:val="center"/>
        <w:rPr>
          <w:rFonts w:ascii="宋体" w:hAnsi="宋体" w:eastAsia="宋体" w:cs="Times New Roman"/>
          <w:color w:val="auto"/>
          <w:sz w:val="36"/>
          <w:szCs w:val="36"/>
        </w:rPr>
      </w:pPr>
    </w:p>
    <w:p>
      <w:pPr>
        <w:spacing w:line="360" w:lineRule="auto"/>
        <w:jc w:val="center"/>
        <w:rPr>
          <w:rFonts w:hint="eastAsia" w:ascii="宋体" w:hAnsi="宋体" w:eastAsia="宋体" w:cs="Times New Roman"/>
          <w:color w:val="auto"/>
          <w:sz w:val="36"/>
          <w:szCs w:val="36"/>
        </w:rPr>
      </w:pPr>
    </w:p>
    <w:p>
      <w:pPr>
        <w:spacing w:line="360" w:lineRule="auto"/>
        <w:jc w:val="center"/>
        <w:rPr>
          <w:rFonts w:ascii="宋体" w:hAnsi="宋体" w:eastAsia="宋体" w:cs="Times New Roman"/>
          <w:color w:val="auto"/>
          <w:sz w:val="36"/>
          <w:szCs w:val="36"/>
        </w:rPr>
      </w:pPr>
    </w:p>
    <w:p>
      <w:pPr>
        <w:spacing w:line="360" w:lineRule="auto"/>
        <w:jc w:val="center"/>
        <w:rPr>
          <w:rFonts w:ascii="宋体" w:hAnsi="宋体" w:eastAsia="宋体" w:cs="Times New Roman"/>
          <w:color w:val="auto"/>
          <w:sz w:val="36"/>
          <w:szCs w:val="36"/>
          <w:u w:val="single"/>
        </w:rPr>
      </w:pPr>
      <w:r>
        <w:rPr>
          <w:rFonts w:hint="eastAsia" w:ascii="宋体" w:hAnsi="宋体" w:eastAsia="宋体" w:cs="Times New Roman"/>
          <w:color w:val="auto"/>
          <w:sz w:val="36"/>
          <w:szCs w:val="36"/>
        </w:rPr>
        <w:t>供应商全称：</w:t>
      </w:r>
      <w:r>
        <w:rPr>
          <w:rFonts w:hint="eastAsia" w:ascii="宋体" w:hAnsi="宋体" w:eastAsia="宋体" w:cs="Times New Roman"/>
          <w:color w:val="auto"/>
          <w:sz w:val="36"/>
          <w:szCs w:val="36"/>
          <w:u w:val="single"/>
        </w:rPr>
        <w:t>（加盖单位公章）</w:t>
      </w:r>
    </w:p>
    <w:p>
      <w:pPr>
        <w:widowControl w:val="0"/>
        <w:adjustRightInd w:val="0"/>
        <w:spacing w:line="312" w:lineRule="atLeast"/>
        <w:ind w:left="101" w:leftChars="48" w:firstLine="1920" w:firstLineChars="800"/>
        <w:jc w:val="left"/>
        <w:textAlignment w:val="baseline"/>
        <w:rPr>
          <w:rFonts w:ascii="宋体" w:hAnsi="宋体" w:eastAsia="宋体" w:cs="Times New Roman"/>
          <w:color w:val="auto"/>
          <w:kern w:val="2"/>
          <w:sz w:val="24"/>
          <w:szCs w:val="28"/>
          <w:u w:val="single"/>
          <w:lang w:val="en-US" w:eastAsia="zh-CN" w:bidi="ar-SA"/>
        </w:rPr>
      </w:pPr>
    </w:p>
    <w:p>
      <w:pPr>
        <w:spacing w:line="360" w:lineRule="auto"/>
        <w:jc w:val="center"/>
        <w:rPr>
          <w:rFonts w:ascii="宋体" w:hAnsi="宋体" w:eastAsia="宋体" w:cs="Times New Roman"/>
          <w:color w:val="auto"/>
          <w:sz w:val="36"/>
          <w:szCs w:val="36"/>
        </w:rPr>
      </w:pPr>
      <w:r>
        <w:rPr>
          <w:rFonts w:hint="eastAsia" w:ascii="宋体" w:hAnsi="宋体" w:eastAsia="宋体" w:cs="Times New Roman"/>
          <w:color w:val="auto"/>
          <w:sz w:val="36"/>
          <w:szCs w:val="36"/>
        </w:rPr>
        <w:t>年</w:t>
      </w:r>
      <w:r>
        <w:rPr>
          <w:rFonts w:ascii="宋体" w:hAnsi="宋体" w:eastAsia="宋体" w:cs="Times New Roman"/>
          <w:color w:val="auto"/>
          <w:sz w:val="36"/>
          <w:szCs w:val="36"/>
        </w:rPr>
        <w:t xml:space="preserve">  </w:t>
      </w:r>
      <w:r>
        <w:rPr>
          <w:rFonts w:hint="eastAsia" w:ascii="宋体" w:hAnsi="宋体" w:eastAsia="宋体" w:cs="Times New Roman"/>
          <w:color w:val="auto"/>
          <w:sz w:val="36"/>
          <w:szCs w:val="36"/>
        </w:rPr>
        <w:t>月</w:t>
      </w:r>
      <w:r>
        <w:rPr>
          <w:rFonts w:ascii="宋体" w:hAnsi="宋体" w:eastAsia="宋体" w:cs="Times New Roman"/>
          <w:color w:val="auto"/>
          <w:sz w:val="36"/>
          <w:szCs w:val="36"/>
        </w:rPr>
        <w:t xml:space="preserve">  </w:t>
      </w:r>
      <w:r>
        <w:rPr>
          <w:rFonts w:hint="eastAsia" w:ascii="宋体" w:hAnsi="宋体" w:eastAsia="宋体" w:cs="Times New Roman"/>
          <w:color w:val="auto"/>
          <w:sz w:val="36"/>
          <w:szCs w:val="36"/>
        </w:rPr>
        <w:t>日</w:t>
      </w:r>
    </w:p>
    <w:p>
      <w:pPr>
        <w:snapToGrid w:val="0"/>
        <w:spacing w:before="120" w:beforeLines="50" w:after="50"/>
        <w:jc w:val="left"/>
        <w:rPr>
          <w:rFonts w:ascii="宋体" w:hAnsi="宋体" w:eastAsia="宋体" w:cs="Times New Roman"/>
          <w:b/>
          <w:color w:val="auto"/>
          <w:szCs w:val="21"/>
          <w:highlight w:val="none"/>
        </w:rPr>
      </w:pPr>
      <w:r>
        <w:rPr>
          <w:rFonts w:ascii="宋体" w:hAnsi="宋体" w:eastAsia="宋体" w:cs="Times New Roman"/>
          <w:b/>
          <w:color w:val="auto"/>
          <w:spacing w:val="-2"/>
          <w:sz w:val="21"/>
          <w:szCs w:val="21"/>
        </w:rPr>
        <w:br w:type="page"/>
      </w:r>
      <w:r>
        <w:rPr>
          <w:rFonts w:hint="eastAsia" w:ascii="宋体" w:hAnsi="宋体" w:eastAsia="宋体" w:cs="Times New Roman"/>
          <w:b w:val="0"/>
          <w:bCs/>
          <w:color w:val="auto"/>
          <w:szCs w:val="21"/>
          <w:highlight w:val="none"/>
          <w:lang w:val="en-US" w:eastAsia="zh-CN"/>
        </w:rPr>
        <w:t>1、</w:t>
      </w:r>
      <w:r>
        <w:rPr>
          <w:rStyle w:val="89"/>
          <w:rFonts w:hint="eastAsia" w:ascii="宋体" w:hAnsi="宋体" w:cs="Times New Roman"/>
          <w:b w:val="0"/>
          <w:bCs/>
          <w:color w:val="auto"/>
          <w:sz w:val="21"/>
          <w:szCs w:val="21"/>
          <w:highlight w:val="none"/>
        </w:rPr>
        <w:t>关于</w:t>
      </w:r>
      <w:r>
        <w:rPr>
          <w:rFonts w:hint="eastAsia" w:ascii="宋体" w:hAnsi="宋体" w:eastAsia="宋体" w:cs="Times New Roman"/>
          <w:b w:val="0"/>
          <w:bCs/>
          <w:color w:val="auto"/>
          <w:szCs w:val="21"/>
          <w:highlight w:val="none"/>
        </w:rPr>
        <w:t>资格的承诺函</w:t>
      </w:r>
    </w:p>
    <w:p>
      <w:pPr>
        <w:spacing w:line="400" w:lineRule="exact"/>
        <w:ind w:left="540" w:firstLine="30"/>
        <w:jc w:val="center"/>
        <w:rPr>
          <w:rFonts w:ascii="宋体" w:hAnsi="宋体" w:eastAsia="宋体" w:cs="Times New Roman"/>
          <w:b/>
          <w:color w:val="auto"/>
          <w:szCs w:val="21"/>
          <w:highlight w:val="none"/>
        </w:rPr>
      </w:pPr>
    </w:p>
    <w:p>
      <w:pPr>
        <w:snapToGrid w:val="0"/>
        <w:spacing w:before="120" w:beforeLines="50" w:after="5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致：</w:t>
      </w:r>
      <w:r>
        <w:rPr>
          <w:rFonts w:ascii="宋体" w:hAnsi="宋体" w:eastAsia="宋体" w:cs="Times New Roman"/>
          <w:color w:val="auto"/>
          <w:szCs w:val="21"/>
          <w:highlight w:val="none"/>
        </w:rPr>
        <w:t>______</w:t>
      </w:r>
      <w:r>
        <w:rPr>
          <w:rFonts w:ascii="宋体" w:hAnsi="宋体" w:eastAsia="宋体" w:cs="Times New Roman"/>
          <w:color w:val="auto"/>
          <w:szCs w:val="21"/>
          <w:highlight w:val="none"/>
          <w:u w:val="single"/>
        </w:rPr>
        <w:t>_     _</w:t>
      </w:r>
      <w:r>
        <w:rPr>
          <w:rFonts w:ascii="宋体" w:hAnsi="宋体" w:eastAsia="宋体" w:cs="Times New Roman"/>
          <w:color w:val="auto"/>
          <w:szCs w:val="21"/>
          <w:highlight w:val="none"/>
        </w:rPr>
        <w:t>_</w:t>
      </w:r>
      <w:r>
        <w:rPr>
          <w:rFonts w:hint="eastAsia" w:ascii="宋体" w:hAnsi="宋体" w:eastAsia="宋体" w:cs="Times New Roman"/>
          <w:color w:val="auto"/>
          <w:szCs w:val="21"/>
          <w:highlight w:val="none"/>
        </w:rPr>
        <w:t>（采购人名称）：</w:t>
      </w:r>
    </w:p>
    <w:p>
      <w:pPr>
        <w:spacing w:line="400" w:lineRule="exact"/>
        <w:ind w:firstLine="420" w:firstLineChars="200"/>
        <w:rPr>
          <w:rFonts w:hint="eastAsia" w:ascii="宋体" w:hAnsi="宋体" w:eastAsia="宋体" w:cs="Times New Roman"/>
          <w:color w:val="auto"/>
          <w:szCs w:val="21"/>
          <w:highlight w:val="none"/>
        </w:rPr>
      </w:pPr>
      <w:r>
        <w:rPr>
          <w:rFonts w:ascii="宋体" w:hAnsi="宋体" w:eastAsia="宋体" w:cs="Times New Roman"/>
          <w:color w:val="auto"/>
          <w:szCs w:val="21"/>
          <w:highlight w:val="none"/>
        </w:rPr>
        <w:t>______</w:t>
      </w:r>
      <w:r>
        <w:rPr>
          <w:rFonts w:ascii="宋体" w:hAnsi="宋体" w:eastAsia="宋体" w:cs="Times New Roman"/>
          <w:color w:val="auto"/>
          <w:szCs w:val="21"/>
          <w:highlight w:val="none"/>
          <w:u w:val="single"/>
        </w:rPr>
        <w:t>_     _</w:t>
      </w:r>
      <w:r>
        <w:rPr>
          <w:rFonts w:ascii="宋体" w:hAnsi="宋体" w:eastAsia="宋体" w:cs="Times New Roman"/>
          <w:color w:val="auto"/>
          <w:szCs w:val="21"/>
          <w:highlight w:val="none"/>
        </w:rPr>
        <w:t>_</w:t>
      </w:r>
      <w:r>
        <w:rPr>
          <w:rFonts w:hint="eastAsia" w:ascii="宋体" w:hAnsi="宋体" w:eastAsia="宋体" w:cs="Times New Roman"/>
          <w:color w:val="auto"/>
          <w:szCs w:val="21"/>
          <w:highlight w:val="none"/>
        </w:rPr>
        <w:t>（投标人名称）自愿参加项目编号为</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的</w:t>
      </w:r>
      <w:r>
        <w:rPr>
          <w:rFonts w:hint="eastAsia" w:ascii="宋体" w:hAnsi="宋体" w:eastAsia="宋体" w:cs="Times New Roman"/>
          <w:color w:val="auto"/>
          <w:szCs w:val="21"/>
          <w:highlight w:val="none"/>
          <w:u w:val="single"/>
        </w:rPr>
        <w:t xml:space="preserve"> 项目名称      </w:t>
      </w:r>
      <w:r>
        <w:rPr>
          <w:rFonts w:hint="eastAsia" w:ascii="宋体" w:hAnsi="宋体" w:eastAsia="宋体" w:cs="Times New Roman"/>
          <w:color w:val="auto"/>
          <w:szCs w:val="21"/>
          <w:highlight w:val="none"/>
        </w:rPr>
        <w:t xml:space="preserve">的投标，现就投标人资格声明如下： </w:t>
      </w:r>
    </w:p>
    <w:p>
      <w:pPr>
        <w:spacing w:line="400" w:lineRule="exact"/>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1、我单位为法人/其他组织/自然人。</w:t>
      </w:r>
    </w:p>
    <w:p>
      <w:pPr>
        <w:spacing w:line="400" w:lineRule="exact"/>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2、我单位符合《中华人民共和国政府采购法》第</w:t>
      </w:r>
      <w:r>
        <w:rPr>
          <w:rFonts w:ascii="宋体" w:hAnsi="宋体" w:eastAsia="宋体" w:cs="Times New Roman"/>
          <w:color w:val="auto"/>
          <w:szCs w:val="21"/>
          <w:highlight w:val="none"/>
        </w:rPr>
        <w:t>22</w:t>
      </w:r>
      <w:r>
        <w:rPr>
          <w:rFonts w:hint="eastAsia" w:ascii="宋体" w:hAnsi="宋体" w:eastAsia="宋体" w:cs="Times New Roman"/>
          <w:color w:val="auto"/>
          <w:szCs w:val="21"/>
          <w:highlight w:val="none"/>
        </w:rPr>
        <w:t>条的一般资格条件的规定：</w:t>
      </w: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(1)具有独立承担民事责任的能力；</w:t>
      </w: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(2)具有良好的商业信誉和健全的财务会计制度；</w:t>
      </w: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(3)具有履行合同所必需的设备和专业技术能力；</w:t>
      </w: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(4)有依法缴纳税收和社会保障资金的良好记录；</w:t>
      </w: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(5)参加政府采购活动前三年内，在经营活动中没有重大违法记录；</w:t>
      </w:r>
    </w:p>
    <w:p>
      <w:pPr>
        <w:spacing w:line="400" w:lineRule="exact"/>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(6)法律、行政法规规定的其他条件。</w:t>
      </w:r>
    </w:p>
    <w:p>
      <w:pPr>
        <w:spacing w:line="400" w:lineRule="exact"/>
        <w:ind w:firstLine="42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3、本次投标由我单位独自参与，为非联合体投标。</w:t>
      </w:r>
    </w:p>
    <w:p>
      <w:pPr>
        <w:spacing w:line="400" w:lineRule="exact"/>
        <w:ind w:firstLine="42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4、我单位符合采购文件规定的特定资格条件的要求。</w:t>
      </w:r>
    </w:p>
    <w:p>
      <w:pPr>
        <w:spacing w:line="400" w:lineRule="exact"/>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5、本投标文件自开标之日起 </w:t>
      </w:r>
      <w:r>
        <w:rPr>
          <w:rFonts w:hint="eastAsia" w:ascii="宋体" w:hAnsi="宋体" w:eastAsia="宋体" w:cs="Times New Roman"/>
          <w:color w:val="auto"/>
          <w:szCs w:val="21"/>
          <w:highlight w:val="none"/>
          <w:u w:val="single"/>
        </w:rPr>
        <w:t>90</w:t>
      </w:r>
      <w:r>
        <w:rPr>
          <w:rFonts w:hint="eastAsia" w:ascii="宋体" w:hAnsi="宋体" w:eastAsia="宋体" w:cs="Times New Roman"/>
          <w:color w:val="auto"/>
          <w:szCs w:val="21"/>
          <w:highlight w:val="none"/>
        </w:rPr>
        <w:t>天内有效。</w:t>
      </w:r>
    </w:p>
    <w:p>
      <w:pPr>
        <w:spacing w:line="400" w:lineRule="exact"/>
        <w:ind w:firstLine="420" w:firstLineChars="200"/>
        <w:rPr>
          <w:rFonts w:hint="eastAsia" w:ascii="宋体" w:hAnsi="宋体" w:eastAsia="宋体" w:cs="Times New Roman"/>
          <w:color w:val="auto"/>
          <w:szCs w:val="21"/>
          <w:highlight w:val="none"/>
        </w:rPr>
      </w:pPr>
    </w:p>
    <w:p>
      <w:pPr>
        <w:spacing w:line="400" w:lineRule="exact"/>
        <w:ind w:firstLine="420" w:firstLineChars="200"/>
        <w:rPr>
          <w:rFonts w:hint="eastAsia" w:ascii="宋体" w:hAnsi="宋体" w:eastAsia="宋体" w:cs="Times New Roman"/>
          <w:color w:val="auto"/>
          <w:szCs w:val="21"/>
          <w:highlight w:val="none"/>
        </w:rPr>
      </w:pPr>
    </w:p>
    <w:p>
      <w:pPr>
        <w:spacing w:line="400" w:lineRule="exact"/>
        <w:ind w:firstLine="420" w:firstLineChars="200"/>
        <w:rPr>
          <w:rFonts w:hint="eastAsia" w:ascii="宋体" w:hAnsi="宋体" w:eastAsia="宋体" w:cs="Times New Roman"/>
          <w:color w:val="auto"/>
          <w:szCs w:val="21"/>
          <w:highlight w:val="none"/>
        </w:rPr>
      </w:pPr>
    </w:p>
    <w:p>
      <w:pPr>
        <w:spacing w:line="400" w:lineRule="exact"/>
        <w:ind w:firstLine="420" w:firstLineChars="200"/>
        <w:rPr>
          <w:rFonts w:hint="eastAsia" w:ascii="宋体" w:hAnsi="宋体" w:eastAsia="宋体" w:cs="Times New Roman"/>
          <w:color w:val="auto"/>
          <w:szCs w:val="21"/>
          <w:highlight w:val="none"/>
        </w:rPr>
      </w:pPr>
    </w:p>
    <w:p>
      <w:pPr>
        <w:spacing w:line="400" w:lineRule="atLeast"/>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投标人公章：</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 xml:space="preserve">          </w:t>
      </w:r>
    </w:p>
    <w:p>
      <w:pPr>
        <w:spacing w:line="400" w:lineRule="atLeast"/>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法定代表人或授权代表（签字）：</w:t>
      </w:r>
      <w:r>
        <w:rPr>
          <w:rFonts w:ascii="宋体" w:hAnsi="宋体" w:eastAsia="宋体" w:cs="Times New Roman"/>
          <w:color w:val="auto"/>
          <w:szCs w:val="21"/>
          <w:highlight w:val="none"/>
          <w:u w:val="single"/>
        </w:rPr>
        <w:t xml:space="preserve">               </w:t>
      </w:r>
    </w:p>
    <w:p>
      <w:pPr>
        <w:spacing w:line="400" w:lineRule="atLeast"/>
        <w:rPr>
          <w:rFonts w:hint="eastAsia" w:ascii="宋体" w:hAnsi="宋体" w:eastAsia="宋体" w:cs="Times New Roman"/>
          <w:color w:val="auto"/>
          <w:szCs w:val="21"/>
          <w:highlight w:val="none"/>
          <w:u w:val="single"/>
        </w:rPr>
      </w:pPr>
      <w:r>
        <w:rPr>
          <w:rFonts w:hint="eastAsia" w:ascii="宋体" w:hAnsi="宋体" w:eastAsia="宋体" w:cs="Times New Roman"/>
          <w:color w:val="auto"/>
          <w:szCs w:val="21"/>
          <w:highlight w:val="none"/>
        </w:rPr>
        <w:t>日            期：</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p>
    <w:p>
      <w:pPr>
        <w:spacing w:line="400" w:lineRule="exact"/>
        <w:rPr>
          <w:rFonts w:hint="eastAsia" w:ascii="宋体" w:hAnsi="宋体" w:eastAsia="宋体" w:cs="Times New Roman"/>
          <w:color w:val="auto"/>
          <w:szCs w:val="21"/>
          <w:highlight w:val="none"/>
        </w:rPr>
      </w:pPr>
    </w:p>
    <w:p>
      <w:pPr>
        <w:spacing w:line="400" w:lineRule="exact"/>
        <w:ind w:firstLine="422" w:firstLineChars="200"/>
        <w:rPr>
          <w:rFonts w:hint="eastAsia" w:ascii="宋体" w:hAnsi="宋体" w:eastAsia="宋体" w:cs="Times New Roman"/>
          <w:b/>
          <w:color w:val="auto"/>
          <w:szCs w:val="21"/>
          <w:highlight w:val="none"/>
        </w:rPr>
      </w:pPr>
    </w:p>
    <w:p>
      <w:pPr>
        <w:snapToGrid w:val="0"/>
        <w:spacing w:before="50" w:after="120" w:afterLines="50"/>
        <w:jc w:val="left"/>
        <w:rPr>
          <w:rFonts w:hint="eastAsia" w:ascii="宋体" w:hAnsi="宋体" w:eastAsia="宋体" w:cs="Times New Roman"/>
          <w:color w:val="auto"/>
          <w:szCs w:val="21"/>
          <w:highlight w:val="none"/>
        </w:rPr>
      </w:pPr>
    </w:p>
    <w:p>
      <w:pPr>
        <w:snapToGrid w:val="0"/>
        <w:spacing w:before="50" w:after="120" w:afterLines="50"/>
        <w:jc w:val="left"/>
        <w:rPr>
          <w:rFonts w:hint="eastAsia" w:ascii="宋体" w:hAnsi="宋体" w:eastAsia="宋体" w:cs="Times New Roman"/>
          <w:color w:val="auto"/>
          <w:szCs w:val="21"/>
          <w:highlight w:val="none"/>
        </w:rPr>
      </w:pPr>
    </w:p>
    <w:p>
      <w:pPr>
        <w:snapToGrid w:val="0"/>
        <w:spacing w:before="50" w:after="120" w:afterLines="50"/>
        <w:jc w:val="left"/>
        <w:rPr>
          <w:rFonts w:hint="eastAsia" w:ascii="宋体" w:hAnsi="宋体" w:eastAsia="宋体" w:cs="Times New Roman"/>
          <w:color w:val="auto"/>
          <w:szCs w:val="21"/>
          <w:highlight w:val="none"/>
        </w:rPr>
      </w:pPr>
    </w:p>
    <w:p>
      <w:pPr>
        <w:snapToGrid w:val="0"/>
        <w:spacing w:before="50" w:after="120" w:afterLines="50"/>
        <w:jc w:val="left"/>
        <w:rPr>
          <w:rFonts w:hint="eastAsia" w:ascii="宋体" w:hAnsi="宋体" w:eastAsia="宋体" w:cs="Times New Roman"/>
          <w:color w:val="auto"/>
          <w:szCs w:val="21"/>
          <w:highlight w:val="none"/>
        </w:rPr>
      </w:pPr>
    </w:p>
    <w:p>
      <w:pPr>
        <w:snapToGrid w:val="0"/>
        <w:spacing w:before="50" w:after="120" w:afterLines="50"/>
        <w:jc w:val="left"/>
        <w:rPr>
          <w:rFonts w:hint="eastAsia" w:ascii="宋体" w:hAnsi="宋体" w:eastAsia="宋体" w:cs="Times New Roman"/>
          <w:color w:val="auto"/>
          <w:sz w:val="24"/>
          <w:highlight w:val="none"/>
        </w:rPr>
      </w:pPr>
    </w:p>
    <w:p>
      <w:pPr>
        <w:widowControl w:val="0"/>
        <w:snapToGrid w:val="0"/>
        <w:spacing w:before="120" w:beforeLines="50" w:after="120" w:afterLines="50" w:line="240" w:lineRule="auto"/>
        <w:jc w:val="both"/>
        <w:rPr>
          <w:rFonts w:ascii="宋体" w:hAnsi="宋体" w:eastAsia="宋体" w:cs="Times New Roman"/>
          <w:color w:val="auto"/>
          <w:kern w:val="2"/>
          <w:sz w:val="21"/>
          <w:szCs w:val="21"/>
          <w:highlight w:val="none"/>
          <w:lang w:val="en-US" w:eastAsia="zh-CN" w:bidi="ar-SA"/>
        </w:rPr>
      </w:pPr>
    </w:p>
    <w:p>
      <w:pPr>
        <w:snapToGrid w:val="0"/>
        <w:spacing w:before="120" w:beforeLines="50" w:after="50"/>
        <w:rPr>
          <w:rFonts w:hint="eastAsia" w:ascii="宋体" w:hAnsi="宋体" w:eastAsia="宋体" w:cs="Times New Roman"/>
          <w:color w:val="auto"/>
          <w:szCs w:val="21"/>
          <w:highlight w:val="none"/>
        </w:rPr>
      </w:pPr>
      <w:r>
        <w:rPr>
          <w:rFonts w:ascii="宋体" w:hAnsi="宋体" w:eastAsia="宋体" w:cs="Times New Roman"/>
          <w:color w:val="auto"/>
          <w:szCs w:val="21"/>
          <w:highlight w:val="none"/>
        </w:rPr>
        <w:br w:type="page"/>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法人或者其他组织的营业执照（副本复印件）、自然人的身份证明（身份证复印件，有效期内）；</w:t>
      </w:r>
    </w:p>
    <w:p>
      <w:pPr>
        <w:snapToGrid w:val="0"/>
        <w:spacing w:before="120" w:beforeLines="50" w:after="50"/>
        <w:rPr>
          <w:rFonts w:hint="eastAsia" w:ascii="宋体" w:hAnsi="宋体" w:eastAsia="宋体" w:cs="Times New Roman"/>
          <w:color w:val="auto"/>
          <w:szCs w:val="21"/>
          <w:highlight w:val="none"/>
        </w:rPr>
      </w:pPr>
    </w:p>
    <w:p>
      <w:pPr>
        <w:snapToGrid w:val="0"/>
        <w:spacing w:before="120" w:beforeLines="50" w:after="50"/>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snapToGrid w:val="0"/>
        <w:spacing w:line="360" w:lineRule="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3、</w:t>
      </w:r>
      <w:r>
        <w:rPr>
          <w:rFonts w:hint="eastAsia" w:ascii="Times New Roman" w:hAnsi="Times New Roman" w:eastAsia="宋体" w:cs="Times New Roman"/>
          <w:color w:val="auto"/>
          <w:highlight w:val="none"/>
        </w:rPr>
        <w:t>特定资格条件要求提供的资格证明材料；</w:t>
      </w: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4、</w:t>
      </w:r>
      <w:r>
        <w:rPr>
          <w:rFonts w:hint="eastAsia" w:ascii="Times New Roman" w:hAnsi="Times New Roman" w:eastAsia="宋体" w:cs="Times New Roman"/>
          <w:color w:val="auto"/>
          <w:highlight w:val="none"/>
        </w:rPr>
        <w:t>中小企业声明函（如是提供）；</w:t>
      </w:r>
    </w:p>
    <w:p>
      <w:pPr>
        <w:shd w:val="clear" w:color="auto" w:fill="auto"/>
        <w:spacing w:line="588" w:lineRule="exact"/>
        <w:jc w:val="center"/>
        <w:rPr>
          <w:rFonts w:hint="eastAsia"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中小企业声明函</w:t>
      </w:r>
    </w:p>
    <w:p>
      <w:pPr>
        <w:pStyle w:val="17"/>
        <w:shd w:val="clear" w:color="auto" w:fill="auto"/>
        <w:spacing w:after="0" w:line="500" w:lineRule="exact"/>
        <w:ind w:firstLine="420" w:firstLineChars="200"/>
        <w:jc w:val="left"/>
        <w:rPr>
          <w:rFonts w:ascii="宋体" w:hAnsi="宋体" w:eastAsia="宋体" w:cs="宋体"/>
          <w:color w:val="auto"/>
          <w:w w:val="95"/>
          <w:sz w:val="21"/>
          <w:szCs w:val="21"/>
          <w:highlight w:val="none"/>
        </w:rPr>
      </w:pPr>
      <w:r>
        <w:rPr>
          <w:rFonts w:hint="eastAsia" w:ascii="宋体" w:hAnsi="宋体" w:eastAsia="宋体" w:cs="宋体"/>
          <w:color w:val="auto"/>
          <w:sz w:val="21"/>
          <w:szCs w:val="21"/>
          <w:highlight w:val="none"/>
        </w:rPr>
        <w:t>本公司（联合体）郑重声明，根据《政府采购促进中小企业发展管理办法》（财库﹝2020﹞46 号）的规定，本公司（联合体）参加</w:t>
      </w:r>
      <w:r>
        <w:rPr>
          <w:rFonts w:hint="eastAsia" w:ascii="宋体" w:hAnsi="宋体" w:eastAsia="宋体" w:cs="宋体"/>
          <w:i/>
          <w:iCs/>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i/>
          <w:iCs/>
          <w:color w:val="auto"/>
          <w:sz w:val="21"/>
          <w:szCs w:val="21"/>
          <w:highlight w:val="none"/>
          <w:u w:val="single"/>
        </w:rPr>
        <w:t>（项目名称）</w:t>
      </w:r>
      <w:r>
        <w:rPr>
          <w:rFonts w:hint="eastAsia" w:ascii="宋体" w:hAnsi="宋体" w:eastAsia="宋体" w:cs="宋体"/>
          <w:color w:val="auto"/>
          <w:sz w:val="21"/>
          <w:szCs w:val="21"/>
          <w:highlight w:val="none"/>
        </w:rPr>
        <w:t>采购活动，提供的货物全部由符合政策要求的中小企业制造。相关企业（含联合体中的中小企业、签订分包意向协议的中小企业）的具体情况如下：</w:t>
      </w:r>
    </w:p>
    <w:p>
      <w:pPr>
        <w:pStyle w:val="17"/>
        <w:numPr>
          <w:ilvl w:val="0"/>
          <w:numId w:val="10"/>
        </w:numPr>
        <w:shd w:val="clear" w:color="auto" w:fill="auto"/>
        <w:spacing w:after="0" w:line="500" w:lineRule="exact"/>
        <w:ind w:firstLine="420" w:firstLineChars="200"/>
        <w:jc w:val="left"/>
        <w:rPr>
          <w:rFonts w:hint="eastAsia" w:ascii="宋体" w:hAnsi="宋体" w:eastAsia="宋体" w:cs="宋体"/>
          <w:color w:val="auto"/>
          <w:w w:val="95"/>
          <w:sz w:val="21"/>
          <w:szCs w:val="21"/>
          <w:highlight w:val="none"/>
        </w:rPr>
      </w:pPr>
      <w:r>
        <w:rPr>
          <w:rFonts w:hint="eastAsia" w:ascii="宋体" w:hAnsi="宋体" w:eastAsia="宋体" w:cs="宋体"/>
          <w:b w:val="0"/>
          <w:bCs/>
          <w:color w:val="auto"/>
          <w:sz w:val="21"/>
          <w:szCs w:val="21"/>
          <w:highlight w:val="none"/>
          <w:u w:val="single"/>
          <w:lang w:val="en-US" w:eastAsia="zh-CN"/>
        </w:rPr>
        <w:t>下属学校安保服务</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租赁和商务服务业</w:t>
      </w:r>
      <w:r>
        <w:rPr>
          <w:rFonts w:hint="eastAsia" w:ascii="宋体" w:hAnsi="宋体" w:eastAsia="宋体" w:cs="宋体"/>
          <w:color w:val="auto"/>
          <w:sz w:val="21"/>
          <w:szCs w:val="21"/>
          <w:highlight w:val="none"/>
        </w:rPr>
        <w:t>；制造商为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w w:val="95"/>
          <w:sz w:val="21"/>
          <w:szCs w:val="21"/>
          <w:highlight w:val="none"/>
        </w:rPr>
        <w:t>，</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（中型企业、小型企业、微型企业）</w:t>
      </w:r>
      <w:r>
        <w:rPr>
          <w:rFonts w:hint="eastAsia" w:ascii="宋体" w:hAnsi="宋体" w:eastAsia="宋体" w:cs="宋体"/>
          <w:color w:val="auto"/>
          <w:w w:val="95"/>
          <w:sz w:val="21"/>
          <w:szCs w:val="21"/>
          <w:highlight w:val="none"/>
        </w:rPr>
        <w:t>；</w:t>
      </w:r>
    </w:p>
    <w:p>
      <w:pPr>
        <w:rPr>
          <w:rFonts w:hint="eastAsia" w:ascii="Times New Roman" w:hAnsi="Times New Roman" w:eastAsia="宋体" w:cs="Times New Roman"/>
          <w:color w:val="auto"/>
          <w:highlight w:val="none"/>
        </w:rPr>
      </w:pPr>
    </w:p>
    <w:p>
      <w:pPr>
        <w:rPr>
          <w:rFonts w:hint="eastAsia" w:ascii="Times New Roman" w:hAnsi="Times New Roman" w:eastAsia="宋体" w:cs="Times New Roman"/>
          <w:color w:val="auto"/>
          <w:highlight w:val="none"/>
        </w:rPr>
      </w:pPr>
    </w:p>
    <w:p>
      <w:pPr>
        <w:widowControl w:val="0"/>
        <w:shd w:val="clear" w:color="auto" w:fill="auto"/>
        <w:autoSpaceDE w:val="0"/>
        <w:autoSpaceDN w:val="0"/>
        <w:adjustRightInd w:val="0"/>
        <w:spacing w:after="0"/>
        <w:jc w:val="left"/>
        <w:rPr>
          <w:rFonts w:hint="eastAsia" w:ascii="Times New Roman" w:hAnsi="Times New Roman" w:eastAsia="宋体" w:cs="Times New Roman"/>
          <w:color w:val="auto"/>
          <w:kern w:val="0"/>
          <w:sz w:val="28"/>
          <w:szCs w:val="20"/>
          <w:highlight w:val="none"/>
          <w:lang w:val="en-US" w:eastAsia="zh-CN" w:bidi="ar-SA"/>
        </w:rPr>
      </w:pPr>
    </w:p>
    <w:p>
      <w:pPr>
        <w:pStyle w:val="17"/>
        <w:shd w:val="clear" w:color="auto" w:fill="auto"/>
        <w:spacing w:after="0"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pStyle w:val="17"/>
        <w:shd w:val="clear" w:color="auto" w:fill="auto"/>
        <w:spacing w:after="0"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pStyle w:val="17"/>
        <w:shd w:val="clear" w:color="auto" w:fill="auto"/>
        <w:spacing w:after="0" w:line="500" w:lineRule="exact"/>
        <w:ind w:firstLine="348" w:firstLineChars="200"/>
        <w:jc w:val="center"/>
        <w:rPr>
          <w:rFonts w:hint="eastAsia" w:ascii="宋体" w:hAnsi="宋体" w:eastAsia="宋体" w:cs="宋体"/>
          <w:color w:val="auto"/>
          <w:w w:val="99"/>
          <w:sz w:val="21"/>
          <w:szCs w:val="21"/>
          <w:highlight w:val="none"/>
        </w:rPr>
      </w:pPr>
      <w:r>
        <w:rPr>
          <w:rFonts w:hint="eastAsia" w:ascii="宋体" w:hAnsi="宋体" w:eastAsia="宋体" w:cs="宋体"/>
          <w:color w:val="auto"/>
          <w:spacing w:val="-18"/>
          <w:sz w:val="21"/>
          <w:szCs w:val="21"/>
          <w:highlight w:val="none"/>
        </w:rPr>
        <w:t>企业名称（盖章）：</w:t>
      </w:r>
      <w:r>
        <w:rPr>
          <w:rFonts w:hint="eastAsia" w:ascii="宋体" w:hAnsi="宋体" w:eastAsia="宋体" w:cs="宋体"/>
          <w:color w:val="auto"/>
          <w:w w:val="99"/>
          <w:sz w:val="21"/>
          <w:szCs w:val="21"/>
          <w:highlight w:val="none"/>
        </w:rPr>
        <w:t xml:space="preserve"> </w:t>
      </w:r>
    </w:p>
    <w:p>
      <w:pPr>
        <w:pStyle w:val="17"/>
        <w:shd w:val="clear" w:color="auto" w:fill="auto"/>
        <w:spacing w:after="0" w:line="500" w:lineRule="exact"/>
        <w:ind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w:t>
      </w:r>
      <w:r>
        <w:rPr>
          <w:rFonts w:hint="eastAsia" w:ascii="宋体" w:hAnsi="宋体" w:eastAsia="宋体" w:cs="宋体"/>
          <w:color w:val="auto"/>
          <w:spacing w:val="-91"/>
          <w:sz w:val="21"/>
          <w:szCs w:val="21"/>
          <w:highlight w:val="none"/>
        </w:rPr>
        <w:t xml:space="preserve"> </w:t>
      </w:r>
      <w:r>
        <w:rPr>
          <w:rFonts w:hint="eastAsia" w:ascii="宋体" w:hAnsi="宋体" w:eastAsia="宋体" w:cs="宋体"/>
          <w:color w:val="auto"/>
          <w:sz w:val="21"/>
          <w:szCs w:val="21"/>
          <w:highlight w:val="none"/>
        </w:rPr>
        <w:t>期：</w:t>
      </w:r>
    </w:p>
    <w:p>
      <w:pPr>
        <w:shd w:val="clear" w:color="auto" w:fill="auto"/>
        <w:rPr>
          <w:rFonts w:hint="eastAsia" w:ascii="宋体" w:hAnsi="宋体" w:eastAsia="宋体" w:cs="Times New Roman"/>
          <w:color w:val="auto"/>
          <w:sz w:val="18"/>
          <w:szCs w:val="18"/>
          <w:highlight w:val="none"/>
        </w:rPr>
      </w:pPr>
    </w:p>
    <w:p>
      <w:pPr>
        <w:pStyle w:val="17"/>
        <w:shd w:val="clear" w:color="auto" w:fill="auto"/>
        <w:rPr>
          <w:rFonts w:ascii="宋体" w:hAnsi="宋体" w:eastAsia="宋体" w:cs="Times New Roman"/>
          <w:color w:val="auto"/>
          <w:sz w:val="18"/>
          <w:szCs w:val="18"/>
          <w:highlight w:val="none"/>
        </w:rPr>
      </w:pPr>
    </w:p>
    <w:p>
      <w:pPr>
        <w:shd w:val="clear" w:color="auto" w:fill="auto"/>
        <w:rPr>
          <w:rFonts w:ascii="宋体" w:hAnsi="宋体" w:eastAsia="宋体" w:cs="Times New Roman"/>
          <w:color w:val="auto"/>
          <w:sz w:val="18"/>
          <w:szCs w:val="18"/>
          <w:highlight w:val="none"/>
        </w:rPr>
      </w:pPr>
    </w:p>
    <w:p>
      <w:pPr>
        <w:pStyle w:val="17"/>
        <w:shd w:val="clear" w:color="auto" w:fill="auto"/>
        <w:rPr>
          <w:rFonts w:ascii="宋体" w:hAnsi="宋体" w:eastAsia="宋体" w:cs="Times New Roman"/>
          <w:color w:val="auto"/>
          <w:sz w:val="18"/>
          <w:szCs w:val="18"/>
          <w:highlight w:val="none"/>
        </w:rPr>
      </w:pPr>
    </w:p>
    <w:p>
      <w:pPr>
        <w:shd w:val="clear" w:color="auto" w:fill="auto"/>
        <w:rPr>
          <w:rFonts w:ascii="宋体" w:hAnsi="宋体" w:eastAsia="宋体" w:cs="Times New Roman"/>
          <w:color w:val="auto"/>
          <w:sz w:val="18"/>
          <w:szCs w:val="18"/>
          <w:highlight w:val="none"/>
        </w:rPr>
      </w:pPr>
    </w:p>
    <w:p>
      <w:pPr>
        <w:pStyle w:val="17"/>
        <w:shd w:val="clear" w:color="auto" w:fill="auto"/>
        <w:rPr>
          <w:rFonts w:ascii="宋体" w:hAnsi="宋体" w:eastAsia="宋体" w:cs="Times New Roman"/>
          <w:color w:val="auto"/>
          <w:sz w:val="18"/>
          <w:szCs w:val="18"/>
          <w:highlight w:val="none"/>
        </w:rPr>
      </w:pPr>
    </w:p>
    <w:p>
      <w:pPr>
        <w:shd w:val="clear" w:color="auto" w:fill="auto"/>
        <w:rPr>
          <w:rFonts w:ascii="宋体" w:hAnsi="宋体" w:eastAsia="宋体" w:cs="Times New Roman"/>
          <w:color w:val="auto"/>
          <w:sz w:val="18"/>
          <w:szCs w:val="18"/>
          <w:highlight w:val="none"/>
        </w:rPr>
      </w:pPr>
    </w:p>
    <w:p>
      <w:pPr>
        <w:pStyle w:val="17"/>
        <w:shd w:val="clear" w:color="auto" w:fill="auto"/>
        <w:rPr>
          <w:rFonts w:ascii="宋体" w:hAnsi="宋体" w:eastAsia="宋体" w:cs="Times New Roman"/>
          <w:color w:val="auto"/>
          <w:sz w:val="18"/>
          <w:szCs w:val="18"/>
          <w:highlight w:val="none"/>
        </w:rPr>
      </w:pPr>
    </w:p>
    <w:p>
      <w:pPr>
        <w:shd w:val="clear" w:color="auto" w:fill="auto"/>
        <w:rPr>
          <w:rFonts w:ascii="宋体" w:hAnsi="宋体" w:eastAsia="宋体" w:cs="Times New Roman"/>
          <w:color w:val="auto"/>
          <w:sz w:val="18"/>
          <w:szCs w:val="18"/>
          <w:highlight w:val="none"/>
        </w:rPr>
      </w:pPr>
    </w:p>
    <w:p>
      <w:pPr>
        <w:shd w:val="clear" w:color="auto" w:fill="auto"/>
        <w:tabs>
          <w:tab w:val="left" w:pos="4860"/>
        </w:tabs>
        <w:spacing w:line="588" w:lineRule="exact"/>
        <w:ind w:left="180" w:right="46" w:hanging="180" w:hangingChars="100"/>
        <w:rPr>
          <w:rFonts w:hint="eastAsia" w:ascii="宋体" w:hAnsi="宋体" w:eastAsia="宋体" w:cs="Times New Roman"/>
          <w:color w:val="auto"/>
          <w:spacing w:val="6"/>
          <w:szCs w:val="21"/>
          <w:highlight w:val="none"/>
        </w:rPr>
      </w:pPr>
      <w:r>
        <w:rPr>
          <w:rFonts w:hint="eastAsia" w:ascii="宋体" w:hAnsi="宋体" w:eastAsia="宋体" w:cs="宋体"/>
          <w:color w:val="auto"/>
          <w:sz w:val="18"/>
          <w:szCs w:val="18"/>
          <w:highlight w:val="none"/>
        </w:rPr>
        <w:t>从业人员、营业收入、资产总额填报上一年度数据，无上一年度数据的新成立企业可不填报。</w:t>
      </w:r>
    </w:p>
    <w:p>
      <w:pPr>
        <w:shd w:val="clear" w:color="auto" w:fill="auto"/>
        <w:spacing w:line="588" w:lineRule="exact"/>
        <w:rPr>
          <w:rFonts w:ascii="宋体" w:hAnsi="Courier New" w:eastAsia="宋体" w:cs="Times New Roman"/>
          <w:b/>
          <w:color w:val="auto"/>
          <w:spacing w:val="-4"/>
          <w:szCs w:val="21"/>
          <w:highlight w:val="none"/>
        </w:rPr>
      </w:pPr>
      <w:r>
        <w:rPr>
          <w:rFonts w:ascii="宋体" w:hAnsi="宋体" w:eastAsia="宋体" w:cs="Times New Roman"/>
          <w:b/>
          <w:color w:val="auto"/>
          <w:spacing w:val="6"/>
          <w:szCs w:val="21"/>
          <w:highlight w:val="none"/>
        </w:rPr>
        <w:br w:type="page"/>
      </w:r>
      <w:r>
        <w:rPr>
          <w:rFonts w:hint="eastAsia" w:ascii="宋体" w:hAnsi="Courier New" w:eastAsia="宋体" w:cs="Times New Roman"/>
          <w:b/>
          <w:color w:val="auto"/>
          <w:spacing w:val="-4"/>
          <w:szCs w:val="21"/>
          <w:highlight w:val="none"/>
          <w:lang w:val="en-US" w:eastAsia="zh-CN"/>
        </w:rPr>
        <w:t>5</w:t>
      </w:r>
      <w:r>
        <w:rPr>
          <w:rFonts w:hint="eastAsia" w:ascii="宋体" w:hAnsi="Courier New" w:eastAsia="宋体" w:cs="Times New Roman"/>
          <w:b/>
          <w:color w:val="auto"/>
          <w:spacing w:val="-4"/>
          <w:szCs w:val="21"/>
          <w:highlight w:val="none"/>
        </w:rPr>
        <w:t>、</w:t>
      </w:r>
      <w:r>
        <w:rPr>
          <w:rFonts w:hint="eastAsia" w:ascii="宋体" w:hAnsi="宋体" w:eastAsia="宋体" w:cs="Times New Roman"/>
          <w:b/>
          <w:color w:val="auto"/>
          <w:spacing w:val="6"/>
          <w:szCs w:val="21"/>
          <w:highlight w:val="none"/>
        </w:rPr>
        <w:t>残疾人福利性单位声明函格式（如是提供）</w:t>
      </w:r>
    </w:p>
    <w:p>
      <w:pPr>
        <w:shd w:val="clear" w:color="auto" w:fill="auto"/>
        <w:spacing w:line="588" w:lineRule="exact"/>
        <w:jc w:val="center"/>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残疾人福利性单位声明函</w:t>
      </w:r>
    </w:p>
    <w:p>
      <w:pPr>
        <w:shd w:val="clear" w:color="auto" w:fill="auto"/>
        <w:spacing w:line="588" w:lineRule="exact"/>
        <w:ind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本单位郑重声明，根据《财政部</w:t>
      </w:r>
      <w:r>
        <w:rPr>
          <w:rFonts w:ascii="宋体" w:hAnsi="宋体" w:eastAsia="宋体" w:cs="Times New Roman"/>
          <w:color w:val="auto"/>
          <w:spacing w:val="6"/>
          <w:szCs w:val="21"/>
          <w:highlight w:val="none"/>
        </w:rPr>
        <w:t xml:space="preserve"> </w:t>
      </w:r>
      <w:r>
        <w:rPr>
          <w:rFonts w:hint="eastAsia" w:ascii="宋体" w:hAnsi="宋体" w:eastAsia="宋体" w:cs="Times New Roman"/>
          <w:color w:val="auto"/>
          <w:spacing w:val="6"/>
          <w:szCs w:val="21"/>
          <w:highlight w:val="none"/>
        </w:rPr>
        <w:t>民政部</w:t>
      </w:r>
      <w:r>
        <w:rPr>
          <w:rFonts w:ascii="宋体" w:hAnsi="宋体" w:eastAsia="宋体" w:cs="Times New Roman"/>
          <w:color w:val="auto"/>
          <w:spacing w:val="6"/>
          <w:szCs w:val="21"/>
          <w:highlight w:val="none"/>
        </w:rPr>
        <w:t xml:space="preserve"> </w:t>
      </w:r>
      <w:r>
        <w:rPr>
          <w:rFonts w:hint="eastAsia" w:ascii="宋体" w:hAnsi="宋体" w:eastAsia="宋体" w:cs="Times New Roman"/>
          <w:color w:val="auto"/>
          <w:spacing w:val="6"/>
          <w:szCs w:val="21"/>
          <w:highlight w:val="none"/>
        </w:rPr>
        <w:t>中国残疾人联合会关于促进残疾人就业政府采购政策的通知》（财库</w:t>
      </w:r>
      <w:r>
        <w:rPr>
          <w:rFonts w:hint="eastAsia" w:ascii="宋体" w:hAnsi="宋体" w:eastAsia="宋体" w:cs="Times New Roman"/>
          <w:color w:val="auto"/>
          <w:szCs w:val="21"/>
          <w:highlight w:val="none"/>
        </w:rPr>
        <w:t>〔</w:t>
      </w:r>
      <w:r>
        <w:rPr>
          <w:rFonts w:ascii="宋体" w:hAnsi="宋体" w:eastAsia="宋体" w:cs="Times New Roman"/>
          <w:color w:val="auto"/>
          <w:szCs w:val="21"/>
          <w:highlight w:val="none"/>
        </w:rPr>
        <w:t>2017</w:t>
      </w:r>
      <w:r>
        <w:rPr>
          <w:rFonts w:hint="eastAsia" w:ascii="宋体" w:hAnsi="宋体" w:eastAsia="宋体" w:cs="Times New Roman"/>
          <w:color w:val="auto"/>
          <w:szCs w:val="21"/>
          <w:highlight w:val="none"/>
        </w:rPr>
        <w:t>〕</w:t>
      </w:r>
      <w:r>
        <w:rPr>
          <w:rFonts w:ascii="宋体" w:hAnsi="宋体" w:eastAsia="宋体" w:cs="Times New Roman"/>
          <w:color w:val="auto"/>
          <w:szCs w:val="21"/>
          <w:highlight w:val="none"/>
        </w:rPr>
        <w:t xml:space="preserve"> 141</w:t>
      </w:r>
      <w:r>
        <w:rPr>
          <w:rFonts w:hint="eastAsia" w:ascii="宋体" w:hAnsi="宋体" w:eastAsia="宋体" w:cs="Times New Roman"/>
          <w:color w:val="auto"/>
          <w:spacing w:val="6"/>
          <w:szCs w:val="21"/>
          <w:highlight w:val="none"/>
        </w:rPr>
        <w:t>号）的规定，本单位为符合条件的残疾人福利性单位，且本单位参加</w:t>
      </w:r>
      <w:r>
        <w:rPr>
          <w:rFonts w:ascii="宋体" w:hAnsi="宋体" w:eastAsia="宋体" w:cs="Times New Roman"/>
          <w:color w:val="auto"/>
          <w:spacing w:val="6"/>
          <w:szCs w:val="21"/>
          <w:highlight w:val="none"/>
        </w:rPr>
        <w:t>______</w:t>
      </w:r>
      <w:r>
        <w:rPr>
          <w:rFonts w:hint="eastAsia" w:ascii="宋体" w:hAnsi="宋体" w:eastAsia="宋体" w:cs="Times New Roman"/>
          <w:color w:val="auto"/>
          <w:spacing w:val="6"/>
          <w:szCs w:val="21"/>
          <w:highlight w:val="none"/>
        </w:rPr>
        <w:t>单位的</w:t>
      </w:r>
      <w:r>
        <w:rPr>
          <w:rFonts w:ascii="宋体" w:hAnsi="宋体" w:eastAsia="宋体" w:cs="Times New Roman"/>
          <w:color w:val="auto"/>
          <w:spacing w:val="6"/>
          <w:szCs w:val="21"/>
          <w:highlight w:val="none"/>
        </w:rPr>
        <w:t>______</w:t>
      </w:r>
      <w:r>
        <w:rPr>
          <w:rFonts w:hint="eastAsia" w:ascii="宋体" w:hAnsi="宋体" w:eastAsia="宋体" w:cs="Times New Roman"/>
          <w:color w:val="auto"/>
          <w:spacing w:val="6"/>
          <w:szCs w:val="21"/>
          <w:highlight w:val="none"/>
        </w:rPr>
        <w:t>项目采购活动提供本单位制造的货物（由本单位承担工程</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提供服务），或者提供其他残疾人福利性单位制造的货物（不包括使用非残疾人福利性单位注册商标的货物）。</w:t>
      </w:r>
    </w:p>
    <w:p>
      <w:pPr>
        <w:shd w:val="clear" w:color="auto" w:fill="auto"/>
        <w:spacing w:line="588" w:lineRule="exact"/>
        <w:ind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本单位对上述声明的真实性负责。如有虚假，将依法承担相应责任。</w:t>
      </w:r>
    </w:p>
    <w:p>
      <w:pPr>
        <w:shd w:val="clear" w:color="auto" w:fill="auto"/>
        <w:spacing w:line="588" w:lineRule="exact"/>
        <w:ind w:firstLine="444" w:firstLineChars="200"/>
        <w:rPr>
          <w:rFonts w:ascii="宋体" w:hAnsi="宋体" w:eastAsia="宋体" w:cs="Times New Roman"/>
          <w:color w:val="auto"/>
          <w:spacing w:val="6"/>
          <w:szCs w:val="21"/>
          <w:highlight w:val="none"/>
        </w:rPr>
      </w:pPr>
    </w:p>
    <w:p>
      <w:pPr>
        <w:shd w:val="clear" w:color="auto" w:fill="auto"/>
        <w:spacing w:line="588" w:lineRule="exact"/>
        <w:ind w:firstLine="444" w:firstLineChars="200"/>
        <w:rPr>
          <w:rFonts w:ascii="宋体" w:hAnsi="宋体" w:eastAsia="宋体" w:cs="Times New Roman"/>
          <w:color w:val="auto"/>
          <w:spacing w:val="6"/>
          <w:szCs w:val="21"/>
          <w:highlight w:val="none"/>
        </w:rPr>
      </w:pPr>
    </w:p>
    <w:p>
      <w:pPr>
        <w:shd w:val="clear" w:color="auto" w:fill="auto"/>
        <w:tabs>
          <w:tab w:val="left" w:pos="4860"/>
        </w:tabs>
        <w:spacing w:line="588" w:lineRule="exact"/>
        <w:ind w:right="1560" w:firstLine="444" w:firstLineChars="200"/>
        <w:jc w:val="center"/>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单位名称（盖章）：</w:t>
      </w:r>
    </w:p>
    <w:p>
      <w:pPr>
        <w:shd w:val="clear" w:color="auto" w:fill="auto"/>
        <w:tabs>
          <w:tab w:val="left" w:pos="4860"/>
        </w:tabs>
        <w:spacing w:line="588" w:lineRule="exact"/>
        <w:ind w:right="1560" w:firstLine="444" w:firstLineChars="200"/>
        <w:jc w:val="center"/>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日</w:t>
      </w:r>
      <w:r>
        <w:rPr>
          <w:rFonts w:ascii="宋体" w:hAnsi="宋体" w:eastAsia="宋体" w:cs="Times New Roman"/>
          <w:color w:val="auto"/>
          <w:spacing w:val="6"/>
          <w:szCs w:val="21"/>
          <w:highlight w:val="none"/>
        </w:rPr>
        <w:t xml:space="preserve">  </w:t>
      </w:r>
      <w:r>
        <w:rPr>
          <w:rFonts w:hint="eastAsia" w:ascii="宋体" w:hAnsi="宋体" w:eastAsia="宋体" w:cs="Times New Roman"/>
          <w:color w:val="auto"/>
          <w:spacing w:val="6"/>
          <w:szCs w:val="21"/>
          <w:highlight w:val="none"/>
        </w:rPr>
        <w:t>期：</w:t>
      </w:r>
    </w:p>
    <w:p>
      <w:pPr>
        <w:shd w:val="clear" w:color="auto" w:fill="auto"/>
        <w:tabs>
          <w:tab w:val="left" w:pos="4860"/>
        </w:tabs>
        <w:spacing w:line="588" w:lineRule="exact"/>
        <w:ind w:right="46"/>
        <w:rPr>
          <w:rFonts w:hint="eastAsia" w:ascii="宋体" w:hAnsi="宋体" w:eastAsia="宋体" w:cs="Times New Roman"/>
          <w:color w:val="auto"/>
          <w:spacing w:val="6"/>
          <w:szCs w:val="21"/>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napToGrid w:val="0"/>
        <w:spacing w:line="360" w:lineRule="auto"/>
        <w:rPr>
          <w:rFonts w:hint="eastAsia" w:ascii="Times New Roman" w:hAnsi="Times New Roman" w:eastAsia="宋体" w:cs="Times New Roman"/>
          <w:color w:val="auto"/>
          <w:highlight w:val="none"/>
        </w:rPr>
      </w:pPr>
    </w:p>
    <w:p>
      <w:pPr>
        <w:spacing w:line="360" w:lineRule="auto"/>
        <w:rPr>
          <w:rFonts w:hint="eastAsia" w:ascii="宋体" w:hAnsi="宋体" w:eastAsia="宋体" w:cs="Times New Roman"/>
          <w:b/>
          <w:bCs/>
          <w:color w:val="auto"/>
          <w:sz w:val="24"/>
          <w:highlight w:val="none"/>
          <w:lang w:eastAsia="zh-CN"/>
        </w:rPr>
      </w:pPr>
      <w:r>
        <w:rPr>
          <w:rFonts w:hint="eastAsia" w:ascii="宋体" w:hAnsi="宋体" w:eastAsia="宋体" w:cs="Times New Roman"/>
          <w:b/>
          <w:bCs/>
          <w:color w:val="auto"/>
          <w:sz w:val="24"/>
          <w:highlight w:val="none"/>
          <w:lang w:eastAsia="zh-CN"/>
        </w:rPr>
        <w:t>二、技术资信商务文件</w:t>
      </w:r>
    </w:p>
    <w:p>
      <w:pPr>
        <w:autoSpaceDE w:val="0"/>
        <w:autoSpaceDN w:val="0"/>
        <w:adjustRightInd w:val="0"/>
        <w:spacing w:line="420" w:lineRule="exact"/>
        <w:rPr>
          <w:rFonts w:ascii="宋体" w:hAnsi="宋体" w:eastAsia="宋体" w:cs="Times New Roman"/>
          <w:b w:val="0"/>
          <w:color w:val="auto"/>
          <w:szCs w:val="20"/>
          <w:lang w:val="zh-CN"/>
        </w:rPr>
      </w:pPr>
      <w:r>
        <w:rPr>
          <w:rFonts w:hint="eastAsia" w:ascii="宋体" w:hAnsi="宋体" w:eastAsia="宋体" w:cs="Times New Roman"/>
          <w:b/>
          <w:color w:val="auto"/>
          <w:spacing w:val="-2"/>
          <w:sz w:val="21"/>
          <w:szCs w:val="21"/>
        </w:rPr>
        <w:t>封面</w:t>
      </w:r>
    </w:p>
    <w:p>
      <w:pPr>
        <w:spacing w:line="360" w:lineRule="auto"/>
        <w:ind w:firstLine="1285" w:firstLineChars="400"/>
        <w:jc w:val="right"/>
        <w:rPr>
          <w:rFonts w:ascii="宋体" w:hAnsi="宋体" w:eastAsia="宋体" w:cs="Times New Roman"/>
          <w:b/>
          <w:color w:val="auto"/>
          <w:sz w:val="32"/>
          <w:szCs w:val="32"/>
        </w:rPr>
      </w:pPr>
      <w:r>
        <w:rPr>
          <w:rFonts w:hint="eastAsia" w:ascii="宋体" w:hAnsi="宋体" w:eastAsia="宋体" w:cs="Times New Roman"/>
          <w:b/>
          <w:color w:val="auto"/>
          <w:sz w:val="32"/>
          <w:szCs w:val="32"/>
        </w:rPr>
        <w:t>正（副）本</w:t>
      </w:r>
    </w:p>
    <w:p>
      <w:pPr>
        <w:spacing w:line="360" w:lineRule="auto"/>
        <w:jc w:val="center"/>
        <w:rPr>
          <w:rFonts w:hint="eastAsia" w:ascii="宋体" w:hAnsi="宋体" w:eastAsia="宋体" w:cs="Times New Roman"/>
          <w:b/>
          <w:color w:val="auto"/>
          <w:sz w:val="36"/>
          <w:szCs w:val="36"/>
          <w:lang w:eastAsia="zh-CN"/>
        </w:rPr>
      </w:pPr>
      <w:r>
        <w:rPr>
          <w:rFonts w:hint="eastAsia" w:ascii="宋体" w:hAnsi="宋体" w:eastAsia="宋体" w:cs="Times New Roman"/>
          <w:b/>
          <w:color w:val="auto"/>
          <w:sz w:val="36"/>
          <w:szCs w:val="36"/>
          <w:lang w:eastAsia="zh-CN"/>
        </w:rPr>
        <w:t>宁波市江北区教育局采购下属学校安保服务项目</w:t>
      </w:r>
    </w:p>
    <w:p>
      <w:pPr>
        <w:spacing w:line="360" w:lineRule="auto"/>
        <w:jc w:val="center"/>
        <w:rPr>
          <w:rFonts w:hint="eastAsia" w:ascii="宋体" w:hAnsi="宋体" w:eastAsia="宋体" w:cs="Times New Roman"/>
          <w:color w:val="auto"/>
          <w:sz w:val="36"/>
          <w:szCs w:val="36"/>
          <w:u w:val="single"/>
          <w:lang w:eastAsia="zh-CN"/>
        </w:rPr>
      </w:pPr>
      <w:r>
        <w:rPr>
          <w:rFonts w:hint="eastAsia" w:ascii="宋体" w:hAnsi="宋体" w:eastAsia="宋体" w:cs="Times New Roman"/>
          <w:color w:val="auto"/>
          <w:sz w:val="36"/>
          <w:szCs w:val="36"/>
          <w:u w:val="single"/>
        </w:rPr>
        <w:t>采购编号：</w:t>
      </w:r>
      <w:r>
        <w:rPr>
          <w:rFonts w:hint="eastAsia" w:ascii="宋体" w:hAnsi="宋体" w:eastAsia="宋体" w:cs="Times New Roman"/>
          <w:color w:val="auto"/>
          <w:sz w:val="36"/>
          <w:szCs w:val="36"/>
          <w:u w:val="single"/>
          <w:lang w:eastAsia="zh-CN"/>
        </w:rPr>
        <w:t>NBITC-202320580G</w:t>
      </w:r>
    </w:p>
    <w:p>
      <w:pPr>
        <w:spacing w:line="360" w:lineRule="auto"/>
        <w:ind w:firstLine="2340" w:firstLineChars="650"/>
        <w:rPr>
          <w:rFonts w:ascii="宋体" w:hAnsi="宋体" w:eastAsia="宋体" w:cs="Times New Roman"/>
          <w:color w:val="auto"/>
          <w:sz w:val="36"/>
          <w:szCs w:val="36"/>
        </w:rPr>
      </w:pPr>
      <w:r>
        <w:rPr>
          <w:rFonts w:hint="eastAsia" w:ascii="宋体" w:hAnsi="宋体" w:eastAsia="宋体" w:cs="Times New Roman"/>
          <w:color w:val="auto"/>
          <w:sz w:val="36"/>
          <w:szCs w:val="36"/>
          <w:u w:val="single"/>
        </w:rPr>
        <w:t>子</w:t>
      </w:r>
      <w:r>
        <w:rPr>
          <w:rFonts w:ascii="宋体" w:hAnsi="宋体" w:eastAsia="宋体" w:cs="Times New Roman"/>
          <w:color w:val="auto"/>
          <w:sz w:val="36"/>
          <w:szCs w:val="36"/>
          <w:u w:val="single"/>
        </w:rPr>
        <w:t xml:space="preserve">    </w:t>
      </w:r>
      <w:r>
        <w:rPr>
          <w:rFonts w:hint="eastAsia" w:ascii="宋体" w:hAnsi="宋体" w:eastAsia="宋体" w:cs="Times New Roman"/>
          <w:color w:val="auto"/>
          <w:sz w:val="36"/>
          <w:szCs w:val="36"/>
          <w:u w:val="single"/>
        </w:rPr>
        <w:t>包：（如有多个标项）</w:t>
      </w:r>
    </w:p>
    <w:p>
      <w:pPr>
        <w:rPr>
          <w:rFonts w:ascii="宋体" w:hAnsi="宋体" w:eastAsia="宋体" w:cs="Times New Roman"/>
          <w:color w:val="auto"/>
          <w:sz w:val="28"/>
          <w:szCs w:val="28"/>
        </w:rPr>
      </w:pPr>
    </w:p>
    <w:p>
      <w:pPr>
        <w:spacing w:line="360" w:lineRule="auto"/>
        <w:jc w:val="center"/>
        <w:rPr>
          <w:rFonts w:ascii="宋体" w:hAnsi="宋体" w:eastAsia="宋体" w:cs="Times New Roman"/>
          <w:color w:val="auto"/>
          <w:sz w:val="36"/>
          <w:szCs w:val="36"/>
        </w:rPr>
      </w:pPr>
      <w:r>
        <w:rPr>
          <w:rFonts w:hint="eastAsia" w:ascii="宋体" w:hAnsi="宋体" w:eastAsia="宋体" w:cs="Times New Roman"/>
          <w:color w:val="auto"/>
          <w:sz w:val="36"/>
          <w:szCs w:val="36"/>
        </w:rPr>
        <w:t>（技术</w:t>
      </w:r>
      <w:r>
        <w:rPr>
          <w:rFonts w:hint="eastAsia" w:ascii="宋体" w:hAnsi="宋体" w:eastAsia="宋体" w:cs="Times New Roman"/>
          <w:color w:val="auto"/>
          <w:sz w:val="36"/>
          <w:szCs w:val="36"/>
          <w:lang w:eastAsia="zh-CN"/>
        </w:rPr>
        <w:t>资信</w:t>
      </w:r>
      <w:r>
        <w:rPr>
          <w:rFonts w:hint="eastAsia" w:ascii="宋体" w:hAnsi="宋体" w:eastAsia="宋体" w:cs="Times New Roman"/>
          <w:color w:val="auto"/>
          <w:sz w:val="36"/>
          <w:szCs w:val="36"/>
        </w:rPr>
        <w:t>商务文件）</w:t>
      </w:r>
    </w:p>
    <w:p>
      <w:pPr>
        <w:jc w:val="center"/>
        <w:rPr>
          <w:rFonts w:ascii="宋体" w:hAnsi="宋体" w:eastAsia="宋体" w:cs="Times New Roman"/>
          <w:color w:val="auto"/>
          <w:sz w:val="28"/>
          <w:szCs w:val="28"/>
        </w:rPr>
      </w:pPr>
    </w:p>
    <w:p>
      <w:pPr>
        <w:spacing w:line="360" w:lineRule="auto"/>
        <w:jc w:val="center"/>
        <w:rPr>
          <w:rFonts w:ascii="宋体" w:hAnsi="宋体" w:eastAsia="宋体" w:cs="Times New Roman"/>
          <w:b/>
          <w:color w:val="auto"/>
          <w:sz w:val="72"/>
          <w:szCs w:val="72"/>
        </w:rPr>
      </w:pPr>
    </w:p>
    <w:p>
      <w:pPr>
        <w:spacing w:line="360" w:lineRule="auto"/>
        <w:jc w:val="center"/>
        <w:rPr>
          <w:rFonts w:ascii="宋体" w:hAnsi="宋体" w:eastAsia="宋体" w:cs="Times New Roman"/>
          <w:b/>
          <w:color w:val="auto"/>
          <w:sz w:val="72"/>
          <w:szCs w:val="72"/>
        </w:rPr>
      </w:pPr>
      <w:r>
        <w:rPr>
          <w:rFonts w:hint="eastAsia" w:ascii="宋体" w:hAnsi="宋体" w:eastAsia="宋体" w:cs="Times New Roman"/>
          <w:b/>
          <w:color w:val="auto"/>
          <w:sz w:val="72"/>
          <w:szCs w:val="72"/>
        </w:rPr>
        <w:t>投标文件</w:t>
      </w:r>
    </w:p>
    <w:p>
      <w:pPr>
        <w:spacing w:line="360" w:lineRule="auto"/>
        <w:jc w:val="center"/>
        <w:rPr>
          <w:rFonts w:ascii="宋体" w:hAnsi="宋体" w:eastAsia="宋体" w:cs="Times New Roman"/>
          <w:color w:val="auto"/>
          <w:sz w:val="36"/>
          <w:szCs w:val="36"/>
        </w:rPr>
      </w:pPr>
    </w:p>
    <w:p>
      <w:pPr>
        <w:spacing w:line="360" w:lineRule="auto"/>
        <w:jc w:val="center"/>
        <w:rPr>
          <w:rFonts w:ascii="宋体" w:hAnsi="宋体" w:eastAsia="宋体" w:cs="Times New Roman"/>
          <w:color w:val="auto"/>
          <w:sz w:val="36"/>
          <w:szCs w:val="36"/>
        </w:rPr>
      </w:pPr>
    </w:p>
    <w:p>
      <w:pPr>
        <w:spacing w:line="360" w:lineRule="auto"/>
        <w:jc w:val="center"/>
        <w:rPr>
          <w:rFonts w:ascii="宋体" w:hAnsi="宋体" w:eastAsia="宋体" w:cs="Times New Roman"/>
          <w:color w:val="auto"/>
          <w:sz w:val="36"/>
          <w:szCs w:val="36"/>
        </w:rPr>
      </w:pPr>
    </w:p>
    <w:p>
      <w:pPr>
        <w:spacing w:line="360" w:lineRule="auto"/>
        <w:jc w:val="center"/>
        <w:rPr>
          <w:rFonts w:ascii="宋体" w:hAnsi="宋体" w:eastAsia="宋体" w:cs="Times New Roman"/>
          <w:color w:val="auto"/>
          <w:sz w:val="36"/>
          <w:szCs w:val="36"/>
        </w:rPr>
      </w:pPr>
    </w:p>
    <w:p>
      <w:pPr>
        <w:spacing w:line="360" w:lineRule="auto"/>
        <w:jc w:val="center"/>
        <w:rPr>
          <w:rFonts w:ascii="宋体" w:hAnsi="宋体" w:eastAsia="宋体" w:cs="Times New Roman"/>
          <w:color w:val="auto"/>
          <w:sz w:val="36"/>
          <w:szCs w:val="36"/>
          <w:u w:val="single"/>
        </w:rPr>
      </w:pPr>
      <w:r>
        <w:rPr>
          <w:rFonts w:hint="eastAsia" w:ascii="宋体" w:hAnsi="宋体" w:eastAsia="宋体" w:cs="Times New Roman"/>
          <w:color w:val="auto"/>
          <w:sz w:val="36"/>
          <w:szCs w:val="36"/>
        </w:rPr>
        <w:t>供应商全称：</w:t>
      </w:r>
      <w:r>
        <w:rPr>
          <w:rFonts w:hint="eastAsia" w:ascii="宋体" w:hAnsi="宋体" w:eastAsia="宋体" w:cs="Times New Roman"/>
          <w:color w:val="auto"/>
          <w:sz w:val="36"/>
          <w:szCs w:val="36"/>
          <w:u w:val="single"/>
        </w:rPr>
        <w:t>（加盖单位公章）</w:t>
      </w:r>
    </w:p>
    <w:p>
      <w:pPr>
        <w:widowControl w:val="0"/>
        <w:adjustRightInd w:val="0"/>
        <w:spacing w:line="312" w:lineRule="atLeast"/>
        <w:ind w:left="101" w:leftChars="48" w:firstLine="1920" w:firstLineChars="800"/>
        <w:jc w:val="left"/>
        <w:textAlignment w:val="baseline"/>
        <w:rPr>
          <w:rFonts w:ascii="宋体" w:hAnsi="宋体" w:eastAsia="宋体" w:cs="Times New Roman"/>
          <w:color w:val="auto"/>
          <w:kern w:val="2"/>
          <w:sz w:val="24"/>
          <w:szCs w:val="28"/>
          <w:u w:val="single"/>
          <w:lang w:val="en-US" w:eastAsia="zh-CN" w:bidi="ar-SA"/>
        </w:rPr>
      </w:pPr>
    </w:p>
    <w:p>
      <w:pPr>
        <w:autoSpaceDE w:val="0"/>
        <w:autoSpaceDN w:val="0"/>
        <w:adjustRightInd w:val="0"/>
        <w:spacing w:line="400" w:lineRule="exact"/>
        <w:jc w:val="center"/>
        <w:outlineLvl w:val="0"/>
        <w:rPr>
          <w:rFonts w:ascii="宋体" w:hAnsi="宋体" w:eastAsia="宋体" w:cs="Times New Roman"/>
          <w:color w:val="auto"/>
          <w:sz w:val="28"/>
          <w:szCs w:val="28"/>
        </w:rPr>
      </w:pPr>
      <w:bookmarkStart w:id="37" w:name="_Toc9350"/>
      <w:bookmarkStart w:id="38" w:name="_Toc18015"/>
      <w:r>
        <w:rPr>
          <w:rFonts w:hint="eastAsia" w:ascii="宋体" w:hAnsi="宋体" w:eastAsia="宋体" w:cs="Times New Roman"/>
          <w:color w:val="auto"/>
          <w:sz w:val="36"/>
          <w:szCs w:val="36"/>
        </w:rPr>
        <w:t>年</w:t>
      </w:r>
      <w:r>
        <w:rPr>
          <w:rFonts w:ascii="宋体" w:hAnsi="宋体" w:eastAsia="宋体" w:cs="Times New Roman"/>
          <w:color w:val="auto"/>
          <w:sz w:val="36"/>
          <w:szCs w:val="36"/>
        </w:rPr>
        <w:t xml:space="preserve">  </w:t>
      </w:r>
      <w:r>
        <w:rPr>
          <w:rFonts w:hint="eastAsia" w:ascii="宋体" w:hAnsi="宋体" w:eastAsia="宋体" w:cs="Times New Roman"/>
          <w:color w:val="auto"/>
          <w:sz w:val="36"/>
          <w:szCs w:val="36"/>
        </w:rPr>
        <w:t>月</w:t>
      </w:r>
      <w:r>
        <w:rPr>
          <w:rFonts w:ascii="宋体" w:hAnsi="宋体" w:eastAsia="宋体" w:cs="Times New Roman"/>
          <w:color w:val="auto"/>
          <w:sz w:val="36"/>
          <w:szCs w:val="36"/>
        </w:rPr>
        <w:t xml:space="preserve">  </w:t>
      </w:r>
      <w:r>
        <w:rPr>
          <w:rFonts w:hint="eastAsia" w:ascii="宋体" w:hAnsi="宋体" w:eastAsia="宋体" w:cs="Times New Roman"/>
          <w:color w:val="auto"/>
          <w:sz w:val="36"/>
          <w:szCs w:val="36"/>
        </w:rPr>
        <w:t>日</w:t>
      </w:r>
      <w:bookmarkEnd w:id="37"/>
      <w:bookmarkEnd w:id="38"/>
    </w:p>
    <w:p>
      <w:pPr>
        <w:spacing w:line="360" w:lineRule="auto"/>
        <w:ind w:firstLine="4200" w:firstLineChars="2000"/>
        <w:jc w:val="left"/>
        <w:rPr>
          <w:rFonts w:ascii="宋体" w:hAnsi="宋体" w:eastAsia="宋体" w:cs="Times New Roman"/>
          <w:color w:val="auto"/>
          <w:szCs w:val="21"/>
        </w:rPr>
      </w:pPr>
    </w:p>
    <w:p>
      <w:pPr>
        <w:snapToGrid w:val="0"/>
        <w:spacing w:before="50" w:after="120" w:afterLines="50"/>
        <w:jc w:val="left"/>
        <w:rPr>
          <w:rFonts w:ascii="宋体" w:hAnsi="宋体" w:eastAsia="宋体" w:cs="Times New Roman"/>
          <w:b/>
          <w:color w:val="auto"/>
          <w:szCs w:val="21"/>
          <w:highlight w:val="none"/>
        </w:rPr>
      </w:pPr>
      <w:r>
        <w:rPr>
          <w:rFonts w:ascii="宋体" w:hAnsi="宋体" w:eastAsia="宋体" w:cs="Times New Roman"/>
          <w:b/>
          <w:color w:val="auto"/>
          <w:spacing w:val="-2"/>
          <w:sz w:val="21"/>
          <w:szCs w:val="21"/>
        </w:rPr>
        <w:br w:type="page"/>
      </w:r>
      <w:r>
        <w:rPr>
          <w:rFonts w:hint="eastAsia" w:ascii="宋体" w:hAnsi="宋体" w:eastAsia="宋体" w:cs="Times New Roman"/>
          <w:b/>
          <w:color w:val="auto"/>
          <w:szCs w:val="21"/>
          <w:highlight w:val="none"/>
          <w:lang w:val="en-US" w:eastAsia="zh-CN"/>
        </w:rPr>
        <w:t>1</w:t>
      </w:r>
      <w:r>
        <w:rPr>
          <w:rFonts w:hint="eastAsia" w:ascii="宋体" w:hAnsi="宋体" w:eastAsia="宋体" w:cs="Times New Roman"/>
          <w:b/>
          <w:color w:val="auto"/>
          <w:szCs w:val="21"/>
          <w:highlight w:val="none"/>
        </w:rPr>
        <w:t>、法定代表人授权委托书格式：（授权代表参加投标的须提供）</w:t>
      </w:r>
    </w:p>
    <w:p>
      <w:pPr>
        <w:snapToGrid w:val="0"/>
        <w:spacing w:before="120" w:beforeLines="50" w:after="50"/>
        <w:jc w:val="center"/>
        <w:rPr>
          <w:rFonts w:ascii="宋体" w:hAnsi="宋体" w:eastAsia="宋体" w:cs="Times New Roman"/>
          <w:color w:val="auto"/>
          <w:sz w:val="30"/>
          <w:szCs w:val="20"/>
          <w:highlight w:val="none"/>
        </w:rPr>
      </w:pPr>
    </w:p>
    <w:p>
      <w:pPr>
        <w:snapToGrid w:val="0"/>
        <w:spacing w:before="120" w:beforeLines="50" w:after="50"/>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法定代表人授权委托书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cs="Times New Roman"/>
          <w:b/>
          <w:bCs/>
          <w:color w:val="auto"/>
          <w:szCs w:val="21"/>
          <w:highlight w:val="none"/>
        </w:rPr>
      </w:pPr>
      <w:r>
        <w:rPr>
          <w:rFonts w:hint="eastAsia" w:ascii="宋体" w:hAnsi="宋体" w:eastAsia="宋体" w:cs="Times New Roman"/>
          <w:bCs/>
          <w:color w:val="auto"/>
          <w:szCs w:val="21"/>
          <w:highlight w:val="none"/>
        </w:rPr>
        <w:t>致：</w:t>
      </w:r>
      <w:r>
        <w:rPr>
          <w:rFonts w:hint="eastAsia" w:ascii="宋体" w:hAnsi="宋体" w:eastAsia="宋体" w:cs="Times New Roman"/>
          <w:color w:val="auto"/>
          <w:szCs w:val="21"/>
          <w:highlight w:val="none"/>
        </w:rPr>
        <w:t>_____________（采购人名称）</w:t>
      </w:r>
      <w:r>
        <w:rPr>
          <w:rFonts w:ascii="宋体" w:hAnsi="宋体" w:eastAsia="宋体" w:cs="Times New Roman"/>
          <w:b/>
          <w:bCs/>
          <w:color w:val="auto"/>
          <w:szCs w:val="21"/>
          <w:highlight w:val="none"/>
        </w:rPr>
        <w:t xml:space="preserve"> </w:t>
      </w:r>
      <w:r>
        <w:rPr>
          <w:rFonts w:hint="eastAsia" w:ascii="宋体" w:hAnsi="宋体" w:eastAsia="宋体" w:cs="Times New Roman"/>
          <w:color w:val="auto"/>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30" w:firstLineChars="300"/>
        <w:textAlignment w:val="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我</w:t>
      </w:r>
      <w:r>
        <w:rPr>
          <w:rFonts w:ascii="宋体" w:hAnsi="宋体" w:eastAsia="宋体" w:cs="Times New Roman"/>
          <w:color w:val="auto"/>
          <w:szCs w:val="21"/>
          <w:highlight w:val="none"/>
        </w:rPr>
        <w:t>______</w:t>
      </w:r>
      <w:r>
        <w:rPr>
          <w:rFonts w:ascii="宋体" w:hAnsi="宋体" w:eastAsia="宋体" w:cs="Times New Roman"/>
          <w:color w:val="auto"/>
          <w:szCs w:val="21"/>
          <w:highlight w:val="none"/>
          <w:u w:val="single"/>
        </w:rPr>
        <w:t>_     _</w:t>
      </w:r>
      <w:r>
        <w:rPr>
          <w:rFonts w:ascii="宋体" w:hAnsi="宋体" w:eastAsia="宋体" w:cs="Times New Roman"/>
          <w:color w:val="auto"/>
          <w:szCs w:val="21"/>
          <w:highlight w:val="none"/>
        </w:rPr>
        <w:t>_</w:t>
      </w:r>
      <w:r>
        <w:rPr>
          <w:rFonts w:hint="eastAsia" w:ascii="宋体" w:hAnsi="宋体" w:eastAsia="宋体" w:cs="Times New Roman"/>
          <w:color w:val="auto"/>
          <w:szCs w:val="21"/>
          <w:highlight w:val="none"/>
        </w:rPr>
        <w:t>（姓名）系</w:t>
      </w:r>
      <w:r>
        <w:rPr>
          <w:rFonts w:ascii="宋体" w:hAnsi="宋体" w:eastAsia="宋体" w:cs="Times New Roman"/>
          <w:color w:val="auto"/>
          <w:szCs w:val="21"/>
          <w:highlight w:val="none"/>
        </w:rPr>
        <w:t>______</w:t>
      </w:r>
      <w:r>
        <w:rPr>
          <w:rFonts w:ascii="宋体" w:hAnsi="宋体" w:eastAsia="宋体" w:cs="Times New Roman"/>
          <w:color w:val="auto"/>
          <w:szCs w:val="21"/>
          <w:highlight w:val="none"/>
          <w:u w:val="single"/>
        </w:rPr>
        <w:t>_     _</w:t>
      </w:r>
      <w:r>
        <w:rPr>
          <w:rFonts w:ascii="宋体" w:hAnsi="宋体" w:eastAsia="宋体" w:cs="Times New Roman"/>
          <w:color w:val="auto"/>
          <w:szCs w:val="21"/>
          <w:highlight w:val="none"/>
        </w:rPr>
        <w:t>_</w:t>
      </w:r>
      <w:r>
        <w:rPr>
          <w:rFonts w:hint="eastAsia" w:ascii="宋体" w:hAnsi="宋体" w:eastAsia="宋体" w:cs="Times New Roman"/>
          <w:color w:val="auto"/>
          <w:szCs w:val="21"/>
          <w:highlight w:val="none"/>
        </w:rPr>
        <w:t>（投标人名称）的法定代表人，现授权委托本单位在职职工</w:t>
      </w:r>
      <w:r>
        <w:rPr>
          <w:rFonts w:ascii="宋体" w:hAnsi="宋体" w:eastAsia="宋体" w:cs="Times New Roman"/>
          <w:color w:val="auto"/>
          <w:szCs w:val="21"/>
          <w:highlight w:val="none"/>
        </w:rPr>
        <w:t xml:space="preserve"> </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（姓名）以我方的名义参加</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项目名称</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项目的投标活动，并代表我方全权办理针对上述项目的投标、开标、评标、签约过程等具体事务和签署相关文件。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cs="Times New Roman"/>
          <w:color w:val="auto"/>
          <w:szCs w:val="21"/>
          <w:highlight w:val="none"/>
        </w:rPr>
      </w:pPr>
      <w:r>
        <w:rPr>
          <w:rFonts w:ascii="宋体" w:hAnsi="宋体" w:eastAsia="宋体" w:cs="Times New Roman"/>
          <w:color w:val="auto"/>
          <w:szCs w:val="21"/>
          <w:highlight w:val="none"/>
        </w:rPr>
        <w:t xml:space="preserve">    </w:t>
      </w:r>
      <w:r>
        <w:rPr>
          <w:rFonts w:hint="eastAsia" w:ascii="宋体" w:hAnsi="宋体" w:eastAsia="宋体" w:cs="Times New Roman"/>
          <w:color w:val="auto"/>
          <w:szCs w:val="21"/>
          <w:highlight w:val="none"/>
        </w:rPr>
        <w:t>我方对被授权人的签名事项负全部责任。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ascii="宋体" w:hAnsi="宋体" w:eastAsia="宋体" w:cs="Times New Roman"/>
          <w:color w:val="auto"/>
          <w:szCs w:val="21"/>
          <w:highlight w:val="none"/>
        </w:rPr>
      </w:pPr>
      <w:r>
        <w:rPr>
          <w:rFonts w:hint="eastAsia" w:ascii="宋体" w:hAnsi="宋体" w:eastAsia="宋体" w:cs="Times New Roman"/>
          <w:color w:val="auto"/>
          <w:szCs w:val="21"/>
          <w:highlight w:val="none"/>
          <w:u w:val="single"/>
        </w:rPr>
        <w:t>在撤销授权的书面通知以前，本授权书一直有效。</w:t>
      </w:r>
      <w:r>
        <w:rPr>
          <w:rFonts w:hint="eastAsia" w:ascii="宋体" w:hAnsi="宋体" w:eastAsia="宋体" w:cs="Times New Roman"/>
          <w:color w:val="auto"/>
          <w:szCs w:val="21"/>
          <w:highlight w:val="none"/>
        </w:rPr>
        <w:t>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被授权人无转委托权，特此委托。</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cs="Times New Roman"/>
          <w:color w:val="auto"/>
          <w:szCs w:val="21"/>
          <w:highlight w:val="none"/>
          <w:u w:val="single"/>
        </w:rPr>
      </w:pPr>
      <w:r>
        <w:rPr>
          <w:rFonts w:hint="eastAsia" w:ascii="宋体" w:hAnsi="宋体" w:eastAsia="宋体" w:cs="Times New Roman"/>
          <w:color w:val="auto"/>
          <w:szCs w:val="21"/>
          <w:highlight w:val="none"/>
        </w:rPr>
        <w:t>被授权人签名：</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rPr>
        <w:t xml:space="preserve">                 </w:t>
      </w:r>
      <w:r>
        <w:rPr>
          <w:rFonts w:hint="eastAsia" w:ascii="宋体" w:hAnsi="宋体" w:eastAsia="宋体" w:cs="Times New Roman"/>
          <w:color w:val="auto"/>
          <w:szCs w:val="21"/>
          <w:highlight w:val="none"/>
        </w:rPr>
        <w:t>法定代表人签名：</w:t>
      </w:r>
      <w:r>
        <w:rPr>
          <w:rFonts w:ascii="宋体" w:hAnsi="宋体" w:eastAsia="宋体" w:cs="Times New Roman"/>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400"/>
        <w:textAlignment w:val="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职务：</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rPr>
        <w:t xml:space="preserve">                          </w:t>
      </w:r>
      <w:r>
        <w:rPr>
          <w:rFonts w:hint="eastAsia" w:ascii="宋体" w:hAnsi="宋体" w:eastAsia="宋体" w:cs="Times New Roman"/>
          <w:color w:val="auto"/>
          <w:szCs w:val="21"/>
          <w:highlight w:val="none"/>
        </w:rPr>
        <w:t>职务：</w:t>
      </w:r>
      <w:r>
        <w:rPr>
          <w:rFonts w:ascii="宋体" w:hAnsi="宋体" w:eastAsia="宋体" w:cs="Times New Roman"/>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被授权人身份证号码：</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rPr>
        <w:t xml:space="preserve"> </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ascii="宋体" w:hAnsi="宋体" w:eastAsia="宋体" w:cs="Times New Roman"/>
          <w:color w:val="auto"/>
          <w:szCs w:val="21"/>
          <w:highlight w:val="none"/>
        </w:rPr>
      </w:pPr>
      <w:r>
        <w:rPr>
          <w:rFonts w:ascii="宋体" w:hAnsi="宋体" w:eastAsia="宋体" w:cs="Times New Roman"/>
          <w:color w:val="auto"/>
          <w:szCs w:val="21"/>
          <w:highlight w:val="none"/>
        </w:rPr>
        <w:t xml:space="preserve">                                     </w:t>
      </w:r>
      <w:r>
        <w:rPr>
          <w:rFonts w:hint="eastAsia" w:ascii="宋体" w:hAnsi="宋体" w:eastAsia="宋体" w:cs="Times New Roman"/>
          <w:color w:val="auto"/>
          <w:szCs w:val="21"/>
          <w:highlight w:val="none"/>
        </w:rPr>
        <w:t>投标人公章：</w:t>
      </w:r>
      <w:r>
        <w:rPr>
          <w:rFonts w:hint="eastAsia" w:ascii="宋体" w:hAnsi="宋体" w:eastAsia="宋体" w:cs="Times New Roman"/>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pacing w:line="360" w:lineRule="auto"/>
        <w:ind w:firstLine="3885" w:firstLineChars="1850"/>
        <w:textAlignment w:val="auto"/>
        <w:rPr>
          <w:rFonts w:hint="eastAsia" w:ascii="宋体" w:hAnsi="宋体" w:eastAsia="宋体" w:cs="Times New Roman"/>
          <w:color w:val="auto"/>
          <w:szCs w:val="21"/>
          <w:highlight w:val="none"/>
          <w:u w:val="single"/>
        </w:rPr>
      </w:pPr>
      <w:r>
        <w:rPr>
          <w:rFonts w:hint="eastAsia" w:ascii="宋体" w:hAnsi="宋体" w:eastAsia="宋体" w:cs="Times New Roman"/>
          <w:color w:val="auto"/>
          <w:szCs w:val="21"/>
          <w:highlight w:val="none"/>
        </w:rPr>
        <w:t>日      期：</w:t>
      </w:r>
      <w:r>
        <w:rPr>
          <w:rFonts w:hint="eastAsia" w:ascii="宋体" w:hAnsi="宋体" w:eastAsia="宋体" w:cs="Times New Roman"/>
          <w:color w:val="auto"/>
          <w:szCs w:val="21"/>
          <w:highlight w:val="none"/>
          <w:u w:val="single"/>
        </w:rPr>
        <w:t xml:space="preserve">                             </w:t>
      </w:r>
    </w:p>
    <w:p>
      <w:pPr>
        <w:snapToGrid w:val="0"/>
        <w:spacing w:before="120" w:beforeLines="50" w:after="50"/>
        <w:rPr>
          <w:rFonts w:hint="eastAsia" w:ascii="宋体" w:hAnsi="宋体" w:eastAsia="宋体" w:cs="Times New Roman"/>
          <w:color w:val="auto"/>
          <w:szCs w:val="21"/>
          <w:highlight w:val="none"/>
        </w:rPr>
      </w:pPr>
    </w:p>
    <w:p>
      <w:pPr>
        <w:spacing w:line="360"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附：1、授权代表身份证复印件（正反面）；</w:t>
      </w:r>
    </w:p>
    <w:p>
      <w:pPr>
        <w:spacing w:line="360" w:lineRule="auto"/>
        <w:ind w:firstLine="420" w:firstLineChars="200"/>
        <w:rPr>
          <w:rFonts w:hint="eastAsia" w:ascii="Times New Roman" w:hAnsi="Times New Roman" w:eastAsia="宋体" w:cs="Times New Roman"/>
          <w:color w:val="auto"/>
          <w:highlight w:val="none"/>
        </w:rPr>
      </w:pPr>
      <w:r>
        <w:rPr>
          <w:rFonts w:hint="eastAsia" w:ascii="宋体" w:hAnsi="宋体" w:eastAsia="宋体" w:cs="Times New Roman"/>
          <w:color w:val="auto"/>
          <w:szCs w:val="21"/>
          <w:highlight w:val="none"/>
        </w:rPr>
        <w:t>2、法定代表授权人社保证明；</w:t>
      </w:r>
    </w:p>
    <w:p>
      <w:pPr>
        <w:rPr>
          <w:rFonts w:hint="eastAsia" w:ascii="宋体" w:hAnsi="宋体" w:eastAsia="宋体" w:cs="Times New Roman"/>
          <w:b/>
          <w:color w:val="auto"/>
          <w:szCs w:val="21"/>
          <w:highlight w:val="none"/>
        </w:rPr>
      </w:pPr>
      <w:r>
        <w:rPr>
          <w:rFonts w:hint="eastAsia" w:ascii="宋体" w:hAnsi="宋体" w:eastAsia="宋体" w:cs="Times New Roman"/>
          <w:color w:val="auto"/>
          <w:szCs w:val="21"/>
          <w:highlight w:val="none"/>
        </w:rPr>
        <w:br w:type="page"/>
      </w:r>
      <w:r>
        <w:rPr>
          <w:rFonts w:hint="eastAsia" w:ascii="宋体" w:hAnsi="宋体" w:eastAsia="宋体" w:cs="Times New Roman"/>
          <w:b/>
          <w:color w:val="auto"/>
          <w:szCs w:val="21"/>
          <w:highlight w:val="none"/>
          <w:lang w:val="en-US" w:eastAsia="zh-CN"/>
        </w:rPr>
        <w:t>2</w:t>
      </w:r>
      <w:r>
        <w:rPr>
          <w:rFonts w:hint="eastAsia" w:ascii="宋体" w:hAnsi="宋体" w:eastAsia="宋体" w:cs="Times New Roman"/>
          <w:b/>
          <w:color w:val="auto"/>
          <w:szCs w:val="21"/>
          <w:highlight w:val="none"/>
        </w:rPr>
        <w:t>、法定代表人身份证明格式：（法定代表人参加投标的须提供）</w:t>
      </w:r>
    </w:p>
    <w:p>
      <w:pPr>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jc w:val="center"/>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法定代表人身份证明</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cs="Times New Roman"/>
          <w:b/>
          <w:bCs/>
          <w:color w:val="auto"/>
          <w:szCs w:val="21"/>
          <w:highlight w:val="none"/>
        </w:rPr>
      </w:pPr>
      <w:r>
        <w:rPr>
          <w:rFonts w:hint="eastAsia" w:ascii="宋体" w:hAnsi="宋体" w:eastAsia="宋体" w:cs="Times New Roman"/>
          <w:bCs/>
          <w:color w:val="auto"/>
          <w:szCs w:val="21"/>
          <w:highlight w:val="none"/>
        </w:rPr>
        <w:t>致：</w:t>
      </w:r>
      <w:r>
        <w:rPr>
          <w:rFonts w:ascii="宋体" w:hAnsi="宋体" w:eastAsia="宋体" w:cs="Times New Roman"/>
          <w:color w:val="auto"/>
          <w:szCs w:val="21"/>
          <w:highlight w:val="none"/>
        </w:rPr>
        <w:t>______</w:t>
      </w:r>
      <w:r>
        <w:rPr>
          <w:rFonts w:ascii="宋体" w:hAnsi="宋体" w:eastAsia="宋体" w:cs="Times New Roman"/>
          <w:color w:val="auto"/>
          <w:szCs w:val="21"/>
          <w:highlight w:val="none"/>
          <w:u w:val="single"/>
        </w:rPr>
        <w:t>_     _</w:t>
      </w:r>
      <w:r>
        <w:rPr>
          <w:rFonts w:ascii="宋体" w:hAnsi="宋体" w:eastAsia="宋体" w:cs="Times New Roman"/>
          <w:color w:val="auto"/>
          <w:szCs w:val="21"/>
          <w:highlight w:val="none"/>
        </w:rPr>
        <w:t>_</w:t>
      </w:r>
      <w:r>
        <w:rPr>
          <w:rFonts w:hint="eastAsia" w:ascii="宋体" w:hAnsi="宋体" w:eastAsia="宋体" w:cs="Times New Roman"/>
          <w:color w:val="auto"/>
          <w:szCs w:val="21"/>
          <w:highlight w:val="none"/>
        </w:rPr>
        <w:t>（采购人名称）</w:t>
      </w:r>
      <w:r>
        <w:rPr>
          <w:rFonts w:ascii="宋体" w:hAnsi="宋体" w:eastAsia="宋体" w:cs="Times New Roman"/>
          <w:b/>
          <w:bCs/>
          <w:color w:val="auto"/>
          <w:szCs w:val="21"/>
          <w:highlight w:val="none"/>
        </w:rPr>
        <w:t xml:space="preserve"> </w:t>
      </w:r>
      <w:r>
        <w:rPr>
          <w:rFonts w:hint="eastAsia" w:ascii="宋体" w:hAnsi="宋体" w:eastAsia="宋体" w:cs="Times New Roman"/>
          <w:color w:val="auto"/>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30" w:firstLineChars="300"/>
        <w:textAlignment w:val="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我单位_____________（投标人名称）的法定代表人为_____________，与我单位营业执照的法定代表人一致，现由其参加</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项目名称</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项目的投标活动，并代表我方全权办理针对上述项目的投标、开标、评标、签约等过程具体事务和签署相关文件。</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法定代表人信息如下：</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ascii="宋体" w:hAnsi="宋体" w:eastAsia="宋体" w:cs="Times New Roman"/>
          <w:b/>
          <w:color w:val="auto"/>
          <w:szCs w:val="21"/>
          <w:highlight w:val="none"/>
        </w:rPr>
      </w:pP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姓名：</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性别：</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年龄：</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职务：</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_</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eastAsia="宋体" w:cs="Times New Roman"/>
          <w:color w:val="auto"/>
          <w:szCs w:val="21"/>
          <w:highlight w:val="none"/>
          <w:u w:val="single"/>
        </w:rPr>
      </w:pPr>
      <w:r>
        <w:rPr>
          <w:rFonts w:hint="eastAsia" w:ascii="宋体" w:hAnsi="宋体" w:eastAsia="宋体" w:cs="Times New Roman"/>
          <w:color w:val="auto"/>
          <w:szCs w:val="21"/>
          <w:highlight w:val="none"/>
        </w:rPr>
        <w:t>身份证号码：</w:t>
      </w:r>
      <w:r>
        <w:rPr>
          <w:rFonts w:hint="eastAsia" w:ascii="宋体" w:hAnsi="宋体" w:eastAsia="宋体" w:cs="Times New Roman"/>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pacing w:line="360" w:lineRule="auto"/>
        <w:ind w:firstLine="840" w:firstLineChars="400"/>
        <w:textAlignment w:val="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特此证明。</w:t>
      </w:r>
    </w:p>
    <w:p>
      <w:pPr>
        <w:spacing w:line="360" w:lineRule="auto"/>
        <w:ind w:firstLine="420" w:firstLineChars="200"/>
        <w:rPr>
          <w:rFonts w:ascii="宋体" w:hAnsi="宋体" w:eastAsia="宋体" w:cs="Times New Roman"/>
          <w:color w:val="auto"/>
          <w:szCs w:val="21"/>
          <w:highlight w:val="none"/>
        </w:rPr>
      </w:pPr>
    </w:p>
    <w:p>
      <w:pPr>
        <w:spacing w:line="360" w:lineRule="auto"/>
        <w:ind w:firstLine="420" w:firstLineChars="200"/>
        <w:rPr>
          <w:rFonts w:ascii="宋体" w:hAnsi="宋体" w:eastAsia="宋体" w:cs="Times New Roman"/>
          <w:color w:val="auto"/>
          <w:szCs w:val="21"/>
          <w:highlight w:val="none"/>
        </w:rPr>
      </w:pPr>
    </w:p>
    <w:p>
      <w:pPr>
        <w:spacing w:line="400" w:lineRule="atLeast"/>
        <w:ind w:firstLine="3360" w:firstLineChars="16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投标人公章：</w:t>
      </w:r>
      <w:r>
        <w:rPr>
          <w:rFonts w:hint="eastAsia" w:ascii="宋体" w:hAnsi="宋体" w:eastAsia="宋体" w:cs="Times New Roman"/>
          <w:color w:val="auto"/>
          <w:szCs w:val="21"/>
          <w:highlight w:val="none"/>
          <w:u w:val="single"/>
        </w:rPr>
        <w:t xml:space="preserve">                            </w:t>
      </w:r>
    </w:p>
    <w:p>
      <w:pPr>
        <w:spacing w:line="400" w:lineRule="atLeast"/>
        <w:ind w:firstLine="3360" w:firstLineChars="1600"/>
        <w:rPr>
          <w:rFonts w:hint="eastAsia" w:ascii="宋体" w:hAnsi="宋体" w:eastAsia="宋体" w:cs="Times New Roman"/>
          <w:color w:val="auto"/>
          <w:szCs w:val="21"/>
          <w:highlight w:val="none"/>
          <w:u w:val="single"/>
        </w:rPr>
      </w:pPr>
      <w:r>
        <w:rPr>
          <w:rFonts w:hint="eastAsia" w:ascii="宋体" w:hAnsi="宋体" w:eastAsia="宋体" w:cs="Times New Roman"/>
          <w:color w:val="auto"/>
          <w:szCs w:val="21"/>
          <w:highlight w:val="none"/>
        </w:rPr>
        <w:t>日      期：</w:t>
      </w:r>
      <w:r>
        <w:rPr>
          <w:rFonts w:hint="eastAsia" w:ascii="宋体" w:hAnsi="宋体" w:eastAsia="宋体" w:cs="Times New Roman"/>
          <w:color w:val="auto"/>
          <w:szCs w:val="21"/>
          <w:highlight w:val="none"/>
          <w:u w:val="single"/>
        </w:rPr>
        <w:t xml:space="preserve">                             </w:t>
      </w:r>
    </w:p>
    <w:p>
      <w:pPr>
        <w:spacing w:line="360" w:lineRule="auto"/>
        <w:rPr>
          <w:rFonts w:ascii="宋体" w:hAnsi="宋体" w:eastAsia="宋体" w:cs="Times New Roman"/>
          <w:color w:val="auto"/>
          <w:szCs w:val="21"/>
          <w:highlight w:val="none"/>
        </w:rPr>
      </w:pPr>
    </w:p>
    <w:p>
      <w:pPr>
        <w:spacing w:line="360" w:lineRule="auto"/>
        <w:rPr>
          <w:rFonts w:hint="eastAsia" w:ascii="宋体" w:hAnsi="宋体" w:eastAsia="宋体" w:cs="Times New Roman"/>
          <w:b/>
          <w:color w:val="auto"/>
          <w:szCs w:val="21"/>
          <w:highlight w:val="none"/>
        </w:rPr>
      </w:pPr>
    </w:p>
    <w:p>
      <w:pPr>
        <w:spacing w:line="360" w:lineRule="auto"/>
        <w:rPr>
          <w:rFonts w:hint="eastAsia" w:ascii="宋体" w:hAnsi="宋体" w:eastAsia="宋体" w:cs="Times New Roman"/>
          <w:b/>
          <w:color w:val="auto"/>
          <w:szCs w:val="21"/>
          <w:highlight w:val="none"/>
        </w:rPr>
      </w:pPr>
    </w:p>
    <w:p>
      <w:pPr>
        <w:spacing w:line="360"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附：法定代表人身份证复印件（正反面）：</w:t>
      </w:r>
    </w:p>
    <w:p>
      <w:pPr>
        <w:snapToGrid w:val="0"/>
        <w:spacing w:before="120" w:beforeLines="50" w:after="50"/>
        <w:ind w:firstLine="3150" w:firstLineChars="1500"/>
        <w:rPr>
          <w:rFonts w:hint="eastAsia" w:ascii="宋体" w:hAnsi="宋体" w:eastAsia="宋体" w:cs="Times New Roman"/>
          <w:color w:val="auto"/>
          <w:szCs w:val="21"/>
          <w:highlight w:val="none"/>
        </w:rPr>
      </w:pPr>
    </w:p>
    <w:p>
      <w:pPr>
        <w:snapToGrid w:val="0"/>
        <w:spacing w:before="120" w:beforeLines="50" w:after="50"/>
        <w:ind w:firstLine="3150" w:firstLineChars="1500"/>
        <w:rPr>
          <w:rFonts w:hint="eastAsia" w:ascii="宋体" w:hAnsi="宋体" w:eastAsia="宋体" w:cs="Times New Roman"/>
          <w:color w:val="auto"/>
          <w:szCs w:val="21"/>
          <w:highlight w:val="none"/>
        </w:rPr>
      </w:pPr>
    </w:p>
    <w:p>
      <w:pPr>
        <w:snapToGrid w:val="0"/>
        <w:spacing w:before="120" w:beforeLines="50" w:after="50"/>
        <w:rPr>
          <w:rFonts w:hint="eastAsia" w:ascii="宋体" w:hAnsi="宋体" w:eastAsia="宋体" w:cs="Times New Roman"/>
          <w:color w:val="auto"/>
          <w:szCs w:val="21"/>
          <w:highlight w:val="none"/>
        </w:rPr>
      </w:pPr>
    </w:p>
    <w:p>
      <w:pPr>
        <w:snapToGrid w:val="0"/>
        <w:spacing w:before="120" w:beforeLines="50" w:after="50"/>
        <w:rPr>
          <w:rFonts w:hint="eastAsia" w:ascii="宋体" w:hAnsi="宋体" w:eastAsia="宋体" w:cs="Times New Roman"/>
          <w:color w:val="auto"/>
          <w:szCs w:val="21"/>
          <w:highlight w:val="none"/>
        </w:rPr>
      </w:pPr>
    </w:p>
    <w:p>
      <w:pPr>
        <w:snapToGrid w:val="0"/>
        <w:spacing w:before="120" w:beforeLines="50" w:after="50"/>
        <w:rPr>
          <w:rFonts w:hint="eastAsia" w:ascii="宋体" w:hAnsi="宋体" w:eastAsia="宋体" w:cs="Times New Roman"/>
          <w:color w:val="auto"/>
          <w:szCs w:val="21"/>
          <w:highlight w:val="none"/>
        </w:rPr>
      </w:pPr>
    </w:p>
    <w:p>
      <w:pPr>
        <w:widowControl w:val="0"/>
        <w:spacing w:line="520" w:lineRule="exact"/>
        <w:ind w:firstLine="0"/>
        <w:jc w:val="both"/>
        <w:rPr>
          <w:rFonts w:hint="eastAsia" w:ascii="宋体" w:hAnsi="宋体" w:eastAsia="宋体" w:cs="Times New Roman"/>
          <w:b/>
          <w:color w:val="auto"/>
          <w:spacing w:val="-4"/>
          <w:kern w:val="2"/>
          <w:sz w:val="21"/>
          <w:szCs w:val="21"/>
          <w:highlight w:val="none"/>
          <w:lang w:val="en-US" w:eastAsia="zh-CN" w:bidi="ar-SA"/>
        </w:rPr>
      </w:pPr>
    </w:p>
    <w:p>
      <w:pPr>
        <w:widowControl w:val="0"/>
        <w:spacing w:line="520" w:lineRule="exact"/>
        <w:ind w:left="5250" w:firstLine="0"/>
        <w:jc w:val="center"/>
        <w:rPr>
          <w:rFonts w:hint="eastAsia" w:ascii="宋体" w:hAnsi="宋体" w:eastAsia="宋体" w:cs="Times New Roman"/>
          <w:color w:val="auto"/>
          <w:spacing w:val="-4"/>
          <w:kern w:val="2"/>
          <w:sz w:val="21"/>
          <w:szCs w:val="21"/>
          <w:highlight w:val="none"/>
          <w:lang w:val="en-US" w:eastAsia="zh-CN" w:bidi="ar-SA"/>
        </w:rPr>
      </w:pPr>
    </w:p>
    <w:p>
      <w:pPr>
        <w:widowControl w:val="0"/>
        <w:spacing w:line="520" w:lineRule="exact"/>
        <w:ind w:left="5250" w:firstLine="0"/>
        <w:jc w:val="center"/>
        <w:rPr>
          <w:rFonts w:hint="eastAsia" w:ascii="宋体" w:hAnsi="宋体" w:eastAsia="宋体" w:cs="Times New Roman"/>
          <w:color w:val="auto"/>
          <w:spacing w:val="-4"/>
          <w:kern w:val="2"/>
          <w:sz w:val="21"/>
          <w:szCs w:val="21"/>
          <w:highlight w:val="none"/>
          <w:lang w:val="en-US" w:eastAsia="zh-CN" w:bidi="ar-SA"/>
        </w:rPr>
      </w:pPr>
    </w:p>
    <w:p>
      <w:pPr>
        <w:widowControl w:val="0"/>
        <w:spacing w:line="520" w:lineRule="exact"/>
        <w:ind w:left="5250" w:firstLine="0"/>
        <w:jc w:val="center"/>
        <w:rPr>
          <w:rFonts w:hint="eastAsia" w:ascii="宋体" w:hAnsi="宋体" w:eastAsia="宋体" w:cs="Times New Roman"/>
          <w:color w:val="auto"/>
          <w:spacing w:val="-4"/>
          <w:kern w:val="2"/>
          <w:sz w:val="21"/>
          <w:szCs w:val="21"/>
          <w:highlight w:val="none"/>
          <w:lang w:val="en-US" w:eastAsia="zh-CN" w:bidi="ar-SA"/>
        </w:rPr>
      </w:pPr>
    </w:p>
    <w:p>
      <w:pPr>
        <w:widowControl w:val="0"/>
        <w:spacing w:line="520" w:lineRule="exact"/>
        <w:ind w:left="5250" w:firstLine="0"/>
        <w:jc w:val="center"/>
        <w:rPr>
          <w:rFonts w:hint="eastAsia" w:ascii="宋体" w:hAnsi="宋体" w:eastAsia="宋体" w:cs="Times New Roman"/>
          <w:color w:val="auto"/>
          <w:spacing w:val="-4"/>
          <w:kern w:val="2"/>
          <w:sz w:val="21"/>
          <w:szCs w:val="21"/>
          <w:highlight w:val="none"/>
          <w:lang w:val="en-US" w:eastAsia="zh-CN" w:bidi="ar-SA"/>
        </w:rPr>
      </w:pPr>
    </w:p>
    <w:p>
      <w:pPr>
        <w:widowControl w:val="0"/>
        <w:spacing w:line="520" w:lineRule="exact"/>
        <w:ind w:left="5250" w:firstLine="0"/>
        <w:jc w:val="center"/>
        <w:rPr>
          <w:rFonts w:hint="eastAsia" w:ascii="宋体" w:hAnsi="宋体" w:eastAsia="宋体" w:cs="Times New Roman"/>
          <w:color w:val="auto"/>
          <w:spacing w:val="-4"/>
          <w:kern w:val="2"/>
          <w:sz w:val="21"/>
          <w:szCs w:val="21"/>
          <w:highlight w:val="none"/>
          <w:lang w:val="en-US" w:eastAsia="zh-CN" w:bidi="ar-SA"/>
        </w:rPr>
      </w:pPr>
    </w:p>
    <w:p>
      <w:pPr>
        <w:widowControl w:val="0"/>
        <w:spacing w:line="520" w:lineRule="exact"/>
        <w:ind w:left="5250" w:firstLine="0"/>
        <w:jc w:val="center"/>
        <w:rPr>
          <w:rFonts w:hint="eastAsia" w:ascii="宋体" w:hAnsi="宋体" w:eastAsia="宋体" w:cs="Times New Roman"/>
          <w:color w:val="auto"/>
          <w:spacing w:val="-4"/>
          <w:kern w:val="2"/>
          <w:sz w:val="21"/>
          <w:szCs w:val="21"/>
          <w:highlight w:val="none"/>
          <w:lang w:val="en-US" w:eastAsia="zh-CN" w:bidi="ar-SA"/>
        </w:rPr>
      </w:pPr>
    </w:p>
    <w:p>
      <w:pPr>
        <w:widowControl w:val="0"/>
        <w:spacing w:line="240" w:lineRule="auto"/>
        <w:ind w:firstLine="0"/>
        <w:jc w:val="both"/>
        <w:rPr>
          <w:rFonts w:hint="eastAsia" w:ascii="宋体" w:hAnsi="宋体" w:eastAsia="宋体" w:cs="Times New Roman"/>
          <w:b/>
          <w:color w:val="auto"/>
          <w:spacing w:val="-4"/>
          <w:kern w:val="2"/>
          <w:sz w:val="21"/>
          <w:szCs w:val="21"/>
          <w:highlight w:val="none"/>
          <w:lang w:val="en-US" w:eastAsia="zh-CN" w:bidi="ar-SA"/>
        </w:rPr>
      </w:pPr>
    </w:p>
    <w:p>
      <w:pPr>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lang w:val="en-US" w:eastAsia="zh-CN"/>
        </w:rPr>
        <w:t>3</w:t>
      </w:r>
      <w:r>
        <w:rPr>
          <w:rFonts w:hint="eastAsia" w:ascii="宋体" w:hAnsi="宋体" w:eastAsia="宋体" w:cs="Times New Roman"/>
          <w:b/>
          <w:color w:val="auto"/>
          <w:szCs w:val="21"/>
          <w:highlight w:val="none"/>
        </w:rPr>
        <w:t>、技术条款响应表</w:t>
      </w:r>
    </w:p>
    <w:p>
      <w:pPr>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子包：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序号</w:t>
            </w:r>
          </w:p>
        </w:tc>
        <w:tc>
          <w:tcPr>
            <w:tcW w:w="3360"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采购文件</w:t>
            </w:r>
          </w:p>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技术条款要求</w:t>
            </w:r>
          </w:p>
        </w:tc>
        <w:tc>
          <w:tcPr>
            <w:tcW w:w="2908"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投标文件</w:t>
            </w:r>
          </w:p>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响应</w:t>
            </w:r>
          </w:p>
        </w:tc>
        <w:tc>
          <w:tcPr>
            <w:tcW w:w="1578"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p>
        </w:tc>
        <w:tc>
          <w:tcPr>
            <w:tcW w:w="3360" w:type="dxa"/>
            <w:noWrap w:val="0"/>
            <w:vAlign w:val="center"/>
          </w:tcPr>
          <w:p>
            <w:pPr>
              <w:jc w:val="center"/>
              <w:rPr>
                <w:rFonts w:hint="eastAsia" w:ascii="宋体" w:hAnsi="宋体" w:eastAsia="宋体" w:cs="Times New Roman"/>
                <w:color w:val="auto"/>
                <w:szCs w:val="21"/>
                <w:highlight w:val="none"/>
              </w:rPr>
            </w:pPr>
          </w:p>
        </w:tc>
        <w:tc>
          <w:tcPr>
            <w:tcW w:w="2908" w:type="dxa"/>
            <w:noWrap w:val="0"/>
            <w:vAlign w:val="center"/>
          </w:tcPr>
          <w:p>
            <w:pPr>
              <w:jc w:val="center"/>
              <w:rPr>
                <w:rFonts w:hint="eastAsia" w:ascii="宋体" w:hAnsi="宋体" w:eastAsia="宋体" w:cs="Times New Roman"/>
                <w:color w:val="auto"/>
                <w:szCs w:val="21"/>
                <w:highlight w:val="none"/>
              </w:rPr>
            </w:pPr>
          </w:p>
        </w:tc>
        <w:tc>
          <w:tcPr>
            <w:tcW w:w="1578"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w:t>
            </w:r>
          </w:p>
        </w:tc>
        <w:tc>
          <w:tcPr>
            <w:tcW w:w="3360" w:type="dxa"/>
            <w:noWrap w:val="0"/>
            <w:vAlign w:val="center"/>
          </w:tcPr>
          <w:p>
            <w:pPr>
              <w:jc w:val="center"/>
              <w:rPr>
                <w:rFonts w:hint="eastAsia" w:ascii="宋体" w:hAnsi="宋体" w:eastAsia="宋体" w:cs="Times New Roman"/>
                <w:color w:val="auto"/>
                <w:szCs w:val="21"/>
                <w:highlight w:val="none"/>
              </w:rPr>
            </w:pPr>
          </w:p>
        </w:tc>
        <w:tc>
          <w:tcPr>
            <w:tcW w:w="2908" w:type="dxa"/>
            <w:noWrap w:val="0"/>
            <w:vAlign w:val="center"/>
          </w:tcPr>
          <w:p>
            <w:pPr>
              <w:jc w:val="center"/>
              <w:rPr>
                <w:rFonts w:hint="eastAsia" w:ascii="宋体" w:hAnsi="宋体" w:eastAsia="宋体" w:cs="Times New Roman"/>
                <w:color w:val="auto"/>
                <w:szCs w:val="21"/>
                <w:highlight w:val="none"/>
              </w:rPr>
            </w:pPr>
          </w:p>
        </w:tc>
        <w:tc>
          <w:tcPr>
            <w:tcW w:w="1578"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w:t>
            </w:r>
          </w:p>
        </w:tc>
        <w:tc>
          <w:tcPr>
            <w:tcW w:w="3360" w:type="dxa"/>
            <w:noWrap w:val="0"/>
            <w:vAlign w:val="center"/>
          </w:tcPr>
          <w:p>
            <w:pPr>
              <w:jc w:val="center"/>
              <w:rPr>
                <w:rFonts w:hint="eastAsia" w:ascii="宋体" w:hAnsi="宋体" w:eastAsia="宋体" w:cs="Times New Roman"/>
                <w:color w:val="auto"/>
                <w:szCs w:val="21"/>
                <w:highlight w:val="none"/>
              </w:rPr>
            </w:pPr>
          </w:p>
        </w:tc>
        <w:tc>
          <w:tcPr>
            <w:tcW w:w="2908" w:type="dxa"/>
            <w:noWrap w:val="0"/>
            <w:vAlign w:val="center"/>
          </w:tcPr>
          <w:p>
            <w:pPr>
              <w:jc w:val="center"/>
              <w:rPr>
                <w:rFonts w:hint="eastAsia" w:ascii="宋体" w:hAnsi="宋体" w:eastAsia="宋体" w:cs="Times New Roman"/>
                <w:color w:val="auto"/>
                <w:szCs w:val="21"/>
                <w:highlight w:val="none"/>
              </w:rPr>
            </w:pPr>
          </w:p>
        </w:tc>
        <w:tc>
          <w:tcPr>
            <w:tcW w:w="1578"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noWrap w:val="0"/>
            <w:vAlign w:val="center"/>
          </w:tcPr>
          <w:p>
            <w:pPr>
              <w:jc w:val="center"/>
              <w:rPr>
                <w:rFonts w:hint="eastAsia" w:ascii="宋体" w:hAnsi="宋体" w:eastAsia="宋体" w:cs="Times New Roman"/>
                <w:color w:val="auto"/>
                <w:szCs w:val="21"/>
                <w:highlight w:val="none"/>
              </w:rPr>
            </w:pPr>
          </w:p>
        </w:tc>
        <w:tc>
          <w:tcPr>
            <w:tcW w:w="3360" w:type="dxa"/>
            <w:noWrap w:val="0"/>
            <w:vAlign w:val="center"/>
          </w:tcPr>
          <w:p>
            <w:pPr>
              <w:jc w:val="center"/>
              <w:rPr>
                <w:rFonts w:hint="eastAsia" w:ascii="宋体" w:hAnsi="宋体" w:eastAsia="宋体" w:cs="Times New Roman"/>
                <w:color w:val="auto"/>
                <w:szCs w:val="21"/>
                <w:highlight w:val="none"/>
              </w:rPr>
            </w:pPr>
          </w:p>
        </w:tc>
        <w:tc>
          <w:tcPr>
            <w:tcW w:w="2908" w:type="dxa"/>
            <w:noWrap w:val="0"/>
            <w:vAlign w:val="center"/>
          </w:tcPr>
          <w:p>
            <w:pPr>
              <w:jc w:val="center"/>
              <w:rPr>
                <w:rFonts w:hint="eastAsia" w:ascii="宋体" w:hAnsi="宋体" w:eastAsia="宋体" w:cs="Times New Roman"/>
                <w:color w:val="auto"/>
                <w:szCs w:val="21"/>
                <w:highlight w:val="none"/>
              </w:rPr>
            </w:pPr>
          </w:p>
        </w:tc>
        <w:tc>
          <w:tcPr>
            <w:tcW w:w="1578"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noWrap w:val="0"/>
            <w:vAlign w:val="center"/>
          </w:tcPr>
          <w:p>
            <w:pPr>
              <w:jc w:val="center"/>
              <w:rPr>
                <w:rFonts w:hint="eastAsia" w:ascii="宋体" w:hAnsi="宋体" w:eastAsia="宋体" w:cs="Times New Roman"/>
                <w:color w:val="auto"/>
                <w:szCs w:val="21"/>
                <w:highlight w:val="none"/>
              </w:rPr>
            </w:pPr>
          </w:p>
        </w:tc>
        <w:tc>
          <w:tcPr>
            <w:tcW w:w="3360" w:type="dxa"/>
            <w:noWrap w:val="0"/>
            <w:vAlign w:val="center"/>
          </w:tcPr>
          <w:p>
            <w:pPr>
              <w:jc w:val="center"/>
              <w:rPr>
                <w:rFonts w:hint="eastAsia" w:ascii="宋体" w:hAnsi="宋体" w:eastAsia="宋体" w:cs="Times New Roman"/>
                <w:color w:val="auto"/>
                <w:szCs w:val="21"/>
                <w:highlight w:val="none"/>
              </w:rPr>
            </w:pPr>
          </w:p>
        </w:tc>
        <w:tc>
          <w:tcPr>
            <w:tcW w:w="2908" w:type="dxa"/>
            <w:noWrap w:val="0"/>
            <w:vAlign w:val="center"/>
          </w:tcPr>
          <w:p>
            <w:pPr>
              <w:jc w:val="center"/>
              <w:rPr>
                <w:rFonts w:hint="eastAsia" w:ascii="宋体" w:hAnsi="宋体" w:eastAsia="宋体" w:cs="Times New Roman"/>
                <w:color w:val="auto"/>
                <w:szCs w:val="21"/>
                <w:highlight w:val="none"/>
              </w:rPr>
            </w:pPr>
          </w:p>
        </w:tc>
        <w:tc>
          <w:tcPr>
            <w:tcW w:w="1578"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noWrap w:val="0"/>
            <w:vAlign w:val="center"/>
          </w:tcPr>
          <w:p>
            <w:pPr>
              <w:jc w:val="center"/>
              <w:rPr>
                <w:rFonts w:hint="eastAsia" w:ascii="宋体" w:hAnsi="宋体" w:eastAsia="宋体" w:cs="Times New Roman"/>
                <w:color w:val="auto"/>
                <w:szCs w:val="21"/>
                <w:highlight w:val="none"/>
              </w:rPr>
            </w:pPr>
          </w:p>
        </w:tc>
        <w:tc>
          <w:tcPr>
            <w:tcW w:w="3360" w:type="dxa"/>
            <w:noWrap w:val="0"/>
            <w:vAlign w:val="center"/>
          </w:tcPr>
          <w:p>
            <w:pPr>
              <w:jc w:val="center"/>
              <w:rPr>
                <w:rFonts w:hint="eastAsia" w:ascii="宋体" w:hAnsi="宋体" w:eastAsia="宋体" w:cs="Times New Roman"/>
                <w:color w:val="auto"/>
                <w:szCs w:val="21"/>
                <w:highlight w:val="none"/>
              </w:rPr>
            </w:pPr>
          </w:p>
        </w:tc>
        <w:tc>
          <w:tcPr>
            <w:tcW w:w="2908" w:type="dxa"/>
            <w:noWrap w:val="0"/>
            <w:vAlign w:val="center"/>
          </w:tcPr>
          <w:p>
            <w:pPr>
              <w:jc w:val="center"/>
              <w:rPr>
                <w:rFonts w:hint="eastAsia" w:ascii="宋体" w:hAnsi="宋体" w:eastAsia="宋体" w:cs="Times New Roman"/>
                <w:color w:val="auto"/>
                <w:szCs w:val="21"/>
                <w:highlight w:val="none"/>
              </w:rPr>
            </w:pPr>
          </w:p>
        </w:tc>
        <w:tc>
          <w:tcPr>
            <w:tcW w:w="1578"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noWrap w:val="0"/>
            <w:vAlign w:val="center"/>
          </w:tcPr>
          <w:p>
            <w:pPr>
              <w:jc w:val="center"/>
              <w:rPr>
                <w:rFonts w:hint="eastAsia" w:ascii="宋体" w:hAnsi="宋体" w:eastAsia="宋体" w:cs="Times New Roman"/>
                <w:color w:val="auto"/>
                <w:szCs w:val="21"/>
                <w:highlight w:val="none"/>
              </w:rPr>
            </w:pPr>
          </w:p>
        </w:tc>
        <w:tc>
          <w:tcPr>
            <w:tcW w:w="3360" w:type="dxa"/>
            <w:noWrap w:val="0"/>
            <w:vAlign w:val="center"/>
          </w:tcPr>
          <w:p>
            <w:pPr>
              <w:jc w:val="center"/>
              <w:rPr>
                <w:rFonts w:hint="eastAsia" w:ascii="宋体" w:hAnsi="宋体" w:eastAsia="宋体" w:cs="Times New Roman"/>
                <w:color w:val="auto"/>
                <w:szCs w:val="21"/>
                <w:highlight w:val="none"/>
              </w:rPr>
            </w:pPr>
          </w:p>
        </w:tc>
        <w:tc>
          <w:tcPr>
            <w:tcW w:w="2908" w:type="dxa"/>
            <w:noWrap w:val="0"/>
            <w:vAlign w:val="center"/>
          </w:tcPr>
          <w:p>
            <w:pPr>
              <w:jc w:val="center"/>
              <w:rPr>
                <w:rFonts w:hint="eastAsia" w:ascii="宋体" w:hAnsi="宋体" w:eastAsia="宋体" w:cs="Times New Roman"/>
                <w:color w:val="auto"/>
                <w:szCs w:val="21"/>
                <w:highlight w:val="none"/>
              </w:rPr>
            </w:pPr>
          </w:p>
        </w:tc>
        <w:tc>
          <w:tcPr>
            <w:tcW w:w="1578"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noWrap w:val="0"/>
            <w:vAlign w:val="center"/>
          </w:tcPr>
          <w:p>
            <w:pPr>
              <w:jc w:val="center"/>
              <w:rPr>
                <w:rFonts w:hint="eastAsia" w:ascii="宋体" w:hAnsi="宋体" w:eastAsia="宋体" w:cs="Times New Roman"/>
                <w:color w:val="auto"/>
                <w:szCs w:val="21"/>
                <w:highlight w:val="none"/>
              </w:rPr>
            </w:pPr>
          </w:p>
        </w:tc>
        <w:tc>
          <w:tcPr>
            <w:tcW w:w="3360" w:type="dxa"/>
            <w:noWrap w:val="0"/>
            <w:vAlign w:val="center"/>
          </w:tcPr>
          <w:p>
            <w:pPr>
              <w:jc w:val="center"/>
              <w:rPr>
                <w:rFonts w:hint="eastAsia" w:ascii="宋体" w:hAnsi="宋体" w:eastAsia="宋体" w:cs="Times New Roman"/>
                <w:color w:val="auto"/>
                <w:szCs w:val="21"/>
                <w:highlight w:val="none"/>
              </w:rPr>
            </w:pPr>
          </w:p>
        </w:tc>
        <w:tc>
          <w:tcPr>
            <w:tcW w:w="2908" w:type="dxa"/>
            <w:noWrap w:val="0"/>
            <w:vAlign w:val="center"/>
          </w:tcPr>
          <w:p>
            <w:pPr>
              <w:jc w:val="center"/>
              <w:rPr>
                <w:rFonts w:hint="eastAsia" w:ascii="宋体" w:hAnsi="宋体" w:eastAsia="宋体" w:cs="Times New Roman"/>
                <w:color w:val="auto"/>
                <w:szCs w:val="21"/>
                <w:highlight w:val="none"/>
              </w:rPr>
            </w:pPr>
          </w:p>
        </w:tc>
        <w:tc>
          <w:tcPr>
            <w:tcW w:w="1578"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noWrap w:val="0"/>
            <w:vAlign w:val="center"/>
          </w:tcPr>
          <w:p>
            <w:pPr>
              <w:jc w:val="center"/>
              <w:rPr>
                <w:rFonts w:hint="eastAsia" w:ascii="宋体" w:hAnsi="宋体" w:eastAsia="宋体" w:cs="Times New Roman"/>
                <w:color w:val="auto"/>
                <w:szCs w:val="21"/>
                <w:highlight w:val="none"/>
              </w:rPr>
            </w:pPr>
          </w:p>
        </w:tc>
        <w:tc>
          <w:tcPr>
            <w:tcW w:w="3360" w:type="dxa"/>
            <w:noWrap w:val="0"/>
            <w:vAlign w:val="center"/>
          </w:tcPr>
          <w:p>
            <w:pPr>
              <w:jc w:val="center"/>
              <w:rPr>
                <w:rFonts w:hint="eastAsia" w:ascii="宋体" w:hAnsi="宋体" w:eastAsia="宋体" w:cs="Times New Roman"/>
                <w:color w:val="auto"/>
                <w:szCs w:val="21"/>
                <w:highlight w:val="none"/>
              </w:rPr>
            </w:pPr>
          </w:p>
        </w:tc>
        <w:tc>
          <w:tcPr>
            <w:tcW w:w="2908" w:type="dxa"/>
            <w:noWrap w:val="0"/>
            <w:vAlign w:val="center"/>
          </w:tcPr>
          <w:p>
            <w:pPr>
              <w:jc w:val="center"/>
              <w:rPr>
                <w:rFonts w:hint="eastAsia" w:ascii="宋体" w:hAnsi="宋体" w:eastAsia="宋体" w:cs="Times New Roman"/>
                <w:color w:val="auto"/>
                <w:szCs w:val="21"/>
                <w:highlight w:val="none"/>
              </w:rPr>
            </w:pPr>
          </w:p>
        </w:tc>
        <w:tc>
          <w:tcPr>
            <w:tcW w:w="1578"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noWrap w:val="0"/>
            <w:vAlign w:val="center"/>
          </w:tcPr>
          <w:p>
            <w:pPr>
              <w:jc w:val="center"/>
              <w:rPr>
                <w:rFonts w:hint="eastAsia" w:ascii="宋体" w:hAnsi="宋体" w:eastAsia="宋体" w:cs="Times New Roman"/>
                <w:color w:val="auto"/>
                <w:szCs w:val="21"/>
                <w:highlight w:val="none"/>
              </w:rPr>
            </w:pPr>
          </w:p>
        </w:tc>
        <w:tc>
          <w:tcPr>
            <w:tcW w:w="3360" w:type="dxa"/>
            <w:noWrap w:val="0"/>
            <w:vAlign w:val="center"/>
          </w:tcPr>
          <w:p>
            <w:pPr>
              <w:jc w:val="center"/>
              <w:rPr>
                <w:rFonts w:hint="eastAsia" w:ascii="宋体" w:hAnsi="宋体" w:eastAsia="宋体" w:cs="Times New Roman"/>
                <w:color w:val="auto"/>
                <w:szCs w:val="21"/>
                <w:highlight w:val="none"/>
              </w:rPr>
            </w:pPr>
          </w:p>
        </w:tc>
        <w:tc>
          <w:tcPr>
            <w:tcW w:w="2908" w:type="dxa"/>
            <w:noWrap w:val="0"/>
            <w:vAlign w:val="center"/>
          </w:tcPr>
          <w:p>
            <w:pPr>
              <w:jc w:val="center"/>
              <w:rPr>
                <w:rFonts w:hint="eastAsia" w:ascii="宋体" w:hAnsi="宋体" w:eastAsia="宋体" w:cs="Times New Roman"/>
                <w:color w:val="auto"/>
                <w:szCs w:val="21"/>
                <w:highlight w:val="none"/>
              </w:rPr>
            </w:pPr>
          </w:p>
        </w:tc>
        <w:tc>
          <w:tcPr>
            <w:tcW w:w="1578"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noWrap w:val="0"/>
            <w:vAlign w:val="center"/>
          </w:tcPr>
          <w:p>
            <w:pPr>
              <w:jc w:val="center"/>
              <w:rPr>
                <w:rFonts w:hint="eastAsia" w:ascii="宋体" w:hAnsi="宋体" w:eastAsia="宋体" w:cs="Times New Roman"/>
                <w:color w:val="auto"/>
                <w:szCs w:val="21"/>
                <w:highlight w:val="none"/>
              </w:rPr>
            </w:pPr>
          </w:p>
        </w:tc>
        <w:tc>
          <w:tcPr>
            <w:tcW w:w="3360" w:type="dxa"/>
            <w:noWrap w:val="0"/>
            <w:vAlign w:val="center"/>
          </w:tcPr>
          <w:p>
            <w:pPr>
              <w:jc w:val="center"/>
              <w:rPr>
                <w:rFonts w:hint="eastAsia" w:ascii="宋体" w:hAnsi="宋体" w:eastAsia="宋体" w:cs="Times New Roman"/>
                <w:color w:val="auto"/>
                <w:szCs w:val="21"/>
                <w:highlight w:val="none"/>
              </w:rPr>
            </w:pPr>
          </w:p>
        </w:tc>
        <w:tc>
          <w:tcPr>
            <w:tcW w:w="2908" w:type="dxa"/>
            <w:noWrap w:val="0"/>
            <w:vAlign w:val="center"/>
          </w:tcPr>
          <w:p>
            <w:pPr>
              <w:jc w:val="center"/>
              <w:rPr>
                <w:rFonts w:hint="eastAsia" w:ascii="宋体" w:hAnsi="宋体" w:eastAsia="宋体" w:cs="Times New Roman"/>
                <w:color w:val="auto"/>
                <w:szCs w:val="21"/>
                <w:highlight w:val="none"/>
              </w:rPr>
            </w:pPr>
          </w:p>
        </w:tc>
        <w:tc>
          <w:tcPr>
            <w:tcW w:w="1578"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noWrap w:val="0"/>
            <w:vAlign w:val="center"/>
          </w:tcPr>
          <w:p>
            <w:pPr>
              <w:jc w:val="center"/>
              <w:rPr>
                <w:rFonts w:hint="eastAsia" w:ascii="宋体" w:hAnsi="宋体" w:eastAsia="宋体" w:cs="Times New Roman"/>
                <w:color w:val="auto"/>
                <w:szCs w:val="21"/>
                <w:highlight w:val="none"/>
              </w:rPr>
            </w:pPr>
          </w:p>
        </w:tc>
        <w:tc>
          <w:tcPr>
            <w:tcW w:w="3360" w:type="dxa"/>
            <w:noWrap w:val="0"/>
            <w:vAlign w:val="center"/>
          </w:tcPr>
          <w:p>
            <w:pPr>
              <w:jc w:val="center"/>
              <w:rPr>
                <w:rFonts w:hint="eastAsia" w:ascii="宋体" w:hAnsi="宋体" w:eastAsia="宋体" w:cs="Times New Roman"/>
                <w:color w:val="auto"/>
                <w:szCs w:val="21"/>
                <w:highlight w:val="none"/>
              </w:rPr>
            </w:pPr>
          </w:p>
        </w:tc>
        <w:tc>
          <w:tcPr>
            <w:tcW w:w="2908" w:type="dxa"/>
            <w:noWrap w:val="0"/>
            <w:vAlign w:val="center"/>
          </w:tcPr>
          <w:p>
            <w:pPr>
              <w:jc w:val="center"/>
              <w:rPr>
                <w:rFonts w:hint="eastAsia" w:ascii="宋体" w:hAnsi="宋体" w:eastAsia="宋体" w:cs="Times New Roman"/>
                <w:color w:val="auto"/>
                <w:szCs w:val="21"/>
                <w:highlight w:val="none"/>
              </w:rPr>
            </w:pPr>
          </w:p>
        </w:tc>
        <w:tc>
          <w:tcPr>
            <w:tcW w:w="1578" w:type="dxa"/>
            <w:noWrap w:val="0"/>
            <w:vAlign w:val="center"/>
          </w:tcPr>
          <w:p>
            <w:pPr>
              <w:jc w:val="center"/>
              <w:rPr>
                <w:rFonts w:hint="eastAsia" w:ascii="宋体" w:hAnsi="宋体" w:eastAsia="宋体" w:cs="Times New Roman"/>
                <w:color w:val="auto"/>
                <w:szCs w:val="21"/>
                <w:highlight w:val="none"/>
              </w:rPr>
            </w:pPr>
          </w:p>
        </w:tc>
      </w:tr>
    </w:tbl>
    <w:p>
      <w:pPr>
        <w:rPr>
          <w:rFonts w:hint="eastAsia" w:ascii="宋体" w:hAnsi="宋体" w:eastAsia="宋体" w:cs="Times New Roman"/>
          <w:color w:val="auto"/>
          <w:szCs w:val="21"/>
        </w:rPr>
      </w:pPr>
      <w:r>
        <w:rPr>
          <w:rFonts w:hint="eastAsia" w:ascii="宋体" w:hAnsi="宋体" w:eastAsia="宋体" w:cs="Times New Roman"/>
          <w:b/>
          <w:color w:val="auto"/>
          <w:szCs w:val="21"/>
          <w:highlight w:val="none"/>
        </w:rPr>
        <w:t>注：</w:t>
      </w:r>
      <w:r>
        <w:rPr>
          <w:rFonts w:hint="eastAsia" w:ascii="宋体" w:hAnsi="宋体" w:eastAsia="宋体" w:cs="Times New Roman"/>
          <w:color w:val="auto"/>
          <w:szCs w:val="21"/>
        </w:rPr>
        <w:t>1、投标文件响应须与采购文件“第二章采购需求</w:t>
      </w:r>
      <w:r>
        <w:rPr>
          <w:rFonts w:hint="eastAsia" w:ascii="宋体" w:hAnsi="宋体" w:eastAsia="宋体" w:cs="Times New Roman"/>
          <w:color w:val="auto"/>
          <w:szCs w:val="21"/>
          <w:lang w:eastAsia="zh-CN"/>
        </w:rPr>
        <w:t>：二、技术需求</w:t>
      </w:r>
      <w:r>
        <w:rPr>
          <w:rFonts w:hint="eastAsia" w:ascii="宋体" w:hAnsi="宋体" w:eastAsia="宋体" w:cs="Times New Roman"/>
          <w:color w:val="auto"/>
          <w:szCs w:val="21"/>
        </w:rPr>
        <w:t>”条款逐项比较填写。</w:t>
      </w:r>
    </w:p>
    <w:p>
      <w:pPr>
        <w:rPr>
          <w:rFonts w:hint="eastAsia" w:ascii="宋体" w:hAnsi="宋体" w:eastAsia="宋体" w:cs="Times New Roman"/>
          <w:color w:val="auto"/>
          <w:szCs w:val="21"/>
        </w:rPr>
      </w:pPr>
      <w:r>
        <w:rPr>
          <w:rFonts w:hint="eastAsia" w:ascii="宋体" w:hAnsi="宋体" w:eastAsia="宋体" w:cs="Times New Roman"/>
          <w:color w:val="auto"/>
          <w:szCs w:val="21"/>
        </w:rPr>
        <w:t>2、偏离说明是指对招标文件要求存在不同之处的解释说明。偏离系指：正偏离（高于采购需求）、负偏离（低于采购需求）、无偏离（满足采购需求）。</w:t>
      </w:r>
    </w:p>
    <w:p>
      <w:pPr>
        <w:spacing w:line="400" w:lineRule="atLeast"/>
        <w:ind w:firstLine="210" w:firstLineChars="1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法定代表人或授权代表（签字）：</w:t>
      </w:r>
      <w:r>
        <w:rPr>
          <w:rFonts w:ascii="宋体" w:hAnsi="宋体" w:eastAsia="宋体" w:cs="Times New Roman"/>
          <w:color w:val="auto"/>
          <w:szCs w:val="21"/>
          <w:highlight w:val="none"/>
          <w:u w:val="single"/>
        </w:rPr>
        <w:t xml:space="preserve">                  </w:t>
      </w:r>
    </w:p>
    <w:p>
      <w:pPr>
        <w:spacing w:line="400" w:lineRule="atLeast"/>
        <w:ind w:firstLine="210" w:firstLineChars="100"/>
        <w:rPr>
          <w:rFonts w:hint="eastAsia" w:ascii="宋体" w:hAnsi="宋体" w:eastAsia="宋体" w:cs="Times New Roman"/>
          <w:color w:val="auto"/>
          <w:szCs w:val="21"/>
          <w:highlight w:val="none"/>
          <w:u w:val="single"/>
        </w:rPr>
      </w:pPr>
      <w:r>
        <w:rPr>
          <w:rFonts w:hint="eastAsia" w:ascii="宋体" w:hAnsi="宋体" w:eastAsia="宋体" w:cs="Times New Roman"/>
          <w:color w:val="auto"/>
          <w:szCs w:val="21"/>
          <w:highlight w:val="none"/>
        </w:rPr>
        <w:t>日            期：</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p>
    <w:p>
      <w:pPr>
        <w:rPr>
          <w:rFonts w:ascii="宋体" w:hAnsi="宋体" w:eastAsia="宋体" w:cs="Times New Roman"/>
          <w:b/>
          <w:color w:val="auto"/>
          <w:szCs w:val="21"/>
          <w:highlight w:val="none"/>
        </w:rPr>
      </w:pPr>
    </w:p>
    <w:p>
      <w:pPr>
        <w:pStyle w:val="96"/>
        <w:rPr>
          <w:rFonts w:ascii="宋体" w:hAnsi="宋体" w:eastAsia="宋体"/>
          <w:b/>
          <w:color w:val="auto"/>
          <w:szCs w:val="21"/>
          <w:highlight w:val="none"/>
        </w:rPr>
      </w:pPr>
    </w:p>
    <w:p>
      <w:pPr>
        <w:pStyle w:val="96"/>
        <w:rPr>
          <w:rFonts w:ascii="宋体" w:hAnsi="宋体" w:eastAsia="宋体"/>
          <w:b/>
          <w:color w:val="auto"/>
          <w:szCs w:val="21"/>
          <w:highlight w:val="none"/>
        </w:rPr>
      </w:pPr>
    </w:p>
    <w:p>
      <w:pPr>
        <w:pStyle w:val="96"/>
        <w:rPr>
          <w:rFonts w:ascii="宋体" w:hAnsi="宋体" w:eastAsia="宋体"/>
          <w:b/>
          <w:color w:val="auto"/>
          <w:szCs w:val="21"/>
          <w:highlight w:val="none"/>
        </w:rPr>
      </w:pPr>
    </w:p>
    <w:p>
      <w:pPr>
        <w:pStyle w:val="96"/>
        <w:rPr>
          <w:rFonts w:ascii="宋体" w:hAnsi="宋体" w:eastAsia="宋体"/>
          <w:b/>
          <w:color w:val="auto"/>
          <w:szCs w:val="21"/>
          <w:highlight w:val="none"/>
        </w:rPr>
      </w:pPr>
    </w:p>
    <w:p>
      <w:pPr>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lang w:val="en-US" w:eastAsia="zh-CN"/>
        </w:rPr>
        <w:t>4</w:t>
      </w:r>
      <w:r>
        <w:rPr>
          <w:rFonts w:hint="eastAsia" w:ascii="宋体" w:hAnsi="宋体" w:eastAsia="宋体" w:cs="Times New Roman"/>
          <w:b/>
          <w:color w:val="auto"/>
          <w:szCs w:val="21"/>
          <w:highlight w:val="none"/>
        </w:rPr>
        <w:t>、商务条款响应表</w:t>
      </w:r>
    </w:p>
    <w:p>
      <w:pPr>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子包：</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711"/>
        <w:gridCol w:w="2224"/>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序号</w:t>
            </w:r>
          </w:p>
        </w:tc>
        <w:tc>
          <w:tcPr>
            <w:tcW w:w="2711"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采购文件的商务条款要求</w:t>
            </w:r>
          </w:p>
        </w:tc>
        <w:tc>
          <w:tcPr>
            <w:tcW w:w="2224"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投标文件的响应</w:t>
            </w:r>
          </w:p>
        </w:tc>
        <w:tc>
          <w:tcPr>
            <w:tcW w:w="2715"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p>
        </w:tc>
        <w:tc>
          <w:tcPr>
            <w:tcW w:w="2711" w:type="dxa"/>
            <w:noWrap w:val="0"/>
            <w:vAlign w:val="center"/>
          </w:tcPr>
          <w:p>
            <w:pPr>
              <w:jc w:val="center"/>
              <w:rPr>
                <w:rFonts w:hint="eastAsia" w:ascii="宋体" w:hAnsi="宋体" w:eastAsia="宋体" w:cs="Times New Roman"/>
                <w:color w:val="auto"/>
                <w:szCs w:val="21"/>
                <w:highlight w:val="none"/>
              </w:rPr>
            </w:pPr>
          </w:p>
        </w:tc>
        <w:tc>
          <w:tcPr>
            <w:tcW w:w="2224" w:type="dxa"/>
            <w:noWrap w:val="0"/>
            <w:vAlign w:val="center"/>
          </w:tcPr>
          <w:p>
            <w:pPr>
              <w:jc w:val="center"/>
              <w:rPr>
                <w:rFonts w:hint="eastAsia" w:ascii="宋体" w:hAnsi="宋体" w:eastAsia="宋体" w:cs="Times New Roman"/>
                <w:color w:val="auto"/>
                <w:szCs w:val="21"/>
                <w:highlight w:val="none"/>
              </w:rPr>
            </w:pPr>
          </w:p>
        </w:tc>
        <w:tc>
          <w:tcPr>
            <w:tcW w:w="2715"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w:t>
            </w:r>
          </w:p>
        </w:tc>
        <w:tc>
          <w:tcPr>
            <w:tcW w:w="2711" w:type="dxa"/>
            <w:noWrap w:val="0"/>
            <w:vAlign w:val="center"/>
          </w:tcPr>
          <w:p>
            <w:pPr>
              <w:jc w:val="center"/>
              <w:rPr>
                <w:rFonts w:hint="eastAsia" w:ascii="宋体" w:hAnsi="宋体" w:eastAsia="宋体" w:cs="Times New Roman"/>
                <w:color w:val="auto"/>
                <w:szCs w:val="21"/>
                <w:highlight w:val="none"/>
              </w:rPr>
            </w:pPr>
          </w:p>
        </w:tc>
        <w:tc>
          <w:tcPr>
            <w:tcW w:w="2224" w:type="dxa"/>
            <w:noWrap w:val="0"/>
            <w:vAlign w:val="center"/>
          </w:tcPr>
          <w:p>
            <w:pPr>
              <w:jc w:val="center"/>
              <w:rPr>
                <w:rFonts w:hint="eastAsia" w:ascii="宋体" w:hAnsi="宋体" w:eastAsia="宋体" w:cs="Times New Roman"/>
                <w:color w:val="auto"/>
                <w:szCs w:val="21"/>
                <w:highlight w:val="none"/>
              </w:rPr>
            </w:pPr>
          </w:p>
        </w:tc>
        <w:tc>
          <w:tcPr>
            <w:tcW w:w="2715"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w:t>
            </w:r>
          </w:p>
        </w:tc>
        <w:tc>
          <w:tcPr>
            <w:tcW w:w="2711" w:type="dxa"/>
            <w:noWrap w:val="0"/>
            <w:vAlign w:val="center"/>
          </w:tcPr>
          <w:p>
            <w:pPr>
              <w:jc w:val="center"/>
              <w:rPr>
                <w:rFonts w:hint="eastAsia" w:ascii="宋体" w:hAnsi="宋体" w:eastAsia="宋体" w:cs="Times New Roman"/>
                <w:color w:val="auto"/>
                <w:szCs w:val="21"/>
                <w:highlight w:val="none"/>
              </w:rPr>
            </w:pPr>
          </w:p>
        </w:tc>
        <w:tc>
          <w:tcPr>
            <w:tcW w:w="2224" w:type="dxa"/>
            <w:noWrap w:val="0"/>
            <w:vAlign w:val="center"/>
          </w:tcPr>
          <w:p>
            <w:pPr>
              <w:jc w:val="center"/>
              <w:rPr>
                <w:rFonts w:hint="eastAsia" w:ascii="宋体" w:hAnsi="宋体" w:eastAsia="宋体" w:cs="Times New Roman"/>
                <w:color w:val="auto"/>
                <w:szCs w:val="21"/>
                <w:highlight w:val="none"/>
              </w:rPr>
            </w:pPr>
          </w:p>
        </w:tc>
        <w:tc>
          <w:tcPr>
            <w:tcW w:w="2715"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w:t>
            </w:r>
          </w:p>
        </w:tc>
        <w:tc>
          <w:tcPr>
            <w:tcW w:w="2711" w:type="dxa"/>
            <w:noWrap w:val="0"/>
            <w:vAlign w:val="center"/>
          </w:tcPr>
          <w:p>
            <w:pPr>
              <w:jc w:val="center"/>
              <w:rPr>
                <w:rFonts w:hint="eastAsia" w:ascii="宋体" w:hAnsi="宋体" w:eastAsia="宋体" w:cs="Times New Roman"/>
                <w:color w:val="auto"/>
                <w:szCs w:val="21"/>
                <w:highlight w:val="none"/>
              </w:rPr>
            </w:pPr>
          </w:p>
        </w:tc>
        <w:tc>
          <w:tcPr>
            <w:tcW w:w="2224" w:type="dxa"/>
            <w:noWrap w:val="0"/>
            <w:vAlign w:val="center"/>
          </w:tcPr>
          <w:p>
            <w:pPr>
              <w:jc w:val="center"/>
              <w:rPr>
                <w:rFonts w:hint="eastAsia" w:ascii="宋体" w:hAnsi="宋体" w:eastAsia="宋体" w:cs="Times New Roman"/>
                <w:color w:val="auto"/>
                <w:szCs w:val="21"/>
                <w:highlight w:val="none"/>
              </w:rPr>
            </w:pPr>
          </w:p>
        </w:tc>
        <w:tc>
          <w:tcPr>
            <w:tcW w:w="2715"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hAnsi="宋体" w:eastAsia="宋体" w:cs="Times New Roman"/>
                <w:color w:val="auto"/>
                <w:szCs w:val="21"/>
                <w:highlight w:val="none"/>
              </w:rPr>
            </w:pPr>
          </w:p>
        </w:tc>
        <w:tc>
          <w:tcPr>
            <w:tcW w:w="2711" w:type="dxa"/>
            <w:noWrap w:val="0"/>
            <w:vAlign w:val="center"/>
          </w:tcPr>
          <w:p>
            <w:pPr>
              <w:jc w:val="center"/>
              <w:rPr>
                <w:rFonts w:hint="eastAsia" w:ascii="宋体" w:hAnsi="宋体" w:eastAsia="宋体" w:cs="Times New Roman"/>
                <w:color w:val="auto"/>
                <w:szCs w:val="21"/>
                <w:highlight w:val="none"/>
              </w:rPr>
            </w:pPr>
          </w:p>
        </w:tc>
        <w:tc>
          <w:tcPr>
            <w:tcW w:w="2224" w:type="dxa"/>
            <w:noWrap w:val="0"/>
            <w:vAlign w:val="center"/>
          </w:tcPr>
          <w:p>
            <w:pPr>
              <w:jc w:val="center"/>
              <w:rPr>
                <w:rFonts w:hint="eastAsia" w:ascii="宋体" w:hAnsi="宋体" w:eastAsia="宋体" w:cs="Times New Roman"/>
                <w:color w:val="auto"/>
                <w:szCs w:val="21"/>
                <w:highlight w:val="none"/>
              </w:rPr>
            </w:pPr>
          </w:p>
        </w:tc>
        <w:tc>
          <w:tcPr>
            <w:tcW w:w="2715"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hAnsi="宋体" w:eastAsia="宋体" w:cs="Times New Roman"/>
                <w:color w:val="auto"/>
                <w:szCs w:val="21"/>
                <w:highlight w:val="none"/>
              </w:rPr>
            </w:pPr>
          </w:p>
        </w:tc>
        <w:tc>
          <w:tcPr>
            <w:tcW w:w="2711" w:type="dxa"/>
            <w:noWrap w:val="0"/>
            <w:vAlign w:val="center"/>
          </w:tcPr>
          <w:p>
            <w:pPr>
              <w:jc w:val="center"/>
              <w:rPr>
                <w:rFonts w:hint="eastAsia" w:ascii="宋体" w:hAnsi="宋体" w:eastAsia="宋体" w:cs="Times New Roman"/>
                <w:color w:val="auto"/>
                <w:szCs w:val="21"/>
                <w:highlight w:val="none"/>
              </w:rPr>
            </w:pPr>
          </w:p>
        </w:tc>
        <w:tc>
          <w:tcPr>
            <w:tcW w:w="2224" w:type="dxa"/>
            <w:noWrap w:val="0"/>
            <w:vAlign w:val="center"/>
          </w:tcPr>
          <w:p>
            <w:pPr>
              <w:jc w:val="center"/>
              <w:rPr>
                <w:rFonts w:hint="eastAsia" w:ascii="宋体" w:hAnsi="宋体" w:eastAsia="宋体" w:cs="Times New Roman"/>
                <w:color w:val="auto"/>
                <w:szCs w:val="21"/>
                <w:highlight w:val="none"/>
              </w:rPr>
            </w:pPr>
          </w:p>
        </w:tc>
        <w:tc>
          <w:tcPr>
            <w:tcW w:w="2715"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hAnsi="宋体" w:eastAsia="宋体" w:cs="Times New Roman"/>
                <w:color w:val="auto"/>
                <w:szCs w:val="21"/>
                <w:highlight w:val="none"/>
              </w:rPr>
            </w:pPr>
          </w:p>
        </w:tc>
        <w:tc>
          <w:tcPr>
            <w:tcW w:w="2711" w:type="dxa"/>
            <w:noWrap w:val="0"/>
            <w:vAlign w:val="center"/>
          </w:tcPr>
          <w:p>
            <w:pPr>
              <w:jc w:val="center"/>
              <w:rPr>
                <w:rFonts w:hint="eastAsia" w:ascii="宋体" w:hAnsi="宋体" w:eastAsia="宋体" w:cs="Times New Roman"/>
                <w:color w:val="auto"/>
                <w:szCs w:val="21"/>
                <w:highlight w:val="none"/>
              </w:rPr>
            </w:pPr>
          </w:p>
        </w:tc>
        <w:tc>
          <w:tcPr>
            <w:tcW w:w="2224" w:type="dxa"/>
            <w:noWrap w:val="0"/>
            <w:vAlign w:val="center"/>
          </w:tcPr>
          <w:p>
            <w:pPr>
              <w:jc w:val="center"/>
              <w:rPr>
                <w:rFonts w:hint="eastAsia" w:ascii="宋体" w:hAnsi="宋体" w:eastAsia="宋体" w:cs="Times New Roman"/>
                <w:color w:val="auto"/>
                <w:szCs w:val="21"/>
                <w:highlight w:val="none"/>
              </w:rPr>
            </w:pPr>
          </w:p>
        </w:tc>
        <w:tc>
          <w:tcPr>
            <w:tcW w:w="2715"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hAnsi="宋体" w:eastAsia="宋体" w:cs="Times New Roman"/>
                <w:color w:val="auto"/>
                <w:szCs w:val="21"/>
                <w:highlight w:val="none"/>
              </w:rPr>
            </w:pPr>
          </w:p>
        </w:tc>
        <w:tc>
          <w:tcPr>
            <w:tcW w:w="2711" w:type="dxa"/>
            <w:noWrap w:val="0"/>
            <w:vAlign w:val="center"/>
          </w:tcPr>
          <w:p>
            <w:pPr>
              <w:jc w:val="center"/>
              <w:rPr>
                <w:rFonts w:hint="eastAsia" w:ascii="宋体" w:hAnsi="宋体" w:eastAsia="宋体" w:cs="Times New Roman"/>
                <w:color w:val="auto"/>
                <w:szCs w:val="21"/>
                <w:highlight w:val="none"/>
              </w:rPr>
            </w:pPr>
          </w:p>
        </w:tc>
        <w:tc>
          <w:tcPr>
            <w:tcW w:w="2224" w:type="dxa"/>
            <w:noWrap w:val="0"/>
            <w:vAlign w:val="center"/>
          </w:tcPr>
          <w:p>
            <w:pPr>
              <w:jc w:val="center"/>
              <w:rPr>
                <w:rFonts w:hint="eastAsia" w:ascii="宋体" w:hAnsi="宋体" w:eastAsia="宋体" w:cs="Times New Roman"/>
                <w:color w:val="auto"/>
                <w:szCs w:val="21"/>
                <w:highlight w:val="none"/>
              </w:rPr>
            </w:pPr>
          </w:p>
        </w:tc>
        <w:tc>
          <w:tcPr>
            <w:tcW w:w="2715"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hAnsi="宋体" w:eastAsia="宋体" w:cs="Times New Roman"/>
                <w:color w:val="auto"/>
                <w:szCs w:val="21"/>
                <w:highlight w:val="none"/>
              </w:rPr>
            </w:pPr>
          </w:p>
        </w:tc>
        <w:tc>
          <w:tcPr>
            <w:tcW w:w="2711" w:type="dxa"/>
            <w:noWrap w:val="0"/>
            <w:vAlign w:val="center"/>
          </w:tcPr>
          <w:p>
            <w:pPr>
              <w:jc w:val="center"/>
              <w:rPr>
                <w:rFonts w:hint="eastAsia" w:ascii="宋体" w:hAnsi="宋体" w:eastAsia="宋体" w:cs="Times New Roman"/>
                <w:color w:val="auto"/>
                <w:szCs w:val="21"/>
                <w:highlight w:val="none"/>
              </w:rPr>
            </w:pPr>
          </w:p>
        </w:tc>
        <w:tc>
          <w:tcPr>
            <w:tcW w:w="2224" w:type="dxa"/>
            <w:noWrap w:val="0"/>
            <w:vAlign w:val="center"/>
          </w:tcPr>
          <w:p>
            <w:pPr>
              <w:jc w:val="center"/>
              <w:rPr>
                <w:rFonts w:hint="eastAsia" w:ascii="宋体" w:hAnsi="宋体" w:eastAsia="宋体" w:cs="Times New Roman"/>
                <w:color w:val="auto"/>
                <w:szCs w:val="21"/>
                <w:highlight w:val="none"/>
              </w:rPr>
            </w:pPr>
          </w:p>
        </w:tc>
        <w:tc>
          <w:tcPr>
            <w:tcW w:w="2715"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hAnsi="宋体" w:eastAsia="宋体" w:cs="Times New Roman"/>
                <w:color w:val="auto"/>
                <w:szCs w:val="21"/>
                <w:highlight w:val="none"/>
              </w:rPr>
            </w:pPr>
          </w:p>
        </w:tc>
        <w:tc>
          <w:tcPr>
            <w:tcW w:w="2711" w:type="dxa"/>
            <w:noWrap w:val="0"/>
            <w:vAlign w:val="center"/>
          </w:tcPr>
          <w:p>
            <w:pPr>
              <w:jc w:val="center"/>
              <w:rPr>
                <w:rFonts w:hint="eastAsia" w:ascii="宋体" w:hAnsi="宋体" w:eastAsia="宋体" w:cs="Times New Roman"/>
                <w:color w:val="auto"/>
                <w:szCs w:val="21"/>
                <w:highlight w:val="none"/>
              </w:rPr>
            </w:pPr>
          </w:p>
        </w:tc>
        <w:tc>
          <w:tcPr>
            <w:tcW w:w="2224" w:type="dxa"/>
            <w:noWrap w:val="0"/>
            <w:vAlign w:val="center"/>
          </w:tcPr>
          <w:p>
            <w:pPr>
              <w:jc w:val="center"/>
              <w:rPr>
                <w:rFonts w:hint="eastAsia" w:ascii="宋体" w:hAnsi="宋体" w:eastAsia="宋体" w:cs="Times New Roman"/>
                <w:color w:val="auto"/>
                <w:szCs w:val="21"/>
                <w:highlight w:val="none"/>
              </w:rPr>
            </w:pPr>
          </w:p>
        </w:tc>
        <w:tc>
          <w:tcPr>
            <w:tcW w:w="2715" w:type="dxa"/>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hAnsi="宋体" w:eastAsia="宋体" w:cs="Times New Roman"/>
                <w:color w:val="auto"/>
                <w:szCs w:val="21"/>
                <w:highlight w:val="none"/>
              </w:rPr>
            </w:pPr>
          </w:p>
        </w:tc>
        <w:tc>
          <w:tcPr>
            <w:tcW w:w="2711" w:type="dxa"/>
            <w:noWrap w:val="0"/>
            <w:vAlign w:val="center"/>
          </w:tcPr>
          <w:p>
            <w:pPr>
              <w:jc w:val="center"/>
              <w:rPr>
                <w:rFonts w:hint="eastAsia" w:ascii="宋体" w:hAnsi="宋体" w:eastAsia="宋体" w:cs="Times New Roman"/>
                <w:color w:val="auto"/>
                <w:szCs w:val="21"/>
                <w:highlight w:val="none"/>
              </w:rPr>
            </w:pPr>
          </w:p>
        </w:tc>
        <w:tc>
          <w:tcPr>
            <w:tcW w:w="2224" w:type="dxa"/>
            <w:noWrap w:val="0"/>
            <w:vAlign w:val="center"/>
          </w:tcPr>
          <w:p>
            <w:pPr>
              <w:jc w:val="center"/>
              <w:rPr>
                <w:rFonts w:hint="eastAsia" w:ascii="宋体" w:hAnsi="宋体" w:eastAsia="宋体" w:cs="Times New Roman"/>
                <w:color w:val="auto"/>
                <w:szCs w:val="21"/>
                <w:highlight w:val="none"/>
              </w:rPr>
            </w:pPr>
          </w:p>
        </w:tc>
        <w:tc>
          <w:tcPr>
            <w:tcW w:w="2715" w:type="dxa"/>
            <w:noWrap w:val="0"/>
            <w:vAlign w:val="center"/>
          </w:tcPr>
          <w:p>
            <w:pPr>
              <w:jc w:val="center"/>
              <w:rPr>
                <w:rFonts w:hint="eastAsia" w:ascii="宋体" w:hAnsi="宋体" w:eastAsia="宋体" w:cs="Times New Roman"/>
                <w:color w:val="auto"/>
                <w:szCs w:val="21"/>
                <w:highlight w:val="none"/>
              </w:rPr>
            </w:pPr>
          </w:p>
        </w:tc>
      </w:tr>
    </w:tbl>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注：1、投标文件响应须与采购文件第二章采购需求三、商务条款要求逐项比较填写。</w:t>
      </w:r>
    </w:p>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2、偏离说明是指对招标文件要求存在不同之处的解释说明。偏离系指：正偏离（高于采购需求）、负偏离（低于采购需求）、无偏离（满足采购需求）。</w:t>
      </w:r>
    </w:p>
    <w:p>
      <w:pPr>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spacing w:line="400" w:lineRule="atLeast"/>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投标人公章：</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 xml:space="preserve">          </w:t>
      </w:r>
    </w:p>
    <w:p>
      <w:pPr>
        <w:spacing w:line="400" w:lineRule="atLeast"/>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法定代表人或授权代表（签字）：</w:t>
      </w:r>
      <w:r>
        <w:rPr>
          <w:rFonts w:ascii="宋体" w:hAnsi="宋体" w:eastAsia="宋体" w:cs="Times New Roman"/>
          <w:color w:val="auto"/>
          <w:szCs w:val="21"/>
          <w:highlight w:val="none"/>
          <w:u w:val="single"/>
        </w:rPr>
        <w:t xml:space="preserve">                  </w:t>
      </w:r>
    </w:p>
    <w:p>
      <w:pPr>
        <w:spacing w:line="400" w:lineRule="atLeast"/>
        <w:rPr>
          <w:rFonts w:hint="eastAsia" w:ascii="宋体" w:hAnsi="宋体" w:eastAsia="宋体" w:cs="Times New Roman"/>
          <w:color w:val="auto"/>
          <w:szCs w:val="21"/>
          <w:highlight w:val="none"/>
          <w:u w:val="single"/>
        </w:rPr>
      </w:pPr>
      <w:r>
        <w:rPr>
          <w:rFonts w:hint="eastAsia" w:ascii="宋体" w:hAnsi="宋体" w:eastAsia="宋体" w:cs="Times New Roman"/>
          <w:color w:val="auto"/>
          <w:szCs w:val="21"/>
          <w:highlight w:val="none"/>
        </w:rPr>
        <w:t>日            期：</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p>
    <w:p>
      <w:pPr>
        <w:rPr>
          <w:rFonts w:hint="eastAsia" w:ascii="宋体" w:hAnsi="宋体" w:eastAsia="宋体" w:cs="Times New Roman"/>
          <w:color w:val="auto"/>
          <w:szCs w:val="21"/>
          <w:highlight w:val="none"/>
          <w:u w:val="single"/>
        </w:rPr>
      </w:pPr>
    </w:p>
    <w:p>
      <w:pPr>
        <w:snapToGrid w:val="0"/>
        <w:spacing w:before="50" w:after="50"/>
        <w:rPr>
          <w:rFonts w:hint="eastAsia" w:ascii="宋体" w:hAnsi="宋体" w:eastAsia="宋体" w:cs="Times New Roman"/>
          <w:color w:val="auto"/>
          <w:szCs w:val="21"/>
          <w:highlight w:val="none"/>
        </w:rPr>
      </w:pPr>
    </w:p>
    <w:p>
      <w:pPr>
        <w:snapToGrid w:val="0"/>
        <w:spacing w:line="360" w:lineRule="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5、技术方案、实施方案、措施及进度计划安排；</w:t>
      </w:r>
    </w:p>
    <w:p>
      <w:pPr>
        <w:snapToGrid w:val="0"/>
        <w:spacing w:line="360" w:lineRule="auto"/>
        <w:rPr>
          <w:rFonts w:hint="eastAsia" w:ascii="Times New Roman" w:hAnsi="Times New Roman" w:eastAsia="宋体" w:cs="Times New Roman"/>
          <w:color w:val="auto"/>
          <w:highlight w:val="none"/>
          <w:lang w:val="en-US" w:eastAsia="zh-CN"/>
        </w:rPr>
      </w:pPr>
    </w:p>
    <w:p>
      <w:pPr>
        <w:pStyle w:val="17"/>
        <w:rPr>
          <w:rFonts w:hint="eastAsia" w:ascii="Times New Roman" w:hAnsi="Times New Roman" w:eastAsia="宋体" w:cs="Times New Roman"/>
          <w:color w:val="auto"/>
          <w:highlight w:val="none"/>
          <w:lang w:val="en-US" w:eastAsia="zh-CN"/>
        </w:rPr>
      </w:pPr>
    </w:p>
    <w:p>
      <w:pPr>
        <w:rPr>
          <w:rFonts w:hint="eastAsia" w:ascii="Times New Roman" w:hAnsi="Times New Roman" w:eastAsia="宋体" w:cs="Times New Roman"/>
          <w:color w:val="auto"/>
          <w:lang w:val="en-US" w:eastAsia="zh-CN"/>
        </w:rPr>
      </w:pPr>
    </w:p>
    <w:p>
      <w:pPr>
        <w:snapToGrid w:val="0"/>
        <w:spacing w:line="360" w:lineRule="auto"/>
        <w:rPr>
          <w:rFonts w:hint="eastAsia" w:ascii="Times New Roman" w:hAnsi="Times New Roman" w:eastAsia="宋体" w:cs="Times New Roman"/>
          <w:color w:val="auto"/>
          <w:highlight w:val="none"/>
          <w:lang w:val="en-US" w:eastAsia="zh-CN"/>
        </w:rPr>
      </w:pPr>
    </w:p>
    <w:p>
      <w:pPr>
        <w:numPr>
          <w:ilvl w:val="0"/>
          <w:numId w:val="11"/>
        </w:numPr>
        <w:snapToGrid w:val="0"/>
        <w:spacing w:line="360" w:lineRule="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售后服务方案；</w:t>
      </w:r>
    </w:p>
    <w:p>
      <w:pPr>
        <w:pStyle w:val="17"/>
        <w:widowControl w:val="0"/>
        <w:numPr>
          <w:ilvl w:val="0"/>
          <w:numId w:val="0"/>
        </w:numPr>
        <w:spacing w:after="120"/>
        <w:jc w:val="both"/>
        <w:rPr>
          <w:rFonts w:hint="eastAsia" w:ascii="Times New Roman" w:hAnsi="Times New Roman" w:eastAsia="宋体" w:cs="Times New Roman"/>
          <w:color w:val="auto"/>
          <w:lang w:val="en-US" w:eastAsia="zh-CN"/>
        </w:rPr>
      </w:pPr>
    </w:p>
    <w:p>
      <w:pPr>
        <w:rPr>
          <w:rFonts w:hint="eastAsia" w:ascii="Times New Roman" w:hAnsi="Times New Roman" w:eastAsia="宋体" w:cs="Times New Roman"/>
          <w:color w:val="auto"/>
          <w:lang w:val="en-US" w:eastAsia="zh-CN"/>
        </w:rPr>
      </w:pPr>
    </w:p>
    <w:p>
      <w:pPr>
        <w:pStyle w:val="17"/>
        <w:rPr>
          <w:rFonts w:hint="eastAsia" w:ascii="Times New Roman" w:hAnsi="Times New Roman" w:eastAsia="宋体" w:cs="Times New Roman"/>
          <w:color w:val="auto"/>
          <w:lang w:val="en-US" w:eastAsia="zh-CN"/>
        </w:rPr>
      </w:pPr>
    </w:p>
    <w:p>
      <w:pPr>
        <w:rPr>
          <w:rFonts w:hint="eastAsia" w:ascii="Times New Roman" w:hAnsi="Times New Roman" w:eastAsia="宋体" w:cs="Times New Roman"/>
          <w:color w:val="auto"/>
          <w:lang w:val="en-US" w:eastAsia="zh-CN"/>
        </w:rPr>
      </w:pPr>
    </w:p>
    <w:p>
      <w:pPr>
        <w:pStyle w:val="17"/>
        <w:rPr>
          <w:rFonts w:hint="eastAsia" w:ascii="Times New Roman" w:hAnsi="Times New Roman" w:eastAsia="宋体" w:cs="Times New Roman"/>
          <w:color w:val="auto"/>
          <w:lang w:val="en-US" w:eastAsia="zh-CN"/>
        </w:rPr>
      </w:pPr>
    </w:p>
    <w:p>
      <w:pPr>
        <w:snapToGrid w:val="0"/>
        <w:spacing w:line="360" w:lineRule="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7、技术支持和培训方案；</w:t>
      </w:r>
    </w:p>
    <w:p>
      <w:pPr>
        <w:snapToGrid w:val="0"/>
        <w:spacing w:line="360" w:lineRule="auto"/>
        <w:rPr>
          <w:rFonts w:hint="eastAsia" w:ascii="Times New Roman" w:hAnsi="Times New Roman" w:eastAsia="宋体" w:cs="Times New Roman"/>
          <w:color w:val="auto"/>
          <w:highlight w:val="none"/>
          <w:lang w:val="en-US" w:eastAsia="zh-CN"/>
        </w:rPr>
      </w:pPr>
    </w:p>
    <w:p>
      <w:pPr>
        <w:snapToGrid w:val="0"/>
        <w:spacing w:line="360" w:lineRule="auto"/>
        <w:rPr>
          <w:rFonts w:hint="eastAsia" w:ascii="Times New Roman" w:hAnsi="Times New Roman" w:eastAsia="宋体" w:cs="Times New Roman"/>
          <w:color w:val="auto"/>
          <w:highlight w:val="none"/>
          <w:lang w:val="en-US" w:eastAsia="zh-CN"/>
        </w:rPr>
      </w:pPr>
    </w:p>
    <w:p>
      <w:pPr>
        <w:pStyle w:val="17"/>
        <w:rPr>
          <w:rFonts w:hint="eastAsia" w:ascii="Times New Roman" w:hAnsi="Times New Roman" w:eastAsia="宋体" w:cs="Times New Roman"/>
          <w:color w:val="auto"/>
          <w:highlight w:val="none"/>
          <w:lang w:val="en-US" w:eastAsia="zh-CN"/>
        </w:rPr>
      </w:pPr>
    </w:p>
    <w:p>
      <w:pPr>
        <w:rPr>
          <w:rFonts w:hint="eastAsia" w:ascii="Times New Roman" w:hAnsi="Times New Roman" w:eastAsia="宋体" w:cs="Times New Roman"/>
          <w:color w:val="auto"/>
          <w:lang w:val="en-US" w:eastAsia="zh-CN"/>
        </w:rPr>
      </w:pPr>
    </w:p>
    <w:p>
      <w:pPr>
        <w:snapToGrid w:val="0"/>
        <w:spacing w:line="360" w:lineRule="auto"/>
        <w:rPr>
          <w:rFonts w:hint="eastAsia" w:ascii="Times New Roman" w:hAnsi="Times New Roman" w:eastAsia="宋体" w:cs="Times New Roman"/>
          <w:color w:val="auto"/>
          <w:highlight w:val="none"/>
          <w:lang w:val="en-US" w:eastAsia="zh-CN"/>
        </w:rPr>
      </w:pPr>
    </w:p>
    <w:p>
      <w:pPr>
        <w:snapToGrid w:val="0"/>
        <w:spacing w:line="360" w:lineRule="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8、</w:t>
      </w:r>
      <w:r>
        <w:rPr>
          <w:rFonts w:hint="eastAsia" w:ascii="Times New Roman" w:hAnsi="Times New Roman" w:eastAsia="宋体" w:cs="Times New Roman"/>
          <w:color w:val="auto"/>
          <w:highlight w:val="none"/>
        </w:rPr>
        <w:t>提供第四章评标标准（兼评委打分表）所需证明资料；</w:t>
      </w: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Times New Roman" w:hAnsi="Times New Roman" w:eastAsia="宋体" w:cs="Times New Roman"/>
          <w:color w:val="auto"/>
        </w:rPr>
      </w:pPr>
    </w:p>
    <w:p>
      <w:pPr>
        <w:rPr>
          <w:rFonts w:hint="eastAsia" w:ascii="宋体" w:hAnsi="宋体" w:eastAsia="宋体" w:cs="Times New Roman"/>
          <w:color w:val="auto"/>
          <w:szCs w:val="21"/>
          <w:highlight w:val="none"/>
        </w:rPr>
      </w:pPr>
    </w:p>
    <w:p>
      <w:pPr>
        <w:snapToGrid w:val="0"/>
        <w:spacing w:line="360" w:lineRule="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9、</w:t>
      </w:r>
      <w:r>
        <w:rPr>
          <w:rFonts w:hint="eastAsia" w:ascii="Times New Roman" w:hAnsi="Times New Roman" w:eastAsia="宋体" w:cs="Times New Roman"/>
          <w:color w:val="auto"/>
          <w:highlight w:val="none"/>
        </w:rPr>
        <w:t>其他招标文件要求或投标人认为有必要提供的文件资料。</w:t>
      </w:r>
    </w:p>
    <w:p>
      <w:pPr>
        <w:pStyle w:val="17"/>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snapToGrid w:val="0"/>
        <w:spacing w:before="50" w:after="50"/>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7"/>
        <w:rPr>
          <w:rFonts w:hint="eastAsia" w:ascii="宋体" w:hAnsi="宋体" w:eastAsia="宋体" w:cs="Times New Roman"/>
          <w:color w:val="auto"/>
          <w:szCs w:val="21"/>
          <w:highlight w:val="none"/>
        </w:rPr>
      </w:pPr>
    </w:p>
    <w:p>
      <w:pPr>
        <w:spacing w:line="360" w:lineRule="auto"/>
        <w:rPr>
          <w:rFonts w:hint="eastAsia" w:ascii="宋体" w:hAnsi="宋体" w:eastAsia="宋体" w:cs="Times New Roman"/>
          <w:b/>
          <w:bCs/>
          <w:color w:val="auto"/>
          <w:sz w:val="24"/>
          <w:highlight w:val="none"/>
          <w:lang w:eastAsia="zh-CN"/>
        </w:rPr>
      </w:pPr>
      <w:r>
        <w:rPr>
          <w:rFonts w:hint="eastAsia" w:ascii="宋体" w:hAnsi="宋体" w:eastAsia="宋体" w:cs="Times New Roman"/>
          <w:b/>
          <w:bCs/>
          <w:color w:val="auto"/>
          <w:sz w:val="24"/>
          <w:highlight w:val="none"/>
          <w:lang w:eastAsia="zh-CN"/>
        </w:rPr>
        <w:t>三、投标报价文件格式</w:t>
      </w:r>
    </w:p>
    <w:p>
      <w:pPr>
        <w:autoSpaceDE w:val="0"/>
        <w:autoSpaceDN w:val="0"/>
        <w:adjustRightInd w:val="0"/>
        <w:spacing w:line="420" w:lineRule="exact"/>
        <w:rPr>
          <w:rFonts w:ascii="宋体" w:hAnsi="宋体" w:eastAsia="宋体" w:cs="Times New Roman"/>
          <w:b w:val="0"/>
          <w:color w:val="auto"/>
          <w:szCs w:val="20"/>
          <w:lang w:val="zh-CN"/>
        </w:rPr>
      </w:pPr>
      <w:r>
        <w:rPr>
          <w:rFonts w:hint="eastAsia" w:ascii="宋体" w:hAnsi="宋体" w:eastAsia="宋体" w:cs="Times New Roman"/>
          <w:b/>
          <w:color w:val="auto"/>
          <w:spacing w:val="-2"/>
          <w:sz w:val="21"/>
          <w:szCs w:val="21"/>
        </w:rPr>
        <w:t>封面</w:t>
      </w:r>
    </w:p>
    <w:p>
      <w:pPr>
        <w:spacing w:line="360" w:lineRule="auto"/>
        <w:ind w:firstLine="1285" w:firstLineChars="400"/>
        <w:jc w:val="right"/>
        <w:rPr>
          <w:rFonts w:ascii="宋体" w:hAnsi="宋体" w:eastAsia="宋体" w:cs="Times New Roman"/>
          <w:b/>
          <w:color w:val="auto"/>
          <w:sz w:val="32"/>
          <w:szCs w:val="32"/>
        </w:rPr>
      </w:pPr>
      <w:r>
        <w:rPr>
          <w:rFonts w:hint="eastAsia" w:ascii="宋体" w:hAnsi="宋体" w:eastAsia="宋体" w:cs="Times New Roman"/>
          <w:b/>
          <w:color w:val="auto"/>
          <w:sz w:val="32"/>
          <w:szCs w:val="32"/>
        </w:rPr>
        <w:t>正（副）本</w:t>
      </w:r>
    </w:p>
    <w:p>
      <w:pPr>
        <w:spacing w:line="360" w:lineRule="auto"/>
        <w:rPr>
          <w:rFonts w:ascii="宋体" w:hAnsi="宋体" w:eastAsia="宋体" w:cs="Times New Roman"/>
          <w:color w:val="auto"/>
          <w:sz w:val="28"/>
          <w:szCs w:val="28"/>
        </w:rPr>
      </w:pPr>
    </w:p>
    <w:p>
      <w:pPr>
        <w:spacing w:line="360" w:lineRule="auto"/>
        <w:jc w:val="center"/>
        <w:rPr>
          <w:rFonts w:hint="eastAsia" w:ascii="宋体" w:hAnsi="宋体" w:eastAsia="宋体" w:cs="Times New Roman"/>
          <w:b/>
          <w:color w:val="auto"/>
          <w:sz w:val="36"/>
          <w:szCs w:val="36"/>
          <w:lang w:eastAsia="zh-CN"/>
        </w:rPr>
      </w:pPr>
      <w:r>
        <w:rPr>
          <w:rFonts w:hint="eastAsia" w:ascii="宋体" w:hAnsi="宋体" w:eastAsia="宋体" w:cs="Times New Roman"/>
          <w:b/>
          <w:color w:val="auto"/>
          <w:sz w:val="36"/>
          <w:szCs w:val="36"/>
          <w:lang w:eastAsia="zh-CN"/>
        </w:rPr>
        <w:t>宁波市江北区教育局采购下属学校安保服务项目</w:t>
      </w:r>
    </w:p>
    <w:p>
      <w:pPr>
        <w:spacing w:line="360" w:lineRule="auto"/>
        <w:jc w:val="center"/>
        <w:rPr>
          <w:rFonts w:hint="eastAsia" w:ascii="宋体" w:hAnsi="宋体" w:eastAsia="宋体" w:cs="Times New Roman"/>
          <w:color w:val="auto"/>
          <w:sz w:val="36"/>
          <w:szCs w:val="36"/>
          <w:u w:val="single"/>
          <w:lang w:eastAsia="zh-CN"/>
        </w:rPr>
      </w:pPr>
      <w:r>
        <w:rPr>
          <w:rFonts w:hint="eastAsia" w:ascii="宋体" w:hAnsi="宋体" w:eastAsia="宋体" w:cs="Times New Roman"/>
          <w:color w:val="auto"/>
          <w:sz w:val="36"/>
          <w:szCs w:val="36"/>
          <w:u w:val="single"/>
        </w:rPr>
        <w:t>采购编号：</w:t>
      </w:r>
      <w:r>
        <w:rPr>
          <w:rFonts w:hint="eastAsia" w:ascii="宋体" w:hAnsi="宋体" w:eastAsia="宋体" w:cs="Times New Roman"/>
          <w:color w:val="auto"/>
          <w:sz w:val="36"/>
          <w:szCs w:val="36"/>
          <w:u w:val="single"/>
          <w:lang w:eastAsia="zh-CN"/>
        </w:rPr>
        <w:t>NBITC-202320580G</w:t>
      </w:r>
    </w:p>
    <w:p>
      <w:pPr>
        <w:spacing w:line="360" w:lineRule="auto"/>
        <w:ind w:firstLine="2340" w:firstLineChars="650"/>
        <w:rPr>
          <w:rFonts w:ascii="宋体" w:hAnsi="宋体" w:eastAsia="宋体" w:cs="Times New Roman"/>
          <w:color w:val="auto"/>
          <w:sz w:val="36"/>
          <w:szCs w:val="36"/>
        </w:rPr>
      </w:pPr>
      <w:r>
        <w:rPr>
          <w:rFonts w:hint="eastAsia" w:ascii="宋体" w:hAnsi="宋体" w:eastAsia="宋体" w:cs="Times New Roman"/>
          <w:color w:val="auto"/>
          <w:sz w:val="36"/>
          <w:szCs w:val="36"/>
          <w:u w:val="single"/>
        </w:rPr>
        <w:t>子</w:t>
      </w:r>
      <w:r>
        <w:rPr>
          <w:rFonts w:ascii="宋体" w:hAnsi="宋体" w:eastAsia="宋体" w:cs="Times New Roman"/>
          <w:color w:val="auto"/>
          <w:sz w:val="36"/>
          <w:szCs w:val="36"/>
          <w:u w:val="single"/>
        </w:rPr>
        <w:t xml:space="preserve">    </w:t>
      </w:r>
      <w:r>
        <w:rPr>
          <w:rFonts w:hint="eastAsia" w:ascii="宋体" w:hAnsi="宋体" w:eastAsia="宋体" w:cs="Times New Roman"/>
          <w:color w:val="auto"/>
          <w:sz w:val="36"/>
          <w:szCs w:val="36"/>
          <w:u w:val="single"/>
        </w:rPr>
        <w:t>包：（如有多个标项）</w:t>
      </w:r>
    </w:p>
    <w:p>
      <w:pPr>
        <w:rPr>
          <w:rFonts w:ascii="宋体" w:hAnsi="宋体" w:eastAsia="宋体" w:cs="Times New Roman"/>
          <w:color w:val="auto"/>
          <w:sz w:val="28"/>
          <w:szCs w:val="28"/>
        </w:rPr>
      </w:pPr>
    </w:p>
    <w:p>
      <w:pPr>
        <w:spacing w:line="360" w:lineRule="auto"/>
        <w:jc w:val="center"/>
        <w:rPr>
          <w:rFonts w:ascii="宋体" w:hAnsi="宋体" w:eastAsia="宋体" w:cs="Times New Roman"/>
          <w:color w:val="auto"/>
          <w:sz w:val="36"/>
          <w:szCs w:val="36"/>
        </w:rPr>
      </w:pPr>
      <w:r>
        <w:rPr>
          <w:rFonts w:hint="eastAsia" w:ascii="宋体" w:hAnsi="宋体" w:eastAsia="宋体" w:cs="Times New Roman"/>
          <w:color w:val="auto"/>
          <w:sz w:val="36"/>
          <w:szCs w:val="36"/>
        </w:rPr>
        <w:t>（报价文件）</w:t>
      </w:r>
    </w:p>
    <w:p>
      <w:pPr>
        <w:jc w:val="center"/>
        <w:rPr>
          <w:rFonts w:ascii="宋体" w:hAnsi="宋体" w:eastAsia="宋体" w:cs="Times New Roman"/>
          <w:color w:val="auto"/>
          <w:sz w:val="28"/>
          <w:szCs w:val="28"/>
        </w:rPr>
      </w:pPr>
    </w:p>
    <w:p>
      <w:pPr>
        <w:spacing w:line="360" w:lineRule="auto"/>
        <w:jc w:val="center"/>
        <w:rPr>
          <w:rFonts w:ascii="宋体" w:hAnsi="宋体" w:eastAsia="宋体" w:cs="Times New Roman"/>
          <w:b/>
          <w:color w:val="auto"/>
          <w:sz w:val="72"/>
          <w:szCs w:val="72"/>
        </w:rPr>
      </w:pPr>
    </w:p>
    <w:p>
      <w:pPr>
        <w:spacing w:line="360" w:lineRule="auto"/>
        <w:jc w:val="center"/>
        <w:rPr>
          <w:rFonts w:ascii="宋体" w:hAnsi="宋体" w:eastAsia="宋体" w:cs="Times New Roman"/>
          <w:b/>
          <w:color w:val="auto"/>
          <w:sz w:val="72"/>
          <w:szCs w:val="72"/>
        </w:rPr>
      </w:pPr>
      <w:r>
        <w:rPr>
          <w:rFonts w:hint="eastAsia" w:ascii="宋体" w:hAnsi="宋体" w:eastAsia="宋体" w:cs="Times New Roman"/>
          <w:b/>
          <w:color w:val="auto"/>
          <w:sz w:val="72"/>
          <w:szCs w:val="72"/>
        </w:rPr>
        <w:t>投标文件</w:t>
      </w:r>
    </w:p>
    <w:p>
      <w:pPr>
        <w:spacing w:line="360" w:lineRule="auto"/>
        <w:jc w:val="center"/>
        <w:rPr>
          <w:rFonts w:ascii="宋体" w:hAnsi="宋体" w:eastAsia="宋体" w:cs="Times New Roman"/>
          <w:color w:val="auto"/>
          <w:sz w:val="36"/>
          <w:szCs w:val="36"/>
        </w:rPr>
      </w:pPr>
    </w:p>
    <w:p>
      <w:pPr>
        <w:spacing w:line="360" w:lineRule="auto"/>
        <w:jc w:val="center"/>
        <w:rPr>
          <w:rFonts w:ascii="宋体" w:hAnsi="宋体" w:eastAsia="宋体" w:cs="Times New Roman"/>
          <w:color w:val="auto"/>
          <w:sz w:val="36"/>
          <w:szCs w:val="36"/>
        </w:rPr>
      </w:pPr>
    </w:p>
    <w:p>
      <w:pPr>
        <w:spacing w:line="360" w:lineRule="auto"/>
        <w:jc w:val="center"/>
        <w:rPr>
          <w:rFonts w:ascii="宋体" w:hAnsi="宋体" w:eastAsia="宋体" w:cs="Times New Roman"/>
          <w:color w:val="auto"/>
          <w:sz w:val="36"/>
          <w:szCs w:val="36"/>
        </w:rPr>
      </w:pPr>
    </w:p>
    <w:p>
      <w:pPr>
        <w:spacing w:line="360" w:lineRule="auto"/>
        <w:jc w:val="center"/>
        <w:rPr>
          <w:rFonts w:ascii="宋体" w:hAnsi="宋体" w:eastAsia="宋体" w:cs="Times New Roman"/>
          <w:color w:val="auto"/>
          <w:sz w:val="36"/>
          <w:szCs w:val="36"/>
          <w:u w:val="single"/>
        </w:rPr>
      </w:pPr>
      <w:r>
        <w:rPr>
          <w:rFonts w:hint="eastAsia" w:ascii="宋体" w:hAnsi="宋体" w:eastAsia="宋体" w:cs="Times New Roman"/>
          <w:color w:val="auto"/>
          <w:sz w:val="36"/>
          <w:szCs w:val="36"/>
        </w:rPr>
        <w:t>供应商全称：</w:t>
      </w:r>
      <w:r>
        <w:rPr>
          <w:rFonts w:hint="eastAsia" w:ascii="宋体" w:hAnsi="宋体" w:eastAsia="宋体" w:cs="Times New Roman"/>
          <w:color w:val="auto"/>
          <w:sz w:val="36"/>
          <w:szCs w:val="36"/>
          <w:u w:val="single"/>
        </w:rPr>
        <w:t>（加盖单位公章）</w:t>
      </w:r>
    </w:p>
    <w:p>
      <w:pPr>
        <w:widowControl w:val="0"/>
        <w:adjustRightInd w:val="0"/>
        <w:spacing w:line="312" w:lineRule="atLeast"/>
        <w:ind w:left="101" w:leftChars="48" w:firstLine="1920" w:firstLineChars="800"/>
        <w:jc w:val="left"/>
        <w:textAlignment w:val="baseline"/>
        <w:rPr>
          <w:rFonts w:ascii="宋体" w:hAnsi="宋体" w:eastAsia="宋体" w:cs="Times New Roman"/>
          <w:color w:val="auto"/>
          <w:kern w:val="2"/>
          <w:sz w:val="24"/>
          <w:szCs w:val="28"/>
          <w:u w:val="single"/>
          <w:lang w:val="en-US" w:eastAsia="zh-CN" w:bidi="ar-SA"/>
        </w:rPr>
      </w:pPr>
    </w:p>
    <w:p>
      <w:pPr>
        <w:autoSpaceDE w:val="0"/>
        <w:autoSpaceDN w:val="0"/>
        <w:adjustRightInd w:val="0"/>
        <w:spacing w:line="400" w:lineRule="exact"/>
        <w:jc w:val="center"/>
        <w:outlineLvl w:val="0"/>
        <w:rPr>
          <w:rFonts w:ascii="宋体" w:hAnsi="宋体" w:eastAsia="宋体" w:cs="Times New Roman"/>
          <w:color w:val="auto"/>
          <w:sz w:val="28"/>
          <w:szCs w:val="28"/>
        </w:rPr>
      </w:pPr>
      <w:bookmarkStart w:id="39" w:name="_Toc18459"/>
      <w:bookmarkStart w:id="40" w:name="_Toc21794"/>
      <w:r>
        <w:rPr>
          <w:rFonts w:hint="eastAsia" w:ascii="宋体" w:hAnsi="宋体" w:eastAsia="宋体" w:cs="Times New Roman"/>
          <w:color w:val="auto"/>
          <w:sz w:val="36"/>
          <w:szCs w:val="36"/>
        </w:rPr>
        <w:t>年</w:t>
      </w:r>
      <w:r>
        <w:rPr>
          <w:rFonts w:ascii="宋体" w:hAnsi="宋体" w:eastAsia="宋体" w:cs="Times New Roman"/>
          <w:color w:val="auto"/>
          <w:sz w:val="36"/>
          <w:szCs w:val="36"/>
        </w:rPr>
        <w:t xml:space="preserve">  </w:t>
      </w:r>
      <w:r>
        <w:rPr>
          <w:rFonts w:hint="eastAsia" w:ascii="宋体" w:hAnsi="宋体" w:eastAsia="宋体" w:cs="Times New Roman"/>
          <w:color w:val="auto"/>
          <w:sz w:val="36"/>
          <w:szCs w:val="36"/>
        </w:rPr>
        <w:t>月</w:t>
      </w:r>
      <w:r>
        <w:rPr>
          <w:rFonts w:ascii="宋体" w:hAnsi="宋体" w:eastAsia="宋体" w:cs="Times New Roman"/>
          <w:color w:val="auto"/>
          <w:sz w:val="36"/>
          <w:szCs w:val="36"/>
        </w:rPr>
        <w:t xml:space="preserve">  </w:t>
      </w:r>
      <w:r>
        <w:rPr>
          <w:rFonts w:hint="eastAsia" w:ascii="宋体" w:hAnsi="宋体" w:eastAsia="宋体" w:cs="Times New Roman"/>
          <w:color w:val="auto"/>
          <w:sz w:val="36"/>
          <w:szCs w:val="36"/>
        </w:rPr>
        <w:t>日</w:t>
      </w:r>
      <w:bookmarkEnd w:id="39"/>
      <w:bookmarkEnd w:id="40"/>
    </w:p>
    <w:p>
      <w:pPr>
        <w:autoSpaceDE w:val="0"/>
        <w:autoSpaceDN w:val="0"/>
        <w:adjustRightInd w:val="0"/>
        <w:spacing w:line="400" w:lineRule="exact"/>
        <w:jc w:val="center"/>
        <w:rPr>
          <w:rFonts w:ascii="宋体" w:hAnsi="宋体" w:eastAsia="宋体" w:cs="Times New Roman"/>
          <w:color w:val="auto"/>
          <w:sz w:val="28"/>
          <w:szCs w:val="28"/>
        </w:rPr>
      </w:pPr>
    </w:p>
    <w:p>
      <w:pPr>
        <w:autoSpaceDE w:val="0"/>
        <w:autoSpaceDN w:val="0"/>
        <w:adjustRightInd w:val="0"/>
        <w:spacing w:line="400" w:lineRule="exact"/>
        <w:jc w:val="center"/>
        <w:rPr>
          <w:rFonts w:ascii="宋体" w:hAnsi="宋体" w:eastAsia="宋体" w:cs="Times New Roman"/>
          <w:color w:val="auto"/>
          <w:sz w:val="28"/>
          <w:szCs w:val="28"/>
        </w:rPr>
      </w:pPr>
    </w:p>
    <w:p>
      <w:pPr>
        <w:snapToGrid w:val="0"/>
        <w:spacing w:before="120" w:beforeLines="50" w:after="5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lang w:val="en-US" w:eastAsia="zh-CN"/>
        </w:rPr>
        <w:br w:type="page"/>
      </w:r>
      <w:r>
        <w:rPr>
          <w:rFonts w:hint="eastAsia" w:ascii="宋体" w:hAnsi="宋体" w:eastAsia="宋体" w:cs="Times New Roman"/>
          <w:b/>
          <w:color w:val="auto"/>
          <w:szCs w:val="21"/>
          <w:highlight w:val="none"/>
          <w:lang w:val="en-US" w:eastAsia="zh-CN"/>
        </w:rPr>
        <w:t>1</w:t>
      </w:r>
      <w:r>
        <w:rPr>
          <w:rFonts w:hint="eastAsia" w:ascii="宋体" w:hAnsi="宋体" w:eastAsia="宋体" w:cs="Times New Roman"/>
          <w:b/>
          <w:color w:val="auto"/>
          <w:szCs w:val="21"/>
          <w:highlight w:val="none"/>
        </w:rPr>
        <w:t>、开标一览表格式：</w:t>
      </w:r>
    </w:p>
    <w:p>
      <w:pPr>
        <w:snapToGrid w:val="0"/>
        <w:spacing w:before="120" w:beforeLines="50" w:after="50"/>
        <w:jc w:val="center"/>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开标一览表</w:t>
      </w:r>
    </w:p>
    <w:p>
      <w:pPr>
        <w:snapToGrid w:val="0"/>
        <w:spacing w:before="120" w:beforeLines="50" w:after="50"/>
        <w:jc w:val="center"/>
        <w:rPr>
          <w:rFonts w:hint="eastAsia" w:ascii="宋体" w:hAnsi="宋体" w:eastAsia="宋体" w:cs="Times New Roman"/>
          <w:color w:val="auto"/>
          <w:szCs w:val="21"/>
          <w:highlight w:val="none"/>
        </w:rPr>
      </w:pPr>
    </w:p>
    <w:p>
      <w:pPr>
        <w:widowControl w:val="0"/>
        <w:spacing w:line="300" w:lineRule="exact"/>
        <w:ind w:firstLine="0"/>
        <w:jc w:val="both"/>
        <w:rPr>
          <w:rFonts w:hint="eastAsia" w:ascii="宋体" w:hAnsi="宋体" w:eastAsia="宋体" w:cs="Times New Roman"/>
          <w:color w:val="auto"/>
          <w:spacing w:val="-4"/>
          <w:kern w:val="2"/>
          <w:sz w:val="21"/>
          <w:szCs w:val="21"/>
          <w:highlight w:val="none"/>
          <w:lang w:val="en-US" w:eastAsia="zh-CN" w:bidi="ar-SA"/>
        </w:rPr>
      </w:pPr>
      <w:r>
        <w:rPr>
          <w:rFonts w:hint="eastAsia" w:ascii="宋体" w:hAnsi="宋体" w:eastAsia="宋体" w:cs="Times New Roman"/>
          <w:color w:val="auto"/>
          <w:spacing w:val="-4"/>
          <w:kern w:val="2"/>
          <w:sz w:val="21"/>
          <w:szCs w:val="21"/>
          <w:highlight w:val="none"/>
          <w:lang w:val="en-US" w:eastAsia="zh-CN" w:bidi="ar-SA"/>
        </w:rPr>
        <w:t>招标项目名称：</w:t>
      </w:r>
      <w:r>
        <w:rPr>
          <w:rFonts w:hint="eastAsia" w:ascii="宋体" w:hAnsi="宋体" w:eastAsia="宋体" w:cs="Times New Roman"/>
          <w:color w:val="auto"/>
          <w:spacing w:val="-4"/>
          <w:kern w:val="2"/>
          <w:sz w:val="21"/>
          <w:szCs w:val="21"/>
          <w:highlight w:val="none"/>
          <w:u w:val="single"/>
          <w:lang w:val="en-US" w:eastAsia="zh-CN" w:bidi="ar-SA"/>
        </w:rPr>
        <w:t xml:space="preserve">                         </w:t>
      </w:r>
      <w:r>
        <w:rPr>
          <w:rFonts w:hint="eastAsia" w:ascii="宋体" w:hAnsi="宋体" w:eastAsia="宋体" w:cs="Times New Roman"/>
          <w:color w:val="auto"/>
          <w:spacing w:val="-4"/>
          <w:kern w:val="2"/>
          <w:sz w:val="21"/>
          <w:szCs w:val="21"/>
          <w:highlight w:val="none"/>
          <w:lang w:val="en-US" w:eastAsia="zh-CN" w:bidi="ar-SA"/>
        </w:rPr>
        <w:t xml:space="preserve">     招标编号：</w:t>
      </w:r>
      <w:r>
        <w:rPr>
          <w:rFonts w:hint="eastAsia" w:ascii="宋体" w:hAnsi="宋体" w:eastAsia="宋体" w:cs="Times New Roman"/>
          <w:color w:val="auto"/>
          <w:spacing w:val="-4"/>
          <w:kern w:val="2"/>
          <w:sz w:val="21"/>
          <w:szCs w:val="21"/>
          <w:highlight w:val="none"/>
          <w:u w:val="single"/>
          <w:lang w:val="en-US" w:eastAsia="zh-CN" w:bidi="ar-SA"/>
        </w:rPr>
        <w:t xml:space="preserve">                 </w:t>
      </w:r>
    </w:p>
    <w:p>
      <w:pPr>
        <w:widowControl w:val="0"/>
        <w:spacing w:line="300" w:lineRule="exact"/>
        <w:ind w:firstLine="404" w:firstLineChars="200"/>
        <w:jc w:val="both"/>
        <w:rPr>
          <w:rFonts w:hint="eastAsia" w:ascii="宋体" w:hAnsi="宋体" w:eastAsia="宋体" w:cs="Times New Roman"/>
          <w:color w:val="auto"/>
          <w:spacing w:val="-4"/>
          <w:kern w:val="2"/>
          <w:sz w:val="21"/>
          <w:szCs w:val="21"/>
          <w:highlight w:val="none"/>
          <w:u w:val="single"/>
          <w:lang w:val="en-US" w:eastAsia="zh-CN" w:bidi="ar-SA"/>
        </w:rPr>
      </w:pPr>
    </w:p>
    <w:p>
      <w:pPr>
        <w:widowControl w:val="0"/>
        <w:spacing w:line="300" w:lineRule="exact"/>
        <w:ind w:firstLine="404" w:firstLineChars="200"/>
        <w:jc w:val="both"/>
        <w:rPr>
          <w:rFonts w:hint="eastAsia" w:ascii="宋体" w:hAnsi="宋体" w:eastAsia="宋体" w:cs="Times New Roman"/>
          <w:color w:val="auto"/>
          <w:spacing w:val="-4"/>
          <w:kern w:val="2"/>
          <w:sz w:val="21"/>
          <w:szCs w:val="21"/>
          <w:highlight w:val="none"/>
          <w:u w:val="single"/>
          <w:lang w:val="en-US" w:eastAsia="zh-CN" w:bidi="ar-SA"/>
        </w:rPr>
      </w:pPr>
    </w:p>
    <w:p>
      <w:pPr>
        <w:widowControl w:val="0"/>
        <w:spacing w:line="300" w:lineRule="exact"/>
        <w:ind w:firstLine="0"/>
        <w:jc w:val="both"/>
        <w:rPr>
          <w:rFonts w:hint="eastAsia" w:ascii="宋体" w:hAnsi="宋体" w:eastAsia="宋体" w:cs="Times New Roman"/>
          <w:color w:val="auto"/>
          <w:spacing w:val="-4"/>
          <w:kern w:val="2"/>
          <w:sz w:val="21"/>
          <w:szCs w:val="21"/>
          <w:highlight w:val="none"/>
          <w:lang w:val="en-US" w:eastAsia="zh-CN" w:bidi="ar-SA"/>
        </w:rPr>
      </w:pPr>
      <w:r>
        <w:rPr>
          <w:rFonts w:hint="eastAsia" w:ascii="宋体" w:hAnsi="宋体" w:eastAsia="宋体" w:cs="Times New Roman"/>
          <w:color w:val="auto"/>
          <w:spacing w:val="-4"/>
          <w:kern w:val="2"/>
          <w:sz w:val="21"/>
          <w:szCs w:val="21"/>
          <w:highlight w:val="none"/>
          <w:lang w:val="en-US" w:eastAsia="zh-CN" w:bidi="ar-SA"/>
        </w:rPr>
        <w:t>子包：                                      单位：元（人民币）</w:t>
      </w:r>
    </w:p>
    <w:tbl>
      <w:tblPr>
        <w:tblStyle w:val="39"/>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446"/>
        <w:gridCol w:w="3283"/>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ind w:firstLine="0"/>
              <w:jc w:val="center"/>
              <w:rPr>
                <w:rFonts w:hint="eastAsia" w:ascii="宋体" w:hAnsi="宋体" w:eastAsia="宋体" w:cs="Times New Roman"/>
                <w:color w:val="auto"/>
                <w:spacing w:val="-4"/>
                <w:kern w:val="2"/>
                <w:sz w:val="21"/>
                <w:szCs w:val="21"/>
                <w:highlight w:val="none"/>
                <w:lang w:val="en-US" w:eastAsia="zh-CN" w:bidi="ar-SA"/>
              </w:rPr>
            </w:pPr>
          </w:p>
          <w:p>
            <w:pPr>
              <w:widowControl w:val="0"/>
              <w:spacing w:line="300" w:lineRule="exact"/>
              <w:ind w:firstLine="0"/>
              <w:jc w:val="center"/>
              <w:rPr>
                <w:rFonts w:hint="eastAsia" w:ascii="宋体" w:hAnsi="宋体" w:eastAsia="宋体" w:cs="Times New Roman"/>
                <w:color w:val="auto"/>
                <w:spacing w:val="-4"/>
                <w:kern w:val="2"/>
                <w:sz w:val="21"/>
                <w:szCs w:val="21"/>
                <w:highlight w:val="none"/>
                <w:lang w:val="en-US" w:eastAsia="zh-CN" w:bidi="ar-SA"/>
              </w:rPr>
            </w:pPr>
            <w:r>
              <w:rPr>
                <w:rFonts w:hint="eastAsia" w:ascii="宋体" w:hAnsi="宋体" w:eastAsia="宋体" w:cs="Times New Roman"/>
                <w:color w:val="auto"/>
                <w:spacing w:val="-4"/>
                <w:kern w:val="2"/>
                <w:sz w:val="21"/>
                <w:szCs w:val="21"/>
                <w:highlight w:val="none"/>
                <w:lang w:val="en-US" w:eastAsia="zh-CN" w:bidi="ar-SA"/>
              </w:rPr>
              <w:t>子包</w:t>
            </w:r>
          </w:p>
          <w:p>
            <w:pPr>
              <w:widowControl w:val="0"/>
              <w:spacing w:line="300" w:lineRule="exact"/>
              <w:ind w:firstLine="0"/>
              <w:jc w:val="center"/>
              <w:rPr>
                <w:rFonts w:ascii="宋体" w:hAnsi="宋体" w:eastAsia="宋体" w:cs="Times New Roman"/>
                <w:color w:val="auto"/>
                <w:spacing w:val="-4"/>
                <w:kern w:val="2"/>
                <w:sz w:val="21"/>
                <w:szCs w:val="21"/>
                <w:highlight w:val="none"/>
                <w:lang w:val="en-US" w:eastAsia="zh-CN" w:bidi="ar-SA"/>
              </w:rPr>
            </w:pPr>
          </w:p>
        </w:tc>
        <w:tc>
          <w:tcPr>
            <w:tcW w:w="244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ind w:firstLine="0"/>
              <w:jc w:val="center"/>
              <w:rPr>
                <w:rFonts w:ascii="宋体" w:hAnsi="宋体" w:eastAsia="宋体" w:cs="Times New Roman"/>
                <w:color w:val="auto"/>
                <w:spacing w:val="-4"/>
                <w:kern w:val="2"/>
                <w:sz w:val="21"/>
                <w:szCs w:val="21"/>
                <w:highlight w:val="none"/>
                <w:lang w:val="en-US" w:eastAsia="zh-CN" w:bidi="ar-SA"/>
              </w:rPr>
            </w:pPr>
            <w:r>
              <w:rPr>
                <w:rFonts w:hint="eastAsia" w:ascii="宋体" w:hAnsi="宋体" w:eastAsia="宋体" w:cs="Times New Roman"/>
                <w:color w:val="auto"/>
                <w:spacing w:val="-4"/>
                <w:kern w:val="2"/>
                <w:sz w:val="21"/>
                <w:szCs w:val="21"/>
                <w:highlight w:val="none"/>
                <w:lang w:val="en-US" w:eastAsia="zh-CN" w:bidi="ar-SA"/>
              </w:rPr>
              <w:t>项目名称</w:t>
            </w:r>
          </w:p>
        </w:tc>
        <w:tc>
          <w:tcPr>
            <w:tcW w:w="328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ind w:firstLine="0"/>
              <w:jc w:val="center"/>
              <w:rPr>
                <w:rFonts w:ascii="宋体" w:hAnsi="宋体" w:eastAsia="宋体" w:cs="Times New Roman"/>
                <w:color w:val="auto"/>
                <w:spacing w:val="-4"/>
                <w:kern w:val="2"/>
                <w:sz w:val="21"/>
                <w:szCs w:val="21"/>
                <w:highlight w:val="none"/>
                <w:lang w:val="en-US" w:eastAsia="zh-CN" w:bidi="ar-SA"/>
              </w:rPr>
            </w:pPr>
            <w:r>
              <w:rPr>
                <w:rFonts w:hint="eastAsia" w:ascii="宋体" w:hAnsi="宋体" w:eastAsia="宋体" w:cs="Times New Roman"/>
                <w:color w:val="auto"/>
                <w:spacing w:val="-4"/>
                <w:kern w:val="2"/>
                <w:sz w:val="21"/>
                <w:szCs w:val="21"/>
                <w:highlight w:val="none"/>
                <w:lang w:val="en-US" w:eastAsia="zh-CN" w:bidi="ar-SA"/>
              </w:rPr>
              <w:t>服务期</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ind w:firstLine="0"/>
              <w:jc w:val="center"/>
              <w:rPr>
                <w:rFonts w:hint="eastAsia" w:ascii="宋体" w:hAnsi="宋体" w:eastAsia="宋体" w:cs="Times New Roman"/>
                <w:color w:val="auto"/>
                <w:spacing w:val="-4"/>
                <w:kern w:val="2"/>
                <w:sz w:val="21"/>
                <w:szCs w:val="21"/>
                <w:highlight w:val="none"/>
                <w:lang w:val="en-US" w:eastAsia="zh-CN" w:bidi="ar-SA"/>
              </w:rPr>
            </w:pPr>
            <w:r>
              <w:rPr>
                <w:rFonts w:hint="eastAsia" w:ascii="宋体" w:hAnsi="宋体" w:eastAsia="宋体" w:cs="Times New Roman"/>
                <w:color w:val="auto"/>
                <w:spacing w:val="-4"/>
                <w:kern w:val="2"/>
                <w:sz w:val="21"/>
                <w:szCs w:val="21"/>
                <w:highlight w:val="none"/>
                <w:lang w:val="en-US" w:eastAsia="zh-CN" w:bidi="ar-SA"/>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7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宋体" w:hAnsi="宋体" w:eastAsia="宋体" w:cs="Times New Roman"/>
                <w:color w:val="auto"/>
                <w:spacing w:val="-4"/>
                <w:kern w:val="2"/>
                <w:sz w:val="21"/>
                <w:szCs w:val="21"/>
                <w:highlight w:val="none"/>
                <w:lang w:val="en-US" w:eastAsia="zh-CN" w:bidi="ar-SA"/>
              </w:rPr>
            </w:pPr>
            <w:r>
              <w:rPr>
                <w:rFonts w:hint="eastAsia" w:ascii="宋体" w:hAnsi="宋体" w:eastAsia="宋体" w:cs="Times New Roman"/>
                <w:color w:val="auto"/>
                <w:spacing w:val="-4"/>
                <w:kern w:val="2"/>
                <w:sz w:val="21"/>
                <w:szCs w:val="21"/>
                <w:highlight w:val="none"/>
                <w:lang w:val="en-US" w:eastAsia="zh-CN" w:bidi="ar-SA"/>
              </w:rPr>
              <w:t>1</w:t>
            </w:r>
          </w:p>
        </w:tc>
        <w:tc>
          <w:tcPr>
            <w:tcW w:w="2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ascii="宋体" w:hAnsi="宋体" w:eastAsia="宋体" w:cs="Times New Roman"/>
                <w:color w:val="auto"/>
                <w:spacing w:val="-4"/>
                <w:kern w:val="2"/>
                <w:sz w:val="21"/>
                <w:szCs w:val="21"/>
                <w:highlight w:val="none"/>
                <w:lang w:val="en-US" w:eastAsia="zh-CN" w:bidi="ar-SA"/>
              </w:rPr>
            </w:pPr>
            <w:r>
              <w:rPr>
                <w:rFonts w:hint="eastAsia" w:ascii="宋体" w:hAnsi="宋体" w:eastAsia="宋体" w:cs="Times New Roman"/>
                <w:color w:val="auto"/>
                <w:spacing w:val="-4"/>
                <w:kern w:val="2"/>
                <w:sz w:val="21"/>
                <w:szCs w:val="21"/>
                <w:highlight w:val="none"/>
                <w:lang w:val="en-US" w:eastAsia="zh-CN" w:bidi="ar-SA"/>
              </w:rPr>
              <w:t>下属学校安保服务项目</w:t>
            </w:r>
          </w:p>
        </w:tc>
        <w:tc>
          <w:tcPr>
            <w:tcW w:w="328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宋体" w:eastAsia="宋体" w:cs="Times New Roman"/>
                <w:color w:val="auto"/>
                <w:sz w:val="21"/>
                <w:szCs w:val="21"/>
                <w:highlight w:val="none"/>
                <w:lang w:val="en-US" w:eastAsia="zh-CN"/>
              </w:rPr>
            </w:pPr>
            <w:r>
              <w:rPr>
                <w:rFonts w:hint="eastAsia" w:ascii="Times New Roman" w:hAnsi="宋体" w:eastAsia="宋体" w:cs="Times New Roman"/>
                <w:color w:val="auto"/>
                <w:sz w:val="21"/>
                <w:szCs w:val="21"/>
                <w:highlight w:val="none"/>
                <w:lang w:val="en-US" w:eastAsia="zh-CN"/>
              </w:rPr>
              <w:t>三年，合同一年一签，一年结束后，经考核，如甲方满意，双方协商一致同意后续签第二年服务合同。</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ascii="宋体" w:hAnsi="宋体" w:eastAsia="宋体" w:cs="Times New Roman"/>
                <w:color w:val="auto"/>
                <w:spacing w:val="-4"/>
                <w:kern w:val="2"/>
                <w:sz w:val="21"/>
                <w:szCs w:val="21"/>
                <w:highlight w:val="none"/>
                <w:lang w:val="en-US" w:eastAsia="zh-CN" w:bidi="ar-SA"/>
              </w:rPr>
            </w:pPr>
            <w:r>
              <w:rPr>
                <w:rFonts w:hint="eastAsia" w:ascii="宋体" w:hAnsi="宋体" w:eastAsia="宋体" w:cs="Times New Roman"/>
                <w:color w:val="auto"/>
                <w:spacing w:val="-4"/>
                <w:kern w:val="2"/>
                <w:sz w:val="21"/>
                <w:szCs w:val="21"/>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8850"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ind w:firstLine="0"/>
              <w:jc w:val="both"/>
              <w:rPr>
                <w:rFonts w:ascii="宋体" w:hAnsi="宋体" w:eastAsia="宋体" w:cs="Times New Roman"/>
                <w:color w:val="auto"/>
                <w:spacing w:val="-4"/>
                <w:kern w:val="2"/>
                <w:sz w:val="21"/>
                <w:szCs w:val="21"/>
                <w:highlight w:val="none"/>
                <w:lang w:val="en-US" w:eastAsia="zh-CN" w:bidi="ar-SA"/>
              </w:rPr>
            </w:pPr>
            <w:r>
              <w:rPr>
                <w:rFonts w:hint="eastAsia" w:ascii="宋体" w:hAnsi="宋体" w:eastAsia="宋体" w:cs="Times New Roman"/>
                <w:color w:val="auto"/>
                <w:spacing w:val="-4"/>
                <w:kern w:val="2"/>
                <w:sz w:val="21"/>
                <w:szCs w:val="21"/>
                <w:highlight w:val="none"/>
                <w:lang w:val="en-US" w:eastAsia="zh-CN" w:bidi="ar-SA"/>
              </w:rPr>
              <w:t>投标报价（大写）：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ind w:firstLine="0"/>
              <w:jc w:val="center"/>
              <w:rPr>
                <w:rFonts w:ascii="宋体" w:hAnsi="宋体" w:eastAsia="宋体" w:cs="Times New Roman"/>
                <w:color w:val="auto"/>
                <w:spacing w:val="-4"/>
                <w:kern w:val="2"/>
                <w:sz w:val="21"/>
                <w:szCs w:val="21"/>
                <w:highlight w:val="none"/>
                <w:lang w:val="en-US" w:eastAsia="zh-CN" w:bidi="ar-SA"/>
              </w:rPr>
            </w:pPr>
          </w:p>
          <w:p>
            <w:pPr>
              <w:widowControl w:val="0"/>
              <w:spacing w:line="240" w:lineRule="auto"/>
              <w:ind w:firstLine="0"/>
              <w:jc w:val="center"/>
              <w:rPr>
                <w:rFonts w:hint="eastAsia" w:ascii="宋体" w:hAnsi="宋体" w:eastAsia="宋体" w:cs="Times New Roman"/>
                <w:color w:val="auto"/>
                <w:spacing w:val="-4"/>
                <w:kern w:val="2"/>
                <w:sz w:val="21"/>
                <w:szCs w:val="21"/>
                <w:highlight w:val="none"/>
                <w:lang w:val="en-US" w:eastAsia="zh-CN" w:bidi="ar-SA"/>
              </w:rPr>
            </w:pPr>
            <w:r>
              <w:rPr>
                <w:rFonts w:hint="eastAsia" w:ascii="宋体" w:hAnsi="宋体" w:eastAsia="宋体" w:cs="Times New Roman"/>
                <w:color w:val="auto"/>
                <w:spacing w:val="-4"/>
                <w:kern w:val="2"/>
                <w:sz w:val="21"/>
                <w:szCs w:val="21"/>
                <w:highlight w:val="none"/>
                <w:lang w:val="en-US" w:eastAsia="zh-CN" w:bidi="ar-SA"/>
              </w:rPr>
              <w:t>投标声明</w:t>
            </w:r>
          </w:p>
          <w:p>
            <w:pPr>
              <w:widowControl w:val="0"/>
              <w:spacing w:line="240" w:lineRule="auto"/>
              <w:ind w:firstLine="0"/>
              <w:jc w:val="center"/>
              <w:rPr>
                <w:rFonts w:ascii="宋体" w:hAnsi="宋体" w:eastAsia="宋体" w:cs="Times New Roman"/>
                <w:color w:val="auto"/>
                <w:spacing w:val="-4"/>
                <w:kern w:val="2"/>
                <w:sz w:val="21"/>
                <w:szCs w:val="21"/>
                <w:highlight w:val="none"/>
                <w:lang w:val="en-US" w:eastAsia="zh-CN" w:bidi="ar-SA"/>
              </w:rPr>
            </w:pPr>
          </w:p>
        </w:tc>
        <w:tc>
          <w:tcPr>
            <w:tcW w:w="8149" w:type="dxa"/>
            <w:gridSpan w:val="3"/>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eastAsia="宋体" w:cs="Times New Roman"/>
                <w:color w:val="auto"/>
                <w:szCs w:val="21"/>
                <w:highlight w:val="none"/>
              </w:rPr>
            </w:pPr>
          </w:p>
          <w:p>
            <w:pPr>
              <w:widowControl/>
              <w:jc w:val="left"/>
              <w:rPr>
                <w:rFonts w:hint="eastAsia" w:ascii="宋体" w:hAnsi="宋体" w:eastAsia="宋体" w:cs="Times New Roman"/>
                <w:color w:val="auto"/>
                <w:szCs w:val="21"/>
                <w:highlight w:val="none"/>
              </w:rPr>
            </w:pPr>
          </w:p>
          <w:p>
            <w:pPr>
              <w:widowControl/>
              <w:jc w:val="left"/>
              <w:rPr>
                <w:rFonts w:hint="eastAsia" w:ascii="宋体" w:hAnsi="宋体" w:eastAsia="宋体" w:cs="Times New Roman"/>
                <w:color w:val="auto"/>
                <w:szCs w:val="21"/>
                <w:highlight w:val="none"/>
              </w:rPr>
            </w:pPr>
          </w:p>
          <w:p>
            <w:pPr>
              <w:widowControl/>
              <w:jc w:val="left"/>
              <w:rPr>
                <w:rFonts w:hint="eastAsia" w:ascii="宋体" w:hAnsi="宋体" w:eastAsia="宋体" w:cs="Times New Roman"/>
                <w:color w:val="auto"/>
                <w:szCs w:val="21"/>
                <w:highlight w:val="none"/>
              </w:rPr>
            </w:pPr>
          </w:p>
          <w:p>
            <w:pPr>
              <w:widowControl/>
              <w:jc w:val="left"/>
              <w:rPr>
                <w:rFonts w:hint="eastAsia" w:ascii="宋体" w:hAnsi="宋体" w:eastAsia="宋体" w:cs="Times New Roman"/>
                <w:color w:val="auto"/>
                <w:szCs w:val="21"/>
                <w:highlight w:val="none"/>
              </w:rPr>
            </w:pPr>
          </w:p>
          <w:p>
            <w:pPr>
              <w:widowControl w:val="0"/>
              <w:spacing w:line="240" w:lineRule="auto"/>
              <w:ind w:firstLine="0"/>
              <w:jc w:val="both"/>
              <w:rPr>
                <w:rFonts w:ascii="宋体" w:hAnsi="宋体" w:eastAsia="宋体" w:cs="Times New Roman"/>
                <w:color w:val="auto"/>
                <w:spacing w:val="-4"/>
                <w:kern w:val="2"/>
                <w:sz w:val="21"/>
                <w:szCs w:val="21"/>
                <w:highlight w:val="none"/>
                <w:lang w:val="en-US" w:eastAsia="zh-CN" w:bidi="ar-SA"/>
              </w:rPr>
            </w:pPr>
          </w:p>
        </w:tc>
      </w:tr>
    </w:tbl>
    <w:p>
      <w:pPr>
        <w:snapToGrid w:val="0"/>
        <w:spacing w:before="50" w:after="5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注</w:t>
      </w:r>
      <w:r>
        <w:rPr>
          <w:rFonts w:ascii="宋体" w:hAnsi="宋体" w:eastAsia="宋体" w:cs="Times New Roman"/>
          <w:color w:val="auto"/>
          <w:szCs w:val="21"/>
          <w:highlight w:val="none"/>
        </w:rPr>
        <w:t>: 1</w:t>
      </w:r>
      <w:r>
        <w:rPr>
          <w:rFonts w:hint="eastAsia" w:ascii="宋体" w:hAnsi="宋体" w:eastAsia="宋体" w:cs="Times New Roman"/>
          <w:color w:val="auto"/>
          <w:szCs w:val="21"/>
          <w:highlight w:val="none"/>
        </w:rPr>
        <w:t>、报价一经涂改，应在涂改处加盖单位公章或者由法定代表人或授权代表签字或盖章，否则其投标作无效标处理。</w:t>
      </w:r>
    </w:p>
    <w:p>
      <w:pPr>
        <w:numPr>
          <w:ilvl w:val="0"/>
          <w:numId w:val="0"/>
        </w:numPr>
        <w:snapToGrid w:val="0"/>
        <w:spacing w:before="50" w:after="50"/>
        <w:ind w:left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以上投标报价应与“投标报价明细表”中的“投标报价（总价）”相一致。</w:t>
      </w:r>
    </w:p>
    <w:p>
      <w:pPr>
        <w:numPr>
          <w:ilvl w:val="0"/>
          <w:numId w:val="0"/>
        </w:numPr>
        <w:snapToGrid w:val="0"/>
        <w:spacing w:before="50" w:after="50"/>
        <w:ind w:left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投标文件中开标一览表内容与政采云系统“开标一览表”中录入的内容不一致的，以投标文件中开标一览表为准；</w:t>
      </w:r>
    </w:p>
    <w:p>
      <w:pPr>
        <w:snapToGrid w:val="0"/>
        <w:spacing w:before="50" w:after="50"/>
        <w:ind w:left="-21" w:leftChars="-72" w:right="-817" w:rightChars="-389" w:hanging="130" w:hangingChars="62"/>
        <w:rPr>
          <w:rFonts w:hint="eastAsia" w:ascii="宋体" w:hAnsi="宋体" w:eastAsia="宋体" w:cs="Times New Roman"/>
          <w:color w:val="auto"/>
          <w:szCs w:val="21"/>
          <w:highlight w:val="none"/>
        </w:rPr>
      </w:pPr>
    </w:p>
    <w:p>
      <w:pPr>
        <w:spacing w:line="400" w:lineRule="atLeast"/>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投标人公章：</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 xml:space="preserve">          </w:t>
      </w:r>
    </w:p>
    <w:p>
      <w:pPr>
        <w:spacing w:line="400" w:lineRule="atLeast"/>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法定代表人或授权代表（签字）：</w:t>
      </w:r>
      <w:r>
        <w:rPr>
          <w:rFonts w:ascii="宋体" w:hAnsi="宋体" w:eastAsia="宋体" w:cs="Times New Roman"/>
          <w:color w:val="auto"/>
          <w:szCs w:val="21"/>
          <w:highlight w:val="none"/>
          <w:u w:val="single"/>
        </w:rPr>
        <w:t xml:space="preserve">                  </w:t>
      </w:r>
    </w:p>
    <w:p>
      <w:pPr>
        <w:spacing w:line="400" w:lineRule="atLeast"/>
        <w:rPr>
          <w:rFonts w:hint="eastAsia" w:ascii="宋体" w:hAnsi="宋体" w:eastAsia="宋体" w:cs="Times New Roman"/>
          <w:color w:val="auto"/>
          <w:szCs w:val="21"/>
          <w:highlight w:val="none"/>
          <w:u w:val="single"/>
        </w:rPr>
      </w:pPr>
      <w:r>
        <w:rPr>
          <w:rFonts w:hint="eastAsia" w:ascii="宋体" w:hAnsi="宋体" w:eastAsia="宋体" w:cs="Times New Roman"/>
          <w:color w:val="auto"/>
          <w:szCs w:val="21"/>
          <w:highlight w:val="none"/>
        </w:rPr>
        <w:t>日            期：</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p>
    <w:p>
      <w:pPr>
        <w:widowControl w:val="0"/>
        <w:snapToGrid w:val="0"/>
        <w:spacing w:before="295" w:beforeLines="0" w:after="295" w:afterLines="0" w:line="240" w:lineRule="auto"/>
        <w:jc w:val="both"/>
        <w:rPr>
          <w:rFonts w:hint="eastAsia" w:ascii="宋体" w:hAnsi="宋体" w:eastAsia="宋体" w:cs="Times New Roman"/>
          <w:color w:val="auto"/>
          <w:kern w:val="2"/>
          <w:sz w:val="21"/>
          <w:szCs w:val="21"/>
          <w:highlight w:val="none"/>
          <w:lang w:val="en-US" w:eastAsia="zh-CN" w:bidi="ar-SA"/>
        </w:rPr>
      </w:pPr>
    </w:p>
    <w:p>
      <w:pPr>
        <w:widowControl w:val="0"/>
        <w:snapToGrid w:val="0"/>
        <w:spacing w:before="295" w:beforeLines="0" w:after="295" w:afterLines="0" w:line="240" w:lineRule="auto"/>
        <w:jc w:val="both"/>
        <w:rPr>
          <w:rFonts w:hint="eastAsia" w:ascii="宋体" w:hAnsi="宋体" w:eastAsia="宋体" w:cs="Times New Roman"/>
          <w:color w:val="auto"/>
          <w:kern w:val="2"/>
          <w:sz w:val="21"/>
          <w:szCs w:val="21"/>
          <w:highlight w:val="none"/>
          <w:lang w:val="en-US" w:eastAsia="zh-CN" w:bidi="ar-SA"/>
        </w:rPr>
      </w:pPr>
    </w:p>
    <w:p>
      <w:pPr>
        <w:widowControl w:val="0"/>
        <w:snapToGrid w:val="0"/>
        <w:spacing w:before="295" w:beforeLines="0" w:after="295" w:afterLines="0" w:line="240" w:lineRule="auto"/>
        <w:jc w:val="both"/>
        <w:rPr>
          <w:rFonts w:hint="eastAsia" w:ascii="宋体" w:hAnsi="宋体" w:eastAsia="宋体" w:cs="Times New Roman"/>
          <w:color w:val="auto"/>
          <w:kern w:val="2"/>
          <w:sz w:val="21"/>
          <w:szCs w:val="21"/>
          <w:highlight w:val="none"/>
          <w:lang w:val="en-US" w:eastAsia="zh-CN" w:bidi="ar-SA"/>
        </w:rPr>
      </w:pPr>
    </w:p>
    <w:p>
      <w:pPr>
        <w:widowControl w:val="0"/>
        <w:snapToGrid w:val="0"/>
        <w:spacing w:before="295" w:beforeLines="0" w:after="295" w:afterLines="0" w:line="240" w:lineRule="auto"/>
        <w:jc w:val="both"/>
        <w:rPr>
          <w:rFonts w:hint="eastAsia" w:ascii="宋体" w:hAnsi="宋体" w:eastAsia="宋体" w:cs="Times New Roman"/>
          <w:color w:val="auto"/>
          <w:kern w:val="2"/>
          <w:sz w:val="21"/>
          <w:szCs w:val="21"/>
          <w:highlight w:val="none"/>
          <w:lang w:val="en-US" w:eastAsia="zh-CN" w:bidi="ar-SA"/>
        </w:rPr>
      </w:pPr>
    </w:p>
    <w:p>
      <w:pPr>
        <w:snapToGrid w:val="0"/>
        <w:spacing w:before="120" w:beforeLines="50" w:after="5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lang w:val="en-US" w:eastAsia="zh-CN"/>
        </w:rPr>
        <w:t>2</w:t>
      </w:r>
      <w:r>
        <w:rPr>
          <w:rFonts w:hint="eastAsia" w:ascii="宋体" w:hAnsi="宋体" w:eastAsia="宋体" w:cs="Times New Roman"/>
          <w:b/>
          <w:color w:val="auto"/>
          <w:szCs w:val="21"/>
          <w:highlight w:val="none"/>
        </w:rPr>
        <w:t>、投标函格式：</w:t>
      </w:r>
    </w:p>
    <w:p>
      <w:pPr>
        <w:snapToGrid w:val="0"/>
        <w:spacing w:before="120" w:beforeLines="50" w:after="50"/>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投</w:t>
      </w:r>
      <w:r>
        <w:rPr>
          <w:rFonts w:ascii="宋体" w:hAnsi="宋体" w:eastAsia="宋体" w:cs="Times New Roman"/>
          <w:b/>
          <w:color w:val="auto"/>
          <w:szCs w:val="21"/>
          <w:highlight w:val="none"/>
        </w:rPr>
        <w:t xml:space="preserve"> </w:t>
      </w:r>
      <w:r>
        <w:rPr>
          <w:rFonts w:hint="eastAsia" w:ascii="宋体" w:hAnsi="宋体" w:eastAsia="宋体" w:cs="Times New Roman"/>
          <w:b/>
          <w:color w:val="auto"/>
          <w:szCs w:val="21"/>
          <w:highlight w:val="none"/>
        </w:rPr>
        <w:t>标</w:t>
      </w:r>
      <w:r>
        <w:rPr>
          <w:rFonts w:ascii="宋体" w:hAnsi="宋体" w:eastAsia="宋体" w:cs="Times New Roman"/>
          <w:b/>
          <w:color w:val="auto"/>
          <w:szCs w:val="21"/>
          <w:highlight w:val="none"/>
        </w:rPr>
        <w:t xml:space="preserve"> </w:t>
      </w:r>
      <w:r>
        <w:rPr>
          <w:rFonts w:hint="eastAsia" w:ascii="宋体" w:hAnsi="宋体" w:eastAsia="宋体" w:cs="Times New Roman"/>
          <w:b/>
          <w:color w:val="auto"/>
          <w:szCs w:val="21"/>
          <w:highlight w:val="none"/>
        </w:rPr>
        <w:t>函</w:t>
      </w:r>
    </w:p>
    <w:p>
      <w:pPr>
        <w:widowControl w:val="0"/>
        <w:spacing w:line="360" w:lineRule="exact"/>
        <w:ind w:firstLine="0"/>
        <w:jc w:val="both"/>
        <w:rPr>
          <w:rFonts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u w:val="single"/>
          <w:lang w:val="en-US" w:eastAsia="zh-CN" w:bidi="ar-SA"/>
        </w:rPr>
        <w:t>致宁波市国际招标有限公司</w:t>
      </w:r>
      <w:r>
        <w:rPr>
          <w:rFonts w:hint="eastAsia" w:ascii="宋体" w:hAnsi="Courier New" w:eastAsia="宋体" w:cs="Times New Roman"/>
          <w:color w:val="auto"/>
          <w:spacing w:val="-4"/>
          <w:kern w:val="2"/>
          <w:sz w:val="21"/>
          <w:szCs w:val="21"/>
          <w:highlight w:val="none"/>
          <w:lang w:val="en-US" w:eastAsia="zh-CN" w:bidi="ar-SA"/>
        </w:rPr>
        <w:t>：</w:t>
      </w:r>
    </w:p>
    <w:p>
      <w:pPr>
        <w:widowControl w:val="0"/>
        <w:spacing w:line="360" w:lineRule="exact"/>
        <w:ind w:firstLine="0"/>
        <w:jc w:val="both"/>
        <w:rPr>
          <w:rFonts w:hint="eastAsia"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 xml:space="preserve">         </w:t>
      </w:r>
      <w:r>
        <w:rPr>
          <w:rFonts w:hint="eastAsia" w:ascii="宋体" w:hAnsi="Courier New" w:eastAsia="宋体" w:cs="Times New Roman"/>
          <w:color w:val="auto"/>
          <w:spacing w:val="-4"/>
          <w:kern w:val="2"/>
          <w:sz w:val="21"/>
          <w:szCs w:val="21"/>
          <w:highlight w:val="none"/>
          <w:u w:val="single"/>
          <w:lang w:val="en-US" w:eastAsia="zh-CN" w:bidi="ar-SA"/>
        </w:rPr>
        <w:t xml:space="preserve">        </w:t>
      </w:r>
      <w:r>
        <w:rPr>
          <w:rFonts w:hint="eastAsia" w:ascii="宋体" w:hAnsi="Courier New" w:eastAsia="宋体" w:cs="Times New Roman"/>
          <w:i/>
          <w:color w:val="auto"/>
          <w:spacing w:val="-4"/>
          <w:kern w:val="2"/>
          <w:sz w:val="21"/>
          <w:szCs w:val="21"/>
          <w:highlight w:val="none"/>
          <w:u w:val="single"/>
          <w:lang w:val="en-US" w:eastAsia="zh-CN" w:bidi="ar-SA"/>
        </w:rPr>
        <w:t>（投标人全称）</w:t>
      </w:r>
      <w:r>
        <w:rPr>
          <w:rFonts w:hint="eastAsia" w:ascii="宋体" w:hAnsi="Courier New" w:eastAsia="宋体" w:cs="Times New Roman"/>
          <w:color w:val="auto"/>
          <w:spacing w:val="-4"/>
          <w:kern w:val="2"/>
          <w:sz w:val="21"/>
          <w:szCs w:val="21"/>
          <w:highlight w:val="none"/>
          <w:u w:val="single"/>
          <w:lang w:val="en-US" w:eastAsia="zh-CN" w:bidi="ar-SA"/>
        </w:rPr>
        <w:t xml:space="preserve">    </w:t>
      </w:r>
      <w:r>
        <w:rPr>
          <w:rFonts w:hint="eastAsia" w:ascii="宋体" w:hAnsi="Courier New" w:eastAsia="宋体" w:cs="Times New Roman"/>
          <w:color w:val="auto"/>
          <w:spacing w:val="-4"/>
          <w:kern w:val="2"/>
          <w:sz w:val="21"/>
          <w:szCs w:val="21"/>
          <w:highlight w:val="none"/>
          <w:lang w:val="en-US" w:eastAsia="zh-CN" w:bidi="ar-SA"/>
        </w:rPr>
        <w:t>授权</w:t>
      </w:r>
      <w:r>
        <w:rPr>
          <w:rFonts w:hint="eastAsia" w:ascii="宋体" w:hAnsi="Courier New" w:eastAsia="宋体" w:cs="Times New Roman"/>
          <w:color w:val="auto"/>
          <w:spacing w:val="-4"/>
          <w:kern w:val="2"/>
          <w:sz w:val="21"/>
          <w:szCs w:val="21"/>
          <w:highlight w:val="none"/>
          <w:u w:val="single"/>
          <w:lang w:val="en-US" w:eastAsia="zh-CN" w:bidi="ar-SA"/>
        </w:rPr>
        <w:t xml:space="preserve"> </w:t>
      </w:r>
      <w:r>
        <w:rPr>
          <w:rFonts w:hint="eastAsia" w:ascii="宋体" w:hAnsi="Courier New" w:eastAsia="宋体" w:cs="Times New Roman"/>
          <w:i/>
          <w:color w:val="auto"/>
          <w:spacing w:val="-4"/>
          <w:kern w:val="2"/>
          <w:sz w:val="21"/>
          <w:szCs w:val="21"/>
          <w:highlight w:val="none"/>
          <w:u w:val="single"/>
          <w:lang w:val="en-US" w:eastAsia="zh-CN" w:bidi="ar-SA"/>
        </w:rPr>
        <w:t xml:space="preserve">（全权代表姓名、职务）     </w:t>
      </w:r>
      <w:r>
        <w:rPr>
          <w:rFonts w:hint="eastAsia" w:ascii="宋体" w:hAnsi="Courier New" w:eastAsia="宋体" w:cs="Times New Roman"/>
          <w:color w:val="auto"/>
          <w:spacing w:val="-4"/>
          <w:kern w:val="2"/>
          <w:sz w:val="21"/>
          <w:szCs w:val="21"/>
          <w:highlight w:val="none"/>
          <w:u w:val="single"/>
          <w:lang w:val="en-US" w:eastAsia="zh-CN" w:bidi="ar-SA"/>
        </w:rPr>
        <w:t xml:space="preserve"> </w:t>
      </w:r>
    </w:p>
    <w:p>
      <w:pPr>
        <w:widowControl w:val="0"/>
        <w:spacing w:line="360" w:lineRule="exact"/>
        <w:ind w:firstLine="0"/>
        <w:jc w:val="both"/>
        <w:rPr>
          <w:rFonts w:hint="eastAsia" w:ascii="宋体" w:hAnsi="Courier New" w:eastAsia="宋体" w:cs="Times New Roman"/>
          <w:color w:val="auto"/>
          <w:spacing w:val="-4"/>
          <w:kern w:val="2"/>
          <w:sz w:val="21"/>
          <w:szCs w:val="21"/>
          <w:highlight w:val="none"/>
          <w:u w:val="singl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 xml:space="preserve">为本公司合法代理人，参加贵方组织的 </w:t>
      </w:r>
      <w:r>
        <w:rPr>
          <w:rFonts w:hint="eastAsia" w:ascii="宋体" w:hAnsi="Courier New" w:eastAsia="宋体" w:cs="Times New Roman"/>
          <w:color w:val="auto"/>
          <w:spacing w:val="-4"/>
          <w:kern w:val="2"/>
          <w:sz w:val="21"/>
          <w:szCs w:val="21"/>
          <w:highlight w:val="none"/>
          <w:u w:val="single"/>
          <w:lang w:val="en-US" w:eastAsia="zh-CN" w:bidi="ar-SA"/>
        </w:rPr>
        <w:t xml:space="preserve">         </w:t>
      </w:r>
      <w:r>
        <w:rPr>
          <w:rFonts w:hint="eastAsia" w:ascii="宋体" w:hAnsi="Courier New" w:eastAsia="宋体" w:cs="Times New Roman"/>
          <w:i/>
          <w:color w:val="auto"/>
          <w:spacing w:val="-4"/>
          <w:kern w:val="2"/>
          <w:sz w:val="21"/>
          <w:szCs w:val="21"/>
          <w:highlight w:val="none"/>
          <w:u w:val="single"/>
          <w:lang w:val="en-US" w:eastAsia="zh-CN" w:bidi="ar-SA"/>
        </w:rPr>
        <w:t>（采购编号、采购项目名称）</w:t>
      </w:r>
      <w:r>
        <w:rPr>
          <w:rFonts w:hint="eastAsia" w:ascii="宋体" w:hAnsi="Courier New" w:eastAsia="宋体" w:cs="Times New Roman"/>
          <w:color w:val="auto"/>
          <w:spacing w:val="-4"/>
          <w:kern w:val="2"/>
          <w:sz w:val="21"/>
          <w:szCs w:val="21"/>
          <w:highlight w:val="none"/>
          <w:u w:val="single"/>
          <w:lang w:val="en-US" w:eastAsia="zh-CN" w:bidi="ar-SA"/>
        </w:rPr>
        <w:t xml:space="preserve">      </w:t>
      </w:r>
      <w:r>
        <w:rPr>
          <w:rFonts w:hint="eastAsia" w:ascii="宋体" w:hAnsi="Courier New" w:eastAsia="宋体" w:cs="Times New Roman"/>
          <w:color w:val="auto"/>
          <w:spacing w:val="-4"/>
          <w:kern w:val="2"/>
          <w:sz w:val="21"/>
          <w:szCs w:val="21"/>
          <w:highlight w:val="none"/>
          <w:lang w:val="en-US" w:eastAsia="zh-CN" w:bidi="ar-SA"/>
        </w:rPr>
        <w:t>招投标活动，代表本公司处理招投标活动中的一切事宜，在此：</w:t>
      </w:r>
    </w:p>
    <w:p>
      <w:pPr>
        <w:widowControl w:val="0"/>
        <w:numPr>
          <w:ilvl w:val="0"/>
          <w:numId w:val="12"/>
        </w:numPr>
        <w:tabs>
          <w:tab w:val="left" w:pos="525"/>
        </w:tabs>
        <w:spacing w:line="360" w:lineRule="exact"/>
        <w:ind w:hanging="735"/>
        <w:jc w:val="both"/>
        <w:rPr>
          <w:rFonts w:hint="eastAsia"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提供采购文件中“投标人须知及前附表”规定的全部投标文件：</w:t>
      </w:r>
    </w:p>
    <w:p>
      <w:pPr>
        <w:widowControl w:val="0"/>
        <w:spacing w:line="360" w:lineRule="exact"/>
        <w:ind w:left="481" w:leftChars="229" w:firstLine="101" w:firstLineChars="50"/>
        <w:jc w:val="both"/>
        <w:rPr>
          <w:rFonts w:hint="eastAsia"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投标文件正本</w:t>
      </w:r>
      <w:r>
        <w:rPr>
          <w:rFonts w:hint="eastAsia" w:ascii="宋体" w:hAnsi="Courier New" w:eastAsia="宋体" w:cs="Times New Roman"/>
          <w:color w:val="auto"/>
          <w:spacing w:val="-4"/>
          <w:kern w:val="2"/>
          <w:sz w:val="21"/>
          <w:szCs w:val="21"/>
          <w:highlight w:val="none"/>
          <w:u w:val="single"/>
          <w:lang w:val="en-US" w:eastAsia="zh-CN" w:bidi="ar-SA"/>
        </w:rPr>
        <w:t xml:space="preserve">  </w:t>
      </w:r>
      <w:r>
        <w:rPr>
          <w:rFonts w:hint="eastAsia" w:ascii="宋体" w:hAnsi="Courier New" w:eastAsia="宋体" w:cs="Times New Roman"/>
          <w:color w:val="auto"/>
          <w:spacing w:val="-4"/>
          <w:kern w:val="2"/>
          <w:sz w:val="21"/>
          <w:szCs w:val="21"/>
          <w:highlight w:val="none"/>
          <w:lang w:val="en-US" w:eastAsia="zh-CN" w:bidi="ar-SA"/>
        </w:rPr>
        <w:t>份，副本</w:t>
      </w:r>
      <w:r>
        <w:rPr>
          <w:rFonts w:hint="eastAsia" w:ascii="宋体" w:hAnsi="Courier New" w:eastAsia="宋体" w:cs="Times New Roman"/>
          <w:color w:val="auto"/>
          <w:spacing w:val="-4"/>
          <w:kern w:val="2"/>
          <w:sz w:val="21"/>
          <w:szCs w:val="21"/>
          <w:highlight w:val="none"/>
          <w:u w:val="single"/>
          <w:lang w:val="en-US" w:eastAsia="zh-CN" w:bidi="ar-SA"/>
        </w:rPr>
        <w:t xml:space="preserve">  </w:t>
      </w:r>
      <w:r>
        <w:rPr>
          <w:rFonts w:hint="eastAsia" w:ascii="宋体" w:hAnsi="Courier New" w:eastAsia="宋体" w:cs="Times New Roman"/>
          <w:color w:val="auto"/>
          <w:spacing w:val="-4"/>
          <w:kern w:val="2"/>
          <w:sz w:val="21"/>
          <w:szCs w:val="21"/>
          <w:highlight w:val="none"/>
          <w:lang w:val="en-US" w:eastAsia="zh-CN" w:bidi="ar-SA"/>
        </w:rPr>
        <w:t>份，电子文本</w:t>
      </w:r>
      <w:r>
        <w:rPr>
          <w:rFonts w:hint="eastAsia" w:ascii="宋体" w:hAnsi="Courier New" w:eastAsia="宋体" w:cs="Times New Roman"/>
          <w:color w:val="auto"/>
          <w:spacing w:val="-4"/>
          <w:kern w:val="2"/>
          <w:sz w:val="21"/>
          <w:szCs w:val="21"/>
          <w:highlight w:val="none"/>
          <w:u w:val="single"/>
          <w:lang w:val="en-US" w:eastAsia="zh-CN" w:bidi="ar-SA"/>
        </w:rPr>
        <w:t xml:space="preserve">  </w:t>
      </w:r>
      <w:r>
        <w:rPr>
          <w:rFonts w:hint="eastAsia" w:ascii="宋体" w:hAnsi="Courier New" w:eastAsia="宋体" w:cs="Times New Roman"/>
          <w:color w:val="auto"/>
          <w:spacing w:val="-4"/>
          <w:kern w:val="2"/>
          <w:sz w:val="21"/>
          <w:szCs w:val="21"/>
          <w:highlight w:val="none"/>
          <w:lang w:val="en-US" w:eastAsia="zh-CN" w:bidi="ar-SA"/>
        </w:rPr>
        <w:t>份。</w:t>
      </w:r>
    </w:p>
    <w:p>
      <w:pPr>
        <w:widowControl w:val="0"/>
        <w:numPr>
          <w:ilvl w:val="0"/>
          <w:numId w:val="12"/>
        </w:numPr>
        <w:tabs>
          <w:tab w:val="left" w:pos="525"/>
        </w:tabs>
        <w:spacing w:line="360" w:lineRule="exact"/>
        <w:ind w:hanging="735"/>
        <w:jc w:val="both"/>
        <w:rPr>
          <w:rFonts w:hint="eastAsia"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据此函，签字代表宣布并承诺如下：</w:t>
      </w:r>
    </w:p>
    <w:p>
      <w:pPr>
        <w:widowControl w:val="0"/>
        <w:spacing w:line="360" w:lineRule="exact"/>
        <w:ind w:firstLine="301"/>
        <w:jc w:val="both"/>
        <w:rPr>
          <w:rFonts w:hint="eastAsia"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（1）投标报价为开标一览表载明的投标报价。</w:t>
      </w:r>
    </w:p>
    <w:p>
      <w:pPr>
        <w:widowControl w:val="0"/>
        <w:spacing w:line="360" w:lineRule="exact"/>
        <w:ind w:left="1077" w:leftChars="513" w:firstLine="0"/>
        <w:jc w:val="both"/>
        <w:rPr>
          <w:rFonts w:hint="eastAsia"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本报价已经包含了投标项目应纳的税金及采购文件规定的报价方式应包含的其它费用。本报价在投标有效期内固定不变，并在合同有效期内不受利率波动的影响。</w:t>
      </w:r>
    </w:p>
    <w:p>
      <w:pPr>
        <w:widowControl w:val="0"/>
        <w:spacing w:line="360" w:lineRule="exact"/>
        <w:ind w:firstLine="514"/>
        <w:jc w:val="both"/>
        <w:rPr>
          <w:rFonts w:hint="eastAsia"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（2） 本投标文件自开标之日起</w:t>
      </w:r>
      <w:r>
        <w:rPr>
          <w:rFonts w:hint="eastAsia" w:ascii="宋体" w:hAnsi="Courier New" w:eastAsia="宋体" w:cs="Times New Roman"/>
          <w:color w:val="auto"/>
          <w:spacing w:val="-4"/>
          <w:kern w:val="2"/>
          <w:sz w:val="21"/>
          <w:szCs w:val="21"/>
          <w:highlight w:val="none"/>
          <w:u w:val="single"/>
          <w:lang w:val="en-US" w:eastAsia="zh-CN" w:bidi="ar-SA"/>
        </w:rPr>
        <w:t xml:space="preserve">       </w:t>
      </w:r>
      <w:r>
        <w:rPr>
          <w:rFonts w:hint="eastAsia" w:ascii="宋体" w:hAnsi="Courier New" w:eastAsia="宋体" w:cs="Times New Roman"/>
          <w:color w:val="auto"/>
          <w:spacing w:val="-4"/>
          <w:kern w:val="2"/>
          <w:sz w:val="21"/>
          <w:szCs w:val="21"/>
          <w:highlight w:val="none"/>
          <w:lang w:val="en-US" w:eastAsia="zh-CN" w:bidi="ar-SA"/>
        </w:rPr>
        <w:t>天内有效。</w:t>
      </w:r>
    </w:p>
    <w:p>
      <w:pPr>
        <w:widowControl w:val="0"/>
        <w:spacing w:line="360" w:lineRule="exact"/>
        <w:ind w:left="1087" w:leftChars="229" w:hanging="606" w:hangingChars="300"/>
        <w:jc w:val="both"/>
        <w:rPr>
          <w:rFonts w:hint="eastAsia"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（3） 我们已详细审查全部采购文件及有关的澄清/修改文件(若有)，我们完全理解并同意放弃对这方面提出任何异议的权利。</w:t>
      </w:r>
    </w:p>
    <w:p>
      <w:pPr>
        <w:widowControl w:val="0"/>
        <w:spacing w:line="360" w:lineRule="exact"/>
        <w:ind w:left="480" w:firstLine="0"/>
        <w:jc w:val="both"/>
        <w:rPr>
          <w:rFonts w:hint="eastAsia"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（4） 保证遵守采购文件有关条款规定。</w:t>
      </w:r>
    </w:p>
    <w:p>
      <w:pPr>
        <w:widowControl w:val="0"/>
        <w:numPr>
          <w:ilvl w:val="0"/>
          <w:numId w:val="13"/>
        </w:numPr>
        <w:spacing w:line="360" w:lineRule="exact"/>
        <w:ind w:left="1200" w:hanging="720"/>
        <w:jc w:val="both"/>
        <w:rPr>
          <w:rFonts w:hint="eastAsia" w:ascii="Times New Roman" w:hAnsi="Courier New" w:eastAsia="方正书宋简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保证在中标后忠实地执行与采购人所签署的合同，并承担合同规定的责任义务。</w:t>
      </w:r>
    </w:p>
    <w:p>
      <w:pPr>
        <w:widowControl w:val="0"/>
        <w:numPr>
          <w:ilvl w:val="0"/>
          <w:numId w:val="13"/>
        </w:numPr>
        <w:spacing w:line="360" w:lineRule="exact"/>
        <w:ind w:left="1200" w:hanging="720"/>
        <w:jc w:val="both"/>
        <w:rPr>
          <w:rFonts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widowControl w:val="0"/>
        <w:numPr>
          <w:ilvl w:val="0"/>
          <w:numId w:val="13"/>
        </w:numPr>
        <w:spacing w:line="360" w:lineRule="exact"/>
        <w:ind w:left="1200" w:hanging="720"/>
        <w:jc w:val="both"/>
        <w:rPr>
          <w:rFonts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我们郑重声明：我公司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widowControl w:val="0"/>
        <w:numPr>
          <w:ilvl w:val="0"/>
          <w:numId w:val="12"/>
        </w:numPr>
        <w:tabs>
          <w:tab w:val="left" w:pos="525"/>
        </w:tabs>
        <w:spacing w:line="360" w:lineRule="exact"/>
        <w:ind w:hanging="735"/>
        <w:jc w:val="both"/>
        <w:rPr>
          <w:rFonts w:hint="eastAsia"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与本项目投标有关的一切往来通讯请寄：</w:t>
      </w:r>
    </w:p>
    <w:p>
      <w:pPr>
        <w:widowControl w:val="0"/>
        <w:spacing w:line="360" w:lineRule="exact"/>
        <w:ind w:left="480" w:firstLine="0"/>
        <w:jc w:val="both"/>
        <w:rPr>
          <w:rFonts w:hint="eastAsia"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地址：</w:t>
      </w:r>
      <w:r>
        <w:rPr>
          <w:rFonts w:hint="eastAsia" w:ascii="宋体" w:hAnsi="Courier New" w:eastAsia="宋体" w:cs="Times New Roman"/>
          <w:color w:val="auto"/>
          <w:spacing w:val="-4"/>
          <w:kern w:val="2"/>
          <w:sz w:val="21"/>
          <w:szCs w:val="21"/>
          <w:highlight w:val="none"/>
          <w:u w:val="single"/>
          <w:lang w:val="en-US" w:eastAsia="zh-CN" w:bidi="ar-SA"/>
        </w:rPr>
        <w:t xml:space="preserve">                                                   </w:t>
      </w:r>
    </w:p>
    <w:p>
      <w:pPr>
        <w:widowControl w:val="0"/>
        <w:spacing w:line="360" w:lineRule="exact"/>
        <w:ind w:left="480" w:firstLine="0"/>
        <w:jc w:val="both"/>
        <w:rPr>
          <w:rFonts w:hint="eastAsia" w:ascii="宋体" w:hAnsi="Courier New" w:eastAsia="宋体" w:cs="Times New Roman"/>
          <w:color w:val="auto"/>
          <w:spacing w:val="-4"/>
          <w:kern w:val="2"/>
          <w:sz w:val="21"/>
          <w:szCs w:val="21"/>
          <w:highlight w:val="none"/>
          <w:u w:val="singl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邮编：</w:t>
      </w:r>
      <w:r>
        <w:rPr>
          <w:rFonts w:hint="eastAsia" w:ascii="宋体" w:hAnsi="Courier New" w:eastAsia="宋体" w:cs="Times New Roman"/>
          <w:color w:val="auto"/>
          <w:spacing w:val="-4"/>
          <w:kern w:val="2"/>
          <w:sz w:val="21"/>
          <w:szCs w:val="21"/>
          <w:highlight w:val="none"/>
          <w:u w:val="single"/>
          <w:lang w:val="en-US" w:eastAsia="zh-CN" w:bidi="ar-SA"/>
        </w:rPr>
        <w:t xml:space="preserve">            </w:t>
      </w:r>
      <w:r>
        <w:rPr>
          <w:rFonts w:hint="eastAsia" w:ascii="宋体" w:hAnsi="Courier New" w:eastAsia="宋体" w:cs="Times New Roman"/>
          <w:color w:val="auto"/>
          <w:spacing w:val="-4"/>
          <w:kern w:val="2"/>
          <w:sz w:val="21"/>
          <w:szCs w:val="21"/>
          <w:highlight w:val="none"/>
          <w:lang w:val="en-US" w:eastAsia="zh-CN" w:bidi="ar-SA"/>
        </w:rPr>
        <w:t>电话：</w:t>
      </w:r>
      <w:r>
        <w:rPr>
          <w:rFonts w:hint="eastAsia" w:ascii="宋体" w:hAnsi="Courier New" w:eastAsia="宋体" w:cs="Times New Roman"/>
          <w:color w:val="auto"/>
          <w:spacing w:val="-4"/>
          <w:kern w:val="2"/>
          <w:sz w:val="21"/>
          <w:szCs w:val="21"/>
          <w:highlight w:val="none"/>
          <w:u w:val="single"/>
          <w:lang w:val="en-US" w:eastAsia="zh-CN" w:bidi="ar-SA"/>
        </w:rPr>
        <w:t xml:space="preserve">              </w:t>
      </w:r>
      <w:r>
        <w:rPr>
          <w:rFonts w:hint="eastAsia" w:ascii="宋体" w:hAnsi="Courier New" w:eastAsia="宋体" w:cs="Times New Roman"/>
          <w:color w:val="auto"/>
          <w:spacing w:val="-4"/>
          <w:kern w:val="2"/>
          <w:sz w:val="21"/>
          <w:szCs w:val="21"/>
          <w:highlight w:val="none"/>
          <w:lang w:val="en-US" w:eastAsia="zh-CN" w:bidi="ar-SA"/>
        </w:rPr>
        <w:t>传真：</w:t>
      </w:r>
      <w:r>
        <w:rPr>
          <w:rFonts w:hint="eastAsia" w:ascii="宋体" w:hAnsi="Courier New" w:eastAsia="宋体" w:cs="Times New Roman"/>
          <w:color w:val="auto"/>
          <w:spacing w:val="-4"/>
          <w:kern w:val="2"/>
          <w:sz w:val="21"/>
          <w:szCs w:val="21"/>
          <w:highlight w:val="none"/>
          <w:u w:val="single"/>
          <w:lang w:val="en-US" w:eastAsia="zh-CN" w:bidi="ar-SA"/>
        </w:rPr>
        <w:t xml:space="preserve">             </w:t>
      </w:r>
    </w:p>
    <w:p>
      <w:pPr>
        <w:widowControl w:val="0"/>
        <w:spacing w:line="360" w:lineRule="exact"/>
        <w:ind w:firstLine="0"/>
        <w:jc w:val="both"/>
        <w:rPr>
          <w:rFonts w:hint="eastAsia" w:ascii="宋体" w:hAnsi="Courier New" w:eastAsia="宋体" w:cs="Times New Roman"/>
          <w:color w:val="auto"/>
          <w:spacing w:val="-4"/>
          <w:kern w:val="2"/>
          <w:sz w:val="21"/>
          <w:szCs w:val="21"/>
          <w:highlight w:val="none"/>
          <w:lang w:val="en-US" w:eastAsia="zh-CN" w:bidi="ar-SA"/>
        </w:rPr>
      </w:pPr>
    </w:p>
    <w:p>
      <w:pPr>
        <w:widowControl w:val="0"/>
        <w:spacing w:line="360" w:lineRule="exact"/>
        <w:ind w:firstLine="0"/>
        <w:jc w:val="both"/>
        <w:rPr>
          <w:rFonts w:hint="eastAsia"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投标人单位（盖章）：       法定代表人或被授权代表人（签字）：</w:t>
      </w:r>
    </w:p>
    <w:p>
      <w:pPr>
        <w:widowControl w:val="0"/>
        <w:tabs>
          <w:tab w:val="left" w:pos="4841"/>
        </w:tabs>
        <w:spacing w:line="360" w:lineRule="exact"/>
        <w:ind w:firstLine="2626" w:firstLineChars="1300"/>
        <w:jc w:val="both"/>
        <w:rPr>
          <w:rFonts w:hint="eastAsia" w:ascii="宋体" w:hAnsi="Courier New" w:eastAsia="宋体" w:cs="Times New Roman"/>
          <w:color w:val="auto"/>
          <w:spacing w:val="-4"/>
          <w:kern w:val="2"/>
          <w:sz w:val="21"/>
          <w:szCs w:val="21"/>
          <w:highlight w:val="none"/>
          <w:lang w:val="en-US" w:eastAsia="zh-CN" w:bidi="ar-SA"/>
        </w:rPr>
      </w:pPr>
      <w:r>
        <w:rPr>
          <w:rFonts w:hint="eastAsia" w:ascii="宋体" w:hAnsi="Courier New" w:eastAsia="宋体" w:cs="Times New Roman"/>
          <w:color w:val="auto"/>
          <w:spacing w:val="-4"/>
          <w:kern w:val="2"/>
          <w:sz w:val="21"/>
          <w:szCs w:val="21"/>
          <w:highlight w:val="none"/>
          <w:lang w:val="en-US" w:eastAsia="zh-CN" w:bidi="ar-SA"/>
        </w:rPr>
        <w:t>日      期：     年   月   日</w:t>
      </w:r>
    </w:p>
    <w:p>
      <w:pPr>
        <w:spacing w:line="360" w:lineRule="exact"/>
        <w:rPr>
          <w:rFonts w:hint="eastAsia" w:ascii="Times New Roman" w:hAnsi="Times New Roman" w:eastAsia="宋体" w:cs="Times New Roman"/>
          <w:color w:val="auto"/>
          <w:sz w:val="24"/>
          <w:highlight w:val="none"/>
        </w:rPr>
      </w:pPr>
    </w:p>
    <w:p>
      <w:pPr>
        <w:snapToGrid w:val="0"/>
        <w:spacing w:line="360" w:lineRule="exact"/>
        <w:rPr>
          <w:rFonts w:ascii="宋体" w:hAnsi="宋体" w:eastAsia="宋体" w:cs="Times New Roman"/>
          <w:b/>
          <w:color w:val="auto"/>
          <w:sz w:val="24"/>
          <w:highlight w:val="none"/>
        </w:rPr>
      </w:pPr>
    </w:p>
    <w:p>
      <w:pPr>
        <w:snapToGrid w:val="0"/>
        <w:spacing w:line="360" w:lineRule="exact"/>
        <w:rPr>
          <w:rFonts w:ascii="宋体" w:hAnsi="宋体" w:eastAsia="宋体" w:cs="Times New Roman"/>
          <w:b/>
          <w:color w:val="auto"/>
          <w:sz w:val="24"/>
          <w:highlight w:val="none"/>
        </w:rPr>
      </w:pPr>
    </w:p>
    <w:p>
      <w:pPr>
        <w:snapToGrid w:val="0"/>
        <w:spacing w:line="360" w:lineRule="exact"/>
        <w:rPr>
          <w:rFonts w:ascii="宋体" w:hAnsi="宋体" w:eastAsia="宋体" w:cs="Times New Roman"/>
          <w:b/>
          <w:color w:val="auto"/>
          <w:sz w:val="24"/>
          <w:highlight w:val="none"/>
        </w:rPr>
      </w:pPr>
    </w:p>
    <w:p>
      <w:pPr>
        <w:pStyle w:val="17"/>
        <w:rPr>
          <w:rFonts w:ascii="Times New Roman" w:hAnsi="Times New Roman" w:eastAsia="宋体" w:cs="Times New Roman"/>
          <w:color w:val="auto"/>
        </w:rPr>
      </w:pPr>
    </w:p>
    <w:p>
      <w:pPr>
        <w:snapToGrid w:val="0"/>
        <w:spacing w:before="120" w:beforeLines="50" w:after="50"/>
        <w:rPr>
          <w:rFonts w:ascii="宋体" w:hAnsi="宋体" w:eastAsia="宋体" w:cs="Times New Roman"/>
          <w:color w:val="auto"/>
          <w:sz w:val="24"/>
          <w:highlight w:val="none"/>
        </w:rPr>
      </w:pPr>
      <w:r>
        <w:rPr>
          <w:rFonts w:hint="eastAsia" w:ascii="宋体" w:hAnsi="宋体" w:eastAsia="宋体" w:cs="Times New Roman"/>
          <w:b/>
          <w:color w:val="auto"/>
          <w:szCs w:val="21"/>
          <w:highlight w:val="none"/>
          <w:lang w:val="en-US" w:eastAsia="zh-CN"/>
        </w:rPr>
        <w:t>3</w:t>
      </w:r>
      <w:r>
        <w:rPr>
          <w:rFonts w:hint="eastAsia" w:ascii="宋体" w:hAnsi="宋体" w:eastAsia="宋体" w:cs="Times New Roman"/>
          <w:b/>
          <w:color w:val="auto"/>
          <w:szCs w:val="21"/>
          <w:highlight w:val="none"/>
        </w:rPr>
        <w:t>、</w:t>
      </w:r>
      <w:r>
        <w:rPr>
          <w:rFonts w:ascii="宋体" w:hAnsi="宋体" w:eastAsia="宋体" w:cs="Times New Roman"/>
          <w:b/>
          <w:color w:val="auto"/>
          <w:szCs w:val="21"/>
          <w:highlight w:val="none"/>
        </w:rPr>
        <w:t xml:space="preserve">投标报价明细表格式：       </w:t>
      </w:r>
    </w:p>
    <w:p>
      <w:pPr>
        <w:widowControl w:val="0"/>
        <w:snapToGrid w:val="0"/>
        <w:spacing w:before="295" w:beforeLines="0" w:after="295" w:afterLines="0" w:line="240" w:lineRule="auto"/>
        <w:jc w:val="center"/>
        <w:rPr>
          <w:rFonts w:ascii="宋体" w:hAnsi="宋体" w:eastAsia="宋体" w:cs="Times New Roman"/>
          <w:b/>
          <w:color w:val="auto"/>
          <w:kern w:val="2"/>
          <w:sz w:val="21"/>
          <w:szCs w:val="21"/>
          <w:highlight w:val="none"/>
          <w:lang w:val="en-US" w:eastAsia="zh-CN" w:bidi="ar-SA"/>
        </w:rPr>
      </w:pPr>
      <w:r>
        <w:rPr>
          <w:rFonts w:ascii="宋体" w:hAnsi="宋体" w:eastAsia="宋体" w:cs="Times New Roman"/>
          <w:b/>
          <w:color w:val="auto"/>
          <w:kern w:val="2"/>
          <w:sz w:val="21"/>
          <w:szCs w:val="21"/>
          <w:highlight w:val="none"/>
          <w:lang w:val="en-US" w:eastAsia="zh-CN" w:bidi="ar-SA"/>
        </w:rPr>
        <w:t>投标报价明细表</w:t>
      </w:r>
    </w:p>
    <w:p>
      <w:pPr>
        <w:widowControl w:val="0"/>
        <w:snapToGrid w:val="0"/>
        <w:spacing w:before="295" w:beforeLines="0" w:after="295" w:afterLines="0" w:line="240" w:lineRule="auto"/>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子包</w:t>
      </w:r>
      <w:r>
        <w:rPr>
          <w:rFonts w:ascii="宋体" w:hAnsi="宋体" w:eastAsia="宋体" w:cs="Times New Roman"/>
          <w:color w:val="auto"/>
          <w:kern w:val="2"/>
          <w:sz w:val="21"/>
          <w:szCs w:val="21"/>
          <w:highlight w:val="none"/>
          <w:lang w:val="en-US" w:eastAsia="zh-CN" w:bidi="ar-SA"/>
        </w:rPr>
        <w:t>：</w:t>
      </w:r>
      <w:r>
        <w:rPr>
          <w:rFonts w:ascii="宋体" w:hAnsi="宋体" w:eastAsia="宋体" w:cs="Times New Roman"/>
          <w:color w:val="auto"/>
          <w:kern w:val="2"/>
          <w:sz w:val="21"/>
          <w:szCs w:val="21"/>
          <w:highlight w:val="none"/>
          <w:u w:val="single"/>
          <w:lang w:val="en-US" w:eastAsia="zh-CN" w:bidi="ar-SA"/>
        </w:rPr>
        <w:t xml:space="preserve">              </w:t>
      </w:r>
      <w:r>
        <w:rPr>
          <w:rFonts w:ascii="宋体" w:hAnsi="宋体" w:eastAsia="宋体" w:cs="Times New Roman"/>
          <w:color w:val="auto"/>
          <w:kern w:val="2"/>
          <w:sz w:val="21"/>
          <w:szCs w:val="21"/>
          <w:highlight w:val="none"/>
          <w:lang w:val="en-US" w:eastAsia="zh-CN" w:bidi="ar-SA"/>
        </w:rPr>
        <w:t xml:space="preserve">                   单位：人民币（元）</w:t>
      </w:r>
    </w:p>
    <w:tbl>
      <w:tblPr>
        <w:tblStyle w:val="3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7"/>
        <w:gridCol w:w="709"/>
        <w:gridCol w:w="2924"/>
        <w:gridCol w:w="1750"/>
        <w:gridCol w:w="1390"/>
        <w:gridCol w:w="12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子包名称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序号</w:t>
            </w:r>
          </w:p>
        </w:tc>
        <w:tc>
          <w:tcPr>
            <w:tcW w:w="29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项目名称</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单位及数量</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单价</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 w:hRule="atLeast"/>
          <w:jc w:val="center"/>
        </w:trPr>
        <w:tc>
          <w:tcPr>
            <w:tcW w:w="108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p>
        </w:tc>
        <w:tc>
          <w:tcPr>
            <w:tcW w:w="29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cs="Times New Roman"/>
                <w:color w:val="auto"/>
                <w:szCs w:val="21"/>
                <w:highlight w:val="none"/>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cs="Times New Roman"/>
                <w:color w:val="auto"/>
                <w:szCs w:val="21"/>
                <w:highlight w:val="none"/>
              </w:rPr>
            </w:pPr>
          </w:p>
        </w:tc>
        <w:tc>
          <w:tcPr>
            <w:tcW w:w="13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2" w:hRule="atLeast"/>
          <w:jc w:val="center"/>
        </w:trPr>
        <w:tc>
          <w:tcPr>
            <w:tcW w:w="1087" w:type="dxa"/>
            <w:vMerge w:val="continue"/>
            <w:tcBorders>
              <w:left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w:t>
            </w:r>
          </w:p>
        </w:tc>
        <w:tc>
          <w:tcPr>
            <w:tcW w:w="29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cs="Times New Roman"/>
                <w:color w:val="auto"/>
                <w:szCs w:val="21"/>
                <w:highlight w:val="none"/>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cs="Times New Roman"/>
                <w:color w:val="auto"/>
                <w:szCs w:val="21"/>
                <w:highlight w:val="none"/>
              </w:rPr>
            </w:pPr>
          </w:p>
        </w:tc>
        <w:tc>
          <w:tcPr>
            <w:tcW w:w="139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2" w:hRule="atLeast"/>
          <w:jc w:val="center"/>
        </w:trPr>
        <w:tc>
          <w:tcPr>
            <w:tcW w:w="1087" w:type="dxa"/>
            <w:vMerge w:val="continue"/>
            <w:tcBorders>
              <w:left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w:t>
            </w:r>
          </w:p>
        </w:tc>
        <w:tc>
          <w:tcPr>
            <w:tcW w:w="29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cs="Times New Roman"/>
                <w:color w:val="auto"/>
                <w:szCs w:val="21"/>
                <w:highlight w:val="none"/>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cs="Times New Roman"/>
                <w:color w:val="auto"/>
                <w:szCs w:val="21"/>
                <w:highlight w:val="none"/>
              </w:rPr>
            </w:pPr>
          </w:p>
        </w:tc>
        <w:tc>
          <w:tcPr>
            <w:tcW w:w="139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087" w:type="dxa"/>
            <w:vMerge w:val="continue"/>
            <w:tcBorders>
              <w:left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w:t>
            </w:r>
          </w:p>
        </w:tc>
        <w:tc>
          <w:tcPr>
            <w:tcW w:w="292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  </w:t>
            </w:r>
          </w:p>
        </w:tc>
        <w:tc>
          <w:tcPr>
            <w:tcW w:w="175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    </w:t>
            </w:r>
          </w:p>
        </w:tc>
        <w:tc>
          <w:tcPr>
            <w:tcW w:w="139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087" w:type="dxa"/>
            <w:vMerge w:val="continue"/>
            <w:tcBorders>
              <w:left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w:t>
            </w:r>
          </w:p>
        </w:tc>
        <w:tc>
          <w:tcPr>
            <w:tcW w:w="292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139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87" w:type="dxa"/>
            <w:vMerge w:val="continue"/>
            <w:tcBorders>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6</w:t>
            </w:r>
          </w:p>
        </w:tc>
        <w:tc>
          <w:tcPr>
            <w:tcW w:w="292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175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139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796"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c>
          <w:tcPr>
            <w:tcW w:w="6064"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投标报价（总价）</w:t>
            </w:r>
          </w:p>
        </w:tc>
        <w:tc>
          <w:tcPr>
            <w:tcW w:w="12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Times New Roman"/>
                <w:color w:val="auto"/>
                <w:szCs w:val="21"/>
                <w:highlight w:val="none"/>
              </w:rPr>
            </w:pPr>
          </w:p>
        </w:tc>
      </w:tr>
    </w:tbl>
    <w:p>
      <w:pPr>
        <w:spacing w:line="400" w:lineRule="exac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      </w:t>
      </w:r>
    </w:p>
    <w:p>
      <w:pPr>
        <w:spacing w:line="400" w:lineRule="atLeast"/>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投标人公章：</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 xml:space="preserve">          </w:t>
      </w:r>
    </w:p>
    <w:p>
      <w:pPr>
        <w:spacing w:line="400" w:lineRule="atLeast"/>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法定代表人或授权代表（签字）：</w:t>
      </w:r>
      <w:r>
        <w:rPr>
          <w:rFonts w:ascii="宋体" w:hAnsi="宋体" w:eastAsia="宋体" w:cs="Times New Roman"/>
          <w:color w:val="auto"/>
          <w:szCs w:val="21"/>
          <w:highlight w:val="none"/>
          <w:u w:val="single"/>
        </w:rPr>
        <w:t xml:space="preserve">                  </w:t>
      </w:r>
    </w:p>
    <w:p>
      <w:pPr>
        <w:spacing w:line="400" w:lineRule="atLeast"/>
        <w:rPr>
          <w:rFonts w:hint="eastAsia" w:ascii="宋体" w:hAnsi="宋体" w:eastAsia="宋体" w:cs="Times New Roman"/>
          <w:color w:val="auto"/>
          <w:szCs w:val="21"/>
          <w:highlight w:val="none"/>
          <w:u w:val="single"/>
        </w:rPr>
      </w:pPr>
      <w:r>
        <w:rPr>
          <w:rFonts w:hint="eastAsia" w:ascii="宋体" w:hAnsi="宋体" w:eastAsia="宋体" w:cs="Times New Roman"/>
          <w:color w:val="auto"/>
          <w:szCs w:val="21"/>
          <w:highlight w:val="none"/>
        </w:rPr>
        <w:t>日            期：</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p>
    <w:p>
      <w:pPr>
        <w:spacing w:line="400" w:lineRule="exact"/>
        <w:ind w:firstLine="5460" w:firstLineChars="26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        </w:t>
      </w:r>
    </w:p>
    <w:p>
      <w:pPr>
        <w:rPr>
          <w:rFonts w:hint="eastAsia" w:ascii="宋体" w:hAnsi="宋体" w:eastAsia="宋体" w:cs="Times New Roman"/>
          <w:color w:val="auto"/>
          <w:szCs w:val="21"/>
          <w:highlight w:val="none"/>
        </w:rPr>
      </w:pPr>
    </w:p>
    <w:p>
      <w:pPr>
        <w:widowControl w:val="0"/>
        <w:spacing w:line="520" w:lineRule="exact"/>
        <w:ind w:left="5250" w:firstLine="0"/>
        <w:jc w:val="center"/>
        <w:rPr>
          <w:rFonts w:hint="eastAsia" w:ascii="宋体" w:hAnsi="宋体" w:eastAsia="宋体" w:cs="Times New Roman"/>
          <w:color w:val="auto"/>
          <w:spacing w:val="-4"/>
          <w:kern w:val="2"/>
          <w:sz w:val="21"/>
          <w:szCs w:val="21"/>
          <w:highlight w:val="none"/>
          <w:lang w:val="en-US" w:eastAsia="zh-CN" w:bidi="ar-SA"/>
        </w:rPr>
      </w:pPr>
    </w:p>
    <w:p>
      <w:pPr>
        <w:widowControl w:val="0"/>
        <w:spacing w:line="520" w:lineRule="exact"/>
        <w:ind w:left="5250" w:firstLine="0"/>
        <w:jc w:val="center"/>
        <w:rPr>
          <w:rFonts w:hint="eastAsia" w:ascii="宋体" w:hAnsi="宋体" w:eastAsia="宋体" w:cs="Times New Roman"/>
          <w:color w:val="auto"/>
          <w:spacing w:val="-4"/>
          <w:kern w:val="2"/>
          <w:sz w:val="21"/>
          <w:szCs w:val="21"/>
          <w:highlight w:val="none"/>
          <w:lang w:val="en-US" w:eastAsia="zh-CN" w:bidi="ar-SA"/>
        </w:rPr>
      </w:pPr>
    </w:p>
    <w:p>
      <w:pPr>
        <w:widowControl w:val="0"/>
        <w:spacing w:line="520" w:lineRule="exact"/>
        <w:ind w:left="5250" w:firstLine="0"/>
        <w:jc w:val="center"/>
        <w:rPr>
          <w:rFonts w:hint="eastAsia" w:ascii="宋体" w:hAnsi="宋体" w:eastAsia="宋体" w:cs="Times New Roman"/>
          <w:color w:val="auto"/>
          <w:spacing w:val="-4"/>
          <w:kern w:val="2"/>
          <w:sz w:val="21"/>
          <w:szCs w:val="21"/>
          <w:highlight w:val="none"/>
          <w:lang w:val="en-US" w:eastAsia="zh-CN" w:bidi="ar-SA"/>
        </w:rPr>
      </w:pPr>
    </w:p>
    <w:p>
      <w:pPr>
        <w:widowControl w:val="0"/>
        <w:spacing w:line="520" w:lineRule="exact"/>
        <w:ind w:left="5250" w:firstLine="0"/>
        <w:jc w:val="center"/>
        <w:rPr>
          <w:rFonts w:hint="eastAsia" w:ascii="宋体" w:hAnsi="宋体" w:eastAsia="宋体" w:cs="Times New Roman"/>
          <w:color w:val="auto"/>
          <w:spacing w:val="-4"/>
          <w:kern w:val="2"/>
          <w:sz w:val="21"/>
          <w:szCs w:val="21"/>
          <w:highlight w:val="none"/>
          <w:lang w:val="en-US" w:eastAsia="zh-CN" w:bidi="ar-SA"/>
        </w:rPr>
      </w:pPr>
    </w:p>
    <w:p>
      <w:pPr>
        <w:widowControl w:val="0"/>
        <w:spacing w:line="520" w:lineRule="exact"/>
        <w:ind w:left="5250" w:firstLine="0"/>
        <w:jc w:val="center"/>
        <w:rPr>
          <w:rFonts w:hint="eastAsia" w:ascii="宋体" w:hAnsi="宋体" w:eastAsia="宋体" w:cs="Times New Roman"/>
          <w:color w:val="auto"/>
          <w:spacing w:val="-4"/>
          <w:kern w:val="2"/>
          <w:sz w:val="21"/>
          <w:szCs w:val="21"/>
          <w:highlight w:val="none"/>
          <w:lang w:val="en-US" w:eastAsia="zh-CN" w:bidi="ar-SA"/>
        </w:rPr>
      </w:pPr>
    </w:p>
    <w:p>
      <w:pPr>
        <w:widowControl w:val="0"/>
        <w:spacing w:line="520" w:lineRule="exact"/>
        <w:ind w:left="5250" w:firstLine="0"/>
        <w:jc w:val="center"/>
        <w:rPr>
          <w:rFonts w:hint="eastAsia" w:ascii="宋体" w:hAnsi="宋体" w:eastAsia="宋体" w:cs="Times New Roman"/>
          <w:color w:val="auto"/>
          <w:spacing w:val="-4"/>
          <w:kern w:val="2"/>
          <w:sz w:val="21"/>
          <w:szCs w:val="21"/>
          <w:highlight w:val="none"/>
          <w:lang w:val="en-US" w:eastAsia="zh-CN" w:bidi="ar-SA"/>
        </w:rPr>
      </w:pPr>
    </w:p>
    <w:p>
      <w:pPr>
        <w:spacing w:line="400" w:lineRule="exact"/>
        <w:ind w:firstLine="5460" w:firstLineChars="2600"/>
        <w:rPr>
          <w:rFonts w:hint="eastAsia" w:ascii="宋体" w:hAnsi="宋体"/>
          <w:color w:val="auto"/>
          <w:szCs w:val="21"/>
          <w:highlight w:val="none"/>
        </w:rPr>
      </w:pPr>
      <w:r>
        <w:rPr>
          <w:rFonts w:hint="eastAsia" w:ascii="宋体" w:hAnsi="宋体"/>
          <w:color w:val="auto"/>
          <w:szCs w:val="21"/>
          <w:highlight w:val="none"/>
        </w:rPr>
        <w:t xml:space="preserve">        </w:t>
      </w:r>
    </w:p>
    <w:p>
      <w:pPr>
        <w:spacing w:line="400" w:lineRule="atLeast"/>
        <w:rPr>
          <w:rFonts w:hint="eastAsia" w:ascii="宋体" w:hAnsi="宋体"/>
          <w:color w:val="auto"/>
          <w:szCs w:val="21"/>
          <w:highlight w:val="none"/>
          <w:u w:val="single"/>
        </w:rPr>
        <w:sectPr>
          <w:footerReference r:id="rId7" w:type="first"/>
          <w:footerReference r:id="rId6" w:type="default"/>
          <w:pgSz w:w="11906" w:h="16838"/>
          <w:pgMar w:top="1474" w:right="1797" w:bottom="1135" w:left="1797" w:header="851" w:footer="851" w:gutter="0"/>
          <w:cols w:space="720" w:num="1"/>
          <w:titlePg/>
          <w:docGrid w:linePitch="312" w:charSpace="0"/>
        </w:sectPr>
      </w:pPr>
    </w:p>
    <w:tbl>
      <w:tblPr>
        <w:tblStyle w:val="39"/>
        <w:tblW w:w="0" w:type="auto"/>
        <w:jc w:val="center"/>
        <w:tblLayout w:type="fixed"/>
        <w:tblCellMar>
          <w:top w:w="0" w:type="dxa"/>
          <w:left w:w="108" w:type="dxa"/>
          <w:bottom w:w="0" w:type="dxa"/>
          <w:right w:w="108" w:type="dxa"/>
        </w:tblCellMar>
      </w:tblPr>
      <w:tblGrid>
        <w:gridCol w:w="1713"/>
        <w:gridCol w:w="1490"/>
        <w:gridCol w:w="1740"/>
        <w:gridCol w:w="1202"/>
        <w:gridCol w:w="1328"/>
        <w:gridCol w:w="1425"/>
        <w:gridCol w:w="1405"/>
        <w:gridCol w:w="1181"/>
        <w:gridCol w:w="1173"/>
        <w:gridCol w:w="1143"/>
      </w:tblGrid>
      <w:tr>
        <w:tblPrEx>
          <w:tblCellMar>
            <w:top w:w="0" w:type="dxa"/>
            <w:left w:w="108" w:type="dxa"/>
            <w:bottom w:w="0" w:type="dxa"/>
            <w:right w:w="108" w:type="dxa"/>
          </w:tblCellMar>
        </w:tblPrEx>
        <w:trPr>
          <w:trHeight w:val="247" w:hRule="atLeast"/>
          <w:jc w:val="center"/>
        </w:trPr>
        <w:tc>
          <w:tcPr>
            <w:tcW w:w="13800" w:type="dxa"/>
            <w:gridSpan w:val="10"/>
            <w:tcBorders>
              <w:top w:val="nil"/>
              <w:left w:val="nil"/>
              <w:bottom w:val="nil"/>
              <w:right w:val="nil"/>
            </w:tcBorders>
            <w:noWrap w:val="0"/>
            <w:vAlign w:val="bottom"/>
          </w:tcPr>
          <w:p>
            <w:pPr>
              <w:widowControl/>
              <w:wordWrap w:val="0"/>
              <w:spacing w:line="240" w:lineRule="exact"/>
              <w:jc w:val="center"/>
              <w:rPr>
                <w:rFonts w:ascii="宋体" w:hAnsi="宋体" w:cs="宋体"/>
                <w:b/>
                <w:bCs/>
                <w:color w:val="auto"/>
                <w:kern w:val="0"/>
                <w:sz w:val="32"/>
                <w:szCs w:val="32"/>
                <w:highlight w:val="none"/>
              </w:rPr>
            </w:pPr>
            <w:r>
              <w:rPr>
                <w:rFonts w:hint="eastAsia" w:ascii="宋体" w:hAnsi="宋体" w:cs="宋体"/>
                <w:b/>
                <w:bCs/>
                <w:color w:val="auto"/>
                <w:kern w:val="0"/>
                <w:sz w:val="24"/>
                <w:highlight w:val="none"/>
              </w:rPr>
              <w:t>中小微行业划型标准规定（根据工信部联企业〔</w:t>
            </w:r>
            <w:r>
              <w:rPr>
                <w:rFonts w:ascii="宋体" w:hAnsi="宋体" w:cs="宋体"/>
                <w:b/>
                <w:bCs/>
                <w:color w:val="auto"/>
                <w:kern w:val="0"/>
                <w:sz w:val="24"/>
                <w:highlight w:val="none"/>
              </w:rPr>
              <w:t>2011</w:t>
            </w:r>
            <w:r>
              <w:rPr>
                <w:rFonts w:hint="eastAsia" w:ascii="宋体" w:hAnsi="宋体" w:cs="宋体"/>
                <w:b/>
                <w:bCs/>
                <w:color w:val="auto"/>
                <w:kern w:val="0"/>
                <w:sz w:val="24"/>
                <w:highlight w:val="none"/>
              </w:rPr>
              <w:t>〕</w:t>
            </w:r>
            <w:r>
              <w:rPr>
                <w:rFonts w:ascii="宋体" w:hAnsi="宋体" w:cs="宋体"/>
                <w:b/>
                <w:bCs/>
                <w:color w:val="auto"/>
                <w:kern w:val="0"/>
                <w:sz w:val="24"/>
                <w:highlight w:val="none"/>
              </w:rPr>
              <w:t>300</w:t>
            </w:r>
            <w:r>
              <w:rPr>
                <w:rFonts w:hint="eastAsia" w:ascii="宋体" w:hAnsi="宋体" w:cs="宋体"/>
                <w:b/>
                <w:bCs/>
                <w:color w:val="auto"/>
                <w:kern w:val="0"/>
                <w:sz w:val="24"/>
                <w:highlight w:val="none"/>
              </w:rPr>
              <w:t>号制定）</w:t>
            </w:r>
          </w:p>
        </w:tc>
      </w:tr>
      <w:tr>
        <w:tblPrEx>
          <w:tblCellMar>
            <w:top w:w="0" w:type="dxa"/>
            <w:left w:w="108" w:type="dxa"/>
            <w:bottom w:w="0" w:type="dxa"/>
            <w:right w:w="108" w:type="dxa"/>
          </w:tblCellMar>
        </w:tblPrEx>
        <w:trPr>
          <w:trHeight w:val="268" w:hRule="atLeast"/>
          <w:jc w:val="center"/>
        </w:trPr>
        <w:tc>
          <w:tcPr>
            <w:tcW w:w="1713"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wordWrap w:val="0"/>
              <w:spacing w:line="240" w:lineRule="exact"/>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行业</w:t>
            </w:r>
          </w:p>
        </w:tc>
        <w:tc>
          <w:tcPr>
            <w:tcW w:w="4432" w:type="dxa"/>
            <w:gridSpan w:val="3"/>
            <w:tcBorders>
              <w:top w:val="single" w:color="auto" w:sz="8" w:space="0"/>
              <w:left w:val="nil"/>
              <w:bottom w:val="single" w:color="auto" w:sz="4" w:space="0"/>
              <w:right w:val="single" w:color="000000" w:sz="8" w:space="0"/>
            </w:tcBorders>
            <w:noWrap w:val="0"/>
            <w:vAlign w:val="bottom"/>
          </w:tcPr>
          <w:p>
            <w:pPr>
              <w:widowControl/>
              <w:wordWrap w:val="0"/>
              <w:spacing w:line="240" w:lineRule="exact"/>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中型企业</w:t>
            </w:r>
          </w:p>
        </w:tc>
        <w:tc>
          <w:tcPr>
            <w:tcW w:w="4158" w:type="dxa"/>
            <w:gridSpan w:val="3"/>
            <w:tcBorders>
              <w:top w:val="single" w:color="auto" w:sz="8" w:space="0"/>
              <w:left w:val="nil"/>
              <w:bottom w:val="single" w:color="auto" w:sz="4" w:space="0"/>
              <w:right w:val="single" w:color="000000" w:sz="8" w:space="0"/>
            </w:tcBorders>
            <w:noWrap w:val="0"/>
            <w:vAlign w:val="bottom"/>
          </w:tcPr>
          <w:p>
            <w:pPr>
              <w:widowControl/>
              <w:wordWrap w:val="0"/>
              <w:spacing w:line="240" w:lineRule="exact"/>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小型企业</w:t>
            </w:r>
          </w:p>
        </w:tc>
        <w:tc>
          <w:tcPr>
            <w:tcW w:w="3497" w:type="dxa"/>
            <w:gridSpan w:val="3"/>
            <w:tcBorders>
              <w:top w:val="single" w:color="auto" w:sz="8" w:space="0"/>
              <w:left w:val="nil"/>
              <w:bottom w:val="single" w:color="auto" w:sz="4" w:space="0"/>
              <w:right w:val="single" w:color="000000" w:sz="8" w:space="0"/>
            </w:tcBorders>
            <w:noWrap w:val="0"/>
            <w:vAlign w:val="bottom"/>
          </w:tcPr>
          <w:p>
            <w:pPr>
              <w:widowControl/>
              <w:wordWrap w:val="0"/>
              <w:spacing w:line="240" w:lineRule="exact"/>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微型企业</w:t>
            </w:r>
          </w:p>
        </w:tc>
      </w:tr>
      <w:tr>
        <w:tblPrEx>
          <w:tblCellMar>
            <w:top w:w="0" w:type="dxa"/>
            <w:left w:w="108" w:type="dxa"/>
            <w:bottom w:w="0" w:type="dxa"/>
            <w:right w:w="108" w:type="dxa"/>
          </w:tblCellMar>
        </w:tblPrEx>
        <w:trPr>
          <w:trHeight w:val="515" w:hRule="atLeast"/>
          <w:jc w:val="center"/>
        </w:trPr>
        <w:tc>
          <w:tcPr>
            <w:tcW w:w="1713"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wordWrap w:val="0"/>
              <w:spacing w:line="240" w:lineRule="exact"/>
              <w:jc w:val="left"/>
              <w:rPr>
                <w:rFonts w:ascii="宋体" w:hAnsi="宋体" w:cs="宋体"/>
                <w:b/>
                <w:bCs/>
                <w:color w:val="auto"/>
                <w:kern w:val="0"/>
                <w:sz w:val="24"/>
                <w:highlight w:val="none"/>
              </w:rPr>
            </w:pPr>
          </w:p>
        </w:tc>
        <w:tc>
          <w:tcPr>
            <w:tcW w:w="1490" w:type="dxa"/>
            <w:tcBorders>
              <w:top w:val="nil"/>
              <w:left w:val="nil"/>
              <w:bottom w:val="single" w:color="auto" w:sz="4" w:space="0"/>
              <w:right w:val="single" w:color="auto" w:sz="4" w:space="0"/>
            </w:tcBorders>
            <w:noWrap w:val="0"/>
            <w:vAlign w:val="bottom"/>
          </w:tcPr>
          <w:p>
            <w:pPr>
              <w:widowControl/>
              <w:wordWrap w:val="0"/>
              <w:spacing w:line="240" w:lineRule="exact"/>
              <w:jc w:val="center"/>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740" w:type="dxa"/>
            <w:tcBorders>
              <w:top w:val="nil"/>
              <w:left w:val="nil"/>
              <w:bottom w:val="single" w:color="auto" w:sz="4" w:space="0"/>
              <w:right w:val="single" w:color="auto" w:sz="4" w:space="0"/>
            </w:tcBorders>
            <w:noWrap w:val="0"/>
            <w:vAlign w:val="bottom"/>
          </w:tcPr>
          <w:p>
            <w:pPr>
              <w:widowControl/>
              <w:wordWrap w:val="0"/>
              <w:spacing w:line="240" w:lineRule="exact"/>
              <w:jc w:val="center"/>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p>
          <w:p>
            <w:pPr>
              <w:widowControl/>
              <w:wordWrap w:val="0"/>
              <w:spacing w:line="240" w:lineRule="exact"/>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202" w:type="dxa"/>
            <w:tcBorders>
              <w:top w:val="nil"/>
              <w:left w:val="nil"/>
              <w:bottom w:val="single" w:color="auto" w:sz="4" w:space="0"/>
              <w:right w:val="single" w:color="auto" w:sz="8" w:space="0"/>
            </w:tcBorders>
            <w:noWrap w:val="0"/>
            <w:vAlign w:val="bottom"/>
          </w:tcPr>
          <w:p>
            <w:pPr>
              <w:widowControl/>
              <w:wordWrap w:val="0"/>
              <w:spacing w:line="240" w:lineRule="exact"/>
              <w:jc w:val="center"/>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p>
          <w:p>
            <w:pPr>
              <w:widowControl/>
              <w:wordWrap w:val="0"/>
              <w:spacing w:line="240" w:lineRule="exact"/>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328" w:type="dxa"/>
            <w:tcBorders>
              <w:top w:val="nil"/>
              <w:left w:val="nil"/>
              <w:bottom w:val="single" w:color="auto" w:sz="4" w:space="0"/>
              <w:right w:val="single" w:color="auto" w:sz="4" w:space="0"/>
            </w:tcBorders>
            <w:noWrap w:val="0"/>
            <w:vAlign w:val="bottom"/>
          </w:tcPr>
          <w:p>
            <w:pPr>
              <w:widowControl/>
              <w:wordWrap w:val="0"/>
              <w:spacing w:line="240" w:lineRule="exact"/>
              <w:jc w:val="center"/>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425" w:type="dxa"/>
            <w:tcBorders>
              <w:top w:val="nil"/>
              <w:left w:val="nil"/>
              <w:bottom w:val="single" w:color="auto" w:sz="4" w:space="0"/>
              <w:right w:val="single" w:color="auto" w:sz="4" w:space="0"/>
            </w:tcBorders>
            <w:noWrap w:val="0"/>
            <w:vAlign w:val="bottom"/>
          </w:tcPr>
          <w:p>
            <w:pPr>
              <w:widowControl/>
              <w:wordWrap w:val="0"/>
              <w:spacing w:line="240" w:lineRule="exact"/>
              <w:jc w:val="center"/>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p>
          <w:p>
            <w:pPr>
              <w:widowControl/>
              <w:wordWrap w:val="0"/>
              <w:spacing w:line="240" w:lineRule="exact"/>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405" w:type="dxa"/>
            <w:tcBorders>
              <w:top w:val="nil"/>
              <w:left w:val="nil"/>
              <w:bottom w:val="single" w:color="auto" w:sz="4" w:space="0"/>
              <w:right w:val="single" w:color="auto" w:sz="8" w:space="0"/>
            </w:tcBorders>
            <w:noWrap w:val="0"/>
            <w:vAlign w:val="bottom"/>
          </w:tcPr>
          <w:p>
            <w:pPr>
              <w:widowControl/>
              <w:wordWrap w:val="0"/>
              <w:spacing w:line="240" w:lineRule="exact"/>
              <w:jc w:val="center"/>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p>
          <w:p>
            <w:pPr>
              <w:widowControl/>
              <w:wordWrap w:val="0"/>
              <w:spacing w:line="240" w:lineRule="exact"/>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181" w:type="dxa"/>
            <w:tcBorders>
              <w:top w:val="nil"/>
              <w:left w:val="nil"/>
              <w:bottom w:val="single" w:color="auto" w:sz="4" w:space="0"/>
              <w:right w:val="single" w:color="auto" w:sz="4" w:space="0"/>
            </w:tcBorders>
            <w:noWrap w:val="0"/>
            <w:vAlign w:val="bottom"/>
          </w:tcPr>
          <w:p>
            <w:pPr>
              <w:widowControl/>
              <w:wordWrap w:val="0"/>
              <w:spacing w:line="240" w:lineRule="exact"/>
              <w:jc w:val="center"/>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173" w:type="dxa"/>
            <w:tcBorders>
              <w:top w:val="nil"/>
              <w:left w:val="nil"/>
              <w:bottom w:val="single" w:color="auto" w:sz="4" w:space="0"/>
              <w:right w:val="single" w:color="auto" w:sz="4" w:space="0"/>
            </w:tcBorders>
            <w:noWrap w:val="0"/>
            <w:vAlign w:val="bottom"/>
          </w:tcPr>
          <w:p>
            <w:pPr>
              <w:widowControl/>
              <w:wordWrap w:val="0"/>
              <w:spacing w:line="240" w:lineRule="exact"/>
              <w:jc w:val="center"/>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r>
              <w:rPr>
                <w:rFonts w:hint="eastAsia" w:ascii="宋体" w:hAnsi="宋体" w:cs="宋体"/>
                <w:color w:val="auto"/>
                <w:kern w:val="0"/>
                <w:sz w:val="20"/>
                <w:highlight w:val="none"/>
              </w:rPr>
              <w:t>（万元）</w:t>
            </w:r>
          </w:p>
        </w:tc>
        <w:tc>
          <w:tcPr>
            <w:tcW w:w="1143" w:type="dxa"/>
            <w:tcBorders>
              <w:top w:val="nil"/>
              <w:left w:val="nil"/>
              <w:bottom w:val="single" w:color="auto" w:sz="4" w:space="0"/>
              <w:right w:val="single" w:color="auto" w:sz="8" w:space="0"/>
            </w:tcBorders>
            <w:noWrap w:val="0"/>
            <w:vAlign w:val="bottom"/>
          </w:tcPr>
          <w:p>
            <w:pPr>
              <w:widowControl/>
              <w:wordWrap w:val="0"/>
              <w:spacing w:line="240" w:lineRule="exact"/>
              <w:jc w:val="center"/>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r>
              <w:rPr>
                <w:rFonts w:hint="eastAsia" w:ascii="宋体" w:hAnsi="宋体" w:cs="宋体"/>
                <w:color w:val="auto"/>
                <w:kern w:val="0"/>
                <w:sz w:val="20"/>
                <w:highlight w:val="none"/>
              </w:rPr>
              <w:t>（万元）</w:t>
            </w:r>
          </w:p>
        </w:tc>
      </w:tr>
      <w:tr>
        <w:tblPrEx>
          <w:tblCellMar>
            <w:top w:w="0" w:type="dxa"/>
            <w:left w:w="108" w:type="dxa"/>
            <w:bottom w:w="0" w:type="dxa"/>
            <w:right w:w="108" w:type="dxa"/>
          </w:tblCellMar>
        </w:tblPrEx>
        <w:trPr>
          <w:trHeight w:val="257"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1</w:t>
            </w:r>
            <w:r>
              <w:rPr>
                <w:rFonts w:hint="eastAsia" w:ascii="宋体" w:hAnsi="宋体" w:cs="宋体"/>
                <w:color w:val="auto"/>
                <w:kern w:val="0"/>
                <w:sz w:val="20"/>
                <w:highlight w:val="none"/>
              </w:rPr>
              <w:t>、农林牧渔业</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50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257"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2</w:t>
            </w:r>
            <w:r>
              <w:rPr>
                <w:rFonts w:hint="eastAsia" w:ascii="宋体" w:hAnsi="宋体" w:cs="宋体"/>
                <w:color w:val="auto"/>
                <w:kern w:val="0"/>
                <w:sz w:val="20"/>
                <w:highlight w:val="none"/>
              </w:rPr>
              <w:t>、工业</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40000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505"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3</w:t>
            </w:r>
            <w:r>
              <w:rPr>
                <w:rFonts w:hint="eastAsia" w:ascii="宋体" w:hAnsi="宋体" w:cs="宋体"/>
                <w:color w:val="auto"/>
                <w:kern w:val="0"/>
                <w:sz w:val="20"/>
                <w:highlight w:val="none"/>
              </w:rPr>
              <w:t>、建筑业</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6000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80000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80000</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6000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300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r>
      <w:tr>
        <w:tblPrEx>
          <w:tblCellMar>
            <w:top w:w="0" w:type="dxa"/>
            <w:left w:w="108" w:type="dxa"/>
            <w:bottom w:w="0" w:type="dxa"/>
            <w:right w:w="108" w:type="dxa"/>
          </w:tblCellMar>
        </w:tblPrEx>
        <w:trPr>
          <w:trHeight w:val="505"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4</w:t>
            </w:r>
            <w:r>
              <w:rPr>
                <w:rFonts w:hint="eastAsia" w:ascii="宋体" w:hAnsi="宋体" w:cs="宋体"/>
                <w:color w:val="auto"/>
                <w:kern w:val="0"/>
                <w:sz w:val="20"/>
                <w:highlight w:val="none"/>
              </w:rPr>
              <w:t>、批发业</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40000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5</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5</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257"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5</w:t>
            </w:r>
            <w:r>
              <w:rPr>
                <w:rFonts w:hint="eastAsia" w:ascii="宋体" w:hAnsi="宋体" w:cs="宋体"/>
                <w:color w:val="auto"/>
                <w:kern w:val="0"/>
                <w:sz w:val="20"/>
                <w:highlight w:val="none"/>
              </w:rPr>
              <w:t>、零售业</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50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257"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6</w:t>
            </w:r>
            <w:r>
              <w:rPr>
                <w:rFonts w:hint="eastAsia" w:ascii="宋体" w:hAnsi="宋体" w:cs="宋体"/>
                <w:color w:val="auto"/>
                <w:kern w:val="0"/>
                <w:sz w:val="20"/>
                <w:highlight w:val="none"/>
              </w:rPr>
              <w:t>、交通运输业</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3000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200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V</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257"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7</w:t>
            </w:r>
            <w:r>
              <w:rPr>
                <w:rFonts w:hint="eastAsia" w:ascii="宋体" w:hAnsi="宋体" w:cs="宋体"/>
                <w:color w:val="auto"/>
                <w:kern w:val="0"/>
                <w:sz w:val="20"/>
                <w:highlight w:val="none"/>
              </w:rPr>
              <w:t>、仓储业</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257"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8</w:t>
            </w:r>
            <w:r>
              <w:rPr>
                <w:rFonts w:hint="eastAsia" w:ascii="宋体" w:hAnsi="宋体" w:cs="宋体"/>
                <w:color w:val="auto"/>
                <w:kern w:val="0"/>
                <w:sz w:val="20"/>
                <w:highlight w:val="none"/>
              </w:rPr>
              <w:t>、邮政业</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257"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9</w:t>
            </w:r>
            <w:r>
              <w:rPr>
                <w:rFonts w:hint="eastAsia" w:ascii="宋体" w:hAnsi="宋体" w:cs="宋体"/>
                <w:color w:val="auto"/>
                <w:kern w:val="0"/>
                <w:sz w:val="20"/>
                <w:highlight w:val="none"/>
              </w:rPr>
              <w:t>、住宿业</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257"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、餐饮业</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V</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257"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11</w:t>
            </w:r>
            <w:r>
              <w:rPr>
                <w:rFonts w:hint="eastAsia" w:ascii="宋体" w:hAnsi="宋体" w:cs="宋体"/>
                <w:color w:val="auto"/>
                <w:kern w:val="0"/>
                <w:sz w:val="20"/>
                <w:highlight w:val="none"/>
              </w:rPr>
              <w:t>、信息传输业</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505"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12</w:t>
            </w:r>
            <w:r>
              <w:rPr>
                <w:rFonts w:hint="eastAsia" w:ascii="宋体" w:hAnsi="宋体" w:cs="宋体"/>
                <w:color w:val="auto"/>
                <w:kern w:val="0"/>
                <w:sz w:val="20"/>
                <w:highlight w:val="none"/>
              </w:rPr>
              <w:t>、软件和信息技术服务业</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50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505"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13</w:t>
            </w:r>
            <w:r>
              <w:rPr>
                <w:rFonts w:hint="eastAsia" w:ascii="宋体" w:hAnsi="宋体" w:cs="宋体"/>
                <w:color w:val="auto"/>
                <w:kern w:val="0"/>
                <w:sz w:val="20"/>
                <w:highlight w:val="none"/>
              </w:rPr>
              <w:t>、房地产开发经营</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r>
      <w:tr>
        <w:tblPrEx>
          <w:tblCellMar>
            <w:top w:w="0" w:type="dxa"/>
            <w:left w:w="108" w:type="dxa"/>
            <w:bottom w:w="0" w:type="dxa"/>
            <w:right w:w="108" w:type="dxa"/>
          </w:tblCellMar>
        </w:tblPrEx>
        <w:trPr>
          <w:trHeight w:val="505"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14</w:t>
            </w:r>
            <w:r>
              <w:rPr>
                <w:rFonts w:hint="eastAsia" w:ascii="宋体" w:hAnsi="宋体" w:cs="宋体"/>
                <w:color w:val="auto"/>
                <w:kern w:val="0"/>
                <w:sz w:val="20"/>
                <w:highlight w:val="none"/>
              </w:rPr>
              <w:t>、物业管理</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505" w:hRule="atLeast"/>
          <w:jc w:val="center"/>
        </w:trPr>
        <w:tc>
          <w:tcPr>
            <w:tcW w:w="1713" w:type="dxa"/>
            <w:tcBorders>
              <w:top w:val="nil"/>
              <w:left w:val="single" w:color="auto" w:sz="8" w:space="0"/>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15</w:t>
            </w:r>
            <w:r>
              <w:rPr>
                <w:rFonts w:hint="eastAsia" w:ascii="宋体" w:hAnsi="宋体" w:cs="宋体"/>
                <w:color w:val="auto"/>
                <w:kern w:val="0"/>
                <w:sz w:val="20"/>
                <w:highlight w:val="none"/>
              </w:rPr>
              <w:t>、租赁和商务服务业</w:t>
            </w:r>
          </w:p>
        </w:tc>
        <w:tc>
          <w:tcPr>
            <w:tcW w:w="149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40"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02"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8000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120000</w:t>
            </w:r>
          </w:p>
        </w:tc>
        <w:tc>
          <w:tcPr>
            <w:tcW w:w="1328"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25"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05"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 xml:space="preserve"> 100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8000</w:t>
            </w:r>
          </w:p>
        </w:tc>
        <w:tc>
          <w:tcPr>
            <w:tcW w:w="1181"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173" w:type="dxa"/>
            <w:tcBorders>
              <w:top w:val="nil"/>
              <w:left w:val="nil"/>
              <w:bottom w:val="single" w:color="auto" w:sz="4"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43" w:type="dxa"/>
            <w:tcBorders>
              <w:top w:val="nil"/>
              <w:left w:val="nil"/>
              <w:bottom w:val="single" w:color="auto" w:sz="4"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r>
      <w:tr>
        <w:tblPrEx>
          <w:tblCellMar>
            <w:top w:w="0" w:type="dxa"/>
            <w:left w:w="108" w:type="dxa"/>
            <w:bottom w:w="0" w:type="dxa"/>
            <w:right w:w="108" w:type="dxa"/>
          </w:tblCellMar>
        </w:tblPrEx>
        <w:trPr>
          <w:trHeight w:val="505" w:hRule="atLeast"/>
          <w:jc w:val="center"/>
        </w:trPr>
        <w:tc>
          <w:tcPr>
            <w:tcW w:w="1713" w:type="dxa"/>
            <w:tcBorders>
              <w:top w:val="nil"/>
              <w:left w:val="single" w:color="auto" w:sz="8" w:space="0"/>
              <w:bottom w:val="single" w:color="auto" w:sz="8"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16</w:t>
            </w:r>
            <w:r>
              <w:rPr>
                <w:rFonts w:hint="eastAsia" w:ascii="宋体" w:hAnsi="宋体" w:cs="宋体"/>
                <w:color w:val="auto"/>
                <w:kern w:val="0"/>
                <w:sz w:val="20"/>
                <w:highlight w:val="none"/>
              </w:rPr>
              <w:t>、其他未列明行业</w:t>
            </w:r>
          </w:p>
        </w:tc>
        <w:tc>
          <w:tcPr>
            <w:tcW w:w="1490" w:type="dxa"/>
            <w:tcBorders>
              <w:top w:val="nil"/>
              <w:left w:val="nil"/>
              <w:bottom w:val="single" w:color="auto" w:sz="8"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40" w:type="dxa"/>
            <w:tcBorders>
              <w:top w:val="nil"/>
              <w:left w:val="nil"/>
              <w:bottom w:val="single" w:color="auto" w:sz="8"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02" w:type="dxa"/>
            <w:tcBorders>
              <w:top w:val="nil"/>
              <w:left w:val="nil"/>
              <w:bottom w:val="single" w:color="auto" w:sz="8"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328" w:type="dxa"/>
            <w:tcBorders>
              <w:top w:val="nil"/>
              <w:left w:val="nil"/>
              <w:bottom w:val="single" w:color="auto" w:sz="8"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25" w:type="dxa"/>
            <w:tcBorders>
              <w:top w:val="nil"/>
              <w:left w:val="nil"/>
              <w:bottom w:val="single" w:color="auto" w:sz="8"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05" w:type="dxa"/>
            <w:tcBorders>
              <w:top w:val="nil"/>
              <w:left w:val="nil"/>
              <w:bottom w:val="single" w:color="auto" w:sz="8"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81" w:type="dxa"/>
            <w:tcBorders>
              <w:top w:val="nil"/>
              <w:left w:val="nil"/>
              <w:bottom w:val="single" w:color="auto" w:sz="8"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173" w:type="dxa"/>
            <w:tcBorders>
              <w:top w:val="nil"/>
              <w:left w:val="nil"/>
              <w:bottom w:val="single" w:color="auto" w:sz="8" w:space="0"/>
              <w:right w:val="single" w:color="auto" w:sz="4"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143" w:type="dxa"/>
            <w:tcBorders>
              <w:top w:val="nil"/>
              <w:left w:val="nil"/>
              <w:bottom w:val="single" w:color="auto" w:sz="8" w:space="0"/>
              <w:right w:val="single" w:color="auto" w:sz="8" w:space="0"/>
            </w:tcBorders>
            <w:noWrap w:val="0"/>
            <w:vAlign w:val="center"/>
          </w:tcPr>
          <w:p>
            <w:pPr>
              <w:widowControl/>
              <w:wordWrap w:val="0"/>
              <w:spacing w:line="240" w:lineRule="exact"/>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762" w:hRule="atLeast"/>
          <w:jc w:val="center"/>
        </w:trPr>
        <w:tc>
          <w:tcPr>
            <w:tcW w:w="13800" w:type="dxa"/>
            <w:gridSpan w:val="10"/>
            <w:tcBorders>
              <w:top w:val="nil"/>
              <w:left w:val="nil"/>
              <w:bottom w:val="nil"/>
              <w:right w:val="nil"/>
            </w:tcBorders>
            <w:noWrap w:val="0"/>
            <w:vAlign w:val="bottom"/>
          </w:tcPr>
          <w:p>
            <w:pPr>
              <w:widowControl/>
              <w:wordWrap w:val="0"/>
              <w:spacing w:line="240" w:lineRule="exact"/>
              <w:jc w:val="left"/>
              <w:rPr>
                <w:rFonts w:ascii="宋体" w:hAnsi="宋体" w:cs="宋体"/>
                <w:color w:val="auto"/>
                <w:kern w:val="0"/>
                <w:sz w:val="20"/>
                <w:highlight w:val="none"/>
              </w:rPr>
            </w:pPr>
            <w:r>
              <w:rPr>
                <w:rFonts w:hint="eastAsia" w:ascii="宋体" w:hAnsi="宋体" w:cs="宋体"/>
                <w:color w:val="auto"/>
                <w:kern w:val="0"/>
                <w:sz w:val="20"/>
                <w:highlight w:val="none"/>
              </w:rPr>
              <w:t>说明　</w:t>
            </w:r>
            <w:r>
              <w:rPr>
                <w:rFonts w:ascii="宋体" w:hAnsi="宋体" w:cs="宋体"/>
                <w:color w:val="auto"/>
                <w:kern w:val="0"/>
                <w:sz w:val="20"/>
                <w:highlight w:val="none"/>
              </w:rPr>
              <w:t>1</w:t>
            </w:r>
            <w:r>
              <w:rPr>
                <w:rFonts w:hint="eastAsia" w:ascii="宋体" w:hAnsi="宋体" w:cs="宋体"/>
                <w:color w:val="auto"/>
                <w:kern w:val="0"/>
                <w:sz w:val="20"/>
                <w:highlight w:val="none"/>
              </w:rPr>
              <w:t>、企业类型的划分以统计部门的统计数据为依据。</w:t>
            </w:r>
          </w:p>
          <w:p>
            <w:pPr>
              <w:widowControl/>
              <w:wordWrap w:val="0"/>
              <w:spacing w:line="240" w:lineRule="exact"/>
              <w:ind w:firstLine="600" w:firstLineChars="300"/>
              <w:jc w:val="left"/>
              <w:rPr>
                <w:rFonts w:ascii="宋体" w:hAnsi="宋体" w:cs="宋体"/>
                <w:color w:val="auto"/>
                <w:kern w:val="0"/>
                <w:sz w:val="20"/>
                <w:highlight w:val="none"/>
              </w:rPr>
            </w:pPr>
            <w:r>
              <w:rPr>
                <w:rFonts w:ascii="宋体" w:hAnsi="宋体" w:cs="宋体"/>
                <w:color w:val="auto"/>
                <w:kern w:val="0"/>
                <w:sz w:val="20"/>
                <w:highlight w:val="none"/>
              </w:rPr>
              <w:t>2</w:t>
            </w:r>
            <w:r>
              <w:rPr>
                <w:rFonts w:hint="eastAsia" w:ascii="宋体" w:hAnsi="宋体" w:cs="宋体"/>
                <w:color w:val="auto"/>
                <w:kern w:val="0"/>
                <w:sz w:val="20"/>
                <w:highlight w:val="none"/>
              </w:rPr>
              <w:t>、个体工商户和本规定以外的行业，参照本规定进行划型。</w:t>
            </w:r>
          </w:p>
          <w:p>
            <w:pPr>
              <w:widowControl/>
              <w:wordWrap w:val="0"/>
              <w:spacing w:line="240" w:lineRule="exact"/>
              <w:ind w:firstLine="600" w:firstLineChars="300"/>
              <w:jc w:val="left"/>
              <w:rPr>
                <w:rFonts w:ascii="宋体" w:hAnsi="宋体" w:cs="宋体"/>
                <w:color w:val="auto"/>
                <w:kern w:val="0"/>
                <w:sz w:val="20"/>
                <w:highlight w:val="none"/>
              </w:rPr>
            </w:pPr>
            <w:r>
              <w:rPr>
                <w:rFonts w:ascii="宋体" w:hAnsi="宋体" w:cs="宋体"/>
                <w:color w:val="auto"/>
                <w:kern w:val="0"/>
                <w:sz w:val="20"/>
                <w:highlight w:val="none"/>
              </w:rPr>
              <w:t>3</w:t>
            </w:r>
            <w:r>
              <w:rPr>
                <w:rFonts w:hint="eastAsia" w:ascii="宋体" w:hAnsi="宋体" w:cs="宋体"/>
                <w:color w:val="auto"/>
                <w:kern w:val="0"/>
                <w:sz w:val="20"/>
                <w:highlight w:val="none"/>
              </w:rPr>
              <w:t>、本规定的中型企业标准上限即为大型企业标准的下限。</w:t>
            </w:r>
          </w:p>
        </w:tc>
      </w:tr>
    </w:tbl>
    <w:p>
      <w:pPr>
        <w:pStyle w:val="101"/>
        <w:snapToGrid w:val="0"/>
        <w:spacing w:line="400" w:lineRule="exact"/>
        <w:jc w:val="center"/>
        <w:rPr>
          <w:rFonts w:hint="eastAsia" w:hAnsi="宋体" w:cs="方正小标宋简体"/>
          <w:b/>
          <w:color w:val="auto"/>
          <w:szCs w:val="21"/>
          <w:highlight w:val="none"/>
        </w:rPr>
      </w:pPr>
    </w:p>
    <w:sectPr>
      <w:pgSz w:w="16838" w:h="11906" w:orient="landscape"/>
      <w:pgMar w:top="1797" w:right="1474" w:bottom="1797" w:left="1135"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5E7F6E01-B2B8-4C2E-A251-868EC2BEDBDF}"/>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Gotham Book">
    <w:altName w:val="Calibri"/>
    <w:panose1 w:val="00000000000000000000"/>
    <w:charset w:val="00"/>
    <w:family w:val="swiss"/>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Gotham Light">
    <w:altName w:val="Calibri"/>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embedRegular r:id="rId2" w:fontKey="{75555B77-D8E1-46E0-8C4D-13F6AF653606}"/>
  </w:font>
  <w:font w:name="方正书宋简体">
    <w:altName w:val="宋体"/>
    <w:panose1 w:val="00000000000000000000"/>
    <w:charset w:val="86"/>
    <w:family w:val="auto"/>
    <w:pitch w:val="default"/>
    <w:sig w:usb0="00000000" w:usb1="00000000" w:usb2="00000010" w:usb3="00000000" w:csb0="00040000" w:csb1="00000000"/>
    <w:embedRegular r:id="rId3" w:fontKey="{6E203CC0-6762-480B-AA34-FD3833348922}"/>
  </w:font>
  <w:font w:name="方正小标宋简体">
    <w:panose1 w:val="02000000000000000000"/>
    <w:charset w:val="86"/>
    <w:family w:val="auto"/>
    <w:pitch w:val="default"/>
    <w:sig w:usb0="00000001" w:usb1="08000000" w:usb2="00000000" w:usb3="00000000" w:csb0="00040000" w:csb1="00000000"/>
    <w:embedRegular r:id="rId4" w:fontKey="{66E48362-EB47-4E8F-B29C-528728357205}"/>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w:t>
                          </w:r>
                          <w:r>
                            <w:rPr>
                              <w:rFonts w:hint="eastAsia"/>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AvF7+8kBAACZAwAADgAAAGRycy9lMm9Eb2MueG1srVPNjtMwEL4j8Q6W 79TZIlAVNV2BqkVICJCWfQDXsRtL/pPHbdIXgDfgxIU7z9XnYOwkXdi97GEvznhm/M1830zW14M1 5CgjaO8aerWoKJFO+Fa7fUPvvt28WlECibuWG+9kQ08S6PXm5Yt1H2q59J03rYwEQRzUfWhol1Ko GQPRScth4YN0GFQ+Wp7wGvesjbxHdGvYsqrest7HNkQvJAB6t2OQTojxKYBeKS3k1ouDlS6NqFEa npASdDoA3ZRulZIifVEKZCKmocg0lROLoL3LJ9useb2PPHRaTC3wp7TwgJPl2mHRC9SWJ04OUT+C slpED16lhfCWjUSKIsjiqnqgzW3HgyxcUGoIF9Hh+WDF5+PXSHTb0NeUOG5x4OefP86//px/fydv sjx9gBqzbgPmpeG9H3BpZj+gM7MeVLT5i3wIxlHc00VcOSQi8qPVcrWqMCQwNl8Qn90/DxHSB+kt yUZDI06viMqPnyCNqXNKrub8jTamTNC4/xyImT0s9z72mK007IaJ0M63J+TT4+Ab6nDPKTEfHeqa d2Q24mzsZuMQot53ZYlyPQjvDgmbKL3lCiPsVBgnVthN25VX4t97ybr/ozZ/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C8Xv7yQEAAJkDAAAOAAAAAAAAAAEAIAAAAB4BAABkcnMvZTJvRG9j LnhtbFBLBQYAAAAABgAGAFkBAABZBQAAAAA= ">
              <v:fill on="f" focussize="0,0"/>
              <v:stroke on="f"/>
              <v:imagedata o:title=""/>
              <o:lock v:ext="edit" aspectratio="f"/>
              <v:textbox inset="0mm,0mm,0mm,0mm" style="mso-fit-shape-to-text:t;">
                <w:txbxContent>
                  <w:p>
                    <w:pPr>
                      <w:pStyle w:val="26"/>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after="120"/>
      <w:ind w:firstLine="48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spacing w:after="120"/>
                            <w:ind w:firstLine="480"/>
                            <w:jc w:val="center"/>
                          </w:pPr>
                          <w:r>
                            <w:fldChar w:fldCharType="begin"/>
                          </w:r>
                          <w:r>
                            <w:instrText xml:space="preserve">PAGE   \* MERGEFORMAT</w:instrText>
                          </w:r>
                          <w:r>
                            <w:fldChar w:fldCharType="separate"/>
                          </w:r>
                          <w:r>
                            <w:rPr>
                              <w:lang w:val="zh-CN"/>
                            </w:rPr>
                            <w:t>45</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5ihY+ckBAACZAwAADgAAAGRycy9lMm9Eb2MueG1srVPNjtMwEL6vxDtY vlNni4S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uAmUOG5x4OefP86/Hs8P38mb LE8foMasu4B5aXjvh5w6+QGdmfWgos1f5EMwjuKeLuLKIRGRH62Wq1WFIYGx+YI47Ol5iJA+SG9J NhoacXpFVH78BGlMnVNyNedvtTHo57VxfzkQM3tY7n3sMVtp2A1T4zvfnpBPj4NvqMM9p8R8dKhr 3pHZiLOxm41DiHrflSXK9SC8OyRsovSWK4ywU2GcWGE3bVdeiT/vJevpj9r8B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mKFj5yQEAAJkDAAAOAAAAAAAAAAEAIAAAAB4BAABkcnMvZTJvRG9j LnhtbFBLBQYAAAAABgAGAFkBAABZBQAAAAA= ">
              <v:fill on="f" focussize="0,0"/>
              <v:stroke on="f"/>
              <v:imagedata o:title=""/>
              <o:lock v:ext="edit" aspectratio="f"/>
              <v:textbox inset="0mm,0mm,0mm,0mm" style="mso-fit-shape-to-text:t;">
                <w:txbxContent>
                  <w:p>
                    <w:pPr>
                      <w:pStyle w:val="26"/>
                      <w:spacing w:after="120"/>
                      <w:ind w:firstLine="480"/>
                      <w:jc w:val="center"/>
                    </w:pPr>
                    <w:r>
                      <w:fldChar w:fldCharType="begin"/>
                    </w:r>
                    <w:r>
                      <w:instrText xml:space="preserve">PAGE   \* MERGEFORMAT</w:instrText>
                    </w:r>
                    <w:r>
                      <w:fldChar w:fldCharType="separate"/>
                    </w:r>
                    <w:r>
                      <w:rPr>
                        <w:lang w:val="zh-CN"/>
                      </w:rPr>
                      <w:t>45</w:t>
                    </w:r>
                    <w:r>
                      <w:fldChar w:fldCharType="end"/>
                    </w:r>
                  </w:p>
                </w:txbxContent>
              </v:textbox>
            </v:shape>
          </w:pict>
        </mc:Fallback>
      </mc:AlternateContent>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jc w:val="center"/>
                          </w:pPr>
                          <w:r>
                            <w:fldChar w:fldCharType="begin"/>
                          </w:r>
                          <w:r>
                            <w:instrText xml:space="preserve">PAGE   \* MERGEFORMAT</w:instrText>
                          </w:r>
                          <w:r>
                            <w:fldChar w:fldCharType="separate"/>
                          </w:r>
                          <w:r>
                            <w:rPr>
                              <w:lang w:val="zh-CN"/>
                            </w:rPr>
                            <w:t>56</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8pfMzMkBAACZAwAADgAAAGRycy9lMm9Eb2MueG1srVPNjtMwEL6vxDtY vlNnK4S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DV1S4rjFgZ9//jj/ejw/fCdv sjx9gBqz7gLmpeG9H3BpZj+gM7MeVLT5i3wIxlHc00VcOSQi8qPVcrWqMCQwNl8Qnz09DxHSB+kt yUZDI06viMqPnyCNqXNKrub8rTamTNC4vxyImT0s9z72mK007IaJ0M63J+TT4+Ab6nDPKTEfHeqa d2Q24mzsZuMQot53ZYlyPQjvDgmbKL3lCiPsVBgnVthN25VX4s97yXr6oz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yl8zMyQEAAJkDAAAOAAAAAAAAAAEAIAAAAB4BAABkcnMvZTJvRG9j LnhtbFBLBQYAAAAABgAGAFkBAABZBQAAAAA= ">
              <v:fill on="f" focussize="0,0"/>
              <v:stroke on="f"/>
              <v:imagedata o:title=""/>
              <o:lock v:ext="edit" aspectratio="f"/>
              <v:textbox inset="0mm,0mm,0mm,0mm" style="mso-fit-shape-to-text:t;">
                <w:txbxContent>
                  <w:p>
                    <w:pPr>
                      <w:pStyle w:val="26"/>
                      <w:jc w:val="center"/>
                    </w:pPr>
                    <w:r>
                      <w:fldChar w:fldCharType="begin"/>
                    </w:r>
                    <w:r>
                      <w:instrText xml:space="preserve">PAGE   \* MERGEFORMAT</w:instrText>
                    </w:r>
                    <w:r>
                      <w:fldChar w:fldCharType="separate"/>
                    </w:r>
                    <w:r>
                      <w:rPr>
                        <w:lang w:val="zh-CN"/>
                      </w:rPr>
                      <w:t>56</w:t>
                    </w:r>
                    <w:r>
                      <w:fldChar w:fldCharType="end"/>
                    </w:r>
                  </w:p>
                </w:txbxContent>
              </v:textbox>
            </v:shape>
          </w:pict>
        </mc:Fallback>
      </mc:AlternateContent>
    </w:r>
  </w:p>
  <w:p>
    <w:pPr>
      <w:pStyle w:val="26"/>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r>
      <w:rPr>
        <w:rFonts w:hint="eastAsia"/>
      </w:rPr>
      <w:drawing>
        <wp:anchor distT="0" distB="0" distL="114300" distR="114300" simplePos="0" relativeHeight="251662336" behindDoc="0" locked="0" layoutInCell="1" allowOverlap="1">
          <wp:simplePos x="0" y="0"/>
          <wp:positionH relativeFrom="column">
            <wp:posOffset>17145</wp:posOffset>
          </wp:positionH>
          <wp:positionV relativeFrom="paragraph">
            <wp:posOffset>-127000</wp:posOffset>
          </wp:positionV>
          <wp:extent cx="1060450" cy="299720"/>
          <wp:effectExtent l="0" t="0" r="6350" b="5080"/>
          <wp:wrapSquare wrapText="bothSides"/>
          <wp:docPr id="4" name="图片 2" descr="LOGO版本一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LOGO版本一15MM"/>
                  <pic:cNvPicPr>
                    <a:picLocks noChangeAspect="1"/>
                  </pic:cNvPicPr>
                </pic:nvPicPr>
                <pic:blipFill>
                  <a:blip r:embed="rId1">
                    <a:grayscl/>
                    <a:lum bright="19998"/>
                  </a:blip>
                  <a:stretch>
                    <a:fillRect/>
                  </a:stretch>
                </pic:blipFill>
                <pic:spPr>
                  <a:xfrm>
                    <a:off x="0" y="0"/>
                    <a:ext cx="1060450" cy="2997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5041A"/>
    <w:multiLevelType w:val="singleLevel"/>
    <w:tmpl w:val="9C65041A"/>
    <w:lvl w:ilvl="0" w:tentative="0">
      <w:start w:val="1"/>
      <w:numFmt w:val="chineseCounting"/>
      <w:suff w:val="space"/>
      <w:lvlText w:val="第%1章"/>
      <w:lvlJc w:val="left"/>
      <w:rPr>
        <w:rFonts w:hint="eastAsia"/>
      </w:rPr>
    </w:lvl>
  </w:abstractNum>
  <w:abstractNum w:abstractNumId="1">
    <w:nsid w:val="B73207AB"/>
    <w:multiLevelType w:val="singleLevel"/>
    <w:tmpl w:val="B73207AB"/>
    <w:lvl w:ilvl="0" w:tentative="0">
      <w:start w:val="6"/>
      <w:numFmt w:val="decimal"/>
      <w:suff w:val="nothing"/>
      <w:lvlText w:val="%1、"/>
      <w:lvlJc w:val="left"/>
    </w:lvl>
  </w:abstractNum>
  <w:abstractNum w:abstractNumId="2">
    <w:nsid w:val="E7C1DD1D"/>
    <w:multiLevelType w:val="singleLevel"/>
    <w:tmpl w:val="E7C1DD1D"/>
    <w:lvl w:ilvl="0" w:tentative="0">
      <w:start w:val="1"/>
      <w:numFmt w:val="chineseCounting"/>
      <w:suff w:val="nothing"/>
      <w:lvlText w:val="%1、"/>
      <w:lvlJc w:val="left"/>
      <w:rPr>
        <w:rFonts w:hint="eastAsia"/>
      </w:rPr>
    </w:lvl>
  </w:abstractNum>
  <w:abstractNum w:abstractNumId="3">
    <w:nsid w:val="FFFFFF7E"/>
    <w:multiLevelType w:val="singleLevel"/>
    <w:tmpl w:val="FFFFFF7E"/>
    <w:lvl w:ilvl="0" w:tentative="0">
      <w:start w:val="1"/>
      <w:numFmt w:val="decimal"/>
      <w:pStyle w:val="19"/>
      <w:lvlText w:val="%1."/>
      <w:lvlJc w:val="left"/>
      <w:pPr>
        <w:tabs>
          <w:tab w:val="left" w:pos="1200"/>
        </w:tabs>
        <w:ind w:left="1200" w:hanging="360"/>
      </w:pPr>
    </w:lvl>
  </w:abstractNum>
  <w:abstractNum w:abstractNumId="4">
    <w:nsid w:val="09890BCC"/>
    <w:multiLevelType w:val="multilevel"/>
    <w:tmpl w:val="09890BCC"/>
    <w:lvl w:ilvl="0" w:tentative="0">
      <w:start w:val="1"/>
      <w:numFmt w:val="decimal"/>
      <w:pStyle w:val="13"/>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pStyle w:val="5"/>
      <w:lvlText w:val="%4."/>
      <w:lvlJc w:val="left"/>
      <w:pPr>
        <w:tabs>
          <w:tab w:val="left" w:pos="1860"/>
        </w:tabs>
        <w:ind w:left="1860" w:hanging="420"/>
      </w:pPr>
    </w:lvl>
    <w:lvl w:ilvl="4" w:tentative="0">
      <w:start w:val="1"/>
      <w:numFmt w:val="lowerLetter"/>
      <w:pStyle w:val="6"/>
      <w:lvlText w:val="%5)"/>
      <w:lvlJc w:val="left"/>
      <w:pPr>
        <w:tabs>
          <w:tab w:val="left" w:pos="2280"/>
        </w:tabs>
        <w:ind w:left="2280" w:hanging="420"/>
      </w:pPr>
    </w:lvl>
    <w:lvl w:ilvl="5" w:tentative="0">
      <w:start w:val="1"/>
      <w:numFmt w:val="lowerRoman"/>
      <w:pStyle w:val="7"/>
      <w:lvlText w:val="%6."/>
      <w:lvlJc w:val="right"/>
      <w:pPr>
        <w:tabs>
          <w:tab w:val="left" w:pos="2700"/>
        </w:tabs>
        <w:ind w:left="2700" w:hanging="420"/>
      </w:pPr>
    </w:lvl>
    <w:lvl w:ilvl="6" w:tentative="0">
      <w:start w:val="1"/>
      <w:numFmt w:val="decimal"/>
      <w:pStyle w:val="8"/>
      <w:lvlText w:val="%7."/>
      <w:lvlJc w:val="left"/>
      <w:pPr>
        <w:tabs>
          <w:tab w:val="left" w:pos="3120"/>
        </w:tabs>
        <w:ind w:left="3120" w:hanging="420"/>
      </w:pPr>
    </w:lvl>
    <w:lvl w:ilvl="7" w:tentative="0">
      <w:start w:val="1"/>
      <w:numFmt w:val="lowerLetter"/>
      <w:pStyle w:val="11"/>
      <w:lvlText w:val="%8)"/>
      <w:lvlJc w:val="left"/>
      <w:pPr>
        <w:tabs>
          <w:tab w:val="left" w:pos="3540"/>
        </w:tabs>
        <w:ind w:left="3540" w:hanging="420"/>
      </w:pPr>
    </w:lvl>
    <w:lvl w:ilvl="8" w:tentative="0">
      <w:start w:val="1"/>
      <w:numFmt w:val="lowerRoman"/>
      <w:pStyle w:val="12"/>
      <w:lvlText w:val="%9."/>
      <w:lvlJc w:val="right"/>
      <w:pPr>
        <w:tabs>
          <w:tab w:val="left" w:pos="3960"/>
        </w:tabs>
        <w:ind w:left="3960" w:hanging="420"/>
      </w:pPr>
    </w:lvl>
  </w:abstractNum>
  <w:abstractNum w:abstractNumId="5">
    <w:nsid w:val="0E674C14"/>
    <w:multiLevelType w:val="singleLevel"/>
    <w:tmpl w:val="0E674C14"/>
    <w:lvl w:ilvl="0" w:tentative="0">
      <w:start w:val="2"/>
      <w:numFmt w:val="decimal"/>
      <w:suff w:val="nothing"/>
      <w:lvlText w:val="%1、"/>
      <w:lvlJc w:val="left"/>
    </w:lvl>
  </w:abstractNum>
  <w:abstractNum w:abstractNumId="6">
    <w:nsid w:val="16F15EF1"/>
    <w:multiLevelType w:val="singleLevel"/>
    <w:tmpl w:val="16F15EF1"/>
    <w:lvl w:ilvl="0" w:tentative="0">
      <w:start w:val="1"/>
      <w:numFmt w:val="decimal"/>
      <w:lvlText w:val="(%1)"/>
      <w:lvlJc w:val="left"/>
      <w:pPr>
        <w:tabs>
          <w:tab w:val="left" w:pos="875"/>
        </w:tabs>
        <w:ind w:left="175" w:firstLine="340"/>
      </w:pPr>
      <w:rPr>
        <w:rFonts w:hint="eastAsia"/>
      </w:rPr>
    </w:lvl>
  </w:abstractNum>
  <w:abstractNum w:abstractNumId="7">
    <w:nsid w:val="27187EF8"/>
    <w:multiLevelType w:val="multilevel"/>
    <w:tmpl w:val="27187EF8"/>
    <w:lvl w:ilvl="0" w:tentative="0">
      <w:start w:val="5"/>
      <w:numFmt w:val="decimal"/>
      <w:lvlText w:val="（%1）"/>
      <w:lvlJc w:val="left"/>
      <w:pPr>
        <w:tabs>
          <w:tab w:val="left" w:pos="1200"/>
        </w:tabs>
        <w:ind w:left="1200" w:hanging="720"/>
      </w:pPr>
      <w:rPr>
        <w:rFonts w:hint="eastAsia" w:ascii="宋体" w:hAnsi="Times New Roman" w:eastAsia="宋体"/>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8">
    <w:nsid w:val="29D120CC"/>
    <w:multiLevelType w:val="singleLevel"/>
    <w:tmpl w:val="29D120CC"/>
    <w:lvl w:ilvl="0" w:tentative="0">
      <w:start w:val="1"/>
      <w:numFmt w:val="decimal"/>
      <w:suff w:val="nothing"/>
      <w:lvlText w:val="（%1）"/>
      <w:lvlJc w:val="left"/>
    </w:lvl>
  </w:abstractNum>
  <w:abstractNum w:abstractNumId="9">
    <w:nsid w:val="505B6E80"/>
    <w:multiLevelType w:val="singleLevel"/>
    <w:tmpl w:val="505B6E80"/>
    <w:lvl w:ilvl="0" w:tentative="0">
      <w:start w:val="1"/>
      <w:numFmt w:val="lowerLetter"/>
      <w:lvlText w:val="%1."/>
      <w:lvlJc w:val="left"/>
      <w:pPr>
        <w:tabs>
          <w:tab w:val="left" w:pos="360"/>
        </w:tabs>
        <w:ind w:left="301" w:hanging="301"/>
      </w:pPr>
      <w:rPr>
        <w:rFonts w:hint="eastAsia"/>
      </w:rPr>
    </w:lvl>
  </w:abstractNum>
  <w:abstractNum w:abstractNumId="10">
    <w:nsid w:val="5C87AB32"/>
    <w:multiLevelType w:val="singleLevel"/>
    <w:tmpl w:val="5C87AB32"/>
    <w:lvl w:ilvl="0" w:tentative="0">
      <w:start w:val="1"/>
      <w:numFmt w:val="decimal"/>
      <w:suff w:val="space"/>
      <w:lvlText w:val="%1."/>
      <w:lvlJc w:val="left"/>
    </w:lvl>
  </w:abstractNum>
  <w:abstractNum w:abstractNumId="11">
    <w:nsid w:val="69F70667"/>
    <w:multiLevelType w:val="multilevel"/>
    <w:tmpl w:val="69F70667"/>
    <w:lvl w:ilvl="0" w:tentative="0">
      <w:start w:val="1"/>
      <w:numFmt w:val="decimal"/>
      <w:lvlText w:val="%1、"/>
      <w:lvlJc w:val="left"/>
      <w:pPr>
        <w:tabs>
          <w:tab w:val="left" w:pos="772"/>
        </w:tabs>
        <w:ind w:left="772" w:hanging="360"/>
      </w:pPr>
      <w:rPr>
        <w:rFonts w:hint="eastAsia"/>
      </w:rPr>
    </w:lvl>
    <w:lvl w:ilvl="1" w:tentative="0">
      <w:start w:val="1"/>
      <w:numFmt w:val="lowerLetter"/>
      <w:lvlText w:val="%2)"/>
      <w:lvlJc w:val="left"/>
      <w:pPr>
        <w:tabs>
          <w:tab w:val="left" w:pos="1252"/>
        </w:tabs>
        <w:ind w:left="1252" w:hanging="420"/>
      </w:pPr>
    </w:lvl>
    <w:lvl w:ilvl="2" w:tentative="0">
      <w:start w:val="1"/>
      <w:numFmt w:val="lowerRoman"/>
      <w:lvlText w:val="%3."/>
      <w:lvlJc w:val="right"/>
      <w:pPr>
        <w:tabs>
          <w:tab w:val="left" w:pos="1672"/>
        </w:tabs>
        <w:ind w:left="1672" w:hanging="420"/>
      </w:pPr>
    </w:lvl>
    <w:lvl w:ilvl="3" w:tentative="0">
      <w:start w:val="1"/>
      <w:numFmt w:val="decimal"/>
      <w:lvlText w:val="%4."/>
      <w:lvlJc w:val="left"/>
      <w:pPr>
        <w:tabs>
          <w:tab w:val="left" w:pos="2092"/>
        </w:tabs>
        <w:ind w:left="2092" w:hanging="420"/>
      </w:pPr>
    </w:lvl>
    <w:lvl w:ilvl="4" w:tentative="0">
      <w:start w:val="1"/>
      <w:numFmt w:val="lowerLetter"/>
      <w:lvlText w:val="%5)"/>
      <w:lvlJc w:val="left"/>
      <w:pPr>
        <w:tabs>
          <w:tab w:val="left" w:pos="2512"/>
        </w:tabs>
        <w:ind w:left="2512" w:hanging="420"/>
      </w:pPr>
    </w:lvl>
    <w:lvl w:ilvl="5" w:tentative="0">
      <w:start w:val="1"/>
      <w:numFmt w:val="lowerRoman"/>
      <w:lvlText w:val="%6."/>
      <w:lvlJc w:val="right"/>
      <w:pPr>
        <w:tabs>
          <w:tab w:val="left" w:pos="2932"/>
        </w:tabs>
        <w:ind w:left="2932" w:hanging="420"/>
      </w:pPr>
    </w:lvl>
    <w:lvl w:ilvl="6" w:tentative="0">
      <w:start w:val="1"/>
      <w:numFmt w:val="decimal"/>
      <w:lvlText w:val="%7."/>
      <w:lvlJc w:val="left"/>
      <w:pPr>
        <w:tabs>
          <w:tab w:val="left" w:pos="3352"/>
        </w:tabs>
        <w:ind w:left="3352" w:hanging="420"/>
      </w:pPr>
    </w:lvl>
    <w:lvl w:ilvl="7" w:tentative="0">
      <w:start w:val="1"/>
      <w:numFmt w:val="lowerLetter"/>
      <w:lvlText w:val="%8)"/>
      <w:lvlJc w:val="left"/>
      <w:pPr>
        <w:tabs>
          <w:tab w:val="left" w:pos="3772"/>
        </w:tabs>
        <w:ind w:left="3772" w:hanging="420"/>
      </w:pPr>
    </w:lvl>
    <w:lvl w:ilvl="8" w:tentative="0">
      <w:start w:val="1"/>
      <w:numFmt w:val="lowerRoman"/>
      <w:lvlText w:val="%9."/>
      <w:lvlJc w:val="right"/>
      <w:pPr>
        <w:tabs>
          <w:tab w:val="left" w:pos="4192"/>
        </w:tabs>
        <w:ind w:left="4192" w:hanging="420"/>
      </w:pPr>
    </w:lvl>
  </w:abstractNum>
  <w:abstractNum w:abstractNumId="12">
    <w:nsid w:val="71D9659B"/>
    <w:multiLevelType w:val="singleLevel"/>
    <w:tmpl w:val="71D9659B"/>
    <w:lvl w:ilvl="0" w:tentative="0">
      <w:start w:val="1"/>
      <w:numFmt w:val="decimal"/>
      <w:lvlText w:val="%1、"/>
      <w:lvlJc w:val="left"/>
      <w:pPr>
        <w:tabs>
          <w:tab w:val="left" w:pos="840"/>
        </w:tabs>
        <w:ind w:left="840" w:hanging="360"/>
      </w:pPr>
    </w:lvl>
  </w:abstractNum>
  <w:num w:numId="1">
    <w:abstractNumId w:val="4"/>
  </w:num>
  <w:num w:numId="2">
    <w:abstractNumId w:val="3"/>
  </w:num>
  <w:num w:numId="3">
    <w:abstractNumId w:val="0"/>
  </w:num>
  <w:num w:numId="4">
    <w:abstractNumId w:val="2"/>
  </w:num>
  <w:num w:numId="5">
    <w:abstractNumId w:val="5"/>
  </w:num>
  <w:num w:numId="6">
    <w:abstractNumId w:val="8"/>
  </w:num>
  <w:num w:numId="7">
    <w:abstractNumId w:val="9"/>
    <w:lvlOverride w:ilvl="0">
      <w:startOverride w:val="1"/>
    </w:lvlOverride>
  </w:num>
  <w:num w:numId="8">
    <w:abstractNumId w:val="11"/>
    <w:lvlOverride w:ilvl="0">
      <w:startOverride w:val="1"/>
    </w:lvlOverride>
  </w:num>
  <w:num w:numId="9">
    <w:abstractNumId w:val="6"/>
    <w:lvlOverride w:ilvl="0">
      <w:startOverride w:val="1"/>
    </w:lvlOverride>
  </w:num>
  <w:num w:numId="10">
    <w:abstractNumId w:val="10"/>
  </w:num>
  <w:num w:numId="11">
    <w:abstractNumId w:val="1"/>
  </w:num>
  <w:num w:numId="12">
    <w:abstractNumId w:val="12"/>
    <w:lvlOverride w:ilvl="0">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NzBlZmI3NTc2YTE3OTc1OWQ2OGI5OGRkNGZhZjYifQ=="/>
  </w:docVars>
  <w:rsids>
    <w:rsidRoot w:val="00120357"/>
    <w:rsid w:val="0000287A"/>
    <w:rsid w:val="00002B6B"/>
    <w:rsid w:val="00004052"/>
    <w:rsid w:val="00004904"/>
    <w:rsid w:val="0000495B"/>
    <w:rsid w:val="000060C7"/>
    <w:rsid w:val="0000705C"/>
    <w:rsid w:val="00007284"/>
    <w:rsid w:val="0001138E"/>
    <w:rsid w:val="00011CAA"/>
    <w:rsid w:val="00012288"/>
    <w:rsid w:val="000122D0"/>
    <w:rsid w:val="00012DB8"/>
    <w:rsid w:val="00013586"/>
    <w:rsid w:val="00014A19"/>
    <w:rsid w:val="00016B91"/>
    <w:rsid w:val="00016C2E"/>
    <w:rsid w:val="00016DAA"/>
    <w:rsid w:val="00021E0D"/>
    <w:rsid w:val="00025336"/>
    <w:rsid w:val="00030DCE"/>
    <w:rsid w:val="00032DBE"/>
    <w:rsid w:val="00033384"/>
    <w:rsid w:val="000335A7"/>
    <w:rsid w:val="00034946"/>
    <w:rsid w:val="00035136"/>
    <w:rsid w:val="00035803"/>
    <w:rsid w:val="00035E8D"/>
    <w:rsid w:val="000361B9"/>
    <w:rsid w:val="00040330"/>
    <w:rsid w:val="00041925"/>
    <w:rsid w:val="0004517D"/>
    <w:rsid w:val="0004608A"/>
    <w:rsid w:val="00047328"/>
    <w:rsid w:val="00050154"/>
    <w:rsid w:val="00051E25"/>
    <w:rsid w:val="0005377A"/>
    <w:rsid w:val="00053A43"/>
    <w:rsid w:val="00055ECF"/>
    <w:rsid w:val="00056389"/>
    <w:rsid w:val="00056C5D"/>
    <w:rsid w:val="00056E39"/>
    <w:rsid w:val="00057161"/>
    <w:rsid w:val="000606D3"/>
    <w:rsid w:val="00061F97"/>
    <w:rsid w:val="00062702"/>
    <w:rsid w:val="0006301E"/>
    <w:rsid w:val="00063806"/>
    <w:rsid w:val="00063DD0"/>
    <w:rsid w:val="00064A66"/>
    <w:rsid w:val="00064AB7"/>
    <w:rsid w:val="00066AB2"/>
    <w:rsid w:val="0006721F"/>
    <w:rsid w:val="00067384"/>
    <w:rsid w:val="000678D0"/>
    <w:rsid w:val="00070C13"/>
    <w:rsid w:val="00071333"/>
    <w:rsid w:val="00073441"/>
    <w:rsid w:val="0007429B"/>
    <w:rsid w:val="00074D4C"/>
    <w:rsid w:val="00074E50"/>
    <w:rsid w:val="00075714"/>
    <w:rsid w:val="00077EE4"/>
    <w:rsid w:val="00080208"/>
    <w:rsid w:val="00081266"/>
    <w:rsid w:val="00081F5D"/>
    <w:rsid w:val="000839BB"/>
    <w:rsid w:val="000840B7"/>
    <w:rsid w:val="0008616E"/>
    <w:rsid w:val="00086622"/>
    <w:rsid w:val="0009207E"/>
    <w:rsid w:val="00092EB2"/>
    <w:rsid w:val="00093B62"/>
    <w:rsid w:val="000953EE"/>
    <w:rsid w:val="0009555F"/>
    <w:rsid w:val="00096428"/>
    <w:rsid w:val="0009643E"/>
    <w:rsid w:val="0009703A"/>
    <w:rsid w:val="00097EB6"/>
    <w:rsid w:val="000A1180"/>
    <w:rsid w:val="000A1C4D"/>
    <w:rsid w:val="000A298D"/>
    <w:rsid w:val="000A39C3"/>
    <w:rsid w:val="000A3AB3"/>
    <w:rsid w:val="000A5C80"/>
    <w:rsid w:val="000A6B3B"/>
    <w:rsid w:val="000A7BD2"/>
    <w:rsid w:val="000A7DBB"/>
    <w:rsid w:val="000B0A3D"/>
    <w:rsid w:val="000B0BF8"/>
    <w:rsid w:val="000B18DF"/>
    <w:rsid w:val="000B2710"/>
    <w:rsid w:val="000B2C94"/>
    <w:rsid w:val="000B57EA"/>
    <w:rsid w:val="000C0933"/>
    <w:rsid w:val="000C1E98"/>
    <w:rsid w:val="000C26C0"/>
    <w:rsid w:val="000C32B3"/>
    <w:rsid w:val="000C48C5"/>
    <w:rsid w:val="000C5621"/>
    <w:rsid w:val="000C5F40"/>
    <w:rsid w:val="000C665A"/>
    <w:rsid w:val="000C66F4"/>
    <w:rsid w:val="000D0204"/>
    <w:rsid w:val="000D1613"/>
    <w:rsid w:val="000D4E08"/>
    <w:rsid w:val="000D57B4"/>
    <w:rsid w:val="000D63D6"/>
    <w:rsid w:val="000E12AA"/>
    <w:rsid w:val="000E2F3B"/>
    <w:rsid w:val="000E333B"/>
    <w:rsid w:val="000E48A9"/>
    <w:rsid w:val="000E4D4E"/>
    <w:rsid w:val="000E565F"/>
    <w:rsid w:val="000E7801"/>
    <w:rsid w:val="000E7D7C"/>
    <w:rsid w:val="000F1A4E"/>
    <w:rsid w:val="000F70C3"/>
    <w:rsid w:val="00100301"/>
    <w:rsid w:val="00100E27"/>
    <w:rsid w:val="00101BFB"/>
    <w:rsid w:val="00102590"/>
    <w:rsid w:val="0010342D"/>
    <w:rsid w:val="00104816"/>
    <w:rsid w:val="00104F51"/>
    <w:rsid w:val="0010562C"/>
    <w:rsid w:val="001060B2"/>
    <w:rsid w:val="001063EE"/>
    <w:rsid w:val="0010680E"/>
    <w:rsid w:val="00107CC1"/>
    <w:rsid w:val="00112983"/>
    <w:rsid w:val="00114F71"/>
    <w:rsid w:val="00115F55"/>
    <w:rsid w:val="00115FD2"/>
    <w:rsid w:val="001167CB"/>
    <w:rsid w:val="00117395"/>
    <w:rsid w:val="00117BD0"/>
    <w:rsid w:val="00120357"/>
    <w:rsid w:val="00120FDD"/>
    <w:rsid w:val="00122871"/>
    <w:rsid w:val="00122BC2"/>
    <w:rsid w:val="001238E1"/>
    <w:rsid w:val="001253FA"/>
    <w:rsid w:val="00125B0F"/>
    <w:rsid w:val="00126537"/>
    <w:rsid w:val="00126FD6"/>
    <w:rsid w:val="00127723"/>
    <w:rsid w:val="00131458"/>
    <w:rsid w:val="00131F2B"/>
    <w:rsid w:val="00132A3D"/>
    <w:rsid w:val="00135024"/>
    <w:rsid w:val="00135599"/>
    <w:rsid w:val="00135BC4"/>
    <w:rsid w:val="00136D9C"/>
    <w:rsid w:val="00137970"/>
    <w:rsid w:val="00137D9C"/>
    <w:rsid w:val="00137E0E"/>
    <w:rsid w:val="0014050D"/>
    <w:rsid w:val="00141119"/>
    <w:rsid w:val="0014187E"/>
    <w:rsid w:val="00141CD0"/>
    <w:rsid w:val="00141D6E"/>
    <w:rsid w:val="0014374B"/>
    <w:rsid w:val="00144041"/>
    <w:rsid w:val="001449F0"/>
    <w:rsid w:val="00145623"/>
    <w:rsid w:val="00146856"/>
    <w:rsid w:val="00146D02"/>
    <w:rsid w:val="0015029C"/>
    <w:rsid w:val="001511D2"/>
    <w:rsid w:val="00151324"/>
    <w:rsid w:val="00151DC3"/>
    <w:rsid w:val="001539A5"/>
    <w:rsid w:val="001542F9"/>
    <w:rsid w:val="00155E5F"/>
    <w:rsid w:val="00157825"/>
    <w:rsid w:val="0016043E"/>
    <w:rsid w:val="00160ED6"/>
    <w:rsid w:val="00161C9F"/>
    <w:rsid w:val="001627F2"/>
    <w:rsid w:val="00164003"/>
    <w:rsid w:val="00166D39"/>
    <w:rsid w:val="001700F8"/>
    <w:rsid w:val="001701D4"/>
    <w:rsid w:val="0017151A"/>
    <w:rsid w:val="001717A2"/>
    <w:rsid w:val="00172C7D"/>
    <w:rsid w:val="00172F2C"/>
    <w:rsid w:val="00173971"/>
    <w:rsid w:val="00173A8F"/>
    <w:rsid w:val="0017504D"/>
    <w:rsid w:val="0017668E"/>
    <w:rsid w:val="00176EFD"/>
    <w:rsid w:val="00181401"/>
    <w:rsid w:val="001819A3"/>
    <w:rsid w:val="0018245B"/>
    <w:rsid w:val="00182D4A"/>
    <w:rsid w:val="001843C5"/>
    <w:rsid w:val="00184B00"/>
    <w:rsid w:val="001852B1"/>
    <w:rsid w:val="00185B9D"/>
    <w:rsid w:val="001860BB"/>
    <w:rsid w:val="001864D1"/>
    <w:rsid w:val="00187187"/>
    <w:rsid w:val="001873D0"/>
    <w:rsid w:val="00187EC6"/>
    <w:rsid w:val="00190A94"/>
    <w:rsid w:val="00190D3E"/>
    <w:rsid w:val="00192F9F"/>
    <w:rsid w:val="00193890"/>
    <w:rsid w:val="00193D8E"/>
    <w:rsid w:val="001966C2"/>
    <w:rsid w:val="00197396"/>
    <w:rsid w:val="001A0F06"/>
    <w:rsid w:val="001A175E"/>
    <w:rsid w:val="001A2299"/>
    <w:rsid w:val="001A2B6A"/>
    <w:rsid w:val="001A3407"/>
    <w:rsid w:val="001A39C3"/>
    <w:rsid w:val="001A49BF"/>
    <w:rsid w:val="001A4B5F"/>
    <w:rsid w:val="001A5481"/>
    <w:rsid w:val="001A553D"/>
    <w:rsid w:val="001A5615"/>
    <w:rsid w:val="001A5FCB"/>
    <w:rsid w:val="001A6501"/>
    <w:rsid w:val="001B0873"/>
    <w:rsid w:val="001B0C91"/>
    <w:rsid w:val="001B160D"/>
    <w:rsid w:val="001B1781"/>
    <w:rsid w:val="001B34B7"/>
    <w:rsid w:val="001B350E"/>
    <w:rsid w:val="001B37BB"/>
    <w:rsid w:val="001B5706"/>
    <w:rsid w:val="001B5946"/>
    <w:rsid w:val="001B64CC"/>
    <w:rsid w:val="001B7059"/>
    <w:rsid w:val="001B763C"/>
    <w:rsid w:val="001B7A7F"/>
    <w:rsid w:val="001B7CB9"/>
    <w:rsid w:val="001C01F9"/>
    <w:rsid w:val="001C035E"/>
    <w:rsid w:val="001C177A"/>
    <w:rsid w:val="001C3063"/>
    <w:rsid w:val="001C39C6"/>
    <w:rsid w:val="001C4613"/>
    <w:rsid w:val="001C4C5E"/>
    <w:rsid w:val="001C4F39"/>
    <w:rsid w:val="001C5824"/>
    <w:rsid w:val="001C6183"/>
    <w:rsid w:val="001C6F2E"/>
    <w:rsid w:val="001C6FA2"/>
    <w:rsid w:val="001C714E"/>
    <w:rsid w:val="001D02AF"/>
    <w:rsid w:val="001D06C2"/>
    <w:rsid w:val="001D10A7"/>
    <w:rsid w:val="001D1156"/>
    <w:rsid w:val="001D127C"/>
    <w:rsid w:val="001D1667"/>
    <w:rsid w:val="001D281C"/>
    <w:rsid w:val="001D2E39"/>
    <w:rsid w:val="001D3517"/>
    <w:rsid w:val="001D515D"/>
    <w:rsid w:val="001D5750"/>
    <w:rsid w:val="001D5ADD"/>
    <w:rsid w:val="001D654D"/>
    <w:rsid w:val="001D6C65"/>
    <w:rsid w:val="001D6CFA"/>
    <w:rsid w:val="001D7168"/>
    <w:rsid w:val="001D75C4"/>
    <w:rsid w:val="001E0472"/>
    <w:rsid w:val="001E05D6"/>
    <w:rsid w:val="001E2653"/>
    <w:rsid w:val="001E2FF8"/>
    <w:rsid w:val="001E3918"/>
    <w:rsid w:val="001E4310"/>
    <w:rsid w:val="001E5E39"/>
    <w:rsid w:val="001E6DAF"/>
    <w:rsid w:val="001E6F44"/>
    <w:rsid w:val="001E7964"/>
    <w:rsid w:val="001F11D4"/>
    <w:rsid w:val="001F2150"/>
    <w:rsid w:val="001F3863"/>
    <w:rsid w:val="001F484B"/>
    <w:rsid w:val="001F4BDE"/>
    <w:rsid w:val="001F66A4"/>
    <w:rsid w:val="002000CA"/>
    <w:rsid w:val="0020057E"/>
    <w:rsid w:val="00200998"/>
    <w:rsid w:val="002031FB"/>
    <w:rsid w:val="00204108"/>
    <w:rsid w:val="00204285"/>
    <w:rsid w:val="00205BB6"/>
    <w:rsid w:val="00206158"/>
    <w:rsid w:val="0020627C"/>
    <w:rsid w:val="002069D5"/>
    <w:rsid w:val="00206C4B"/>
    <w:rsid w:val="002101F6"/>
    <w:rsid w:val="00210A3D"/>
    <w:rsid w:val="00211116"/>
    <w:rsid w:val="00211B81"/>
    <w:rsid w:val="00214144"/>
    <w:rsid w:val="00214F36"/>
    <w:rsid w:val="00215BC0"/>
    <w:rsid w:val="0021666B"/>
    <w:rsid w:val="00216B0D"/>
    <w:rsid w:val="002173D0"/>
    <w:rsid w:val="00220BB7"/>
    <w:rsid w:val="0022143C"/>
    <w:rsid w:val="00221E1E"/>
    <w:rsid w:val="00222698"/>
    <w:rsid w:val="002236B7"/>
    <w:rsid w:val="00224FF4"/>
    <w:rsid w:val="00226A08"/>
    <w:rsid w:val="00226AA7"/>
    <w:rsid w:val="00226D83"/>
    <w:rsid w:val="002277A5"/>
    <w:rsid w:val="00227CE3"/>
    <w:rsid w:val="002300C9"/>
    <w:rsid w:val="00230441"/>
    <w:rsid w:val="00230A97"/>
    <w:rsid w:val="00231602"/>
    <w:rsid w:val="00232151"/>
    <w:rsid w:val="0023282F"/>
    <w:rsid w:val="00233BB9"/>
    <w:rsid w:val="00234393"/>
    <w:rsid w:val="00235371"/>
    <w:rsid w:val="00235A88"/>
    <w:rsid w:val="0023619F"/>
    <w:rsid w:val="00236ACF"/>
    <w:rsid w:val="00240101"/>
    <w:rsid w:val="00240831"/>
    <w:rsid w:val="00240FFD"/>
    <w:rsid w:val="00245829"/>
    <w:rsid w:val="00246648"/>
    <w:rsid w:val="002471BF"/>
    <w:rsid w:val="0024723A"/>
    <w:rsid w:val="002515BD"/>
    <w:rsid w:val="00253882"/>
    <w:rsid w:val="002539E7"/>
    <w:rsid w:val="00255D90"/>
    <w:rsid w:val="002561C7"/>
    <w:rsid w:val="002601A4"/>
    <w:rsid w:val="002606A8"/>
    <w:rsid w:val="00261D21"/>
    <w:rsid w:val="00262346"/>
    <w:rsid w:val="002627B4"/>
    <w:rsid w:val="0026345B"/>
    <w:rsid w:val="00264740"/>
    <w:rsid w:val="0026594F"/>
    <w:rsid w:val="0026625C"/>
    <w:rsid w:val="00267E67"/>
    <w:rsid w:val="002717B4"/>
    <w:rsid w:val="00274B14"/>
    <w:rsid w:val="00274C81"/>
    <w:rsid w:val="00275809"/>
    <w:rsid w:val="00281A92"/>
    <w:rsid w:val="00282B7B"/>
    <w:rsid w:val="002830DC"/>
    <w:rsid w:val="00283F3B"/>
    <w:rsid w:val="00284745"/>
    <w:rsid w:val="0028641A"/>
    <w:rsid w:val="00286689"/>
    <w:rsid w:val="00287D7F"/>
    <w:rsid w:val="00291104"/>
    <w:rsid w:val="002919A5"/>
    <w:rsid w:val="002921C5"/>
    <w:rsid w:val="00295CF7"/>
    <w:rsid w:val="002968B7"/>
    <w:rsid w:val="002972EF"/>
    <w:rsid w:val="00297F22"/>
    <w:rsid w:val="002A02F3"/>
    <w:rsid w:val="002A0A56"/>
    <w:rsid w:val="002A261E"/>
    <w:rsid w:val="002A3124"/>
    <w:rsid w:val="002A50E3"/>
    <w:rsid w:val="002A6CFE"/>
    <w:rsid w:val="002A7611"/>
    <w:rsid w:val="002A793C"/>
    <w:rsid w:val="002A7D85"/>
    <w:rsid w:val="002B34A0"/>
    <w:rsid w:val="002B3B15"/>
    <w:rsid w:val="002B3EDD"/>
    <w:rsid w:val="002B403A"/>
    <w:rsid w:val="002B4FED"/>
    <w:rsid w:val="002B6109"/>
    <w:rsid w:val="002B6B2E"/>
    <w:rsid w:val="002C1F8A"/>
    <w:rsid w:val="002C2D82"/>
    <w:rsid w:val="002C2DFA"/>
    <w:rsid w:val="002C3EA9"/>
    <w:rsid w:val="002C4F3C"/>
    <w:rsid w:val="002C4FC4"/>
    <w:rsid w:val="002C61A9"/>
    <w:rsid w:val="002C6379"/>
    <w:rsid w:val="002C7382"/>
    <w:rsid w:val="002C75CA"/>
    <w:rsid w:val="002C7876"/>
    <w:rsid w:val="002D0003"/>
    <w:rsid w:val="002D0A84"/>
    <w:rsid w:val="002D0E8B"/>
    <w:rsid w:val="002D22C5"/>
    <w:rsid w:val="002D25C2"/>
    <w:rsid w:val="002D3181"/>
    <w:rsid w:val="002D4838"/>
    <w:rsid w:val="002D4BB8"/>
    <w:rsid w:val="002D4D1D"/>
    <w:rsid w:val="002D7EDC"/>
    <w:rsid w:val="002E0199"/>
    <w:rsid w:val="002E09D1"/>
    <w:rsid w:val="002E1339"/>
    <w:rsid w:val="002E13E9"/>
    <w:rsid w:val="002E23B0"/>
    <w:rsid w:val="002E3ED6"/>
    <w:rsid w:val="002E575D"/>
    <w:rsid w:val="002E585D"/>
    <w:rsid w:val="002E6658"/>
    <w:rsid w:val="002E6C4F"/>
    <w:rsid w:val="002E6E70"/>
    <w:rsid w:val="002F083D"/>
    <w:rsid w:val="002F1648"/>
    <w:rsid w:val="002F2B57"/>
    <w:rsid w:val="002F3A14"/>
    <w:rsid w:val="002F3F4E"/>
    <w:rsid w:val="002F4552"/>
    <w:rsid w:val="002F5752"/>
    <w:rsid w:val="002F5AA3"/>
    <w:rsid w:val="00300EE7"/>
    <w:rsid w:val="003014E3"/>
    <w:rsid w:val="003029A8"/>
    <w:rsid w:val="003032AA"/>
    <w:rsid w:val="00303986"/>
    <w:rsid w:val="003049D2"/>
    <w:rsid w:val="00304A92"/>
    <w:rsid w:val="0030559B"/>
    <w:rsid w:val="00310638"/>
    <w:rsid w:val="00310D71"/>
    <w:rsid w:val="00311886"/>
    <w:rsid w:val="003123EF"/>
    <w:rsid w:val="00312EE1"/>
    <w:rsid w:val="00314014"/>
    <w:rsid w:val="0031515C"/>
    <w:rsid w:val="00316275"/>
    <w:rsid w:val="003164A1"/>
    <w:rsid w:val="0031706F"/>
    <w:rsid w:val="00317A11"/>
    <w:rsid w:val="003204BD"/>
    <w:rsid w:val="00322050"/>
    <w:rsid w:val="003256CF"/>
    <w:rsid w:val="0032588B"/>
    <w:rsid w:val="003261C5"/>
    <w:rsid w:val="00326509"/>
    <w:rsid w:val="00327EB7"/>
    <w:rsid w:val="0033138F"/>
    <w:rsid w:val="00331CBB"/>
    <w:rsid w:val="00332672"/>
    <w:rsid w:val="00333CC4"/>
    <w:rsid w:val="003347AE"/>
    <w:rsid w:val="003376DE"/>
    <w:rsid w:val="003377B2"/>
    <w:rsid w:val="00337AC5"/>
    <w:rsid w:val="00341AC1"/>
    <w:rsid w:val="00343D77"/>
    <w:rsid w:val="00344251"/>
    <w:rsid w:val="00345849"/>
    <w:rsid w:val="00345B06"/>
    <w:rsid w:val="00345C36"/>
    <w:rsid w:val="003462D1"/>
    <w:rsid w:val="003503BD"/>
    <w:rsid w:val="00350EEF"/>
    <w:rsid w:val="0035163E"/>
    <w:rsid w:val="0035165C"/>
    <w:rsid w:val="00351681"/>
    <w:rsid w:val="00352C17"/>
    <w:rsid w:val="00356478"/>
    <w:rsid w:val="00357CC2"/>
    <w:rsid w:val="00360458"/>
    <w:rsid w:val="00360D86"/>
    <w:rsid w:val="003620E1"/>
    <w:rsid w:val="00363137"/>
    <w:rsid w:val="0036398C"/>
    <w:rsid w:val="0036460B"/>
    <w:rsid w:val="0036469B"/>
    <w:rsid w:val="00364A36"/>
    <w:rsid w:val="00365A3A"/>
    <w:rsid w:val="00366399"/>
    <w:rsid w:val="00366E99"/>
    <w:rsid w:val="00367B90"/>
    <w:rsid w:val="00367E71"/>
    <w:rsid w:val="00371305"/>
    <w:rsid w:val="003754D5"/>
    <w:rsid w:val="00377ABF"/>
    <w:rsid w:val="00377D33"/>
    <w:rsid w:val="00380F48"/>
    <w:rsid w:val="0038174C"/>
    <w:rsid w:val="00383118"/>
    <w:rsid w:val="00383DE6"/>
    <w:rsid w:val="00384439"/>
    <w:rsid w:val="00384E9F"/>
    <w:rsid w:val="00390796"/>
    <w:rsid w:val="00390AC9"/>
    <w:rsid w:val="0039102F"/>
    <w:rsid w:val="00392899"/>
    <w:rsid w:val="00395938"/>
    <w:rsid w:val="00397B81"/>
    <w:rsid w:val="003A0606"/>
    <w:rsid w:val="003A1727"/>
    <w:rsid w:val="003A3701"/>
    <w:rsid w:val="003A41AA"/>
    <w:rsid w:val="003A579D"/>
    <w:rsid w:val="003B0A4D"/>
    <w:rsid w:val="003B21AF"/>
    <w:rsid w:val="003B55CE"/>
    <w:rsid w:val="003B5F37"/>
    <w:rsid w:val="003B7260"/>
    <w:rsid w:val="003C0A0C"/>
    <w:rsid w:val="003C0CDB"/>
    <w:rsid w:val="003C39DC"/>
    <w:rsid w:val="003C5EDE"/>
    <w:rsid w:val="003C644B"/>
    <w:rsid w:val="003C663E"/>
    <w:rsid w:val="003C70CA"/>
    <w:rsid w:val="003C7C0C"/>
    <w:rsid w:val="003D0C18"/>
    <w:rsid w:val="003D2429"/>
    <w:rsid w:val="003D2455"/>
    <w:rsid w:val="003D2535"/>
    <w:rsid w:val="003D2929"/>
    <w:rsid w:val="003D2F8F"/>
    <w:rsid w:val="003D3DAD"/>
    <w:rsid w:val="003D43D2"/>
    <w:rsid w:val="003D64F6"/>
    <w:rsid w:val="003D733B"/>
    <w:rsid w:val="003D7A35"/>
    <w:rsid w:val="003E0455"/>
    <w:rsid w:val="003E0E59"/>
    <w:rsid w:val="003E1678"/>
    <w:rsid w:val="003E22D8"/>
    <w:rsid w:val="003E37EF"/>
    <w:rsid w:val="003E4ABE"/>
    <w:rsid w:val="003E50EB"/>
    <w:rsid w:val="003E61C6"/>
    <w:rsid w:val="003E70F1"/>
    <w:rsid w:val="003F0D8E"/>
    <w:rsid w:val="003F2031"/>
    <w:rsid w:val="003F2564"/>
    <w:rsid w:val="003F2E4D"/>
    <w:rsid w:val="003F4F21"/>
    <w:rsid w:val="003F6CE9"/>
    <w:rsid w:val="003F7993"/>
    <w:rsid w:val="00400F88"/>
    <w:rsid w:val="00401079"/>
    <w:rsid w:val="0040122C"/>
    <w:rsid w:val="0040202D"/>
    <w:rsid w:val="004050B6"/>
    <w:rsid w:val="00405638"/>
    <w:rsid w:val="0040799C"/>
    <w:rsid w:val="004103EA"/>
    <w:rsid w:val="00410BBA"/>
    <w:rsid w:val="00411046"/>
    <w:rsid w:val="00411AE0"/>
    <w:rsid w:val="004124B3"/>
    <w:rsid w:val="00412B8C"/>
    <w:rsid w:val="00412CDA"/>
    <w:rsid w:val="004173EA"/>
    <w:rsid w:val="004206C6"/>
    <w:rsid w:val="004212E3"/>
    <w:rsid w:val="004222C7"/>
    <w:rsid w:val="00422A95"/>
    <w:rsid w:val="00423C02"/>
    <w:rsid w:val="00424314"/>
    <w:rsid w:val="004248E8"/>
    <w:rsid w:val="00424E10"/>
    <w:rsid w:val="00424F65"/>
    <w:rsid w:val="00425945"/>
    <w:rsid w:val="00425B05"/>
    <w:rsid w:val="00426F15"/>
    <w:rsid w:val="0042735F"/>
    <w:rsid w:val="004274AE"/>
    <w:rsid w:val="00430EB3"/>
    <w:rsid w:val="00431E7C"/>
    <w:rsid w:val="004320DA"/>
    <w:rsid w:val="00432D27"/>
    <w:rsid w:val="00433297"/>
    <w:rsid w:val="00434CD8"/>
    <w:rsid w:val="00434F10"/>
    <w:rsid w:val="004350DB"/>
    <w:rsid w:val="004357A7"/>
    <w:rsid w:val="00437F5E"/>
    <w:rsid w:val="00442984"/>
    <w:rsid w:val="00444792"/>
    <w:rsid w:val="00445FCF"/>
    <w:rsid w:val="00446205"/>
    <w:rsid w:val="004500EA"/>
    <w:rsid w:val="00450CCB"/>
    <w:rsid w:val="00451572"/>
    <w:rsid w:val="004526D8"/>
    <w:rsid w:val="00453BAF"/>
    <w:rsid w:val="00455F82"/>
    <w:rsid w:val="00461659"/>
    <w:rsid w:val="00461C82"/>
    <w:rsid w:val="0046210F"/>
    <w:rsid w:val="00462FDB"/>
    <w:rsid w:val="004636A7"/>
    <w:rsid w:val="004636E6"/>
    <w:rsid w:val="004658CA"/>
    <w:rsid w:val="00465F46"/>
    <w:rsid w:val="00466333"/>
    <w:rsid w:val="00467529"/>
    <w:rsid w:val="0047020C"/>
    <w:rsid w:val="004725F1"/>
    <w:rsid w:val="004744FD"/>
    <w:rsid w:val="00474AF4"/>
    <w:rsid w:val="004768ED"/>
    <w:rsid w:val="0048080E"/>
    <w:rsid w:val="00480CF6"/>
    <w:rsid w:val="00481F1A"/>
    <w:rsid w:val="00483D4F"/>
    <w:rsid w:val="00485E2A"/>
    <w:rsid w:val="0048610A"/>
    <w:rsid w:val="00486174"/>
    <w:rsid w:val="00486D66"/>
    <w:rsid w:val="00492ADB"/>
    <w:rsid w:val="0049312E"/>
    <w:rsid w:val="0049340E"/>
    <w:rsid w:val="004935AC"/>
    <w:rsid w:val="004937AF"/>
    <w:rsid w:val="00493A9B"/>
    <w:rsid w:val="00493C76"/>
    <w:rsid w:val="00494096"/>
    <w:rsid w:val="004946C2"/>
    <w:rsid w:val="0049566F"/>
    <w:rsid w:val="00495D1F"/>
    <w:rsid w:val="00495D98"/>
    <w:rsid w:val="0049703D"/>
    <w:rsid w:val="00497BDB"/>
    <w:rsid w:val="004A1DB2"/>
    <w:rsid w:val="004A4F01"/>
    <w:rsid w:val="004A5A79"/>
    <w:rsid w:val="004A5D0C"/>
    <w:rsid w:val="004A6F76"/>
    <w:rsid w:val="004A78C5"/>
    <w:rsid w:val="004A7F14"/>
    <w:rsid w:val="004B1C2C"/>
    <w:rsid w:val="004B5615"/>
    <w:rsid w:val="004B6079"/>
    <w:rsid w:val="004B62F8"/>
    <w:rsid w:val="004B6632"/>
    <w:rsid w:val="004B6656"/>
    <w:rsid w:val="004B6A98"/>
    <w:rsid w:val="004B73A1"/>
    <w:rsid w:val="004C0025"/>
    <w:rsid w:val="004C1ECB"/>
    <w:rsid w:val="004C25D2"/>
    <w:rsid w:val="004C3435"/>
    <w:rsid w:val="004C441A"/>
    <w:rsid w:val="004C444E"/>
    <w:rsid w:val="004C4843"/>
    <w:rsid w:val="004C5312"/>
    <w:rsid w:val="004C60CB"/>
    <w:rsid w:val="004C69C5"/>
    <w:rsid w:val="004C700C"/>
    <w:rsid w:val="004C7E4B"/>
    <w:rsid w:val="004D1064"/>
    <w:rsid w:val="004D3A8A"/>
    <w:rsid w:val="004D3FB0"/>
    <w:rsid w:val="004D5298"/>
    <w:rsid w:val="004D6A09"/>
    <w:rsid w:val="004D6E0B"/>
    <w:rsid w:val="004D7253"/>
    <w:rsid w:val="004D7570"/>
    <w:rsid w:val="004E1FA8"/>
    <w:rsid w:val="004E3431"/>
    <w:rsid w:val="004E5239"/>
    <w:rsid w:val="004E6FE3"/>
    <w:rsid w:val="004E77B5"/>
    <w:rsid w:val="004E7B45"/>
    <w:rsid w:val="004F166C"/>
    <w:rsid w:val="004F2424"/>
    <w:rsid w:val="004F3A1B"/>
    <w:rsid w:val="004F40C4"/>
    <w:rsid w:val="004F49FB"/>
    <w:rsid w:val="00501FBE"/>
    <w:rsid w:val="005023F4"/>
    <w:rsid w:val="0050471A"/>
    <w:rsid w:val="00504CA3"/>
    <w:rsid w:val="0050687E"/>
    <w:rsid w:val="00507139"/>
    <w:rsid w:val="005119D3"/>
    <w:rsid w:val="00514056"/>
    <w:rsid w:val="00514118"/>
    <w:rsid w:val="005144D7"/>
    <w:rsid w:val="005153B1"/>
    <w:rsid w:val="005158D1"/>
    <w:rsid w:val="00516EC2"/>
    <w:rsid w:val="0051754D"/>
    <w:rsid w:val="0052123A"/>
    <w:rsid w:val="00522589"/>
    <w:rsid w:val="00523229"/>
    <w:rsid w:val="005244C0"/>
    <w:rsid w:val="00524DD7"/>
    <w:rsid w:val="00525EAA"/>
    <w:rsid w:val="00526010"/>
    <w:rsid w:val="00532007"/>
    <w:rsid w:val="00532925"/>
    <w:rsid w:val="00532940"/>
    <w:rsid w:val="00532AB4"/>
    <w:rsid w:val="00533AFF"/>
    <w:rsid w:val="00534026"/>
    <w:rsid w:val="0053526F"/>
    <w:rsid w:val="00535506"/>
    <w:rsid w:val="005358C2"/>
    <w:rsid w:val="00535A2D"/>
    <w:rsid w:val="00536F9A"/>
    <w:rsid w:val="005370DB"/>
    <w:rsid w:val="005402A3"/>
    <w:rsid w:val="005460DE"/>
    <w:rsid w:val="005469F4"/>
    <w:rsid w:val="00546A94"/>
    <w:rsid w:val="005510B4"/>
    <w:rsid w:val="005513F0"/>
    <w:rsid w:val="00551FBF"/>
    <w:rsid w:val="00552B5A"/>
    <w:rsid w:val="005531A8"/>
    <w:rsid w:val="005557EB"/>
    <w:rsid w:val="0055586C"/>
    <w:rsid w:val="00556664"/>
    <w:rsid w:val="005569FD"/>
    <w:rsid w:val="00556E27"/>
    <w:rsid w:val="005605F3"/>
    <w:rsid w:val="005607B4"/>
    <w:rsid w:val="005616DA"/>
    <w:rsid w:val="00561E94"/>
    <w:rsid w:val="00563AAF"/>
    <w:rsid w:val="0056407C"/>
    <w:rsid w:val="00564BF0"/>
    <w:rsid w:val="00564EBB"/>
    <w:rsid w:val="00565245"/>
    <w:rsid w:val="00566E5E"/>
    <w:rsid w:val="00567144"/>
    <w:rsid w:val="0056724B"/>
    <w:rsid w:val="00570025"/>
    <w:rsid w:val="0057032B"/>
    <w:rsid w:val="00570A04"/>
    <w:rsid w:val="00570B7A"/>
    <w:rsid w:val="0057392C"/>
    <w:rsid w:val="0057393B"/>
    <w:rsid w:val="00575354"/>
    <w:rsid w:val="005774AE"/>
    <w:rsid w:val="00580BE7"/>
    <w:rsid w:val="005810B4"/>
    <w:rsid w:val="0058285D"/>
    <w:rsid w:val="00583036"/>
    <w:rsid w:val="00584EBE"/>
    <w:rsid w:val="00585A7E"/>
    <w:rsid w:val="0058740F"/>
    <w:rsid w:val="00587673"/>
    <w:rsid w:val="00587E6E"/>
    <w:rsid w:val="00590C58"/>
    <w:rsid w:val="00590C9E"/>
    <w:rsid w:val="00592059"/>
    <w:rsid w:val="00593361"/>
    <w:rsid w:val="005948AF"/>
    <w:rsid w:val="00594E72"/>
    <w:rsid w:val="005955D5"/>
    <w:rsid w:val="005963E7"/>
    <w:rsid w:val="00596427"/>
    <w:rsid w:val="00596856"/>
    <w:rsid w:val="00596AF5"/>
    <w:rsid w:val="00597AB1"/>
    <w:rsid w:val="005A0FC3"/>
    <w:rsid w:val="005A6376"/>
    <w:rsid w:val="005A66AB"/>
    <w:rsid w:val="005A6A18"/>
    <w:rsid w:val="005A7A7D"/>
    <w:rsid w:val="005B00F1"/>
    <w:rsid w:val="005B017C"/>
    <w:rsid w:val="005B0C26"/>
    <w:rsid w:val="005B1569"/>
    <w:rsid w:val="005B15B4"/>
    <w:rsid w:val="005B443C"/>
    <w:rsid w:val="005B4E21"/>
    <w:rsid w:val="005B6074"/>
    <w:rsid w:val="005C0151"/>
    <w:rsid w:val="005C1732"/>
    <w:rsid w:val="005C3759"/>
    <w:rsid w:val="005C617E"/>
    <w:rsid w:val="005C658A"/>
    <w:rsid w:val="005C6E7A"/>
    <w:rsid w:val="005C7981"/>
    <w:rsid w:val="005C7A17"/>
    <w:rsid w:val="005D0A94"/>
    <w:rsid w:val="005D3373"/>
    <w:rsid w:val="005D3975"/>
    <w:rsid w:val="005D3BD6"/>
    <w:rsid w:val="005D518A"/>
    <w:rsid w:val="005D596E"/>
    <w:rsid w:val="005D777E"/>
    <w:rsid w:val="005D7F68"/>
    <w:rsid w:val="005E08A5"/>
    <w:rsid w:val="005E08B1"/>
    <w:rsid w:val="005E095A"/>
    <w:rsid w:val="005E254E"/>
    <w:rsid w:val="005E40D1"/>
    <w:rsid w:val="005E42E1"/>
    <w:rsid w:val="005E469C"/>
    <w:rsid w:val="005E47BC"/>
    <w:rsid w:val="005E51E0"/>
    <w:rsid w:val="005E6C19"/>
    <w:rsid w:val="005E6CCB"/>
    <w:rsid w:val="005E7E44"/>
    <w:rsid w:val="005F037C"/>
    <w:rsid w:val="005F217F"/>
    <w:rsid w:val="005F29D2"/>
    <w:rsid w:val="005F4147"/>
    <w:rsid w:val="005F4BC2"/>
    <w:rsid w:val="005F63DE"/>
    <w:rsid w:val="00600321"/>
    <w:rsid w:val="00600781"/>
    <w:rsid w:val="00600AF6"/>
    <w:rsid w:val="00601F1D"/>
    <w:rsid w:val="006037FD"/>
    <w:rsid w:val="00604871"/>
    <w:rsid w:val="00604E3A"/>
    <w:rsid w:val="00607E46"/>
    <w:rsid w:val="0061002F"/>
    <w:rsid w:val="00612F8B"/>
    <w:rsid w:val="00614D15"/>
    <w:rsid w:val="00615941"/>
    <w:rsid w:val="00615A7E"/>
    <w:rsid w:val="00615D97"/>
    <w:rsid w:val="0061733E"/>
    <w:rsid w:val="006177DE"/>
    <w:rsid w:val="00617D3F"/>
    <w:rsid w:val="006200AF"/>
    <w:rsid w:val="00620906"/>
    <w:rsid w:val="0062094D"/>
    <w:rsid w:val="0062127D"/>
    <w:rsid w:val="006227EE"/>
    <w:rsid w:val="0062307F"/>
    <w:rsid w:val="006236EE"/>
    <w:rsid w:val="00623E92"/>
    <w:rsid w:val="00624031"/>
    <w:rsid w:val="00625321"/>
    <w:rsid w:val="00625E96"/>
    <w:rsid w:val="0062641D"/>
    <w:rsid w:val="0062789E"/>
    <w:rsid w:val="006301CD"/>
    <w:rsid w:val="00631B42"/>
    <w:rsid w:val="00633FD5"/>
    <w:rsid w:val="0063553E"/>
    <w:rsid w:val="00640EC3"/>
    <w:rsid w:val="0064103C"/>
    <w:rsid w:val="0064170A"/>
    <w:rsid w:val="00641B3E"/>
    <w:rsid w:val="00641E35"/>
    <w:rsid w:val="0064340A"/>
    <w:rsid w:val="006436BF"/>
    <w:rsid w:val="006449D0"/>
    <w:rsid w:val="00644BD8"/>
    <w:rsid w:val="006454C9"/>
    <w:rsid w:val="0064679B"/>
    <w:rsid w:val="00646F0C"/>
    <w:rsid w:val="00647158"/>
    <w:rsid w:val="00650197"/>
    <w:rsid w:val="006522B3"/>
    <w:rsid w:val="006523E2"/>
    <w:rsid w:val="00652D91"/>
    <w:rsid w:val="006540A8"/>
    <w:rsid w:val="006541CE"/>
    <w:rsid w:val="00654361"/>
    <w:rsid w:val="0065735D"/>
    <w:rsid w:val="00660AC2"/>
    <w:rsid w:val="006621B4"/>
    <w:rsid w:val="00662A8A"/>
    <w:rsid w:val="00663B0B"/>
    <w:rsid w:val="006654B7"/>
    <w:rsid w:val="006659A3"/>
    <w:rsid w:val="00665ED3"/>
    <w:rsid w:val="0066664E"/>
    <w:rsid w:val="00666848"/>
    <w:rsid w:val="00670066"/>
    <w:rsid w:val="00670F3A"/>
    <w:rsid w:val="006744F2"/>
    <w:rsid w:val="00675454"/>
    <w:rsid w:val="00675BFF"/>
    <w:rsid w:val="00676DCD"/>
    <w:rsid w:val="00676DEE"/>
    <w:rsid w:val="00677219"/>
    <w:rsid w:val="006777F5"/>
    <w:rsid w:val="00677A29"/>
    <w:rsid w:val="00680A07"/>
    <w:rsid w:val="00680B97"/>
    <w:rsid w:val="006814D3"/>
    <w:rsid w:val="006830E4"/>
    <w:rsid w:val="00683238"/>
    <w:rsid w:val="00684035"/>
    <w:rsid w:val="00684244"/>
    <w:rsid w:val="00684598"/>
    <w:rsid w:val="00684A9E"/>
    <w:rsid w:val="00684B00"/>
    <w:rsid w:val="006861DC"/>
    <w:rsid w:val="00687283"/>
    <w:rsid w:val="00687853"/>
    <w:rsid w:val="00690843"/>
    <w:rsid w:val="006908DB"/>
    <w:rsid w:val="00690DEB"/>
    <w:rsid w:val="00691411"/>
    <w:rsid w:val="00691575"/>
    <w:rsid w:val="006921EA"/>
    <w:rsid w:val="00692656"/>
    <w:rsid w:val="00692C8D"/>
    <w:rsid w:val="00693F2E"/>
    <w:rsid w:val="0069409D"/>
    <w:rsid w:val="0069496B"/>
    <w:rsid w:val="00694B11"/>
    <w:rsid w:val="006950B4"/>
    <w:rsid w:val="0069530F"/>
    <w:rsid w:val="00695F0C"/>
    <w:rsid w:val="00696A15"/>
    <w:rsid w:val="006A2985"/>
    <w:rsid w:val="006A343C"/>
    <w:rsid w:val="006A4CA2"/>
    <w:rsid w:val="006A7091"/>
    <w:rsid w:val="006A7F7A"/>
    <w:rsid w:val="006B1964"/>
    <w:rsid w:val="006B4DAE"/>
    <w:rsid w:val="006B54F0"/>
    <w:rsid w:val="006C0350"/>
    <w:rsid w:val="006C17A1"/>
    <w:rsid w:val="006C1D38"/>
    <w:rsid w:val="006C1D64"/>
    <w:rsid w:val="006C25DF"/>
    <w:rsid w:val="006C5AB4"/>
    <w:rsid w:val="006C5ABE"/>
    <w:rsid w:val="006C5FF0"/>
    <w:rsid w:val="006C795C"/>
    <w:rsid w:val="006D0F70"/>
    <w:rsid w:val="006D1142"/>
    <w:rsid w:val="006D1973"/>
    <w:rsid w:val="006D29D3"/>
    <w:rsid w:val="006D32B2"/>
    <w:rsid w:val="006D58F1"/>
    <w:rsid w:val="006E0690"/>
    <w:rsid w:val="006E1951"/>
    <w:rsid w:val="006E216A"/>
    <w:rsid w:val="006E2332"/>
    <w:rsid w:val="006E30EE"/>
    <w:rsid w:val="006E47F2"/>
    <w:rsid w:val="006E4B60"/>
    <w:rsid w:val="006E5706"/>
    <w:rsid w:val="006F2A78"/>
    <w:rsid w:val="006F2D0A"/>
    <w:rsid w:val="006F3AD3"/>
    <w:rsid w:val="006F3F71"/>
    <w:rsid w:val="00700AE7"/>
    <w:rsid w:val="007010B2"/>
    <w:rsid w:val="00702245"/>
    <w:rsid w:val="00702DF3"/>
    <w:rsid w:val="0070380D"/>
    <w:rsid w:val="007038A3"/>
    <w:rsid w:val="00704558"/>
    <w:rsid w:val="00705419"/>
    <w:rsid w:val="00707DFA"/>
    <w:rsid w:val="00707E1F"/>
    <w:rsid w:val="007100EF"/>
    <w:rsid w:val="0071229F"/>
    <w:rsid w:val="00712A22"/>
    <w:rsid w:val="00714A5E"/>
    <w:rsid w:val="00715E3F"/>
    <w:rsid w:val="0072016A"/>
    <w:rsid w:val="0072181C"/>
    <w:rsid w:val="00721936"/>
    <w:rsid w:val="00723958"/>
    <w:rsid w:val="007239CD"/>
    <w:rsid w:val="0072465C"/>
    <w:rsid w:val="007260F6"/>
    <w:rsid w:val="0072776A"/>
    <w:rsid w:val="00727845"/>
    <w:rsid w:val="00727859"/>
    <w:rsid w:val="007303FA"/>
    <w:rsid w:val="00730903"/>
    <w:rsid w:val="0073137F"/>
    <w:rsid w:val="00731E92"/>
    <w:rsid w:val="00732B04"/>
    <w:rsid w:val="00733323"/>
    <w:rsid w:val="00733613"/>
    <w:rsid w:val="007337AA"/>
    <w:rsid w:val="00736A44"/>
    <w:rsid w:val="0073741E"/>
    <w:rsid w:val="00737FAB"/>
    <w:rsid w:val="00741212"/>
    <w:rsid w:val="00742CBE"/>
    <w:rsid w:val="007438B2"/>
    <w:rsid w:val="007440CE"/>
    <w:rsid w:val="00745E12"/>
    <w:rsid w:val="00747331"/>
    <w:rsid w:val="00750AB9"/>
    <w:rsid w:val="00752FE3"/>
    <w:rsid w:val="00753026"/>
    <w:rsid w:val="00753F5A"/>
    <w:rsid w:val="00754106"/>
    <w:rsid w:val="007556F8"/>
    <w:rsid w:val="00760BB1"/>
    <w:rsid w:val="007625C5"/>
    <w:rsid w:val="00762881"/>
    <w:rsid w:val="00762E96"/>
    <w:rsid w:val="00764649"/>
    <w:rsid w:val="007654DB"/>
    <w:rsid w:val="00765975"/>
    <w:rsid w:val="00765C66"/>
    <w:rsid w:val="00766D69"/>
    <w:rsid w:val="0076779C"/>
    <w:rsid w:val="007708BC"/>
    <w:rsid w:val="00771DBF"/>
    <w:rsid w:val="00771EEE"/>
    <w:rsid w:val="007729EE"/>
    <w:rsid w:val="0077370E"/>
    <w:rsid w:val="0077674D"/>
    <w:rsid w:val="00780668"/>
    <w:rsid w:val="007806C2"/>
    <w:rsid w:val="00782378"/>
    <w:rsid w:val="00784AD2"/>
    <w:rsid w:val="00785268"/>
    <w:rsid w:val="007855A3"/>
    <w:rsid w:val="00785720"/>
    <w:rsid w:val="00785E12"/>
    <w:rsid w:val="00787FDF"/>
    <w:rsid w:val="0079136A"/>
    <w:rsid w:val="007916B8"/>
    <w:rsid w:val="00791E0E"/>
    <w:rsid w:val="00792CA8"/>
    <w:rsid w:val="00792E99"/>
    <w:rsid w:val="00792EDC"/>
    <w:rsid w:val="00795F46"/>
    <w:rsid w:val="007965C7"/>
    <w:rsid w:val="007972E5"/>
    <w:rsid w:val="007976F4"/>
    <w:rsid w:val="007A0074"/>
    <w:rsid w:val="007A33E2"/>
    <w:rsid w:val="007A366B"/>
    <w:rsid w:val="007A3FC6"/>
    <w:rsid w:val="007A432E"/>
    <w:rsid w:val="007A4936"/>
    <w:rsid w:val="007A4947"/>
    <w:rsid w:val="007A4E8A"/>
    <w:rsid w:val="007A61AA"/>
    <w:rsid w:val="007A650F"/>
    <w:rsid w:val="007A7173"/>
    <w:rsid w:val="007A7923"/>
    <w:rsid w:val="007A7BBD"/>
    <w:rsid w:val="007B14C3"/>
    <w:rsid w:val="007B3251"/>
    <w:rsid w:val="007B5CD5"/>
    <w:rsid w:val="007B6541"/>
    <w:rsid w:val="007B671C"/>
    <w:rsid w:val="007B6767"/>
    <w:rsid w:val="007B6DF4"/>
    <w:rsid w:val="007B7097"/>
    <w:rsid w:val="007C0C27"/>
    <w:rsid w:val="007D0963"/>
    <w:rsid w:val="007D1AD8"/>
    <w:rsid w:val="007D4B99"/>
    <w:rsid w:val="007D52A0"/>
    <w:rsid w:val="007D668E"/>
    <w:rsid w:val="007E4136"/>
    <w:rsid w:val="007E6645"/>
    <w:rsid w:val="007E7C3E"/>
    <w:rsid w:val="007E7FEF"/>
    <w:rsid w:val="007F07CC"/>
    <w:rsid w:val="007F1E99"/>
    <w:rsid w:val="007F34EF"/>
    <w:rsid w:val="007F3646"/>
    <w:rsid w:val="007F3FCE"/>
    <w:rsid w:val="007F4E5A"/>
    <w:rsid w:val="007F73B8"/>
    <w:rsid w:val="00801166"/>
    <w:rsid w:val="008022A5"/>
    <w:rsid w:val="0080239C"/>
    <w:rsid w:val="00802589"/>
    <w:rsid w:val="008028A3"/>
    <w:rsid w:val="00802FB9"/>
    <w:rsid w:val="00803649"/>
    <w:rsid w:val="00803B1E"/>
    <w:rsid w:val="00804144"/>
    <w:rsid w:val="00804528"/>
    <w:rsid w:val="0080649E"/>
    <w:rsid w:val="00806BEF"/>
    <w:rsid w:val="00806CB8"/>
    <w:rsid w:val="008072E8"/>
    <w:rsid w:val="00807C41"/>
    <w:rsid w:val="00810566"/>
    <w:rsid w:val="0081085C"/>
    <w:rsid w:val="00810F9B"/>
    <w:rsid w:val="008121E5"/>
    <w:rsid w:val="008201FC"/>
    <w:rsid w:val="0082046E"/>
    <w:rsid w:val="00820D95"/>
    <w:rsid w:val="00820E3C"/>
    <w:rsid w:val="00821778"/>
    <w:rsid w:val="0082254A"/>
    <w:rsid w:val="008242D5"/>
    <w:rsid w:val="008245F0"/>
    <w:rsid w:val="00825205"/>
    <w:rsid w:val="00825643"/>
    <w:rsid w:val="0082566B"/>
    <w:rsid w:val="008275F2"/>
    <w:rsid w:val="008302F7"/>
    <w:rsid w:val="00830704"/>
    <w:rsid w:val="00830A36"/>
    <w:rsid w:val="00831871"/>
    <w:rsid w:val="00833992"/>
    <w:rsid w:val="008340FC"/>
    <w:rsid w:val="00834D68"/>
    <w:rsid w:val="00835547"/>
    <w:rsid w:val="0083592C"/>
    <w:rsid w:val="00840195"/>
    <w:rsid w:val="0084185B"/>
    <w:rsid w:val="00841C7F"/>
    <w:rsid w:val="00842418"/>
    <w:rsid w:val="008434B6"/>
    <w:rsid w:val="00843677"/>
    <w:rsid w:val="008454F1"/>
    <w:rsid w:val="00845D28"/>
    <w:rsid w:val="00846A12"/>
    <w:rsid w:val="00846D28"/>
    <w:rsid w:val="00846E3B"/>
    <w:rsid w:val="008472AC"/>
    <w:rsid w:val="00847F6C"/>
    <w:rsid w:val="00851C2B"/>
    <w:rsid w:val="008526C0"/>
    <w:rsid w:val="00852D30"/>
    <w:rsid w:val="008553C5"/>
    <w:rsid w:val="00860525"/>
    <w:rsid w:val="0086280E"/>
    <w:rsid w:val="00862EAE"/>
    <w:rsid w:val="0086379C"/>
    <w:rsid w:val="00865885"/>
    <w:rsid w:val="00865BAD"/>
    <w:rsid w:val="00867B57"/>
    <w:rsid w:val="00867D0C"/>
    <w:rsid w:val="00870F5E"/>
    <w:rsid w:val="00872FCF"/>
    <w:rsid w:val="00874C2F"/>
    <w:rsid w:val="00875787"/>
    <w:rsid w:val="00875ABA"/>
    <w:rsid w:val="00877BF2"/>
    <w:rsid w:val="00881220"/>
    <w:rsid w:val="008818BB"/>
    <w:rsid w:val="00881ED7"/>
    <w:rsid w:val="0088261B"/>
    <w:rsid w:val="00882699"/>
    <w:rsid w:val="00883B62"/>
    <w:rsid w:val="00885A2E"/>
    <w:rsid w:val="00885D6B"/>
    <w:rsid w:val="00886016"/>
    <w:rsid w:val="00886304"/>
    <w:rsid w:val="00887328"/>
    <w:rsid w:val="00887362"/>
    <w:rsid w:val="00887BD2"/>
    <w:rsid w:val="00887DA5"/>
    <w:rsid w:val="00891B76"/>
    <w:rsid w:val="0089300F"/>
    <w:rsid w:val="00893FA4"/>
    <w:rsid w:val="00894E3A"/>
    <w:rsid w:val="00895ED3"/>
    <w:rsid w:val="00896279"/>
    <w:rsid w:val="00896777"/>
    <w:rsid w:val="00896A4A"/>
    <w:rsid w:val="00897263"/>
    <w:rsid w:val="008A06E0"/>
    <w:rsid w:val="008A1A50"/>
    <w:rsid w:val="008A275F"/>
    <w:rsid w:val="008A2BC0"/>
    <w:rsid w:val="008A362B"/>
    <w:rsid w:val="008A60ED"/>
    <w:rsid w:val="008A6204"/>
    <w:rsid w:val="008A6745"/>
    <w:rsid w:val="008A68AE"/>
    <w:rsid w:val="008A7FE8"/>
    <w:rsid w:val="008B0AA1"/>
    <w:rsid w:val="008B0D6A"/>
    <w:rsid w:val="008B1014"/>
    <w:rsid w:val="008B423F"/>
    <w:rsid w:val="008B45E9"/>
    <w:rsid w:val="008B59AC"/>
    <w:rsid w:val="008B5C53"/>
    <w:rsid w:val="008B6622"/>
    <w:rsid w:val="008B78B9"/>
    <w:rsid w:val="008C1E44"/>
    <w:rsid w:val="008C2809"/>
    <w:rsid w:val="008C28EC"/>
    <w:rsid w:val="008C2EF4"/>
    <w:rsid w:val="008C34F4"/>
    <w:rsid w:val="008C37A0"/>
    <w:rsid w:val="008C3E32"/>
    <w:rsid w:val="008C4DEB"/>
    <w:rsid w:val="008C4F81"/>
    <w:rsid w:val="008C54C5"/>
    <w:rsid w:val="008C6B79"/>
    <w:rsid w:val="008C75B1"/>
    <w:rsid w:val="008D0493"/>
    <w:rsid w:val="008D0D6C"/>
    <w:rsid w:val="008D0F0F"/>
    <w:rsid w:val="008D18ED"/>
    <w:rsid w:val="008D3BC5"/>
    <w:rsid w:val="008D4328"/>
    <w:rsid w:val="008D4816"/>
    <w:rsid w:val="008D4A97"/>
    <w:rsid w:val="008D5BAD"/>
    <w:rsid w:val="008D707B"/>
    <w:rsid w:val="008E0DE0"/>
    <w:rsid w:val="008E19C8"/>
    <w:rsid w:val="008E1FA1"/>
    <w:rsid w:val="008E217E"/>
    <w:rsid w:val="008E21C2"/>
    <w:rsid w:val="008E314F"/>
    <w:rsid w:val="008E3D05"/>
    <w:rsid w:val="008E44B5"/>
    <w:rsid w:val="008E46D7"/>
    <w:rsid w:val="008E54C7"/>
    <w:rsid w:val="008E57C9"/>
    <w:rsid w:val="008E5BBE"/>
    <w:rsid w:val="008F055A"/>
    <w:rsid w:val="008F09D7"/>
    <w:rsid w:val="008F0B19"/>
    <w:rsid w:val="008F0F0A"/>
    <w:rsid w:val="008F172A"/>
    <w:rsid w:val="008F280D"/>
    <w:rsid w:val="008F3B68"/>
    <w:rsid w:val="008F55BF"/>
    <w:rsid w:val="008F6B21"/>
    <w:rsid w:val="008F6FFA"/>
    <w:rsid w:val="0090041C"/>
    <w:rsid w:val="009026F5"/>
    <w:rsid w:val="009029B2"/>
    <w:rsid w:val="0090330C"/>
    <w:rsid w:val="009035BF"/>
    <w:rsid w:val="00907E6E"/>
    <w:rsid w:val="00910A13"/>
    <w:rsid w:val="00911BB4"/>
    <w:rsid w:val="009137BE"/>
    <w:rsid w:val="00913A80"/>
    <w:rsid w:val="00913F0F"/>
    <w:rsid w:val="0091419E"/>
    <w:rsid w:val="00915421"/>
    <w:rsid w:val="00916229"/>
    <w:rsid w:val="0091657F"/>
    <w:rsid w:val="0092002F"/>
    <w:rsid w:val="00920214"/>
    <w:rsid w:val="009206CE"/>
    <w:rsid w:val="00921A35"/>
    <w:rsid w:val="009224D8"/>
    <w:rsid w:val="00923240"/>
    <w:rsid w:val="009233B3"/>
    <w:rsid w:val="00924FE3"/>
    <w:rsid w:val="00926500"/>
    <w:rsid w:val="00926B0E"/>
    <w:rsid w:val="009279E3"/>
    <w:rsid w:val="009309DF"/>
    <w:rsid w:val="00932CDF"/>
    <w:rsid w:val="0093315A"/>
    <w:rsid w:val="0093343B"/>
    <w:rsid w:val="009346A9"/>
    <w:rsid w:val="00934A59"/>
    <w:rsid w:val="00934FED"/>
    <w:rsid w:val="00936744"/>
    <w:rsid w:val="0093683B"/>
    <w:rsid w:val="00936E8A"/>
    <w:rsid w:val="00940231"/>
    <w:rsid w:val="009407C4"/>
    <w:rsid w:val="00943C8D"/>
    <w:rsid w:val="00943F01"/>
    <w:rsid w:val="009443ED"/>
    <w:rsid w:val="00945612"/>
    <w:rsid w:val="00946338"/>
    <w:rsid w:val="00951137"/>
    <w:rsid w:val="009522DE"/>
    <w:rsid w:val="00952FAF"/>
    <w:rsid w:val="00953D2F"/>
    <w:rsid w:val="00953ECD"/>
    <w:rsid w:val="00956842"/>
    <w:rsid w:val="00960C77"/>
    <w:rsid w:val="00962B0F"/>
    <w:rsid w:val="00963A8C"/>
    <w:rsid w:val="00963E9C"/>
    <w:rsid w:val="00964787"/>
    <w:rsid w:val="009711A7"/>
    <w:rsid w:val="00971BEA"/>
    <w:rsid w:val="00974D3D"/>
    <w:rsid w:val="009762AD"/>
    <w:rsid w:val="00976B2B"/>
    <w:rsid w:val="009772B8"/>
    <w:rsid w:val="0097757A"/>
    <w:rsid w:val="00977648"/>
    <w:rsid w:val="00980EDB"/>
    <w:rsid w:val="009815AC"/>
    <w:rsid w:val="00981991"/>
    <w:rsid w:val="0098261F"/>
    <w:rsid w:val="0098264A"/>
    <w:rsid w:val="009835E3"/>
    <w:rsid w:val="009842A9"/>
    <w:rsid w:val="00986B4C"/>
    <w:rsid w:val="0098726B"/>
    <w:rsid w:val="0099040C"/>
    <w:rsid w:val="0099088B"/>
    <w:rsid w:val="00992670"/>
    <w:rsid w:val="009928E9"/>
    <w:rsid w:val="00992AC9"/>
    <w:rsid w:val="00993C66"/>
    <w:rsid w:val="009940FF"/>
    <w:rsid w:val="00995F4E"/>
    <w:rsid w:val="009975D6"/>
    <w:rsid w:val="009A06E1"/>
    <w:rsid w:val="009A1199"/>
    <w:rsid w:val="009A64B4"/>
    <w:rsid w:val="009A72E9"/>
    <w:rsid w:val="009B05EB"/>
    <w:rsid w:val="009B0FC7"/>
    <w:rsid w:val="009B2697"/>
    <w:rsid w:val="009B31A5"/>
    <w:rsid w:val="009B42D9"/>
    <w:rsid w:val="009B507B"/>
    <w:rsid w:val="009B5B57"/>
    <w:rsid w:val="009B6F9B"/>
    <w:rsid w:val="009B7D70"/>
    <w:rsid w:val="009C0B9B"/>
    <w:rsid w:val="009C14B5"/>
    <w:rsid w:val="009C1A72"/>
    <w:rsid w:val="009C2B04"/>
    <w:rsid w:val="009C38D8"/>
    <w:rsid w:val="009C3F4D"/>
    <w:rsid w:val="009C4934"/>
    <w:rsid w:val="009C5B7A"/>
    <w:rsid w:val="009C68C3"/>
    <w:rsid w:val="009D09DE"/>
    <w:rsid w:val="009D6FE2"/>
    <w:rsid w:val="009D7CDE"/>
    <w:rsid w:val="009E21B5"/>
    <w:rsid w:val="009E4853"/>
    <w:rsid w:val="009E53CC"/>
    <w:rsid w:val="009E5412"/>
    <w:rsid w:val="009E76D4"/>
    <w:rsid w:val="009E7A9D"/>
    <w:rsid w:val="009F2820"/>
    <w:rsid w:val="009F35A0"/>
    <w:rsid w:val="009F35C5"/>
    <w:rsid w:val="009F3F59"/>
    <w:rsid w:val="009F5BFB"/>
    <w:rsid w:val="009F6039"/>
    <w:rsid w:val="009F6283"/>
    <w:rsid w:val="009F7544"/>
    <w:rsid w:val="009F7F00"/>
    <w:rsid w:val="00A00257"/>
    <w:rsid w:val="00A00688"/>
    <w:rsid w:val="00A00D32"/>
    <w:rsid w:val="00A01CF3"/>
    <w:rsid w:val="00A02964"/>
    <w:rsid w:val="00A03E11"/>
    <w:rsid w:val="00A0524B"/>
    <w:rsid w:val="00A0560D"/>
    <w:rsid w:val="00A0625C"/>
    <w:rsid w:val="00A06CE9"/>
    <w:rsid w:val="00A07132"/>
    <w:rsid w:val="00A07577"/>
    <w:rsid w:val="00A078A9"/>
    <w:rsid w:val="00A11490"/>
    <w:rsid w:val="00A114DE"/>
    <w:rsid w:val="00A118E5"/>
    <w:rsid w:val="00A11D45"/>
    <w:rsid w:val="00A1203C"/>
    <w:rsid w:val="00A12912"/>
    <w:rsid w:val="00A155B7"/>
    <w:rsid w:val="00A158C2"/>
    <w:rsid w:val="00A167F4"/>
    <w:rsid w:val="00A1766D"/>
    <w:rsid w:val="00A21AA0"/>
    <w:rsid w:val="00A2476E"/>
    <w:rsid w:val="00A25E68"/>
    <w:rsid w:val="00A2667A"/>
    <w:rsid w:val="00A26B37"/>
    <w:rsid w:val="00A27818"/>
    <w:rsid w:val="00A30945"/>
    <w:rsid w:val="00A30C80"/>
    <w:rsid w:val="00A3472E"/>
    <w:rsid w:val="00A34952"/>
    <w:rsid w:val="00A34A0B"/>
    <w:rsid w:val="00A34DD6"/>
    <w:rsid w:val="00A3502F"/>
    <w:rsid w:val="00A3620F"/>
    <w:rsid w:val="00A36519"/>
    <w:rsid w:val="00A374C5"/>
    <w:rsid w:val="00A4013A"/>
    <w:rsid w:val="00A43B7C"/>
    <w:rsid w:val="00A442F8"/>
    <w:rsid w:val="00A4548B"/>
    <w:rsid w:val="00A45793"/>
    <w:rsid w:val="00A475FC"/>
    <w:rsid w:val="00A479DB"/>
    <w:rsid w:val="00A50F3E"/>
    <w:rsid w:val="00A54C00"/>
    <w:rsid w:val="00A5554F"/>
    <w:rsid w:val="00A55A11"/>
    <w:rsid w:val="00A5639B"/>
    <w:rsid w:val="00A5650B"/>
    <w:rsid w:val="00A566F4"/>
    <w:rsid w:val="00A5781E"/>
    <w:rsid w:val="00A57C6C"/>
    <w:rsid w:val="00A6226D"/>
    <w:rsid w:val="00A6245F"/>
    <w:rsid w:val="00A63EF4"/>
    <w:rsid w:val="00A64A79"/>
    <w:rsid w:val="00A65839"/>
    <w:rsid w:val="00A660F1"/>
    <w:rsid w:val="00A70525"/>
    <w:rsid w:val="00A748AA"/>
    <w:rsid w:val="00A75327"/>
    <w:rsid w:val="00A77B50"/>
    <w:rsid w:val="00A811D7"/>
    <w:rsid w:val="00A81364"/>
    <w:rsid w:val="00A838D3"/>
    <w:rsid w:val="00A844F2"/>
    <w:rsid w:val="00A8479A"/>
    <w:rsid w:val="00A849EF"/>
    <w:rsid w:val="00A863EC"/>
    <w:rsid w:val="00A8656B"/>
    <w:rsid w:val="00A87A23"/>
    <w:rsid w:val="00A87EAE"/>
    <w:rsid w:val="00A90233"/>
    <w:rsid w:val="00A90340"/>
    <w:rsid w:val="00A9067D"/>
    <w:rsid w:val="00A90900"/>
    <w:rsid w:val="00A90B15"/>
    <w:rsid w:val="00A90D81"/>
    <w:rsid w:val="00A912A4"/>
    <w:rsid w:val="00A9146B"/>
    <w:rsid w:val="00A918A3"/>
    <w:rsid w:val="00A92F7E"/>
    <w:rsid w:val="00A93BC6"/>
    <w:rsid w:val="00A94E7D"/>
    <w:rsid w:val="00A95FD0"/>
    <w:rsid w:val="00A95FDB"/>
    <w:rsid w:val="00A96305"/>
    <w:rsid w:val="00AA097F"/>
    <w:rsid w:val="00AA18D1"/>
    <w:rsid w:val="00AA345C"/>
    <w:rsid w:val="00AA3550"/>
    <w:rsid w:val="00AA381D"/>
    <w:rsid w:val="00AA5B3A"/>
    <w:rsid w:val="00AB0F78"/>
    <w:rsid w:val="00AB36AE"/>
    <w:rsid w:val="00AB383E"/>
    <w:rsid w:val="00AB40F4"/>
    <w:rsid w:val="00AB48C0"/>
    <w:rsid w:val="00AB5078"/>
    <w:rsid w:val="00AB5775"/>
    <w:rsid w:val="00AB5C44"/>
    <w:rsid w:val="00AB71D5"/>
    <w:rsid w:val="00AB7C7B"/>
    <w:rsid w:val="00AC0CBC"/>
    <w:rsid w:val="00AC1A7D"/>
    <w:rsid w:val="00AC1B88"/>
    <w:rsid w:val="00AC1D79"/>
    <w:rsid w:val="00AC32B1"/>
    <w:rsid w:val="00AC4068"/>
    <w:rsid w:val="00AC5075"/>
    <w:rsid w:val="00AC5364"/>
    <w:rsid w:val="00AC5B1F"/>
    <w:rsid w:val="00AC623A"/>
    <w:rsid w:val="00AC7824"/>
    <w:rsid w:val="00AD11EF"/>
    <w:rsid w:val="00AD3304"/>
    <w:rsid w:val="00AD4001"/>
    <w:rsid w:val="00AD42B4"/>
    <w:rsid w:val="00AD58C4"/>
    <w:rsid w:val="00AD5FC5"/>
    <w:rsid w:val="00AD7087"/>
    <w:rsid w:val="00AD7FBA"/>
    <w:rsid w:val="00AE1AF7"/>
    <w:rsid w:val="00AE3B6D"/>
    <w:rsid w:val="00AE4484"/>
    <w:rsid w:val="00AE478F"/>
    <w:rsid w:val="00AE65E9"/>
    <w:rsid w:val="00AE6CD7"/>
    <w:rsid w:val="00AE7DE6"/>
    <w:rsid w:val="00AF21A7"/>
    <w:rsid w:val="00AF2227"/>
    <w:rsid w:val="00AF2F48"/>
    <w:rsid w:val="00AF37A8"/>
    <w:rsid w:val="00AF40C0"/>
    <w:rsid w:val="00AF4257"/>
    <w:rsid w:val="00AF43AC"/>
    <w:rsid w:val="00AF4E31"/>
    <w:rsid w:val="00AF5354"/>
    <w:rsid w:val="00AF6688"/>
    <w:rsid w:val="00B00019"/>
    <w:rsid w:val="00B0082B"/>
    <w:rsid w:val="00B01403"/>
    <w:rsid w:val="00B014C2"/>
    <w:rsid w:val="00B02E3F"/>
    <w:rsid w:val="00B0485D"/>
    <w:rsid w:val="00B07B75"/>
    <w:rsid w:val="00B10C6F"/>
    <w:rsid w:val="00B10CE7"/>
    <w:rsid w:val="00B10F50"/>
    <w:rsid w:val="00B117F3"/>
    <w:rsid w:val="00B158F5"/>
    <w:rsid w:val="00B15DCA"/>
    <w:rsid w:val="00B166CF"/>
    <w:rsid w:val="00B174EE"/>
    <w:rsid w:val="00B17C77"/>
    <w:rsid w:val="00B20A19"/>
    <w:rsid w:val="00B20C61"/>
    <w:rsid w:val="00B22B88"/>
    <w:rsid w:val="00B25F88"/>
    <w:rsid w:val="00B27A47"/>
    <w:rsid w:val="00B30377"/>
    <w:rsid w:val="00B314FB"/>
    <w:rsid w:val="00B324B7"/>
    <w:rsid w:val="00B32876"/>
    <w:rsid w:val="00B35D36"/>
    <w:rsid w:val="00B404B8"/>
    <w:rsid w:val="00B40CA3"/>
    <w:rsid w:val="00B41398"/>
    <w:rsid w:val="00B43215"/>
    <w:rsid w:val="00B4454B"/>
    <w:rsid w:val="00B45440"/>
    <w:rsid w:val="00B45575"/>
    <w:rsid w:val="00B50B4A"/>
    <w:rsid w:val="00B50BAA"/>
    <w:rsid w:val="00B51613"/>
    <w:rsid w:val="00B51687"/>
    <w:rsid w:val="00B51E52"/>
    <w:rsid w:val="00B52F61"/>
    <w:rsid w:val="00B539EB"/>
    <w:rsid w:val="00B55354"/>
    <w:rsid w:val="00B55D6F"/>
    <w:rsid w:val="00B5619E"/>
    <w:rsid w:val="00B57870"/>
    <w:rsid w:val="00B61252"/>
    <w:rsid w:val="00B613BB"/>
    <w:rsid w:val="00B631E2"/>
    <w:rsid w:val="00B6521E"/>
    <w:rsid w:val="00B675D6"/>
    <w:rsid w:val="00B703CC"/>
    <w:rsid w:val="00B71965"/>
    <w:rsid w:val="00B71E6D"/>
    <w:rsid w:val="00B72083"/>
    <w:rsid w:val="00B725A6"/>
    <w:rsid w:val="00B74405"/>
    <w:rsid w:val="00B74895"/>
    <w:rsid w:val="00B74D09"/>
    <w:rsid w:val="00B774C7"/>
    <w:rsid w:val="00B77E42"/>
    <w:rsid w:val="00B8268B"/>
    <w:rsid w:val="00B82949"/>
    <w:rsid w:val="00B829A5"/>
    <w:rsid w:val="00B82EE6"/>
    <w:rsid w:val="00B82F40"/>
    <w:rsid w:val="00B83AF3"/>
    <w:rsid w:val="00B84F8E"/>
    <w:rsid w:val="00B91607"/>
    <w:rsid w:val="00B92455"/>
    <w:rsid w:val="00B95C98"/>
    <w:rsid w:val="00B97094"/>
    <w:rsid w:val="00BA02ED"/>
    <w:rsid w:val="00BA127D"/>
    <w:rsid w:val="00BA15E0"/>
    <w:rsid w:val="00BA1A41"/>
    <w:rsid w:val="00BA1F05"/>
    <w:rsid w:val="00BA2300"/>
    <w:rsid w:val="00BA397D"/>
    <w:rsid w:val="00BA4796"/>
    <w:rsid w:val="00BA4BE4"/>
    <w:rsid w:val="00BA50B3"/>
    <w:rsid w:val="00BA5582"/>
    <w:rsid w:val="00BA5967"/>
    <w:rsid w:val="00BA6AE3"/>
    <w:rsid w:val="00BA710C"/>
    <w:rsid w:val="00BA78E8"/>
    <w:rsid w:val="00BB008A"/>
    <w:rsid w:val="00BB0651"/>
    <w:rsid w:val="00BB0844"/>
    <w:rsid w:val="00BB0CCD"/>
    <w:rsid w:val="00BB2F3B"/>
    <w:rsid w:val="00BB35F1"/>
    <w:rsid w:val="00BB6597"/>
    <w:rsid w:val="00BB6650"/>
    <w:rsid w:val="00BB6991"/>
    <w:rsid w:val="00BB6D34"/>
    <w:rsid w:val="00BC14C6"/>
    <w:rsid w:val="00BC1E08"/>
    <w:rsid w:val="00BC250E"/>
    <w:rsid w:val="00BC25A0"/>
    <w:rsid w:val="00BC3117"/>
    <w:rsid w:val="00BC4AEA"/>
    <w:rsid w:val="00BD040E"/>
    <w:rsid w:val="00BD19E0"/>
    <w:rsid w:val="00BD38FE"/>
    <w:rsid w:val="00BD41CD"/>
    <w:rsid w:val="00BD427E"/>
    <w:rsid w:val="00BD4AA8"/>
    <w:rsid w:val="00BD5347"/>
    <w:rsid w:val="00BD683F"/>
    <w:rsid w:val="00BD68CB"/>
    <w:rsid w:val="00BD7667"/>
    <w:rsid w:val="00BD78D2"/>
    <w:rsid w:val="00BE1CD3"/>
    <w:rsid w:val="00BE290C"/>
    <w:rsid w:val="00BE2A45"/>
    <w:rsid w:val="00BE32DA"/>
    <w:rsid w:val="00BE3798"/>
    <w:rsid w:val="00BE3C34"/>
    <w:rsid w:val="00BE493C"/>
    <w:rsid w:val="00BE4F74"/>
    <w:rsid w:val="00BE6F11"/>
    <w:rsid w:val="00BF041C"/>
    <w:rsid w:val="00BF0EC6"/>
    <w:rsid w:val="00BF1916"/>
    <w:rsid w:val="00BF2861"/>
    <w:rsid w:val="00BF411C"/>
    <w:rsid w:val="00BF4609"/>
    <w:rsid w:val="00BF4C93"/>
    <w:rsid w:val="00BF5F6B"/>
    <w:rsid w:val="00BF7243"/>
    <w:rsid w:val="00BF72F1"/>
    <w:rsid w:val="00BF795A"/>
    <w:rsid w:val="00C00B86"/>
    <w:rsid w:val="00C01285"/>
    <w:rsid w:val="00C01461"/>
    <w:rsid w:val="00C01A64"/>
    <w:rsid w:val="00C01B07"/>
    <w:rsid w:val="00C02C3F"/>
    <w:rsid w:val="00C034DE"/>
    <w:rsid w:val="00C03F34"/>
    <w:rsid w:val="00C053EC"/>
    <w:rsid w:val="00C06249"/>
    <w:rsid w:val="00C06B64"/>
    <w:rsid w:val="00C0741A"/>
    <w:rsid w:val="00C10B49"/>
    <w:rsid w:val="00C115E3"/>
    <w:rsid w:val="00C11B39"/>
    <w:rsid w:val="00C11F3A"/>
    <w:rsid w:val="00C149D3"/>
    <w:rsid w:val="00C1528B"/>
    <w:rsid w:val="00C15803"/>
    <w:rsid w:val="00C15A68"/>
    <w:rsid w:val="00C17723"/>
    <w:rsid w:val="00C177E3"/>
    <w:rsid w:val="00C20518"/>
    <w:rsid w:val="00C2093F"/>
    <w:rsid w:val="00C21047"/>
    <w:rsid w:val="00C24755"/>
    <w:rsid w:val="00C24B38"/>
    <w:rsid w:val="00C265EA"/>
    <w:rsid w:val="00C275BE"/>
    <w:rsid w:val="00C315A2"/>
    <w:rsid w:val="00C32B2F"/>
    <w:rsid w:val="00C33C3A"/>
    <w:rsid w:val="00C34132"/>
    <w:rsid w:val="00C34A4E"/>
    <w:rsid w:val="00C3722E"/>
    <w:rsid w:val="00C4112D"/>
    <w:rsid w:val="00C41942"/>
    <w:rsid w:val="00C42B00"/>
    <w:rsid w:val="00C42B35"/>
    <w:rsid w:val="00C4420B"/>
    <w:rsid w:val="00C4514D"/>
    <w:rsid w:val="00C45EBA"/>
    <w:rsid w:val="00C45F63"/>
    <w:rsid w:val="00C46FC1"/>
    <w:rsid w:val="00C4722D"/>
    <w:rsid w:val="00C4785F"/>
    <w:rsid w:val="00C5127D"/>
    <w:rsid w:val="00C513BB"/>
    <w:rsid w:val="00C540E0"/>
    <w:rsid w:val="00C55170"/>
    <w:rsid w:val="00C55A83"/>
    <w:rsid w:val="00C55B46"/>
    <w:rsid w:val="00C55BD6"/>
    <w:rsid w:val="00C560BB"/>
    <w:rsid w:val="00C57D2F"/>
    <w:rsid w:val="00C57EA7"/>
    <w:rsid w:val="00C60299"/>
    <w:rsid w:val="00C60BDE"/>
    <w:rsid w:val="00C61B26"/>
    <w:rsid w:val="00C62A4C"/>
    <w:rsid w:val="00C63374"/>
    <w:rsid w:val="00C64343"/>
    <w:rsid w:val="00C64FB7"/>
    <w:rsid w:val="00C651E0"/>
    <w:rsid w:val="00C6586C"/>
    <w:rsid w:val="00C65E39"/>
    <w:rsid w:val="00C664D6"/>
    <w:rsid w:val="00C664F8"/>
    <w:rsid w:val="00C67B77"/>
    <w:rsid w:val="00C71CA6"/>
    <w:rsid w:val="00C720C5"/>
    <w:rsid w:val="00C7245B"/>
    <w:rsid w:val="00C7256A"/>
    <w:rsid w:val="00C73FB8"/>
    <w:rsid w:val="00C7401E"/>
    <w:rsid w:val="00C74294"/>
    <w:rsid w:val="00C759D1"/>
    <w:rsid w:val="00C76D59"/>
    <w:rsid w:val="00C76D6A"/>
    <w:rsid w:val="00C80387"/>
    <w:rsid w:val="00C816CD"/>
    <w:rsid w:val="00C83527"/>
    <w:rsid w:val="00C837CB"/>
    <w:rsid w:val="00C84D85"/>
    <w:rsid w:val="00C84E1E"/>
    <w:rsid w:val="00C87207"/>
    <w:rsid w:val="00C874AD"/>
    <w:rsid w:val="00C90FAD"/>
    <w:rsid w:val="00C921EF"/>
    <w:rsid w:val="00C93F9F"/>
    <w:rsid w:val="00C9416D"/>
    <w:rsid w:val="00C961F1"/>
    <w:rsid w:val="00C96B08"/>
    <w:rsid w:val="00C972EE"/>
    <w:rsid w:val="00CA09B4"/>
    <w:rsid w:val="00CA0AD2"/>
    <w:rsid w:val="00CA15E9"/>
    <w:rsid w:val="00CA1856"/>
    <w:rsid w:val="00CA1ECC"/>
    <w:rsid w:val="00CA4073"/>
    <w:rsid w:val="00CA5766"/>
    <w:rsid w:val="00CA62E3"/>
    <w:rsid w:val="00CA6885"/>
    <w:rsid w:val="00CA6D3E"/>
    <w:rsid w:val="00CB11E1"/>
    <w:rsid w:val="00CB1A91"/>
    <w:rsid w:val="00CB3FE0"/>
    <w:rsid w:val="00CB4B14"/>
    <w:rsid w:val="00CB4EEA"/>
    <w:rsid w:val="00CB5222"/>
    <w:rsid w:val="00CB67FA"/>
    <w:rsid w:val="00CB6DDA"/>
    <w:rsid w:val="00CB7458"/>
    <w:rsid w:val="00CC15B4"/>
    <w:rsid w:val="00CC1EC5"/>
    <w:rsid w:val="00CC1F9D"/>
    <w:rsid w:val="00CC2A35"/>
    <w:rsid w:val="00CC2EDF"/>
    <w:rsid w:val="00CC3177"/>
    <w:rsid w:val="00CC4EA8"/>
    <w:rsid w:val="00CC76F5"/>
    <w:rsid w:val="00CD0CAD"/>
    <w:rsid w:val="00CD0E8C"/>
    <w:rsid w:val="00CD32D1"/>
    <w:rsid w:val="00CD33DF"/>
    <w:rsid w:val="00CD4B0A"/>
    <w:rsid w:val="00CD5EEA"/>
    <w:rsid w:val="00CD7D75"/>
    <w:rsid w:val="00CE26D4"/>
    <w:rsid w:val="00CE2AE3"/>
    <w:rsid w:val="00CE4233"/>
    <w:rsid w:val="00CE4649"/>
    <w:rsid w:val="00CE49C6"/>
    <w:rsid w:val="00CE6941"/>
    <w:rsid w:val="00CE6BA2"/>
    <w:rsid w:val="00CE75A9"/>
    <w:rsid w:val="00CE766B"/>
    <w:rsid w:val="00CE7FDD"/>
    <w:rsid w:val="00CF0E06"/>
    <w:rsid w:val="00CF1216"/>
    <w:rsid w:val="00CF1D6B"/>
    <w:rsid w:val="00CF1EA3"/>
    <w:rsid w:val="00CF2D69"/>
    <w:rsid w:val="00CF3172"/>
    <w:rsid w:val="00CF44D4"/>
    <w:rsid w:val="00CF4894"/>
    <w:rsid w:val="00CF52A6"/>
    <w:rsid w:val="00CF578D"/>
    <w:rsid w:val="00CF5D85"/>
    <w:rsid w:val="00CF5DEA"/>
    <w:rsid w:val="00D00096"/>
    <w:rsid w:val="00D00711"/>
    <w:rsid w:val="00D01616"/>
    <w:rsid w:val="00D027EF"/>
    <w:rsid w:val="00D02ED0"/>
    <w:rsid w:val="00D03C29"/>
    <w:rsid w:val="00D03E60"/>
    <w:rsid w:val="00D05851"/>
    <w:rsid w:val="00D058F8"/>
    <w:rsid w:val="00D05A81"/>
    <w:rsid w:val="00D0600A"/>
    <w:rsid w:val="00D067F7"/>
    <w:rsid w:val="00D07004"/>
    <w:rsid w:val="00D07B84"/>
    <w:rsid w:val="00D110EA"/>
    <w:rsid w:val="00D126E8"/>
    <w:rsid w:val="00D1278D"/>
    <w:rsid w:val="00D13A59"/>
    <w:rsid w:val="00D151BC"/>
    <w:rsid w:val="00D15F0A"/>
    <w:rsid w:val="00D167F2"/>
    <w:rsid w:val="00D178F8"/>
    <w:rsid w:val="00D2121D"/>
    <w:rsid w:val="00D24B77"/>
    <w:rsid w:val="00D26268"/>
    <w:rsid w:val="00D26446"/>
    <w:rsid w:val="00D27341"/>
    <w:rsid w:val="00D30975"/>
    <w:rsid w:val="00D32719"/>
    <w:rsid w:val="00D32952"/>
    <w:rsid w:val="00D347CC"/>
    <w:rsid w:val="00D35CD0"/>
    <w:rsid w:val="00D35EE8"/>
    <w:rsid w:val="00D362FA"/>
    <w:rsid w:val="00D36EFB"/>
    <w:rsid w:val="00D37074"/>
    <w:rsid w:val="00D371DF"/>
    <w:rsid w:val="00D3728F"/>
    <w:rsid w:val="00D419D7"/>
    <w:rsid w:val="00D43011"/>
    <w:rsid w:val="00D44366"/>
    <w:rsid w:val="00D44EE5"/>
    <w:rsid w:val="00D4749F"/>
    <w:rsid w:val="00D4759C"/>
    <w:rsid w:val="00D479EF"/>
    <w:rsid w:val="00D502FD"/>
    <w:rsid w:val="00D51E0D"/>
    <w:rsid w:val="00D52E41"/>
    <w:rsid w:val="00D530E3"/>
    <w:rsid w:val="00D53568"/>
    <w:rsid w:val="00D544E6"/>
    <w:rsid w:val="00D546A5"/>
    <w:rsid w:val="00D56034"/>
    <w:rsid w:val="00D56185"/>
    <w:rsid w:val="00D61013"/>
    <w:rsid w:val="00D62F86"/>
    <w:rsid w:val="00D637CD"/>
    <w:rsid w:val="00D646BA"/>
    <w:rsid w:val="00D64DAB"/>
    <w:rsid w:val="00D6559B"/>
    <w:rsid w:val="00D65782"/>
    <w:rsid w:val="00D65DB4"/>
    <w:rsid w:val="00D66587"/>
    <w:rsid w:val="00D70894"/>
    <w:rsid w:val="00D70B61"/>
    <w:rsid w:val="00D72705"/>
    <w:rsid w:val="00D73D79"/>
    <w:rsid w:val="00D74062"/>
    <w:rsid w:val="00D76150"/>
    <w:rsid w:val="00D762B5"/>
    <w:rsid w:val="00D76C06"/>
    <w:rsid w:val="00D77E2B"/>
    <w:rsid w:val="00D81998"/>
    <w:rsid w:val="00D83A7F"/>
    <w:rsid w:val="00D84111"/>
    <w:rsid w:val="00D84E0D"/>
    <w:rsid w:val="00D855D8"/>
    <w:rsid w:val="00D868BE"/>
    <w:rsid w:val="00D90A48"/>
    <w:rsid w:val="00D91A12"/>
    <w:rsid w:val="00D93C82"/>
    <w:rsid w:val="00D93E9E"/>
    <w:rsid w:val="00D94EBD"/>
    <w:rsid w:val="00D95352"/>
    <w:rsid w:val="00D9574D"/>
    <w:rsid w:val="00D9618A"/>
    <w:rsid w:val="00D9670E"/>
    <w:rsid w:val="00D96918"/>
    <w:rsid w:val="00DA171B"/>
    <w:rsid w:val="00DA2477"/>
    <w:rsid w:val="00DA24F1"/>
    <w:rsid w:val="00DA48F3"/>
    <w:rsid w:val="00DA5231"/>
    <w:rsid w:val="00DA6D6B"/>
    <w:rsid w:val="00DA6ED5"/>
    <w:rsid w:val="00DA73BC"/>
    <w:rsid w:val="00DA75DA"/>
    <w:rsid w:val="00DA7903"/>
    <w:rsid w:val="00DA7D16"/>
    <w:rsid w:val="00DB0DA0"/>
    <w:rsid w:val="00DB1518"/>
    <w:rsid w:val="00DB2867"/>
    <w:rsid w:val="00DB3328"/>
    <w:rsid w:val="00DB4C45"/>
    <w:rsid w:val="00DB6862"/>
    <w:rsid w:val="00DB6C83"/>
    <w:rsid w:val="00DB7A02"/>
    <w:rsid w:val="00DB7AD8"/>
    <w:rsid w:val="00DC05AF"/>
    <w:rsid w:val="00DC1567"/>
    <w:rsid w:val="00DC364B"/>
    <w:rsid w:val="00DD1775"/>
    <w:rsid w:val="00DD2518"/>
    <w:rsid w:val="00DD43BA"/>
    <w:rsid w:val="00DD6BD4"/>
    <w:rsid w:val="00DD7075"/>
    <w:rsid w:val="00DE10E9"/>
    <w:rsid w:val="00DE1C80"/>
    <w:rsid w:val="00DE49CE"/>
    <w:rsid w:val="00DE7054"/>
    <w:rsid w:val="00DE7E15"/>
    <w:rsid w:val="00DF036E"/>
    <w:rsid w:val="00DF094C"/>
    <w:rsid w:val="00DF0BB7"/>
    <w:rsid w:val="00DF0C5A"/>
    <w:rsid w:val="00DF1662"/>
    <w:rsid w:val="00DF213C"/>
    <w:rsid w:val="00DF28BF"/>
    <w:rsid w:val="00DF2C16"/>
    <w:rsid w:val="00DF2DAE"/>
    <w:rsid w:val="00DF30BA"/>
    <w:rsid w:val="00DF4067"/>
    <w:rsid w:val="00DF42A1"/>
    <w:rsid w:val="00DF4D4F"/>
    <w:rsid w:val="00DF5012"/>
    <w:rsid w:val="00DF5937"/>
    <w:rsid w:val="00DF66E5"/>
    <w:rsid w:val="00DF6DAB"/>
    <w:rsid w:val="00E0082B"/>
    <w:rsid w:val="00E019BE"/>
    <w:rsid w:val="00E01DA5"/>
    <w:rsid w:val="00E02364"/>
    <w:rsid w:val="00E02E23"/>
    <w:rsid w:val="00E03E5C"/>
    <w:rsid w:val="00E04285"/>
    <w:rsid w:val="00E04AD5"/>
    <w:rsid w:val="00E05C55"/>
    <w:rsid w:val="00E05DC9"/>
    <w:rsid w:val="00E062F6"/>
    <w:rsid w:val="00E07E75"/>
    <w:rsid w:val="00E07ECC"/>
    <w:rsid w:val="00E105F7"/>
    <w:rsid w:val="00E1355A"/>
    <w:rsid w:val="00E137CB"/>
    <w:rsid w:val="00E14462"/>
    <w:rsid w:val="00E146DA"/>
    <w:rsid w:val="00E158FD"/>
    <w:rsid w:val="00E16502"/>
    <w:rsid w:val="00E16C1F"/>
    <w:rsid w:val="00E20D9A"/>
    <w:rsid w:val="00E21A92"/>
    <w:rsid w:val="00E21C5C"/>
    <w:rsid w:val="00E231F0"/>
    <w:rsid w:val="00E23324"/>
    <w:rsid w:val="00E2332D"/>
    <w:rsid w:val="00E24C10"/>
    <w:rsid w:val="00E24D07"/>
    <w:rsid w:val="00E24F43"/>
    <w:rsid w:val="00E24F93"/>
    <w:rsid w:val="00E25015"/>
    <w:rsid w:val="00E2585C"/>
    <w:rsid w:val="00E258B8"/>
    <w:rsid w:val="00E27790"/>
    <w:rsid w:val="00E323A7"/>
    <w:rsid w:val="00E33D26"/>
    <w:rsid w:val="00E340C9"/>
    <w:rsid w:val="00E34BD2"/>
    <w:rsid w:val="00E3519B"/>
    <w:rsid w:val="00E37525"/>
    <w:rsid w:val="00E378AD"/>
    <w:rsid w:val="00E37F46"/>
    <w:rsid w:val="00E410E8"/>
    <w:rsid w:val="00E41FC9"/>
    <w:rsid w:val="00E44D00"/>
    <w:rsid w:val="00E45A41"/>
    <w:rsid w:val="00E502B8"/>
    <w:rsid w:val="00E50A6B"/>
    <w:rsid w:val="00E52D35"/>
    <w:rsid w:val="00E53658"/>
    <w:rsid w:val="00E53D43"/>
    <w:rsid w:val="00E541D6"/>
    <w:rsid w:val="00E54D34"/>
    <w:rsid w:val="00E55312"/>
    <w:rsid w:val="00E55AD4"/>
    <w:rsid w:val="00E60BC3"/>
    <w:rsid w:val="00E610FE"/>
    <w:rsid w:val="00E61F77"/>
    <w:rsid w:val="00E63220"/>
    <w:rsid w:val="00E64026"/>
    <w:rsid w:val="00E64343"/>
    <w:rsid w:val="00E64904"/>
    <w:rsid w:val="00E67541"/>
    <w:rsid w:val="00E702B0"/>
    <w:rsid w:val="00E71172"/>
    <w:rsid w:val="00E7140B"/>
    <w:rsid w:val="00E71A3B"/>
    <w:rsid w:val="00E71C30"/>
    <w:rsid w:val="00E749CF"/>
    <w:rsid w:val="00E75CA8"/>
    <w:rsid w:val="00E760FE"/>
    <w:rsid w:val="00E76FAF"/>
    <w:rsid w:val="00E80052"/>
    <w:rsid w:val="00E8098E"/>
    <w:rsid w:val="00E84071"/>
    <w:rsid w:val="00E85BE8"/>
    <w:rsid w:val="00E86F7F"/>
    <w:rsid w:val="00E90F1E"/>
    <w:rsid w:val="00E914B7"/>
    <w:rsid w:val="00E91A92"/>
    <w:rsid w:val="00E9276A"/>
    <w:rsid w:val="00E93C84"/>
    <w:rsid w:val="00E94AF9"/>
    <w:rsid w:val="00E94B66"/>
    <w:rsid w:val="00E954C5"/>
    <w:rsid w:val="00E96D2C"/>
    <w:rsid w:val="00E97246"/>
    <w:rsid w:val="00E97705"/>
    <w:rsid w:val="00E977F7"/>
    <w:rsid w:val="00EA1F9C"/>
    <w:rsid w:val="00EA4ECC"/>
    <w:rsid w:val="00EA58CA"/>
    <w:rsid w:val="00EA6423"/>
    <w:rsid w:val="00EB0758"/>
    <w:rsid w:val="00EB0926"/>
    <w:rsid w:val="00EB110E"/>
    <w:rsid w:val="00EB176E"/>
    <w:rsid w:val="00EB2437"/>
    <w:rsid w:val="00EB272F"/>
    <w:rsid w:val="00EB2AB3"/>
    <w:rsid w:val="00EB3CB1"/>
    <w:rsid w:val="00EB3D6B"/>
    <w:rsid w:val="00EB5955"/>
    <w:rsid w:val="00EB7517"/>
    <w:rsid w:val="00EB770E"/>
    <w:rsid w:val="00EC1868"/>
    <w:rsid w:val="00EC1CA6"/>
    <w:rsid w:val="00EC1EB8"/>
    <w:rsid w:val="00EC3264"/>
    <w:rsid w:val="00EC39FA"/>
    <w:rsid w:val="00EC4B4A"/>
    <w:rsid w:val="00EC5885"/>
    <w:rsid w:val="00EC6E18"/>
    <w:rsid w:val="00EC6EAE"/>
    <w:rsid w:val="00EC77B3"/>
    <w:rsid w:val="00ED6857"/>
    <w:rsid w:val="00ED693E"/>
    <w:rsid w:val="00EE31DF"/>
    <w:rsid w:val="00EE365F"/>
    <w:rsid w:val="00EE5B3C"/>
    <w:rsid w:val="00EE5E99"/>
    <w:rsid w:val="00EE61E7"/>
    <w:rsid w:val="00EE6F77"/>
    <w:rsid w:val="00EE79C0"/>
    <w:rsid w:val="00EF1BBF"/>
    <w:rsid w:val="00EF1F45"/>
    <w:rsid w:val="00EF3511"/>
    <w:rsid w:val="00EF40A2"/>
    <w:rsid w:val="00EF487A"/>
    <w:rsid w:val="00EF51CD"/>
    <w:rsid w:val="00EF52C5"/>
    <w:rsid w:val="00EF6355"/>
    <w:rsid w:val="00EF7C1B"/>
    <w:rsid w:val="00F00D66"/>
    <w:rsid w:val="00F00D9A"/>
    <w:rsid w:val="00F00E93"/>
    <w:rsid w:val="00F023EC"/>
    <w:rsid w:val="00F03B3B"/>
    <w:rsid w:val="00F048E8"/>
    <w:rsid w:val="00F06258"/>
    <w:rsid w:val="00F06928"/>
    <w:rsid w:val="00F06B13"/>
    <w:rsid w:val="00F06DE2"/>
    <w:rsid w:val="00F07437"/>
    <w:rsid w:val="00F078D9"/>
    <w:rsid w:val="00F10484"/>
    <w:rsid w:val="00F1427D"/>
    <w:rsid w:val="00F14A67"/>
    <w:rsid w:val="00F15A11"/>
    <w:rsid w:val="00F1756E"/>
    <w:rsid w:val="00F211E0"/>
    <w:rsid w:val="00F21C92"/>
    <w:rsid w:val="00F234A3"/>
    <w:rsid w:val="00F24469"/>
    <w:rsid w:val="00F24B5A"/>
    <w:rsid w:val="00F24EBD"/>
    <w:rsid w:val="00F26647"/>
    <w:rsid w:val="00F269CA"/>
    <w:rsid w:val="00F27DDE"/>
    <w:rsid w:val="00F3003B"/>
    <w:rsid w:val="00F3156E"/>
    <w:rsid w:val="00F32115"/>
    <w:rsid w:val="00F323FE"/>
    <w:rsid w:val="00F32A27"/>
    <w:rsid w:val="00F35170"/>
    <w:rsid w:val="00F35376"/>
    <w:rsid w:val="00F40B5F"/>
    <w:rsid w:val="00F428F7"/>
    <w:rsid w:val="00F4313E"/>
    <w:rsid w:val="00F4443A"/>
    <w:rsid w:val="00F50B82"/>
    <w:rsid w:val="00F51CBB"/>
    <w:rsid w:val="00F51CD8"/>
    <w:rsid w:val="00F5233D"/>
    <w:rsid w:val="00F5379C"/>
    <w:rsid w:val="00F53C76"/>
    <w:rsid w:val="00F54C92"/>
    <w:rsid w:val="00F55C4F"/>
    <w:rsid w:val="00F5650F"/>
    <w:rsid w:val="00F566E2"/>
    <w:rsid w:val="00F57227"/>
    <w:rsid w:val="00F57E6A"/>
    <w:rsid w:val="00F609FB"/>
    <w:rsid w:val="00F61154"/>
    <w:rsid w:val="00F62143"/>
    <w:rsid w:val="00F6256F"/>
    <w:rsid w:val="00F62AE5"/>
    <w:rsid w:val="00F62EC7"/>
    <w:rsid w:val="00F631B5"/>
    <w:rsid w:val="00F63622"/>
    <w:rsid w:val="00F647A5"/>
    <w:rsid w:val="00F65BB4"/>
    <w:rsid w:val="00F668F9"/>
    <w:rsid w:val="00F672BB"/>
    <w:rsid w:val="00F67BF5"/>
    <w:rsid w:val="00F70B8F"/>
    <w:rsid w:val="00F71EC6"/>
    <w:rsid w:val="00F72625"/>
    <w:rsid w:val="00F72A8A"/>
    <w:rsid w:val="00F73FA0"/>
    <w:rsid w:val="00F74B6F"/>
    <w:rsid w:val="00F76356"/>
    <w:rsid w:val="00F76AB1"/>
    <w:rsid w:val="00F773FA"/>
    <w:rsid w:val="00F77756"/>
    <w:rsid w:val="00F8108B"/>
    <w:rsid w:val="00F82177"/>
    <w:rsid w:val="00F827F9"/>
    <w:rsid w:val="00F82CCD"/>
    <w:rsid w:val="00F8371C"/>
    <w:rsid w:val="00F8460A"/>
    <w:rsid w:val="00F8492C"/>
    <w:rsid w:val="00F86914"/>
    <w:rsid w:val="00F8783D"/>
    <w:rsid w:val="00F917D8"/>
    <w:rsid w:val="00F93208"/>
    <w:rsid w:val="00F950C0"/>
    <w:rsid w:val="00F959FF"/>
    <w:rsid w:val="00F969F7"/>
    <w:rsid w:val="00F96F71"/>
    <w:rsid w:val="00F97465"/>
    <w:rsid w:val="00F97778"/>
    <w:rsid w:val="00FA03E6"/>
    <w:rsid w:val="00FA0FD8"/>
    <w:rsid w:val="00FA1705"/>
    <w:rsid w:val="00FA1F24"/>
    <w:rsid w:val="00FA2CE1"/>
    <w:rsid w:val="00FA41DA"/>
    <w:rsid w:val="00FA53AE"/>
    <w:rsid w:val="00FA5838"/>
    <w:rsid w:val="00FA7235"/>
    <w:rsid w:val="00FA7341"/>
    <w:rsid w:val="00FB08A9"/>
    <w:rsid w:val="00FB1376"/>
    <w:rsid w:val="00FB17A7"/>
    <w:rsid w:val="00FB2F82"/>
    <w:rsid w:val="00FB36FD"/>
    <w:rsid w:val="00FB377D"/>
    <w:rsid w:val="00FB4847"/>
    <w:rsid w:val="00FB4D20"/>
    <w:rsid w:val="00FB6A98"/>
    <w:rsid w:val="00FB71AE"/>
    <w:rsid w:val="00FB7276"/>
    <w:rsid w:val="00FC161E"/>
    <w:rsid w:val="00FC17FF"/>
    <w:rsid w:val="00FC1EB3"/>
    <w:rsid w:val="00FC431B"/>
    <w:rsid w:val="00FC58AA"/>
    <w:rsid w:val="00FC6034"/>
    <w:rsid w:val="00FC7081"/>
    <w:rsid w:val="00FC745E"/>
    <w:rsid w:val="00FD0357"/>
    <w:rsid w:val="00FD045C"/>
    <w:rsid w:val="00FD0970"/>
    <w:rsid w:val="00FD0B6B"/>
    <w:rsid w:val="00FD14E7"/>
    <w:rsid w:val="00FD231E"/>
    <w:rsid w:val="00FD70FE"/>
    <w:rsid w:val="00FD7774"/>
    <w:rsid w:val="00FE0BF9"/>
    <w:rsid w:val="00FE10AF"/>
    <w:rsid w:val="00FE1954"/>
    <w:rsid w:val="00FE1B98"/>
    <w:rsid w:val="00FE2537"/>
    <w:rsid w:val="00FE4CB9"/>
    <w:rsid w:val="00FE4D55"/>
    <w:rsid w:val="00FE6571"/>
    <w:rsid w:val="00FE67F8"/>
    <w:rsid w:val="00FE6B85"/>
    <w:rsid w:val="00FE77AE"/>
    <w:rsid w:val="00FF03C6"/>
    <w:rsid w:val="00FF0B64"/>
    <w:rsid w:val="00FF21EA"/>
    <w:rsid w:val="00FF2382"/>
    <w:rsid w:val="00FF30EE"/>
    <w:rsid w:val="00FF39BA"/>
    <w:rsid w:val="00FF3D15"/>
    <w:rsid w:val="00FF4557"/>
    <w:rsid w:val="00FF5923"/>
    <w:rsid w:val="00FF6331"/>
    <w:rsid w:val="010757F6"/>
    <w:rsid w:val="016B4125"/>
    <w:rsid w:val="01B61612"/>
    <w:rsid w:val="01EB1A81"/>
    <w:rsid w:val="02090AAE"/>
    <w:rsid w:val="022C5D05"/>
    <w:rsid w:val="02A10717"/>
    <w:rsid w:val="02D768EE"/>
    <w:rsid w:val="02EF1D44"/>
    <w:rsid w:val="030C31A3"/>
    <w:rsid w:val="03B46149"/>
    <w:rsid w:val="03B90F9C"/>
    <w:rsid w:val="03BA58A1"/>
    <w:rsid w:val="03CA6235"/>
    <w:rsid w:val="03CD009F"/>
    <w:rsid w:val="03E50E0B"/>
    <w:rsid w:val="04500786"/>
    <w:rsid w:val="04590FB1"/>
    <w:rsid w:val="04B250E5"/>
    <w:rsid w:val="05701633"/>
    <w:rsid w:val="059769E9"/>
    <w:rsid w:val="05AB3BB6"/>
    <w:rsid w:val="05F944DC"/>
    <w:rsid w:val="05FD5934"/>
    <w:rsid w:val="06101026"/>
    <w:rsid w:val="065C0497"/>
    <w:rsid w:val="068E023A"/>
    <w:rsid w:val="071A251D"/>
    <w:rsid w:val="074C543B"/>
    <w:rsid w:val="0764502B"/>
    <w:rsid w:val="076E27BD"/>
    <w:rsid w:val="07711802"/>
    <w:rsid w:val="079C1ADD"/>
    <w:rsid w:val="081538DD"/>
    <w:rsid w:val="0841638B"/>
    <w:rsid w:val="08430D7E"/>
    <w:rsid w:val="084957C0"/>
    <w:rsid w:val="08635702"/>
    <w:rsid w:val="087133C9"/>
    <w:rsid w:val="088254B8"/>
    <w:rsid w:val="08D320CA"/>
    <w:rsid w:val="08E77CBD"/>
    <w:rsid w:val="08EF743E"/>
    <w:rsid w:val="09057584"/>
    <w:rsid w:val="09110527"/>
    <w:rsid w:val="091411D7"/>
    <w:rsid w:val="092A1152"/>
    <w:rsid w:val="095672A7"/>
    <w:rsid w:val="09884C41"/>
    <w:rsid w:val="09DC2F57"/>
    <w:rsid w:val="0A1C5259"/>
    <w:rsid w:val="0A565E8E"/>
    <w:rsid w:val="0A581514"/>
    <w:rsid w:val="0A5B7EEC"/>
    <w:rsid w:val="0AA65C1A"/>
    <w:rsid w:val="0ACB29A1"/>
    <w:rsid w:val="0ACC3296"/>
    <w:rsid w:val="0AF0679F"/>
    <w:rsid w:val="0B56488A"/>
    <w:rsid w:val="0B7112F4"/>
    <w:rsid w:val="0B733189"/>
    <w:rsid w:val="0B853919"/>
    <w:rsid w:val="0BB67D2D"/>
    <w:rsid w:val="0BCD268B"/>
    <w:rsid w:val="0BD578A6"/>
    <w:rsid w:val="0C4632FC"/>
    <w:rsid w:val="0CA147E4"/>
    <w:rsid w:val="0CAB05F1"/>
    <w:rsid w:val="0CD659B9"/>
    <w:rsid w:val="0D117DB0"/>
    <w:rsid w:val="0D2C040D"/>
    <w:rsid w:val="0D565CBF"/>
    <w:rsid w:val="0D65584E"/>
    <w:rsid w:val="0D8C5BD5"/>
    <w:rsid w:val="0D917484"/>
    <w:rsid w:val="0D9F53C9"/>
    <w:rsid w:val="0DB3728B"/>
    <w:rsid w:val="0DD829BB"/>
    <w:rsid w:val="0DFC0387"/>
    <w:rsid w:val="0E025482"/>
    <w:rsid w:val="0E7248CF"/>
    <w:rsid w:val="0E903EA1"/>
    <w:rsid w:val="0EF62C00"/>
    <w:rsid w:val="0F1B7B9B"/>
    <w:rsid w:val="0F3B7103"/>
    <w:rsid w:val="0F633CF4"/>
    <w:rsid w:val="0F9A18B8"/>
    <w:rsid w:val="0FD52FF6"/>
    <w:rsid w:val="0FF378BD"/>
    <w:rsid w:val="1028084A"/>
    <w:rsid w:val="102A13CF"/>
    <w:rsid w:val="10644E2B"/>
    <w:rsid w:val="10B81594"/>
    <w:rsid w:val="10C22E3E"/>
    <w:rsid w:val="10FA62A1"/>
    <w:rsid w:val="110662C4"/>
    <w:rsid w:val="110C0172"/>
    <w:rsid w:val="11322A19"/>
    <w:rsid w:val="114875EB"/>
    <w:rsid w:val="11494223"/>
    <w:rsid w:val="118348F6"/>
    <w:rsid w:val="11AC46C0"/>
    <w:rsid w:val="11DF3440"/>
    <w:rsid w:val="11EA6E17"/>
    <w:rsid w:val="11FD17B7"/>
    <w:rsid w:val="12001DDA"/>
    <w:rsid w:val="120C7329"/>
    <w:rsid w:val="123B04B1"/>
    <w:rsid w:val="124209B5"/>
    <w:rsid w:val="1249629E"/>
    <w:rsid w:val="124E14F2"/>
    <w:rsid w:val="126A48E1"/>
    <w:rsid w:val="129F4FC8"/>
    <w:rsid w:val="130F49BF"/>
    <w:rsid w:val="13455A19"/>
    <w:rsid w:val="13AE5449"/>
    <w:rsid w:val="13C1579B"/>
    <w:rsid w:val="1403423A"/>
    <w:rsid w:val="14056ABC"/>
    <w:rsid w:val="140668A9"/>
    <w:rsid w:val="141C125C"/>
    <w:rsid w:val="147B3C2A"/>
    <w:rsid w:val="154B6CA0"/>
    <w:rsid w:val="157F5EC8"/>
    <w:rsid w:val="158D1302"/>
    <w:rsid w:val="15E9080F"/>
    <w:rsid w:val="169D62FE"/>
    <w:rsid w:val="16AA453A"/>
    <w:rsid w:val="16EE1683"/>
    <w:rsid w:val="16F67E77"/>
    <w:rsid w:val="16FB4766"/>
    <w:rsid w:val="17C10D55"/>
    <w:rsid w:val="17CC3230"/>
    <w:rsid w:val="180D20B5"/>
    <w:rsid w:val="18242977"/>
    <w:rsid w:val="182511AD"/>
    <w:rsid w:val="183B2529"/>
    <w:rsid w:val="186B1B5B"/>
    <w:rsid w:val="1896642E"/>
    <w:rsid w:val="18DE1111"/>
    <w:rsid w:val="18F5381E"/>
    <w:rsid w:val="193006AE"/>
    <w:rsid w:val="193D5413"/>
    <w:rsid w:val="197C2433"/>
    <w:rsid w:val="198B6F22"/>
    <w:rsid w:val="19A64F2F"/>
    <w:rsid w:val="1A3E14C2"/>
    <w:rsid w:val="1A4268EB"/>
    <w:rsid w:val="1A513DD4"/>
    <w:rsid w:val="1A62069C"/>
    <w:rsid w:val="1AA0406C"/>
    <w:rsid w:val="1AAA7A8D"/>
    <w:rsid w:val="1B274987"/>
    <w:rsid w:val="1B4475C9"/>
    <w:rsid w:val="1BF30720"/>
    <w:rsid w:val="1BFA6A25"/>
    <w:rsid w:val="1C275FD9"/>
    <w:rsid w:val="1C310F17"/>
    <w:rsid w:val="1C6D2866"/>
    <w:rsid w:val="1C8C6E3B"/>
    <w:rsid w:val="1CCD4AB0"/>
    <w:rsid w:val="1CD50E10"/>
    <w:rsid w:val="1D330195"/>
    <w:rsid w:val="1D700C6E"/>
    <w:rsid w:val="1D8E337B"/>
    <w:rsid w:val="1DDE692B"/>
    <w:rsid w:val="1DF71156"/>
    <w:rsid w:val="1E0E0AC5"/>
    <w:rsid w:val="1E4808A5"/>
    <w:rsid w:val="1E5627B7"/>
    <w:rsid w:val="1E9A6782"/>
    <w:rsid w:val="1EB015FD"/>
    <w:rsid w:val="1EB17E9A"/>
    <w:rsid w:val="1EE2377B"/>
    <w:rsid w:val="1F617814"/>
    <w:rsid w:val="1F6414FE"/>
    <w:rsid w:val="1F84003F"/>
    <w:rsid w:val="1FE058D7"/>
    <w:rsid w:val="1FF82C18"/>
    <w:rsid w:val="20037D3C"/>
    <w:rsid w:val="201145D6"/>
    <w:rsid w:val="20372289"/>
    <w:rsid w:val="205D0CA7"/>
    <w:rsid w:val="206178ED"/>
    <w:rsid w:val="206F60F9"/>
    <w:rsid w:val="20C00C2B"/>
    <w:rsid w:val="20F970BB"/>
    <w:rsid w:val="21176A2A"/>
    <w:rsid w:val="21222F22"/>
    <w:rsid w:val="21426903"/>
    <w:rsid w:val="219F4396"/>
    <w:rsid w:val="21A92548"/>
    <w:rsid w:val="21F500C7"/>
    <w:rsid w:val="21F73213"/>
    <w:rsid w:val="220A4215"/>
    <w:rsid w:val="22123E22"/>
    <w:rsid w:val="224E3C4C"/>
    <w:rsid w:val="226A4ED3"/>
    <w:rsid w:val="226C013D"/>
    <w:rsid w:val="22F24891"/>
    <w:rsid w:val="2303425A"/>
    <w:rsid w:val="23112F9B"/>
    <w:rsid w:val="23172F53"/>
    <w:rsid w:val="2318468D"/>
    <w:rsid w:val="23200EE0"/>
    <w:rsid w:val="232E5F48"/>
    <w:rsid w:val="23612C00"/>
    <w:rsid w:val="237D2742"/>
    <w:rsid w:val="23A7445B"/>
    <w:rsid w:val="23E869F5"/>
    <w:rsid w:val="24180D05"/>
    <w:rsid w:val="24446C1D"/>
    <w:rsid w:val="24614970"/>
    <w:rsid w:val="24B72E3D"/>
    <w:rsid w:val="24CC58BD"/>
    <w:rsid w:val="24D35AF2"/>
    <w:rsid w:val="24F42A6C"/>
    <w:rsid w:val="253A4741"/>
    <w:rsid w:val="253C241D"/>
    <w:rsid w:val="25424B43"/>
    <w:rsid w:val="255F03F9"/>
    <w:rsid w:val="25705367"/>
    <w:rsid w:val="259E4BA5"/>
    <w:rsid w:val="25D80104"/>
    <w:rsid w:val="25E74B39"/>
    <w:rsid w:val="26137190"/>
    <w:rsid w:val="26306BE7"/>
    <w:rsid w:val="265F3426"/>
    <w:rsid w:val="268315C2"/>
    <w:rsid w:val="26B876C2"/>
    <w:rsid w:val="26E55AD6"/>
    <w:rsid w:val="26EF33E5"/>
    <w:rsid w:val="26F23377"/>
    <w:rsid w:val="26F278C4"/>
    <w:rsid w:val="27334B92"/>
    <w:rsid w:val="27342BB0"/>
    <w:rsid w:val="277D6DA3"/>
    <w:rsid w:val="279162B1"/>
    <w:rsid w:val="280F1D92"/>
    <w:rsid w:val="286A2E53"/>
    <w:rsid w:val="287712B8"/>
    <w:rsid w:val="28C652B2"/>
    <w:rsid w:val="28DA2389"/>
    <w:rsid w:val="28F42735"/>
    <w:rsid w:val="29017EAE"/>
    <w:rsid w:val="2914022D"/>
    <w:rsid w:val="2945035C"/>
    <w:rsid w:val="29477B83"/>
    <w:rsid w:val="29561F11"/>
    <w:rsid w:val="29563590"/>
    <w:rsid w:val="29816BF2"/>
    <w:rsid w:val="299F3E80"/>
    <w:rsid w:val="29A92D2A"/>
    <w:rsid w:val="29B67A8F"/>
    <w:rsid w:val="29C83FC3"/>
    <w:rsid w:val="29F01372"/>
    <w:rsid w:val="29F714A0"/>
    <w:rsid w:val="2A0009AE"/>
    <w:rsid w:val="2A08088B"/>
    <w:rsid w:val="2A2B2F17"/>
    <w:rsid w:val="2A3A0DC5"/>
    <w:rsid w:val="2A3C0F23"/>
    <w:rsid w:val="2A4D4853"/>
    <w:rsid w:val="2A6A1E93"/>
    <w:rsid w:val="2A863051"/>
    <w:rsid w:val="2A9630A9"/>
    <w:rsid w:val="2AA325D9"/>
    <w:rsid w:val="2ABD4768"/>
    <w:rsid w:val="2AF163C6"/>
    <w:rsid w:val="2B326266"/>
    <w:rsid w:val="2B4F6E90"/>
    <w:rsid w:val="2BD242CD"/>
    <w:rsid w:val="2C2C53C8"/>
    <w:rsid w:val="2C7C0414"/>
    <w:rsid w:val="2CBC4B11"/>
    <w:rsid w:val="2D377E06"/>
    <w:rsid w:val="2D731A96"/>
    <w:rsid w:val="2DE01942"/>
    <w:rsid w:val="2E5E5DF1"/>
    <w:rsid w:val="2E746865"/>
    <w:rsid w:val="2E9C6221"/>
    <w:rsid w:val="2EC02AFA"/>
    <w:rsid w:val="2EC13A72"/>
    <w:rsid w:val="2EF712CF"/>
    <w:rsid w:val="2F0A187C"/>
    <w:rsid w:val="2F2F6BAC"/>
    <w:rsid w:val="2F4533F5"/>
    <w:rsid w:val="2F5E1147"/>
    <w:rsid w:val="2F687B49"/>
    <w:rsid w:val="2F7B3C1C"/>
    <w:rsid w:val="2F9C1A27"/>
    <w:rsid w:val="2FC7484C"/>
    <w:rsid w:val="2FF2727A"/>
    <w:rsid w:val="2FFA757A"/>
    <w:rsid w:val="2FFE793C"/>
    <w:rsid w:val="307A6954"/>
    <w:rsid w:val="30890A86"/>
    <w:rsid w:val="30BF0BFC"/>
    <w:rsid w:val="312516FF"/>
    <w:rsid w:val="313943CE"/>
    <w:rsid w:val="314F17F5"/>
    <w:rsid w:val="315C5A78"/>
    <w:rsid w:val="316858B1"/>
    <w:rsid w:val="31765593"/>
    <w:rsid w:val="31A66FD0"/>
    <w:rsid w:val="31D563B4"/>
    <w:rsid w:val="320B1715"/>
    <w:rsid w:val="322A36B0"/>
    <w:rsid w:val="328044C1"/>
    <w:rsid w:val="32A773DC"/>
    <w:rsid w:val="32AD5FF0"/>
    <w:rsid w:val="32C04011"/>
    <w:rsid w:val="32F73580"/>
    <w:rsid w:val="32FD73FC"/>
    <w:rsid w:val="3301513E"/>
    <w:rsid w:val="332F4289"/>
    <w:rsid w:val="333E08CE"/>
    <w:rsid w:val="334F577F"/>
    <w:rsid w:val="338546C6"/>
    <w:rsid w:val="33D02303"/>
    <w:rsid w:val="342167BA"/>
    <w:rsid w:val="3433053B"/>
    <w:rsid w:val="34396C8A"/>
    <w:rsid w:val="3445464D"/>
    <w:rsid w:val="344821B9"/>
    <w:rsid w:val="34757B91"/>
    <w:rsid w:val="34CC52D7"/>
    <w:rsid w:val="34F07218"/>
    <w:rsid w:val="350F1EB2"/>
    <w:rsid w:val="35337FBF"/>
    <w:rsid w:val="35653FBD"/>
    <w:rsid w:val="35673B29"/>
    <w:rsid w:val="356B18BA"/>
    <w:rsid w:val="356C5582"/>
    <w:rsid w:val="35AE3A63"/>
    <w:rsid w:val="35BA6831"/>
    <w:rsid w:val="35CD2AEE"/>
    <w:rsid w:val="35D96AF5"/>
    <w:rsid w:val="35FD558D"/>
    <w:rsid w:val="3617483E"/>
    <w:rsid w:val="36200FEC"/>
    <w:rsid w:val="3624394B"/>
    <w:rsid w:val="364E6FEC"/>
    <w:rsid w:val="365645E0"/>
    <w:rsid w:val="365716FD"/>
    <w:rsid w:val="365B2DB7"/>
    <w:rsid w:val="36657792"/>
    <w:rsid w:val="36837A4D"/>
    <w:rsid w:val="36BB6BD5"/>
    <w:rsid w:val="36DC5493"/>
    <w:rsid w:val="36DC7658"/>
    <w:rsid w:val="377A007D"/>
    <w:rsid w:val="37897F4C"/>
    <w:rsid w:val="378D6D31"/>
    <w:rsid w:val="380133CD"/>
    <w:rsid w:val="3813028F"/>
    <w:rsid w:val="382A513A"/>
    <w:rsid w:val="387715F5"/>
    <w:rsid w:val="387C0BB8"/>
    <w:rsid w:val="389C7763"/>
    <w:rsid w:val="389F4F33"/>
    <w:rsid w:val="39037B98"/>
    <w:rsid w:val="391F631E"/>
    <w:rsid w:val="392A5EFD"/>
    <w:rsid w:val="396A4218"/>
    <w:rsid w:val="397C3770"/>
    <w:rsid w:val="39CD5D7A"/>
    <w:rsid w:val="3A5E1BCB"/>
    <w:rsid w:val="3A914787"/>
    <w:rsid w:val="3AC50AFD"/>
    <w:rsid w:val="3AD56E28"/>
    <w:rsid w:val="3AF976EE"/>
    <w:rsid w:val="3B0C5F1A"/>
    <w:rsid w:val="3B230635"/>
    <w:rsid w:val="3B35720A"/>
    <w:rsid w:val="3B4648A6"/>
    <w:rsid w:val="3B680FB0"/>
    <w:rsid w:val="3B770650"/>
    <w:rsid w:val="3B8939AE"/>
    <w:rsid w:val="3BB05CD1"/>
    <w:rsid w:val="3C3E2F5F"/>
    <w:rsid w:val="3C4D6FB2"/>
    <w:rsid w:val="3D056B6D"/>
    <w:rsid w:val="3D5C32BD"/>
    <w:rsid w:val="3D6F6D5D"/>
    <w:rsid w:val="3DFD6621"/>
    <w:rsid w:val="3E2B7950"/>
    <w:rsid w:val="3E522CF1"/>
    <w:rsid w:val="3E62140E"/>
    <w:rsid w:val="3E661F20"/>
    <w:rsid w:val="3E87751C"/>
    <w:rsid w:val="3EA82E40"/>
    <w:rsid w:val="3EB279E6"/>
    <w:rsid w:val="3EB85DC8"/>
    <w:rsid w:val="3F7520AA"/>
    <w:rsid w:val="3F971AFE"/>
    <w:rsid w:val="3F992727"/>
    <w:rsid w:val="3FA279A6"/>
    <w:rsid w:val="3FA660FD"/>
    <w:rsid w:val="404D404C"/>
    <w:rsid w:val="40540149"/>
    <w:rsid w:val="40EE5E22"/>
    <w:rsid w:val="41016D9A"/>
    <w:rsid w:val="417D0734"/>
    <w:rsid w:val="41806FCE"/>
    <w:rsid w:val="41AB678E"/>
    <w:rsid w:val="41AE0B72"/>
    <w:rsid w:val="41B119D5"/>
    <w:rsid w:val="41B26C51"/>
    <w:rsid w:val="41FB7BD8"/>
    <w:rsid w:val="420C6618"/>
    <w:rsid w:val="42325A1F"/>
    <w:rsid w:val="4253524B"/>
    <w:rsid w:val="425B1649"/>
    <w:rsid w:val="42650575"/>
    <w:rsid w:val="42942AA3"/>
    <w:rsid w:val="42D541B4"/>
    <w:rsid w:val="42DD6A6D"/>
    <w:rsid w:val="4300160F"/>
    <w:rsid w:val="430805CF"/>
    <w:rsid w:val="43552FC5"/>
    <w:rsid w:val="43675EEC"/>
    <w:rsid w:val="436F0A77"/>
    <w:rsid w:val="43A348BD"/>
    <w:rsid w:val="43D22D82"/>
    <w:rsid w:val="43E10B1D"/>
    <w:rsid w:val="44082964"/>
    <w:rsid w:val="441D1BF3"/>
    <w:rsid w:val="44281A2A"/>
    <w:rsid w:val="44552384"/>
    <w:rsid w:val="448E3562"/>
    <w:rsid w:val="44CC370B"/>
    <w:rsid w:val="44F17528"/>
    <w:rsid w:val="45053F9B"/>
    <w:rsid w:val="451B6975"/>
    <w:rsid w:val="45245FCB"/>
    <w:rsid w:val="45412B2B"/>
    <w:rsid w:val="45A041BA"/>
    <w:rsid w:val="45A95FDC"/>
    <w:rsid w:val="45B25DBF"/>
    <w:rsid w:val="45C92ACD"/>
    <w:rsid w:val="45F53C58"/>
    <w:rsid w:val="45FA7D5B"/>
    <w:rsid w:val="46201007"/>
    <w:rsid w:val="462C1553"/>
    <w:rsid w:val="464D1BAB"/>
    <w:rsid w:val="46667AD5"/>
    <w:rsid w:val="46832D33"/>
    <w:rsid w:val="46F13539"/>
    <w:rsid w:val="470D5968"/>
    <w:rsid w:val="478046DF"/>
    <w:rsid w:val="47B6231D"/>
    <w:rsid w:val="47B733A1"/>
    <w:rsid w:val="47FE5A06"/>
    <w:rsid w:val="480623AB"/>
    <w:rsid w:val="48251427"/>
    <w:rsid w:val="483D3344"/>
    <w:rsid w:val="484F7612"/>
    <w:rsid w:val="48585EED"/>
    <w:rsid w:val="48BF08C1"/>
    <w:rsid w:val="48C1299B"/>
    <w:rsid w:val="48C72563"/>
    <w:rsid w:val="48DC4926"/>
    <w:rsid w:val="49012556"/>
    <w:rsid w:val="490338F6"/>
    <w:rsid w:val="491017DF"/>
    <w:rsid w:val="49221512"/>
    <w:rsid w:val="493A6D1B"/>
    <w:rsid w:val="499021C5"/>
    <w:rsid w:val="49ED5226"/>
    <w:rsid w:val="4A09200C"/>
    <w:rsid w:val="4A1C5C35"/>
    <w:rsid w:val="4A2320D7"/>
    <w:rsid w:val="4A2A3E9D"/>
    <w:rsid w:val="4A321E4F"/>
    <w:rsid w:val="4A5903A5"/>
    <w:rsid w:val="4A6129FC"/>
    <w:rsid w:val="4B45466C"/>
    <w:rsid w:val="4B48598E"/>
    <w:rsid w:val="4B4A60E7"/>
    <w:rsid w:val="4B5E1200"/>
    <w:rsid w:val="4B7A4DD9"/>
    <w:rsid w:val="4BAA443D"/>
    <w:rsid w:val="4BCC4CCE"/>
    <w:rsid w:val="4BDB17E5"/>
    <w:rsid w:val="4C044128"/>
    <w:rsid w:val="4C146A14"/>
    <w:rsid w:val="4C48520D"/>
    <w:rsid w:val="4C5619DD"/>
    <w:rsid w:val="4C5C7A9C"/>
    <w:rsid w:val="4D3A33D2"/>
    <w:rsid w:val="4D480992"/>
    <w:rsid w:val="4D490012"/>
    <w:rsid w:val="4D594A53"/>
    <w:rsid w:val="4D7C6562"/>
    <w:rsid w:val="4D920037"/>
    <w:rsid w:val="4D987AC0"/>
    <w:rsid w:val="4D99279A"/>
    <w:rsid w:val="4D9A2CE0"/>
    <w:rsid w:val="4DB46EC0"/>
    <w:rsid w:val="4DDC5FF7"/>
    <w:rsid w:val="4DEC4ECD"/>
    <w:rsid w:val="4DF74D1B"/>
    <w:rsid w:val="4DFA2B5E"/>
    <w:rsid w:val="4E105DDD"/>
    <w:rsid w:val="4E492433"/>
    <w:rsid w:val="4E640384"/>
    <w:rsid w:val="4E8350B7"/>
    <w:rsid w:val="4EA31011"/>
    <w:rsid w:val="4EAF6B02"/>
    <w:rsid w:val="4F326132"/>
    <w:rsid w:val="4F6D5913"/>
    <w:rsid w:val="4FAA36F5"/>
    <w:rsid w:val="502F7060"/>
    <w:rsid w:val="505E5223"/>
    <w:rsid w:val="5068580A"/>
    <w:rsid w:val="50BE2501"/>
    <w:rsid w:val="50C1415E"/>
    <w:rsid w:val="50F64401"/>
    <w:rsid w:val="51017CA8"/>
    <w:rsid w:val="516C5BA3"/>
    <w:rsid w:val="516C6F8F"/>
    <w:rsid w:val="5179105C"/>
    <w:rsid w:val="519B00B4"/>
    <w:rsid w:val="51CE517A"/>
    <w:rsid w:val="52272BCD"/>
    <w:rsid w:val="522B1438"/>
    <w:rsid w:val="523E5EFC"/>
    <w:rsid w:val="525A351E"/>
    <w:rsid w:val="526B1FB0"/>
    <w:rsid w:val="52720327"/>
    <w:rsid w:val="528775F5"/>
    <w:rsid w:val="52AA7A51"/>
    <w:rsid w:val="52BC604C"/>
    <w:rsid w:val="52D961E4"/>
    <w:rsid w:val="52EA7884"/>
    <w:rsid w:val="52EC761A"/>
    <w:rsid w:val="53424C8B"/>
    <w:rsid w:val="536323E7"/>
    <w:rsid w:val="5383272C"/>
    <w:rsid w:val="53A33105"/>
    <w:rsid w:val="53A51C17"/>
    <w:rsid w:val="53B275CF"/>
    <w:rsid w:val="53BB4FFE"/>
    <w:rsid w:val="53D35F89"/>
    <w:rsid w:val="53F63188"/>
    <w:rsid w:val="542362A5"/>
    <w:rsid w:val="54263544"/>
    <w:rsid w:val="546250D1"/>
    <w:rsid w:val="549005EE"/>
    <w:rsid w:val="54BB6CD6"/>
    <w:rsid w:val="55204453"/>
    <w:rsid w:val="5535108D"/>
    <w:rsid w:val="5542437F"/>
    <w:rsid w:val="55C511DF"/>
    <w:rsid w:val="5641747C"/>
    <w:rsid w:val="56451560"/>
    <w:rsid w:val="565C5AA9"/>
    <w:rsid w:val="56624F25"/>
    <w:rsid w:val="56937AB7"/>
    <w:rsid w:val="56B87EEB"/>
    <w:rsid w:val="56C74CE5"/>
    <w:rsid w:val="57016C0B"/>
    <w:rsid w:val="573E4D22"/>
    <w:rsid w:val="57491CAE"/>
    <w:rsid w:val="574C2ABD"/>
    <w:rsid w:val="57522A51"/>
    <w:rsid w:val="575C2CD2"/>
    <w:rsid w:val="576E23DB"/>
    <w:rsid w:val="577140BD"/>
    <w:rsid w:val="579E6E04"/>
    <w:rsid w:val="57A753C9"/>
    <w:rsid w:val="580426D4"/>
    <w:rsid w:val="586055AE"/>
    <w:rsid w:val="586A4374"/>
    <w:rsid w:val="58B15E90"/>
    <w:rsid w:val="58CD53D6"/>
    <w:rsid w:val="591662DC"/>
    <w:rsid w:val="5956127F"/>
    <w:rsid w:val="595F1D38"/>
    <w:rsid w:val="59820ACB"/>
    <w:rsid w:val="59B36728"/>
    <w:rsid w:val="59B74C0A"/>
    <w:rsid w:val="59BB5797"/>
    <w:rsid w:val="59C16833"/>
    <w:rsid w:val="59DC483D"/>
    <w:rsid w:val="59E3714B"/>
    <w:rsid w:val="59F958BF"/>
    <w:rsid w:val="5A043432"/>
    <w:rsid w:val="5A0D723E"/>
    <w:rsid w:val="5A71635B"/>
    <w:rsid w:val="5AC664DB"/>
    <w:rsid w:val="5ACA089E"/>
    <w:rsid w:val="5B003531"/>
    <w:rsid w:val="5B081C89"/>
    <w:rsid w:val="5B171EDE"/>
    <w:rsid w:val="5B1A566A"/>
    <w:rsid w:val="5B511289"/>
    <w:rsid w:val="5B5C3745"/>
    <w:rsid w:val="5BD9503A"/>
    <w:rsid w:val="5BE508E7"/>
    <w:rsid w:val="5C2D18D2"/>
    <w:rsid w:val="5C383DB5"/>
    <w:rsid w:val="5D154785"/>
    <w:rsid w:val="5D8C08AE"/>
    <w:rsid w:val="5DB349F8"/>
    <w:rsid w:val="5DF17CC8"/>
    <w:rsid w:val="5E223BD2"/>
    <w:rsid w:val="5E2F03A5"/>
    <w:rsid w:val="5E4335B6"/>
    <w:rsid w:val="5EA92062"/>
    <w:rsid w:val="5EEF6133"/>
    <w:rsid w:val="5F050B36"/>
    <w:rsid w:val="5F0B7960"/>
    <w:rsid w:val="5F1D188E"/>
    <w:rsid w:val="5F2D08A1"/>
    <w:rsid w:val="5F4653D3"/>
    <w:rsid w:val="5F6C0043"/>
    <w:rsid w:val="5FD27396"/>
    <w:rsid w:val="5FD8114B"/>
    <w:rsid w:val="600767E2"/>
    <w:rsid w:val="60182755"/>
    <w:rsid w:val="602F1ACA"/>
    <w:rsid w:val="60A27AA1"/>
    <w:rsid w:val="60AB703D"/>
    <w:rsid w:val="60D10BE7"/>
    <w:rsid w:val="612F717E"/>
    <w:rsid w:val="61311094"/>
    <w:rsid w:val="61630DAF"/>
    <w:rsid w:val="617574ED"/>
    <w:rsid w:val="61A80398"/>
    <w:rsid w:val="61E50D80"/>
    <w:rsid w:val="6209618E"/>
    <w:rsid w:val="622856FE"/>
    <w:rsid w:val="624A3758"/>
    <w:rsid w:val="62604C4E"/>
    <w:rsid w:val="62C41857"/>
    <w:rsid w:val="639F0BCD"/>
    <w:rsid w:val="63C2195A"/>
    <w:rsid w:val="64212D65"/>
    <w:rsid w:val="643E71C7"/>
    <w:rsid w:val="647E6110"/>
    <w:rsid w:val="647F0F08"/>
    <w:rsid w:val="64C2609B"/>
    <w:rsid w:val="64E2375D"/>
    <w:rsid w:val="64E76853"/>
    <w:rsid w:val="65052569"/>
    <w:rsid w:val="650D2572"/>
    <w:rsid w:val="652E102B"/>
    <w:rsid w:val="65C60A30"/>
    <w:rsid w:val="65EB6502"/>
    <w:rsid w:val="65EB7E4B"/>
    <w:rsid w:val="66552AA3"/>
    <w:rsid w:val="666D6365"/>
    <w:rsid w:val="668B3EF9"/>
    <w:rsid w:val="668D0582"/>
    <w:rsid w:val="668D3C46"/>
    <w:rsid w:val="66C35022"/>
    <w:rsid w:val="66E76AF5"/>
    <w:rsid w:val="66EC260A"/>
    <w:rsid w:val="66FE03B2"/>
    <w:rsid w:val="6706174C"/>
    <w:rsid w:val="672B78DD"/>
    <w:rsid w:val="673D2E92"/>
    <w:rsid w:val="67403F85"/>
    <w:rsid w:val="674A6FE0"/>
    <w:rsid w:val="67551933"/>
    <w:rsid w:val="67720BC3"/>
    <w:rsid w:val="67777A81"/>
    <w:rsid w:val="67A24F14"/>
    <w:rsid w:val="67A963E5"/>
    <w:rsid w:val="67B9227E"/>
    <w:rsid w:val="67C5342F"/>
    <w:rsid w:val="67E0083A"/>
    <w:rsid w:val="6815657F"/>
    <w:rsid w:val="68461709"/>
    <w:rsid w:val="68B22C6A"/>
    <w:rsid w:val="68E94E9C"/>
    <w:rsid w:val="69347A4F"/>
    <w:rsid w:val="697A6327"/>
    <w:rsid w:val="698935BE"/>
    <w:rsid w:val="69DF730E"/>
    <w:rsid w:val="69E6330C"/>
    <w:rsid w:val="69E92BA2"/>
    <w:rsid w:val="6A606AC3"/>
    <w:rsid w:val="6A7A16B8"/>
    <w:rsid w:val="6A7C13AD"/>
    <w:rsid w:val="6A7C687C"/>
    <w:rsid w:val="6A8A2933"/>
    <w:rsid w:val="6AAE2A3F"/>
    <w:rsid w:val="6AC66C4D"/>
    <w:rsid w:val="6AE47CCD"/>
    <w:rsid w:val="6AF57891"/>
    <w:rsid w:val="6B015927"/>
    <w:rsid w:val="6B0963C1"/>
    <w:rsid w:val="6B2B362C"/>
    <w:rsid w:val="6B74394A"/>
    <w:rsid w:val="6B8045ED"/>
    <w:rsid w:val="6C0634F7"/>
    <w:rsid w:val="6C664B78"/>
    <w:rsid w:val="6C6A27E4"/>
    <w:rsid w:val="6CA434D0"/>
    <w:rsid w:val="6CB63C10"/>
    <w:rsid w:val="6CCD0D62"/>
    <w:rsid w:val="6D4449B9"/>
    <w:rsid w:val="6D594C53"/>
    <w:rsid w:val="6D611D5A"/>
    <w:rsid w:val="6D7A4B85"/>
    <w:rsid w:val="6D9548C4"/>
    <w:rsid w:val="6DF27389"/>
    <w:rsid w:val="6E5F098F"/>
    <w:rsid w:val="6E8C38CF"/>
    <w:rsid w:val="6E92092A"/>
    <w:rsid w:val="6EA320EE"/>
    <w:rsid w:val="6ED10EB1"/>
    <w:rsid w:val="6EF4191D"/>
    <w:rsid w:val="6F743FC6"/>
    <w:rsid w:val="6F8F6138"/>
    <w:rsid w:val="6F9A1229"/>
    <w:rsid w:val="6F9E134A"/>
    <w:rsid w:val="6FD64C81"/>
    <w:rsid w:val="6FD75040"/>
    <w:rsid w:val="6FF17ED0"/>
    <w:rsid w:val="70052E70"/>
    <w:rsid w:val="70070B1D"/>
    <w:rsid w:val="705070F8"/>
    <w:rsid w:val="709C1EDC"/>
    <w:rsid w:val="714263D8"/>
    <w:rsid w:val="71787346"/>
    <w:rsid w:val="723118AF"/>
    <w:rsid w:val="72355237"/>
    <w:rsid w:val="72377F2E"/>
    <w:rsid w:val="72492390"/>
    <w:rsid w:val="729D7363"/>
    <w:rsid w:val="72B10C3C"/>
    <w:rsid w:val="731358A4"/>
    <w:rsid w:val="735A5EE4"/>
    <w:rsid w:val="736672E4"/>
    <w:rsid w:val="73AA6BC8"/>
    <w:rsid w:val="73B63BB1"/>
    <w:rsid w:val="73EB5322"/>
    <w:rsid w:val="73F37E04"/>
    <w:rsid w:val="74227EBA"/>
    <w:rsid w:val="742D72B6"/>
    <w:rsid w:val="74625330"/>
    <w:rsid w:val="74A3020A"/>
    <w:rsid w:val="74EE7DAF"/>
    <w:rsid w:val="75447F2D"/>
    <w:rsid w:val="75501D67"/>
    <w:rsid w:val="755C18F5"/>
    <w:rsid w:val="75992388"/>
    <w:rsid w:val="75AE7D3B"/>
    <w:rsid w:val="75F41B11"/>
    <w:rsid w:val="75F86F72"/>
    <w:rsid w:val="760065B4"/>
    <w:rsid w:val="76034D6B"/>
    <w:rsid w:val="7628771C"/>
    <w:rsid w:val="766B0ED3"/>
    <w:rsid w:val="76A43EB3"/>
    <w:rsid w:val="76DD546E"/>
    <w:rsid w:val="76DE1B48"/>
    <w:rsid w:val="76EC7E1F"/>
    <w:rsid w:val="773872EC"/>
    <w:rsid w:val="77621708"/>
    <w:rsid w:val="77E024DE"/>
    <w:rsid w:val="784A5F60"/>
    <w:rsid w:val="78516E65"/>
    <w:rsid w:val="78694001"/>
    <w:rsid w:val="78931171"/>
    <w:rsid w:val="78D01EEB"/>
    <w:rsid w:val="78D76D0D"/>
    <w:rsid w:val="79333DD9"/>
    <w:rsid w:val="796907DE"/>
    <w:rsid w:val="79D8273A"/>
    <w:rsid w:val="7A0F112B"/>
    <w:rsid w:val="7A1563A4"/>
    <w:rsid w:val="7A521594"/>
    <w:rsid w:val="7A674AFA"/>
    <w:rsid w:val="7B035831"/>
    <w:rsid w:val="7B2D2298"/>
    <w:rsid w:val="7B5134FC"/>
    <w:rsid w:val="7B563618"/>
    <w:rsid w:val="7BA85787"/>
    <w:rsid w:val="7BBF6A48"/>
    <w:rsid w:val="7BE7226A"/>
    <w:rsid w:val="7BF74D02"/>
    <w:rsid w:val="7C191A47"/>
    <w:rsid w:val="7C715B8B"/>
    <w:rsid w:val="7C80242C"/>
    <w:rsid w:val="7CA553F2"/>
    <w:rsid w:val="7CE862F2"/>
    <w:rsid w:val="7D016EC1"/>
    <w:rsid w:val="7D474AC8"/>
    <w:rsid w:val="7DA740DC"/>
    <w:rsid w:val="7DB15285"/>
    <w:rsid w:val="7E127D87"/>
    <w:rsid w:val="7E4466AE"/>
    <w:rsid w:val="7E8E3AF4"/>
    <w:rsid w:val="7E9247D6"/>
    <w:rsid w:val="7EA73659"/>
    <w:rsid w:val="7EEB4B67"/>
    <w:rsid w:val="7F1E3908"/>
    <w:rsid w:val="7F432A79"/>
    <w:rsid w:val="7F4C5544"/>
    <w:rsid w:val="7F5339BB"/>
    <w:rsid w:val="7F6F69D2"/>
    <w:rsid w:val="7F800133"/>
    <w:rsid w:val="7FF406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53"/>
    <w:qFormat/>
    <w:uiPriority w:val="0"/>
    <w:pPr>
      <w:keepNext/>
      <w:spacing w:line="380" w:lineRule="exact"/>
      <w:jc w:val="center"/>
      <w:outlineLvl w:val="0"/>
    </w:pPr>
    <w:rPr>
      <w:rFonts w:ascii="宋体"/>
      <w:b/>
      <w:bCs/>
      <w:sz w:val="28"/>
      <w:szCs w:val="20"/>
    </w:rPr>
  </w:style>
  <w:style w:type="paragraph" w:styleId="3">
    <w:name w:val="heading 2"/>
    <w:basedOn w:val="1"/>
    <w:next w:val="1"/>
    <w:link w:val="5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5"/>
    <w:qFormat/>
    <w:uiPriority w:val="0"/>
    <w:pPr>
      <w:keepNext/>
      <w:keepLines/>
      <w:spacing w:before="260" w:after="260" w:line="416" w:lineRule="auto"/>
      <w:outlineLvl w:val="2"/>
    </w:pPr>
    <w:rPr>
      <w:b/>
      <w:bCs/>
      <w:sz w:val="32"/>
      <w:szCs w:val="32"/>
    </w:rPr>
  </w:style>
  <w:style w:type="paragraph" w:styleId="5">
    <w:name w:val="heading 4"/>
    <w:basedOn w:val="1"/>
    <w:next w:val="1"/>
    <w:link w:val="56"/>
    <w:qFormat/>
    <w:uiPriority w:val="0"/>
    <w:pPr>
      <w:keepNext/>
      <w:keepLines/>
      <w:numPr>
        <w:ilvl w:val="3"/>
        <w:numId w:val="1"/>
      </w:numPr>
      <w:tabs>
        <w:tab w:val="left" w:pos="840"/>
        <w:tab w:val="left" w:pos="1080"/>
      </w:tabs>
      <w:spacing w:before="60"/>
      <w:outlineLvl w:val="3"/>
    </w:pPr>
    <w:rPr>
      <w:b/>
      <w:bCs/>
      <w:sz w:val="24"/>
      <w:szCs w:val="28"/>
    </w:rPr>
  </w:style>
  <w:style w:type="paragraph" w:styleId="6">
    <w:name w:val="heading 5"/>
    <w:basedOn w:val="1"/>
    <w:next w:val="1"/>
    <w:link w:val="57"/>
    <w:qFormat/>
    <w:uiPriority w:val="0"/>
    <w:pPr>
      <w:keepNext/>
      <w:keepLines/>
      <w:numPr>
        <w:ilvl w:val="4"/>
        <w:numId w:val="1"/>
      </w:numPr>
      <w:tabs>
        <w:tab w:val="left" w:pos="945"/>
        <w:tab w:val="left" w:pos="1440"/>
      </w:tabs>
      <w:spacing w:before="60"/>
      <w:outlineLvl w:val="4"/>
    </w:pPr>
    <w:rPr>
      <w:b/>
      <w:bCs/>
      <w:szCs w:val="28"/>
    </w:rPr>
  </w:style>
  <w:style w:type="paragraph" w:styleId="7">
    <w:name w:val="heading 6"/>
    <w:basedOn w:val="1"/>
    <w:next w:val="1"/>
    <w:link w:val="58"/>
    <w:qFormat/>
    <w:uiPriority w:val="0"/>
    <w:pPr>
      <w:numPr>
        <w:ilvl w:val="5"/>
        <w:numId w:val="1"/>
      </w:numPr>
      <w:spacing w:before="60"/>
      <w:outlineLvl w:val="5"/>
    </w:pPr>
    <w:rPr>
      <w:b/>
      <w:bCs/>
    </w:rPr>
  </w:style>
  <w:style w:type="paragraph" w:styleId="8">
    <w:name w:val="heading 7"/>
    <w:basedOn w:val="1"/>
    <w:next w:val="9"/>
    <w:link w:val="59"/>
    <w:qFormat/>
    <w:uiPriority w:val="0"/>
    <w:pPr>
      <w:numPr>
        <w:ilvl w:val="6"/>
        <w:numId w:val="1"/>
      </w:numPr>
      <w:spacing w:before="60"/>
      <w:outlineLvl w:val="6"/>
    </w:pPr>
    <w:rPr>
      <w:b/>
      <w:bCs/>
    </w:rPr>
  </w:style>
  <w:style w:type="paragraph" w:styleId="11">
    <w:name w:val="heading 8"/>
    <w:basedOn w:val="1"/>
    <w:next w:val="9"/>
    <w:link w:val="62"/>
    <w:qFormat/>
    <w:uiPriority w:val="0"/>
    <w:pPr>
      <w:numPr>
        <w:ilvl w:val="7"/>
        <w:numId w:val="1"/>
      </w:numPr>
      <w:spacing w:before="60"/>
      <w:outlineLvl w:val="7"/>
    </w:pPr>
    <w:rPr>
      <w:b/>
    </w:rPr>
  </w:style>
  <w:style w:type="paragraph" w:styleId="12">
    <w:name w:val="heading 9"/>
    <w:basedOn w:val="1"/>
    <w:next w:val="9"/>
    <w:link w:val="63"/>
    <w:qFormat/>
    <w:uiPriority w:val="0"/>
    <w:pPr>
      <w:numPr>
        <w:ilvl w:val="8"/>
        <w:numId w:val="1"/>
      </w:numPr>
      <w:spacing w:before="60"/>
      <w:outlineLvl w:val="8"/>
    </w:pPr>
    <w:rPr>
      <w:b/>
      <w:szCs w:val="21"/>
    </w:rPr>
  </w:style>
  <w:style w:type="character" w:default="1" w:styleId="41">
    <w:name w:val="Default Paragraph Font"/>
    <w:semiHidden/>
    <w:uiPriority w:val="0"/>
  </w:style>
  <w:style w:type="table" w:default="1" w:styleId="39">
    <w:name w:val="Normal Table"/>
    <w:semiHidden/>
    <w:uiPriority w:val="0"/>
    <w:tblPr>
      <w:tblStyle w:val="39"/>
      <w:tblCellMar>
        <w:top w:w="0" w:type="dxa"/>
        <w:left w:w="108" w:type="dxa"/>
        <w:bottom w:w="0" w:type="dxa"/>
        <w:right w:w="108" w:type="dxa"/>
      </w:tblCellMar>
    </w:tblPr>
  </w:style>
  <w:style w:type="paragraph" w:styleId="9">
    <w:name w:val="Normal Indent"/>
    <w:basedOn w:val="1"/>
    <w:next w:val="10"/>
    <w:link w:val="60"/>
    <w:uiPriority w:val="0"/>
    <w:pPr>
      <w:ind w:firstLine="420"/>
    </w:pPr>
    <w:rPr>
      <w:szCs w:val="20"/>
    </w:rPr>
  </w:style>
  <w:style w:type="paragraph" w:styleId="10">
    <w:name w:val="Body Text Indent"/>
    <w:basedOn w:val="1"/>
    <w:next w:val="1"/>
    <w:link w:val="61"/>
    <w:uiPriority w:val="0"/>
    <w:pPr>
      <w:spacing w:line="200" w:lineRule="exact"/>
      <w:ind w:firstLine="301"/>
    </w:pPr>
    <w:rPr>
      <w:rFonts w:ascii="宋体" w:hAnsi="Courier New"/>
      <w:spacing w:val="-4"/>
      <w:sz w:val="18"/>
      <w:szCs w:val="20"/>
    </w:rPr>
  </w:style>
  <w:style w:type="paragraph" w:styleId="13">
    <w:name w:val="List Number"/>
    <w:basedOn w:val="1"/>
    <w:uiPriority w:val="0"/>
    <w:pPr>
      <w:widowControl/>
      <w:numPr>
        <w:ilvl w:val="0"/>
        <w:numId w:val="1"/>
      </w:numPr>
      <w:tabs>
        <w:tab w:val="left" w:pos="454"/>
        <w:tab w:val="left" w:pos="720"/>
        <w:tab w:val="clear" w:pos="900"/>
      </w:tabs>
      <w:spacing w:after="50"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annotation text"/>
    <w:basedOn w:val="1"/>
    <w:link w:val="64"/>
    <w:uiPriority w:val="0"/>
    <w:pPr>
      <w:jc w:val="left"/>
    </w:pPr>
  </w:style>
  <w:style w:type="paragraph" w:styleId="16">
    <w:name w:val="Body Text 3"/>
    <w:basedOn w:val="1"/>
    <w:uiPriority w:val="0"/>
    <w:pPr>
      <w:snapToGrid w:val="0"/>
      <w:spacing w:before="50" w:after="50"/>
    </w:pPr>
    <w:rPr>
      <w:rFonts w:hAnsi="宋体" w:eastAsia="仿宋_GB2312"/>
      <w:b/>
      <w:bCs/>
      <w:sz w:val="24"/>
      <w:szCs w:val="20"/>
    </w:rPr>
  </w:style>
  <w:style w:type="paragraph" w:styleId="17">
    <w:name w:val="Body Text"/>
    <w:basedOn w:val="1"/>
    <w:next w:val="18"/>
    <w:link w:val="65"/>
    <w:uiPriority w:val="99"/>
    <w:pPr>
      <w:spacing w:after="120"/>
    </w:pPr>
    <w:rPr>
      <w:sz w:val="28"/>
    </w:rPr>
  </w:style>
  <w:style w:type="paragraph" w:styleId="18">
    <w:name w:val="Body Text First Indent"/>
    <w:basedOn w:val="17"/>
    <w:next w:val="17"/>
    <w:qFormat/>
    <w:uiPriority w:val="0"/>
    <w:pPr>
      <w:spacing w:after="0" w:line="360" w:lineRule="auto"/>
      <w:ind w:firstLine="200" w:firstLineChars="200"/>
    </w:pPr>
    <w:rPr>
      <w:rFonts w:eastAsia="仿宋_GB2312"/>
      <w:kern w:val="0"/>
      <w:sz w:val="28"/>
    </w:rPr>
  </w:style>
  <w:style w:type="paragraph" w:styleId="19">
    <w:name w:val="List Number 3"/>
    <w:basedOn w:val="1"/>
    <w:uiPriority w:val="0"/>
    <w:pPr>
      <w:numPr>
        <w:ilvl w:val="0"/>
        <w:numId w:val="2"/>
      </w:numPr>
    </w:pPr>
  </w:style>
  <w:style w:type="paragraph" w:styleId="20">
    <w:name w:val="List 2"/>
    <w:basedOn w:val="1"/>
    <w:uiPriority w:val="0"/>
    <w:pPr>
      <w:ind w:left="100" w:leftChars="200" w:hanging="200" w:hangingChars="200"/>
    </w:pPr>
    <w:rPr>
      <w:sz w:val="28"/>
    </w:rPr>
  </w:style>
  <w:style w:type="paragraph" w:styleId="21">
    <w:name w:val="Plain Text"/>
    <w:basedOn w:val="1"/>
    <w:next w:val="1"/>
    <w:link w:val="66"/>
    <w:qFormat/>
    <w:uiPriority w:val="99"/>
    <w:pPr>
      <w:spacing w:before="156" w:beforeLines="50" w:after="156" w:afterLines="50" w:line="400" w:lineRule="exact"/>
    </w:pPr>
    <w:rPr>
      <w:rFonts w:ascii="宋体" w:hAnsi="Courier New"/>
      <w:sz w:val="24"/>
    </w:rPr>
  </w:style>
  <w:style w:type="paragraph" w:styleId="22">
    <w:name w:val="Date"/>
    <w:basedOn w:val="1"/>
    <w:next w:val="1"/>
    <w:uiPriority w:val="0"/>
    <w:pPr>
      <w:ind w:leftChars="2500"/>
    </w:pPr>
    <w:rPr>
      <w:rFonts w:eastAsia="楷体_GB2312"/>
      <w:sz w:val="32"/>
      <w:szCs w:val="20"/>
    </w:rPr>
  </w:style>
  <w:style w:type="paragraph" w:styleId="23">
    <w:name w:val="Body Text Indent 2"/>
    <w:basedOn w:val="1"/>
    <w:next w:val="24"/>
    <w:uiPriority w:val="0"/>
    <w:pPr>
      <w:snapToGrid w:val="0"/>
      <w:ind w:firstLine="542" w:firstLineChars="225"/>
    </w:pPr>
    <w:rPr>
      <w:rFonts w:ascii="仿宋_GB2312" w:hAnsi="宋体" w:cs="Arial"/>
      <w:b/>
      <w:bCs/>
      <w:color w:val="000000"/>
      <w:sz w:val="24"/>
    </w:rPr>
  </w:style>
  <w:style w:type="paragraph" w:customStyle="1" w:styleId="24">
    <w:name w:val="z正文"/>
    <w:basedOn w:val="21"/>
    <w:qFormat/>
    <w:uiPriority w:val="99"/>
    <w:pPr>
      <w:tabs>
        <w:tab w:val="left" w:pos="525"/>
      </w:tabs>
      <w:snapToGrid w:val="0"/>
      <w:spacing w:line="360" w:lineRule="auto"/>
    </w:pPr>
    <w:rPr>
      <w:rFonts w:hAnsi="宋体" w:eastAsia="宋体"/>
      <w:kern w:val="2"/>
      <w:sz w:val="24"/>
      <w:szCs w:val="20"/>
    </w:rPr>
  </w:style>
  <w:style w:type="paragraph" w:styleId="25">
    <w:name w:val="Balloon Text"/>
    <w:basedOn w:val="1"/>
    <w:semiHidden/>
    <w:uiPriority w:val="0"/>
    <w:rPr>
      <w:sz w:val="18"/>
      <w:szCs w:val="18"/>
    </w:rPr>
  </w:style>
  <w:style w:type="paragraph" w:styleId="26">
    <w:name w:val="footer"/>
    <w:basedOn w:val="1"/>
    <w:link w:val="67"/>
    <w:qFormat/>
    <w:uiPriority w:val="99"/>
    <w:pPr>
      <w:tabs>
        <w:tab w:val="left" w:pos="2115"/>
      </w:tabs>
      <w:snapToGrid w:val="0"/>
      <w:jc w:val="left"/>
    </w:pPr>
    <w:rPr>
      <w:rFonts w:eastAsia="黑体"/>
      <w:snapToGrid w:val="0"/>
      <w:kern w:val="0"/>
      <w:sz w:val="18"/>
      <w:szCs w:val="18"/>
    </w:rPr>
  </w:style>
  <w:style w:type="paragraph" w:styleId="27">
    <w:name w:val="envelope return"/>
    <w:basedOn w:val="1"/>
    <w:qFormat/>
    <w:uiPriority w:val="99"/>
    <w:pPr>
      <w:snapToGrid w:val="0"/>
    </w:pPr>
    <w:rPr>
      <w:rFonts w:ascii="Arial" w:hAnsi="Arial" w:cs="Arial"/>
    </w:rPr>
  </w:style>
  <w:style w:type="paragraph" w:styleId="28">
    <w:name w:val="header"/>
    <w:basedOn w:val="1"/>
    <w:link w:val="68"/>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9">
    <w:name w:val="toc 1"/>
    <w:basedOn w:val="1"/>
    <w:next w:val="1"/>
    <w:uiPriority w:val="39"/>
  </w:style>
  <w:style w:type="paragraph" w:styleId="30">
    <w:name w:val="List"/>
    <w:basedOn w:val="1"/>
    <w:uiPriority w:val="0"/>
    <w:pPr>
      <w:ind w:left="200" w:hanging="200" w:hangingChars="200"/>
    </w:pPr>
    <w:rPr>
      <w:sz w:val="28"/>
    </w:rPr>
  </w:style>
  <w:style w:type="paragraph" w:styleId="31">
    <w:name w:val="Body Text Indent 3"/>
    <w:basedOn w:val="1"/>
    <w:uiPriority w:val="0"/>
    <w:pPr>
      <w:snapToGrid w:val="0"/>
      <w:ind w:firstLine="480" w:firstLineChars="200"/>
      <w:jc w:val="left"/>
    </w:pPr>
    <w:rPr>
      <w:rFonts w:ascii="仿宋_GB2312" w:hAnsi="宋体" w:eastAsia="仿宋_GB2312"/>
      <w:color w:val="000000"/>
      <w:sz w:val="24"/>
    </w:rPr>
  </w:style>
  <w:style w:type="paragraph" w:styleId="32">
    <w:name w:val="toc 2"/>
    <w:basedOn w:val="1"/>
    <w:next w:val="1"/>
    <w:uiPriority w:val="39"/>
    <w:pPr>
      <w:ind w:left="420" w:leftChars="200"/>
    </w:pPr>
  </w:style>
  <w:style w:type="paragraph" w:styleId="33">
    <w:name w:val="Body Text 2"/>
    <w:basedOn w:val="1"/>
    <w:uiPriority w:val="0"/>
    <w:pPr>
      <w:widowControl/>
      <w:snapToGrid w:val="0"/>
      <w:spacing w:before="50" w:after="156" w:afterLines="50" w:line="400" w:lineRule="exact"/>
      <w:jc w:val="left"/>
    </w:pPr>
    <w:rPr>
      <w:rFonts w:ascii="宋体" w:hAnsi="宋体"/>
      <w:color w:val="000000"/>
      <w:sz w:val="24"/>
    </w:rPr>
  </w:style>
  <w:style w:type="paragraph" w:styleId="34">
    <w:name w:val="HTML Preformatted"/>
    <w:basedOn w:val="1"/>
    <w:qFormat/>
    <w:uiPriority w:val="0"/>
    <w:pPr>
      <w:widowControl/>
      <w:jc w:val="left"/>
    </w:pPr>
    <w:rPr>
      <w:rFonts w:ascii="黑体" w:hAnsi="Courier New" w:eastAsia="黑体" w:cs="Courier New"/>
      <w:kern w:val="0"/>
      <w:sz w:val="20"/>
      <w:szCs w:val="21"/>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widowControl/>
      <w:jc w:val="center"/>
    </w:pPr>
    <w:rPr>
      <w:rFonts w:ascii="宋体"/>
      <w:kern w:val="0"/>
      <w:sz w:val="40"/>
    </w:rPr>
  </w:style>
  <w:style w:type="paragraph" w:styleId="37">
    <w:name w:val="annotation subject"/>
    <w:basedOn w:val="15"/>
    <w:next w:val="15"/>
    <w:link w:val="70"/>
    <w:uiPriority w:val="0"/>
    <w:rPr>
      <w:b/>
      <w:bCs/>
    </w:rPr>
  </w:style>
  <w:style w:type="paragraph" w:styleId="38">
    <w:name w:val="Body Text First Indent 2"/>
    <w:basedOn w:val="10"/>
    <w:next w:val="1"/>
    <w:link w:val="71"/>
    <w:unhideWhenUsed/>
    <w:qFormat/>
    <w:uiPriority w:val="0"/>
    <w:pPr>
      <w:spacing w:after="120" w:line="240" w:lineRule="auto"/>
      <w:ind w:left="420" w:leftChars="200" w:firstLine="420" w:firstLineChars="200"/>
    </w:pPr>
    <w:rPr>
      <w:rFonts w:ascii="Calibri" w:hAnsi="Calibri"/>
      <w:sz w:val="21"/>
      <w:szCs w:val="24"/>
    </w:rPr>
  </w:style>
  <w:style w:type="table" w:styleId="40">
    <w:name w:val="Table Grid"/>
    <w:basedOn w:val="39"/>
    <w:uiPriority w:val="59"/>
    <w:pPr>
      <w:widowControl w:val="0"/>
      <w:jc w:val="both"/>
    </w:pPr>
    <w:tblPr>
      <w:tblStyle w:val="3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b/>
    </w:rPr>
  </w:style>
  <w:style w:type="character" w:styleId="43">
    <w:name w:val="page number"/>
    <w:uiPriority w:val="0"/>
  </w:style>
  <w:style w:type="character" w:styleId="44">
    <w:name w:val="FollowedHyperlink"/>
    <w:uiPriority w:val="0"/>
    <w:rPr>
      <w:color w:val="000000"/>
      <w:u w:val="none"/>
    </w:rPr>
  </w:style>
  <w:style w:type="character" w:styleId="45">
    <w:name w:val="Emphasis"/>
    <w:qFormat/>
    <w:uiPriority w:val="0"/>
  </w:style>
  <w:style w:type="character" w:styleId="46">
    <w:name w:val="HTML Acronym"/>
    <w:uiPriority w:val="0"/>
  </w:style>
  <w:style w:type="character" w:styleId="47">
    <w:name w:val="Hyperlink"/>
    <w:uiPriority w:val="99"/>
    <w:rPr>
      <w:color w:val="000000"/>
      <w:u w:val="none"/>
    </w:rPr>
  </w:style>
  <w:style w:type="character" w:styleId="48">
    <w:name w:val="HTML Code"/>
    <w:uiPriority w:val="0"/>
    <w:rPr>
      <w:rFonts w:hint="default" w:ascii="monospace" w:hAnsi="monospace" w:eastAsia="monospace" w:cs="monospace"/>
      <w:sz w:val="20"/>
    </w:rPr>
  </w:style>
  <w:style w:type="character" w:styleId="49">
    <w:name w:val="annotation reference"/>
    <w:uiPriority w:val="0"/>
    <w:rPr>
      <w:sz w:val="21"/>
      <w:szCs w:val="21"/>
    </w:rPr>
  </w:style>
  <w:style w:type="character" w:styleId="50">
    <w:name w:val="HTML Cite"/>
    <w:uiPriority w:val="0"/>
  </w:style>
  <w:style w:type="character" w:styleId="51">
    <w:name w:val="HTML Keyboard"/>
    <w:uiPriority w:val="0"/>
    <w:rPr>
      <w:rFonts w:hint="default" w:ascii="monospace" w:hAnsi="monospace" w:eastAsia="monospace" w:cs="monospace"/>
      <w:vanish/>
      <w:sz w:val="20"/>
    </w:rPr>
  </w:style>
  <w:style w:type="character" w:styleId="52">
    <w:name w:val="HTML Sample"/>
    <w:uiPriority w:val="0"/>
    <w:rPr>
      <w:rFonts w:ascii="monospace" w:hAnsi="monospace" w:eastAsia="monospace" w:cs="monospace"/>
    </w:rPr>
  </w:style>
  <w:style w:type="character" w:customStyle="1" w:styleId="53">
    <w:name w:val="标题 1 字符"/>
    <w:link w:val="2"/>
    <w:uiPriority w:val="0"/>
    <w:rPr>
      <w:rFonts w:ascii="宋体"/>
      <w:b/>
      <w:bCs/>
      <w:kern w:val="2"/>
      <w:sz w:val="28"/>
    </w:rPr>
  </w:style>
  <w:style w:type="character" w:customStyle="1" w:styleId="54">
    <w:name w:val="标题 2 字符"/>
    <w:link w:val="3"/>
    <w:uiPriority w:val="0"/>
    <w:rPr>
      <w:rFonts w:ascii="Arial" w:hAnsi="Arial" w:eastAsia="黑体"/>
      <w:b/>
      <w:bCs/>
      <w:kern w:val="2"/>
      <w:sz w:val="32"/>
      <w:szCs w:val="32"/>
      <w:lang w:val="en-US" w:eastAsia="zh-CN" w:bidi="ar-SA"/>
    </w:rPr>
  </w:style>
  <w:style w:type="character" w:customStyle="1" w:styleId="55">
    <w:name w:val="标题 3 字符"/>
    <w:link w:val="4"/>
    <w:uiPriority w:val="0"/>
    <w:rPr>
      <w:b/>
      <w:bCs/>
      <w:kern w:val="2"/>
      <w:sz w:val="32"/>
      <w:szCs w:val="32"/>
    </w:rPr>
  </w:style>
  <w:style w:type="character" w:customStyle="1" w:styleId="56">
    <w:name w:val="标题 4 字符"/>
    <w:link w:val="5"/>
    <w:semiHidden/>
    <w:uiPriority w:val="0"/>
    <w:rPr>
      <w:b/>
      <w:bCs/>
      <w:kern w:val="2"/>
      <w:sz w:val="24"/>
      <w:szCs w:val="28"/>
    </w:rPr>
  </w:style>
  <w:style w:type="character" w:customStyle="1" w:styleId="57">
    <w:name w:val="标题 5 字符"/>
    <w:link w:val="6"/>
    <w:semiHidden/>
    <w:uiPriority w:val="0"/>
    <w:rPr>
      <w:b/>
      <w:bCs/>
      <w:kern w:val="2"/>
      <w:sz w:val="21"/>
      <w:szCs w:val="28"/>
    </w:rPr>
  </w:style>
  <w:style w:type="character" w:customStyle="1" w:styleId="58">
    <w:name w:val="标题 6 字符"/>
    <w:link w:val="7"/>
    <w:semiHidden/>
    <w:uiPriority w:val="0"/>
    <w:rPr>
      <w:b/>
      <w:bCs/>
      <w:kern w:val="2"/>
      <w:sz w:val="21"/>
      <w:szCs w:val="24"/>
    </w:rPr>
  </w:style>
  <w:style w:type="character" w:customStyle="1" w:styleId="59">
    <w:name w:val="标题 7 字符"/>
    <w:link w:val="8"/>
    <w:semiHidden/>
    <w:uiPriority w:val="0"/>
    <w:rPr>
      <w:b/>
      <w:bCs/>
      <w:kern w:val="2"/>
      <w:sz w:val="21"/>
      <w:szCs w:val="24"/>
    </w:rPr>
  </w:style>
  <w:style w:type="character" w:customStyle="1" w:styleId="60">
    <w:name w:val="正文缩进 字符"/>
    <w:link w:val="9"/>
    <w:locked/>
    <w:uiPriority w:val="0"/>
    <w:rPr>
      <w:kern w:val="2"/>
      <w:sz w:val="21"/>
    </w:rPr>
  </w:style>
  <w:style w:type="character" w:customStyle="1" w:styleId="61">
    <w:name w:val="正文文本缩进 字符"/>
    <w:link w:val="10"/>
    <w:uiPriority w:val="0"/>
    <w:rPr>
      <w:rFonts w:ascii="宋体" w:hAnsi="Courier New"/>
      <w:spacing w:val="-4"/>
      <w:kern w:val="2"/>
      <w:sz w:val="18"/>
    </w:rPr>
  </w:style>
  <w:style w:type="character" w:customStyle="1" w:styleId="62">
    <w:name w:val="标题 8 字符"/>
    <w:link w:val="11"/>
    <w:semiHidden/>
    <w:uiPriority w:val="0"/>
    <w:rPr>
      <w:b/>
      <w:kern w:val="2"/>
      <w:sz w:val="21"/>
      <w:szCs w:val="24"/>
    </w:rPr>
  </w:style>
  <w:style w:type="character" w:customStyle="1" w:styleId="63">
    <w:name w:val="标题 9 字符"/>
    <w:link w:val="12"/>
    <w:semiHidden/>
    <w:uiPriority w:val="0"/>
    <w:rPr>
      <w:b/>
      <w:kern w:val="2"/>
      <w:sz w:val="21"/>
      <w:szCs w:val="21"/>
    </w:rPr>
  </w:style>
  <w:style w:type="character" w:customStyle="1" w:styleId="64">
    <w:name w:val="批注文字 字符"/>
    <w:link w:val="15"/>
    <w:uiPriority w:val="0"/>
    <w:rPr>
      <w:kern w:val="2"/>
      <w:sz w:val="21"/>
      <w:szCs w:val="24"/>
    </w:rPr>
  </w:style>
  <w:style w:type="character" w:customStyle="1" w:styleId="65">
    <w:name w:val="正文文本 字符"/>
    <w:link w:val="17"/>
    <w:uiPriority w:val="99"/>
    <w:rPr>
      <w:kern w:val="2"/>
      <w:sz w:val="28"/>
      <w:szCs w:val="24"/>
    </w:rPr>
  </w:style>
  <w:style w:type="character" w:customStyle="1" w:styleId="66">
    <w:name w:val="纯文本 字符"/>
    <w:link w:val="21"/>
    <w:locked/>
    <w:uiPriority w:val="99"/>
    <w:rPr>
      <w:rFonts w:ascii="宋体" w:hAnsi="Courier New" w:eastAsia="宋体"/>
      <w:kern w:val="2"/>
      <w:sz w:val="24"/>
      <w:szCs w:val="24"/>
      <w:lang w:val="en-US" w:eastAsia="zh-CN" w:bidi="ar-SA"/>
    </w:rPr>
  </w:style>
  <w:style w:type="character" w:customStyle="1" w:styleId="67">
    <w:name w:val="页脚 字符"/>
    <w:link w:val="26"/>
    <w:qFormat/>
    <w:uiPriority w:val="99"/>
    <w:rPr>
      <w:rFonts w:eastAsia="黑体"/>
      <w:snapToGrid w:val="0"/>
      <w:sz w:val="18"/>
      <w:szCs w:val="18"/>
    </w:rPr>
  </w:style>
  <w:style w:type="character" w:customStyle="1" w:styleId="68">
    <w:name w:val="页眉 字符"/>
    <w:link w:val="28"/>
    <w:qFormat/>
    <w:uiPriority w:val="99"/>
    <w:rPr>
      <w:rFonts w:eastAsia="仿宋_GB2312"/>
      <w:kern w:val="2"/>
      <w:sz w:val="18"/>
    </w:rPr>
  </w:style>
  <w:style w:type="character" w:customStyle="1" w:styleId="69">
    <w:name w:val="标题 字符"/>
    <w:link w:val="36"/>
    <w:uiPriority w:val="0"/>
    <w:rPr>
      <w:rFonts w:ascii="宋体"/>
      <w:sz w:val="40"/>
      <w:szCs w:val="24"/>
    </w:rPr>
  </w:style>
  <w:style w:type="character" w:customStyle="1" w:styleId="70">
    <w:name w:val="批注主题 字符"/>
    <w:link w:val="37"/>
    <w:uiPriority w:val="0"/>
    <w:rPr>
      <w:b/>
      <w:bCs/>
      <w:kern w:val="2"/>
      <w:sz w:val="21"/>
      <w:szCs w:val="24"/>
    </w:rPr>
  </w:style>
  <w:style w:type="character" w:customStyle="1" w:styleId="71">
    <w:name w:val="正文文本首行缩进 2 字符"/>
    <w:link w:val="38"/>
    <w:uiPriority w:val="0"/>
    <w:rPr>
      <w:rFonts w:ascii="Calibri" w:hAnsi="Calibri"/>
      <w:spacing w:val="-4"/>
      <w:kern w:val="2"/>
      <w:sz w:val="21"/>
      <w:szCs w:val="24"/>
    </w:rPr>
  </w:style>
  <w:style w:type="character" w:customStyle="1" w:styleId="72">
    <w:name w:val="disabled"/>
    <w:uiPriority w:val="0"/>
    <w:rPr>
      <w:color w:val="BFBFBF"/>
      <w:bdr w:val="single" w:color="BFBFBF" w:sz="6" w:space="0"/>
      <w:shd w:val="clear" w:color="auto" w:fill="F2F2F2"/>
    </w:rPr>
  </w:style>
  <w:style w:type="character" w:customStyle="1" w:styleId="73">
    <w:name w:val="current"/>
    <w:uiPriority w:val="0"/>
    <w:rPr>
      <w:color w:val="FFFFFF"/>
      <w:bdr w:val="single" w:color="428BCA" w:sz="6" w:space="0"/>
      <w:shd w:val="clear" w:color="auto" w:fill="428BCA"/>
    </w:rPr>
  </w:style>
  <w:style w:type="character" w:customStyle="1" w:styleId="74">
    <w:name w:val="NormalCharacter"/>
    <w:semiHidden/>
    <w:qFormat/>
    <w:uiPriority w:val="0"/>
  </w:style>
  <w:style w:type="character" w:customStyle="1" w:styleId="75">
    <w:name w:val="font41"/>
    <w:uiPriority w:val="0"/>
    <w:rPr>
      <w:rFonts w:ascii="Calibri" w:hAnsi="Calibri" w:cs="Calibri"/>
      <w:color w:val="000000"/>
      <w:sz w:val="18"/>
      <w:szCs w:val="18"/>
      <w:u w:val="none"/>
    </w:rPr>
  </w:style>
  <w:style w:type="character" w:customStyle="1" w:styleId="76">
    <w:name w:val="页脚 Char1"/>
    <w:semiHidden/>
    <w:uiPriority w:val="99"/>
    <w:rPr>
      <w:kern w:val="2"/>
      <w:sz w:val="18"/>
      <w:szCs w:val="18"/>
    </w:rPr>
  </w:style>
  <w:style w:type="character" w:customStyle="1" w:styleId="77">
    <w:name w:val="font31"/>
    <w:uiPriority w:val="0"/>
    <w:rPr>
      <w:rFonts w:hint="eastAsia" w:ascii="宋体" w:hAnsi="宋体" w:eastAsia="宋体" w:cs="宋体"/>
      <w:color w:val="000000"/>
      <w:sz w:val="18"/>
      <w:szCs w:val="18"/>
      <w:u w:val="none"/>
    </w:rPr>
  </w:style>
  <w:style w:type="character" w:customStyle="1" w:styleId="78">
    <w:name w:val="font01"/>
    <w:uiPriority w:val="0"/>
    <w:rPr>
      <w:rFonts w:hint="eastAsia" w:ascii="宋体" w:hAnsi="宋体" w:eastAsia="宋体" w:cs="宋体"/>
      <w:color w:val="000000"/>
      <w:sz w:val="20"/>
      <w:szCs w:val="20"/>
      <w:u w:val="none"/>
    </w:rPr>
  </w:style>
  <w:style w:type="character" w:customStyle="1" w:styleId="79">
    <w:name w:val="二级标题 Char"/>
    <w:link w:val="80"/>
    <w:uiPriority w:val="0"/>
    <w:rPr>
      <w:rFonts w:ascii="宋体" w:hAnsi="宋体" w:eastAsia="Times New Roman"/>
      <w:b/>
      <w:kern w:val="2"/>
      <w:sz w:val="21"/>
      <w:szCs w:val="21"/>
      <w:lang/>
    </w:rPr>
  </w:style>
  <w:style w:type="paragraph" w:customStyle="1" w:styleId="80">
    <w:name w:val="二级标题"/>
    <w:basedOn w:val="21"/>
    <w:link w:val="79"/>
    <w:qFormat/>
    <w:uiPriority w:val="0"/>
    <w:pPr>
      <w:snapToGrid w:val="0"/>
      <w:spacing w:before="60" w:beforeLines="0" w:after="60" w:afterLines="0" w:line="240" w:lineRule="auto"/>
      <w:ind w:firstLine="422" w:firstLineChars="200"/>
      <w:outlineLvl w:val="1"/>
    </w:pPr>
    <w:rPr>
      <w:rFonts w:hAnsi="宋体" w:eastAsia="Times New Roman"/>
      <w:b/>
      <w:sz w:val="21"/>
      <w:szCs w:val="21"/>
      <w:lang/>
    </w:rPr>
  </w:style>
  <w:style w:type="character" w:customStyle="1" w:styleId="81">
    <w:name w:val="font21"/>
    <w:uiPriority w:val="0"/>
    <w:rPr>
      <w:rFonts w:hint="eastAsia" w:ascii="宋体" w:hAnsi="宋体" w:eastAsia="宋体" w:cs="宋体"/>
      <w:color w:val="000000"/>
      <w:sz w:val="18"/>
      <w:szCs w:val="18"/>
      <w:u w:val="none"/>
    </w:rPr>
  </w:style>
  <w:style w:type="character" w:customStyle="1" w:styleId="82">
    <w:name w:val="font51"/>
    <w:uiPriority w:val="0"/>
    <w:rPr>
      <w:rFonts w:hint="eastAsia" w:ascii="宋体" w:hAnsi="宋体" w:eastAsia="宋体" w:cs="宋体"/>
      <w:color w:val="FF0000"/>
      <w:sz w:val="18"/>
      <w:szCs w:val="18"/>
      <w:u w:val="none"/>
    </w:rPr>
  </w:style>
  <w:style w:type="character" w:customStyle="1" w:styleId="83">
    <w:name w:val="纯文本 Char1"/>
    <w:locked/>
    <w:uiPriority w:val="0"/>
    <w:rPr>
      <w:rFonts w:ascii="宋体" w:hAnsi="Courier New"/>
      <w:sz w:val="21"/>
      <w:szCs w:val="21"/>
    </w:rPr>
  </w:style>
  <w:style w:type="character" w:customStyle="1" w:styleId="84">
    <w:name w:val="无间隔 字符"/>
    <w:link w:val="85"/>
    <w:uiPriority w:val="1"/>
    <w:rPr>
      <w:sz w:val="22"/>
      <w:szCs w:val="22"/>
      <w:lang w:val="en-US" w:eastAsia="zh-CN" w:bidi="ar-SA"/>
    </w:rPr>
  </w:style>
  <w:style w:type="paragraph" w:styleId="85">
    <w:name w:val="No Spacing"/>
    <w:link w:val="84"/>
    <w:qFormat/>
    <w:uiPriority w:val="1"/>
    <w:rPr>
      <w:sz w:val="22"/>
      <w:szCs w:val="22"/>
      <w:lang w:val="en-US" w:eastAsia="zh-CN" w:bidi="ar-SA"/>
    </w:rPr>
  </w:style>
  <w:style w:type="character" w:customStyle="1" w:styleId="86">
    <w:name w:val="页眉 Char1"/>
    <w:semiHidden/>
    <w:uiPriority w:val="99"/>
    <w:rPr>
      <w:kern w:val="2"/>
      <w:sz w:val="18"/>
      <w:szCs w:val="18"/>
    </w:rPr>
  </w:style>
  <w:style w:type="character" w:customStyle="1" w:styleId="87">
    <w:name w:val="font11"/>
    <w:uiPriority w:val="0"/>
    <w:rPr>
      <w:rFonts w:hint="eastAsia" w:ascii="宋体" w:hAnsi="宋体" w:eastAsia="宋体" w:cs="宋体"/>
      <w:color w:val="000000"/>
      <w:sz w:val="21"/>
      <w:szCs w:val="21"/>
      <w:u w:val="none"/>
    </w:rPr>
  </w:style>
  <w:style w:type="character" w:customStyle="1" w:styleId="88">
    <w:name w:val="A7"/>
    <w:qFormat/>
    <w:uiPriority w:val="99"/>
    <w:rPr>
      <w:rFonts w:hint="default" w:ascii="Gotham Book" w:hAnsi="Gotham Book" w:cs="Gotham Book"/>
      <w:color w:val="000000"/>
      <w:sz w:val="16"/>
      <w:szCs w:val="16"/>
    </w:rPr>
  </w:style>
  <w:style w:type="character" w:customStyle="1" w:styleId="89">
    <w:name w:val="标题 1 Char Char"/>
    <w:qFormat/>
    <w:uiPriority w:val="0"/>
    <w:rPr>
      <w:rFonts w:eastAsia="宋体"/>
      <w:b/>
      <w:spacing w:val="-2"/>
      <w:sz w:val="24"/>
      <w:lang w:val="en-US" w:eastAsia="zh-CN"/>
    </w:rPr>
  </w:style>
  <w:style w:type="paragraph" w:customStyle="1" w:styleId="90">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91">
    <w:name w:val=" Char"/>
    <w:basedOn w:val="1"/>
    <w:uiPriority w:val="0"/>
    <w:rPr>
      <w:rFonts w:ascii="宋体" w:hAnsi="宋体"/>
      <w:i/>
      <w:sz w:val="24"/>
    </w:rPr>
  </w:style>
  <w:style w:type="paragraph" w:styleId="92">
    <w:name w:val="List Paragraph"/>
    <w:basedOn w:val="1"/>
    <w:qFormat/>
    <w:uiPriority w:val="34"/>
    <w:pPr>
      <w:ind w:firstLine="420" w:firstLineChars="200"/>
    </w:pPr>
    <w:rPr>
      <w:rFonts w:ascii="Calibri" w:hAnsi="Calibri" w:eastAsia="宋体" w:cs="Times New Roman"/>
      <w:szCs w:val="22"/>
    </w:rPr>
  </w:style>
  <w:style w:type="paragraph" w:customStyle="1" w:styleId="93">
    <w:name w:val="正文空格"/>
    <w:basedOn w:val="1"/>
    <w:next w:val="1"/>
    <w:qFormat/>
    <w:uiPriority w:val="0"/>
    <w:pPr>
      <w:spacing w:line="400" w:lineRule="exact"/>
      <w:ind w:firstLine="200" w:firstLineChars="200"/>
    </w:pPr>
    <w:rPr>
      <w:sz w:val="24"/>
      <w:szCs w:val="22"/>
    </w:rPr>
  </w:style>
  <w:style w:type="paragraph" w:customStyle="1" w:styleId="94">
    <w:name w:val="默认段落字体 Para Char Char Char Char Char Char Char Char Char1 Char Char Char Char"/>
    <w:basedOn w:val="1"/>
    <w:uiPriority w:val="0"/>
    <w:rPr>
      <w:rFonts w:ascii="Tahoma" w:hAnsi="Tahoma"/>
      <w:sz w:val="24"/>
      <w:szCs w:val="20"/>
    </w:rPr>
  </w:style>
  <w:style w:type="paragraph" w:customStyle="1" w:styleId="95">
    <w:name w:val="Pa4"/>
    <w:basedOn w:val="96"/>
    <w:next w:val="96"/>
    <w:uiPriority w:val="99"/>
    <w:pPr>
      <w:widowControl/>
      <w:spacing w:line="241" w:lineRule="atLeast"/>
    </w:pPr>
    <w:rPr>
      <w:rFonts w:ascii="Gotham Light" w:hAnsi="Gotham Light" w:eastAsia="宋体" w:cs="Times New Roman"/>
      <w:color w:val="auto"/>
    </w:rPr>
  </w:style>
  <w:style w:type="paragraph" w:customStyle="1" w:styleId="96">
    <w:name w:val="Defaul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97">
    <w:name w:val="p15"/>
    <w:basedOn w:val="1"/>
    <w:uiPriority w:val="0"/>
    <w:pPr>
      <w:widowControl/>
      <w:spacing w:after="120"/>
    </w:pPr>
    <w:rPr>
      <w:kern w:val="0"/>
      <w:szCs w:val="21"/>
    </w:rPr>
  </w:style>
  <w:style w:type="paragraph" w:customStyle="1" w:styleId="98">
    <w:name w:val="首行缩进"/>
    <w:basedOn w:val="1"/>
    <w:qFormat/>
    <w:uiPriority w:val="0"/>
    <w:pPr>
      <w:ind w:firstLine="480" w:firstLineChars="200"/>
    </w:pPr>
    <w:rPr>
      <w:rFonts w:ascii="Calibri" w:hAnsi="Calibri"/>
      <w:lang w:val="zh-CN"/>
    </w:rPr>
  </w:style>
  <w:style w:type="paragraph" w:customStyle="1" w:styleId="99">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00">
    <w:name w:val="样式1"/>
    <w:basedOn w:val="1"/>
    <w:qFormat/>
    <w:uiPriority w:val="0"/>
    <w:pPr>
      <w:spacing w:line="360" w:lineRule="auto"/>
      <w:ind w:firstLine="480" w:firstLineChars="200"/>
    </w:pPr>
    <w:rPr>
      <w:rFonts w:ascii="宋体" w:hAnsi="宋体" w:eastAsia="宋体"/>
      <w:sz w:val="24"/>
    </w:rPr>
  </w:style>
  <w:style w:type="paragraph" w:customStyle="1" w:styleId="101">
    <w:name w:val="Plain Text"/>
    <w:basedOn w:val="1"/>
    <w:uiPriority w:val="0"/>
    <w:rPr>
      <w:rFonts w:ascii="宋体" w:hAnsi="Courier New"/>
      <w:szCs w:val="20"/>
    </w:rPr>
  </w:style>
  <w:style w:type="paragraph" w:customStyle="1" w:styleId="102">
    <w:name w:val="Pa0"/>
    <w:basedOn w:val="96"/>
    <w:next w:val="96"/>
    <w:uiPriority w:val="99"/>
    <w:pPr>
      <w:widowControl/>
      <w:spacing w:line="241" w:lineRule="atLeast"/>
    </w:pPr>
    <w:rPr>
      <w:rFonts w:ascii="Gotham Light" w:hAnsi="Gotham Light" w:eastAsia="宋体" w:cs="Times New Roman"/>
      <w:color w:val="auto"/>
    </w:rPr>
  </w:style>
  <w:style w:type="paragraph" w:customStyle="1" w:styleId="103">
    <w:name w:val="样式3"/>
    <w:basedOn w:val="21"/>
    <w:qFormat/>
    <w:uiPriority w:val="0"/>
    <w:pPr>
      <w:spacing w:line="0" w:lineRule="atLeast"/>
      <w:outlineLvl w:val="0"/>
    </w:pPr>
    <w:rPr>
      <w:sz w:val="28"/>
    </w:rPr>
  </w:style>
  <w:style w:type="paragraph" w:customStyle="1" w:styleId="104">
    <w:name w:val="无间隔1"/>
    <w:uiPriority w:val="0"/>
    <w:rPr>
      <w:sz w:val="22"/>
      <w:szCs w:val="22"/>
      <w:lang w:val="en-US" w:eastAsia="zh-CN" w:bidi="ar-SA"/>
    </w:rPr>
  </w:style>
  <w:style w:type="paragraph" w:customStyle="1" w:styleId="105">
    <w:name w:val="字元 字元"/>
    <w:basedOn w:val="1"/>
    <w:uiPriority w:val="0"/>
    <w:rPr>
      <w:szCs w:val="20"/>
    </w:rPr>
  </w:style>
  <w:style w:type="paragraph" w:customStyle="1" w:styleId="106">
    <w:name w:val="正文2"/>
    <w:basedOn w:val="1"/>
    <w:qFormat/>
    <w:uiPriority w:val="0"/>
    <w:pPr>
      <w:spacing w:beforeLines="50" w:afterLines="50" w:line="360" w:lineRule="auto"/>
      <w:ind w:firstLine="480" w:firstLineChars="200"/>
    </w:pPr>
    <w:rPr>
      <w:rFonts w:ascii="宋体" w:hAnsi="宋体"/>
      <w:sz w:val="24"/>
      <w:szCs w:val="24"/>
    </w:rPr>
  </w:style>
  <w:style w:type="paragraph" w:customStyle="1" w:styleId="107">
    <w:name w:val="列出段落1"/>
    <w:basedOn w:val="1"/>
    <w:qFormat/>
    <w:uiPriority w:val="34"/>
    <w:pPr>
      <w:ind w:firstLine="420" w:firstLineChars="200"/>
    </w:pPr>
    <w:rPr>
      <w:sz w:val="24"/>
    </w:rPr>
  </w:style>
  <w:style w:type="paragraph" w:customStyle="1" w:styleId="108">
    <w:name w:val="正文 A"/>
    <w:next w:val="1"/>
    <w:qFormat/>
    <w:uiPriority w:val="0"/>
    <w:pPr>
      <w:widowControl w:val="0"/>
      <w:jc w:val="both"/>
    </w:pPr>
    <w:rPr>
      <w:rFonts w:ascii="Calibri" w:hAnsi="Calibri" w:eastAsia="Arial Unicode MS" w:cs="Arial Unicode MS"/>
      <w:color w:val="000000"/>
      <w:kern w:val="2"/>
      <w:sz w:val="21"/>
      <w:szCs w:val="21"/>
      <w:lang w:val="en-US" w:eastAsia="zh-CN" w:bidi="ar-SA"/>
    </w:rPr>
  </w:style>
  <w:style w:type="paragraph" w:customStyle="1" w:styleId="109">
    <w:name w:val="列出段落11"/>
    <w:basedOn w:val="1"/>
    <w:qFormat/>
    <w:uiPriority w:val="0"/>
    <w:pPr>
      <w:ind w:firstLine="420" w:firstLineChars="200"/>
    </w:pPr>
    <w:rPr>
      <w:rFonts w:ascii="Calibri" w:hAnsi="Calibri"/>
      <w:szCs w:val="22"/>
    </w:rPr>
  </w:style>
  <w:style w:type="paragraph" w:customStyle="1" w:styleId="110">
    <w:name w:val="正文1"/>
    <w:basedOn w:val="1"/>
    <w:next w:val="1"/>
    <w:qFormat/>
    <w:uiPriority w:val="0"/>
    <w:pPr>
      <w:spacing w:before="156"/>
      <w:ind w:firstLine="510" w:firstLineChars="200"/>
    </w:pPr>
    <w:rPr>
      <w:szCs w:val="20"/>
    </w:rPr>
  </w:style>
  <w:style w:type="paragraph" w:customStyle="1" w:styleId="111">
    <w:name w:val="WPSOffice手动目录 1"/>
    <w:uiPriority w:val="0"/>
    <w:rPr>
      <w:lang w:val="en-US" w:eastAsia="zh-CN" w:bidi="ar-SA"/>
    </w:rPr>
  </w:style>
  <w:style w:type="paragraph" w:customStyle="1" w:styleId="112">
    <w:name w:val="正文段"/>
    <w:basedOn w:val="1"/>
    <w:uiPriority w:val="0"/>
    <w:pPr>
      <w:widowControl/>
      <w:snapToGrid w:val="0"/>
      <w:spacing w:after="50" w:afterLines="50"/>
      <w:ind w:firstLine="200" w:firstLineChars="200"/>
    </w:pPr>
    <w:rPr>
      <w:kern w:val="0"/>
      <w:sz w:val="24"/>
      <w:szCs w:val="20"/>
    </w:rPr>
  </w:style>
  <w:style w:type="paragraph" w:styleId="113">
    <w:name w:val=""/>
    <w:unhideWhenUsed/>
    <w:uiPriority w:val="99"/>
    <w:rPr>
      <w:kern w:val="2"/>
      <w:sz w:val="21"/>
      <w:szCs w:val="24"/>
      <w:lang w:val="en-US" w:eastAsia="zh-CN" w:bidi="ar-SA"/>
    </w:rPr>
  </w:style>
  <w:style w:type="paragraph" w:customStyle="1" w:styleId="114">
    <w:name w:val="msonormal"/>
    <w:basedOn w:val="1"/>
    <w:uiPriority w:val="0"/>
    <w:pPr>
      <w:widowControl/>
      <w:spacing w:before="100" w:beforeAutospacing="1" w:after="100" w:afterAutospacing="1"/>
      <w:jc w:val="left"/>
    </w:pPr>
    <w:rPr>
      <w:rFonts w:ascii="宋体" w:hAnsi="宋体" w:cs="宋体"/>
      <w:kern w:val="0"/>
      <w:sz w:val="24"/>
    </w:rPr>
  </w:style>
  <w:style w:type="paragraph" w:customStyle="1" w:styleId="115">
    <w:name w:val="方案正文"/>
    <w:basedOn w:val="1"/>
    <w:qFormat/>
    <w:uiPriority w:val="0"/>
    <w:pPr>
      <w:adjustRightInd w:val="0"/>
      <w:snapToGrid w:val="0"/>
      <w:spacing w:line="360" w:lineRule="auto"/>
      <w:ind w:firstLine="480" w:firstLineChars="200"/>
      <w:jc w:val="left"/>
    </w:pPr>
    <w:rPr>
      <w:rFonts w:ascii="Calibri" w:hAnsi="Calibri"/>
      <w:sz w:val="24"/>
    </w:rPr>
  </w:style>
  <w:style w:type="paragraph" w:styleId="116">
    <w:name w:val=""/>
    <w:basedOn w:val="2"/>
    <w:next w:val="1"/>
    <w:qFormat/>
    <w:uiPriority w:val="39"/>
    <w:pPr>
      <w:keepLines/>
      <w:widowControl/>
      <w:spacing w:before="480" w:line="276" w:lineRule="auto"/>
      <w:jc w:val="left"/>
      <w:outlineLvl w:val="9"/>
    </w:pPr>
    <w:rPr>
      <w:rFonts w:ascii="Cambria" w:hAnsi="Cambria" w:eastAsia="宋体" w:cs="Times New Roman"/>
      <w:color w:val="365F91"/>
      <w:kern w:val="0"/>
      <w:szCs w:val="28"/>
    </w:rPr>
  </w:style>
  <w:style w:type="paragraph" w:customStyle="1" w:styleId="117">
    <w:name w:val="List Paragraph"/>
    <w:basedOn w:val="1"/>
    <w:uiPriority w:val="0"/>
    <w:pPr>
      <w:ind w:firstLine="420" w:firstLineChars="200"/>
    </w:pPr>
    <w:rPr>
      <w:rFonts w:ascii="仿宋_GB2312" w:hAnsi="宋体" w:eastAsia="仿宋_GB2312" w:cs="宋体"/>
      <w:b/>
      <w:bCs/>
      <w:color w:val="000000"/>
      <w:kern w:val="0"/>
      <w:szCs w:val="21"/>
    </w:rPr>
  </w:style>
  <w:style w:type="paragraph" w:customStyle="1" w:styleId="118">
    <w:name w:val="Char"/>
    <w:basedOn w:val="1"/>
    <w:uiPriority w:val="0"/>
    <w:rPr>
      <w:rFonts w:ascii="仿宋_GB2312" w:eastAsia="仿宋_GB2312"/>
      <w:b/>
      <w:sz w:val="32"/>
      <w:szCs w:val="32"/>
    </w:rPr>
  </w:style>
  <w:style w:type="paragraph" w:customStyle="1" w:styleId="119">
    <w:name w:val="Pa5"/>
    <w:basedOn w:val="96"/>
    <w:next w:val="96"/>
    <w:uiPriority w:val="99"/>
    <w:pPr>
      <w:widowControl/>
      <w:spacing w:line="241" w:lineRule="atLeast"/>
    </w:pPr>
    <w:rPr>
      <w:rFonts w:ascii="Gotham Light" w:hAnsi="Gotham Light" w:eastAsia="宋体" w:cs="Times New Roman"/>
      <w:color w:val="auto"/>
    </w:rPr>
  </w:style>
  <w:style w:type="paragraph" w:customStyle="1" w:styleId="120">
    <w:name w:val="Normal"/>
    <w:uiPriority w:val="0"/>
    <w:pPr>
      <w:widowControl w:val="0"/>
      <w:jc w:val="both"/>
    </w:pPr>
    <w:rPr>
      <w:rFonts w:hint="eastAsia"/>
      <w:kern w:val="2"/>
      <w:sz w:val="21"/>
      <w:lang w:val="en-US" w:eastAsia="zh-CN" w:bidi="ar-SA"/>
    </w:rPr>
  </w:style>
  <w:style w:type="paragraph" w:customStyle="1" w:styleId="121">
    <w:name w:val="DAS正文"/>
    <w:basedOn w:val="1"/>
    <w:qFormat/>
    <w:uiPriority w:val="0"/>
    <w:pPr>
      <w:tabs>
        <w:tab w:val="left" w:pos="1200"/>
      </w:tabs>
      <w:spacing w:line="360" w:lineRule="exact"/>
      <w:ind w:left="-17" w:leftChars="-8" w:right="181" w:firstLine="632" w:firstLineChars="300"/>
    </w:pPr>
    <w:rPr>
      <w:rFonts w:ascii="Verdana" w:hAnsi="Verdana" w:eastAsia="宋体" w:cs="Times New Roman"/>
      <w:b/>
      <w:bCs/>
      <w:szCs w:val="21"/>
    </w:rPr>
  </w:style>
  <w:style w:type="table" w:customStyle="1" w:styleId="122">
    <w:name w:val="网格型浅色1"/>
    <w:basedOn w:val="39"/>
    <w:uiPriority w:val="40"/>
    <w:rPr>
      <w:rFonts w:ascii="Calibri" w:hAnsi="Calibri" w:eastAsia="宋体" w:cs="Times New Roman"/>
      <w:sz w:val="22"/>
      <w:szCs w:val="22"/>
    </w:rPr>
    <w:tblPr>
      <w:tblStyle w:val="39"/>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theme/theme1.xml" Type="http://schemas.openxmlformats.org/officeDocument/2006/relationships/theme"/><Relationship Id="rId9" Target="../customXml/item1.xml" Type="http://schemas.openxmlformats.org/officeDocument/2006/relationships/customXml"/></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word/_rels/header1.xml.rels><?xml version="1.0" encoding="UTF-8" standalone="yes"?><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57</Pages>
  <Words>34178</Words>
  <Characters>37011</Characters>
  <Lines>317</Lines>
  <Paragraphs>89</Paragraphs>
  <TotalTime>29</TotalTime>
  <ScaleCrop>false</ScaleCrop>
  <LinksUpToDate>false</LinksUpToDate>
  <CharactersWithSpaces>40344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2023-07-28T07:47:00Z</dcterms:created>
  <dc:creator>YlmF</dc:creator>
  <cp:lastModifiedBy>WPS_1701756769</cp:lastModifiedBy>
  <cp:lastPrinted>2023-12-27T07:12:13Z</cp:lastPrinted>
  <dcterms:modified xsi:type="dcterms:W3CDTF">2024-02-22T09:44:31Z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17F5B193C7264F00BE022267696FF7D6_13</vt:lpwstr>
  </property>
</Properties>
</file>