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5"/>
        <w:spacing w:line="276" w:lineRule="auto"/>
        <w:ind w:left="840" w:firstLine="0" w:firstLineChars="0"/>
        <w:rPr>
          <w:rFonts w:ascii="宋体"/>
          <w:color w:val="auto"/>
          <w:szCs w:val="21"/>
          <w:highlight w:val="none"/>
        </w:rPr>
      </w:pPr>
    </w:p>
    <w:p>
      <w:pPr>
        <w:spacing w:line="276" w:lineRule="auto"/>
        <w:rPr>
          <w:rFonts w:ascii="宋体"/>
          <w:color w:val="auto"/>
          <w:szCs w:val="21"/>
          <w:highlight w:val="none"/>
        </w:rPr>
      </w:pPr>
    </w:p>
    <w:p>
      <w:pPr>
        <w:spacing w:line="276" w:lineRule="auto"/>
        <w:rPr>
          <w:rFonts w:ascii="宋体"/>
          <w:color w:val="auto"/>
          <w:szCs w:val="21"/>
          <w:highlight w:val="none"/>
        </w:rPr>
      </w:pPr>
    </w:p>
    <w:p>
      <w:pPr>
        <w:spacing w:before="100" w:beforeAutospacing="1" w:after="100" w:afterAutospacing="1" w:line="276" w:lineRule="auto"/>
        <w:jc w:val="center"/>
        <w:rPr>
          <w:rFonts w:hint="eastAsia" w:eastAsia="宋体"/>
          <w:b/>
          <w:color w:val="auto"/>
          <w:sz w:val="52"/>
          <w:szCs w:val="52"/>
          <w:highlight w:val="none"/>
          <w:lang w:eastAsia="zh-CN"/>
        </w:rPr>
      </w:pPr>
      <w:r>
        <w:rPr>
          <w:rFonts w:hint="eastAsia" w:hAnsi="宋体"/>
          <w:b/>
          <w:color w:val="auto"/>
          <w:sz w:val="52"/>
          <w:szCs w:val="52"/>
          <w:highlight w:val="none"/>
          <w:lang w:eastAsia="zh-CN"/>
        </w:rPr>
        <w:t>2023年度市三区常规交通设施年度维护项目</w:t>
      </w:r>
    </w:p>
    <w:p>
      <w:pPr>
        <w:spacing w:line="276" w:lineRule="auto"/>
        <w:jc w:val="center"/>
        <w:rPr>
          <w:rFonts w:ascii="宋体"/>
          <w:b/>
          <w:bCs/>
          <w:color w:val="auto"/>
          <w:sz w:val="48"/>
          <w:szCs w:val="48"/>
          <w:highlight w:val="none"/>
        </w:rPr>
      </w:pPr>
    </w:p>
    <w:p>
      <w:pPr>
        <w:spacing w:line="276" w:lineRule="auto"/>
        <w:jc w:val="center"/>
        <w:rPr>
          <w:rFonts w:ascii="宋体"/>
          <w:b/>
          <w:bCs/>
          <w:color w:val="auto"/>
          <w:sz w:val="44"/>
          <w:szCs w:val="44"/>
          <w:highlight w:val="none"/>
        </w:rPr>
      </w:pPr>
    </w:p>
    <w:p>
      <w:pPr>
        <w:spacing w:line="276" w:lineRule="auto"/>
        <w:jc w:val="center"/>
        <w:rPr>
          <w:rFonts w:ascii="宋体"/>
          <w:b/>
          <w:bCs/>
          <w:color w:val="auto"/>
          <w:sz w:val="44"/>
          <w:szCs w:val="44"/>
          <w:highlight w:val="none"/>
          <w:shd w:val="clear" w:color="FFFFFF" w:fill="D9D9D9"/>
        </w:rPr>
      </w:pPr>
    </w:p>
    <w:p>
      <w:pPr>
        <w:spacing w:line="276" w:lineRule="auto"/>
        <w:jc w:val="center"/>
        <w:rPr>
          <w:rFonts w:ascii="宋体"/>
          <w:b/>
          <w:color w:val="auto"/>
          <w:sz w:val="72"/>
          <w:szCs w:val="72"/>
          <w:highlight w:val="none"/>
        </w:rPr>
      </w:pPr>
      <w:r>
        <w:rPr>
          <w:rFonts w:hint="eastAsia" w:ascii="宋体"/>
          <w:b/>
          <w:bCs/>
          <w:color w:val="auto"/>
          <w:sz w:val="72"/>
          <w:szCs w:val="72"/>
          <w:highlight w:val="none"/>
        </w:rPr>
        <w:t>政府采购招标文件</w:t>
      </w:r>
      <w:r>
        <w:rPr>
          <w:rFonts w:hint="eastAsia" w:ascii="宋体"/>
          <w:b/>
          <w:bCs/>
          <w:color w:val="auto"/>
          <w:sz w:val="72"/>
          <w:szCs w:val="72"/>
          <w:highlight w:val="none"/>
        </w:rPr>
        <w:tab/>
      </w:r>
    </w:p>
    <w:p>
      <w:pPr>
        <w:spacing w:line="276" w:lineRule="auto"/>
        <w:ind w:firstLine="600"/>
        <w:jc w:val="both"/>
        <w:rPr>
          <w:rFonts w:ascii="宋体"/>
          <w:b/>
          <w:bCs/>
          <w:color w:val="auto"/>
          <w:sz w:val="30"/>
          <w:highlight w:val="none"/>
        </w:rPr>
      </w:pPr>
    </w:p>
    <w:p>
      <w:pPr>
        <w:spacing w:line="276" w:lineRule="auto"/>
        <w:ind w:firstLine="600"/>
        <w:jc w:val="both"/>
        <w:rPr>
          <w:rFonts w:ascii="宋体"/>
          <w:b/>
          <w:bCs/>
          <w:color w:val="auto"/>
          <w:sz w:val="30"/>
          <w:highlight w:val="none"/>
        </w:rPr>
      </w:pPr>
    </w:p>
    <w:p>
      <w:pPr>
        <w:spacing w:line="276" w:lineRule="auto"/>
        <w:ind w:firstLine="2397" w:firstLineChars="796"/>
        <w:rPr>
          <w:rFonts w:hint="eastAsia" w:ascii="宋体" w:eastAsia="宋体"/>
          <w:b/>
          <w:bCs/>
          <w:color w:val="auto"/>
          <w:sz w:val="30"/>
          <w:highlight w:val="none"/>
          <w:u w:val="single"/>
          <w:lang w:eastAsia="zh-CN"/>
        </w:rPr>
      </w:pPr>
      <w:r>
        <w:rPr>
          <w:rFonts w:hint="eastAsia" w:ascii="宋体"/>
          <w:b/>
          <w:bCs/>
          <w:color w:val="auto"/>
          <w:sz w:val="30"/>
          <w:highlight w:val="none"/>
        </w:rPr>
        <w:t>招标编号：</w:t>
      </w:r>
      <w:r>
        <w:rPr>
          <w:rFonts w:hint="eastAsia" w:ascii="宋体"/>
          <w:b/>
          <w:bCs/>
          <w:color w:val="auto"/>
          <w:sz w:val="30"/>
          <w:highlight w:val="none"/>
          <w:u w:val="single"/>
          <w:lang w:eastAsia="zh-CN"/>
        </w:rPr>
        <w:t>NBITC-202330131G</w:t>
      </w:r>
    </w:p>
    <w:p>
      <w:pPr>
        <w:spacing w:line="276" w:lineRule="auto"/>
        <w:ind w:firstLine="600"/>
        <w:rPr>
          <w:rFonts w:ascii="宋体"/>
          <w:color w:val="auto"/>
          <w:highlight w:val="none"/>
        </w:rPr>
      </w:pPr>
    </w:p>
    <w:p>
      <w:pPr>
        <w:spacing w:line="276" w:lineRule="auto"/>
        <w:ind w:firstLine="600"/>
        <w:rPr>
          <w:rFonts w:ascii="宋体"/>
          <w:color w:val="auto"/>
          <w:highlight w:val="none"/>
        </w:rPr>
      </w:pPr>
    </w:p>
    <w:p>
      <w:pPr>
        <w:spacing w:line="276" w:lineRule="auto"/>
        <w:ind w:firstLine="600"/>
        <w:rPr>
          <w:rFonts w:ascii="宋体"/>
          <w:color w:val="auto"/>
          <w:highlight w:val="none"/>
        </w:rPr>
      </w:pPr>
    </w:p>
    <w:p>
      <w:pPr>
        <w:spacing w:line="276" w:lineRule="auto"/>
        <w:ind w:firstLine="600"/>
        <w:rPr>
          <w:rFonts w:ascii="宋体"/>
          <w:color w:val="auto"/>
          <w:highlight w:val="none"/>
        </w:rPr>
      </w:pPr>
    </w:p>
    <w:p>
      <w:pPr>
        <w:spacing w:before="240" w:line="276" w:lineRule="auto"/>
        <w:rPr>
          <w:rFonts w:ascii="宋体"/>
          <w:color w:val="auto"/>
          <w:highlight w:val="none"/>
        </w:rPr>
      </w:pPr>
    </w:p>
    <w:p>
      <w:pPr>
        <w:spacing w:line="276" w:lineRule="auto"/>
        <w:ind w:firstLine="600"/>
        <w:rPr>
          <w:rFonts w:ascii="宋体"/>
          <w:b/>
          <w:bCs/>
          <w:color w:val="auto"/>
          <w:sz w:val="30"/>
          <w:highlight w:val="none"/>
        </w:rPr>
      </w:pPr>
      <w:r>
        <w:rPr>
          <w:rFonts w:hint="eastAsia" w:ascii="宋体"/>
          <w:b/>
          <w:bCs/>
          <w:color w:val="auto"/>
          <w:sz w:val="30"/>
          <w:highlight w:val="none"/>
        </w:rPr>
        <w:t>招标人：宁波市公安局交通警察局</w:t>
      </w:r>
    </w:p>
    <w:p>
      <w:pPr>
        <w:spacing w:line="276" w:lineRule="auto"/>
        <w:ind w:firstLine="600"/>
        <w:rPr>
          <w:rFonts w:ascii="宋体"/>
          <w:b/>
          <w:bCs/>
          <w:color w:val="auto"/>
          <w:sz w:val="30"/>
          <w:highlight w:val="none"/>
        </w:rPr>
      </w:pPr>
    </w:p>
    <w:p>
      <w:pPr>
        <w:spacing w:line="276" w:lineRule="auto"/>
        <w:ind w:firstLine="602" w:firstLineChars="200"/>
        <w:rPr>
          <w:rFonts w:ascii="宋体"/>
          <w:b/>
          <w:bCs/>
          <w:color w:val="auto"/>
          <w:sz w:val="30"/>
          <w:highlight w:val="none"/>
        </w:rPr>
      </w:pPr>
      <w:r>
        <w:rPr>
          <w:rFonts w:hint="eastAsia" w:ascii="宋体"/>
          <w:b/>
          <w:bCs/>
          <w:color w:val="auto"/>
          <w:sz w:val="30"/>
          <w:highlight w:val="none"/>
        </w:rPr>
        <w:t>招标代理机构：宁波市国际招标有限公司</w:t>
      </w:r>
    </w:p>
    <w:p>
      <w:pPr>
        <w:spacing w:line="276" w:lineRule="auto"/>
        <w:rPr>
          <w:rFonts w:ascii="宋体"/>
          <w:b/>
          <w:bCs/>
          <w:color w:val="auto"/>
          <w:sz w:val="30"/>
          <w:highlight w:val="none"/>
        </w:rPr>
      </w:pPr>
    </w:p>
    <w:p>
      <w:pPr>
        <w:spacing w:line="276" w:lineRule="auto"/>
        <w:ind w:firstLine="596" w:firstLineChars="198"/>
        <w:rPr>
          <w:rFonts w:ascii="方正小标宋_GBK" w:eastAsia="方正小标宋_GBK"/>
          <w:color w:val="auto"/>
          <w:sz w:val="36"/>
          <w:szCs w:val="36"/>
          <w:highlight w:val="none"/>
        </w:rPr>
      </w:pPr>
      <w:r>
        <w:rPr>
          <w:rFonts w:hint="eastAsia" w:ascii="宋体"/>
          <w:b/>
          <w:bCs/>
          <w:color w:val="auto"/>
          <w:sz w:val="30"/>
          <w:highlight w:val="none"/>
        </w:rPr>
        <w:t>编制日期：</w:t>
      </w:r>
      <w:r>
        <w:rPr>
          <w:rFonts w:hint="eastAsia" w:ascii="宋体"/>
          <w:b/>
          <w:bCs/>
          <w:color w:val="auto"/>
          <w:sz w:val="30"/>
          <w:highlight w:val="none"/>
          <w:lang w:eastAsia="zh-CN"/>
        </w:rPr>
        <w:t>2023年</w:t>
      </w:r>
      <w:r>
        <w:rPr>
          <w:rFonts w:hint="eastAsia" w:ascii="宋体"/>
          <w:b/>
          <w:bCs/>
          <w:color w:val="auto"/>
          <w:sz w:val="30"/>
          <w:highlight w:val="none"/>
          <w:lang w:val="en-US" w:eastAsia="zh-CN"/>
        </w:rPr>
        <w:t>6</w:t>
      </w:r>
      <w:r>
        <w:rPr>
          <w:rFonts w:hint="eastAsia" w:ascii="宋体"/>
          <w:b/>
          <w:bCs/>
          <w:color w:val="auto"/>
          <w:sz w:val="30"/>
          <w:highlight w:val="none"/>
        </w:rPr>
        <w:t>月</w:t>
      </w:r>
    </w:p>
    <w:p>
      <w:pPr>
        <w:spacing w:line="276" w:lineRule="auto"/>
        <w:jc w:val="center"/>
        <w:rPr>
          <w:rFonts w:ascii="宋体"/>
          <w:color w:val="auto"/>
          <w:sz w:val="30"/>
          <w:highlight w:val="none"/>
        </w:rPr>
      </w:pPr>
      <w:bookmarkStart w:id="0" w:name="_Toc241827234"/>
      <w:bookmarkStart w:id="1" w:name="_Toc241827233"/>
      <w:bookmarkStart w:id="2" w:name="_Toc86202580"/>
    </w:p>
    <w:p>
      <w:pPr>
        <w:spacing w:line="276" w:lineRule="auto"/>
        <w:jc w:val="center"/>
        <w:rPr>
          <w:rFonts w:ascii="宋体"/>
          <w:color w:val="auto"/>
          <w:sz w:val="30"/>
          <w:highlight w:val="none"/>
        </w:rPr>
      </w:pPr>
    </w:p>
    <w:p>
      <w:pPr>
        <w:spacing w:line="276" w:lineRule="auto"/>
        <w:jc w:val="center"/>
        <w:rPr>
          <w:b/>
          <w:color w:val="auto"/>
          <w:highlight w:val="none"/>
        </w:rPr>
      </w:pPr>
    </w:p>
    <w:p>
      <w:pPr>
        <w:spacing w:line="276" w:lineRule="auto"/>
        <w:jc w:val="center"/>
        <w:rPr>
          <w:b/>
          <w:color w:val="auto"/>
          <w:highlight w:val="none"/>
        </w:rPr>
      </w:pPr>
      <w:r>
        <w:rPr>
          <w:b/>
          <w:color w:val="auto"/>
          <w:highlight w:val="none"/>
        </w:rPr>
        <w:br w:type="page"/>
      </w:r>
    </w:p>
    <w:p>
      <w:pPr>
        <w:spacing w:line="276" w:lineRule="auto"/>
        <w:jc w:val="center"/>
        <w:rPr>
          <w:b/>
          <w:color w:val="auto"/>
          <w:highlight w:val="none"/>
        </w:rPr>
      </w:pPr>
    </w:p>
    <w:p>
      <w:pPr>
        <w:spacing w:line="276" w:lineRule="auto"/>
        <w:jc w:val="center"/>
        <w:rPr>
          <w:b/>
          <w:color w:val="auto"/>
          <w:sz w:val="44"/>
          <w:szCs w:val="44"/>
          <w:highlight w:val="none"/>
        </w:rPr>
      </w:pPr>
    </w:p>
    <w:p>
      <w:pPr>
        <w:spacing w:line="276" w:lineRule="auto"/>
        <w:jc w:val="center"/>
        <w:rPr>
          <w:b/>
          <w:color w:val="auto"/>
          <w:sz w:val="44"/>
          <w:szCs w:val="44"/>
          <w:highlight w:val="none"/>
        </w:rPr>
      </w:pPr>
      <w:r>
        <w:rPr>
          <w:rFonts w:hint="eastAsia"/>
          <w:b/>
          <w:color w:val="auto"/>
          <w:sz w:val="44"/>
          <w:szCs w:val="44"/>
          <w:highlight w:val="none"/>
        </w:rPr>
        <w:t>目    录</w:t>
      </w:r>
    </w:p>
    <w:p>
      <w:pPr>
        <w:pStyle w:val="2"/>
        <w:rPr>
          <w:color w:val="auto"/>
          <w:highlight w:val="none"/>
        </w:rPr>
      </w:pPr>
    </w:p>
    <w:p>
      <w:pPr>
        <w:pStyle w:val="29"/>
        <w:tabs>
          <w:tab w:val="right" w:leader="dot" w:pos="8900"/>
        </w:tabs>
        <w:rPr>
          <w:color w:val="auto"/>
          <w:highlight w:val="none"/>
        </w:rPr>
      </w:pPr>
      <w:r>
        <w:rPr>
          <w:rFonts w:hint="eastAsia" w:ascii="宋体" w:hAnsi="宋体" w:cs="宋体"/>
          <w:color w:val="auto"/>
          <w:sz w:val="40"/>
          <w:szCs w:val="40"/>
          <w:highlight w:val="none"/>
        </w:rPr>
        <w:fldChar w:fldCharType="begin"/>
      </w:r>
      <w:r>
        <w:rPr>
          <w:rStyle w:val="45"/>
          <w:rFonts w:hint="eastAsia" w:ascii="宋体" w:hAnsi="宋体" w:cs="宋体"/>
          <w:color w:val="auto"/>
          <w:sz w:val="40"/>
          <w:szCs w:val="40"/>
          <w:highlight w:val="none"/>
        </w:rPr>
        <w:instrText xml:space="preserve"> TOC \o "1-2" \h \z \u </w:instrText>
      </w:r>
      <w:r>
        <w:rPr>
          <w:rFonts w:hint="eastAsia" w:ascii="宋体" w:hAnsi="宋体" w:cs="宋体"/>
          <w:color w:val="auto"/>
          <w:sz w:val="40"/>
          <w:szCs w:val="40"/>
          <w:highlight w:val="none"/>
        </w:rPr>
        <w:fldChar w:fldCharType="separate"/>
      </w:r>
      <w:r>
        <w:rPr>
          <w:rFonts w:hint="eastAsia" w:ascii="宋体" w:hAnsi="宋体" w:cs="宋体"/>
          <w:color w:val="auto"/>
          <w:szCs w:val="40"/>
          <w:highlight w:val="none"/>
        </w:rPr>
        <w:fldChar w:fldCharType="begin"/>
      </w:r>
      <w:r>
        <w:rPr>
          <w:rFonts w:hint="eastAsia" w:ascii="宋体" w:hAnsi="宋体" w:cs="宋体"/>
          <w:color w:val="auto"/>
          <w:szCs w:val="40"/>
          <w:highlight w:val="none"/>
        </w:rPr>
        <w:instrText xml:space="preserve"> HYPERLINK \l _Toc27370 </w:instrText>
      </w:r>
      <w:r>
        <w:rPr>
          <w:rFonts w:hint="eastAsia" w:ascii="宋体" w:hAnsi="宋体" w:cs="宋体"/>
          <w:color w:val="auto"/>
          <w:szCs w:val="40"/>
          <w:highlight w:val="none"/>
        </w:rPr>
        <w:fldChar w:fldCharType="separate"/>
      </w:r>
      <w:r>
        <w:rPr>
          <w:rFonts w:hint="eastAsia"/>
          <w:color w:val="auto"/>
          <w:szCs w:val="32"/>
          <w:highlight w:val="none"/>
        </w:rPr>
        <w:t xml:space="preserve">第一章  </w:t>
      </w:r>
      <w:r>
        <w:rPr>
          <w:rFonts w:hint="eastAsia"/>
          <w:color w:val="auto"/>
          <w:szCs w:val="32"/>
          <w:highlight w:val="none"/>
          <w:lang w:val="en-US" w:eastAsia="zh-CN"/>
        </w:rPr>
        <w:t>采购公告</w:t>
      </w:r>
      <w:r>
        <w:rPr>
          <w:color w:val="auto"/>
          <w:highlight w:val="none"/>
        </w:rPr>
        <w:tab/>
      </w:r>
      <w:r>
        <w:rPr>
          <w:color w:val="auto"/>
          <w:highlight w:val="none"/>
        </w:rPr>
        <w:fldChar w:fldCharType="begin"/>
      </w:r>
      <w:r>
        <w:rPr>
          <w:color w:val="auto"/>
          <w:highlight w:val="none"/>
        </w:rPr>
        <w:instrText xml:space="preserve"> PAGEREF _Toc27370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cs="宋体"/>
          <w:color w:val="auto"/>
          <w:szCs w:val="40"/>
          <w:highlight w:val="none"/>
        </w:rPr>
        <w:fldChar w:fldCharType="end"/>
      </w:r>
    </w:p>
    <w:p>
      <w:pPr>
        <w:pStyle w:val="29"/>
        <w:tabs>
          <w:tab w:val="right" w:leader="dot" w:pos="8900"/>
        </w:tabs>
        <w:rPr>
          <w:color w:val="auto"/>
          <w:highlight w:val="none"/>
        </w:rPr>
      </w:pPr>
      <w:r>
        <w:rPr>
          <w:rFonts w:hint="eastAsia" w:ascii="宋体" w:hAnsi="宋体" w:cs="宋体"/>
          <w:color w:val="auto"/>
          <w:szCs w:val="40"/>
          <w:highlight w:val="none"/>
        </w:rPr>
        <w:fldChar w:fldCharType="begin"/>
      </w:r>
      <w:r>
        <w:rPr>
          <w:rFonts w:hint="eastAsia" w:ascii="宋体" w:hAnsi="宋体" w:cs="宋体"/>
          <w:color w:val="auto"/>
          <w:szCs w:val="40"/>
          <w:highlight w:val="none"/>
        </w:rPr>
        <w:instrText xml:space="preserve"> HYPERLINK \l _Toc29638 </w:instrText>
      </w:r>
      <w:r>
        <w:rPr>
          <w:rFonts w:hint="eastAsia" w:ascii="宋体" w:hAnsi="宋体" w:cs="宋体"/>
          <w:color w:val="auto"/>
          <w:szCs w:val="40"/>
          <w:highlight w:val="none"/>
        </w:rPr>
        <w:fldChar w:fldCharType="separate"/>
      </w:r>
      <w:r>
        <w:rPr>
          <w:rFonts w:hint="eastAsia"/>
          <w:color w:val="auto"/>
          <w:szCs w:val="32"/>
          <w:highlight w:val="none"/>
        </w:rPr>
        <w:t>第</w:t>
      </w:r>
      <w:r>
        <w:rPr>
          <w:rFonts w:hint="eastAsia"/>
          <w:color w:val="auto"/>
          <w:szCs w:val="32"/>
          <w:highlight w:val="none"/>
          <w:lang w:val="en-US" w:eastAsia="zh-CN"/>
        </w:rPr>
        <w:t>二</w:t>
      </w:r>
      <w:r>
        <w:rPr>
          <w:rFonts w:hint="eastAsia"/>
          <w:color w:val="auto"/>
          <w:szCs w:val="32"/>
          <w:highlight w:val="none"/>
        </w:rPr>
        <w:t>章  技术要求</w:t>
      </w:r>
      <w:r>
        <w:rPr>
          <w:color w:val="auto"/>
          <w:highlight w:val="none"/>
        </w:rPr>
        <w:tab/>
      </w:r>
      <w:r>
        <w:rPr>
          <w:color w:val="auto"/>
          <w:highlight w:val="none"/>
        </w:rPr>
        <w:fldChar w:fldCharType="begin"/>
      </w:r>
      <w:r>
        <w:rPr>
          <w:color w:val="auto"/>
          <w:highlight w:val="none"/>
        </w:rPr>
        <w:instrText xml:space="preserve"> PAGEREF _Toc29638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cs="宋体"/>
          <w:color w:val="auto"/>
          <w:szCs w:val="40"/>
          <w:highlight w:val="none"/>
        </w:rPr>
        <w:fldChar w:fldCharType="end"/>
      </w:r>
    </w:p>
    <w:p>
      <w:pPr>
        <w:pStyle w:val="29"/>
        <w:tabs>
          <w:tab w:val="right" w:leader="dot" w:pos="8900"/>
        </w:tabs>
        <w:rPr>
          <w:color w:val="auto"/>
          <w:highlight w:val="none"/>
        </w:rPr>
      </w:pPr>
      <w:r>
        <w:rPr>
          <w:rFonts w:hint="eastAsia" w:ascii="宋体" w:hAnsi="宋体" w:cs="宋体"/>
          <w:color w:val="auto"/>
          <w:szCs w:val="40"/>
          <w:highlight w:val="none"/>
        </w:rPr>
        <w:fldChar w:fldCharType="begin"/>
      </w:r>
      <w:r>
        <w:rPr>
          <w:rFonts w:hint="eastAsia" w:ascii="宋体" w:hAnsi="宋体" w:cs="宋体"/>
          <w:color w:val="auto"/>
          <w:szCs w:val="40"/>
          <w:highlight w:val="none"/>
        </w:rPr>
        <w:instrText xml:space="preserve"> HYPERLINK \l _Toc2013 </w:instrText>
      </w:r>
      <w:r>
        <w:rPr>
          <w:rFonts w:hint="eastAsia" w:ascii="宋体" w:hAnsi="宋体" w:cs="宋体"/>
          <w:color w:val="auto"/>
          <w:szCs w:val="40"/>
          <w:highlight w:val="none"/>
        </w:rPr>
        <w:fldChar w:fldCharType="separate"/>
      </w:r>
      <w:r>
        <w:rPr>
          <w:rFonts w:hint="eastAsia"/>
          <w:color w:val="auto"/>
          <w:szCs w:val="32"/>
          <w:highlight w:val="none"/>
        </w:rPr>
        <w:t>第</w:t>
      </w:r>
      <w:r>
        <w:rPr>
          <w:rFonts w:hint="eastAsia"/>
          <w:color w:val="auto"/>
          <w:szCs w:val="32"/>
          <w:highlight w:val="none"/>
          <w:lang w:val="en-US" w:eastAsia="zh-CN"/>
        </w:rPr>
        <w:t>三</w:t>
      </w:r>
      <w:r>
        <w:rPr>
          <w:rFonts w:hint="eastAsia"/>
          <w:color w:val="auto"/>
          <w:szCs w:val="32"/>
          <w:highlight w:val="none"/>
        </w:rPr>
        <w:t>章  投标人须知</w:t>
      </w:r>
      <w:r>
        <w:rPr>
          <w:color w:val="auto"/>
          <w:highlight w:val="none"/>
        </w:rPr>
        <w:tab/>
      </w:r>
      <w:r>
        <w:rPr>
          <w:color w:val="auto"/>
          <w:highlight w:val="none"/>
        </w:rPr>
        <w:fldChar w:fldCharType="begin"/>
      </w:r>
      <w:r>
        <w:rPr>
          <w:color w:val="auto"/>
          <w:highlight w:val="none"/>
        </w:rPr>
        <w:instrText xml:space="preserve"> PAGEREF _Toc2013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cs="宋体"/>
          <w:color w:val="auto"/>
          <w:szCs w:val="40"/>
          <w:highlight w:val="none"/>
        </w:rPr>
        <w:fldChar w:fldCharType="end"/>
      </w:r>
    </w:p>
    <w:p>
      <w:pPr>
        <w:pStyle w:val="29"/>
        <w:tabs>
          <w:tab w:val="right" w:leader="dot" w:pos="8900"/>
        </w:tabs>
        <w:rPr>
          <w:color w:val="auto"/>
          <w:highlight w:val="none"/>
        </w:rPr>
      </w:pPr>
      <w:r>
        <w:rPr>
          <w:rFonts w:hint="eastAsia" w:ascii="宋体" w:hAnsi="宋体" w:cs="宋体"/>
          <w:color w:val="auto"/>
          <w:szCs w:val="40"/>
          <w:highlight w:val="none"/>
        </w:rPr>
        <w:fldChar w:fldCharType="begin"/>
      </w:r>
      <w:r>
        <w:rPr>
          <w:rFonts w:hint="eastAsia" w:ascii="宋体" w:hAnsi="宋体" w:cs="宋体"/>
          <w:color w:val="auto"/>
          <w:szCs w:val="40"/>
          <w:highlight w:val="none"/>
        </w:rPr>
        <w:instrText xml:space="preserve"> HYPERLINK \l _Toc22516 </w:instrText>
      </w:r>
      <w:r>
        <w:rPr>
          <w:rFonts w:hint="eastAsia" w:ascii="宋体" w:hAnsi="宋体" w:cs="宋体"/>
          <w:color w:val="auto"/>
          <w:szCs w:val="40"/>
          <w:highlight w:val="none"/>
        </w:rPr>
        <w:fldChar w:fldCharType="separate"/>
      </w:r>
      <w:r>
        <w:rPr>
          <w:rFonts w:hint="eastAsia"/>
          <w:color w:val="auto"/>
          <w:szCs w:val="32"/>
          <w:highlight w:val="none"/>
        </w:rPr>
        <w:t>第</w:t>
      </w:r>
      <w:r>
        <w:rPr>
          <w:rFonts w:hint="eastAsia"/>
          <w:color w:val="auto"/>
          <w:szCs w:val="32"/>
          <w:highlight w:val="none"/>
          <w:lang w:val="en-US" w:eastAsia="zh-CN"/>
        </w:rPr>
        <w:t>四</w:t>
      </w:r>
      <w:r>
        <w:rPr>
          <w:rFonts w:hint="eastAsia"/>
          <w:color w:val="auto"/>
          <w:szCs w:val="32"/>
          <w:highlight w:val="none"/>
        </w:rPr>
        <w:t>章  评分标准</w:t>
      </w:r>
      <w:r>
        <w:rPr>
          <w:color w:val="auto"/>
          <w:highlight w:val="none"/>
        </w:rPr>
        <w:tab/>
      </w:r>
      <w:r>
        <w:rPr>
          <w:color w:val="auto"/>
          <w:highlight w:val="none"/>
        </w:rPr>
        <w:fldChar w:fldCharType="begin"/>
      </w:r>
      <w:r>
        <w:rPr>
          <w:color w:val="auto"/>
          <w:highlight w:val="none"/>
        </w:rPr>
        <w:instrText xml:space="preserve"> PAGEREF _Toc22516 \h </w:instrText>
      </w:r>
      <w:r>
        <w:rPr>
          <w:color w:val="auto"/>
          <w:highlight w:val="none"/>
        </w:rPr>
        <w:fldChar w:fldCharType="separate"/>
      </w:r>
      <w:r>
        <w:rPr>
          <w:color w:val="auto"/>
          <w:highlight w:val="none"/>
        </w:rPr>
        <w:t>77</w:t>
      </w:r>
      <w:r>
        <w:rPr>
          <w:color w:val="auto"/>
          <w:highlight w:val="none"/>
        </w:rPr>
        <w:fldChar w:fldCharType="end"/>
      </w:r>
      <w:r>
        <w:rPr>
          <w:rFonts w:hint="eastAsia" w:ascii="宋体" w:hAnsi="宋体" w:cs="宋体"/>
          <w:color w:val="auto"/>
          <w:szCs w:val="40"/>
          <w:highlight w:val="none"/>
        </w:rPr>
        <w:fldChar w:fldCharType="end"/>
      </w:r>
    </w:p>
    <w:p>
      <w:pPr>
        <w:pStyle w:val="29"/>
        <w:tabs>
          <w:tab w:val="right" w:leader="dot" w:pos="8900"/>
        </w:tabs>
        <w:rPr>
          <w:color w:val="auto"/>
          <w:highlight w:val="none"/>
        </w:rPr>
      </w:pPr>
      <w:r>
        <w:rPr>
          <w:rFonts w:hint="eastAsia" w:ascii="宋体" w:hAnsi="宋体" w:cs="宋体"/>
          <w:color w:val="auto"/>
          <w:szCs w:val="40"/>
          <w:highlight w:val="none"/>
        </w:rPr>
        <w:fldChar w:fldCharType="begin"/>
      </w:r>
      <w:r>
        <w:rPr>
          <w:rFonts w:hint="eastAsia" w:ascii="宋体" w:hAnsi="宋体" w:cs="宋体"/>
          <w:color w:val="auto"/>
          <w:szCs w:val="40"/>
          <w:highlight w:val="none"/>
        </w:rPr>
        <w:instrText xml:space="preserve"> HYPERLINK \l _Toc2308 </w:instrText>
      </w:r>
      <w:r>
        <w:rPr>
          <w:rFonts w:hint="eastAsia" w:ascii="宋体" w:hAnsi="宋体" w:cs="宋体"/>
          <w:color w:val="auto"/>
          <w:szCs w:val="40"/>
          <w:highlight w:val="none"/>
        </w:rPr>
        <w:fldChar w:fldCharType="separate"/>
      </w:r>
      <w:r>
        <w:rPr>
          <w:rFonts w:hint="eastAsia"/>
          <w:color w:val="auto"/>
          <w:szCs w:val="32"/>
          <w:highlight w:val="none"/>
        </w:rPr>
        <w:t>第</w:t>
      </w:r>
      <w:r>
        <w:rPr>
          <w:rFonts w:hint="eastAsia"/>
          <w:color w:val="auto"/>
          <w:szCs w:val="32"/>
          <w:highlight w:val="none"/>
          <w:lang w:val="en-US" w:eastAsia="zh-CN"/>
        </w:rPr>
        <w:t>五</w:t>
      </w:r>
      <w:r>
        <w:rPr>
          <w:rFonts w:hint="eastAsia"/>
          <w:color w:val="auto"/>
          <w:szCs w:val="32"/>
          <w:highlight w:val="none"/>
        </w:rPr>
        <w:t>章  合同主要条款</w:t>
      </w:r>
      <w:r>
        <w:rPr>
          <w:color w:val="auto"/>
          <w:highlight w:val="none"/>
        </w:rPr>
        <w:tab/>
      </w:r>
      <w:r>
        <w:rPr>
          <w:color w:val="auto"/>
          <w:highlight w:val="none"/>
        </w:rPr>
        <w:fldChar w:fldCharType="begin"/>
      </w:r>
      <w:r>
        <w:rPr>
          <w:color w:val="auto"/>
          <w:highlight w:val="none"/>
        </w:rPr>
        <w:instrText xml:space="preserve"> PAGEREF _Toc2308 \h </w:instrText>
      </w:r>
      <w:r>
        <w:rPr>
          <w:color w:val="auto"/>
          <w:highlight w:val="none"/>
        </w:rPr>
        <w:fldChar w:fldCharType="separate"/>
      </w:r>
      <w:r>
        <w:rPr>
          <w:color w:val="auto"/>
          <w:highlight w:val="none"/>
        </w:rPr>
        <w:t>86</w:t>
      </w:r>
      <w:r>
        <w:rPr>
          <w:color w:val="auto"/>
          <w:highlight w:val="none"/>
        </w:rPr>
        <w:fldChar w:fldCharType="end"/>
      </w:r>
      <w:r>
        <w:rPr>
          <w:rFonts w:hint="eastAsia" w:ascii="宋体" w:hAnsi="宋体" w:cs="宋体"/>
          <w:color w:val="auto"/>
          <w:szCs w:val="40"/>
          <w:highlight w:val="none"/>
        </w:rPr>
        <w:fldChar w:fldCharType="end"/>
      </w:r>
    </w:p>
    <w:p>
      <w:pPr>
        <w:pStyle w:val="29"/>
        <w:tabs>
          <w:tab w:val="right" w:leader="dot" w:pos="8900"/>
        </w:tabs>
        <w:rPr>
          <w:color w:val="auto"/>
          <w:highlight w:val="none"/>
        </w:rPr>
      </w:pPr>
      <w:r>
        <w:rPr>
          <w:rFonts w:hint="eastAsia" w:ascii="宋体" w:hAnsi="宋体" w:cs="宋体"/>
          <w:color w:val="auto"/>
          <w:szCs w:val="40"/>
          <w:highlight w:val="none"/>
        </w:rPr>
        <w:fldChar w:fldCharType="begin"/>
      </w:r>
      <w:r>
        <w:rPr>
          <w:rFonts w:hint="eastAsia" w:ascii="宋体" w:hAnsi="宋体" w:cs="宋体"/>
          <w:color w:val="auto"/>
          <w:szCs w:val="40"/>
          <w:highlight w:val="none"/>
        </w:rPr>
        <w:instrText xml:space="preserve"> HYPERLINK \l _Toc3677 </w:instrText>
      </w:r>
      <w:r>
        <w:rPr>
          <w:rFonts w:hint="eastAsia" w:ascii="宋体" w:hAnsi="宋体" w:cs="宋体"/>
          <w:color w:val="auto"/>
          <w:szCs w:val="40"/>
          <w:highlight w:val="none"/>
        </w:rPr>
        <w:fldChar w:fldCharType="separate"/>
      </w:r>
      <w:r>
        <w:rPr>
          <w:rFonts w:hint="eastAsia"/>
          <w:color w:val="auto"/>
          <w:szCs w:val="32"/>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_Toc3677 \h </w:instrText>
      </w:r>
      <w:r>
        <w:rPr>
          <w:color w:val="auto"/>
          <w:highlight w:val="none"/>
        </w:rPr>
        <w:fldChar w:fldCharType="separate"/>
      </w:r>
      <w:r>
        <w:rPr>
          <w:color w:val="auto"/>
          <w:highlight w:val="none"/>
        </w:rPr>
        <w:t>89</w:t>
      </w:r>
      <w:r>
        <w:rPr>
          <w:color w:val="auto"/>
          <w:highlight w:val="none"/>
        </w:rPr>
        <w:fldChar w:fldCharType="end"/>
      </w:r>
      <w:r>
        <w:rPr>
          <w:rFonts w:hint="eastAsia" w:ascii="宋体" w:hAnsi="宋体" w:cs="宋体"/>
          <w:color w:val="auto"/>
          <w:szCs w:val="40"/>
          <w:highlight w:val="none"/>
        </w:rPr>
        <w:fldChar w:fldCharType="end"/>
      </w:r>
    </w:p>
    <w:p>
      <w:pPr>
        <w:pStyle w:val="33"/>
        <w:tabs>
          <w:tab w:val="right" w:leader="dot" w:pos="8900"/>
        </w:tabs>
        <w:rPr>
          <w:color w:val="auto"/>
          <w:highlight w:val="none"/>
        </w:rPr>
      </w:pPr>
    </w:p>
    <w:p>
      <w:pPr>
        <w:pStyle w:val="29"/>
        <w:tabs>
          <w:tab w:val="right" w:leader="dot" w:pos="8890"/>
        </w:tabs>
        <w:spacing w:line="480" w:lineRule="auto"/>
        <w:jc w:val="both"/>
        <w:rPr>
          <w:rFonts w:ascii="宋体" w:hAnsi="宋体" w:cs="宋体"/>
          <w:color w:val="auto"/>
          <w:highlight w:val="none"/>
        </w:rPr>
        <w:sectPr>
          <w:headerReference r:id="rId6" w:type="first"/>
          <w:headerReference r:id="rId5" w:type="default"/>
          <w:footerReference r:id="rId7" w:type="default"/>
          <w:pgSz w:w="11906" w:h="16838"/>
          <w:pgMar w:top="1418" w:right="1418" w:bottom="1418" w:left="1588" w:header="851" w:footer="851"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r>
        <w:rPr>
          <w:rFonts w:hint="eastAsia" w:ascii="宋体" w:hAnsi="宋体" w:cs="宋体"/>
          <w:color w:val="auto"/>
          <w:szCs w:val="40"/>
          <w:highlight w:val="none"/>
        </w:rPr>
        <w:fldChar w:fldCharType="end"/>
      </w:r>
      <w:bookmarkStart w:id="346" w:name="_GoBack"/>
      <w:bookmarkEnd w:id="346"/>
    </w:p>
    <w:bookmarkEnd w:id="0"/>
    <w:bookmarkEnd w:id="1"/>
    <w:bookmarkEnd w:id="2"/>
    <w:p>
      <w:pPr>
        <w:pStyle w:val="3"/>
        <w:bidi w:val="0"/>
        <w:jc w:val="center"/>
        <w:rPr>
          <w:rFonts w:hint="default" w:eastAsia="黑体"/>
          <w:color w:val="auto"/>
          <w:szCs w:val="28"/>
          <w:highlight w:val="none"/>
          <w:lang w:val="en-US" w:eastAsia="zh-CN"/>
        </w:rPr>
      </w:pPr>
      <w:bookmarkStart w:id="3" w:name="_Toc27370"/>
      <w:r>
        <w:rPr>
          <w:rFonts w:hint="eastAsia"/>
          <w:color w:val="auto"/>
          <w:sz w:val="32"/>
          <w:szCs w:val="32"/>
          <w:highlight w:val="none"/>
        </w:rPr>
        <w:t xml:space="preserve">第一章  </w:t>
      </w:r>
      <w:r>
        <w:rPr>
          <w:rFonts w:hint="eastAsia"/>
          <w:color w:val="auto"/>
          <w:sz w:val="32"/>
          <w:szCs w:val="32"/>
          <w:highlight w:val="none"/>
          <w:lang w:val="en-US" w:eastAsia="zh-CN"/>
        </w:rPr>
        <w:t>采购公告</w:t>
      </w:r>
      <w:bookmarkEnd w:id="3"/>
    </w:p>
    <w:p>
      <w:pPr>
        <w:wordWrap w:val="0"/>
        <w:spacing w:line="360" w:lineRule="auto"/>
        <w:rPr>
          <w:rFonts w:ascii="宋体" w:hAnsi="宋体" w:cs="宋体"/>
          <w:color w:val="auto"/>
          <w:sz w:val="21"/>
          <w:szCs w:val="21"/>
          <w:highlight w:val="none"/>
        </w:rPr>
      </w:pPr>
      <w:bookmarkStart w:id="4" w:name="_Toc10720"/>
      <w:r>
        <w:rPr>
          <w:rFonts w:hint="eastAsia" w:ascii="宋体" w:hAnsi="宋体" w:cs="宋体"/>
          <w:color w:val="auto"/>
          <w:sz w:val="21"/>
          <w:szCs w:val="21"/>
          <w:highlight w:val="none"/>
        </w:rPr>
        <w:t>发布日期：</w:t>
      </w:r>
      <w:r>
        <w:rPr>
          <w:rFonts w:hint="eastAsia" w:ascii="宋体" w:hAnsi="宋体" w:cs="宋体"/>
          <w:color w:val="auto"/>
          <w:sz w:val="21"/>
          <w:szCs w:val="21"/>
          <w:highlight w:val="none"/>
          <w:lang w:eastAsia="zh-CN"/>
        </w:rPr>
        <w:t>2023年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日</w:t>
      </w:r>
    </w:p>
    <w:tbl>
      <w:tblPr>
        <w:tblStyle w:val="40"/>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9380" w:type="dxa"/>
          </w:tcPr>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项目概况</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仿宋"/>
                <w:iCs/>
                <w:color w:val="auto"/>
                <w:sz w:val="21"/>
                <w:szCs w:val="21"/>
                <w:highlight w:val="none"/>
                <w:u w:val="single"/>
                <w:lang w:eastAsia="zh-CN"/>
              </w:rPr>
              <w:t>2023年度市三区常规交通设施年度维护项目</w:t>
            </w:r>
            <w:r>
              <w:rPr>
                <w:rFonts w:hint="eastAsia" w:ascii="宋体" w:hAnsi="宋体" w:cs="宋体"/>
                <w:color w:val="auto"/>
                <w:sz w:val="21"/>
                <w:szCs w:val="21"/>
                <w:highlight w:val="none"/>
              </w:rPr>
              <w:t>的潜在投标人应在政府采购云平台（www.zcygov.cn）获取（下载）采购文件，并于</w:t>
            </w:r>
            <w:r>
              <w:rPr>
                <w:rFonts w:hint="eastAsia" w:ascii="宋体" w:hAnsi="宋体" w:cs="宋体"/>
                <w:color w:val="auto"/>
                <w:sz w:val="21"/>
                <w:szCs w:val="21"/>
                <w:highlight w:val="none"/>
                <w:lang w:eastAsia="zh-CN"/>
              </w:rPr>
              <w:t>2023年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26</w:t>
            </w:r>
            <w:r>
              <w:rPr>
                <w:rFonts w:hint="eastAsia" w:ascii="宋体" w:hAnsi="宋体" w:cs="宋体"/>
                <w:color w:val="auto"/>
                <w:sz w:val="21"/>
                <w:szCs w:val="21"/>
                <w:highlight w:val="none"/>
              </w:rPr>
              <w:t>日09:</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（北京时间）前递交（上传）投标文件。</w:t>
            </w:r>
          </w:p>
        </w:tc>
      </w:tr>
    </w:tbl>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一、项目基本情况</w:t>
      </w:r>
    </w:p>
    <w:p>
      <w:pPr>
        <w:wordWrap w:val="0"/>
        <w:spacing w:line="360" w:lineRule="auto"/>
        <w:ind w:left="0" w:leftChars="0" w:firstLine="478" w:firstLineChars="228"/>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NBITC-202330131G</w:t>
      </w:r>
    </w:p>
    <w:p>
      <w:pPr>
        <w:wordWrap w:val="0"/>
        <w:spacing w:line="360" w:lineRule="auto"/>
        <w:ind w:left="0" w:leftChars="0" w:firstLine="478" w:firstLineChars="228"/>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lang w:eastAsia="zh-CN"/>
        </w:rPr>
        <w:t>2023年度市三区常规交通设施年度维护项目</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eastAsia="zh-CN"/>
        </w:rPr>
        <w:t>14200000.00</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最高限价（元）：</w:t>
      </w:r>
      <w:r>
        <w:rPr>
          <w:rFonts w:hint="eastAsia" w:ascii="宋体" w:hAnsi="宋体" w:cs="宋体"/>
          <w:color w:val="auto"/>
          <w:sz w:val="21"/>
          <w:szCs w:val="21"/>
          <w:highlight w:val="none"/>
          <w:lang w:eastAsia="zh-CN"/>
        </w:rPr>
        <w:t>14200000.00</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采购需求：</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标项：一</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val="en-US" w:eastAsia="zh-CN"/>
        </w:rPr>
        <w:t>江北区常规交通设施年度维护</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数量：1批</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3100000</w:t>
      </w:r>
      <w:r>
        <w:rPr>
          <w:rFonts w:hint="eastAsia" w:ascii="宋体" w:hAnsi="宋体" w:cs="宋体"/>
          <w:color w:val="auto"/>
          <w:sz w:val="21"/>
          <w:szCs w:val="21"/>
          <w:highlight w:val="none"/>
        </w:rPr>
        <w:t>.00</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标项：二</w:t>
      </w:r>
    </w:p>
    <w:p>
      <w:pPr>
        <w:wordWrap w:val="0"/>
        <w:spacing w:line="360" w:lineRule="auto"/>
        <w:ind w:left="0" w:leftChars="0" w:firstLine="478" w:firstLineChars="228"/>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海曙西区和市三区快速路常规交通设施年度维护</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数量：1批</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3000000</w:t>
      </w:r>
      <w:r>
        <w:rPr>
          <w:rFonts w:hint="eastAsia" w:ascii="宋体" w:hAnsi="宋体" w:cs="宋体"/>
          <w:color w:val="auto"/>
          <w:sz w:val="21"/>
          <w:szCs w:val="21"/>
          <w:highlight w:val="none"/>
        </w:rPr>
        <w:t>.00</w:t>
      </w:r>
    </w:p>
    <w:p>
      <w:pPr>
        <w:wordWrap w:val="0"/>
        <w:spacing w:line="360" w:lineRule="auto"/>
        <w:ind w:left="0" w:leftChars="0" w:firstLine="478" w:firstLineChars="228"/>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标项：</w:t>
      </w:r>
      <w:r>
        <w:rPr>
          <w:rFonts w:hint="eastAsia" w:ascii="宋体" w:hAnsi="宋体" w:cs="宋体"/>
          <w:color w:val="auto"/>
          <w:sz w:val="21"/>
          <w:szCs w:val="21"/>
          <w:highlight w:val="none"/>
          <w:lang w:val="en-US" w:eastAsia="zh-CN"/>
        </w:rPr>
        <w:t>三</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val="en-US" w:eastAsia="zh-CN"/>
        </w:rPr>
        <w:t>鄞州南区常规交通设施年度维护</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数量：1批</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280</w:t>
      </w:r>
      <w:r>
        <w:rPr>
          <w:rFonts w:hint="eastAsia" w:ascii="宋体" w:hAnsi="宋体" w:cs="宋体"/>
          <w:color w:val="auto"/>
          <w:sz w:val="21"/>
          <w:szCs w:val="21"/>
          <w:highlight w:val="none"/>
        </w:rPr>
        <w:t>0000.00</w:t>
      </w:r>
    </w:p>
    <w:p>
      <w:pPr>
        <w:wordWrap w:val="0"/>
        <w:spacing w:line="360" w:lineRule="auto"/>
        <w:ind w:left="0" w:leftChars="0" w:firstLine="478" w:firstLineChars="228"/>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标项：</w:t>
      </w:r>
      <w:r>
        <w:rPr>
          <w:rFonts w:hint="eastAsia" w:ascii="宋体" w:hAnsi="宋体" w:cs="宋体"/>
          <w:color w:val="auto"/>
          <w:sz w:val="21"/>
          <w:szCs w:val="21"/>
          <w:highlight w:val="none"/>
          <w:lang w:val="en-US" w:eastAsia="zh-CN"/>
        </w:rPr>
        <w:t>四</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val="en-US" w:eastAsia="zh-CN"/>
        </w:rPr>
        <w:t>鄞州北区常规交通设施年度维护</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数量：1批</w:t>
      </w:r>
    </w:p>
    <w:p>
      <w:pPr>
        <w:wordWrap w:val="0"/>
        <w:spacing w:line="360" w:lineRule="auto"/>
        <w:ind w:left="0" w:leftChars="0" w:firstLine="478" w:firstLineChars="228"/>
        <w:rPr>
          <w:rFonts w:hint="eastAsia"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270</w:t>
      </w:r>
      <w:r>
        <w:rPr>
          <w:rFonts w:hint="eastAsia" w:ascii="宋体" w:hAnsi="宋体" w:cs="宋体"/>
          <w:color w:val="auto"/>
          <w:sz w:val="21"/>
          <w:szCs w:val="21"/>
          <w:highlight w:val="none"/>
        </w:rPr>
        <w:t>0000.00</w:t>
      </w:r>
    </w:p>
    <w:p>
      <w:pPr>
        <w:wordWrap w:val="0"/>
        <w:spacing w:line="360" w:lineRule="auto"/>
        <w:ind w:left="0" w:leftChars="0" w:firstLine="478" w:firstLineChars="228"/>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标项：</w:t>
      </w:r>
      <w:r>
        <w:rPr>
          <w:rFonts w:hint="eastAsia" w:ascii="宋体" w:hAnsi="宋体" w:cs="宋体"/>
          <w:color w:val="auto"/>
          <w:sz w:val="21"/>
          <w:szCs w:val="21"/>
          <w:highlight w:val="none"/>
          <w:lang w:val="en-US" w:eastAsia="zh-CN"/>
        </w:rPr>
        <w:t>五</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val="en-US" w:eastAsia="zh-CN"/>
        </w:rPr>
        <w:t>海曙东区常规交通设施年度维护</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数量：1批</w:t>
      </w:r>
    </w:p>
    <w:p>
      <w:pPr>
        <w:pStyle w:val="47"/>
        <w:numPr>
          <w:ilvl w:val="0"/>
          <w:numId w:val="0"/>
        </w:numPr>
        <w:ind w:left="0" w:leftChars="0" w:firstLine="478" w:firstLineChars="228"/>
        <w:rPr>
          <w:rFonts w:hint="eastAsia" w:hAnsi="宋体" w:cs="宋体"/>
          <w:color w:val="auto"/>
          <w:sz w:val="21"/>
          <w:szCs w:val="21"/>
          <w:highlight w:val="none"/>
        </w:rPr>
      </w:pPr>
      <w:r>
        <w:rPr>
          <w:rFonts w:hint="eastAsia" w:hAnsi="宋体" w:cs="宋体"/>
          <w:color w:val="auto"/>
          <w:sz w:val="21"/>
          <w:szCs w:val="21"/>
          <w:highlight w:val="none"/>
        </w:rPr>
        <w:t>预算金额（元）：</w:t>
      </w:r>
      <w:r>
        <w:rPr>
          <w:rFonts w:hint="eastAsia" w:hAnsi="宋体" w:cs="宋体"/>
          <w:color w:val="auto"/>
          <w:sz w:val="21"/>
          <w:szCs w:val="21"/>
          <w:highlight w:val="none"/>
          <w:lang w:val="en-US" w:eastAsia="zh-CN"/>
        </w:rPr>
        <w:t>260</w:t>
      </w:r>
      <w:r>
        <w:rPr>
          <w:rFonts w:hint="eastAsia" w:hAnsi="宋体" w:cs="宋体"/>
          <w:color w:val="auto"/>
          <w:sz w:val="21"/>
          <w:szCs w:val="21"/>
          <w:highlight w:val="none"/>
        </w:rPr>
        <w:t>0000.00</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简要规格描述或项目基本概况介绍、用途：详见采购文件第</w:t>
      </w:r>
      <w:r>
        <w:rPr>
          <w:rFonts w:hint="eastAsia" w:ascii="宋体" w:hAnsi="宋体" w:cs="宋体"/>
          <w:color w:val="auto"/>
          <w:sz w:val="21"/>
          <w:szCs w:val="21"/>
          <w:highlight w:val="none"/>
          <w:lang w:val="en-US" w:eastAsia="zh-CN"/>
        </w:rPr>
        <w:t>四</w:t>
      </w:r>
      <w:r>
        <w:rPr>
          <w:rFonts w:hint="eastAsia" w:ascii="宋体" w:hAnsi="宋体" w:cs="宋体"/>
          <w:color w:val="auto"/>
          <w:sz w:val="21"/>
          <w:szCs w:val="21"/>
          <w:highlight w:val="none"/>
        </w:rPr>
        <w:t>章</w:t>
      </w:r>
      <w:r>
        <w:rPr>
          <w:rFonts w:hint="eastAsia" w:ascii="宋体" w:hAnsi="宋体" w:cs="宋体"/>
          <w:color w:val="auto"/>
          <w:sz w:val="21"/>
          <w:szCs w:val="21"/>
          <w:highlight w:val="none"/>
          <w:lang w:val="en-US" w:eastAsia="zh-CN"/>
        </w:rPr>
        <w:t>技术要求</w:t>
      </w:r>
      <w:r>
        <w:rPr>
          <w:rFonts w:hint="eastAsia" w:ascii="宋体" w:hAnsi="宋体" w:cs="宋体"/>
          <w:color w:val="auto"/>
          <w:sz w:val="21"/>
          <w:szCs w:val="21"/>
          <w:highlight w:val="none"/>
        </w:rPr>
        <w:t>。</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合同履约期限：自合同生效之日至合同全部权利义务履行完毕之日止。</w:t>
      </w:r>
    </w:p>
    <w:p>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本项目（否）接受联合体投标。</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二、申请人的资格要求：</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1.满足《中华人民共和国政府采购法》第二十二条规定；未被“信用中国”（www.creditchina.gov.cn)、中国政府采购网（www.ccgp.gov.cn）列入失信被执行人、</w:t>
      </w:r>
      <w:r>
        <w:rPr>
          <w:rFonts w:hint="eastAsia" w:ascii="宋体" w:hAnsi="宋体"/>
          <w:color w:val="auto"/>
          <w:sz w:val="21"/>
          <w:szCs w:val="21"/>
          <w:highlight w:val="none"/>
        </w:rPr>
        <w:t>重大税收违法案件当事人名单（重大税收违法失信主体）</w:t>
      </w:r>
      <w:r>
        <w:rPr>
          <w:rFonts w:hint="eastAsia" w:ascii="宋体" w:hAnsi="宋体" w:cs="宋体"/>
          <w:color w:val="auto"/>
          <w:sz w:val="21"/>
          <w:szCs w:val="21"/>
          <w:highlight w:val="none"/>
        </w:rPr>
        <w:t>、政府采购严重违法失信行为记录名单。</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2.落实政府采购政策需满足的资格要求：本项目属于专门面向中小企业采购的项目，投标人应为符合《政府采购促进中小企业发展管理办法》（财库﹝2020﹞46 号）规定的中小企业（其中，小微企业包括视同为小型、微型企业的监狱企业、残疾人福利性单位。）。</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3.本项目的特定资格要求：无</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三、获取采购文件</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eastAsia="zh-CN"/>
        </w:rPr>
        <w:t>2023年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日至</w:t>
      </w:r>
      <w:r>
        <w:rPr>
          <w:rFonts w:hint="eastAsia" w:ascii="宋体" w:hAnsi="宋体" w:cs="宋体"/>
          <w:color w:val="auto"/>
          <w:sz w:val="21"/>
          <w:szCs w:val="21"/>
          <w:highlight w:val="none"/>
          <w:lang w:eastAsia="zh-CN"/>
        </w:rPr>
        <w:t>2023年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rPr>
        <w:t>日（北京时间，线上获取法定节假日均可，线下获取文件法定节假日除外）</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地点（网址）：政府采购云平台（www.zcygov.cn）</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方式：供应商登录政府采购云平台（www.zcygov.cn）的注册账号后，进入政采云系统“项目采购”模块“获取采购文件”菜单，进行网上获取采购文件。如有疑问请及时咨询网站客服，咨询电话：4008817190。获取采购文件前，供应商应按照《浙江省政府采购供应商注册及诚信管理暂行办法》的规定在“浙江政府采购网（zfcg.czt.zj.gov.cn）”上进行供应商注册申请，并通过财政部门的终审后登记加入到“浙江省政府采购供应商库”。中标供应商必须注册并登记加入“浙江省政府采购供应商库”。具体要求及注册申请流程详见《浙江省政府采购供应商注册及诚信管理暂行办法》（浙财采监字{2009}28号）和浙江政府采购网“网上办事指南”的“供应商注册申请”。注册咨询电话：4008817190，如未注册的供应商，请注意注册所需时间。本招标公告附件中的采购文件仅供阅览使用，供应商应在规定的采购文件提供期限内在政采云平台登录上述供应商注册的账号后获取采购文件，未在规定的采购文件提供期限内或未按上述方式获取采购文件的，其投标均视为无效，并不得对采购文件提起质疑投诉。</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售价（元）：0</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四、提交投标文件截止时间、开标时间和地点</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提交投标文件截止时间：</w:t>
      </w:r>
      <w:r>
        <w:rPr>
          <w:rFonts w:hint="eastAsia" w:ascii="宋体" w:hAnsi="宋体" w:cs="宋体"/>
          <w:color w:val="auto"/>
          <w:sz w:val="21"/>
          <w:szCs w:val="21"/>
          <w:highlight w:val="none"/>
          <w:lang w:eastAsia="zh-CN"/>
        </w:rPr>
        <w:t>2023年6月26日09：15</w:t>
      </w:r>
      <w:r>
        <w:rPr>
          <w:rFonts w:hint="eastAsia" w:ascii="宋体" w:hAnsi="宋体" w:cs="宋体"/>
          <w:color w:val="auto"/>
          <w:sz w:val="21"/>
          <w:szCs w:val="21"/>
          <w:highlight w:val="none"/>
        </w:rPr>
        <w:t>（北京时间）</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投标地点（网址）：政府采购云平台（www.zcygov.cn）</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开标时间：</w:t>
      </w:r>
      <w:r>
        <w:rPr>
          <w:rFonts w:hint="eastAsia" w:ascii="宋体" w:hAnsi="宋体" w:cs="宋体"/>
          <w:color w:val="auto"/>
          <w:sz w:val="21"/>
          <w:szCs w:val="21"/>
          <w:highlight w:val="none"/>
          <w:lang w:eastAsia="zh-CN"/>
        </w:rPr>
        <w:t>2023年6月26日09：15</w:t>
      </w:r>
      <w:r>
        <w:rPr>
          <w:rFonts w:hint="eastAsia" w:ascii="宋体" w:hAnsi="宋体" w:cs="宋体"/>
          <w:color w:val="auto"/>
          <w:sz w:val="21"/>
          <w:szCs w:val="21"/>
          <w:highlight w:val="none"/>
        </w:rPr>
        <w:t>（北京时间）</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开标地点（网址）：政府采购云平台（www.zcygov.cn）</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五、公告期限</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自本公告发布之日起5个工作日。</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六、其他补充事宜</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3.供应商</w:t>
      </w:r>
      <w:r>
        <w:rPr>
          <w:rFonts w:hint="eastAsia" w:ascii="宋体" w:hAnsi="宋体" w:cs="宋体"/>
          <w:color w:val="auto"/>
          <w:sz w:val="21"/>
          <w:szCs w:val="21"/>
          <w:highlight w:val="none"/>
          <w:lang w:val="en-US" w:eastAsia="zh-CN"/>
        </w:rPr>
        <w:t>应当</w:t>
      </w:r>
      <w:r>
        <w:rPr>
          <w:rFonts w:hint="eastAsia" w:ascii="宋体" w:hAnsi="宋体" w:cs="宋体"/>
          <w:color w:val="auto"/>
          <w:sz w:val="21"/>
          <w:szCs w:val="21"/>
          <w:highlight w:val="none"/>
        </w:rPr>
        <w:t>于提交投标文件截止时间前将电子投标文件上传到政府采购云平台（www.zcygov.cn），并应于提交投标文件截止时间前，将以U盘或光盘存储的电子备份投标文件密封后送至开标地点：宁波市江北区环城北路西段207弄19号世茂茂悦商业中心1号楼七楼开标大厅</w:t>
      </w:r>
      <w:r>
        <w:rPr>
          <w:rFonts w:hint="eastAsia" w:ascii="宋体" w:hAnsi="宋体" w:cs="宋体"/>
          <w:color w:val="auto"/>
          <w:sz w:val="21"/>
          <w:szCs w:val="21"/>
          <w:highlight w:val="none"/>
          <w:lang w:val="en-US" w:eastAsia="zh-CN"/>
        </w:rPr>
        <w:t>二</w:t>
      </w:r>
      <w:r>
        <w:rPr>
          <w:rFonts w:hint="eastAsia" w:ascii="宋体" w:hAnsi="宋体" w:cs="宋体"/>
          <w:color w:val="auto"/>
          <w:sz w:val="21"/>
          <w:szCs w:val="21"/>
          <w:highlight w:val="none"/>
        </w:rPr>
        <w:t>。如投标人安排法定代表人或授权代表到场递交备份电子文件的，需持</w:t>
      </w:r>
      <w:r>
        <w:rPr>
          <w:rFonts w:hint="eastAsia" w:ascii="宋体" w:hAnsi="宋体" w:cs="宋体"/>
          <w:color w:val="auto"/>
          <w:sz w:val="21"/>
          <w:szCs w:val="21"/>
          <w:highlight w:val="none"/>
          <w:lang w:val="en-US" w:eastAsia="zh-CN"/>
        </w:rPr>
        <w:t>48小时</w:t>
      </w:r>
      <w:r>
        <w:rPr>
          <w:rFonts w:hint="eastAsia" w:ascii="宋体" w:hAnsi="宋体" w:cs="宋体"/>
          <w:color w:val="auto"/>
          <w:sz w:val="21"/>
          <w:szCs w:val="21"/>
          <w:highlight w:val="none"/>
        </w:rPr>
        <w:t>内核酸检测阴性证明方可进入开标场所。</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4.开标时间后半小时内供应商可以登录政府采购云平台（www.zcygov.cn），用“项目采购-开标评标”功能进行解密投标文件。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仍以备份电子投标文件作为评审依据）。无论是否启用备份电子投标文件，均不退还供应商。</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5.本项目实行网上投标，采用电子投标文件。若供应商参与投标，自行承担投标一切费用。</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6.开标前准备：各供应商应在投标截止时间前确保成为浙江政府采购网正式注册入库供应商，并完成CA数字证书办理。因未注册入库、未办理CA数字证书等原因造成无法投标或投标失败等后果由供应商自行承担。供应商CA申领操作指南（help.zcygov.cn/web/site_2/2018/11-29/2452.html），完成CA数字证书办理预计一周左右，请供应商自行把握时间。</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7.投标文件制作：（1）应按照本项目采购文件和政府采购云平台的要求编制、加密并递交投标文件。供应商在使用系统进行投标的过程中遇到涉及平台使用的任何问题，可致电政府采购云平台技术支持热线咨询，联系方式：4008817190。（2）供应商通过政府采购云平台电子投标工具制作投标文件。电子投标工具请供应商自行前往浙江政府采购网下载并安装（zfcg.czt.zj.gov.cn/bidClientTemplate/2019-05-27/12946.html）。供应商投标文件制作及电子交易操作指南详见：①政府采购项目电子交易管理操作指南（视频）：service.zcygov.cn/#/knowledges/CW1EtGwBFdiHxlNd6I3m/7GyLXW0BXgMSmLUuYuPM（电脑登录账号观看）；②政府采购项目电子交易管理操作指南（文本）：service.zcygov.cn/#/knowledges/CW1EtGwBFdiHxlNd6I3m/6IMVAG0BFdiHxlNdQ8Na（电脑登录账号浏览）。（3）以U盘或光盘存储的电子备份投标文件1份，即按“项目采购-电子招投标操作指南”制作的电子备份文件，以用于异常情况处理。</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七、对本次采购提出询问、质疑、投诉，请按以下方式联系</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1.采购人信息</w:t>
      </w:r>
    </w:p>
    <w:p>
      <w:pPr>
        <w:wordWrap w:val="0"/>
        <w:spacing w:line="360" w:lineRule="auto"/>
        <w:ind w:left="0" w:leftChars="0" w:firstLine="478" w:firstLineChars="228"/>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名称：宁波市公安局</w:t>
      </w:r>
      <w:r>
        <w:rPr>
          <w:rFonts w:hint="eastAsia" w:ascii="宋体" w:hAnsi="宋体" w:cs="宋体"/>
          <w:color w:val="auto"/>
          <w:sz w:val="21"/>
          <w:szCs w:val="21"/>
          <w:highlight w:val="none"/>
          <w:lang w:val="en-US" w:eastAsia="zh-CN"/>
        </w:rPr>
        <w:t>交通警察局</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地址：</w:t>
      </w:r>
      <w:r>
        <w:rPr>
          <w:rFonts w:hint="eastAsia" w:ascii="宋体" w:hAnsi="宋体" w:cs="仿宋"/>
          <w:color w:val="auto"/>
          <w:sz w:val="21"/>
          <w:szCs w:val="21"/>
          <w:highlight w:val="none"/>
        </w:rPr>
        <w:t>宁波市鄞州区兴宁路48号</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传真：/</w:t>
      </w:r>
    </w:p>
    <w:p>
      <w:pPr>
        <w:wordWrap w:val="0"/>
        <w:spacing w:line="360" w:lineRule="auto"/>
        <w:ind w:left="0" w:leftChars="0" w:firstLine="478" w:firstLineChars="228"/>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项目联系人（询问）：</w:t>
      </w:r>
      <w:r>
        <w:rPr>
          <w:rFonts w:hint="eastAsia" w:ascii="宋体" w:hAnsi="宋体" w:cs="宋体"/>
          <w:color w:val="auto"/>
          <w:sz w:val="21"/>
          <w:szCs w:val="21"/>
          <w:highlight w:val="none"/>
          <w:lang w:val="en-US" w:eastAsia="zh-CN"/>
        </w:rPr>
        <w:t>胡康</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项目联系方式（询问）：0574-81981121</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质疑联系人：张锋杰</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质疑联系方式：0574-81981067</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2.采购代理机构信息</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名称：宁波市国际招标有限公司</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地址：宁波市江北区环城北路西段207弄19号世茂茂悦商业中心1号楼八楼</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传真：0574-87388460</w:t>
      </w:r>
    </w:p>
    <w:p>
      <w:pPr>
        <w:wordWrap w:val="0"/>
        <w:spacing w:line="360" w:lineRule="auto"/>
        <w:ind w:left="0" w:leftChars="0" w:firstLine="478" w:firstLineChars="228"/>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项目联系人（询问）：陈若水、姚露泽、</w:t>
      </w:r>
      <w:r>
        <w:rPr>
          <w:rFonts w:hint="eastAsia" w:ascii="宋体" w:hAnsi="宋体" w:cs="宋体"/>
          <w:color w:val="auto"/>
          <w:sz w:val="21"/>
          <w:szCs w:val="21"/>
          <w:highlight w:val="none"/>
          <w:lang w:val="en-US" w:eastAsia="zh-CN"/>
        </w:rPr>
        <w:t>王炫皓</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项目联系方式（询问）：0574-87357607</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质疑联系人：夏伟立</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质疑联系方式：0574-87128864</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3.同级政府采购监督管理部门</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名称：宁波市政府采购管理办公室</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地址：宁波市海曙区中山西路19号</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传真：/</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联系人：</w:t>
      </w:r>
      <w:r>
        <w:rPr>
          <w:rFonts w:hint="eastAsia" w:ascii="宋体" w:hAnsi="宋体" w:cs="宋体"/>
          <w:color w:val="auto"/>
          <w:sz w:val="21"/>
          <w:szCs w:val="21"/>
          <w:highlight w:val="none"/>
          <w:lang w:val="en-US" w:eastAsia="zh-CN"/>
        </w:rPr>
        <w:t>李</w:t>
      </w:r>
      <w:r>
        <w:rPr>
          <w:rFonts w:hint="eastAsia" w:ascii="宋体" w:hAnsi="宋体" w:cs="宋体"/>
          <w:color w:val="auto"/>
          <w:sz w:val="21"/>
          <w:szCs w:val="21"/>
          <w:highlight w:val="none"/>
        </w:rPr>
        <w:t>老师</w:t>
      </w: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监督投诉电话：0574-</w:t>
      </w:r>
      <w:r>
        <w:rPr>
          <w:rFonts w:hint="eastAsia" w:ascii="宋体" w:hAnsi="宋体" w:eastAsia="宋体" w:cs="宋体"/>
          <w:i w:val="0"/>
          <w:iCs w:val="0"/>
          <w:caps w:val="0"/>
          <w:color w:val="auto"/>
          <w:spacing w:val="0"/>
          <w:sz w:val="21"/>
          <w:szCs w:val="21"/>
          <w:highlight w:val="none"/>
          <w:shd w:val="clear" w:fill="FFFFFF"/>
        </w:rPr>
        <w:t>89388042</w:t>
      </w:r>
    </w:p>
    <w:p>
      <w:pPr>
        <w:wordWrap w:val="0"/>
        <w:spacing w:line="360" w:lineRule="auto"/>
        <w:ind w:left="0" w:leftChars="0" w:firstLine="478" w:firstLineChars="228"/>
        <w:rPr>
          <w:rFonts w:ascii="宋体" w:hAnsi="宋体" w:cs="宋体"/>
          <w:color w:val="auto"/>
          <w:sz w:val="21"/>
          <w:szCs w:val="21"/>
          <w:highlight w:val="none"/>
        </w:rPr>
      </w:pPr>
    </w:p>
    <w:p>
      <w:pPr>
        <w:wordWrap w:val="0"/>
        <w:spacing w:line="360" w:lineRule="auto"/>
        <w:ind w:left="0" w:leftChars="0" w:firstLine="478" w:firstLineChars="228"/>
        <w:rPr>
          <w:rFonts w:ascii="宋体" w:hAnsi="宋体" w:cs="宋体"/>
          <w:color w:val="auto"/>
          <w:sz w:val="21"/>
          <w:szCs w:val="21"/>
          <w:highlight w:val="none"/>
        </w:rPr>
      </w:pPr>
      <w:r>
        <w:rPr>
          <w:rFonts w:hint="eastAsia" w:ascii="宋体" w:hAnsi="宋体" w:cs="宋体"/>
          <w:color w:val="auto"/>
          <w:sz w:val="21"/>
          <w:szCs w:val="21"/>
          <w:highlight w:val="none"/>
        </w:rPr>
        <w:t>若对项目采购电子交易系统操作有疑问，可登录政采云（https://www.zcygov.cn/），点击右侧咨询小采，获取采小蜜智能服务管家帮助，或拨打政采云服务热线400-881-7190获取热线服务帮助。</w:t>
      </w:r>
    </w:p>
    <w:p>
      <w:pPr>
        <w:pStyle w:val="4"/>
        <w:snapToGrid w:val="0"/>
        <w:spacing w:before="0" w:after="0" w:line="360" w:lineRule="auto"/>
        <w:ind w:left="0" w:leftChars="0" w:firstLine="481" w:firstLineChars="228"/>
        <w:textAlignment w:val="auto"/>
        <w:rPr>
          <w:rFonts w:ascii="宋体" w:hAnsi="宋体" w:eastAsia="宋体" w:cs="宋体"/>
          <w:bCs w:val="0"/>
          <w:color w:val="auto"/>
          <w:sz w:val="21"/>
          <w:szCs w:val="21"/>
          <w:highlight w:val="none"/>
        </w:rPr>
      </w:pPr>
      <w:bookmarkStart w:id="5" w:name="_Toc3814"/>
      <w:bookmarkStart w:id="6" w:name="_Toc30006"/>
      <w:r>
        <w:rPr>
          <w:rFonts w:hint="eastAsia" w:ascii="宋体" w:hAnsi="宋体" w:eastAsia="宋体" w:cs="宋体"/>
          <w:color w:val="auto"/>
          <w:sz w:val="21"/>
          <w:szCs w:val="21"/>
          <w:highlight w:val="none"/>
        </w:rPr>
        <w:t>CA问题联系电话（人工）：汇信CA 400-888-4636；天谷CA 400-087-8198。</w:t>
      </w:r>
      <w:bookmarkEnd w:id="5"/>
      <w:bookmarkEnd w:id="6"/>
    </w:p>
    <w:bookmarkEnd w:id="4"/>
    <w:p>
      <w:pPr>
        <w:spacing w:line="360" w:lineRule="auto"/>
        <w:ind w:firstLine="630" w:firstLineChars="300"/>
        <w:rPr>
          <w:rFonts w:ascii="宋体" w:hAnsi="宋体" w:cs="仿宋"/>
          <w:color w:val="auto"/>
          <w:sz w:val="21"/>
          <w:szCs w:val="21"/>
          <w:highlight w:val="none"/>
          <w:u w:val="single"/>
        </w:rPr>
      </w:pPr>
    </w:p>
    <w:p>
      <w:pPr>
        <w:spacing w:line="360" w:lineRule="auto"/>
        <w:ind w:firstLine="630" w:firstLineChars="300"/>
        <w:rPr>
          <w:rFonts w:ascii="宋体" w:hAnsi="宋体" w:cs="仿宋"/>
          <w:color w:val="auto"/>
          <w:sz w:val="21"/>
          <w:szCs w:val="21"/>
          <w:highlight w:val="none"/>
          <w:u w:val="single"/>
        </w:rPr>
      </w:pPr>
    </w:p>
    <w:p>
      <w:pPr>
        <w:widowControl/>
        <w:adjustRightInd/>
        <w:spacing w:line="276" w:lineRule="auto"/>
        <w:jc w:val="center"/>
        <w:textAlignment w:val="auto"/>
        <w:rPr>
          <w:rFonts w:ascii="宋体"/>
          <w:b/>
          <w:color w:val="auto"/>
          <w:sz w:val="28"/>
          <w:szCs w:val="28"/>
          <w:highlight w:val="none"/>
        </w:rPr>
      </w:pPr>
      <w:r>
        <w:rPr>
          <w:rFonts w:ascii="宋体"/>
          <w:b/>
          <w:color w:val="auto"/>
          <w:sz w:val="28"/>
          <w:szCs w:val="28"/>
          <w:highlight w:val="none"/>
        </w:rPr>
        <w:br w:type="page"/>
      </w:r>
    </w:p>
    <w:p>
      <w:pPr>
        <w:pStyle w:val="3"/>
        <w:keepNext/>
        <w:keepLines/>
        <w:pageBreakBefore w:val="0"/>
        <w:widowControl w:val="0"/>
        <w:kinsoku/>
        <w:wordWrap/>
        <w:overflowPunct/>
        <w:topLinePunct w:val="0"/>
        <w:autoSpaceDE/>
        <w:autoSpaceDN/>
        <w:bidi w:val="0"/>
        <w:adjustRightInd w:val="0"/>
        <w:snapToGrid/>
        <w:spacing w:before="0" w:after="0"/>
        <w:jc w:val="center"/>
        <w:textAlignment w:val="baseline"/>
        <w:rPr>
          <w:color w:val="auto"/>
          <w:highlight w:val="none"/>
        </w:rPr>
      </w:pPr>
      <w:bookmarkStart w:id="7" w:name="_Toc29638"/>
      <w:r>
        <w:rPr>
          <w:rFonts w:hint="eastAsia"/>
          <w:color w:val="auto"/>
          <w:sz w:val="32"/>
          <w:szCs w:val="32"/>
          <w:highlight w:val="none"/>
        </w:rPr>
        <w:t>第</w:t>
      </w:r>
      <w:r>
        <w:rPr>
          <w:rFonts w:hint="eastAsia"/>
          <w:color w:val="auto"/>
          <w:sz w:val="32"/>
          <w:szCs w:val="32"/>
          <w:highlight w:val="none"/>
          <w:lang w:val="en-US" w:eastAsia="zh-CN"/>
        </w:rPr>
        <w:t>二</w:t>
      </w:r>
      <w:r>
        <w:rPr>
          <w:rFonts w:hint="eastAsia"/>
          <w:color w:val="auto"/>
          <w:sz w:val="32"/>
          <w:szCs w:val="32"/>
          <w:highlight w:val="none"/>
        </w:rPr>
        <w:t>章  技术要求</w:t>
      </w:r>
      <w:bookmarkEnd w:id="7"/>
    </w:p>
    <w:p>
      <w:pPr>
        <w:pStyle w:val="3"/>
        <w:keepNext/>
        <w:keepLines/>
        <w:pageBreakBefore w:val="0"/>
        <w:widowControl w:val="0"/>
        <w:kinsoku/>
        <w:wordWrap/>
        <w:overflowPunct/>
        <w:topLinePunct w:val="0"/>
        <w:autoSpaceDE/>
        <w:autoSpaceDN/>
        <w:bidi w:val="0"/>
        <w:adjustRightInd w:val="0"/>
        <w:snapToGrid/>
        <w:spacing w:before="0" w:after="0"/>
        <w:jc w:val="center"/>
        <w:textAlignment w:val="baseline"/>
        <w:rPr>
          <w:color w:val="auto"/>
          <w:sz w:val="24"/>
          <w:szCs w:val="24"/>
          <w:highlight w:val="none"/>
        </w:rPr>
      </w:pPr>
      <w:bookmarkStart w:id="8" w:name="_Toc31582"/>
      <w:bookmarkStart w:id="9" w:name="_Toc17313"/>
      <w:r>
        <w:rPr>
          <w:rFonts w:hint="eastAsia"/>
          <w:color w:val="auto"/>
          <w:sz w:val="24"/>
          <w:szCs w:val="24"/>
          <w:highlight w:val="none"/>
        </w:rPr>
        <w:t>第一部分 技术要求</w:t>
      </w:r>
      <w:bookmarkEnd w:id="8"/>
      <w:bookmarkEnd w:id="9"/>
    </w:p>
    <w:p>
      <w:pPr>
        <w:spacing w:line="360" w:lineRule="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一、招标需求</w:t>
      </w:r>
    </w:p>
    <w:tbl>
      <w:tblPr>
        <w:tblStyle w:val="40"/>
        <w:tblW w:w="0" w:type="auto"/>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28"/>
        <w:gridCol w:w="3513"/>
        <w:gridCol w:w="1062"/>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1" w:type="dxa"/>
            <w:noWrap w:val="0"/>
            <w:vAlign w:val="center"/>
          </w:tcPr>
          <w:p>
            <w:pPr>
              <w:widowControl/>
              <w:spacing w:line="276" w:lineRule="auto"/>
              <w:jc w:val="center"/>
              <w:rPr>
                <w:rFonts w:hint="eastAsia" w:ascii="宋体" w:hAnsi="宋体" w:cs="Arial"/>
                <w:b/>
                <w:bCs/>
                <w:color w:val="auto"/>
                <w:sz w:val="21"/>
                <w:szCs w:val="21"/>
                <w:highlight w:val="none"/>
              </w:rPr>
            </w:pPr>
            <w:r>
              <w:rPr>
                <w:rFonts w:hint="eastAsia" w:ascii="宋体" w:hAnsi="宋体" w:cs="Arial"/>
                <w:b/>
                <w:bCs/>
                <w:color w:val="auto"/>
                <w:sz w:val="21"/>
                <w:szCs w:val="21"/>
                <w:highlight w:val="none"/>
              </w:rPr>
              <w:t>标项</w:t>
            </w:r>
          </w:p>
        </w:tc>
        <w:tc>
          <w:tcPr>
            <w:tcW w:w="2528" w:type="dxa"/>
            <w:noWrap w:val="0"/>
            <w:vAlign w:val="center"/>
          </w:tcPr>
          <w:p>
            <w:pPr>
              <w:widowControl/>
              <w:spacing w:line="276" w:lineRule="auto"/>
              <w:ind w:firstLine="200"/>
              <w:jc w:val="center"/>
              <w:rPr>
                <w:rFonts w:hint="eastAsia" w:ascii="宋体" w:hAnsi="宋体" w:cs="Arial"/>
                <w:b/>
                <w:bCs/>
                <w:color w:val="auto"/>
                <w:sz w:val="21"/>
                <w:szCs w:val="21"/>
                <w:highlight w:val="none"/>
              </w:rPr>
            </w:pPr>
            <w:r>
              <w:rPr>
                <w:rFonts w:hint="eastAsia" w:ascii="宋体" w:hAnsi="宋体" w:cs="Arial"/>
                <w:b/>
                <w:bCs/>
                <w:color w:val="auto"/>
                <w:sz w:val="21"/>
                <w:szCs w:val="21"/>
                <w:highlight w:val="none"/>
              </w:rPr>
              <w:t>采购内容</w:t>
            </w:r>
          </w:p>
        </w:tc>
        <w:tc>
          <w:tcPr>
            <w:tcW w:w="3513" w:type="dxa"/>
            <w:noWrap w:val="0"/>
            <w:vAlign w:val="center"/>
          </w:tcPr>
          <w:p>
            <w:pPr>
              <w:widowControl/>
              <w:spacing w:line="276" w:lineRule="auto"/>
              <w:jc w:val="center"/>
              <w:rPr>
                <w:rFonts w:hint="eastAsia" w:ascii="宋体" w:hAnsi="宋体" w:cs="Arial"/>
                <w:b/>
                <w:bCs/>
                <w:color w:val="auto"/>
                <w:sz w:val="21"/>
                <w:szCs w:val="21"/>
                <w:highlight w:val="none"/>
              </w:rPr>
            </w:pPr>
            <w:r>
              <w:rPr>
                <w:rFonts w:hint="eastAsia" w:ascii="宋体" w:hAnsi="宋体"/>
                <w:b/>
                <w:color w:val="auto"/>
                <w:sz w:val="21"/>
                <w:szCs w:val="21"/>
                <w:highlight w:val="none"/>
              </w:rPr>
              <w:t>招标范围</w:t>
            </w:r>
          </w:p>
        </w:tc>
        <w:tc>
          <w:tcPr>
            <w:tcW w:w="1062" w:type="dxa"/>
            <w:noWrap w:val="0"/>
            <w:vAlign w:val="center"/>
          </w:tcPr>
          <w:p>
            <w:pPr>
              <w:widowControl/>
              <w:spacing w:line="276" w:lineRule="auto"/>
              <w:jc w:val="center"/>
              <w:rPr>
                <w:rFonts w:hint="eastAsia" w:ascii="宋体" w:hAnsi="宋体" w:cs="Arial"/>
                <w:b/>
                <w:bCs/>
                <w:color w:val="auto"/>
                <w:sz w:val="21"/>
                <w:szCs w:val="21"/>
                <w:highlight w:val="none"/>
              </w:rPr>
            </w:pPr>
            <w:r>
              <w:rPr>
                <w:rFonts w:hint="eastAsia" w:ascii="宋体" w:hAnsi="宋体"/>
                <w:b/>
                <w:color w:val="auto"/>
                <w:sz w:val="21"/>
                <w:szCs w:val="21"/>
                <w:highlight w:val="none"/>
              </w:rPr>
              <w:t>维护期限</w:t>
            </w:r>
          </w:p>
        </w:tc>
        <w:tc>
          <w:tcPr>
            <w:tcW w:w="1225" w:type="dxa"/>
            <w:noWrap w:val="0"/>
            <w:vAlign w:val="center"/>
          </w:tcPr>
          <w:p>
            <w:pPr>
              <w:widowControl/>
              <w:spacing w:line="276" w:lineRule="auto"/>
              <w:jc w:val="center"/>
              <w:rPr>
                <w:rFonts w:hint="eastAsia" w:ascii="宋体" w:hAnsi="宋体" w:cs="Arial"/>
                <w:b/>
                <w:bCs/>
                <w:color w:val="auto"/>
                <w:sz w:val="21"/>
                <w:szCs w:val="21"/>
                <w:highlight w:val="none"/>
              </w:rPr>
            </w:pPr>
            <w:r>
              <w:rPr>
                <w:rFonts w:hint="eastAsia" w:ascii="宋体" w:hAnsi="宋体" w:cs="Arial"/>
                <w:b/>
                <w:bCs/>
                <w:color w:val="auto"/>
                <w:sz w:val="21"/>
                <w:szCs w:val="21"/>
                <w:highlight w:val="none"/>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51" w:type="dxa"/>
            <w:noWrap w:val="0"/>
            <w:vAlign w:val="center"/>
          </w:tcPr>
          <w:p>
            <w:pPr>
              <w:widowControl/>
              <w:spacing w:line="360" w:lineRule="auto"/>
              <w:jc w:val="center"/>
              <w:rPr>
                <w:rFonts w:hint="eastAsia" w:ascii="宋体" w:hAnsi="宋体" w:cs="Arial"/>
                <w:color w:val="auto"/>
                <w:sz w:val="21"/>
                <w:szCs w:val="21"/>
                <w:highlight w:val="none"/>
              </w:rPr>
            </w:pPr>
            <w:r>
              <w:rPr>
                <w:rFonts w:hint="eastAsia" w:ascii="宋体" w:hAnsi="宋体" w:cs="Arial"/>
                <w:color w:val="auto"/>
                <w:sz w:val="21"/>
                <w:szCs w:val="21"/>
                <w:highlight w:val="none"/>
              </w:rPr>
              <w:t>一</w:t>
            </w:r>
          </w:p>
        </w:tc>
        <w:tc>
          <w:tcPr>
            <w:tcW w:w="2528" w:type="dxa"/>
            <w:noWrap w:val="0"/>
            <w:vAlign w:val="center"/>
          </w:tcPr>
          <w:p>
            <w:pPr>
              <w:widowControl/>
              <w:spacing w:line="276" w:lineRule="auto"/>
              <w:jc w:val="center"/>
              <w:rPr>
                <w:rFonts w:hint="eastAsia" w:ascii="宋体" w:hAnsi="宋体" w:cs="宋体"/>
                <w:color w:val="auto"/>
                <w:kern w:val="0"/>
                <w:sz w:val="21"/>
                <w:szCs w:val="21"/>
                <w:highlight w:val="none"/>
              </w:rPr>
            </w:pPr>
            <w:r>
              <w:rPr>
                <w:rFonts w:hint="eastAsia" w:ascii="宋体" w:hAnsi="宋体" w:cs="宋体"/>
                <w:color w:val="auto"/>
                <w:sz w:val="21"/>
                <w:szCs w:val="21"/>
                <w:highlight w:val="none"/>
                <w:lang w:val="en-US" w:eastAsia="zh-CN"/>
              </w:rPr>
              <w:t>江北区常规交通设施年度维护</w:t>
            </w:r>
          </w:p>
        </w:tc>
        <w:tc>
          <w:tcPr>
            <w:tcW w:w="3513" w:type="dxa"/>
            <w:noWrap w:val="0"/>
            <w:vAlign w:val="center"/>
          </w:tcPr>
          <w:p>
            <w:pPr>
              <w:widowControl/>
              <w:spacing w:line="276"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服务范围内为江北区</w:t>
            </w:r>
          </w:p>
        </w:tc>
        <w:tc>
          <w:tcPr>
            <w:tcW w:w="1062" w:type="dxa"/>
            <w:vMerge w:val="restart"/>
            <w:noWrap w:val="0"/>
            <w:vAlign w:val="center"/>
          </w:tcPr>
          <w:p>
            <w:pPr>
              <w:widowControl/>
              <w:spacing w:line="360" w:lineRule="auto"/>
              <w:jc w:val="center"/>
              <w:rPr>
                <w:rFonts w:hint="eastAsia" w:ascii="宋体" w:hAnsi="宋体" w:cs="Arial"/>
                <w:bCs/>
                <w:color w:val="auto"/>
                <w:sz w:val="21"/>
                <w:szCs w:val="21"/>
                <w:highlight w:val="none"/>
              </w:rPr>
            </w:pPr>
            <w:r>
              <w:rPr>
                <w:rFonts w:hint="eastAsia" w:ascii="宋体" w:hAnsi="宋体" w:cs="Arial"/>
                <w:bCs/>
                <w:color w:val="auto"/>
                <w:sz w:val="21"/>
                <w:szCs w:val="21"/>
                <w:highlight w:val="none"/>
              </w:rPr>
              <w:t>合同签订之日起至2024年12月31日</w:t>
            </w:r>
          </w:p>
        </w:tc>
        <w:tc>
          <w:tcPr>
            <w:tcW w:w="1225" w:type="dxa"/>
            <w:noWrap w:val="0"/>
            <w:vAlign w:val="center"/>
          </w:tcPr>
          <w:p>
            <w:pPr>
              <w:widowControl/>
              <w:spacing w:line="360" w:lineRule="auto"/>
              <w:jc w:val="center"/>
              <w:rPr>
                <w:rFonts w:hint="eastAsia" w:ascii="宋体" w:hAnsi="宋体" w:cs="Arial"/>
                <w:bCs/>
                <w:color w:val="auto"/>
                <w:sz w:val="21"/>
                <w:szCs w:val="21"/>
                <w:highlight w:val="none"/>
              </w:rPr>
            </w:pPr>
            <w:r>
              <w:rPr>
                <w:rFonts w:hint="eastAsia" w:ascii="宋体" w:hAnsi="宋体" w:cs="Arial"/>
                <w:bCs/>
                <w:color w:val="auto"/>
                <w:sz w:val="21"/>
                <w:szCs w:val="21"/>
                <w:highlight w:val="none"/>
                <w:lang w:val="en-US" w:eastAsia="zh-CN"/>
              </w:rPr>
              <w:t>310</w:t>
            </w:r>
            <w:r>
              <w:rPr>
                <w:rFonts w:hint="eastAsia" w:ascii="宋体" w:hAnsi="宋体" w:cs="Arial"/>
                <w:bCs/>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51" w:type="dxa"/>
            <w:noWrap w:val="0"/>
            <w:vAlign w:val="center"/>
          </w:tcPr>
          <w:p>
            <w:pPr>
              <w:widowControl/>
              <w:spacing w:line="360" w:lineRule="auto"/>
              <w:jc w:val="center"/>
              <w:rPr>
                <w:rFonts w:hint="eastAsia" w:ascii="宋体" w:hAnsi="宋体" w:eastAsia="宋体" w:cs="Arial"/>
                <w:color w:val="auto"/>
                <w:sz w:val="21"/>
                <w:szCs w:val="21"/>
                <w:highlight w:val="none"/>
                <w:lang w:val="en-US" w:eastAsia="zh-CN"/>
              </w:rPr>
            </w:pPr>
            <w:r>
              <w:rPr>
                <w:rFonts w:hint="eastAsia" w:ascii="宋体" w:hAnsi="宋体" w:cs="Arial"/>
                <w:color w:val="auto"/>
                <w:sz w:val="21"/>
                <w:szCs w:val="21"/>
                <w:highlight w:val="none"/>
                <w:lang w:val="en-US" w:eastAsia="zh-CN"/>
              </w:rPr>
              <w:t>二</w:t>
            </w:r>
          </w:p>
        </w:tc>
        <w:tc>
          <w:tcPr>
            <w:tcW w:w="2528" w:type="dxa"/>
            <w:noWrap w:val="0"/>
            <w:vAlign w:val="center"/>
          </w:tcPr>
          <w:p>
            <w:pPr>
              <w:widowControl/>
              <w:spacing w:line="276" w:lineRule="auto"/>
              <w:jc w:val="center"/>
              <w:rPr>
                <w:rFonts w:hint="eastAsia" w:ascii="宋体" w:hAnsi="宋体" w:cs="Arial"/>
                <w:color w:val="auto"/>
                <w:sz w:val="21"/>
                <w:szCs w:val="21"/>
                <w:highlight w:val="none"/>
              </w:rPr>
            </w:pPr>
            <w:r>
              <w:rPr>
                <w:rFonts w:hint="eastAsia" w:ascii="宋体" w:hAnsi="宋体" w:cs="宋体"/>
                <w:color w:val="auto"/>
                <w:sz w:val="21"/>
                <w:szCs w:val="21"/>
                <w:highlight w:val="none"/>
                <w:lang w:eastAsia="zh-CN"/>
              </w:rPr>
              <w:t>海曙西区和市三区快速路常规交通设施年度维护</w:t>
            </w:r>
          </w:p>
        </w:tc>
        <w:tc>
          <w:tcPr>
            <w:tcW w:w="3513" w:type="dxa"/>
            <w:noWrap w:val="0"/>
            <w:vAlign w:val="center"/>
          </w:tcPr>
          <w:p>
            <w:pPr>
              <w:widowControl/>
              <w:spacing w:line="276"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服务范围内为海曙西区（以机场路为界，不含机场路）和市三区快速路</w:t>
            </w:r>
          </w:p>
        </w:tc>
        <w:tc>
          <w:tcPr>
            <w:tcW w:w="1062" w:type="dxa"/>
            <w:vMerge w:val="continue"/>
            <w:noWrap w:val="0"/>
            <w:vAlign w:val="center"/>
          </w:tcPr>
          <w:p>
            <w:pPr>
              <w:widowControl/>
              <w:spacing w:line="360" w:lineRule="auto"/>
              <w:jc w:val="center"/>
              <w:rPr>
                <w:rFonts w:hint="eastAsia" w:ascii="宋体" w:hAnsi="宋体" w:cs="宋体"/>
                <w:color w:val="auto"/>
                <w:sz w:val="21"/>
                <w:szCs w:val="21"/>
                <w:highlight w:val="none"/>
                <w:lang w:bidi="ar"/>
              </w:rPr>
            </w:pPr>
          </w:p>
        </w:tc>
        <w:tc>
          <w:tcPr>
            <w:tcW w:w="1225" w:type="dxa"/>
            <w:noWrap w:val="0"/>
            <w:vAlign w:val="center"/>
          </w:tcPr>
          <w:p>
            <w:pPr>
              <w:widowControl/>
              <w:spacing w:line="360" w:lineRule="auto"/>
              <w:jc w:val="center"/>
              <w:rPr>
                <w:rFonts w:ascii="宋体" w:hAnsi="宋体" w:cs="Arial"/>
                <w:bCs/>
                <w:color w:val="auto"/>
                <w:sz w:val="21"/>
                <w:szCs w:val="21"/>
                <w:highlight w:val="none"/>
              </w:rPr>
            </w:pPr>
            <w:r>
              <w:rPr>
                <w:rFonts w:hint="eastAsia" w:ascii="宋体" w:hAnsi="宋体" w:cs="Arial"/>
                <w:bCs/>
                <w:color w:val="auto"/>
                <w:sz w:val="21"/>
                <w:szCs w:val="21"/>
                <w:highlight w:val="none"/>
                <w:lang w:val="en-US" w:eastAsia="zh-CN"/>
              </w:rPr>
              <w:t>300</w:t>
            </w:r>
            <w:r>
              <w:rPr>
                <w:rFonts w:hint="eastAsia" w:ascii="宋体" w:hAnsi="宋体" w:cs="Arial"/>
                <w:bCs/>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51" w:type="dxa"/>
            <w:noWrap w:val="0"/>
            <w:vAlign w:val="center"/>
          </w:tcPr>
          <w:p>
            <w:pPr>
              <w:widowControl/>
              <w:spacing w:line="360" w:lineRule="auto"/>
              <w:jc w:val="center"/>
              <w:rPr>
                <w:rFonts w:hint="eastAsia" w:ascii="宋体" w:hAnsi="宋体" w:eastAsia="宋体" w:cs="Arial"/>
                <w:color w:val="auto"/>
                <w:sz w:val="21"/>
                <w:szCs w:val="21"/>
                <w:highlight w:val="none"/>
                <w:lang w:val="en-US" w:eastAsia="zh-CN"/>
              </w:rPr>
            </w:pPr>
            <w:r>
              <w:rPr>
                <w:rFonts w:hint="eastAsia" w:ascii="宋体" w:hAnsi="宋体" w:cs="Arial"/>
                <w:color w:val="auto"/>
                <w:sz w:val="21"/>
                <w:szCs w:val="21"/>
                <w:highlight w:val="none"/>
                <w:lang w:val="en-US" w:eastAsia="zh-CN"/>
              </w:rPr>
              <w:t>三</w:t>
            </w:r>
          </w:p>
        </w:tc>
        <w:tc>
          <w:tcPr>
            <w:tcW w:w="2528" w:type="dxa"/>
            <w:noWrap w:val="0"/>
            <w:vAlign w:val="center"/>
          </w:tcPr>
          <w:p>
            <w:pPr>
              <w:widowControl/>
              <w:spacing w:line="276" w:lineRule="auto"/>
              <w:jc w:val="center"/>
              <w:rPr>
                <w:rFonts w:hint="eastAsia" w:ascii="宋体" w:hAnsi="宋体" w:cs="Arial"/>
                <w:color w:val="auto"/>
                <w:sz w:val="21"/>
                <w:szCs w:val="21"/>
                <w:highlight w:val="none"/>
              </w:rPr>
            </w:pPr>
            <w:r>
              <w:rPr>
                <w:rFonts w:hint="eastAsia" w:ascii="宋体" w:hAnsi="宋体" w:cs="宋体"/>
                <w:color w:val="auto"/>
                <w:sz w:val="21"/>
                <w:szCs w:val="21"/>
                <w:highlight w:val="none"/>
                <w:lang w:val="en-US" w:eastAsia="zh-CN"/>
              </w:rPr>
              <w:t>鄞州南区常规交通设施年度维护</w:t>
            </w:r>
          </w:p>
        </w:tc>
        <w:tc>
          <w:tcPr>
            <w:tcW w:w="3513" w:type="dxa"/>
            <w:noWrap w:val="0"/>
            <w:vAlign w:val="center"/>
          </w:tcPr>
          <w:p>
            <w:pPr>
              <w:widowControl/>
              <w:spacing w:line="276"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服务范围内为鄞州南区（以环城南路为界，不含环城南路）</w:t>
            </w:r>
          </w:p>
        </w:tc>
        <w:tc>
          <w:tcPr>
            <w:tcW w:w="1062" w:type="dxa"/>
            <w:vMerge w:val="continue"/>
            <w:noWrap w:val="0"/>
            <w:vAlign w:val="center"/>
          </w:tcPr>
          <w:p>
            <w:pPr>
              <w:widowControl/>
              <w:spacing w:line="360" w:lineRule="auto"/>
              <w:jc w:val="center"/>
              <w:rPr>
                <w:rFonts w:hint="eastAsia" w:ascii="宋体" w:hAnsi="宋体" w:cs="宋体"/>
                <w:color w:val="auto"/>
                <w:sz w:val="21"/>
                <w:szCs w:val="21"/>
                <w:highlight w:val="none"/>
                <w:lang w:bidi="ar"/>
              </w:rPr>
            </w:pPr>
          </w:p>
        </w:tc>
        <w:tc>
          <w:tcPr>
            <w:tcW w:w="1225" w:type="dxa"/>
            <w:noWrap w:val="0"/>
            <w:vAlign w:val="center"/>
          </w:tcPr>
          <w:p>
            <w:pPr>
              <w:widowControl/>
              <w:spacing w:line="360" w:lineRule="auto"/>
              <w:jc w:val="center"/>
              <w:rPr>
                <w:rFonts w:ascii="宋体" w:hAnsi="宋体" w:cs="Arial"/>
                <w:bCs/>
                <w:color w:val="auto"/>
                <w:sz w:val="21"/>
                <w:szCs w:val="21"/>
                <w:highlight w:val="none"/>
              </w:rPr>
            </w:pPr>
            <w:r>
              <w:rPr>
                <w:rFonts w:hint="eastAsia" w:ascii="宋体" w:hAnsi="宋体" w:cs="Arial"/>
                <w:bCs/>
                <w:color w:val="auto"/>
                <w:sz w:val="21"/>
                <w:szCs w:val="21"/>
                <w:highlight w:val="none"/>
                <w:lang w:val="en-US" w:eastAsia="zh-CN"/>
              </w:rPr>
              <w:t>280</w:t>
            </w:r>
            <w:r>
              <w:rPr>
                <w:rFonts w:hint="eastAsia" w:ascii="宋体" w:hAnsi="宋体" w:cs="Arial"/>
                <w:bCs/>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51" w:type="dxa"/>
            <w:noWrap w:val="0"/>
            <w:vAlign w:val="center"/>
          </w:tcPr>
          <w:p>
            <w:pPr>
              <w:widowControl/>
              <w:spacing w:line="360" w:lineRule="auto"/>
              <w:jc w:val="center"/>
              <w:rPr>
                <w:rFonts w:hint="eastAsia" w:ascii="宋体" w:hAnsi="宋体" w:eastAsia="宋体" w:cs="Arial"/>
                <w:color w:val="auto"/>
                <w:sz w:val="21"/>
                <w:szCs w:val="21"/>
                <w:highlight w:val="none"/>
                <w:lang w:val="en-US" w:eastAsia="zh-CN"/>
              </w:rPr>
            </w:pPr>
            <w:r>
              <w:rPr>
                <w:rFonts w:hint="eastAsia" w:ascii="宋体" w:hAnsi="宋体" w:cs="Arial"/>
                <w:color w:val="auto"/>
                <w:sz w:val="21"/>
                <w:szCs w:val="21"/>
                <w:highlight w:val="none"/>
                <w:lang w:val="en-US" w:eastAsia="zh-CN"/>
              </w:rPr>
              <w:t>四</w:t>
            </w:r>
          </w:p>
        </w:tc>
        <w:tc>
          <w:tcPr>
            <w:tcW w:w="2528" w:type="dxa"/>
            <w:noWrap w:val="0"/>
            <w:vAlign w:val="center"/>
          </w:tcPr>
          <w:p>
            <w:pPr>
              <w:widowControl/>
              <w:spacing w:line="276" w:lineRule="auto"/>
              <w:jc w:val="center"/>
              <w:rPr>
                <w:rFonts w:hint="eastAsia" w:ascii="宋体" w:hAnsi="宋体" w:cs="Arial"/>
                <w:color w:val="auto"/>
                <w:sz w:val="21"/>
                <w:szCs w:val="21"/>
                <w:highlight w:val="none"/>
              </w:rPr>
            </w:pPr>
            <w:r>
              <w:rPr>
                <w:rFonts w:hint="eastAsia" w:ascii="宋体" w:hAnsi="宋体" w:cs="宋体"/>
                <w:color w:val="auto"/>
                <w:sz w:val="21"/>
                <w:szCs w:val="21"/>
                <w:highlight w:val="none"/>
                <w:lang w:val="en-US" w:eastAsia="zh-CN"/>
              </w:rPr>
              <w:t>鄞州北区常规交通设施年度维护</w:t>
            </w:r>
          </w:p>
        </w:tc>
        <w:tc>
          <w:tcPr>
            <w:tcW w:w="3513" w:type="dxa"/>
            <w:noWrap w:val="0"/>
            <w:vAlign w:val="center"/>
          </w:tcPr>
          <w:p>
            <w:pPr>
              <w:widowControl/>
              <w:spacing w:line="276"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服务范围内为鄞州北区（以环城南路为界，含环城南路）</w:t>
            </w:r>
          </w:p>
        </w:tc>
        <w:tc>
          <w:tcPr>
            <w:tcW w:w="1062" w:type="dxa"/>
            <w:vMerge w:val="continue"/>
            <w:noWrap w:val="0"/>
            <w:vAlign w:val="center"/>
          </w:tcPr>
          <w:p>
            <w:pPr>
              <w:widowControl/>
              <w:spacing w:line="360" w:lineRule="auto"/>
              <w:jc w:val="center"/>
              <w:rPr>
                <w:rFonts w:hint="eastAsia" w:ascii="宋体" w:hAnsi="宋体" w:cs="宋体"/>
                <w:color w:val="auto"/>
                <w:sz w:val="21"/>
                <w:szCs w:val="21"/>
                <w:highlight w:val="none"/>
                <w:lang w:bidi="ar"/>
              </w:rPr>
            </w:pPr>
          </w:p>
        </w:tc>
        <w:tc>
          <w:tcPr>
            <w:tcW w:w="1225" w:type="dxa"/>
            <w:noWrap w:val="0"/>
            <w:vAlign w:val="center"/>
          </w:tcPr>
          <w:p>
            <w:pPr>
              <w:widowControl/>
              <w:spacing w:line="360" w:lineRule="auto"/>
              <w:jc w:val="center"/>
              <w:rPr>
                <w:rFonts w:hint="default" w:ascii="宋体" w:hAnsi="宋体" w:eastAsia="宋体" w:cs="Arial"/>
                <w:bCs/>
                <w:color w:val="auto"/>
                <w:sz w:val="21"/>
                <w:szCs w:val="21"/>
                <w:highlight w:val="none"/>
                <w:lang w:val="en-US" w:eastAsia="zh-CN"/>
              </w:rPr>
            </w:pPr>
            <w:r>
              <w:rPr>
                <w:rFonts w:hint="eastAsia" w:ascii="宋体" w:hAnsi="宋体" w:cs="Arial"/>
                <w:bCs/>
                <w:color w:val="auto"/>
                <w:sz w:val="21"/>
                <w:szCs w:val="21"/>
                <w:highlight w:val="none"/>
                <w:lang w:val="en-US" w:eastAsia="zh-CN"/>
              </w:rPr>
              <w:t>270万元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51" w:type="dxa"/>
            <w:noWrap w:val="0"/>
            <w:vAlign w:val="center"/>
          </w:tcPr>
          <w:p>
            <w:pPr>
              <w:widowControl/>
              <w:spacing w:line="360" w:lineRule="auto"/>
              <w:jc w:val="center"/>
              <w:rPr>
                <w:rFonts w:hint="eastAsia" w:ascii="宋体" w:hAnsi="宋体" w:eastAsia="宋体" w:cs="Arial"/>
                <w:color w:val="auto"/>
                <w:sz w:val="21"/>
                <w:szCs w:val="21"/>
                <w:highlight w:val="none"/>
                <w:lang w:val="en-US" w:eastAsia="zh-CN"/>
              </w:rPr>
            </w:pPr>
            <w:r>
              <w:rPr>
                <w:rFonts w:hint="eastAsia" w:ascii="宋体" w:hAnsi="宋体" w:cs="Arial"/>
                <w:color w:val="auto"/>
                <w:sz w:val="21"/>
                <w:szCs w:val="21"/>
                <w:highlight w:val="none"/>
                <w:lang w:val="en-US" w:eastAsia="zh-CN"/>
              </w:rPr>
              <w:t>五</w:t>
            </w:r>
          </w:p>
        </w:tc>
        <w:tc>
          <w:tcPr>
            <w:tcW w:w="2528" w:type="dxa"/>
            <w:noWrap w:val="0"/>
            <w:vAlign w:val="center"/>
          </w:tcPr>
          <w:p>
            <w:pPr>
              <w:widowControl/>
              <w:spacing w:line="276" w:lineRule="auto"/>
              <w:jc w:val="center"/>
              <w:rPr>
                <w:rFonts w:hint="eastAsia" w:ascii="宋体" w:hAnsi="宋体" w:cs="Arial"/>
                <w:color w:val="auto"/>
                <w:sz w:val="21"/>
                <w:szCs w:val="21"/>
                <w:highlight w:val="none"/>
              </w:rPr>
            </w:pPr>
            <w:r>
              <w:rPr>
                <w:rFonts w:hint="eastAsia" w:ascii="宋体" w:hAnsi="宋体" w:cs="宋体"/>
                <w:color w:val="auto"/>
                <w:sz w:val="21"/>
                <w:szCs w:val="21"/>
                <w:highlight w:val="none"/>
                <w:lang w:val="en-US" w:eastAsia="zh-CN"/>
              </w:rPr>
              <w:t>海曙东区常规交通设施年度维护</w:t>
            </w:r>
          </w:p>
        </w:tc>
        <w:tc>
          <w:tcPr>
            <w:tcW w:w="3513" w:type="dxa"/>
            <w:noWrap w:val="0"/>
            <w:vAlign w:val="center"/>
          </w:tcPr>
          <w:p>
            <w:pPr>
              <w:widowControl/>
              <w:spacing w:line="276"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服务范围内为海曙东区（以机场路为界，含机场路）</w:t>
            </w:r>
          </w:p>
        </w:tc>
        <w:tc>
          <w:tcPr>
            <w:tcW w:w="1062" w:type="dxa"/>
            <w:vMerge w:val="continue"/>
            <w:noWrap w:val="0"/>
            <w:vAlign w:val="center"/>
          </w:tcPr>
          <w:p>
            <w:pPr>
              <w:widowControl/>
              <w:spacing w:line="360" w:lineRule="auto"/>
              <w:jc w:val="center"/>
              <w:rPr>
                <w:rFonts w:hint="eastAsia" w:ascii="宋体" w:hAnsi="宋体" w:cs="宋体"/>
                <w:color w:val="auto"/>
                <w:sz w:val="21"/>
                <w:szCs w:val="21"/>
                <w:highlight w:val="none"/>
                <w:lang w:bidi="ar"/>
              </w:rPr>
            </w:pPr>
          </w:p>
        </w:tc>
        <w:tc>
          <w:tcPr>
            <w:tcW w:w="1225" w:type="dxa"/>
            <w:noWrap w:val="0"/>
            <w:vAlign w:val="center"/>
          </w:tcPr>
          <w:p>
            <w:pPr>
              <w:widowControl/>
              <w:spacing w:line="360" w:lineRule="auto"/>
              <w:jc w:val="center"/>
              <w:rPr>
                <w:rFonts w:ascii="宋体" w:hAnsi="宋体" w:cs="Arial"/>
                <w:bCs/>
                <w:color w:val="auto"/>
                <w:sz w:val="21"/>
                <w:szCs w:val="21"/>
                <w:highlight w:val="none"/>
              </w:rPr>
            </w:pPr>
            <w:r>
              <w:rPr>
                <w:rFonts w:hint="eastAsia" w:ascii="宋体" w:hAnsi="宋体" w:cs="Arial"/>
                <w:bCs/>
                <w:color w:val="auto"/>
                <w:sz w:val="21"/>
                <w:szCs w:val="21"/>
                <w:highlight w:val="none"/>
                <w:lang w:val="en-US" w:eastAsia="zh-CN"/>
              </w:rPr>
              <w:t>260万元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954" w:type="dxa"/>
            <w:gridSpan w:val="4"/>
            <w:noWrap w:val="0"/>
            <w:vAlign w:val="center"/>
          </w:tcPr>
          <w:p>
            <w:pPr>
              <w:widowControl/>
              <w:spacing w:line="360" w:lineRule="auto"/>
              <w:jc w:val="center"/>
              <w:rPr>
                <w:rFonts w:hint="eastAsia" w:ascii="宋体" w:hAnsi="宋体" w:eastAsia="宋体" w:cs="宋体"/>
                <w:b/>
                <w:bCs/>
                <w:color w:val="auto"/>
                <w:sz w:val="21"/>
                <w:szCs w:val="21"/>
                <w:highlight w:val="none"/>
                <w:lang w:val="en-US" w:eastAsia="zh-CN" w:bidi="ar"/>
              </w:rPr>
            </w:pPr>
            <w:r>
              <w:rPr>
                <w:rFonts w:hint="eastAsia" w:ascii="宋体" w:hAnsi="宋体" w:cs="宋体"/>
                <w:b/>
                <w:bCs/>
                <w:color w:val="auto"/>
                <w:sz w:val="21"/>
                <w:szCs w:val="21"/>
                <w:highlight w:val="none"/>
                <w:lang w:val="en-US" w:eastAsia="zh-CN" w:bidi="ar"/>
              </w:rPr>
              <w:t>合计</w:t>
            </w:r>
          </w:p>
        </w:tc>
        <w:tc>
          <w:tcPr>
            <w:tcW w:w="1225" w:type="dxa"/>
            <w:noWrap w:val="0"/>
            <w:vAlign w:val="center"/>
          </w:tcPr>
          <w:p>
            <w:pPr>
              <w:widowControl/>
              <w:spacing w:line="360" w:lineRule="auto"/>
              <w:jc w:val="center"/>
              <w:rPr>
                <w:rFonts w:hint="default" w:ascii="宋体" w:hAnsi="宋体" w:eastAsia="宋体" w:cs="Arial"/>
                <w:b/>
                <w:bCs/>
                <w:color w:val="auto"/>
                <w:sz w:val="21"/>
                <w:szCs w:val="21"/>
                <w:highlight w:val="none"/>
                <w:lang w:val="en-US" w:eastAsia="zh-CN"/>
              </w:rPr>
            </w:pPr>
            <w:r>
              <w:rPr>
                <w:rFonts w:hint="eastAsia" w:ascii="宋体" w:hAnsi="宋体" w:cs="Arial"/>
                <w:b/>
                <w:bCs/>
                <w:color w:val="auto"/>
                <w:sz w:val="21"/>
                <w:szCs w:val="21"/>
                <w:highlight w:val="none"/>
                <w:lang w:val="en-US" w:eastAsia="zh-CN"/>
              </w:rPr>
              <w:t>1420万元</w:t>
            </w:r>
          </w:p>
        </w:tc>
      </w:tr>
    </w:tbl>
    <w:p>
      <w:pPr>
        <w:spacing w:line="360" w:lineRule="auto"/>
        <w:rPr>
          <w:rFonts w:hint="eastAsia" w:ascii="宋体" w:hAnsi="宋体" w:eastAsia="宋体"/>
          <w:b w:val="0"/>
          <w:bCs/>
          <w:color w:val="auto"/>
          <w:sz w:val="21"/>
          <w:szCs w:val="21"/>
          <w:highlight w:val="none"/>
          <w:lang w:eastAsia="zh-CN"/>
        </w:rPr>
      </w:pPr>
      <w:r>
        <w:rPr>
          <w:rFonts w:hint="eastAsia" w:ascii="宋体" w:hAnsi="宋体"/>
          <w:b w:val="0"/>
          <w:bCs/>
          <w:color w:val="auto"/>
          <w:sz w:val="21"/>
          <w:szCs w:val="21"/>
          <w:highlight w:val="none"/>
          <w:lang w:val="en-US" w:eastAsia="zh-CN"/>
        </w:rPr>
        <w:t>备注：本项目每标项维护内容繁多，任务紧急工程紧急，投标单位可投全部标项，但最多仅中一个标项。确定5家中标单位，每1个中标人服务标项指定区域。</w:t>
      </w:r>
    </w:p>
    <w:p>
      <w:pPr>
        <w:spacing w:line="360" w:lineRule="auto"/>
        <w:rPr>
          <w:rFonts w:hint="eastAsia" w:ascii="宋体" w:hAnsi="宋体"/>
          <w:b/>
          <w:color w:val="auto"/>
          <w:sz w:val="21"/>
          <w:szCs w:val="21"/>
          <w:highlight w:val="none"/>
        </w:rPr>
      </w:pPr>
    </w:p>
    <w:p>
      <w:pPr>
        <w:numPr>
          <w:ilvl w:val="0"/>
          <w:numId w:val="0"/>
        </w:numPr>
        <w:spacing w:line="360" w:lineRule="auto"/>
        <w:ind w:leftChars="0"/>
        <w:rPr>
          <w:rFonts w:hint="eastAsia" w:ascii="宋体" w:hAnsi="宋体"/>
          <w:b/>
          <w:color w:val="auto"/>
          <w:sz w:val="21"/>
          <w:szCs w:val="21"/>
          <w:highlight w:val="none"/>
        </w:rPr>
      </w:pP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技术</w:t>
      </w:r>
      <w:r>
        <w:rPr>
          <w:rFonts w:hint="eastAsia" w:ascii="宋体" w:hAnsi="宋体"/>
          <w:b/>
          <w:color w:val="auto"/>
          <w:sz w:val="21"/>
          <w:szCs w:val="21"/>
          <w:highlight w:val="none"/>
          <w:lang w:val="en-US" w:eastAsia="zh-CN"/>
        </w:rPr>
        <w:t>需求</w:t>
      </w:r>
    </w:p>
    <w:p>
      <w:pPr>
        <w:widowControl/>
        <w:numPr>
          <w:ilvl w:val="0"/>
          <w:numId w:val="0"/>
        </w:numPr>
        <w:adjustRightInd/>
        <w:spacing w:line="360" w:lineRule="auto"/>
        <w:ind w:leftChars="0"/>
        <w:jc w:val="both"/>
        <w:textAlignment w:val="auto"/>
        <w:rPr>
          <w:rFonts w:ascii="宋体" w:hAnsi="宋体" w:cs="宋体"/>
          <w:b/>
          <w:color w:val="auto"/>
          <w:sz w:val="21"/>
          <w:szCs w:val="21"/>
          <w:highlight w:val="none"/>
        </w:rPr>
      </w:pP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一</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应遵循的主要规范</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《道路交通标志和标线》（GB 5768-2009）</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《道路交通标志和标线》（GB5768—2022）；</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《城市道路交通标志和标线设置规范》（GB51038—2015）；</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《城市道路交通标志和标线设置规范》（DB33/T 818—2010）；</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《公交专用车道设置》（GA/T 507-2004）；</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《新划路面标线初始逆反射亮度系数及测试方法》（GB/T 21383-2008）；</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《路面标线用玻璃珠》（GB/T 24722-2020）；</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《道路交通标线质量要求和检测方法》（GB/T 16311-2009）；</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《道路交通反光膜》（GB/T 18833-2012）；</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《道路交通标志板及支撑件》（GB/T 23827-2021）；</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《公路交通标志板》（JT/T 279-2016）；</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《道路交通信号灯设置与安装规范》（GB14886-2016）；</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《道路交通信号灯》（GB14887-2016）；</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《结构用无缝钢管》（GB/T 8162-2018）；</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《建筑物电子信息系统防雷技术规范》(GB50343-2012)；</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《民用建筑电气设计规范》(GB51348-2019)；</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《弹性交通柱》（GB/T24972-2010）；</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《公路工程质量检验评定标准》（JTG F80-2017）；</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《宁波市交通设施项目设计及审查要点》；</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《宁波市城市道路指路标志及车道行驶方向标志设置细则V2.0》；</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《宁波市道路交通安全设施设置细则》；</w:t>
      </w:r>
    </w:p>
    <w:p>
      <w:pPr>
        <w:numPr>
          <w:ilvl w:val="0"/>
          <w:numId w:val="4"/>
        </w:numPr>
        <w:tabs>
          <w:tab w:val="left" w:pos="420"/>
          <w:tab w:val="clear" w:pos="840"/>
        </w:tabs>
        <w:autoSpaceDE w:val="0"/>
        <w:autoSpaceDN w:val="0"/>
        <w:snapToGrid w:val="0"/>
        <w:spacing w:line="360" w:lineRule="auto"/>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《宁波市交通标杆及基础、交通护栏大样图V2.1》；</w:t>
      </w:r>
    </w:p>
    <w:p>
      <w:pPr>
        <w:numPr>
          <w:ilvl w:val="0"/>
          <w:numId w:val="4"/>
        </w:numPr>
        <w:tabs>
          <w:tab w:val="left" w:pos="420"/>
          <w:tab w:val="clear" w:pos="840"/>
        </w:tabs>
        <w:autoSpaceDE w:val="0"/>
        <w:autoSpaceDN w:val="0"/>
        <w:snapToGrid w:val="0"/>
        <w:spacing w:line="360" w:lineRule="auto"/>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《关于实施交通设施铭牌的说明》等。</w:t>
      </w:r>
    </w:p>
    <w:p>
      <w:pPr>
        <w:tabs>
          <w:tab w:val="left" w:pos="420"/>
        </w:tabs>
        <w:autoSpaceDE w:val="0"/>
        <w:autoSpaceDN w:val="0"/>
        <w:snapToGrid w:val="0"/>
        <w:spacing w:line="240" w:lineRule="auto"/>
        <w:rPr>
          <w:rFonts w:ascii="宋体" w:hAnsi="宋体" w:cs="宋体"/>
          <w:color w:val="auto"/>
          <w:sz w:val="21"/>
          <w:szCs w:val="21"/>
          <w:highlight w:val="none"/>
          <w:lang w:bidi="ar"/>
        </w:rPr>
      </w:pPr>
    </w:p>
    <w:p>
      <w:pPr>
        <w:tabs>
          <w:tab w:val="left" w:pos="420"/>
        </w:tabs>
        <w:autoSpaceDE w:val="0"/>
        <w:autoSpaceDN w:val="0"/>
        <w:snapToGrid w:val="0"/>
        <w:spacing w:line="360" w:lineRule="auto"/>
        <w:rPr>
          <w:rFonts w:ascii="宋体" w:hAnsi="宋体" w:cs="宋体"/>
          <w:b/>
          <w:bCs/>
          <w:color w:val="auto"/>
          <w:sz w:val="21"/>
          <w:szCs w:val="21"/>
          <w:highlight w:val="none"/>
          <w:lang w:bidi="ar"/>
        </w:rPr>
      </w:pPr>
      <w:r>
        <w:rPr>
          <w:rFonts w:hint="eastAsia" w:ascii="宋体" w:hAnsi="宋体" w:cs="宋体"/>
          <w:b/>
          <w:bCs/>
          <w:color w:val="auto"/>
          <w:sz w:val="21"/>
          <w:szCs w:val="21"/>
          <w:highlight w:val="none"/>
          <w:lang w:eastAsia="zh-CN" w:bidi="ar"/>
        </w:rPr>
        <w:t>（</w:t>
      </w:r>
      <w:r>
        <w:rPr>
          <w:rFonts w:hint="eastAsia" w:ascii="宋体" w:hAnsi="宋体" w:cs="宋体"/>
          <w:b/>
          <w:bCs/>
          <w:color w:val="auto"/>
          <w:sz w:val="21"/>
          <w:szCs w:val="21"/>
          <w:highlight w:val="none"/>
          <w:lang w:val="en-US" w:eastAsia="zh-CN" w:bidi="ar"/>
        </w:rPr>
        <w:t>二</w:t>
      </w:r>
      <w:r>
        <w:rPr>
          <w:rFonts w:hint="eastAsia" w:ascii="宋体" w:hAnsi="宋体" w:cs="宋体"/>
          <w:b/>
          <w:bCs/>
          <w:color w:val="auto"/>
          <w:sz w:val="21"/>
          <w:szCs w:val="21"/>
          <w:highlight w:val="none"/>
          <w:lang w:eastAsia="zh-CN" w:bidi="ar"/>
        </w:rPr>
        <w:t>）</w:t>
      </w:r>
      <w:r>
        <w:rPr>
          <w:rFonts w:hint="eastAsia" w:ascii="宋体" w:hAnsi="宋体" w:eastAsia="宋体" w:cs="宋体"/>
          <w:b/>
          <w:bCs/>
          <w:color w:val="auto"/>
          <w:sz w:val="21"/>
          <w:szCs w:val="21"/>
          <w:highlight w:val="none"/>
          <w:lang w:val="zh-CN"/>
        </w:rPr>
        <w:t>维护要求</w:t>
      </w:r>
    </w:p>
    <w:p>
      <w:pPr>
        <w:keepNext w:val="0"/>
        <w:keepLines w:val="0"/>
        <w:pageBreakBefore w:val="0"/>
        <w:wordWrap/>
        <w:topLinePunct w:val="0"/>
        <w:bidi w:val="0"/>
        <w:snapToGrid/>
        <w:spacing w:line="360" w:lineRule="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1.总体要求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rPr>
        <w:t>1)维护、抢修现场须做到文明施工</w:t>
      </w:r>
      <w:r>
        <w:rPr>
          <w:rFonts w:hint="eastAsia" w:ascii="宋体" w:hAnsi="宋体" w:eastAsia="宋体" w:cs="宋体"/>
          <w:color w:val="auto"/>
          <w:sz w:val="21"/>
          <w:szCs w:val="21"/>
          <w:highlight w:val="none"/>
          <w:lang w:val="zh-CN" w:eastAsia="zh-Hans"/>
        </w:rPr>
        <w:t>并按相关国家规范做好施工安全防护工作</w:t>
      </w:r>
      <w:r>
        <w:rPr>
          <w:rFonts w:hint="eastAsia" w:ascii="宋体" w:hAnsi="宋体" w:eastAsia="宋体" w:cs="宋体"/>
          <w:color w:val="auto"/>
          <w:sz w:val="21"/>
          <w:szCs w:val="21"/>
          <w:highlight w:val="none"/>
          <w:lang w:val="zh-CN"/>
        </w:rPr>
        <w:t>，施工区域应</w:t>
      </w:r>
      <w:r>
        <w:rPr>
          <w:rFonts w:hint="eastAsia" w:ascii="宋体" w:hAnsi="宋体" w:eastAsia="宋体" w:cs="宋体"/>
          <w:color w:val="auto"/>
          <w:sz w:val="21"/>
          <w:szCs w:val="21"/>
          <w:highlight w:val="none"/>
          <w:lang w:val="zh-CN" w:eastAsia="zh-Hans"/>
        </w:rPr>
        <w:t>按相关规范</w:t>
      </w:r>
      <w:r>
        <w:rPr>
          <w:rFonts w:hint="eastAsia" w:ascii="宋体" w:hAnsi="宋体" w:eastAsia="宋体" w:cs="宋体"/>
          <w:color w:val="auto"/>
          <w:sz w:val="21"/>
          <w:szCs w:val="21"/>
          <w:highlight w:val="none"/>
          <w:lang w:val="zh-CN"/>
        </w:rPr>
        <w:t>放置明显警示标志</w:t>
      </w:r>
      <w:r>
        <w:rPr>
          <w:rFonts w:hint="eastAsia" w:ascii="宋体" w:hAnsi="宋体" w:eastAsia="宋体" w:cs="宋体"/>
          <w:color w:val="auto"/>
          <w:sz w:val="21"/>
          <w:szCs w:val="21"/>
          <w:highlight w:val="none"/>
          <w:lang w:val="zh-CN" w:eastAsia="zh-Hans"/>
        </w:rPr>
        <w:t>等设施</w:t>
      </w:r>
      <w:r>
        <w:rPr>
          <w:rFonts w:hint="eastAsia" w:ascii="宋体" w:hAnsi="宋体" w:eastAsia="宋体" w:cs="宋体"/>
          <w:color w:val="auto"/>
          <w:sz w:val="21"/>
          <w:szCs w:val="21"/>
          <w:highlight w:val="none"/>
          <w:lang w:val="zh-CN"/>
        </w:rPr>
        <w:t>，维护人员应配备统一的着装。不得随意、擅自封闭车道进行施工作业，</w:t>
      </w:r>
      <w:r>
        <w:rPr>
          <w:rFonts w:hint="eastAsia" w:ascii="宋体" w:hAnsi="宋体" w:eastAsia="宋体" w:cs="宋体"/>
          <w:color w:val="auto"/>
          <w:sz w:val="21"/>
          <w:szCs w:val="21"/>
          <w:highlight w:val="none"/>
        </w:rPr>
        <w:t>特殊情况</w:t>
      </w:r>
      <w:r>
        <w:rPr>
          <w:rFonts w:hint="eastAsia" w:ascii="宋体" w:hAnsi="宋体" w:eastAsia="宋体" w:cs="宋体"/>
          <w:color w:val="auto"/>
          <w:sz w:val="21"/>
          <w:szCs w:val="21"/>
          <w:highlight w:val="none"/>
          <w:lang w:val="zh-CN"/>
        </w:rPr>
        <w:t>确需要临时封闭</w:t>
      </w:r>
      <w:r>
        <w:rPr>
          <w:rFonts w:hint="eastAsia" w:ascii="宋体" w:hAnsi="宋体" w:eastAsia="宋体" w:cs="宋体"/>
          <w:color w:val="auto"/>
          <w:sz w:val="21"/>
          <w:szCs w:val="21"/>
          <w:highlight w:val="none"/>
        </w:rPr>
        <w:t>车道</w:t>
      </w:r>
      <w:r>
        <w:rPr>
          <w:rFonts w:hint="eastAsia" w:ascii="宋体" w:hAnsi="宋体" w:eastAsia="宋体" w:cs="宋体"/>
          <w:color w:val="auto"/>
          <w:sz w:val="21"/>
          <w:szCs w:val="21"/>
          <w:highlight w:val="none"/>
          <w:lang w:val="zh-CN"/>
        </w:rPr>
        <w:t>的，须</w:t>
      </w:r>
      <w:r>
        <w:rPr>
          <w:rFonts w:hint="eastAsia" w:ascii="宋体" w:hAnsi="宋体" w:eastAsia="宋体" w:cs="宋体"/>
          <w:color w:val="auto"/>
          <w:sz w:val="21"/>
          <w:szCs w:val="21"/>
          <w:highlight w:val="none"/>
        </w:rPr>
        <w:t>提前半天</w:t>
      </w:r>
      <w:r>
        <w:rPr>
          <w:rFonts w:hint="eastAsia" w:ascii="宋体" w:hAnsi="宋体" w:eastAsia="宋体" w:cs="宋体"/>
          <w:color w:val="auto"/>
          <w:sz w:val="21"/>
          <w:szCs w:val="21"/>
          <w:highlight w:val="none"/>
          <w:lang w:val="zh-CN"/>
        </w:rPr>
        <w:t>报经</w:t>
      </w:r>
      <w:r>
        <w:rPr>
          <w:rFonts w:hint="eastAsia" w:ascii="宋体" w:hAnsi="宋体" w:eastAsia="宋体" w:cs="宋体"/>
          <w:color w:val="auto"/>
          <w:sz w:val="21"/>
          <w:szCs w:val="21"/>
          <w:highlight w:val="none"/>
        </w:rPr>
        <w:t>辖区交警</w:t>
      </w:r>
      <w:r>
        <w:rPr>
          <w:rFonts w:hint="eastAsia" w:ascii="宋体" w:hAnsi="宋体" w:eastAsia="宋体" w:cs="宋体"/>
          <w:color w:val="auto"/>
          <w:sz w:val="21"/>
          <w:szCs w:val="21"/>
          <w:highlight w:val="none"/>
          <w:lang w:val="zh-CN"/>
        </w:rPr>
        <w:t>大队、</w:t>
      </w:r>
      <w:r>
        <w:rPr>
          <w:rFonts w:hint="eastAsia" w:ascii="宋体" w:hAnsi="宋体" w:eastAsia="宋体" w:cs="宋体"/>
          <w:color w:val="auto"/>
          <w:sz w:val="21"/>
          <w:szCs w:val="21"/>
          <w:highlight w:val="none"/>
        </w:rPr>
        <w:t>中队以及道路秩序处</w:t>
      </w:r>
      <w:r>
        <w:rPr>
          <w:rFonts w:hint="eastAsia" w:ascii="宋体" w:hAnsi="宋体" w:eastAsia="宋体" w:cs="宋体"/>
          <w:color w:val="auto"/>
          <w:sz w:val="21"/>
          <w:szCs w:val="21"/>
          <w:highlight w:val="none"/>
          <w:lang w:val="zh-CN"/>
        </w:rPr>
        <w:t>同意。</w:t>
      </w:r>
      <w:r>
        <w:rPr>
          <w:rFonts w:hint="eastAsia" w:ascii="宋体" w:hAnsi="宋体" w:eastAsia="宋体" w:cs="宋体"/>
          <w:color w:val="auto"/>
          <w:sz w:val="21"/>
          <w:szCs w:val="21"/>
          <w:highlight w:val="none"/>
          <w:lang w:val="en-US" w:eastAsia="zh-CN"/>
        </w:rPr>
        <w:t>快速路需要临时封闭车道的，须提交封道方案经快速路大队同意。</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）负责中标维护范围内</w:t>
      </w:r>
      <w:r>
        <w:rPr>
          <w:rFonts w:hint="eastAsia" w:ascii="宋体" w:hAnsi="宋体" w:eastAsia="宋体" w:cs="宋体"/>
          <w:color w:val="auto"/>
          <w:sz w:val="21"/>
          <w:szCs w:val="21"/>
          <w:highlight w:val="none"/>
          <w:lang w:val="en-US" w:eastAsia="zh-CN"/>
        </w:rPr>
        <w:t>及招标人指派的</w:t>
      </w:r>
      <w:r>
        <w:rPr>
          <w:rFonts w:hint="eastAsia" w:ascii="宋体" w:hAnsi="宋体" w:eastAsia="宋体" w:cs="宋体"/>
          <w:color w:val="auto"/>
          <w:sz w:val="21"/>
          <w:szCs w:val="21"/>
          <w:highlight w:val="none"/>
          <w:lang w:val="zh-CN"/>
        </w:rPr>
        <w:t>各项交通安全设施的巡查、排查、维修和养护等工作，及时排除不安全因素和隐患，确保设施规范设置、正常使用和安全、整洁。保证中标维护区域内交通安全设施的完好率达到</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lang w:val="zh-CN"/>
        </w:rPr>
        <w:t>%以上，并做好巡查记录备查。</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）按</w:t>
      </w: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lang w:val="zh-CN"/>
        </w:rPr>
        <w:t>的要求及时进场作业，并接受</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zh-CN"/>
        </w:rPr>
        <w:t>人、监理的检查，确保在合同规定的时间内保质保量完成</w:t>
      </w:r>
      <w:r>
        <w:rPr>
          <w:rFonts w:hint="eastAsia" w:ascii="宋体" w:hAnsi="宋体" w:eastAsia="宋体" w:cs="宋体"/>
          <w:color w:val="auto"/>
          <w:sz w:val="21"/>
          <w:szCs w:val="21"/>
          <w:highlight w:val="none"/>
        </w:rPr>
        <w:t>任务</w:t>
      </w:r>
      <w:r>
        <w:rPr>
          <w:rFonts w:hint="eastAsia" w:ascii="宋体" w:hAnsi="宋体" w:eastAsia="宋体" w:cs="宋体"/>
          <w:color w:val="auto"/>
          <w:sz w:val="21"/>
          <w:szCs w:val="21"/>
          <w:highlight w:val="none"/>
          <w:lang w:val="zh-CN"/>
        </w:rPr>
        <w:t>。中标人应服从和配合由招标人委托的监理单位的监理工作。每月向</w:t>
      </w: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lang w:val="zh-CN"/>
        </w:rPr>
        <w:t>上报当月的维护工作量、工作数据、工作小结等。中标人每期报送的结算金额累计不得超出中标金额，完成的费用达到中标金额后合同自动终止。</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）接受交警局</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lang w:val="zh-CN"/>
        </w:rPr>
        <w:t>大队二级情指中心下发的应急抢修任务，建立接报记录档案，1小时内及时响应，在抢修任务要求处理时限内完成抢修任务</w:t>
      </w:r>
      <w:r>
        <w:rPr>
          <w:rFonts w:hint="eastAsia" w:ascii="宋体" w:hAnsi="宋体" w:eastAsia="宋体" w:cs="宋体"/>
          <w:color w:val="auto"/>
          <w:sz w:val="21"/>
          <w:szCs w:val="21"/>
          <w:highlight w:val="none"/>
          <w:lang w:val="en-US" w:eastAsia="zh-CN"/>
        </w:rPr>
        <w:t>和工程量上报的工作。</w:t>
      </w:r>
      <w:r>
        <w:rPr>
          <w:rFonts w:hint="eastAsia" w:ascii="宋体" w:hAnsi="宋体" w:eastAsia="宋体" w:cs="宋体"/>
          <w:color w:val="auto"/>
          <w:sz w:val="21"/>
          <w:szCs w:val="21"/>
          <w:highlight w:val="none"/>
          <w:lang w:val="zh-CN"/>
        </w:rPr>
        <w:t>特殊情况</w:t>
      </w:r>
      <w:r>
        <w:rPr>
          <w:rFonts w:hint="eastAsia" w:ascii="宋体" w:hAnsi="宋体" w:eastAsia="宋体" w:cs="宋体"/>
          <w:color w:val="auto"/>
          <w:sz w:val="21"/>
          <w:szCs w:val="21"/>
          <w:highlight w:val="none"/>
        </w:rPr>
        <w:t>经</w:t>
      </w:r>
      <w:r>
        <w:rPr>
          <w:rFonts w:hint="eastAsia" w:ascii="宋体" w:hAnsi="宋体" w:eastAsia="宋体" w:cs="宋体"/>
          <w:color w:val="auto"/>
          <w:sz w:val="21"/>
          <w:szCs w:val="21"/>
          <w:highlight w:val="none"/>
          <w:lang w:val="zh-CN"/>
        </w:rPr>
        <w:t>报招标人同意后，可以采用先设置设施抢修警示牌后修复的方式。</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安排</w:t>
      </w:r>
      <w:r>
        <w:rPr>
          <w:rFonts w:hint="eastAsia" w:ascii="宋体" w:hAnsi="宋体" w:eastAsia="宋体" w:cs="宋体"/>
          <w:color w:val="auto"/>
          <w:sz w:val="21"/>
          <w:szCs w:val="21"/>
          <w:highlight w:val="none"/>
          <w:lang w:val="en-US" w:eastAsia="zh-CN"/>
        </w:rPr>
        <w:t>专</w:t>
      </w:r>
      <w:r>
        <w:rPr>
          <w:rFonts w:hint="eastAsia" w:ascii="宋体" w:hAnsi="宋体" w:eastAsia="宋体" w:cs="宋体"/>
          <w:color w:val="auto"/>
          <w:sz w:val="21"/>
          <w:szCs w:val="21"/>
          <w:highlight w:val="none"/>
          <w:lang w:val="zh-CN"/>
        </w:rPr>
        <w:t>人根据招标人要求及时录入宁波交通设施维护平台。</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）须建立</w:t>
      </w:r>
      <w:r>
        <w:rPr>
          <w:rFonts w:hint="eastAsia" w:ascii="宋体" w:hAnsi="宋体" w:eastAsia="宋体" w:cs="宋体"/>
          <w:color w:val="auto"/>
          <w:sz w:val="21"/>
          <w:szCs w:val="21"/>
          <w:highlight w:val="none"/>
        </w:rPr>
        <w:t>每日</w:t>
      </w:r>
      <w:r>
        <w:rPr>
          <w:rFonts w:hint="eastAsia" w:ascii="宋体" w:hAnsi="宋体" w:eastAsia="宋体" w:cs="宋体"/>
          <w:color w:val="auto"/>
          <w:sz w:val="21"/>
          <w:szCs w:val="21"/>
          <w:highlight w:val="none"/>
          <w:lang w:val="zh-CN"/>
        </w:rPr>
        <w:t>24小时值班制度。</w:t>
      </w:r>
      <w:r>
        <w:rPr>
          <w:rFonts w:hint="eastAsia" w:ascii="宋体" w:hAnsi="宋体" w:eastAsia="宋体" w:cs="宋体"/>
          <w:color w:val="auto"/>
          <w:sz w:val="21"/>
          <w:szCs w:val="21"/>
          <w:highlight w:val="none"/>
        </w:rPr>
        <w:t>须建立</w:t>
      </w:r>
      <w:r>
        <w:rPr>
          <w:rFonts w:hint="eastAsia" w:ascii="宋体" w:hAnsi="宋体" w:eastAsia="宋体" w:cs="宋体"/>
          <w:color w:val="auto"/>
          <w:sz w:val="21"/>
          <w:szCs w:val="21"/>
          <w:highlight w:val="none"/>
          <w:lang w:val="zh-CN"/>
        </w:rPr>
        <w:t>针对重大活动、紧急任务、台风等恶劣天气特殊情况时的专项应急预案，</w:t>
      </w:r>
      <w:r>
        <w:rPr>
          <w:rFonts w:hint="eastAsia" w:ascii="宋体" w:hAnsi="宋体" w:eastAsia="宋体" w:cs="宋体"/>
          <w:color w:val="auto"/>
          <w:sz w:val="21"/>
          <w:szCs w:val="21"/>
          <w:highlight w:val="none"/>
        </w:rPr>
        <w:t>以及</w:t>
      </w:r>
      <w:r>
        <w:rPr>
          <w:rFonts w:hint="eastAsia" w:ascii="宋体" w:hAnsi="宋体" w:eastAsia="宋体" w:cs="宋体"/>
          <w:color w:val="auto"/>
          <w:sz w:val="21"/>
          <w:szCs w:val="21"/>
          <w:highlight w:val="none"/>
          <w:lang w:val="zh-CN"/>
        </w:rPr>
        <w:t>增加备勤维护力量。中标维护区域内</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zh-CN"/>
        </w:rPr>
        <w:t>双向六车道（含）以上道路和</w:t>
      </w:r>
      <w:r>
        <w:rPr>
          <w:rFonts w:hint="eastAsia" w:ascii="宋体" w:hAnsi="宋体" w:eastAsia="宋体" w:cs="宋体"/>
          <w:color w:val="auto"/>
          <w:sz w:val="21"/>
          <w:szCs w:val="21"/>
          <w:highlight w:val="none"/>
          <w:lang w:val="en-US" w:eastAsia="zh-CN"/>
        </w:rPr>
        <w:t>快速路大队管辖路段</w:t>
      </w:r>
      <w:r>
        <w:rPr>
          <w:rFonts w:hint="eastAsia" w:ascii="宋体" w:hAnsi="宋体" w:eastAsia="宋体" w:cs="宋体"/>
          <w:color w:val="auto"/>
          <w:sz w:val="21"/>
          <w:szCs w:val="21"/>
          <w:highlight w:val="none"/>
        </w:rPr>
        <w:t>以及</w:t>
      </w:r>
      <w:r>
        <w:rPr>
          <w:rFonts w:hint="eastAsia" w:ascii="宋体" w:hAnsi="宋体" w:eastAsia="宋体" w:cs="宋体"/>
          <w:color w:val="auto"/>
          <w:sz w:val="21"/>
          <w:szCs w:val="21"/>
          <w:highlight w:val="none"/>
          <w:lang w:val="zh-CN"/>
        </w:rPr>
        <w:t>招标人指定的特殊道路，</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每天巡查不少于1次，其他道路每周巡查不少于2次。每月底将巡查车辆的每日GPS轨迹提交给</w:t>
      </w: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lang w:val="zh-CN"/>
        </w:rPr>
        <w:t>。特殊情况时，各区域须依据应急预案另行安排应急作业的</w:t>
      </w:r>
      <w:r>
        <w:rPr>
          <w:rFonts w:hint="eastAsia" w:ascii="宋体" w:hAnsi="宋体" w:eastAsia="宋体" w:cs="宋体"/>
          <w:color w:val="auto"/>
          <w:sz w:val="21"/>
          <w:szCs w:val="21"/>
          <w:highlight w:val="none"/>
        </w:rPr>
        <w:t>车辆</w:t>
      </w:r>
      <w:r>
        <w:rPr>
          <w:rFonts w:hint="eastAsia" w:ascii="宋体" w:hAnsi="宋体" w:eastAsia="宋体" w:cs="宋体"/>
          <w:color w:val="auto"/>
          <w:sz w:val="21"/>
          <w:szCs w:val="21"/>
          <w:highlight w:val="none"/>
          <w:lang w:val="zh-CN"/>
        </w:rPr>
        <w:t>和足够人员由招标人统一调配。</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）设施调整须先申报方案，经</w:t>
      </w: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lang w:val="zh-CN"/>
        </w:rPr>
        <w:t>认可</w:t>
      </w:r>
      <w:r>
        <w:rPr>
          <w:rFonts w:hint="eastAsia" w:ascii="宋体" w:hAnsi="宋体" w:eastAsia="宋体" w:cs="宋体"/>
          <w:color w:val="auto"/>
          <w:sz w:val="21"/>
          <w:szCs w:val="21"/>
          <w:highlight w:val="none"/>
        </w:rPr>
        <w:t>同意</w:t>
      </w:r>
      <w:r>
        <w:rPr>
          <w:rFonts w:hint="eastAsia" w:ascii="宋体" w:hAnsi="宋体" w:eastAsia="宋体" w:cs="宋体"/>
          <w:color w:val="auto"/>
          <w:sz w:val="21"/>
          <w:szCs w:val="21"/>
          <w:highlight w:val="none"/>
          <w:lang w:val="zh-CN"/>
        </w:rPr>
        <w:t>后，凭施工单实施；任务完成后需经</w:t>
      </w:r>
      <w:r>
        <w:rPr>
          <w:rFonts w:hint="eastAsia" w:ascii="宋体" w:hAnsi="宋体" w:eastAsia="宋体" w:cs="宋体"/>
          <w:color w:val="auto"/>
          <w:sz w:val="21"/>
          <w:szCs w:val="21"/>
          <w:highlight w:val="none"/>
        </w:rPr>
        <w:t>辖区交警</w:t>
      </w:r>
      <w:r>
        <w:rPr>
          <w:rFonts w:hint="eastAsia" w:ascii="宋体" w:hAnsi="宋体" w:eastAsia="宋体" w:cs="宋体"/>
          <w:color w:val="auto"/>
          <w:sz w:val="21"/>
          <w:szCs w:val="21"/>
          <w:highlight w:val="none"/>
          <w:lang w:val="zh-CN"/>
        </w:rPr>
        <w:t>大队、监理验收，并在联系单上签字后生效。</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自行办理道路</w:t>
      </w:r>
      <w:r>
        <w:rPr>
          <w:rFonts w:hint="eastAsia" w:ascii="宋体" w:hAnsi="宋体" w:eastAsia="宋体" w:cs="宋体"/>
          <w:color w:val="auto"/>
          <w:sz w:val="21"/>
          <w:szCs w:val="21"/>
          <w:highlight w:val="none"/>
        </w:rPr>
        <w:t>占用、</w:t>
      </w:r>
      <w:r>
        <w:rPr>
          <w:rFonts w:hint="eastAsia" w:ascii="宋体" w:hAnsi="宋体" w:eastAsia="宋体" w:cs="宋体"/>
          <w:color w:val="auto"/>
          <w:sz w:val="21"/>
          <w:szCs w:val="21"/>
          <w:highlight w:val="none"/>
          <w:lang w:val="zh-CN"/>
        </w:rPr>
        <w:t>挖掘</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zh-CN"/>
        </w:rPr>
        <w:t>审批手续（含相关费用），尽可能减小因</w:t>
      </w:r>
      <w:r>
        <w:rPr>
          <w:rFonts w:hint="eastAsia" w:ascii="宋体" w:hAnsi="宋体" w:eastAsia="宋体" w:cs="宋体"/>
          <w:color w:val="auto"/>
          <w:sz w:val="21"/>
          <w:szCs w:val="21"/>
          <w:highlight w:val="none"/>
        </w:rPr>
        <w:t>施工</w:t>
      </w:r>
      <w:r>
        <w:rPr>
          <w:rFonts w:hint="eastAsia" w:ascii="宋体" w:hAnsi="宋体" w:eastAsia="宋体" w:cs="宋体"/>
          <w:color w:val="auto"/>
          <w:sz w:val="21"/>
          <w:szCs w:val="21"/>
          <w:highlight w:val="none"/>
          <w:lang w:val="zh-CN"/>
        </w:rPr>
        <w:t>作业对道路</w:t>
      </w:r>
      <w:r>
        <w:rPr>
          <w:rFonts w:hint="eastAsia" w:ascii="宋体" w:hAnsi="宋体" w:eastAsia="宋体" w:cs="宋体"/>
          <w:color w:val="auto"/>
          <w:sz w:val="21"/>
          <w:szCs w:val="21"/>
          <w:highlight w:val="none"/>
        </w:rPr>
        <w:t>交通</w:t>
      </w:r>
      <w:r>
        <w:rPr>
          <w:rFonts w:hint="eastAsia" w:ascii="宋体" w:hAnsi="宋体" w:eastAsia="宋体" w:cs="宋体"/>
          <w:color w:val="auto"/>
          <w:sz w:val="21"/>
          <w:szCs w:val="21"/>
          <w:highlight w:val="none"/>
          <w:lang w:val="zh-CN"/>
        </w:rPr>
        <w:t>影响。</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lang w:val="zh-CN"/>
        </w:rPr>
        <w:t>）接受</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zh-CN"/>
        </w:rPr>
        <w:t>人、监理对文明、安全、质量、时效等的监管。</w:t>
      </w: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lang w:val="zh-CN"/>
        </w:rPr>
        <w:t>发现</w:t>
      </w:r>
      <w:r>
        <w:rPr>
          <w:rFonts w:hint="eastAsia" w:ascii="宋体" w:hAnsi="宋体" w:eastAsia="宋体" w:cs="宋体"/>
          <w:color w:val="auto"/>
          <w:sz w:val="21"/>
          <w:szCs w:val="21"/>
          <w:highlight w:val="none"/>
        </w:rPr>
        <w:t>中标人</w:t>
      </w:r>
      <w:r>
        <w:rPr>
          <w:rFonts w:hint="eastAsia" w:ascii="宋体" w:hAnsi="宋体" w:eastAsia="宋体" w:cs="宋体"/>
          <w:color w:val="auto"/>
          <w:sz w:val="21"/>
          <w:szCs w:val="21"/>
          <w:highlight w:val="none"/>
          <w:lang w:val="zh-CN"/>
        </w:rPr>
        <w:t>不按规定和有关标准设置的，</w:t>
      </w:r>
      <w:r>
        <w:rPr>
          <w:rFonts w:hint="eastAsia" w:ascii="宋体" w:hAnsi="宋体" w:eastAsia="宋体" w:cs="宋体"/>
          <w:color w:val="auto"/>
          <w:sz w:val="21"/>
          <w:szCs w:val="21"/>
          <w:highlight w:val="none"/>
        </w:rPr>
        <w:t>可以</w:t>
      </w:r>
      <w:r>
        <w:rPr>
          <w:rFonts w:hint="eastAsia" w:ascii="宋体" w:hAnsi="宋体" w:eastAsia="宋体" w:cs="宋体"/>
          <w:color w:val="auto"/>
          <w:sz w:val="21"/>
          <w:szCs w:val="21"/>
          <w:highlight w:val="none"/>
          <w:lang w:val="zh-CN"/>
        </w:rPr>
        <w:t>责令</w:t>
      </w:r>
      <w:r>
        <w:rPr>
          <w:rFonts w:hint="eastAsia" w:ascii="宋体" w:hAnsi="宋体" w:eastAsia="宋体" w:cs="宋体"/>
          <w:color w:val="auto"/>
          <w:sz w:val="21"/>
          <w:szCs w:val="21"/>
          <w:highlight w:val="none"/>
        </w:rPr>
        <w:t>其</w:t>
      </w:r>
      <w:r>
        <w:rPr>
          <w:rFonts w:hint="eastAsia" w:ascii="宋体" w:hAnsi="宋体" w:eastAsia="宋体" w:cs="宋体"/>
          <w:color w:val="auto"/>
          <w:sz w:val="21"/>
          <w:szCs w:val="21"/>
          <w:highlight w:val="none"/>
          <w:lang w:val="zh-CN"/>
        </w:rPr>
        <w:t>返工。</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)调整、更换材料</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事先请示，经监理、</w:t>
      </w: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lang w:val="zh-CN"/>
        </w:rPr>
        <w:t>认可</w:t>
      </w:r>
      <w:r>
        <w:rPr>
          <w:rFonts w:hint="eastAsia" w:ascii="宋体" w:hAnsi="宋体" w:eastAsia="宋体" w:cs="宋体"/>
          <w:color w:val="auto"/>
          <w:sz w:val="21"/>
          <w:szCs w:val="21"/>
          <w:highlight w:val="none"/>
        </w:rPr>
        <w:t>同意</w:t>
      </w:r>
      <w:r>
        <w:rPr>
          <w:rFonts w:hint="eastAsia" w:ascii="宋体" w:hAnsi="宋体" w:eastAsia="宋体" w:cs="宋体"/>
          <w:color w:val="auto"/>
          <w:sz w:val="21"/>
          <w:szCs w:val="21"/>
          <w:highlight w:val="none"/>
          <w:lang w:val="zh-CN"/>
        </w:rPr>
        <w:t>后方可实施。应建立项目的质量保证体系，所使用的主要原材料均需要提供检测报告或质量保证单，并保证提供的材料满足设施的安全</w:t>
      </w:r>
      <w:r>
        <w:rPr>
          <w:rFonts w:hint="eastAsia" w:ascii="宋体" w:hAnsi="宋体" w:eastAsia="宋体" w:cs="宋体"/>
          <w:color w:val="auto"/>
          <w:sz w:val="21"/>
          <w:szCs w:val="21"/>
          <w:highlight w:val="none"/>
        </w:rPr>
        <w:t>性</w:t>
      </w:r>
      <w:r>
        <w:rPr>
          <w:rFonts w:hint="eastAsia" w:ascii="宋体" w:hAnsi="宋体" w:eastAsia="宋体" w:cs="宋体"/>
          <w:color w:val="auto"/>
          <w:sz w:val="21"/>
          <w:szCs w:val="21"/>
          <w:highlight w:val="none"/>
          <w:lang w:val="zh-CN"/>
        </w:rPr>
        <w:t>和美观性要求。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)应保持隔离设施的整齐。修复时，更换的护栏样式和颜色应与完好时保持一致。两个信号灯路口之间</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zh-CN"/>
        </w:rPr>
        <w:t>护栏样式应保持一致。</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对维护的车辆与人员进行安全保险。维护中造成安全责任事故的，</w:t>
      </w:r>
      <w:r>
        <w:rPr>
          <w:rFonts w:hint="eastAsia" w:ascii="宋体" w:hAnsi="宋体" w:eastAsia="宋体" w:cs="宋体"/>
          <w:color w:val="auto"/>
          <w:sz w:val="21"/>
          <w:szCs w:val="21"/>
          <w:highlight w:val="none"/>
        </w:rPr>
        <w:t>责任与</w:t>
      </w:r>
      <w:r>
        <w:rPr>
          <w:rFonts w:hint="eastAsia" w:ascii="宋体" w:hAnsi="宋体" w:eastAsia="宋体" w:cs="宋体"/>
          <w:color w:val="auto"/>
          <w:sz w:val="21"/>
          <w:szCs w:val="21"/>
          <w:highlight w:val="none"/>
          <w:lang w:val="zh-CN"/>
        </w:rPr>
        <w:t>后果由</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val="zh-CN"/>
        </w:rPr>
        <w:t>标人自行承担，与招标人无关。</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）须每</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zh-CN"/>
        </w:rPr>
        <w:t>度向</w:t>
      </w:r>
      <w:r>
        <w:rPr>
          <w:rFonts w:hint="eastAsia" w:ascii="宋体" w:hAnsi="宋体" w:eastAsia="宋体" w:cs="宋体"/>
          <w:color w:val="auto"/>
          <w:sz w:val="21"/>
          <w:szCs w:val="21"/>
          <w:highlight w:val="none"/>
        </w:rPr>
        <w:t>辖区交警</w:t>
      </w:r>
      <w:r>
        <w:rPr>
          <w:rFonts w:hint="eastAsia" w:ascii="宋体" w:hAnsi="宋体" w:eastAsia="宋体" w:cs="宋体"/>
          <w:color w:val="auto"/>
          <w:sz w:val="21"/>
          <w:szCs w:val="21"/>
          <w:highlight w:val="none"/>
          <w:lang w:val="zh-CN"/>
        </w:rPr>
        <w:t>大队汇报（具体时间在合同中确定）该</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zh-CN"/>
        </w:rPr>
        <w:t>资金使用情况，</w:t>
      </w:r>
      <w:r>
        <w:rPr>
          <w:rFonts w:hint="eastAsia" w:ascii="宋体" w:hAnsi="宋体" w:eastAsia="宋体" w:cs="宋体"/>
          <w:color w:val="auto"/>
          <w:sz w:val="21"/>
          <w:szCs w:val="21"/>
          <w:highlight w:val="none"/>
        </w:rPr>
        <w:t>中标人资金使用须合理</w:t>
      </w:r>
      <w:r>
        <w:rPr>
          <w:rFonts w:hint="eastAsia" w:ascii="宋体" w:hAnsi="宋体" w:eastAsia="宋体" w:cs="宋体"/>
          <w:color w:val="auto"/>
          <w:sz w:val="21"/>
          <w:szCs w:val="21"/>
          <w:highlight w:val="none"/>
          <w:lang w:val="zh-CN"/>
        </w:rPr>
        <w:t>，把握费用使用进度。</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）新增交安设施</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招标人同意。</w:t>
      </w:r>
    </w:p>
    <w:p>
      <w:pPr>
        <w:keepNext w:val="0"/>
        <w:keepLines w:val="0"/>
        <w:pageBreakBefore w:val="0"/>
        <w:wordWrap/>
        <w:topLinePunct w:val="0"/>
        <w:bidi w:val="0"/>
        <w:snapToGrid/>
        <w:spacing w:line="360" w:lineRule="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2.人员及车辆要求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r>
        <w:rPr>
          <w:rFonts w:hint="eastAsia" w:ascii="宋体" w:hAnsi="宋体" w:eastAsia="宋体" w:cs="宋体"/>
          <w:color w:val="auto"/>
          <w:sz w:val="21"/>
          <w:szCs w:val="21"/>
          <w:highlight w:val="none"/>
        </w:rPr>
        <w:t>每日</w:t>
      </w:r>
      <w:r>
        <w:rPr>
          <w:rFonts w:hint="eastAsia" w:ascii="宋体" w:hAnsi="宋体" w:eastAsia="宋体" w:cs="宋体"/>
          <w:color w:val="auto"/>
          <w:sz w:val="21"/>
          <w:szCs w:val="21"/>
          <w:highlight w:val="none"/>
          <w:lang w:val="zh-CN"/>
        </w:rPr>
        <w:t>7:00-19:00，</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至少保证在中标维护区域内有2辆综合维修车承担巡查、排查、维护、抢修等任务。</w:t>
      </w:r>
      <w:r>
        <w:rPr>
          <w:rFonts w:hint="eastAsia" w:ascii="宋体" w:hAnsi="宋体" w:eastAsia="宋体" w:cs="宋体"/>
          <w:color w:val="auto"/>
          <w:sz w:val="21"/>
          <w:szCs w:val="21"/>
          <w:highlight w:val="none"/>
        </w:rPr>
        <w:t>其他时间</w:t>
      </w:r>
      <w:r>
        <w:rPr>
          <w:rFonts w:hint="eastAsia" w:ascii="宋体" w:hAnsi="宋体" w:eastAsia="宋体" w:cs="宋体"/>
          <w:color w:val="auto"/>
          <w:sz w:val="21"/>
          <w:szCs w:val="21"/>
          <w:highlight w:val="none"/>
          <w:lang w:val="zh-CN"/>
        </w:rPr>
        <w:t>，须有1辆综合维修车在中标维护区域内待命。</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2）每辆维修车应至少配2人及以上的维护人员。</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3）每辆维修车应安装GPS记录巡查车辆轨迹，</w:t>
      </w:r>
      <w:r>
        <w:rPr>
          <w:rFonts w:hint="eastAsia" w:ascii="宋体" w:hAnsi="宋体" w:eastAsia="宋体" w:cs="宋体"/>
          <w:color w:val="auto"/>
          <w:sz w:val="21"/>
          <w:szCs w:val="21"/>
          <w:highlight w:val="none"/>
          <w:lang w:val="en-US" w:eastAsia="zh-CN"/>
        </w:rPr>
        <w:t>每个GPS单次断开连接时间不得超过2天，每季度断开连接次数不得超过1次。</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*4）项目施工内容中涉及特种作业内容的（如电工作业</w:t>
      </w:r>
      <w:r>
        <w:rPr>
          <w:rFonts w:hint="eastAsia" w:ascii="宋体" w:hAnsi="宋体" w:eastAsia="宋体" w:cs="宋体"/>
          <w:color w:val="auto"/>
          <w:sz w:val="21"/>
          <w:szCs w:val="21"/>
          <w:highlight w:val="none"/>
          <w:lang w:val="en-US" w:eastAsia="zh-Hans"/>
        </w:rPr>
        <w:t>和登高</w:t>
      </w:r>
      <w:r>
        <w:rPr>
          <w:rFonts w:hint="eastAsia" w:ascii="宋体" w:hAnsi="宋体" w:eastAsia="宋体" w:cs="宋体"/>
          <w:color w:val="auto"/>
          <w:sz w:val="21"/>
          <w:szCs w:val="21"/>
          <w:highlight w:val="none"/>
          <w:lang w:val="zh-CN" w:eastAsia="zh-CN"/>
        </w:rPr>
        <w:t>等），作业人员必须按国家相关法规持有相应的中华人民共和国特种作业操作证方可上岗作业，投标时须提供对应的证明材料（对应的特种作业操作证复印件加盖公章，原件备查），未提供的投标无效。</w:t>
      </w:r>
    </w:p>
    <w:p>
      <w:pPr>
        <w:keepNext w:val="0"/>
        <w:keepLines w:val="0"/>
        <w:pageBreakBefore w:val="0"/>
        <w:wordWrap/>
        <w:topLinePunct w:val="0"/>
        <w:bidi w:val="0"/>
        <w:snapToGrid/>
        <w:spacing w:line="360" w:lineRule="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3.维护要求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1）标志杆件</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标志牌（含可变标志牌、待行区诱导等电子显示屏）的整修、保洁、拆除、移位、更换、信息内容纠错、设置纠错等；标杆的保洁、拆除、移位、更换等。新增杆件终身质保，并设置铭牌。</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2）标线</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标线出现残缺、淡化的情况及时向</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zh-CN"/>
        </w:rPr>
        <w:t>人申请补线，补线必须重新放样。网格线，虚实线等禁令标线补线需经秩序处审核后才能实施。</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3）护栏等隔离设施</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对破损护栏及时修复，配件缺失时及时更换，无法修复时及时换新。护栏新增必须经辖区交警大队报道路秩序处同意后方可新增，未经同意增加的，不计入维护材料清单。</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4）岗亭</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对交警岗亭外观清洗和日常维护</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val="zh-CN"/>
        </w:rPr>
        <w:t>保养。每季度</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zh-CN"/>
        </w:rPr>
        <w:t>至少保证1次中标区域所有交警铁骑工歇岗亭的清洗任务，其它交警岗亭按照辖区</w:t>
      </w:r>
      <w:r>
        <w:rPr>
          <w:rFonts w:hint="eastAsia" w:ascii="宋体" w:hAnsi="宋体" w:eastAsia="宋体" w:cs="宋体"/>
          <w:color w:val="auto"/>
          <w:sz w:val="21"/>
          <w:szCs w:val="21"/>
          <w:highlight w:val="none"/>
        </w:rPr>
        <w:t>交警</w:t>
      </w:r>
      <w:r>
        <w:rPr>
          <w:rFonts w:hint="eastAsia" w:ascii="宋体" w:hAnsi="宋体" w:eastAsia="宋体" w:cs="宋体"/>
          <w:color w:val="auto"/>
          <w:sz w:val="21"/>
          <w:szCs w:val="21"/>
          <w:highlight w:val="none"/>
          <w:lang w:val="zh-CN"/>
        </w:rPr>
        <w:t>大队要求定期组织清洗。遇重大节日、警保卫</w:t>
      </w:r>
      <w:r>
        <w:rPr>
          <w:rFonts w:hint="eastAsia" w:ascii="宋体" w:hAnsi="宋体" w:eastAsia="宋体" w:cs="宋体"/>
          <w:color w:val="auto"/>
          <w:sz w:val="21"/>
          <w:szCs w:val="21"/>
          <w:highlight w:val="none"/>
          <w:lang w:val="en-US" w:eastAsia="zh-CN"/>
        </w:rPr>
        <w:t>等特殊情况按招标人要求</w:t>
      </w:r>
      <w:r>
        <w:rPr>
          <w:rFonts w:hint="eastAsia" w:ascii="宋体" w:hAnsi="宋体" w:eastAsia="宋体" w:cs="宋体"/>
          <w:color w:val="auto"/>
          <w:sz w:val="21"/>
          <w:szCs w:val="21"/>
          <w:highlight w:val="none"/>
          <w:lang w:val="zh-CN"/>
        </w:rPr>
        <w:t>另行清洗。每次完成清洗</w:t>
      </w:r>
      <w:r>
        <w:rPr>
          <w:rFonts w:hint="eastAsia" w:ascii="宋体" w:hAnsi="宋体" w:eastAsia="宋体" w:cs="宋体"/>
          <w:color w:val="auto"/>
          <w:sz w:val="21"/>
          <w:szCs w:val="21"/>
          <w:highlight w:val="none"/>
        </w:rPr>
        <w:t>任务</w:t>
      </w:r>
      <w:r>
        <w:rPr>
          <w:rFonts w:hint="eastAsia" w:ascii="宋体" w:hAnsi="宋体" w:eastAsia="宋体" w:cs="宋体"/>
          <w:color w:val="auto"/>
          <w:sz w:val="21"/>
          <w:szCs w:val="21"/>
          <w:highlight w:val="none"/>
          <w:lang w:val="zh-CN"/>
        </w:rPr>
        <w:t>后，</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en-US" w:eastAsia="zh-CN"/>
        </w:rPr>
        <w:t>按辖区交警大队的要求填写表格</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5）其他设施</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对爆闪灯</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zh-CN"/>
        </w:rPr>
        <w:t>其它设施的维护、整修、拆除、移位、更换等。</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6）高架主要设施维护要求:警示柱软桩无倒伏、倾斜；水马滚塑材质，灌沙量至底座30cm高，摆放线形流畅，红、黄间隔循环摆放；日常路面无其他多余零星设施、杂物（交通设施）等；</w:t>
      </w:r>
      <w:r>
        <w:rPr>
          <w:rFonts w:hint="eastAsia" w:ascii="宋体" w:hAnsi="宋体" w:eastAsia="宋体" w:cs="宋体"/>
          <w:color w:val="auto"/>
          <w:sz w:val="21"/>
          <w:szCs w:val="21"/>
          <w:highlight w:val="none"/>
          <w:lang w:val="en-US" w:eastAsia="zh-CN"/>
        </w:rPr>
        <w:t>弹性</w:t>
      </w:r>
      <w:r>
        <w:rPr>
          <w:rFonts w:hint="eastAsia" w:ascii="宋体" w:hAnsi="宋体" w:eastAsia="宋体" w:cs="宋体"/>
          <w:color w:val="auto"/>
          <w:sz w:val="21"/>
          <w:szCs w:val="21"/>
          <w:highlight w:val="none"/>
          <w:lang w:val="zh-CN"/>
        </w:rPr>
        <w:t>警示柱、水马、护栏、防撞桶（垫）等每</w:t>
      </w:r>
      <w:r>
        <w:rPr>
          <w:rFonts w:hint="eastAsia" w:ascii="宋体" w:hAnsi="宋体" w:eastAsia="宋体" w:cs="宋体"/>
          <w:color w:val="auto"/>
          <w:sz w:val="21"/>
          <w:szCs w:val="21"/>
          <w:highlight w:val="none"/>
          <w:lang w:val="en-US" w:eastAsia="zh-CN"/>
        </w:rPr>
        <w:t>季度</w:t>
      </w:r>
      <w:r>
        <w:rPr>
          <w:rFonts w:hint="eastAsia" w:ascii="宋体" w:hAnsi="宋体" w:eastAsia="宋体" w:cs="宋体"/>
          <w:color w:val="auto"/>
          <w:sz w:val="21"/>
          <w:szCs w:val="21"/>
          <w:highlight w:val="none"/>
          <w:lang w:val="zh-CN"/>
        </w:rPr>
        <w:t>清洗一次，遇重大节日、警保卫</w:t>
      </w:r>
      <w:r>
        <w:rPr>
          <w:rFonts w:hint="eastAsia" w:ascii="宋体" w:hAnsi="宋体" w:eastAsia="宋体" w:cs="宋体"/>
          <w:color w:val="auto"/>
          <w:sz w:val="21"/>
          <w:szCs w:val="21"/>
          <w:highlight w:val="none"/>
          <w:lang w:val="en-US" w:eastAsia="zh-CN"/>
        </w:rPr>
        <w:t>等特殊情况按招标人要求</w:t>
      </w:r>
      <w:r>
        <w:rPr>
          <w:rFonts w:hint="eastAsia" w:ascii="宋体" w:hAnsi="宋体" w:eastAsia="宋体" w:cs="宋体"/>
          <w:color w:val="auto"/>
          <w:sz w:val="21"/>
          <w:szCs w:val="21"/>
          <w:highlight w:val="none"/>
          <w:lang w:val="zh-CN"/>
        </w:rPr>
        <w:t>另行清洗。</w:t>
      </w:r>
    </w:p>
    <w:p>
      <w:pPr>
        <w:keepNext w:val="0"/>
        <w:keepLines w:val="0"/>
        <w:pageBreakBefore w:val="0"/>
        <w:wordWrap/>
        <w:topLinePunct w:val="0"/>
        <w:bidi w:val="0"/>
        <w:snapToGrid/>
        <w:spacing w:line="360" w:lineRule="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4.主要设施技术</w:t>
      </w:r>
      <w:r>
        <w:rPr>
          <w:rFonts w:hint="eastAsia" w:ascii="宋体" w:hAnsi="宋体" w:eastAsia="宋体" w:cs="宋体"/>
          <w:b/>
          <w:bCs/>
          <w:color w:val="auto"/>
          <w:sz w:val="21"/>
          <w:szCs w:val="21"/>
          <w:highlight w:val="none"/>
        </w:rPr>
        <w:t>需求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标线</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（1）现场施划的交通标线应与设计图纸的线型、走向、位置一致，现场实际情况与设计图纸有出入的，应及时通知招标</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lang w:val="zh-CN"/>
        </w:rPr>
        <w:t>进行现场确认，不得擅自施工。</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（2）标线分类：</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lang w:val="zh-CN"/>
        </w:rPr>
        <w:t>普通常温标线：涂膜厚度0.4mm以上，每平方用料大于0.4kg，固体含量≥60%，不粘胎干燥时间≤20 min，干燥后应无发皱、泛花、起泡、干裂、粘胎现象，涂料色品坐标和亮度应符合JT/T280-2004标准规定的范围，涂膜颜色和外观应与样品板差异不大。具有一定耐水性和耐碱性。</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b.</w:t>
      </w:r>
      <w:r>
        <w:rPr>
          <w:rFonts w:hint="eastAsia" w:ascii="宋体" w:hAnsi="宋体" w:eastAsia="宋体" w:cs="宋体"/>
          <w:color w:val="auto"/>
          <w:sz w:val="21"/>
          <w:szCs w:val="21"/>
          <w:highlight w:val="none"/>
          <w:lang w:val="zh-CN"/>
        </w:rPr>
        <w:t>普通热熔标线：涂膜厚度</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zh-CN"/>
        </w:rPr>
        <w:t>mm以上，内混20%及以上玻璃珠，表面玻璃珠撒布均匀。施划完成后30天内任意一次检测逆反射亮度系数大于150mcd•m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（黄色标线为100mcd•m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），一年内任意一次检测时逆反射亮度系数</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lang w:val="zh-CN"/>
        </w:rPr>
        <w:t>大于80mcd•m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c.</w:t>
      </w:r>
      <w:r>
        <w:rPr>
          <w:rFonts w:hint="eastAsia" w:ascii="宋体" w:hAnsi="宋体" w:eastAsia="宋体" w:cs="宋体"/>
          <w:color w:val="auto"/>
          <w:sz w:val="21"/>
          <w:szCs w:val="21"/>
          <w:highlight w:val="none"/>
          <w:lang w:val="zh-CN"/>
        </w:rPr>
        <w:t>Ⅱ级反光热熔标线：涂膜厚度1.8mm以上，内混25%及以上玻璃珠。新划标线的初始逆反射亮度系数大于250mcd•m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（黄色标线为200mcd•m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），持续使用一年内，标线的持续逆反射亮度系数大于150mcd•m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（黄色标线为100mcd•m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d.</w:t>
      </w:r>
      <w:r>
        <w:rPr>
          <w:rFonts w:hint="eastAsia" w:ascii="宋体" w:hAnsi="宋体" w:eastAsia="宋体" w:cs="宋体"/>
          <w:color w:val="auto"/>
          <w:sz w:val="21"/>
          <w:szCs w:val="21"/>
          <w:highlight w:val="none"/>
          <w:lang w:val="zh-CN"/>
        </w:rPr>
        <w:t>普通振荡热熔标线：基线涂膜厚度1.5mm以上，凸起部分高度5mm，内混20%及以上玻璃珠，表面玻璃珠撒布均匀。新划标线的初始逆反射亮度系数大于150mcd•m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（黄色标线为100mcd•m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），持续使用一年内，标线的持续逆反射亮度系数大于80mcd•m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•lx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e.</w:t>
      </w:r>
      <w:r>
        <w:rPr>
          <w:rFonts w:hint="eastAsia" w:ascii="宋体" w:hAnsi="宋体" w:eastAsia="宋体" w:cs="宋体"/>
          <w:color w:val="auto"/>
          <w:sz w:val="21"/>
          <w:szCs w:val="21"/>
          <w:highlight w:val="none"/>
          <w:lang w:val="zh-CN"/>
        </w:rPr>
        <w:t>Ⅱ级反光振荡热熔标线，基线涂膜厚度1.5mm以上，凸起部分高度5mm，内混25%及以上玻璃珠。新划标线的初始逆反射亮度系数大于250mcd•m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（黄色标线为200mcd•m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），持续使用一年内，标线的持续逆反射亮度系数大于150mcd•m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（黄色标线为100mcd•m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f.</w:t>
      </w:r>
      <w:r>
        <w:rPr>
          <w:rFonts w:hint="eastAsia" w:ascii="宋体" w:hAnsi="宋体" w:eastAsia="宋体" w:cs="宋体"/>
          <w:color w:val="auto"/>
          <w:sz w:val="21"/>
          <w:szCs w:val="21"/>
          <w:highlight w:val="none"/>
          <w:lang w:val="zh-CN"/>
        </w:rPr>
        <w:t>喷涂型双组份标线：涂膜厚度0.</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rPr>
        <w:t>mm以上，表面玻璃珠撒布均匀。新划标线的初始逆反射亮度系数大于250mcd•m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（黄色标线为200mcd•m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），持续使用一年内，标线的持续逆反射亮度系数大于150 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（黄色标线为100mcd•m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g.</w:t>
      </w:r>
      <w:r>
        <w:rPr>
          <w:rFonts w:hint="eastAsia" w:ascii="宋体" w:hAnsi="宋体" w:eastAsia="宋体" w:cs="宋体"/>
          <w:color w:val="auto"/>
          <w:sz w:val="21"/>
          <w:szCs w:val="21"/>
          <w:highlight w:val="none"/>
          <w:lang w:val="zh-CN"/>
        </w:rPr>
        <w:t>结构型双组份标线：涂膜厚度1.2mm以上新划标线的初始逆反射亮度系数大于250mcd•m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（黄色标线为200 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），持续使用两年内，标线的持续逆反射亮度系数大于150mcd•m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（黄色标线为100mcd•m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h.</w:t>
      </w:r>
      <w:r>
        <w:rPr>
          <w:rFonts w:hint="eastAsia" w:ascii="宋体" w:hAnsi="宋体" w:eastAsia="宋体" w:cs="宋体"/>
          <w:color w:val="auto"/>
          <w:sz w:val="21"/>
          <w:szCs w:val="21"/>
          <w:highlight w:val="none"/>
          <w:lang w:val="zh-CN"/>
        </w:rPr>
        <w:t>彩色防滑路面标线：标线骨料为双组份聚氨酯，粘合剂为专用高强度特种粘合剂。施工前需彻底清除路面上的灰尘、泥沙、油污及水分等，施工完成后表面平整、颜色鲜艳明亮。</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i.</w:t>
      </w:r>
      <w:r>
        <w:rPr>
          <w:rFonts w:hint="eastAsia" w:ascii="宋体" w:hAnsi="宋体" w:eastAsia="宋体" w:cs="宋体"/>
          <w:color w:val="auto"/>
          <w:sz w:val="21"/>
          <w:szCs w:val="21"/>
          <w:highlight w:val="none"/>
          <w:lang w:val="zh-CN"/>
        </w:rPr>
        <w:t>地面标识：地面标识需预涂压敏胶，施工时涂刷粘结剂或底胶，标识厚度在1.5mm以上，初始逆反射亮度系数白色大于250mcd•m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，其余颜色大于175mcd•m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•1x</w:t>
      </w:r>
      <w:r>
        <w:rPr>
          <w:rFonts w:hint="eastAsia" w:ascii="宋体" w:hAnsi="宋体" w:eastAsia="宋体" w:cs="宋体"/>
          <w:color w:val="auto"/>
          <w:sz w:val="21"/>
          <w:szCs w:val="21"/>
          <w:highlight w:val="none"/>
          <w:vertAlign w:val="superscript"/>
          <w:lang w:val="zh-CN"/>
        </w:rPr>
        <w:t>-1</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j.</w:t>
      </w:r>
      <w:r>
        <w:rPr>
          <w:rFonts w:hint="eastAsia" w:ascii="宋体" w:hAnsi="宋体" w:eastAsia="宋体" w:cs="宋体"/>
          <w:color w:val="auto"/>
          <w:sz w:val="21"/>
          <w:szCs w:val="21"/>
          <w:highlight w:val="none"/>
          <w:lang w:val="zh-CN"/>
        </w:rPr>
        <w:t>高压水除线：超高压水磨清洗法，清除老标线，无明显痕迹。</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k.</w:t>
      </w:r>
      <w:r>
        <w:rPr>
          <w:rFonts w:hint="eastAsia" w:ascii="宋体" w:hAnsi="宋体" w:eastAsia="宋体" w:cs="宋体"/>
          <w:color w:val="auto"/>
          <w:sz w:val="21"/>
          <w:szCs w:val="21"/>
          <w:highlight w:val="none"/>
          <w:lang w:val="zh-CN"/>
        </w:rPr>
        <w:t>标线</w:t>
      </w:r>
      <w:r>
        <w:rPr>
          <w:rFonts w:hint="eastAsia" w:ascii="宋体" w:hAnsi="宋体" w:eastAsia="宋体" w:cs="宋体"/>
          <w:color w:val="auto"/>
          <w:sz w:val="21"/>
          <w:szCs w:val="21"/>
          <w:highlight w:val="none"/>
        </w:rPr>
        <w:t>性能与质量</w:t>
      </w:r>
      <w:r>
        <w:rPr>
          <w:rFonts w:hint="eastAsia" w:ascii="宋体" w:hAnsi="宋体" w:eastAsia="宋体" w:cs="宋体"/>
          <w:color w:val="auto"/>
          <w:sz w:val="21"/>
          <w:szCs w:val="21"/>
          <w:highlight w:val="none"/>
          <w:lang w:val="zh-CN"/>
        </w:rPr>
        <w:t>。①应具有良好的视认性，颜色均匀、边缘整齐、线型规则、线条流畅。②涂层厚度应均匀，无明显起泡、皱纹、斑点、开裂、发粘、脱落、泛花等缺陷。③面撒玻璃珠应均匀，其性能和粒径分布符合GB/T 24722-2009的要求。④实际位置与设计位置的横向误差小于±30mm。⑤宽度误差小于5mm。⑥标线长度以及间断线纵向间距的允许误差不得超出GB/T 16311-2009规定的值。⑦防滑值不低于45BPN。⑧其他要求应符合GB/T 16311-2009规定的要求。⑨推荐采用欧路得、兄弟、三赢等知名品牌材料。</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l</w:t>
      </w:r>
      <w:r>
        <w:rPr>
          <w:rFonts w:hint="eastAsia" w:ascii="宋体" w:hAnsi="宋体" w:eastAsia="宋体" w:cs="宋体"/>
          <w:color w:val="auto"/>
          <w:sz w:val="21"/>
          <w:szCs w:val="21"/>
          <w:highlight w:val="none"/>
          <w:lang w:val="zh-CN"/>
        </w:rPr>
        <w:t>.彩色防滑路面标线：使用三层工艺，含地面夯平、清洁路面、涂布彩色底漆、撒砂、收砂、涂布高光面漆。涂膜厚度2.0mm以上，表面陶瓷颗粒(2mm)撒布均匀，面漆能够均匀覆盖陶瓷颗粒，面漆密度低于1.2g/ml，面漆平方用量不低于0.5kg。</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m</w:t>
      </w:r>
      <w:r>
        <w:rPr>
          <w:rFonts w:hint="eastAsia" w:ascii="宋体" w:hAnsi="宋体" w:eastAsia="宋体" w:cs="宋体"/>
          <w:color w:val="auto"/>
          <w:sz w:val="21"/>
          <w:szCs w:val="21"/>
          <w:highlight w:val="none"/>
          <w:lang w:val="zh-CN"/>
        </w:rPr>
        <w:t>.高压水除线：超高压水磨清洗法，清除老标线，无明显痕迹。除线设备必须带废渣回收功能。</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（3）标线施工要求：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①普通热熔和震荡热熔标线：普通热熔标线和震荡热熔标线用料均为道路交通工程标线专用涂料，生产商必须通过ISO9001:2008国际质量体系认证；震荡热熔标线突起部分高度达到5mm。突起部分每组3个，每个2.5cm*6.5cm，每组间距10cm~15cm。标线的质量性能要求应符合《道路交通标线质量要求和检测方法》（GB/T16311-2009）的规定。</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②高亮耐磨双组份标线：具有一定的抗污性能；并且具备持续高亮反光性能的路面反光标线；标线干燥时间：≤35min（结构型）、≤20min（喷涂型）；喷涂覆盖面积不低于80%、点状高度2-4毫米、固体含量99%、每平方米耗材料不低于3.5kg（结构型）；喷涂厚度需大于0.6mm，每平方用料大于1kg（喷涂型）；采用环保材料，产品涂料中不得含有汞、铅、卤化溶剂或其他致癌物质，有第三方机构出具的有害物质检测报告。</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（4）标线选用材料：</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①人行横道线采用结构型双组份涂料，其覆盖率应≥80%。</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②地面文字、诱导区内填充标线、网格线内填充标线采用热熔型标线涂料。</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③除</w:t>
      </w:r>
      <w:r>
        <w:rPr>
          <w:rFonts w:hint="eastAsia" w:ascii="宋体" w:hAnsi="宋体" w:eastAsia="宋体" w:cs="宋体"/>
          <w:color w:val="auto"/>
          <w:sz w:val="21"/>
          <w:szCs w:val="21"/>
          <w:highlight w:val="none"/>
        </w:rPr>
        <w:t>本项</w:t>
      </w:r>
      <w:r>
        <w:rPr>
          <w:rFonts w:hint="eastAsia" w:ascii="宋体" w:hAnsi="宋体" w:eastAsia="宋体" w:cs="宋体"/>
          <w:color w:val="auto"/>
          <w:sz w:val="21"/>
          <w:szCs w:val="21"/>
          <w:highlight w:val="none"/>
          <w:lang w:val="zh-CN"/>
        </w:rPr>
        <w:t>上述</w:t>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val="zh-CN"/>
        </w:rPr>
        <w:t>外，其余标线采用热熔涂料+喷涂型双组份涂料两层。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（5）标线其他注意事项</w:t>
      </w:r>
      <w:r>
        <w:rPr>
          <w:rFonts w:hint="eastAsia" w:ascii="宋体" w:hAnsi="宋体" w:eastAsia="宋体" w:cs="宋体"/>
          <w:color w:val="auto"/>
          <w:sz w:val="21"/>
          <w:szCs w:val="21"/>
          <w:highlight w:val="none"/>
        </w:rPr>
        <w:t>：</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①连续设置的实线类标线，应每隔15m左右设置排水缝，其他标线有可能阻水时，应沿排水方向设置排水缝，排水缝宽度一般为3cm-5cm。</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②公交站台后非机动车道侧需施划4m宽人行横道线，与公交站台人行开口配套；路口公交专用道借道网格线施划长度30m。</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2）护栏</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（1）帽盖：热镀锌钢板激光切割，液压模具一体成型，去油酸洗磷化，纯聚酯彩色粉末静电喷涂。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（2）反光轮廓标：反光面材料为亚克力（372），光度性能符合《GB/T24970-2010轮廓标》相关要求。底板材料为抗冲击级聚苯乙烯(HIPS)，超声波加工粘合。</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（3）底座：材料为复合高分子，原料按比例配比搅拌，加压加温模具成型。修边打孔，表面交通灰（RAL7043）喷涂。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（4）护栏：氩弧焊接，清洗后洗磷化、纯聚酯彩色粉末静电喷涂后205摄氏度高温烘箱半小时。</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3）标志标杆</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交通标志牌的版面形式、交通标志杆的性能参数及安装位置应符合设计图纸（</w:t>
      </w:r>
      <w:r>
        <w:rPr>
          <w:rFonts w:hint="eastAsia" w:ascii="宋体" w:hAnsi="宋体" w:eastAsia="宋体" w:cs="宋体"/>
          <w:color w:val="auto"/>
          <w:sz w:val="21"/>
          <w:szCs w:val="21"/>
          <w:highlight w:val="none"/>
          <w:lang w:val="en-US" w:eastAsia="zh-CN"/>
        </w:rPr>
        <w:t>附件1）</w:t>
      </w:r>
      <w:r>
        <w:rPr>
          <w:rFonts w:hint="eastAsia" w:ascii="宋体" w:hAnsi="宋体" w:eastAsia="宋体" w:cs="宋体"/>
          <w:color w:val="auto"/>
          <w:sz w:val="21"/>
          <w:szCs w:val="21"/>
          <w:highlight w:val="none"/>
          <w:lang w:val="zh-CN"/>
        </w:rPr>
        <w:t>的要求，现场实际情况与设计图纸有出入的，应及时通知招标人及设计单位进行现场确认，不得擅自施工。</w:t>
      </w:r>
    </w:p>
    <w:p>
      <w:pPr>
        <w:keepNext w:val="0"/>
        <w:keepLines w:val="0"/>
        <w:pageBreakBefore w:val="0"/>
        <w:numPr>
          <w:ilvl w:val="0"/>
          <w:numId w:val="5"/>
        </w:numPr>
        <w:wordWrap/>
        <w:topLinePunct w:val="0"/>
        <w:bidi w:val="0"/>
        <w:snapToGrid/>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标志板及反光膜：</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铝板厚度应符合下表：</w:t>
      </w:r>
    </w:p>
    <w:tbl>
      <w:tblPr>
        <w:tblStyle w:val="40"/>
        <w:tblW w:w="5000" w:type="pct"/>
        <w:jc w:val="center"/>
        <w:tblLayout w:type="autofit"/>
        <w:tblCellMar>
          <w:top w:w="0" w:type="dxa"/>
          <w:left w:w="0" w:type="dxa"/>
          <w:bottom w:w="0" w:type="dxa"/>
          <w:right w:w="0" w:type="dxa"/>
        </w:tblCellMar>
      </w:tblPr>
      <w:tblGrid>
        <w:gridCol w:w="5457"/>
        <w:gridCol w:w="3453"/>
      </w:tblGrid>
      <w:tr>
        <w:tblPrEx>
          <w:tblCellMar>
            <w:top w:w="0" w:type="dxa"/>
            <w:left w:w="0" w:type="dxa"/>
            <w:bottom w:w="0" w:type="dxa"/>
            <w:right w:w="0" w:type="dxa"/>
          </w:tblCellMar>
        </w:tblPrEx>
        <w:trPr>
          <w:jc w:val="center"/>
        </w:trPr>
        <w:tc>
          <w:tcPr>
            <w:tcW w:w="5086"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标志板规格</w:t>
            </w:r>
          </w:p>
        </w:tc>
        <w:tc>
          <w:tcPr>
            <w:tcW w:w="3219"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pacing w:val="1"/>
                <w:sz w:val="21"/>
                <w:szCs w:val="21"/>
                <w:highlight w:val="none"/>
              </w:rPr>
              <w:t>标志板铝板厚度</w:t>
            </w:r>
          </w:p>
        </w:tc>
      </w:tr>
      <w:tr>
        <w:tblPrEx>
          <w:tblCellMar>
            <w:top w:w="0" w:type="dxa"/>
            <w:left w:w="0" w:type="dxa"/>
            <w:bottom w:w="0" w:type="dxa"/>
            <w:right w:w="0" w:type="dxa"/>
          </w:tblCellMar>
        </w:tblPrEx>
        <w:trPr>
          <w:jc w:val="center"/>
        </w:trPr>
        <w:tc>
          <w:tcPr>
            <w:tcW w:w="5086"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标志面积≤7m</w:t>
            </w:r>
            <w:r>
              <w:rPr>
                <w:rFonts w:hint="eastAsia" w:ascii="宋体" w:hAnsi="宋体" w:eastAsia="宋体" w:cs="宋体"/>
                <w:color w:val="auto"/>
                <w:position w:val="14"/>
                <w:sz w:val="21"/>
                <w:szCs w:val="21"/>
                <w:highlight w:val="none"/>
              </w:rPr>
              <w:t>2</w:t>
            </w:r>
          </w:p>
        </w:tc>
        <w:tc>
          <w:tcPr>
            <w:tcW w:w="3219"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2mm</w:t>
            </w:r>
          </w:p>
        </w:tc>
      </w:tr>
      <w:tr>
        <w:tblPrEx>
          <w:tblCellMar>
            <w:top w:w="0" w:type="dxa"/>
            <w:left w:w="0" w:type="dxa"/>
            <w:bottom w:w="0" w:type="dxa"/>
            <w:right w:w="0" w:type="dxa"/>
          </w:tblCellMar>
        </w:tblPrEx>
        <w:trPr>
          <w:jc w:val="center"/>
        </w:trPr>
        <w:tc>
          <w:tcPr>
            <w:tcW w:w="5086"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7m</w:t>
            </w:r>
            <w:r>
              <w:rPr>
                <w:rFonts w:hint="eastAsia" w:ascii="宋体" w:hAnsi="宋体" w:eastAsia="宋体" w:cs="宋体"/>
                <w:color w:val="auto"/>
                <w:position w:val="14"/>
                <w:sz w:val="21"/>
                <w:szCs w:val="21"/>
                <w:highlight w:val="none"/>
              </w:rPr>
              <w:t>2</w:t>
            </w:r>
            <w:r>
              <w:rPr>
                <w:rFonts w:hint="eastAsia" w:ascii="宋体" w:hAnsi="宋体" w:eastAsia="宋体" w:cs="宋体"/>
                <w:color w:val="auto"/>
                <w:sz w:val="21"/>
                <w:szCs w:val="21"/>
                <w:highlight w:val="none"/>
              </w:rPr>
              <w:t>＜标志面积≤15m</w:t>
            </w:r>
            <w:r>
              <w:rPr>
                <w:rFonts w:hint="eastAsia" w:ascii="宋体" w:hAnsi="宋体" w:eastAsia="宋体" w:cs="宋体"/>
                <w:color w:val="auto"/>
                <w:position w:val="14"/>
                <w:sz w:val="21"/>
                <w:szCs w:val="21"/>
                <w:highlight w:val="none"/>
              </w:rPr>
              <w:t>2</w:t>
            </w:r>
          </w:p>
        </w:tc>
        <w:tc>
          <w:tcPr>
            <w:tcW w:w="3219"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2.5mm</w:t>
            </w:r>
          </w:p>
        </w:tc>
      </w:tr>
      <w:tr>
        <w:tblPrEx>
          <w:tblCellMar>
            <w:top w:w="0" w:type="dxa"/>
            <w:left w:w="0" w:type="dxa"/>
            <w:bottom w:w="0" w:type="dxa"/>
            <w:right w:w="0" w:type="dxa"/>
          </w:tblCellMar>
        </w:tblPrEx>
        <w:trPr>
          <w:jc w:val="center"/>
        </w:trPr>
        <w:tc>
          <w:tcPr>
            <w:tcW w:w="5086"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标志面积＞15m</w:t>
            </w:r>
            <w:r>
              <w:rPr>
                <w:rFonts w:hint="eastAsia" w:ascii="宋体" w:hAnsi="宋体" w:eastAsia="宋体" w:cs="宋体"/>
                <w:color w:val="auto"/>
                <w:position w:val="14"/>
                <w:sz w:val="21"/>
                <w:szCs w:val="21"/>
                <w:highlight w:val="none"/>
              </w:rPr>
              <w:t>2</w:t>
            </w:r>
          </w:p>
        </w:tc>
        <w:tc>
          <w:tcPr>
            <w:tcW w:w="3219" w:type="dxa"/>
            <w:tcBorders>
              <w:top w:val="single" w:color="000000" w:sz="4" w:space="0"/>
              <w:left w:val="single" w:color="000000" w:sz="4" w:space="0"/>
              <w:bottom w:val="single" w:color="000000" w:sz="4" w:space="0"/>
              <w:right w:val="single" w:color="000000" w:sz="4" w:space="0"/>
            </w:tcBorders>
            <w:noWrap w:val="0"/>
            <w:vAlign w:val="center"/>
          </w:tcPr>
          <w:p>
            <w:pPr>
              <w:pStyle w:val="125"/>
              <w:keepNext w:val="0"/>
              <w:keepLines w:val="0"/>
              <w:pageBreakBefore w:val="0"/>
              <w:kinsoku w:val="0"/>
              <w:wordWrap/>
              <w:overflowPunct w:val="0"/>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3mm</w:t>
            </w:r>
          </w:p>
        </w:tc>
      </w:tr>
    </w:tbl>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反光膜的色度性能及逆反射系数值根据《道路交通反光膜》（GB/T</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CN"/>
        </w:rPr>
        <w:t>18833-2012）的相应技术指标规定，标志的底膜采用Ⅳ类反光膜，为保证交通标志有效使用寿命，反光膜应具有至少10年的使用寿命，在使用期内至少保持70％的初始反光亮度，并能书面提供反光膜的长期保用合同10年的有效期。为保证反光膜的质量，生产商应提供国家级检测机构对该反光膜连续三年以上（包括三年）的检测报告。</w:t>
      </w:r>
    </w:p>
    <w:p>
      <w:pPr>
        <w:keepNext w:val="0"/>
        <w:keepLines w:val="0"/>
        <w:pageBreakBefore w:val="0"/>
        <w:wordWrap/>
        <w:topLinePunct w:val="0"/>
        <w:bidi w:val="0"/>
        <w:snapToGrid/>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字体要求：采用中英文双语设计的交通标志，中文字采用A型交通标志专用字体，数字采用B型交通标志专用字体，英文字采用美国高速公路哥特体，若英文字符较多，采用普通哥特体会超出中文字宽度时，应采用美国高速公路哥特窄体。标志英文字体的大小一般为中文字体的一半。</w:t>
      </w:r>
    </w:p>
    <w:p>
      <w:pPr>
        <w:keepNext w:val="0"/>
        <w:keepLines w:val="0"/>
        <w:pageBreakBefore w:val="0"/>
        <w:wordWrap/>
        <w:topLinePunct w:val="0"/>
        <w:bidi w:val="0"/>
        <w:snapToGrid/>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yellow"/>
          <w:lang w:val="zh-CN"/>
        </w:rPr>
        <w:t>安装要求</w:t>
      </w:r>
      <w:r>
        <w:rPr>
          <w:rFonts w:hint="eastAsia" w:ascii="宋体" w:hAnsi="宋体" w:eastAsia="宋体" w:cs="宋体"/>
          <w:color w:val="auto"/>
          <w:sz w:val="21"/>
          <w:szCs w:val="21"/>
          <w:highlight w:val="none"/>
          <w:lang w:val="zh-CN"/>
        </w:rPr>
        <w:t>：除另有规定外，交通标志牌设置在路侧时，应尽可能与道路中线垂直或成一定角度：禁令和指示标志为0～10°或30-45°，其它标志为0～10°；门架、悬臂、车行道上方附着式标志的版面应垂直于道路行车方向，并且版面宜面向来车俯仰0～15°。标志板安装应尽量避免标志板面对驾驶员的眩光。</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标志版面最短边长度或直径小于1.2m时，反光膜不得有拼接缝。标志版面最短边长度或直径大于1.2m时，应使用反光膜产品的最大宽度进行搭接，重叠部分不应小于5mm。距标志板边缘50mm之内，不得有拼接。标志版面应无裂缝、撕破或其它表面缺陷。</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反光膜</w:t>
      </w:r>
      <w:r>
        <w:rPr>
          <w:rFonts w:hint="eastAsia" w:ascii="宋体" w:hAnsi="宋体" w:eastAsia="宋体" w:cs="宋体"/>
          <w:color w:val="auto"/>
          <w:sz w:val="21"/>
          <w:szCs w:val="21"/>
          <w:highlight w:val="none"/>
          <w:lang w:val="en-US" w:eastAsia="zh-CN"/>
        </w:rPr>
        <w:t>参考</w:t>
      </w:r>
      <w:r>
        <w:rPr>
          <w:rFonts w:hint="eastAsia" w:ascii="宋体" w:hAnsi="宋体" w:eastAsia="宋体" w:cs="宋体"/>
          <w:color w:val="auto"/>
          <w:sz w:val="21"/>
          <w:szCs w:val="21"/>
          <w:highlight w:val="none"/>
          <w:lang w:val="zh-CN"/>
        </w:rPr>
        <w:t>品牌：3M、恩希爱、纪和丽等。</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②标志杆及连接件：</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杆件形式要求：长臂杆、F型杆、直立杆、门架4类。其中指路标志一般采用F型杆、导向标志一般采用长臂杆或门架；独立立杆的禁令标志、警告标志、指示标志，标志总面积≤1m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的采用DN80立杆，标志总面积＞1m</w:t>
      </w:r>
      <w:r>
        <w:rPr>
          <w:rFonts w:hint="eastAsia" w:ascii="宋体" w:hAnsi="宋体" w:eastAsia="宋体" w:cs="宋体"/>
          <w:color w:val="auto"/>
          <w:sz w:val="21"/>
          <w:szCs w:val="21"/>
          <w:highlight w:val="none"/>
          <w:vertAlign w:val="superscript"/>
          <w:lang w:val="zh-CN"/>
        </w:rPr>
        <w:t>2</w:t>
      </w:r>
      <w:r>
        <w:rPr>
          <w:rFonts w:hint="eastAsia" w:ascii="宋体" w:hAnsi="宋体" w:eastAsia="宋体" w:cs="宋体"/>
          <w:color w:val="auto"/>
          <w:sz w:val="21"/>
          <w:szCs w:val="21"/>
          <w:highlight w:val="none"/>
          <w:lang w:val="zh-CN"/>
        </w:rPr>
        <w:t>的采用DN100立杆。</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杆件加工要求：F型杆、直立杆结构中的圆形钢管须采用整根无缝钢管，不允许焊接加长。长臂杆结构中的八角管采用整块钢板一次性弯折成型，不允许焊接加长。</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镀锌要求：标志杆立柱、横杆结构件及其它金属钢件应热镀锌处理，镀锌后涂漆，颜色为RAL7042（交通灰A），表面涂层光滑、均匀，不允许有流挂、滴瘤或多余结块，且无漏镀等缺陷。安装过程中有磕碰掉漆的，应在安装后补漆。</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安装要求：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交通标志杆安装时，横杆需保持1.5°～2°的预拱度水平向上，立杆应保证杆体垂直，倾斜度不得超过±0.5%。</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采用直立杆安装于人行道或隔离栏端头时，标志板下缘距路面的高度为1.8m～2.5m；安装在绿化隔离带时，标志板下缘距路面的高度为1.5m～2.5m；采用长臂杆、F型杆安装的交通标志净空需在5.5m～5.7m。同一道路中标志板的安装高度、安装净空应保持一致，误差在±0.2m内。</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连接件要求：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加劲肋：加劲肋的厚度需满足交通标志结构图的要求，厚度误差控制在±0.5mm内，加劲肋与杆件、基础之间应满焊，无气孔夹渣。</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螺母与螺栓：采用DN168杆及以上的杆件、悬臂杆、门架连接基础法兰的要求为2枚螺母加1个垫片；采用DN168杆以下的杆件连接基础法兰、横杆连接立柱法兰要求为1枚螺母加1个垫片，所有螺母及垫片出厂时应热镀锌，安装完成后进行防锈补锌处理。</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扎带：扎带边缘应平滑，以防损坏支撑件的渡层；扎扣和夹座上应分别有四个尖锐触角，在紧固时能切入构件中防止标志版松动。</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杆件基础要求：外露的地脚螺栓须作防锈处理，一般采用刷漆或用素砼包封。基础混凝土采用标号为C25的预拌混凝土。安装有监控、信号灯等用电设施的杆件基础预埋件需做接地处理，接地电阻满足国标要求，接地线不得外露。</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4）铭牌要求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铭牌规格为100*60*2mm，材质为铝板，铭牌上文字应使用电脑雕刻机雕刻，文字为黑色。</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drawing>
          <wp:inline distT="0" distB="0" distL="114300" distR="114300">
            <wp:extent cx="4603750" cy="2939415"/>
            <wp:effectExtent l="0" t="0" r="6350"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rcRect l="3851" r="4634" b="7585"/>
                    <a:stretch>
                      <a:fillRect/>
                    </a:stretch>
                  </pic:blipFill>
                  <pic:spPr>
                    <a:xfrm>
                      <a:off x="0" y="0"/>
                      <a:ext cx="4603750" cy="2939415"/>
                    </a:xfrm>
                    <a:prstGeom prst="rect">
                      <a:avLst/>
                    </a:prstGeom>
                    <a:noFill/>
                    <a:ln>
                      <a:noFill/>
                    </a:ln>
                  </pic:spPr>
                </pic:pic>
              </a:graphicData>
            </a:graphic>
          </wp:inline>
        </w:drawing>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（1）设施制作安装单位信息：包括单位名称、地址、联系方式等。</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（2）设施相关参数：</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①名称：信号灯杆、指路标志杆、导向标志杆、龙门架等。</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②型号：</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a.信号灯杆：DN100横道灯杆、DN100辅灯杆、DN165弯灯杆、DN165双F、DN325单杆、JXCB6.5长臂杆等；</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b.指路标志杆、导向标志杆：DN65、DN80、DN100、DN165单杆、DN165F、DN165双F、DN219单杆、DN219F、DN219双F、DN273单杆、DN273F、DN273双F、DN325单杆、DN325F，DN325双F，DN377F，JXCB6.5长臂杆等。</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③尺寸：信号灯杆、标志杆为横杆长×立杆高，标志牌为长×宽（直径×直径,边长×边长），护栏为长×高。</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④安装日期。</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（3）安装位置</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信号灯杆及标志杆的铭牌安装在杆件正面，距离地面约1.5m处。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（4）安装方式</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铭牌通过铆钉方式固定在杆件上。</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5）塑料隔离墩</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（1）采用高强度、高弹性的聚乙烯塑料制成，要求滚塑成型。</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（2）外形尺寸：塑料隔离墩——长度1450mm，高度780 mm，底座宽度400mm；防撞桶——高度800mm，直径570 mm，反光膜高度450mm。</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（3）注满水后应具有缓冲弹性作用。</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（4）拉伸强度大于15mpa。</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（5）必须耐高温、耐低温、耐冲击，不易老化。</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（6）颜色为黄色，色泽均匀鲜明亮丽不褪色。塑料隔离墩两侧贴白色反光膜条，防撞桶桶身贴红白反光膜，更加醒目，反光膜采用高强级。</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（7）塑料隔离墩净重大于12公斤，防撞桶净重大于5公斤。</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（8）塑料隔离墩参照样式照片如下</w:t>
      </w:r>
      <w:r>
        <w:rPr>
          <w:rFonts w:hint="eastAsia" w:ascii="宋体" w:hAnsi="宋体" w:eastAsia="宋体" w:cs="宋体"/>
          <w:color w:val="auto"/>
          <w:sz w:val="21"/>
          <w:szCs w:val="21"/>
          <w:highlight w:val="none"/>
        </w:rPr>
        <w:t>(颜色以招标人实际要求为准)</w:t>
      </w:r>
      <w:r>
        <w:rPr>
          <w:rFonts w:hint="eastAsia" w:ascii="宋体" w:hAnsi="宋体" w:eastAsia="宋体" w:cs="宋体"/>
          <w:color w:val="auto"/>
          <w:sz w:val="21"/>
          <w:szCs w:val="21"/>
          <w:highlight w:val="none"/>
          <w:lang w:val="zh-CN"/>
        </w:rPr>
        <w:t>：</w:t>
      </w:r>
    </w:p>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2438400" cy="1438910"/>
            <wp:effectExtent l="0" t="0" r="0" b="8890"/>
            <wp:docPr id="7" name="图片 2" descr="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727-5"/>
                    <pic:cNvPicPr>
                      <a:picLocks noChangeAspect="1"/>
                    </pic:cNvPicPr>
                  </pic:nvPicPr>
                  <pic:blipFill>
                    <a:blip r:embed="rId14"/>
                    <a:stretch>
                      <a:fillRect/>
                    </a:stretch>
                  </pic:blipFill>
                  <pic:spPr>
                    <a:xfrm>
                      <a:off x="0" y="0"/>
                      <a:ext cx="2438400" cy="1438910"/>
                    </a:xfrm>
                    <a:prstGeom prst="rect">
                      <a:avLst/>
                    </a:prstGeom>
                    <a:noFill/>
                    <a:ln>
                      <a:noFill/>
                    </a:ln>
                  </pic:spPr>
                </pic:pic>
              </a:graphicData>
            </a:graphic>
          </wp:inline>
        </w:drawing>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drawing>
          <wp:inline distT="0" distB="0" distL="114300" distR="114300">
            <wp:extent cx="2526030" cy="1440180"/>
            <wp:effectExtent l="0" t="0" r="7620"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2526030" cy="1440180"/>
                    </a:xfrm>
                    <a:prstGeom prst="rect">
                      <a:avLst/>
                    </a:prstGeom>
                    <a:noFill/>
                    <a:ln>
                      <a:noFill/>
                    </a:ln>
                  </pic:spPr>
                </pic:pic>
              </a:graphicData>
            </a:graphic>
          </wp:inline>
        </w:drawing>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6）道钉式弹性交通柱（黄黑）</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（1）弹性交通柱高度80±2cm，长方形底座225x167±1cm,重量2.0±0.1KG，通体壁厚不小于3mm；</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）柱体含有两道反光膜，反光膜区域凹陷2MM以上，反光膜具有柔韧性并采用超强级（IV类）反光膜；</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）符合国标GB/T 24972标准，通过第三方机构检测并出具报告；</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）采用TPU材质，硬度85-90A， 拉伸强度20MPA， 断裂伸长率800%以上。硬度、拉伸强度、伸长率须经过第三方机构检测并出具报告；</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）弹性交通柱参照样式如下：</w:t>
      </w:r>
    </w:p>
    <w:p>
      <w:pPr>
        <w:keepNext w:val="0"/>
        <w:keepLines w:val="0"/>
        <w:pageBreakBefore w:val="0"/>
        <w:tabs>
          <w:tab w:val="left" w:pos="720"/>
        </w:tabs>
        <w:wordWrap/>
        <w:topLinePunct w:val="0"/>
        <w:bidi w:val="0"/>
        <w:snapToGrid/>
        <w:spacing w:line="360" w:lineRule="auto"/>
        <w:ind w:firstLine="140" w:firstLineChars="67"/>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shd w:val="clear" w:color="auto" w:fill="auto"/>
        </w:rPr>
        <w:drawing>
          <wp:inline distT="0" distB="0" distL="114300" distR="114300">
            <wp:extent cx="982345" cy="2968625"/>
            <wp:effectExtent l="0" t="0" r="825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rcRect l="12048" t="285" r="41365" b="-285"/>
                    <a:stretch>
                      <a:fillRect/>
                    </a:stretch>
                  </pic:blipFill>
                  <pic:spPr>
                    <a:xfrm>
                      <a:off x="0" y="0"/>
                      <a:ext cx="982345" cy="2968625"/>
                    </a:xfrm>
                    <a:prstGeom prst="rect">
                      <a:avLst/>
                    </a:prstGeom>
                    <a:noFill/>
                    <a:ln>
                      <a:noFill/>
                    </a:ln>
                  </pic:spPr>
                </pic:pic>
              </a:graphicData>
            </a:graphic>
          </wp:inline>
        </w:drawing>
      </w:r>
      <w:r>
        <w:rPr>
          <w:rFonts w:hint="eastAsia" w:ascii="宋体" w:hAnsi="宋体" w:eastAsia="宋体" w:cs="宋体"/>
          <w:color w:val="auto"/>
          <w:sz w:val="21"/>
          <w:szCs w:val="21"/>
          <w:highlight w:val="none"/>
          <w:shd w:val="clear" w:color="auto" w:fill="auto"/>
        </w:rPr>
        <w:t xml:space="preserve">     </w:t>
      </w:r>
      <w:r>
        <w:rPr>
          <w:rFonts w:hint="eastAsia" w:ascii="宋体" w:hAnsi="宋体" w:eastAsia="宋体" w:cs="宋体"/>
          <w:color w:val="auto"/>
          <w:sz w:val="21"/>
          <w:szCs w:val="21"/>
          <w:highlight w:val="none"/>
          <w:shd w:val="clear" w:color="auto" w:fill="auto"/>
        </w:rPr>
        <w:drawing>
          <wp:inline distT="0" distB="0" distL="114300" distR="114300">
            <wp:extent cx="1100455" cy="3058795"/>
            <wp:effectExtent l="0" t="0" r="4445"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rcRect r="34065"/>
                    <a:stretch>
                      <a:fillRect/>
                    </a:stretch>
                  </pic:blipFill>
                  <pic:spPr>
                    <a:xfrm>
                      <a:off x="0" y="0"/>
                      <a:ext cx="1100455" cy="3058795"/>
                    </a:xfrm>
                    <a:prstGeom prst="rect">
                      <a:avLst/>
                    </a:prstGeom>
                    <a:noFill/>
                    <a:ln>
                      <a:noFill/>
                    </a:ln>
                  </pic:spPr>
                </pic:pic>
              </a:graphicData>
            </a:graphic>
          </wp:inline>
        </w:drawing>
      </w:r>
      <w:r>
        <w:rPr>
          <w:rFonts w:hint="eastAsia" w:ascii="宋体" w:hAnsi="宋体" w:eastAsia="宋体" w:cs="宋体"/>
          <w:color w:val="auto"/>
          <w:sz w:val="21"/>
          <w:szCs w:val="21"/>
          <w:highlight w:val="none"/>
          <w:shd w:val="clear" w:color="auto" w:fill="auto"/>
        </w:rPr>
        <w:t xml:space="preserve">   </w:t>
      </w:r>
      <w:r>
        <w:rPr>
          <w:rFonts w:hint="eastAsia" w:ascii="宋体" w:hAnsi="宋体" w:eastAsia="宋体" w:cs="宋体"/>
          <w:color w:val="auto"/>
          <w:sz w:val="21"/>
          <w:szCs w:val="21"/>
          <w:highlight w:val="none"/>
          <w:shd w:val="clear" w:color="auto" w:fill="auto"/>
        </w:rPr>
        <w:drawing>
          <wp:inline distT="0" distB="0" distL="114300" distR="114300">
            <wp:extent cx="2153920" cy="1990725"/>
            <wp:effectExtent l="0" t="0" r="1778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rcRect l="13266" t="9166" r="7597" b="6680"/>
                    <a:stretch>
                      <a:fillRect/>
                    </a:stretch>
                  </pic:blipFill>
                  <pic:spPr>
                    <a:xfrm>
                      <a:off x="0" y="0"/>
                      <a:ext cx="2153920" cy="1990725"/>
                    </a:xfrm>
                    <a:prstGeom prst="rect">
                      <a:avLst/>
                    </a:prstGeom>
                    <a:noFill/>
                    <a:ln>
                      <a:noFill/>
                    </a:ln>
                  </pic:spPr>
                </pic:pic>
              </a:graphicData>
            </a:graphic>
          </wp:inline>
        </w:drawing>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)弹性交通柱</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A.弹性警示柱高度80±2 cm，底座直径8±1cm,重量1.3±0.1KG；</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B.弹性警示柱反光膜采用直接粘贴于柱体形式，反光膜要求高强级；</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C.产品要求PU材质，硬度80A以上，最大拉伸力度200N以上，拉伸强度20map以上，断裂点伸缩率950%以上，最大伸缩率900%以上，强度10%下的伸缩率15.0N以上，强度20%下的伸缩率20.0N以上。同时要求柔韧性强、反光效能高，外观设计合理，式样美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D.弹性警示柱参照样式如下：</w:t>
      </w:r>
    </w:p>
    <w:p>
      <w:pPr>
        <w:pStyle w:val="47"/>
        <w:keepNext w:val="0"/>
        <w:keepLines w:val="0"/>
        <w:pageBreakBefore w:val="0"/>
        <w:numPr>
          <w:ilvl w:val="0"/>
          <w:numId w:val="0"/>
        </w:numPr>
        <w:wordWrap/>
        <w:topLinePunct w:val="0"/>
        <w:bidi w:val="0"/>
        <w:snapToGrid/>
        <w:spacing w:line="360" w:lineRule="auto"/>
        <w:ind w:leftChars="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mc:AlternateContent>
          <mc:Choice Requires="wpg">
            <w:drawing>
              <wp:inline distT="0" distB="0" distL="114300" distR="114300">
                <wp:extent cx="4984115" cy="4020820"/>
                <wp:effectExtent l="0" t="0" r="6985" b="17780"/>
                <wp:docPr id="18" name="组合 18"/>
                <wp:cNvGraphicFramePr/>
                <a:graphic xmlns:a="http://schemas.openxmlformats.org/drawingml/2006/main">
                  <a:graphicData uri="http://schemas.microsoft.com/office/word/2010/wordprocessingGroup">
                    <wpg:wgp>
                      <wpg:cNvGrpSpPr/>
                      <wpg:grpSpPr>
                        <a:xfrm>
                          <a:off x="0" y="0"/>
                          <a:ext cx="4984115" cy="4020820"/>
                          <a:chOff x="16116" y="158500"/>
                          <a:chExt cx="7762" cy="8256"/>
                        </a:xfrm>
                      </wpg:grpSpPr>
                      <pic:pic xmlns:pic="http://schemas.openxmlformats.org/drawingml/2006/picture">
                        <pic:nvPicPr>
                          <pic:cNvPr id="13" name="图片 3"/>
                          <pic:cNvPicPr>
                            <a:picLocks noChangeAspect="1"/>
                          </pic:cNvPicPr>
                        </pic:nvPicPr>
                        <pic:blipFill>
                          <a:blip r:embed="rId19"/>
                          <a:stretch>
                            <a:fillRect/>
                          </a:stretch>
                        </pic:blipFill>
                        <pic:spPr>
                          <a:xfrm>
                            <a:off x="16116" y="158634"/>
                            <a:ext cx="3249" cy="2852"/>
                          </a:xfrm>
                          <a:prstGeom prst="rect">
                            <a:avLst/>
                          </a:prstGeom>
                          <a:noFill/>
                          <a:ln>
                            <a:noFill/>
                          </a:ln>
                        </pic:spPr>
                      </pic:pic>
                      <pic:pic xmlns:pic="http://schemas.openxmlformats.org/drawingml/2006/picture">
                        <pic:nvPicPr>
                          <pic:cNvPr id="14" name="图片 4"/>
                          <pic:cNvPicPr>
                            <a:picLocks noChangeAspect="1"/>
                          </pic:cNvPicPr>
                        </pic:nvPicPr>
                        <pic:blipFill>
                          <a:blip r:embed="rId20"/>
                          <a:stretch>
                            <a:fillRect/>
                          </a:stretch>
                        </pic:blipFill>
                        <pic:spPr>
                          <a:xfrm>
                            <a:off x="17352" y="162700"/>
                            <a:ext cx="3058" cy="3023"/>
                          </a:xfrm>
                          <a:prstGeom prst="rect">
                            <a:avLst/>
                          </a:prstGeom>
                          <a:noFill/>
                          <a:ln>
                            <a:noFill/>
                          </a:ln>
                        </pic:spPr>
                      </pic:pic>
                      <pic:pic xmlns:pic="http://schemas.openxmlformats.org/drawingml/2006/picture">
                        <pic:nvPicPr>
                          <pic:cNvPr id="15" name="图片 5"/>
                          <pic:cNvPicPr>
                            <a:picLocks noChangeAspect="1"/>
                          </pic:cNvPicPr>
                        </pic:nvPicPr>
                        <pic:blipFill>
                          <a:blip r:embed="rId21"/>
                          <a:stretch>
                            <a:fillRect/>
                          </a:stretch>
                        </pic:blipFill>
                        <pic:spPr>
                          <a:xfrm>
                            <a:off x="21408" y="161954"/>
                            <a:ext cx="1066" cy="4803"/>
                          </a:xfrm>
                          <a:prstGeom prst="rect">
                            <a:avLst/>
                          </a:prstGeom>
                          <a:noFill/>
                          <a:ln>
                            <a:noFill/>
                          </a:ln>
                        </pic:spPr>
                      </pic:pic>
                      <pic:pic xmlns:pic="http://schemas.openxmlformats.org/drawingml/2006/picture">
                        <pic:nvPicPr>
                          <pic:cNvPr id="16" name="图片 6"/>
                          <pic:cNvPicPr>
                            <a:picLocks noChangeAspect="1"/>
                          </pic:cNvPicPr>
                        </pic:nvPicPr>
                        <pic:blipFill>
                          <a:blip r:embed="rId22"/>
                          <a:stretch>
                            <a:fillRect/>
                          </a:stretch>
                        </pic:blipFill>
                        <pic:spPr>
                          <a:xfrm>
                            <a:off x="19440" y="158500"/>
                            <a:ext cx="4438" cy="3696"/>
                          </a:xfrm>
                          <a:prstGeom prst="rect">
                            <a:avLst/>
                          </a:prstGeom>
                          <a:noFill/>
                          <a:ln>
                            <a:noFill/>
                          </a:ln>
                        </pic:spPr>
                      </pic:pic>
                    </wpg:wgp>
                  </a:graphicData>
                </a:graphic>
              </wp:inline>
            </w:drawing>
          </mc:Choice>
          <mc:Fallback>
            <w:pict>
              <v:group id="_x0000_s1026" o:spid="_x0000_s1026" o:spt="203" style="height:316.6pt;width:392.45pt;" coordorigin="16116,158500" coordsize="7762,8256" o:gfxdata="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">
                <o:lock v:ext="edit" aspectratio="f"/>
                <v:shape id="图片 3" o:spid="_x0000_s1026" o:spt="75" type="#_x0000_t75" style="position:absolute;left:16116;top:158634;height:2852;width:3249;" filled="f" o:preferrelative="t" stroked="f" coordsize="21600,21600" o:gfxdata="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CPe7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4" o:spid="_x0000_s1026" o:spt="75" type="#_x0000_t75" style="position:absolute;left:17352;top:162700;height:3023;width:3058;" filled="f" o:preferrelative="t" stroked="f" coordsize="21600,21600" o:gfxdata="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Sd21ugAAANsA&#10;AAAPAAAAAAAAAAEAIAAAACIAAABkcnMvZG93bnJldi54bWxQSwECFAAUAAAACACHTuJAMy8FnjsA&#10;AAA5AAAAEAAAAAAAAAABACAAAAAJAQAAZHJzL3NoYXBleG1sLnhtbFBLBQYAAAAABgAGAFsBAACz&#10;AwAAAAA=&#10;">
                  <v:fill on="f" focussize="0,0"/>
                  <v:stroke on="f"/>
                  <v:imagedata r:id="rId20" o:title=""/>
                  <o:lock v:ext="edit" aspectratio="t"/>
                </v:shape>
                <v:shape id="图片 5" o:spid="_x0000_s1026" o:spt="75" type="#_x0000_t75" style="position:absolute;left:21408;top:161954;height:4803;width:1066;" filled="f" o:preferrelative="t" stroked="f" coordsize="21600,21600" o:gfxdata="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0LhsC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图片 6" o:spid="_x0000_s1026" o:spt="75" type="#_x0000_t75" style="position:absolute;left:19440;top:158500;height:3696;width:4438;" filled="f" o:preferrelative="t" stroked="f" coordsize="21600,21600" o:gfxdata="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lxVR7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、轮廓标供应技术要求：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、底座用1.5mm的铝板折成，具体规格见图纸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、单面用国标V类（钻石级）反光膜粘贴。样式如下图：</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0288" behindDoc="0" locked="0" layoutInCell="1" allowOverlap="1">
            <wp:simplePos x="0" y="0"/>
            <wp:positionH relativeFrom="column">
              <wp:posOffset>215900</wp:posOffset>
            </wp:positionH>
            <wp:positionV relativeFrom="paragraph">
              <wp:posOffset>141605</wp:posOffset>
            </wp:positionV>
            <wp:extent cx="3328035" cy="2197100"/>
            <wp:effectExtent l="0" t="0" r="5715" b="12700"/>
            <wp:wrapTopAndBottom/>
            <wp:docPr id="4" name="图片 7" descr="微信图片_201902251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微信图片_20190225155748"/>
                    <pic:cNvPicPr>
                      <a:picLocks noChangeAspect="1"/>
                    </pic:cNvPicPr>
                  </pic:nvPicPr>
                  <pic:blipFill>
                    <a:blip r:embed="rId23"/>
                    <a:stretch>
                      <a:fillRect/>
                    </a:stretch>
                  </pic:blipFill>
                  <pic:spPr>
                    <a:xfrm>
                      <a:off x="0" y="0"/>
                      <a:ext cx="3328035" cy="2197100"/>
                    </a:xfrm>
                    <a:prstGeom prst="rect">
                      <a:avLst/>
                    </a:prstGeom>
                    <a:noFill/>
                    <a:ln>
                      <a:noFill/>
                    </a:ln>
                  </pic:spPr>
                </pic:pic>
              </a:graphicData>
            </a:graphic>
          </wp:anchor>
        </w:drawing>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国标V类（钻石级）反光膜白色(黄色)</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、轮廓标安装必须与地面保持垂直，误差应〈5°。</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、同一墙面安装位置必须在同一直线上，上下偏离应〈2mm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、同一墙面安装间距应保持一致误差应〈5mm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、同一路面对应位置必须保持平行，偏离应〈5mm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、轮廓标与安装墙面间隙应〈 0.1mm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、如墙面有凹凸起伏，须平整后方可安装，使得轮廓标与墙面完全贴合。</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、安装采用两枚5mm不锈钢自攻螺丝与墙体7mm膨胀连接，固定紧密无晃动。</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 高亮智能联频网络安全警示灯系统</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系统要求：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高亮智能联频网络安全警示灯系统为基于物联网的主动预警型交通安全设施系统，通过特定共有频率联频闪烁的刺激方式，勾勒人行横道轮廓，以提高驾驶员及行人安全警示作用。系统应可根据招标人需求采用高效光伏电池或市电作为补充能源，锂离子电池为储备能源的能源方案，要求能源便于安装维护。</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设施相关参数：</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灯球尺寸：φ300mm±0.5mm</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可视距离：大于300M</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闪烁方式：呼吸渐变式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灯球工作方式：多系统</w:t>
      </w:r>
      <w:r>
        <w:rPr>
          <w:rFonts w:hint="eastAsia" w:ascii="宋体" w:hAnsi="宋体" w:eastAsia="宋体" w:cs="宋体"/>
          <w:color w:val="auto"/>
          <w:sz w:val="21"/>
          <w:szCs w:val="21"/>
          <w:highlight w:val="none"/>
          <w:lang w:val="en-US" w:eastAsia="zh-Hans"/>
        </w:rPr>
        <w:t>自动</w:t>
      </w:r>
      <w:r>
        <w:rPr>
          <w:rFonts w:hint="eastAsia" w:ascii="宋体" w:hAnsi="宋体" w:eastAsia="宋体" w:cs="宋体"/>
          <w:color w:val="auto"/>
          <w:sz w:val="21"/>
          <w:szCs w:val="21"/>
          <w:highlight w:val="none"/>
          <w:lang w:val="en-US" w:eastAsia="zh-CN"/>
        </w:rPr>
        <w:t xml:space="preserve">联频同频控制闪烁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同频精度：小于10ms</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同频要求：具备抗干扰能力，产品安装调试后任意时间均能保持同频</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从机接入数量：主机控制从机数量大于100台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网络连接：支持GPRS、4G网络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控制方式：支持本地控制、联网控制</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后台服务器：支持云服务器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位置和环境状态监测：倾斜倾倒传感器、撞击传感器、光照传感器、温湿度传感器</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Hans"/>
        </w:rPr>
        <w:t>紧急状态</w:t>
      </w:r>
      <w:r>
        <w:rPr>
          <w:rFonts w:hint="eastAsia" w:ascii="宋体" w:hAnsi="宋体" w:eastAsia="宋体" w:cs="宋体"/>
          <w:color w:val="auto"/>
          <w:sz w:val="21"/>
          <w:szCs w:val="21"/>
          <w:highlight w:val="none"/>
          <w:lang w:val="en-US" w:eastAsia="zh-CN"/>
        </w:rPr>
        <w:t xml:space="preserve">报警：车辆撞击微信报警、倾倒倾斜微信报警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报警推送：本地报警（本地爆闪预警）、云推送报警（手机推送）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升级与更新：支持本地数据升级更新、在线数据升级更新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发光单元防护等级：大于IP65</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保护机制：支持过温保护、过载保护、掉电保护、过流保护、短路保护、过冲保护、过</w:t>
      </w:r>
      <w:r>
        <w:rPr>
          <w:rFonts w:hint="eastAsia" w:ascii="宋体" w:hAnsi="宋体" w:eastAsia="宋体" w:cs="宋体"/>
          <w:color w:val="auto"/>
          <w:sz w:val="21"/>
          <w:szCs w:val="21"/>
          <w:highlight w:val="none"/>
          <w:lang w:val="en-US" w:eastAsia="zh-CN"/>
        </w:rPr>
        <w:tab/>
      </w:r>
      <w:r>
        <w:rPr>
          <w:rFonts w:hint="eastAsia" w:ascii="宋体" w:hAnsi="宋体" w:eastAsia="宋体" w:cs="宋体"/>
          <w:color w:val="auto"/>
          <w:sz w:val="21"/>
          <w:szCs w:val="21"/>
          <w:highlight w:val="none"/>
          <w:lang w:val="en-US" w:eastAsia="zh-CN"/>
        </w:rPr>
        <w:t xml:space="preserve">压保护、欠压保护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杆件工艺：整体镀锌喷涂漆，依据大样图贴黄色逆反射3M钻石级膜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抗风等级：12级</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蓄电池支撑工作时长:不得低于120H。</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电池保险：要求产品中的锂电池有第三者责任保险</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检测报告：警示灯对高温、低温、防水、防尘四个项目的检测，必须依据GB／T2423.1-2008、GB／T4208-2017标准，并获得相关专业检测机构检测报告。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drawing>
          <wp:inline distT="0" distB="0" distL="114300" distR="114300">
            <wp:extent cx="5166360" cy="3225800"/>
            <wp:effectExtent l="0" t="0" r="15240"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stretch>
                      <a:fillRect/>
                    </a:stretch>
                  </pic:blipFill>
                  <pic:spPr>
                    <a:xfrm>
                      <a:off x="0" y="0"/>
                      <a:ext cx="5166360" cy="3225800"/>
                    </a:xfrm>
                    <a:prstGeom prst="rect">
                      <a:avLst/>
                    </a:prstGeom>
                    <a:noFill/>
                    <a:ln>
                      <a:noFill/>
                    </a:ln>
                  </pic:spPr>
                </pic:pic>
              </a:graphicData>
            </a:graphic>
          </wp:inline>
        </w:drawing>
      </w:r>
    </w:p>
    <w:p>
      <w:pPr>
        <w:pStyle w:val="22"/>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lang w:val="en-US" w:eastAsia="zh-CN"/>
        </w:rPr>
      </w:pP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 太阳能动态黄闪警示灯</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系统要求：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太阳能动态黄闪警示灯的生产、设计与安装应严格参照GB/T 24965.4《交通警示灯.第 4 部 分:临时安全警示灯》，产品须通过国家级专业检测机构检测并获得相关检测报告。</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设施相关参数：</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动态显示要求：显示像素点由高发光黄色LED组成，LED的电气与光学参数需遵循GA/T743-2016《黄闪警告信号灯》设计规范。工作方式为非线性PWM渐变闪烁，具备防眩目、防突变刺眼的功能。显示版面内容须依照实际安装情景设计。</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网络连接：支持GPRS、4G网络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控制方式：支持本地控制、联网控制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后台服务器：支持云服务器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位置和环境状态监测：倾斜倾倒传感器、撞击传感器、光照传感器、温湿度传感器</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Hans"/>
        </w:rPr>
        <w:t>紧急状态</w:t>
      </w:r>
      <w:r>
        <w:rPr>
          <w:rFonts w:hint="eastAsia" w:ascii="宋体" w:hAnsi="宋体" w:eastAsia="宋体" w:cs="宋体"/>
          <w:color w:val="auto"/>
          <w:sz w:val="21"/>
          <w:szCs w:val="21"/>
          <w:highlight w:val="none"/>
          <w:lang w:val="en-US" w:eastAsia="zh-CN"/>
        </w:rPr>
        <w:t xml:space="preserve">报警：车辆撞击微信报警、倾倒倾斜微信报警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报警推送：本地报警（本地爆闪预警）、云推送报警（手机推送）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升级与更新：支持本地数据升级更新、在线数据升级更新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防护要求：黄闪灯主体应防腐蚀、耐冲击、防氧化、防风化。内部控制元器件、光源板元器件具有防尘、防水汽功能</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源方案：采用光伏电池做为设备主要能源来源，电池须达到IP65防护等级，具备水平方向旋转调节、具备俯仰方向上下调节的能力；采用储能锂电池作为储蓄电池，锂电池须具备过流、过冲、过放保护功能，蓄电池支撑工作时长不得低于120H。</w:t>
      </w:r>
    </w:p>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drawing>
          <wp:inline distT="0" distB="0" distL="114300" distR="114300">
            <wp:extent cx="5198745" cy="3234055"/>
            <wp:effectExtent l="0" t="0" r="1905"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5198745" cy="3234055"/>
                    </a:xfrm>
                    <a:prstGeom prst="rect">
                      <a:avLst/>
                    </a:prstGeom>
                    <a:noFill/>
                    <a:ln>
                      <a:noFill/>
                    </a:ln>
                  </pic:spPr>
                </pic:pic>
              </a:graphicData>
            </a:graphic>
          </wp:inline>
        </w:drawing>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11)单面反光道钉（突起路标）：</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A.采用GB/T24725-2009《突起路标》中A1类突起路标，满足GB/T24725-2009《突起路标》对A1类突起路标的性能要求。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bidi="ar"/>
        </w:rPr>
        <w:t>①</w:t>
      </w:r>
      <w:r>
        <w:rPr>
          <w:rFonts w:hint="eastAsia" w:ascii="宋体" w:hAnsi="宋体" w:eastAsia="宋体" w:cs="宋体"/>
          <w:color w:val="auto"/>
          <w:sz w:val="21"/>
          <w:szCs w:val="21"/>
          <w:highlight w:val="none"/>
        </w:rPr>
        <w:t>发光强度:</w:t>
      </w:r>
    </w:p>
    <w:p>
      <w:pPr>
        <w:pStyle w:val="75"/>
        <w:keepNext w:val="0"/>
        <w:keepLines w:val="0"/>
        <w:pageBreakBefore w:val="0"/>
        <w:wordWrap/>
        <w:topLinePunct w:val="0"/>
        <w:bidi w:val="0"/>
        <w:snapToGrid/>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突起路标的反光片为具有高反射率的微棱镜结构反光片，在雨夜天气和雾夜天气情况下保持较好的警示效果。</w:t>
      </w:r>
      <w:r>
        <w:rPr>
          <w:rFonts w:hint="eastAsia" w:ascii="宋体" w:hAnsi="宋体" w:eastAsia="宋体" w:cs="宋体"/>
          <w:b/>
          <w:color w:val="auto"/>
          <w:sz w:val="21"/>
          <w:szCs w:val="21"/>
          <w:highlight w:val="none"/>
        </w:rPr>
        <w:t>突起路标反光片发光强度</w:t>
      </w:r>
      <w:r>
        <w:rPr>
          <w:rFonts w:hint="eastAsia" w:ascii="宋体" w:hAnsi="宋体" w:eastAsia="宋体" w:cs="宋体"/>
          <w:bCs/>
          <w:color w:val="auto"/>
          <w:sz w:val="21"/>
          <w:szCs w:val="21"/>
          <w:highlight w:val="none"/>
        </w:rPr>
        <w:t>须</w:t>
      </w:r>
      <w:r>
        <w:rPr>
          <w:rFonts w:hint="eastAsia" w:ascii="宋体" w:hAnsi="宋体" w:eastAsia="宋体" w:cs="宋体"/>
          <w:color w:val="auto"/>
          <w:sz w:val="21"/>
          <w:szCs w:val="21"/>
          <w:highlight w:val="none"/>
        </w:rPr>
        <w:t>满足以下要求。</w:t>
      </w:r>
    </w:p>
    <w:tbl>
      <w:tblPr>
        <w:tblStyle w:val="40"/>
        <w:tblW w:w="6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178"/>
        <w:gridCol w:w="1571"/>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33" w:type="dxa"/>
            <w:noWrap w:val="0"/>
            <w:vAlign w:val="center"/>
          </w:tcPr>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颜色</w:t>
            </w:r>
          </w:p>
        </w:tc>
        <w:tc>
          <w:tcPr>
            <w:tcW w:w="1178" w:type="dxa"/>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观测角</w:t>
            </w:r>
          </w:p>
        </w:tc>
        <w:tc>
          <w:tcPr>
            <w:tcW w:w="1571" w:type="dxa"/>
            <w:noWrap w:val="0"/>
            <w:vAlign w:val="top"/>
          </w:tcPr>
          <w:p>
            <w:pPr>
              <w:keepNext w:val="0"/>
              <w:keepLines w:val="0"/>
              <w:pageBreakBefore w:val="0"/>
              <w:wordWrap/>
              <w:topLinePunct w:val="0"/>
              <w:bidi w:val="0"/>
              <w:snapToGrid/>
              <w:spacing w:line="360" w:lineRule="auto"/>
              <w:ind w:firstLine="205" w:firstLineChars="9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入射角</w:t>
            </w:r>
          </w:p>
        </w:tc>
        <w:tc>
          <w:tcPr>
            <w:tcW w:w="3146" w:type="dxa"/>
            <w:noWrap w:val="0"/>
            <w:vAlign w:val="top"/>
          </w:tcPr>
          <w:p>
            <w:pPr>
              <w:keepNext w:val="0"/>
              <w:keepLines w:val="0"/>
              <w:pageBreakBefore w:val="0"/>
              <w:wordWrap/>
              <w:topLinePunct w:val="0"/>
              <w:bidi w:val="0"/>
              <w:snapToGrid/>
              <w:spacing w:line="360" w:lineRule="auto"/>
              <w:ind w:firstLine="617" w:firstLineChars="29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强度系数（mcd.lx</w:t>
            </w:r>
            <w:r>
              <w:rPr>
                <w:rFonts w:hint="eastAsia" w:ascii="宋体" w:hAnsi="宋体" w:eastAsia="宋体" w:cs="宋体"/>
                <w:color w:val="auto"/>
                <w:sz w:val="21"/>
                <w:szCs w:val="21"/>
                <w:highlight w:val="none"/>
                <w:vertAlign w:val="superscript"/>
              </w:rPr>
              <w:t>-1</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33" w:type="dxa"/>
            <w:vMerge w:val="restart"/>
            <w:noWrap w:val="0"/>
            <w:vAlign w:val="center"/>
          </w:tcPr>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p>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白色</w:t>
            </w:r>
          </w:p>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p>
        </w:tc>
        <w:tc>
          <w:tcPr>
            <w:tcW w:w="1178" w:type="dxa"/>
            <w:vMerge w:val="restart"/>
            <w:noWrap w:val="0"/>
            <w:vAlign w:val="top"/>
          </w:tcPr>
          <w:p>
            <w:pPr>
              <w:keepNext w:val="0"/>
              <w:keepLines w:val="0"/>
              <w:pageBreakBefore w:val="0"/>
              <w:wordWrap/>
              <w:topLinePunct w:val="0"/>
              <w:bidi w:val="0"/>
              <w:snapToGrid/>
              <w:spacing w:line="360" w:lineRule="auto"/>
              <w:ind w:firstLine="308" w:firstLineChars="14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c>
          <w:tcPr>
            <w:tcW w:w="1571" w:type="dxa"/>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 </w:t>
            </w:r>
          </w:p>
        </w:tc>
        <w:tc>
          <w:tcPr>
            <w:tcW w:w="3146" w:type="dxa"/>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33" w:type="dxa"/>
            <w:vMerge w:val="continue"/>
            <w:noWrap w:val="0"/>
            <w:vAlign w:val="center"/>
          </w:tcPr>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p>
        </w:tc>
        <w:tc>
          <w:tcPr>
            <w:tcW w:w="1178" w:type="dxa"/>
            <w:vMerge w:val="continue"/>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p>
        </w:tc>
        <w:tc>
          <w:tcPr>
            <w:tcW w:w="1571" w:type="dxa"/>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+20°</w:t>
            </w:r>
          </w:p>
        </w:tc>
        <w:tc>
          <w:tcPr>
            <w:tcW w:w="3146" w:type="dxa"/>
            <w:noWrap w:val="0"/>
            <w:vAlign w:val="top"/>
          </w:tcPr>
          <w:p>
            <w:pPr>
              <w:keepNext w:val="0"/>
              <w:keepLines w:val="0"/>
              <w:pageBreakBefore w:val="0"/>
              <w:wordWrap/>
              <w:topLinePunct w:val="0"/>
              <w:bidi w:val="0"/>
              <w:snapToGrid/>
              <w:spacing w:line="360" w:lineRule="auto"/>
              <w:ind w:firstLine="1331" w:firstLineChars="6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33" w:type="dxa"/>
            <w:vMerge w:val="continue"/>
            <w:noWrap w:val="0"/>
            <w:vAlign w:val="center"/>
          </w:tcPr>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p>
        </w:tc>
        <w:tc>
          <w:tcPr>
            <w:tcW w:w="1178" w:type="dxa"/>
            <w:vMerge w:val="continue"/>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p>
        </w:tc>
        <w:tc>
          <w:tcPr>
            <w:tcW w:w="1571" w:type="dxa"/>
            <w:noWrap w:val="0"/>
            <w:vAlign w:val="top"/>
          </w:tcPr>
          <w:p>
            <w:pPr>
              <w:keepNext w:val="0"/>
              <w:keepLines w:val="0"/>
              <w:pageBreakBefore w:val="0"/>
              <w:wordWrap/>
              <w:topLinePunct w:val="0"/>
              <w:bidi w:val="0"/>
              <w:snapToGrid/>
              <w:spacing w:line="360" w:lineRule="auto"/>
              <w:ind w:firstLine="308" w:firstLineChars="14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3146" w:type="dxa"/>
            <w:noWrap w:val="0"/>
            <w:vAlign w:val="top"/>
          </w:tcPr>
          <w:p>
            <w:pPr>
              <w:keepNext w:val="0"/>
              <w:keepLines w:val="0"/>
              <w:pageBreakBefore w:val="0"/>
              <w:wordWrap/>
              <w:topLinePunct w:val="0"/>
              <w:bidi w:val="0"/>
              <w:snapToGrid/>
              <w:spacing w:line="360" w:lineRule="auto"/>
              <w:ind w:firstLine="1337" w:firstLineChars="63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33" w:type="dxa"/>
            <w:vMerge w:val="restart"/>
            <w:noWrap w:val="0"/>
            <w:vAlign w:val="center"/>
          </w:tcPr>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黄色</w:t>
            </w:r>
          </w:p>
        </w:tc>
        <w:tc>
          <w:tcPr>
            <w:tcW w:w="1178" w:type="dxa"/>
            <w:vMerge w:val="restart"/>
            <w:noWrap w:val="0"/>
            <w:vAlign w:val="top"/>
          </w:tcPr>
          <w:p>
            <w:pPr>
              <w:keepNext w:val="0"/>
              <w:keepLines w:val="0"/>
              <w:pageBreakBefore w:val="0"/>
              <w:wordWrap/>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c>
          <w:tcPr>
            <w:tcW w:w="1571" w:type="dxa"/>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 </w:t>
            </w:r>
          </w:p>
        </w:tc>
        <w:tc>
          <w:tcPr>
            <w:tcW w:w="3146" w:type="dxa"/>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33" w:type="dxa"/>
            <w:vMerge w:val="continue"/>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p>
        </w:tc>
        <w:tc>
          <w:tcPr>
            <w:tcW w:w="1178" w:type="dxa"/>
            <w:vMerge w:val="continue"/>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p>
        </w:tc>
        <w:tc>
          <w:tcPr>
            <w:tcW w:w="1571" w:type="dxa"/>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+20°</w:t>
            </w:r>
          </w:p>
        </w:tc>
        <w:tc>
          <w:tcPr>
            <w:tcW w:w="3146" w:type="dxa"/>
            <w:noWrap w:val="0"/>
            <w:vAlign w:val="top"/>
          </w:tcPr>
          <w:p>
            <w:pPr>
              <w:keepNext w:val="0"/>
              <w:keepLines w:val="0"/>
              <w:pageBreakBefore w:val="0"/>
              <w:wordWrap/>
              <w:topLinePunct w:val="0"/>
              <w:bidi w:val="0"/>
              <w:snapToGrid/>
              <w:spacing w:line="360" w:lineRule="auto"/>
              <w:ind w:firstLine="1333" w:firstLineChars="6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33" w:type="dxa"/>
            <w:vMerge w:val="continue"/>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p>
        </w:tc>
        <w:tc>
          <w:tcPr>
            <w:tcW w:w="1178" w:type="dxa"/>
            <w:vMerge w:val="continue"/>
            <w:noWrap w:val="0"/>
            <w:vAlign w:val="top"/>
          </w:tcPr>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rPr>
            </w:pPr>
          </w:p>
        </w:tc>
        <w:tc>
          <w:tcPr>
            <w:tcW w:w="1571" w:type="dxa"/>
            <w:noWrap w:val="0"/>
            <w:vAlign w:val="top"/>
          </w:tcPr>
          <w:p>
            <w:pPr>
              <w:keepNext w:val="0"/>
              <w:keepLines w:val="0"/>
              <w:pageBreakBefore w:val="0"/>
              <w:wordWrap/>
              <w:topLinePunct w:val="0"/>
              <w:bidi w:val="0"/>
              <w:snapToGrid/>
              <w:spacing w:line="360" w:lineRule="auto"/>
              <w:ind w:firstLine="308" w:firstLineChars="14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3146" w:type="dxa"/>
            <w:noWrap w:val="0"/>
            <w:vAlign w:val="top"/>
          </w:tcPr>
          <w:p>
            <w:pPr>
              <w:keepNext w:val="0"/>
              <w:keepLines w:val="0"/>
              <w:pageBreakBefore w:val="0"/>
              <w:wordWrap/>
              <w:topLinePunct w:val="0"/>
              <w:bidi w:val="0"/>
              <w:snapToGrid/>
              <w:spacing w:line="360" w:lineRule="auto"/>
              <w:ind w:firstLine="1337" w:firstLineChars="63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r>
    </w:tbl>
    <w:p>
      <w:pPr>
        <w:keepNext w:val="0"/>
        <w:keepLines w:val="0"/>
        <w:pageBreakBefore w:val="0"/>
        <w:wordWrap/>
        <w:topLinePunct w:val="0"/>
        <w:bidi w:val="0"/>
        <w:snapToGrid/>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②</w:t>
      </w:r>
      <w:r>
        <w:rPr>
          <w:rFonts w:hint="eastAsia" w:ascii="宋体" w:hAnsi="宋体" w:eastAsia="宋体" w:cs="宋体"/>
          <w:color w:val="auto"/>
          <w:sz w:val="21"/>
          <w:szCs w:val="21"/>
          <w:highlight w:val="none"/>
        </w:rPr>
        <w:t>突起路标部分反光单元破损，其余密封的反光单元</w:t>
      </w:r>
      <w:r>
        <w:rPr>
          <w:rFonts w:hint="eastAsia" w:ascii="宋体" w:hAnsi="宋体" w:eastAsia="宋体" w:cs="宋体"/>
          <w:color w:val="auto"/>
          <w:sz w:val="21"/>
          <w:szCs w:val="21"/>
          <w:highlight w:val="none"/>
          <w:lang w:bidi="ar"/>
        </w:rPr>
        <w:t>须</w:t>
      </w:r>
      <w:r>
        <w:rPr>
          <w:rFonts w:hint="eastAsia" w:ascii="宋体" w:hAnsi="宋体" w:eastAsia="宋体" w:cs="宋体"/>
          <w:color w:val="auto"/>
          <w:sz w:val="21"/>
          <w:szCs w:val="21"/>
          <w:highlight w:val="none"/>
        </w:rPr>
        <w:t>可继续反光；</w:t>
      </w:r>
    </w:p>
    <w:p>
      <w:pPr>
        <w:keepNext w:val="0"/>
        <w:keepLines w:val="0"/>
        <w:pageBreakBefore w:val="0"/>
        <w:wordWrap/>
        <w:topLinePunct w:val="0"/>
        <w:bidi w:val="0"/>
        <w:snapToGrid/>
        <w:spacing w:line="360" w:lineRule="auto"/>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③</w:t>
      </w:r>
      <w:r>
        <w:rPr>
          <w:rFonts w:hint="eastAsia" w:ascii="宋体" w:hAnsi="宋体" w:eastAsia="宋体" w:cs="宋体"/>
          <w:color w:val="auto"/>
          <w:sz w:val="21"/>
          <w:szCs w:val="21"/>
          <w:highlight w:val="none"/>
        </w:rPr>
        <w:t>突起路标反光片表面</w:t>
      </w:r>
      <w:r>
        <w:rPr>
          <w:rFonts w:hint="eastAsia" w:ascii="宋体" w:hAnsi="宋体" w:eastAsia="宋体" w:cs="宋体"/>
          <w:color w:val="auto"/>
          <w:sz w:val="21"/>
          <w:szCs w:val="21"/>
          <w:highlight w:val="none"/>
          <w:lang w:bidi="ar"/>
        </w:rPr>
        <w:t>须</w:t>
      </w:r>
      <w:r>
        <w:rPr>
          <w:rFonts w:hint="eastAsia" w:ascii="宋体" w:hAnsi="宋体" w:eastAsia="宋体" w:cs="宋体"/>
          <w:color w:val="auto"/>
          <w:sz w:val="21"/>
          <w:szCs w:val="21"/>
          <w:highlight w:val="none"/>
        </w:rPr>
        <w:t>具有超强耐磨性能，表面耐刮擦，能够持久保持高亮反光性能；</w:t>
      </w:r>
    </w:p>
    <w:p>
      <w:pPr>
        <w:keepNext w:val="0"/>
        <w:keepLines w:val="0"/>
        <w:pageBreakBefore w:val="0"/>
        <w:wordWrap/>
        <w:topLinePunct w:val="0"/>
        <w:bidi w:val="0"/>
        <w:snapToGrid/>
        <w:spacing w:line="360" w:lineRule="auto"/>
        <w:ind w:firstLine="525" w:firstLineChars="25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④反光片与突起路标反光片基体焊接强度高，反光片须不易从基体上脱落；</w:t>
      </w:r>
    </w:p>
    <w:p>
      <w:pPr>
        <w:keepNext w:val="0"/>
        <w:keepLines w:val="0"/>
        <w:pageBreakBefore w:val="0"/>
        <w:wordWrap/>
        <w:topLinePunct w:val="0"/>
        <w:bidi w:val="0"/>
        <w:snapToGrid/>
        <w:spacing w:line="360" w:lineRule="auto"/>
        <w:ind w:firstLine="525" w:firstLineChars="25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⑤突起路标基体底面应为平整设计，易于粘结；</w:t>
      </w:r>
    </w:p>
    <w:p>
      <w:pPr>
        <w:keepNext w:val="0"/>
        <w:keepLines w:val="0"/>
        <w:pageBreakBefore w:val="0"/>
        <w:wordWrap/>
        <w:topLinePunct w:val="0"/>
        <w:bidi w:val="0"/>
        <w:snapToGrid/>
        <w:spacing w:line="360" w:lineRule="auto"/>
        <w:ind w:firstLine="525" w:firstLineChars="25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⑥突起路标须可采用膨胀螺丝加胶水方式固定。</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B.突起路标安装朝向必须一致，与道路保持平行，误差应〈5°。</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C.同一车道安装位置必须在同一直线上，左右偏离应〈5mm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D.同一车道突起路标间距应保持一致,误差应〈5mm。</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E.同一路面不同车道突起路标应保持相对平行，偏离应〈5mm 。</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G.安装过程中，胶水涂抹必须均匀不得外露破坏路面及影响美观。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H.如路面有凹突起伏，须平整后方可安装，使得突起路标与路面完全粘贴。</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I.突起路标样式图（单面反光片）</w:t>
      </w:r>
    </w:p>
    <w:p>
      <w:pPr>
        <w:keepNext w:val="0"/>
        <w:keepLines w:val="0"/>
        <w:pageBreakBefore w:val="0"/>
        <w:wordWrap/>
        <w:topLinePunct w:val="0"/>
        <w:bidi w:val="0"/>
        <w:snapToGrid/>
        <w:spacing w:line="360" w:lineRule="auto"/>
        <w:ind w:firstLine="315" w:firstLineChars="1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4048125" cy="2313305"/>
            <wp:effectExtent l="0" t="0" r="9525" b="1079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rcRect b="3809"/>
                    <a:stretch>
                      <a:fillRect/>
                    </a:stretch>
                  </pic:blipFill>
                  <pic:spPr>
                    <a:xfrm>
                      <a:off x="0" y="0"/>
                      <a:ext cx="4048125" cy="231330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1301115" cy="3016885"/>
            <wp:effectExtent l="0" t="0" r="12065" b="1333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rot="-5400000">
                      <a:off x="0" y="0"/>
                      <a:ext cx="1301115" cy="3016885"/>
                    </a:xfrm>
                    <a:prstGeom prst="rect">
                      <a:avLst/>
                    </a:prstGeom>
                    <a:noFill/>
                    <a:ln>
                      <a:noFill/>
                    </a:ln>
                  </pic:spPr>
                </pic:pic>
              </a:graphicData>
            </a:graphic>
          </wp:inline>
        </w:drawing>
      </w:r>
    </w:p>
    <w:p>
      <w:pPr>
        <w:keepNext w:val="0"/>
        <w:keepLines w:val="0"/>
        <w:pageBreakBefore w:val="0"/>
        <w:wordWrap/>
        <w:topLinePunct w:val="0"/>
        <w:bidi w:val="0"/>
        <w:snapToGrid/>
        <w:spacing w:line="360" w:lineRule="auto"/>
        <w:rPr>
          <w:rFonts w:hint="eastAsia" w:ascii="宋体" w:hAnsi="宋体" w:eastAsia="宋体" w:cs="宋体"/>
          <w:color w:val="auto"/>
          <w:sz w:val="21"/>
          <w:szCs w:val="21"/>
          <w:highlight w:val="none"/>
          <w:lang w:val="zh-CN" w:eastAsia="zh-CN"/>
        </w:rPr>
      </w:pPr>
    </w:p>
    <w:p>
      <w:pPr>
        <w:keepNext w:val="0"/>
        <w:keepLines w:val="0"/>
        <w:pageBreakBefore w:val="0"/>
        <w:wordWrap/>
        <w:topLinePunct w:val="0"/>
        <w:bidi w:val="0"/>
        <w:snapToGrid/>
        <w:spacing w:line="360" w:lineRule="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九、违约及处罚约定</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（一）中标人应按合同约定配</w:t>
      </w:r>
      <w:r>
        <w:rPr>
          <w:rFonts w:hint="eastAsia" w:ascii="宋体" w:hAnsi="宋体" w:eastAsia="宋体" w:cs="宋体"/>
          <w:color w:val="auto"/>
          <w:sz w:val="21"/>
          <w:szCs w:val="21"/>
          <w:highlight w:val="none"/>
        </w:rPr>
        <w:t>足</w:t>
      </w:r>
      <w:r>
        <w:rPr>
          <w:rFonts w:hint="eastAsia" w:ascii="宋体" w:hAnsi="宋体" w:eastAsia="宋体" w:cs="宋体"/>
          <w:color w:val="auto"/>
          <w:sz w:val="21"/>
          <w:szCs w:val="21"/>
          <w:highlight w:val="none"/>
          <w:lang w:val="zh-CN"/>
        </w:rPr>
        <w:t>维护人员和车辆，并</w:t>
      </w:r>
      <w:r>
        <w:rPr>
          <w:rFonts w:hint="eastAsia" w:ascii="宋体" w:hAnsi="宋体" w:eastAsia="宋体" w:cs="宋体"/>
          <w:color w:val="auto"/>
          <w:sz w:val="21"/>
          <w:szCs w:val="21"/>
          <w:highlight w:val="none"/>
        </w:rPr>
        <w:t>安排好</w:t>
      </w:r>
      <w:r>
        <w:rPr>
          <w:rFonts w:hint="eastAsia" w:ascii="宋体" w:hAnsi="宋体" w:eastAsia="宋体" w:cs="宋体"/>
          <w:color w:val="auto"/>
          <w:sz w:val="21"/>
          <w:szCs w:val="21"/>
          <w:highlight w:val="none"/>
          <w:lang w:val="zh-CN"/>
        </w:rPr>
        <w:t>人、车值班计划以供检查。招标人、监理有权对中标人配备的人员和车辆进行不定期抽查。未按合同约定配备维护人员或不在本维护区域的，按</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00元/人/次扣除违约金；未按合同约定</w:t>
      </w:r>
      <w:r>
        <w:rPr>
          <w:rFonts w:hint="eastAsia" w:ascii="宋体" w:hAnsi="宋体" w:eastAsia="宋体" w:cs="宋体"/>
          <w:color w:val="auto"/>
          <w:sz w:val="21"/>
          <w:szCs w:val="21"/>
          <w:highlight w:val="none"/>
        </w:rPr>
        <w:t>安排</w:t>
      </w:r>
      <w:r>
        <w:rPr>
          <w:rFonts w:hint="eastAsia" w:ascii="宋体" w:hAnsi="宋体" w:eastAsia="宋体" w:cs="宋体"/>
          <w:color w:val="auto"/>
          <w:sz w:val="21"/>
          <w:szCs w:val="21"/>
          <w:highlight w:val="none"/>
          <w:lang w:val="zh-CN"/>
        </w:rPr>
        <w:t>维护车辆</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val="zh-CN"/>
        </w:rPr>
        <w:t>巡查、排查、维护的，扣除</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00元/</w:t>
      </w:r>
      <w:r>
        <w:rPr>
          <w:rFonts w:hint="eastAsia" w:ascii="宋体" w:hAnsi="宋体" w:eastAsia="宋体" w:cs="宋体"/>
          <w:color w:val="auto"/>
          <w:sz w:val="21"/>
          <w:szCs w:val="21"/>
          <w:highlight w:val="none"/>
        </w:rPr>
        <w:t>辆</w:t>
      </w:r>
      <w:r>
        <w:rPr>
          <w:rFonts w:hint="eastAsia" w:ascii="宋体" w:hAnsi="宋体" w:eastAsia="宋体" w:cs="宋体"/>
          <w:color w:val="auto"/>
          <w:sz w:val="21"/>
          <w:szCs w:val="21"/>
          <w:highlight w:val="none"/>
          <w:lang w:val="zh-CN"/>
        </w:rPr>
        <w:t>/次（招标人安排其他任务或者招标人同意在其他区域的除外）；</w:t>
      </w:r>
      <w:r>
        <w:rPr>
          <w:rFonts w:hint="eastAsia" w:ascii="宋体" w:hAnsi="宋体" w:eastAsia="宋体" w:cs="宋体"/>
          <w:color w:val="auto"/>
          <w:sz w:val="21"/>
          <w:szCs w:val="21"/>
          <w:highlight w:val="none"/>
          <w:lang w:val="en-US" w:eastAsia="zh-CN"/>
        </w:rPr>
        <w:t>违约三次以上按</w:t>
      </w:r>
      <w:r>
        <w:rPr>
          <w:rFonts w:hint="eastAsia" w:ascii="宋体" w:hAnsi="宋体" w:eastAsia="宋体" w:cs="宋体"/>
          <w:color w:val="auto"/>
          <w:sz w:val="21"/>
          <w:szCs w:val="21"/>
          <w:highlight w:val="none"/>
          <w:lang w:val="zh-CN"/>
        </w:rPr>
        <w:t>扣除</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00</w:t>
      </w:r>
      <w:r>
        <w:rPr>
          <w:rFonts w:hint="eastAsia" w:ascii="宋体" w:hAnsi="宋体" w:eastAsia="宋体" w:cs="宋体"/>
          <w:color w:val="auto"/>
          <w:sz w:val="21"/>
          <w:szCs w:val="21"/>
          <w:highlight w:val="none"/>
          <w:lang w:val="en-US" w:eastAsia="zh-CN"/>
        </w:rPr>
        <w:t>/次。</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（二）中标人未在</w:t>
      </w:r>
      <w:r>
        <w:rPr>
          <w:rFonts w:hint="eastAsia" w:ascii="宋体" w:hAnsi="宋体" w:eastAsia="宋体" w:cs="宋体"/>
          <w:color w:val="auto"/>
          <w:sz w:val="21"/>
          <w:szCs w:val="21"/>
          <w:highlight w:val="none"/>
          <w:lang w:val="zh-CN" w:eastAsia="zh-CN"/>
        </w:rPr>
        <w:t>招标人下派任务</w:t>
      </w:r>
      <w:r>
        <w:rPr>
          <w:rFonts w:hint="eastAsia" w:ascii="宋体" w:hAnsi="宋体" w:eastAsia="宋体" w:cs="宋体"/>
          <w:color w:val="auto"/>
          <w:sz w:val="21"/>
          <w:szCs w:val="21"/>
          <w:highlight w:val="none"/>
          <w:lang w:val="zh-CN"/>
        </w:rPr>
        <w:t>1小时内及时响应的，扣除违约金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00元/次；抢修任务未在招标人要求时间内完成任务的，扣除违约金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00元/次；未按合同履行巡查、排查、维护的或者接到报修未及时响应的，扣除违约金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00元/次。</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（三）中标人未按图纸和招标人要求维护</w:t>
      </w:r>
      <w:r>
        <w:rPr>
          <w:rFonts w:hint="eastAsia" w:ascii="宋体" w:hAnsi="宋体" w:eastAsia="宋体" w:cs="宋体"/>
          <w:color w:val="auto"/>
          <w:sz w:val="21"/>
          <w:szCs w:val="21"/>
          <w:highlight w:val="none"/>
          <w:lang w:val="en-US" w:eastAsia="zh-CN"/>
        </w:rPr>
        <w:t>的(包括但不仅限于</w:t>
      </w:r>
      <w:r>
        <w:rPr>
          <w:rFonts w:hint="eastAsia" w:ascii="宋体" w:hAnsi="宋体" w:eastAsia="宋体" w:cs="宋体"/>
          <w:color w:val="auto"/>
          <w:sz w:val="21"/>
          <w:szCs w:val="21"/>
          <w:highlight w:val="none"/>
          <w:lang w:val="zh-CN"/>
        </w:rPr>
        <w:t>不服从招标人管理</w:t>
      </w:r>
      <w:r>
        <w:rPr>
          <w:rFonts w:hint="eastAsia" w:ascii="宋体" w:hAnsi="宋体" w:eastAsia="宋体" w:cs="宋体"/>
          <w:color w:val="auto"/>
          <w:sz w:val="21"/>
          <w:szCs w:val="21"/>
          <w:highlight w:val="none"/>
          <w:lang w:val="zh-CN" w:eastAsia="zh-CN"/>
        </w:rPr>
        <w:t>和</w:t>
      </w:r>
      <w:r>
        <w:rPr>
          <w:rFonts w:hint="eastAsia" w:ascii="宋体" w:hAnsi="宋体" w:eastAsia="宋体" w:cs="宋体"/>
          <w:color w:val="auto"/>
          <w:sz w:val="21"/>
          <w:szCs w:val="21"/>
          <w:highlight w:val="none"/>
          <w:lang w:val="zh-CN"/>
        </w:rPr>
        <w:t>监理安排的、标线明显污染地面或严重滴漏的、设施经检测发现质量不合格的、设施样式未按要求保持一致的等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rPr>
        <w:t>由监理发出整改通知书并扣除违约金</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00元/次，同时重新进行返工（因此产生的费用均由中标人承担），除按合同条款扣款外，根据造成后果严重程度，承担相应的法律责任并赔偿损失。图纸和招标人要求明显有误的，中标人应及时与招标人或监理沟通，不得擅自调整图纸和方案。</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（四）因中标人过错造成不良影响的（包括但不仅限于导致产生舆情、未提前半天以上通知所属交警大队中队和道路秩序处民警就擅自封闭车道施工造成交通拥堵</w:t>
      </w:r>
      <w:r>
        <w:rPr>
          <w:rFonts w:hint="eastAsia" w:ascii="宋体" w:hAnsi="宋体" w:eastAsia="宋体" w:cs="宋体"/>
          <w:color w:val="auto"/>
          <w:sz w:val="21"/>
          <w:szCs w:val="21"/>
          <w:highlight w:val="none"/>
          <w:lang w:val="zh-CN" w:eastAsia="zh-CN"/>
        </w:rPr>
        <w:t>或</w:t>
      </w:r>
      <w:r>
        <w:rPr>
          <w:rFonts w:hint="eastAsia" w:ascii="宋体" w:hAnsi="宋体" w:eastAsia="宋体" w:cs="宋体"/>
          <w:color w:val="auto"/>
          <w:sz w:val="21"/>
          <w:szCs w:val="21"/>
          <w:highlight w:val="none"/>
          <w:lang w:val="zh-CN"/>
        </w:rPr>
        <w:t>交通中断的），扣除违约金2000元/次，同时重新进行返工（因此产生的费用均由中标人承担）。</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（五）重大活动、紧急任务、台风等恶劣天气特殊情况时，招标人和监理均有权对中标人配备的人员和车辆进行不定期抽查，未达到应急预案要求的，扣除违约金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000元/次。</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（六）中标人提供的资料不准确或未按时限和填写要求上报的，前五次扣除违约金</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0元/次，第六次起扣除违约金</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0元/次，同时整改后重新提供准确资料或按要求填写上报。</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（七）中标人支付违约金、赔偿金后并不免除其他义务的继续履行。</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Hans"/>
        </w:rPr>
        <w:t>八</w:t>
      </w:r>
      <w:r>
        <w:rPr>
          <w:rFonts w:hint="eastAsia" w:ascii="宋体" w:hAnsi="宋体" w:eastAsia="宋体" w:cs="宋体"/>
          <w:color w:val="auto"/>
          <w:sz w:val="21"/>
          <w:szCs w:val="21"/>
          <w:highlight w:val="none"/>
          <w:lang w:val="zh-CN"/>
        </w:rPr>
        <w:t>）中标人有下列行为之一的，招标人有权终止合同：</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1.不符合工程技术标准的；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2.偷工减料的；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3.不按图实施维护的；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4.擅自增设或变更交通安全设施的；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5.工程转包的；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6.不文明安全实施维护造成责任事故的；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7.不服从现场民警指挥造成严重交通拥堵的；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8.合同期内未达到招标人要求的自有或者租赁设施维护的办公、材料堆放、车辆停放场地的。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9.投标文件所描述的维护班组负责人或交通设施基础信息数据录入人员与实际不符的（同时列入政府采购黑名单）。因离职等原因，人员需要调整的，需提前经招标人认可；</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.累计扣除的违约金达到或超出合同金额10%的；</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rPr>
        <w:t>整改通知书</w:t>
      </w:r>
      <w:r>
        <w:rPr>
          <w:rFonts w:hint="eastAsia" w:ascii="宋体" w:hAnsi="宋体" w:eastAsia="宋体" w:cs="宋体"/>
          <w:color w:val="auto"/>
          <w:sz w:val="21"/>
          <w:szCs w:val="21"/>
          <w:highlight w:val="none"/>
          <w:lang w:val="en-US" w:eastAsia="zh-CN"/>
        </w:rPr>
        <w:t>累计</w:t>
      </w:r>
      <w:r>
        <w:rPr>
          <w:rFonts w:hint="eastAsia" w:ascii="宋体" w:hAnsi="宋体" w:eastAsia="宋体" w:cs="宋体"/>
          <w:color w:val="auto"/>
          <w:sz w:val="21"/>
          <w:szCs w:val="21"/>
          <w:highlight w:val="none"/>
          <w:lang w:val="zh-CN"/>
        </w:rPr>
        <w:t>发出</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lang w:val="zh-CN"/>
        </w:rPr>
        <w:t>次的；</w:t>
      </w:r>
    </w:p>
    <w:p>
      <w:pPr>
        <w:keepNext w:val="0"/>
        <w:keepLines w:val="0"/>
        <w:pageBreakBefore w:val="0"/>
        <w:wordWrap/>
        <w:topLinePunct w:val="0"/>
        <w:bidi w:val="0"/>
        <w:snapToGrid/>
        <w:spacing w:line="360" w:lineRule="auto"/>
        <w:rPr>
          <w:rFonts w:hint="eastAsia" w:ascii="宋体" w:hAnsi="宋体" w:eastAsia="宋体" w:cs="宋体"/>
          <w:b/>
          <w:bCs/>
          <w:color w:val="auto"/>
          <w:sz w:val="21"/>
          <w:szCs w:val="21"/>
          <w:highlight w:val="none"/>
          <w:lang w:val="zh-CN"/>
        </w:rPr>
      </w:pPr>
    </w:p>
    <w:p>
      <w:pPr>
        <w:keepNext w:val="0"/>
        <w:keepLines w:val="0"/>
        <w:pageBreakBefore w:val="0"/>
        <w:wordWrap/>
        <w:topLinePunct w:val="0"/>
        <w:bidi w:val="0"/>
        <w:snapToGrid/>
        <w:spacing w:line="360" w:lineRule="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十、其他相关要求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（一）项目清单中的主材如无特殊说明，质保期为项目结算送审后一年。主材出现故障</w:t>
      </w:r>
      <w:r>
        <w:rPr>
          <w:rFonts w:hint="eastAsia" w:ascii="宋体" w:hAnsi="宋体" w:eastAsia="宋体" w:cs="宋体"/>
          <w:color w:val="auto"/>
          <w:sz w:val="21"/>
          <w:szCs w:val="21"/>
          <w:highlight w:val="none"/>
          <w:lang w:val="zh-CN" w:eastAsia="zh-CN"/>
        </w:rPr>
        <w:t>的</w:t>
      </w:r>
      <w:r>
        <w:rPr>
          <w:rFonts w:hint="eastAsia" w:ascii="宋体" w:hAnsi="宋体" w:eastAsia="宋体" w:cs="宋体"/>
          <w:color w:val="auto"/>
          <w:sz w:val="21"/>
          <w:szCs w:val="21"/>
          <w:highlight w:val="none"/>
          <w:lang w:val="zh-CN"/>
        </w:rPr>
        <w:t>，要求</w:t>
      </w:r>
      <w:r>
        <w:rPr>
          <w:rFonts w:hint="eastAsia" w:ascii="宋体" w:hAnsi="宋体" w:eastAsia="宋体" w:cs="宋体"/>
          <w:color w:val="auto"/>
          <w:sz w:val="21"/>
          <w:szCs w:val="21"/>
          <w:highlight w:val="none"/>
          <w:lang w:val="zh-CN" w:eastAsia="zh-CN"/>
        </w:rPr>
        <w:t>投标人</w:t>
      </w:r>
      <w:r>
        <w:rPr>
          <w:rFonts w:hint="eastAsia" w:ascii="宋体" w:hAnsi="宋体" w:eastAsia="宋体" w:cs="宋体"/>
          <w:color w:val="auto"/>
          <w:sz w:val="21"/>
          <w:szCs w:val="21"/>
          <w:highlight w:val="none"/>
          <w:lang w:val="zh-CN"/>
        </w:rPr>
        <w:t>在接到招标人的电话后2小时内响应,24小时内修复,更换送修在2个</w:t>
      </w:r>
      <w:r>
        <w:rPr>
          <w:rFonts w:hint="eastAsia" w:ascii="宋体" w:hAnsi="宋体" w:eastAsia="宋体" w:cs="宋体"/>
          <w:color w:val="auto"/>
          <w:sz w:val="21"/>
          <w:szCs w:val="21"/>
          <w:highlight w:val="none"/>
          <w:lang w:val="en-US" w:eastAsia="zh-CN"/>
        </w:rPr>
        <w:t>自然</w:t>
      </w:r>
      <w:r>
        <w:rPr>
          <w:rFonts w:hint="eastAsia" w:ascii="宋体" w:hAnsi="宋体" w:eastAsia="宋体" w:cs="宋体"/>
          <w:color w:val="auto"/>
          <w:sz w:val="21"/>
          <w:szCs w:val="21"/>
          <w:highlight w:val="none"/>
          <w:lang w:val="zh-CN"/>
        </w:rPr>
        <w:t>日内完成,质保期内出现质量问题,</w:t>
      </w:r>
      <w:r>
        <w:rPr>
          <w:rFonts w:hint="eastAsia" w:ascii="宋体" w:hAnsi="宋体" w:eastAsia="宋体" w:cs="宋体"/>
          <w:color w:val="auto"/>
          <w:sz w:val="21"/>
          <w:szCs w:val="21"/>
          <w:highlight w:val="none"/>
          <w:lang w:val="zh-CN" w:eastAsia="zh-CN"/>
        </w:rPr>
        <w:t>投标人</w:t>
      </w:r>
      <w:r>
        <w:rPr>
          <w:rFonts w:hint="eastAsia" w:ascii="宋体" w:hAnsi="宋体" w:eastAsia="宋体" w:cs="宋体"/>
          <w:color w:val="auto"/>
          <w:sz w:val="21"/>
          <w:szCs w:val="21"/>
          <w:highlight w:val="none"/>
          <w:lang w:val="zh-CN"/>
        </w:rPr>
        <w:t>负责包修、包退、包换。</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（二）投标人应承担其参加本招标活动自身所发生的费用。</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（三）投标人必须做出书面承诺：保证能满足招标人提出的针对本项目的具体要求。</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四）投标人要制订用工计划和加强劳动用工管理，必须符合劳动法等法律法规的要求，与员工签订正规的劳动合同，负责支付上岗人员的工资、津贴、社会保险及根据国家规定应支付的各项费用。承担体检、培训费用，并负责办理上岗人员的暂住证、计划生育证明等有关证件。人员工资不得低于宁波市最低标准，招标人有权审核服务团队的薪酬标准。</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（五）所有岗位作业人员所需要的用具等均由投标人负责，使用和发放管理由投标人自行管理。</w:t>
      </w:r>
    </w:p>
    <w:p>
      <w:pPr>
        <w:keepNext w:val="0"/>
        <w:keepLines w:val="0"/>
        <w:pageBreakBefore w:val="0"/>
        <w:wordWrap/>
        <w:topLinePunct w:val="0"/>
        <w:bidi w:val="0"/>
        <w:snapToGrid/>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（六）所有配置人员的劳动关系、工作安排、工伤事故和一切意外伤害都与招标人无涉。</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七</w:t>
      </w:r>
      <w:r>
        <w:rPr>
          <w:rFonts w:hint="eastAsia" w:ascii="宋体" w:hAnsi="宋体" w:eastAsia="宋体" w:cs="宋体"/>
          <w:color w:val="auto"/>
          <w:sz w:val="21"/>
          <w:szCs w:val="21"/>
          <w:highlight w:val="none"/>
          <w:lang w:val="zh-CN"/>
        </w:rPr>
        <w:t>）招标人向投标人提供的有关现场的资料和数据，是招标人现有的能使投标人利用的资料。招标人对投标人由此而做出的推论、理解和结论概不负责。</w:t>
      </w:r>
    </w:p>
    <w:p>
      <w:pPr>
        <w:pStyle w:val="124"/>
        <w:keepNext w:val="0"/>
        <w:keepLines w:val="0"/>
        <w:pageBreakBefore w:val="0"/>
        <w:wordWrap/>
        <w:topLinePunct w:val="0"/>
        <w:bidi w:val="0"/>
        <w:snapToGrid/>
        <w:spacing w:beforeLines="0" w:afterLines="0" w:line="360" w:lineRule="auto"/>
        <w:ind w:left="0" w:leftChars="0" w:firstLine="0" w:firstLineChars="0"/>
        <w:rPr>
          <w:rFonts w:hint="eastAsia" w:ascii="宋体" w:hAnsi="宋体" w:eastAsia="宋体" w:cs="宋体"/>
          <w:b/>
          <w:bCs/>
          <w:color w:val="auto"/>
          <w:sz w:val="21"/>
          <w:szCs w:val="21"/>
          <w:highlight w:val="none"/>
          <w:lang w:val="zh-CN"/>
        </w:rPr>
      </w:pPr>
    </w:p>
    <w:p>
      <w:pPr>
        <w:pStyle w:val="124"/>
        <w:keepNext w:val="0"/>
        <w:keepLines w:val="0"/>
        <w:pageBreakBefore w:val="0"/>
        <w:wordWrap/>
        <w:topLinePunct w:val="0"/>
        <w:bidi w:val="0"/>
        <w:snapToGrid/>
        <w:spacing w:beforeLines="0" w:afterLines="0" w:line="360" w:lineRule="auto"/>
        <w:ind w:left="0" w:leftChars="0" w:firstLine="0" w:firstLineChars="0"/>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十一、投标时提供样品清单</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（一）铝板上画1.5米长15公分宽喷涂型双组份标线（白色）一块；</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（二）标志一块，依据《道路交通标志和标线》（GB5768）</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lang w:val="en-US" w:eastAsia="zh-Hans"/>
        </w:rPr>
        <w:t>大样图</w:t>
      </w:r>
      <w:r>
        <w:rPr>
          <w:rFonts w:hint="default" w:ascii="宋体" w:hAnsi="宋体" w:eastAsia="宋体" w:cs="宋体"/>
          <w:color w:val="auto"/>
          <w:sz w:val="21"/>
          <w:szCs w:val="21"/>
          <w:highlight w:val="none"/>
          <w:lang w:val="zh-CN" w:eastAsia="zh-Hans"/>
        </w:rPr>
        <w:t>（</w:t>
      </w:r>
      <w:r>
        <w:rPr>
          <w:rFonts w:hint="eastAsia" w:ascii="宋体" w:hAnsi="宋体" w:eastAsia="宋体" w:cs="宋体"/>
          <w:color w:val="auto"/>
          <w:sz w:val="21"/>
          <w:szCs w:val="21"/>
          <w:highlight w:val="none"/>
          <w:lang w:val="en-US" w:eastAsia="zh-CN"/>
        </w:rPr>
        <w:t>附件1</w:t>
      </w:r>
      <w:r>
        <w:rPr>
          <w:rFonts w:hint="default"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zh-CN"/>
        </w:rPr>
        <w:t>制作一块</w:t>
      </w:r>
      <w:r>
        <w:rPr>
          <w:rFonts w:hint="eastAsia" w:ascii="宋体" w:hAnsi="宋体" w:eastAsia="宋体" w:cs="宋体"/>
          <w:color w:val="auto"/>
          <w:sz w:val="21"/>
          <w:szCs w:val="21"/>
          <w:highlight w:val="none"/>
          <w:lang w:val="en-US" w:eastAsia="zh-CN"/>
        </w:rPr>
        <w:t>地名确认</w:t>
      </w:r>
      <w:r>
        <w:rPr>
          <w:rFonts w:hint="eastAsia" w:ascii="宋体" w:hAnsi="宋体" w:eastAsia="宋体" w:cs="宋体"/>
          <w:color w:val="auto"/>
          <w:sz w:val="21"/>
          <w:szCs w:val="21"/>
          <w:highlight w:val="none"/>
          <w:lang w:val="zh-CN"/>
        </w:rPr>
        <w:t>标志，反光膜采用超强级）；</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（三）根据高度渐变中心护栏大样图</w:t>
      </w:r>
      <w:r>
        <w:rPr>
          <w:rFonts w:hint="default"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zh-CN" w:eastAsia="zh-Hans"/>
        </w:rPr>
        <w:t>附件</w:t>
      </w:r>
      <w:r>
        <w:rPr>
          <w:rFonts w:hint="default" w:ascii="宋体" w:hAnsi="宋体" w:eastAsia="宋体" w:cs="宋体"/>
          <w:color w:val="auto"/>
          <w:sz w:val="21"/>
          <w:szCs w:val="21"/>
          <w:highlight w:val="none"/>
          <w:lang w:val="zh-CN" w:eastAsia="zh-Hans"/>
        </w:rPr>
        <w:t>2</w:t>
      </w:r>
      <w:r>
        <w:rPr>
          <w:rFonts w:hint="default"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zh-CN"/>
        </w:rPr>
        <w:t>提供一套高度渐变中心护栏（包括护栏、底座、帽盖、反光片）</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样品说明：</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投标样品仅作为评分项，评委按照招标文件规定的评分方法和评分标准对样品进行评价，投标样品质量不影响其投标文件的有效性。</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投标样品须标明投标人名称。</w:t>
      </w:r>
    </w:p>
    <w:p>
      <w:pPr>
        <w:pStyle w:val="124"/>
        <w:keepNext w:val="0"/>
        <w:keepLines w:val="0"/>
        <w:pageBreakBefore w:val="0"/>
        <w:wordWrap/>
        <w:topLinePunct w:val="0"/>
        <w:bidi w:val="0"/>
        <w:snapToGrid/>
        <w:spacing w:beforeLines="0" w:afterLines="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本项目样品由评委现场评审。</w:t>
      </w:r>
    </w:p>
    <w:p>
      <w:pPr>
        <w:pStyle w:val="124"/>
        <w:keepNext w:val="0"/>
        <w:keepLines w:val="0"/>
        <w:pageBreakBefore w:val="0"/>
        <w:wordWrap/>
        <w:topLinePunct w:val="0"/>
        <w:bidi w:val="0"/>
        <w:snapToGrid/>
        <w:spacing w:beforeLines="0" w:afterLines="0" w:line="360" w:lineRule="auto"/>
        <w:ind w:firstLine="42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4、投标样品应于投标截止时间前递交至</w:t>
      </w:r>
      <w:r>
        <w:rPr>
          <w:rFonts w:hint="eastAsia" w:cs="宋体"/>
          <w:b/>
          <w:bCs/>
          <w:color w:val="auto"/>
          <w:sz w:val="21"/>
          <w:szCs w:val="21"/>
          <w:highlight w:val="none"/>
          <w:lang w:val="en-US" w:eastAsia="zh-CN"/>
        </w:rPr>
        <w:t>宁波市国际招标有限公司，未在投标截止时间前递交的作无效标处理。</w:t>
      </w:r>
    </w:p>
    <w:p>
      <w:pPr>
        <w:rPr>
          <w:rFonts w:ascii="宋体" w:hAnsi="宋体" w:cs="仿宋"/>
          <w:b/>
          <w:color w:val="auto"/>
          <w:sz w:val="21"/>
          <w:szCs w:val="21"/>
          <w:highlight w:val="none"/>
        </w:rPr>
      </w:pPr>
      <w:r>
        <w:rPr>
          <w:rFonts w:hint="eastAsia" w:ascii="宋体" w:hAnsi="宋体" w:cs="仿宋"/>
          <w:b/>
          <w:color w:val="auto"/>
          <w:sz w:val="21"/>
          <w:szCs w:val="21"/>
          <w:highlight w:val="none"/>
        </w:rPr>
        <w:br w:type="page"/>
      </w:r>
    </w:p>
    <w:p>
      <w:pPr>
        <w:numPr>
          <w:ilvl w:val="0"/>
          <w:numId w:val="6"/>
        </w:numPr>
        <w:spacing w:line="360" w:lineRule="auto"/>
        <w:jc w:val="center"/>
        <w:rPr>
          <w:rFonts w:ascii="宋体" w:hAnsi="宋体" w:cs="仿宋"/>
          <w:b/>
          <w:bCs/>
          <w:color w:val="auto"/>
          <w:sz w:val="21"/>
          <w:szCs w:val="21"/>
          <w:highlight w:val="none"/>
        </w:rPr>
      </w:pPr>
      <w:r>
        <w:rPr>
          <w:rFonts w:hint="eastAsia" w:ascii="宋体" w:hAnsi="宋体" w:cs="仿宋"/>
          <w:b/>
          <w:color w:val="auto"/>
          <w:sz w:val="21"/>
          <w:szCs w:val="21"/>
          <w:highlight w:val="none"/>
        </w:rPr>
        <w:t xml:space="preserve">  </w:t>
      </w:r>
      <w:r>
        <w:rPr>
          <w:rFonts w:hint="eastAsia" w:ascii="宋体" w:hAnsi="宋体" w:cs="仿宋"/>
          <w:b/>
          <w:bCs/>
          <w:color w:val="auto"/>
          <w:sz w:val="21"/>
          <w:szCs w:val="21"/>
          <w:highlight w:val="none"/>
        </w:rPr>
        <w:t>技术要求内容</w:t>
      </w:r>
    </w:p>
    <w:p>
      <w:pPr>
        <w:spacing w:line="360" w:lineRule="auto"/>
        <w:rPr>
          <w:rFonts w:hint="eastAsia"/>
          <w:b/>
          <w:bCs/>
          <w:color w:val="auto"/>
          <w:kern w:val="2"/>
          <w:sz w:val="21"/>
          <w:szCs w:val="21"/>
          <w:highlight w:val="none"/>
        </w:rPr>
      </w:pPr>
      <w:r>
        <w:rPr>
          <w:rFonts w:hint="eastAsia"/>
          <w:b/>
          <w:bCs/>
          <w:color w:val="auto"/>
          <w:kern w:val="2"/>
          <w:sz w:val="21"/>
          <w:szCs w:val="21"/>
          <w:highlight w:val="none"/>
        </w:rPr>
        <w:t>标项一</w:t>
      </w:r>
      <w:r>
        <w:rPr>
          <w:rFonts w:hint="eastAsia"/>
          <w:b/>
          <w:bCs/>
          <w:color w:val="auto"/>
          <w:kern w:val="2"/>
          <w:sz w:val="21"/>
          <w:szCs w:val="21"/>
          <w:highlight w:val="none"/>
          <w:lang w:eastAsia="zh-CN"/>
        </w:rPr>
        <w:t>：江北区常规交通设施年度维护</w:t>
      </w:r>
      <w:r>
        <w:rPr>
          <w:rFonts w:hint="eastAsia"/>
          <w:b/>
          <w:bCs/>
          <w:color w:val="auto"/>
          <w:kern w:val="2"/>
          <w:sz w:val="21"/>
          <w:szCs w:val="21"/>
          <w:highlight w:val="none"/>
        </w:rPr>
        <w:t>清单</w:t>
      </w:r>
    </w:p>
    <w:tbl>
      <w:tblPr>
        <w:tblStyle w:val="40"/>
        <w:tblW w:w="5376" w:type="pct"/>
        <w:tblInd w:w="-3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9"/>
        <w:gridCol w:w="1784"/>
        <w:gridCol w:w="4171"/>
        <w:gridCol w:w="796"/>
        <w:gridCol w:w="1259"/>
        <w:gridCol w:w="1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366"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10"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服务项目</w:t>
            </w:r>
          </w:p>
        </w:tc>
        <w:tc>
          <w:tcPr>
            <w:tcW w:w="212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技术参数</w:t>
            </w:r>
          </w:p>
        </w:tc>
        <w:tc>
          <w:tcPr>
            <w:tcW w:w="406"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64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综合单价最高限价（元）</w:t>
            </w:r>
          </w:p>
        </w:tc>
        <w:tc>
          <w:tcPr>
            <w:tcW w:w="54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分类预算金额</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维护项目</w:t>
            </w:r>
          </w:p>
        </w:tc>
        <w:tc>
          <w:tcPr>
            <w:tcW w:w="372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常温标线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厚度0.4mm以上</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11.79</w:t>
            </w:r>
          </w:p>
        </w:tc>
        <w:tc>
          <w:tcPr>
            <w:tcW w:w="54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44.06</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Ⅱ级反光热熔标线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普通热熔振荡标线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基线厚度达到1.5mm，突起部分高度达到5mm，均匀撒布反光珠</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91.23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Ⅱ级振荡反光热熔标线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彩色防滑路面标线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使用三层工艺，含地面夯平、清洁路面、涂布彩色底漆、撒砂、收砂、涂布高光面漆。标线厚度2-3mm。陶瓷颗粒直径1-2mm。</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179.85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双组份结构型反光标线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高压水除线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超高压水磨清洗法，清除老标线，无明显痕迹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39.24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绿化带端头刷漆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按照GB5768要求施划立面标记，黄黑漆，零星施工。</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89.38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705.13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711.34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975.23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981.45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989.24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标志牌贴膜改版</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旧标牌内容变更，贴超强级反光膜</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788.31</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784.39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799.95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杆件、警示桩、护栏边柱、岗亭等设施贴超强级反光膜。按实计算</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KT板（广告牌）</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按要求设计版面</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抱箍</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铝滑槽抱箍、镀锌U型管夹抱箍、紧固件抱箍圈。含配套螺栓螺母。</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30.52</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小型活动支架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钢制活动支架，用以直接设置在路上，3m2以下</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403.3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大型活动支架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钢制活动支架，用以直接设置在路上，3m2以上，含3m2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机动车靠右标志（一体化）</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黄黑警示桩上结合标志牌，含安装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695.32</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标志牌清洗</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仅限大于5m²的，小于等于5m²的包含于年度维护费中</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安装于指定位置。详见交警局《宁波市交通标杆及基础、交通护栏大样图 V2.1》 所有大于DN110的杆件终生质保并按照大样图制作铭牌。不含基础。</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10414.75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基础（C25混凝土）</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含基础开挖,混凝土浇灌。详见交警局《宁波市交通标杆及基础、交通护栏大样图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947.77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基础（杆件钢筋）</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详见交警局《宁波市交通标杆及基础、交通护栏大样图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5713.17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大型杆件吊装</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不含基础，含杆件运输和吊装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827.5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348.46</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护栏反光片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安装在护栏边柱，反光诱导作用，两片一组，一片的价格为一组的一半</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城市护栏轮廓标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1.由弹性TPU材料制成，耐刮擦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2.反光膜区域内凹2mm，减少刮擦磨损；含3M反光膜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3.规格:12.4*5.4*3cm</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护栏底座</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对损坏底座进行更换，并安装于指定位置。详见各阶段护栏标准</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护栏普通盖帽</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安装在护栏的顶部，并安装于指定位置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8.72</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中心护栏边柱方管（含反光膜）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机非护栏边柱方管（含反光膜）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护栏道钉</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护栏安装后固定用的钉子，材质须为镀锌。</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枚</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高度渐变中心护栏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中心矮护栏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326.44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2m/扇，整体高度80cm，详见护栏大样图，含所有配件和安装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546.7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2m/扇，详见护栏大样图，含配件，不含安装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414.2</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弧形护栏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中央绿篱</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1180mm*3000mm，并安装于指定位置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起伏波浪纹景观护栏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738.45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古藏金典护栏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600.82</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波形护栏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含栏板、托架、立柱、护头、铁脚等配件，含基础开挖、夯实、钢笼、预理件及混凝土浇灌，高度、长度参照大样图，并安装于指定位置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218.26</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景观护栏花箱</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1144.5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景观护栏（东部新城）</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479.6</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中山路花箱护栏（波浪）</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中山路花箱护栏（回字）</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瓦片式护栏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4469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185.23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人非不锈钢护栏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514.67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人行护栏刷漆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对生锈的人行护栏刷油漆，含油漆费用</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可移动护栏（钢轮）</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活动中心护栏（加工）</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4000*1050mm，详见交警局《宁波市交通标杆及基础、交通护栏大样图 V2.1》中心护栏样式，底座改滚轮式</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不锈钢伸缩护栏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高1.3米，运送至甲方指定地点。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272.47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锁具</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3米链条（防剪加粗8mm）+锁具</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车档石柱隔离墩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ø220*500mm，贴3M黄黑反光条，含基础开挖及安装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新款防撞桶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贴红白反光膜，桶内装入适当沙石，并放置指定位置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278.93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三联防撞桶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新型船式防撞桶，由三个防撞桶组成</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2001.13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DN100警示桩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法兰盘300*300*14mm，立柱ø110*800*4mm，整件热镀锌， 4个膨胀螺丝固定。运送至甲方指定地点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152.6</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φ115.8道钉式弹性交通柱</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PU材质，硬度85-90A，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可拆卸式弹性交通柱（红白）</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φ80*750，符合GBT 24972-2010可拆卸式弹性交通柱标准（甲供安装数量总计超过1000根后每安装一根甲供材料补贴5元）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87.18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二次过街用的警示桩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用在二次过街路口，黄黑相间</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锥筒</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新款pvc材质交通路锥，产品技术参数须符合符合招标文件中的技术要求。反光膜上打有宁波交警水印</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水马</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新款水马，滚塑三孔，1500*800mm，净重大于12.5公斤，桶内装入适当沙石，并放置指定位置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365.83</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防眩板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220*900mm，4个304不锈钢膨胀螺丝固定，玻璃钢质，并安装指定位置（甲供安装数量总计超过1000片后每安装一片甲供材料补贴5元）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防抛网</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220*900mm，4个膨胀螺丝固定，玻璃钢质，并安装指定位置（甲供安装数量总计超过1000片后每安装一片甲供材料补贴5元）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196.2</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可导向钢制防撞垫</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符合JTG D81-2017和JTG/T D81-2017的要求</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32700</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轮廓标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反光诱导作用，并安装于指定位置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减速垄</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橡胶反光减速带，1000*360*50mm或500*360*50mm黄黑条纹，每米8根道钉固定。并安装于指定位置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111.71</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抽屉锁</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A级锁，岗亭衣柜及办公抽屉锁等</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岗亭门锁</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B级锁即可。</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岗亭玻璃（平面），更换岗亭玻璃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岗亭玻璃(曲面)</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更换岗亭玻璃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岗亭灯管</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更换岗亭日光灯管</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岗亭（空调加氟利昂）</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老旧空调加氟利昂</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次</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岗亭（空调遥控器）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适配岗亭空调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1.5P，型号不限</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4360</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1.0P，型号不限</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满足岗亭日常清洁需求</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岗亭内的扫把、拖把、水桶、垃圾畚斗、抹布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岗亭（空调铜管）</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更换岗亭空调铜管</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岗亭（空调插座）</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更换岗亭空调插座</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岗亭（空调主板）</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更换岗亭空调主板</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岗亭空调清洗，漏水修复</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岗亭清洗</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对岗亭进行整体清洗</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行人二次过街横杆</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2180</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4芯电缆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ZCKVVR电缆线4*1.5mm</w:t>
            </w:r>
            <w:r>
              <w:rPr>
                <w:rStyle w:val="166"/>
                <w:rFonts w:hint="eastAsia" w:ascii="宋体" w:hAnsi="宋体" w:eastAsia="宋体" w:cs="宋体"/>
                <w:color w:val="auto"/>
                <w:sz w:val="21"/>
                <w:szCs w:val="21"/>
                <w:highlight w:val="none"/>
                <w:lang w:val="en-US" w:eastAsia="zh-CN" w:bidi="ar"/>
              </w:rPr>
              <w:t>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凸面镜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直径80cm 含DN100杆件及基础制作和安装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707.7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挡车器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500*150*100mm，黄黑色，膨胀螺丝固定，并安装于指定位置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108.98</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爆闪灯</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双面太阳能LED灯，带储电池，并安装于指定位置。不含DN80立杆和基础</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新增宣传标语（铁皮）</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安装在指定的护栏上</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新增行人安全岛</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公交车站</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行人安全岛</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岛头900mm*920mm*625mm*2只，配2根DN80钢管警示桩，踏板1000mm*900mm*40mm*4块。共长6m，并安装于指定位置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9265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塑料反光道钉</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尺寸（mm）100*100打孔加胶粘安装石英砂，包含安装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刷漆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对生锈的岗亭、标志杆除锈刷油漆，含油漆费用</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遮阳棚（手动）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伸缩遮阳棚尺寸2.5m*2.5m，其中机头、前管、伸缩臂等金属构件均采用铝合金材质，棚布采用加厚PVC材质，防水防晒，配2m伸缩手摇杆</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遮阳棚（电动）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1417</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岗亭窗帘，含轨道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年度维护费</w:t>
            </w:r>
          </w:p>
        </w:tc>
        <w:tc>
          <w:tcPr>
            <w:tcW w:w="372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维护费</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780000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三</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保险</w:t>
            </w:r>
          </w:p>
        </w:tc>
        <w:tc>
          <w:tcPr>
            <w:tcW w:w="372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公众责任险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合同工期内投标区域内所有交通安全设施的保险</w:t>
            </w:r>
            <w:r>
              <w:rPr>
                <w:rFonts w:hint="eastAsia" w:ascii="宋体" w:hAnsi="宋体" w:eastAsia="宋体" w:cs="宋体"/>
                <w:b w:val="0"/>
                <w:bCs w:val="0"/>
                <w:i w:val="0"/>
                <w:iCs w:val="0"/>
                <w:color w:val="auto"/>
                <w:kern w:val="0"/>
                <w:sz w:val="21"/>
                <w:szCs w:val="21"/>
                <w:highlight w:val="none"/>
                <w:u w:val="none"/>
                <w:lang w:val="en-US" w:eastAsia="zh-CN" w:bidi="ar"/>
              </w:rPr>
              <w:t>（本项不得下浮）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85000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1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标项一综合单价最高限价总计（元）</w:t>
            </w:r>
          </w:p>
        </w:tc>
        <w:tc>
          <w:tcPr>
            <w:tcW w:w="11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1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可下浮综合单价合计（元）</w:t>
            </w:r>
          </w:p>
        </w:tc>
        <w:tc>
          <w:tcPr>
            <w:tcW w:w="11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893190.71</w:t>
            </w:r>
          </w:p>
        </w:tc>
      </w:tr>
    </w:tbl>
    <w:p>
      <w:pPr>
        <w:spacing w:line="360" w:lineRule="auto"/>
        <w:rPr>
          <w:rFonts w:ascii="宋体" w:hAnsi="宋体"/>
          <w:b/>
          <w:color w:val="auto"/>
          <w:sz w:val="21"/>
          <w:szCs w:val="21"/>
          <w:highlight w:val="none"/>
        </w:rPr>
      </w:pPr>
      <w:r>
        <w:rPr>
          <w:rFonts w:hint="eastAsia" w:ascii="宋体" w:hAnsi="宋体"/>
          <w:b/>
          <w:color w:val="auto"/>
          <w:sz w:val="21"/>
          <w:szCs w:val="21"/>
          <w:highlight w:val="none"/>
        </w:rPr>
        <w:t>备注：</w:t>
      </w:r>
    </w:p>
    <w:p>
      <w:pPr>
        <w:numPr>
          <w:ilvl w:val="0"/>
          <w:numId w:val="7"/>
        </w:numPr>
        <w:spacing w:line="360" w:lineRule="auto"/>
        <w:rPr>
          <w:rFonts w:ascii="宋体" w:hAnsi="宋体"/>
          <w:color w:val="auto"/>
          <w:sz w:val="21"/>
          <w:szCs w:val="21"/>
          <w:highlight w:val="none"/>
        </w:rPr>
      </w:pPr>
      <w:r>
        <w:rPr>
          <w:rFonts w:hint="eastAsia" w:ascii="宋体" w:hAnsi="宋体"/>
          <w:color w:val="auto"/>
          <w:sz w:val="21"/>
          <w:szCs w:val="21"/>
          <w:highlight w:val="none"/>
        </w:rPr>
        <w:t>清单数量具体以实际发生为准；</w:t>
      </w:r>
    </w:p>
    <w:p>
      <w:pPr>
        <w:numPr>
          <w:ilvl w:val="0"/>
          <w:numId w:val="7"/>
        </w:numPr>
        <w:spacing w:line="360" w:lineRule="auto"/>
        <w:rPr>
          <w:rFonts w:hint="eastAsia" w:ascii="宋体" w:hAnsi="宋体" w:eastAsia="宋体"/>
          <w:color w:val="auto"/>
          <w:sz w:val="21"/>
          <w:szCs w:val="21"/>
          <w:highlight w:val="none"/>
        </w:rPr>
      </w:pPr>
      <w:r>
        <w:rPr>
          <w:rFonts w:hint="eastAsia" w:ascii="宋体" w:hAnsi="宋体"/>
          <w:color w:val="auto"/>
          <w:sz w:val="21"/>
          <w:szCs w:val="21"/>
          <w:highlight w:val="none"/>
        </w:rPr>
        <w:t>非表内项目结</w:t>
      </w:r>
      <w:r>
        <w:rPr>
          <w:rFonts w:hint="eastAsia" w:ascii="宋体" w:hAnsi="宋体" w:eastAsia="宋体"/>
          <w:color w:val="auto"/>
          <w:sz w:val="21"/>
          <w:szCs w:val="21"/>
          <w:highlight w:val="none"/>
        </w:rPr>
        <w:t>算时按审计审定价为准；</w:t>
      </w:r>
    </w:p>
    <w:p>
      <w:pPr>
        <w:numPr>
          <w:ilvl w:val="0"/>
          <w:numId w:val="7"/>
        </w:numPr>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最终结算实付金额不超过本标项预算金额且不超过分类预算金额。</w:t>
      </w:r>
    </w:p>
    <w:p>
      <w:pPr>
        <w:numPr>
          <w:ilvl w:val="0"/>
          <w:numId w:val="0"/>
        </w:numPr>
        <w:spacing w:line="360" w:lineRule="auto"/>
        <w:ind w:firstLine="420" w:firstLineChars="200"/>
        <w:rPr>
          <w:b/>
          <w:bCs/>
          <w:color w:val="auto"/>
          <w:sz w:val="21"/>
          <w:szCs w:val="21"/>
          <w:highlight w:val="none"/>
        </w:rPr>
      </w:pPr>
      <w:r>
        <w:rPr>
          <w:rFonts w:hint="eastAsia" w:ascii="宋体" w:hAnsi="宋体" w:eastAsia="宋体"/>
          <w:color w:val="auto"/>
          <w:sz w:val="21"/>
          <w:szCs w:val="21"/>
          <w:highlight w:val="none"/>
        </w:rPr>
        <w:t>4、</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公众责任险</w:t>
      </w:r>
      <w:r>
        <w:rPr>
          <w:rFonts w:hint="eastAsia" w:ascii="宋体" w:hAnsi="宋体" w:eastAsia="宋体" w:cs="宋体"/>
          <w:b w:val="0"/>
          <w:bCs w:val="0"/>
          <w:color w:val="auto"/>
          <w:sz w:val="21"/>
          <w:szCs w:val="21"/>
          <w:highlight w:val="none"/>
          <w:lang w:val="en-US" w:eastAsia="zh-CN"/>
        </w:rPr>
        <w:t>”该项不下浮，其余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p>
    <w:p>
      <w:pPr>
        <w:pStyle w:val="47"/>
        <w:numPr>
          <w:ilvl w:val="0"/>
          <w:numId w:val="0"/>
        </w:numPr>
        <w:rPr>
          <w:b/>
          <w:bCs/>
          <w:color w:val="auto"/>
          <w:sz w:val="21"/>
          <w:szCs w:val="21"/>
          <w:highlight w:val="none"/>
        </w:rPr>
      </w:pPr>
    </w:p>
    <w:p>
      <w:pPr>
        <w:spacing w:line="360" w:lineRule="auto"/>
        <w:rPr>
          <w:rFonts w:ascii="宋体" w:hAnsi="宋体"/>
          <w:color w:val="auto"/>
          <w:sz w:val="21"/>
          <w:szCs w:val="21"/>
          <w:highlight w:val="none"/>
        </w:rPr>
      </w:pPr>
    </w:p>
    <w:p>
      <w:pPr>
        <w:rPr>
          <w:rFonts w:ascii="宋体" w:hAnsi="宋体"/>
          <w:color w:val="auto"/>
          <w:sz w:val="21"/>
          <w:szCs w:val="21"/>
          <w:highlight w:val="none"/>
        </w:rPr>
      </w:pPr>
      <w:r>
        <w:rPr>
          <w:rFonts w:hint="eastAsia" w:ascii="宋体" w:hAnsi="宋体"/>
          <w:color w:val="auto"/>
          <w:sz w:val="21"/>
          <w:szCs w:val="21"/>
          <w:highlight w:val="none"/>
        </w:rPr>
        <w:br w:type="page"/>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标项二</w:t>
      </w:r>
      <w:r>
        <w:rPr>
          <w:rFonts w:hint="eastAsia"/>
          <w:b/>
          <w:bCs/>
          <w:color w:val="auto"/>
          <w:kern w:val="2"/>
          <w:sz w:val="21"/>
          <w:szCs w:val="21"/>
          <w:highlight w:val="none"/>
          <w:lang w:eastAsia="zh-CN"/>
        </w:rPr>
        <w:t>：海曙西区和市三区快速路常规交通设施年度维护</w:t>
      </w:r>
      <w:r>
        <w:rPr>
          <w:rFonts w:hint="eastAsia"/>
          <w:b/>
          <w:bCs/>
          <w:color w:val="auto"/>
          <w:kern w:val="2"/>
          <w:sz w:val="21"/>
          <w:szCs w:val="21"/>
          <w:highlight w:val="none"/>
        </w:rPr>
        <w:t>清单</w:t>
      </w:r>
    </w:p>
    <w:tbl>
      <w:tblPr>
        <w:tblStyle w:val="40"/>
        <w:tblW w:w="5539" w:type="pct"/>
        <w:tblInd w:w="-6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4"/>
        <w:gridCol w:w="1951"/>
        <w:gridCol w:w="4120"/>
        <w:gridCol w:w="645"/>
        <w:gridCol w:w="1312"/>
        <w:gridCol w:w="12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41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65"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服务项目</w:t>
            </w:r>
          </w:p>
        </w:tc>
        <w:tc>
          <w:tcPr>
            <w:tcW w:w="203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技术参数</w:t>
            </w:r>
          </w:p>
        </w:tc>
        <w:tc>
          <w:tcPr>
            <w:tcW w:w="31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64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综合单价最高限价（元）</w:t>
            </w:r>
          </w:p>
        </w:tc>
        <w:tc>
          <w:tcPr>
            <w:tcW w:w="61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分类预算金额</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维护项目</w:t>
            </w:r>
          </w:p>
        </w:tc>
        <w:tc>
          <w:tcPr>
            <w:tcW w:w="3621"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常温标线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厚度0.4mm以上</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11.79</w:t>
            </w:r>
          </w:p>
        </w:tc>
        <w:tc>
          <w:tcPr>
            <w:tcW w:w="61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44.06</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Ⅱ级反光热熔标线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普通热熔振荡标线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基线厚度达到1.5mm，突起部分高度达到5mm，均匀撒布反光珠</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91.23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Ⅱ级振荡反光热熔标线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彩色防滑路面标线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使用三层工艺，含地面夯平、清洁路面、涂布彩色底漆、撒砂、收砂、涂布高光面漆。标线厚度2-3mm。陶瓷颗粒直径1-2mm。</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179.85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双组份结构型反光标线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高压水除线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超高压水磨清洗法，清除老标线，无明显痕迹</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39.24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绿化带端头刷漆</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按照GB5768要求施划立面标记，黄黑漆，零星施工。</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89.38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705.13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标志牌（IV类）（面积≥7m2，＜15m2）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711.34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标志牌（IV类）（面积≥15m2）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975.23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标志牌（V类）（面积≥7m2，＜15m2）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981.45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标志牌（V类）（面积＞15m2）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989.24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标志牌贴膜改版</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旧标牌内容变更，贴超强级反光膜</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788.31</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标志牌更换（面积≥7m2，＜15m2）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784.39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标志牌更换（面积＞15m2）</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799.95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贴膜</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杆件、警示桩、护栏边柱、岗亭等设施贴超强级反光膜。按实计算</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KT板（广告牌）</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按要求设计版面</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抱箍</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铝滑槽抱箍、镀锌U型管夹抱箍、紧固件抱箍圈。含配套螺栓螺母。</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30.52</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小型活动支架</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钢制活动支架，用以直接设置在路上，3m2以下</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403.3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大型活动支架</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钢制活动支架，用以直接设置在路上，3m2以上，含3m2</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机动车靠右标志（一体化）</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黄黑警示桩上结合标志牌，含安装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695.32</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标志牌清洗</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仅限大于5m²的，小于等于5m²的包含于年度维护费中</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标志杆</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10414.75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基础（C25混凝土）</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含基础开挖,混凝土浇灌。详见交警局《宁波市交通标杆及基础、交通护栏大样图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947.77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基础（杆件钢筋）</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详见交警局《宁波市交通标杆及基础、交通护栏大样图 V2.1》</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5713.17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大型杆件吊装</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不含基础，含杆件运输和吊装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827.5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中心护栏片</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机非护栏片</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348.46</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护栏反光片</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安装在护栏边柱，反光诱导作用，两片一组，一片的价格为一组的一半</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城市护栏轮廓标</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1.由弹性TPU材料制成，耐刮擦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2.反光膜区域内凹2mm，减少刮擦磨损；含3M反光膜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3.规格:12.4*5.4*3cm</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护栏底座</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对损坏底座进行更换，并安装于指定位置。详见各阶段护栏标准</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护栏普通盖帽</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安装在护栏的顶部，并安装于指定位置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8.72</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中心护栏边柱方管（含反光膜）</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机非护栏边柱方管（含反光膜）</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护栏道钉</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护栏安装后固定用的钉子，材质须为镀锌。</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枚</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高度渐变中心护栏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中心矮护栏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326.44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2m/扇，整体高度80cm，详见护栏大样图，含所有配件和安装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546.7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2m/扇，详见护栏大样图，含配件，不含安装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414.2</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弧形护栏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中央绿篱</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1180mm*3000mm，并安装于指定位置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起伏波浪纹景观护栏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738.45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古藏金典护栏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600.82</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波形护栏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含栏板、托架、立柱、护头、铁脚等配件，含基础开挖、夯实、钢笼、预理件及混凝土浇灌，高度、长度参照大样图，并安装于指定位置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218.26</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景观护栏花箱</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1144.5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景观护栏（东部新城）</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479.6</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中山路花箱护栏（波浪）</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中山路花箱护栏（回字）</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瓦片式护栏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4469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185.23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人非不锈钢护栏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514.67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人行护栏刷漆</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对生锈的人行护栏刷油漆，含油漆费用</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可移动护栏（钢轮）</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活动中心护栏（加工）</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4000*1050mm，详见交警局《宁波市交通标杆及基础、交通护栏大样图 V2.1》中心护栏样式，底座改滚轮式</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不锈钢伸缩护栏</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高1.3米，运送至甲方指定地点。</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272.47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锁具</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3米链条（防剪加粗8mm）+锁具</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车档石柱隔离墩</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ø220*500mm，贴3M黄黑反光条，含基础开挖及安装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新款防撞桶</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贴红白反光膜，桶内装入适当沙石，并放置指定位置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278.93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三联防撞桶</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新型船式防撞桶，由三个防撞桶组成</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2001.13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DN100警示桩</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法兰盘300*300*14mm，立柱ø110*800*4mm，整件热镀锌， 4个膨胀螺丝固定。运送至甲方指定地点</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152.6</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φ115.8道钉式弹性交通柱</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可拆卸式弹性交通柱（红白）</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φ80*750，符合GBT 24972-2010 可拆卸式弹性交通柱标准（甲供安装数量总计超过1000根后每安装一根甲供材料补贴5元）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87.18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二次过街用的警示桩</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用在二次过街路口，黄黑相间</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锥筒</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新款pvc材质交通路锥，产品技术参数须符合符合招标文件中的技术要求。反光膜上打有宁波交警水印</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水马</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新款水马，滚塑三孔，1500*800mm，净重大于12.5公斤，桶内装入适当沙石，并放置指定位置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365.83</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防眩板</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220*900mm，4个304不锈钢膨胀螺丝固定，玻璃钢质，并安装指定位置（甲供安装数量总计超过1000片后每安装一片甲供材料补贴5元）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防抛网</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220*900mm，4个膨胀螺丝固定，玻璃钢质，并安装指定位置（甲供安装数量总计超过1000片后每安装一片甲供材料补贴5元）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196.2</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可导向钢制防撞垫</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符合JTG D81-2017和JTG/T D81-2017的要求</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32700</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轮廓标</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反光诱导作用，并安装于指定位置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减速垄</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橡胶反光减速带，1000*360*50mm或500*360*50mm黄黑条纹，每米8根道钉固定。并安装于指定位置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111.71</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抽屉锁</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A级锁，岗亭衣柜及办公抽屉锁等</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岗亭门锁</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B级锁即可。</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岗亭玻璃（平面），更换岗亭玻璃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岗亭玻璃(曲面)</w:t>
            </w:r>
          </w:p>
        </w:tc>
        <w:tc>
          <w:tcPr>
            <w:tcW w:w="203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更换岗亭玻璃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岗亭灯管</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更换岗亭日光灯管</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岗亭（空调加氟利昂）</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老旧空调加氟利昂</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次</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岗亭（空调遥控器）</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适配岗亭空调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1.5P，型号不限</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4360</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1.0P，型号不限</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满足岗亭日常清洁需求</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岗亭内的扫把、拖把、水桶、垃圾畚斗、抹布</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岗亭（空调铜管）</w:t>
            </w:r>
          </w:p>
        </w:tc>
        <w:tc>
          <w:tcPr>
            <w:tcW w:w="203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更换岗亭空调铜管</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岗亭（空调插座）</w:t>
            </w:r>
          </w:p>
        </w:tc>
        <w:tc>
          <w:tcPr>
            <w:tcW w:w="203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更换岗亭空调插座</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岗亭（空调主板）</w:t>
            </w:r>
          </w:p>
        </w:tc>
        <w:tc>
          <w:tcPr>
            <w:tcW w:w="203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更换岗亭空调主板</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w:t>
            </w:r>
          </w:p>
        </w:tc>
        <w:tc>
          <w:tcPr>
            <w:tcW w:w="203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岗亭空调清洗，漏水修复</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岗亭清洗</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对岗亭进行整体清洗</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行人二次过街横杆</w:t>
            </w:r>
          </w:p>
        </w:tc>
        <w:tc>
          <w:tcPr>
            <w:tcW w:w="203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2180</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4芯电缆</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ZCKVVR电缆线4*1.5mm</w:t>
            </w:r>
            <w:r>
              <w:rPr>
                <w:rStyle w:val="178"/>
                <w:color w:val="auto"/>
                <w:sz w:val="21"/>
                <w:szCs w:val="21"/>
                <w:highlight w:val="none"/>
                <w:lang w:val="en-US" w:eastAsia="zh-CN" w:bidi="ar"/>
              </w:rPr>
              <w:t>2</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凸面镜</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直径80cm 含DN100杆件及基础制作和安装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707.7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挡车器</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500*150*100mm，黄黑色，膨胀螺丝固定，并安装于指定位置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108.98</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爆闪灯</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双面太阳能LED灯，带储电池，并安装于指定位置。不含DN80立杆和基础</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新增宣传标语（铁皮）</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安装在指定的护栏上</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新增行人安全岛</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公交车站</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行人安全岛</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岛头900mm*920mm*625mm*2只，配2根DN80钢管警示桩，踏板1000mm*900mm*40mm*4块。共长6m，并安装于指定位置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9265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塑料反光道钉</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尺寸（mm）100*100打孔加胶粘安装石英砂，包含安装</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刷漆</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对生锈的岗亭、标志杆除锈刷油漆，含油漆费用</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遮阳棚（手动）</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伸缩遮阳棚尺寸2.5m*2.5m，其中机头、前管、伸缩臂等金属构件均采用铝合金材质，棚布采用加厚PVC材质，防水防晒，配2m伸缩手摇杆</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遮阳棚（电动）</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1417</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岗亭窗帘，含轨道</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61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年度维护费</w:t>
            </w:r>
          </w:p>
        </w:tc>
        <w:tc>
          <w:tcPr>
            <w:tcW w:w="3621"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维护费</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780000</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三</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保险</w:t>
            </w:r>
          </w:p>
        </w:tc>
        <w:tc>
          <w:tcPr>
            <w:tcW w:w="3621"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96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公众责任险</w:t>
            </w:r>
          </w:p>
        </w:tc>
        <w:tc>
          <w:tcPr>
            <w:tcW w:w="20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合同工期内投标区域内所有交通安全设施的保险（本项不得下浮）</w:t>
            </w:r>
          </w:p>
        </w:tc>
        <w:tc>
          <w:tcPr>
            <w:tcW w:w="3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85000</w:t>
            </w:r>
          </w:p>
        </w:tc>
        <w:tc>
          <w:tcPr>
            <w:tcW w:w="6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标项二综合单价最高限价总计（元）</w:t>
            </w:r>
          </w:p>
        </w:tc>
        <w:tc>
          <w:tcPr>
            <w:tcW w:w="126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737"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可下浮综合单价合计（元）</w:t>
            </w:r>
          </w:p>
        </w:tc>
        <w:tc>
          <w:tcPr>
            <w:tcW w:w="1262"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893190.71</w:t>
            </w:r>
          </w:p>
        </w:tc>
      </w:tr>
    </w:tbl>
    <w:p>
      <w:pPr>
        <w:spacing w:line="360" w:lineRule="auto"/>
        <w:rPr>
          <w:rFonts w:ascii="宋体" w:hAnsi="宋体"/>
          <w:b/>
          <w:color w:val="auto"/>
          <w:sz w:val="21"/>
          <w:szCs w:val="21"/>
          <w:highlight w:val="none"/>
        </w:rPr>
      </w:pPr>
      <w:r>
        <w:rPr>
          <w:rFonts w:hint="eastAsia" w:ascii="宋体" w:hAnsi="宋体"/>
          <w:b/>
          <w:color w:val="auto"/>
          <w:sz w:val="21"/>
          <w:szCs w:val="21"/>
          <w:highlight w:val="none"/>
        </w:rPr>
        <w:t>备注：</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1、清单数量具体以实际发生为准；</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2、非表内项目结算时按审计审定价为准；</w:t>
      </w:r>
    </w:p>
    <w:p>
      <w:pPr>
        <w:pStyle w:val="47"/>
        <w:numPr>
          <w:ilvl w:val="0"/>
          <w:numId w:val="0"/>
        </w:numPr>
        <w:ind w:firstLine="420" w:firstLineChars="200"/>
        <w:rPr>
          <w:color w:val="auto"/>
          <w:highlight w:val="none"/>
        </w:rPr>
      </w:pPr>
      <w:r>
        <w:rPr>
          <w:rFonts w:hint="eastAsia" w:hAnsi="宋体"/>
          <w:color w:val="auto"/>
          <w:sz w:val="21"/>
          <w:szCs w:val="21"/>
          <w:highlight w:val="none"/>
        </w:rPr>
        <w:t>3、最终结算实付金额不超过本标项预算金额且不超过分类预算金额。</w:t>
      </w:r>
    </w:p>
    <w:p>
      <w:pPr>
        <w:pStyle w:val="47"/>
        <w:numPr>
          <w:ilvl w:val="0"/>
          <w:numId w:val="0"/>
        </w:numPr>
        <w:ind w:firstLine="420" w:firstLineChars="200"/>
        <w:rPr>
          <w:b/>
          <w:bCs/>
          <w:color w:val="auto"/>
          <w:sz w:val="21"/>
          <w:szCs w:val="21"/>
          <w:highlight w:val="none"/>
        </w:rPr>
      </w:pPr>
      <w:r>
        <w:rPr>
          <w:rFonts w:hAnsi="宋体"/>
          <w:color w:val="auto"/>
          <w:sz w:val="21"/>
          <w:szCs w:val="21"/>
          <w:highlight w:val="none"/>
        </w:rPr>
        <w:t>4</w:t>
      </w:r>
      <w:r>
        <w:rPr>
          <w:rFonts w:hint="eastAsia" w:hAnsi="宋体"/>
          <w:color w:val="auto"/>
          <w:sz w:val="21"/>
          <w:szCs w:val="21"/>
          <w:highlight w:val="none"/>
        </w:rPr>
        <w:t>、</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公众责任险</w:t>
      </w:r>
      <w:r>
        <w:rPr>
          <w:rFonts w:hint="eastAsia" w:ascii="宋体" w:hAnsi="宋体" w:eastAsia="宋体" w:cs="宋体"/>
          <w:b w:val="0"/>
          <w:bCs w:val="0"/>
          <w:color w:val="auto"/>
          <w:sz w:val="21"/>
          <w:szCs w:val="21"/>
          <w:highlight w:val="none"/>
          <w:lang w:val="en-US" w:eastAsia="zh-CN"/>
        </w:rPr>
        <w:t>”该项不下浮，其余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r>
        <w:rPr>
          <w:rFonts w:hint="eastAsia" w:hAnsi="宋体"/>
          <w:color w:val="auto"/>
          <w:sz w:val="21"/>
          <w:szCs w:val="21"/>
          <w:highlight w:val="none"/>
        </w:rPr>
        <w:t>。</w:t>
      </w:r>
    </w:p>
    <w:p>
      <w:pPr>
        <w:rPr>
          <w:color w:val="auto"/>
          <w:highlight w:val="none"/>
        </w:rPr>
      </w:pPr>
      <w:r>
        <w:rPr>
          <w:color w:val="auto"/>
          <w:highlight w:val="none"/>
        </w:rPr>
        <w:br w:type="page"/>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w:t>
      </w:r>
      <w:r>
        <w:rPr>
          <w:rFonts w:hint="eastAsia"/>
          <w:b/>
          <w:bCs/>
          <w:color w:val="auto"/>
          <w:kern w:val="2"/>
          <w:sz w:val="21"/>
          <w:szCs w:val="21"/>
          <w:highlight w:val="none"/>
          <w:lang w:val="en-US" w:eastAsia="zh-CN"/>
        </w:rPr>
        <w:t>三：鄞州南区常规交通设施年度维护</w:t>
      </w:r>
      <w:r>
        <w:rPr>
          <w:rFonts w:hint="eastAsia"/>
          <w:b/>
          <w:bCs/>
          <w:color w:val="auto"/>
          <w:kern w:val="2"/>
          <w:sz w:val="21"/>
          <w:szCs w:val="21"/>
          <w:highlight w:val="none"/>
        </w:rPr>
        <w:t>清单</w:t>
      </w:r>
    </w:p>
    <w:tbl>
      <w:tblPr>
        <w:tblStyle w:val="40"/>
        <w:tblW w:w="5511" w:type="pct"/>
        <w:tblInd w:w="-4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6"/>
        <w:gridCol w:w="1694"/>
        <w:gridCol w:w="4507"/>
        <w:gridCol w:w="669"/>
        <w:gridCol w:w="1202"/>
        <w:gridCol w:w="1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84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服务项目</w:t>
            </w:r>
          </w:p>
        </w:tc>
        <w:tc>
          <w:tcPr>
            <w:tcW w:w="224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技术参数</w:t>
            </w:r>
          </w:p>
        </w:tc>
        <w:tc>
          <w:tcPr>
            <w:tcW w:w="33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598"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综合单价最高限价（元）</w:t>
            </w:r>
          </w:p>
        </w:tc>
        <w:tc>
          <w:tcPr>
            <w:tcW w:w="58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分类预算金额</w:t>
            </w:r>
            <w:r>
              <w:rPr>
                <w:rFonts w:hint="eastAsia" w:ascii="宋体" w:hAnsi="宋体" w:eastAsia="宋体" w:cs="宋体"/>
                <w:b/>
                <w:bCs/>
                <w:i w:val="0"/>
                <w:iCs w:val="0"/>
                <w:color w:val="auto"/>
                <w:kern w:val="0"/>
                <w:sz w:val="20"/>
                <w:szCs w:val="20"/>
                <w:highlight w:val="none"/>
                <w:u w:val="none"/>
                <w:lang w:val="en-US" w:eastAsia="zh-CN" w:bidi="ar"/>
              </w:rPr>
              <w:br w:type="textWrapping"/>
            </w:r>
            <w:r>
              <w:rPr>
                <w:rFonts w:hint="eastAsia" w:ascii="宋体" w:hAnsi="宋体" w:eastAsia="宋体" w:cs="宋体"/>
                <w:b/>
                <w:bCs/>
                <w:i w:val="0"/>
                <w:iCs w:val="0"/>
                <w:color w:val="auto"/>
                <w:kern w:val="0"/>
                <w:sz w:val="20"/>
                <w:szCs w:val="20"/>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维护项目</w:t>
            </w:r>
          </w:p>
        </w:tc>
        <w:tc>
          <w:tcPr>
            <w:tcW w:w="3755"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常温标线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厚度0.4mm以上</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11.79</w:t>
            </w:r>
          </w:p>
        </w:tc>
        <w:tc>
          <w:tcPr>
            <w:tcW w:w="58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44.06</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Ⅱ级反光热熔标线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普通热熔振荡标线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基线厚度达到1.5mm，突起部分高度达到5mm，均匀撒布反光珠</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91.23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Ⅱ级振荡反光热熔标线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彩色防滑路面标线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使用三层工艺，含地面夯平、清洁路面、涂布彩色底漆、撒砂、收砂、涂布高光面漆。标线厚度2-3mm。陶瓷颗粒直径1-2mm。</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179.85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双组份结构型反光标线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高压水除线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超高压水磨清洗法，清除老标线，无明显痕迹</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39.24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绿化带端头刷漆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按照GB5768要求施划立面标记，黄黑漆，零星施工。</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89.38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705.13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711.34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975.23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981.45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989.24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标志牌贴膜改版</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旧标牌内容变更，贴超强级反光膜</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788.31</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784.39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799.95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杆件、警示桩、护栏边柱、岗亭等设施贴超强级反光膜。按实计算</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KT板（广告牌）</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按要求设计版面</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抱箍</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铝滑槽抱箍、镀锌U型管夹抱箍、紧固件抱箍圈。含配套螺栓螺母。</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30.52</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小型活动支架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钢制活动支架，用以直接设置在路上，3m2以下</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403.3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大型活动支架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钢制活动支架，用以直接设置在路上，3m2以上，含3m2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机动车靠右标志（一体化）</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黄黑警示桩上结合标志牌，含安装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695.32</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标志牌清洗</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仅限大于5m²的，小于等于5m²的包含于年度维护费中</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10414.75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基础（C25混凝土）</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含基础开挖,混凝土浇灌。详见交警局《宁波市交通标杆及基础、交通护栏大样图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947.77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基础（杆件钢筋）</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详见交警局《宁波市交通标杆及基础、交通护栏大样图 V2.1》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5713.17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大型杆件吊装</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不含基础，含杆件运输和吊装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827.5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348.46</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护栏反光片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安装在护栏边柱，反光诱导作用，两片一组，一片的价格为一组的一半</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城市护栏轮廓标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1.由弹性TPU材料制成，耐刮擦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2.反光膜区域内凹2mm，减少刮擦磨损；含3M反光膜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3.规格:12.4*5.4*3cm</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护栏底座</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对损坏底座进行更换，并安装于指定位置。详见各阶段护栏标准</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护栏普通盖帽</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安装在护栏的顶部，并安装于指定位置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8.72</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中心护栏边柱方管（含反光膜）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机非护栏边柱方管（含反光膜）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护栏道钉</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护栏安装后固定用的钉子，材质须为镀锌。</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枚</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高度渐变中心护栏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中心矮护栏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326.44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2m/扇，整体高度80cm，详见护栏大样图，含所有配件和安装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546.7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2m/扇，详见护栏大样图，含配件，不含安装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414.2</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弧形护栏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中央绿篱</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1180mm*3000mm，并安装于指定位置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起伏波浪纹景观护栏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738.45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古藏金典护栏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600.82</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波形护栏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含栏板、托架、立柱、护头、铁脚等配件，含基础开挖、夯实、钢笼、预理件及混凝土浇灌，高度、长度参照大样图，并安装于指定位置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218.26</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景观护栏花箱</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1144.5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景观护栏（东部新城）</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479.6</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中山路花箱护栏（波浪）</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中山路花箱护栏（回字）</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瓦片式护栏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4469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185.23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人非不锈钢护栏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514.67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人行护栏刷漆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对生锈的人行护栏刷油漆，含油漆费用</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可移动护栏（钢轮）</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活动中心护栏（加工）</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4000*1050mm，详见交警局《宁波市交通标杆及基础、交通护栏大样图 V2.1》中心护栏样式，底座改滚轮式</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不锈钢伸缩护栏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高1.3米，运送至甲方指定地点。</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272.47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锁具</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3米链条（防剪加粗8mm）+锁具</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车档石柱隔离墩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ø220*500mm，贴3M黄黑反光条，含基础开挖及安装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283.4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新款防撞桶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贴红白反光膜，桶内装入适当沙石，并放置指定位置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278.93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三联防撞桶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新型船式防撞桶，由三个防撞桶组成</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2001.13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DN100警示桩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法兰盘300*300*14mm，立柱ø110*800*4mm，整件热镀锌，4个膨胀螺丝固定。运送至甲方指定地点</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152.6</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φ115.8道钉式弹性交通柱</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可拆卸式弹性交通柱（红白）</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φ80*750，符合GBT 24972-2010 可拆卸式弹性交通柱标准（甲供安装数量总计超过1000根后每安装一根甲供材料补贴5元）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87.18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二次过街用的警示桩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用在二次过街路口，黄黑相间</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450</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锥筒</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新款pvc材质交通路锥，产品技术参数须符合符合招标文件中的技术要求。反光膜上打有宁波交警水印</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水马</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新款水马，滚塑三孔，1500*800mm，净重大于12.5公斤，桶内装入适当沙石，并放置指定位置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365.83</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防眩板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220*900mm，4个304不锈钢膨胀螺丝固定，玻璃钢质，并安装指定位置（甲供安装数量总计超过1000片后每安装一片甲供材料补贴5元）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防抛网</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220*900mm，4个膨胀螺丝固定，玻璃钢质，并安装指定位置（甲供安装数量总计超过1000片后每安装一片甲供材料补贴5元）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196.2</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可导向钢制防撞垫</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符合JTG D81-2017和JTG/T D81-2017的要求</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32700</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轮廓标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反光诱导作用，并安装于指定位置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减速垄</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橡胶反光减速带，1000*360*50mm或500*360*50mm黄黑条纹，每米8根道钉固定。并安装于指定位置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111.71</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抽屉锁</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A级锁，岗亭衣柜及办公抽屉锁等</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岗亭门锁</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B级锁即可。</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岗亭玻璃（平面），更换岗亭玻璃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岗亭玻璃(曲面)</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更换岗亭玻璃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岗亭灯管</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更换岗亭日光灯管</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岗亭（空调加氟利昂）</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老旧空调加氟利昂</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岗亭（空调遥控器）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适配岗亭空调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1.5P，型号不限</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4360</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1.0P</w:t>
            </w: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型号不限</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满足岗亭日常清洁需求</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岗亭内的扫把、拖把、水桶、垃圾畚斗、抹布</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岗亭（空调铜管）</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更换岗亭空调铜管</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岗亭（空调插座）</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更换岗亭空调插座</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岗亭（空调主板）</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更换岗亭空调主板</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岗亭空调清洗，漏水修复</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岗亭清洗</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对岗亭进行整体清洗</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行人二次过街横杆</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2180</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4芯电缆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ZCKVVR电缆线4*1.5mm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凸面镜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直径80cm 含DN100杆件及基础制作和安装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707.7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挡车器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500*150*100mm，黄黑色，膨胀螺丝固定，并安装于指定位置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108.98</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爆闪灯</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双面太阳能LED灯，带储电池，并安装于指定位置。不含DN80立杆和基础</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新增宣传标语（铁皮）</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安装在指定的护栏上</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新增行人安全岛</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公交车站</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行人安全岛</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岛头900mm*920mm*625mm*2只，配2根DN80钢管警示桩，踏板1000mm*900mm*40mm*4块。共长6m，并安装于指定位置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9265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塑料反光道钉</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尺寸（mm）100*100打孔加胶粘安装石英砂，包含安装</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刷漆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对生锈的岗亭、标志杆除锈刷油漆，含油漆费用</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遮阳棚（手动）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伸缩遮阳棚尺寸2.5m*2.5m，其中机头、前管、伸缩臂等金属构件均采用铝合金材质，棚布采用加厚PVC材质，防水防晒，配2m伸缩手摇杆</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遮阳棚（电动）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1417</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岗亭窗帘，含轨道</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年度维护费</w:t>
            </w:r>
          </w:p>
        </w:tc>
        <w:tc>
          <w:tcPr>
            <w:tcW w:w="3755" w:type="pct"/>
            <w:gridSpan w:val="4"/>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维护费</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780000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保险</w:t>
            </w:r>
          </w:p>
        </w:tc>
        <w:tc>
          <w:tcPr>
            <w:tcW w:w="3755"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公众责任险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合同工期内投标区域内所有交通安全设施的保险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（本项不得下浮）</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19"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标项三综合单价最高限价总计（元）</w:t>
            </w:r>
          </w:p>
        </w:tc>
        <w:tc>
          <w:tcPr>
            <w:tcW w:w="1180"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19"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可下浮综合单价合计（元）</w:t>
            </w:r>
          </w:p>
        </w:tc>
        <w:tc>
          <w:tcPr>
            <w:tcW w:w="118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893190.71</w:t>
            </w:r>
          </w:p>
        </w:tc>
      </w:tr>
    </w:tbl>
    <w:p>
      <w:pPr>
        <w:spacing w:line="360" w:lineRule="auto"/>
        <w:rPr>
          <w:rFonts w:ascii="宋体" w:hAnsi="宋体"/>
          <w:b/>
          <w:color w:val="auto"/>
          <w:sz w:val="21"/>
          <w:szCs w:val="21"/>
          <w:highlight w:val="none"/>
        </w:rPr>
      </w:pPr>
      <w:r>
        <w:rPr>
          <w:rFonts w:hint="eastAsia" w:ascii="宋体" w:hAnsi="宋体"/>
          <w:b/>
          <w:color w:val="auto"/>
          <w:sz w:val="21"/>
          <w:szCs w:val="21"/>
          <w:highlight w:val="none"/>
        </w:rPr>
        <w:t>备注：</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1、清单数量具体以实际发生为准；</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2、非表内项目结算时按审计审定价为准；</w:t>
      </w:r>
    </w:p>
    <w:p>
      <w:pPr>
        <w:pStyle w:val="47"/>
        <w:numPr>
          <w:ilvl w:val="0"/>
          <w:numId w:val="0"/>
        </w:numPr>
        <w:ind w:firstLine="420" w:firstLineChars="200"/>
        <w:rPr>
          <w:color w:val="auto"/>
          <w:highlight w:val="none"/>
        </w:rPr>
      </w:pPr>
      <w:r>
        <w:rPr>
          <w:rFonts w:hint="eastAsia" w:hAnsi="宋体"/>
          <w:color w:val="auto"/>
          <w:sz w:val="21"/>
          <w:szCs w:val="21"/>
          <w:highlight w:val="none"/>
        </w:rPr>
        <w:t>3、最终结算实付金额不超过本标项预算金额且不超过分类预算金额。</w:t>
      </w:r>
    </w:p>
    <w:p>
      <w:pPr>
        <w:ind w:firstLine="420" w:firstLineChars="200"/>
        <w:rPr>
          <w:color w:val="auto"/>
          <w:highlight w:val="none"/>
        </w:rPr>
      </w:pPr>
      <w:r>
        <w:rPr>
          <w:rFonts w:hAnsi="宋体"/>
          <w:color w:val="auto"/>
          <w:sz w:val="21"/>
          <w:szCs w:val="21"/>
          <w:highlight w:val="none"/>
        </w:rPr>
        <w:t>4</w:t>
      </w:r>
      <w:r>
        <w:rPr>
          <w:rFonts w:hint="eastAsia" w:hAnsi="宋体"/>
          <w:color w:val="auto"/>
          <w:sz w:val="21"/>
          <w:szCs w:val="21"/>
          <w:highlight w:val="none"/>
        </w:rPr>
        <w:t>、</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公众责任险</w:t>
      </w:r>
      <w:r>
        <w:rPr>
          <w:rFonts w:hint="eastAsia" w:ascii="宋体" w:hAnsi="宋体" w:eastAsia="宋体" w:cs="宋体"/>
          <w:b w:val="0"/>
          <w:bCs w:val="0"/>
          <w:color w:val="auto"/>
          <w:sz w:val="21"/>
          <w:szCs w:val="21"/>
          <w:highlight w:val="none"/>
          <w:lang w:val="en-US" w:eastAsia="zh-CN"/>
        </w:rPr>
        <w:t>”该项不下浮，其余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r>
        <w:rPr>
          <w:rFonts w:hint="eastAsia" w:hAnsi="宋体"/>
          <w:color w:val="auto"/>
          <w:sz w:val="21"/>
          <w:szCs w:val="21"/>
          <w:highlight w:val="none"/>
        </w:rPr>
        <w:t>。</w:t>
      </w:r>
    </w:p>
    <w:p>
      <w:pPr>
        <w:rPr>
          <w:rFonts w:ascii="宋体" w:hAnsi="宋体" w:cs="宋体"/>
          <w:color w:val="auto"/>
          <w:sz w:val="21"/>
          <w:szCs w:val="21"/>
          <w:highlight w:val="none"/>
        </w:rPr>
      </w:pPr>
      <w:r>
        <w:rPr>
          <w:rFonts w:ascii="宋体" w:hAnsi="宋体" w:cs="宋体"/>
          <w:color w:val="auto"/>
          <w:sz w:val="21"/>
          <w:szCs w:val="21"/>
          <w:highlight w:val="none"/>
        </w:rPr>
        <w:br w:type="page"/>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w:t>
      </w:r>
      <w:r>
        <w:rPr>
          <w:rFonts w:hint="eastAsia"/>
          <w:b/>
          <w:bCs/>
          <w:color w:val="auto"/>
          <w:kern w:val="2"/>
          <w:sz w:val="21"/>
          <w:szCs w:val="21"/>
          <w:highlight w:val="none"/>
          <w:lang w:val="en-US" w:eastAsia="zh-CN"/>
        </w:rPr>
        <w:t>四：鄞州北区常规交通设施年度维护</w:t>
      </w:r>
      <w:r>
        <w:rPr>
          <w:rFonts w:hint="eastAsia"/>
          <w:b/>
          <w:bCs/>
          <w:color w:val="auto"/>
          <w:kern w:val="2"/>
          <w:sz w:val="21"/>
          <w:szCs w:val="21"/>
          <w:highlight w:val="none"/>
        </w:rPr>
        <w:t>清单</w:t>
      </w:r>
    </w:p>
    <w:tbl>
      <w:tblPr>
        <w:tblStyle w:val="40"/>
        <w:tblW w:w="5652" w:type="pct"/>
        <w:tblInd w:w="-6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6"/>
        <w:gridCol w:w="1750"/>
        <w:gridCol w:w="4802"/>
        <w:gridCol w:w="767"/>
        <w:gridCol w:w="1248"/>
        <w:gridCol w:w="10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35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84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服务项目</w:t>
            </w:r>
          </w:p>
        </w:tc>
        <w:tc>
          <w:tcPr>
            <w:tcW w:w="232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技术参数</w:t>
            </w:r>
          </w:p>
        </w:tc>
        <w:tc>
          <w:tcPr>
            <w:tcW w:w="37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605"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综合单价最高限价（元）</w:t>
            </w:r>
          </w:p>
        </w:tc>
        <w:tc>
          <w:tcPr>
            <w:tcW w:w="491"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分类预算金额</w:t>
            </w:r>
            <w:r>
              <w:rPr>
                <w:rFonts w:hint="eastAsia" w:ascii="宋体" w:hAnsi="宋体" w:eastAsia="宋体" w:cs="宋体"/>
                <w:b/>
                <w:bCs/>
                <w:i w:val="0"/>
                <w:iCs w:val="0"/>
                <w:color w:val="auto"/>
                <w:kern w:val="0"/>
                <w:sz w:val="20"/>
                <w:szCs w:val="20"/>
                <w:highlight w:val="none"/>
                <w:u w:val="none"/>
                <w:lang w:val="en-US" w:eastAsia="zh-CN" w:bidi="ar"/>
              </w:rPr>
              <w:br w:type="textWrapping"/>
            </w:r>
            <w:r>
              <w:rPr>
                <w:rFonts w:hint="eastAsia" w:ascii="宋体" w:hAnsi="宋体" w:eastAsia="宋体" w:cs="宋体"/>
                <w:b/>
                <w:bCs/>
                <w:i w:val="0"/>
                <w:iCs w:val="0"/>
                <w:color w:val="auto"/>
                <w:kern w:val="0"/>
                <w:sz w:val="20"/>
                <w:szCs w:val="20"/>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w:t>
            </w:r>
          </w:p>
        </w:tc>
        <w:tc>
          <w:tcPr>
            <w:tcW w:w="8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维护项目</w:t>
            </w:r>
          </w:p>
        </w:tc>
        <w:tc>
          <w:tcPr>
            <w:tcW w:w="3798"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常温标线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厚度0.4mm以上</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11.79</w:t>
            </w:r>
          </w:p>
        </w:tc>
        <w:tc>
          <w:tcPr>
            <w:tcW w:w="49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44.06</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Ⅱ级反光热熔标线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普通热熔振荡标线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基线厚度达到1.5mm，突起部分高度达到5mm，均匀撒布反光珠</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91.23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Ⅱ级振荡反光热熔标线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彩色防滑路面标线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使用三层工艺，含地面夯平、清洁路面、涂布彩色底漆、撒砂、收砂、涂布高光面漆。标线厚度2-3mm。陶瓷颗粒直径1-2mm。</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179.85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双组份结构型反光标线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高压水除线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超高压水磨清洗法，清除老标线，无明显痕迹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39.24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绿化带端头刷漆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按照GB5768要求施划立面标记，黄黑漆，零星施工。</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89.38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705.13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711.34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975.23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981.45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989.24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标志牌贴膜改版</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旧标牌内容变更，贴超强级反光膜</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788.31</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784.39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799.95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杆件、警示桩、护栏边柱、岗亭等设施贴超强级反光膜。按实计算</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KT板（广告牌）</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按要求设计版面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抱箍</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铝滑槽抱箍、镀锌U型管夹抱箍、紧固件抱箍圈。含配套螺栓螺母。</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30.52</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小型活动支架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钢制活动支架，用以直接设置在路上，3m2以下</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403.3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大型活动支架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钢制活动支架，用以直接设置在路上，3m2以上，含3m2</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机动车靠右标志（一体化）</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黄黑警示桩上结合标志牌，含安装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695.32</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标志牌清洗</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仅限大于5m²的，小于等于5m²的包含于年度维护费中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10414.75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基础（C25混凝土）</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含基础开挖,混凝土浇灌。详见交警局《宁波市交通标杆及基础、交通护栏大样图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947.77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基础（杆件钢筋）</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详见交警局《宁波市交通标杆及基础、交通护栏大样图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5713.17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大型杆件吊装</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不含基础，含杆件运输和吊装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827.5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348.46</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护栏反光片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安装在护栏边柱，反光诱导作用，两片一组，一片的价格为一组的一半</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城市护栏轮廓标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1.由弹性TPU材料制成，耐刮擦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2.反光膜区域内凹2mm，减少刮擦磨损；含3M反光膜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3.规格:12.4*5.4*3cm</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护栏底座</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对损坏底座进行更换，并安装于指定位置。详见各阶段护栏标准</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护栏普通盖帽</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安装在护栏的顶部，并安装于指定位置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8.72</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中心护栏边柱方管（含反光膜）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机非护栏边柱方管（含反光膜）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护栏道钉</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护栏安装后固定用的钉子，材质须为镀锌。</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枚</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高度渐变中心护栏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中心矮护栏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326.44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2m/扇，整体高度80cm，详见护栏大样图，含所有配件和安装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546.7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2m/扇，详见护栏大样图，含配件，不含安装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414.2</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弧形护栏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中央绿篱</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1180mm*3000mm，并安装于指定位置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起伏波浪纹景观护栏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738.45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古藏金典护栏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600.82</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波形护栏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含栏板、托架、立柱、护头、铁脚等配件，含基础开挖、夯实、钢笼、预理件及混凝土浇灌，高度、长度参照大样图，并安装于指定位置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218.26</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景观护栏花箱</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1144.5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景观护栏（东部新城）</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479.6</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中山路花箱护栏（波浪）</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中山路花箱护栏（回字）</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瓦片式护栏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4469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185.23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人非不锈钢护栏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514.67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人行护栏刷漆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对生锈的人行护栏刷油漆，含油漆费用</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可移动护栏（钢轮）</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活动中心护栏（加工）</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4000*1050mm，详见交警局《宁波市交通标杆及基础、交通护栏大样图 V2.1》中心护栏样式，底座改滚轮式</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不锈钢伸缩护栏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高1.3米，运送至甲方指定地点。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272.47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锁具</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3米链条（防剪加粗8mm）+锁具</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车档石柱隔离墩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ø220*500mm，贴3M黄黑反光条，含基础开挖及安装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283.4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新款防撞桶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贴红白反光膜，桶内装入适当沙石，并放置指定位置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278.93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三联防撞桶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新型船式防撞桶，由三个防撞桶组成</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2001.13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DN100警示桩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法兰盘300*300*14mm，立柱ø110*800*4mm，整件热镀锌， 4个膨胀螺丝固定。运送至甲方指定地点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152.6</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φ115.8道钉式弹性交通柱</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可拆卸式弹性交通柱（红白）</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φ80*750，符合GBT 24972-2010 可拆卸式弹性交通柱标准（甲供安装数量总计超过1000根后每安装一根甲供材料补贴5元）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87.18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二次过街用的警示桩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用在二次过街路口，黄黑相间</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450</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锥筒</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新款pvc材质交通路锥，产品技术参数须符合符合招标文件中的技术要求。反光膜上打有宁波交警水印</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水马</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新款水马，滚塑三孔，1500*800mm，净重大于12.5公斤，桶内装入适当沙石，并放置指定位置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365.83</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防眩板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220*900mm，4个304不锈钢膨胀螺丝固定，玻璃钢质，并安装指定位置（甲供安装数量总计超过1000片后每安装一片甲供材料补贴5元）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防抛网</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220*900mm，4个膨胀螺丝固定，玻璃钢质，并安装指定位置（甲供安装数量总计超过1000片后每安装一片甲供材料补贴5元）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196.2</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可导向钢制防撞垫</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符合JTG D81-2017和JTG/T D81-2017的要求</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32700</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轮廓标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反光诱导作用，并安装于指定位置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减速垄</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橡胶反光减速带，1000*360*50mm或500*360*50mm黄黑条纹，每米8根道钉固定。并安装于指定位置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111.71</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抽屉锁</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A级锁，岗亭衣柜及办公抽屉锁等</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岗亭门锁</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B级锁即可。</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岗亭玻璃（平面），更换岗亭玻璃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岗亭玻璃(曲面)</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更换岗亭玻璃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岗亭灯管</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更换岗亭日光灯管</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岗亭（空调加氟利昂）</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老旧空调加氟利昂</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岗亭（空调遥控器）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适配岗亭空调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1.5P，型号不限</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4360</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1.0P，型号不限</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满足岗亭日常清洁需求</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岗亭内的扫把、拖把、水桶、垃圾畚斗、抹布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岗亭（空调铜管）</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更换岗亭空调铜管</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岗亭（空调插座）</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更换岗亭空调插座</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岗亭（空调主板）</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更换岗亭空调主板</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岗亭空调清洗，漏水修复</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岗亭清洗</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对岗亭进行整体清洗</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行人二次过街横杆</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2180</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4芯电缆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ZCKVVR电缆线4*1.5mm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凸面镜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直径80cm 含DN100杆件及基础制作和安装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707.7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挡车器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500*150*100mm，黄黑色，膨胀螺丝固定，并安装于指定位置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108.98</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爆闪灯</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双面太阳能LED灯，带储电池，并安装于指定位置。不含DN80立杆和基础</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新增宣传标语（铁皮）</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安装在指定的护栏上</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新增行人安全岛</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公交车站</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行人安全岛</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岛头900mm*920mm*625mm*2只，配2根DN80钢管警示桩，踏板1000mm*900mm*40mm*4块。共长6m，并安装于指定位置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9265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塑料反光道钉</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尺寸（mm）100*100打孔加胶粘安装石英砂，包含安装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刷漆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对生锈的岗亭、标志杆除锈刷油漆，含油漆费用</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遮阳棚（手动）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伸缩遮阳棚尺寸2.5m*2.5m，其中机头、前管、伸缩臂等金属构件均采用铝合金材质，棚布采用加厚PVC材质，防水防晒，配2m伸缩手摇杆</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遮阳棚（电动）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1417</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849"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岗亭窗帘，含轨道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w:t>
            </w:r>
          </w:p>
        </w:tc>
        <w:tc>
          <w:tcPr>
            <w:tcW w:w="8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年度维护费</w:t>
            </w:r>
          </w:p>
        </w:tc>
        <w:tc>
          <w:tcPr>
            <w:tcW w:w="3798" w:type="pct"/>
            <w:gridSpan w:val="4"/>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8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维护费</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780000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w:t>
            </w:r>
          </w:p>
        </w:tc>
        <w:tc>
          <w:tcPr>
            <w:tcW w:w="8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保险</w:t>
            </w:r>
          </w:p>
        </w:tc>
        <w:tc>
          <w:tcPr>
            <w:tcW w:w="3798"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8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公众责任险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合同工期内投标区域内所有交通安全设施的保险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（本项不得下浮）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90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标项四综合单价最高限价总计（元）</w:t>
            </w:r>
          </w:p>
        </w:tc>
        <w:tc>
          <w:tcPr>
            <w:tcW w:w="1096"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4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可下浮综合单价合计（元）</w:t>
            </w:r>
          </w:p>
        </w:tc>
        <w:tc>
          <w:tcPr>
            <w:tcW w:w="226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893190.71</w:t>
            </w:r>
          </w:p>
        </w:tc>
      </w:tr>
    </w:tbl>
    <w:p>
      <w:pPr>
        <w:spacing w:line="360" w:lineRule="auto"/>
        <w:rPr>
          <w:rFonts w:ascii="宋体" w:hAnsi="宋体"/>
          <w:b/>
          <w:color w:val="auto"/>
          <w:sz w:val="21"/>
          <w:szCs w:val="21"/>
          <w:highlight w:val="none"/>
        </w:rPr>
      </w:pPr>
      <w:r>
        <w:rPr>
          <w:rFonts w:hint="eastAsia" w:ascii="宋体" w:hAnsi="宋体"/>
          <w:b/>
          <w:color w:val="auto"/>
          <w:sz w:val="21"/>
          <w:szCs w:val="21"/>
          <w:highlight w:val="none"/>
        </w:rPr>
        <w:t>备注：</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1、清单数量具体以实际发生为准；</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2、非表内项目结算时按审计审定价为准；</w:t>
      </w:r>
    </w:p>
    <w:p>
      <w:pPr>
        <w:pStyle w:val="47"/>
        <w:numPr>
          <w:ilvl w:val="0"/>
          <w:numId w:val="0"/>
        </w:numPr>
        <w:ind w:firstLine="420" w:firstLineChars="200"/>
        <w:rPr>
          <w:color w:val="auto"/>
          <w:highlight w:val="none"/>
        </w:rPr>
      </w:pPr>
      <w:r>
        <w:rPr>
          <w:rFonts w:hint="eastAsia" w:hAnsi="宋体"/>
          <w:color w:val="auto"/>
          <w:sz w:val="21"/>
          <w:szCs w:val="21"/>
          <w:highlight w:val="none"/>
        </w:rPr>
        <w:t>3、最终结算实付金额不超过本标项预算金额且不超过分类预算金额。</w:t>
      </w:r>
    </w:p>
    <w:p>
      <w:pPr>
        <w:ind w:firstLine="420" w:firstLineChars="200"/>
        <w:rPr>
          <w:rFonts w:hint="eastAsia" w:hAnsi="宋体"/>
          <w:color w:val="auto"/>
          <w:sz w:val="21"/>
          <w:szCs w:val="21"/>
          <w:highlight w:val="none"/>
        </w:rPr>
      </w:pPr>
      <w:r>
        <w:rPr>
          <w:rFonts w:hAnsi="宋体"/>
          <w:color w:val="auto"/>
          <w:sz w:val="21"/>
          <w:szCs w:val="21"/>
          <w:highlight w:val="none"/>
        </w:rPr>
        <w:t>4</w:t>
      </w:r>
      <w:r>
        <w:rPr>
          <w:rFonts w:hint="eastAsia" w:hAnsi="宋体"/>
          <w:color w:val="auto"/>
          <w:sz w:val="21"/>
          <w:szCs w:val="21"/>
          <w:highlight w:val="none"/>
        </w:rPr>
        <w:t>、</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公众责任险</w:t>
      </w:r>
      <w:r>
        <w:rPr>
          <w:rFonts w:hint="eastAsia" w:ascii="宋体" w:hAnsi="宋体" w:eastAsia="宋体" w:cs="宋体"/>
          <w:b w:val="0"/>
          <w:bCs w:val="0"/>
          <w:color w:val="auto"/>
          <w:sz w:val="21"/>
          <w:szCs w:val="21"/>
          <w:highlight w:val="none"/>
          <w:lang w:val="en-US" w:eastAsia="zh-CN"/>
        </w:rPr>
        <w:t>”该项不下浮，其余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r>
        <w:rPr>
          <w:rFonts w:hint="eastAsia" w:hAnsi="宋体"/>
          <w:color w:val="auto"/>
          <w:sz w:val="21"/>
          <w:szCs w:val="21"/>
          <w:highlight w:val="none"/>
        </w:rPr>
        <w:t>。</w:t>
      </w:r>
    </w:p>
    <w:p>
      <w:pPr>
        <w:rPr>
          <w:rFonts w:hint="eastAsia" w:hAnsi="宋体"/>
          <w:color w:val="auto"/>
          <w:sz w:val="21"/>
          <w:szCs w:val="21"/>
          <w:highlight w:val="none"/>
        </w:rPr>
      </w:pPr>
      <w:r>
        <w:rPr>
          <w:rFonts w:hint="eastAsia" w:hAnsi="宋体"/>
          <w:color w:val="auto"/>
          <w:sz w:val="21"/>
          <w:szCs w:val="21"/>
          <w:highlight w:val="none"/>
        </w:rPr>
        <w:br w:type="page"/>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w:t>
      </w:r>
      <w:r>
        <w:rPr>
          <w:rFonts w:hint="eastAsia"/>
          <w:b/>
          <w:bCs/>
          <w:color w:val="auto"/>
          <w:kern w:val="2"/>
          <w:sz w:val="21"/>
          <w:szCs w:val="21"/>
          <w:highlight w:val="none"/>
          <w:lang w:val="en-US" w:eastAsia="zh-CN"/>
        </w:rPr>
        <w:t>五：海曙东区常规交通设施年度维护</w:t>
      </w:r>
      <w:r>
        <w:rPr>
          <w:rFonts w:hint="eastAsia"/>
          <w:b/>
          <w:bCs/>
          <w:color w:val="auto"/>
          <w:kern w:val="2"/>
          <w:sz w:val="21"/>
          <w:szCs w:val="21"/>
          <w:highlight w:val="none"/>
        </w:rPr>
        <w:t>清单</w:t>
      </w:r>
    </w:p>
    <w:tbl>
      <w:tblPr>
        <w:tblStyle w:val="40"/>
        <w:tblW w:w="5744" w:type="pct"/>
        <w:tblInd w:w="-6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5"/>
        <w:gridCol w:w="1863"/>
        <w:gridCol w:w="4875"/>
        <w:gridCol w:w="693"/>
        <w:gridCol w:w="1373"/>
        <w:gridCol w:w="10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30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88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服务项目</w:t>
            </w:r>
          </w:p>
        </w:tc>
        <w:tc>
          <w:tcPr>
            <w:tcW w:w="232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技术参数</w:t>
            </w:r>
          </w:p>
        </w:tc>
        <w:tc>
          <w:tcPr>
            <w:tcW w:w="330"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655"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综合单价最高限价（元）</w:t>
            </w:r>
          </w:p>
        </w:tc>
        <w:tc>
          <w:tcPr>
            <w:tcW w:w="488"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分类预算金额</w:t>
            </w:r>
            <w:r>
              <w:rPr>
                <w:rFonts w:hint="eastAsia" w:ascii="宋体" w:hAnsi="宋体" w:eastAsia="宋体" w:cs="宋体"/>
                <w:b/>
                <w:bCs/>
                <w:i w:val="0"/>
                <w:iCs w:val="0"/>
                <w:color w:val="auto"/>
                <w:kern w:val="0"/>
                <w:sz w:val="20"/>
                <w:szCs w:val="20"/>
                <w:highlight w:val="none"/>
                <w:u w:val="none"/>
                <w:lang w:val="en-US" w:eastAsia="zh-CN" w:bidi="ar"/>
              </w:rPr>
              <w:br w:type="textWrapping"/>
            </w:r>
            <w:r>
              <w:rPr>
                <w:rFonts w:hint="eastAsia" w:ascii="宋体" w:hAnsi="宋体" w:eastAsia="宋体" w:cs="宋体"/>
                <w:b/>
                <w:bCs/>
                <w:i w:val="0"/>
                <w:iCs w:val="0"/>
                <w:color w:val="auto"/>
                <w:kern w:val="0"/>
                <w:sz w:val="20"/>
                <w:szCs w:val="20"/>
                <w:highlight w:val="none"/>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维护项目</w:t>
            </w:r>
          </w:p>
        </w:tc>
        <w:tc>
          <w:tcPr>
            <w:tcW w:w="3802"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常温标线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厚度0.4mm以上</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11.79</w:t>
            </w:r>
          </w:p>
        </w:tc>
        <w:tc>
          <w:tcPr>
            <w:tcW w:w="48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44.06</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Ⅱ级反光热熔标线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普通热熔振荡标线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基线厚度达到1.5mm，突起部分高度达到5mm，均匀撒布反光珠</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91.23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Ⅱ级振荡反光热熔标线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彩色防滑路面标线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使用三层工艺，含地面夯平、清洁路面、涂布彩色底漆、撒砂、收砂、涂布高光面漆。标线厚度2-3mm。陶瓷颗粒直径1-2mm。</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179.85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双组份结构型反光标线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高压水除线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超高压水磨清洗法，清除老标线，无明显痕迹</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39.24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绿化带端头刷漆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按照GB5768要求施划立面标记，黄黑漆，零星施工。</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89.38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705.13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711.34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975.23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981.45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989.24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标志牌贴膜改版</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旧标牌内容变更，贴超强级反光膜</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788.31</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784.39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799.95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杆件、警示桩、护栏边柱、岗亭等设施贴超强级反光膜。按实计算</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KT板（广告牌）</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按要求设计版面</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抱箍</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铝滑槽抱箍、镀锌U型管夹抱箍、紧固件抱箍圈。含配套螺栓螺母。</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30.52</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小型活动支架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钢制活动支架，用以直接设置在路上，3m2以下</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403.3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大型活动支架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钢制活动支架，用以直接设置在路上，3m2以上，含3m2</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机动车靠右标志（一体化）</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黄黑警示桩上结合标志牌，含安装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695.32</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标志牌清洗</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仅限大于5m²的，小于等于5m²的包含于年度维护费中</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10414.75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基础（C25混凝土）</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含基础开挖,混凝土浇灌。详见交警局《宁波市交通标杆及基础、交通护栏大样图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947.77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基础（杆件钢筋）</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详见交警局《宁波市交通标杆及基础、交通护栏大样图 V2.1》</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5713.17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大型杆件吊装</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不含基础，含杆件运输和吊装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827.5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348.46</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护栏反光片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安装在护栏边柱，反光诱导作用，两片一组，一片的价格为一组的一半</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城市护栏轮廓标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1.由弹性TPU材料制成，耐刮擦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2.反光膜区域内凹2mm，减少刮擦磨损；含3M反光膜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3.规格:12.4*5.4*3cm</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护栏底座</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对损坏底座进行更换，并安装于指定位置。详见各阶段护栏标准</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护栏普通盖帽</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安装在护栏的顶部，并安装于指定位置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8.72</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中心护栏边柱方管（含反光膜）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机非护栏边柱方管（含反光膜）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护栏道钉</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护栏安装后固定用的钉子，材质须为镀锌。</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枚</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高度渐变中心护栏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中心矮护栏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326.44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2m/扇，整体高度80cm，详见护栏大样图，含所有配件和安装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546.7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2m/扇，详见护栏大样图，含配件，不含安装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414.2</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弧形护栏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中央绿篱</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1180mm*3000mm，并安装于指定位置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起伏波浪纹景观护栏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738.45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古藏金典护栏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600.82</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波形护栏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含栏板、托架、立柱、护头、铁脚等配件，含基础开挖、夯实、钢笼、预理件及混凝土浇灌，高度、长度参照大样图，并安装于指定位置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218.26</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景观护栏花箱</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1144.5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景观护栏（东部新城）</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479.6</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中山路花箱护栏（波浪）</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中山路花箱护栏（回字）</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瓦片式护栏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4469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185.23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人非不锈钢护栏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514.67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人行护栏刷漆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对生锈的人行护栏刷油漆，含油漆费用</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可移动护栏（钢轮）</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活动中心护栏（加工）</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4000*1050mm，详见交警局《宁波市交通标杆及基础、交通护栏大样图 V2.1》中心护栏样式，底座改滚轮式</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不锈钢伸缩护栏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高1.3米，运送至甲方指定地点。</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272.47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锁具</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3米链条（防剪加粗8mm）+锁具</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车档石柱隔离墩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ø220*500mm，贴3M黄黑反光条，含基础开挖及安装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283.4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新款防撞桶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贴红白反光膜，桶内装入适当沙石，并放置指定位置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278.93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三联防撞桶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新型船式防撞桶，由三个防撞桶组成</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2001.13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DN100警示桩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法兰盘300*300*14mm，立柱ø110*800*4mm，整件热镀锌， 4个膨胀螺丝固定。运送至甲方指定地点</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152.6</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φ115.8道钉式弹性交通柱</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可拆卸式弹性交通柱（红白）</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φ80*750，符合GBT 24972-2010 可拆卸式弹性交通柱标准（甲供安装数量总计超过1000根后每安装一根甲供材料补贴5元）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87.18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二次过街用的警示桩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用在二次过街路口，黄黑相间</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450</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锥筒</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新款pvc材质交通路锥，产品技术参数须符合符合招标文件中的技术要求。反光膜上打有宁波交警水印</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水马</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新款水马，滚塑三孔，1500*800mm，净重大于12.5公斤，桶内装入适当沙石，并放置指定位置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365.83</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防眩板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220*900mm，4个304不锈钢膨胀螺丝固定，玻璃钢质，并安装指定位置（甲供安装数量总计超过1000片后每安装一片甲供材料补贴5元）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防抛网</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220*900mm，4个膨胀螺丝固定，玻璃钢质，并安装指定位置（甲供安装数量总计超过1000片后每安装一片甲供材料补贴5元）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196.2</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可导向钢制防撞垫</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符合JTG D81-2017和JTG/T D81-2017的要求</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32700</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轮廓标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反光诱导作用，并安装于指定位置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减速垄</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橡胶反光减速带，1000*360*50mm或500*360*50mm黄黑条纹，每米8根道钉固定。并安装于指定位置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111.71</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抽屉锁</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A级锁，岗亭衣柜及办公抽屉锁等</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岗亭门锁</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B级锁即可。</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岗亭玻璃（平面），更换岗亭玻璃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岗亭玻璃(曲面)</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更换岗亭玻璃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岗亭灯管</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更换岗亭日光灯管</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岗亭（空调加氟利昂）</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老旧空调加氟利昂</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岗亭（空调遥控器）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适配岗亭空调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1.5P，型号不限</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4360</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1.0P，型号不限</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满足岗亭日常清洁需求</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岗亭内的扫把、拖把、水桶、垃圾畚斗、抹布</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岗亭（空调铜管）</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更换岗亭空调铜管</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岗亭（空调插座）</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更换岗亭空调插座</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岗亭（空调主板）</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更换岗亭空调主板</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岗亭空调清洗，漏水修复</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岗亭清洗</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对岗亭进行整体清洗</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行人二次过街横杆</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2180</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4芯电缆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ZCKVVR电缆线4*1.5mm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凸面镜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直径80cm 含DN100杆件及基础制作和安装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707.7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挡车器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500*150*100mm，黄黑色，膨胀螺丝固定，并安装于指定位置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108.98</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爆闪灯</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双面太阳能LED灯，带储电池，并安装于指定位置。不含DN80立杆和基础</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新增宣传标语（铁皮）</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安装在指定的护栏上</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新增行人安全岛</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公交车站</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行人安全岛</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岛头900mm*920mm*625mm*2只，配2根DN80钢管警示桩，踏板1000mm*900mm*40mm*4块。共长6m，并安装于指定位置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9265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塑料反光道钉</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尺寸（mm）100*100打孔加胶粘安装石英砂，包含安装</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刷漆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对生锈的岗亭、标志杆除锈刷油漆，含油漆费用</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遮阳棚（手动）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伸缩遮阳棚尺寸2.5m*2.5m，其中机头、前管、伸缩臂等金属构件均采用铝合金材质，棚布采用加厚PVC材质，防水防晒，配2m伸缩手摇杆</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遮阳棚（电动）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1417</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岗亭窗帘，含轨道</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年度维护费</w:t>
            </w:r>
          </w:p>
        </w:tc>
        <w:tc>
          <w:tcPr>
            <w:tcW w:w="3802"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维护费</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780000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保险</w:t>
            </w:r>
          </w:p>
        </w:tc>
        <w:tc>
          <w:tcPr>
            <w:tcW w:w="3802"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公众责任险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合同工期内投标区域内所有交通安全设施的保险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（本项不得下浮）</w:t>
            </w:r>
          </w:p>
        </w:tc>
        <w:tc>
          <w:tcPr>
            <w:tcW w:w="3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55"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标项五综合单价最高限价总计（元）</w:t>
            </w:r>
          </w:p>
        </w:tc>
        <w:tc>
          <w:tcPr>
            <w:tcW w:w="1144"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07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可下浮综合单价合计（元）</w:t>
            </w:r>
          </w:p>
        </w:tc>
        <w:tc>
          <w:tcPr>
            <w:tcW w:w="239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893190.71</w:t>
            </w:r>
          </w:p>
        </w:tc>
      </w:tr>
    </w:tbl>
    <w:p>
      <w:pPr>
        <w:spacing w:line="360" w:lineRule="auto"/>
        <w:rPr>
          <w:rFonts w:ascii="宋体" w:hAnsi="宋体"/>
          <w:b/>
          <w:color w:val="auto"/>
          <w:sz w:val="21"/>
          <w:szCs w:val="21"/>
          <w:highlight w:val="none"/>
        </w:rPr>
      </w:pPr>
      <w:r>
        <w:rPr>
          <w:rFonts w:hint="eastAsia" w:ascii="宋体" w:hAnsi="宋体"/>
          <w:b/>
          <w:color w:val="auto"/>
          <w:sz w:val="21"/>
          <w:szCs w:val="21"/>
          <w:highlight w:val="none"/>
        </w:rPr>
        <w:t>备注：</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1、清单数量具体以实际发生为准；</w:t>
      </w:r>
    </w:p>
    <w:p>
      <w:pPr>
        <w:spacing w:line="360" w:lineRule="auto"/>
        <w:ind w:firstLine="420" w:firstLineChars="200"/>
        <w:rPr>
          <w:rFonts w:hint="eastAsia" w:ascii="宋体" w:hAnsi="宋体" w:eastAsia="宋体"/>
          <w:color w:val="auto"/>
          <w:sz w:val="21"/>
          <w:szCs w:val="21"/>
          <w:highlight w:val="none"/>
        </w:rPr>
      </w:pPr>
      <w:r>
        <w:rPr>
          <w:rFonts w:hint="eastAsia" w:ascii="宋体" w:hAnsi="宋体"/>
          <w:color w:val="auto"/>
          <w:sz w:val="21"/>
          <w:szCs w:val="21"/>
          <w:highlight w:val="none"/>
        </w:rPr>
        <w:t>2、非表内项目结</w:t>
      </w:r>
      <w:r>
        <w:rPr>
          <w:rFonts w:hint="eastAsia" w:ascii="宋体" w:hAnsi="宋体" w:eastAsia="宋体"/>
          <w:color w:val="auto"/>
          <w:sz w:val="21"/>
          <w:szCs w:val="21"/>
          <w:highlight w:val="none"/>
        </w:rPr>
        <w:t>算时按审计审定价为准；</w:t>
      </w:r>
    </w:p>
    <w:p>
      <w:pPr>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3、最终结算实付金额不超过本标项预算金额且不超过分类预算金额。</w:t>
      </w:r>
    </w:p>
    <w:p>
      <w:pPr>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i w:val="0"/>
          <w:iCs w:val="0"/>
          <w:color w:val="auto"/>
          <w:kern w:val="0"/>
          <w:sz w:val="21"/>
          <w:szCs w:val="21"/>
          <w:highlight w:val="none"/>
          <w:u w:val="none"/>
          <w:lang w:val="en-US" w:eastAsia="zh-CN" w:bidi="ar"/>
        </w:rPr>
        <w:t>公众责任险</w:t>
      </w:r>
      <w:r>
        <w:rPr>
          <w:rFonts w:hint="eastAsia" w:ascii="宋体" w:hAnsi="宋体" w:eastAsia="宋体" w:cs="宋体"/>
          <w:b w:val="0"/>
          <w:bCs w:val="0"/>
          <w:color w:val="auto"/>
          <w:sz w:val="21"/>
          <w:szCs w:val="21"/>
          <w:highlight w:val="none"/>
          <w:lang w:val="en-US" w:eastAsia="zh-CN"/>
        </w:rPr>
        <w:t>”该项不下浮，其余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r>
        <w:rPr>
          <w:rFonts w:hint="eastAsia" w:ascii="宋体" w:hAnsi="宋体" w:eastAsia="宋体"/>
          <w:color w:val="auto"/>
          <w:sz w:val="21"/>
          <w:szCs w:val="21"/>
          <w:highlight w:val="none"/>
        </w:rPr>
        <w:t>。</w:t>
      </w:r>
    </w:p>
    <w:p>
      <w:pPr>
        <w:rPr>
          <w:rFonts w:hint="eastAsia"/>
          <w:color w:val="auto"/>
          <w:highlight w:val="none"/>
        </w:rPr>
      </w:pPr>
      <w:r>
        <w:rPr>
          <w:rFonts w:hint="eastAsia"/>
          <w:color w:val="auto"/>
          <w:highlight w:val="none"/>
        </w:rPr>
        <w:br w:type="page"/>
      </w:r>
    </w:p>
    <w:p>
      <w:pPr>
        <w:pStyle w:val="3"/>
        <w:bidi w:val="0"/>
        <w:jc w:val="center"/>
        <w:rPr>
          <w:color w:val="auto"/>
          <w:highlight w:val="none"/>
        </w:rPr>
      </w:pPr>
      <w:bookmarkStart w:id="10" w:name="_Toc2013"/>
      <w:r>
        <w:rPr>
          <w:rFonts w:hint="eastAsia"/>
          <w:color w:val="auto"/>
          <w:sz w:val="32"/>
          <w:szCs w:val="32"/>
          <w:highlight w:val="none"/>
        </w:rPr>
        <w:t>第</w:t>
      </w:r>
      <w:r>
        <w:rPr>
          <w:rFonts w:hint="eastAsia"/>
          <w:color w:val="auto"/>
          <w:sz w:val="32"/>
          <w:szCs w:val="32"/>
          <w:highlight w:val="none"/>
          <w:lang w:val="en-US" w:eastAsia="zh-CN"/>
        </w:rPr>
        <w:t>三</w:t>
      </w:r>
      <w:r>
        <w:rPr>
          <w:rFonts w:hint="eastAsia"/>
          <w:color w:val="auto"/>
          <w:sz w:val="32"/>
          <w:szCs w:val="32"/>
          <w:highlight w:val="none"/>
        </w:rPr>
        <w:t>章  投标人须知</w:t>
      </w:r>
      <w:bookmarkEnd w:id="10"/>
    </w:p>
    <w:p>
      <w:pPr>
        <w:spacing w:line="276" w:lineRule="auto"/>
        <w:jc w:val="center"/>
        <w:rPr>
          <w:b/>
          <w:color w:val="auto"/>
          <w:sz w:val="28"/>
          <w:szCs w:val="28"/>
          <w:highlight w:val="none"/>
        </w:rPr>
      </w:pPr>
      <w:r>
        <w:rPr>
          <w:rFonts w:hint="eastAsia"/>
          <w:b/>
          <w:color w:val="auto"/>
          <w:sz w:val="28"/>
          <w:szCs w:val="28"/>
          <w:highlight w:val="none"/>
        </w:rPr>
        <w:t>投标人须知前附表</w:t>
      </w:r>
    </w:p>
    <w:p>
      <w:pPr>
        <w:spacing w:line="360" w:lineRule="auto"/>
        <w:rPr>
          <w:rFonts w:ascii="宋体"/>
          <w:color w:val="auto"/>
          <w:sz w:val="21"/>
          <w:szCs w:val="21"/>
          <w:highlight w:val="none"/>
        </w:rPr>
      </w:pPr>
      <w:r>
        <w:rPr>
          <w:rFonts w:hint="eastAsia" w:ascii="宋体"/>
          <w:color w:val="auto"/>
          <w:sz w:val="21"/>
          <w:szCs w:val="21"/>
          <w:highlight w:val="none"/>
        </w:rPr>
        <w:t>注：1、本须知前附表是对投标人须知的修改和补充，如有矛盾，均以本表为准。</w:t>
      </w:r>
    </w:p>
    <w:p>
      <w:pPr>
        <w:spacing w:line="360" w:lineRule="auto"/>
        <w:rPr>
          <w:b/>
          <w:color w:val="auto"/>
          <w:sz w:val="21"/>
          <w:szCs w:val="21"/>
          <w:highlight w:val="none"/>
        </w:rPr>
      </w:pPr>
      <w:r>
        <w:rPr>
          <w:rFonts w:hint="eastAsia" w:ascii="宋体"/>
          <w:color w:val="auto"/>
          <w:sz w:val="21"/>
          <w:szCs w:val="21"/>
          <w:highlight w:val="none"/>
        </w:rPr>
        <w:t xml:space="preserve">    2、本附表中</w:t>
      </w:r>
      <w:r>
        <w:rPr>
          <w:rFonts w:hint="eastAsia"/>
          <w:color w:val="auto"/>
          <w:sz w:val="21"/>
          <w:szCs w:val="21"/>
          <w:highlight w:val="none"/>
        </w:rPr>
        <w:t>“*”标志的为实质性条款，如有其中一项不符合即按无效投标处理。</w:t>
      </w:r>
    </w:p>
    <w:tbl>
      <w:tblPr>
        <w:tblStyle w:val="40"/>
        <w:tblW w:w="965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13"/>
        <w:gridCol w:w="7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75" w:type="dxa"/>
            <w:vAlign w:val="center"/>
          </w:tcPr>
          <w:p>
            <w:pPr>
              <w:spacing w:line="336" w:lineRule="auto"/>
              <w:jc w:val="center"/>
              <w:rPr>
                <w:rFonts w:ascii="宋体"/>
                <w:b/>
                <w:bCs/>
                <w:color w:val="auto"/>
                <w:sz w:val="21"/>
                <w:szCs w:val="21"/>
                <w:highlight w:val="none"/>
              </w:rPr>
            </w:pPr>
            <w:r>
              <w:rPr>
                <w:rFonts w:hint="eastAsia" w:ascii="宋体"/>
                <w:b/>
                <w:bCs/>
                <w:color w:val="auto"/>
                <w:sz w:val="21"/>
                <w:szCs w:val="21"/>
                <w:highlight w:val="none"/>
              </w:rPr>
              <w:t>序号</w:t>
            </w:r>
          </w:p>
        </w:tc>
        <w:tc>
          <w:tcPr>
            <w:tcW w:w="1713" w:type="dxa"/>
            <w:vAlign w:val="center"/>
          </w:tcPr>
          <w:p>
            <w:pPr>
              <w:spacing w:line="336" w:lineRule="auto"/>
              <w:jc w:val="center"/>
              <w:rPr>
                <w:rFonts w:ascii="宋体"/>
                <w:b/>
                <w:bCs/>
                <w:color w:val="auto"/>
                <w:sz w:val="21"/>
                <w:szCs w:val="21"/>
                <w:highlight w:val="none"/>
              </w:rPr>
            </w:pPr>
            <w:r>
              <w:rPr>
                <w:rFonts w:hint="eastAsia" w:ascii="宋体"/>
                <w:b/>
                <w:bCs/>
                <w:color w:val="auto"/>
                <w:sz w:val="21"/>
                <w:szCs w:val="21"/>
                <w:highlight w:val="none"/>
              </w:rPr>
              <w:t>类别</w:t>
            </w:r>
          </w:p>
        </w:tc>
        <w:tc>
          <w:tcPr>
            <w:tcW w:w="7262" w:type="dxa"/>
            <w:vAlign w:val="center"/>
          </w:tcPr>
          <w:p>
            <w:pPr>
              <w:spacing w:line="336" w:lineRule="auto"/>
              <w:jc w:val="center"/>
              <w:rPr>
                <w:rFonts w:ascii="宋体"/>
                <w:b/>
                <w:bCs/>
                <w:color w:val="auto"/>
                <w:sz w:val="21"/>
                <w:szCs w:val="21"/>
                <w:highlight w:val="none"/>
              </w:rPr>
            </w:pPr>
            <w:r>
              <w:rPr>
                <w:rFonts w:hint="eastAsia" w:ascii="宋体"/>
                <w:b/>
                <w:bCs/>
                <w:color w:val="auto"/>
                <w:sz w:val="21"/>
                <w:szCs w:val="21"/>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w:t>
            </w:r>
          </w:p>
        </w:tc>
        <w:tc>
          <w:tcPr>
            <w:tcW w:w="1713" w:type="dxa"/>
            <w:vAlign w:val="center"/>
          </w:tcPr>
          <w:p>
            <w:pPr>
              <w:snapToGrid w:val="0"/>
              <w:spacing w:line="336" w:lineRule="auto"/>
              <w:jc w:val="center"/>
              <w:rPr>
                <w:rFonts w:ascii="宋体"/>
                <w:bCs/>
                <w:color w:val="auto"/>
                <w:sz w:val="21"/>
                <w:szCs w:val="21"/>
                <w:highlight w:val="none"/>
              </w:rPr>
            </w:pPr>
            <w:r>
              <w:rPr>
                <w:rFonts w:hint="eastAsia" w:ascii="宋体"/>
                <w:bCs/>
                <w:color w:val="auto"/>
                <w:sz w:val="21"/>
                <w:szCs w:val="21"/>
                <w:highlight w:val="none"/>
              </w:rPr>
              <w:t>招标编号</w:t>
            </w:r>
          </w:p>
        </w:tc>
        <w:tc>
          <w:tcPr>
            <w:tcW w:w="7262" w:type="dxa"/>
            <w:vAlign w:val="center"/>
          </w:tcPr>
          <w:p>
            <w:pPr>
              <w:snapToGrid w:val="0"/>
              <w:spacing w:line="336" w:lineRule="auto"/>
              <w:rPr>
                <w:rFonts w:hint="eastAsia" w:ascii="宋体" w:eastAsia="宋体"/>
                <w:bCs/>
                <w:color w:val="auto"/>
                <w:sz w:val="21"/>
                <w:szCs w:val="21"/>
                <w:highlight w:val="none"/>
                <w:lang w:eastAsia="zh-CN"/>
              </w:rPr>
            </w:pPr>
            <w:r>
              <w:rPr>
                <w:rFonts w:hint="eastAsia" w:ascii="宋体"/>
                <w:bCs/>
                <w:color w:val="auto"/>
                <w:sz w:val="21"/>
                <w:szCs w:val="21"/>
                <w:highlight w:val="none"/>
                <w:lang w:eastAsia="zh-CN"/>
              </w:rPr>
              <w:t>NBITC-202330131G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2</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招标人</w:t>
            </w:r>
          </w:p>
        </w:tc>
        <w:tc>
          <w:tcPr>
            <w:tcW w:w="7262" w:type="dxa"/>
            <w:vAlign w:val="center"/>
          </w:tcPr>
          <w:p>
            <w:pPr>
              <w:snapToGrid w:val="0"/>
              <w:spacing w:line="336" w:lineRule="auto"/>
              <w:jc w:val="both"/>
              <w:rPr>
                <w:rFonts w:ascii="宋体"/>
                <w:bCs/>
                <w:color w:val="auto"/>
                <w:sz w:val="21"/>
                <w:szCs w:val="21"/>
                <w:highlight w:val="none"/>
              </w:rPr>
            </w:pPr>
            <w:r>
              <w:rPr>
                <w:rFonts w:hint="eastAsia" w:ascii="宋体"/>
                <w:bCs/>
                <w:color w:val="auto"/>
                <w:sz w:val="21"/>
                <w:szCs w:val="21"/>
                <w:highlight w:val="none"/>
                <w:lang w:val="en-US" w:eastAsia="zh-CN"/>
              </w:rPr>
              <w:t>名称：</w:t>
            </w:r>
            <w:r>
              <w:rPr>
                <w:rFonts w:hint="eastAsia" w:ascii="宋体"/>
                <w:bCs/>
                <w:color w:val="auto"/>
                <w:sz w:val="21"/>
                <w:szCs w:val="21"/>
                <w:highlight w:val="none"/>
              </w:rPr>
              <w:t>宁波市公安局交通警察局</w:t>
            </w:r>
          </w:p>
          <w:p>
            <w:pPr>
              <w:snapToGrid w:val="0"/>
              <w:spacing w:line="336" w:lineRule="auto"/>
              <w:jc w:val="both"/>
              <w:rPr>
                <w:rFonts w:hint="eastAsia" w:ascii="宋体" w:eastAsia="宋体"/>
                <w:bCs/>
                <w:color w:val="auto"/>
                <w:sz w:val="21"/>
                <w:szCs w:val="21"/>
                <w:highlight w:val="none"/>
                <w:lang w:val="en-US" w:eastAsia="zh-CN"/>
              </w:rPr>
            </w:pPr>
            <w:r>
              <w:rPr>
                <w:rFonts w:hint="eastAsia" w:ascii="宋体"/>
                <w:bCs/>
                <w:color w:val="auto"/>
                <w:sz w:val="21"/>
                <w:szCs w:val="21"/>
                <w:highlight w:val="none"/>
              </w:rPr>
              <w:t>联 系 人：</w:t>
            </w:r>
            <w:r>
              <w:rPr>
                <w:rFonts w:hint="eastAsia" w:ascii="宋体"/>
                <w:bCs/>
                <w:color w:val="auto"/>
                <w:sz w:val="21"/>
                <w:szCs w:val="21"/>
                <w:highlight w:val="none"/>
                <w:lang w:val="en-US" w:eastAsia="zh-CN"/>
              </w:rPr>
              <w:t>胡康</w:t>
            </w:r>
          </w:p>
          <w:p>
            <w:pPr>
              <w:snapToGrid w:val="0"/>
              <w:spacing w:line="336" w:lineRule="auto"/>
              <w:jc w:val="both"/>
              <w:rPr>
                <w:rFonts w:hint="eastAsia" w:ascii="宋体" w:eastAsia="宋体"/>
                <w:bCs/>
                <w:color w:val="auto"/>
                <w:sz w:val="21"/>
                <w:szCs w:val="21"/>
                <w:highlight w:val="none"/>
                <w:lang w:val="en-US" w:eastAsia="zh-CN"/>
              </w:rPr>
            </w:pPr>
            <w:r>
              <w:rPr>
                <w:rFonts w:hint="eastAsia" w:ascii="宋体"/>
                <w:bCs/>
                <w:color w:val="auto"/>
                <w:sz w:val="21"/>
                <w:szCs w:val="21"/>
                <w:highlight w:val="none"/>
              </w:rPr>
              <w:t>联系电话：0574</w:t>
            </w:r>
            <w:r>
              <w:rPr>
                <w:rFonts w:hint="eastAsia" w:ascii="宋体"/>
                <w:bCs/>
                <w:color w:val="auto"/>
                <w:sz w:val="21"/>
                <w:szCs w:val="21"/>
                <w:highlight w:val="none"/>
                <w:lang w:val="en-US" w:eastAsia="zh-CN"/>
              </w:rPr>
              <w:t>-81981121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3</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招标代理机构</w:t>
            </w:r>
          </w:p>
        </w:tc>
        <w:tc>
          <w:tcPr>
            <w:tcW w:w="7262" w:type="dxa"/>
            <w:vAlign w:val="center"/>
          </w:tcPr>
          <w:p>
            <w:pPr>
              <w:spacing w:line="336" w:lineRule="auto"/>
              <w:jc w:val="both"/>
              <w:rPr>
                <w:rFonts w:ascii="宋体"/>
                <w:bCs/>
                <w:color w:val="auto"/>
                <w:sz w:val="21"/>
                <w:szCs w:val="21"/>
                <w:highlight w:val="none"/>
              </w:rPr>
            </w:pPr>
            <w:r>
              <w:rPr>
                <w:rFonts w:hint="eastAsia" w:ascii="宋体"/>
                <w:bCs/>
                <w:color w:val="auto"/>
                <w:sz w:val="21"/>
                <w:szCs w:val="21"/>
                <w:highlight w:val="none"/>
                <w:lang w:val="en-US" w:eastAsia="zh-CN"/>
              </w:rPr>
              <w:t>名称：</w:t>
            </w:r>
            <w:r>
              <w:rPr>
                <w:rFonts w:hint="eastAsia" w:ascii="宋体"/>
                <w:bCs/>
                <w:color w:val="auto"/>
                <w:sz w:val="21"/>
                <w:szCs w:val="21"/>
                <w:highlight w:val="none"/>
              </w:rPr>
              <w:t>宁波市国际招标有限公司</w:t>
            </w:r>
          </w:p>
          <w:p>
            <w:pPr>
              <w:spacing w:line="336" w:lineRule="auto"/>
              <w:jc w:val="both"/>
              <w:rPr>
                <w:rFonts w:ascii="宋体"/>
                <w:bCs/>
                <w:color w:val="auto"/>
                <w:sz w:val="21"/>
                <w:szCs w:val="21"/>
                <w:highlight w:val="none"/>
              </w:rPr>
            </w:pPr>
            <w:r>
              <w:rPr>
                <w:rFonts w:hint="eastAsia" w:ascii="宋体"/>
                <w:bCs/>
                <w:color w:val="auto"/>
                <w:sz w:val="21"/>
                <w:szCs w:val="21"/>
                <w:highlight w:val="none"/>
              </w:rPr>
              <w:t>地</w:t>
            </w:r>
            <w:r>
              <w:rPr>
                <w:rFonts w:ascii="宋体"/>
                <w:bCs/>
                <w:color w:val="auto"/>
                <w:sz w:val="21"/>
                <w:szCs w:val="21"/>
                <w:highlight w:val="none"/>
              </w:rPr>
              <w:t>址：</w:t>
            </w:r>
            <w:r>
              <w:rPr>
                <w:rFonts w:hint="eastAsia" w:ascii="宋体" w:hAnsi="宋体" w:cs="宋体"/>
                <w:color w:val="auto"/>
                <w:sz w:val="21"/>
                <w:szCs w:val="21"/>
                <w:highlight w:val="none"/>
              </w:rPr>
              <w:t>宁波市江北区环城北路西段207弄19号世茂茂悦商业中心1号楼八楼012室</w:t>
            </w:r>
          </w:p>
          <w:p>
            <w:pPr>
              <w:spacing w:line="336" w:lineRule="auto"/>
              <w:jc w:val="both"/>
              <w:rPr>
                <w:rFonts w:ascii="宋体"/>
                <w:bCs/>
                <w:color w:val="auto"/>
                <w:sz w:val="21"/>
                <w:szCs w:val="21"/>
                <w:highlight w:val="none"/>
              </w:rPr>
            </w:pPr>
            <w:r>
              <w:rPr>
                <w:rFonts w:hint="eastAsia" w:ascii="宋体"/>
                <w:bCs/>
                <w:color w:val="auto"/>
                <w:sz w:val="21"/>
                <w:szCs w:val="21"/>
                <w:highlight w:val="none"/>
              </w:rPr>
              <w:t>联</w:t>
            </w:r>
            <w:r>
              <w:rPr>
                <w:rFonts w:ascii="宋体"/>
                <w:bCs/>
                <w:color w:val="auto"/>
                <w:sz w:val="21"/>
                <w:szCs w:val="21"/>
                <w:highlight w:val="none"/>
              </w:rPr>
              <w:t>系人：</w:t>
            </w:r>
            <w:r>
              <w:rPr>
                <w:rFonts w:hint="eastAsia" w:ascii="宋体" w:hAnsi="宋体" w:cs="宋体"/>
                <w:color w:val="auto"/>
                <w:sz w:val="21"/>
                <w:szCs w:val="21"/>
                <w:highlight w:val="none"/>
              </w:rPr>
              <w:t>陈若水、姚露泽、</w:t>
            </w:r>
            <w:r>
              <w:rPr>
                <w:rFonts w:hint="eastAsia" w:ascii="宋体" w:hAnsi="宋体" w:cs="宋体"/>
                <w:color w:val="auto"/>
                <w:sz w:val="21"/>
                <w:szCs w:val="21"/>
                <w:highlight w:val="none"/>
                <w:lang w:val="en-US" w:eastAsia="zh-CN"/>
              </w:rPr>
              <w:t>王炫皓</w:t>
            </w:r>
            <w:r>
              <w:rPr>
                <w:rFonts w:hint="eastAsia" w:ascii="宋体"/>
                <w:bCs/>
                <w:color w:val="auto"/>
                <w:sz w:val="21"/>
                <w:szCs w:val="21"/>
                <w:highlight w:val="none"/>
              </w:rPr>
              <w:t xml:space="preserve"> </w:t>
            </w:r>
          </w:p>
          <w:p>
            <w:pPr>
              <w:spacing w:line="336" w:lineRule="auto"/>
              <w:jc w:val="both"/>
              <w:rPr>
                <w:rFonts w:ascii="宋体"/>
                <w:bCs/>
                <w:color w:val="auto"/>
                <w:sz w:val="21"/>
                <w:szCs w:val="21"/>
                <w:highlight w:val="none"/>
              </w:rPr>
            </w:pPr>
            <w:r>
              <w:rPr>
                <w:rFonts w:hint="eastAsia" w:ascii="宋体"/>
                <w:bCs/>
                <w:color w:val="auto"/>
                <w:sz w:val="21"/>
                <w:szCs w:val="21"/>
                <w:highlight w:val="none"/>
              </w:rPr>
              <w:t>电</w:t>
            </w:r>
            <w:r>
              <w:rPr>
                <w:rFonts w:ascii="宋体"/>
                <w:bCs/>
                <w:color w:val="auto"/>
                <w:sz w:val="21"/>
                <w:szCs w:val="21"/>
                <w:highlight w:val="none"/>
              </w:rPr>
              <w:t>话：</w:t>
            </w:r>
            <w:r>
              <w:rPr>
                <w:rFonts w:hint="eastAsia" w:ascii="宋体"/>
                <w:bCs/>
                <w:color w:val="auto"/>
                <w:sz w:val="21"/>
                <w:szCs w:val="21"/>
                <w:highlight w:val="none"/>
              </w:rPr>
              <w:t>0574－87357607</w:t>
            </w:r>
            <w:r>
              <w:rPr>
                <w:rFonts w:ascii="宋体"/>
                <w:bCs/>
                <w:color w:val="auto"/>
                <w:sz w:val="21"/>
                <w:szCs w:val="21"/>
                <w:highlight w:val="none"/>
              </w:rPr>
              <w:t xml:space="preserve">  </w:t>
            </w:r>
          </w:p>
          <w:p>
            <w:pPr>
              <w:spacing w:line="336" w:lineRule="auto"/>
              <w:jc w:val="both"/>
              <w:rPr>
                <w:rFonts w:ascii="宋体"/>
                <w:bCs/>
                <w:color w:val="auto"/>
                <w:sz w:val="21"/>
                <w:szCs w:val="21"/>
                <w:highlight w:val="none"/>
              </w:rPr>
            </w:pPr>
            <w:r>
              <w:rPr>
                <w:rFonts w:ascii="宋体"/>
                <w:bCs/>
                <w:color w:val="auto"/>
                <w:sz w:val="21"/>
                <w:szCs w:val="21"/>
                <w:highlight w:val="none"/>
              </w:rPr>
              <w:t>传真：0574</w:t>
            </w:r>
            <w:r>
              <w:rPr>
                <w:rFonts w:hint="eastAsia" w:ascii="宋体"/>
                <w:bCs/>
                <w:color w:val="auto"/>
                <w:sz w:val="21"/>
                <w:szCs w:val="21"/>
                <w:highlight w:val="none"/>
              </w:rPr>
              <w:t>-</w:t>
            </w:r>
            <w:r>
              <w:rPr>
                <w:rFonts w:ascii="宋体"/>
                <w:bCs/>
                <w:color w:val="auto"/>
                <w:sz w:val="21"/>
                <w:szCs w:val="21"/>
                <w:highlight w:val="none"/>
              </w:rPr>
              <w:t>87388460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4</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采购项目名称</w:t>
            </w:r>
          </w:p>
        </w:tc>
        <w:tc>
          <w:tcPr>
            <w:tcW w:w="7262" w:type="dxa"/>
            <w:vAlign w:val="center"/>
          </w:tcPr>
          <w:p>
            <w:pPr>
              <w:spacing w:line="336" w:lineRule="auto"/>
              <w:jc w:val="both"/>
              <w:rPr>
                <w:rFonts w:hint="eastAsia" w:ascii="宋体" w:eastAsia="宋体"/>
                <w:bCs/>
                <w:color w:val="auto"/>
                <w:sz w:val="21"/>
                <w:szCs w:val="21"/>
                <w:highlight w:val="none"/>
                <w:lang w:eastAsia="zh-CN"/>
              </w:rPr>
            </w:pPr>
            <w:r>
              <w:rPr>
                <w:rFonts w:hint="eastAsia" w:ascii="宋体" w:hAnsi="宋体" w:cs="宋体"/>
                <w:color w:val="auto"/>
                <w:sz w:val="21"/>
                <w:szCs w:val="21"/>
                <w:highlight w:val="none"/>
                <w:lang w:eastAsia="zh-CN"/>
              </w:rPr>
              <w:t>2023年度市三区常规交通设施年度维护项目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50" w:type="dxa"/>
            <w:gridSpan w:val="3"/>
            <w:vAlign w:val="center"/>
          </w:tcPr>
          <w:p>
            <w:pPr>
              <w:spacing w:line="336" w:lineRule="auto"/>
              <w:jc w:val="center"/>
              <w:rPr>
                <w:rFonts w:ascii="宋体"/>
                <w:color w:val="auto"/>
                <w:sz w:val="21"/>
                <w:szCs w:val="21"/>
                <w:highlight w:val="none"/>
              </w:rPr>
            </w:pPr>
            <w:r>
              <w:rPr>
                <w:rFonts w:hint="eastAsia" w:ascii="宋体"/>
                <w:color w:val="auto"/>
                <w:sz w:val="21"/>
                <w:szCs w:val="21"/>
                <w:highlight w:val="none"/>
              </w:rPr>
              <w:t>投标基本原则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
                <w:bCs/>
                <w:color w:val="auto"/>
                <w:sz w:val="21"/>
                <w:szCs w:val="21"/>
                <w:highlight w:val="none"/>
              </w:rPr>
            </w:pPr>
            <w:r>
              <w:rPr>
                <w:rFonts w:hint="eastAsia" w:ascii="宋体"/>
                <w:b/>
                <w:color w:val="auto"/>
                <w:sz w:val="21"/>
                <w:szCs w:val="21"/>
                <w:highlight w:val="none"/>
              </w:rPr>
              <w:t>*</w:t>
            </w:r>
            <w:r>
              <w:rPr>
                <w:rFonts w:hint="eastAsia" w:ascii="宋体"/>
                <w:b/>
                <w:bCs/>
                <w:color w:val="auto"/>
                <w:sz w:val="21"/>
                <w:szCs w:val="21"/>
                <w:highlight w:val="none"/>
              </w:rPr>
              <w:t>5</w:t>
            </w:r>
          </w:p>
        </w:tc>
        <w:tc>
          <w:tcPr>
            <w:tcW w:w="1713" w:type="dxa"/>
            <w:vAlign w:val="center"/>
          </w:tcPr>
          <w:p>
            <w:pPr>
              <w:spacing w:line="336" w:lineRule="auto"/>
              <w:jc w:val="center"/>
              <w:rPr>
                <w:rFonts w:ascii="宋体"/>
                <w:b/>
                <w:bCs/>
                <w:color w:val="auto"/>
                <w:sz w:val="21"/>
                <w:szCs w:val="21"/>
                <w:highlight w:val="none"/>
              </w:rPr>
            </w:pPr>
            <w:r>
              <w:rPr>
                <w:rFonts w:hint="eastAsia" w:ascii="宋体"/>
                <w:b/>
                <w:color w:val="auto"/>
                <w:sz w:val="21"/>
                <w:szCs w:val="21"/>
                <w:highlight w:val="none"/>
              </w:rPr>
              <w:t>投标人</w:t>
            </w:r>
            <w:r>
              <w:rPr>
                <w:rFonts w:hint="eastAsia" w:ascii="宋体"/>
                <w:b/>
                <w:bCs/>
                <w:color w:val="auto"/>
                <w:sz w:val="21"/>
                <w:szCs w:val="21"/>
                <w:highlight w:val="none"/>
              </w:rPr>
              <w:t>资质要求</w:t>
            </w:r>
          </w:p>
        </w:tc>
        <w:tc>
          <w:tcPr>
            <w:tcW w:w="7262" w:type="dxa"/>
            <w:vAlign w:val="center"/>
          </w:tcPr>
          <w:p>
            <w:pPr>
              <w:spacing w:line="336" w:lineRule="auto"/>
              <w:rPr>
                <w:rFonts w:ascii="宋体" w:hAnsi="宋体" w:cs="宋体"/>
                <w:color w:val="auto"/>
                <w:sz w:val="21"/>
                <w:szCs w:val="21"/>
                <w:highlight w:val="none"/>
              </w:rPr>
            </w:pPr>
            <w:r>
              <w:rPr>
                <w:rFonts w:hint="eastAsia" w:ascii="宋体" w:hAnsi="宋体" w:cs="宋体"/>
                <w:color w:val="auto"/>
                <w:sz w:val="21"/>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6</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投标报价</w:t>
            </w:r>
          </w:p>
        </w:tc>
        <w:tc>
          <w:tcPr>
            <w:tcW w:w="7262" w:type="dxa"/>
            <w:vAlign w:val="center"/>
          </w:tcPr>
          <w:p>
            <w:pPr>
              <w:pStyle w:val="55"/>
              <w:spacing w:line="336" w:lineRule="auto"/>
              <w:ind w:firstLine="2"/>
              <w:rPr>
                <w:rFonts w:hint="default" w:cs="Times New Roman"/>
                <w:b/>
                <w:bCs/>
                <w:color w:val="auto"/>
                <w:sz w:val="21"/>
                <w:szCs w:val="21"/>
                <w:highlight w:val="none"/>
                <w:lang w:val="en-US" w:eastAsia="zh-CN" w:bidi="ar-SA"/>
              </w:rPr>
            </w:pPr>
            <w:r>
              <w:rPr>
                <w:rFonts w:hint="eastAsia" w:cs="Times New Roman"/>
                <w:b/>
                <w:bCs/>
                <w:color w:val="auto"/>
                <w:sz w:val="21"/>
                <w:szCs w:val="21"/>
                <w:highlight w:val="none"/>
                <w:lang w:val="en-US" w:eastAsia="zh-CN" w:bidi="ar-SA"/>
              </w:rPr>
              <w:t>本项目报统一下浮率。</w:t>
            </w:r>
          </w:p>
          <w:p>
            <w:pPr>
              <w:pStyle w:val="55"/>
              <w:spacing w:line="336" w:lineRule="auto"/>
              <w:ind w:firstLine="2"/>
              <w:rPr>
                <w:color w:val="auto"/>
                <w:highlight w:val="none"/>
              </w:rPr>
            </w:pPr>
            <w:r>
              <w:rPr>
                <w:rFonts w:hint="eastAsia" w:cs="Times New Roman"/>
                <w:b w:val="0"/>
                <w:bCs w:val="0"/>
                <w:color w:val="auto"/>
                <w:sz w:val="21"/>
                <w:szCs w:val="21"/>
                <w:highlight w:val="none"/>
                <w:lang w:val="en-US" w:eastAsia="zh-CN" w:bidi="ar-SA"/>
              </w:rPr>
              <w:t>1、</w:t>
            </w:r>
            <w:r>
              <w:rPr>
                <w:rFonts w:hint="eastAsia"/>
                <w:color w:val="auto"/>
                <w:highlight w:val="none"/>
              </w:rPr>
              <w:t>投标报价为投标人为完成本项目，实现招标文件中规定的本项目采购内容和范围并达到相关标准所需要的全部费用。包含实现标书要求的</w:t>
            </w:r>
            <w:r>
              <w:rPr>
                <w:rFonts w:hint="eastAsia" w:hAnsi="宋体"/>
                <w:color w:val="auto"/>
                <w:highlight w:val="none"/>
              </w:rPr>
              <w:t>所有货物、</w:t>
            </w:r>
            <w:r>
              <w:rPr>
                <w:rFonts w:hint="eastAsia" w:hAnsi="宋体"/>
                <w:color w:val="auto"/>
                <w:highlight w:val="none"/>
                <w:lang w:val="en-US" w:eastAsia="zh-CN"/>
              </w:rPr>
              <w:t>服务、</w:t>
            </w:r>
            <w:r>
              <w:rPr>
                <w:rFonts w:hint="eastAsia" w:hAnsi="宋体"/>
                <w:color w:val="auto"/>
                <w:highlight w:val="none"/>
              </w:rPr>
              <w:t>税费、维护、保修、保险、利润、税金、现场安装调试达到正常可使用状态等费</w:t>
            </w:r>
            <w:r>
              <w:rPr>
                <w:rFonts w:hint="eastAsia"/>
                <w:color w:val="auto"/>
                <w:highlight w:val="none"/>
              </w:rPr>
              <w:t>用。</w:t>
            </w:r>
          </w:p>
          <w:p>
            <w:pPr>
              <w:pStyle w:val="55"/>
              <w:spacing w:line="336" w:lineRule="auto"/>
              <w:ind w:firstLine="2"/>
              <w:rPr>
                <w:color w:val="auto"/>
                <w:highlight w:val="none"/>
              </w:rPr>
            </w:pPr>
            <w:r>
              <w:rPr>
                <w:rFonts w:hint="eastAsia"/>
                <w:color w:val="auto"/>
                <w:highlight w:val="none"/>
              </w:rPr>
              <w:t>凡影响投标报价的所有相关费用应列入本次报价中。中标后，不得以不完全了解采购文件、现场、周围环境等情况为借口，而提出额外补偿或延长工期等的要求。如漏报，最终所发生的费用均由中标商承担，招标方一律不予承担。</w:t>
            </w:r>
          </w:p>
          <w:p>
            <w:pPr>
              <w:pStyle w:val="55"/>
              <w:spacing w:line="336" w:lineRule="auto"/>
              <w:ind w:firstLine="2"/>
              <w:rPr>
                <w:rFonts w:hint="eastAsia"/>
                <w:color w:val="auto"/>
                <w:highlight w:val="none"/>
              </w:rPr>
            </w:pPr>
            <w:r>
              <w:rPr>
                <w:rFonts w:hint="eastAsia"/>
                <w:color w:val="auto"/>
                <w:highlight w:val="none"/>
                <w:lang w:val="en-US" w:eastAsia="zh-CN"/>
              </w:rPr>
              <w:t>2</w:t>
            </w:r>
            <w:r>
              <w:rPr>
                <w:rFonts w:hint="eastAsia"/>
                <w:color w:val="auto"/>
                <w:highlight w:val="none"/>
              </w:rPr>
              <w:t>、报价要求分为主材报价和年度基本维护费用。</w:t>
            </w:r>
          </w:p>
          <w:p>
            <w:pPr>
              <w:pStyle w:val="55"/>
              <w:spacing w:line="336" w:lineRule="auto"/>
              <w:ind w:firstLine="2"/>
              <w:rPr>
                <w:rFonts w:hint="eastAsia"/>
                <w:color w:val="auto"/>
                <w:highlight w:val="none"/>
              </w:rPr>
            </w:pPr>
            <w:r>
              <w:rPr>
                <w:rFonts w:hint="eastAsia"/>
                <w:color w:val="auto"/>
                <w:highlight w:val="none"/>
              </w:rPr>
              <w:t>主材单价为材料价，招标文件中列出的主材工程量均为预估工程量，具体以实际发生工程量为准，实际工程量须经三方（招标人、监理、中标人）在有效时间内的签字认可；</w:t>
            </w:r>
          </w:p>
          <w:p>
            <w:pPr>
              <w:pStyle w:val="55"/>
              <w:spacing w:line="336" w:lineRule="auto"/>
              <w:ind w:firstLine="2"/>
              <w:rPr>
                <w:color w:val="auto"/>
                <w:highlight w:val="none"/>
              </w:rPr>
            </w:pPr>
            <w:r>
              <w:rPr>
                <w:rFonts w:hint="eastAsia"/>
                <w:color w:val="auto"/>
                <w:highlight w:val="none"/>
              </w:rPr>
              <w:t>基本维护费用含道路交通安全设施的巡查、维护，标志及杆件扶正、拆除，标志牌版面清洗（小于等于5m</w:t>
            </w:r>
            <w:r>
              <w:rPr>
                <w:rFonts w:hint="eastAsia"/>
                <w:color w:val="auto"/>
                <w:highlight w:val="none"/>
                <w:vertAlign w:val="superscript"/>
              </w:rPr>
              <w:t>2</w:t>
            </w:r>
            <w:r>
              <w:rPr>
                <w:rFonts w:hint="eastAsia"/>
                <w:color w:val="auto"/>
                <w:highlight w:val="none"/>
              </w:rPr>
              <w:t>），护栏隔离设施整理，甲供材料安装（弹性交通柱、防抛网、防眩板等但仅不限于主材清单内的内容），场地间设施搬运，岗亭刷漆、清洗、修缮（含内部设备），第三方检测，部分绿化修剪，非法广告拆除，道路交通安全设施基础排查、统计、汇总以及所有人工费、汽车台班费、占道费用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Merge w:val="restart"/>
            <w:vAlign w:val="center"/>
          </w:tcPr>
          <w:p>
            <w:pPr>
              <w:spacing w:line="336" w:lineRule="auto"/>
              <w:jc w:val="center"/>
              <w:rPr>
                <w:rFonts w:ascii="宋体"/>
                <w:b/>
                <w:bCs/>
                <w:color w:val="auto"/>
                <w:sz w:val="21"/>
                <w:szCs w:val="21"/>
                <w:highlight w:val="none"/>
              </w:rPr>
            </w:pPr>
            <w:r>
              <w:rPr>
                <w:rFonts w:hint="eastAsia" w:ascii="宋体"/>
                <w:b/>
                <w:color w:val="auto"/>
                <w:sz w:val="21"/>
                <w:szCs w:val="21"/>
                <w:highlight w:val="none"/>
              </w:rPr>
              <w:t>*</w:t>
            </w:r>
            <w:r>
              <w:rPr>
                <w:rFonts w:hint="eastAsia" w:ascii="宋体"/>
                <w:b/>
                <w:bCs/>
                <w:color w:val="auto"/>
                <w:sz w:val="21"/>
                <w:szCs w:val="21"/>
                <w:highlight w:val="none"/>
              </w:rPr>
              <w:t>7</w:t>
            </w:r>
          </w:p>
        </w:tc>
        <w:tc>
          <w:tcPr>
            <w:tcW w:w="1713" w:type="dxa"/>
            <w:vAlign w:val="center"/>
          </w:tcPr>
          <w:p>
            <w:pPr>
              <w:spacing w:line="336" w:lineRule="auto"/>
              <w:jc w:val="center"/>
              <w:rPr>
                <w:rFonts w:hint="default" w:ascii="宋体" w:eastAsia="宋体"/>
                <w:b/>
                <w:bCs/>
                <w:color w:val="auto"/>
                <w:sz w:val="21"/>
                <w:szCs w:val="21"/>
                <w:highlight w:val="none"/>
                <w:lang w:val="en-US" w:eastAsia="zh-CN"/>
              </w:rPr>
            </w:pPr>
            <w:r>
              <w:rPr>
                <w:rFonts w:hint="eastAsia" w:ascii="宋体"/>
                <w:b/>
                <w:bCs/>
                <w:color w:val="auto"/>
                <w:sz w:val="21"/>
                <w:szCs w:val="21"/>
                <w:highlight w:val="none"/>
                <w:lang w:val="en-US" w:eastAsia="zh-CN"/>
              </w:rPr>
              <w:t>项目预算</w:t>
            </w:r>
          </w:p>
        </w:tc>
        <w:tc>
          <w:tcPr>
            <w:tcW w:w="7262" w:type="dxa"/>
            <w:vAlign w:val="center"/>
          </w:tcPr>
          <w:p>
            <w:pPr>
              <w:spacing w:line="336" w:lineRule="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lang w:val="en-US" w:eastAsia="zh-CN"/>
              </w:rPr>
              <w:t>标项一：310万元；标项二：300万元；标项三：280万元；标项四：270万元；标项五：260万元.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Merge w:val="continue"/>
            <w:vAlign w:val="center"/>
          </w:tcPr>
          <w:p>
            <w:pPr>
              <w:spacing w:line="336" w:lineRule="auto"/>
              <w:jc w:val="center"/>
              <w:rPr>
                <w:rFonts w:hint="eastAsia" w:ascii="宋体"/>
                <w:b/>
                <w:color w:val="auto"/>
                <w:sz w:val="21"/>
                <w:szCs w:val="21"/>
                <w:highlight w:val="none"/>
              </w:rPr>
            </w:pPr>
          </w:p>
        </w:tc>
        <w:tc>
          <w:tcPr>
            <w:tcW w:w="1713" w:type="dxa"/>
            <w:vAlign w:val="center"/>
          </w:tcPr>
          <w:p>
            <w:pPr>
              <w:spacing w:line="336" w:lineRule="auto"/>
              <w:jc w:val="center"/>
              <w:rPr>
                <w:rFonts w:hint="eastAsia" w:ascii="宋体" w:hAnsi="Times New Roman" w:eastAsia="宋体" w:cs="Times New Roman"/>
                <w:b/>
                <w:bCs/>
                <w:color w:val="auto"/>
                <w:sz w:val="21"/>
                <w:szCs w:val="21"/>
                <w:highlight w:val="none"/>
                <w:lang w:val="en-US" w:eastAsia="zh-CN" w:bidi="ar-SA"/>
              </w:rPr>
            </w:pPr>
            <w:r>
              <w:rPr>
                <w:rFonts w:hint="eastAsia" w:ascii="宋体"/>
                <w:b/>
                <w:color w:val="auto"/>
                <w:sz w:val="21"/>
                <w:szCs w:val="21"/>
                <w:highlight w:val="none"/>
              </w:rPr>
              <w:t>最高限价</w:t>
            </w:r>
          </w:p>
        </w:tc>
        <w:tc>
          <w:tcPr>
            <w:tcW w:w="7262" w:type="dxa"/>
            <w:vAlign w:val="center"/>
          </w:tcPr>
          <w:p>
            <w:pPr>
              <w:spacing w:line="336" w:lineRule="auto"/>
              <w:rPr>
                <w:rFonts w:hint="eastAsia" w:ascii="Times New Roman" w:hAnsi="Times New Roman" w:eastAsia="宋体" w:cs="Times New Roman"/>
                <w:b/>
                <w:color w:val="auto"/>
                <w:sz w:val="24"/>
                <w:highlight w:val="none"/>
                <w:lang w:val="en-US" w:eastAsia="zh-CN" w:bidi="ar-SA"/>
              </w:rPr>
            </w:pPr>
            <w:r>
              <w:rPr>
                <w:rFonts w:hint="eastAsia" w:ascii="宋体" w:hAnsi="宋体"/>
                <w:b/>
                <w:color w:val="auto"/>
                <w:sz w:val="21"/>
                <w:szCs w:val="21"/>
                <w:highlight w:val="none"/>
                <w:lang w:val="en-US" w:eastAsia="zh-CN"/>
              </w:rPr>
              <w:t>每标项</w:t>
            </w:r>
            <w:r>
              <w:rPr>
                <w:rFonts w:hint="eastAsia" w:ascii="宋体" w:hAnsi="宋体"/>
                <w:b/>
                <w:color w:val="auto"/>
                <w:sz w:val="21"/>
                <w:szCs w:val="21"/>
                <w:highlight w:val="none"/>
              </w:rPr>
              <w:t>投标所报综合单价不得超过第四部分技术需求中</w:t>
            </w:r>
            <w:r>
              <w:rPr>
                <w:rFonts w:hint="eastAsia" w:ascii="宋体" w:hAnsi="宋体"/>
                <w:b/>
                <w:color w:val="auto"/>
                <w:sz w:val="21"/>
                <w:szCs w:val="21"/>
                <w:highlight w:val="none"/>
                <w:lang w:val="en-US" w:eastAsia="zh-CN"/>
              </w:rPr>
              <w:t>相应标项</w:t>
            </w:r>
            <w:r>
              <w:rPr>
                <w:rFonts w:hint="eastAsia" w:ascii="宋体" w:hAnsi="宋体"/>
                <w:b/>
                <w:color w:val="auto"/>
                <w:sz w:val="21"/>
                <w:szCs w:val="21"/>
                <w:highlight w:val="none"/>
              </w:rPr>
              <w:t>各“综合单价最高限价”，否则作无效</w:t>
            </w:r>
            <w:r>
              <w:rPr>
                <w:rFonts w:hint="eastAsia" w:ascii="宋体" w:hAnsi="宋体"/>
                <w:b/>
                <w:color w:val="auto"/>
                <w:sz w:val="21"/>
                <w:szCs w:val="21"/>
                <w:highlight w:val="none"/>
                <w:lang w:val="en-US" w:eastAsia="zh-CN"/>
              </w:rPr>
              <w:t>投标</w:t>
            </w:r>
            <w:r>
              <w:rPr>
                <w:rFonts w:hint="eastAsia" w:ascii="宋体" w:hAnsi="宋体"/>
                <w:b/>
                <w:color w:val="auto"/>
                <w:sz w:val="21"/>
                <w:szCs w:val="21"/>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
                <w:bCs/>
                <w:color w:val="auto"/>
                <w:sz w:val="21"/>
                <w:szCs w:val="21"/>
                <w:highlight w:val="none"/>
              </w:rPr>
            </w:pPr>
            <w:r>
              <w:rPr>
                <w:rFonts w:hint="eastAsia" w:ascii="宋体"/>
                <w:b/>
                <w:color w:val="auto"/>
                <w:sz w:val="21"/>
                <w:szCs w:val="21"/>
                <w:highlight w:val="none"/>
              </w:rPr>
              <w:t>*</w:t>
            </w:r>
            <w:r>
              <w:rPr>
                <w:rFonts w:hint="eastAsia" w:ascii="宋体"/>
                <w:b/>
                <w:bCs/>
                <w:color w:val="auto"/>
                <w:sz w:val="21"/>
                <w:szCs w:val="21"/>
                <w:highlight w:val="none"/>
              </w:rPr>
              <w:t>8</w:t>
            </w:r>
          </w:p>
        </w:tc>
        <w:tc>
          <w:tcPr>
            <w:tcW w:w="1713" w:type="dxa"/>
            <w:vAlign w:val="center"/>
          </w:tcPr>
          <w:p>
            <w:pPr>
              <w:spacing w:line="336" w:lineRule="auto"/>
              <w:jc w:val="center"/>
              <w:rPr>
                <w:rFonts w:ascii="宋体"/>
                <w:b/>
                <w:bCs/>
                <w:color w:val="auto"/>
                <w:sz w:val="21"/>
                <w:szCs w:val="21"/>
                <w:highlight w:val="none"/>
              </w:rPr>
            </w:pPr>
            <w:r>
              <w:rPr>
                <w:rFonts w:hint="eastAsia" w:ascii="宋体"/>
                <w:b/>
                <w:bCs/>
                <w:color w:val="auto"/>
                <w:sz w:val="21"/>
                <w:szCs w:val="21"/>
                <w:highlight w:val="none"/>
              </w:rPr>
              <w:t>投标有效期</w:t>
            </w:r>
          </w:p>
        </w:tc>
        <w:tc>
          <w:tcPr>
            <w:tcW w:w="7262" w:type="dxa"/>
            <w:vAlign w:val="center"/>
          </w:tcPr>
          <w:p>
            <w:pPr>
              <w:spacing w:line="336" w:lineRule="auto"/>
              <w:ind w:firstLine="4" w:firstLineChars="2"/>
              <w:jc w:val="both"/>
              <w:rPr>
                <w:rFonts w:ascii="宋体"/>
                <w:b/>
                <w:bCs/>
                <w:color w:val="auto"/>
                <w:sz w:val="21"/>
                <w:szCs w:val="21"/>
                <w:highlight w:val="none"/>
              </w:rPr>
            </w:pPr>
            <w:r>
              <w:rPr>
                <w:rFonts w:hint="eastAsia" w:ascii="宋体"/>
                <w:b/>
                <w:bCs/>
                <w:color w:val="auto"/>
                <w:sz w:val="21"/>
                <w:szCs w:val="21"/>
                <w:highlight w:val="none"/>
                <w:u w:val="single"/>
              </w:rPr>
              <w:t>90</w:t>
            </w:r>
            <w:r>
              <w:rPr>
                <w:rFonts w:hint="eastAsia" w:ascii="宋体"/>
                <w:b/>
                <w:bCs/>
                <w:color w:val="auto"/>
                <w:sz w:val="21"/>
                <w:szCs w:val="21"/>
                <w:highlight w:val="none"/>
              </w:rPr>
              <w:t>日历天（从开标日起计算）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9650" w:type="dxa"/>
            <w:gridSpan w:val="3"/>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投标文件准备与递交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75" w:type="dxa"/>
            <w:vAlign w:val="center"/>
          </w:tcPr>
          <w:p>
            <w:pPr>
              <w:spacing w:line="336" w:lineRule="auto"/>
              <w:jc w:val="center"/>
              <w:rPr>
                <w:rFonts w:ascii="宋体"/>
                <w:b/>
                <w:bCs/>
                <w:color w:val="auto"/>
                <w:sz w:val="21"/>
                <w:szCs w:val="21"/>
                <w:highlight w:val="none"/>
              </w:rPr>
            </w:pPr>
            <w:r>
              <w:rPr>
                <w:rFonts w:hint="eastAsia" w:ascii="宋体"/>
                <w:b/>
                <w:color w:val="auto"/>
                <w:sz w:val="21"/>
                <w:szCs w:val="21"/>
                <w:highlight w:val="none"/>
              </w:rPr>
              <w:t>*</w:t>
            </w:r>
            <w:r>
              <w:rPr>
                <w:rFonts w:hint="eastAsia" w:ascii="宋体"/>
                <w:b/>
                <w:bCs/>
                <w:color w:val="auto"/>
                <w:sz w:val="21"/>
                <w:szCs w:val="21"/>
                <w:highlight w:val="none"/>
              </w:rPr>
              <w:t>9</w:t>
            </w:r>
          </w:p>
        </w:tc>
        <w:tc>
          <w:tcPr>
            <w:tcW w:w="1713" w:type="dxa"/>
            <w:vAlign w:val="center"/>
          </w:tcPr>
          <w:p>
            <w:pPr>
              <w:spacing w:line="336" w:lineRule="auto"/>
              <w:jc w:val="center"/>
              <w:rPr>
                <w:rFonts w:ascii="宋体"/>
                <w:b/>
                <w:bCs/>
                <w:color w:val="auto"/>
                <w:sz w:val="21"/>
                <w:szCs w:val="21"/>
                <w:highlight w:val="none"/>
              </w:rPr>
            </w:pPr>
            <w:r>
              <w:rPr>
                <w:rFonts w:hint="eastAsia" w:ascii="宋体"/>
                <w:b/>
                <w:bCs/>
                <w:color w:val="auto"/>
                <w:sz w:val="21"/>
                <w:szCs w:val="21"/>
                <w:highlight w:val="none"/>
              </w:rPr>
              <w:t>投标保证金</w:t>
            </w:r>
          </w:p>
        </w:tc>
        <w:tc>
          <w:tcPr>
            <w:tcW w:w="7262" w:type="dxa"/>
            <w:vAlign w:val="center"/>
          </w:tcPr>
          <w:p>
            <w:pPr>
              <w:spacing w:line="336" w:lineRule="auto"/>
              <w:rPr>
                <w:rFonts w:ascii="宋体" w:hAnsi="宋体"/>
                <w:color w:val="auto"/>
                <w:sz w:val="21"/>
                <w:szCs w:val="21"/>
                <w:highlight w:val="none"/>
              </w:rPr>
            </w:pPr>
            <w:r>
              <w:rPr>
                <w:rFonts w:hint="eastAsia" w:ascii="宋体" w:hAnsi="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10</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投标文件份数</w:t>
            </w:r>
          </w:p>
        </w:tc>
        <w:tc>
          <w:tcPr>
            <w:tcW w:w="7262" w:type="dxa"/>
            <w:vAlign w:val="center"/>
          </w:tcPr>
          <w:p>
            <w:pPr>
              <w:spacing w:line="336" w:lineRule="auto"/>
              <w:jc w:val="both"/>
              <w:rPr>
                <w:rFonts w:hint="eastAsia" w:ascii="宋体" w:eastAsia="宋体"/>
                <w:bCs/>
                <w:color w:val="auto"/>
                <w:sz w:val="21"/>
                <w:szCs w:val="21"/>
                <w:highlight w:val="none"/>
                <w:lang w:eastAsia="zh-CN"/>
              </w:rPr>
            </w:pPr>
            <w:r>
              <w:rPr>
                <w:rFonts w:hint="eastAsia" w:ascii="宋体"/>
                <w:bCs/>
                <w:color w:val="auto"/>
                <w:sz w:val="21"/>
                <w:szCs w:val="21"/>
                <w:highlight w:val="none"/>
              </w:rPr>
              <w:t>*上传政采云系统的电子投标文件一份</w:t>
            </w:r>
            <w:r>
              <w:rPr>
                <w:rFonts w:hint="eastAsia" w:ascii="宋体"/>
                <w:bCs/>
                <w:color w:val="auto"/>
                <w:sz w:val="21"/>
                <w:szCs w:val="21"/>
                <w:highlight w:val="none"/>
                <w:lang w:eastAsia="zh-CN"/>
              </w:rPr>
              <w:t>；</w:t>
            </w:r>
          </w:p>
          <w:p>
            <w:pPr>
              <w:spacing w:line="336" w:lineRule="auto"/>
              <w:jc w:val="both"/>
              <w:rPr>
                <w:rFonts w:ascii="宋体"/>
                <w:color w:val="auto"/>
                <w:sz w:val="21"/>
                <w:szCs w:val="21"/>
                <w:highlight w:val="none"/>
              </w:rPr>
            </w:pPr>
            <w:r>
              <w:rPr>
                <w:rFonts w:hint="eastAsia" w:ascii="宋体"/>
                <w:bCs/>
                <w:color w:val="auto"/>
                <w:sz w:val="21"/>
                <w:szCs w:val="21"/>
                <w:highlight w:val="none"/>
              </w:rPr>
              <w:t>电子备份投标文件（介质：U盘）1份。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11</w:t>
            </w:r>
          </w:p>
        </w:tc>
        <w:tc>
          <w:tcPr>
            <w:tcW w:w="1713" w:type="dxa"/>
            <w:vAlign w:val="center"/>
          </w:tcPr>
          <w:p>
            <w:pPr>
              <w:snapToGrid w:val="0"/>
              <w:spacing w:line="336" w:lineRule="auto"/>
              <w:jc w:val="center"/>
              <w:rPr>
                <w:rFonts w:ascii="宋体"/>
                <w:bCs/>
                <w:color w:val="auto"/>
                <w:sz w:val="21"/>
                <w:szCs w:val="21"/>
                <w:highlight w:val="none"/>
              </w:rPr>
            </w:pPr>
            <w:r>
              <w:rPr>
                <w:rFonts w:hint="eastAsia" w:ascii="宋体"/>
                <w:bCs/>
                <w:color w:val="auto"/>
                <w:sz w:val="21"/>
                <w:szCs w:val="21"/>
                <w:highlight w:val="none"/>
              </w:rPr>
              <w:t>交货地点</w:t>
            </w:r>
          </w:p>
        </w:tc>
        <w:tc>
          <w:tcPr>
            <w:tcW w:w="7262" w:type="dxa"/>
            <w:vAlign w:val="center"/>
          </w:tcPr>
          <w:p>
            <w:pPr>
              <w:snapToGrid w:val="0"/>
              <w:spacing w:line="336" w:lineRule="auto"/>
              <w:rPr>
                <w:rFonts w:ascii="宋体"/>
                <w:bCs/>
                <w:color w:val="auto"/>
                <w:sz w:val="21"/>
                <w:szCs w:val="21"/>
                <w:highlight w:val="none"/>
              </w:rPr>
            </w:pPr>
            <w:r>
              <w:rPr>
                <w:rFonts w:hint="eastAsia" w:ascii="宋体"/>
                <w:bCs/>
                <w:color w:val="auto"/>
                <w:sz w:val="21"/>
                <w:szCs w:val="21"/>
                <w:highlight w:val="none"/>
              </w:rPr>
              <w:t>具体地点由采购人指定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12</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投标截止日期</w:t>
            </w:r>
          </w:p>
        </w:tc>
        <w:tc>
          <w:tcPr>
            <w:tcW w:w="7262" w:type="dxa"/>
            <w:vAlign w:val="center"/>
          </w:tcPr>
          <w:p>
            <w:pPr>
              <w:spacing w:line="336" w:lineRule="auto"/>
              <w:jc w:val="both"/>
              <w:rPr>
                <w:rFonts w:hint="default" w:ascii="宋体" w:eastAsia="宋体"/>
                <w:color w:val="auto"/>
                <w:sz w:val="21"/>
                <w:szCs w:val="21"/>
                <w:highlight w:val="none"/>
                <w:lang w:val="en-US" w:eastAsia="zh-CN"/>
              </w:rPr>
            </w:pPr>
            <w:r>
              <w:rPr>
                <w:rFonts w:hint="eastAsia" w:ascii="宋体"/>
                <w:color w:val="auto"/>
                <w:sz w:val="21"/>
                <w:szCs w:val="21"/>
                <w:highlight w:val="none"/>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13</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开标日期、地点</w:t>
            </w:r>
          </w:p>
        </w:tc>
        <w:tc>
          <w:tcPr>
            <w:tcW w:w="7262" w:type="dxa"/>
            <w:vAlign w:val="center"/>
          </w:tcPr>
          <w:p>
            <w:pPr>
              <w:spacing w:line="336" w:lineRule="auto"/>
              <w:jc w:val="both"/>
              <w:rPr>
                <w:rFonts w:ascii="宋体"/>
                <w:bCs/>
                <w:color w:val="auto"/>
                <w:sz w:val="21"/>
                <w:szCs w:val="21"/>
                <w:highlight w:val="none"/>
              </w:rPr>
            </w:pPr>
            <w:r>
              <w:rPr>
                <w:rFonts w:hint="eastAsia" w:ascii="宋体"/>
                <w:color w:val="auto"/>
                <w:sz w:val="21"/>
                <w:szCs w:val="21"/>
                <w:highlight w:val="none"/>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14</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评标方法</w:t>
            </w:r>
          </w:p>
        </w:tc>
        <w:tc>
          <w:tcPr>
            <w:tcW w:w="7262" w:type="dxa"/>
            <w:vAlign w:val="center"/>
          </w:tcPr>
          <w:p>
            <w:pPr>
              <w:tabs>
                <w:tab w:val="left" w:pos="1125"/>
              </w:tabs>
              <w:spacing w:line="336" w:lineRule="auto"/>
              <w:rPr>
                <w:rFonts w:ascii="宋体"/>
                <w:color w:val="auto"/>
                <w:sz w:val="21"/>
                <w:szCs w:val="21"/>
                <w:highlight w:val="none"/>
              </w:rPr>
            </w:pPr>
            <w:r>
              <w:rPr>
                <w:rFonts w:hint="eastAsia" w:ascii="宋体"/>
                <w:color w:val="auto"/>
                <w:sz w:val="21"/>
                <w:szCs w:val="21"/>
                <w:highlight w:val="none"/>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*15</w:t>
            </w:r>
          </w:p>
        </w:tc>
        <w:tc>
          <w:tcPr>
            <w:tcW w:w="1713" w:type="dxa"/>
            <w:vAlign w:val="center"/>
          </w:tcPr>
          <w:p>
            <w:pPr>
              <w:snapToGrid w:val="0"/>
              <w:spacing w:line="336" w:lineRule="auto"/>
              <w:jc w:val="center"/>
              <w:rPr>
                <w:rFonts w:ascii="宋体"/>
                <w:bCs/>
                <w:color w:val="auto"/>
                <w:sz w:val="21"/>
                <w:szCs w:val="21"/>
                <w:highlight w:val="none"/>
              </w:rPr>
            </w:pPr>
            <w:r>
              <w:rPr>
                <w:rFonts w:hint="eastAsia" w:ascii="宋体"/>
                <w:bCs/>
                <w:color w:val="auto"/>
                <w:sz w:val="21"/>
                <w:szCs w:val="21"/>
                <w:highlight w:val="none"/>
              </w:rPr>
              <w:t>招标文件答疑</w:t>
            </w:r>
          </w:p>
        </w:tc>
        <w:tc>
          <w:tcPr>
            <w:tcW w:w="7262" w:type="dxa"/>
            <w:vAlign w:val="center"/>
          </w:tcPr>
          <w:p>
            <w:pPr>
              <w:tabs>
                <w:tab w:val="left" w:pos="1216"/>
              </w:tabs>
              <w:snapToGrid w:val="0"/>
              <w:spacing w:line="336" w:lineRule="auto"/>
              <w:rPr>
                <w:rFonts w:ascii="宋体"/>
                <w:bCs/>
                <w:color w:val="auto"/>
                <w:sz w:val="21"/>
                <w:szCs w:val="21"/>
                <w:highlight w:val="none"/>
              </w:rPr>
            </w:pPr>
            <w:r>
              <w:rPr>
                <w:rFonts w:hint="eastAsia" w:ascii="宋体"/>
                <w:bCs/>
                <w:color w:val="auto"/>
                <w:sz w:val="21"/>
                <w:szCs w:val="21"/>
                <w:highlight w:val="none"/>
              </w:rPr>
              <w:t>投标人对招标文件的任何疑问，请在</w:t>
            </w:r>
            <w:r>
              <w:rPr>
                <w:rFonts w:hint="eastAsia" w:ascii="宋体"/>
                <w:bCs/>
                <w:color w:val="auto"/>
                <w:sz w:val="21"/>
                <w:szCs w:val="21"/>
                <w:highlight w:val="none"/>
                <w:lang w:eastAsia="zh-CN"/>
              </w:rPr>
              <w:t>2023年</w:t>
            </w:r>
            <w:r>
              <w:rPr>
                <w:rFonts w:hint="eastAsia" w:ascii="宋体"/>
                <w:bCs/>
                <w:color w:val="auto"/>
                <w:sz w:val="21"/>
                <w:szCs w:val="21"/>
                <w:highlight w:val="none"/>
                <w:lang w:val="en-US" w:eastAsia="zh-CN"/>
              </w:rPr>
              <w:t>6</w:t>
            </w:r>
            <w:r>
              <w:rPr>
                <w:rFonts w:hint="eastAsia" w:ascii="宋体"/>
                <w:bCs/>
                <w:color w:val="auto"/>
                <w:sz w:val="21"/>
                <w:szCs w:val="21"/>
                <w:highlight w:val="none"/>
              </w:rPr>
              <w:t>月</w:t>
            </w:r>
            <w:r>
              <w:rPr>
                <w:rFonts w:hint="eastAsia" w:ascii="宋体"/>
                <w:bCs/>
                <w:color w:val="auto"/>
                <w:sz w:val="21"/>
                <w:szCs w:val="21"/>
                <w:highlight w:val="none"/>
                <w:lang w:val="en-US" w:eastAsia="zh-CN"/>
              </w:rPr>
              <w:t>14</w:t>
            </w:r>
            <w:r>
              <w:rPr>
                <w:rFonts w:hint="eastAsia" w:ascii="宋体"/>
                <w:bCs/>
                <w:color w:val="auto"/>
                <w:sz w:val="21"/>
                <w:szCs w:val="21"/>
                <w:highlight w:val="none"/>
              </w:rPr>
              <w:t>日17：00之前通过书面形式提出，逾时不予解答。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16</w:t>
            </w:r>
          </w:p>
        </w:tc>
        <w:tc>
          <w:tcPr>
            <w:tcW w:w="1713" w:type="dxa"/>
            <w:vMerge w:val="restart"/>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中标原则</w:t>
            </w:r>
          </w:p>
        </w:tc>
        <w:tc>
          <w:tcPr>
            <w:tcW w:w="7262" w:type="dxa"/>
            <w:vAlign w:val="center"/>
          </w:tcPr>
          <w:p>
            <w:pPr>
              <w:spacing w:line="336" w:lineRule="auto"/>
              <w:rPr>
                <w:color w:val="auto"/>
                <w:sz w:val="21"/>
                <w:szCs w:val="21"/>
                <w:highlight w:val="none"/>
              </w:rPr>
            </w:pPr>
            <w:r>
              <w:rPr>
                <w:rFonts w:hint="eastAsia" w:ascii="宋体"/>
                <w:bCs/>
                <w:color w:val="auto"/>
                <w:sz w:val="21"/>
                <w:szCs w:val="21"/>
                <w:highlight w:val="none"/>
              </w:rPr>
              <w:t>详见评标细则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17</w:t>
            </w:r>
          </w:p>
        </w:tc>
        <w:tc>
          <w:tcPr>
            <w:tcW w:w="1713" w:type="dxa"/>
            <w:vMerge w:val="continue"/>
            <w:vAlign w:val="center"/>
          </w:tcPr>
          <w:p>
            <w:pPr>
              <w:tabs>
                <w:tab w:val="left" w:pos="1125"/>
              </w:tabs>
              <w:spacing w:line="336" w:lineRule="auto"/>
              <w:jc w:val="center"/>
              <w:rPr>
                <w:rFonts w:ascii="宋体"/>
                <w:color w:val="auto"/>
                <w:sz w:val="21"/>
                <w:szCs w:val="21"/>
                <w:highlight w:val="none"/>
              </w:rPr>
            </w:pPr>
          </w:p>
        </w:tc>
        <w:tc>
          <w:tcPr>
            <w:tcW w:w="7262" w:type="dxa"/>
            <w:vAlign w:val="center"/>
          </w:tcPr>
          <w:p>
            <w:pPr>
              <w:snapToGrid w:val="0"/>
              <w:spacing w:line="336" w:lineRule="auto"/>
              <w:ind w:right="-24" w:rightChars="-10"/>
              <w:jc w:val="both"/>
              <w:rPr>
                <w:rFonts w:ascii="宋体"/>
                <w:color w:val="auto"/>
                <w:sz w:val="21"/>
                <w:szCs w:val="21"/>
                <w:highlight w:val="none"/>
              </w:rPr>
            </w:pPr>
            <w:r>
              <w:rPr>
                <w:rFonts w:hint="eastAsia" w:ascii="宋体"/>
                <w:color w:val="auto"/>
                <w:sz w:val="21"/>
                <w:szCs w:val="21"/>
                <w:highlight w:val="none"/>
              </w:rPr>
              <w:t>每标项的排名按总得分从高至低排序，得分一致的，以其中投标报价低者排名在前，如投标报价也相同则由抽签确定排名。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18</w:t>
            </w:r>
          </w:p>
        </w:tc>
        <w:tc>
          <w:tcPr>
            <w:tcW w:w="1713" w:type="dxa"/>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中标</w:t>
            </w:r>
          </w:p>
          <w:p>
            <w:pPr>
              <w:spacing w:line="336" w:lineRule="auto"/>
              <w:jc w:val="center"/>
              <w:rPr>
                <w:rFonts w:ascii="宋体"/>
                <w:bCs/>
                <w:color w:val="auto"/>
                <w:sz w:val="21"/>
                <w:szCs w:val="21"/>
                <w:highlight w:val="none"/>
              </w:rPr>
            </w:pPr>
            <w:r>
              <w:rPr>
                <w:rFonts w:hint="eastAsia" w:ascii="宋体"/>
                <w:bCs/>
                <w:color w:val="auto"/>
                <w:sz w:val="21"/>
                <w:szCs w:val="21"/>
                <w:highlight w:val="none"/>
              </w:rPr>
              <w:t>服务费</w:t>
            </w:r>
          </w:p>
        </w:tc>
        <w:tc>
          <w:tcPr>
            <w:tcW w:w="7262" w:type="dxa"/>
            <w:vAlign w:val="center"/>
          </w:tcPr>
          <w:p>
            <w:pPr>
              <w:spacing w:line="336" w:lineRule="auto"/>
              <w:rPr>
                <w:color w:val="auto"/>
                <w:sz w:val="21"/>
                <w:szCs w:val="21"/>
                <w:highlight w:val="none"/>
              </w:rPr>
            </w:pPr>
            <w:r>
              <w:rPr>
                <w:rFonts w:hint="eastAsia"/>
                <w:color w:val="auto"/>
                <w:sz w:val="21"/>
                <w:szCs w:val="21"/>
                <w:highlight w:val="none"/>
              </w:rPr>
              <w:t>中标服务费：中标人在领取中标通知书时向</w:t>
            </w:r>
            <w:r>
              <w:rPr>
                <w:rFonts w:hint="eastAsia"/>
                <w:color w:val="auto"/>
                <w:sz w:val="21"/>
                <w:szCs w:val="21"/>
                <w:highlight w:val="none"/>
                <w:u w:val="single"/>
              </w:rPr>
              <w:t>宁波市国际招标有限公司</w:t>
            </w:r>
            <w:r>
              <w:rPr>
                <w:rFonts w:hint="eastAsia"/>
                <w:color w:val="auto"/>
                <w:sz w:val="21"/>
                <w:szCs w:val="21"/>
                <w:highlight w:val="none"/>
              </w:rPr>
              <w:t>一次性交纳中标服务费</w:t>
            </w:r>
            <w:r>
              <w:rPr>
                <w:color w:val="auto"/>
                <w:sz w:val="21"/>
                <w:szCs w:val="21"/>
                <w:highlight w:val="none"/>
              </w:rPr>
              <w:t>。</w:t>
            </w:r>
            <w:r>
              <w:rPr>
                <w:rFonts w:hint="eastAsia"/>
                <w:color w:val="auto"/>
                <w:sz w:val="21"/>
                <w:szCs w:val="21"/>
                <w:highlight w:val="none"/>
              </w:rPr>
              <w:t>中标服务费金额为以每标项预算金额作为计算基数，按国家计委(计价格【2002】1980)号文件规定收取。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650" w:type="dxa"/>
            <w:gridSpan w:val="3"/>
            <w:tcBorders>
              <w:right w:val="single" w:color="auto" w:sz="4" w:space="0"/>
            </w:tcBorders>
            <w:vAlign w:val="center"/>
          </w:tcPr>
          <w:p>
            <w:pPr>
              <w:pStyle w:val="55"/>
              <w:spacing w:line="336" w:lineRule="auto"/>
              <w:jc w:val="center"/>
              <w:rPr>
                <w:bCs/>
                <w:color w:val="auto"/>
                <w:highlight w:val="none"/>
              </w:rPr>
            </w:pPr>
            <w:r>
              <w:rPr>
                <w:rFonts w:hint="eastAsia"/>
                <w:bCs/>
                <w:color w:val="auto"/>
                <w:highlight w:val="none"/>
              </w:rPr>
              <w:t>合同通用条款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right w:val="single" w:color="auto" w:sz="4" w:space="0"/>
            </w:tcBorders>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*19</w:t>
            </w:r>
          </w:p>
        </w:tc>
        <w:tc>
          <w:tcPr>
            <w:tcW w:w="1713" w:type="dxa"/>
            <w:tcBorders>
              <w:right w:val="single" w:color="auto" w:sz="4" w:space="0"/>
            </w:tcBorders>
            <w:vAlign w:val="center"/>
          </w:tcPr>
          <w:p>
            <w:pPr>
              <w:snapToGrid w:val="0"/>
              <w:spacing w:line="336" w:lineRule="auto"/>
              <w:jc w:val="center"/>
              <w:rPr>
                <w:rFonts w:hint="default" w:ascii="宋体" w:hAnsi="宋体" w:eastAsia="宋体" w:cs="Times New Roman"/>
                <w:b/>
                <w:color w:val="auto"/>
                <w:sz w:val="21"/>
                <w:szCs w:val="21"/>
                <w:highlight w:val="none"/>
                <w:lang w:val="en-US" w:eastAsia="zh-CN" w:bidi="ar-SA"/>
              </w:rPr>
            </w:pPr>
            <w:r>
              <w:rPr>
                <w:rFonts w:hint="eastAsia" w:ascii="宋体" w:hAnsi="宋体"/>
                <w:b/>
                <w:color w:val="auto"/>
                <w:sz w:val="21"/>
                <w:szCs w:val="21"/>
                <w:highlight w:val="none"/>
                <w:lang w:val="en-US" w:eastAsia="zh-CN"/>
              </w:rPr>
              <w:t>维护期限</w:t>
            </w:r>
          </w:p>
        </w:tc>
        <w:tc>
          <w:tcPr>
            <w:tcW w:w="7262" w:type="dxa"/>
            <w:vAlign w:val="center"/>
          </w:tcPr>
          <w:p>
            <w:pPr>
              <w:pStyle w:val="2"/>
              <w:spacing w:line="336" w:lineRule="auto"/>
              <w:rPr>
                <w:rFonts w:ascii="宋体" w:hAnsi="Times New Roman" w:eastAsia="宋体" w:cs="Times New Roman"/>
                <w:color w:val="auto"/>
                <w:kern w:val="2"/>
                <w:sz w:val="21"/>
                <w:szCs w:val="21"/>
                <w:highlight w:val="none"/>
                <w:lang w:val="en-US" w:eastAsia="zh-CN" w:bidi="ar-SA"/>
              </w:rPr>
            </w:pPr>
            <w:r>
              <w:rPr>
                <w:rFonts w:hint="eastAsia" w:ascii="宋体"/>
                <w:color w:val="auto"/>
                <w:sz w:val="21"/>
                <w:szCs w:val="21"/>
                <w:highlight w:val="none"/>
                <w:lang w:val="en-US" w:eastAsia="zh-CN"/>
              </w:rPr>
              <w:t>自</w:t>
            </w:r>
            <w:r>
              <w:rPr>
                <w:rFonts w:hint="eastAsia" w:ascii="宋体"/>
                <w:color w:val="auto"/>
                <w:sz w:val="21"/>
                <w:szCs w:val="21"/>
                <w:highlight w:val="none"/>
              </w:rPr>
              <w:t>合同签订之日起</w:t>
            </w:r>
            <w:r>
              <w:rPr>
                <w:rFonts w:hint="eastAsia" w:ascii="宋体"/>
                <w:color w:val="auto"/>
                <w:sz w:val="21"/>
                <w:szCs w:val="21"/>
                <w:highlight w:val="none"/>
                <w:lang w:val="en-US" w:eastAsia="zh-CN"/>
              </w:rPr>
              <w:t>一年</w:t>
            </w:r>
            <w:r>
              <w:rPr>
                <w:rFonts w:hint="eastAsia" w:ascii="宋体"/>
                <w:color w:val="auto"/>
                <w:sz w:val="21"/>
                <w:szCs w:val="21"/>
                <w:highlight w:val="none"/>
              </w:rPr>
              <w:t>。</w:t>
            </w:r>
            <w:r>
              <w:rPr>
                <w:rFonts w:hint="eastAsia" w:ascii="宋体"/>
                <w:color w:val="auto"/>
                <w:sz w:val="21"/>
                <w:szCs w:val="21"/>
                <w:highlight w:val="none"/>
                <w:lang w:val="en-US" w:eastAsia="zh-CN"/>
              </w:rPr>
              <w:t>一</w:t>
            </w:r>
            <w:r>
              <w:rPr>
                <w:rFonts w:hint="eastAsia" w:ascii="宋体"/>
                <w:color w:val="auto"/>
                <w:sz w:val="21"/>
                <w:szCs w:val="21"/>
                <w:highlight w:val="none"/>
              </w:rPr>
              <w:t>年合同期满后，若经招标人考核合格并报采购管理部门备案，可续签下</w:t>
            </w:r>
            <w:r>
              <w:rPr>
                <w:rFonts w:hint="eastAsia" w:ascii="宋体"/>
                <w:color w:val="auto"/>
                <w:sz w:val="21"/>
                <w:szCs w:val="21"/>
                <w:highlight w:val="none"/>
                <w:lang w:val="en-US" w:eastAsia="zh-CN"/>
              </w:rPr>
              <w:t>一</w:t>
            </w:r>
            <w:r>
              <w:rPr>
                <w:rFonts w:hint="eastAsia" w:ascii="宋体"/>
                <w:color w:val="auto"/>
                <w:sz w:val="21"/>
                <w:szCs w:val="21"/>
                <w:highlight w:val="none"/>
              </w:rPr>
              <w:t>年合同，最多仅可续签1次。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tcBorders>
              <w:right w:val="single" w:color="auto" w:sz="4" w:space="0"/>
            </w:tcBorders>
            <w:vAlign w:val="center"/>
          </w:tcPr>
          <w:p>
            <w:pPr>
              <w:spacing w:line="336" w:lineRule="auto"/>
              <w:jc w:val="center"/>
              <w:rPr>
                <w:rFonts w:ascii="宋体"/>
                <w:bCs/>
                <w:color w:val="auto"/>
                <w:sz w:val="21"/>
                <w:szCs w:val="21"/>
                <w:highlight w:val="none"/>
              </w:rPr>
            </w:pPr>
            <w:r>
              <w:rPr>
                <w:rFonts w:hint="eastAsia" w:ascii="宋体"/>
                <w:bCs/>
                <w:color w:val="auto"/>
                <w:sz w:val="21"/>
                <w:szCs w:val="21"/>
                <w:highlight w:val="none"/>
              </w:rPr>
              <w:t>*20</w:t>
            </w:r>
          </w:p>
        </w:tc>
        <w:tc>
          <w:tcPr>
            <w:tcW w:w="1713" w:type="dxa"/>
            <w:tcBorders>
              <w:right w:val="single" w:color="auto" w:sz="4" w:space="0"/>
            </w:tcBorders>
            <w:vAlign w:val="center"/>
          </w:tcPr>
          <w:p>
            <w:pPr>
              <w:snapToGrid w:val="0"/>
              <w:spacing w:line="336" w:lineRule="auto"/>
              <w:jc w:val="center"/>
              <w:rPr>
                <w:rFonts w:hint="default"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付款条件</w:t>
            </w:r>
          </w:p>
        </w:tc>
        <w:tc>
          <w:tcPr>
            <w:tcW w:w="7262" w:type="dxa"/>
            <w:vAlign w:val="center"/>
          </w:tcPr>
          <w:p>
            <w:pPr>
              <w:pStyle w:val="124"/>
              <w:spacing w:before="48" w:after="48" w:line="360" w:lineRule="auto"/>
              <w:ind w:firstLine="0" w:firstLineChars="0"/>
              <w:rPr>
                <w:rFonts w:hint="eastAsia" w:ascii="宋体" w:hAnsi="宋体" w:eastAsia="宋体" w:cs="仿宋_GB2312"/>
                <w:color w:val="auto"/>
                <w:sz w:val="21"/>
                <w:szCs w:val="21"/>
                <w:highlight w:val="none"/>
                <w:lang w:val="en-US" w:eastAsia="zh-CN" w:bidi="ar-SA"/>
              </w:rPr>
            </w:pPr>
            <w:r>
              <w:rPr>
                <w:rFonts w:hint="eastAsia" w:ascii="宋体" w:hAnsi="宋体" w:eastAsia="宋体" w:cs="仿宋_GB2312"/>
                <w:color w:val="auto"/>
                <w:sz w:val="21"/>
                <w:szCs w:val="21"/>
                <w:highlight w:val="none"/>
                <w:lang w:val="en-US" w:eastAsia="zh-CN" w:bidi="ar-SA"/>
              </w:rPr>
              <w:t>第一次支付：合同签订后</w:t>
            </w:r>
            <w:r>
              <w:rPr>
                <w:rFonts w:hint="eastAsia" w:cs="仿宋_GB2312"/>
                <w:color w:val="auto"/>
                <w:sz w:val="21"/>
                <w:szCs w:val="21"/>
                <w:highlight w:val="none"/>
                <w:lang w:val="en-US" w:eastAsia="zh-CN" w:bidi="ar-SA"/>
              </w:rPr>
              <w:t>7</w:t>
            </w:r>
            <w:r>
              <w:rPr>
                <w:rFonts w:hint="eastAsia" w:ascii="宋体" w:hAnsi="宋体" w:eastAsia="宋体" w:cs="仿宋_GB2312"/>
                <w:color w:val="auto"/>
                <w:sz w:val="21"/>
                <w:szCs w:val="21"/>
                <w:highlight w:val="none"/>
                <w:lang w:val="en-US" w:eastAsia="zh-CN" w:bidi="ar-SA"/>
              </w:rPr>
              <w:t>个工作日内支付合同金额的45%，中标人提供相应合法票据；</w:t>
            </w:r>
          </w:p>
          <w:p>
            <w:pPr>
              <w:pStyle w:val="124"/>
              <w:spacing w:before="48" w:after="48" w:line="360" w:lineRule="auto"/>
              <w:ind w:firstLine="0" w:firstLineChars="0"/>
              <w:rPr>
                <w:rFonts w:hint="eastAsia" w:ascii="宋体" w:hAnsi="宋体" w:eastAsia="宋体" w:cs="仿宋_GB2312"/>
                <w:color w:val="auto"/>
                <w:sz w:val="21"/>
                <w:szCs w:val="21"/>
                <w:highlight w:val="none"/>
                <w:lang w:val="en-US" w:eastAsia="zh-CN" w:bidi="ar-SA"/>
              </w:rPr>
            </w:pPr>
            <w:r>
              <w:rPr>
                <w:rFonts w:hint="eastAsia" w:ascii="宋体" w:hAnsi="宋体" w:eastAsia="宋体" w:cs="仿宋_GB2312"/>
                <w:color w:val="auto"/>
                <w:sz w:val="21"/>
                <w:szCs w:val="21"/>
                <w:highlight w:val="none"/>
                <w:lang w:val="en-US" w:eastAsia="zh-CN" w:bidi="ar-SA"/>
              </w:rPr>
              <w:t>第二次支付：在2024年5月底前支付合同金额的40%，中标人提供相应合法票据；</w:t>
            </w:r>
          </w:p>
          <w:p>
            <w:pPr>
              <w:pStyle w:val="124"/>
              <w:spacing w:before="48" w:after="48" w:line="360" w:lineRule="auto"/>
              <w:ind w:firstLine="0" w:firstLineChars="0"/>
              <w:rPr>
                <w:rFonts w:hint="eastAsia" w:ascii="宋体" w:hAnsi="宋体" w:eastAsia="宋体" w:cs="仿宋_GB2312"/>
                <w:color w:val="auto"/>
                <w:sz w:val="21"/>
                <w:szCs w:val="21"/>
                <w:highlight w:val="none"/>
                <w:lang w:val="en-US" w:eastAsia="zh-CN" w:bidi="ar-SA"/>
              </w:rPr>
            </w:pPr>
            <w:r>
              <w:rPr>
                <w:rFonts w:hint="eastAsia" w:ascii="宋体" w:hAnsi="宋体" w:eastAsia="宋体" w:cs="仿宋_GB2312"/>
                <w:color w:val="auto"/>
                <w:sz w:val="21"/>
                <w:szCs w:val="21"/>
                <w:highlight w:val="none"/>
                <w:lang w:val="en-US" w:eastAsia="zh-CN" w:bidi="ar-SA"/>
              </w:rPr>
              <w:t>第三次支付：项目结束,按最终</w:t>
            </w:r>
            <w:r>
              <w:rPr>
                <w:rFonts w:hint="eastAsia" w:cs="仿宋_GB2312"/>
                <w:color w:val="auto"/>
                <w:sz w:val="21"/>
                <w:szCs w:val="21"/>
                <w:highlight w:val="none"/>
                <w:lang w:val="en-US" w:eastAsia="zh-CN" w:bidi="ar-SA"/>
              </w:rPr>
              <w:t>核算</w:t>
            </w:r>
            <w:r>
              <w:rPr>
                <w:rFonts w:hint="eastAsia" w:ascii="宋体" w:hAnsi="宋体" w:eastAsia="宋体" w:cs="仿宋_GB2312"/>
                <w:color w:val="auto"/>
                <w:sz w:val="21"/>
                <w:szCs w:val="21"/>
                <w:highlight w:val="none"/>
                <w:lang w:val="en-US" w:eastAsia="zh-CN" w:bidi="ar-SA"/>
              </w:rPr>
              <w:t>金额支付项目剩余款项。</w:t>
            </w:r>
          </w:p>
          <w:p>
            <w:pPr>
              <w:pStyle w:val="124"/>
              <w:spacing w:before="48" w:after="48" w:line="360" w:lineRule="auto"/>
              <w:ind w:firstLine="0" w:firstLineChars="0"/>
              <w:rPr>
                <w:rFonts w:ascii="宋体" w:hAnsi="宋体" w:eastAsia="宋体" w:cs="仿宋_GB2312"/>
                <w:color w:val="auto"/>
                <w:sz w:val="21"/>
                <w:szCs w:val="21"/>
                <w:highlight w:val="none"/>
                <w:lang w:val="en-US" w:eastAsia="zh-CN" w:bidi="ar-SA"/>
              </w:rPr>
            </w:pPr>
            <w:r>
              <w:rPr>
                <w:rFonts w:hint="eastAsia" w:ascii="宋体" w:hAnsi="宋体" w:eastAsia="宋体" w:cs="仿宋_GB2312"/>
                <w:color w:val="auto"/>
                <w:sz w:val="21"/>
                <w:szCs w:val="21"/>
                <w:highlight w:val="none"/>
                <w:lang w:val="en-US" w:eastAsia="zh-CN" w:bidi="ar-SA"/>
              </w:rPr>
              <w:t>（注：投标人应提供相应合法票据；投标人应提供施工结算材料，作为</w:t>
            </w:r>
            <w:r>
              <w:rPr>
                <w:rFonts w:hint="eastAsia" w:cs="仿宋_GB2312"/>
                <w:color w:val="auto"/>
                <w:sz w:val="21"/>
                <w:szCs w:val="21"/>
                <w:highlight w:val="none"/>
                <w:lang w:val="en-US" w:eastAsia="zh-CN" w:bidi="ar-SA"/>
              </w:rPr>
              <w:t>核算</w:t>
            </w:r>
            <w:r>
              <w:rPr>
                <w:rFonts w:hint="eastAsia" w:ascii="宋体" w:hAnsi="宋体" w:eastAsia="宋体" w:cs="仿宋_GB2312"/>
                <w:color w:val="auto"/>
                <w:sz w:val="21"/>
                <w:szCs w:val="21"/>
                <w:highlight w:val="none"/>
                <w:lang w:val="en-US" w:eastAsia="zh-CN" w:bidi="ar-SA"/>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color w:val="auto"/>
                <w:sz w:val="21"/>
                <w:szCs w:val="21"/>
                <w:highlight w:val="none"/>
              </w:rPr>
            </w:pPr>
            <w:r>
              <w:rPr>
                <w:rFonts w:hint="eastAsia" w:ascii="宋体"/>
                <w:color w:val="auto"/>
                <w:sz w:val="21"/>
                <w:szCs w:val="21"/>
                <w:highlight w:val="none"/>
              </w:rPr>
              <w:t>21</w:t>
            </w:r>
          </w:p>
        </w:tc>
        <w:tc>
          <w:tcPr>
            <w:tcW w:w="1713" w:type="dxa"/>
            <w:vAlign w:val="center"/>
          </w:tcPr>
          <w:p>
            <w:pPr>
              <w:snapToGrid w:val="0"/>
              <w:spacing w:line="336" w:lineRule="auto"/>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履约保证金</w:t>
            </w:r>
          </w:p>
        </w:tc>
        <w:tc>
          <w:tcPr>
            <w:tcW w:w="7262" w:type="dxa"/>
            <w:vAlign w:val="center"/>
          </w:tcPr>
          <w:p>
            <w:pPr>
              <w:pStyle w:val="2"/>
              <w:spacing w:line="336" w:lineRule="auto"/>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color w:val="auto"/>
                <w:sz w:val="21"/>
                <w:szCs w:val="21"/>
                <w:highlight w:val="none"/>
              </w:rPr>
            </w:pPr>
            <w:r>
              <w:rPr>
                <w:rFonts w:hint="eastAsia" w:ascii="宋体"/>
                <w:color w:val="auto"/>
                <w:sz w:val="21"/>
                <w:szCs w:val="21"/>
                <w:highlight w:val="none"/>
              </w:rPr>
              <w:t>22</w:t>
            </w:r>
          </w:p>
        </w:tc>
        <w:tc>
          <w:tcPr>
            <w:tcW w:w="1713" w:type="dxa"/>
            <w:vAlign w:val="center"/>
          </w:tcPr>
          <w:p>
            <w:pPr>
              <w:snapToGrid w:val="0"/>
              <w:spacing w:line="336" w:lineRule="auto"/>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售后服务</w:t>
            </w:r>
          </w:p>
        </w:tc>
        <w:tc>
          <w:tcPr>
            <w:tcW w:w="7262" w:type="dxa"/>
            <w:vAlign w:val="center"/>
          </w:tcPr>
          <w:p>
            <w:pPr>
              <w:pStyle w:val="2"/>
              <w:spacing w:line="336" w:lineRule="auto"/>
              <w:rPr>
                <w:rFonts w:hint="default" w:ascii="宋体" w:hAnsi="宋体" w:eastAsia="宋体" w:cs="Times New Roman"/>
                <w:color w:val="auto"/>
                <w:kern w:val="2"/>
                <w:sz w:val="21"/>
                <w:szCs w:val="21"/>
                <w:highlight w:val="none"/>
                <w:lang w:val="en-US" w:eastAsia="zh-CN" w:bidi="ar-SA"/>
              </w:rPr>
            </w:pPr>
            <w:r>
              <w:rPr>
                <w:rFonts w:hint="eastAsia"/>
                <w:color w:val="auto"/>
                <w:sz w:val="21"/>
                <w:szCs w:val="21"/>
                <w:highlight w:val="none"/>
              </w:rPr>
              <w:t>出现故障，要求投标人在接到招标人的电话后2小时内响应,24小时内修复,更换送修在2个工作日内完成,质保期内出现质量问题,投标人负责包修、包退、包换</w:t>
            </w:r>
            <w:r>
              <w:rPr>
                <w:rFonts w:hint="eastAsia" w:ascii="宋体" w:hAnsi="宋体"/>
                <w:color w:val="auto"/>
                <w:sz w:val="21"/>
                <w:szCs w:val="21"/>
                <w:highlight w:val="none"/>
              </w:rPr>
              <w:t>。（招标文件第四部分有特别要求的按第四部分要求。）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color w:val="auto"/>
                <w:sz w:val="21"/>
                <w:szCs w:val="21"/>
                <w:highlight w:val="none"/>
              </w:rPr>
            </w:pPr>
            <w:r>
              <w:rPr>
                <w:rFonts w:hint="eastAsia" w:ascii="宋体"/>
                <w:color w:val="auto"/>
                <w:sz w:val="21"/>
                <w:szCs w:val="21"/>
                <w:highlight w:val="none"/>
              </w:rPr>
              <w:t>23</w:t>
            </w:r>
          </w:p>
        </w:tc>
        <w:tc>
          <w:tcPr>
            <w:tcW w:w="1713" w:type="dxa"/>
            <w:vAlign w:val="center"/>
          </w:tcPr>
          <w:p>
            <w:pPr>
              <w:snapToGrid w:val="0"/>
              <w:spacing w:line="336" w:lineRule="auto"/>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安装或交货地点</w:t>
            </w:r>
          </w:p>
        </w:tc>
        <w:tc>
          <w:tcPr>
            <w:tcW w:w="7262" w:type="dxa"/>
            <w:vAlign w:val="center"/>
          </w:tcPr>
          <w:p>
            <w:pPr>
              <w:spacing w:line="336" w:lineRule="auto"/>
              <w:jc w:val="both"/>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75" w:type="dxa"/>
            <w:vAlign w:val="center"/>
          </w:tcPr>
          <w:p>
            <w:pPr>
              <w:spacing w:line="336" w:lineRule="auto"/>
              <w:jc w:val="center"/>
              <w:rPr>
                <w:rFonts w:ascii="宋体"/>
                <w:color w:val="auto"/>
                <w:sz w:val="21"/>
                <w:szCs w:val="21"/>
                <w:highlight w:val="none"/>
              </w:rPr>
            </w:pPr>
            <w:r>
              <w:rPr>
                <w:rFonts w:hint="eastAsia" w:ascii="宋体"/>
                <w:color w:val="auto"/>
                <w:sz w:val="21"/>
                <w:szCs w:val="21"/>
                <w:highlight w:val="none"/>
              </w:rPr>
              <w:t>24</w:t>
            </w:r>
          </w:p>
        </w:tc>
        <w:tc>
          <w:tcPr>
            <w:tcW w:w="1713" w:type="dxa"/>
            <w:vAlign w:val="center"/>
          </w:tcPr>
          <w:p>
            <w:pPr>
              <w:snapToGrid w:val="0"/>
              <w:spacing w:line="336" w:lineRule="auto"/>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授予合同</w:t>
            </w:r>
          </w:p>
        </w:tc>
        <w:tc>
          <w:tcPr>
            <w:tcW w:w="7262" w:type="dxa"/>
            <w:vAlign w:val="center"/>
          </w:tcPr>
          <w:p>
            <w:pPr>
              <w:tabs>
                <w:tab w:val="left" w:pos="105"/>
                <w:tab w:val="left" w:pos="735"/>
                <w:tab w:val="left" w:pos="945"/>
                <w:tab w:val="left" w:pos="3360"/>
              </w:tabs>
              <w:spacing w:line="336" w:lineRule="auto"/>
              <w:jc w:val="both"/>
              <w:rPr>
                <w:rFonts w:ascii="宋体"/>
                <w:color w:val="auto"/>
                <w:kern w:val="2"/>
                <w:sz w:val="21"/>
                <w:szCs w:val="21"/>
                <w:highlight w:val="none"/>
              </w:rPr>
            </w:pPr>
            <w:r>
              <w:rPr>
                <w:rFonts w:hint="eastAsia" w:ascii="宋体"/>
                <w:color w:val="auto"/>
                <w:kern w:val="2"/>
                <w:sz w:val="21"/>
                <w:szCs w:val="21"/>
                <w:highlight w:val="none"/>
              </w:rPr>
              <w:t>时间：中标通知书发出后30天内</w:t>
            </w:r>
          </w:p>
          <w:p>
            <w:pPr>
              <w:spacing w:line="336" w:lineRule="auto"/>
              <w:jc w:val="both"/>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地点：采购人指定地点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color w:val="auto"/>
                <w:sz w:val="21"/>
                <w:szCs w:val="21"/>
                <w:highlight w:val="none"/>
              </w:rPr>
            </w:pPr>
            <w:r>
              <w:rPr>
                <w:rFonts w:hint="eastAsia" w:ascii="宋体"/>
                <w:color w:val="auto"/>
                <w:sz w:val="21"/>
                <w:szCs w:val="21"/>
                <w:highlight w:val="none"/>
              </w:rPr>
              <w:t>25</w:t>
            </w:r>
          </w:p>
        </w:tc>
        <w:tc>
          <w:tcPr>
            <w:tcW w:w="1713" w:type="dxa"/>
            <w:vAlign w:val="center"/>
          </w:tcPr>
          <w:p>
            <w:pPr>
              <w:snapToGrid w:val="0"/>
              <w:spacing w:line="336" w:lineRule="auto"/>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现场踏勘</w:t>
            </w:r>
          </w:p>
        </w:tc>
        <w:tc>
          <w:tcPr>
            <w:tcW w:w="7262" w:type="dxa"/>
            <w:vAlign w:val="center"/>
          </w:tcPr>
          <w:p>
            <w:pPr>
              <w:pStyle w:val="2"/>
              <w:spacing w:line="336" w:lineRule="auto"/>
              <w:rPr>
                <w:rFonts w:ascii="宋体" w:hAnsi="Times New Roman" w:eastAsia="宋体" w:cs="Times New Roman"/>
                <w:b/>
                <w:bCs/>
                <w:color w:val="auto"/>
                <w:kern w:val="2"/>
                <w:sz w:val="21"/>
                <w:szCs w:val="21"/>
                <w:highlight w:val="none"/>
                <w:lang w:val="en-US" w:eastAsia="zh-CN" w:bidi="ar-SA"/>
              </w:rPr>
            </w:pPr>
            <w:r>
              <w:rPr>
                <w:rFonts w:hint="eastAsia" w:ascii="宋体"/>
                <w:color w:val="auto"/>
                <w:sz w:val="21"/>
                <w:szCs w:val="21"/>
                <w:highlight w:val="none"/>
              </w:rPr>
              <w:t>不统一组织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spacing w:line="336" w:lineRule="auto"/>
              <w:jc w:val="center"/>
              <w:rPr>
                <w:rFonts w:ascii="宋体"/>
                <w:color w:val="auto"/>
                <w:sz w:val="21"/>
                <w:szCs w:val="21"/>
                <w:highlight w:val="none"/>
              </w:rPr>
            </w:pPr>
            <w:bookmarkStart w:id="11" w:name="_Toc86202581"/>
            <w:r>
              <w:rPr>
                <w:rFonts w:hint="eastAsia" w:ascii="宋体"/>
                <w:color w:val="auto"/>
                <w:sz w:val="21"/>
                <w:szCs w:val="21"/>
                <w:highlight w:val="none"/>
              </w:rPr>
              <w:t>26</w:t>
            </w:r>
          </w:p>
        </w:tc>
        <w:tc>
          <w:tcPr>
            <w:tcW w:w="1713" w:type="dxa"/>
            <w:vAlign w:val="center"/>
          </w:tcPr>
          <w:p>
            <w:pPr>
              <w:snapToGrid w:val="0"/>
              <w:spacing w:line="336" w:lineRule="auto"/>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质疑期及接收人</w:t>
            </w:r>
          </w:p>
        </w:tc>
        <w:tc>
          <w:tcPr>
            <w:tcW w:w="7262" w:type="dxa"/>
            <w:vAlign w:val="center"/>
          </w:tcPr>
          <w:p>
            <w:pPr>
              <w:tabs>
                <w:tab w:val="left" w:pos="105"/>
                <w:tab w:val="left" w:pos="735"/>
                <w:tab w:val="left" w:pos="945"/>
                <w:tab w:val="left" w:pos="3360"/>
              </w:tabs>
              <w:spacing w:line="336" w:lineRule="auto"/>
              <w:jc w:val="both"/>
              <w:rPr>
                <w:rFonts w:ascii="宋体"/>
                <w:color w:val="auto"/>
                <w:kern w:val="2"/>
                <w:sz w:val="21"/>
                <w:szCs w:val="21"/>
                <w:highlight w:val="none"/>
              </w:rPr>
            </w:pPr>
            <w:r>
              <w:rPr>
                <w:rFonts w:hint="eastAsia" w:ascii="宋体"/>
                <w:color w:val="auto"/>
                <w:kern w:val="2"/>
                <w:sz w:val="21"/>
                <w:szCs w:val="21"/>
                <w:highlight w:val="none"/>
              </w:rPr>
              <w:t>1、投标人如认为招标文件存在限制性、排他性或者其他违法等内容，使自己权益受到损害的，应在</w:t>
            </w:r>
            <w:r>
              <w:rPr>
                <w:rFonts w:hint="eastAsia"/>
                <w:color w:val="auto"/>
                <w:sz w:val="21"/>
                <w:szCs w:val="21"/>
                <w:highlight w:val="none"/>
              </w:rPr>
              <w:t>已获取或应当获取本招标文件</w:t>
            </w:r>
            <w:r>
              <w:rPr>
                <w:color w:val="auto"/>
                <w:sz w:val="21"/>
                <w:szCs w:val="21"/>
                <w:highlight w:val="none"/>
              </w:rPr>
              <w:t>7个工作日</w:t>
            </w:r>
            <w:r>
              <w:rPr>
                <w:rFonts w:hint="eastAsia" w:ascii="宋体"/>
                <w:color w:val="auto"/>
                <w:kern w:val="2"/>
                <w:sz w:val="21"/>
                <w:szCs w:val="21"/>
                <w:highlight w:val="none"/>
              </w:rPr>
              <w:t>内提出质疑。质疑书必须按《浙江省政府采购供应商质疑处理办法》规定。</w:t>
            </w:r>
          </w:p>
          <w:p>
            <w:pPr>
              <w:tabs>
                <w:tab w:val="left" w:pos="105"/>
                <w:tab w:val="left" w:pos="735"/>
                <w:tab w:val="left" w:pos="945"/>
                <w:tab w:val="left" w:pos="3360"/>
              </w:tabs>
              <w:spacing w:line="336" w:lineRule="auto"/>
              <w:jc w:val="both"/>
              <w:rPr>
                <w:rFonts w:ascii="宋体"/>
                <w:color w:val="auto"/>
                <w:kern w:val="2"/>
                <w:sz w:val="21"/>
                <w:szCs w:val="21"/>
                <w:highlight w:val="none"/>
              </w:rPr>
            </w:pPr>
            <w:r>
              <w:rPr>
                <w:rFonts w:hint="eastAsia" w:ascii="宋体"/>
                <w:color w:val="auto"/>
                <w:kern w:val="2"/>
                <w:sz w:val="21"/>
                <w:szCs w:val="21"/>
                <w:highlight w:val="none"/>
              </w:rPr>
              <w:t>2、接收质疑书联系人：陈若水</w:t>
            </w:r>
          </w:p>
          <w:p>
            <w:pPr>
              <w:tabs>
                <w:tab w:val="left" w:pos="105"/>
                <w:tab w:val="left" w:pos="735"/>
                <w:tab w:val="left" w:pos="945"/>
                <w:tab w:val="left" w:pos="3360"/>
              </w:tabs>
              <w:spacing w:line="336" w:lineRule="auto"/>
              <w:ind w:firstLine="315" w:firstLineChars="150"/>
              <w:jc w:val="both"/>
              <w:rPr>
                <w:rFonts w:ascii="宋体" w:hAnsi="Times New Roman" w:eastAsia="宋体" w:cs="Times New Roman"/>
                <w:color w:val="auto"/>
                <w:kern w:val="2"/>
                <w:sz w:val="21"/>
                <w:szCs w:val="21"/>
                <w:highlight w:val="none"/>
                <w:lang w:val="en-US" w:eastAsia="zh-CN" w:bidi="ar-SA"/>
              </w:rPr>
            </w:pPr>
            <w:r>
              <w:rPr>
                <w:rFonts w:hint="eastAsia" w:ascii="宋体"/>
                <w:color w:val="auto"/>
                <w:kern w:val="2"/>
                <w:sz w:val="21"/>
                <w:szCs w:val="21"/>
                <w:highlight w:val="none"/>
              </w:rPr>
              <w:t>联系电话：0574-87128864</w:t>
            </w:r>
          </w:p>
        </w:tc>
      </w:tr>
    </w:tbl>
    <w:p>
      <w:pPr>
        <w:spacing w:line="276" w:lineRule="auto"/>
        <w:jc w:val="center"/>
        <w:rPr>
          <w:rFonts w:ascii="宋体"/>
          <w:b/>
          <w:color w:val="auto"/>
          <w:sz w:val="32"/>
          <w:szCs w:val="32"/>
          <w:highlight w:val="none"/>
        </w:rPr>
      </w:pPr>
      <w:r>
        <w:rPr>
          <w:rFonts w:hint="eastAsia" w:ascii="宋体"/>
          <w:color w:val="auto"/>
          <w:szCs w:val="24"/>
          <w:highlight w:val="none"/>
        </w:rPr>
        <w:br w:type="page"/>
      </w:r>
      <w:bookmarkStart w:id="12" w:name="_Toc241827236"/>
      <w:bookmarkStart w:id="13" w:name="_Toc86202582"/>
      <w:r>
        <w:rPr>
          <w:rFonts w:hint="eastAsia" w:ascii="宋体"/>
          <w:b/>
          <w:color w:val="auto"/>
          <w:szCs w:val="24"/>
          <w:highlight w:val="none"/>
        </w:rPr>
        <w:t>投标人须知</w:t>
      </w:r>
    </w:p>
    <w:p>
      <w:pPr>
        <w:wordWrap w:val="0"/>
        <w:spacing w:line="360" w:lineRule="auto"/>
        <w:ind w:firstLine="422" w:firstLineChars="200"/>
        <w:rPr>
          <w:rFonts w:ascii="宋体" w:hAnsi="宋体" w:cs="宋体"/>
          <w:b/>
          <w:color w:val="auto"/>
          <w:sz w:val="21"/>
          <w:szCs w:val="21"/>
          <w:highlight w:val="none"/>
        </w:rPr>
      </w:pPr>
      <w:bookmarkStart w:id="14" w:name="_Hlt14560612"/>
      <w:bookmarkEnd w:id="14"/>
      <w:bookmarkStart w:id="15" w:name="_Toc499711046"/>
      <w:bookmarkStart w:id="16" w:name="_Toc500747065"/>
      <w:bookmarkStart w:id="17" w:name="_Toc500747192"/>
      <w:bookmarkStart w:id="18" w:name="_Toc265738863"/>
      <w:bookmarkStart w:id="19" w:name="_Toc184043022"/>
      <w:bookmarkStart w:id="20" w:name="_Toc53722843"/>
      <w:bookmarkStart w:id="21" w:name="_Toc177189238"/>
      <w:bookmarkStart w:id="22" w:name="_Toc70687149"/>
      <w:bookmarkStart w:id="23" w:name="_Toc496324582"/>
      <w:bookmarkStart w:id="24" w:name="_Toc389620174"/>
      <w:bookmarkStart w:id="25" w:name="_Toc492955418"/>
      <w:bookmarkStart w:id="26" w:name="_Toc230013635"/>
      <w:bookmarkStart w:id="27" w:name="_Toc500746969"/>
      <w:bookmarkStart w:id="28" w:name="_Toc503063425"/>
      <w:bookmarkStart w:id="29" w:name="_Toc230099800"/>
      <w:bookmarkStart w:id="30" w:name="_Toc176882545"/>
      <w:bookmarkStart w:id="31" w:name="_Toc385992335"/>
      <w:bookmarkStart w:id="32" w:name="_Toc230583544"/>
      <w:bookmarkStart w:id="33" w:name="_Toc177995476"/>
      <w:bookmarkStart w:id="34" w:name="_Toc239740354"/>
      <w:bookmarkStart w:id="35" w:name="_Toc177817337"/>
      <w:bookmarkStart w:id="36" w:name="_Toc232395215"/>
      <w:bookmarkStart w:id="37" w:name="_Toc235518469"/>
      <w:bookmarkStart w:id="38" w:name="_Toc232176275"/>
      <w:bookmarkStart w:id="39" w:name="_Toc499711887"/>
      <w:r>
        <w:rPr>
          <w:rFonts w:hint="eastAsia" w:ascii="宋体" w:hAnsi="宋体" w:cs="宋体"/>
          <w:b/>
          <w:color w:val="auto"/>
          <w:sz w:val="21"/>
          <w:szCs w:val="21"/>
          <w:highlight w:val="none"/>
        </w:rPr>
        <w:t>一、适用范围</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本采购文件仅适用于本采购项目所叙述的货物和服务的招标、评标、定标、验收、合同履约、付款等（法律、法规另有规定的，从其规定）。</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二、定义</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1、“采购人”系指宁波市公安局交通警察局。</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2、“代理机构”系指宁波市国际招标有限公司。</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3、“供应商”系指向采购人提交投标文件的供应商。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4、“货物”系指供方按采购文件规定承担的设备、备品备件供货等。</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5、“项目”系指投标人按采购文件规定向采购人提供的产品和服务。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6、“同级政府采购监管部门”系指宁波市政府采购管理办公室</w:t>
      </w:r>
      <w:r>
        <w:rPr>
          <w:rFonts w:hint="eastAsia" w:ascii="宋体" w:hAnsi="宋体" w:cs="宋体"/>
          <w:color w:val="auto"/>
          <w:kern w:val="10"/>
          <w:sz w:val="21"/>
          <w:szCs w:val="21"/>
          <w:highlight w:val="none"/>
          <w:lang w:val="zh-CN"/>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7、“*”系指实质性响应条款。</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w:t>
      </w:r>
      <w:r>
        <w:rPr>
          <w:rFonts w:hint="eastAsia" w:ascii="宋体" w:hAnsi="宋体" w:cs="宋体"/>
          <w:b/>
          <w:color w:val="auto"/>
          <w:sz w:val="21"/>
          <w:szCs w:val="21"/>
          <w:highlight w:val="none"/>
        </w:rPr>
        <w:t>三、合格的投标人和合格的投标货物或服务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1.1  合格的投标人：详见采购公告.</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  合格的投标货物或服务：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1.2.1应该是中国境内生产的货物或提供的服务。</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若投标货物或服务是国家实行许可证制度或生产注册证制度的产品或服务，则应具备相应有效的证书。</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招标文件允许采购进口产品的，若投标货物是进口产品，投标人应保证所投产品为可履行合法报通关手续进入中国关境内、在中国海关完税的可合法销售的货物。</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1.2.2国家规定有标准及规范的，投标货物或服务应按有效的标准及规范执行，应符合国家及招标文件提出的有关技术、质量、安全标准。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1.2.3投标人应保证所提供的产品或服务免受第三方提出侵犯其知识产权（专利权、商标权、工业设计权及使用权等）的索赔或起诉，否则，由此可能产生的一切法律责任和经济责任均由投标人承担。</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四、其他说明</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（一）投标费用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无论投标过程和结果如何，供应商自行承担与投标有关的全部费用。</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（二）关于分公司投标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仅允许银行、保险、石油石化、电力、电信、移动、联通等行业分公司投标，但需提供具有法人资格的总公司的营业执照原件扫描件及授权书，授权书须加盖总公司公章。</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（三）关于知识产权</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2、投标报价应包含所有应向所有权人支付的专利权、商标权或其它知识产权的一切相关费用。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3、系统软件、通用软件必须是具有在中国境内的合法使用权或版权的正版软件，涉及到第三方提出侵权或知识产权的起诉及支付版税等费用由投标人承担所有责任及费用。</w:t>
      </w:r>
    </w:p>
    <w:p>
      <w:pPr>
        <w:wordWrap w:val="0"/>
        <w:spacing w:line="360" w:lineRule="auto"/>
        <w:ind w:firstLine="422" w:firstLineChars="200"/>
        <w:rPr>
          <w:rFonts w:ascii="宋体" w:hAnsi="宋体" w:cs="宋体"/>
          <w:b/>
          <w:color w:val="auto"/>
          <w:sz w:val="21"/>
          <w:szCs w:val="21"/>
          <w:highlight w:val="none"/>
        </w:rPr>
      </w:pPr>
      <w:bookmarkStart w:id="40" w:name="_Toc23497307"/>
      <w:bookmarkStart w:id="41" w:name="_Toc17707916"/>
      <w:bookmarkStart w:id="42" w:name="_Toc460857903"/>
      <w:r>
        <w:rPr>
          <w:rFonts w:hint="eastAsia" w:ascii="宋体" w:hAnsi="宋体" w:cs="宋体"/>
          <w:b/>
          <w:color w:val="auto"/>
          <w:sz w:val="21"/>
          <w:szCs w:val="21"/>
          <w:highlight w:val="none"/>
        </w:rPr>
        <w:t>（四）联合体投标</w:t>
      </w:r>
      <w:bookmarkEnd w:id="40"/>
      <w:bookmarkEnd w:id="41"/>
      <w:bookmarkEnd w:id="42"/>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本项目不接受联合体投标。</w:t>
      </w:r>
    </w:p>
    <w:p>
      <w:pPr>
        <w:wordWrap w:val="0"/>
        <w:spacing w:line="360" w:lineRule="auto"/>
        <w:ind w:firstLine="422" w:firstLineChars="200"/>
        <w:rPr>
          <w:rFonts w:ascii="宋体" w:hAnsi="宋体" w:cs="宋体"/>
          <w:b/>
          <w:color w:val="auto"/>
          <w:sz w:val="21"/>
          <w:szCs w:val="21"/>
          <w:highlight w:val="none"/>
        </w:rPr>
      </w:pPr>
      <w:bookmarkStart w:id="43" w:name="_Toc17707917"/>
      <w:bookmarkStart w:id="44" w:name="_Toc23497308"/>
      <w:bookmarkStart w:id="45" w:name="_Toc460857904"/>
      <w:r>
        <w:rPr>
          <w:rFonts w:hint="eastAsia" w:ascii="宋体" w:hAnsi="宋体" w:cs="宋体"/>
          <w:b/>
          <w:color w:val="auto"/>
          <w:sz w:val="21"/>
          <w:szCs w:val="21"/>
          <w:highlight w:val="none"/>
        </w:rPr>
        <w:t>（五）转包与分包</w:t>
      </w:r>
      <w:bookmarkEnd w:id="43"/>
      <w:bookmarkEnd w:id="44"/>
      <w:bookmarkEnd w:id="45"/>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1.本项目不允许转包，未经采购人同意，不允许分包。</w:t>
      </w:r>
    </w:p>
    <w:p>
      <w:pPr>
        <w:wordWrap w:val="0"/>
        <w:spacing w:line="360" w:lineRule="auto"/>
        <w:ind w:firstLine="422" w:firstLineChars="200"/>
        <w:rPr>
          <w:rFonts w:ascii="宋体" w:hAnsi="宋体" w:cs="宋体"/>
          <w:b/>
          <w:color w:val="auto"/>
          <w:sz w:val="21"/>
          <w:szCs w:val="21"/>
          <w:highlight w:val="none"/>
        </w:rPr>
      </w:pPr>
      <w:bookmarkStart w:id="46" w:name="_Toc17707918"/>
      <w:bookmarkStart w:id="47" w:name="_Toc23497309"/>
      <w:bookmarkStart w:id="48" w:name="_Toc460416601"/>
      <w:bookmarkStart w:id="49" w:name="_Toc460416345"/>
      <w:bookmarkStart w:id="50" w:name="_Toc460857905"/>
      <w:bookmarkStart w:id="51" w:name="_Toc460416650"/>
      <w:r>
        <w:rPr>
          <w:rFonts w:hint="eastAsia" w:ascii="宋体" w:hAnsi="宋体" w:cs="宋体"/>
          <w:b/>
          <w:color w:val="auto"/>
          <w:sz w:val="21"/>
          <w:szCs w:val="21"/>
          <w:highlight w:val="none"/>
        </w:rPr>
        <w:t>（六）特别说明</w:t>
      </w:r>
      <w:bookmarkEnd w:id="46"/>
      <w:bookmarkEnd w:id="47"/>
      <w:bookmarkEnd w:id="48"/>
      <w:bookmarkEnd w:id="49"/>
      <w:bookmarkEnd w:id="50"/>
      <w:bookmarkEnd w:id="51"/>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1.投标人应仔细阅读采购文件的所有内容，按照采购文件的要求提交投标文件，并对所提供的全部资料的真实性承担法律责任。</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2.投标人在投标活动中提供任何虚假材料，其投标无效，并报监管部门查处；中标后发现的,中标人须依照《中华人民共和国</w:t>
      </w:r>
      <w:r>
        <w:rPr>
          <w:rFonts w:hint="eastAsia" w:ascii="宋体" w:hAnsi="宋体" w:cs="宋体"/>
          <w:color w:val="auto"/>
          <w:sz w:val="21"/>
          <w:szCs w:val="21"/>
          <w:highlight w:val="none"/>
          <w:lang w:val="en-US" w:eastAsia="zh-CN"/>
        </w:rPr>
        <w:t>政府采购</w:t>
      </w:r>
      <w:r>
        <w:rPr>
          <w:rFonts w:hint="eastAsia" w:ascii="宋体" w:hAnsi="宋体" w:cs="宋体"/>
          <w:color w:val="auto"/>
          <w:sz w:val="21"/>
          <w:szCs w:val="21"/>
          <w:highlight w:val="none"/>
        </w:rPr>
        <w:t>法》第</w:t>
      </w:r>
      <w:r>
        <w:rPr>
          <w:rFonts w:hint="eastAsia" w:ascii="宋体" w:hAnsi="宋体" w:cs="宋体"/>
          <w:color w:val="auto"/>
          <w:sz w:val="21"/>
          <w:szCs w:val="21"/>
          <w:highlight w:val="none"/>
          <w:lang w:val="en-US" w:eastAsia="zh-CN"/>
        </w:rPr>
        <w:t>77</w:t>
      </w:r>
      <w:r>
        <w:rPr>
          <w:rFonts w:hint="eastAsia" w:ascii="宋体" w:hAnsi="宋体" w:cs="宋体"/>
          <w:color w:val="auto"/>
          <w:sz w:val="21"/>
          <w:szCs w:val="21"/>
          <w:highlight w:val="none"/>
        </w:rPr>
        <w:t>条规定赔偿采购人，且民事赔偿并不免除违法投标人的行政与刑事责任。</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五、投标报价</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5.1投标报价货币为人民币，投标报价为投标人为完成本项目，实现招标文件中规定的本项目采购内容和范围并达到相关标准所需要的全部费用。包含实现标书要求的所有货物、税费、维护、保修、保险、利润、税金、现场安装调试达到正常可使用状态等费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凡影响投标报价的所有相关费用应列入本次报价中。中标后，不得以不完全了解采购文件、现场、周围环境等情况为借口，而提出额外补偿或延长工期等的要求。如漏报，最终所发生的费用均由中标商承担，招标方一律不予承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5.2供应商应详细列明各分项工作相关报价及依据，未列明的相关报价应视为已包含在已列明费用的报价中，采购人将不予单独支付。</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5.3投标文件的货币单位为人民币元。</w:t>
      </w:r>
    </w:p>
    <w:p>
      <w:pPr>
        <w:tabs>
          <w:tab w:val="left" w:pos="525"/>
        </w:tabs>
        <w:snapToGrid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5.4</w:t>
      </w:r>
      <w:r>
        <w:rPr>
          <w:rFonts w:hint="eastAsia" w:ascii="宋体" w:hAnsi="宋体" w:cs="宋体"/>
          <w:b/>
          <w:color w:val="auto"/>
          <w:sz w:val="21"/>
          <w:szCs w:val="21"/>
          <w:highlight w:val="none"/>
        </w:rPr>
        <w:t>投标文件只允许有一个报价，有选择的或有条件的报价将不予接受。</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六、投标有效期</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*1、投标文件从开标之日起，投标有效期为90个日历日。投标有效期不能小于采购文件的要求。</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2、特殊情况下，采购人可与供应商协商延长投标文件的有效期，这种要求和答复均以书面形式进行。</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3、供应商可拒绝接受延期要求。同意延长有效期的供应商不能修改投标文件。</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七、投标文件的形式和效力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1、投标文件分为电子投标文件以及备份投标文件，备份投标文件分为以U盘或光盘存储的电子备份投标文件。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2、电子投标文件，按“项目采购-电子招投标操作指南”及本采购文件要求制作，并加密。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3、以U盘或光盘存储的电子备份投标文件，按“项目采购-电子招投标操作指南”制作的电子备份文件。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4、投标文件按本章第八条投标文件的组成编制。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5、投标文件填写字迹必须清楚、工整，对不同文字文本投标文件的解释发生异议的，以中文文本为准。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6、投标文件的效力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投标文件的启用，按先后顺位分别为电子投标文件、以U盘或光盘存储的电子备份投标文件。在下一顺位的投标文件启用时，前一顺位的投标文件自动失效。</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电子投标文件未能按时解密，供应商提供了电子备份投标文件，以电子备份投标文件作为依据，否则视为投标文件撤回。电子投标文件已按时解密的，电子备份投标文件自动失效。</w:t>
      </w:r>
    </w:p>
    <w:p>
      <w:pPr>
        <w:wordWrap w:val="0"/>
        <w:spacing w:line="360" w:lineRule="auto"/>
        <w:ind w:firstLine="422" w:firstLineChars="200"/>
        <w:rPr>
          <w:rFonts w:ascii="宋体" w:hAnsi="宋体" w:cs="宋体"/>
          <w:b/>
          <w:bCs/>
          <w:color w:val="auto"/>
          <w:sz w:val="21"/>
          <w:szCs w:val="21"/>
          <w:highlight w:val="none"/>
        </w:rPr>
      </w:pPr>
      <w:bookmarkStart w:id="52" w:name="_Hlk23147633"/>
      <w:bookmarkStart w:id="53" w:name="_Hlk23150950"/>
      <w:r>
        <w:rPr>
          <w:rFonts w:hint="eastAsia" w:ascii="宋体" w:hAnsi="宋体" w:cs="宋体"/>
          <w:b/>
          <w:bCs/>
          <w:color w:val="auto"/>
          <w:sz w:val="21"/>
          <w:szCs w:val="21"/>
          <w:highlight w:val="none"/>
        </w:rPr>
        <w:t>八、投标文件的组成和份数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1、投标文件的组成：</w:t>
      </w:r>
    </w:p>
    <w:p>
      <w:pPr>
        <w:wordWrap w:val="0"/>
        <w:spacing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A、第一册：资格文件</w:t>
      </w:r>
    </w:p>
    <w:p>
      <w:pPr>
        <w:spacing w:line="360" w:lineRule="auto"/>
        <w:ind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A1、关于资格的承诺函（格式见附件）；</w:t>
      </w:r>
    </w:p>
    <w:p>
      <w:pPr>
        <w:spacing w:line="360" w:lineRule="auto"/>
        <w:ind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A2、营业执照副本（或事业法人登记证副本或其他登记证明材料）扫描件加盖供应商公章（供应商如果有名称变更的，应提供由行政主管部门出具的变更证明文件扫描件加盖供应商公章）；</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A</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、中小企业声明函；</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A</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、残疾人福利性单位声明函（如是请提供）；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A</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、供应商认为需要的其他资料（如有需提供）。</w:t>
      </w:r>
    </w:p>
    <w:p>
      <w:pPr>
        <w:wordWrap w:val="0"/>
        <w:spacing w:line="360" w:lineRule="auto"/>
        <w:ind w:firstLine="422" w:firstLineChars="200"/>
        <w:rPr>
          <w:rFonts w:ascii="宋体" w:hAnsi="宋体" w:cs="宋体"/>
          <w:b/>
          <w:bCs/>
          <w:color w:val="auto"/>
          <w:sz w:val="21"/>
          <w:szCs w:val="21"/>
          <w:highlight w:val="none"/>
        </w:rPr>
      </w:pPr>
    </w:p>
    <w:p>
      <w:pPr>
        <w:wordWrap w:val="0"/>
        <w:spacing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B、第二册：商务和技术文件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自评分表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B1、投标书；</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B2、法定代表人身份证明；</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B3、法定代表人授权书（投标文件由授权代表签字的须提供）；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B4、供应商一般情况表；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B5、商务条款响应表；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B6、技术条款响应表；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B7、</w:t>
      </w:r>
      <w:r>
        <w:rPr>
          <w:rFonts w:hint="eastAsia" w:ascii="宋体"/>
          <w:color w:val="auto"/>
          <w:sz w:val="21"/>
          <w:szCs w:val="21"/>
          <w:highlight w:val="none"/>
        </w:rPr>
        <w:t>投标人应根据现场踏勘情况出具完整的维护方案</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B8、维（护）修人员情况的情况介绍（包括配置、人数、知识和专业技术结构介绍，证书情况、业绩情况）附相关证明材料；</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附相关人员身份证、职称证书、学历证书复印件（加盖公章）；社保机构出具投标人为相关人员开标前3个月任一一个月的社保缴纳证明材料；</w:t>
      </w:r>
    </w:p>
    <w:p>
      <w:pPr>
        <w:pStyle w:val="2"/>
        <w:spacing w:line="360" w:lineRule="auto"/>
        <w:ind w:firstLine="420" w:firstLineChars="200"/>
        <w:rPr>
          <w:rFonts w:ascii="宋体"/>
          <w:color w:val="auto"/>
          <w:sz w:val="21"/>
          <w:szCs w:val="21"/>
          <w:highlight w:val="none"/>
        </w:rPr>
      </w:pPr>
      <w:r>
        <w:rPr>
          <w:rFonts w:hint="eastAsia" w:ascii="宋体" w:hAnsi="宋体" w:cs="宋体"/>
          <w:color w:val="auto"/>
          <w:sz w:val="21"/>
          <w:szCs w:val="21"/>
          <w:highlight w:val="none"/>
        </w:rPr>
        <w:t>B9、</w:t>
      </w:r>
      <w:r>
        <w:rPr>
          <w:rFonts w:hint="eastAsia" w:ascii="宋体"/>
          <w:color w:val="auto"/>
          <w:sz w:val="21"/>
          <w:szCs w:val="21"/>
          <w:highlight w:val="none"/>
        </w:rPr>
        <w:t>登高车车辆行驶证复印件及车辆图片加盖公章（如有请提供）；</w:t>
      </w:r>
    </w:p>
    <w:p>
      <w:pPr>
        <w:wordWrap w:val="0"/>
        <w:spacing w:line="360" w:lineRule="auto"/>
        <w:ind w:firstLine="420" w:firstLineChars="200"/>
        <w:rPr>
          <w:rFonts w:ascii="宋体" w:hAnsi="宋体" w:cs="宋体"/>
          <w:color w:val="auto"/>
          <w:sz w:val="21"/>
          <w:szCs w:val="21"/>
          <w:highlight w:val="none"/>
        </w:rPr>
      </w:pPr>
      <w:r>
        <w:rPr>
          <w:rFonts w:hint="eastAsia" w:ascii="宋体"/>
          <w:color w:val="auto"/>
          <w:sz w:val="21"/>
          <w:szCs w:val="21"/>
          <w:highlight w:val="none"/>
        </w:rPr>
        <w:t>B10、投标人</w:t>
      </w:r>
      <w:r>
        <w:rPr>
          <w:rFonts w:hint="eastAsia" w:ascii="宋体" w:hAnsi="宋体" w:cs="宋体"/>
          <w:color w:val="auto"/>
          <w:sz w:val="21"/>
          <w:szCs w:val="21"/>
          <w:highlight w:val="none"/>
        </w:rPr>
        <w:t>类似项目业绩证明材料复印件，加盖投标人公章；</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B11、质保及本地化服务能力(应包括质保期限、质保内容、本地化维护服务能力、费用等内容)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B12、第</w:t>
      </w:r>
      <w:r>
        <w:rPr>
          <w:rFonts w:hint="eastAsia" w:ascii="宋体" w:hAnsi="宋体" w:cs="宋体"/>
          <w:color w:val="auto"/>
          <w:sz w:val="21"/>
          <w:szCs w:val="21"/>
          <w:highlight w:val="none"/>
          <w:lang w:val="en-US" w:eastAsia="zh-CN"/>
        </w:rPr>
        <w:t>四</w:t>
      </w:r>
      <w:r>
        <w:rPr>
          <w:rFonts w:hint="eastAsia" w:ascii="宋体" w:hAnsi="宋体" w:cs="宋体"/>
          <w:color w:val="auto"/>
          <w:sz w:val="21"/>
          <w:szCs w:val="21"/>
          <w:highlight w:val="none"/>
        </w:rPr>
        <w:t>章“评标办法及标准”中商务和技术评分表要求提供的资料（如有需提供）；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B13、供应商认为需要的其他资料（如有需提供）。</w:t>
      </w:r>
    </w:p>
    <w:p>
      <w:pPr>
        <w:pStyle w:val="2"/>
        <w:rPr>
          <w:color w:val="auto"/>
          <w:highlight w:val="none"/>
        </w:rPr>
      </w:pPr>
    </w:p>
    <w:bookmarkEnd w:id="52"/>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C、第三册：报价文件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C1、开标一览表；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C2、分项报价表；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C3、供应商认为需要的其他资料（如有需提供）。</w:t>
      </w:r>
    </w:p>
    <w:bookmarkEnd w:id="53"/>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2、投标文件的份数：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本项目实行网上投标，供应商应准备以下投标文件：</w:t>
      </w:r>
    </w:p>
    <w:p>
      <w:pPr>
        <w:wordWrap w:val="0"/>
        <w:spacing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*（1）上传到政府采购云平台的电子投标文件（含资格文件、商务和技术文件、报价文件）1份。</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（2）以U盘或光盘存储的电子备份投标文件（含资格文件、商务和技术文件、报价文件）1份。</w:t>
      </w:r>
    </w:p>
    <w:p>
      <w:pPr>
        <w:pStyle w:val="2"/>
        <w:spacing w:line="360" w:lineRule="auto"/>
        <w:ind w:firstLine="422" w:firstLineChars="200"/>
        <w:rPr>
          <w:color w:val="auto"/>
          <w:highlight w:val="none"/>
        </w:rPr>
      </w:pPr>
      <w:r>
        <w:rPr>
          <w:rFonts w:hint="eastAsia" w:ascii="宋体"/>
          <w:b/>
          <w:color w:val="auto"/>
          <w:sz w:val="21"/>
          <w:szCs w:val="21"/>
          <w:highlight w:val="none"/>
        </w:rPr>
        <w:t>投标人提供的以上材料必须真实有效，任何一项的虚假将导致其投标被拒绝。</w:t>
      </w:r>
    </w:p>
    <w:p>
      <w:pPr>
        <w:wordWrap w:val="0"/>
        <w:spacing w:line="360" w:lineRule="auto"/>
        <w:ind w:firstLine="420" w:firstLineChars="200"/>
        <w:rPr>
          <w:rFonts w:ascii="宋体" w:hAnsi="宋体" w:cs="宋体"/>
          <w:b/>
          <w:bCs/>
          <w:color w:val="auto"/>
          <w:sz w:val="21"/>
          <w:szCs w:val="21"/>
          <w:highlight w:val="none"/>
        </w:rPr>
      </w:pPr>
      <w:r>
        <w:rPr>
          <w:rFonts w:hint="eastAsia" w:ascii="宋体" w:hAnsi="宋体" w:cs="宋体"/>
          <w:color w:val="auto"/>
          <w:sz w:val="21"/>
          <w:szCs w:val="21"/>
          <w:highlight w:val="none"/>
        </w:rPr>
        <w:t>*</w:t>
      </w:r>
      <w:r>
        <w:rPr>
          <w:rFonts w:hint="eastAsia" w:ascii="宋体" w:hAnsi="宋体" w:cs="宋体"/>
          <w:b/>
          <w:bCs/>
          <w:color w:val="auto"/>
          <w:sz w:val="21"/>
          <w:szCs w:val="21"/>
          <w:highlight w:val="none"/>
        </w:rPr>
        <w:t>九、投标文件的签署盖章</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1、采购文件第</w:t>
      </w:r>
      <w:r>
        <w:rPr>
          <w:rFonts w:hint="eastAsia" w:ascii="宋体" w:hAnsi="宋体" w:cs="宋体"/>
          <w:color w:val="auto"/>
          <w:sz w:val="21"/>
          <w:szCs w:val="21"/>
          <w:highlight w:val="none"/>
          <w:lang w:val="en-US" w:eastAsia="zh-CN"/>
        </w:rPr>
        <w:t>六</w:t>
      </w:r>
      <w:r>
        <w:rPr>
          <w:rFonts w:hint="eastAsia" w:ascii="宋体" w:hAnsi="宋体" w:cs="宋体"/>
          <w:color w:val="auto"/>
          <w:sz w:val="21"/>
          <w:szCs w:val="21"/>
          <w:highlight w:val="none"/>
        </w:rPr>
        <w:t>章“</w:t>
      </w:r>
      <w:r>
        <w:rPr>
          <w:rFonts w:hint="eastAsia" w:ascii="宋体" w:hAnsi="宋体" w:cs="宋体"/>
          <w:color w:val="auto"/>
          <w:sz w:val="21"/>
          <w:szCs w:val="21"/>
          <w:highlight w:val="none"/>
          <w:lang w:val="en-US" w:eastAsia="zh-CN"/>
        </w:rPr>
        <w:t>投标文件格式</w:t>
      </w:r>
      <w:r>
        <w:rPr>
          <w:rFonts w:hint="eastAsia" w:ascii="宋体" w:hAnsi="宋体" w:cs="宋体"/>
          <w:color w:val="auto"/>
          <w:sz w:val="21"/>
          <w:szCs w:val="21"/>
          <w:highlight w:val="none"/>
        </w:rPr>
        <w:t>”中标明加盖公章或签字的，加盖公章部分采用CA签章，签字部分由法定代表人或授权代表签字后扫描上传。授权代表签字的，还应附法定代表人签署的法定代表人授权书。</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2、投标文件应尽量避免涂改、行间插字或删除。如果出现上述情况，改动之处应加盖供应商公章或由其法定代表人（或授权代表）签字确认。</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十、投标文件的密封和标记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1、电子投标文件：供应商应根据“项目采购-电子招投标操作指南”及本采购文件规定的格式和顺序编制电子投标文件并进行关联定位。</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2、以U盘或光盘存储的每标项电子备份投标文件</w:t>
      </w:r>
      <w:r>
        <w:rPr>
          <w:rFonts w:hint="eastAsia" w:ascii="宋体" w:hAnsi="宋体" w:cs="宋体"/>
          <w:b/>
          <w:color w:val="auto"/>
          <w:sz w:val="21"/>
          <w:szCs w:val="21"/>
          <w:highlight w:val="none"/>
        </w:rPr>
        <w:t>用封袋密封后递交。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3、电子备份投标文件须在封袋上分别注明：</w:t>
      </w:r>
    </w:p>
    <w:p>
      <w:pPr>
        <w:tabs>
          <w:tab w:val="left" w:pos="900"/>
        </w:tabs>
        <w:wordWrap w:val="0"/>
        <w:spacing w:line="360" w:lineRule="auto"/>
        <w:ind w:firstLine="420" w:firstLineChars="200"/>
        <w:rPr>
          <w:rFonts w:ascii="宋体" w:hAnsi="宋体" w:cs="宋体"/>
          <w:color w:val="auto"/>
          <w:sz w:val="21"/>
          <w:szCs w:val="21"/>
          <w:highlight w:val="none"/>
          <w:u w:val="single"/>
        </w:rPr>
      </w:pPr>
      <w:r>
        <w:rPr>
          <w:rFonts w:hint="eastAsia" w:ascii="宋体" w:hAnsi="宋体" w:cs="宋体"/>
          <w:color w:val="auto"/>
          <w:sz w:val="21"/>
          <w:szCs w:val="21"/>
          <w:highlight w:val="none"/>
        </w:rPr>
        <w:t>（1）注    明：</w:t>
      </w:r>
      <w:r>
        <w:rPr>
          <w:rFonts w:hint="eastAsia" w:ascii="宋体" w:hAnsi="宋体" w:cs="宋体"/>
          <w:color w:val="auto"/>
          <w:sz w:val="21"/>
          <w:szCs w:val="21"/>
          <w:highlight w:val="none"/>
          <w:u w:val="single"/>
        </w:rPr>
        <w:t xml:space="preserve">“电子备份投标文件”    </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（2）采购编号：</w:t>
      </w:r>
      <w:r>
        <w:rPr>
          <w:rFonts w:hint="eastAsia" w:ascii="宋体" w:hAnsi="宋体" w:cs="宋体"/>
          <w:color w:val="auto"/>
          <w:sz w:val="21"/>
          <w:szCs w:val="21"/>
          <w:highlight w:val="none"/>
          <w:u w:val="single"/>
          <w:lang w:eastAsia="zh-CN"/>
        </w:rPr>
        <w:t>NBITC-202330131G</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（3）项目名称：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（4）所投标项（如有多个标项须填写）：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（5）在</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日（规定的开标日期和时间）前不准启封；</w:t>
      </w:r>
    </w:p>
    <w:p>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（6）供应商的名称：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供应商须在包封上加盖供应商公章或由其法定代表人（或授权代表）签字。</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供应商未按上述要求标记的，采购人（代理机构）不承担错放或提前开封的责任。</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十一、投标文件的递交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1、投标文件递交的具体要求详见采购公告。</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2、供应商未按上述要求密封的电子备份投标文件，代理机构不予接收。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3、逾期送达的或者未送达指定地点的，代理机构不予接收。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4、投标文件的补充、修改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截止时间前，供应商可以对递交的投标文件进行补充、修改，补充、修改电子投标文件的，应当先行撤回原文件，补充、修改后重新上传，电子备份投标文件也需重新制作递交。在投标截止时间之后，供应商不得对其投标文件进行补充、修改。投标截止时间之后供应商要求撤销投标文件的，应向采购人提交正式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电子备份投标文件不强制要求提交，但因电子投标文件未能按时解密或解密失败，投标人又未提交电子备份投标文件的，将被视为投标文件撤回，投标无效。</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十二、开标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代理机构在采购文件规定的时间和地点公开开标，并邀请所有供应商的法定代表人（或授权代表）准时参加。供应商的法定代表人（或授权代表）不参加开标的或迟到参加开标的，视同该供应商默认开标记录，不得事后对开标过程提出任何异议。</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2、电子投标开标及评审程序：一阶段开标，每标项同时开启“资格文件”、“商务和技术文件”和“报价文件”。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（1）宣布开标；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（2）投标截止时间后，供应商登录政府采购云平台，用“项目采购-开标评标”功能对电子投标文件进行在线解密，在线解密电子投标文件时间为开标时间后半小时内。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（3）介绍开标现场的人员情况；</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（4）宣读递交投标文件的供应商名单、开标纪律、应当回避的情形等注意事项；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（5）供应商签署不存在影响公平竞争的《政府采购活动现场确认声明书》；</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供应商代表查验投标文件密封情况；确认无误后按照供应商提交投标文件的先后顺序，同时开启“资格文件”、“商务和技术文件”和“报价文件”；宣读供应商名称、供应商投标文件、投标文件中“开标一览表”内容，以及采购人认为必要的其他内容与记录，并做开标记录；</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（7）开标记录签字确认；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（8）开标结束。</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（9）在政府采购云平台公布中标候选人名单及采购人最终确定中标供应商名单的时间和公告方式等；</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3、特别说明：政府采购云平台如对电子化开标及评审程序有调整的，按调整后的程序操作。</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本项目原则上采用政采云电子投标开标及评审程序，但有下情形之一的，按以下情况处理：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（1）若供应商在规定时间内无法解密或解密失败，代理机构将开启上述供应商递交的以U盘或光盘存储的电子备份投标文件，上传至政采云平台项目采购模块，以完成开标，电子投标文件自动失效。</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）采购过程中出现以下情形，导致电子交易平台无法正常运行，或者无法保证电子交易的公平、公正和安全时，采购人（或代理机构）可中止电子交易活动：</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.1电子交易平台发生故障而无法登录访问的；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.2电子交易平台应用或数据库出现错误，不能进行正常操作的；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.3电子交易平台发现严重安全漏洞，有潜在泄密危险的；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 xml:space="preserve">.4病毒发作导致不能进行正常操作的； </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.5其他无法保证电子交易的公平、公正和安全的情况。</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出现前款规定情形，不影响采购公平、公正性的，采购人（或代理机构）可以待上述情形消除后继续组织电子交易活动。</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十三、评标</w:t>
      </w:r>
    </w:p>
    <w:p>
      <w:pPr>
        <w:wordWrap w:val="0"/>
        <w:spacing w:line="360" w:lineRule="auto"/>
        <w:ind w:firstLine="422" w:firstLineChars="200"/>
        <w:rPr>
          <w:rFonts w:ascii="宋体" w:hAnsi="宋体" w:cs="宋体"/>
          <w:b/>
          <w:color w:val="auto"/>
          <w:sz w:val="21"/>
          <w:szCs w:val="21"/>
          <w:highlight w:val="none"/>
        </w:rPr>
      </w:pPr>
      <w:bookmarkStart w:id="54" w:name="_Toc460857925"/>
      <w:bookmarkStart w:id="55" w:name="_Toc17884841"/>
      <w:r>
        <w:rPr>
          <w:rFonts w:hint="eastAsia" w:ascii="宋体" w:hAnsi="宋体" w:cs="宋体"/>
          <w:b/>
          <w:color w:val="auto"/>
          <w:sz w:val="21"/>
          <w:szCs w:val="21"/>
          <w:highlight w:val="none"/>
        </w:rPr>
        <w:t>（一）组建评标委员会</w:t>
      </w:r>
      <w:bookmarkEnd w:id="54"/>
      <w:bookmarkEnd w:id="55"/>
    </w:p>
    <w:p>
      <w:pPr>
        <w:pStyle w:val="22"/>
        <w:snapToGrid w:val="0"/>
        <w:spacing w:line="360" w:lineRule="auto"/>
        <w:ind w:firstLine="420" w:firstLineChars="200"/>
        <w:rPr>
          <w:rFonts w:hAnsi="宋体" w:cs="宋体"/>
          <w:color w:val="auto"/>
          <w:highlight w:val="none"/>
        </w:rPr>
      </w:pPr>
      <w:r>
        <w:rPr>
          <w:rFonts w:hint="eastAsia" w:hAnsi="宋体" w:cs="宋体"/>
          <w:color w:val="auto"/>
          <w:highlight w:val="none"/>
        </w:rPr>
        <w:t>本项目评标委员会依法组建。</w:t>
      </w:r>
    </w:p>
    <w:p>
      <w:pPr>
        <w:wordWrap w:val="0"/>
        <w:spacing w:line="360" w:lineRule="auto"/>
        <w:ind w:firstLine="422" w:firstLineChars="200"/>
        <w:rPr>
          <w:rFonts w:ascii="宋体" w:hAnsi="宋体" w:cs="宋体"/>
          <w:b/>
          <w:color w:val="auto"/>
          <w:sz w:val="21"/>
          <w:szCs w:val="21"/>
          <w:highlight w:val="none"/>
        </w:rPr>
      </w:pPr>
      <w:bookmarkStart w:id="56" w:name="_Toc17884842"/>
      <w:bookmarkStart w:id="57" w:name="_Toc460857926"/>
      <w:r>
        <w:rPr>
          <w:rFonts w:hint="eastAsia" w:ascii="宋体" w:hAnsi="宋体" w:cs="宋体"/>
          <w:b/>
          <w:color w:val="auto"/>
          <w:sz w:val="21"/>
          <w:szCs w:val="21"/>
          <w:highlight w:val="none"/>
        </w:rPr>
        <w:t>（二）评标的方式</w:t>
      </w:r>
      <w:bookmarkEnd w:id="56"/>
      <w:bookmarkEnd w:id="57"/>
    </w:p>
    <w:p>
      <w:pPr>
        <w:pStyle w:val="22"/>
        <w:snapToGrid w:val="0"/>
        <w:spacing w:line="360" w:lineRule="auto"/>
        <w:ind w:left="757" w:leftChars="228" w:hanging="210" w:hangingChars="100"/>
        <w:rPr>
          <w:rFonts w:hAnsi="宋体" w:cs="宋体"/>
          <w:color w:val="auto"/>
          <w:highlight w:val="none"/>
        </w:rPr>
      </w:pPr>
      <w:r>
        <w:rPr>
          <w:rFonts w:hint="eastAsia" w:hAnsi="宋体" w:cs="宋体"/>
          <w:color w:val="auto"/>
          <w:highlight w:val="none"/>
        </w:rPr>
        <w:t>本项目采用不公开方式评标，评标的依据为采购文件和投标文件。</w:t>
      </w:r>
    </w:p>
    <w:p>
      <w:pPr>
        <w:wordWrap w:val="0"/>
        <w:spacing w:line="360" w:lineRule="auto"/>
        <w:ind w:firstLine="422" w:firstLineChars="200"/>
        <w:rPr>
          <w:rFonts w:ascii="宋体" w:hAnsi="宋体" w:cs="宋体"/>
          <w:b/>
          <w:color w:val="auto"/>
          <w:sz w:val="21"/>
          <w:szCs w:val="21"/>
          <w:highlight w:val="none"/>
        </w:rPr>
      </w:pPr>
      <w:bookmarkStart w:id="58" w:name="_Toc460857927"/>
      <w:bookmarkStart w:id="59" w:name="_Toc17884843"/>
      <w:r>
        <w:rPr>
          <w:rFonts w:hint="eastAsia" w:ascii="宋体" w:hAnsi="宋体" w:cs="宋体"/>
          <w:b/>
          <w:color w:val="auto"/>
          <w:sz w:val="21"/>
          <w:szCs w:val="21"/>
          <w:highlight w:val="none"/>
        </w:rPr>
        <w:t>（三）评标程序</w:t>
      </w:r>
      <w:bookmarkEnd w:id="58"/>
      <w:bookmarkEnd w:id="59"/>
    </w:p>
    <w:p>
      <w:pPr>
        <w:snapToGrid w:val="0"/>
        <w:spacing w:line="360" w:lineRule="auto"/>
        <w:ind w:firstLine="413" w:firstLineChars="196"/>
        <w:rPr>
          <w:rFonts w:ascii="宋体" w:hAnsi="宋体" w:cs="宋体"/>
          <w:b/>
          <w:bCs/>
          <w:color w:val="auto"/>
          <w:sz w:val="21"/>
          <w:szCs w:val="21"/>
          <w:highlight w:val="none"/>
        </w:rPr>
      </w:pPr>
      <w:r>
        <w:rPr>
          <w:rFonts w:hint="eastAsia" w:ascii="宋体" w:hAnsi="宋体" w:cs="宋体"/>
          <w:b/>
          <w:bCs/>
          <w:color w:val="auto"/>
          <w:sz w:val="21"/>
          <w:szCs w:val="21"/>
          <w:highlight w:val="none"/>
        </w:rPr>
        <w:t>1、资格审查</w:t>
      </w:r>
    </w:p>
    <w:p>
      <w:pPr>
        <w:snapToGrid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招标代理机构工作人员对投标人的资格进行审查。</w:t>
      </w:r>
    </w:p>
    <w:p>
      <w:pPr>
        <w:snapToGrid w:val="0"/>
        <w:spacing w:line="360" w:lineRule="auto"/>
        <w:ind w:firstLine="413" w:firstLineChars="196"/>
        <w:rPr>
          <w:rFonts w:ascii="宋体" w:hAnsi="宋体" w:cs="宋体"/>
          <w:b/>
          <w:bCs/>
          <w:color w:val="auto"/>
          <w:sz w:val="21"/>
          <w:szCs w:val="21"/>
          <w:highlight w:val="none"/>
        </w:rPr>
      </w:pPr>
      <w:r>
        <w:rPr>
          <w:rFonts w:hint="eastAsia" w:ascii="宋体" w:hAnsi="宋体" w:cs="宋体"/>
          <w:b/>
          <w:bCs/>
          <w:color w:val="auto"/>
          <w:sz w:val="21"/>
          <w:szCs w:val="21"/>
          <w:highlight w:val="none"/>
        </w:rPr>
        <w:t>2、符合性审查与比较</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（1）评标委员会审查投标文件的实质性内容是否符合采购文件的实质性要求。</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（2）评标委员会将根据投标人的投标文件进行审查、核对,如有疑问,将对投标人进行询标，投标人要向评标委员会澄清有关问题,并最终以书面形式进行答复。</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投标人代表未到场或者拒绝澄清或者澄清的内容改变了投标文件的实质性内容的，评标委员会有权对该投标文件作出不利于投标人的评判。</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（3）各投标人的技术商务报价得分为所有评委的有效评分的算术平均数，由指定专人进行计算复核。</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（4）采购代理机构工作人员协助评标委员会根据本项目的评分标准计算各投标人的报价得分。</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（5）评标委员会完成评标后,评委对各部分得分汇总,计算出本项目最终得分。评标委员会按评标原则推荐中标候选人同时起草评标报告。</w:t>
      </w:r>
    </w:p>
    <w:p>
      <w:pPr>
        <w:wordWrap w:val="0"/>
        <w:spacing w:line="360" w:lineRule="auto"/>
        <w:ind w:firstLine="422" w:firstLineChars="200"/>
        <w:rPr>
          <w:rFonts w:ascii="宋体" w:hAnsi="宋体" w:cs="宋体"/>
          <w:b/>
          <w:color w:val="auto"/>
          <w:sz w:val="21"/>
          <w:szCs w:val="21"/>
          <w:highlight w:val="none"/>
        </w:rPr>
      </w:pPr>
      <w:bookmarkStart w:id="60" w:name="_Toc460857928"/>
      <w:bookmarkStart w:id="61" w:name="_Toc17884844"/>
      <w:r>
        <w:rPr>
          <w:rFonts w:hint="eastAsia" w:ascii="宋体" w:hAnsi="宋体" w:cs="宋体"/>
          <w:b/>
          <w:color w:val="auto"/>
          <w:sz w:val="21"/>
          <w:szCs w:val="21"/>
          <w:highlight w:val="none"/>
        </w:rPr>
        <w:t>（四）澄清问题的形式</w:t>
      </w:r>
      <w:bookmarkEnd w:id="60"/>
      <w:bookmarkEnd w:id="61"/>
    </w:p>
    <w:p>
      <w:pPr>
        <w:widowControl/>
        <w:spacing w:line="360" w:lineRule="auto"/>
        <w:ind w:firstLine="420" w:firstLineChars="200"/>
        <w:outlineLvl w:val="1"/>
        <w:rPr>
          <w:rFonts w:ascii="宋体" w:hAnsi="宋体" w:cs="宋体"/>
          <w:color w:val="auto"/>
          <w:sz w:val="21"/>
          <w:szCs w:val="21"/>
          <w:highlight w:val="none"/>
        </w:rPr>
      </w:pPr>
      <w:bookmarkStart w:id="62" w:name="_Toc26303"/>
      <w:bookmarkStart w:id="63" w:name="_Toc1843"/>
      <w:bookmarkStart w:id="64" w:name="_Toc497898868"/>
      <w:bookmarkStart w:id="65" w:name="_Toc17884845"/>
      <w:bookmarkStart w:id="66" w:name="_Toc460857930"/>
      <w:r>
        <w:rPr>
          <w:rFonts w:hint="eastAsia" w:ascii="宋体" w:hAnsi="宋体" w:cs="宋体"/>
          <w:color w:val="auto"/>
          <w:sz w:val="21"/>
          <w:szCs w:val="21"/>
          <w:highlight w:val="none"/>
        </w:rPr>
        <w:t>对于投标文件中含义不明确、同类问题表述不一致或者有明显文字和计算错误的内容，评标委员会可要求投标人以书面形式作出必要的澄清、说明或者补正。</w:t>
      </w:r>
      <w:bookmarkEnd w:id="62"/>
      <w:bookmarkEnd w:id="63"/>
      <w:bookmarkEnd w:id="64"/>
    </w:p>
    <w:p>
      <w:pPr>
        <w:widowControl/>
        <w:spacing w:line="360" w:lineRule="auto"/>
        <w:ind w:firstLine="420" w:firstLineChars="200"/>
        <w:outlineLvl w:val="1"/>
        <w:rPr>
          <w:rFonts w:ascii="宋体" w:hAnsi="宋体" w:cs="宋体"/>
          <w:color w:val="auto"/>
          <w:sz w:val="21"/>
          <w:szCs w:val="21"/>
          <w:highlight w:val="none"/>
        </w:rPr>
      </w:pPr>
      <w:bookmarkStart w:id="67" w:name="_Toc497898869"/>
      <w:bookmarkStart w:id="68" w:name="_Toc12909"/>
      <w:bookmarkStart w:id="69" w:name="_Toc6678"/>
      <w:r>
        <w:rPr>
          <w:rFonts w:hint="eastAsia" w:ascii="宋体" w:hAnsi="宋体" w:cs="宋体"/>
          <w:color w:val="auto"/>
          <w:sz w:val="21"/>
          <w:szCs w:val="21"/>
          <w:highlight w:val="none"/>
        </w:rPr>
        <w:t>投标人的澄清、说明或者补正应当采用书面形式，并加盖公章，或者由法定代表人或其授权代表签字确认，投标人的澄清、说明或者补正不得超出投标文件的范围或者改变投标文件的实质性内容。</w:t>
      </w:r>
      <w:bookmarkEnd w:id="67"/>
      <w:bookmarkEnd w:id="68"/>
      <w:bookmarkEnd w:id="69"/>
    </w:p>
    <w:p>
      <w:pPr>
        <w:wordWrap w:val="0"/>
        <w:spacing w:line="360" w:lineRule="auto"/>
        <w:ind w:firstLine="422" w:firstLineChars="200"/>
        <w:rPr>
          <w:rFonts w:ascii="宋体" w:hAnsi="宋体" w:cs="宋体"/>
          <w:b/>
          <w:color w:val="auto"/>
          <w:sz w:val="21"/>
          <w:szCs w:val="21"/>
          <w:highlight w:val="none"/>
        </w:rPr>
      </w:pPr>
      <w:bookmarkStart w:id="70" w:name="_Toc497898870"/>
      <w:r>
        <w:rPr>
          <w:rFonts w:hint="eastAsia" w:ascii="宋体" w:hAnsi="宋体" w:cs="宋体"/>
          <w:b/>
          <w:color w:val="auto"/>
          <w:sz w:val="21"/>
          <w:szCs w:val="21"/>
          <w:highlight w:val="none"/>
        </w:rPr>
        <w:t>（五）错误修正</w:t>
      </w:r>
      <w:bookmarkEnd w:id="70"/>
    </w:p>
    <w:p>
      <w:pPr>
        <w:pStyle w:val="130"/>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投标文件报价出现前后不一致的，除采购文件另有规定外，按照下列规定修正：</w:t>
      </w:r>
    </w:p>
    <w:p>
      <w:pPr>
        <w:pStyle w:val="130"/>
        <w:widowControl/>
        <w:spacing w:line="360" w:lineRule="auto"/>
        <w:ind w:left="17" w:leftChars="7" w:firstLine="529" w:firstLineChars="252"/>
        <w:rPr>
          <w:rFonts w:hAnsi="宋体" w:cs="宋体"/>
          <w:color w:val="auto"/>
          <w:sz w:val="21"/>
          <w:szCs w:val="21"/>
          <w:highlight w:val="none"/>
        </w:rPr>
      </w:pPr>
      <w:r>
        <w:rPr>
          <w:rFonts w:hint="eastAsia" w:hAnsi="宋体" w:cs="宋体"/>
          <w:color w:val="auto"/>
          <w:sz w:val="21"/>
          <w:szCs w:val="21"/>
          <w:highlight w:val="none"/>
        </w:rPr>
        <w:t>（1）投标文件中开标一览表内容与投标文件中分项报价表内容不一致的，以开标一览表为准；</w:t>
      </w:r>
    </w:p>
    <w:p>
      <w:pPr>
        <w:pStyle w:val="130"/>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（2）大写金额和小写金额不一致的，以大写金额为准；</w:t>
      </w:r>
    </w:p>
    <w:p>
      <w:pPr>
        <w:pStyle w:val="130"/>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（3）单价金额小数点或者百分比有明显错位的，以开标一览表的总价为准，并修改单价；</w:t>
      </w:r>
    </w:p>
    <w:p>
      <w:pPr>
        <w:pStyle w:val="130"/>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（4）总价金额与按单价汇总金额不一致的，以单价金额计算结果为准；</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bCs/>
          <w:color w:val="auto"/>
          <w:sz w:val="21"/>
          <w:szCs w:val="21"/>
          <w:highlight w:val="none"/>
        </w:rPr>
        <w:t>同时出现两种以上不一致的，按照前款规定的顺序修正。修正后的报价经投标人确认后具有约束</w:t>
      </w:r>
      <w:r>
        <w:rPr>
          <w:rFonts w:hint="eastAsia" w:ascii="宋体" w:hAnsi="宋体" w:cs="宋体"/>
          <w:b/>
          <w:color w:val="auto"/>
          <w:sz w:val="21"/>
          <w:szCs w:val="21"/>
          <w:highlight w:val="none"/>
        </w:rPr>
        <w:t>力，若投标人不确认的，则其投标无效。</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（六）评标原则和评标办法</w:t>
      </w:r>
      <w:bookmarkEnd w:id="65"/>
      <w:bookmarkEnd w:id="66"/>
    </w:p>
    <w:p>
      <w:pPr>
        <w:pStyle w:val="22"/>
        <w:snapToGrid w:val="0"/>
        <w:spacing w:line="360" w:lineRule="auto"/>
        <w:ind w:firstLine="420" w:firstLineChars="200"/>
        <w:rPr>
          <w:rFonts w:hAnsi="宋体" w:cs="宋体"/>
          <w:color w:val="auto"/>
          <w:highlight w:val="none"/>
        </w:rPr>
      </w:pPr>
      <w:r>
        <w:rPr>
          <w:rFonts w:hint="eastAsia" w:hAnsi="宋体" w:cs="宋体"/>
          <w:color w:val="auto"/>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2"/>
        <w:snapToGrid w:val="0"/>
        <w:spacing w:line="360" w:lineRule="auto"/>
        <w:ind w:firstLine="422" w:firstLineChars="200"/>
        <w:rPr>
          <w:rFonts w:hAnsi="宋体" w:cs="宋体"/>
          <w:b/>
          <w:color w:val="auto"/>
          <w:highlight w:val="none"/>
        </w:rPr>
      </w:pPr>
      <w:r>
        <w:rPr>
          <w:rFonts w:hint="eastAsia" w:hAnsi="宋体" w:cs="宋体"/>
          <w:b/>
          <w:color w:val="auto"/>
          <w:highlight w:val="none"/>
        </w:rPr>
        <w:t>2、评标办法。本项目评标办法是</w:t>
      </w:r>
      <w:r>
        <w:rPr>
          <w:rFonts w:hint="eastAsia" w:hAnsi="宋体" w:cs="宋体"/>
          <w:b/>
          <w:color w:val="auto"/>
          <w:highlight w:val="none"/>
          <w:u w:val="single"/>
        </w:rPr>
        <w:t xml:space="preserve"> 综合评分法 </w:t>
      </w:r>
      <w:r>
        <w:rPr>
          <w:rFonts w:hint="eastAsia" w:hAnsi="宋体" w:cs="宋体"/>
          <w:b/>
          <w:color w:val="auto"/>
          <w:highlight w:val="none"/>
        </w:rPr>
        <w:t>，具体评标内容及评分标准等详见《第</w:t>
      </w:r>
      <w:r>
        <w:rPr>
          <w:rFonts w:hint="eastAsia" w:hAnsi="宋体" w:cs="宋体"/>
          <w:b/>
          <w:color w:val="auto"/>
          <w:highlight w:val="none"/>
          <w:lang w:val="en-US" w:eastAsia="zh-CN"/>
        </w:rPr>
        <w:t>四</w:t>
      </w:r>
      <w:r>
        <w:rPr>
          <w:rFonts w:hint="eastAsia" w:hAnsi="宋体" w:cs="宋体"/>
          <w:b/>
          <w:color w:val="auto"/>
          <w:highlight w:val="none"/>
        </w:rPr>
        <w:t>章 评标办法及评分标准》。</w:t>
      </w:r>
    </w:p>
    <w:p>
      <w:pPr>
        <w:spacing w:line="360" w:lineRule="auto"/>
        <w:ind w:firstLine="422" w:firstLineChars="200"/>
        <w:rPr>
          <w:rFonts w:ascii="宋体" w:hAnsi="宋体" w:cs="宋体"/>
          <w:b/>
          <w:color w:val="auto"/>
          <w:sz w:val="21"/>
          <w:szCs w:val="21"/>
          <w:highlight w:val="none"/>
        </w:rPr>
      </w:pPr>
      <w:bookmarkStart w:id="71" w:name="_Toc17884846"/>
      <w:bookmarkStart w:id="72" w:name="_Toc460857931"/>
      <w:r>
        <w:rPr>
          <w:rFonts w:hint="eastAsia" w:ascii="宋体" w:hAnsi="宋体" w:cs="宋体"/>
          <w:b/>
          <w:color w:val="auto"/>
          <w:sz w:val="21"/>
          <w:szCs w:val="21"/>
          <w:highlight w:val="none"/>
        </w:rPr>
        <w:t>十四、</w:t>
      </w:r>
      <w:bookmarkEnd w:id="71"/>
      <w:bookmarkEnd w:id="72"/>
      <w:r>
        <w:rPr>
          <w:rFonts w:hint="eastAsia" w:ascii="宋体" w:hAnsi="宋体" w:cs="宋体"/>
          <w:b/>
          <w:color w:val="auto"/>
          <w:sz w:val="21"/>
          <w:szCs w:val="21"/>
          <w:highlight w:val="none"/>
        </w:rPr>
        <w:t>项目终止</w:t>
      </w:r>
    </w:p>
    <w:p>
      <w:pPr>
        <w:snapToGrid w:val="0"/>
        <w:spacing w:line="360" w:lineRule="auto"/>
        <w:ind w:firstLine="420" w:firstLineChars="200"/>
        <w:rPr>
          <w:rFonts w:ascii="宋体" w:hAnsi="宋体" w:cs="宋体"/>
          <w:color w:val="auto"/>
          <w:sz w:val="21"/>
          <w:szCs w:val="21"/>
          <w:highlight w:val="none"/>
        </w:rPr>
      </w:pPr>
      <w:bookmarkStart w:id="73" w:name="_Toc460857932"/>
      <w:r>
        <w:rPr>
          <w:rFonts w:hint="eastAsia" w:ascii="宋体" w:hAnsi="宋体" w:cs="宋体"/>
          <w:color w:val="auto"/>
          <w:sz w:val="21"/>
          <w:szCs w:val="21"/>
          <w:highlight w:val="none"/>
        </w:rPr>
        <w:t>政府采购的国内公开招标，采购响应截止时间或评审期间，出现</w:t>
      </w:r>
      <w:r>
        <w:rPr>
          <w:rFonts w:hint="eastAsia" w:ascii="宋体" w:hAnsi="宋体" w:cs="宋体"/>
          <w:color w:val="auto"/>
          <w:sz w:val="21"/>
          <w:szCs w:val="21"/>
          <w:highlight w:val="none"/>
          <w:lang w:val="en-US" w:eastAsia="zh-CN"/>
        </w:rPr>
        <w:t>单个标项</w:t>
      </w:r>
      <w:r>
        <w:rPr>
          <w:rFonts w:hint="eastAsia" w:ascii="宋体" w:hAnsi="宋体" w:cs="宋体"/>
          <w:color w:val="auto"/>
          <w:sz w:val="21"/>
          <w:szCs w:val="21"/>
          <w:highlight w:val="none"/>
        </w:rPr>
        <w:t>参与采购响应或者对采购文件作出实质性响应的供应商不足3家的情况，该标项终止招标。</w:t>
      </w:r>
    </w:p>
    <w:p>
      <w:pPr>
        <w:spacing w:line="360" w:lineRule="auto"/>
        <w:ind w:firstLine="422" w:firstLineChars="200"/>
        <w:rPr>
          <w:rFonts w:ascii="宋体" w:hAnsi="宋体" w:cs="宋体"/>
          <w:b/>
          <w:color w:val="auto"/>
          <w:sz w:val="21"/>
          <w:szCs w:val="21"/>
          <w:highlight w:val="none"/>
        </w:rPr>
      </w:pPr>
      <w:bookmarkStart w:id="74" w:name="_Toc17884847"/>
      <w:r>
        <w:rPr>
          <w:rFonts w:hint="eastAsia" w:ascii="宋体" w:hAnsi="宋体" w:cs="宋体"/>
          <w:b/>
          <w:color w:val="auto"/>
          <w:sz w:val="21"/>
          <w:szCs w:val="21"/>
          <w:highlight w:val="none"/>
        </w:rPr>
        <w:t>十五、定标</w:t>
      </w:r>
      <w:bookmarkEnd w:id="73"/>
      <w:bookmarkEnd w:id="74"/>
    </w:p>
    <w:p>
      <w:pPr>
        <w:spacing w:line="360" w:lineRule="auto"/>
        <w:ind w:firstLine="422" w:firstLineChars="200"/>
        <w:rPr>
          <w:rFonts w:ascii="宋体" w:hAnsi="宋体" w:cs="宋体"/>
          <w:b/>
          <w:color w:val="auto"/>
          <w:sz w:val="21"/>
          <w:szCs w:val="21"/>
          <w:highlight w:val="none"/>
        </w:rPr>
      </w:pPr>
      <w:bookmarkStart w:id="75" w:name="_Toc460857933"/>
      <w:bookmarkStart w:id="76" w:name="_Toc17884848"/>
      <w:r>
        <w:rPr>
          <w:rFonts w:hint="eastAsia" w:ascii="宋体" w:hAnsi="宋体" w:cs="宋体"/>
          <w:b/>
          <w:color w:val="auto"/>
          <w:sz w:val="21"/>
          <w:szCs w:val="21"/>
          <w:highlight w:val="none"/>
        </w:rPr>
        <w:t>（一）确定中标人</w:t>
      </w:r>
      <w:bookmarkEnd w:id="75"/>
      <w:bookmarkEnd w:id="76"/>
    </w:p>
    <w:p>
      <w:pPr>
        <w:pStyle w:val="22"/>
        <w:spacing w:line="360" w:lineRule="auto"/>
        <w:ind w:firstLine="420" w:firstLineChars="200"/>
        <w:rPr>
          <w:rFonts w:hAnsi="宋体" w:cs="宋体"/>
          <w:color w:val="auto"/>
          <w:highlight w:val="none"/>
        </w:rPr>
      </w:pPr>
      <w:bookmarkStart w:id="77" w:name="_Toc460416359"/>
      <w:bookmarkStart w:id="78" w:name="_Toc460416664"/>
      <w:bookmarkStart w:id="79" w:name="_Toc460857934"/>
      <w:bookmarkStart w:id="80" w:name="_Toc17884849"/>
      <w:r>
        <w:rPr>
          <w:rFonts w:hint="eastAsia" w:hAnsi="宋体" w:cs="宋体"/>
          <w:color w:val="auto"/>
          <w:highlight w:val="none"/>
        </w:rPr>
        <w:t>1、确定中标人。本项目由评标委员会推荐中标候选人，采购人不得在评标委员会推荐的中标候选人以外确定中标人。</w:t>
      </w:r>
    </w:p>
    <w:p>
      <w:pPr>
        <w:pStyle w:val="22"/>
        <w:spacing w:line="360" w:lineRule="auto"/>
        <w:ind w:firstLine="420" w:firstLineChars="200"/>
        <w:rPr>
          <w:rFonts w:hAnsi="宋体" w:cs="宋体"/>
          <w:color w:val="auto"/>
          <w:highlight w:val="none"/>
        </w:rPr>
      </w:pPr>
      <w:r>
        <w:rPr>
          <w:rFonts w:hint="eastAsia" w:hAnsi="宋体" w:cs="宋体"/>
          <w:color w:val="auto"/>
          <w:highlight w:val="none"/>
        </w:rPr>
        <w:t>2、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pPr>
        <w:pStyle w:val="22"/>
        <w:spacing w:line="360" w:lineRule="auto"/>
        <w:ind w:firstLine="420" w:firstLineChars="200"/>
        <w:rPr>
          <w:rFonts w:hAnsi="宋体" w:cs="宋体"/>
          <w:color w:val="auto"/>
          <w:highlight w:val="none"/>
        </w:rPr>
      </w:pPr>
      <w:r>
        <w:rPr>
          <w:rFonts w:hint="eastAsia" w:hAnsi="宋体" w:cs="宋体"/>
          <w:color w:val="auto"/>
          <w:highlight w:val="none"/>
        </w:rPr>
        <w:t>3、采购代理机构自中标人确定之日起2个工作日内，在发布招标公告的网站上对中标结果进行公示，中标结果公告期限为1个工作日，发出结果公示的同时发出中标通知书。</w:t>
      </w:r>
    </w:p>
    <w:p>
      <w:pPr>
        <w:pStyle w:val="22"/>
        <w:spacing w:line="360" w:lineRule="auto"/>
        <w:ind w:firstLine="420" w:firstLineChars="200"/>
        <w:rPr>
          <w:rFonts w:hAnsi="宋体" w:cs="宋体"/>
          <w:color w:val="auto"/>
          <w:highlight w:val="none"/>
        </w:rPr>
      </w:pPr>
      <w:r>
        <w:rPr>
          <w:rFonts w:hint="eastAsia" w:hAnsi="宋体" w:cs="宋体"/>
          <w:color w:val="auto"/>
          <w:highlight w:val="none"/>
        </w:rPr>
        <w:t>4、凡发现中标人有下列行为之一的，将移交政府采购监督管理部门依法处理：</w:t>
      </w:r>
    </w:p>
    <w:p>
      <w:pPr>
        <w:numPr>
          <w:ilvl w:val="0"/>
          <w:numId w:val="8"/>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提供虚假材料谋取中标的；</w:t>
      </w:r>
    </w:p>
    <w:p>
      <w:pPr>
        <w:numPr>
          <w:ilvl w:val="0"/>
          <w:numId w:val="8"/>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采取不正当手段诋毁、排挤其他投标人的；</w:t>
      </w:r>
    </w:p>
    <w:p>
      <w:pPr>
        <w:numPr>
          <w:ilvl w:val="0"/>
          <w:numId w:val="8"/>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与采购人、其他投标人或者采购代理机构工作人员恶意串通的；</w:t>
      </w:r>
    </w:p>
    <w:p>
      <w:pPr>
        <w:numPr>
          <w:ilvl w:val="0"/>
          <w:numId w:val="8"/>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向采购人或采购代理机构人员行贿或者提供其他不正当利益的；</w:t>
      </w:r>
    </w:p>
    <w:p>
      <w:pPr>
        <w:numPr>
          <w:ilvl w:val="0"/>
          <w:numId w:val="8"/>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拒绝有关部门监督检查或者提供虚假情况的；</w:t>
      </w:r>
    </w:p>
    <w:p>
      <w:pPr>
        <w:numPr>
          <w:ilvl w:val="0"/>
          <w:numId w:val="8"/>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有法律、法规规定的其他损害采购人利益和社会公共利益情形的。</w:t>
      </w:r>
    </w:p>
    <w:p>
      <w:pPr>
        <w:widowControl/>
        <w:spacing w:line="360" w:lineRule="auto"/>
        <w:ind w:firstLine="422" w:firstLineChars="200"/>
        <w:outlineLvl w:val="1"/>
        <w:rPr>
          <w:rFonts w:ascii="宋体" w:hAnsi="宋体" w:cs="宋体"/>
          <w:b/>
          <w:color w:val="auto"/>
          <w:sz w:val="21"/>
          <w:szCs w:val="21"/>
          <w:highlight w:val="none"/>
        </w:rPr>
      </w:pPr>
      <w:bookmarkStart w:id="81" w:name="_Toc19049"/>
      <w:bookmarkStart w:id="82" w:name="_Toc497898872"/>
      <w:bookmarkStart w:id="83" w:name="_Toc30229"/>
      <w:r>
        <w:rPr>
          <w:rFonts w:hint="eastAsia" w:ascii="宋体" w:hAnsi="宋体" w:cs="宋体"/>
          <w:b/>
          <w:color w:val="auto"/>
          <w:sz w:val="21"/>
          <w:szCs w:val="21"/>
          <w:highlight w:val="none"/>
        </w:rPr>
        <w:t>十六、评标过程的监控</w:t>
      </w:r>
      <w:bookmarkEnd w:id="81"/>
      <w:bookmarkEnd w:id="82"/>
      <w:bookmarkEnd w:id="83"/>
    </w:p>
    <w:p>
      <w:pPr>
        <w:snapToGrid w:val="0"/>
        <w:spacing w:line="360" w:lineRule="auto"/>
        <w:ind w:firstLine="420" w:firstLineChars="200"/>
        <w:rPr>
          <w:rFonts w:ascii="宋体" w:hAnsi="宋体" w:cs="宋体"/>
          <w:bCs/>
          <w:color w:val="auto"/>
          <w:sz w:val="21"/>
          <w:szCs w:val="21"/>
          <w:highlight w:val="none"/>
        </w:rPr>
      </w:pPr>
      <w:bookmarkStart w:id="84" w:name="_Toc497898873"/>
      <w:r>
        <w:rPr>
          <w:rFonts w:hint="eastAsia" w:ascii="宋体" w:hAnsi="宋体" w:cs="宋体"/>
          <w:color w:val="auto"/>
          <w:sz w:val="21"/>
          <w:szCs w:val="21"/>
          <w:highlight w:val="none"/>
        </w:rPr>
        <w:t>本项目评标过程实行全程录音</w:t>
      </w:r>
      <w:r>
        <w:rPr>
          <w:rFonts w:hint="eastAsia" w:ascii="宋体" w:hAnsi="宋体" w:cs="宋体"/>
          <w:bCs/>
          <w:color w:val="auto"/>
          <w:sz w:val="21"/>
          <w:szCs w:val="21"/>
          <w:highlight w:val="none"/>
        </w:rPr>
        <w:t>、录像监控，投标人在评标过程中所进行的试图影响评标结果的不公正活动，可能导致其投标被拒绝。</w:t>
      </w:r>
      <w:bookmarkEnd w:id="84"/>
    </w:p>
    <w:bookmarkEnd w:id="77"/>
    <w:bookmarkEnd w:id="78"/>
    <w:bookmarkEnd w:id="79"/>
    <w:bookmarkEnd w:id="80"/>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十七、采购文件的澄清和修改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b/>
          <w:color w:val="auto"/>
          <w:sz w:val="21"/>
          <w:szCs w:val="21"/>
          <w:highlight w:val="none"/>
        </w:rPr>
        <w:t>采购人可以对已发出的采购文件进行必要的澄清或者修改，将以“更正公告”的形式发布在政采云平台，供应商应及时登录政采云平台，进行浏览并下载，未及时浏览下载的责任自负。</w:t>
      </w:r>
      <w:r>
        <w:rPr>
          <w:rFonts w:hint="eastAsia" w:ascii="宋体" w:hAnsi="宋体" w:cs="宋体"/>
          <w:color w:val="auto"/>
          <w:sz w:val="21"/>
          <w:szCs w:val="21"/>
          <w:highlight w:val="none"/>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采购文件的组成部分，对所有供应商具有约束力。</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十八、质疑与投诉</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供应商认为采购文件、采购过程、中标或者成交结果使自己的权益受到损害的，可以在知道或者应知其权益受到损害之日起7个工作日内，以书面形式向采购人、代理机构提出质疑。供应商应当在法定质疑期内一次性提出针对采购公告、采购文件、开标评标、采购结果等同一采购程序环节的质疑，第二次提出的质疑视为质疑无效，采购人、代理机构将不予受理（对于采购人、代理机构作出的澄清或者修改的内容提出质疑的除外）。</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供应商提出质疑应当提交质疑函和必要的证明材料，质疑函应当以书面形式提出，质疑函格式和内容须符合财政部《质疑函范本》、《投诉书范本》要求，供应商可到中国政府采购网自行下载财政部《质疑函范本》、《投诉书范本》。</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5、采购人、代理机构接收质疑函的方式：只接收供应商以当面递交、邮寄、传真或电子邮件方式提出的质疑函，以其他方式提出的质疑不予接收。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采取邮寄方式的，提出质疑的时间为质疑函原件交邮的时间（以邮戳时间或快递收件时间为准）。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采取传真、电子邮件方式的，供应商应当在传真、电子邮件发出后将质疑函原件邮寄给被质疑人，提出质疑的时间为质疑函原件交邮的时间（以邮戳时间或快递收件时间为准）。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6、采购人、代理机构以实际收到质疑函原件之日作为收到质疑函的日期，将在收到质疑函后7个工作日内作出答复。</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7、采购人、代理机构接收质疑函的联系人、联系电话和通讯地址等信息详见采购公告。</w:t>
      </w:r>
    </w:p>
    <w:p>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*十九、最高限价</w:t>
      </w:r>
    </w:p>
    <w:p>
      <w:pPr>
        <w:wordWrap w:val="0"/>
        <w:spacing w:line="360" w:lineRule="auto"/>
        <w:ind w:firstLine="420" w:firstLineChars="200"/>
        <w:rPr>
          <w:rFonts w:ascii="宋体" w:hAnsi="宋体" w:cs="宋体"/>
          <w:b w:val="0"/>
          <w:bCs/>
          <w:color w:val="auto"/>
          <w:sz w:val="21"/>
          <w:szCs w:val="21"/>
          <w:highlight w:val="none"/>
        </w:rPr>
      </w:pPr>
      <w:bookmarkStart w:id="85" w:name="_Hlk37142004"/>
      <w:r>
        <w:rPr>
          <w:rFonts w:hint="eastAsia" w:ascii="宋体" w:hAnsi="宋体" w:cs="宋体"/>
          <w:color w:val="auto"/>
          <w:sz w:val="21"/>
          <w:szCs w:val="21"/>
          <w:highlight w:val="none"/>
        </w:rPr>
        <w:t>1、</w:t>
      </w:r>
      <w:r>
        <w:rPr>
          <w:rFonts w:hint="eastAsia" w:ascii="宋体" w:hAnsi="宋体"/>
          <w:b w:val="0"/>
          <w:bCs/>
          <w:color w:val="auto"/>
          <w:sz w:val="21"/>
          <w:szCs w:val="21"/>
          <w:highlight w:val="none"/>
        </w:rPr>
        <w:t>投标所报综合单价不得超过第四部分技术需求中各“综合单价最高限价”，否则作无效处理</w:t>
      </w:r>
      <w:r>
        <w:rPr>
          <w:rFonts w:hint="eastAsia" w:ascii="宋体" w:hAnsi="宋体" w:cs="宋体"/>
          <w:b w:val="0"/>
          <w:bCs/>
          <w:color w:val="auto"/>
          <w:sz w:val="21"/>
          <w:szCs w:val="21"/>
          <w:highlight w:val="none"/>
        </w:rPr>
        <w:t>。</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二十、招标代理服务费</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1、向中标人收取招标服务费：本招标公司参照国家发改委发改办价格[2003]857号通知和国家计委计价格[2002]1980号文件规定的收费费率标准，每标项按照预算金额向中标人收取招标服务费。</w:t>
      </w:r>
    </w:p>
    <w:p>
      <w:pPr>
        <w:wordWrap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2、中标供应商应在代理机构发出中标通知书5个工作日内向本代理机构支付招标代理服务费。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3、招标代理服务费收取银行票汇款、电汇款。</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账户名称：宁波市国际招标有限公司</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开户银行：上海浦东发展银行宁波分行江北支行</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银行账号：94090154800000191</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4、邮箱：nbitc@126.com</w:t>
      </w:r>
    </w:p>
    <w:bookmarkEnd w:id="85"/>
    <w:p>
      <w:pPr>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二十一、合同授予</w:t>
      </w:r>
    </w:p>
    <w:p>
      <w:pPr>
        <w:spacing w:line="360" w:lineRule="auto"/>
        <w:ind w:firstLine="422" w:firstLineChars="200"/>
        <w:rPr>
          <w:rFonts w:ascii="宋体" w:hAnsi="宋体" w:cs="宋体"/>
          <w:b/>
          <w:color w:val="auto"/>
          <w:sz w:val="21"/>
          <w:szCs w:val="21"/>
          <w:highlight w:val="none"/>
        </w:rPr>
      </w:pPr>
      <w:bookmarkStart w:id="86" w:name="_Toc17884850"/>
      <w:bookmarkStart w:id="87" w:name="_Toc460857935"/>
      <w:r>
        <w:rPr>
          <w:rFonts w:hint="eastAsia" w:ascii="宋体" w:hAnsi="宋体" w:cs="宋体"/>
          <w:b/>
          <w:color w:val="auto"/>
          <w:sz w:val="21"/>
          <w:szCs w:val="21"/>
          <w:highlight w:val="none"/>
        </w:rPr>
        <w:t>（一）签订合同</w:t>
      </w:r>
      <w:bookmarkEnd w:id="86"/>
      <w:bookmarkEnd w:id="87"/>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1、采购人与中标人应当在中标通知书发出之日起</w:t>
      </w:r>
      <w:r>
        <w:rPr>
          <w:rFonts w:hint="eastAsia" w:ascii="宋体" w:hAnsi="宋体" w:cs="宋体"/>
          <w:b/>
          <w:color w:val="auto"/>
          <w:sz w:val="21"/>
          <w:szCs w:val="21"/>
          <w:highlight w:val="none"/>
          <w:u w:val="single"/>
        </w:rPr>
        <w:t>30</w:t>
      </w:r>
      <w:r>
        <w:rPr>
          <w:rFonts w:hint="eastAsia" w:ascii="宋体" w:hAnsi="宋体" w:cs="宋体"/>
          <w:color w:val="auto"/>
          <w:sz w:val="21"/>
          <w:szCs w:val="21"/>
          <w:highlight w:val="none"/>
        </w:rPr>
        <w:t>日内签订政府采购合同。</w:t>
      </w:r>
    </w:p>
    <w:p>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2、中标人拖延、拒签合同的,将取消中标资格。</w:t>
      </w:r>
    </w:p>
    <w:p>
      <w:pPr>
        <w:spacing w:line="360" w:lineRule="auto"/>
        <w:ind w:firstLine="422" w:firstLineChars="200"/>
        <w:rPr>
          <w:rFonts w:ascii="宋体" w:hAnsi="宋体" w:cs="宋体"/>
          <w:b/>
          <w:color w:val="auto"/>
          <w:sz w:val="21"/>
          <w:szCs w:val="21"/>
          <w:highlight w:val="none"/>
        </w:rPr>
      </w:pPr>
      <w:bookmarkStart w:id="88" w:name="_Toc17884851"/>
      <w:bookmarkStart w:id="89" w:name="_Toc460857936"/>
      <w:r>
        <w:rPr>
          <w:rFonts w:hint="eastAsia" w:ascii="宋体" w:hAnsi="宋体" w:cs="宋体"/>
          <w:b/>
          <w:color w:val="auto"/>
          <w:sz w:val="21"/>
          <w:szCs w:val="21"/>
          <w:highlight w:val="none"/>
        </w:rPr>
        <w:t>（二）履约保证金</w:t>
      </w:r>
      <w:bookmarkEnd w:id="88"/>
      <w:bookmarkEnd w:id="89"/>
      <w:r>
        <w:rPr>
          <w:rFonts w:hint="eastAsia" w:ascii="宋体" w:hAnsi="宋体" w:cs="宋体"/>
          <w:b/>
          <w:color w:val="auto"/>
          <w:sz w:val="21"/>
          <w:szCs w:val="21"/>
          <w:highlight w:val="none"/>
        </w:rPr>
        <w:t>（本项目不适用）</w:t>
      </w:r>
    </w:p>
    <w:p>
      <w:pPr>
        <w:pStyle w:val="22"/>
        <w:snapToGrid w:val="0"/>
        <w:spacing w:line="360" w:lineRule="auto"/>
        <w:ind w:firstLine="420" w:firstLineChars="200"/>
        <w:rPr>
          <w:rFonts w:hAnsi="宋体" w:cs="宋体"/>
          <w:color w:val="auto"/>
          <w:highlight w:val="none"/>
        </w:rPr>
      </w:pPr>
      <w:r>
        <w:rPr>
          <w:rFonts w:hint="eastAsia" w:hAnsi="宋体" w:cs="宋体"/>
          <w:color w:val="auto"/>
          <w:highlight w:val="none"/>
        </w:rPr>
        <w:t>中标供应商须按合同金额的1%以支票、银行转账或银行保函、保险保函等非现金方式向采购人交纳履约保证金；履约保证金在供应商履行完采购合同约定义务事项后15天内无息退还。</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二十二、特别说明</w:t>
      </w:r>
    </w:p>
    <w:p>
      <w:pPr>
        <w:wordWrap w:val="0"/>
        <w:spacing w:line="360" w:lineRule="auto"/>
        <w:ind w:firstLine="424" w:firstLineChars="202"/>
        <w:rPr>
          <w:rFonts w:ascii="宋体" w:hAnsi="宋体" w:cs="宋体"/>
          <w:color w:val="auto"/>
          <w:sz w:val="21"/>
          <w:szCs w:val="21"/>
          <w:highlight w:val="none"/>
        </w:rPr>
      </w:pPr>
      <w:bookmarkStart w:id="90" w:name="_Toc21541015"/>
      <w:bookmarkStart w:id="91" w:name="_Toc495244277"/>
      <w:r>
        <w:rPr>
          <w:rFonts w:hint="eastAsia" w:ascii="宋体" w:hAnsi="宋体" w:cs="宋体"/>
          <w:color w:val="auto"/>
          <w:sz w:val="21"/>
          <w:szCs w:val="21"/>
          <w:highlight w:val="none"/>
        </w:rPr>
        <w:t>1、执行财政部、工业和信息化部《政府采购促进中小企业发展管理办法》（财库〔2020〕46号）。政府采购活动中有关中小企业的相关规定如下：</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1.2在政府采购活动中，供应商提供的货物、工程或者服务符合下列情形的，享受《政府采购促进中小企业发展管理办法》规定的中小企业扶持政策：</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（1）、在货物采购项目中，货物由中小企业制造，即货物由中小企业生产且使用该中小企业商号或者注册商标；</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（2）、在工程采购项目中，工程由中小企业承建，即工程施工单位为中小企业；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（3）、在服务采购项目中，服务由中小企业承接，即提供服务的人员为中小企业依照《中华人民共和国劳动合同法》订立劳动合同的从业人员。</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在货物采购项目中，供应商提供的货物既有中小企业制造货物，也有大型企业制造货物的，不享受《政府采购促进中小企业发展管理办法》规定的中小企业扶持政策。</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以联合体形式参加政府采购活动，联合体各方均为中小企业的，联合体视同中小企业。其中，联合体各方均为小微企业的，联合体视同小微企业。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1.3中小企业参加政府采购活动，应当出具《政府采购促进中小企业发展管理办法》规定的《中小企业声明函》（格式见本采购文件附件），否则不得享受相关中小企业扶持政策。</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供应商提供声明函内容不实的，属于提供虚假材料谋取中标、成交，依照《中华人民共和国政府采购法》等国家有关规定追究相应责任。</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适用招标投标法的政府采购工程建设项目，投标人提供声明函内容不实的，属于弄虚作假骗取中标，依照《中华人民共和国招标投标法》等国家有关规定追究相应责任。</w:t>
      </w:r>
    </w:p>
    <w:p>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1.5《中小企业声明函》由参加投标的供应商提交，如供应商为代理商，须自行采集制造商的中小企业划分类型信息填入相应栏目并对其真实性负责。</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执行财政部、司法部《关于政府采购支持监狱企业发展有关问题的通知》。监狱企业（监狱和戒毒企业）提供自己企业的产品（服务）参加投标视同小型、微型企业，享受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90"/>
      <w:bookmarkEnd w:id="91"/>
    </w:p>
    <w:p>
      <w:pPr>
        <w:wordWrap w:val="0"/>
        <w:spacing w:line="360" w:lineRule="auto"/>
        <w:ind w:firstLine="420" w:firstLineChars="200"/>
        <w:rPr>
          <w:rFonts w:ascii="宋体" w:hAnsi="宋体" w:cs="宋体"/>
          <w:color w:val="auto"/>
          <w:sz w:val="21"/>
          <w:szCs w:val="21"/>
          <w:highlight w:val="none"/>
        </w:rPr>
      </w:pPr>
      <w:bookmarkStart w:id="92" w:name="_Toc21541016"/>
      <w:r>
        <w:rPr>
          <w:rFonts w:hint="eastAsia" w:ascii="宋体" w:hAnsi="宋体" w:cs="宋体"/>
          <w:color w:val="auto"/>
          <w:sz w:val="21"/>
          <w:szCs w:val="21"/>
          <w:highlight w:val="none"/>
        </w:rPr>
        <w:t>3、执行《三部门联合发布关于促进残疾人就业政府采购政策的通知》，在政府采购活动中，残疾人福利性单位视同小型、微型企业，残疾人福利性单位参加政府采购活动时，应当提供《残疾人福利性单位声明函》（格式见第六章</w:t>
      </w:r>
      <w:r>
        <w:rPr>
          <w:rFonts w:hint="eastAsia" w:ascii="宋体" w:hAnsi="宋体" w:cs="宋体"/>
          <w:color w:val="auto"/>
          <w:sz w:val="21"/>
          <w:szCs w:val="21"/>
          <w:highlight w:val="none"/>
          <w:lang w:val="en-US" w:eastAsia="zh-CN"/>
        </w:rPr>
        <w:t>投标文件格式</w:t>
      </w:r>
      <w:r>
        <w:rPr>
          <w:rFonts w:hint="eastAsia" w:ascii="宋体" w:hAnsi="宋体" w:cs="宋体"/>
          <w:color w:val="auto"/>
          <w:sz w:val="21"/>
          <w:szCs w:val="21"/>
          <w:highlight w:val="none"/>
        </w:rPr>
        <w:t>），并对声明的真实性负责，未能提供的不予认可。</w:t>
      </w:r>
      <w:bookmarkEnd w:id="92"/>
    </w:p>
    <w:p>
      <w:pPr>
        <w:wordWrap w:val="0"/>
        <w:spacing w:line="360" w:lineRule="auto"/>
        <w:ind w:firstLine="420" w:firstLineChars="200"/>
        <w:rPr>
          <w:rFonts w:ascii="宋体" w:hAnsi="宋体" w:cs="宋体"/>
          <w:color w:val="auto"/>
          <w:sz w:val="21"/>
          <w:szCs w:val="21"/>
          <w:highlight w:val="none"/>
        </w:rPr>
      </w:pPr>
      <w:bookmarkStart w:id="93" w:name="_Toc21541017"/>
      <w:bookmarkStart w:id="94" w:name="_Toc419729158"/>
      <w:r>
        <w:rPr>
          <w:rFonts w:hint="eastAsia" w:ascii="宋体" w:hAnsi="宋体" w:cs="宋体"/>
          <w:color w:val="auto"/>
          <w:sz w:val="21"/>
          <w:szCs w:val="21"/>
          <w:highlight w:val="none"/>
        </w:rPr>
        <w:t>4、本项目不组织潜在供应商现场考察或者召开开标前答疑。</w:t>
      </w:r>
      <w:bookmarkEnd w:id="93"/>
    </w:p>
    <w:p>
      <w:pPr>
        <w:wordWrap w:val="0"/>
        <w:spacing w:line="360" w:lineRule="auto"/>
        <w:ind w:firstLine="420" w:firstLineChars="200"/>
        <w:rPr>
          <w:rFonts w:ascii="宋体" w:hAnsi="宋体" w:cs="宋体"/>
          <w:color w:val="auto"/>
          <w:sz w:val="21"/>
          <w:szCs w:val="21"/>
          <w:highlight w:val="none"/>
        </w:rPr>
      </w:pPr>
      <w:bookmarkStart w:id="95" w:name="_Toc21541018"/>
      <w:r>
        <w:rPr>
          <w:rFonts w:hint="eastAsia" w:ascii="宋体" w:hAnsi="宋体" w:cs="宋体"/>
          <w:color w:val="auto"/>
          <w:sz w:val="21"/>
          <w:szCs w:val="21"/>
          <w:highlight w:val="none"/>
        </w:rPr>
        <w:t>5、本文件未及事项，在签订合同时供需及使用方友好商定。</w:t>
      </w:r>
      <w:bookmarkEnd w:id="94"/>
      <w:bookmarkEnd w:id="95"/>
    </w:p>
    <w:p>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w:t>
      </w:r>
      <w:r>
        <w:rPr>
          <w:rFonts w:hint="eastAsia" w:ascii="宋体" w:hAnsi="宋体" w:cs="宋体"/>
          <w:color w:val="auto"/>
          <w:sz w:val="21"/>
          <w:szCs w:val="21"/>
          <w:highlight w:val="none"/>
        </w:rPr>
        <w:t>6、不同投标人的投标文件出自同一终端设备或在相同Internet主机分配地址（相同IP地址）网上报名投标的作无效标处理。</w:t>
      </w:r>
    </w:p>
    <w:p>
      <w:pPr>
        <w:spacing w:line="360" w:lineRule="auto"/>
        <w:ind w:firstLine="420" w:firstLineChars="200"/>
        <w:rPr>
          <w:rFonts w:ascii="宋体"/>
          <w:b/>
          <w:color w:val="auto"/>
          <w:sz w:val="32"/>
          <w:szCs w:val="32"/>
          <w:highlight w:val="none"/>
        </w:rPr>
      </w:pPr>
      <w:bookmarkStart w:id="96" w:name="_Toc419729159"/>
      <w:r>
        <w:rPr>
          <w:rFonts w:hint="eastAsia" w:ascii="宋体" w:hAnsi="宋体" w:cs="宋体"/>
          <w:color w:val="auto"/>
          <w:sz w:val="21"/>
          <w:szCs w:val="21"/>
          <w:highlight w:val="none"/>
        </w:rPr>
        <w:t>7、本采购文件解释权归采购人。</w:t>
      </w:r>
      <w:bookmarkEnd w:id="96"/>
    </w:p>
    <w:bookmarkEnd w:id="11"/>
    <w:bookmarkEnd w:id="12"/>
    <w:bookmarkEnd w:id="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Pr>
        <w:rPr>
          <w:color w:val="auto"/>
          <w:highlight w:val="none"/>
        </w:rPr>
      </w:pPr>
      <w:bookmarkStart w:id="97" w:name="_Toc241827247"/>
      <w:bookmarkStart w:id="98" w:name="_Toc201632872"/>
      <w:r>
        <w:rPr>
          <w:rFonts w:hint="eastAsia"/>
          <w:color w:val="auto"/>
          <w:highlight w:val="none"/>
        </w:rPr>
        <w:br w:type="page"/>
      </w:r>
    </w:p>
    <w:p>
      <w:pPr>
        <w:pStyle w:val="3"/>
        <w:bidi w:val="0"/>
        <w:jc w:val="center"/>
        <w:rPr>
          <w:color w:val="auto"/>
          <w:highlight w:val="none"/>
        </w:rPr>
      </w:pPr>
      <w:bookmarkStart w:id="99" w:name="_Toc22516"/>
      <w:r>
        <w:rPr>
          <w:rFonts w:hint="eastAsia"/>
          <w:color w:val="auto"/>
          <w:sz w:val="32"/>
          <w:szCs w:val="32"/>
          <w:highlight w:val="none"/>
        </w:rPr>
        <w:t>第</w:t>
      </w:r>
      <w:r>
        <w:rPr>
          <w:rFonts w:hint="eastAsia"/>
          <w:color w:val="auto"/>
          <w:sz w:val="32"/>
          <w:szCs w:val="32"/>
          <w:highlight w:val="none"/>
          <w:lang w:val="en-US" w:eastAsia="zh-CN"/>
        </w:rPr>
        <w:t>四</w:t>
      </w:r>
      <w:r>
        <w:rPr>
          <w:rFonts w:hint="eastAsia"/>
          <w:color w:val="auto"/>
          <w:sz w:val="32"/>
          <w:szCs w:val="32"/>
          <w:highlight w:val="none"/>
        </w:rPr>
        <w:t>章  评分标准</w:t>
      </w:r>
      <w:bookmarkEnd w:id="99"/>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一、评标办法</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1.1本项目评标采用综合评分法。</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综合评分法：采用百分制，总分100分。供应商的综合得分为商务和技术得分与报价得分之和。按综合得分由高到低的排序，推荐中标候选人。若供应商的综合得分相等，则投标报价低者列前；若投标报价也相同时，采取随机抽签的方式确定排序。</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1.3本项目需要落实的政府采购政策：《关于促进残疾人就业政府采购政策的通知》（财库[2017]141号）、《政府采购促进中小企业发展管理办法》（财库〔2020〕46号）、《关于政府采购支持监狱企业发展有关问题的通知》（财库[2014]68号）、《关于环境标志产品政府采购实施的意见》（财库〔2006〕90号、《节能产品政府采购实施意见》的通知（财库〔2004〕185号）。</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1.4本次采购为专门面向中小企业，采购标的对应的中小企业划分标准所属行业为：</w:t>
      </w:r>
      <w:r>
        <w:rPr>
          <w:rFonts w:hint="eastAsia" w:ascii="宋体" w:hAnsi="宋体" w:eastAsia="宋体" w:cs="宋体"/>
          <w:b/>
          <w:bCs/>
          <w:color w:val="auto"/>
          <w:sz w:val="21"/>
          <w:szCs w:val="21"/>
          <w:highlight w:val="none"/>
          <w:u w:val="single"/>
          <w:lang w:val="en-US" w:eastAsia="zh-CN"/>
        </w:rPr>
        <w:t>标项一</w:t>
      </w:r>
      <w:r>
        <w:rPr>
          <w:rFonts w:hint="eastAsia" w:ascii="宋体" w:hAnsi="宋体" w:cs="宋体"/>
          <w:b/>
          <w:bCs/>
          <w:color w:val="auto"/>
          <w:sz w:val="21"/>
          <w:szCs w:val="21"/>
          <w:highlight w:val="none"/>
          <w:u w:val="single"/>
          <w:lang w:val="en-US" w:eastAsia="zh-CN"/>
        </w:rPr>
        <w:t>~五</w:t>
      </w:r>
      <w:r>
        <w:rPr>
          <w:rFonts w:hint="eastAsia" w:ascii="宋体" w:hAnsi="宋体" w:cs="宋体"/>
          <w:b/>
          <w:bCs/>
          <w:color w:val="auto"/>
          <w:sz w:val="21"/>
          <w:szCs w:val="21"/>
          <w:highlight w:val="none"/>
          <w:u w:val="single"/>
        </w:rPr>
        <w:t>其他未列明行业</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1.5评标委员会成员对需要共同认定的事项存在争议的，应当按照少数服从多数的原则作出结论。</w:t>
      </w:r>
    </w:p>
    <w:p>
      <w:pPr>
        <w:wordWrap w:val="0"/>
        <w:spacing w:line="360" w:lineRule="auto"/>
        <w:rPr>
          <w:rFonts w:ascii="宋体" w:hAnsi="宋体" w:cs="宋体"/>
          <w:b/>
          <w:bCs/>
          <w:color w:val="auto"/>
          <w:sz w:val="21"/>
          <w:szCs w:val="21"/>
          <w:highlight w:val="none"/>
        </w:rPr>
      </w:pPr>
      <w:r>
        <w:rPr>
          <w:rFonts w:hint="eastAsia" w:ascii="宋体" w:hAnsi="宋体" w:cs="宋体"/>
          <w:color w:val="auto"/>
          <w:sz w:val="21"/>
          <w:szCs w:val="21"/>
          <w:highlight w:val="none"/>
        </w:rPr>
        <w:t>二、</w:t>
      </w:r>
      <w:r>
        <w:rPr>
          <w:rFonts w:hint="eastAsia" w:ascii="宋体" w:hAnsi="宋体" w:cs="宋体"/>
          <w:b/>
          <w:bCs/>
          <w:color w:val="auto"/>
          <w:sz w:val="21"/>
          <w:szCs w:val="21"/>
          <w:highlight w:val="none"/>
        </w:rPr>
        <w:t>评标程序</w:t>
      </w:r>
    </w:p>
    <w:p>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2.1初步审查：包含资格性审查和符合性审查。资格性审查是指采购人或代理机构根据“附表1资格性审查表”的要求对投标文件逐一进行评审。符合性审查是指评标委员会根据“附表2符合性审查表”的要求对投标文件逐一进行评审。</w:t>
      </w:r>
      <w:r>
        <w:rPr>
          <w:rFonts w:hint="eastAsia" w:ascii="宋体" w:hAnsi="宋体" w:cs="宋体"/>
          <w:b/>
          <w:color w:val="auto"/>
          <w:sz w:val="21"/>
          <w:szCs w:val="21"/>
          <w:highlight w:val="none"/>
        </w:rPr>
        <w:t>资格性审查和符合性审查中，有任意一项审查结论不合格的，作无效标处理。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w:t>
      </w:r>
      <w:r>
        <w:rPr>
          <w:rFonts w:hint="eastAsia" w:ascii="宋体" w:hAnsi="宋体" w:cs="宋体"/>
          <w:color w:val="auto"/>
          <w:sz w:val="21"/>
          <w:szCs w:val="21"/>
          <w:highlight w:val="none"/>
          <w:lang w:val="zh-CN"/>
        </w:rPr>
        <w:t>比较与评价：</w:t>
      </w:r>
      <w:r>
        <w:rPr>
          <w:rFonts w:hint="eastAsia" w:ascii="宋体" w:hAnsi="宋体" w:cs="宋体"/>
          <w:color w:val="auto"/>
          <w:sz w:val="21"/>
          <w:szCs w:val="21"/>
          <w:highlight w:val="none"/>
        </w:rPr>
        <w:t>评标委员会根据“附表3商务和技术评分表”的要求，</w:t>
      </w:r>
      <w:r>
        <w:rPr>
          <w:rFonts w:hint="eastAsia" w:ascii="宋体" w:hAnsi="宋体" w:cs="宋体"/>
          <w:color w:val="auto"/>
          <w:sz w:val="21"/>
          <w:szCs w:val="21"/>
          <w:highlight w:val="none"/>
          <w:lang w:val="zh-CN"/>
        </w:rPr>
        <w:t>对照投标文件的应答进行比较，判定其偏差性质和程度，</w:t>
      </w:r>
      <w:r>
        <w:rPr>
          <w:rFonts w:hint="eastAsia" w:ascii="宋体" w:hAnsi="宋体" w:cs="宋体"/>
          <w:color w:val="auto"/>
          <w:sz w:val="21"/>
          <w:szCs w:val="21"/>
          <w:highlight w:val="none"/>
        </w:rPr>
        <w:t>由评标委员会成员在分值范围内自行评分。供应商商务和技术得分为各评标委员会成员有效评分的算术平均值（小数点后保留二位数）。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2.3在评标过程中，发现的价格计算错误按下述原则修正：</w:t>
      </w:r>
    </w:p>
    <w:p>
      <w:pPr>
        <w:pStyle w:val="130"/>
        <w:widowControl/>
        <w:spacing w:line="360" w:lineRule="auto"/>
        <w:ind w:left="17" w:leftChars="7" w:firstLine="529" w:firstLineChars="252"/>
        <w:rPr>
          <w:rFonts w:hAnsi="宋体" w:cs="宋体"/>
          <w:color w:val="auto"/>
          <w:sz w:val="21"/>
          <w:szCs w:val="21"/>
          <w:highlight w:val="none"/>
        </w:rPr>
      </w:pPr>
      <w:r>
        <w:rPr>
          <w:rFonts w:hint="eastAsia" w:hAnsi="宋体" w:cs="宋体"/>
          <w:color w:val="auto"/>
          <w:sz w:val="21"/>
          <w:szCs w:val="21"/>
          <w:highlight w:val="none"/>
        </w:rPr>
        <w:t>（1）投标文件中开标一览表内容与投标文件中分项报价表内容不一致的，以开标一览表为准；</w:t>
      </w:r>
    </w:p>
    <w:p>
      <w:pPr>
        <w:pStyle w:val="130"/>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（2）大写金额和小写金额不一致的，以大写金额为准；</w:t>
      </w:r>
    </w:p>
    <w:p>
      <w:pPr>
        <w:pStyle w:val="130"/>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（3）单价金额小数点或者百分比有明显错位的，以开标一览表的总价为准，并修改单价；</w:t>
      </w:r>
    </w:p>
    <w:p>
      <w:pPr>
        <w:pStyle w:val="130"/>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（4）总价金额与按单价汇总金额不一致的，以单价金额计算结果为准；</w:t>
      </w:r>
    </w:p>
    <w:p>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bCs/>
          <w:color w:val="auto"/>
          <w:sz w:val="21"/>
          <w:szCs w:val="21"/>
          <w:highlight w:val="none"/>
        </w:rPr>
        <w:t>同时出现两种以上不一致的，按照前款规定的顺序修正。修正后的报价经投标人确认后具有约束</w:t>
      </w:r>
      <w:r>
        <w:rPr>
          <w:rFonts w:hint="eastAsia" w:ascii="宋体" w:hAnsi="宋体" w:cs="宋体"/>
          <w:b/>
          <w:color w:val="auto"/>
          <w:sz w:val="21"/>
          <w:szCs w:val="21"/>
          <w:highlight w:val="none"/>
        </w:rPr>
        <w:t>力，若投标人不确认的，则其投标无效</w:t>
      </w:r>
      <w:r>
        <w:rPr>
          <w:rFonts w:hint="eastAsia" w:ascii="宋体" w:hAnsi="宋体" w:cs="宋体"/>
          <w:color w:val="auto"/>
          <w:sz w:val="21"/>
          <w:szCs w:val="21"/>
          <w:highlight w:val="none"/>
        </w:rPr>
        <w:t>。</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2.2.3提供相同品牌产品且通过资格性审查、符合性审查的不同供应商参加同一标项投标的，按一家供应商计算，评审后综合得分最高的同品牌供应商获得中标候选人推荐资格；综合得分相同的，由评标委员会采取随机抽取方式确定，其他同品牌供应商不作为中标候选人。</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非单一产品采购项目，多家供应商提供的核心产品品牌相同的，按上述规定处理。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2.2.4评标委员会根据“附表4价格评分表”的规定，计算供应商报价得分（小数点后保留二位数）。</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2.2.5综合评估：供应商的综合得分为商务和技术得分与报价得分之和。</w:t>
      </w:r>
    </w:p>
    <w:p>
      <w:pPr>
        <w:wordWrap w:val="0"/>
        <w:spacing w:line="360" w:lineRule="auto"/>
        <w:ind w:firstLine="422" w:firstLineChars="200"/>
        <w:rPr>
          <w:rFonts w:hAnsi="宋体" w:cs="宋体"/>
          <w:b/>
          <w:color w:val="auto"/>
          <w:sz w:val="21"/>
          <w:szCs w:val="21"/>
          <w:highlight w:val="none"/>
        </w:rPr>
      </w:pPr>
      <w:r>
        <w:rPr>
          <w:rFonts w:hint="eastAsia" w:ascii="宋体" w:hAnsi="宋体" w:cs="宋体"/>
          <w:b/>
          <w:color w:val="auto"/>
          <w:sz w:val="21"/>
          <w:szCs w:val="21"/>
          <w:highlight w:val="none"/>
        </w:rPr>
        <w:t>2.2.5中标原则：</w:t>
      </w:r>
      <w:r>
        <w:rPr>
          <w:rFonts w:hint="eastAsia" w:ascii="宋体" w:hAnsi="宋体" w:cs="宋体"/>
          <w:b/>
          <w:color w:val="auto"/>
          <w:sz w:val="21"/>
          <w:szCs w:val="21"/>
          <w:highlight w:val="none"/>
          <w:lang w:val="en-US" w:eastAsia="zh-CN"/>
        </w:rPr>
        <w:t>根据标项顺序，先</w:t>
      </w:r>
      <w:r>
        <w:rPr>
          <w:rFonts w:hint="eastAsia" w:hAnsi="宋体" w:cs="宋体"/>
          <w:b/>
          <w:color w:val="auto"/>
          <w:sz w:val="21"/>
          <w:szCs w:val="21"/>
          <w:highlight w:val="none"/>
        </w:rPr>
        <w:t>中标单位</w:t>
      </w:r>
      <w:r>
        <w:rPr>
          <w:rFonts w:hint="eastAsia" w:hAnsi="宋体" w:cs="宋体"/>
          <w:b/>
          <w:color w:val="auto"/>
          <w:sz w:val="21"/>
          <w:szCs w:val="21"/>
          <w:highlight w:val="none"/>
          <w:lang w:val="en-US" w:eastAsia="zh-CN"/>
        </w:rPr>
        <w:t>不再作为有效投标人</w:t>
      </w:r>
      <w:r>
        <w:rPr>
          <w:rFonts w:hint="eastAsia" w:hAnsi="宋体" w:cs="宋体"/>
          <w:b/>
          <w:color w:val="auto"/>
          <w:sz w:val="21"/>
          <w:szCs w:val="21"/>
          <w:highlight w:val="none"/>
        </w:rPr>
        <w:t>参与剩余所投标项。</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2.2.6推荐中标候选人：每标项根据供应商综合得分由高到低进行排序结合中标原则，推荐中标候选人。若供应商的综合得分相等，则投标报价低者列前。若投标报价也相同时，则采取随机抽签的方式确定排序。</w:t>
      </w:r>
    </w:p>
    <w:p>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2.3确定中标供应商</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评标委员会按综合得分由高到低的排序，每标项向采购人推荐中标候选人。代理机构应当自评审结束之日起2个工作日内将评审报告送交采购人。采购人应当自收到评审报告之日起5个工作日内在评审报告推荐的中标候选人中每标项按顺序确定1名中标供应商。中标供应商因不可抗力或者自身原因不能履行政府采购合同的，采购人可以按照</w:t>
      </w:r>
      <w:r>
        <w:rPr>
          <w:rFonts w:hint="eastAsia" w:ascii="宋体" w:hAnsi="宋体" w:cs="宋体"/>
          <w:bCs/>
          <w:color w:val="auto"/>
          <w:sz w:val="21"/>
          <w:szCs w:val="21"/>
          <w:highlight w:val="none"/>
        </w:rPr>
        <w:t>评审结果排名先后替补，确定</w:t>
      </w:r>
      <w:r>
        <w:rPr>
          <w:rFonts w:hint="eastAsia" w:ascii="宋体" w:hAnsi="宋体" w:cs="宋体"/>
          <w:color w:val="auto"/>
          <w:sz w:val="21"/>
          <w:szCs w:val="21"/>
          <w:highlight w:val="none"/>
        </w:rPr>
        <w:t>下一个供应商为中标供应商或重新招标。</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三、投标的澄清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3.2政采云具体操作如下：</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在评审过程中，如评标委员会对投标文件有疑问，由评标委员会组长将问题汇总后发函，或由采购代理机构代替发起。供应商在截止时间前，予以回复。此回复将作为投标文件内容的一部分，具有相应的法律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路径：用户中心—项目采购—询标澄清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（1）政采云平台通过待办事项和短信提醒供应商在截止时间前完成澄清。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（2）供应商在“询标澄清-待办理”标签页下选择状态为“待澄清”的项目，点击操作栏【澄清】。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（3）查看函内容，在澄清截止时间前上传澄清文件并对澄清文件进行签章。（注：澄清文件必须以PDF格式上传，文件大小：50M）</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（4）签章完成，文件名称处显示“已签章”，供应商可“撤回签章”修改澄清函和“查看文件”。</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（6）完成状态：供应商澄清文件提交成功后，在“询标澄清-全部”标签页下显示状态为“已澄清”。</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3.3开标现场，供应商安排法定代表人或授权代表到场的，则由评标委员会组长将问题汇总后向供应商发出书面“采购响应文件问题澄清通知”，供应商应对需要澄清的问题作书面回答，该书面澄清应当由供应商的法定代表人或授权代表签字或者加盖供应商公章。书面澄清将作为投标文件内容的一部分，具有相应的法律效力。</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3.4供应商未在截止时间前完成澄清，将被视作自动放弃。</w:t>
      </w:r>
    </w:p>
    <w:p>
      <w:pPr>
        <w:wordWrap w:val="0"/>
        <w:spacing w:line="360" w:lineRule="auto"/>
        <w:rPr>
          <w:rFonts w:ascii="宋体" w:hAnsi="宋体" w:cs="宋体"/>
          <w:color w:val="auto"/>
          <w:sz w:val="21"/>
          <w:szCs w:val="21"/>
          <w:highlight w:val="none"/>
        </w:rPr>
      </w:pPr>
      <w:r>
        <w:rPr>
          <w:rFonts w:hint="eastAsia" w:ascii="宋体" w:hAnsi="宋体" w:cs="宋体"/>
          <w:b/>
          <w:color w:val="auto"/>
          <w:sz w:val="21"/>
          <w:szCs w:val="21"/>
          <w:highlight w:val="none"/>
        </w:rPr>
        <w:t>四、特别声明：价格是评标的重要因素之一，但最低价不是中标的唯一依据。</w:t>
      </w:r>
    </w:p>
    <w:p>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五、重新招标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有下列情形之一的，采购人将重新招标：</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5.1投标截止时间止，每标项供应商少于3个的；</w:t>
      </w:r>
    </w:p>
    <w:p>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5.2评标委员会评标过程中，每标项有效供应商少于3个的；</w:t>
      </w:r>
    </w:p>
    <w:p>
      <w:pPr>
        <w:widowControl/>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5.3评标委员会发现采购文件存在歧义、重大缺陷导致评标工作无法进行，或者采购文件内容违反国家有关强制性规定的，应当停止评标工作，与采购人或者代理机构沟通并作书面记录。采购人或者代理机构确认后，应当修改采购文件，重新组织招标活动。</w:t>
      </w:r>
    </w:p>
    <w:p>
      <w:pPr>
        <w:spacing w:line="360" w:lineRule="auto"/>
        <w:ind w:firstLine="420" w:firstLineChars="200"/>
        <w:rPr>
          <w:color w:val="auto"/>
          <w:sz w:val="21"/>
          <w:szCs w:val="21"/>
          <w:highlight w:val="none"/>
        </w:rPr>
      </w:pPr>
    </w:p>
    <w:p>
      <w:pPr>
        <w:spacing w:line="400" w:lineRule="exact"/>
        <w:rPr>
          <w:rFonts w:ascii="宋体" w:hAnsi="宋体"/>
          <w:color w:val="auto"/>
          <w:sz w:val="21"/>
          <w:szCs w:val="21"/>
          <w:highlight w:val="none"/>
        </w:rPr>
      </w:pPr>
      <w:r>
        <w:rPr>
          <w:color w:val="auto"/>
          <w:sz w:val="21"/>
          <w:szCs w:val="21"/>
          <w:highlight w:val="none"/>
        </w:rPr>
        <w:br w:type="page"/>
      </w:r>
      <w:r>
        <w:rPr>
          <w:rFonts w:hint="eastAsia" w:ascii="宋体" w:hAnsi="宋体"/>
          <w:color w:val="auto"/>
          <w:sz w:val="21"/>
          <w:szCs w:val="21"/>
          <w:highlight w:val="none"/>
        </w:rPr>
        <w:t>附表</w:t>
      </w:r>
      <w:r>
        <w:rPr>
          <w:rFonts w:ascii="宋体" w:hAnsi="宋体"/>
          <w:color w:val="auto"/>
          <w:sz w:val="21"/>
          <w:szCs w:val="21"/>
          <w:highlight w:val="none"/>
        </w:rPr>
        <w:t>1</w:t>
      </w:r>
      <w:r>
        <w:rPr>
          <w:rFonts w:hint="eastAsia" w:ascii="宋体" w:hAnsi="宋体"/>
          <w:color w:val="auto"/>
          <w:sz w:val="21"/>
          <w:szCs w:val="21"/>
          <w:highlight w:val="none"/>
        </w:rPr>
        <w:t xml:space="preserve">：                           </w:t>
      </w:r>
    </w:p>
    <w:p>
      <w:pPr>
        <w:spacing w:line="340" w:lineRule="exact"/>
        <w:jc w:val="center"/>
        <w:rPr>
          <w:rFonts w:ascii="宋体" w:hAnsi="宋体"/>
          <w:color w:val="auto"/>
          <w:sz w:val="21"/>
          <w:szCs w:val="21"/>
          <w:highlight w:val="none"/>
        </w:rPr>
      </w:pPr>
      <w:r>
        <w:rPr>
          <w:rFonts w:hint="eastAsia" w:ascii="宋体" w:hAnsi="宋体"/>
          <w:b/>
          <w:color w:val="auto"/>
          <w:sz w:val="21"/>
          <w:szCs w:val="21"/>
          <w:highlight w:val="none"/>
        </w:rPr>
        <w:t>资格性审查表</w:t>
      </w:r>
    </w:p>
    <w:tbl>
      <w:tblPr>
        <w:tblStyle w:val="40"/>
        <w:tblW w:w="1008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41"/>
        <w:gridCol w:w="532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4041" w:type="dxa"/>
            <w:vAlign w:val="center"/>
          </w:tcPr>
          <w:p>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要求说明</w:t>
            </w:r>
          </w:p>
        </w:tc>
        <w:tc>
          <w:tcPr>
            <w:tcW w:w="5327" w:type="dxa"/>
            <w:vAlign w:val="center"/>
          </w:tcPr>
          <w:p>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审查要求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4041"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满足《中华人民共和国政府采购法》第二十二条规定；</w:t>
            </w:r>
          </w:p>
        </w:tc>
        <w:tc>
          <w:tcPr>
            <w:tcW w:w="5327"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1、关于资格的承诺函（附件一）；</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2、营业执照副本（或事业法人登记证副本或其他登记证明材料）扫描件加盖投标人公章（投标人如果有名称变更的，应提供由行政主管部门出具的变更证明文件扫描件加盖投标人公章）；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041"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本项目为专门面向中小企业采购的项目，监狱企业、残疾人福利性单位视同小微企业</w:t>
            </w:r>
          </w:p>
        </w:tc>
        <w:tc>
          <w:tcPr>
            <w:tcW w:w="5327"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1、中小企业声明函；</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2、残疾人福利性单位声明函（如有需提供）；</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041"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未被“信用中国”（www.creditchina.gov.cn)中国政府采购网（www.ccgp.gov.cn）列入失信被执行人、重大税收违法案件当事人名单（重大税收违法失信主体）、政府采购严重违法失信行为记录名单。</w:t>
            </w:r>
          </w:p>
        </w:tc>
        <w:tc>
          <w:tcPr>
            <w:tcW w:w="5327"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未被“信用中国”（www.creditchina.gov.cn)、中国政府采购网（www.ccgp.gov.cn）列入失信被执行人、重大税收违法案件当事人名单（重大税收违法失信主体）、政府采购严重违法失信行为记录名单。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wordWrap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041"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是否允许联合体投标</w:t>
            </w:r>
          </w:p>
        </w:tc>
        <w:tc>
          <w:tcPr>
            <w:tcW w:w="5327"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本项目不允许联合体。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gridSpan w:val="2"/>
            <w:vAlign w:val="center"/>
          </w:tcPr>
          <w:p>
            <w:pPr>
              <w:wordWrap w:val="0"/>
              <w:spacing w:line="360" w:lineRule="auto"/>
              <w:jc w:val="center"/>
              <w:rPr>
                <w:rFonts w:ascii="宋体" w:hAnsi="宋体" w:cs="宋体"/>
                <w:color w:val="auto"/>
                <w:sz w:val="21"/>
                <w:szCs w:val="21"/>
                <w:highlight w:val="none"/>
              </w:rPr>
            </w:pPr>
            <w:r>
              <w:rPr>
                <w:rFonts w:hint="eastAsia" w:ascii="宋体" w:hAnsi="宋体" w:cs="宋体"/>
                <w:b/>
                <w:color w:val="auto"/>
                <w:sz w:val="21"/>
                <w:szCs w:val="21"/>
                <w:highlight w:val="none"/>
              </w:rPr>
              <w:t>资格性审查结论</w:t>
            </w:r>
          </w:p>
        </w:tc>
        <w:tc>
          <w:tcPr>
            <w:tcW w:w="5327" w:type="dxa"/>
            <w:vAlign w:val="center"/>
          </w:tcPr>
          <w:p>
            <w:pPr>
              <w:wordWrap w:val="0"/>
              <w:spacing w:line="360" w:lineRule="auto"/>
              <w:jc w:val="center"/>
              <w:rPr>
                <w:rFonts w:ascii="宋体" w:hAnsi="宋体" w:cs="宋体"/>
                <w:color w:val="auto"/>
                <w:sz w:val="21"/>
                <w:szCs w:val="21"/>
                <w:highlight w:val="none"/>
              </w:rPr>
            </w:pPr>
          </w:p>
        </w:tc>
      </w:tr>
    </w:tbl>
    <w:p>
      <w:pPr>
        <w:spacing w:line="340" w:lineRule="exact"/>
        <w:rPr>
          <w:rFonts w:ascii="宋体" w:hAnsi="宋体"/>
          <w:color w:val="auto"/>
          <w:sz w:val="21"/>
          <w:szCs w:val="21"/>
          <w:highlight w:val="none"/>
        </w:rPr>
      </w:pPr>
      <w:r>
        <w:rPr>
          <w:rFonts w:hint="eastAsia" w:ascii="宋体" w:hAnsi="宋体"/>
          <w:color w:val="auto"/>
          <w:sz w:val="21"/>
          <w:szCs w:val="21"/>
          <w:highlight w:val="none"/>
        </w:rPr>
        <w:t>注：</w:t>
      </w:r>
      <w:r>
        <w:rPr>
          <w:rFonts w:ascii="宋体" w:hAnsi="宋体"/>
          <w:color w:val="auto"/>
          <w:sz w:val="21"/>
          <w:szCs w:val="21"/>
          <w:highlight w:val="none"/>
        </w:rPr>
        <w:t>1</w:t>
      </w:r>
      <w:r>
        <w:rPr>
          <w:rFonts w:hint="eastAsia" w:ascii="宋体" w:hAnsi="宋体"/>
          <w:color w:val="auto"/>
          <w:sz w:val="21"/>
          <w:szCs w:val="21"/>
          <w:highlight w:val="none"/>
        </w:rPr>
        <w:t>、上述资格证明文件未按招标文件要求附入投标文件中的，资格性审查不合格。</w:t>
      </w:r>
    </w:p>
    <w:p>
      <w:pPr>
        <w:spacing w:line="340" w:lineRule="exact"/>
        <w:ind w:firstLine="514" w:firstLineChars="245"/>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、上述审查项目中，任意一项不符合的，资格性审查不合格。</w:t>
      </w:r>
    </w:p>
    <w:p>
      <w:pPr>
        <w:spacing w:line="340" w:lineRule="exact"/>
        <w:ind w:firstLine="514" w:firstLineChars="245"/>
        <w:rPr>
          <w:rFonts w:ascii="宋体" w:hAnsi="宋体"/>
          <w:color w:val="auto"/>
          <w:sz w:val="21"/>
          <w:szCs w:val="21"/>
          <w:highlight w:val="none"/>
        </w:rPr>
      </w:pPr>
      <w:r>
        <w:rPr>
          <w:rFonts w:hint="eastAsia" w:ascii="宋体" w:hAnsi="宋体"/>
          <w:color w:val="auto"/>
          <w:sz w:val="21"/>
          <w:szCs w:val="21"/>
          <w:highlight w:val="none"/>
        </w:rPr>
        <w:t>3、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重大税收违法失信主体）、政府采购严重违法失信行为记录名单，其资格审查为不合格，其投标将被认定为无效投标。</w:t>
      </w:r>
    </w:p>
    <w:p>
      <w:pPr>
        <w:spacing w:line="340" w:lineRule="exact"/>
        <w:ind w:firstLine="514" w:firstLineChars="245"/>
        <w:rPr>
          <w:rFonts w:ascii="宋体" w:hAnsi="宋体"/>
          <w:color w:val="auto"/>
          <w:sz w:val="21"/>
          <w:szCs w:val="21"/>
          <w:highlight w:val="none"/>
        </w:rPr>
      </w:pPr>
      <w:r>
        <w:rPr>
          <w:rFonts w:hint="eastAsia" w:ascii="宋体" w:hAnsi="宋体"/>
          <w:color w:val="auto"/>
          <w:sz w:val="21"/>
          <w:szCs w:val="21"/>
          <w:highlight w:val="none"/>
        </w:rPr>
        <w:t>若在开标当天因不可抗力事件导致无法查询且一时无法恢复查询的，可在中标公示期间对中标候选人进行事后查询。中标候选人被列入失信被执行人、重大税收违法案件当事人名单（重大税收违法失信主体）、政府采购严重违法失信行为记录名单的，采购人将依法取消其中标资格。</w:t>
      </w:r>
    </w:p>
    <w:p>
      <w:pPr>
        <w:spacing w:line="400" w:lineRule="exact"/>
        <w:rPr>
          <w:rFonts w:ascii="宋体" w:hAnsi="宋体"/>
          <w:color w:val="auto"/>
          <w:sz w:val="21"/>
          <w:szCs w:val="21"/>
          <w:highlight w:val="none"/>
        </w:rPr>
      </w:pPr>
      <w:r>
        <w:rPr>
          <w:rFonts w:ascii="宋体" w:hAnsi="宋体"/>
          <w:color w:val="auto"/>
          <w:sz w:val="21"/>
          <w:szCs w:val="21"/>
          <w:highlight w:val="none"/>
        </w:rPr>
        <w:br w:type="page"/>
      </w:r>
      <w:r>
        <w:rPr>
          <w:rFonts w:hint="eastAsia" w:ascii="宋体" w:hAnsi="宋体"/>
          <w:color w:val="auto"/>
          <w:sz w:val="21"/>
          <w:szCs w:val="21"/>
          <w:highlight w:val="none"/>
        </w:rPr>
        <w:t>附表</w:t>
      </w:r>
      <w:r>
        <w:rPr>
          <w:rFonts w:ascii="宋体" w:hAnsi="宋体"/>
          <w:color w:val="auto"/>
          <w:sz w:val="21"/>
          <w:szCs w:val="21"/>
          <w:highlight w:val="none"/>
        </w:rPr>
        <w:t>2</w:t>
      </w:r>
      <w:r>
        <w:rPr>
          <w:rFonts w:hint="eastAsia" w:ascii="宋体" w:hAnsi="宋体"/>
          <w:color w:val="auto"/>
          <w:sz w:val="21"/>
          <w:szCs w:val="21"/>
          <w:highlight w:val="none"/>
        </w:rPr>
        <w:t>：</w:t>
      </w:r>
    </w:p>
    <w:p>
      <w:pPr>
        <w:widowControl/>
        <w:snapToGrid w:val="0"/>
        <w:spacing w:line="560" w:lineRule="exact"/>
        <w:jc w:val="center"/>
        <w:rPr>
          <w:rFonts w:ascii="宋体" w:hAnsi="宋体"/>
          <w:b/>
          <w:color w:val="auto"/>
          <w:sz w:val="21"/>
          <w:szCs w:val="21"/>
          <w:highlight w:val="none"/>
        </w:rPr>
      </w:pPr>
      <w:r>
        <w:rPr>
          <w:rFonts w:hint="eastAsia" w:ascii="宋体" w:hAnsi="宋体"/>
          <w:b/>
          <w:color w:val="auto"/>
          <w:sz w:val="21"/>
          <w:szCs w:val="21"/>
          <w:highlight w:val="none"/>
        </w:rPr>
        <w:t>符合性审查表</w:t>
      </w:r>
    </w:p>
    <w:tbl>
      <w:tblPr>
        <w:tblStyle w:val="40"/>
        <w:tblW w:w="941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272"/>
        <w:gridCol w:w="442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20" w:type="dxa"/>
          </w:tcPr>
          <w:p>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序号</w:t>
            </w:r>
          </w:p>
        </w:tc>
        <w:tc>
          <w:tcPr>
            <w:tcW w:w="4272" w:type="dxa"/>
            <w:vAlign w:val="center"/>
          </w:tcPr>
          <w:p>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要求说明</w:t>
            </w:r>
          </w:p>
        </w:tc>
        <w:tc>
          <w:tcPr>
            <w:tcW w:w="4423" w:type="dxa"/>
            <w:vAlign w:val="center"/>
          </w:tcPr>
          <w:p>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审查要求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ascii="宋体" w:hAnsi="宋体"/>
                <w:color w:val="auto"/>
                <w:sz w:val="21"/>
                <w:szCs w:val="21"/>
                <w:highlight w:val="none"/>
              </w:rPr>
              <w:t>1</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投标有效期：符合第</w:t>
            </w:r>
            <w:r>
              <w:rPr>
                <w:rFonts w:hint="eastAsia" w:ascii="宋体" w:hAnsi="宋体"/>
                <w:color w:val="auto"/>
                <w:sz w:val="21"/>
                <w:szCs w:val="21"/>
                <w:highlight w:val="none"/>
                <w:lang w:val="en-US" w:eastAsia="zh-CN"/>
              </w:rPr>
              <w:t>三</w:t>
            </w:r>
            <w:r>
              <w:rPr>
                <w:rFonts w:hint="eastAsia" w:ascii="宋体" w:hAnsi="宋体"/>
                <w:color w:val="auto"/>
                <w:sz w:val="21"/>
                <w:szCs w:val="21"/>
                <w:highlight w:val="none"/>
              </w:rPr>
              <w:t>章“投标人须知前附表”第8条的要求。</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提供“投标书”</w:t>
            </w:r>
            <w:r>
              <w:rPr>
                <w:rFonts w:hint="eastAsia" w:ascii="宋体" w:hAnsi="宋体" w:cs="宋体"/>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ascii="宋体" w:hAnsi="宋体"/>
                <w:color w:val="auto"/>
                <w:sz w:val="21"/>
                <w:szCs w:val="21"/>
                <w:highlight w:val="none"/>
              </w:rPr>
              <w:t>2</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法定代表人身份证明、法定代表人授权书。</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（1）投标文件由法定代表人签字的，提供“法定代表人身份证明”。</w:t>
            </w:r>
          </w:p>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（2）投标文件由授权代表签字的，提供“法定代表人身份证明”和“法定代表人授权书”，并提供社保部门出具的供应商单位为授权代表缴纳社保的证明资料复印件。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3</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符合第</w:t>
            </w:r>
            <w:r>
              <w:rPr>
                <w:rFonts w:hint="eastAsia" w:ascii="宋体" w:hAnsi="宋体"/>
                <w:color w:val="auto"/>
                <w:sz w:val="21"/>
                <w:szCs w:val="21"/>
                <w:highlight w:val="none"/>
                <w:lang w:val="en-US" w:eastAsia="zh-CN"/>
              </w:rPr>
              <w:t>三</w:t>
            </w:r>
            <w:r>
              <w:rPr>
                <w:rFonts w:hint="eastAsia" w:ascii="宋体" w:hAnsi="宋体"/>
                <w:color w:val="auto"/>
                <w:sz w:val="21"/>
                <w:szCs w:val="21"/>
                <w:highlight w:val="none"/>
              </w:rPr>
              <w:t>章“投标人须知”第九、1条的要求。</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投标文件的签署盖章。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4</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对同个项目不允许提供两个投标方案。</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是否有两个投标方案。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5</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供应商不得在投标活动中提供任何虚假材料或从事其他违法活动的。</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不得提供任何虚假材料或从事其他违法活动。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6</w:t>
            </w:r>
          </w:p>
        </w:tc>
        <w:tc>
          <w:tcPr>
            <w:tcW w:w="4272"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评标委员会经过审查，认定供应商虚假应标、串通投标的，有下列情形之一的，视为供应商串通投标：</w:t>
            </w:r>
          </w:p>
          <w:p>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1</w:t>
            </w:r>
            <w:r>
              <w:rPr>
                <w:rFonts w:hint="eastAsia" w:ascii="宋体" w:hAnsi="宋体"/>
                <w:color w:val="auto"/>
                <w:sz w:val="21"/>
                <w:szCs w:val="21"/>
                <w:highlight w:val="none"/>
              </w:rPr>
              <w:t>）不同供应商的投标文件由同一单位或者个人编制；</w:t>
            </w:r>
          </w:p>
          <w:p>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2</w:t>
            </w:r>
            <w:r>
              <w:rPr>
                <w:rFonts w:hint="eastAsia" w:ascii="宋体" w:hAnsi="宋体"/>
                <w:color w:val="auto"/>
                <w:sz w:val="21"/>
                <w:szCs w:val="21"/>
                <w:highlight w:val="none"/>
              </w:rPr>
              <w:t>）不同供应商委托同一单位或者个人办理投标事宜；</w:t>
            </w:r>
          </w:p>
          <w:p>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）不同供应商的投标文件载明的项目管理成员或者联系人员为同一人；</w:t>
            </w:r>
          </w:p>
          <w:p>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olor w:val="auto"/>
                <w:sz w:val="21"/>
                <w:szCs w:val="21"/>
                <w:highlight w:val="none"/>
              </w:rPr>
              <w:t>）不同供应商的投标文件异常一致或者投标报价呈规律性差异；</w:t>
            </w:r>
          </w:p>
          <w:p>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5</w:t>
            </w:r>
            <w:r>
              <w:rPr>
                <w:rFonts w:hint="eastAsia" w:ascii="宋体" w:hAnsi="宋体"/>
                <w:color w:val="auto"/>
                <w:sz w:val="21"/>
                <w:szCs w:val="21"/>
                <w:highlight w:val="none"/>
              </w:rPr>
              <w:t>）不同供应商的投标文件相互混装。</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不得有所述情形。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7</w:t>
            </w:r>
          </w:p>
        </w:tc>
        <w:tc>
          <w:tcPr>
            <w:tcW w:w="4272" w:type="dxa"/>
            <w:vAlign w:val="center"/>
          </w:tcPr>
          <w:p>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符合法律、法规和采购文件中规定的其他实质性要求（实质性要求采购文件中“*”标记）</w:t>
            </w:r>
          </w:p>
        </w:tc>
        <w:tc>
          <w:tcPr>
            <w:tcW w:w="4423" w:type="dxa"/>
            <w:vAlign w:val="center"/>
          </w:tcPr>
          <w:p>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8</w:t>
            </w:r>
          </w:p>
        </w:tc>
        <w:tc>
          <w:tcPr>
            <w:tcW w:w="4272" w:type="dxa"/>
            <w:vAlign w:val="center"/>
          </w:tcPr>
          <w:p>
            <w:pPr>
              <w:snapToGrid w:val="0"/>
              <w:spacing w:line="400" w:lineRule="exact"/>
              <w:rPr>
                <w:rFonts w:ascii="宋体" w:hAnsi="宋体"/>
                <w:color w:val="auto"/>
                <w:sz w:val="21"/>
                <w:szCs w:val="21"/>
                <w:highlight w:val="none"/>
              </w:rPr>
            </w:pPr>
            <w:r>
              <w:rPr>
                <w:rFonts w:ascii="宋体" w:hAnsi="宋体"/>
                <w:color w:val="auto"/>
                <w:sz w:val="21"/>
                <w:szCs w:val="21"/>
                <w:highlight w:val="none"/>
              </w:rPr>
              <w:t>本次公开招标设有最高</w:t>
            </w:r>
            <w:r>
              <w:rPr>
                <w:rFonts w:hint="eastAsia" w:ascii="宋体" w:hAnsi="宋体"/>
                <w:color w:val="auto"/>
                <w:sz w:val="21"/>
                <w:szCs w:val="21"/>
                <w:highlight w:val="none"/>
                <w:lang w:val="en-US" w:eastAsia="zh-CN"/>
              </w:rPr>
              <w:t>综合单价</w:t>
            </w:r>
            <w:r>
              <w:rPr>
                <w:rFonts w:ascii="宋体" w:hAnsi="宋体"/>
                <w:color w:val="auto"/>
                <w:sz w:val="21"/>
                <w:szCs w:val="21"/>
                <w:highlight w:val="none"/>
              </w:rPr>
              <w:t>限价（详见第</w:t>
            </w:r>
            <w:r>
              <w:rPr>
                <w:rFonts w:hint="eastAsia" w:ascii="宋体" w:hAnsi="宋体"/>
                <w:color w:val="auto"/>
                <w:sz w:val="21"/>
                <w:szCs w:val="21"/>
                <w:highlight w:val="none"/>
                <w:lang w:val="en-US" w:eastAsia="zh-CN"/>
              </w:rPr>
              <w:t>二</w:t>
            </w:r>
            <w:r>
              <w:rPr>
                <w:rFonts w:ascii="宋体" w:hAnsi="宋体"/>
                <w:color w:val="auto"/>
                <w:sz w:val="21"/>
                <w:szCs w:val="21"/>
                <w:highlight w:val="none"/>
              </w:rPr>
              <w:t>章），投标价超出最高</w:t>
            </w:r>
            <w:r>
              <w:rPr>
                <w:rFonts w:hint="eastAsia" w:ascii="宋体" w:hAnsi="宋体"/>
                <w:color w:val="auto"/>
                <w:sz w:val="21"/>
                <w:szCs w:val="21"/>
                <w:highlight w:val="none"/>
                <w:lang w:val="en-US" w:eastAsia="zh-CN"/>
              </w:rPr>
              <w:t>综合单价</w:t>
            </w:r>
            <w:r>
              <w:rPr>
                <w:rFonts w:ascii="宋体" w:hAnsi="宋体"/>
                <w:color w:val="auto"/>
                <w:sz w:val="21"/>
                <w:szCs w:val="21"/>
                <w:highlight w:val="none"/>
              </w:rPr>
              <w:t>限价作无效标处理。</w:t>
            </w:r>
          </w:p>
        </w:tc>
        <w:tc>
          <w:tcPr>
            <w:tcW w:w="4423"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提供“开标一览表”</w:t>
            </w:r>
            <w:r>
              <w:rPr>
                <w:rFonts w:hint="eastAsia" w:ascii="宋体" w:hAnsi="宋体" w:cs="宋体"/>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9</w:t>
            </w:r>
          </w:p>
        </w:tc>
        <w:tc>
          <w:tcPr>
            <w:tcW w:w="4272"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4423"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10</w:t>
            </w:r>
          </w:p>
        </w:tc>
        <w:tc>
          <w:tcPr>
            <w:tcW w:w="4272"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在评标过程中，发现的价格计算错误按下述原则修正：</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（1）投标文件中开标一览表内容与投标文件中分项报价表内容不一致的，以开标一览表为准；</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（2）大写金额和小写金额不一致的，以大写金额为准；</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（3）单价金额小数点或者百分比有明显错位的，以开标一览表的总价为准，并修改单价；</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（4）总价金额与按单价汇总金额不一致的，以单价金额计算结果为准；</w:t>
            </w:r>
          </w:p>
          <w:p>
            <w:pPr>
              <w:spacing w:line="400" w:lineRule="exact"/>
              <w:rPr>
                <w:rFonts w:ascii="宋体" w:hAnsi="宋体"/>
                <w:color w:val="auto"/>
                <w:sz w:val="21"/>
                <w:szCs w:val="21"/>
                <w:highlight w:val="none"/>
              </w:rPr>
            </w:pPr>
            <w:r>
              <w:rPr>
                <w:rFonts w:hint="eastAsia" w:ascii="宋体" w:hAnsi="宋体"/>
                <w:color w:val="auto"/>
                <w:sz w:val="21"/>
                <w:szCs w:val="21"/>
                <w:highlight w:val="none"/>
              </w:rPr>
              <w:t>同时出现两种以上不一致的，按照前款规定的顺序修正。修正后的报价经投标人确认后具有约束力，若投标人不确认的，则其投标无效。</w:t>
            </w:r>
          </w:p>
        </w:tc>
        <w:tc>
          <w:tcPr>
            <w:tcW w:w="4423" w:type="dxa"/>
            <w:vAlign w:val="center"/>
          </w:tcPr>
          <w:p>
            <w:pPr>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snapToGrid w:val="0"/>
              <w:spacing w:line="400" w:lineRule="exact"/>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4272" w:type="dxa"/>
            <w:vAlign w:val="center"/>
          </w:tcPr>
          <w:p>
            <w:pPr>
              <w:spacing w:line="400" w:lineRule="exac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根据标项顺序，先中标单位不再作为有效投标人参与剩余所投标项。</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仅标项二~五适用</w:t>
            </w:r>
            <w:r>
              <w:rPr>
                <w:rFonts w:hint="eastAsia" w:ascii="宋体" w:hAnsi="宋体"/>
                <w:color w:val="auto"/>
                <w:sz w:val="21"/>
                <w:szCs w:val="21"/>
                <w:highlight w:val="none"/>
                <w:lang w:eastAsia="zh-CN"/>
              </w:rPr>
              <w:t>）</w:t>
            </w:r>
          </w:p>
        </w:tc>
        <w:tc>
          <w:tcPr>
            <w:tcW w:w="4423" w:type="dxa"/>
            <w:vAlign w:val="center"/>
          </w:tcPr>
          <w:p>
            <w:pPr>
              <w:spacing w:line="400" w:lineRule="exact"/>
              <w:rPr>
                <w:rFonts w:hint="eastAsia" w:ascii="宋体" w:hAnsi="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2" w:type="dxa"/>
            <w:gridSpan w:val="2"/>
            <w:vAlign w:val="center"/>
          </w:tcPr>
          <w:p>
            <w:pPr>
              <w:snapToGrid w:val="0"/>
              <w:spacing w:line="400" w:lineRule="exact"/>
              <w:jc w:val="center"/>
              <w:rPr>
                <w:rFonts w:ascii="宋体" w:hAnsi="宋体"/>
                <w:color w:val="auto"/>
                <w:sz w:val="21"/>
                <w:szCs w:val="21"/>
                <w:highlight w:val="none"/>
              </w:rPr>
            </w:pPr>
            <w:r>
              <w:rPr>
                <w:rFonts w:hint="eastAsia" w:ascii="宋体" w:hAnsi="宋体"/>
                <w:b/>
                <w:color w:val="auto"/>
                <w:sz w:val="21"/>
                <w:szCs w:val="21"/>
                <w:highlight w:val="none"/>
              </w:rPr>
              <w:t>符合性审查结论</w:t>
            </w:r>
          </w:p>
        </w:tc>
        <w:tc>
          <w:tcPr>
            <w:tcW w:w="4423" w:type="dxa"/>
            <w:vAlign w:val="center"/>
          </w:tcPr>
          <w:p>
            <w:pPr>
              <w:snapToGrid w:val="0"/>
              <w:spacing w:line="400" w:lineRule="exact"/>
              <w:rPr>
                <w:rFonts w:ascii="宋体" w:hAnsi="宋体"/>
                <w:color w:val="auto"/>
                <w:sz w:val="21"/>
                <w:szCs w:val="21"/>
                <w:highlight w:val="none"/>
              </w:rPr>
            </w:pPr>
          </w:p>
        </w:tc>
      </w:tr>
    </w:tbl>
    <w:p>
      <w:pPr>
        <w:spacing w:line="400" w:lineRule="exact"/>
        <w:rPr>
          <w:rFonts w:ascii="宋体" w:hAnsi="宋体"/>
          <w:b/>
          <w:color w:val="auto"/>
          <w:sz w:val="21"/>
          <w:szCs w:val="21"/>
          <w:highlight w:val="none"/>
        </w:rPr>
      </w:pPr>
      <w:r>
        <w:rPr>
          <w:rFonts w:hint="eastAsia" w:ascii="宋体" w:hAnsi="宋体"/>
          <w:b/>
          <w:color w:val="auto"/>
          <w:sz w:val="21"/>
          <w:szCs w:val="21"/>
          <w:highlight w:val="none"/>
        </w:rPr>
        <w:t>注：</w:t>
      </w:r>
      <w:r>
        <w:rPr>
          <w:rFonts w:ascii="宋体" w:hAnsi="宋体"/>
          <w:b/>
          <w:color w:val="auto"/>
          <w:sz w:val="21"/>
          <w:szCs w:val="21"/>
          <w:highlight w:val="none"/>
        </w:rPr>
        <w:t>1</w:t>
      </w:r>
      <w:r>
        <w:rPr>
          <w:rFonts w:hint="eastAsia" w:ascii="宋体" w:hAnsi="宋体"/>
          <w:b/>
          <w:color w:val="auto"/>
          <w:sz w:val="21"/>
          <w:szCs w:val="21"/>
          <w:highlight w:val="none"/>
        </w:rPr>
        <w:t>、上述审查项目中，任意一项不符合的，符合性审查不合格。</w:t>
      </w:r>
    </w:p>
    <w:p>
      <w:pPr>
        <w:spacing w:line="360" w:lineRule="auto"/>
        <w:ind w:firstLine="422" w:firstLineChars="200"/>
        <w:rPr>
          <w:color w:val="auto"/>
          <w:szCs w:val="24"/>
          <w:highlight w:val="none"/>
        </w:rPr>
      </w:pPr>
      <w:r>
        <w:rPr>
          <w:rFonts w:hint="eastAsia" w:ascii="宋体" w:hAnsi="宋体"/>
          <w:b/>
          <w:color w:val="auto"/>
          <w:sz w:val="21"/>
          <w:szCs w:val="21"/>
          <w:highlight w:val="none"/>
        </w:rPr>
        <w:t>2、序号3-序号7、序号9-10在政采云上无须添加关联点。</w:t>
      </w:r>
    </w:p>
    <w:p>
      <w:pPr>
        <w:pStyle w:val="22"/>
        <w:widowControl/>
        <w:spacing w:line="360" w:lineRule="auto"/>
        <w:ind w:firstLine="420" w:firstLineChars="200"/>
        <w:jc w:val="left"/>
        <w:rPr>
          <w:rFonts w:hAnsi="宋体"/>
          <w:color w:val="auto"/>
          <w:highlight w:val="none"/>
        </w:rPr>
      </w:pPr>
    </w:p>
    <w:p>
      <w:pPr>
        <w:adjustRightInd/>
        <w:spacing w:line="480" w:lineRule="auto"/>
        <w:ind w:firstLine="422" w:firstLineChars="200"/>
        <w:jc w:val="center"/>
        <w:textAlignment w:val="auto"/>
        <w:rPr>
          <w:rFonts w:ascii="宋体" w:hAnsi="宋体"/>
          <w:b/>
          <w:color w:val="auto"/>
          <w:sz w:val="21"/>
          <w:szCs w:val="21"/>
          <w:highlight w:val="none"/>
        </w:rPr>
      </w:pPr>
      <w:r>
        <w:rPr>
          <w:rFonts w:ascii="宋体" w:hAnsi="宋体"/>
          <w:b/>
          <w:color w:val="auto"/>
          <w:sz w:val="21"/>
          <w:szCs w:val="21"/>
          <w:highlight w:val="none"/>
        </w:rPr>
        <w:br w:type="page"/>
      </w:r>
    </w:p>
    <w:p>
      <w:pPr>
        <w:pStyle w:val="2"/>
        <w:rPr>
          <w:rFonts w:ascii="宋体" w:hAnsi="宋体"/>
          <w:b/>
          <w:color w:val="auto"/>
          <w:sz w:val="21"/>
          <w:szCs w:val="21"/>
          <w:highlight w:val="none"/>
        </w:rPr>
      </w:pPr>
      <w:r>
        <w:rPr>
          <w:rFonts w:hint="eastAsia" w:ascii="宋体" w:hAnsi="宋体"/>
          <w:b/>
          <w:color w:val="auto"/>
          <w:sz w:val="21"/>
          <w:szCs w:val="21"/>
          <w:highlight w:val="none"/>
        </w:rPr>
        <w:t>附表3：</w:t>
      </w:r>
    </w:p>
    <w:p>
      <w:pPr>
        <w:pStyle w:val="2"/>
        <w:jc w:val="center"/>
        <w:rPr>
          <w:rFonts w:ascii="宋体" w:hAnsi="宋体"/>
          <w:b/>
          <w:color w:val="auto"/>
          <w:sz w:val="21"/>
          <w:szCs w:val="21"/>
          <w:highlight w:val="none"/>
        </w:rPr>
      </w:pPr>
      <w:r>
        <w:rPr>
          <w:rFonts w:hint="eastAsia" w:ascii="宋体" w:hAnsi="宋体"/>
          <w:b/>
          <w:color w:val="auto"/>
          <w:sz w:val="21"/>
          <w:szCs w:val="21"/>
          <w:highlight w:val="none"/>
        </w:rPr>
        <w:t>评分细则（标项一</w:t>
      </w:r>
      <w:r>
        <w:rPr>
          <w:rFonts w:hint="eastAsia" w:ascii="宋体" w:hAnsi="宋体"/>
          <w:b/>
          <w:color w:val="auto"/>
          <w:sz w:val="21"/>
          <w:szCs w:val="21"/>
          <w:highlight w:val="none"/>
          <w:lang w:val="en-US" w:eastAsia="zh-CN"/>
        </w:rPr>
        <w:t>~</w:t>
      </w:r>
      <w:r>
        <w:rPr>
          <w:rFonts w:hint="eastAsia" w:ascii="宋体" w:hAnsi="宋体"/>
          <w:b/>
          <w:color w:val="auto"/>
          <w:sz w:val="21"/>
          <w:szCs w:val="21"/>
          <w:highlight w:val="none"/>
        </w:rPr>
        <w:t>标项</w:t>
      </w:r>
      <w:r>
        <w:rPr>
          <w:rFonts w:hint="eastAsia" w:ascii="宋体" w:hAnsi="宋体"/>
          <w:b/>
          <w:color w:val="auto"/>
          <w:sz w:val="21"/>
          <w:szCs w:val="21"/>
          <w:highlight w:val="none"/>
          <w:lang w:val="en-US" w:eastAsia="zh-CN"/>
        </w:rPr>
        <w:t>五</w:t>
      </w:r>
      <w:r>
        <w:rPr>
          <w:rFonts w:hint="eastAsia" w:ascii="宋体" w:hAnsi="宋体"/>
          <w:b/>
          <w:color w:val="auto"/>
          <w:sz w:val="21"/>
          <w:szCs w:val="21"/>
          <w:highlight w:val="none"/>
        </w:rPr>
        <w:t>）</w:t>
      </w:r>
    </w:p>
    <w:tbl>
      <w:tblPr>
        <w:tblStyle w:val="40"/>
        <w:tblW w:w="952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95"/>
        <w:gridCol w:w="1134"/>
        <w:gridCol w:w="709"/>
        <w:gridCol w:w="873"/>
        <w:gridCol w:w="60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blHeader/>
          <w:jc w:val="center"/>
        </w:trPr>
        <w:tc>
          <w:tcPr>
            <w:tcW w:w="1929" w:type="dxa"/>
            <w:gridSpan w:val="2"/>
            <w:shd w:val="clear" w:color="auto" w:fill="DEEAF6"/>
            <w:vAlign w:val="center"/>
          </w:tcPr>
          <w:p>
            <w:pPr>
              <w:spacing w:line="276" w:lineRule="auto"/>
              <w:contextualSpacing/>
              <w:jc w:val="center"/>
              <w:rPr>
                <w:rFonts w:ascii="宋体" w:hAnsi="宋体"/>
                <w:b/>
                <w:color w:val="auto"/>
                <w:sz w:val="21"/>
                <w:szCs w:val="21"/>
                <w:highlight w:val="none"/>
              </w:rPr>
            </w:pPr>
            <w:r>
              <w:rPr>
                <w:rFonts w:hint="eastAsia" w:ascii="宋体" w:hAnsi="宋体"/>
                <w:b/>
                <w:color w:val="auto"/>
                <w:sz w:val="21"/>
                <w:szCs w:val="21"/>
                <w:highlight w:val="none"/>
              </w:rPr>
              <w:t>评标项目</w:t>
            </w:r>
          </w:p>
        </w:tc>
        <w:tc>
          <w:tcPr>
            <w:tcW w:w="709" w:type="dxa"/>
            <w:shd w:val="clear" w:color="auto" w:fill="DEEAF6"/>
            <w:vAlign w:val="center"/>
          </w:tcPr>
          <w:p>
            <w:pPr>
              <w:spacing w:line="276" w:lineRule="auto"/>
              <w:contextualSpacing/>
              <w:jc w:val="center"/>
              <w:rPr>
                <w:rFonts w:ascii="宋体" w:hAnsi="宋体"/>
                <w:b/>
                <w:color w:val="auto"/>
                <w:sz w:val="21"/>
                <w:szCs w:val="21"/>
                <w:highlight w:val="none"/>
              </w:rPr>
            </w:pPr>
            <w:r>
              <w:rPr>
                <w:rFonts w:hint="eastAsia" w:ascii="宋体" w:hAnsi="宋体"/>
                <w:b/>
                <w:color w:val="auto"/>
                <w:sz w:val="21"/>
                <w:szCs w:val="21"/>
                <w:highlight w:val="none"/>
              </w:rPr>
              <w:t>分值</w:t>
            </w:r>
          </w:p>
        </w:tc>
        <w:tc>
          <w:tcPr>
            <w:tcW w:w="6889" w:type="dxa"/>
            <w:gridSpan w:val="2"/>
            <w:shd w:val="clear" w:color="auto" w:fill="DEEAF6"/>
            <w:vAlign w:val="center"/>
          </w:tcPr>
          <w:p>
            <w:pPr>
              <w:spacing w:line="276" w:lineRule="auto"/>
              <w:contextualSpacing/>
              <w:jc w:val="center"/>
              <w:rPr>
                <w:rFonts w:ascii="宋体" w:hAnsi="宋体"/>
                <w:b/>
                <w:color w:val="auto"/>
                <w:sz w:val="21"/>
                <w:szCs w:val="21"/>
                <w:highlight w:val="none"/>
              </w:rPr>
            </w:pPr>
            <w:r>
              <w:rPr>
                <w:rFonts w:hint="eastAsia" w:ascii="宋体" w:hAnsi="宋体"/>
                <w:b/>
                <w:color w:val="auto"/>
                <w:sz w:val="21"/>
                <w:szCs w:val="21"/>
                <w:highlight w:val="none"/>
              </w:rPr>
              <w:t>评标要点及说明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restart"/>
            <w:tcBorders>
              <w:top w:val="single" w:color="auto" w:sz="4" w:space="0"/>
            </w:tcBorders>
            <w:vAlign w:val="center"/>
          </w:tcPr>
          <w:p>
            <w:pPr>
              <w:spacing w:line="276" w:lineRule="auto"/>
              <w:contextualSpacing/>
              <w:jc w:val="center"/>
              <w:rPr>
                <w:rFonts w:ascii="宋体" w:hAnsi="宋体"/>
                <w:color w:val="auto"/>
                <w:sz w:val="21"/>
                <w:szCs w:val="21"/>
                <w:highlight w:val="none"/>
              </w:rPr>
            </w:pPr>
            <w:r>
              <w:rPr>
                <w:rFonts w:hint="eastAsia" w:ascii="宋体" w:hAnsi="宋体"/>
                <w:color w:val="auto"/>
                <w:sz w:val="21"/>
                <w:szCs w:val="21"/>
                <w:highlight w:val="none"/>
              </w:rPr>
              <w:t>技术商务标</w:t>
            </w:r>
            <w:r>
              <w:rPr>
                <w:rFonts w:hint="eastAsia" w:ascii="宋体" w:hAnsi="宋体"/>
                <w:color w:val="auto"/>
                <w:sz w:val="21"/>
                <w:szCs w:val="21"/>
                <w:highlight w:val="none"/>
                <w:lang w:val="en-US" w:eastAsia="zh-CN"/>
              </w:rPr>
              <w:t>70</w:t>
            </w:r>
            <w:r>
              <w:rPr>
                <w:rFonts w:hint="eastAsia" w:ascii="宋体" w:hAnsi="宋体"/>
                <w:color w:val="auto"/>
                <w:sz w:val="21"/>
                <w:szCs w:val="21"/>
                <w:highlight w:val="none"/>
              </w:rPr>
              <w:t>分</w:t>
            </w:r>
          </w:p>
        </w:tc>
        <w:tc>
          <w:tcPr>
            <w:tcW w:w="1134" w:type="dxa"/>
            <w:tcBorders>
              <w:top w:val="single" w:color="auto" w:sz="4" w:space="0"/>
            </w:tcBorders>
            <w:vAlign w:val="center"/>
          </w:tcPr>
          <w:p>
            <w:pPr>
              <w:spacing w:line="276" w:lineRule="auto"/>
              <w:contextualSpacing/>
              <w:jc w:val="center"/>
              <w:rPr>
                <w:rFonts w:ascii="宋体" w:hAnsi="宋体"/>
                <w:color w:val="auto"/>
                <w:sz w:val="21"/>
                <w:szCs w:val="21"/>
                <w:highlight w:val="none"/>
              </w:rPr>
            </w:pPr>
            <w:r>
              <w:rPr>
                <w:rFonts w:hint="eastAsia" w:ascii="宋体" w:hAnsi="宋体"/>
                <w:color w:val="auto"/>
                <w:sz w:val="21"/>
                <w:szCs w:val="21"/>
                <w:highlight w:val="none"/>
              </w:rPr>
              <w:t>业绩</w:t>
            </w:r>
          </w:p>
        </w:tc>
        <w:tc>
          <w:tcPr>
            <w:tcW w:w="709" w:type="dxa"/>
            <w:vAlign w:val="center"/>
          </w:tcPr>
          <w:p>
            <w:pPr>
              <w:spacing w:line="276" w:lineRule="auto"/>
              <w:contextualSpacing/>
              <w:jc w:val="center"/>
              <w:rPr>
                <w:rFonts w:ascii="宋体" w:hAnsi="宋体"/>
                <w:color w:val="auto"/>
                <w:sz w:val="21"/>
                <w:szCs w:val="21"/>
                <w:highlight w:val="none"/>
              </w:rPr>
            </w:pPr>
            <w:r>
              <w:rPr>
                <w:rFonts w:hint="eastAsia" w:ascii="宋体" w:hAnsi="宋体"/>
                <w:color w:val="auto"/>
                <w:sz w:val="21"/>
                <w:szCs w:val="21"/>
                <w:highlight w:val="none"/>
              </w:rPr>
              <w:t>3</w:t>
            </w:r>
          </w:p>
        </w:tc>
        <w:tc>
          <w:tcPr>
            <w:tcW w:w="6889" w:type="dxa"/>
            <w:gridSpan w:val="2"/>
          </w:tcPr>
          <w:p>
            <w:pPr>
              <w:spacing w:line="276" w:lineRule="auto"/>
              <w:rPr>
                <w:rFonts w:ascii="宋体" w:hAnsi="宋体" w:cs="宋体"/>
                <w:color w:val="auto"/>
                <w:sz w:val="21"/>
                <w:szCs w:val="21"/>
                <w:highlight w:val="none"/>
              </w:rPr>
            </w:pPr>
            <w:r>
              <w:rPr>
                <w:rFonts w:hint="eastAsia" w:ascii="宋体" w:hAnsi="宋体" w:cs="宋体"/>
                <w:color w:val="auto"/>
                <w:sz w:val="21"/>
                <w:szCs w:val="21"/>
                <w:highlight w:val="none"/>
                <w:lang w:bidi="ar"/>
              </w:rPr>
              <w:t>2</w:t>
            </w:r>
            <w:r>
              <w:rPr>
                <w:rFonts w:hint="eastAsia" w:ascii="宋体" w:hAnsi="宋体" w:cs="宋体"/>
                <w:color w:val="auto"/>
                <w:sz w:val="21"/>
                <w:szCs w:val="21"/>
                <w:highlight w:val="none"/>
                <w:lang w:val="en-US" w:eastAsia="zh-CN" w:bidi="ar"/>
              </w:rPr>
              <w:t>020</w:t>
            </w:r>
            <w:r>
              <w:rPr>
                <w:rFonts w:hint="eastAsia" w:ascii="宋体" w:hAnsi="宋体" w:cs="宋体"/>
                <w:color w:val="auto"/>
                <w:sz w:val="21"/>
                <w:szCs w:val="21"/>
                <w:highlight w:val="none"/>
                <w:lang w:bidi="ar"/>
              </w:rPr>
              <w:t>年1月1日至今（以合同签订之日起算）实施过的</w:t>
            </w:r>
            <w:r>
              <w:rPr>
                <w:rFonts w:hint="eastAsia" w:ascii="宋体" w:hAnsi="宋体" w:cs="宋体"/>
                <w:color w:val="auto"/>
                <w:sz w:val="21"/>
                <w:szCs w:val="21"/>
                <w:highlight w:val="none"/>
                <w:lang w:val="en-US" w:eastAsia="zh-CN" w:bidi="ar"/>
              </w:rPr>
              <w:t>类似</w:t>
            </w:r>
            <w:r>
              <w:rPr>
                <w:rFonts w:hint="eastAsia" w:ascii="宋体" w:hAnsi="宋体" w:cs="宋体"/>
                <w:color w:val="auto"/>
                <w:sz w:val="21"/>
                <w:szCs w:val="21"/>
                <w:highlight w:val="none"/>
                <w:lang w:bidi="ar"/>
              </w:rPr>
              <w:t>项目，</w:t>
            </w:r>
          </w:p>
          <w:p>
            <w:pPr>
              <w:spacing w:line="276" w:lineRule="auto"/>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每提供一份同类常规交通安全设施维护项目</w:t>
            </w:r>
            <w:r>
              <w:rPr>
                <w:rFonts w:hint="eastAsia" w:ascii="宋体" w:hAnsi="宋体" w:cs="宋体"/>
                <w:color w:val="auto"/>
                <w:sz w:val="21"/>
                <w:szCs w:val="21"/>
                <w:highlight w:val="none"/>
                <w:lang w:eastAsia="zh-CN" w:bidi="ar"/>
              </w:rPr>
              <w:t>（合同须为市政道路交通安全设施维护类合同且维护内容需同时包含标志、标线、护栏）</w:t>
            </w:r>
            <w:r>
              <w:rPr>
                <w:rFonts w:hint="eastAsia" w:ascii="宋体" w:hAnsi="宋体" w:cs="宋体"/>
                <w:color w:val="auto"/>
                <w:sz w:val="21"/>
                <w:szCs w:val="21"/>
                <w:highlight w:val="none"/>
                <w:lang w:bidi="ar"/>
              </w:rPr>
              <w:t>成功案例合同的得1</w:t>
            </w:r>
            <w:r>
              <w:rPr>
                <w:rFonts w:hint="eastAsia" w:ascii="宋体" w:hAnsi="宋体" w:cs="宋体"/>
                <w:color w:val="auto"/>
                <w:sz w:val="21"/>
                <w:szCs w:val="21"/>
                <w:highlight w:val="none"/>
                <w:lang w:val="en-US" w:eastAsia="zh-CN" w:bidi="ar"/>
              </w:rPr>
              <w:t>.5</w:t>
            </w:r>
            <w:r>
              <w:rPr>
                <w:rFonts w:hint="eastAsia" w:ascii="宋体" w:hAnsi="宋体" w:cs="宋体"/>
                <w:color w:val="auto"/>
                <w:sz w:val="21"/>
                <w:szCs w:val="21"/>
                <w:highlight w:val="none"/>
                <w:lang w:bidi="ar"/>
              </w:rPr>
              <w:t>分，最高计3分。</w:t>
            </w:r>
          </w:p>
          <w:p>
            <w:pPr>
              <w:spacing w:line="276" w:lineRule="auto"/>
              <w:rPr>
                <w:rFonts w:ascii="宋体" w:hAnsi="宋体" w:cs="宋体"/>
                <w:color w:val="auto"/>
                <w:kern w:val="2"/>
                <w:sz w:val="21"/>
                <w:szCs w:val="21"/>
                <w:highlight w:val="none"/>
                <w:lang w:bidi="ar"/>
              </w:rPr>
            </w:pPr>
            <w:r>
              <w:rPr>
                <w:rFonts w:hint="eastAsia" w:ascii="宋体" w:hAnsi="宋体"/>
                <w:b/>
                <w:color w:val="auto"/>
                <w:sz w:val="21"/>
                <w:szCs w:val="21"/>
                <w:highlight w:val="none"/>
              </w:rPr>
              <w:t>备注：投标文件中提供合同复印件、中标通知书复印件及发票并加盖公章，提供不全的不认定为有效业绩，不计入不得分。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795" w:type="dxa"/>
            <w:vMerge w:val="continue"/>
            <w:vAlign w:val="center"/>
          </w:tcPr>
          <w:p>
            <w:pPr>
              <w:spacing w:line="276" w:lineRule="auto"/>
              <w:contextualSpacing/>
              <w:jc w:val="center"/>
              <w:rPr>
                <w:rFonts w:hint="eastAsia" w:ascii="宋体" w:hAnsi="宋体"/>
                <w:color w:val="auto"/>
                <w:sz w:val="21"/>
                <w:szCs w:val="21"/>
                <w:highlight w:val="none"/>
              </w:rPr>
            </w:pPr>
          </w:p>
        </w:tc>
        <w:tc>
          <w:tcPr>
            <w:tcW w:w="1134" w:type="dxa"/>
            <w:vMerge w:val="restart"/>
            <w:tcBorders>
              <w:top w:val="single" w:color="auto" w:sz="4" w:space="0"/>
            </w:tcBorders>
            <w:vAlign w:val="center"/>
          </w:tcPr>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维护技术方案和应急预案</w:t>
            </w:r>
          </w:p>
        </w:tc>
        <w:tc>
          <w:tcPr>
            <w:tcW w:w="709" w:type="dxa"/>
            <w:vMerge w:val="restart"/>
            <w:vAlign w:val="center"/>
          </w:tcPr>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40</w:t>
            </w:r>
          </w:p>
        </w:tc>
        <w:tc>
          <w:tcPr>
            <w:tcW w:w="6889" w:type="dxa"/>
            <w:gridSpan w:val="2"/>
            <w:vAlign w:val="center"/>
          </w:tcPr>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根据供应商提供施工组织方案与采购需求的满足程度进行评议（要求具备生产能力，在规定的时间内有计划的完成项目需求产品的生产装配）：</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①施工组织方案详细明确、交付时间和</w:t>
            </w:r>
            <w:r>
              <w:rPr>
                <w:rFonts w:hint="eastAsia" w:ascii="宋体" w:hAnsi="宋体" w:cs="宋体"/>
                <w:color w:val="auto"/>
                <w:sz w:val="21"/>
                <w:szCs w:val="21"/>
                <w:highlight w:val="none"/>
                <w:lang w:eastAsia="zh-CN" w:bidi="ar"/>
              </w:rPr>
              <w:t>现场安装方案、安装过程规范</w:t>
            </w:r>
            <w:r>
              <w:rPr>
                <w:rFonts w:hint="eastAsia" w:ascii="宋体" w:hAnsi="宋体" w:eastAsia="宋体" w:cs="宋体"/>
                <w:color w:val="auto"/>
                <w:sz w:val="21"/>
                <w:szCs w:val="21"/>
                <w:highlight w:val="none"/>
                <w:lang w:eastAsia="zh-CN" w:bidi="ar"/>
              </w:rPr>
              <w:t>优于采购需求、各环节的工作进度安排合理、人员落实配备到位的得</w:t>
            </w:r>
            <w:r>
              <w:rPr>
                <w:rFonts w:hint="eastAsia" w:ascii="宋体" w:hAnsi="宋体" w:eastAsia="宋体" w:cs="宋体"/>
                <w:color w:val="auto"/>
                <w:sz w:val="21"/>
                <w:szCs w:val="21"/>
                <w:highlight w:val="none"/>
                <w:lang w:val="en-US" w:eastAsia="zh-CN" w:bidi="ar"/>
              </w:rPr>
              <w:t>8</w:t>
            </w:r>
            <w:r>
              <w:rPr>
                <w:rFonts w:hint="eastAsia" w:ascii="宋体" w:hAnsi="宋体" w:eastAsia="宋体" w:cs="宋体"/>
                <w:color w:val="auto"/>
                <w:sz w:val="21"/>
                <w:szCs w:val="21"/>
                <w:highlight w:val="none"/>
                <w:lang w:eastAsia="zh-CN" w:bidi="ar"/>
              </w:rPr>
              <w:t>分；</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②方案基本明确、交付时间和</w:t>
            </w:r>
            <w:r>
              <w:rPr>
                <w:rFonts w:hint="eastAsia" w:ascii="宋体" w:hAnsi="宋体" w:cs="宋体"/>
                <w:color w:val="auto"/>
                <w:sz w:val="21"/>
                <w:szCs w:val="21"/>
                <w:highlight w:val="none"/>
                <w:lang w:eastAsia="zh-CN" w:bidi="ar"/>
              </w:rPr>
              <w:t>现场安装方案、安装规范过程</w:t>
            </w:r>
            <w:r>
              <w:rPr>
                <w:rFonts w:hint="eastAsia" w:ascii="宋体" w:hAnsi="宋体" w:eastAsia="宋体" w:cs="宋体"/>
                <w:color w:val="auto"/>
                <w:sz w:val="21"/>
                <w:szCs w:val="21"/>
                <w:highlight w:val="none"/>
                <w:lang w:eastAsia="zh-CN" w:bidi="ar"/>
              </w:rPr>
              <w:t>满足采购需求、各环节的工作进度安排较为合理、人员落实配备满足采购需求的得</w:t>
            </w:r>
            <w:r>
              <w:rPr>
                <w:rFonts w:hint="eastAsia" w:ascii="宋体" w:hAnsi="宋体" w:eastAsia="宋体" w:cs="宋体"/>
                <w:color w:val="auto"/>
                <w:sz w:val="21"/>
                <w:szCs w:val="21"/>
                <w:highlight w:val="none"/>
                <w:lang w:val="en-US" w:eastAsia="zh-CN" w:bidi="ar"/>
              </w:rPr>
              <w:t>6</w:t>
            </w:r>
            <w:r>
              <w:rPr>
                <w:rFonts w:hint="eastAsia" w:ascii="宋体" w:hAnsi="宋体" w:eastAsia="宋体" w:cs="宋体"/>
                <w:color w:val="auto"/>
                <w:sz w:val="21"/>
                <w:szCs w:val="21"/>
                <w:highlight w:val="none"/>
                <w:lang w:eastAsia="zh-CN" w:bidi="ar"/>
              </w:rPr>
              <w:t>分；</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③方案不详细或有缺失、交付时间和</w:t>
            </w:r>
            <w:r>
              <w:rPr>
                <w:rFonts w:hint="eastAsia" w:ascii="宋体" w:hAnsi="宋体" w:cs="宋体"/>
                <w:color w:val="auto"/>
                <w:sz w:val="21"/>
                <w:szCs w:val="21"/>
                <w:highlight w:val="none"/>
                <w:lang w:eastAsia="zh-CN" w:bidi="ar"/>
              </w:rPr>
              <w:t>现场安装方案、安装规范过程</w:t>
            </w:r>
            <w:r>
              <w:rPr>
                <w:rFonts w:hint="eastAsia" w:ascii="宋体" w:hAnsi="宋体" w:eastAsia="宋体" w:cs="宋体"/>
                <w:color w:val="auto"/>
                <w:sz w:val="21"/>
                <w:szCs w:val="21"/>
                <w:highlight w:val="none"/>
                <w:lang w:eastAsia="zh-CN" w:bidi="ar"/>
              </w:rPr>
              <w:t>响应采购需求、各环节的工作进度安排、人员落实配备基本满足采购需求的得</w:t>
            </w:r>
            <w:r>
              <w:rPr>
                <w:rFonts w:hint="eastAsia" w:ascii="宋体" w:hAnsi="宋体" w:eastAsia="宋体" w:cs="宋体"/>
                <w:color w:val="auto"/>
                <w:sz w:val="21"/>
                <w:szCs w:val="21"/>
                <w:highlight w:val="none"/>
                <w:lang w:val="en-US" w:eastAsia="zh-CN" w:bidi="ar"/>
              </w:rPr>
              <w:t>4</w:t>
            </w:r>
            <w:r>
              <w:rPr>
                <w:rFonts w:hint="eastAsia" w:ascii="宋体" w:hAnsi="宋体" w:eastAsia="宋体" w:cs="宋体"/>
                <w:color w:val="auto"/>
                <w:sz w:val="21"/>
                <w:szCs w:val="21"/>
                <w:highlight w:val="none"/>
                <w:lang w:eastAsia="zh-CN" w:bidi="ar"/>
              </w:rPr>
              <w:t>分；</w:t>
            </w:r>
          </w:p>
          <w:p>
            <w:pPr>
              <w:spacing w:line="276" w:lineRule="auto"/>
              <w:rPr>
                <w:rFonts w:hint="eastAsia"/>
                <w:highlight w:val="none"/>
                <w:lang w:eastAsia="zh-CN"/>
              </w:rPr>
            </w:pPr>
            <w:r>
              <w:rPr>
                <w:rFonts w:hint="eastAsia" w:ascii="宋体" w:hAnsi="宋体" w:eastAsia="宋体" w:cs="宋体"/>
                <w:color w:val="auto"/>
                <w:sz w:val="21"/>
                <w:szCs w:val="21"/>
                <w:highlight w:val="none"/>
                <w:lang w:eastAsia="zh-CN" w:bidi="ar"/>
              </w:rPr>
              <w:t>④未提供的不得分。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continue"/>
            <w:vAlign w:val="center"/>
          </w:tcPr>
          <w:p>
            <w:pPr>
              <w:spacing w:line="276" w:lineRule="auto"/>
              <w:contextualSpacing/>
              <w:jc w:val="center"/>
              <w:rPr>
                <w:rFonts w:hint="eastAsia" w:ascii="宋体" w:hAnsi="宋体"/>
                <w:color w:val="auto"/>
                <w:sz w:val="21"/>
                <w:szCs w:val="21"/>
                <w:highlight w:val="none"/>
              </w:rPr>
            </w:pPr>
          </w:p>
        </w:tc>
        <w:tc>
          <w:tcPr>
            <w:tcW w:w="1134" w:type="dxa"/>
            <w:vMerge w:val="continue"/>
            <w:tcBorders>
              <w:top w:val="single" w:color="auto" w:sz="4" w:space="0"/>
            </w:tcBorders>
            <w:vAlign w:val="center"/>
          </w:tcPr>
          <w:p>
            <w:pPr>
              <w:spacing w:line="276" w:lineRule="auto"/>
              <w:rPr>
                <w:rFonts w:hint="eastAsia" w:ascii="宋体" w:hAnsi="宋体" w:eastAsia="宋体" w:cs="宋体"/>
                <w:color w:val="auto"/>
                <w:sz w:val="21"/>
                <w:szCs w:val="21"/>
                <w:highlight w:val="none"/>
                <w:lang w:eastAsia="zh-CN" w:bidi="ar"/>
              </w:rPr>
            </w:pPr>
          </w:p>
        </w:tc>
        <w:tc>
          <w:tcPr>
            <w:tcW w:w="709" w:type="dxa"/>
            <w:vMerge w:val="continue"/>
            <w:vAlign w:val="center"/>
          </w:tcPr>
          <w:p>
            <w:pPr>
              <w:spacing w:line="276" w:lineRule="auto"/>
              <w:rPr>
                <w:rFonts w:hint="eastAsia" w:ascii="宋体" w:hAnsi="宋体" w:eastAsia="宋体" w:cs="宋体"/>
                <w:color w:val="auto"/>
                <w:sz w:val="21"/>
                <w:szCs w:val="21"/>
                <w:highlight w:val="none"/>
                <w:lang w:eastAsia="zh-CN" w:bidi="ar"/>
              </w:rPr>
            </w:pPr>
          </w:p>
        </w:tc>
        <w:tc>
          <w:tcPr>
            <w:tcW w:w="6889" w:type="dxa"/>
            <w:gridSpan w:val="2"/>
            <w:vAlign w:val="center"/>
          </w:tcPr>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根据</w:t>
            </w:r>
            <w:r>
              <w:rPr>
                <w:rFonts w:hint="eastAsia" w:ascii="宋体" w:hAnsi="宋体" w:cs="宋体"/>
                <w:color w:val="auto"/>
                <w:sz w:val="21"/>
                <w:szCs w:val="21"/>
                <w:highlight w:val="none"/>
                <w:lang w:eastAsia="zh-CN" w:bidi="ar"/>
              </w:rPr>
              <w:t>供应商提供的</w:t>
            </w:r>
            <w:r>
              <w:rPr>
                <w:rFonts w:hint="eastAsia" w:ascii="宋体" w:hAnsi="宋体" w:eastAsia="宋体" w:cs="宋体"/>
                <w:color w:val="auto"/>
                <w:sz w:val="21"/>
                <w:szCs w:val="21"/>
                <w:highlight w:val="none"/>
                <w:lang w:eastAsia="zh-CN" w:bidi="ar"/>
              </w:rPr>
              <w:t>安全保障措施与本招标文件采购需求的满足程度进行评议（包括但不限于有独立</w:t>
            </w:r>
            <w:r>
              <w:rPr>
                <w:rFonts w:hint="eastAsia" w:ascii="宋体" w:hAnsi="宋体" w:cs="宋体"/>
                <w:color w:val="auto"/>
                <w:sz w:val="21"/>
                <w:szCs w:val="21"/>
                <w:highlight w:val="none"/>
                <w:lang w:eastAsia="zh-CN" w:bidi="ar"/>
              </w:rPr>
              <w:t>的安全考核标准及安全施工规范</w:t>
            </w:r>
            <w:r>
              <w:rPr>
                <w:rFonts w:hint="eastAsia" w:ascii="宋体" w:hAnsi="宋体" w:eastAsia="宋体" w:cs="宋体"/>
                <w:color w:val="auto"/>
                <w:sz w:val="21"/>
                <w:szCs w:val="21"/>
                <w:highlight w:val="none"/>
                <w:lang w:eastAsia="zh-CN" w:bidi="ar"/>
              </w:rPr>
              <w:t>，确保产品生产</w:t>
            </w:r>
            <w:r>
              <w:rPr>
                <w:rFonts w:hint="eastAsia" w:ascii="宋体" w:hAnsi="宋体" w:cs="宋体"/>
                <w:color w:val="auto"/>
                <w:sz w:val="21"/>
                <w:szCs w:val="21"/>
                <w:highlight w:val="none"/>
                <w:lang w:eastAsia="zh-CN" w:bidi="ar"/>
              </w:rPr>
              <w:t>及安装</w:t>
            </w:r>
            <w:r>
              <w:rPr>
                <w:rFonts w:hint="eastAsia" w:ascii="宋体" w:hAnsi="宋体" w:eastAsia="宋体" w:cs="宋体"/>
                <w:color w:val="auto"/>
                <w:sz w:val="21"/>
                <w:szCs w:val="21"/>
                <w:highlight w:val="none"/>
                <w:lang w:eastAsia="zh-CN" w:bidi="ar"/>
              </w:rPr>
              <w:t>过程中的质量）：</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①描述内容完备、详尽、清楚、符合程度高的得</w:t>
            </w:r>
            <w:r>
              <w:rPr>
                <w:rFonts w:hint="eastAsia" w:ascii="宋体" w:hAnsi="宋体" w:eastAsia="宋体" w:cs="宋体"/>
                <w:color w:val="auto"/>
                <w:sz w:val="21"/>
                <w:szCs w:val="21"/>
                <w:highlight w:val="none"/>
                <w:lang w:val="en-US" w:eastAsia="zh-CN" w:bidi="ar"/>
              </w:rPr>
              <w:t>8</w:t>
            </w:r>
            <w:r>
              <w:rPr>
                <w:rFonts w:hint="eastAsia" w:ascii="宋体" w:hAnsi="宋体" w:eastAsia="宋体" w:cs="宋体"/>
                <w:color w:val="auto"/>
                <w:sz w:val="21"/>
                <w:szCs w:val="21"/>
                <w:highlight w:val="none"/>
                <w:lang w:eastAsia="zh-CN" w:bidi="ar"/>
              </w:rPr>
              <w:t>分；</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②描述内容比较详尽、符合程度一般的得</w:t>
            </w:r>
            <w:r>
              <w:rPr>
                <w:rFonts w:hint="eastAsia" w:ascii="宋体" w:hAnsi="宋体" w:eastAsia="宋体" w:cs="宋体"/>
                <w:color w:val="auto"/>
                <w:sz w:val="21"/>
                <w:szCs w:val="21"/>
                <w:highlight w:val="none"/>
                <w:lang w:val="en-US" w:eastAsia="zh-CN" w:bidi="ar"/>
              </w:rPr>
              <w:t>4</w:t>
            </w:r>
            <w:r>
              <w:rPr>
                <w:rFonts w:hint="eastAsia" w:ascii="宋体" w:hAnsi="宋体" w:eastAsia="宋体" w:cs="宋体"/>
                <w:color w:val="auto"/>
                <w:sz w:val="21"/>
                <w:szCs w:val="21"/>
                <w:highlight w:val="none"/>
                <w:lang w:eastAsia="zh-CN" w:bidi="ar"/>
              </w:rPr>
              <w:t xml:space="preserve">分； </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③描述内容有欠缺或不到位得</w:t>
            </w:r>
            <w:r>
              <w:rPr>
                <w:rFonts w:hint="eastAsia" w:ascii="宋体" w:hAnsi="宋体" w:eastAsia="宋体" w:cs="宋体"/>
                <w:color w:val="auto"/>
                <w:sz w:val="21"/>
                <w:szCs w:val="21"/>
                <w:highlight w:val="none"/>
                <w:lang w:val="en-US" w:eastAsia="zh-CN" w:bidi="ar"/>
              </w:rPr>
              <w:t>2</w:t>
            </w:r>
            <w:r>
              <w:rPr>
                <w:rFonts w:hint="eastAsia" w:ascii="宋体" w:hAnsi="宋体" w:eastAsia="宋体" w:cs="宋体"/>
                <w:color w:val="auto"/>
                <w:sz w:val="21"/>
                <w:szCs w:val="21"/>
                <w:highlight w:val="none"/>
                <w:lang w:eastAsia="zh-CN" w:bidi="ar"/>
              </w:rPr>
              <w:t xml:space="preserve">分； </w:t>
            </w:r>
          </w:p>
          <w:p>
            <w:pPr>
              <w:spacing w:line="276" w:lineRule="auto"/>
              <w:rPr>
                <w:rFonts w:hint="eastAsia"/>
                <w:highlight w:val="none"/>
                <w:lang w:eastAsia="zh-CN"/>
              </w:rPr>
            </w:pPr>
            <w:r>
              <w:rPr>
                <w:rFonts w:hint="eastAsia" w:ascii="宋体" w:hAnsi="宋体" w:eastAsia="宋体" w:cs="宋体"/>
                <w:color w:val="auto"/>
                <w:sz w:val="21"/>
                <w:szCs w:val="21"/>
                <w:highlight w:val="none"/>
                <w:lang w:eastAsia="zh-CN" w:bidi="ar"/>
              </w:rPr>
              <w:t>④未提供的不得分。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continue"/>
            <w:vAlign w:val="center"/>
          </w:tcPr>
          <w:p>
            <w:pPr>
              <w:spacing w:line="276" w:lineRule="auto"/>
              <w:contextualSpacing/>
              <w:jc w:val="center"/>
              <w:rPr>
                <w:rFonts w:hint="eastAsia" w:ascii="宋体" w:hAnsi="宋体"/>
                <w:color w:val="auto"/>
                <w:sz w:val="21"/>
                <w:szCs w:val="21"/>
                <w:highlight w:val="none"/>
              </w:rPr>
            </w:pPr>
          </w:p>
        </w:tc>
        <w:tc>
          <w:tcPr>
            <w:tcW w:w="1134" w:type="dxa"/>
            <w:vMerge w:val="continue"/>
            <w:tcBorders>
              <w:top w:val="single" w:color="auto" w:sz="4" w:space="0"/>
            </w:tcBorders>
            <w:vAlign w:val="center"/>
          </w:tcPr>
          <w:p>
            <w:pPr>
              <w:spacing w:line="276" w:lineRule="auto"/>
              <w:rPr>
                <w:rFonts w:hint="eastAsia" w:ascii="宋体" w:hAnsi="宋体" w:eastAsia="宋体" w:cs="宋体"/>
                <w:color w:val="auto"/>
                <w:sz w:val="21"/>
                <w:szCs w:val="21"/>
                <w:highlight w:val="none"/>
                <w:lang w:eastAsia="zh-CN" w:bidi="ar"/>
              </w:rPr>
            </w:pPr>
          </w:p>
        </w:tc>
        <w:tc>
          <w:tcPr>
            <w:tcW w:w="709" w:type="dxa"/>
            <w:vMerge w:val="continue"/>
            <w:vAlign w:val="center"/>
          </w:tcPr>
          <w:p>
            <w:pPr>
              <w:spacing w:line="276" w:lineRule="auto"/>
              <w:rPr>
                <w:rFonts w:hint="eastAsia" w:ascii="宋体" w:hAnsi="宋体" w:eastAsia="宋体" w:cs="宋体"/>
                <w:color w:val="auto"/>
                <w:sz w:val="21"/>
                <w:szCs w:val="21"/>
                <w:highlight w:val="none"/>
                <w:lang w:eastAsia="zh-CN" w:bidi="ar"/>
              </w:rPr>
            </w:pPr>
          </w:p>
        </w:tc>
        <w:tc>
          <w:tcPr>
            <w:tcW w:w="6889" w:type="dxa"/>
            <w:gridSpan w:val="2"/>
            <w:vAlign w:val="center"/>
          </w:tcPr>
          <w:p>
            <w:pPr>
              <w:spacing w:line="276" w:lineRule="auto"/>
              <w:rPr>
                <w:rFonts w:hint="eastAsia" w:ascii="宋体" w:hAnsi="宋体" w:eastAsia="宋体" w:cs="宋体"/>
                <w:color w:val="auto"/>
                <w:sz w:val="21"/>
                <w:szCs w:val="21"/>
                <w:highlight w:val="none"/>
                <w:lang w:val="zh-CN" w:eastAsia="zh-CN" w:bidi="ar"/>
              </w:rPr>
            </w:pPr>
            <w:r>
              <w:rPr>
                <w:rFonts w:hint="eastAsia" w:ascii="宋体" w:hAnsi="宋体" w:eastAsia="宋体" w:cs="宋体"/>
                <w:color w:val="auto"/>
                <w:sz w:val="21"/>
                <w:szCs w:val="21"/>
                <w:highlight w:val="none"/>
                <w:lang w:val="zh-CN" w:eastAsia="zh-CN" w:bidi="ar"/>
              </w:rPr>
              <w:t>例行巡检和保养措施、服务质量保障的合理性进行评</w:t>
            </w:r>
            <w:r>
              <w:rPr>
                <w:rFonts w:hint="eastAsia" w:ascii="宋体" w:hAnsi="宋体" w:cs="宋体"/>
                <w:color w:val="auto"/>
                <w:sz w:val="21"/>
                <w:szCs w:val="21"/>
                <w:highlight w:val="none"/>
                <w:lang w:val="zh-CN" w:eastAsia="zh-CN" w:bidi="ar"/>
              </w:rPr>
              <w:t>议</w:t>
            </w:r>
            <w:r>
              <w:rPr>
                <w:rFonts w:hint="eastAsia" w:ascii="宋体" w:hAnsi="宋体" w:eastAsia="宋体" w:cs="宋体"/>
                <w:color w:val="auto"/>
                <w:sz w:val="21"/>
                <w:szCs w:val="21"/>
                <w:highlight w:val="none"/>
                <w:lang w:val="zh-CN" w:eastAsia="zh-CN" w:bidi="ar"/>
              </w:rPr>
              <w:t>（</w:t>
            </w:r>
            <w:r>
              <w:rPr>
                <w:rFonts w:hint="eastAsia" w:ascii="宋体" w:hAnsi="宋体" w:eastAsia="宋体" w:cs="宋体"/>
                <w:color w:val="auto"/>
                <w:sz w:val="21"/>
                <w:szCs w:val="21"/>
                <w:highlight w:val="none"/>
                <w:lang w:val="en-US" w:eastAsia="zh-CN" w:bidi="ar"/>
              </w:rPr>
              <w:t>8分</w:t>
            </w:r>
            <w:r>
              <w:rPr>
                <w:rFonts w:hint="eastAsia" w:ascii="宋体" w:hAnsi="宋体" w:eastAsia="宋体" w:cs="宋体"/>
                <w:color w:val="auto"/>
                <w:sz w:val="21"/>
                <w:szCs w:val="21"/>
                <w:highlight w:val="none"/>
                <w:lang w:val="zh-CN" w:eastAsia="zh-CN" w:bidi="ar"/>
              </w:rPr>
              <w:t>）：</w:t>
            </w:r>
          </w:p>
          <w:p>
            <w:pPr>
              <w:spacing w:line="276" w:lineRule="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①</w:t>
            </w:r>
            <w:r>
              <w:rPr>
                <w:rFonts w:hint="eastAsia" w:ascii="宋体" w:hAnsi="宋体" w:eastAsia="宋体" w:cs="宋体"/>
                <w:color w:val="auto"/>
                <w:sz w:val="21"/>
                <w:szCs w:val="21"/>
                <w:highlight w:val="none"/>
                <w:lang w:val="zh-CN" w:eastAsia="zh-CN" w:bidi="ar"/>
              </w:rPr>
              <w:t>例行巡检和保养措施、服务质量保障</w:t>
            </w:r>
            <w:r>
              <w:rPr>
                <w:rFonts w:hint="eastAsia" w:ascii="宋体" w:hAnsi="宋体" w:eastAsia="宋体" w:cs="宋体"/>
                <w:color w:val="auto"/>
                <w:sz w:val="21"/>
                <w:szCs w:val="21"/>
                <w:highlight w:val="none"/>
                <w:lang w:val="en-US" w:eastAsia="zh-CN" w:bidi="ar"/>
              </w:rPr>
              <w:t>方案完整、及时、详尽、清楚、符合程度高的得8分；</w:t>
            </w:r>
          </w:p>
          <w:p>
            <w:pPr>
              <w:spacing w:line="276" w:lineRule="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②</w:t>
            </w:r>
            <w:r>
              <w:rPr>
                <w:rFonts w:hint="eastAsia" w:ascii="宋体" w:hAnsi="宋体" w:eastAsia="宋体" w:cs="宋体"/>
                <w:color w:val="auto"/>
                <w:sz w:val="21"/>
                <w:szCs w:val="21"/>
                <w:highlight w:val="none"/>
                <w:lang w:val="zh-CN" w:eastAsia="zh-CN" w:bidi="ar"/>
              </w:rPr>
              <w:t>例行巡检和保养措施、服务质量保障</w:t>
            </w:r>
            <w:r>
              <w:rPr>
                <w:rFonts w:hint="eastAsia" w:ascii="宋体" w:hAnsi="宋体" w:eastAsia="宋体" w:cs="宋体"/>
                <w:color w:val="auto"/>
                <w:sz w:val="21"/>
                <w:szCs w:val="21"/>
                <w:highlight w:val="none"/>
                <w:lang w:val="en-US" w:eastAsia="zh-CN" w:bidi="ar"/>
              </w:rPr>
              <w:t>方案内容比较详尽、符合程度一般的得4分；</w:t>
            </w:r>
          </w:p>
          <w:p>
            <w:pPr>
              <w:spacing w:line="276" w:lineRule="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③内容有欠缺或不到位得2分；</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val="en-US" w:eastAsia="zh-CN" w:bidi="ar"/>
              </w:rPr>
              <w:t>④未提供的不得分。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continue"/>
            <w:vAlign w:val="center"/>
          </w:tcPr>
          <w:p>
            <w:pPr>
              <w:spacing w:line="276" w:lineRule="auto"/>
              <w:contextualSpacing/>
              <w:jc w:val="center"/>
              <w:rPr>
                <w:rFonts w:hint="eastAsia" w:ascii="宋体" w:hAnsi="宋体"/>
                <w:color w:val="auto"/>
                <w:sz w:val="21"/>
                <w:szCs w:val="21"/>
                <w:highlight w:val="none"/>
              </w:rPr>
            </w:pPr>
          </w:p>
        </w:tc>
        <w:tc>
          <w:tcPr>
            <w:tcW w:w="1134" w:type="dxa"/>
            <w:vMerge w:val="continue"/>
            <w:tcBorders>
              <w:top w:val="single" w:color="auto" w:sz="4" w:space="0"/>
            </w:tcBorders>
            <w:vAlign w:val="center"/>
          </w:tcPr>
          <w:p>
            <w:pPr>
              <w:spacing w:line="276" w:lineRule="auto"/>
              <w:rPr>
                <w:rFonts w:hint="eastAsia" w:ascii="宋体" w:hAnsi="宋体" w:eastAsia="宋体" w:cs="宋体"/>
                <w:color w:val="auto"/>
                <w:sz w:val="21"/>
                <w:szCs w:val="21"/>
                <w:highlight w:val="none"/>
                <w:lang w:eastAsia="zh-CN" w:bidi="ar"/>
              </w:rPr>
            </w:pPr>
          </w:p>
        </w:tc>
        <w:tc>
          <w:tcPr>
            <w:tcW w:w="709" w:type="dxa"/>
            <w:vMerge w:val="continue"/>
            <w:vAlign w:val="center"/>
          </w:tcPr>
          <w:p>
            <w:pPr>
              <w:spacing w:line="276" w:lineRule="auto"/>
              <w:rPr>
                <w:rFonts w:hint="eastAsia" w:ascii="宋体" w:hAnsi="宋体" w:eastAsia="宋体" w:cs="宋体"/>
                <w:color w:val="auto"/>
                <w:sz w:val="21"/>
                <w:szCs w:val="21"/>
                <w:highlight w:val="none"/>
                <w:lang w:eastAsia="zh-CN" w:bidi="ar"/>
              </w:rPr>
            </w:pPr>
          </w:p>
        </w:tc>
        <w:tc>
          <w:tcPr>
            <w:tcW w:w="6889" w:type="dxa"/>
            <w:gridSpan w:val="2"/>
            <w:vAlign w:val="center"/>
          </w:tcPr>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拟投入设备及材料保证措施（</w:t>
            </w:r>
            <w:r>
              <w:rPr>
                <w:rFonts w:hint="eastAsia" w:ascii="宋体" w:hAnsi="宋体" w:eastAsia="宋体" w:cs="宋体"/>
                <w:color w:val="auto"/>
                <w:sz w:val="21"/>
                <w:szCs w:val="21"/>
                <w:highlight w:val="none"/>
                <w:lang w:val="en-US" w:eastAsia="zh-CN" w:bidi="ar"/>
              </w:rPr>
              <w:t>8</w:t>
            </w:r>
            <w:r>
              <w:rPr>
                <w:rFonts w:hint="eastAsia" w:ascii="宋体" w:hAnsi="宋体" w:eastAsia="宋体" w:cs="宋体"/>
                <w:color w:val="auto"/>
                <w:sz w:val="21"/>
                <w:szCs w:val="21"/>
                <w:highlight w:val="none"/>
                <w:lang w:eastAsia="zh-CN" w:bidi="ar"/>
              </w:rPr>
              <w:t>分）：根据项目内容投标配备的仪器、设备的合理性及满足项目实际需要。有投入采购方要求以外设备并对维护实施有较大促进作用的评议。</w:t>
            </w:r>
          </w:p>
          <w:p>
            <w:pPr>
              <w:spacing w:line="276" w:lineRule="auto"/>
              <w:rPr>
                <w:rFonts w:hint="eastAsia" w:ascii="宋体" w:hAnsi="宋体" w:eastAsia="宋体" w:cs="宋体"/>
                <w:b/>
                <w:bCs/>
                <w:color w:val="auto"/>
                <w:sz w:val="21"/>
                <w:szCs w:val="21"/>
                <w:highlight w:val="none"/>
                <w:lang w:eastAsia="zh-CN" w:bidi="ar"/>
              </w:rPr>
            </w:pPr>
            <w:r>
              <w:rPr>
                <w:rFonts w:hint="eastAsia" w:ascii="宋体" w:hAnsi="宋体" w:eastAsia="宋体" w:cs="宋体"/>
                <w:b/>
                <w:bCs/>
                <w:color w:val="auto"/>
                <w:sz w:val="21"/>
                <w:szCs w:val="21"/>
                <w:highlight w:val="none"/>
                <w:lang w:eastAsia="zh-CN" w:bidi="ar"/>
              </w:rPr>
              <w:t>备注：</w:t>
            </w:r>
          </w:p>
          <w:p>
            <w:pPr>
              <w:spacing w:line="276" w:lineRule="auto"/>
              <w:rPr>
                <w:rFonts w:hint="eastAsia" w:ascii="宋体" w:hAnsi="宋体" w:eastAsia="宋体" w:cs="宋体"/>
                <w:b/>
                <w:bCs/>
                <w:color w:val="auto"/>
                <w:sz w:val="21"/>
                <w:szCs w:val="21"/>
                <w:highlight w:val="none"/>
                <w:lang w:eastAsia="zh-CN" w:bidi="ar"/>
              </w:rPr>
            </w:pPr>
            <w:r>
              <w:rPr>
                <w:rFonts w:hint="eastAsia" w:ascii="宋体" w:hAnsi="宋体" w:eastAsia="宋体" w:cs="宋体"/>
                <w:b/>
                <w:bCs/>
                <w:color w:val="auto"/>
                <w:sz w:val="21"/>
                <w:szCs w:val="21"/>
                <w:highlight w:val="none"/>
                <w:lang w:eastAsia="zh-CN" w:bidi="ar"/>
              </w:rPr>
              <w:t>1）投标人需根据《设备材料保障能力汇总表样表》提供，未提供的不得分；</w:t>
            </w:r>
          </w:p>
          <w:p>
            <w:pPr>
              <w:spacing w:line="276" w:lineRule="auto"/>
              <w:rPr>
                <w:rFonts w:hint="eastAsia" w:ascii="宋体" w:hAnsi="宋体" w:eastAsia="宋体" w:cs="宋体"/>
                <w:b/>
                <w:bCs/>
                <w:color w:val="auto"/>
                <w:sz w:val="21"/>
                <w:szCs w:val="21"/>
                <w:highlight w:val="none"/>
                <w:lang w:eastAsia="zh-CN" w:bidi="ar"/>
              </w:rPr>
            </w:pPr>
            <w:r>
              <w:rPr>
                <w:rFonts w:hint="eastAsia" w:ascii="宋体" w:hAnsi="宋体" w:eastAsia="宋体" w:cs="宋体"/>
                <w:b/>
                <w:bCs/>
                <w:color w:val="auto"/>
                <w:sz w:val="21"/>
                <w:szCs w:val="21"/>
                <w:highlight w:val="none"/>
                <w:lang w:eastAsia="zh-CN" w:bidi="ar"/>
              </w:rPr>
              <w:t>2）投标文件中提供材料品牌、对应品牌检测报告、合格证复印件、厂家证明并加盖公章；</w:t>
            </w:r>
          </w:p>
          <w:p>
            <w:pPr>
              <w:spacing w:line="276" w:lineRule="auto"/>
              <w:rPr>
                <w:rFonts w:hint="eastAsia" w:ascii="宋体" w:hAnsi="宋体" w:eastAsia="宋体" w:cs="宋体"/>
                <w:b/>
                <w:bCs/>
                <w:color w:val="auto"/>
                <w:sz w:val="21"/>
                <w:szCs w:val="21"/>
                <w:highlight w:val="none"/>
                <w:lang w:eastAsia="zh-CN" w:bidi="ar"/>
              </w:rPr>
            </w:pPr>
            <w:r>
              <w:rPr>
                <w:rFonts w:hint="eastAsia" w:ascii="宋体" w:hAnsi="宋体" w:eastAsia="宋体" w:cs="宋体"/>
                <w:b/>
                <w:bCs/>
                <w:color w:val="auto"/>
                <w:sz w:val="21"/>
                <w:szCs w:val="21"/>
                <w:highlight w:val="none"/>
                <w:lang w:eastAsia="zh-CN" w:bidi="ar"/>
              </w:rPr>
              <w:t>3）投标文件中设备需提供购买发票复证件或权属证明复印件并加盖公章；</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b/>
                <w:bCs/>
                <w:color w:val="auto"/>
                <w:sz w:val="21"/>
                <w:szCs w:val="21"/>
                <w:highlight w:val="none"/>
                <w:lang w:eastAsia="zh-CN" w:bidi="ar"/>
              </w:rPr>
              <w:t>4）开标时提供以上所有证明文件原件备查，未提供的不得分。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continue"/>
            <w:vAlign w:val="center"/>
          </w:tcPr>
          <w:p>
            <w:pPr>
              <w:spacing w:line="276" w:lineRule="auto"/>
              <w:contextualSpacing/>
              <w:jc w:val="center"/>
              <w:rPr>
                <w:rFonts w:hint="eastAsia" w:ascii="宋体" w:hAnsi="宋体"/>
                <w:color w:val="auto"/>
                <w:sz w:val="21"/>
                <w:szCs w:val="21"/>
                <w:highlight w:val="none"/>
              </w:rPr>
            </w:pPr>
          </w:p>
        </w:tc>
        <w:tc>
          <w:tcPr>
            <w:tcW w:w="1134" w:type="dxa"/>
            <w:vMerge w:val="continue"/>
            <w:tcBorders>
              <w:top w:val="single" w:color="auto" w:sz="4" w:space="0"/>
            </w:tcBorders>
            <w:vAlign w:val="center"/>
          </w:tcPr>
          <w:p>
            <w:pPr>
              <w:spacing w:line="276" w:lineRule="auto"/>
              <w:rPr>
                <w:rFonts w:hint="eastAsia" w:ascii="宋体" w:hAnsi="宋体" w:eastAsia="宋体" w:cs="宋体"/>
                <w:color w:val="auto"/>
                <w:sz w:val="21"/>
                <w:szCs w:val="21"/>
                <w:highlight w:val="none"/>
                <w:lang w:eastAsia="zh-CN" w:bidi="ar"/>
              </w:rPr>
            </w:pPr>
          </w:p>
        </w:tc>
        <w:tc>
          <w:tcPr>
            <w:tcW w:w="709" w:type="dxa"/>
            <w:vMerge w:val="continue"/>
            <w:vAlign w:val="center"/>
          </w:tcPr>
          <w:p>
            <w:pPr>
              <w:spacing w:line="276" w:lineRule="auto"/>
              <w:rPr>
                <w:rFonts w:hint="eastAsia" w:ascii="宋体" w:hAnsi="宋体" w:eastAsia="宋体" w:cs="宋体"/>
                <w:color w:val="auto"/>
                <w:sz w:val="21"/>
                <w:szCs w:val="21"/>
                <w:highlight w:val="none"/>
                <w:lang w:eastAsia="zh-CN" w:bidi="ar"/>
              </w:rPr>
            </w:pPr>
          </w:p>
        </w:tc>
        <w:tc>
          <w:tcPr>
            <w:tcW w:w="6889" w:type="dxa"/>
            <w:gridSpan w:val="2"/>
            <w:vAlign w:val="center"/>
          </w:tcPr>
          <w:p>
            <w:pPr>
              <w:spacing w:line="276" w:lineRule="auto"/>
              <w:rPr>
                <w:rFonts w:hint="eastAsia" w:ascii="宋体" w:hAnsi="宋体" w:eastAsia="宋体" w:cs="宋体"/>
                <w:color w:val="auto"/>
                <w:sz w:val="21"/>
                <w:szCs w:val="21"/>
                <w:highlight w:val="none"/>
                <w:lang w:val="zh-CN" w:eastAsia="zh-CN" w:bidi="ar"/>
              </w:rPr>
            </w:pPr>
            <w:r>
              <w:rPr>
                <w:rFonts w:hint="eastAsia" w:ascii="宋体" w:hAnsi="宋体" w:eastAsia="宋体" w:cs="宋体"/>
                <w:color w:val="auto"/>
                <w:sz w:val="21"/>
                <w:szCs w:val="21"/>
                <w:highlight w:val="none"/>
                <w:lang w:val="zh-CN" w:eastAsia="zh-CN" w:bidi="ar"/>
              </w:rPr>
              <w:t>售后服务</w:t>
            </w:r>
            <w:r>
              <w:rPr>
                <w:rFonts w:hint="eastAsia" w:ascii="宋体" w:hAnsi="宋体" w:eastAsia="宋体" w:cs="宋体"/>
                <w:color w:val="auto"/>
                <w:sz w:val="21"/>
                <w:szCs w:val="21"/>
                <w:highlight w:val="none"/>
                <w:lang w:eastAsia="zh-CN" w:bidi="ar"/>
              </w:rPr>
              <w:t>及本地化服务</w:t>
            </w:r>
            <w:r>
              <w:rPr>
                <w:rFonts w:hint="eastAsia" w:ascii="宋体" w:hAnsi="宋体" w:eastAsia="宋体" w:cs="宋体"/>
                <w:color w:val="auto"/>
                <w:sz w:val="21"/>
                <w:szCs w:val="21"/>
                <w:highlight w:val="none"/>
                <w:lang w:val="zh-CN" w:eastAsia="zh-CN" w:bidi="ar"/>
              </w:rPr>
              <w:t>方案：包括服务响应时间、响应程度、解决问题的能力、紧急故障处理预案、培训、技术指导、</w:t>
            </w:r>
            <w:r>
              <w:rPr>
                <w:rFonts w:hint="eastAsia" w:ascii="宋体" w:hAnsi="宋体" w:eastAsia="宋体" w:cs="宋体"/>
                <w:color w:val="auto"/>
                <w:sz w:val="21"/>
                <w:szCs w:val="21"/>
                <w:highlight w:val="none"/>
                <w:lang w:eastAsia="zh-CN" w:bidi="ar"/>
              </w:rPr>
              <w:t>服务人员数量、经验</w:t>
            </w:r>
            <w:r>
              <w:rPr>
                <w:rFonts w:hint="eastAsia" w:ascii="宋体" w:hAnsi="宋体" w:eastAsia="宋体" w:cs="宋体"/>
                <w:color w:val="auto"/>
                <w:sz w:val="21"/>
                <w:szCs w:val="21"/>
                <w:highlight w:val="none"/>
                <w:lang w:val="zh-CN" w:eastAsia="zh-CN" w:bidi="ar"/>
              </w:rPr>
              <w:t>等综合评价（</w:t>
            </w:r>
            <w:r>
              <w:rPr>
                <w:rFonts w:hint="eastAsia" w:ascii="宋体" w:hAnsi="宋体" w:eastAsia="宋体" w:cs="宋体"/>
                <w:color w:val="auto"/>
                <w:sz w:val="21"/>
                <w:szCs w:val="21"/>
                <w:highlight w:val="none"/>
                <w:lang w:val="en-US" w:eastAsia="zh-CN" w:bidi="ar"/>
              </w:rPr>
              <w:t>8分</w:t>
            </w:r>
            <w:r>
              <w:rPr>
                <w:rFonts w:hint="eastAsia" w:ascii="宋体" w:hAnsi="宋体" w:eastAsia="宋体" w:cs="宋体"/>
                <w:color w:val="auto"/>
                <w:sz w:val="21"/>
                <w:szCs w:val="21"/>
                <w:highlight w:val="none"/>
                <w:lang w:val="zh-CN" w:eastAsia="zh-CN" w:bidi="ar"/>
              </w:rPr>
              <w:t>）：</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①提供的售后服务及本地化服务方案优于采购需求，完全满足采购人需求的得</w:t>
            </w:r>
            <w:r>
              <w:rPr>
                <w:rFonts w:hint="eastAsia" w:ascii="宋体" w:hAnsi="宋体" w:eastAsia="宋体" w:cs="宋体"/>
                <w:color w:val="auto"/>
                <w:sz w:val="21"/>
                <w:szCs w:val="21"/>
                <w:highlight w:val="none"/>
                <w:lang w:val="en-US" w:eastAsia="zh-CN" w:bidi="ar"/>
              </w:rPr>
              <w:t>8</w:t>
            </w:r>
            <w:r>
              <w:rPr>
                <w:rFonts w:hint="eastAsia" w:ascii="宋体" w:hAnsi="宋体" w:eastAsia="宋体" w:cs="宋体"/>
                <w:color w:val="auto"/>
                <w:sz w:val="21"/>
                <w:szCs w:val="21"/>
                <w:highlight w:val="none"/>
                <w:lang w:eastAsia="zh-CN" w:bidi="ar"/>
              </w:rPr>
              <w:t>分；</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②提供的售后服务及本地化服务方案满足采购需求，满足采购人需求的得</w:t>
            </w:r>
            <w:r>
              <w:rPr>
                <w:rFonts w:hint="eastAsia" w:ascii="宋体" w:hAnsi="宋体" w:cs="宋体"/>
                <w:color w:val="auto"/>
                <w:sz w:val="21"/>
                <w:szCs w:val="21"/>
                <w:highlight w:val="none"/>
                <w:lang w:val="en-US" w:eastAsia="zh-CN" w:bidi="ar"/>
              </w:rPr>
              <w:t>4</w:t>
            </w:r>
            <w:r>
              <w:rPr>
                <w:rFonts w:hint="eastAsia" w:ascii="宋体" w:hAnsi="宋体" w:eastAsia="宋体" w:cs="宋体"/>
                <w:color w:val="auto"/>
                <w:sz w:val="21"/>
                <w:szCs w:val="21"/>
                <w:highlight w:val="none"/>
                <w:lang w:eastAsia="zh-CN" w:bidi="ar"/>
              </w:rPr>
              <w:t>分；</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③提供的售后服务及本地化服务方案</w:t>
            </w:r>
            <w:r>
              <w:rPr>
                <w:rFonts w:hint="eastAsia" w:ascii="宋体" w:hAnsi="宋体" w:cs="宋体"/>
                <w:color w:val="auto"/>
                <w:sz w:val="21"/>
                <w:szCs w:val="21"/>
                <w:highlight w:val="none"/>
                <w:lang w:eastAsia="zh-CN" w:bidi="ar"/>
              </w:rPr>
              <w:t>有缺失或不能满足</w:t>
            </w:r>
            <w:r>
              <w:rPr>
                <w:rFonts w:hint="eastAsia" w:ascii="宋体" w:hAnsi="宋体" w:eastAsia="宋体" w:cs="宋体"/>
                <w:color w:val="auto"/>
                <w:sz w:val="21"/>
                <w:szCs w:val="21"/>
                <w:highlight w:val="none"/>
                <w:lang w:eastAsia="zh-CN" w:bidi="ar"/>
              </w:rPr>
              <w:t>采购需求，</w:t>
            </w:r>
            <w:r>
              <w:rPr>
                <w:rFonts w:hint="eastAsia" w:ascii="宋体" w:hAnsi="宋体" w:cs="宋体"/>
                <w:color w:val="auto"/>
                <w:sz w:val="21"/>
                <w:szCs w:val="21"/>
                <w:highlight w:val="none"/>
                <w:lang w:eastAsia="zh-CN" w:bidi="ar"/>
              </w:rPr>
              <w:t>不能</w:t>
            </w:r>
            <w:r>
              <w:rPr>
                <w:rFonts w:hint="eastAsia" w:ascii="宋体" w:hAnsi="宋体" w:eastAsia="宋体" w:cs="宋体"/>
                <w:color w:val="auto"/>
                <w:sz w:val="21"/>
                <w:szCs w:val="21"/>
                <w:highlight w:val="none"/>
                <w:lang w:eastAsia="zh-CN" w:bidi="ar"/>
              </w:rPr>
              <w:t>满足采购人需求的得</w:t>
            </w:r>
            <w:r>
              <w:rPr>
                <w:rFonts w:hint="eastAsia" w:ascii="宋体" w:hAnsi="宋体" w:cs="宋体"/>
                <w:color w:val="auto"/>
                <w:sz w:val="21"/>
                <w:szCs w:val="21"/>
                <w:highlight w:val="none"/>
                <w:lang w:val="en-US" w:eastAsia="zh-CN" w:bidi="ar"/>
              </w:rPr>
              <w:t>2</w:t>
            </w:r>
            <w:r>
              <w:rPr>
                <w:rFonts w:hint="eastAsia" w:ascii="宋体" w:hAnsi="宋体" w:eastAsia="宋体" w:cs="宋体"/>
                <w:color w:val="auto"/>
                <w:sz w:val="21"/>
                <w:szCs w:val="21"/>
                <w:highlight w:val="none"/>
                <w:lang w:eastAsia="zh-CN" w:bidi="ar"/>
              </w:rPr>
              <w:t>分；</w:t>
            </w:r>
          </w:p>
          <w:p>
            <w:pPr>
              <w:spacing w:line="276" w:lineRule="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val="en-US" w:eastAsia="zh-CN" w:bidi="ar"/>
              </w:rPr>
              <w:t>④未提供本项内容的得0分。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continue"/>
            <w:vAlign w:val="center"/>
          </w:tcPr>
          <w:p>
            <w:pPr>
              <w:spacing w:line="276" w:lineRule="auto"/>
              <w:contextualSpacing/>
              <w:jc w:val="center"/>
              <w:rPr>
                <w:rFonts w:ascii="宋体" w:hAnsi="宋体"/>
                <w:color w:val="auto"/>
                <w:sz w:val="21"/>
                <w:szCs w:val="21"/>
                <w:highlight w:val="none"/>
              </w:rPr>
            </w:pPr>
          </w:p>
        </w:tc>
        <w:tc>
          <w:tcPr>
            <w:tcW w:w="1134" w:type="dxa"/>
            <w:vMerge w:val="restart"/>
            <w:tcBorders>
              <w:top w:val="single" w:color="auto" w:sz="4" w:space="0"/>
            </w:tcBorders>
            <w:vAlign w:val="center"/>
          </w:tcPr>
          <w:p>
            <w:pPr>
              <w:spacing w:line="276" w:lineRule="auto"/>
              <w:jc w:val="both"/>
              <w:rPr>
                <w:rFonts w:ascii="宋体" w:hAnsi="宋体" w:cs="宋体"/>
                <w:color w:val="auto"/>
                <w:kern w:val="2"/>
                <w:sz w:val="21"/>
                <w:szCs w:val="21"/>
                <w:highlight w:val="none"/>
                <w:lang w:bidi="ar"/>
              </w:rPr>
            </w:pPr>
            <w:r>
              <w:rPr>
                <w:rFonts w:hint="eastAsia" w:ascii="宋体" w:hAnsi="宋体"/>
                <w:color w:val="auto"/>
                <w:sz w:val="21"/>
                <w:szCs w:val="21"/>
                <w:highlight w:val="none"/>
              </w:rPr>
              <w:t>工程保障能力</w:t>
            </w:r>
          </w:p>
        </w:tc>
        <w:tc>
          <w:tcPr>
            <w:tcW w:w="709" w:type="dxa"/>
            <w:vMerge w:val="restart"/>
            <w:vAlign w:val="center"/>
          </w:tcPr>
          <w:p>
            <w:pPr>
              <w:spacing w:line="276" w:lineRule="auto"/>
              <w:jc w:val="center"/>
              <w:rPr>
                <w:rFonts w:hint="eastAsia" w:ascii="宋体" w:hAnsi="宋体" w:eastAsia="宋体" w:cs="宋体"/>
                <w:color w:val="auto"/>
                <w:kern w:val="2"/>
                <w:sz w:val="21"/>
                <w:szCs w:val="21"/>
                <w:highlight w:val="none"/>
                <w:lang w:eastAsia="zh-CN" w:bidi="ar"/>
              </w:rPr>
            </w:pPr>
            <w:r>
              <w:rPr>
                <w:rFonts w:hint="eastAsia" w:ascii="宋体" w:hAnsi="宋体" w:cs="宋体"/>
                <w:color w:val="auto"/>
                <w:kern w:val="2"/>
                <w:sz w:val="21"/>
                <w:szCs w:val="21"/>
                <w:highlight w:val="none"/>
                <w:lang w:bidi="ar"/>
              </w:rPr>
              <w:t>1</w:t>
            </w:r>
            <w:r>
              <w:rPr>
                <w:rFonts w:hint="eastAsia" w:ascii="宋体" w:hAnsi="宋体" w:cs="宋体"/>
                <w:color w:val="auto"/>
                <w:kern w:val="2"/>
                <w:sz w:val="21"/>
                <w:szCs w:val="21"/>
                <w:highlight w:val="none"/>
                <w:lang w:val="en-US" w:eastAsia="zh-CN" w:bidi="ar"/>
              </w:rPr>
              <w:t>0</w:t>
            </w:r>
          </w:p>
        </w:tc>
        <w:tc>
          <w:tcPr>
            <w:tcW w:w="873" w:type="dxa"/>
            <w:tcBorders>
              <w:right w:val="single" w:color="auto" w:sz="4" w:space="0"/>
            </w:tcBorders>
            <w:vAlign w:val="center"/>
          </w:tcPr>
          <w:p>
            <w:pPr>
              <w:spacing w:line="276" w:lineRule="auto"/>
              <w:contextualSpacing/>
              <w:rPr>
                <w:rFonts w:hint="eastAsia" w:ascii="宋体" w:hAnsi="宋体" w:eastAsia="宋体" w:cs="宋体"/>
                <w:color w:val="auto"/>
                <w:kern w:val="2"/>
                <w:sz w:val="21"/>
                <w:szCs w:val="21"/>
                <w:highlight w:val="none"/>
                <w:lang w:bidi="ar"/>
              </w:rPr>
            </w:pPr>
            <w:r>
              <w:rPr>
                <w:rFonts w:hint="eastAsia" w:ascii="宋体" w:hAnsi="宋体" w:eastAsia="宋体" w:cs="宋体"/>
                <w:color w:val="auto"/>
                <w:sz w:val="21"/>
                <w:szCs w:val="21"/>
                <w:highlight w:val="none"/>
              </w:rPr>
              <w:t>车辆保障能力（5分）</w:t>
            </w:r>
          </w:p>
        </w:tc>
        <w:tc>
          <w:tcPr>
            <w:tcW w:w="6016" w:type="dxa"/>
            <w:tcBorders>
              <w:left w:val="single" w:color="auto" w:sz="4" w:space="0"/>
            </w:tcBorders>
            <w:vAlign w:val="center"/>
          </w:tcPr>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拟投入本项目的车辆（5分）</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投标人自有的车辆，包括吊车（登高车）、货车及其它工程作业车辆等：</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划线车1辆得1.5分，每增加一辆加0.5分，最多得2分；</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登高车1辆得0.5分，每增加一辆加0.5分，最多得1分；（登高车可以为专项作业车或者为货车加装升降机架）</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货车1辆得1.5分，每增加一辆加0.5分，最多得2分；</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车辆合计最多得5分。</w:t>
            </w:r>
          </w:p>
          <w:p>
            <w:pPr>
              <w:spacing w:line="276" w:lineRule="auto"/>
              <w:contextualSpacing/>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p>
            <w:pPr>
              <w:spacing w:line="276" w:lineRule="auto"/>
              <w:contextualSpacing/>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1)根据《车辆保障能力汇总表样表》提供汇总表，</w:t>
            </w:r>
            <w:r>
              <w:rPr>
                <w:rFonts w:hint="eastAsia" w:ascii="宋体" w:hAnsi="宋体" w:eastAsia="宋体" w:cs="宋体"/>
                <w:b/>
                <w:bCs/>
                <w:color w:val="auto"/>
                <w:sz w:val="21"/>
                <w:szCs w:val="21"/>
                <w:highlight w:val="none"/>
              </w:rPr>
              <w:t>未提供的不得分</w:t>
            </w:r>
            <w:r>
              <w:rPr>
                <w:rFonts w:hint="eastAsia" w:ascii="宋体" w:hAnsi="宋体" w:eastAsia="宋体" w:cs="宋体"/>
                <w:b/>
                <w:color w:val="auto"/>
                <w:sz w:val="21"/>
                <w:szCs w:val="21"/>
                <w:highlight w:val="none"/>
              </w:rPr>
              <w:t>；</w:t>
            </w:r>
          </w:p>
          <w:p>
            <w:pPr>
              <w:spacing w:line="276" w:lineRule="auto"/>
              <w:contextualSpacing/>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2)投标文件中提供投标人自有的车辆行驶证复印件加盖公章，若划线车和登高车（由货车加装升降机改装的）则须另行提供清晰的照片，否则本项不得分。</w:t>
            </w:r>
          </w:p>
          <w:p>
            <w:pPr>
              <w:spacing w:line="276" w:lineRule="auto"/>
              <w:contextualSpacing/>
              <w:rPr>
                <w:rFonts w:hint="eastAsia" w:ascii="宋体" w:hAnsi="宋体" w:eastAsia="宋体" w:cs="宋体"/>
                <w:color w:val="auto"/>
                <w:kern w:val="2"/>
                <w:sz w:val="21"/>
                <w:szCs w:val="21"/>
                <w:highlight w:val="none"/>
                <w:lang w:bidi="ar"/>
              </w:rPr>
            </w:pPr>
            <w:r>
              <w:rPr>
                <w:rFonts w:hint="eastAsia" w:ascii="宋体" w:hAnsi="宋体" w:eastAsia="宋体" w:cs="宋体"/>
                <w:b/>
                <w:color w:val="auto"/>
                <w:sz w:val="21"/>
                <w:szCs w:val="21"/>
                <w:highlight w:val="none"/>
              </w:rPr>
              <w:t>3）开标时提供以上行驶证原件备查，未提供的不得分。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continue"/>
            <w:vAlign w:val="center"/>
          </w:tcPr>
          <w:p>
            <w:pPr>
              <w:spacing w:line="276" w:lineRule="auto"/>
              <w:contextualSpacing/>
              <w:jc w:val="center"/>
              <w:rPr>
                <w:rFonts w:ascii="宋体" w:hAnsi="宋体"/>
                <w:color w:val="auto"/>
                <w:sz w:val="21"/>
                <w:szCs w:val="21"/>
                <w:highlight w:val="none"/>
              </w:rPr>
            </w:pPr>
          </w:p>
        </w:tc>
        <w:tc>
          <w:tcPr>
            <w:tcW w:w="1134" w:type="dxa"/>
            <w:vMerge w:val="continue"/>
            <w:vAlign w:val="center"/>
          </w:tcPr>
          <w:p>
            <w:pPr>
              <w:spacing w:line="276" w:lineRule="auto"/>
              <w:jc w:val="both"/>
              <w:rPr>
                <w:rFonts w:hint="eastAsia" w:ascii="宋体" w:hAnsi="宋体"/>
                <w:color w:val="auto"/>
                <w:sz w:val="21"/>
                <w:szCs w:val="21"/>
                <w:highlight w:val="none"/>
              </w:rPr>
            </w:pPr>
          </w:p>
        </w:tc>
        <w:tc>
          <w:tcPr>
            <w:tcW w:w="709" w:type="dxa"/>
            <w:vMerge w:val="continue"/>
            <w:vAlign w:val="center"/>
          </w:tcPr>
          <w:p>
            <w:pPr>
              <w:spacing w:line="276" w:lineRule="auto"/>
              <w:jc w:val="center"/>
              <w:rPr>
                <w:rFonts w:hint="eastAsia" w:ascii="宋体" w:hAnsi="宋体" w:cs="宋体"/>
                <w:color w:val="auto"/>
                <w:kern w:val="2"/>
                <w:sz w:val="21"/>
                <w:szCs w:val="21"/>
                <w:highlight w:val="none"/>
                <w:lang w:bidi="ar"/>
              </w:rPr>
            </w:pPr>
          </w:p>
        </w:tc>
        <w:tc>
          <w:tcPr>
            <w:tcW w:w="873" w:type="dxa"/>
            <w:tcBorders>
              <w:right w:val="single" w:color="auto" w:sz="4" w:space="0"/>
            </w:tcBorders>
            <w:vAlign w:val="center"/>
          </w:tcPr>
          <w:p>
            <w:pPr>
              <w:spacing w:line="276" w:lineRule="auto"/>
              <w:contextualSpacing/>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人员安排方案（5分）</w:t>
            </w:r>
          </w:p>
        </w:tc>
        <w:tc>
          <w:tcPr>
            <w:tcW w:w="6016" w:type="dxa"/>
            <w:tcBorders>
              <w:left w:val="single" w:color="auto" w:sz="4" w:space="0"/>
            </w:tcBorders>
            <w:vAlign w:val="center"/>
          </w:tcPr>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本项目拟投入人力安排（5分）</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（1）维护班组负责人具有中级及以上职称或取得</w:t>
            </w:r>
            <w:r>
              <w:rPr>
                <w:rFonts w:hint="eastAsia" w:ascii="宋体" w:hAnsi="宋体" w:eastAsia="宋体" w:cs="宋体"/>
                <w:color w:val="auto"/>
                <w:sz w:val="21"/>
                <w:szCs w:val="21"/>
                <w:highlight w:val="none"/>
                <w:lang w:val="en-US" w:eastAsia="zh-CN"/>
              </w:rPr>
              <w:t>注册</w:t>
            </w:r>
            <w:r>
              <w:rPr>
                <w:rFonts w:hint="eastAsia" w:ascii="宋体" w:hAnsi="宋体" w:eastAsia="宋体" w:cs="宋体"/>
                <w:color w:val="auto"/>
                <w:sz w:val="21"/>
                <w:szCs w:val="21"/>
                <w:highlight w:val="none"/>
              </w:rPr>
              <w:t>建造师</w:t>
            </w:r>
            <w:r>
              <w:rPr>
                <w:rFonts w:hint="eastAsia" w:ascii="宋体" w:hAnsi="宋体" w:eastAsia="宋体" w:cs="宋体"/>
                <w:color w:val="auto"/>
                <w:sz w:val="21"/>
                <w:szCs w:val="21"/>
                <w:highlight w:val="none"/>
                <w:lang w:val="en-US" w:eastAsia="zh-CN"/>
              </w:rPr>
              <w:t>证书</w:t>
            </w:r>
            <w:r>
              <w:rPr>
                <w:rFonts w:hint="eastAsia" w:ascii="宋体" w:hAnsi="宋体" w:eastAsia="宋体" w:cs="宋体"/>
                <w:color w:val="auto"/>
                <w:sz w:val="21"/>
                <w:szCs w:val="21"/>
                <w:highlight w:val="none"/>
              </w:rPr>
              <w:t>的得1分，没有的不得分；安全员、质量人员等取得相应证书的每个得0.5分，满分1分；本项满分2分。</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（2）每日巡查、排查、维护人员4人（含）以上的得1分，每增加一个人得0.5分，最多得2分。</w:t>
            </w:r>
          </w:p>
          <w:p>
            <w:pPr>
              <w:spacing w:line="276" w:lineRule="auto"/>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（3）交通设施基础信息数据录入人员学历水平大专的得0.5，本科及以上学历得1分。</w:t>
            </w:r>
          </w:p>
          <w:p>
            <w:pPr>
              <w:spacing w:line="276" w:lineRule="auto"/>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p>
            <w:pPr>
              <w:spacing w:line="276" w:lineRule="auto"/>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1)投标人需根据《人员保障能力汇总表样表》提供，未提供的不得分；</w:t>
            </w:r>
          </w:p>
          <w:p>
            <w:pPr>
              <w:spacing w:line="276" w:lineRule="auto"/>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2)投标文件中提供</w:t>
            </w:r>
            <w:r>
              <w:rPr>
                <w:rFonts w:hint="eastAsia" w:ascii="宋体" w:hAnsi="宋体" w:eastAsia="宋体" w:cs="宋体"/>
                <w:b/>
                <w:color w:val="auto"/>
                <w:sz w:val="21"/>
                <w:szCs w:val="21"/>
                <w:highlight w:val="none"/>
              </w:rPr>
              <w:t>管理和作业人员的的身份证复印件、学历证明复印件、职称（资格证书）复印件、社保机构出具的相关人员最近半年在投标人公司的社保缴费流水清单表（并加盖社保机构单位章）原件</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投标时提供相应复印件的原件备查，未提供的不得分。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795" w:type="dxa"/>
            <w:vMerge w:val="continue"/>
            <w:vAlign w:val="center"/>
          </w:tcPr>
          <w:p>
            <w:pPr>
              <w:spacing w:line="276" w:lineRule="auto"/>
              <w:contextualSpacing/>
              <w:rPr>
                <w:rFonts w:ascii="宋体" w:hAnsi="宋体"/>
                <w:color w:val="auto"/>
                <w:sz w:val="21"/>
                <w:szCs w:val="21"/>
                <w:highlight w:val="none"/>
              </w:rPr>
            </w:pPr>
          </w:p>
        </w:tc>
        <w:tc>
          <w:tcPr>
            <w:tcW w:w="1134" w:type="dxa"/>
            <w:vAlign w:val="center"/>
          </w:tcPr>
          <w:p>
            <w:pPr>
              <w:spacing w:line="276" w:lineRule="auto"/>
              <w:jc w:val="center"/>
              <w:rPr>
                <w:rFonts w:ascii="宋体" w:hAnsi="宋体" w:cs="宋体"/>
                <w:color w:val="auto"/>
                <w:kern w:val="2"/>
                <w:sz w:val="21"/>
                <w:szCs w:val="21"/>
                <w:highlight w:val="none"/>
                <w:lang w:bidi="ar"/>
              </w:rPr>
            </w:pPr>
            <w:r>
              <w:rPr>
                <w:rFonts w:hint="eastAsia" w:ascii="宋体" w:hAnsi="宋体" w:cs="宋体"/>
                <w:color w:val="auto"/>
                <w:kern w:val="2"/>
                <w:sz w:val="21"/>
                <w:szCs w:val="21"/>
                <w:highlight w:val="none"/>
                <w:lang w:bidi="ar"/>
              </w:rPr>
              <w:t>合理化</w:t>
            </w:r>
            <w:r>
              <w:rPr>
                <w:rFonts w:ascii="宋体" w:hAnsi="宋体" w:cs="宋体"/>
                <w:color w:val="auto"/>
                <w:kern w:val="2"/>
                <w:sz w:val="21"/>
                <w:szCs w:val="21"/>
                <w:highlight w:val="none"/>
                <w:lang w:bidi="ar"/>
              </w:rPr>
              <w:t>建议</w:t>
            </w:r>
            <w:r>
              <w:rPr>
                <w:rFonts w:hint="eastAsia" w:ascii="宋体" w:hAnsi="宋体" w:cs="宋体"/>
                <w:color w:val="auto"/>
                <w:kern w:val="2"/>
                <w:sz w:val="21"/>
                <w:szCs w:val="21"/>
                <w:highlight w:val="none"/>
                <w:lang w:bidi="ar"/>
              </w:rPr>
              <w:t>评价</w:t>
            </w:r>
          </w:p>
        </w:tc>
        <w:tc>
          <w:tcPr>
            <w:tcW w:w="709" w:type="dxa"/>
            <w:vAlign w:val="center"/>
          </w:tcPr>
          <w:p>
            <w:pPr>
              <w:spacing w:line="276" w:lineRule="auto"/>
              <w:jc w:val="center"/>
              <w:rPr>
                <w:rFonts w:ascii="宋体" w:hAnsi="宋体" w:cs="宋体"/>
                <w:color w:val="auto"/>
                <w:kern w:val="2"/>
                <w:sz w:val="21"/>
                <w:szCs w:val="21"/>
                <w:highlight w:val="none"/>
                <w:lang w:bidi="ar"/>
              </w:rPr>
            </w:pPr>
            <w:r>
              <w:rPr>
                <w:rFonts w:hint="eastAsia" w:ascii="宋体" w:hAnsi="宋体" w:cs="宋体"/>
                <w:color w:val="auto"/>
                <w:kern w:val="2"/>
                <w:sz w:val="21"/>
                <w:szCs w:val="21"/>
                <w:highlight w:val="none"/>
                <w:lang w:bidi="ar"/>
              </w:rPr>
              <w:t>2</w:t>
            </w:r>
          </w:p>
        </w:tc>
        <w:tc>
          <w:tcPr>
            <w:tcW w:w="6889" w:type="dxa"/>
            <w:gridSpan w:val="2"/>
            <w:vAlign w:val="center"/>
          </w:tcPr>
          <w:p>
            <w:pPr>
              <w:pStyle w:val="2"/>
              <w:rPr>
                <w:rFonts w:hint="eastAsia" w:eastAsia="宋体"/>
                <w:highlight w:val="none"/>
                <w:lang w:eastAsia="zh-CN"/>
              </w:rPr>
            </w:pPr>
            <w:r>
              <w:rPr>
                <w:rFonts w:hint="eastAsia" w:ascii="Times New Roman" w:hAnsi="Times New Roman" w:eastAsia="宋体" w:cs="Times New Roman"/>
                <w:kern w:val="0"/>
                <w:sz w:val="24"/>
                <w:highlight w:val="none"/>
                <w:lang w:val="en-US" w:eastAsia="zh-CN" w:bidi="ar-SA"/>
              </w:rPr>
              <w:t>根据供应商针对本项目提供的合理化建议进行评议。（0-2分）。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4" w:hRule="atLeast"/>
          <w:jc w:val="center"/>
        </w:trPr>
        <w:tc>
          <w:tcPr>
            <w:tcW w:w="795" w:type="dxa"/>
            <w:vMerge w:val="continue"/>
            <w:vAlign w:val="center"/>
          </w:tcPr>
          <w:p>
            <w:pPr>
              <w:spacing w:line="276" w:lineRule="auto"/>
              <w:contextualSpacing/>
              <w:rPr>
                <w:rFonts w:ascii="宋体" w:hAnsi="宋体"/>
                <w:color w:val="auto"/>
                <w:sz w:val="21"/>
                <w:szCs w:val="21"/>
                <w:highlight w:val="none"/>
              </w:rPr>
            </w:pPr>
          </w:p>
        </w:tc>
        <w:tc>
          <w:tcPr>
            <w:tcW w:w="1134" w:type="dxa"/>
            <w:vMerge w:val="restart"/>
            <w:tcBorders>
              <w:top w:val="single" w:color="auto" w:sz="4" w:space="0"/>
            </w:tcBorders>
            <w:vAlign w:val="center"/>
          </w:tcPr>
          <w:p>
            <w:pPr>
              <w:spacing w:line="276" w:lineRule="auto"/>
              <w:jc w:val="center"/>
              <w:rPr>
                <w:rFonts w:ascii="宋体" w:hAnsi="宋体" w:cs="宋体"/>
                <w:color w:val="auto"/>
                <w:kern w:val="2"/>
                <w:sz w:val="21"/>
                <w:szCs w:val="21"/>
                <w:highlight w:val="none"/>
                <w:lang w:bidi="ar"/>
              </w:rPr>
            </w:pPr>
            <w:r>
              <w:rPr>
                <w:rFonts w:hint="eastAsia" w:ascii="宋体" w:hAnsi="宋体" w:cs="宋体"/>
                <w:color w:val="auto"/>
                <w:kern w:val="2"/>
                <w:sz w:val="21"/>
                <w:szCs w:val="21"/>
                <w:highlight w:val="none"/>
                <w:lang w:bidi="ar"/>
              </w:rPr>
              <w:t>样品</w:t>
            </w:r>
          </w:p>
        </w:tc>
        <w:tc>
          <w:tcPr>
            <w:tcW w:w="709" w:type="dxa"/>
            <w:vMerge w:val="restart"/>
            <w:tcBorders>
              <w:top w:val="single" w:color="auto" w:sz="4" w:space="0"/>
            </w:tcBorders>
            <w:vAlign w:val="center"/>
          </w:tcPr>
          <w:p>
            <w:pPr>
              <w:snapToGrid w:val="0"/>
              <w:spacing w:line="276" w:lineRule="auto"/>
              <w:jc w:val="center"/>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15</w:t>
            </w:r>
          </w:p>
        </w:tc>
        <w:tc>
          <w:tcPr>
            <w:tcW w:w="6889" w:type="dxa"/>
            <w:gridSpan w:val="2"/>
            <w:tcBorders>
              <w:top w:val="single" w:color="auto" w:sz="4" w:space="0"/>
              <w:bottom w:val="single" w:color="auto" w:sz="4" w:space="0"/>
            </w:tcBorders>
            <w:vAlign w:val="center"/>
          </w:tcPr>
          <w:p>
            <w:pPr>
              <w:pStyle w:val="175"/>
              <w:spacing w:line="276" w:lineRule="auto"/>
              <w:ind w:firstLine="0" w:firstLineChars="0"/>
              <w:contextualSpacing/>
              <w:rPr>
                <w:rFonts w:hint="eastAsia" w:ascii="宋体" w:hAnsi="宋体"/>
                <w:color w:val="auto"/>
                <w:sz w:val="21"/>
                <w:szCs w:val="21"/>
                <w:highlight w:val="none"/>
              </w:rPr>
            </w:pPr>
            <w:r>
              <w:rPr>
                <w:rFonts w:hint="eastAsia" w:ascii="宋体" w:hAnsi="宋体"/>
                <w:color w:val="auto"/>
                <w:sz w:val="21"/>
                <w:szCs w:val="21"/>
                <w:highlight w:val="none"/>
              </w:rPr>
              <w:t>1、标线，根据样品的材质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0-2</w:t>
            </w:r>
            <w:r>
              <w:rPr>
                <w:rFonts w:hint="eastAsia" w:ascii="宋体" w:hAnsi="宋体"/>
                <w:color w:val="auto"/>
                <w:sz w:val="21"/>
                <w:szCs w:val="21"/>
                <w:highlight w:val="none"/>
                <w:lang w:eastAsia="zh-CN"/>
              </w:rPr>
              <w:t>）</w:t>
            </w:r>
            <w:r>
              <w:rPr>
                <w:rFonts w:hint="eastAsia" w:ascii="宋体" w:hAnsi="宋体"/>
                <w:color w:val="auto"/>
                <w:sz w:val="21"/>
                <w:szCs w:val="21"/>
                <w:highlight w:val="none"/>
              </w:rPr>
              <w:t>、</w:t>
            </w:r>
            <w:r>
              <w:rPr>
                <w:rFonts w:hint="eastAsia" w:ascii="宋体" w:hAnsi="宋体"/>
                <w:color w:val="auto"/>
                <w:sz w:val="21"/>
                <w:szCs w:val="21"/>
                <w:highlight w:val="none"/>
                <w:lang w:eastAsia="zh-CN"/>
              </w:rPr>
              <w:t>反光系数（</w:t>
            </w:r>
            <w:r>
              <w:rPr>
                <w:rFonts w:hint="eastAsia" w:ascii="宋体" w:hAnsi="宋体"/>
                <w:color w:val="auto"/>
                <w:sz w:val="21"/>
                <w:szCs w:val="21"/>
                <w:highlight w:val="none"/>
                <w:lang w:val="en-US" w:eastAsia="zh-CN"/>
              </w:rPr>
              <w:t>0-2</w:t>
            </w:r>
            <w:r>
              <w:rPr>
                <w:rFonts w:hint="eastAsia" w:ascii="宋体" w:hAnsi="宋体"/>
                <w:color w:val="auto"/>
                <w:sz w:val="21"/>
                <w:szCs w:val="21"/>
                <w:highlight w:val="none"/>
                <w:lang w:eastAsia="zh-CN"/>
              </w:rPr>
              <w:t>）、加工工艺（</w:t>
            </w:r>
            <w:r>
              <w:rPr>
                <w:rFonts w:hint="eastAsia" w:ascii="宋体" w:hAnsi="宋体"/>
                <w:color w:val="auto"/>
                <w:sz w:val="21"/>
                <w:szCs w:val="21"/>
                <w:highlight w:val="none"/>
                <w:lang w:val="en-US" w:eastAsia="zh-CN"/>
              </w:rPr>
              <w:t>0-1</w:t>
            </w:r>
            <w:r>
              <w:rPr>
                <w:rFonts w:hint="eastAsia" w:ascii="宋体" w:hAnsi="宋体"/>
                <w:color w:val="auto"/>
                <w:sz w:val="21"/>
                <w:szCs w:val="21"/>
                <w:highlight w:val="none"/>
                <w:lang w:eastAsia="zh-CN"/>
              </w:rPr>
              <w:t>）</w:t>
            </w:r>
            <w:r>
              <w:rPr>
                <w:rFonts w:hint="eastAsia" w:ascii="宋体" w:hAnsi="宋体"/>
                <w:color w:val="auto"/>
                <w:sz w:val="21"/>
                <w:szCs w:val="21"/>
                <w:highlight w:val="none"/>
              </w:rPr>
              <w:t>进行评议</w:t>
            </w:r>
            <w:r>
              <w:rPr>
                <w:rFonts w:hint="eastAsia" w:ascii="宋体" w:hAnsi="宋体"/>
                <w:color w:val="auto"/>
                <w:sz w:val="21"/>
                <w:szCs w:val="21"/>
                <w:highlight w:val="none"/>
                <w:lang w:eastAsia="zh-CN"/>
              </w:rPr>
              <w:t>。</w:t>
            </w:r>
            <w:r>
              <w:rPr>
                <w:rFonts w:hint="eastAsia" w:ascii="宋体" w:hAnsi="宋体"/>
                <w:color w:val="auto"/>
                <w:sz w:val="21"/>
                <w:szCs w:val="21"/>
                <w:highlight w:val="none"/>
              </w:rPr>
              <w:tab/>
            </w:r>
          </w:p>
          <w:p>
            <w:pPr>
              <w:pStyle w:val="175"/>
              <w:spacing w:line="276" w:lineRule="auto"/>
              <w:ind w:firstLine="0" w:firstLineChars="0"/>
              <w:contextualSpacing/>
              <w:rPr>
                <w:rFonts w:hint="eastAsia" w:ascii="宋体" w:hAnsi="宋体"/>
                <w:color w:val="auto"/>
                <w:sz w:val="21"/>
                <w:szCs w:val="21"/>
                <w:highlight w:val="none"/>
              </w:rPr>
            </w:pPr>
            <w:r>
              <w:rPr>
                <w:rFonts w:hint="eastAsia" w:ascii="宋体" w:hAnsi="宋体"/>
                <w:color w:val="auto"/>
                <w:sz w:val="21"/>
                <w:szCs w:val="21"/>
                <w:highlight w:val="none"/>
              </w:rPr>
              <w:t>铝板（须略宽于标线）上画1.5米长15公分宽喷涂型白色双组份标线）一块；</w:t>
            </w:r>
            <w:r>
              <w:rPr>
                <w:rFonts w:hint="eastAsia" w:ascii="宋体" w:hAnsi="宋体"/>
                <w:color w:val="auto"/>
                <w:sz w:val="21"/>
                <w:szCs w:val="21"/>
                <w:highlight w:val="none"/>
              </w:rPr>
              <w:tab/>
            </w:r>
          </w:p>
          <w:p>
            <w:pPr>
              <w:pStyle w:val="175"/>
              <w:spacing w:line="276" w:lineRule="auto"/>
              <w:ind w:firstLine="0" w:firstLineChars="0"/>
              <w:contextualSpacing/>
              <w:rPr>
                <w:rFonts w:ascii="宋体" w:hAnsi="宋体" w:cs="宋体"/>
                <w:color w:val="auto"/>
                <w:kern w:val="2"/>
                <w:sz w:val="21"/>
                <w:szCs w:val="21"/>
                <w:highlight w:val="none"/>
                <w:lang w:bidi="ar"/>
              </w:rPr>
            </w:pPr>
            <w:r>
              <w:rPr>
                <w:rFonts w:hint="eastAsia" w:ascii="宋体" w:hAnsi="宋体"/>
                <w:b/>
                <w:bCs/>
                <w:color w:val="auto"/>
                <w:sz w:val="21"/>
                <w:szCs w:val="21"/>
                <w:highlight w:val="none"/>
              </w:rPr>
              <w:t>备注：投标文件中须注明涂料供应商及涂料的型号类型，否则将酌情扣分。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4" w:hRule="atLeast"/>
          <w:jc w:val="center"/>
        </w:trPr>
        <w:tc>
          <w:tcPr>
            <w:tcW w:w="795" w:type="dxa"/>
            <w:vMerge w:val="continue"/>
            <w:vAlign w:val="center"/>
          </w:tcPr>
          <w:p>
            <w:pPr>
              <w:spacing w:line="276" w:lineRule="auto"/>
              <w:contextualSpacing/>
              <w:rPr>
                <w:rFonts w:ascii="宋体" w:hAnsi="宋体"/>
                <w:color w:val="auto"/>
                <w:sz w:val="21"/>
                <w:szCs w:val="21"/>
                <w:highlight w:val="none"/>
              </w:rPr>
            </w:pPr>
          </w:p>
        </w:tc>
        <w:tc>
          <w:tcPr>
            <w:tcW w:w="1134" w:type="dxa"/>
            <w:vMerge w:val="continue"/>
            <w:vAlign w:val="center"/>
          </w:tcPr>
          <w:p>
            <w:pPr>
              <w:spacing w:line="276" w:lineRule="auto"/>
              <w:jc w:val="center"/>
              <w:rPr>
                <w:rFonts w:hint="eastAsia" w:ascii="宋体" w:hAnsi="宋体" w:cs="宋体"/>
                <w:color w:val="auto"/>
                <w:kern w:val="2"/>
                <w:sz w:val="21"/>
                <w:szCs w:val="21"/>
                <w:highlight w:val="none"/>
                <w:lang w:bidi="ar"/>
              </w:rPr>
            </w:pPr>
          </w:p>
        </w:tc>
        <w:tc>
          <w:tcPr>
            <w:tcW w:w="709" w:type="dxa"/>
            <w:vMerge w:val="continue"/>
            <w:vAlign w:val="center"/>
          </w:tcPr>
          <w:p>
            <w:pPr>
              <w:snapToGrid w:val="0"/>
              <w:spacing w:line="276" w:lineRule="auto"/>
              <w:jc w:val="center"/>
              <w:rPr>
                <w:rFonts w:ascii="宋体" w:hAnsi="宋体" w:cs="宋体"/>
                <w:color w:val="auto"/>
                <w:kern w:val="2"/>
                <w:sz w:val="21"/>
                <w:szCs w:val="21"/>
                <w:highlight w:val="none"/>
                <w:lang w:bidi="ar"/>
              </w:rPr>
            </w:pPr>
          </w:p>
        </w:tc>
        <w:tc>
          <w:tcPr>
            <w:tcW w:w="6889" w:type="dxa"/>
            <w:gridSpan w:val="2"/>
            <w:tcBorders>
              <w:top w:val="single" w:color="auto" w:sz="4" w:space="0"/>
              <w:bottom w:val="single" w:color="auto" w:sz="4" w:space="0"/>
            </w:tcBorders>
            <w:vAlign w:val="center"/>
          </w:tcPr>
          <w:p>
            <w:pPr>
              <w:pStyle w:val="175"/>
              <w:spacing w:line="276" w:lineRule="auto"/>
              <w:ind w:firstLine="0" w:firstLineChars="0"/>
              <w:contextualSpacing/>
              <w:rPr>
                <w:rFonts w:hint="eastAsia" w:ascii="宋体" w:hAnsi="宋体"/>
                <w:color w:val="auto"/>
                <w:sz w:val="21"/>
                <w:szCs w:val="21"/>
                <w:highlight w:val="none"/>
              </w:rPr>
            </w:pPr>
            <w:r>
              <w:rPr>
                <w:rFonts w:hint="eastAsia" w:ascii="宋体" w:hAnsi="宋体"/>
                <w:color w:val="auto"/>
                <w:sz w:val="21"/>
                <w:szCs w:val="21"/>
                <w:highlight w:val="none"/>
              </w:rPr>
              <w:t>2、标志，根据样品的材质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0-2</w:t>
            </w:r>
            <w:r>
              <w:rPr>
                <w:rFonts w:hint="eastAsia" w:ascii="宋体" w:hAnsi="宋体"/>
                <w:color w:val="auto"/>
                <w:sz w:val="21"/>
                <w:szCs w:val="21"/>
                <w:highlight w:val="none"/>
                <w:lang w:eastAsia="zh-CN"/>
              </w:rPr>
              <w:t>）</w:t>
            </w:r>
            <w:r>
              <w:rPr>
                <w:rFonts w:hint="eastAsia" w:ascii="宋体" w:hAnsi="宋体"/>
                <w:color w:val="auto"/>
                <w:sz w:val="21"/>
                <w:szCs w:val="21"/>
                <w:highlight w:val="none"/>
              </w:rPr>
              <w:t>、</w:t>
            </w:r>
            <w:r>
              <w:rPr>
                <w:rFonts w:hint="eastAsia" w:ascii="宋体" w:hAnsi="宋体"/>
                <w:color w:val="auto"/>
                <w:sz w:val="21"/>
                <w:szCs w:val="21"/>
                <w:highlight w:val="none"/>
                <w:lang w:eastAsia="zh-CN"/>
              </w:rPr>
              <w:t>反光系数（</w:t>
            </w:r>
            <w:r>
              <w:rPr>
                <w:rFonts w:hint="eastAsia" w:ascii="宋体" w:hAnsi="宋体"/>
                <w:color w:val="auto"/>
                <w:sz w:val="21"/>
                <w:szCs w:val="21"/>
                <w:highlight w:val="none"/>
                <w:lang w:val="en-US" w:eastAsia="zh-CN"/>
              </w:rPr>
              <w:t>0-2</w:t>
            </w:r>
            <w:r>
              <w:rPr>
                <w:rFonts w:hint="eastAsia" w:ascii="宋体" w:hAnsi="宋体"/>
                <w:color w:val="auto"/>
                <w:sz w:val="21"/>
                <w:szCs w:val="21"/>
                <w:highlight w:val="none"/>
                <w:lang w:eastAsia="zh-CN"/>
              </w:rPr>
              <w:t>）、加工工艺（</w:t>
            </w:r>
            <w:r>
              <w:rPr>
                <w:rFonts w:hint="eastAsia" w:ascii="宋体" w:hAnsi="宋体"/>
                <w:color w:val="auto"/>
                <w:sz w:val="21"/>
                <w:szCs w:val="21"/>
                <w:highlight w:val="none"/>
                <w:lang w:val="en-US" w:eastAsia="zh-CN"/>
              </w:rPr>
              <w:t>0-1</w:t>
            </w:r>
            <w:r>
              <w:rPr>
                <w:rFonts w:hint="eastAsia" w:ascii="宋体" w:hAnsi="宋体"/>
                <w:color w:val="auto"/>
                <w:sz w:val="21"/>
                <w:szCs w:val="21"/>
                <w:highlight w:val="none"/>
                <w:lang w:eastAsia="zh-CN"/>
              </w:rPr>
              <w:t>）</w:t>
            </w:r>
            <w:r>
              <w:rPr>
                <w:rFonts w:hint="eastAsia" w:ascii="宋体" w:hAnsi="宋体"/>
                <w:color w:val="auto"/>
                <w:sz w:val="21"/>
                <w:szCs w:val="21"/>
                <w:highlight w:val="none"/>
              </w:rPr>
              <w:t>进行评议</w:t>
            </w:r>
            <w:r>
              <w:rPr>
                <w:rFonts w:hint="eastAsia" w:ascii="宋体" w:hAnsi="宋体"/>
                <w:color w:val="auto"/>
                <w:sz w:val="21"/>
                <w:szCs w:val="21"/>
                <w:highlight w:val="none"/>
                <w:lang w:eastAsia="zh-CN"/>
              </w:rPr>
              <w:t>。</w:t>
            </w:r>
          </w:p>
          <w:p>
            <w:pPr>
              <w:pStyle w:val="175"/>
              <w:spacing w:line="276" w:lineRule="auto"/>
              <w:ind w:firstLine="0" w:firstLineChars="0"/>
              <w:contextualSpacing/>
              <w:rPr>
                <w:rFonts w:hint="eastAsia" w:ascii="宋体" w:hAnsi="宋体"/>
                <w:color w:val="auto"/>
                <w:sz w:val="21"/>
                <w:szCs w:val="21"/>
                <w:highlight w:val="none"/>
              </w:rPr>
            </w:pPr>
            <w:r>
              <w:rPr>
                <w:rFonts w:hint="eastAsia" w:ascii="宋体" w:hAnsi="宋体"/>
                <w:color w:val="auto"/>
                <w:sz w:val="21"/>
                <w:szCs w:val="21"/>
                <w:highlight w:val="none"/>
              </w:rPr>
              <w:t>标志一块，依据《道路交通标志和标线》（GB5768）和大样图（附件1）制作一块地名确认标志，反光膜采用超强级）；</w:t>
            </w:r>
            <w:r>
              <w:rPr>
                <w:rFonts w:hint="eastAsia" w:ascii="宋体" w:hAnsi="宋体"/>
                <w:color w:val="auto"/>
                <w:sz w:val="21"/>
                <w:szCs w:val="21"/>
                <w:highlight w:val="none"/>
              </w:rPr>
              <w:tab/>
            </w:r>
          </w:p>
          <w:p>
            <w:pPr>
              <w:pStyle w:val="175"/>
              <w:spacing w:line="276" w:lineRule="auto"/>
              <w:ind w:firstLine="0" w:firstLineChars="0"/>
              <w:contextualSpacing/>
              <w:rPr>
                <w:rFonts w:ascii="宋体" w:hAnsi="宋体" w:cs="宋体"/>
                <w:b/>
                <w:bCs/>
                <w:color w:val="auto"/>
                <w:kern w:val="2"/>
                <w:sz w:val="21"/>
                <w:szCs w:val="21"/>
                <w:highlight w:val="none"/>
                <w:lang w:bidi="ar"/>
              </w:rPr>
            </w:pPr>
            <w:r>
              <w:rPr>
                <w:rFonts w:hint="eastAsia" w:ascii="宋体" w:hAnsi="宋体" w:cs="宋体"/>
                <w:b/>
                <w:bCs/>
                <w:color w:val="auto"/>
                <w:kern w:val="2"/>
                <w:sz w:val="21"/>
                <w:szCs w:val="21"/>
                <w:highlight w:val="none"/>
                <w:lang w:bidi="ar"/>
              </w:rPr>
              <w:t>备注：</w:t>
            </w:r>
          </w:p>
          <w:p>
            <w:pPr>
              <w:pStyle w:val="174"/>
              <w:spacing w:line="276" w:lineRule="auto"/>
              <w:ind w:firstLine="0" w:firstLineChars="0"/>
              <w:contextualSpacing/>
              <w:rPr>
                <w:rFonts w:ascii="宋体" w:hAnsi="宋体" w:cs="宋体"/>
                <w:b/>
                <w:bCs/>
                <w:color w:val="auto"/>
                <w:kern w:val="2"/>
                <w:sz w:val="21"/>
                <w:szCs w:val="21"/>
                <w:highlight w:val="none"/>
                <w:lang w:bidi="ar"/>
              </w:rPr>
            </w:pPr>
            <w:r>
              <w:rPr>
                <w:rFonts w:hint="eastAsia" w:ascii="宋体" w:hAnsi="宋体" w:cs="宋体"/>
                <w:b/>
                <w:bCs/>
                <w:color w:val="auto"/>
                <w:kern w:val="2"/>
                <w:sz w:val="21"/>
                <w:szCs w:val="21"/>
                <w:highlight w:val="none"/>
                <w:lang w:bidi="ar"/>
              </w:rPr>
              <w:t>（1）样品不得采用喷墨打印膜或电刻膜</w:t>
            </w:r>
            <w:r>
              <w:rPr>
                <w:rFonts w:ascii="宋体" w:hAnsi="宋体" w:cs="宋体"/>
                <w:b/>
                <w:bCs/>
                <w:color w:val="auto"/>
                <w:kern w:val="2"/>
                <w:sz w:val="21"/>
                <w:szCs w:val="21"/>
                <w:highlight w:val="none"/>
                <w:lang w:bidi="ar"/>
              </w:rPr>
              <w:t>工艺</w:t>
            </w:r>
            <w:r>
              <w:rPr>
                <w:rFonts w:hint="eastAsia" w:ascii="宋体" w:hAnsi="宋体" w:cs="宋体"/>
                <w:b/>
                <w:bCs/>
                <w:color w:val="auto"/>
                <w:kern w:val="2"/>
                <w:sz w:val="21"/>
                <w:szCs w:val="21"/>
                <w:highlight w:val="none"/>
                <w:lang w:bidi="ar"/>
              </w:rPr>
              <w:t>，采用该两种工艺的样品不得分。</w:t>
            </w:r>
          </w:p>
          <w:p>
            <w:pPr>
              <w:pStyle w:val="175"/>
              <w:spacing w:line="276" w:lineRule="auto"/>
              <w:ind w:firstLine="0" w:firstLineChars="0"/>
              <w:contextualSpacing/>
              <w:rPr>
                <w:rFonts w:ascii="宋体" w:hAnsi="宋体" w:cs="宋体"/>
                <w:color w:val="auto"/>
                <w:kern w:val="2"/>
                <w:sz w:val="21"/>
                <w:szCs w:val="21"/>
                <w:highlight w:val="none"/>
                <w:lang w:bidi="ar"/>
              </w:rPr>
            </w:pPr>
            <w:r>
              <w:rPr>
                <w:rFonts w:hint="eastAsia" w:ascii="宋体" w:hAnsi="宋体" w:cs="宋体"/>
                <w:b/>
                <w:bCs/>
                <w:color w:val="auto"/>
                <w:kern w:val="2"/>
                <w:sz w:val="21"/>
                <w:szCs w:val="21"/>
                <w:highlight w:val="none"/>
                <w:lang w:bidi="ar"/>
              </w:rPr>
              <w:t>（2）</w:t>
            </w:r>
            <w:r>
              <w:rPr>
                <w:rFonts w:hint="eastAsia" w:ascii="宋体" w:hAnsi="宋体"/>
                <w:b/>
                <w:bCs/>
                <w:color w:val="auto"/>
                <w:kern w:val="2"/>
                <w:sz w:val="21"/>
                <w:szCs w:val="21"/>
                <w:highlight w:val="none"/>
              </w:rPr>
              <w:t>尺寸、样式等技术参数需达到规范标准和招标要求，任意一项技术参数未达到的得分不超过</w:t>
            </w:r>
            <w:r>
              <w:rPr>
                <w:rFonts w:hint="eastAsia" w:ascii="宋体" w:hAnsi="宋体"/>
                <w:b/>
                <w:bCs/>
                <w:color w:val="auto"/>
                <w:kern w:val="2"/>
                <w:sz w:val="21"/>
                <w:szCs w:val="21"/>
                <w:highlight w:val="none"/>
                <w:lang w:val="en-US" w:eastAsia="zh-CN"/>
              </w:rPr>
              <w:t>1</w:t>
            </w:r>
            <w:r>
              <w:rPr>
                <w:rFonts w:hint="eastAsia" w:ascii="宋体" w:hAnsi="宋体"/>
                <w:b/>
                <w:bCs/>
                <w:color w:val="auto"/>
                <w:kern w:val="2"/>
                <w:sz w:val="21"/>
                <w:szCs w:val="21"/>
                <w:highlight w:val="none"/>
              </w:rPr>
              <w:t>分</w:t>
            </w:r>
            <w:r>
              <w:rPr>
                <w:rFonts w:hint="eastAsia" w:ascii="宋体" w:hAnsi="宋体"/>
                <w:b/>
                <w:bCs/>
                <w:color w:val="auto"/>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4" w:hRule="atLeast"/>
          <w:jc w:val="center"/>
        </w:trPr>
        <w:tc>
          <w:tcPr>
            <w:tcW w:w="795" w:type="dxa"/>
            <w:vMerge w:val="continue"/>
            <w:vAlign w:val="center"/>
          </w:tcPr>
          <w:p>
            <w:pPr>
              <w:spacing w:line="276" w:lineRule="auto"/>
              <w:contextualSpacing/>
              <w:rPr>
                <w:rFonts w:ascii="宋体" w:hAnsi="宋体"/>
                <w:color w:val="auto"/>
                <w:sz w:val="21"/>
                <w:szCs w:val="21"/>
                <w:highlight w:val="none"/>
              </w:rPr>
            </w:pPr>
          </w:p>
        </w:tc>
        <w:tc>
          <w:tcPr>
            <w:tcW w:w="1134" w:type="dxa"/>
            <w:vMerge w:val="continue"/>
            <w:tcBorders>
              <w:bottom w:val="single" w:color="auto" w:sz="4" w:space="0"/>
            </w:tcBorders>
            <w:vAlign w:val="center"/>
          </w:tcPr>
          <w:p>
            <w:pPr>
              <w:spacing w:line="276" w:lineRule="auto"/>
              <w:jc w:val="center"/>
              <w:rPr>
                <w:rFonts w:ascii="宋体" w:hAnsi="宋体" w:cs="宋体"/>
                <w:color w:val="auto"/>
                <w:kern w:val="2"/>
                <w:sz w:val="21"/>
                <w:szCs w:val="21"/>
                <w:highlight w:val="none"/>
                <w:lang w:bidi="ar"/>
              </w:rPr>
            </w:pPr>
          </w:p>
        </w:tc>
        <w:tc>
          <w:tcPr>
            <w:tcW w:w="709" w:type="dxa"/>
            <w:vMerge w:val="continue"/>
            <w:tcBorders>
              <w:bottom w:val="single" w:color="auto" w:sz="4" w:space="0"/>
            </w:tcBorders>
            <w:vAlign w:val="center"/>
          </w:tcPr>
          <w:p>
            <w:pPr>
              <w:snapToGrid w:val="0"/>
              <w:spacing w:line="276" w:lineRule="auto"/>
              <w:jc w:val="center"/>
              <w:rPr>
                <w:rFonts w:ascii="宋体" w:hAnsi="宋体" w:cs="宋体"/>
                <w:color w:val="auto"/>
                <w:kern w:val="2"/>
                <w:sz w:val="21"/>
                <w:szCs w:val="21"/>
                <w:highlight w:val="none"/>
                <w:lang w:bidi="ar"/>
              </w:rPr>
            </w:pPr>
          </w:p>
        </w:tc>
        <w:tc>
          <w:tcPr>
            <w:tcW w:w="6889" w:type="dxa"/>
            <w:gridSpan w:val="2"/>
            <w:tcBorders>
              <w:top w:val="single" w:color="auto" w:sz="4" w:space="0"/>
              <w:bottom w:val="single" w:color="auto" w:sz="4" w:space="0"/>
            </w:tcBorders>
            <w:vAlign w:val="center"/>
          </w:tcPr>
          <w:p>
            <w:pPr>
              <w:pStyle w:val="175"/>
              <w:spacing w:line="276" w:lineRule="auto"/>
              <w:ind w:firstLine="0" w:firstLineChars="0"/>
              <w:contextualSpacing/>
              <w:rPr>
                <w:rFonts w:hint="eastAsia" w:ascii="宋体" w:hAnsi="宋体"/>
                <w:color w:val="auto"/>
                <w:sz w:val="21"/>
                <w:szCs w:val="21"/>
                <w:highlight w:val="none"/>
              </w:rPr>
            </w:pPr>
            <w:r>
              <w:rPr>
                <w:rFonts w:hint="eastAsia" w:ascii="宋体" w:hAnsi="宋体"/>
                <w:color w:val="auto"/>
                <w:sz w:val="21"/>
                <w:szCs w:val="21"/>
                <w:highlight w:val="none"/>
              </w:rPr>
              <w:t>3、护栏，根据样品的材质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0-2</w:t>
            </w:r>
            <w:r>
              <w:rPr>
                <w:rFonts w:hint="eastAsia" w:ascii="宋体" w:hAnsi="宋体"/>
                <w:color w:val="auto"/>
                <w:sz w:val="21"/>
                <w:szCs w:val="21"/>
                <w:highlight w:val="none"/>
                <w:lang w:eastAsia="zh-CN"/>
              </w:rPr>
              <w:t>）</w:t>
            </w:r>
            <w:r>
              <w:rPr>
                <w:rFonts w:hint="eastAsia" w:ascii="宋体" w:hAnsi="宋体"/>
                <w:color w:val="auto"/>
                <w:sz w:val="21"/>
                <w:szCs w:val="21"/>
                <w:highlight w:val="none"/>
              </w:rPr>
              <w:t>、</w:t>
            </w:r>
            <w:r>
              <w:rPr>
                <w:rFonts w:hint="eastAsia" w:ascii="宋体" w:hAnsi="宋体"/>
                <w:color w:val="auto"/>
                <w:sz w:val="21"/>
                <w:szCs w:val="21"/>
                <w:highlight w:val="none"/>
                <w:lang w:eastAsia="zh-CN"/>
              </w:rPr>
              <w:t>尺寸规格（</w:t>
            </w:r>
            <w:r>
              <w:rPr>
                <w:rFonts w:hint="eastAsia" w:ascii="宋体" w:hAnsi="宋体"/>
                <w:color w:val="auto"/>
                <w:sz w:val="21"/>
                <w:szCs w:val="21"/>
                <w:highlight w:val="none"/>
                <w:lang w:val="en-US" w:eastAsia="zh-CN"/>
              </w:rPr>
              <w:t>0-2</w:t>
            </w:r>
            <w:r>
              <w:rPr>
                <w:rFonts w:hint="eastAsia" w:ascii="宋体" w:hAnsi="宋体"/>
                <w:color w:val="auto"/>
                <w:sz w:val="21"/>
                <w:szCs w:val="21"/>
                <w:highlight w:val="none"/>
                <w:lang w:eastAsia="zh-CN"/>
              </w:rPr>
              <w:t>）、衔接工艺（</w:t>
            </w:r>
            <w:r>
              <w:rPr>
                <w:rFonts w:hint="eastAsia" w:ascii="宋体" w:hAnsi="宋体"/>
                <w:color w:val="auto"/>
                <w:sz w:val="21"/>
                <w:szCs w:val="21"/>
                <w:highlight w:val="none"/>
                <w:lang w:val="en-US" w:eastAsia="zh-CN"/>
              </w:rPr>
              <w:t>0-1</w:t>
            </w:r>
            <w:r>
              <w:rPr>
                <w:rFonts w:hint="eastAsia" w:ascii="宋体" w:hAnsi="宋体"/>
                <w:color w:val="auto"/>
                <w:sz w:val="21"/>
                <w:szCs w:val="21"/>
                <w:highlight w:val="none"/>
                <w:lang w:eastAsia="zh-CN"/>
              </w:rPr>
              <w:t>）</w:t>
            </w:r>
            <w:r>
              <w:rPr>
                <w:rFonts w:hint="eastAsia" w:ascii="宋体" w:hAnsi="宋体"/>
                <w:color w:val="auto"/>
                <w:sz w:val="21"/>
                <w:szCs w:val="21"/>
                <w:highlight w:val="none"/>
              </w:rPr>
              <w:t>进行评议</w:t>
            </w:r>
            <w:r>
              <w:rPr>
                <w:rFonts w:hint="eastAsia" w:ascii="宋体" w:hAnsi="宋体"/>
                <w:color w:val="auto"/>
                <w:sz w:val="21"/>
                <w:szCs w:val="21"/>
                <w:highlight w:val="none"/>
                <w:lang w:eastAsia="zh-CN"/>
              </w:rPr>
              <w:t>。</w:t>
            </w:r>
          </w:p>
          <w:p>
            <w:pPr>
              <w:pStyle w:val="175"/>
              <w:adjustRightInd w:val="0"/>
              <w:snapToGrid w:val="0"/>
              <w:spacing w:line="276" w:lineRule="auto"/>
              <w:ind w:firstLine="0" w:firstLineChars="0"/>
              <w:jc w:val="left"/>
              <w:textAlignment w:val="baseline"/>
              <w:rPr>
                <w:rFonts w:hint="eastAsia" w:ascii="宋体" w:hAnsi="宋体"/>
                <w:color w:val="auto"/>
                <w:sz w:val="21"/>
                <w:szCs w:val="21"/>
                <w:highlight w:val="none"/>
              </w:rPr>
            </w:pPr>
            <w:r>
              <w:rPr>
                <w:rFonts w:hint="eastAsia" w:ascii="宋体" w:hAnsi="宋体"/>
                <w:color w:val="auto"/>
                <w:sz w:val="21"/>
                <w:szCs w:val="21"/>
                <w:highlight w:val="none"/>
              </w:rPr>
              <w:t>一套高度渐变中心护栏（包括护栏、底座、帽盖、反光片）</w:t>
            </w:r>
          </w:p>
          <w:p>
            <w:pPr>
              <w:pStyle w:val="175"/>
              <w:spacing w:line="276" w:lineRule="auto"/>
              <w:ind w:firstLine="0" w:firstLineChars="0"/>
              <w:contextualSpacing/>
              <w:rPr>
                <w:rFonts w:ascii="宋体" w:hAnsi="宋体" w:cs="宋体"/>
                <w:b/>
                <w:bCs/>
                <w:color w:val="auto"/>
                <w:kern w:val="2"/>
                <w:sz w:val="21"/>
                <w:szCs w:val="21"/>
                <w:highlight w:val="none"/>
                <w:lang w:bidi="ar"/>
              </w:rPr>
            </w:pPr>
            <w:r>
              <w:rPr>
                <w:rFonts w:hint="eastAsia" w:ascii="宋体" w:hAnsi="宋体" w:cs="宋体"/>
                <w:b/>
                <w:bCs/>
                <w:color w:val="auto"/>
                <w:kern w:val="2"/>
                <w:sz w:val="21"/>
                <w:szCs w:val="21"/>
                <w:highlight w:val="none"/>
                <w:lang w:bidi="ar"/>
              </w:rPr>
              <w:t>备注：</w:t>
            </w:r>
          </w:p>
          <w:p>
            <w:pPr>
              <w:pStyle w:val="175"/>
              <w:adjustRightInd w:val="0"/>
              <w:snapToGrid w:val="0"/>
              <w:spacing w:line="276" w:lineRule="auto"/>
              <w:ind w:firstLine="0" w:firstLineChars="0"/>
              <w:jc w:val="left"/>
              <w:textAlignment w:val="baseline"/>
              <w:rPr>
                <w:rFonts w:ascii="宋体" w:hAnsi="宋体" w:cs="宋体"/>
                <w:color w:val="auto"/>
                <w:kern w:val="2"/>
                <w:sz w:val="21"/>
                <w:szCs w:val="21"/>
                <w:highlight w:val="none"/>
                <w:lang w:bidi="ar"/>
              </w:rPr>
            </w:pPr>
            <w:r>
              <w:rPr>
                <w:rFonts w:hint="eastAsia" w:ascii="宋体" w:hAnsi="宋体" w:eastAsia="宋体" w:cs="Times New Roman"/>
                <w:b/>
                <w:bCs/>
                <w:color w:val="auto"/>
                <w:kern w:val="2"/>
                <w:sz w:val="21"/>
                <w:szCs w:val="21"/>
                <w:highlight w:val="none"/>
              </w:rPr>
              <w:t>尺寸、样式等技术参数需达到规范标准和招标要求，任意一项技术参数未达到的得分不超过</w:t>
            </w:r>
            <w:r>
              <w:rPr>
                <w:rFonts w:hint="eastAsia" w:ascii="宋体" w:hAnsi="宋体" w:cs="Times New Roman"/>
                <w:b/>
                <w:bCs/>
                <w:color w:val="auto"/>
                <w:kern w:val="2"/>
                <w:sz w:val="21"/>
                <w:szCs w:val="21"/>
                <w:highlight w:val="none"/>
                <w:lang w:val="en-US" w:eastAsia="zh-CN"/>
              </w:rPr>
              <w:t>1</w:t>
            </w:r>
            <w:r>
              <w:rPr>
                <w:rFonts w:hint="eastAsia" w:ascii="宋体" w:hAnsi="宋体" w:eastAsia="宋体" w:cs="Times New Roman"/>
                <w:b/>
                <w:bCs/>
                <w:color w:val="auto"/>
                <w:kern w:val="2"/>
                <w:sz w:val="21"/>
                <w:szCs w:val="21"/>
                <w:highlight w:val="none"/>
              </w:rPr>
              <w:t>分。</w:t>
            </w:r>
          </w:p>
        </w:tc>
      </w:tr>
    </w:tbl>
    <w:p>
      <w:pPr>
        <w:wordWrap w:val="0"/>
        <w:spacing w:line="400" w:lineRule="exact"/>
        <w:rPr>
          <w:rFonts w:ascii="宋体" w:hAnsi="宋体"/>
          <w:color w:val="auto"/>
          <w:sz w:val="21"/>
          <w:szCs w:val="21"/>
          <w:highlight w:val="none"/>
        </w:rPr>
      </w:pPr>
    </w:p>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附表</w:t>
      </w:r>
      <w:r>
        <w:rPr>
          <w:rFonts w:ascii="宋体" w:hAnsi="宋体"/>
          <w:color w:val="auto"/>
          <w:sz w:val="21"/>
          <w:szCs w:val="21"/>
          <w:highlight w:val="none"/>
        </w:rPr>
        <w:t>4</w:t>
      </w:r>
    </w:p>
    <w:p>
      <w:pPr>
        <w:widowControl/>
        <w:wordWrap w:val="0"/>
        <w:snapToGrid w:val="0"/>
        <w:spacing w:line="560" w:lineRule="exact"/>
        <w:jc w:val="center"/>
        <w:rPr>
          <w:color w:val="auto"/>
          <w:highlight w:val="none"/>
        </w:rPr>
      </w:pPr>
      <w:r>
        <w:rPr>
          <w:rFonts w:hint="eastAsia" w:ascii="宋体" w:hAnsi="宋体"/>
          <w:b/>
          <w:color w:val="auto"/>
          <w:sz w:val="21"/>
          <w:szCs w:val="21"/>
          <w:highlight w:val="none"/>
        </w:rPr>
        <w:t>价格评分表（标项一</w:t>
      </w:r>
      <w:r>
        <w:rPr>
          <w:rFonts w:hint="eastAsia" w:ascii="宋体" w:hAnsi="宋体"/>
          <w:b/>
          <w:color w:val="auto"/>
          <w:sz w:val="21"/>
          <w:szCs w:val="21"/>
          <w:highlight w:val="none"/>
          <w:lang w:val="en-US" w:eastAsia="zh-CN"/>
        </w:rPr>
        <w:t>~</w:t>
      </w:r>
      <w:r>
        <w:rPr>
          <w:rFonts w:hint="eastAsia" w:ascii="宋体" w:hAnsi="宋体"/>
          <w:b/>
          <w:color w:val="auto"/>
          <w:sz w:val="21"/>
          <w:szCs w:val="21"/>
          <w:highlight w:val="none"/>
        </w:rPr>
        <w:t>标项</w:t>
      </w:r>
      <w:r>
        <w:rPr>
          <w:rFonts w:hint="eastAsia" w:ascii="宋体" w:hAnsi="宋体"/>
          <w:b/>
          <w:color w:val="auto"/>
          <w:sz w:val="21"/>
          <w:szCs w:val="21"/>
          <w:highlight w:val="none"/>
          <w:lang w:val="en-US" w:eastAsia="zh-CN"/>
        </w:rPr>
        <w:t>五</w:t>
      </w:r>
      <w:r>
        <w:rPr>
          <w:rFonts w:hint="eastAsia" w:ascii="宋体" w:hAnsi="宋体"/>
          <w:b/>
          <w:color w:val="auto"/>
          <w:sz w:val="21"/>
          <w:szCs w:val="21"/>
          <w:highlight w:val="none"/>
        </w:rPr>
        <w:t>）</w:t>
      </w:r>
    </w:p>
    <w:tbl>
      <w:tblPr>
        <w:tblStyle w:val="40"/>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988"/>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8663" w:type="dxa"/>
            <w:gridSpan w:val="2"/>
            <w:tcBorders>
              <w:top w:val="double" w:color="auto" w:sz="4" w:space="0"/>
              <w:left w:val="double" w:color="auto" w:sz="4" w:space="0"/>
              <w:tl2br w:val="single" w:color="000000" w:sz="4" w:space="0"/>
            </w:tcBorders>
          </w:tcPr>
          <w:p>
            <w:pPr>
              <w:wordWrap w:val="0"/>
              <w:spacing w:line="320" w:lineRule="exact"/>
              <w:ind w:right="420" w:firstLine="4410" w:firstLineChars="2100"/>
              <w:rPr>
                <w:rFonts w:ascii="宋体" w:hAnsi="宋体"/>
                <w:color w:val="auto"/>
                <w:sz w:val="21"/>
                <w:szCs w:val="21"/>
                <w:highlight w:val="none"/>
              </w:rPr>
            </w:pPr>
            <w:r>
              <w:rPr>
                <w:rFonts w:ascii="宋体" w:hAnsi="宋体"/>
                <w:color w:val="auto"/>
                <w:sz w:val="21"/>
                <w:szCs w:val="21"/>
                <w:highlight w:val="none"/>
              </w:rPr>
              <w:t xml:space="preserve">                        </w:t>
            </w:r>
            <w:r>
              <w:rPr>
                <w:rFonts w:hint="eastAsia" w:ascii="宋体" w:hAnsi="宋体"/>
                <w:color w:val="auto"/>
                <w:sz w:val="21"/>
                <w:szCs w:val="21"/>
                <w:highlight w:val="none"/>
              </w:rPr>
              <w:t>供应商</w:t>
            </w:r>
          </w:p>
          <w:p>
            <w:pPr>
              <w:wordWrap w:val="0"/>
              <w:spacing w:line="320" w:lineRule="exact"/>
              <w:ind w:firstLine="945" w:firstLineChars="450"/>
              <w:rPr>
                <w:rFonts w:ascii="宋体" w:hAnsi="宋体"/>
                <w:color w:val="auto"/>
                <w:sz w:val="21"/>
                <w:szCs w:val="21"/>
                <w:highlight w:val="none"/>
              </w:rPr>
            </w:pPr>
            <w:r>
              <w:rPr>
                <w:rFonts w:hint="eastAsia" w:ascii="宋体" w:hAnsi="宋体"/>
                <w:color w:val="auto"/>
                <w:sz w:val="21"/>
                <w:szCs w:val="21"/>
                <w:highlight w:val="none"/>
              </w:rPr>
              <w:t>分值</w:t>
            </w:r>
          </w:p>
        </w:tc>
        <w:tc>
          <w:tcPr>
            <w:tcW w:w="955" w:type="dxa"/>
            <w:tcBorders>
              <w:top w:val="double" w:color="auto" w:sz="4" w:space="0"/>
              <w:right w:val="double" w:color="auto" w:sz="4" w:space="0"/>
            </w:tcBorders>
            <w:vAlign w:val="center"/>
          </w:tcPr>
          <w:p>
            <w:pPr>
              <w:wordWrap w:val="0"/>
              <w:spacing w:line="320" w:lineRule="exact"/>
              <w:jc w:val="center"/>
              <w:rPr>
                <w:rFonts w:ascii="宋体" w:hAnsi="宋体"/>
                <w:color w:val="auto"/>
                <w:sz w:val="21"/>
                <w:szCs w:val="21"/>
                <w:highlight w:val="none"/>
              </w:rPr>
            </w:pPr>
            <w:r>
              <w:rPr>
                <w:rFonts w:hint="eastAsia" w:ascii="宋体" w:hAnsi="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left w:val="double" w:color="auto" w:sz="4" w:space="0"/>
            </w:tcBorders>
            <w:vAlign w:val="center"/>
          </w:tcPr>
          <w:p>
            <w:pPr>
              <w:wordWrap w:val="0"/>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价</w:t>
            </w:r>
          </w:p>
          <w:p>
            <w:pPr>
              <w:wordWrap w:val="0"/>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格</w:t>
            </w:r>
          </w:p>
          <w:p>
            <w:pPr>
              <w:wordWrap w:val="0"/>
              <w:spacing w:line="36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rPr>
              <w:t>分</w:t>
            </w:r>
            <w:r>
              <w:rPr>
                <w:rFonts w:hint="eastAsia" w:ascii="宋体" w:hAnsi="宋体"/>
                <w:color w:val="auto"/>
                <w:sz w:val="21"/>
                <w:szCs w:val="21"/>
                <w:highlight w:val="none"/>
                <w:lang w:val="en-US" w:eastAsia="zh-CN"/>
              </w:rPr>
              <w:t>30</w:t>
            </w:r>
          </w:p>
          <w:p>
            <w:pPr>
              <w:wordWrap w:val="0"/>
              <w:spacing w:line="360" w:lineRule="auto"/>
              <w:jc w:val="center"/>
              <w:rPr>
                <w:rFonts w:ascii="宋体" w:hAnsi="宋体"/>
                <w:color w:val="auto"/>
                <w:sz w:val="21"/>
                <w:szCs w:val="21"/>
                <w:highlight w:val="none"/>
              </w:rPr>
            </w:pPr>
            <w:r>
              <w:rPr>
                <w:rFonts w:hint="eastAsia" w:ascii="宋体" w:hAnsi="宋体"/>
                <w:color w:val="auto"/>
                <w:sz w:val="21"/>
                <w:szCs w:val="21"/>
                <w:highlight w:val="none"/>
              </w:rPr>
              <w:t>分</w:t>
            </w:r>
          </w:p>
        </w:tc>
        <w:tc>
          <w:tcPr>
            <w:tcW w:w="7988" w:type="dxa"/>
            <w:vAlign w:val="center"/>
          </w:tcPr>
          <w:p>
            <w:pPr>
              <w:spacing w:line="276"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rPr>
              <w:t>参与评审的价格=投标报价</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投标综合单价合计</w:t>
            </w:r>
            <w:r>
              <w:rPr>
                <w:rFonts w:hint="eastAsia" w:ascii="宋体" w:hAnsi="宋体"/>
                <w:color w:val="auto"/>
                <w:sz w:val="21"/>
                <w:szCs w:val="21"/>
                <w:highlight w:val="none"/>
                <w:lang w:eastAsia="zh-CN"/>
              </w:rPr>
              <w:t>）</w:t>
            </w:r>
          </w:p>
          <w:p>
            <w:pPr>
              <w:wordWrap w:val="0"/>
              <w:spacing w:line="360" w:lineRule="auto"/>
              <w:rPr>
                <w:rFonts w:ascii="宋体" w:hAnsi="宋体"/>
                <w:color w:val="auto"/>
                <w:sz w:val="21"/>
                <w:szCs w:val="21"/>
                <w:highlight w:val="none"/>
              </w:rPr>
            </w:pPr>
            <w:r>
              <w:rPr>
                <w:rFonts w:hint="eastAsia" w:ascii="宋体" w:hAnsi="宋体"/>
                <w:color w:val="auto"/>
                <w:sz w:val="21"/>
                <w:szCs w:val="21"/>
                <w:highlight w:val="none"/>
              </w:rPr>
              <w:t>评标基准价</w:t>
            </w:r>
            <w:r>
              <w:rPr>
                <w:rFonts w:ascii="宋体" w:hAnsi="宋体"/>
                <w:color w:val="auto"/>
                <w:sz w:val="21"/>
                <w:szCs w:val="21"/>
                <w:highlight w:val="none"/>
              </w:rPr>
              <w:t>=</w:t>
            </w:r>
            <w:r>
              <w:rPr>
                <w:rFonts w:hint="eastAsia" w:ascii="宋体" w:hAnsi="宋体"/>
                <w:color w:val="auto"/>
                <w:sz w:val="21"/>
                <w:szCs w:val="21"/>
                <w:highlight w:val="none"/>
              </w:rPr>
              <w:t>满足采购文件要求且“参与评审的价格”中最低的价格为评标基准价</w:t>
            </w:r>
          </w:p>
          <w:p>
            <w:pPr>
              <w:wordWrap w:val="0"/>
              <w:spacing w:line="360" w:lineRule="auto"/>
              <w:rPr>
                <w:rFonts w:ascii="宋体" w:hAnsi="宋体"/>
                <w:color w:val="auto"/>
                <w:sz w:val="21"/>
                <w:szCs w:val="21"/>
                <w:highlight w:val="none"/>
              </w:rPr>
            </w:pPr>
            <w:r>
              <w:rPr>
                <w:rFonts w:hint="eastAsia" w:ascii="宋体" w:hAnsi="宋体"/>
                <w:color w:val="auto"/>
                <w:sz w:val="21"/>
                <w:szCs w:val="21"/>
                <w:highlight w:val="none"/>
              </w:rPr>
              <w:t>基准价得分为满分</w:t>
            </w:r>
            <w:r>
              <w:rPr>
                <w:rFonts w:hint="eastAsia" w:ascii="宋体" w:hAnsi="宋体"/>
                <w:color w:val="auto"/>
                <w:sz w:val="21"/>
                <w:szCs w:val="21"/>
                <w:highlight w:val="none"/>
                <w:lang w:val="en-US" w:eastAsia="zh-CN"/>
              </w:rPr>
              <w:t>3</w:t>
            </w:r>
            <w:r>
              <w:rPr>
                <w:rFonts w:ascii="宋体" w:hAnsi="宋体"/>
                <w:color w:val="auto"/>
                <w:sz w:val="21"/>
                <w:szCs w:val="21"/>
                <w:highlight w:val="none"/>
              </w:rPr>
              <w:t>0</w:t>
            </w:r>
            <w:r>
              <w:rPr>
                <w:rFonts w:hint="eastAsia" w:ascii="宋体" w:hAnsi="宋体"/>
                <w:color w:val="auto"/>
                <w:sz w:val="21"/>
                <w:szCs w:val="21"/>
                <w:highlight w:val="none"/>
              </w:rPr>
              <w:t>分，其他供应商报价得分计算公式如下：</w:t>
            </w:r>
          </w:p>
          <w:p>
            <w:pPr>
              <w:wordWrap w:val="0"/>
              <w:spacing w:line="360" w:lineRule="auto"/>
              <w:rPr>
                <w:rFonts w:ascii="宋体" w:hAnsi="宋体"/>
                <w:color w:val="auto"/>
                <w:sz w:val="21"/>
                <w:szCs w:val="21"/>
                <w:highlight w:val="none"/>
              </w:rPr>
            </w:pPr>
            <w:r>
              <w:rPr>
                <w:rFonts w:hint="eastAsia" w:ascii="宋体" w:hAnsi="宋体"/>
                <w:color w:val="auto"/>
                <w:sz w:val="21"/>
                <w:szCs w:val="21"/>
                <w:highlight w:val="none"/>
              </w:rPr>
              <w:t>其他供应商报价得分</w:t>
            </w:r>
            <w:r>
              <w:rPr>
                <w:rFonts w:ascii="宋体" w:hAnsi="宋体"/>
                <w:color w:val="auto"/>
                <w:sz w:val="21"/>
                <w:szCs w:val="21"/>
                <w:highlight w:val="none"/>
              </w:rPr>
              <w:t>=（</w:t>
            </w:r>
            <w:r>
              <w:rPr>
                <w:rFonts w:hint="eastAsia" w:ascii="宋体" w:hAnsi="宋体"/>
                <w:color w:val="auto"/>
                <w:sz w:val="21"/>
                <w:szCs w:val="21"/>
                <w:highlight w:val="none"/>
              </w:rPr>
              <w:t>评标基准价</w:t>
            </w:r>
            <w:r>
              <w:rPr>
                <w:rFonts w:ascii="宋体" w:hAnsi="宋体"/>
                <w:color w:val="auto"/>
                <w:sz w:val="21"/>
                <w:szCs w:val="21"/>
                <w:highlight w:val="none"/>
              </w:rPr>
              <w:t>/</w:t>
            </w:r>
            <w:r>
              <w:rPr>
                <w:rFonts w:hint="eastAsia" w:ascii="宋体" w:hAnsi="宋体"/>
                <w:color w:val="auto"/>
                <w:sz w:val="21"/>
                <w:szCs w:val="21"/>
                <w:highlight w:val="none"/>
              </w:rPr>
              <w:t>参与评审的价格</w:t>
            </w:r>
            <w:r>
              <w:rPr>
                <w:rFonts w:ascii="宋体" w:hAnsi="宋体"/>
                <w:color w:val="auto"/>
                <w:sz w:val="21"/>
                <w:szCs w:val="21"/>
                <w:highlight w:val="none"/>
              </w:rPr>
              <w:t>）</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ascii="宋体" w:hAnsi="宋体"/>
                <w:color w:val="auto"/>
                <w:sz w:val="21"/>
                <w:szCs w:val="21"/>
                <w:highlight w:val="none"/>
              </w:rPr>
              <w:t>0%</w:t>
            </w:r>
            <w:r>
              <w:rPr>
                <w:rFonts w:hint="eastAsia" w:ascii="宋体" w:hAnsi="宋体"/>
                <w:color w:val="auto"/>
                <w:sz w:val="21"/>
                <w:szCs w:val="21"/>
                <w:highlight w:val="none"/>
              </w:rPr>
              <w:t>×</w:t>
            </w:r>
            <w:r>
              <w:rPr>
                <w:rFonts w:ascii="宋体" w:hAnsi="宋体"/>
                <w:color w:val="auto"/>
                <w:sz w:val="21"/>
                <w:szCs w:val="21"/>
                <w:highlight w:val="none"/>
              </w:rPr>
              <w:t>100</w:t>
            </w:r>
          </w:p>
          <w:p>
            <w:pPr>
              <w:pStyle w:val="13"/>
              <w:wordWrap w:val="0"/>
              <w:spacing w:line="360" w:lineRule="auto"/>
              <w:ind w:firstLine="0" w:firstLineChars="0"/>
              <w:rPr>
                <w:color w:val="auto"/>
                <w:kern w:val="2"/>
                <w:sz w:val="21"/>
                <w:szCs w:val="21"/>
                <w:highlight w:val="none"/>
              </w:rPr>
            </w:pPr>
            <w:r>
              <w:rPr>
                <w:rFonts w:hint="eastAsia"/>
                <w:color w:val="auto"/>
                <w:kern w:val="2"/>
                <w:sz w:val="21"/>
                <w:szCs w:val="21"/>
                <w:highlight w:val="none"/>
              </w:rPr>
              <w:t>（保留二位小数）</w:t>
            </w:r>
          </w:p>
        </w:tc>
        <w:tc>
          <w:tcPr>
            <w:tcW w:w="955" w:type="dxa"/>
            <w:tcBorders>
              <w:right w:val="double" w:color="auto" w:sz="4" w:space="0"/>
            </w:tcBorders>
            <w:vAlign w:val="center"/>
          </w:tcPr>
          <w:p>
            <w:pPr>
              <w:wordWrap w:val="0"/>
              <w:spacing w:line="360" w:lineRule="auto"/>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63" w:type="dxa"/>
            <w:gridSpan w:val="2"/>
            <w:tcBorders>
              <w:left w:val="double" w:color="auto" w:sz="4" w:space="0"/>
              <w:bottom w:val="double" w:color="auto" w:sz="4" w:space="0"/>
            </w:tcBorders>
            <w:vAlign w:val="center"/>
          </w:tcPr>
          <w:p>
            <w:pPr>
              <w:wordWrap w:val="0"/>
              <w:spacing w:line="320" w:lineRule="exact"/>
              <w:jc w:val="center"/>
              <w:rPr>
                <w:rFonts w:ascii="宋体" w:hAnsi="宋体"/>
                <w:color w:val="auto"/>
                <w:sz w:val="21"/>
                <w:szCs w:val="21"/>
                <w:highlight w:val="none"/>
              </w:rPr>
            </w:pPr>
            <w:r>
              <w:rPr>
                <w:rFonts w:hint="eastAsia" w:ascii="宋体" w:hAnsi="宋体"/>
                <w:b/>
                <w:color w:val="auto"/>
                <w:sz w:val="21"/>
                <w:szCs w:val="21"/>
                <w:highlight w:val="none"/>
              </w:rPr>
              <w:t>报价得分（</w:t>
            </w:r>
            <w:r>
              <w:rPr>
                <w:rFonts w:hint="eastAsia" w:ascii="宋体" w:hAnsi="宋体"/>
                <w:b/>
                <w:color w:val="auto"/>
                <w:sz w:val="21"/>
                <w:szCs w:val="21"/>
                <w:highlight w:val="none"/>
                <w:lang w:val="en-US" w:eastAsia="zh-CN"/>
              </w:rPr>
              <w:t>30</w:t>
            </w:r>
            <w:r>
              <w:rPr>
                <w:rFonts w:hint="eastAsia" w:ascii="宋体" w:hAnsi="宋体"/>
                <w:b/>
                <w:color w:val="auto"/>
                <w:sz w:val="21"/>
                <w:szCs w:val="21"/>
                <w:highlight w:val="none"/>
              </w:rPr>
              <w:t>分）</w:t>
            </w:r>
          </w:p>
        </w:tc>
        <w:tc>
          <w:tcPr>
            <w:tcW w:w="955" w:type="dxa"/>
            <w:tcBorders>
              <w:bottom w:val="double" w:color="auto" w:sz="4" w:space="0"/>
              <w:right w:val="double" w:color="auto" w:sz="4" w:space="0"/>
            </w:tcBorders>
            <w:vAlign w:val="center"/>
          </w:tcPr>
          <w:p>
            <w:pPr>
              <w:wordWrap w:val="0"/>
              <w:spacing w:line="320" w:lineRule="exact"/>
              <w:jc w:val="center"/>
              <w:rPr>
                <w:rFonts w:ascii="宋体" w:hAnsi="宋体"/>
                <w:color w:val="auto"/>
                <w:sz w:val="21"/>
                <w:szCs w:val="21"/>
                <w:highlight w:val="none"/>
              </w:rPr>
            </w:pPr>
          </w:p>
        </w:tc>
      </w:tr>
    </w:tbl>
    <w:p>
      <w:pPr>
        <w:rPr>
          <w:rFonts w:hint="eastAsia"/>
          <w:color w:val="auto"/>
          <w:highlight w:val="none"/>
        </w:rPr>
      </w:pPr>
    </w:p>
    <w:p>
      <w:pPr>
        <w:rPr>
          <w:rFonts w:hint="eastAsia"/>
          <w:color w:val="auto"/>
          <w:highlight w:val="none"/>
        </w:rPr>
      </w:pPr>
      <w:r>
        <w:rPr>
          <w:rFonts w:hint="eastAsia"/>
          <w:color w:val="auto"/>
          <w:highlight w:val="none"/>
        </w:rPr>
        <w:br w:type="page"/>
      </w:r>
    </w:p>
    <w:p>
      <w:pPr>
        <w:pStyle w:val="3"/>
        <w:bidi w:val="0"/>
        <w:jc w:val="center"/>
        <w:rPr>
          <w:color w:val="auto"/>
          <w:highlight w:val="none"/>
        </w:rPr>
      </w:pPr>
      <w:bookmarkStart w:id="100" w:name="_Toc2308"/>
      <w:r>
        <w:rPr>
          <w:rFonts w:hint="eastAsia"/>
          <w:color w:val="auto"/>
          <w:sz w:val="32"/>
          <w:szCs w:val="32"/>
          <w:highlight w:val="none"/>
        </w:rPr>
        <w:t>第</w:t>
      </w:r>
      <w:r>
        <w:rPr>
          <w:rFonts w:hint="eastAsia"/>
          <w:color w:val="auto"/>
          <w:sz w:val="32"/>
          <w:szCs w:val="32"/>
          <w:highlight w:val="none"/>
          <w:lang w:val="en-US" w:eastAsia="zh-CN"/>
        </w:rPr>
        <w:t>五</w:t>
      </w:r>
      <w:r>
        <w:rPr>
          <w:rFonts w:hint="eastAsia"/>
          <w:color w:val="auto"/>
          <w:sz w:val="32"/>
          <w:szCs w:val="32"/>
          <w:highlight w:val="none"/>
        </w:rPr>
        <w:t xml:space="preserve">章 </w:t>
      </w:r>
      <w:bookmarkEnd w:id="97"/>
      <w:bookmarkEnd w:id="98"/>
      <w:bookmarkStart w:id="101" w:name="_Toc241827248"/>
      <w:r>
        <w:rPr>
          <w:rFonts w:hint="eastAsia"/>
          <w:color w:val="auto"/>
          <w:sz w:val="32"/>
          <w:szCs w:val="32"/>
          <w:highlight w:val="none"/>
        </w:rPr>
        <w:t xml:space="preserve"> 合同主要条款</w:t>
      </w:r>
      <w:bookmarkEnd w:id="100"/>
    </w:p>
    <w:p>
      <w:pPr>
        <w:spacing w:line="360" w:lineRule="auto"/>
        <w:rPr>
          <w:rFonts w:ascii="宋体" w:hAnsi="宋体"/>
          <w:color w:val="auto"/>
          <w:sz w:val="21"/>
          <w:szCs w:val="21"/>
          <w:highlight w:val="none"/>
        </w:rPr>
      </w:pP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02" w:name="_Toc225949591"/>
      <w:bookmarkStart w:id="103" w:name="_Toc6039"/>
      <w:bookmarkStart w:id="104" w:name="_Toc6710"/>
      <w:bookmarkStart w:id="105" w:name="_Toc307382968"/>
      <w:bookmarkStart w:id="106" w:name="_Toc312398922"/>
      <w:bookmarkStart w:id="107" w:name="_Toc148773477"/>
      <w:bookmarkStart w:id="108" w:name="_Toc285"/>
      <w:r>
        <w:rPr>
          <w:rFonts w:hint="eastAsia" w:ascii="宋体" w:hAnsi="宋体"/>
          <w:b w:val="0"/>
          <w:bCs w:val="0"/>
          <w:color w:val="auto"/>
          <w:kern w:val="2"/>
          <w:sz w:val="21"/>
          <w:szCs w:val="21"/>
          <w:highlight w:val="none"/>
        </w:rPr>
        <w:t>1.定义</w:t>
      </w:r>
      <w:bookmarkEnd w:id="102"/>
      <w:bookmarkEnd w:id="103"/>
      <w:bookmarkEnd w:id="104"/>
      <w:bookmarkEnd w:id="105"/>
      <w:bookmarkEnd w:id="106"/>
      <w:bookmarkEnd w:id="107"/>
      <w:bookmarkEnd w:id="108"/>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本合同中的下列术语应解释为：</w:t>
      </w:r>
    </w:p>
    <w:p>
      <w:pPr>
        <w:snapToGrid w:val="0"/>
        <w:spacing w:line="360" w:lineRule="auto"/>
        <w:ind w:left="694" w:leftChars="114" w:hanging="420" w:hangingChars="200"/>
        <w:rPr>
          <w:rFonts w:ascii="宋体" w:hAnsi="宋体"/>
          <w:color w:val="auto"/>
          <w:sz w:val="21"/>
          <w:szCs w:val="21"/>
          <w:highlight w:val="none"/>
        </w:rPr>
      </w:pPr>
      <w:r>
        <w:rPr>
          <w:rFonts w:hint="eastAsia" w:ascii="宋体" w:hAnsi="宋体"/>
          <w:color w:val="auto"/>
          <w:sz w:val="21"/>
          <w:szCs w:val="21"/>
          <w:highlight w:val="none"/>
        </w:rPr>
        <w:t xml:space="preserve">  (1)“合同”系指买卖双方签署的、合同格式中载明的买卖双方所达成的协议，</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包括所有的附件、附录和构成合同的其它文件。</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(2)“合同价”系指根据合同规定，在卖方完全履行合同义务后，买方应付给卖方的款项。</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(3)“货物”系指卖方根据合同规定须向买方提供的一切设备、机械、仪表、备件、工具、手册和其它技术资料及其它材料。</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(4)“服务”系指根据合同规定卖方承担与供货有关的辅助服务，如运输、保险以及其它的服务，如调试、提供技术协助、培训和其他类似的义务。</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(5)“买方”系指购买货物的单位。</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(6)“卖方”系指根据合同规定提供货物和服务的具有法人资格的公司或实体。</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(7)“现场”系指合同项下货物将要进行安装和运行的地点位于</w:t>
      </w:r>
      <w:r>
        <w:rPr>
          <w:rFonts w:hint="eastAsia" w:ascii="宋体" w:hAnsi="宋体"/>
          <w:color w:val="auto"/>
          <w:sz w:val="21"/>
          <w:szCs w:val="21"/>
          <w:highlight w:val="none"/>
          <w:u w:val="single"/>
        </w:rPr>
        <w:t xml:space="preserve"> 业主指定位置 </w:t>
      </w:r>
      <w:r>
        <w:rPr>
          <w:rFonts w:hint="eastAsia" w:ascii="宋体" w:hAnsi="宋体"/>
          <w:color w:val="auto"/>
          <w:sz w:val="21"/>
          <w:szCs w:val="21"/>
          <w:highlight w:val="none"/>
        </w:rPr>
        <w:t xml:space="preserve"> 。</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(8)“验收”系指合同双方依据规定的程序和条件确认合同项下的货物符合技术规范的要求。</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09" w:name="_Toc148773478"/>
      <w:bookmarkStart w:id="110" w:name="_Toc22764"/>
      <w:bookmarkStart w:id="111" w:name="_Toc307382969"/>
      <w:bookmarkStart w:id="112" w:name="_Toc312398923"/>
      <w:bookmarkStart w:id="113" w:name="_Toc25898"/>
      <w:bookmarkStart w:id="114" w:name="_Toc16427"/>
      <w:bookmarkStart w:id="115" w:name="_Toc225949592"/>
      <w:r>
        <w:rPr>
          <w:rFonts w:hint="eastAsia" w:ascii="宋体" w:hAnsi="宋体"/>
          <w:b w:val="0"/>
          <w:bCs w:val="0"/>
          <w:color w:val="auto"/>
          <w:kern w:val="2"/>
          <w:sz w:val="21"/>
          <w:szCs w:val="21"/>
          <w:highlight w:val="none"/>
        </w:rPr>
        <w:t>2.技术规范</w:t>
      </w:r>
      <w:bookmarkEnd w:id="109"/>
      <w:bookmarkEnd w:id="110"/>
      <w:bookmarkEnd w:id="111"/>
      <w:bookmarkEnd w:id="112"/>
      <w:bookmarkEnd w:id="113"/>
      <w:bookmarkEnd w:id="114"/>
      <w:bookmarkEnd w:id="115"/>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提交货物的技术规范应与招标文件规定的技术规范和技术规范附件（如果有的话）及其投标文件的规格偏差表(如果被买方接受的话)相一致。</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若技术规范中无相应说明，则以国家有关部门最新颁布的相应标准及规范为准。</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16" w:name="_Toc307382970"/>
      <w:bookmarkStart w:id="117" w:name="_Toc225949593"/>
      <w:bookmarkStart w:id="118" w:name="_Toc148773479"/>
      <w:bookmarkStart w:id="119" w:name="_Toc10530"/>
      <w:bookmarkStart w:id="120" w:name="_Toc11679"/>
      <w:bookmarkStart w:id="121" w:name="_Toc312398924"/>
      <w:bookmarkStart w:id="122" w:name="_Toc7749"/>
      <w:r>
        <w:rPr>
          <w:rFonts w:hint="eastAsia" w:ascii="宋体" w:hAnsi="宋体"/>
          <w:b w:val="0"/>
          <w:bCs w:val="0"/>
          <w:color w:val="auto"/>
          <w:kern w:val="2"/>
          <w:sz w:val="21"/>
          <w:szCs w:val="21"/>
          <w:highlight w:val="none"/>
        </w:rPr>
        <w:t>3.专利权</w:t>
      </w:r>
      <w:bookmarkEnd w:id="116"/>
      <w:bookmarkEnd w:id="117"/>
      <w:bookmarkEnd w:id="118"/>
      <w:bookmarkEnd w:id="119"/>
      <w:bookmarkEnd w:id="120"/>
      <w:bookmarkEnd w:id="121"/>
      <w:bookmarkEnd w:id="122"/>
    </w:p>
    <w:p>
      <w:pPr>
        <w:snapToGrid w:val="0"/>
        <w:spacing w:line="360" w:lineRule="auto"/>
        <w:ind w:left="360" w:leftChars="150"/>
        <w:rPr>
          <w:rFonts w:ascii="宋体" w:hAnsi="宋体"/>
          <w:color w:val="auto"/>
          <w:sz w:val="21"/>
          <w:szCs w:val="21"/>
          <w:highlight w:val="none"/>
        </w:rPr>
      </w:pPr>
      <w:r>
        <w:rPr>
          <w:rFonts w:hint="eastAsia" w:ascii="宋体" w:hAnsi="宋体"/>
          <w:color w:val="auto"/>
          <w:sz w:val="21"/>
          <w:szCs w:val="21"/>
          <w:highlight w:val="none"/>
        </w:rPr>
        <w:t xml:space="preserve"> 卖方应保护买方在使用该货物或其任何一部分时不受第三方提出侵犯专利权、商</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标权或工业设计权的指控。如果任何第三方提出侵权指控，卖方须与第三方交涉并承担可能发生的一切法律责任和费用。</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23" w:name="_Toc17277"/>
      <w:bookmarkStart w:id="124" w:name="_Toc225949598"/>
      <w:bookmarkStart w:id="125" w:name="_Toc148773484"/>
      <w:bookmarkStart w:id="126" w:name="_Toc312398929"/>
      <w:bookmarkStart w:id="127" w:name="_Toc3169"/>
      <w:bookmarkStart w:id="128" w:name="_Toc22099"/>
      <w:bookmarkStart w:id="129" w:name="_Toc307382975"/>
      <w:r>
        <w:rPr>
          <w:rFonts w:hint="eastAsia" w:ascii="宋体" w:hAnsi="宋体"/>
          <w:b w:val="0"/>
          <w:bCs w:val="0"/>
          <w:color w:val="auto"/>
          <w:kern w:val="2"/>
          <w:sz w:val="21"/>
          <w:szCs w:val="21"/>
          <w:highlight w:val="none"/>
        </w:rPr>
        <w:t>4.保险</w:t>
      </w:r>
      <w:bookmarkEnd w:id="123"/>
      <w:bookmarkEnd w:id="124"/>
      <w:bookmarkEnd w:id="125"/>
      <w:bookmarkEnd w:id="126"/>
      <w:bookmarkEnd w:id="127"/>
      <w:bookmarkEnd w:id="128"/>
      <w:bookmarkEnd w:id="129"/>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进场、施工等期间的人身、财产安全等保险。</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30" w:name="_Toc307382976"/>
      <w:bookmarkStart w:id="131" w:name="_Toc225949599"/>
      <w:bookmarkStart w:id="132" w:name="_Toc312398930"/>
      <w:bookmarkStart w:id="133" w:name="_Toc148773485"/>
      <w:bookmarkStart w:id="134" w:name="_Toc12959"/>
      <w:bookmarkStart w:id="135" w:name="_Toc9716"/>
      <w:bookmarkStart w:id="136" w:name="_Toc23090"/>
      <w:r>
        <w:rPr>
          <w:rFonts w:hint="eastAsia" w:ascii="宋体" w:hAnsi="宋体"/>
          <w:b w:val="0"/>
          <w:bCs w:val="0"/>
          <w:color w:val="auto"/>
          <w:kern w:val="2"/>
          <w:sz w:val="21"/>
          <w:szCs w:val="21"/>
          <w:highlight w:val="none"/>
        </w:rPr>
        <w:t>5.付款方式</w:t>
      </w:r>
      <w:bookmarkEnd w:id="130"/>
      <w:bookmarkEnd w:id="131"/>
      <w:bookmarkEnd w:id="132"/>
      <w:bookmarkEnd w:id="133"/>
      <w:r>
        <w:rPr>
          <w:rFonts w:hint="eastAsia" w:ascii="宋体" w:hAnsi="宋体"/>
          <w:b w:val="0"/>
          <w:bCs w:val="0"/>
          <w:color w:val="auto"/>
          <w:kern w:val="2"/>
          <w:sz w:val="21"/>
          <w:szCs w:val="21"/>
          <w:highlight w:val="none"/>
        </w:rPr>
        <w:t>：</w:t>
      </w:r>
      <w:bookmarkEnd w:id="134"/>
      <w:bookmarkEnd w:id="135"/>
      <w:bookmarkEnd w:id="136"/>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37" w:name="_Toc312398931"/>
      <w:bookmarkStart w:id="138" w:name="_Toc15105"/>
      <w:bookmarkStart w:id="139" w:name="_Toc148773486"/>
      <w:bookmarkStart w:id="140" w:name="_Toc24423"/>
      <w:bookmarkStart w:id="141" w:name="_Toc307382977"/>
      <w:bookmarkStart w:id="142" w:name="_Toc225949600"/>
      <w:bookmarkStart w:id="143" w:name="_Toc12469"/>
      <w:r>
        <w:rPr>
          <w:rFonts w:hint="eastAsia" w:ascii="宋体" w:hAnsi="宋体"/>
          <w:b w:val="0"/>
          <w:bCs w:val="0"/>
          <w:color w:val="auto"/>
          <w:kern w:val="2"/>
          <w:sz w:val="21"/>
          <w:szCs w:val="21"/>
          <w:highlight w:val="none"/>
        </w:rPr>
        <w:t>6.技术资料</w:t>
      </w:r>
      <w:bookmarkEnd w:id="137"/>
      <w:bookmarkEnd w:id="138"/>
      <w:bookmarkEnd w:id="139"/>
      <w:bookmarkEnd w:id="140"/>
      <w:bookmarkEnd w:id="141"/>
      <w:bookmarkEnd w:id="142"/>
      <w:bookmarkEnd w:id="143"/>
    </w:p>
    <w:p>
      <w:pPr>
        <w:snapToGrid w:val="0"/>
        <w:spacing w:line="360" w:lineRule="auto"/>
        <w:ind w:left="210" w:hanging="210" w:hangingChars="100"/>
        <w:rPr>
          <w:rFonts w:ascii="宋体" w:hAnsi="宋体"/>
          <w:color w:val="auto"/>
          <w:sz w:val="21"/>
          <w:szCs w:val="21"/>
          <w:highlight w:val="none"/>
        </w:rPr>
      </w:pPr>
      <w:r>
        <w:rPr>
          <w:rFonts w:hint="eastAsia" w:ascii="宋体" w:hAnsi="宋体"/>
          <w:color w:val="auto"/>
          <w:sz w:val="21"/>
          <w:szCs w:val="21"/>
          <w:highlight w:val="none"/>
        </w:rPr>
        <w:t>6.1合同生效后10天内，卖方应提供货物中文技术资料一套，如目录索引、图纸、技术说明书、操作手册、使用指南、服务手册和示意图给买方。另外一套完整的上述资料应包装好随同货物一起发运。</w:t>
      </w:r>
    </w:p>
    <w:p>
      <w:pPr>
        <w:snapToGrid w:val="0"/>
        <w:spacing w:line="360" w:lineRule="auto"/>
        <w:ind w:left="210" w:hanging="210" w:hangingChars="100"/>
        <w:rPr>
          <w:rFonts w:ascii="宋体" w:hAnsi="宋体"/>
          <w:color w:val="auto"/>
          <w:sz w:val="21"/>
          <w:szCs w:val="21"/>
          <w:highlight w:val="none"/>
        </w:rPr>
      </w:pPr>
      <w:r>
        <w:rPr>
          <w:rFonts w:hint="eastAsia" w:ascii="宋体" w:hAnsi="宋体"/>
          <w:color w:val="auto"/>
          <w:sz w:val="21"/>
          <w:szCs w:val="21"/>
          <w:highlight w:val="none"/>
        </w:rPr>
        <w:t>6.2如果买方确认卖方提供的资料不完整或在运输过程中丢失，卖方将在收到买方通知后3天内将这些资料免费寄给买方。</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44" w:name="_Toc16832"/>
      <w:bookmarkStart w:id="145" w:name="_Toc31469"/>
      <w:bookmarkStart w:id="146" w:name="_Toc312398935"/>
      <w:bookmarkStart w:id="147" w:name="_Toc28728"/>
      <w:bookmarkStart w:id="148" w:name="_Toc225949604"/>
      <w:bookmarkStart w:id="149" w:name="_Toc307382981"/>
      <w:bookmarkStart w:id="150" w:name="_Toc148773490"/>
      <w:r>
        <w:rPr>
          <w:rFonts w:hint="eastAsia" w:ascii="宋体" w:hAnsi="宋体"/>
          <w:b w:val="0"/>
          <w:bCs w:val="0"/>
          <w:color w:val="auto"/>
          <w:kern w:val="2"/>
          <w:sz w:val="21"/>
          <w:szCs w:val="21"/>
          <w:highlight w:val="none"/>
        </w:rPr>
        <w:t>7.延期交货</w:t>
      </w:r>
      <w:bookmarkEnd w:id="144"/>
      <w:bookmarkEnd w:id="145"/>
      <w:bookmarkEnd w:id="146"/>
      <w:bookmarkEnd w:id="147"/>
      <w:bookmarkEnd w:id="148"/>
      <w:bookmarkEnd w:id="149"/>
      <w:bookmarkEnd w:id="150"/>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施工过程中发生的一切人身财产损失由乙方承担责任。乙方的施工应符合有关的技术文件的要求标准，并承担因施工设备自身质量问题而导致的一切损失和责任。甲方有权随时对乙方施工的质量进行抽检，检验不合格的，有权要求返工，乙方负责再次施工至合格状态，费用由乙方承担。</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51" w:name="_Toc9147"/>
      <w:bookmarkStart w:id="152" w:name="_Toc312398936"/>
      <w:bookmarkStart w:id="153" w:name="_Toc23085"/>
      <w:bookmarkStart w:id="154" w:name="_Toc6667"/>
      <w:bookmarkStart w:id="155" w:name="_Toc225949605"/>
      <w:bookmarkStart w:id="156" w:name="_Toc148773491"/>
      <w:bookmarkStart w:id="157" w:name="_Toc307382982"/>
      <w:r>
        <w:rPr>
          <w:rFonts w:hint="eastAsia" w:ascii="宋体" w:hAnsi="宋体"/>
          <w:b w:val="0"/>
          <w:bCs w:val="0"/>
          <w:color w:val="auto"/>
          <w:kern w:val="2"/>
          <w:sz w:val="21"/>
          <w:szCs w:val="21"/>
          <w:highlight w:val="none"/>
        </w:rPr>
        <w:t>8.违约赔偿</w:t>
      </w:r>
      <w:bookmarkEnd w:id="151"/>
      <w:bookmarkEnd w:id="152"/>
      <w:bookmarkEnd w:id="153"/>
      <w:bookmarkEnd w:id="154"/>
      <w:bookmarkEnd w:id="155"/>
      <w:bookmarkEnd w:id="156"/>
      <w:bookmarkEnd w:id="157"/>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除合同第</w:t>
      </w:r>
      <w:r>
        <w:rPr>
          <w:rFonts w:ascii="宋体" w:hAnsi="宋体"/>
          <w:color w:val="auto"/>
          <w:sz w:val="21"/>
          <w:szCs w:val="21"/>
          <w:highlight w:val="none"/>
        </w:rPr>
        <w:t>9</w:t>
      </w:r>
      <w:r>
        <w:rPr>
          <w:rFonts w:hint="eastAsia" w:ascii="宋体" w:hAnsi="宋体"/>
          <w:color w:val="auto"/>
          <w:sz w:val="21"/>
          <w:szCs w:val="21"/>
          <w:highlight w:val="none"/>
        </w:rPr>
        <w:t>条规定外，如果卖方没有按照合同规定的时间交货和提供服务，买方可从货款中扣除违约赔偿费，赔偿费金额按“合同法”规定执行。</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58" w:name="_Toc8658"/>
      <w:bookmarkStart w:id="159" w:name="_Toc307382983"/>
      <w:bookmarkStart w:id="160" w:name="_Toc312398937"/>
      <w:bookmarkStart w:id="161" w:name="_Toc16126"/>
      <w:bookmarkStart w:id="162" w:name="_Toc21078"/>
      <w:bookmarkStart w:id="163" w:name="_Toc148773492"/>
      <w:bookmarkStart w:id="164" w:name="_Toc225949606"/>
      <w:r>
        <w:rPr>
          <w:rFonts w:hint="eastAsia" w:ascii="宋体" w:hAnsi="宋体"/>
          <w:b w:val="0"/>
          <w:bCs w:val="0"/>
          <w:color w:val="auto"/>
          <w:kern w:val="2"/>
          <w:sz w:val="21"/>
          <w:szCs w:val="21"/>
          <w:highlight w:val="none"/>
        </w:rPr>
        <w:t>9.不可抗力</w:t>
      </w:r>
      <w:bookmarkEnd w:id="158"/>
      <w:bookmarkEnd w:id="159"/>
      <w:bookmarkEnd w:id="160"/>
      <w:bookmarkEnd w:id="161"/>
      <w:bookmarkEnd w:id="162"/>
      <w:bookmarkEnd w:id="163"/>
      <w:bookmarkEnd w:id="164"/>
    </w:p>
    <w:p>
      <w:pPr>
        <w:snapToGrid w:val="0"/>
        <w:spacing w:line="360" w:lineRule="auto"/>
        <w:ind w:firstLine="210" w:firstLineChars="100"/>
        <w:rPr>
          <w:rFonts w:ascii="宋体" w:hAnsi="宋体"/>
          <w:color w:val="auto"/>
          <w:sz w:val="21"/>
          <w:szCs w:val="21"/>
          <w:highlight w:val="none"/>
        </w:rPr>
      </w:pPr>
      <w:r>
        <w:rPr>
          <w:rFonts w:hint="eastAsia" w:ascii="宋体" w:hAnsi="宋体"/>
          <w:color w:val="auto"/>
          <w:sz w:val="21"/>
          <w:szCs w:val="21"/>
          <w:highlight w:val="none"/>
        </w:rPr>
        <w:t>9.1如果双方中任何一方由于战争、台风和地震以及其它经双方同意属于不可抗力的事故，致使合同履行受阻时，履行合同的期限应予延长，延长的期限应相当于事故所影响的时间。</w:t>
      </w:r>
    </w:p>
    <w:p>
      <w:pPr>
        <w:snapToGrid w:val="0"/>
        <w:spacing w:line="360" w:lineRule="auto"/>
        <w:ind w:left="1" w:firstLine="210" w:firstLineChars="100"/>
        <w:rPr>
          <w:rFonts w:ascii="宋体" w:hAnsi="宋体"/>
          <w:color w:val="auto"/>
          <w:sz w:val="21"/>
          <w:szCs w:val="21"/>
          <w:highlight w:val="none"/>
        </w:rPr>
      </w:pPr>
      <w:r>
        <w:rPr>
          <w:rFonts w:hint="eastAsia" w:ascii="宋体" w:hAnsi="宋体"/>
          <w:color w:val="auto"/>
          <w:sz w:val="21"/>
          <w:szCs w:val="21"/>
          <w:highlight w:val="none"/>
        </w:rPr>
        <w:t>9.2受事故影响的一方应在不可抗力的事故发生后尽快以电报或传真通知另一方，并在事故发生后14天内，将有关部门出具的证明文件用特快专递寄给或送给另一方。如果不可抗力影响时间延续120天以上的，双方应通过友好协商在合理的时间内达成进一步履行合同的协议。</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65" w:name="_Toc3901"/>
      <w:bookmarkStart w:id="166" w:name="_Toc307382984"/>
      <w:bookmarkStart w:id="167" w:name="_Toc225949607"/>
      <w:bookmarkStart w:id="168" w:name="_Toc32713"/>
      <w:bookmarkStart w:id="169" w:name="_Toc312398938"/>
      <w:bookmarkStart w:id="170" w:name="_Toc21694"/>
      <w:bookmarkStart w:id="171" w:name="_Toc148773493"/>
      <w:r>
        <w:rPr>
          <w:rFonts w:hint="eastAsia" w:ascii="宋体" w:hAnsi="宋体"/>
          <w:b w:val="0"/>
          <w:bCs w:val="0"/>
          <w:color w:val="auto"/>
          <w:kern w:val="2"/>
          <w:sz w:val="21"/>
          <w:szCs w:val="21"/>
          <w:highlight w:val="none"/>
        </w:rPr>
        <w:t>10.税费</w:t>
      </w:r>
      <w:bookmarkEnd w:id="165"/>
      <w:bookmarkEnd w:id="166"/>
      <w:bookmarkEnd w:id="167"/>
      <w:bookmarkEnd w:id="168"/>
      <w:bookmarkEnd w:id="169"/>
      <w:bookmarkEnd w:id="170"/>
      <w:bookmarkEnd w:id="171"/>
    </w:p>
    <w:p>
      <w:pPr>
        <w:snapToGrid w:val="0"/>
        <w:spacing w:line="360" w:lineRule="auto"/>
        <w:ind w:left="210" w:hanging="210" w:hangingChars="100"/>
        <w:rPr>
          <w:rFonts w:ascii="宋体" w:hAnsi="宋体"/>
          <w:color w:val="auto"/>
          <w:sz w:val="21"/>
          <w:szCs w:val="21"/>
          <w:highlight w:val="none"/>
        </w:rPr>
      </w:pPr>
      <w:r>
        <w:rPr>
          <w:rFonts w:hint="eastAsia" w:ascii="宋体" w:hAnsi="宋体"/>
          <w:color w:val="auto"/>
          <w:sz w:val="21"/>
          <w:szCs w:val="21"/>
          <w:highlight w:val="none"/>
        </w:rPr>
        <w:t xml:space="preserve">  10.1根据国家现行税法对买方征收的与本合同有关的一切税费均由买方负担。</w:t>
      </w:r>
    </w:p>
    <w:p>
      <w:pPr>
        <w:snapToGrid w:val="0"/>
        <w:spacing w:line="360" w:lineRule="auto"/>
        <w:ind w:left="210" w:hanging="210" w:hangingChars="100"/>
        <w:rPr>
          <w:rFonts w:ascii="宋体" w:hAnsi="宋体"/>
          <w:color w:val="auto"/>
          <w:sz w:val="21"/>
          <w:szCs w:val="21"/>
          <w:highlight w:val="none"/>
        </w:rPr>
      </w:pPr>
      <w:r>
        <w:rPr>
          <w:rFonts w:hint="eastAsia" w:ascii="宋体" w:hAnsi="宋体"/>
          <w:color w:val="auto"/>
          <w:sz w:val="21"/>
          <w:szCs w:val="21"/>
          <w:highlight w:val="none"/>
        </w:rPr>
        <w:t xml:space="preserve">  10.2根据国家现行税法对卖方征收的与本合同有关的一切税费均由卖方负担。</w:t>
      </w:r>
    </w:p>
    <w:p>
      <w:pPr>
        <w:snapToGrid w:val="0"/>
        <w:spacing w:line="360" w:lineRule="auto"/>
        <w:ind w:left="274" w:leftChars="114"/>
        <w:rPr>
          <w:rFonts w:ascii="宋体" w:hAnsi="宋体"/>
          <w:color w:val="auto"/>
          <w:sz w:val="21"/>
          <w:szCs w:val="21"/>
          <w:highlight w:val="none"/>
        </w:rPr>
      </w:pPr>
      <w:r>
        <w:rPr>
          <w:rFonts w:hint="eastAsia" w:ascii="宋体" w:hAnsi="宋体"/>
          <w:color w:val="auto"/>
          <w:sz w:val="21"/>
          <w:szCs w:val="21"/>
          <w:highlight w:val="none"/>
        </w:rPr>
        <w:t>10.3在中国境外发生的与本合同执行有关的一切税费均由卖方负担。</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72" w:name="_Toc22514"/>
      <w:bookmarkStart w:id="173" w:name="_Toc534"/>
      <w:bookmarkStart w:id="174" w:name="_Toc148773494"/>
      <w:bookmarkStart w:id="175" w:name="_Toc225949608"/>
      <w:bookmarkStart w:id="176" w:name="_Toc27469"/>
      <w:bookmarkStart w:id="177" w:name="_Toc307382985"/>
      <w:bookmarkStart w:id="178" w:name="_Toc312398939"/>
      <w:r>
        <w:rPr>
          <w:rFonts w:hint="eastAsia" w:ascii="宋体" w:hAnsi="宋体"/>
          <w:b w:val="0"/>
          <w:bCs w:val="0"/>
          <w:color w:val="auto"/>
          <w:kern w:val="2"/>
          <w:sz w:val="21"/>
          <w:szCs w:val="21"/>
          <w:highlight w:val="none"/>
        </w:rPr>
        <w:t>11.履约保证金</w:t>
      </w:r>
      <w:bookmarkEnd w:id="172"/>
      <w:bookmarkEnd w:id="173"/>
      <w:bookmarkEnd w:id="174"/>
      <w:bookmarkEnd w:id="175"/>
      <w:bookmarkEnd w:id="176"/>
      <w:bookmarkEnd w:id="177"/>
      <w:bookmarkEnd w:id="178"/>
    </w:p>
    <w:p>
      <w:pPr>
        <w:snapToGrid w:val="0"/>
        <w:spacing w:line="360" w:lineRule="auto"/>
        <w:ind w:left="379" w:leftChars="114" w:hanging="105" w:hangingChars="50"/>
        <w:rPr>
          <w:rFonts w:ascii="宋体" w:hAnsi="宋体"/>
          <w:color w:val="auto"/>
          <w:sz w:val="21"/>
          <w:szCs w:val="21"/>
          <w:highlight w:val="none"/>
        </w:rPr>
      </w:pPr>
      <w:r>
        <w:rPr>
          <w:rFonts w:hint="eastAsia" w:ascii="宋体" w:hAnsi="宋体"/>
          <w:color w:val="auto"/>
          <w:sz w:val="21"/>
          <w:szCs w:val="21"/>
          <w:highlight w:val="none"/>
        </w:rPr>
        <w:t>18.1卖方应在收到中标通知书后</w:t>
      </w:r>
      <w:r>
        <w:rPr>
          <w:rFonts w:hint="eastAsia" w:ascii="宋体" w:hAnsi="宋体"/>
          <w:color w:val="auto"/>
          <w:sz w:val="21"/>
          <w:szCs w:val="21"/>
          <w:highlight w:val="none"/>
          <w:u w:val="single"/>
        </w:rPr>
        <w:t xml:space="preserve"> 7天内 </w:t>
      </w:r>
      <w:r>
        <w:rPr>
          <w:rFonts w:hint="eastAsia" w:ascii="宋体" w:hAnsi="宋体"/>
          <w:color w:val="auto"/>
          <w:sz w:val="21"/>
          <w:szCs w:val="21"/>
          <w:highlight w:val="none"/>
        </w:rPr>
        <w:t>向买方提供相当于合同总价</w:t>
      </w:r>
      <w:r>
        <w:rPr>
          <w:rFonts w:hint="eastAsia" w:ascii="宋体" w:hAnsi="宋体"/>
          <w:color w:val="auto"/>
          <w:sz w:val="21"/>
          <w:szCs w:val="21"/>
          <w:highlight w:val="none"/>
          <w:u w:val="single"/>
        </w:rPr>
        <w:t xml:space="preserve">    的</w:t>
      </w:r>
      <w:r>
        <w:rPr>
          <w:rFonts w:hint="eastAsia" w:ascii="宋体" w:hAnsi="宋体"/>
          <w:color w:val="auto"/>
          <w:sz w:val="21"/>
          <w:szCs w:val="21"/>
          <w:highlight w:val="none"/>
        </w:rPr>
        <w:t>履约保证金，其有效期到审计结束、验收合格为止。</w:t>
      </w:r>
    </w:p>
    <w:p>
      <w:pPr>
        <w:snapToGrid w:val="0"/>
        <w:spacing w:line="360" w:lineRule="auto"/>
        <w:ind w:left="210" w:hanging="210" w:hangingChars="100"/>
        <w:rPr>
          <w:rFonts w:ascii="宋体" w:hAnsi="宋体"/>
          <w:color w:val="auto"/>
          <w:sz w:val="21"/>
          <w:szCs w:val="21"/>
          <w:highlight w:val="none"/>
        </w:rPr>
      </w:pPr>
      <w:r>
        <w:rPr>
          <w:rFonts w:hint="eastAsia" w:ascii="宋体" w:hAnsi="宋体"/>
          <w:color w:val="auto"/>
          <w:sz w:val="21"/>
          <w:szCs w:val="21"/>
          <w:highlight w:val="none"/>
        </w:rPr>
        <w:t xml:space="preserve">  18.2如卖方未能履行合同规定的任何一项义务，买方均有权从履约保证金中得到</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补偿。</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79" w:name="_Toc17281"/>
      <w:bookmarkStart w:id="180" w:name="_Toc148773495"/>
      <w:bookmarkStart w:id="181" w:name="_Toc307382986"/>
      <w:bookmarkStart w:id="182" w:name="_Toc22019"/>
      <w:bookmarkStart w:id="183" w:name="_Toc225949609"/>
      <w:bookmarkStart w:id="184" w:name="_Toc312398940"/>
      <w:bookmarkStart w:id="185" w:name="_Toc32436"/>
      <w:r>
        <w:rPr>
          <w:rFonts w:hint="eastAsia" w:ascii="宋体" w:hAnsi="宋体"/>
          <w:b w:val="0"/>
          <w:bCs w:val="0"/>
          <w:color w:val="auto"/>
          <w:kern w:val="2"/>
          <w:sz w:val="21"/>
          <w:szCs w:val="21"/>
          <w:highlight w:val="none"/>
        </w:rPr>
        <w:t>12.仲裁</w:t>
      </w:r>
      <w:bookmarkEnd w:id="179"/>
      <w:bookmarkEnd w:id="180"/>
      <w:bookmarkEnd w:id="181"/>
      <w:bookmarkEnd w:id="182"/>
      <w:bookmarkEnd w:id="183"/>
      <w:bookmarkEnd w:id="184"/>
      <w:bookmarkEnd w:id="185"/>
    </w:p>
    <w:p>
      <w:pPr>
        <w:snapToGrid w:val="0"/>
        <w:spacing w:line="360" w:lineRule="auto"/>
        <w:ind w:firstLine="205" w:firstLineChars="98"/>
        <w:rPr>
          <w:rFonts w:ascii="宋体" w:hAnsi="宋体"/>
          <w:b/>
          <w:bCs/>
          <w:color w:val="auto"/>
          <w:sz w:val="21"/>
          <w:szCs w:val="21"/>
          <w:highlight w:val="none"/>
        </w:rPr>
      </w:pPr>
      <w:r>
        <w:rPr>
          <w:rFonts w:hint="eastAsia" w:ascii="宋体" w:hAnsi="宋体"/>
          <w:color w:val="auto"/>
          <w:sz w:val="21"/>
          <w:szCs w:val="21"/>
          <w:highlight w:val="none"/>
        </w:rPr>
        <w:t>12.1买卖双方通过友好协商，解决在执行本合同中所发生的或与本合同有关的一切争端，如果协商仍得不到解决，任何一方均可按“中华人民共和国合同法”规定提交调解和仲裁。</w:t>
      </w:r>
    </w:p>
    <w:p>
      <w:pPr>
        <w:snapToGrid w:val="0"/>
        <w:spacing w:line="360" w:lineRule="auto"/>
        <w:ind w:left="210" w:hanging="210" w:hangingChars="100"/>
        <w:rPr>
          <w:rFonts w:ascii="宋体" w:hAnsi="宋体"/>
          <w:color w:val="auto"/>
          <w:sz w:val="21"/>
          <w:szCs w:val="21"/>
          <w:highlight w:val="none"/>
        </w:rPr>
      </w:pPr>
      <w:r>
        <w:rPr>
          <w:rFonts w:hint="eastAsia" w:ascii="宋体" w:hAnsi="宋体"/>
          <w:color w:val="auto"/>
          <w:sz w:val="21"/>
          <w:szCs w:val="21"/>
          <w:highlight w:val="none"/>
        </w:rPr>
        <w:t xml:space="preserve">  12.2在诉讼期间，除正在进行诉讼的部分外，本合同其它部分应继续执行。</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86" w:name="_Toc18845"/>
      <w:bookmarkStart w:id="187" w:name="_Toc1575"/>
      <w:bookmarkStart w:id="188" w:name="_Toc312398941"/>
      <w:bookmarkStart w:id="189" w:name="_Toc148773496"/>
      <w:bookmarkStart w:id="190" w:name="_Toc307382987"/>
      <w:bookmarkStart w:id="191" w:name="_Toc13221"/>
      <w:bookmarkStart w:id="192" w:name="_Toc225949610"/>
      <w:r>
        <w:rPr>
          <w:rFonts w:hint="eastAsia" w:ascii="宋体" w:hAnsi="宋体"/>
          <w:b w:val="0"/>
          <w:bCs w:val="0"/>
          <w:color w:val="auto"/>
          <w:kern w:val="2"/>
          <w:sz w:val="21"/>
          <w:szCs w:val="21"/>
          <w:highlight w:val="none"/>
        </w:rPr>
        <w:t>13.违约终止合同</w:t>
      </w:r>
      <w:bookmarkEnd w:id="186"/>
      <w:bookmarkEnd w:id="187"/>
      <w:bookmarkEnd w:id="188"/>
      <w:bookmarkEnd w:id="189"/>
      <w:bookmarkEnd w:id="190"/>
      <w:bookmarkEnd w:id="191"/>
      <w:bookmarkEnd w:id="192"/>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 xml:space="preserve">  13.1买方在卖方违约的情况下，如果：</w:t>
      </w:r>
    </w:p>
    <w:p>
      <w:pPr>
        <w:tabs>
          <w:tab w:val="left" w:pos="766"/>
        </w:tabs>
        <w:snapToGrid w:val="0"/>
        <w:spacing w:line="360" w:lineRule="auto"/>
        <w:ind w:left="766" w:hanging="480"/>
        <w:jc w:val="both"/>
        <w:textAlignment w:val="auto"/>
        <w:rPr>
          <w:rFonts w:ascii="宋体" w:hAnsi="宋体"/>
          <w:color w:val="auto"/>
          <w:sz w:val="21"/>
          <w:szCs w:val="21"/>
          <w:highlight w:val="none"/>
        </w:rPr>
      </w:pPr>
      <w:r>
        <w:rPr>
          <w:rFonts w:hint="eastAsia" w:ascii="宋体" w:hAnsi="宋体"/>
          <w:color w:val="auto"/>
          <w:sz w:val="21"/>
          <w:szCs w:val="21"/>
          <w:highlight w:val="none"/>
        </w:rPr>
        <w:t>卖方未能在合同规定的限期或买方同意延长的限期内提供全部或部分货物；或</w:t>
      </w:r>
    </w:p>
    <w:p>
      <w:pPr>
        <w:tabs>
          <w:tab w:val="left" w:pos="766"/>
        </w:tabs>
        <w:snapToGrid w:val="0"/>
        <w:spacing w:line="360" w:lineRule="auto"/>
        <w:ind w:left="766" w:hanging="480"/>
        <w:jc w:val="both"/>
        <w:textAlignment w:val="auto"/>
        <w:rPr>
          <w:rFonts w:ascii="宋体" w:hAnsi="宋体"/>
          <w:color w:val="auto"/>
          <w:sz w:val="21"/>
          <w:szCs w:val="21"/>
          <w:highlight w:val="none"/>
        </w:rPr>
      </w:pPr>
      <w:r>
        <w:rPr>
          <w:rFonts w:hint="eastAsia" w:ascii="宋体" w:hAnsi="宋体"/>
          <w:color w:val="auto"/>
          <w:sz w:val="21"/>
          <w:szCs w:val="21"/>
          <w:highlight w:val="none"/>
        </w:rPr>
        <w:t>如果卖方未能履行合同规定的其它义务，卖方在收到买方发出的违约通知后</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30天内，或经买方书面认可延长的时间内未能纠正其过失，买方可向卖方发出书面通知，终止部分或全部合同。</w:t>
      </w:r>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在这种情况下，并不影响买方向卖方提出的索赔。</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13.2在买方根据上述第20.1条规定，终止了全部或部分合同，买方可以依其认为适当的条件和方法购买与未交货物类似的货物，卖方应对购买类似货物所超出的费用负责。而且卖方还应继续执行合同中未终止的部分。</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193" w:name="_Toc312398942"/>
      <w:bookmarkStart w:id="194" w:name="_Toc148773497"/>
      <w:bookmarkStart w:id="195" w:name="_Toc307382988"/>
      <w:bookmarkStart w:id="196" w:name="_Toc18923"/>
      <w:bookmarkStart w:id="197" w:name="_Toc31366"/>
      <w:bookmarkStart w:id="198" w:name="_Toc225949611"/>
      <w:bookmarkStart w:id="199" w:name="_Toc12832"/>
      <w:r>
        <w:rPr>
          <w:rFonts w:hint="eastAsia" w:ascii="宋体" w:hAnsi="宋体"/>
          <w:b w:val="0"/>
          <w:bCs w:val="0"/>
          <w:color w:val="auto"/>
          <w:kern w:val="2"/>
          <w:sz w:val="21"/>
          <w:szCs w:val="21"/>
          <w:highlight w:val="none"/>
        </w:rPr>
        <w:t>14.破产终止合同</w:t>
      </w:r>
      <w:bookmarkEnd w:id="193"/>
      <w:bookmarkEnd w:id="194"/>
      <w:bookmarkEnd w:id="195"/>
      <w:bookmarkEnd w:id="196"/>
      <w:bookmarkEnd w:id="197"/>
      <w:bookmarkEnd w:id="198"/>
      <w:bookmarkEnd w:id="199"/>
    </w:p>
    <w:p>
      <w:pPr>
        <w:snapToGrid w:val="0"/>
        <w:spacing w:line="360" w:lineRule="auto"/>
        <w:ind w:firstLine="417" w:firstLineChars="199"/>
        <w:rPr>
          <w:rFonts w:ascii="宋体" w:hAnsi="宋体"/>
          <w:color w:val="auto"/>
          <w:sz w:val="21"/>
          <w:szCs w:val="21"/>
          <w:highlight w:val="none"/>
        </w:rPr>
      </w:pPr>
      <w:r>
        <w:rPr>
          <w:rFonts w:hint="eastAsia" w:ascii="宋体" w:hAnsi="宋体"/>
          <w:color w:val="auto"/>
          <w:sz w:val="21"/>
          <w:szCs w:val="21"/>
          <w:highlight w:val="none"/>
        </w:rPr>
        <w:t>如果卖方破产或无清偿能力时，买方可在任何时候以书面通知卖方终止合同。该终止合同将不损害或影响买方已经采取或将要采取的补救措施的权利。</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200" w:name="_Toc24183"/>
      <w:bookmarkStart w:id="201" w:name="_Toc18539"/>
      <w:bookmarkStart w:id="202" w:name="_Toc30480"/>
      <w:bookmarkStart w:id="203" w:name="_Toc148773498"/>
      <w:bookmarkStart w:id="204" w:name="_Toc225949612"/>
      <w:bookmarkStart w:id="205" w:name="_Toc312398943"/>
      <w:bookmarkStart w:id="206" w:name="_Toc307382989"/>
      <w:r>
        <w:rPr>
          <w:rFonts w:hint="eastAsia" w:ascii="宋体" w:hAnsi="宋体"/>
          <w:b w:val="0"/>
          <w:bCs w:val="0"/>
          <w:color w:val="auto"/>
          <w:kern w:val="2"/>
          <w:sz w:val="21"/>
          <w:szCs w:val="21"/>
          <w:highlight w:val="none"/>
        </w:rPr>
        <w:t>15.转让和分包</w:t>
      </w:r>
      <w:bookmarkEnd w:id="200"/>
      <w:bookmarkEnd w:id="201"/>
      <w:bookmarkEnd w:id="202"/>
      <w:bookmarkEnd w:id="203"/>
      <w:bookmarkEnd w:id="204"/>
      <w:bookmarkEnd w:id="205"/>
      <w:bookmarkEnd w:id="206"/>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207" w:name="_Toc225949613"/>
      <w:bookmarkStart w:id="208" w:name="_Toc18193"/>
      <w:bookmarkStart w:id="209" w:name="_Toc148773499"/>
      <w:bookmarkStart w:id="210" w:name="_Toc307382990"/>
      <w:bookmarkStart w:id="211" w:name="_Toc312398944"/>
      <w:bookmarkStart w:id="212" w:name="_Toc26804"/>
      <w:bookmarkStart w:id="213" w:name="_Toc22602"/>
      <w:r>
        <w:rPr>
          <w:rFonts w:hint="eastAsia" w:ascii="宋体" w:hAnsi="宋体"/>
          <w:b w:val="0"/>
          <w:bCs w:val="0"/>
          <w:color w:val="auto"/>
          <w:kern w:val="2"/>
          <w:sz w:val="21"/>
          <w:szCs w:val="21"/>
          <w:highlight w:val="none"/>
        </w:rPr>
        <w:t>16.合同修改</w:t>
      </w:r>
      <w:bookmarkEnd w:id="207"/>
      <w:bookmarkEnd w:id="208"/>
      <w:bookmarkEnd w:id="209"/>
      <w:bookmarkEnd w:id="210"/>
      <w:bookmarkEnd w:id="211"/>
      <w:bookmarkEnd w:id="212"/>
      <w:bookmarkEnd w:id="213"/>
    </w:p>
    <w:p>
      <w:pPr>
        <w:snapToGrid w:val="0"/>
        <w:spacing w:line="360" w:lineRule="auto"/>
        <w:ind w:left="274" w:leftChars="114" w:firstLine="210" w:firstLineChars="100"/>
        <w:rPr>
          <w:rFonts w:ascii="宋体" w:hAnsi="宋体"/>
          <w:color w:val="auto"/>
          <w:sz w:val="21"/>
          <w:szCs w:val="21"/>
          <w:highlight w:val="none"/>
        </w:rPr>
      </w:pPr>
      <w:r>
        <w:rPr>
          <w:rFonts w:hint="eastAsia" w:ascii="宋体" w:hAnsi="宋体"/>
          <w:color w:val="auto"/>
          <w:sz w:val="21"/>
          <w:szCs w:val="21"/>
          <w:highlight w:val="none"/>
        </w:rPr>
        <w:t>欲对合同条款进行任何改动，均须由买卖双方签署书面的合同修改书。</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214" w:name="_Toc307382991"/>
      <w:bookmarkStart w:id="215" w:name="_Toc148773500"/>
      <w:bookmarkStart w:id="216" w:name="_Toc19384"/>
      <w:bookmarkStart w:id="217" w:name="_Toc312398945"/>
      <w:bookmarkStart w:id="218" w:name="_Toc27621"/>
      <w:bookmarkStart w:id="219" w:name="_Toc225949614"/>
      <w:bookmarkStart w:id="220" w:name="_Toc2281"/>
      <w:r>
        <w:rPr>
          <w:rFonts w:hint="eastAsia" w:ascii="宋体" w:hAnsi="宋体"/>
          <w:b w:val="0"/>
          <w:bCs w:val="0"/>
          <w:color w:val="auto"/>
          <w:kern w:val="2"/>
          <w:sz w:val="21"/>
          <w:szCs w:val="21"/>
          <w:highlight w:val="none"/>
        </w:rPr>
        <w:t>17.通知</w:t>
      </w:r>
      <w:bookmarkEnd w:id="214"/>
      <w:bookmarkEnd w:id="215"/>
      <w:bookmarkEnd w:id="216"/>
      <w:bookmarkEnd w:id="217"/>
      <w:bookmarkEnd w:id="218"/>
      <w:bookmarkEnd w:id="219"/>
      <w:bookmarkEnd w:id="220"/>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本合同任何一方给另一方的通知，都应以书面或传真的形式发送，而另一方应以书面形式确认并发送到对方明确的地址。</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221" w:name="_Toc30316"/>
      <w:bookmarkStart w:id="222" w:name="_Toc225949615"/>
      <w:bookmarkStart w:id="223" w:name="_Toc307382992"/>
      <w:bookmarkStart w:id="224" w:name="_Toc26568"/>
      <w:bookmarkStart w:id="225" w:name="_Toc19923"/>
      <w:bookmarkStart w:id="226" w:name="_Toc148773501"/>
      <w:bookmarkStart w:id="227" w:name="_Toc312398946"/>
      <w:r>
        <w:rPr>
          <w:rFonts w:hint="eastAsia" w:ascii="宋体" w:hAnsi="宋体"/>
          <w:b w:val="0"/>
          <w:bCs w:val="0"/>
          <w:color w:val="auto"/>
          <w:kern w:val="2"/>
          <w:sz w:val="21"/>
          <w:szCs w:val="21"/>
          <w:highlight w:val="none"/>
        </w:rPr>
        <w:t>18.计量单位</w:t>
      </w:r>
      <w:bookmarkEnd w:id="221"/>
      <w:bookmarkEnd w:id="222"/>
      <w:bookmarkEnd w:id="223"/>
      <w:bookmarkEnd w:id="224"/>
      <w:bookmarkEnd w:id="225"/>
      <w:bookmarkEnd w:id="226"/>
      <w:bookmarkEnd w:id="227"/>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除技术规范中另有规定外，计量单位均使用国家法定计量单位。</w:t>
      </w:r>
    </w:p>
    <w:p>
      <w:pPr>
        <w:pStyle w:val="3"/>
        <w:tabs>
          <w:tab w:val="left" w:pos="5220"/>
        </w:tabs>
        <w:spacing w:before="0" w:after="0" w:line="360" w:lineRule="auto"/>
        <w:jc w:val="both"/>
        <w:rPr>
          <w:rFonts w:ascii="宋体" w:hAnsi="宋体"/>
          <w:b w:val="0"/>
          <w:bCs w:val="0"/>
          <w:color w:val="auto"/>
          <w:kern w:val="2"/>
          <w:sz w:val="21"/>
          <w:szCs w:val="21"/>
          <w:highlight w:val="none"/>
        </w:rPr>
      </w:pPr>
      <w:bookmarkStart w:id="228" w:name="_Toc18935"/>
      <w:bookmarkStart w:id="229" w:name="_Toc12359"/>
      <w:bookmarkStart w:id="230" w:name="_Toc307382993"/>
      <w:bookmarkStart w:id="231" w:name="_Toc312398947"/>
      <w:bookmarkStart w:id="232" w:name="_Toc1189"/>
      <w:bookmarkStart w:id="233" w:name="_Toc148773502"/>
      <w:bookmarkStart w:id="234" w:name="_Toc225949616"/>
      <w:r>
        <w:rPr>
          <w:rFonts w:hint="eastAsia" w:ascii="宋体" w:hAnsi="宋体"/>
          <w:b w:val="0"/>
          <w:bCs w:val="0"/>
          <w:color w:val="auto"/>
          <w:kern w:val="2"/>
          <w:sz w:val="21"/>
          <w:szCs w:val="21"/>
          <w:highlight w:val="none"/>
        </w:rPr>
        <w:t>19.适用法律</w:t>
      </w:r>
      <w:bookmarkEnd w:id="228"/>
      <w:bookmarkEnd w:id="229"/>
      <w:bookmarkEnd w:id="230"/>
      <w:bookmarkEnd w:id="231"/>
      <w:bookmarkEnd w:id="232"/>
      <w:bookmarkEnd w:id="233"/>
      <w:bookmarkEnd w:id="234"/>
    </w:p>
    <w:p>
      <w:pPr>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本合同应按照中华人民共和国的法律进行解释。</w:t>
      </w:r>
    </w:p>
    <w:p>
      <w:pPr>
        <w:pStyle w:val="3"/>
        <w:tabs>
          <w:tab w:val="left" w:pos="5220"/>
        </w:tabs>
        <w:spacing w:before="0" w:after="0" w:line="360" w:lineRule="auto"/>
        <w:jc w:val="both"/>
        <w:rPr>
          <w:rFonts w:ascii="宋体" w:hAnsi="宋体"/>
          <w:b w:val="0"/>
          <w:bCs w:val="0"/>
          <w:color w:val="auto"/>
          <w:sz w:val="21"/>
          <w:szCs w:val="21"/>
          <w:highlight w:val="none"/>
        </w:rPr>
      </w:pPr>
      <w:bookmarkStart w:id="235" w:name="_Toc312398948"/>
      <w:bookmarkStart w:id="236" w:name="_Toc225949617"/>
      <w:bookmarkStart w:id="237" w:name="_Toc30257"/>
      <w:bookmarkStart w:id="238" w:name="_Toc22998"/>
      <w:bookmarkStart w:id="239" w:name="_Toc148773503"/>
      <w:bookmarkStart w:id="240" w:name="_Toc307382994"/>
      <w:bookmarkStart w:id="241" w:name="_Toc14847"/>
      <w:r>
        <w:rPr>
          <w:rFonts w:hint="eastAsia" w:ascii="宋体" w:hAnsi="宋体"/>
          <w:b w:val="0"/>
          <w:bCs w:val="0"/>
          <w:color w:val="auto"/>
          <w:kern w:val="2"/>
          <w:sz w:val="21"/>
          <w:szCs w:val="21"/>
          <w:highlight w:val="none"/>
        </w:rPr>
        <w:t>20.未尽事宜</w:t>
      </w:r>
      <w:bookmarkEnd w:id="235"/>
      <w:bookmarkEnd w:id="236"/>
      <w:bookmarkEnd w:id="237"/>
      <w:bookmarkEnd w:id="238"/>
      <w:bookmarkEnd w:id="239"/>
      <w:bookmarkEnd w:id="240"/>
      <w:bookmarkEnd w:id="241"/>
    </w:p>
    <w:p>
      <w:pPr>
        <w:snapToGrid w:val="0"/>
        <w:spacing w:line="360" w:lineRule="auto"/>
        <w:ind w:firstLine="240"/>
        <w:rPr>
          <w:rFonts w:ascii="宋体" w:hAnsi="宋体"/>
          <w:color w:val="auto"/>
          <w:sz w:val="21"/>
          <w:szCs w:val="21"/>
          <w:highlight w:val="none"/>
        </w:rPr>
      </w:pPr>
      <w:r>
        <w:rPr>
          <w:rFonts w:hint="eastAsia" w:ascii="宋体" w:hAnsi="宋体"/>
          <w:color w:val="auto"/>
          <w:sz w:val="21"/>
          <w:szCs w:val="21"/>
          <w:highlight w:val="none"/>
        </w:rPr>
        <w:t xml:space="preserve">  未尽事宜，双方协商解决。  </w:t>
      </w:r>
    </w:p>
    <w:p>
      <w:pPr>
        <w:pStyle w:val="3"/>
        <w:spacing w:before="0" w:after="0" w:line="276" w:lineRule="auto"/>
        <w:jc w:val="center"/>
        <w:rPr>
          <w:rFonts w:ascii="宋体"/>
          <w:color w:val="auto"/>
          <w:sz w:val="28"/>
          <w:szCs w:val="28"/>
          <w:highlight w:val="none"/>
        </w:rPr>
        <w:sectPr>
          <w:headerReference r:id="rId8" w:type="default"/>
          <w:footerReference r:id="rId9" w:type="default"/>
          <w:pgSz w:w="11906" w:h="16838"/>
          <w:pgMar w:top="1418" w:right="1418" w:bottom="1418" w:left="1588" w:header="851" w:footer="851"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bookmarkEnd w:id="101"/>
    <w:p>
      <w:pPr>
        <w:pStyle w:val="3"/>
        <w:bidi w:val="0"/>
        <w:jc w:val="center"/>
        <w:rPr>
          <w:color w:val="auto"/>
          <w:sz w:val="32"/>
          <w:szCs w:val="32"/>
          <w:highlight w:val="none"/>
        </w:rPr>
      </w:pPr>
      <w:bookmarkStart w:id="242" w:name="_Toc241827252"/>
      <w:bookmarkStart w:id="243" w:name="_Toc3677"/>
      <w:bookmarkStart w:id="244" w:name="_Toc241827256"/>
      <w:bookmarkStart w:id="245" w:name="_Toc86202637"/>
      <w:r>
        <w:rPr>
          <w:rFonts w:hint="eastAsia"/>
          <w:color w:val="auto"/>
          <w:sz w:val="32"/>
          <w:szCs w:val="32"/>
          <w:highlight w:val="none"/>
        </w:rPr>
        <w:t xml:space="preserve">第六章  </w:t>
      </w:r>
      <w:bookmarkStart w:id="246" w:name="_Toc86202632"/>
      <w:r>
        <w:rPr>
          <w:rFonts w:hint="eastAsia"/>
          <w:color w:val="auto"/>
          <w:sz w:val="32"/>
          <w:szCs w:val="32"/>
          <w:highlight w:val="none"/>
        </w:rPr>
        <w:t>投标文件格式</w:t>
      </w:r>
      <w:bookmarkEnd w:id="242"/>
      <w:bookmarkEnd w:id="243"/>
      <w:bookmarkEnd w:id="246"/>
      <w:bookmarkStart w:id="247" w:name="_Toc86202633"/>
    </w:p>
    <w:bookmarkEnd w:id="247"/>
    <w:p>
      <w:pPr>
        <w:rPr>
          <w:rFonts w:ascii="宋体"/>
          <w:color w:val="auto"/>
          <w:sz w:val="21"/>
          <w:szCs w:val="21"/>
          <w:highlight w:val="none"/>
        </w:rPr>
      </w:pPr>
    </w:p>
    <w:p>
      <w:pPr>
        <w:wordWrap w:val="0"/>
        <w:autoSpaceDE w:val="0"/>
        <w:autoSpaceDN w:val="0"/>
        <w:spacing w:line="420" w:lineRule="exact"/>
        <w:rPr>
          <w:rStyle w:val="173"/>
          <w:rFonts w:ascii="宋体" w:hAnsi="宋体"/>
          <w:b w:val="0"/>
          <w:color w:val="auto"/>
          <w:highlight w:val="none"/>
          <w:lang w:val="zh-CN"/>
        </w:rPr>
      </w:pPr>
      <w:r>
        <w:rPr>
          <w:rStyle w:val="173"/>
          <w:rFonts w:hint="eastAsia" w:ascii="宋体" w:hAnsi="宋体"/>
          <w:color w:val="auto"/>
          <w:szCs w:val="21"/>
          <w:highlight w:val="none"/>
        </w:rPr>
        <w:t>封面</w:t>
      </w:r>
    </w:p>
    <w:p>
      <w:pPr>
        <w:wordWrap w:val="0"/>
        <w:spacing w:line="360" w:lineRule="auto"/>
        <w:ind w:firstLine="1285" w:firstLineChars="400"/>
        <w:jc w:val="right"/>
        <w:rPr>
          <w:rFonts w:ascii="宋体" w:hAnsi="宋体"/>
          <w:b/>
          <w:color w:val="auto"/>
          <w:sz w:val="32"/>
          <w:szCs w:val="32"/>
          <w:highlight w:val="none"/>
        </w:rPr>
      </w:pPr>
      <w:r>
        <w:rPr>
          <w:rFonts w:hint="eastAsia" w:ascii="宋体" w:hAnsi="宋体"/>
          <w:b/>
          <w:color w:val="auto"/>
          <w:sz w:val="32"/>
          <w:szCs w:val="32"/>
          <w:highlight w:val="none"/>
        </w:rPr>
        <w:t>正本</w:t>
      </w:r>
    </w:p>
    <w:p>
      <w:pPr>
        <w:wordWrap w:val="0"/>
        <w:spacing w:line="360" w:lineRule="auto"/>
        <w:rPr>
          <w:rFonts w:ascii="宋体" w:hAnsi="宋体"/>
          <w:color w:val="auto"/>
          <w:sz w:val="28"/>
          <w:szCs w:val="28"/>
          <w:highlight w:val="none"/>
        </w:rPr>
      </w:pPr>
    </w:p>
    <w:p>
      <w:pPr>
        <w:wordWrap w:val="0"/>
        <w:spacing w:after="120" w:line="900" w:lineRule="exact"/>
        <w:jc w:val="center"/>
        <w:rPr>
          <w:rFonts w:hint="eastAsia" w:ascii="宋体" w:hAnsi="宋体" w:eastAsia="宋体"/>
          <w:b/>
          <w:color w:val="auto"/>
          <w:sz w:val="36"/>
          <w:szCs w:val="36"/>
          <w:highlight w:val="none"/>
          <w:lang w:eastAsia="zh-CN"/>
        </w:rPr>
      </w:pPr>
      <w:r>
        <w:rPr>
          <w:rFonts w:hint="eastAsia" w:ascii="宋体" w:hAnsi="宋体"/>
          <w:b/>
          <w:color w:val="auto"/>
          <w:sz w:val="36"/>
          <w:szCs w:val="36"/>
          <w:highlight w:val="none"/>
          <w:lang w:eastAsia="zh-CN"/>
        </w:rPr>
        <w:t>2023年度市三区常规交通设施年度维护项目</w:t>
      </w:r>
    </w:p>
    <w:p>
      <w:pPr>
        <w:wordWrap w:val="0"/>
        <w:spacing w:line="360" w:lineRule="auto"/>
        <w:jc w:val="center"/>
        <w:rPr>
          <w:rFonts w:hint="eastAsia" w:ascii="宋体" w:hAnsi="宋体" w:eastAsia="宋体"/>
          <w:color w:val="auto"/>
          <w:sz w:val="36"/>
          <w:szCs w:val="36"/>
          <w:highlight w:val="none"/>
          <w:u w:val="single"/>
          <w:lang w:eastAsia="zh-CN"/>
        </w:rPr>
      </w:pPr>
      <w:r>
        <w:rPr>
          <w:rFonts w:hint="eastAsia" w:ascii="宋体" w:hAnsi="宋体"/>
          <w:color w:val="auto"/>
          <w:sz w:val="36"/>
          <w:szCs w:val="36"/>
          <w:highlight w:val="none"/>
          <w:u w:val="single"/>
        </w:rPr>
        <w:t>采购编号：</w:t>
      </w:r>
      <w:r>
        <w:rPr>
          <w:rFonts w:hint="eastAsia" w:ascii="宋体" w:hAnsi="宋体"/>
          <w:color w:val="auto"/>
          <w:sz w:val="36"/>
          <w:szCs w:val="36"/>
          <w:highlight w:val="none"/>
          <w:u w:val="single"/>
          <w:lang w:eastAsia="zh-CN"/>
        </w:rPr>
        <w:t>NBITC-202330131G</w:t>
      </w:r>
    </w:p>
    <w:p>
      <w:pPr>
        <w:wordWrap w:val="0"/>
        <w:spacing w:line="360" w:lineRule="auto"/>
        <w:ind w:firstLine="2340" w:firstLineChars="650"/>
        <w:rPr>
          <w:rFonts w:ascii="宋体" w:hAnsi="宋体"/>
          <w:color w:val="auto"/>
          <w:sz w:val="36"/>
          <w:szCs w:val="36"/>
          <w:highlight w:val="none"/>
        </w:rPr>
      </w:pPr>
      <w:r>
        <w:rPr>
          <w:rFonts w:hint="eastAsia" w:ascii="宋体" w:hAnsi="宋体"/>
          <w:color w:val="auto"/>
          <w:sz w:val="36"/>
          <w:szCs w:val="36"/>
          <w:highlight w:val="none"/>
          <w:u w:val="single"/>
        </w:rPr>
        <w:t>标</w:t>
      </w:r>
      <w:r>
        <w:rPr>
          <w:rFonts w:ascii="宋体" w:hAnsi="宋体"/>
          <w:color w:val="auto"/>
          <w:sz w:val="36"/>
          <w:szCs w:val="36"/>
          <w:highlight w:val="none"/>
          <w:u w:val="single"/>
        </w:rPr>
        <w:t xml:space="preserve">    </w:t>
      </w:r>
      <w:r>
        <w:rPr>
          <w:rFonts w:hint="eastAsia" w:ascii="宋体" w:hAnsi="宋体"/>
          <w:color w:val="auto"/>
          <w:sz w:val="36"/>
          <w:szCs w:val="36"/>
          <w:highlight w:val="none"/>
          <w:u w:val="single"/>
        </w:rPr>
        <w:t>项：（如有多个标项）</w:t>
      </w:r>
    </w:p>
    <w:p>
      <w:pPr>
        <w:wordWrap w:val="0"/>
        <w:rPr>
          <w:rFonts w:ascii="宋体" w:hAnsi="宋体"/>
          <w:color w:val="auto"/>
          <w:sz w:val="28"/>
          <w:szCs w:val="28"/>
          <w:highlight w:val="none"/>
        </w:rPr>
      </w:pPr>
    </w:p>
    <w:p>
      <w:pPr>
        <w:wordWrap w:val="0"/>
        <w:spacing w:line="360" w:lineRule="auto"/>
        <w:jc w:val="center"/>
        <w:rPr>
          <w:rFonts w:ascii="宋体" w:hAnsi="宋体"/>
          <w:color w:val="auto"/>
          <w:sz w:val="36"/>
          <w:szCs w:val="36"/>
          <w:highlight w:val="none"/>
        </w:rPr>
      </w:pPr>
      <w:r>
        <w:rPr>
          <w:rFonts w:hint="eastAsia" w:ascii="宋体" w:hAnsi="宋体"/>
          <w:color w:val="auto"/>
          <w:sz w:val="36"/>
          <w:szCs w:val="36"/>
          <w:highlight w:val="none"/>
        </w:rPr>
        <w:t>（商务和技术文件）</w:t>
      </w:r>
    </w:p>
    <w:p>
      <w:pPr>
        <w:wordWrap w:val="0"/>
        <w:jc w:val="center"/>
        <w:rPr>
          <w:rFonts w:ascii="宋体" w:hAnsi="宋体"/>
          <w:color w:val="auto"/>
          <w:sz w:val="28"/>
          <w:szCs w:val="28"/>
          <w:highlight w:val="none"/>
        </w:rPr>
      </w:pPr>
    </w:p>
    <w:p>
      <w:pPr>
        <w:wordWrap w:val="0"/>
        <w:spacing w:line="360" w:lineRule="auto"/>
        <w:jc w:val="center"/>
        <w:rPr>
          <w:rFonts w:ascii="宋体" w:hAnsi="宋体"/>
          <w:b/>
          <w:color w:val="auto"/>
          <w:sz w:val="72"/>
          <w:szCs w:val="72"/>
          <w:highlight w:val="none"/>
        </w:rPr>
      </w:pPr>
    </w:p>
    <w:p>
      <w:pPr>
        <w:wordWrap w:val="0"/>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pPr>
        <w:wordWrap w:val="0"/>
        <w:spacing w:line="360" w:lineRule="auto"/>
        <w:jc w:val="center"/>
        <w:rPr>
          <w:rFonts w:ascii="宋体" w:hAnsi="宋体"/>
          <w:color w:val="auto"/>
          <w:sz w:val="36"/>
          <w:szCs w:val="36"/>
          <w:highlight w:val="none"/>
        </w:rPr>
      </w:pPr>
    </w:p>
    <w:p>
      <w:pPr>
        <w:wordWrap w:val="0"/>
        <w:spacing w:line="360" w:lineRule="auto"/>
        <w:jc w:val="center"/>
        <w:rPr>
          <w:rFonts w:ascii="宋体" w:hAnsi="宋体"/>
          <w:color w:val="auto"/>
          <w:sz w:val="36"/>
          <w:szCs w:val="36"/>
          <w:highlight w:val="none"/>
        </w:rPr>
      </w:pPr>
    </w:p>
    <w:p>
      <w:pPr>
        <w:wordWrap w:val="0"/>
        <w:spacing w:line="360" w:lineRule="auto"/>
        <w:jc w:val="center"/>
        <w:rPr>
          <w:rFonts w:ascii="宋体" w:hAnsi="宋体"/>
          <w:color w:val="auto"/>
          <w:sz w:val="36"/>
          <w:szCs w:val="36"/>
          <w:highlight w:val="none"/>
        </w:rPr>
      </w:pPr>
    </w:p>
    <w:p>
      <w:pPr>
        <w:wordWrap w:val="0"/>
        <w:spacing w:line="360" w:lineRule="auto"/>
        <w:jc w:val="center"/>
        <w:rPr>
          <w:rFonts w:ascii="宋体" w:hAnsi="宋体"/>
          <w:color w:val="auto"/>
          <w:sz w:val="36"/>
          <w:szCs w:val="36"/>
          <w:highlight w:val="none"/>
          <w:u w:val="single"/>
        </w:rPr>
      </w:pPr>
      <w:r>
        <w:rPr>
          <w:rFonts w:hint="eastAsia" w:ascii="宋体" w:hAnsi="宋体"/>
          <w:color w:val="auto"/>
          <w:sz w:val="36"/>
          <w:szCs w:val="36"/>
          <w:highlight w:val="none"/>
        </w:rPr>
        <w:t>供应商全称：</w:t>
      </w:r>
      <w:r>
        <w:rPr>
          <w:rFonts w:hint="eastAsia" w:ascii="宋体" w:hAnsi="宋体"/>
          <w:color w:val="auto"/>
          <w:sz w:val="36"/>
          <w:szCs w:val="36"/>
          <w:highlight w:val="none"/>
          <w:u w:val="single"/>
        </w:rPr>
        <w:t>（加盖单位公章）</w:t>
      </w:r>
    </w:p>
    <w:p>
      <w:pPr>
        <w:pStyle w:val="24"/>
        <w:wordWrap w:val="0"/>
        <w:ind w:left="115" w:leftChars="48" w:firstLine="1680" w:firstLineChars="800"/>
        <w:jc w:val="left"/>
        <w:rPr>
          <w:rFonts w:hAnsi="宋体"/>
          <w:color w:val="auto"/>
          <w:szCs w:val="28"/>
          <w:highlight w:val="none"/>
          <w:u w:val="single"/>
        </w:rPr>
      </w:pPr>
    </w:p>
    <w:p>
      <w:pPr>
        <w:wordWrap w:val="0"/>
        <w:spacing w:line="360" w:lineRule="auto"/>
        <w:jc w:val="center"/>
        <w:rPr>
          <w:rStyle w:val="173"/>
          <w:rFonts w:ascii="宋体" w:hAnsi="宋体"/>
          <w:color w:val="auto"/>
          <w:sz w:val="28"/>
          <w:szCs w:val="28"/>
          <w:highlight w:val="none"/>
        </w:rPr>
      </w:pPr>
      <w:bookmarkStart w:id="248" w:name="_Toc12534"/>
      <w:bookmarkStart w:id="249" w:name="_Toc44162158"/>
      <w:bookmarkStart w:id="250" w:name="_Toc21541027"/>
      <w:r>
        <w:rPr>
          <w:rFonts w:hint="eastAsia" w:ascii="宋体" w:hAnsi="宋体"/>
          <w:color w:val="auto"/>
          <w:sz w:val="36"/>
          <w:szCs w:val="36"/>
          <w:highlight w:val="none"/>
        </w:rPr>
        <w:t>年</w:t>
      </w:r>
      <w:r>
        <w:rPr>
          <w:rFonts w:ascii="宋体" w:hAnsi="宋体"/>
          <w:color w:val="auto"/>
          <w:sz w:val="36"/>
          <w:szCs w:val="36"/>
          <w:highlight w:val="none"/>
        </w:rPr>
        <w:t xml:space="preserve">  </w:t>
      </w:r>
      <w:r>
        <w:rPr>
          <w:rFonts w:hint="eastAsia" w:ascii="宋体" w:hAnsi="宋体"/>
          <w:color w:val="auto"/>
          <w:sz w:val="36"/>
          <w:szCs w:val="36"/>
          <w:highlight w:val="none"/>
        </w:rPr>
        <w:t>月</w:t>
      </w:r>
      <w:r>
        <w:rPr>
          <w:rFonts w:ascii="宋体" w:hAnsi="宋体"/>
          <w:color w:val="auto"/>
          <w:sz w:val="36"/>
          <w:szCs w:val="36"/>
          <w:highlight w:val="none"/>
        </w:rPr>
        <w:t xml:space="preserve">  </w:t>
      </w:r>
      <w:r>
        <w:rPr>
          <w:rFonts w:hint="eastAsia" w:ascii="宋体" w:hAnsi="宋体"/>
          <w:color w:val="auto"/>
          <w:sz w:val="36"/>
          <w:szCs w:val="36"/>
          <w:highlight w:val="none"/>
        </w:rPr>
        <w:t>日</w:t>
      </w:r>
      <w:bookmarkEnd w:id="248"/>
      <w:bookmarkEnd w:id="249"/>
      <w:bookmarkEnd w:id="250"/>
    </w:p>
    <w:p>
      <w:pPr>
        <w:wordWrap w:val="0"/>
        <w:spacing w:line="360" w:lineRule="auto"/>
        <w:ind w:firstLine="4800" w:firstLineChars="2000"/>
        <w:rPr>
          <w:rFonts w:ascii="宋体" w:hAnsi="宋体"/>
          <w:color w:val="auto"/>
          <w:szCs w:val="21"/>
          <w:highlight w:val="none"/>
        </w:rPr>
      </w:pPr>
    </w:p>
    <w:p>
      <w:pPr>
        <w:wordWrap w:val="0"/>
        <w:spacing w:line="360" w:lineRule="auto"/>
        <w:jc w:val="center"/>
        <w:rPr>
          <w:rFonts w:ascii="宋体" w:hAnsi="宋体"/>
          <w:b/>
          <w:color w:val="auto"/>
          <w:szCs w:val="21"/>
          <w:highlight w:val="none"/>
        </w:rPr>
      </w:pPr>
      <w:r>
        <w:rPr>
          <w:rFonts w:hint="eastAsia" w:ascii="宋体" w:hAnsi="宋体"/>
          <w:b/>
          <w:color w:val="auto"/>
          <w:szCs w:val="21"/>
          <w:highlight w:val="none"/>
        </w:rPr>
        <w:t>自评分表</w:t>
      </w:r>
    </w:p>
    <w:p>
      <w:pPr>
        <w:wordWrap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商务和技术评分表</w:t>
      </w:r>
    </w:p>
    <w:tbl>
      <w:tblPr>
        <w:tblStyle w:val="40"/>
        <w:tblW w:w="9137" w:type="dxa"/>
        <w:tblInd w:w="9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5856"/>
        <w:gridCol w:w="817"/>
        <w:gridCol w:w="953"/>
        <w:gridCol w:w="8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7" w:hRule="atLeast"/>
        </w:trPr>
        <w:tc>
          <w:tcPr>
            <w:tcW w:w="694" w:type="dxa"/>
            <w:tcBorders>
              <w:right w:val="single" w:color="auto" w:sz="4" w:space="0"/>
            </w:tcBorders>
            <w:vAlign w:val="center"/>
          </w:tcPr>
          <w:p>
            <w:pPr>
              <w:rPr>
                <w:rFonts w:ascii="宋体" w:hAnsi="宋体"/>
                <w:b/>
                <w:color w:val="auto"/>
                <w:sz w:val="21"/>
                <w:szCs w:val="21"/>
                <w:highlight w:val="none"/>
              </w:rPr>
            </w:pPr>
            <w:r>
              <w:rPr>
                <w:rFonts w:hint="eastAsia" w:ascii="宋体" w:hAnsi="宋体"/>
                <w:b/>
                <w:color w:val="auto"/>
                <w:sz w:val="21"/>
                <w:szCs w:val="21"/>
                <w:highlight w:val="none"/>
              </w:rPr>
              <w:t>评标项目</w:t>
            </w:r>
          </w:p>
        </w:tc>
        <w:tc>
          <w:tcPr>
            <w:tcW w:w="5856" w:type="dxa"/>
            <w:tcBorders>
              <w:right w:val="single" w:color="auto" w:sz="4" w:space="0"/>
            </w:tcBorders>
            <w:vAlign w:val="center"/>
          </w:tcPr>
          <w:p>
            <w:pPr>
              <w:rPr>
                <w:rFonts w:ascii="宋体" w:hAnsi="宋体"/>
                <w:b/>
                <w:color w:val="auto"/>
                <w:sz w:val="21"/>
                <w:szCs w:val="21"/>
                <w:highlight w:val="none"/>
              </w:rPr>
            </w:pPr>
            <w:r>
              <w:rPr>
                <w:rFonts w:hint="eastAsia" w:ascii="宋体" w:hAnsi="宋体"/>
                <w:b/>
                <w:color w:val="auto"/>
                <w:sz w:val="21"/>
                <w:szCs w:val="21"/>
                <w:highlight w:val="none"/>
              </w:rPr>
              <w:t>评分内容</w:t>
            </w:r>
          </w:p>
        </w:tc>
        <w:tc>
          <w:tcPr>
            <w:tcW w:w="817" w:type="dxa"/>
            <w:tcBorders>
              <w:left w:val="single" w:color="auto" w:sz="4" w:space="0"/>
              <w:right w:val="single" w:color="auto" w:sz="4" w:space="0"/>
            </w:tcBorders>
            <w:vAlign w:val="center"/>
          </w:tcPr>
          <w:p>
            <w:pPr>
              <w:rPr>
                <w:rFonts w:ascii="宋体" w:hAnsi="宋体"/>
                <w:b/>
                <w:color w:val="auto"/>
                <w:sz w:val="21"/>
                <w:szCs w:val="21"/>
                <w:highlight w:val="none"/>
              </w:rPr>
            </w:pPr>
            <w:r>
              <w:rPr>
                <w:rFonts w:hint="eastAsia" w:ascii="宋体" w:hAnsi="宋体"/>
                <w:b/>
                <w:color w:val="auto"/>
                <w:sz w:val="21"/>
                <w:szCs w:val="21"/>
                <w:highlight w:val="none"/>
              </w:rPr>
              <w:t>分值</w:t>
            </w:r>
          </w:p>
        </w:tc>
        <w:tc>
          <w:tcPr>
            <w:tcW w:w="953" w:type="dxa"/>
            <w:tcBorders>
              <w:left w:val="single" w:color="auto" w:sz="4" w:space="0"/>
              <w:right w:val="single" w:color="auto" w:sz="4" w:space="0"/>
            </w:tcBorders>
            <w:vAlign w:val="center"/>
          </w:tcPr>
          <w:p>
            <w:pPr>
              <w:rPr>
                <w:rFonts w:ascii="宋体" w:hAnsi="宋体"/>
                <w:b/>
                <w:color w:val="auto"/>
                <w:sz w:val="21"/>
                <w:szCs w:val="21"/>
                <w:highlight w:val="none"/>
              </w:rPr>
            </w:pPr>
            <w:r>
              <w:rPr>
                <w:rFonts w:hint="eastAsia" w:ascii="宋体" w:hAnsi="宋体"/>
                <w:b/>
                <w:color w:val="auto"/>
                <w:sz w:val="21"/>
                <w:szCs w:val="21"/>
                <w:highlight w:val="none"/>
              </w:rPr>
              <w:t>自评分</w:t>
            </w:r>
          </w:p>
        </w:tc>
        <w:tc>
          <w:tcPr>
            <w:tcW w:w="817" w:type="dxa"/>
            <w:tcBorders>
              <w:left w:val="single" w:color="auto" w:sz="4" w:space="0"/>
            </w:tcBorders>
            <w:vAlign w:val="center"/>
          </w:tcPr>
          <w:p>
            <w:pPr>
              <w:rPr>
                <w:rFonts w:ascii="宋体" w:hAnsi="宋体"/>
                <w:b/>
                <w:color w:val="auto"/>
                <w:sz w:val="21"/>
                <w:szCs w:val="21"/>
                <w:highlight w:val="none"/>
              </w:rPr>
            </w:pPr>
            <w:r>
              <w:rPr>
                <w:rFonts w:hint="eastAsia" w:ascii="宋体" w:hAnsi="宋体"/>
                <w:b/>
                <w:color w:val="auto"/>
                <w:sz w:val="21"/>
                <w:szCs w:val="21"/>
                <w:highlight w:val="none"/>
              </w:rPr>
              <w:t>页码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94" w:type="dxa"/>
            <w:vMerge w:val="restart"/>
            <w:tcBorders>
              <w:right w:val="single" w:color="auto" w:sz="4" w:space="0"/>
            </w:tcBorders>
            <w:vAlign w:val="center"/>
          </w:tcPr>
          <w:p>
            <w:pPr>
              <w:rPr>
                <w:rFonts w:ascii="宋体" w:hAnsi="宋体"/>
                <w:b/>
                <w:color w:val="auto"/>
                <w:sz w:val="21"/>
                <w:szCs w:val="21"/>
                <w:highlight w:val="none"/>
              </w:rPr>
            </w:pPr>
          </w:p>
        </w:tc>
        <w:tc>
          <w:tcPr>
            <w:tcW w:w="5856" w:type="dxa"/>
            <w:tcBorders>
              <w:right w:val="single" w:color="auto" w:sz="4" w:space="0"/>
            </w:tcBorders>
            <w:vAlign w:val="center"/>
          </w:tcPr>
          <w:p>
            <w:pPr>
              <w:widowControl/>
              <w:rPr>
                <w:rFonts w:ascii="宋体" w:hAnsi="宋体"/>
                <w:color w:val="auto"/>
                <w:sz w:val="21"/>
                <w:szCs w:val="21"/>
                <w:highlight w:val="none"/>
              </w:rPr>
            </w:pPr>
          </w:p>
        </w:tc>
        <w:tc>
          <w:tcPr>
            <w:tcW w:w="817"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953"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817" w:type="dxa"/>
            <w:tcBorders>
              <w:left w:val="single" w:color="auto" w:sz="4" w:space="0"/>
            </w:tcBorders>
            <w:vAlign w:val="center"/>
          </w:tcPr>
          <w:p>
            <w:pPr>
              <w:widowControl/>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94" w:type="dxa"/>
            <w:vMerge w:val="continue"/>
            <w:tcBorders>
              <w:right w:val="single" w:color="auto" w:sz="4" w:space="0"/>
            </w:tcBorders>
            <w:vAlign w:val="center"/>
          </w:tcPr>
          <w:p>
            <w:pPr>
              <w:rPr>
                <w:rFonts w:ascii="宋体" w:hAnsi="宋体"/>
                <w:b/>
                <w:color w:val="auto"/>
                <w:sz w:val="21"/>
                <w:szCs w:val="21"/>
                <w:highlight w:val="none"/>
              </w:rPr>
            </w:pPr>
          </w:p>
        </w:tc>
        <w:tc>
          <w:tcPr>
            <w:tcW w:w="5856" w:type="dxa"/>
            <w:tcBorders>
              <w:right w:val="single" w:color="auto" w:sz="4" w:space="0"/>
            </w:tcBorders>
            <w:vAlign w:val="center"/>
          </w:tcPr>
          <w:p>
            <w:pPr>
              <w:widowControl/>
              <w:rPr>
                <w:rFonts w:ascii="宋体" w:hAnsi="宋体"/>
                <w:color w:val="auto"/>
                <w:sz w:val="21"/>
                <w:szCs w:val="21"/>
                <w:highlight w:val="none"/>
              </w:rPr>
            </w:pPr>
          </w:p>
        </w:tc>
        <w:tc>
          <w:tcPr>
            <w:tcW w:w="817"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953"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817" w:type="dxa"/>
            <w:tcBorders>
              <w:left w:val="single" w:color="auto" w:sz="4" w:space="0"/>
            </w:tcBorders>
            <w:vAlign w:val="center"/>
          </w:tcPr>
          <w:p>
            <w:pPr>
              <w:widowControl/>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94" w:type="dxa"/>
            <w:vMerge w:val="continue"/>
            <w:tcBorders>
              <w:right w:val="single" w:color="auto" w:sz="4" w:space="0"/>
            </w:tcBorders>
            <w:vAlign w:val="center"/>
          </w:tcPr>
          <w:p>
            <w:pPr>
              <w:rPr>
                <w:rFonts w:ascii="宋体" w:hAnsi="宋体"/>
                <w:b/>
                <w:color w:val="auto"/>
                <w:sz w:val="21"/>
                <w:szCs w:val="21"/>
                <w:highlight w:val="none"/>
              </w:rPr>
            </w:pPr>
          </w:p>
        </w:tc>
        <w:tc>
          <w:tcPr>
            <w:tcW w:w="5856" w:type="dxa"/>
            <w:tcBorders>
              <w:right w:val="single" w:color="auto" w:sz="4" w:space="0"/>
            </w:tcBorders>
            <w:vAlign w:val="center"/>
          </w:tcPr>
          <w:p>
            <w:pPr>
              <w:widowControl/>
              <w:rPr>
                <w:rFonts w:ascii="宋体" w:hAnsi="宋体"/>
                <w:color w:val="auto"/>
                <w:sz w:val="21"/>
                <w:szCs w:val="21"/>
                <w:highlight w:val="none"/>
              </w:rPr>
            </w:pPr>
          </w:p>
        </w:tc>
        <w:tc>
          <w:tcPr>
            <w:tcW w:w="817"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953"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817" w:type="dxa"/>
            <w:tcBorders>
              <w:left w:val="single" w:color="auto" w:sz="4" w:space="0"/>
            </w:tcBorders>
            <w:vAlign w:val="center"/>
          </w:tcPr>
          <w:p>
            <w:pPr>
              <w:widowControl/>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94" w:type="dxa"/>
            <w:vMerge w:val="continue"/>
            <w:tcBorders>
              <w:right w:val="single" w:color="auto" w:sz="4" w:space="0"/>
            </w:tcBorders>
            <w:vAlign w:val="center"/>
          </w:tcPr>
          <w:p>
            <w:pPr>
              <w:rPr>
                <w:rFonts w:ascii="宋体" w:hAnsi="宋体"/>
                <w:b/>
                <w:color w:val="auto"/>
                <w:sz w:val="21"/>
                <w:szCs w:val="21"/>
                <w:highlight w:val="none"/>
              </w:rPr>
            </w:pPr>
          </w:p>
        </w:tc>
        <w:tc>
          <w:tcPr>
            <w:tcW w:w="5856" w:type="dxa"/>
            <w:tcBorders>
              <w:right w:val="single" w:color="auto" w:sz="4" w:space="0"/>
            </w:tcBorders>
            <w:vAlign w:val="center"/>
          </w:tcPr>
          <w:p>
            <w:pPr>
              <w:widowControl/>
              <w:rPr>
                <w:rFonts w:ascii="宋体" w:hAnsi="宋体"/>
                <w:color w:val="auto"/>
                <w:sz w:val="21"/>
                <w:szCs w:val="21"/>
                <w:highlight w:val="none"/>
              </w:rPr>
            </w:pPr>
          </w:p>
        </w:tc>
        <w:tc>
          <w:tcPr>
            <w:tcW w:w="817"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953"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817" w:type="dxa"/>
            <w:tcBorders>
              <w:left w:val="single" w:color="auto" w:sz="4" w:space="0"/>
            </w:tcBorders>
            <w:vAlign w:val="center"/>
          </w:tcPr>
          <w:p>
            <w:pPr>
              <w:widowControl/>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94" w:type="dxa"/>
            <w:vMerge w:val="continue"/>
            <w:tcBorders>
              <w:right w:val="single" w:color="auto" w:sz="4" w:space="0"/>
            </w:tcBorders>
            <w:vAlign w:val="center"/>
          </w:tcPr>
          <w:p>
            <w:pPr>
              <w:rPr>
                <w:rFonts w:ascii="宋体" w:hAnsi="宋体"/>
                <w:b/>
                <w:color w:val="auto"/>
                <w:sz w:val="21"/>
                <w:szCs w:val="21"/>
                <w:highlight w:val="none"/>
              </w:rPr>
            </w:pPr>
          </w:p>
        </w:tc>
        <w:tc>
          <w:tcPr>
            <w:tcW w:w="5856" w:type="dxa"/>
            <w:tcBorders>
              <w:right w:val="single" w:color="auto" w:sz="4" w:space="0"/>
            </w:tcBorders>
            <w:vAlign w:val="center"/>
          </w:tcPr>
          <w:p>
            <w:pPr>
              <w:widowControl/>
              <w:rPr>
                <w:rFonts w:ascii="宋体" w:hAnsi="宋体"/>
                <w:color w:val="auto"/>
                <w:sz w:val="21"/>
                <w:szCs w:val="21"/>
                <w:highlight w:val="none"/>
              </w:rPr>
            </w:pPr>
          </w:p>
        </w:tc>
        <w:tc>
          <w:tcPr>
            <w:tcW w:w="817"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953"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817" w:type="dxa"/>
            <w:tcBorders>
              <w:left w:val="single" w:color="auto" w:sz="4" w:space="0"/>
            </w:tcBorders>
            <w:vAlign w:val="center"/>
          </w:tcPr>
          <w:p>
            <w:pPr>
              <w:widowControl/>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694" w:type="dxa"/>
            <w:vMerge w:val="continue"/>
            <w:tcBorders>
              <w:right w:val="single" w:color="auto" w:sz="4" w:space="0"/>
            </w:tcBorders>
            <w:vAlign w:val="center"/>
          </w:tcPr>
          <w:p>
            <w:pPr>
              <w:rPr>
                <w:rFonts w:ascii="宋体" w:hAnsi="宋体"/>
                <w:b/>
                <w:color w:val="auto"/>
                <w:sz w:val="21"/>
                <w:szCs w:val="21"/>
                <w:highlight w:val="none"/>
              </w:rPr>
            </w:pPr>
          </w:p>
        </w:tc>
        <w:tc>
          <w:tcPr>
            <w:tcW w:w="5856" w:type="dxa"/>
            <w:tcBorders>
              <w:right w:val="single" w:color="auto" w:sz="4" w:space="0"/>
            </w:tcBorders>
            <w:vAlign w:val="center"/>
          </w:tcPr>
          <w:p>
            <w:pPr>
              <w:widowControl/>
              <w:rPr>
                <w:rFonts w:ascii="宋体" w:hAnsi="宋体"/>
                <w:color w:val="auto"/>
                <w:sz w:val="21"/>
                <w:szCs w:val="21"/>
                <w:highlight w:val="none"/>
              </w:rPr>
            </w:pPr>
          </w:p>
        </w:tc>
        <w:tc>
          <w:tcPr>
            <w:tcW w:w="817"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953"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817" w:type="dxa"/>
            <w:tcBorders>
              <w:left w:val="single" w:color="auto" w:sz="4" w:space="0"/>
            </w:tcBorders>
            <w:vAlign w:val="center"/>
          </w:tcPr>
          <w:p>
            <w:pPr>
              <w:widowControl/>
              <w:jc w:val="center"/>
              <w:rPr>
                <w:rFonts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trPr>
        <w:tc>
          <w:tcPr>
            <w:tcW w:w="694" w:type="dxa"/>
            <w:vMerge w:val="continue"/>
            <w:tcBorders>
              <w:right w:val="single" w:color="auto" w:sz="4" w:space="0"/>
            </w:tcBorders>
            <w:vAlign w:val="center"/>
          </w:tcPr>
          <w:p>
            <w:pPr>
              <w:rPr>
                <w:rFonts w:ascii="宋体" w:hAnsi="宋体"/>
                <w:b/>
                <w:color w:val="auto"/>
                <w:sz w:val="21"/>
                <w:szCs w:val="21"/>
                <w:highlight w:val="none"/>
              </w:rPr>
            </w:pPr>
          </w:p>
        </w:tc>
        <w:tc>
          <w:tcPr>
            <w:tcW w:w="5856" w:type="dxa"/>
            <w:tcBorders>
              <w:right w:val="single" w:color="auto" w:sz="4" w:space="0"/>
            </w:tcBorders>
            <w:vAlign w:val="center"/>
          </w:tcPr>
          <w:p>
            <w:pPr>
              <w:widowControl/>
              <w:rPr>
                <w:rFonts w:ascii="宋体" w:hAnsi="宋体"/>
                <w:color w:val="auto"/>
                <w:sz w:val="21"/>
                <w:szCs w:val="21"/>
                <w:highlight w:val="none"/>
              </w:rPr>
            </w:pPr>
          </w:p>
        </w:tc>
        <w:tc>
          <w:tcPr>
            <w:tcW w:w="817"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953" w:type="dxa"/>
            <w:tcBorders>
              <w:left w:val="single" w:color="auto" w:sz="4" w:space="0"/>
              <w:right w:val="single" w:color="auto" w:sz="4" w:space="0"/>
            </w:tcBorders>
            <w:vAlign w:val="center"/>
          </w:tcPr>
          <w:p>
            <w:pPr>
              <w:widowControl/>
              <w:jc w:val="center"/>
              <w:rPr>
                <w:rFonts w:ascii="宋体" w:hAnsi="宋体"/>
                <w:color w:val="auto"/>
                <w:sz w:val="21"/>
                <w:szCs w:val="21"/>
                <w:highlight w:val="none"/>
              </w:rPr>
            </w:pPr>
          </w:p>
        </w:tc>
        <w:tc>
          <w:tcPr>
            <w:tcW w:w="817" w:type="dxa"/>
            <w:tcBorders>
              <w:left w:val="single" w:color="auto" w:sz="4" w:space="0"/>
            </w:tcBorders>
            <w:vAlign w:val="center"/>
          </w:tcPr>
          <w:p>
            <w:pPr>
              <w:widowControl/>
              <w:jc w:val="center"/>
              <w:rPr>
                <w:rFonts w:ascii="宋体" w:hAnsi="宋体"/>
                <w:color w:val="auto"/>
                <w:sz w:val="21"/>
                <w:szCs w:val="21"/>
                <w:highlight w:val="none"/>
              </w:rPr>
            </w:pPr>
          </w:p>
        </w:tc>
      </w:tr>
    </w:tbl>
    <w:p>
      <w:pPr>
        <w:pStyle w:val="2"/>
        <w:rPr>
          <w:color w:val="auto"/>
          <w:sz w:val="21"/>
          <w:szCs w:val="21"/>
          <w:highlight w:val="none"/>
        </w:rPr>
      </w:pPr>
      <w:r>
        <w:rPr>
          <w:rFonts w:hint="eastAsia"/>
          <w:color w:val="auto"/>
          <w:sz w:val="21"/>
          <w:szCs w:val="21"/>
          <w:highlight w:val="none"/>
        </w:rPr>
        <w:t>具体评分内容详见第五部分评分标准</w:t>
      </w:r>
    </w:p>
    <w:p>
      <w:pPr>
        <w:pStyle w:val="2"/>
        <w:rPr>
          <w:color w:val="auto"/>
          <w:sz w:val="21"/>
          <w:szCs w:val="21"/>
          <w:highlight w:val="none"/>
        </w:rPr>
      </w:pPr>
    </w:p>
    <w:p>
      <w:pPr>
        <w:spacing w:line="360" w:lineRule="auto"/>
        <w:jc w:val="center"/>
        <w:outlineLvl w:val="1"/>
        <w:rPr>
          <w:b/>
          <w:color w:val="auto"/>
          <w:highlight w:val="none"/>
        </w:rPr>
      </w:pPr>
      <w:r>
        <w:rPr>
          <w:rFonts w:hint="eastAsia"/>
          <w:color w:val="auto"/>
          <w:highlight w:val="none"/>
        </w:rPr>
        <w:br w:type="page"/>
      </w:r>
      <w:bookmarkStart w:id="251" w:name="_Toc4874"/>
      <w:bookmarkStart w:id="252" w:name="_Toc387317147"/>
      <w:bookmarkStart w:id="253" w:name="_Toc389139109"/>
      <w:bookmarkStart w:id="254" w:name="_Toc86202634"/>
      <w:bookmarkStart w:id="255" w:name="_Toc209"/>
      <w:bookmarkStart w:id="256" w:name="_Toc28199"/>
      <w:bookmarkStart w:id="257" w:name="_Toc241827254"/>
      <w:r>
        <w:rPr>
          <w:rFonts w:hint="eastAsia"/>
          <w:b/>
          <w:color w:val="auto"/>
          <w:highlight w:val="none"/>
        </w:rPr>
        <w:t>附件一、投标函</w:t>
      </w:r>
      <w:bookmarkEnd w:id="251"/>
      <w:bookmarkEnd w:id="252"/>
      <w:bookmarkEnd w:id="253"/>
      <w:bookmarkEnd w:id="254"/>
      <w:bookmarkEnd w:id="255"/>
      <w:bookmarkEnd w:id="256"/>
      <w:bookmarkEnd w:id="257"/>
    </w:p>
    <w:p>
      <w:pPr>
        <w:wordWrap w:val="0"/>
        <w:spacing w:line="360" w:lineRule="auto"/>
        <w:rPr>
          <w:rFonts w:ascii="宋体" w:hAnsi="宋体"/>
          <w:color w:val="auto"/>
          <w:sz w:val="21"/>
          <w:szCs w:val="21"/>
          <w:highlight w:val="none"/>
        </w:rPr>
      </w:pPr>
      <w:r>
        <w:rPr>
          <w:rFonts w:hint="eastAsia" w:ascii="宋体" w:hAnsi="宋体"/>
          <w:color w:val="auto"/>
          <w:sz w:val="21"/>
          <w:szCs w:val="21"/>
          <w:highlight w:val="none"/>
        </w:rPr>
        <w:t>致：宁波市国际招标有限公司</w:t>
      </w:r>
    </w:p>
    <w:p>
      <w:pPr>
        <w:wordWrap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u w:val="single"/>
        </w:rPr>
        <w:t>（供应商全称）</w:t>
      </w:r>
      <w:r>
        <w:rPr>
          <w:rFonts w:hint="eastAsia" w:ascii="宋体" w:hAnsi="宋体"/>
          <w:color w:val="auto"/>
          <w:sz w:val="21"/>
          <w:szCs w:val="21"/>
          <w:highlight w:val="none"/>
        </w:rPr>
        <w:t>授权</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（全名、职务）</w:t>
      </w:r>
      <w:r>
        <w:rPr>
          <w:rFonts w:ascii="宋体" w:hAnsi="宋体"/>
          <w:color w:val="auto"/>
          <w:sz w:val="21"/>
          <w:szCs w:val="21"/>
          <w:highlight w:val="none"/>
          <w:u w:val="single"/>
        </w:rPr>
        <w:t xml:space="preserve">  </w:t>
      </w:r>
      <w:r>
        <w:rPr>
          <w:rFonts w:hint="eastAsia" w:ascii="宋体" w:hAnsi="宋体"/>
          <w:color w:val="auto"/>
          <w:sz w:val="21"/>
          <w:szCs w:val="21"/>
          <w:highlight w:val="none"/>
        </w:rPr>
        <w:t>为全权代表，参加贵方组织的</w:t>
      </w:r>
      <w:r>
        <w:rPr>
          <w:rFonts w:hint="eastAsia" w:ascii="宋体" w:hAnsi="宋体"/>
          <w:color w:val="auto"/>
          <w:sz w:val="21"/>
          <w:szCs w:val="21"/>
          <w:highlight w:val="none"/>
          <w:u w:val="single"/>
        </w:rPr>
        <w:t xml:space="preserve">      项目</w:t>
      </w:r>
      <w:r>
        <w:rPr>
          <w:rFonts w:hint="eastAsia" w:ascii="宋体" w:hAnsi="宋体"/>
          <w:color w:val="auto"/>
          <w:sz w:val="21"/>
          <w:szCs w:val="21"/>
          <w:highlight w:val="none"/>
        </w:rPr>
        <w:t>（采购编号：</w:t>
      </w:r>
      <w:r>
        <w:rPr>
          <w:rFonts w:hint="eastAsia" w:ascii="宋体" w:hAnsi="宋体"/>
          <w:color w:val="auto"/>
          <w:sz w:val="21"/>
          <w:szCs w:val="21"/>
          <w:highlight w:val="none"/>
          <w:u w:val="single"/>
          <w:lang w:eastAsia="zh-CN"/>
        </w:rPr>
        <w:t>NBITC-202330131G</w:t>
      </w:r>
      <w:r>
        <w:rPr>
          <w:rFonts w:hint="eastAsia" w:ascii="宋体" w:hAnsi="宋体"/>
          <w:color w:val="auto"/>
          <w:sz w:val="21"/>
          <w:szCs w:val="21"/>
          <w:highlight w:val="none"/>
          <w:u w:val="single"/>
        </w:rPr>
        <w:t xml:space="preserve">，标项   </w:t>
      </w:r>
      <w:r>
        <w:rPr>
          <w:rFonts w:hint="eastAsia" w:ascii="宋体" w:hAnsi="宋体"/>
          <w:color w:val="auto"/>
          <w:sz w:val="21"/>
          <w:szCs w:val="21"/>
          <w:highlight w:val="none"/>
        </w:rPr>
        <w:t>）招标活动并投标，为便于采购人公正、择优地确定中标供应商及其服务，我方就本次投标有关事项郑重声明如下：</w:t>
      </w:r>
    </w:p>
    <w:p>
      <w:pPr>
        <w:wordWrap w:val="0"/>
        <w:snapToGrid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w:t>
      </w:r>
      <w:r>
        <w:rPr>
          <w:rFonts w:hint="eastAsia" w:ascii="宋体" w:hAnsi="宋体"/>
          <w:color w:val="auto"/>
          <w:sz w:val="21"/>
          <w:szCs w:val="21"/>
          <w:highlight w:val="none"/>
        </w:rPr>
        <w:t>、我方提交的所有投标文件、资料都是准确的和真实的。如有虚假或隐瞒，我方愿意承担一切后果，并不再寻求任何旨在减轻或免除法律责任的辩解。</w:t>
      </w:r>
    </w:p>
    <w:p>
      <w:pPr>
        <w:wordWrap w:val="0"/>
        <w:snapToGrid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、我方不是为本项目提供整体设计、规范编制或者项目管理、监理、检测等服务的供应商。</w:t>
      </w:r>
    </w:p>
    <w:p>
      <w:pPr>
        <w:wordWrap w:val="0"/>
        <w:snapToGrid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3</w:t>
      </w:r>
      <w:r>
        <w:rPr>
          <w:rFonts w:hint="eastAsia" w:ascii="宋体" w:hAnsi="宋体"/>
          <w:color w:val="auto"/>
          <w:sz w:val="21"/>
          <w:szCs w:val="21"/>
          <w:highlight w:val="none"/>
        </w:rPr>
        <w:t>、我们已详细审查全部采购文件及有关的澄清</w:t>
      </w:r>
      <w:r>
        <w:rPr>
          <w:rFonts w:ascii="宋体" w:hAnsi="宋体"/>
          <w:color w:val="auto"/>
          <w:sz w:val="21"/>
          <w:szCs w:val="21"/>
          <w:highlight w:val="none"/>
        </w:rPr>
        <w:t>/</w:t>
      </w:r>
      <w:r>
        <w:rPr>
          <w:rFonts w:hint="eastAsia" w:ascii="宋体" w:hAnsi="宋体"/>
          <w:color w:val="auto"/>
          <w:sz w:val="21"/>
          <w:szCs w:val="21"/>
          <w:highlight w:val="none"/>
        </w:rPr>
        <w:t>修改文件（若有），我们完全理解并同意放弃对这方面提出任何异议的权利。</w:t>
      </w:r>
    </w:p>
    <w:p>
      <w:pPr>
        <w:wordWrap w:val="0"/>
        <w:snapToGrid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、保证遵守采购文件有关条款规定。</w:t>
      </w:r>
    </w:p>
    <w:p>
      <w:pPr>
        <w:wordWrap w:val="0"/>
        <w:snapToGrid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、本项目的投标报价详见“开标一览表”。</w:t>
      </w:r>
    </w:p>
    <w:p>
      <w:pPr>
        <w:wordWrap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6</w:t>
      </w:r>
      <w:r>
        <w:rPr>
          <w:rFonts w:hint="eastAsia" w:ascii="宋体" w:hAnsi="宋体"/>
          <w:color w:val="auto"/>
          <w:sz w:val="21"/>
          <w:szCs w:val="21"/>
          <w:highlight w:val="none"/>
        </w:rPr>
        <w:t>、投标文件有效期为自开标之日起</w:t>
      </w:r>
      <w:r>
        <w:rPr>
          <w:rFonts w:ascii="宋体" w:hAnsi="宋体"/>
          <w:color w:val="auto"/>
          <w:sz w:val="21"/>
          <w:szCs w:val="21"/>
          <w:highlight w:val="none"/>
          <w:u w:val="single"/>
        </w:rPr>
        <w:t xml:space="preserve"> 90 </w:t>
      </w:r>
      <w:r>
        <w:rPr>
          <w:rFonts w:hint="eastAsia" w:ascii="宋体" w:hAnsi="宋体"/>
          <w:color w:val="auto"/>
          <w:sz w:val="21"/>
          <w:szCs w:val="21"/>
          <w:highlight w:val="none"/>
        </w:rPr>
        <w:t>个日历日。</w:t>
      </w:r>
    </w:p>
    <w:p>
      <w:pPr>
        <w:wordWrap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7</w:t>
      </w:r>
      <w:r>
        <w:rPr>
          <w:rFonts w:hint="eastAsia" w:ascii="宋体" w:hAnsi="宋体"/>
          <w:color w:val="auto"/>
          <w:sz w:val="21"/>
          <w:szCs w:val="21"/>
          <w:highlight w:val="none"/>
        </w:rPr>
        <w:t>、保证在中标后忠实地执行与采购人所签署的合同，并承担合同规定的责任义务。</w:t>
      </w:r>
    </w:p>
    <w:p>
      <w:pPr>
        <w:wordWrap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8</w:t>
      </w:r>
      <w:r>
        <w:rPr>
          <w:rFonts w:hint="eastAsia" w:ascii="宋体" w:hAnsi="宋体"/>
          <w:color w:val="auto"/>
          <w:sz w:val="21"/>
          <w:szCs w:val="21"/>
          <w:highlight w:val="none"/>
        </w:rPr>
        <w:t>、完全同意采购文件中有关招标代理服务费的条款，保证在中标后按照采购文件规定的金额、时间和方式，向贵方一次性交纳招标代理服务费。我方如逾期未交纳（含未足额）的，愿凭贵方开出的违约通知，按上述规定应交纳金额（含欠交纳）的</w:t>
      </w:r>
      <w:r>
        <w:rPr>
          <w:rFonts w:ascii="宋体" w:hAnsi="宋体"/>
          <w:color w:val="auto"/>
          <w:sz w:val="21"/>
          <w:szCs w:val="21"/>
          <w:highlight w:val="none"/>
        </w:rPr>
        <w:t>200%</w:t>
      </w:r>
      <w:r>
        <w:rPr>
          <w:rFonts w:hint="eastAsia" w:ascii="宋体" w:hAnsi="宋体"/>
          <w:color w:val="auto"/>
          <w:sz w:val="21"/>
          <w:szCs w:val="21"/>
          <w:highlight w:val="none"/>
        </w:rPr>
        <w:t>交纳违约金和滞纳的银行利息。承诺在未交足上述违约金和利息前，同意不再参加贵方代理的其他项目，如果贵方不接受我们的投标，我们自愿放弃任何方式进行抗辩的权力。</w:t>
      </w:r>
    </w:p>
    <w:p>
      <w:pPr>
        <w:wordWrap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9</w:t>
      </w:r>
      <w:r>
        <w:rPr>
          <w:rFonts w:hint="eastAsia" w:ascii="宋体" w:hAnsi="宋体"/>
          <w:color w:val="auto"/>
          <w:sz w:val="21"/>
          <w:szCs w:val="21"/>
          <w:highlight w:val="none"/>
        </w:rPr>
        <w:t>、与本投标有关的一切正式来往通讯请寄：</w:t>
      </w:r>
    </w:p>
    <w:p>
      <w:pPr>
        <w:wordWrap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地址：</w:t>
      </w:r>
      <w:r>
        <w:rPr>
          <w:rFonts w:ascii="宋体" w:hAnsi="宋体"/>
          <w:color w:val="auto"/>
          <w:sz w:val="21"/>
          <w:szCs w:val="21"/>
          <w:highlight w:val="none"/>
          <w:u w:val="single"/>
        </w:rPr>
        <w:t xml:space="preserve">                    </w:t>
      </w:r>
      <w:r>
        <w:rPr>
          <w:rFonts w:hint="eastAsia" w:ascii="宋体" w:hAnsi="宋体"/>
          <w:color w:val="auto"/>
          <w:sz w:val="21"/>
          <w:szCs w:val="21"/>
          <w:highlight w:val="none"/>
        </w:rPr>
        <w:t>邮编：</w:t>
      </w:r>
      <w:r>
        <w:rPr>
          <w:rFonts w:ascii="宋体" w:hAnsi="宋体"/>
          <w:color w:val="auto"/>
          <w:sz w:val="21"/>
          <w:szCs w:val="21"/>
          <w:highlight w:val="none"/>
          <w:u w:val="single"/>
        </w:rPr>
        <w:t xml:space="preserve">                 </w:t>
      </w:r>
      <w:r>
        <w:rPr>
          <w:rFonts w:hint="eastAsia" w:ascii="宋体" w:hAnsi="宋体"/>
          <w:color w:val="auto"/>
          <w:sz w:val="21"/>
          <w:szCs w:val="21"/>
          <w:highlight w:val="none"/>
        </w:rPr>
        <w:t>。</w:t>
      </w:r>
    </w:p>
    <w:p>
      <w:pPr>
        <w:wordWrap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电话：</w:t>
      </w:r>
      <w:r>
        <w:rPr>
          <w:rFonts w:ascii="宋体" w:hAnsi="宋体"/>
          <w:color w:val="auto"/>
          <w:sz w:val="21"/>
          <w:szCs w:val="21"/>
          <w:highlight w:val="none"/>
          <w:u w:val="single"/>
        </w:rPr>
        <w:t xml:space="preserve">                    </w:t>
      </w:r>
      <w:r>
        <w:rPr>
          <w:rFonts w:hint="eastAsia" w:ascii="宋体" w:hAnsi="宋体"/>
          <w:color w:val="auto"/>
          <w:sz w:val="21"/>
          <w:szCs w:val="21"/>
          <w:highlight w:val="none"/>
        </w:rPr>
        <w:t>传真：</w:t>
      </w:r>
      <w:r>
        <w:rPr>
          <w:rFonts w:ascii="宋体" w:hAnsi="宋体"/>
          <w:color w:val="auto"/>
          <w:sz w:val="21"/>
          <w:szCs w:val="21"/>
          <w:highlight w:val="none"/>
          <w:u w:val="single"/>
        </w:rPr>
        <w:t xml:space="preserve">                 </w:t>
      </w:r>
      <w:r>
        <w:rPr>
          <w:rFonts w:hint="eastAsia" w:ascii="宋体" w:hAnsi="宋体"/>
          <w:color w:val="auto"/>
          <w:sz w:val="21"/>
          <w:szCs w:val="21"/>
          <w:highlight w:val="none"/>
        </w:rPr>
        <w:t>。</w:t>
      </w:r>
    </w:p>
    <w:p>
      <w:pPr>
        <w:wordWrap w:val="0"/>
        <w:spacing w:line="360" w:lineRule="auto"/>
        <w:ind w:left="540" w:firstLine="30"/>
        <w:rPr>
          <w:rFonts w:ascii="宋体" w:hAnsi="宋体"/>
          <w:color w:val="auto"/>
          <w:sz w:val="21"/>
          <w:szCs w:val="21"/>
          <w:highlight w:val="none"/>
        </w:rPr>
      </w:pPr>
    </w:p>
    <w:p>
      <w:pPr>
        <w:wordWrap w:val="0"/>
        <w:spacing w:line="360" w:lineRule="auto"/>
        <w:rPr>
          <w:rFonts w:ascii="宋体" w:hAnsi="宋体"/>
          <w:color w:val="auto"/>
          <w:sz w:val="21"/>
          <w:szCs w:val="21"/>
          <w:highlight w:val="none"/>
        </w:rPr>
      </w:pPr>
    </w:p>
    <w:p>
      <w:pPr>
        <w:wordWrap w:val="0"/>
        <w:spacing w:line="360" w:lineRule="auto"/>
        <w:rPr>
          <w:rFonts w:ascii="宋体" w:hAnsi="宋体"/>
          <w:color w:val="auto"/>
          <w:sz w:val="21"/>
          <w:szCs w:val="21"/>
          <w:highlight w:val="none"/>
        </w:rPr>
      </w:pPr>
      <w:r>
        <w:rPr>
          <w:rFonts w:hint="eastAsia" w:ascii="宋体" w:hAnsi="宋体"/>
          <w:color w:val="auto"/>
          <w:sz w:val="21"/>
          <w:szCs w:val="21"/>
          <w:highlight w:val="none"/>
        </w:rPr>
        <w:t>供应商（盖章）：</w:t>
      </w:r>
      <w:r>
        <w:rPr>
          <w:rFonts w:ascii="宋体" w:hAnsi="宋体"/>
          <w:color w:val="auto"/>
          <w:sz w:val="21"/>
          <w:szCs w:val="21"/>
          <w:highlight w:val="none"/>
          <w:u w:val="single"/>
        </w:rPr>
        <w:t xml:space="preserve">                                </w:t>
      </w:r>
      <w:r>
        <w:rPr>
          <w:rFonts w:ascii="宋体" w:hAnsi="宋体"/>
          <w:color w:val="auto"/>
          <w:sz w:val="21"/>
          <w:szCs w:val="21"/>
          <w:highlight w:val="none"/>
        </w:rPr>
        <w:t xml:space="preserve">          </w:t>
      </w:r>
    </w:p>
    <w:p>
      <w:pPr>
        <w:spacing w:line="360" w:lineRule="auto"/>
        <w:ind w:left="420" w:hanging="420" w:hangingChars="200"/>
        <w:rPr>
          <w:rFonts w:ascii="宋体"/>
          <w:color w:val="auto"/>
          <w:sz w:val="21"/>
          <w:szCs w:val="21"/>
          <w:highlight w:val="none"/>
        </w:rPr>
      </w:pPr>
      <w:r>
        <w:rPr>
          <w:rFonts w:hint="eastAsia" w:ascii="宋体" w:hAnsi="宋体"/>
          <w:color w:val="auto"/>
          <w:sz w:val="21"/>
          <w:szCs w:val="21"/>
          <w:highlight w:val="none"/>
        </w:rPr>
        <w:t>日</w:t>
      </w:r>
      <w:r>
        <w:rPr>
          <w:rFonts w:ascii="宋体" w:hAnsi="宋体"/>
          <w:color w:val="auto"/>
          <w:sz w:val="21"/>
          <w:szCs w:val="21"/>
          <w:highlight w:val="none"/>
        </w:rPr>
        <w:t xml:space="preserve">            </w:t>
      </w:r>
      <w:r>
        <w:rPr>
          <w:rFonts w:hint="eastAsia" w:ascii="宋体" w:hAnsi="宋体"/>
          <w:color w:val="auto"/>
          <w:sz w:val="21"/>
          <w:szCs w:val="21"/>
          <w:highlight w:val="none"/>
        </w:rPr>
        <w:t>期：</w:t>
      </w:r>
      <w:r>
        <w:rPr>
          <w:rFonts w:ascii="宋体" w:hAnsi="宋体"/>
          <w:color w:val="auto"/>
          <w:sz w:val="21"/>
          <w:szCs w:val="21"/>
          <w:highlight w:val="none"/>
          <w:u w:val="single"/>
        </w:rPr>
        <w:t xml:space="preserve">                             </w:t>
      </w:r>
    </w:p>
    <w:p>
      <w:pPr>
        <w:rPr>
          <w:b/>
          <w:color w:val="auto"/>
          <w:highlight w:val="none"/>
        </w:rPr>
      </w:pPr>
      <w:bookmarkStart w:id="258" w:name="_Toc389139110"/>
      <w:bookmarkStart w:id="259" w:name="_Toc387317148"/>
      <w:bookmarkStart w:id="260" w:name="_Toc241827255"/>
      <w:r>
        <w:rPr>
          <w:b/>
          <w:color w:val="auto"/>
          <w:highlight w:val="none"/>
        </w:rPr>
        <w:br w:type="page"/>
      </w:r>
    </w:p>
    <w:p>
      <w:pPr>
        <w:spacing w:line="400" w:lineRule="exact"/>
        <w:jc w:val="center"/>
        <w:rPr>
          <w:rFonts w:ascii="宋体" w:hAnsi="宋体"/>
          <w:b/>
          <w:color w:val="auto"/>
          <w:szCs w:val="21"/>
          <w:highlight w:val="none"/>
        </w:rPr>
      </w:pPr>
      <w:r>
        <w:rPr>
          <w:rStyle w:val="173"/>
          <w:rFonts w:hint="eastAsia" w:ascii="宋体" w:hAnsi="宋体"/>
          <w:color w:val="auto"/>
          <w:sz w:val="21"/>
          <w:szCs w:val="21"/>
          <w:highlight w:val="none"/>
        </w:rPr>
        <w:t>关于</w:t>
      </w:r>
      <w:r>
        <w:rPr>
          <w:rFonts w:hint="eastAsia" w:ascii="宋体" w:hAnsi="宋体"/>
          <w:b/>
          <w:color w:val="auto"/>
          <w:szCs w:val="21"/>
          <w:highlight w:val="none"/>
        </w:rPr>
        <w:t>资格的承诺函</w:t>
      </w:r>
    </w:p>
    <w:p>
      <w:pPr>
        <w:spacing w:line="400" w:lineRule="exact"/>
        <w:rPr>
          <w:rFonts w:ascii="宋体" w:hAnsi="宋体"/>
          <w:color w:val="auto"/>
          <w:highlight w:val="none"/>
        </w:rPr>
      </w:pPr>
    </w:p>
    <w:p>
      <w:pPr>
        <w:spacing w:line="360" w:lineRule="auto"/>
        <w:rPr>
          <w:rFonts w:ascii="宋体" w:hAnsi="宋体"/>
          <w:b/>
          <w:color w:val="auto"/>
          <w:sz w:val="21"/>
          <w:szCs w:val="21"/>
          <w:highlight w:val="none"/>
        </w:rPr>
      </w:pPr>
      <w:r>
        <w:rPr>
          <w:rFonts w:hint="eastAsia" w:ascii="宋体" w:hAnsi="宋体"/>
          <w:color w:val="auto"/>
          <w:sz w:val="21"/>
          <w:szCs w:val="21"/>
          <w:highlight w:val="none"/>
        </w:rPr>
        <w:t>致：采购人</w:t>
      </w:r>
    </w:p>
    <w:p>
      <w:pPr>
        <w:spacing w:line="360" w:lineRule="auto"/>
        <w:ind w:firstLine="420" w:firstLineChars="200"/>
        <w:rPr>
          <w:rFonts w:ascii="宋体" w:hAnsi="宋体"/>
          <w:color w:val="auto"/>
          <w:sz w:val="21"/>
          <w:szCs w:val="21"/>
          <w:highlight w:val="none"/>
        </w:rPr>
      </w:pPr>
      <w:r>
        <w:rPr>
          <w:rFonts w:hint="eastAsia" w:ascii="宋体" w:hAnsi="宋体"/>
          <w:bCs/>
          <w:color w:val="auto"/>
          <w:sz w:val="21"/>
          <w:szCs w:val="21"/>
          <w:highlight w:val="none"/>
        </w:rPr>
        <w:t>我单位承诺：</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我单位满足《中华人民共和国政府采购法》第二十二条 供应商参加政府采购活动应当具备的下列条件：</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（一）具有独立承担民事责任的能力；</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（二）具有良好的商业信誉和健全的财务会计制度；</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（三）具有履行合同所必需的设备和专业技术能力；</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（四）有依法缴纳税收和社会保障资金的良好记录；</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（五）参加政府采购活动前三年内，在经营活动中没有重大违法记录；</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（六）法律、行政法规规定的其他条件。</w:t>
      </w:r>
    </w:p>
    <w:p>
      <w:pPr>
        <w:spacing w:line="360" w:lineRule="auto"/>
        <w:ind w:firstLine="420" w:firstLineChars="200"/>
        <w:rPr>
          <w:rFonts w:ascii="宋体" w:hAnsi="宋体"/>
          <w:color w:val="auto"/>
          <w:sz w:val="21"/>
          <w:szCs w:val="21"/>
          <w:highlight w:val="none"/>
        </w:rPr>
      </w:pP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特此承诺。</w:t>
      </w:r>
    </w:p>
    <w:p>
      <w:pPr>
        <w:spacing w:line="360" w:lineRule="auto"/>
        <w:ind w:firstLine="420" w:firstLineChars="200"/>
        <w:rPr>
          <w:rFonts w:ascii="宋体" w:hAnsi="宋体"/>
          <w:color w:val="auto"/>
          <w:sz w:val="21"/>
          <w:szCs w:val="21"/>
          <w:highlight w:val="none"/>
        </w:rPr>
      </w:pPr>
    </w:p>
    <w:p>
      <w:pPr>
        <w:spacing w:line="360" w:lineRule="auto"/>
        <w:ind w:firstLine="420" w:firstLineChars="200"/>
        <w:rPr>
          <w:rFonts w:ascii="宋体" w:hAnsi="宋体"/>
          <w:color w:val="auto"/>
          <w:sz w:val="21"/>
          <w:szCs w:val="21"/>
          <w:highlight w:val="none"/>
        </w:rPr>
      </w:pPr>
    </w:p>
    <w:p>
      <w:pPr>
        <w:spacing w:line="360" w:lineRule="auto"/>
        <w:ind w:firstLine="420" w:firstLineChars="200"/>
        <w:rPr>
          <w:rFonts w:ascii="宋体" w:hAnsi="宋体"/>
          <w:color w:val="auto"/>
          <w:sz w:val="21"/>
          <w:szCs w:val="21"/>
          <w:highlight w:val="none"/>
        </w:rPr>
      </w:pP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供应商（盖章）：</w:t>
      </w:r>
      <w:r>
        <w:rPr>
          <w:rFonts w:ascii="宋体" w:hAnsi="宋体"/>
          <w:color w:val="auto"/>
          <w:sz w:val="21"/>
          <w:szCs w:val="21"/>
          <w:highlight w:val="none"/>
        </w:rPr>
        <w:t xml:space="preserve">          </w:t>
      </w:r>
    </w:p>
    <w:p>
      <w:pPr>
        <w:spacing w:line="276" w:lineRule="auto"/>
        <w:ind w:firstLine="420" w:firstLineChars="200"/>
        <w:jc w:val="both"/>
        <w:outlineLvl w:val="1"/>
        <w:rPr>
          <w:rFonts w:ascii="宋体" w:hAnsi="宋体"/>
          <w:color w:val="auto"/>
          <w:sz w:val="21"/>
          <w:szCs w:val="21"/>
          <w:highlight w:val="none"/>
        </w:rPr>
      </w:pPr>
      <w:bookmarkStart w:id="261" w:name="_Toc18842"/>
      <w:r>
        <w:rPr>
          <w:rFonts w:hint="eastAsia" w:ascii="宋体" w:hAnsi="宋体"/>
          <w:color w:val="auto"/>
          <w:sz w:val="21"/>
          <w:szCs w:val="21"/>
          <w:highlight w:val="none"/>
        </w:rPr>
        <w:t>日</w:t>
      </w:r>
      <w:r>
        <w:rPr>
          <w:rFonts w:ascii="宋体" w:hAnsi="宋体"/>
          <w:color w:val="auto"/>
          <w:sz w:val="21"/>
          <w:szCs w:val="21"/>
          <w:highlight w:val="none"/>
        </w:rPr>
        <w:t xml:space="preserve">          </w:t>
      </w:r>
      <w:r>
        <w:rPr>
          <w:rFonts w:hint="eastAsia" w:ascii="宋体" w:hAnsi="宋体"/>
          <w:color w:val="auto"/>
          <w:sz w:val="21"/>
          <w:szCs w:val="21"/>
          <w:highlight w:val="none"/>
        </w:rPr>
        <w:t>期：</w:t>
      </w:r>
      <w:bookmarkEnd w:id="261"/>
    </w:p>
    <w:p>
      <w:pPr>
        <w:spacing w:line="276" w:lineRule="auto"/>
        <w:jc w:val="center"/>
        <w:outlineLvl w:val="1"/>
        <w:rPr>
          <w:b/>
          <w:color w:val="auto"/>
          <w:highlight w:val="none"/>
        </w:rPr>
      </w:pPr>
      <w:r>
        <w:rPr>
          <w:b/>
          <w:color w:val="auto"/>
          <w:highlight w:val="none"/>
        </w:rPr>
        <w:br w:type="page"/>
      </w:r>
      <w:bookmarkStart w:id="262" w:name="_Toc9330"/>
      <w:bookmarkStart w:id="263" w:name="_Toc11775"/>
      <w:bookmarkStart w:id="264" w:name="_Toc1420"/>
      <w:r>
        <w:rPr>
          <w:rFonts w:hint="eastAsia"/>
          <w:b/>
          <w:color w:val="auto"/>
          <w:highlight w:val="none"/>
        </w:rPr>
        <w:t>附件二、开标一览表</w:t>
      </w:r>
      <w:bookmarkEnd w:id="258"/>
      <w:bookmarkEnd w:id="259"/>
      <w:bookmarkEnd w:id="260"/>
      <w:bookmarkEnd w:id="262"/>
      <w:bookmarkEnd w:id="263"/>
      <w:bookmarkEnd w:id="264"/>
    </w:p>
    <w:p>
      <w:pPr>
        <w:pStyle w:val="22"/>
        <w:adjustRightInd w:val="0"/>
        <w:snapToGrid w:val="0"/>
        <w:spacing w:line="360" w:lineRule="auto"/>
        <w:rPr>
          <w:color w:val="auto"/>
          <w:highlight w:val="none"/>
          <w:u w:val="single"/>
        </w:rPr>
      </w:pPr>
      <w:bookmarkStart w:id="265" w:name="_Toc387317149"/>
      <w:bookmarkStart w:id="266" w:name="_Toc389139111"/>
      <w:r>
        <w:rPr>
          <w:rFonts w:hint="eastAsia"/>
          <w:color w:val="auto"/>
          <w:highlight w:val="none"/>
        </w:rPr>
        <w:t>招标编号：</w:t>
      </w:r>
    </w:p>
    <w:p>
      <w:pPr>
        <w:pStyle w:val="22"/>
        <w:snapToGrid w:val="0"/>
        <w:spacing w:line="360" w:lineRule="auto"/>
        <w:rPr>
          <w:rFonts w:hAnsi="宋体"/>
          <w:color w:val="auto"/>
          <w:highlight w:val="none"/>
        </w:rPr>
      </w:pPr>
      <w:r>
        <w:rPr>
          <w:rFonts w:hint="eastAsia"/>
          <w:color w:val="auto"/>
          <w:highlight w:val="none"/>
        </w:rPr>
        <w:t>项目名称：</w:t>
      </w:r>
    </w:p>
    <w:p>
      <w:pPr>
        <w:pStyle w:val="22"/>
        <w:shd w:val="clear" w:color="auto" w:fill="auto"/>
        <w:snapToGrid w:val="0"/>
        <w:spacing w:line="360" w:lineRule="auto"/>
        <w:rPr>
          <w:rFonts w:hAnsi="宋体"/>
          <w:color w:val="auto"/>
          <w:highlight w:val="none"/>
        </w:rPr>
      </w:pPr>
      <w:r>
        <w:rPr>
          <w:rFonts w:hint="eastAsia" w:hAnsi="宋体"/>
          <w:color w:val="auto"/>
          <w:highlight w:val="none"/>
        </w:rPr>
        <w:t>标项：</w:t>
      </w:r>
    </w:p>
    <w:tbl>
      <w:tblPr>
        <w:tblStyle w:val="40"/>
        <w:tblW w:w="9997"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377"/>
        <w:gridCol w:w="1366"/>
        <w:gridCol w:w="1086"/>
        <w:gridCol w:w="1288"/>
        <w:gridCol w:w="1043"/>
        <w:gridCol w:w="900"/>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序号</w:t>
            </w:r>
          </w:p>
        </w:tc>
        <w:tc>
          <w:tcPr>
            <w:tcW w:w="2377"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报价表内容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2377"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标项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标项名称</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江北区常规交通设施年度维护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3</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项目预算</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310万元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4</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rPr>
            </w:pPr>
            <w:r>
              <w:rPr>
                <w:rFonts w:hint="eastAsia" w:ascii="宋体" w:hAnsi="宋体" w:eastAsia="宋体" w:cs="宋体"/>
                <w:i w:val="0"/>
                <w:iCs w:val="0"/>
                <w:color w:val="auto"/>
                <w:kern w:val="0"/>
                <w:sz w:val="18"/>
                <w:szCs w:val="18"/>
                <w:highlight w:val="none"/>
                <w:u w:val="none"/>
                <w:lang w:val="en-US" w:eastAsia="zh-CN" w:bidi="ar"/>
              </w:rPr>
              <w:t>招标单价合计（公众责任险）</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978190.71元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可下浮单价合计</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893190.71元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分类预算金额（万元）</w:t>
            </w:r>
          </w:p>
        </w:tc>
        <w:tc>
          <w:tcPr>
            <w:tcW w:w="136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维护项目</w:t>
            </w:r>
          </w:p>
        </w:tc>
        <w:tc>
          <w:tcPr>
            <w:tcW w:w="108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223.5</w:t>
            </w:r>
          </w:p>
        </w:tc>
        <w:tc>
          <w:tcPr>
            <w:tcW w:w="1288"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年度维护费</w:t>
            </w:r>
          </w:p>
        </w:tc>
        <w:tc>
          <w:tcPr>
            <w:tcW w:w="104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78</w:t>
            </w:r>
          </w:p>
        </w:tc>
        <w:tc>
          <w:tcPr>
            <w:tcW w:w="900"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保险</w:t>
            </w:r>
          </w:p>
        </w:tc>
        <w:tc>
          <w:tcPr>
            <w:tcW w:w="1044"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7</w:t>
            </w:r>
          </w:p>
        </w:tc>
        <w:tc>
          <w:tcPr>
            <w:tcW w:w="2377"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rPr>
              <w:t>投标</w:t>
            </w:r>
            <w:r>
              <w:rPr>
                <w:rFonts w:hint="eastAsia" w:ascii="宋体" w:hAnsi="宋体" w:cs="宋体"/>
                <w:b w:val="0"/>
                <w:bCs/>
                <w:color w:val="auto"/>
                <w:sz w:val="21"/>
                <w:szCs w:val="21"/>
                <w:highlight w:val="none"/>
                <w:lang w:val="en-US" w:eastAsia="zh-CN"/>
              </w:rPr>
              <w:t>单价合计</w:t>
            </w:r>
            <w:r>
              <w:rPr>
                <w:rFonts w:hint="eastAsia" w:ascii="宋体" w:hAnsi="宋体" w:cs="宋体"/>
                <w:b w:val="0"/>
                <w:bCs/>
                <w:color w:val="auto"/>
                <w:sz w:val="21"/>
                <w:szCs w:val="21"/>
                <w:highlight w:val="none"/>
              </w:rPr>
              <w:t>（元）</w:t>
            </w:r>
          </w:p>
        </w:tc>
        <w:tc>
          <w:tcPr>
            <w:tcW w:w="6727" w:type="dxa"/>
            <w:gridSpan w:val="6"/>
            <w:noWrap w:val="0"/>
            <w:vAlign w:val="center"/>
          </w:tcPr>
          <w:p>
            <w:pPr>
              <w:widowControl/>
              <w:shd w:val="clear" w:color="auto" w:fill="auto"/>
              <w:jc w:val="both"/>
              <w:rPr>
                <w:rFonts w:hint="eastAsia" w:ascii="Times New Roman" w:hAnsi="宋体" w:eastAsia="宋体" w:cs="宋体"/>
                <w:color w:val="auto"/>
                <w:sz w:val="21"/>
                <w:szCs w:val="21"/>
                <w:highlight w:val="none"/>
                <w:lang w:val="en-US" w:eastAsia="zh-CN"/>
              </w:rPr>
            </w:pPr>
            <w:r>
              <w:rPr>
                <w:rFonts w:hint="eastAsia" w:ascii="Times New Roman" w:hAnsi="宋体" w:eastAsia="宋体" w:cs="宋体"/>
                <w:color w:val="auto"/>
                <w:sz w:val="21"/>
                <w:szCs w:val="21"/>
                <w:highlight w:val="none"/>
                <w:lang w:val="en-US" w:eastAsia="zh-CN"/>
              </w:rPr>
              <w:t>小写：</w:t>
            </w:r>
          </w:p>
          <w:p>
            <w:pPr>
              <w:widowControl/>
              <w:shd w:val="clear" w:color="auto" w:fill="auto"/>
              <w:jc w:val="both"/>
              <w:rPr>
                <w:rFonts w:hint="eastAsia" w:ascii="宋体" w:hAnsi="宋体" w:eastAsia="宋体" w:cs="宋体"/>
                <w:b/>
                <w:color w:val="auto"/>
                <w:sz w:val="21"/>
                <w:szCs w:val="21"/>
                <w:highlight w:val="none"/>
              </w:rPr>
            </w:pPr>
            <w:r>
              <w:rPr>
                <w:rFonts w:hint="eastAsia" w:hAnsi="宋体" w:cs="宋体"/>
                <w:color w:val="auto"/>
                <w:sz w:val="21"/>
                <w:szCs w:val="21"/>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8</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统一下浮率及下浮后价格</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u w:val="none"/>
                <w:lang w:val="en-US"/>
              </w:rPr>
            </w:pP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%，即</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9</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rPr>
            </w:pPr>
            <w:r>
              <w:rPr>
                <w:rFonts w:hint="eastAsia"/>
                <w:b w:val="0"/>
                <w:bCs/>
                <w:color w:val="auto"/>
                <w:sz w:val="21"/>
                <w:szCs w:val="21"/>
                <w:highlight w:val="none"/>
                <w:lang w:val="en-US" w:eastAsia="zh-CN"/>
              </w:rPr>
              <w:t>投标声明</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p>
        </w:tc>
      </w:tr>
    </w:tbl>
    <w:p>
      <w:pPr>
        <w:pStyle w:val="22"/>
        <w:shd w:val="clear" w:color="auto" w:fill="auto"/>
        <w:snapToGrid w:val="0"/>
        <w:spacing w:line="360" w:lineRule="auto"/>
        <w:rPr>
          <w:rFonts w:hint="eastAsia" w:hAnsi="宋体"/>
          <w:color w:val="auto"/>
          <w:highlight w:val="none"/>
        </w:rPr>
      </w:pPr>
      <w:r>
        <w:rPr>
          <w:rFonts w:hint="eastAsia" w:hAnsi="宋体"/>
          <w:color w:val="auto"/>
          <w:highlight w:val="none"/>
        </w:rPr>
        <w:t>注：</w:t>
      </w:r>
      <w:r>
        <w:rPr>
          <w:rFonts w:hint="eastAsia" w:hAnsi="宋体"/>
          <w:color w:val="auto"/>
          <w:highlight w:val="none"/>
          <w:lang w:val="en-US" w:eastAsia="zh-CN"/>
        </w:rPr>
        <w:t>1、下浮率填写“+”值，如下浮5%，则填写“5%”</w:t>
      </w:r>
      <w:r>
        <w:rPr>
          <w:rFonts w:hint="eastAsia" w:hAnsi="宋体"/>
          <w:color w:val="auto"/>
          <w:highlight w:val="none"/>
        </w:rPr>
        <w:t xml:space="preserve"> </w:t>
      </w:r>
    </w:p>
    <w:p>
      <w:pPr>
        <w:pStyle w:val="22"/>
        <w:shd w:val="clear" w:color="auto" w:fill="auto"/>
        <w:snapToGrid w:val="0"/>
        <w:spacing w:line="360" w:lineRule="auto"/>
        <w:rPr>
          <w:rFonts w:hint="default" w:hAnsi="宋体" w:eastAsia="宋体"/>
          <w:color w:val="auto"/>
          <w:highlight w:val="none"/>
          <w:lang w:val="en-US" w:eastAsia="zh-CN"/>
        </w:rPr>
      </w:pPr>
      <w:r>
        <w:rPr>
          <w:rFonts w:hint="eastAsia" w:hAnsi="宋体"/>
          <w:color w:val="auto"/>
          <w:highlight w:val="none"/>
          <w:lang w:val="en-US" w:eastAsia="zh-CN"/>
        </w:rPr>
        <w:t>2、</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“绿化及路面恢复赔偿”该项不下浮，其余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p>
    <w:p>
      <w:pPr>
        <w:pStyle w:val="18"/>
        <w:spacing w:line="360" w:lineRule="auto"/>
        <w:ind w:left="0" w:leftChars="0" w:firstLine="0" w:firstLineChars="0"/>
        <w:rPr>
          <w:rFonts w:hint="eastAsia" w:hAnsi="宋体"/>
          <w:color w:val="auto"/>
          <w:sz w:val="21"/>
          <w:highlight w:val="none"/>
          <w:lang w:val="en-US" w:eastAsia="zh-CN"/>
        </w:rPr>
      </w:pPr>
      <w:r>
        <w:rPr>
          <w:rFonts w:hint="eastAsia" w:hAnsi="宋体"/>
          <w:color w:val="auto"/>
          <w:sz w:val="21"/>
          <w:highlight w:val="none"/>
          <w:lang w:val="en-US" w:eastAsia="zh-CN"/>
        </w:rPr>
        <w:t>3、“统一下浮率”项仅对“可下浮单价合计列”进行统一下浮。</w:t>
      </w:r>
    </w:p>
    <w:p>
      <w:pPr>
        <w:pStyle w:val="18"/>
        <w:spacing w:line="360" w:lineRule="auto"/>
        <w:ind w:left="0" w:leftChars="0" w:firstLine="0" w:firstLineChars="0"/>
        <w:rPr>
          <w:rFonts w:hAnsi="宋体"/>
          <w:color w:val="auto"/>
          <w:sz w:val="21"/>
          <w:highlight w:val="none"/>
        </w:rPr>
      </w:pPr>
      <w:r>
        <w:rPr>
          <w:rFonts w:hint="eastAsia" w:hAnsi="宋体"/>
          <w:color w:val="auto"/>
          <w:sz w:val="21"/>
          <w:highlight w:val="none"/>
          <w:lang w:val="en-US" w:eastAsia="zh-CN"/>
        </w:rPr>
        <w:t>4、</w:t>
      </w:r>
      <w:r>
        <w:rPr>
          <w:rFonts w:hint="eastAsia" w:hAnsi="宋体"/>
          <w:color w:val="auto"/>
          <w:sz w:val="21"/>
          <w:highlight w:val="none"/>
        </w:rPr>
        <w:t>投标</w:t>
      </w:r>
      <w:r>
        <w:rPr>
          <w:rFonts w:hint="eastAsia" w:hAnsi="宋体"/>
          <w:color w:val="auto"/>
          <w:sz w:val="21"/>
          <w:highlight w:val="none"/>
          <w:lang w:val="en-US" w:eastAsia="zh-CN"/>
        </w:rPr>
        <w:t>单价合计=下浮后价格+公众责任险（85000元），投标单价合计</w:t>
      </w:r>
      <w:r>
        <w:rPr>
          <w:rFonts w:hint="eastAsia" w:hAnsi="宋体"/>
          <w:color w:val="auto"/>
          <w:sz w:val="21"/>
          <w:highlight w:val="none"/>
        </w:rPr>
        <w:t>应与附件三“投标分项报价表”合计一致。</w:t>
      </w:r>
    </w:p>
    <w:p>
      <w:pPr>
        <w:pStyle w:val="18"/>
        <w:spacing w:line="360" w:lineRule="auto"/>
        <w:ind w:left="0" w:leftChars="0" w:firstLine="0" w:firstLineChars="0"/>
        <w:rPr>
          <w:rFonts w:hint="eastAsia" w:hAnsi="宋体" w:eastAsia="宋体"/>
          <w:color w:val="auto"/>
          <w:sz w:val="21"/>
          <w:highlight w:val="none"/>
          <w:lang w:eastAsia="zh-CN"/>
        </w:rPr>
      </w:pPr>
      <w:r>
        <w:rPr>
          <w:rFonts w:hint="eastAsia" w:hAnsi="宋体"/>
          <w:color w:val="auto"/>
          <w:sz w:val="21"/>
          <w:highlight w:val="none"/>
          <w:lang w:val="en-US" w:eastAsia="zh-CN"/>
        </w:rPr>
        <w:t>5、</w:t>
      </w:r>
      <w:r>
        <w:rPr>
          <w:rFonts w:hint="eastAsia" w:hAnsi="宋体"/>
          <w:color w:val="auto"/>
          <w:sz w:val="21"/>
          <w:highlight w:val="none"/>
        </w:rPr>
        <w:t>投标文件中开标一览表内容与政采云系统“开标一览表”中录入的报价内容不一致的，以投标文件中开标一览表为准</w:t>
      </w:r>
      <w:r>
        <w:rPr>
          <w:rFonts w:hint="eastAsia" w:hAnsi="宋体"/>
          <w:color w:val="auto"/>
          <w:sz w:val="21"/>
          <w:highlight w:val="none"/>
          <w:lang w:eastAsia="zh-CN"/>
        </w:rPr>
        <w:t>。</w:t>
      </w:r>
    </w:p>
    <w:p>
      <w:pPr>
        <w:pStyle w:val="18"/>
        <w:spacing w:line="360" w:lineRule="auto"/>
        <w:ind w:left="1104"/>
        <w:rPr>
          <w:rFonts w:hAnsi="宋体"/>
          <w:color w:val="auto"/>
          <w:sz w:val="21"/>
          <w:highlight w:val="none"/>
        </w:rPr>
      </w:pPr>
    </w:p>
    <w:p>
      <w:pPr>
        <w:pStyle w:val="18"/>
        <w:spacing w:line="360" w:lineRule="auto"/>
        <w:ind w:left="1104"/>
        <w:rPr>
          <w:rFonts w:hAnsi="宋体"/>
          <w:color w:val="auto"/>
          <w:sz w:val="21"/>
          <w:highlight w:val="none"/>
        </w:rPr>
      </w:pPr>
      <w:r>
        <w:rPr>
          <w:rFonts w:hint="eastAsia" w:hAnsi="宋体"/>
          <w:color w:val="auto"/>
          <w:sz w:val="21"/>
          <w:highlight w:val="none"/>
        </w:rPr>
        <w:t>投 标 人  （盖章）：</w:t>
      </w:r>
    </w:p>
    <w:p>
      <w:pPr>
        <w:pStyle w:val="18"/>
        <w:spacing w:line="360" w:lineRule="auto"/>
        <w:ind w:left="1104"/>
        <w:rPr>
          <w:rFonts w:hAnsi="宋体"/>
          <w:color w:val="auto"/>
          <w:sz w:val="21"/>
          <w:highlight w:val="none"/>
        </w:rPr>
      </w:pPr>
      <w:r>
        <w:rPr>
          <w:rFonts w:hint="eastAsia" w:hAnsi="宋体"/>
          <w:color w:val="auto"/>
          <w:sz w:val="21"/>
          <w:highlight w:val="none"/>
        </w:rPr>
        <w:t>投标人代表（签字）：</w:t>
      </w:r>
    </w:p>
    <w:p>
      <w:pPr>
        <w:pStyle w:val="18"/>
        <w:spacing w:line="360" w:lineRule="auto"/>
        <w:ind w:left="1104"/>
        <w:rPr>
          <w:rFonts w:hAnsi="宋体"/>
          <w:color w:val="auto"/>
          <w:sz w:val="21"/>
          <w:highlight w:val="none"/>
        </w:rPr>
      </w:pPr>
      <w:r>
        <w:rPr>
          <w:rFonts w:hint="eastAsia" w:hAnsi="宋体"/>
          <w:color w:val="auto"/>
          <w:sz w:val="21"/>
          <w:highlight w:val="none"/>
        </w:rPr>
        <w:t>日             期：</w:t>
      </w:r>
    </w:p>
    <w:p>
      <w:pPr>
        <w:spacing w:line="276" w:lineRule="auto"/>
        <w:jc w:val="center"/>
        <w:outlineLvl w:val="1"/>
        <w:rPr>
          <w:rFonts w:hint="eastAsia"/>
          <w:b/>
          <w:color w:val="auto"/>
          <w:highlight w:val="none"/>
        </w:rPr>
      </w:pPr>
    </w:p>
    <w:p>
      <w:pPr>
        <w:spacing w:line="276" w:lineRule="auto"/>
        <w:jc w:val="center"/>
        <w:outlineLvl w:val="1"/>
        <w:rPr>
          <w:rFonts w:hint="eastAsia"/>
          <w:b/>
          <w:color w:val="auto"/>
          <w:highlight w:val="none"/>
        </w:rPr>
      </w:pPr>
    </w:p>
    <w:p>
      <w:pPr>
        <w:spacing w:line="276" w:lineRule="auto"/>
        <w:jc w:val="center"/>
        <w:outlineLvl w:val="1"/>
        <w:rPr>
          <w:b/>
          <w:color w:val="auto"/>
          <w:highlight w:val="none"/>
        </w:rPr>
        <w:sectPr>
          <w:headerReference r:id="rId10" w:type="default"/>
          <w:footerReference r:id="rId11" w:type="default"/>
          <w:pgSz w:w="11906" w:h="16838"/>
          <w:pgMar w:top="1418" w:right="1134" w:bottom="1418" w:left="1588" w:header="851" w:footer="851"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p>
      <w:pPr>
        <w:spacing w:line="276" w:lineRule="auto"/>
        <w:jc w:val="center"/>
        <w:outlineLvl w:val="1"/>
        <w:rPr>
          <w:b/>
          <w:color w:val="auto"/>
          <w:highlight w:val="none"/>
        </w:rPr>
      </w:pPr>
      <w:bookmarkStart w:id="267" w:name="_Toc9984"/>
      <w:bookmarkStart w:id="268" w:name="_Toc9328"/>
      <w:bookmarkStart w:id="269" w:name="_Toc15464"/>
      <w:r>
        <w:rPr>
          <w:rFonts w:hint="eastAsia"/>
          <w:b/>
          <w:color w:val="auto"/>
          <w:highlight w:val="none"/>
        </w:rPr>
        <w:t>开标一览表</w:t>
      </w:r>
      <w:bookmarkEnd w:id="267"/>
    </w:p>
    <w:p>
      <w:pPr>
        <w:pStyle w:val="22"/>
        <w:adjustRightInd w:val="0"/>
        <w:snapToGrid w:val="0"/>
        <w:spacing w:line="360" w:lineRule="auto"/>
        <w:rPr>
          <w:color w:val="auto"/>
          <w:highlight w:val="none"/>
          <w:u w:val="single"/>
        </w:rPr>
      </w:pPr>
      <w:r>
        <w:rPr>
          <w:rFonts w:hint="eastAsia"/>
          <w:color w:val="auto"/>
          <w:highlight w:val="none"/>
        </w:rPr>
        <w:t>招标编号：</w:t>
      </w:r>
    </w:p>
    <w:p>
      <w:pPr>
        <w:pStyle w:val="22"/>
        <w:snapToGrid w:val="0"/>
        <w:spacing w:line="360" w:lineRule="auto"/>
        <w:rPr>
          <w:rFonts w:hAnsi="宋体"/>
          <w:color w:val="auto"/>
          <w:highlight w:val="none"/>
        </w:rPr>
      </w:pPr>
      <w:r>
        <w:rPr>
          <w:rFonts w:hint="eastAsia"/>
          <w:color w:val="auto"/>
          <w:highlight w:val="none"/>
        </w:rPr>
        <w:t>项目名称：</w:t>
      </w:r>
    </w:p>
    <w:p>
      <w:pPr>
        <w:pStyle w:val="22"/>
        <w:shd w:val="clear" w:color="auto" w:fill="auto"/>
        <w:snapToGrid w:val="0"/>
        <w:spacing w:line="360" w:lineRule="auto"/>
        <w:rPr>
          <w:rFonts w:hAnsi="宋体"/>
          <w:color w:val="auto"/>
          <w:highlight w:val="none"/>
        </w:rPr>
      </w:pPr>
      <w:r>
        <w:rPr>
          <w:rFonts w:hint="eastAsia" w:hAnsi="宋体"/>
          <w:color w:val="auto"/>
          <w:highlight w:val="none"/>
        </w:rPr>
        <w:t>标项：</w:t>
      </w:r>
    </w:p>
    <w:tbl>
      <w:tblPr>
        <w:tblStyle w:val="40"/>
        <w:tblW w:w="9997"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377"/>
        <w:gridCol w:w="1366"/>
        <w:gridCol w:w="1086"/>
        <w:gridCol w:w="1288"/>
        <w:gridCol w:w="1043"/>
        <w:gridCol w:w="900"/>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序号</w:t>
            </w:r>
          </w:p>
        </w:tc>
        <w:tc>
          <w:tcPr>
            <w:tcW w:w="2377"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报价表内容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2377"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标项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标项名称</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海曙西区和市三区快速路常规交通设施年度维护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3</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项目预算</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4</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rPr>
            </w:pPr>
            <w:r>
              <w:rPr>
                <w:rFonts w:hint="eastAsia" w:ascii="宋体" w:hAnsi="宋体" w:eastAsia="宋体" w:cs="宋体"/>
                <w:i w:val="0"/>
                <w:iCs w:val="0"/>
                <w:color w:val="auto"/>
                <w:kern w:val="0"/>
                <w:sz w:val="18"/>
                <w:szCs w:val="18"/>
                <w:highlight w:val="none"/>
                <w:u w:val="none"/>
                <w:lang w:val="en-US" w:eastAsia="zh-CN" w:bidi="ar"/>
              </w:rPr>
              <w:t>招标单价合计（公众责任险）</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978190.71元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可下浮单价合计</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893190.71元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分类预算金额（万元）</w:t>
            </w:r>
          </w:p>
        </w:tc>
        <w:tc>
          <w:tcPr>
            <w:tcW w:w="136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维护项目</w:t>
            </w:r>
          </w:p>
        </w:tc>
        <w:tc>
          <w:tcPr>
            <w:tcW w:w="108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213.5</w:t>
            </w:r>
          </w:p>
        </w:tc>
        <w:tc>
          <w:tcPr>
            <w:tcW w:w="1288"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年度维护费</w:t>
            </w:r>
          </w:p>
        </w:tc>
        <w:tc>
          <w:tcPr>
            <w:tcW w:w="104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78</w:t>
            </w:r>
          </w:p>
        </w:tc>
        <w:tc>
          <w:tcPr>
            <w:tcW w:w="900"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保险</w:t>
            </w:r>
          </w:p>
        </w:tc>
        <w:tc>
          <w:tcPr>
            <w:tcW w:w="1044"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7</w:t>
            </w:r>
          </w:p>
        </w:tc>
        <w:tc>
          <w:tcPr>
            <w:tcW w:w="2377"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rPr>
              <w:t>投标</w:t>
            </w:r>
            <w:r>
              <w:rPr>
                <w:rFonts w:hint="eastAsia" w:ascii="宋体" w:hAnsi="宋体" w:cs="宋体"/>
                <w:b w:val="0"/>
                <w:bCs/>
                <w:color w:val="auto"/>
                <w:sz w:val="21"/>
                <w:szCs w:val="21"/>
                <w:highlight w:val="none"/>
                <w:lang w:val="en-US" w:eastAsia="zh-CN"/>
              </w:rPr>
              <w:t>单价合计</w:t>
            </w:r>
            <w:r>
              <w:rPr>
                <w:rFonts w:hint="eastAsia" w:ascii="宋体" w:hAnsi="宋体" w:cs="宋体"/>
                <w:b w:val="0"/>
                <w:bCs/>
                <w:color w:val="auto"/>
                <w:sz w:val="21"/>
                <w:szCs w:val="21"/>
                <w:highlight w:val="none"/>
              </w:rPr>
              <w:t>（元）</w:t>
            </w:r>
          </w:p>
        </w:tc>
        <w:tc>
          <w:tcPr>
            <w:tcW w:w="6727" w:type="dxa"/>
            <w:gridSpan w:val="6"/>
            <w:noWrap w:val="0"/>
            <w:vAlign w:val="center"/>
          </w:tcPr>
          <w:p>
            <w:pPr>
              <w:widowControl/>
              <w:shd w:val="clear" w:color="auto" w:fill="auto"/>
              <w:jc w:val="both"/>
              <w:rPr>
                <w:rFonts w:hint="eastAsia" w:ascii="Times New Roman" w:hAnsi="宋体" w:eastAsia="宋体" w:cs="宋体"/>
                <w:color w:val="auto"/>
                <w:sz w:val="21"/>
                <w:szCs w:val="21"/>
                <w:highlight w:val="none"/>
                <w:lang w:val="en-US" w:eastAsia="zh-CN"/>
              </w:rPr>
            </w:pPr>
            <w:r>
              <w:rPr>
                <w:rFonts w:hint="eastAsia" w:ascii="Times New Roman" w:hAnsi="宋体" w:eastAsia="宋体" w:cs="宋体"/>
                <w:color w:val="auto"/>
                <w:sz w:val="21"/>
                <w:szCs w:val="21"/>
                <w:highlight w:val="none"/>
                <w:lang w:val="en-US" w:eastAsia="zh-CN"/>
              </w:rPr>
              <w:t>小写：</w:t>
            </w:r>
          </w:p>
          <w:p>
            <w:pPr>
              <w:widowControl/>
              <w:shd w:val="clear" w:color="auto" w:fill="auto"/>
              <w:jc w:val="both"/>
              <w:rPr>
                <w:rFonts w:hint="eastAsia" w:ascii="宋体" w:hAnsi="宋体" w:eastAsia="宋体" w:cs="宋体"/>
                <w:b/>
                <w:color w:val="auto"/>
                <w:sz w:val="21"/>
                <w:szCs w:val="21"/>
                <w:highlight w:val="none"/>
              </w:rPr>
            </w:pPr>
            <w:r>
              <w:rPr>
                <w:rFonts w:hint="eastAsia" w:hAnsi="宋体" w:cs="宋体"/>
                <w:color w:val="auto"/>
                <w:sz w:val="21"/>
                <w:szCs w:val="21"/>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8</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统一下浮率及下浮后价格</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u w:val="none"/>
                <w:lang w:val="en-US"/>
              </w:rPr>
            </w:pP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%，即</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9</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rPr>
            </w:pPr>
            <w:r>
              <w:rPr>
                <w:rFonts w:hint="eastAsia"/>
                <w:b w:val="0"/>
                <w:bCs/>
                <w:color w:val="auto"/>
                <w:sz w:val="21"/>
                <w:szCs w:val="21"/>
                <w:highlight w:val="none"/>
                <w:lang w:val="en-US" w:eastAsia="zh-CN"/>
              </w:rPr>
              <w:t>投标声明</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p>
        </w:tc>
      </w:tr>
    </w:tbl>
    <w:p>
      <w:pPr>
        <w:pStyle w:val="22"/>
        <w:shd w:val="clear" w:color="auto" w:fill="auto"/>
        <w:snapToGrid w:val="0"/>
        <w:spacing w:line="360" w:lineRule="auto"/>
        <w:rPr>
          <w:rFonts w:hint="eastAsia" w:hAnsi="宋体"/>
          <w:color w:val="auto"/>
          <w:highlight w:val="none"/>
        </w:rPr>
      </w:pPr>
      <w:r>
        <w:rPr>
          <w:rFonts w:hint="eastAsia" w:hAnsi="宋体"/>
          <w:color w:val="auto"/>
          <w:highlight w:val="none"/>
        </w:rPr>
        <w:t>注：</w:t>
      </w:r>
      <w:r>
        <w:rPr>
          <w:rFonts w:hint="eastAsia" w:hAnsi="宋体"/>
          <w:color w:val="auto"/>
          <w:highlight w:val="none"/>
          <w:lang w:val="en-US" w:eastAsia="zh-CN"/>
        </w:rPr>
        <w:t>1、下浮率填写“+”值，如下浮5%，则填写“5%”</w:t>
      </w:r>
      <w:r>
        <w:rPr>
          <w:rFonts w:hint="eastAsia" w:hAnsi="宋体"/>
          <w:color w:val="auto"/>
          <w:highlight w:val="none"/>
        </w:rPr>
        <w:t xml:space="preserve"> </w:t>
      </w:r>
    </w:p>
    <w:p>
      <w:pPr>
        <w:pStyle w:val="22"/>
        <w:shd w:val="clear" w:color="auto" w:fill="auto"/>
        <w:snapToGrid w:val="0"/>
        <w:spacing w:line="360" w:lineRule="auto"/>
        <w:rPr>
          <w:rFonts w:hint="default" w:hAnsi="宋体" w:eastAsia="宋体"/>
          <w:color w:val="auto"/>
          <w:highlight w:val="none"/>
          <w:lang w:val="en-US" w:eastAsia="zh-CN"/>
        </w:rPr>
      </w:pPr>
      <w:r>
        <w:rPr>
          <w:rFonts w:hint="eastAsia" w:hAnsi="宋体"/>
          <w:color w:val="auto"/>
          <w:highlight w:val="none"/>
          <w:lang w:val="en-US" w:eastAsia="zh-CN"/>
        </w:rPr>
        <w:t>2、</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“绿化及路面恢复赔偿”该项不下浮，其余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p>
    <w:p>
      <w:pPr>
        <w:pStyle w:val="18"/>
        <w:spacing w:line="360" w:lineRule="auto"/>
        <w:ind w:left="0" w:leftChars="0" w:firstLine="0" w:firstLineChars="0"/>
        <w:rPr>
          <w:rFonts w:hint="eastAsia" w:hAnsi="宋体"/>
          <w:color w:val="auto"/>
          <w:sz w:val="21"/>
          <w:highlight w:val="none"/>
          <w:lang w:val="en-US" w:eastAsia="zh-CN"/>
        </w:rPr>
      </w:pPr>
      <w:r>
        <w:rPr>
          <w:rFonts w:hint="eastAsia" w:hAnsi="宋体"/>
          <w:color w:val="auto"/>
          <w:sz w:val="21"/>
          <w:highlight w:val="none"/>
          <w:lang w:val="en-US" w:eastAsia="zh-CN"/>
        </w:rPr>
        <w:t>3、“统一下浮率”项仅对“可下浮单价合计列”进行统一下浮。</w:t>
      </w:r>
    </w:p>
    <w:p>
      <w:pPr>
        <w:pStyle w:val="18"/>
        <w:spacing w:line="360" w:lineRule="auto"/>
        <w:ind w:left="0" w:leftChars="0" w:firstLine="0" w:firstLineChars="0"/>
        <w:rPr>
          <w:rFonts w:hAnsi="宋体"/>
          <w:color w:val="auto"/>
          <w:sz w:val="21"/>
          <w:highlight w:val="none"/>
        </w:rPr>
      </w:pPr>
      <w:r>
        <w:rPr>
          <w:rFonts w:hint="eastAsia" w:hAnsi="宋体"/>
          <w:color w:val="auto"/>
          <w:sz w:val="21"/>
          <w:highlight w:val="none"/>
          <w:lang w:val="en-US" w:eastAsia="zh-CN"/>
        </w:rPr>
        <w:t>4、</w:t>
      </w:r>
      <w:r>
        <w:rPr>
          <w:rFonts w:hint="eastAsia" w:hAnsi="宋体"/>
          <w:color w:val="auto"/>
          <w:sz w:val="21"/>
          <w:highlight w:val="none"/>
        </w:rPr>
        <w:t>投标</w:t>
      </w:r>
      <w:r>
        <w:rPr>
          <w:rFonts w:hint="eastAsia" w:hAnsi="宋体"/>
          <w:color w:val="auto"/>
          <w:sz w:val="21"/>
          <w:highlight w:val="none"/>
          <w:lang w:val="en-US" w:eastAsia="zh-CN"/>
        </w:rPr>
        <w:t>单价合计=下浮后价格+公众责任险（85000元），投标单价合计</w:t>
      </w:r>
      <w:r>
        <w:rPr>
          <w:rFonts w:hint="eastAsia" w:hAnsi="宋体"/>
          <w:color w:val="auto"/>
          <w:sz w:val="21"/>
          <w:highlight w:val="none"/>
        </w:rPr>
        <w:t>应与附件三“投标分项报价表”合计一致。</w:t>
      </w:r>
    </w:p>
    <w:p>
      <w:pPr>
        <w:pStyle w:val="18"/>
        <w:spacing w:line="360" w:lineRule="auto"/>
        <w:ind w:left="0" w:leftChars="0" w:firstLine="0" w:firstLineChars="0"/>
        <w:rPr>
          <w:rFonts w:hint="eastAsia" w:hAnsi="宋体" w:eastAsia="宋体"/>
          <w:color w:val="auto"/>
          <w:sz w:val="21"/>
          <w:highlight w:val="none"/>
          <w:lang w:eastAsia="zh-CN"/>
        </w:rPr>
      </w:pPr>
      <w:r>
        <w:rPr>
          <w:rFonts w:hint="eastAsia" w:hAnsi="宋体"/>
          <w:color w:val="auto"/>
          <w:sz w:val="21"/>
          <w:highlight w:val="none"/>
          <w:lang w:val="en-US" w:eastAsia="zh-CN"/>
        </w:rPr>
        <w:t>5、</w:t>
      </w:r>
      <w:r>
        <w:rPr>
          <w:rFonts w:hint="eastAsia" w:hAnsi="宋体"/>
          <w:color w:val="auto"/>
          <w:sz w:val="21"/>
          <w:highlight w:val="none"/>
        </w:rPr>
        <w:t>投标文件中开标一览表内容与政采云系统“开标一览表”中录入的报价内容不一致的，以投标文件中开标一览表为准</w:t>
      </w:r>
      <w:r>
        <w:rPr>
          <w:rFonts w:hint="eastAsia" w:hAnsi="宋体"/>
          <w:color w:val="auto"/>
          <w:sz w:val="21"/>
          <w:highlight w:val="none"/>
          <w:lang w:eastAsia="zh-CN"/>
        </w:rPr>
        <w:t>。</w:t>
      </w:r>
    </w:p>
    <w:p>
      <w:pPr>
        <w:pStyle w:val="18"/>
        <w:spacing w:line="360" w:lineRule="auto"/>
        <w:ind w:left="1104"/>
        <w:rPr>
          <w:rFonts w:hAnsi="宋体"/>
          <w:color w:val="auto"/>
          <w:sz w:val="21"/>
          <w:highlight w:val="none"/>
        </w:rPr>
      </w:pPr>
    </w:p>
    <w:p>
      <w:pPr>
        <w:pStyle w:val="18"/>
        <w:spacing w:line="360" w:lineRule="auto"/>
        <w:ind w:left="1104"/>
        <w:rPr>
          <w:rFonts w:hAnsi="宋体"/>
          <w:color w:val="auto"/>
          <w:sz w:val="21"/>
          <w:highlight w:val="none"/>
        </w:rPr>
      </w:pPr>
      <w:r>
        <w:rPr>
          <w:rFonts w:hint="eastAsia" w:hAnsi="宋体"/>
          <w:color w:val="auto"/>
          <w:sz w:val="21"/>
          <w:highlight w:val="none"/>
        </w:rPr>
        <w:t>投 标 人  （盖章）：</w:t>
      </w:r>
    </w:p>
    <w:p>
      <w:pPr>
        <w:pStyle w:val="18"/>
        <w:spacing w:line="360" w:lineRule="auto"/>
        <w:ind w:left="1104"/>
        <w:rPr>
          <w:rFonts w:hAnsi="宋体"/>
          <w:color w:val="auto"/>
          <w:sz w:val="21"/>
          <w:highlight w:val="none"/>
        </w:rPr>
      </w:pPr>
      <w:r>
        <w:rPr>
          <w:rFonts w:hint="eastAsia" w:hAnsi="宋体"/>
          <w:color w:val="auto"/>
          <w:sz w:val="21"/>
          <w:highlight w:val="none"/>
        </w:rPr>
        <w:t>投标人代表（签字）：</w:t>
      </w:r>
    </w:p>
    <w:p>
      <w:pPr>
        <w:ind w:firstLine="1050" w:firstLineChars="500"/>
        <w:rPr>
          <w:rFonts w:hint="eastAsia"/>
          <w:b/>
          <w:color w:val="auto"/>
          <w:highlight w:val="none"/>
        </w:rPr>
      </w:pPr>
      <w:r>
        <w:rPr>
          <w:rFonts w:hint="eastAsia" w:hAnsi="宋体"/>
          <w:color w:val="auto"/>
          <w:sz w:val="21"/>
          <w:highlight w:val="none"/>
        </w:rPr>
        <w:t>日             期：</w:t>
      </w:r>
    </w:p>
    <w:p>
      <w:pPr>
        <w:spacing w:line="276" w:lineRule="auto"/>
        <w:jc w:val="center"/>
        <w:outlineLvl w:val="1"/>
        <w:rPr>
          <w:b/>
          <w:color w:val="auto"/>
          <w:highlight w:val="none"/>
        </w:rPr>
      </w:pPr>
      <w:r>
        <w:rPr>
          <w:rFonts w:hint="eastAsia"/>
          <w:b/>
          <w:color w:val="auto"/>
          <w:highlight w:val="none"/>
        </w:rPr>
        <w:br w:type="page"/>
      </w:r>
      <w:bookmarkStart w:id="270" w:name="_Toc27164"/>
      <w:r>
        <w:rPr>
          <w:rFonts w:hint="eastAsia"/>
          <w:b/>
          <w:color w:val="auto"/>
          <w:highlight w:val="none"/>
        </w:rPr>
        <w:t>开标一览表</w:t>
      </w:r>
      <w:bookmarkEnd w:id="270"/>
    </w:p>
    <w:p>
      <w:pPr>
        <w:pStyle w:val="22"/>
        <w:adjustRightInd w:val="0"/>
        <w:snapToGrid w:val="0"/>
        <w:spacing w:line="360" w:lineRule="auto"/>
        <w:rPr>
          <w:color w:val="auto"/>
          <w:highlight w:val="none"/>
          <w:u w:val="single"/>
        </w:rPr>
      </w:pPr>
      <w:r>
        <w:rPr>
          <w:rFonts w:hint="eastAsia"/>
          <w:color w:val="auto"/>
          <w:highlight w:val="none"/>
        </w:rPr>
        <w:t>招标编号：</w:t>
      </w:r>
    </w:p>
    <w:p>
      <w:pPr>
        <w:pStyle w:val="22"/>
        <w:snapToGrid w:val="0"/>
        <w:spacing w:line="360" w:lineRule="auto"/>
        <w:rPr>
          <w:rFonts w:hAnsi="宋体"/>
          <w:color w:val="auto"/>
          <w:highlight w:val="none"/>
        </w:rPr>
      </w:pPr>
      <w:r>
        <w:rPr>
          <w:rFonts w:hint="eastAsia"/>
          <w:color w:val="auto"/>
          <w:highlight w:val="none"/>
        </w:rPr>
        <w:t>项目名称：</w:t>
      </w:r>
    </w:p>
    <w:p>
      <w:pPr>
        <w:pStyle w:val="22"/>
        <w:shd w:val="clear" w:color="auto" w:fill="auto"/>
        <w:snapToGrid w:val="0"/>
        <w:spacing w:line="360" w:lineRule="auto"/>
        <w:rPr>
          <w:rFonts w:hAnsi="宋体"/>
          <w:color w:val="auto"/>
          <w:highlight w:val="none"/>
        </w:rPr>
      </w:pPr>
      <w:r>
        <w:rPr>
          <w:rFonts w:hint="eastAsia" w:hAnsi="宋体"/>
          <w:color w:val="auto"/>
          <w:highlight w:val="none"/>
        </w:rPr>
        <w:t>标项：</w:t>
      </w:r>
    </w:p>
    <w:tbl>
      <w:tblPr>
        <w:tblStyle w:val="40"/>
        <w:tblW w:w="9997"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377"/>
        <w:gridCol w:w="1366"/>
        <w:gridCol w:w="1086"/>
        <w:gridCol w:w="1288"/>
        <w:gridCol w:w="1043"/>
        <w:gridCol w:w="900"/>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序号</w:t>
            </w:r>
          </w:p>
        </w:tc>
        <w:tc>
          <w:tcPr>
            <w:tcW w:w="2377"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报价表内容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2377"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标项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标项名称</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鄞州南区常规交通设施年度维护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3</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项目预算</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280万元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4</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rPr>
            </w:pPr>
            <w:r>
              <w:rPr>
                <w:rFonts w:hint="eastAsia" w:ascii="宋体" w:hAnsi="宋体" w:eastAsia="宋体" w:cs="宋体"/>
                <w:i w:val="0"/>
                <w:iCs w:val="0"/>
                <w:color w:val="auto"/>
                <w:kern w:val="0"/>
                <w:sz w:val="18"/>
                <w:szCs w:val="18"/>
                <w:highlight w:val="none"/>
                <w:u w:val="none"/>
                <w:lang w:val="en-US" w:eastAsia="zh-CN" w:bidi="ar"/>
              </w:rPr>
              <w:t>招标单价合计（公众责任险）</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978190.71元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可下浮单价合计</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893190.71元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分类预算金额（万元）</w:t>
            </w:r>
          </w:p>
        </w:tc>
        <w:tc>
          <w:tcPr>
            <w:tcW w:w="136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维护项目</w:t>
            </w:r>
          </w:p>
        </w:tc>
        <w:tc>
          <w:tcPr>
            <w:tcW w:w="108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193.5</w:t>
            </w:r>
          </w:p>
        </w:tc>
        <w:tc>
          <w:tcPr>
            <w:tcW w:w="1288"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年度维护费</w:t>
            </w:r>
          </w:p>
        </w:tc>
        <w:tc>
          <w:tcPr>
            <w:tcW w:w="104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78</w:t>
            </w:r>
          </w:p>
        </w:tc>
        <w:tc>
          <w:tcPr>
            <w:tcW w:w="900"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保险</w:t>
            </w:r>
          </w:p>
        </w:tc>
        <w:tc>
          <w:tcPr>
            <w:tcW w:w="1044"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7</w:t>
            </w:r>
          </w:p>
        </w:tc>
        <w:tc>
          <w:tcPr>
            <w:tcW w:w="2377"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rPr>
              <w:t>投标</w:t>
            </w:r>
            <w:r>
              <w:rPr>
                <w:rFonts w:hint="eastAsia" w:ascii="宋体" w:hAnsi="宋体" w:cs="宋体"/>
                <w:b w:val="0"/>
                <w:bCs/>
                <w:color w:val="auto"/>
                <w:sz w:val="21"/>
                <w:szCs w:val="21"/>
                <w:highlight w:val="none"/>
                <w:lang w:val="en-US" w:eastAsia="zh-CN"/>
              </w:rPr>
              <w:t>单价合计</w:t>
            </w:r>
            <w:r>
              <w:rPr>
                <w:rFonts w:hint="eastAsia" w:ascii="宋体" w:hAnsi="宋体" w:cs="宋体"/>
                <w:b w:val="0"/>
                <w:bCs/>
                <w:color w:val="auto"/>
                <w:sz w:val="21"/>
                <w:szCs w:val="21"/>
                <w:highlight w:val="none"/>
              </w:rPr>
              <w:t>（元）</w:t>
            </w:r>
          </w:p>
        </w:tc>
        <w:tc>
          <w:tcPr>
            <w:tcW w:w="6727" w:type="dxa"/>
            <w:gridSpan w:val="6"/>
            <w:noWrap w:val="0"/>
            <w:vAlign w:val="center"/>
          </w:tcPr>
          <w:p>
            <w:pPr>
              <w:widowControl/>
              <w:shd w:val="clear" w:color="auto" w:fill="auto"/>
              <w:jc w:val="both"/>
              <w:rPr>
                <w:rFonts w:hint="eastAsia" w:ascii="Times New Roman" w:hAnsi="宋体" w:eastAsia="宋体" w:cs="宋体"/>
                <w:color w:val="auto"/>
                <w:sz w:val="21"/>
                <w:szCs w:val="21"/>
                <w:highlight w:val="none"/>
                <w:lang w:val="en-US" w:eastAsia="zh-CN"/>
              </w:rPr>
            </w:pPr>
            <w:r>
              <w:rPr>
                <w:rFonts w:hint="eastAsia" w:ascii="Times New Roman" w:hAnsi="宋体" w:eastAsia="宋体" w:cs="宋体"/>
                <w:color w:val="auto"/>
                <w:sz w:val="21"/>
                <w:szCs w:val="21"/>
                <w:highlight w:val="none"/>
                <w:lang w:val="en-US" w:eastAsia="zh-CN"/>
              </w:rPr>
              <w:t>小写：</w:t>
            </w:r>
          </w:p>
          <w:p>
            <w:pPr>
              <w:widowControl/>
              <w:shd w:val="clear" w:color="auto" w:fill="auto"/>
              <w:jc w:val="both"/>
              <w:rPr>
                <w:rFonts w:hint="eastAsia" w:ascii="宋体" w:hAnsi="宋体" w:eastAsia="宋体" w:cs="宋体"/>
                <w:b/>
                <w:color w:val="auto"/>
                <w:sz w:val="21"/>
                <w:szCs w:val="21"/>
                <w:highlight w:val="none"/>
              </w:rPr>
            </w:pPr>
            <w:r>
              <w:rPr>
                <w:rFonts w:hint="eastAsia" w:hAnsi="宋体" w:cs="宋体"/>
                <w:color w:val="auto"/>
                <w:sz w:val="21"/>
                <w:szCs w:val="21"/>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8</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统一下浮率及下浮后价格</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u w:val="none"/>
                <w:lang w:val="en-US"/>
              </w:rPr>
            </w:pP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%，即</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9</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rPr>
            </w:pPr>
            <w:r>
              <w:rPr>
                <w:rFonts w:hint="eastAsia"/>
                <w:b w:val="0"/>
                <w:bCs/>
                <w:color w:val="auto"/>
                <w:sz w:val="21"/>
                <w:szCs w:val="21"/>
                <w:highlight w:val="none"/>
                <w:lang w:val="en-US" w:eastAsia="zh-CN"/>
              </w:rPr>
              <w:t>投标声明</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p>
        </w:tc>
      </w:tr>
    </w:tbl>
    <w:p>
      <w:pPr>
        <w:pStyle w:val="22"/>
        <w:shd w:val="clear" w:color="auto" w:fill="auto"/>
        <w:snapToGrid w:val="0"/>
        <w:spacing w:line="360" w:lineRule="auto"/>
        <w:rPr>
          <w:rFonts w:hint="eastAsia" w:hAnsi="宋体"/>
          <w:color w:val="auto"/>
          <w:highlight w:val="none"/>
        </w:rPr>
      </w:pPr>
      <w:r>
        <w:rPr>
          <w:rFonts w:hint="eastAsia" w:hAnsi="宋体"/>
          <w:color w:val="auto"/>
          <w:highlight w:val="none"/>
        </w:rPr>
        <w:t>注：</w:t>
      </w:r>
      <w:r>
        <w:rPr>
          <w:rFonts w:hint="eastAsia" w:hAnsi="宋体"/>
          <w:color w:val="auto"/>
          <w:highlight w:val="none"/>
          <w:lang w:val="en-US" w:eastAsia="zh-CN"/>
        </w:rPr>
        <w:t>1、下浮率填写“+”值，如下浮5%，则填写“5%”</w:t>
      </w:r>
      <w:r>
        <w:rPr>
          <w:rFonts w:hint="eastAsia" w:hAnsi="宋体"/>
          <w:color w:val="auto"/>
          <w:highlight w:val="none"/>
        </w:rPr>
        <w:t xml:space="preserve"> </w:t>
      </w:r>
    </w:p>
    <w:p>
      <w:pPr>
        <w:pStyle w:val="22"/>
        <w:shd w:val="clear" w:color="auto" w:fill="auto"/>
        <w:snapToGrid w:val="0"/>
        <w:spacing w:line="360" w:lineRule="auto"/>
        <w:rPr>
          <w:rFonts w:hint="default" w:hAnsi="宋体" w:eastAsia="宋体"/>
          <w:color w:val="auto"/>
          <w:highlight w:val="none"/>
          <w:lang w:val="en-US" w:eastAsia="zh-CN"/>
        </w:rPr>
      </w:pPr>
      <w:r>
        <w:rPr>
          <w:rFonts w:hint="eastAsia" w:hAnsi="宋体"/>
          <w:color w:val="auto"/>
          <w:highlight w:val="none"/>
          <w:lang w:val="en-US" w:eastAsia="zh-CN"/>
        </w:rPr>
        <w:t>2、</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“绿化及路面恢复赔偿”该项不下浮，其余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p>
    <w:p>
      <w:pPr>
        <w:pStyle w:val="18"/>
        <w:spacing w:line="360" w:lineRule="auto"/>
        <w:ind w:left="0" w:leftChars="0" w:firstLine="0" w:firstLineChars="0"/>
        <w:rPr>
          <w:rFonts w:hint="eastAsia" w:hAnsi="宋体"/>
          <w:color w:val="auto"/>
          <w:sz w:val="21"/>
          <w:highlight w:val="none"/>
          <w:lang w:val="en-US" w:eastAsia="zh-CN"/>
        </w:rPr>
      </w:pPr>
      <w:r>
        <w:rPr>
          <w:rFonts w:hint="eastAsia" w:hAnsi="宋体"/>
          <w:color w:val="auto"/>
          <w:sz w:val="21"/>
          <w:highlight w:val="none"/>
          <w:lang w:val="en-US" w:eastAsia="zh-CN"/>
        </w:rPr>
        <w:t>3、“统一下浮率”项仅对“可下浮单价合计列”进行统一下浮。</w:t>
      </w:r>
    </w:p>
    <w:p>
      <w:pPr>
        <w:pStyle w:val="18"/>
        <w:spacing w:line="360" w:lineRule="auto"/>
        <w:ind w:left="0" w:leftChars="0" w:firstLine="0" w:firstLineChars="0"/>
        <w:rPr>
          <w:rFonts w:hAnsi="宋体"/>
          <w:color w:val="auto"/>
          <w:sz w:val="21"/>
          <w:highlight w:val="none"/>
        </w:rPr>
      </w:pPr>
      <w:r>
        <w:rPr>
          <w:rFonts w:hint="eastAsia" w:hAnsi="宋体"/>
          <w:color w:val="auto"/>
          <w:sz w:val="21"/>
          <w:highlight w:val="none"/>
          <w:lang w:val="en-US" w:eastAsia="zh-CN"/>
        </w:rPr>
        <w:t>4、</w:t>
      </w:r>
      <w:r>
        <w:rPr>
          <w:rFonts w:hint="eastAsia" w:hAnsi="宋体"/>
          <w:color w:val="auto"/>
          <w:sz w:val="21"/>
          <w:highlight w:val="none"/>
        </w:rPr>
        <w:t>投标</w:t>
      </w:r>
      <w:r>
        <w:rPr>
          <w:rFonts w:hint="eastAsia" w:hAnsi="宋体"/>
          <w:color w:val="auto"/>
          <w:sz w:val="21"/>
          <w:highlight w:val="none"/>
          <w:lang w:val="en-US" w:eastAsia="zh-CN"/>
        </w:rPr>
        <w:t>单价合计=下浮后价格+公众责任险（85000元），投标单价合计</w:t>
      </w:r>
      <w:r>
        <w:rPr>
          <w:rFonts w:hint="eastAsia" w:hAnsi="宋体"/>
          <w:color w:val="auto"/>
          <w:sz w:val="21"/>
          <w:highlight w:val="none"/>
        </w:rPr>
        <w:t>应与附件三“投标分项报价表”合计一致。</w:t>
      </w:r>
    </w:p>
    <w:p>
      <w:pPr>
        <w:pStyle w:val="18"/>
        <w:spacing w:line="360" w:lineRule="auto"/>
        <w:ind w:left="0" w:leftChars="0" w:firstLine="0" w:firstLineChars="0"/>
        <w:rPr>
          <w:rFonts w:hint="eastAsia" w:hAnsi="宋体" w:eastAsia="宋体"/>
          <w:color w:val="auto"/>
          <w:sz w:val="21"/>
          <w:highlight w:val="none"/>
          <w:lang w:eastAsia="zh-CN"/>
        </w:rPr>
      </w:pPr>
      <w:r>
        <w:rPr>
          <w:rFonts w:hint="eastAsia" w:hAnsi="宋体"/>
          <w:color w:val="auto"/>
          <w:sz w:val="21"/>
          <w:highlight w:val="none"/>
          <w:lang w:val="en-US" w:eastAsia="zh-CN"/>
        </w:rPr>
        <w:t>5、</w:t>
      </w:r>
      <w:r>
        <w:rPr>
          <w:rFonts w:hint="eastAsia" w:hAnsi="宋体"/>
          <w:color w:val="auto"/>
          <w:sz w:val="21"/>
          <w:highlight w:val="none"/>
        </w:rPr>
        <w:t>投标文件中开标一览表内容与政采云系统“开标一览表”中录入的报价内容不一致的，以投标文件中开标一览表为准</w:t>
      </w:r>
      <w:r>
        <w:rPr>
          <w:rFonts w:hint="eastAsia" w:hAnsi="宋体"/>
          <w:color w:val="auto"/>
          <w:sz w:val="21"/>
          <w:highlight w:val="none"/>
          <w:lang w:eastAsia="zh-CN"/>
        </w:rPr>
        <w:t>。</w:t>
      </w:r>
    </w:p>
    <w:p>
      <w:pPr>
        <w:pStyle w:val="18"/>
        <w:spacing w:line="360" w:lineRule="auto"/>
        <w:ind w:left="1104"/>
        <w:rPr>
          <w:rFonts w:hAnsi="宋体"/>
          <w:color w:val="auto"/>
          <w:sz w:val="21"/>
          <w:highlight w:val="none"/>
        </w:rPr>
      </w:pPr>
    </w:p>
    <w:p>
      <w:pPr>
        <w:pStyle w:val="18"/>
        <w:spacing w:line="360" w:lineRule="auto"/>
        <w:ind w:left="1104"/>
        <w:rPr>
          <w:rFonts w:hAnsi="宋体"/>
          <w:color w:val="auto"/>
          <w:sz w:val="21"/>
          <w:highlight w:val="none"/>
        </w:rPr>
      </w:pPr>
      <w:r>
        <w:rPr>
          <w:rFonts w:hint="eastAsia" w:hAnsi="宋体"/>
          <w:color w:val="auto"/>
          <w:sz w:val="21"/>
          <w:highlight w:val="none"/>
        </w:rPr>
        <w:t>投 标 人  （盖章）：</w:t>
      </w:r>
    </w:p>
    <w:p>
      <w:pPr>
        <w:pStyle w:val="18"/>
        <w:spacing w:line="360" w:lineRule="auto"/>
        <w:ind w:left="1104"/>
        <w:rPr>
          <w:rFonts w:hAnsi="宋体"/>
          <w:color w:val="auto"/>
          <w:sz w:val="21"/>
          <w:highlight w:val="none"/>
        </w:rPr>
      </w:pPr>
      <w:r>
        <w:rPr>
          <w:rFonts w:hint="eastAsia" w:hAnsi="宋体"/>
          <w:color w:val="auto"/>
          <w:sz w:val="21"/>
          <w:highlight w:val="none"/>
        </w:rPr>
        <w:t>投标人代表（签字）：</w:t>
      </w:r>
    </w:p>
    <w:p>
      <w:pPr>
        <w:ind w:firstLine="1050" w:firstLineChars="500"/>
        <w:rPr>
          <w:rFonts w:hint="eastAsia"/>
          <w:b/>
          <w:color w:val="auto"/>
          <w:highlight w:val="none"/>
        </w:rPr>
      </w:pPr>
      <w:r>
        <w:rPr>
          <w:rFonts w:hint="eastAsia" w:hAnsi="宋体"/>
          <w:color w:val="auto"/>
          <w:sz w:val="21"/>
          <w:highlight w:val="none"/>
        </w:rPr>
        <w:t>日             期：</w:t>
      </w:r>
    </w:p>
    <w:p>
      <w:pPr>
        <w:rPr>
          <w:rFonts w:hint="eastAsia"/>
          <w:b/>
          <w:color w:val="auto"/>
          <w:highlight w:val="none"/>
        </w:rPr>
      </w:pPr>
      <w:r>
        <w:rPr>
          <w:rFonts w:hint="eastAsia"/>
          <w:b/>
          <w:color w:val="auto"/>
          <w:highlight w:val="none"/>
        </w:rPr>
        <w:br w:type="page"/>
      </w:r>
    </w:p>
    <w:p>
      <w:pPr>
        <w:spacing w:line="276" w:lineRule="auto"/>
        <w:jc w:val="center"/>
        <w:outlineLvl w:val="1"/>
        <w:rPr>
          <w:b/>
          <w:color w:val="auto"/>
          <w:highlight w:val="none"/>
        </w:rPr>
      </w:pPr>
      <w:bookmarkStart w:id="271" w:name="_Toc29789"/>
      <w:r>
        <w:rPr>
          <w:rFonts w:hint="eastAsia"/>
          <w:b/>
          <w:color w:val="auto"/>
          <w:highlight w:val="none"/>
        </w:rPr>
        <w:t>开标一览表</w:t>
      </w:r>
      <w:bookmarkEnd w:id="271"/>
    </w:p>
    <w:p>
      <w:pPr>
        <w:pStyle w:val="22"/>
        <w:adjustRightInd w:val="0"/>
        <w:snapToGrid w:val="0"/>
        <w:spacing w:line="360" w:lineRule="auto"/>
        <w:rPr>
          <w:color w:val="auto"/>
          <w:highlight w:val="none"/>
          <w:u w:val="single"/>
        </w:rPr>
      </w:pPr>
      <w:r>
        <w:rPr>
          <w:rFonts w:hint="eastAsia"/>
          <w:color w:val="auto"/>
          <w:highlight w:val="none"/>
        </w:rPr>
        <w:t>招标编号：</w:t>
      </w:r>
    </w:p>
    <w:p>
      <w:pPr>
        <w:pStyle w:val="22"/>
        <w:snapToGrid w:val="0"/>
        <w:spacing w:line="360" w:lineRule="auto"/>
        <w:rPr>
          <w:rFonts w:hAnsi="宋体"/>
          <w:color w:val="auto"/>
          <w:highlight w:val="none"/>
        </w:rPr>
      </w:pPr>
      <w:r>
        <w:rPr>
          <w:rFonts w:hint="eastAsia"/>
          <w:color w:val="auto"/>
          <w:highlight w:val="none"/>
        </w:rPr>
        <w:t>项目名称：</w:t>
      </w:r>
    </w:p>
    <w:p>
      <w:pPr>
        <w:pStyle w:val="22"/>
        <w:shd w:val="clear" w:color="auto" w:fill="auto"/>
        <w:snapToGrid w:val="0"/>
        <w:spacing w:line="360" w:lineRule="auto"/>
        <w:rPr>
          <w:rFonts w:hAnsi="宋体"/>
          <w:color w:val="auto"/>
          <w:highlight w:val="none"/>
        </w:rPr>
      </w:pPr>
      <w:r>
        <w:rPr>
          <w:rFonts w:hint="eastAsia" w:hAnsi="宋体"/>
          <w:color w:val="auto"/>
          <w:highlight w:val="none"/>
        </w:rPr>
        <w:t>标项：</w:t>
      </w:r>
    </w:p>
    <w:tbl>
      <w:tblPr>
        <w:tblStyle w:val="40"/>
        <w:tblW w:w="9997"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377"/>
        <w:gridCol w:w="1366"/>
        <w:gridCol w:w="1086"/>
        <w:gridCol w:w="1288"/>
        <w:gridCol w:w="1043"/>
        <w:gridCol w:w="900"/>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序号</w:t>
            </w:r>
          </w:p>
        </w:tc>
        <w:tc>
          <w:tcPr>
            <w:tcW w:w="2377"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报价表内容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2377"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标项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标项名称</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鄞州北区常规交通设施年度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3</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项目预算</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270万元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4</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rPr>
            </w:pPr>
            <w:r>
              <w:rPr>
                <w:rFonts w:hint="eastAsia" w:ascii="宋体" w:hAnsi="宋体" w:eastAsia="宋体" w:cs="宋体"/>
                <w:i w:val="0"/>
                <w:iCs w:val="0"/>
                <w:color w:val="auto"/>
                <w:kern w:val="0"/>
                <w:sz w:val="18"/>
                <w:szCs w:val="18"/>
                <w:highlight w:val="none"/>
                <w:u w:val="none"/>
                <w:lang w:val="en-US" w:eastAsia="zh-CN" w:bidi="ar"/>
              </w:rPr>
              <w:t>招标单价合计（公众责任险）</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978190.71元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可下浮单价合计</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893190.71元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分类预算金额（万元）</w:t>
            </w:r>
          </w:p>
        </w:tc>
        <w:tc>
          <w:tcPr>
            <w:tcW w:w="136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维护项目</w:t>
            </w:r>
          </w:p>
        </w:tc>
        <w:tc>
          <w:tcPr>
            <w:tcW w:w="108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183.5</w:t>
            </w:r>
          </w:p>
        </w:tc>
        <w:tc>
          <w:tcPr>
            <w:tcW w:w="1288"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年度维护费</w:t>
            </w:r>
          </w:p>
        </w:tc>
        <w:tc>
          <w:tcPr>
            <w:tcW w:w="104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78</w:t>
            </w:r>
          </w:p>
        </w:tc>
        <w:tc>
          <w:tcPr>
            <w:tcW w:w="900"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保险</w:t>
            </w:r>
          </w:p>
        </w:tc>
        <w:tc>
          <w:tcPr>
            <w:tcW w:w="1044"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7</w:t>
            </w:r>
          </w:p>
        </w:tc>
        <w:tc>
          <w:tcPr>
            <w:tcW w:w="2377"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rPr>
              <w:t>投标</w:t>
            </w:r>
            <w:r>
              <w:rPr>
                <w:rFonts w:hint="eastAsia" w:ascii="宋体" w:hAnsi="宋体" w:cs="宋体"/>
                <w:b w:val="0"/>
                <w:bCs/>
                <w:color w:val="auto"/>
                <w:sz w:val="21"/>
                <w:szCs w:val="21"/>
                <w:highlight w:val="none"/>
                <w:lang w:val="en-US" w:eastAsia="zh-CN"/>
              </w:rPr>
              <w:t>单价合计</w:t>
            </w:r>
            <w:r>
              <w:rPr>
                <w:rFonts w:hint="eastAsia" w:ascii="宋体" w:hAnsi="宋体" w:cs="宋体"/>
                <w:b w:val="0"/>
                <w:bCs/>
                <w:color w:val="auto"/>
                <w:sz w:val="21"/>
                <w:szCs w:val="21"/>
                <w:highlight w:val="none"/>
              </w:rPr>
              <w:t>（元）</w:t>
            </w:r>
          </w:p>
        </w:tc>
        <w:tc>
          <w:tcPr>
            <w:tcW w:w="6727" w:type="dxa"/>
            <w:gridSpan w:val="6"/>
            <w:noWrap w:val="0"/>
            <w:vAlign w:val="center"/>
          </w:tcPr>
          <w:p>
            <w:pPr>
              <w:widowControl/>
              <w:shd w:val="clear" w:color="auto" w:fill="auto"/>
              <w:jc w:val="both"/>
              <w:rPr>
                <w:rFonts w:hint="eastAsia" w:ascii="Times New Roman" w:hAnsi="宋体" w:eastAsia="宋体" w:cs="宋体"/>
                <w:color w:val="auto"/>
                <w:sz w:val="21"/>
                <w:szCs w:val="21"/>
                <w:highlight w:val="none"/>
                <w:lang w:val="en-US" w:eastAsia="zh-CN"/>
              </w:rPr>
            </w:pPr>
            <w:r>
              <w:rPr>
                <w:rFonts w:hint="eastAsia" w:ascii="Times New Roman" w:hAnsi="宋体" w:eastAsia="宋体" w:cs="宋体"/>
                <w:color w:val="auto"/>
                <w:sz w:val="21"/>
                <w:szCs w:val="21"/>
                <w:highlight w:val="none"/>
                <w:lang w:val="en-US" w:eastAsia="zh-CN"/>
              </w:rPr>
              <w:t>小写：</w:t>
            </w:r>
          </w:p>
          <w:p>
            <w:pPr>
              <w:widowControl/>
              <w:shd w:val="clear" w:color="auto" w:fill="auto"/>
              <w:jc w:val="both"/>
              <w:rPr>
                <w:rFonts w:hint="eastAsia" w:ascii="宋体" w:hAnsi="宋体" w:eastAsia="宋体" w:cs="宋体"/>
                <w:b/>
                <w:color w:val="auto"/>
                <w:sz w:val="21"/>
                <w:szCs w:val="21"/>
                <w:highlight w:val="none"/>
              </w:rPr>
            </w:pPr>
            <w:r>
              <w:rPr>
                <w:rFonts w:hint="eastAsia" w:hAnsi="宋体" w:cs="宋体"/>
                <w:color w:val="auto"/>
                <w:sz w:val="21"/>
                <w:szCs w:val="21"/>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8</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统一下浮率及下浮后价格</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u w:val="none"/>
                <w:lang w:val="en-US"/>
              </w:rPr>
            </w:pP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%，即</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9</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rPr>
            </w:pPr>
            <w:r>
              <w:rPr>
                <w:rFonts w:hint="eastAsia"/>
                <w:b w:val="0"/>
                <w:bCs/>
                <w:color w:val="auto"/>
                <w:sz w:val="21"/>
                <w:szCs w:val="21"/>
                <w:highlight w:val="none"/>
                <w:lang w:val="en-US" w:eastAsia="zh-CN"/>
              </w:rPr>
              <w:t>投标声明</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p>
        </w:tc>
      </w:tr>
    </w:tbl>
    <w:p>
      <w:pPr>
        <w:pStyle w:val="22"/>
        <w:shd w:val="clear" w:color="auto" w:fill="auto"/>
        <w:snapToGrid w:val="0"/>
        <w:spacing w:line="360" w:lineRule="auto"/>
        <w:rPr>
          <w:rFonts w:hint="eastAsia" w:hAnsi="宋体"/>
          <w:color w:val="auto"/>
          <w:highlight w:val="none"/>
        </w:rPr>
      </w:pPr>
      <w:r>
        <w:rPr>
          <w:rFonts w:hint="eastAsia" w:hAnsi="宋体"/>
          <w:color w:val="auto"/>
          <w:highlight w:val="none"/>
        </w:rPr>
        <w:t>注：</w:t>
      </w:r>
      <w:r>
        <w:rPr>
          <w:rFonts w:hint="eastAsia" w:hAnsi="宋体"/>
          <w:color w:val="auto"/>
          <w:highlight w:val="none"/>
          <w:lang w:val="en-US" w:eastAsia="zh-CN"/>
        </w:rPr>
        <w:t>1、下浮率填写“+”值，如下浮5%，则填写“5%”</w:t>
      </w:r>
      <w:r>
        <w:rPr>
          <w:rFonts w:hint="eastAsia" w:hAnsi="宋体"/>
          <w:color w:val="auto"/>
          <w:highlight w:val="none"/>
        </w:rPr>
        <w:t xml:space="preserve"> </w:t>
      </w:r>
    </w:p>
    <w:p>
      <w:pPr>
        <w:pStyle w:val="22"/>
        <w:shd w:val="clear" w:color="auto" w:fill="auto"/>
        <w:snapToGrid w:val="0"/>
        <w:spacing w:line="360" w:lineRule="auto"/>
        <w:rPr>
          <w:rFonts w:hint="default" w:hAnsi="宋体" w:eastAsia="宋体"/>
          <w:color w:val="auto"/>
          <w:highlight w:val="none"/>
          <w:lang w:val="en-US" w:eastAsia="zh-CN"/>
        </w:rPr>
      </w:pPr>
      <w:r>
        <w:rPr>
          <w:rFonts w:hint="eastAsia" w:hAnsi="宋体"/>
          <w:color w:val="auto"/>
          <w:highlight w:val="none"/>
          <w:lang w:val="en-US" w:eastAsia="zh-CN"/>
        </w:rPr>
        <w:t>2、</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“绿化及路面恢复赔偿”该项不下浮，其余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p>
    <w:p>
      <w:pPr>
        <w:pStyle w:val="18"/>
        <w:spacing w:line="360" w:lineRule="auto"/>
        <w:ind w:left="0" w:leftChars="0" w:firstLine="0" w:firstLineChars="0"/>
        <w:rPr>
          <w:rFonts w:hint="eastAsia" w:hAnsi="宋体"/>
          <w:color w:val="auto"/>
          <w:sz w:val="21"/>
          <w:highlight w:val="none"/>
          <w:lang w:val="en-US" w:eastAsia="zh-CN"/>
        </w:rPr>
      </w:pPr>
      <w:r>
        <w:rPr>
          <w:rFonts w:hint="eastAsia" w:hAnsi="宋体"/>
          <w:color w:val="auto"/>
          <w:sz w:val="21"/>
          <w:highlight w:val="none"/>
          <w:lang w:val="en-US" w:eastAsia="zh-CN"/>
        </w:rPr>
        <w:t>3、“统一下浮率”项仅对“可下浮单价合计列”进行统一下浮。</w:t>
      </w:r>
    </w:p>
    <w:p>
      <w:pPr>
        <w:pStyle w:val="18"/>
        <w:spacing w:line="360" w:lineRule="auto"/>
        <w:ind w:left="0" w:leftChars="0" w:firstLine="0" w:firstLineChars="0"/>
        <w:rPr>
          <w:rFonts w:hAnsi="宋体"/>
          <w:color w:val="auto"/>
          <w:sz w:val="21"/>
          <w:highlight w:val="none"/>
        </w:rPr>
      </w:pPr>
      <w:r>
        <w:rPr>
          <w:rFonts w:hint="eastAsia" w:hAnsi="宋体"/>
          <w:color w:val="auto"/>
          <w:sz w:val="21"/>
          <w:highlight w:val="none"/>
          <w:lang w:val="en-US" w:eastAsia="zh-CN"/>
        </w:rPr>
        <w:t>4、</w:t>
      </w:r>
      <w:r>
        <w:rPr>
          <w:rFonts w:hint="eastAsia" w:hAnsi="宋体"/>
          <w:color w:val="auto"/>
          <w:sz w:val="21"/>
          <w:highlight w:val="none"/>
        </w:rPr>
        <w:t>投标</w:t>
      </w:r>
      <w:r>
        <w:rPr>
          <w:rFonts w:hint="eastAsia" w:hAnsi="宋体"/>
          <w:color w:val="auto"/>
          <w:sz w:val="21"/>
          <w:highlight w:val="none"/>
          <w:lang w:val="en-US" w:eastAsia="zh-CN"/>
        </w:rPr>
        <w:t>单价合计=下浮后价格+公众责任险（85000元），投标单价合计</w:t>
      </w:r>
      <w:r>
        <w:rPr>
          <w:rFonts w:hint="eastAsia" w:hAnsi="宋体"/>
          <w:color w:val="auto"/>
          <w:sz w:val="21"/>
          <w:highlight w:val="none"/>
        </w:rPr>
        <w:t>应与附件三“投标分项报价表”合计一致。</w:t>
      </w:r>
    </w:p>
    <w:p>
      <w:pPr>
        <w:pStyle w:val="18"/>
        <w:spacing w:line="360" w:lineRule="auto"/>
        <w:ind w:left="0" w:leftChars="0" w:firstLine="0" w:firstLineChars="0"/>
        <w:rPr>
          <w:rFonts w:hint="eastAsia" w:hAnsi="宋体" w:eastAsia="宋体"/>
          <w:color w:val="auto"/>
          <w:sz w:val="21"/>
          <w:highlight w:val="none"/>
          <w:lang w:eastAsia="zh-CN"/>
        </w:rPr>
      </w:pPr>
      <w:r>
        <w:rPr>
          <w:rFonts w:hint="eastAsia" w:hAnsi="宋体"/>
          <w:color w:val="auto"/>
          <w:sz w:val="21"/>
          <w:highlight w:val="none"/>
          <w:lang w:val="en-US" w:eastAsia="zh-CN"/>
        </w:rPr>
        <w:t>5、</w:t>
      </w:r>
      <w:r>
        <w:rPr>
          <w:rFonts w:hint="eastAsia" w:hAnsi="宋体"/>
          <w:color w:val="auto"/>
          <w:sz w:val="21"/>
          <w:highlight w:val="none"/>
        </w:rPr>
        <w:t>投标文件中开标一览表内容与政采云系统“开标一览表”中录入的报价内容不一致的，以投标文件中开标一览表为准</w:t>
      </w:r>
      <w:r>
        <w:rPr>
          <w:rFonts w:hint="eastAsia" w:hAnsi="宋体"/>
          <w:color w:val="auto"/>
          <w:sz w:val="21"/>
          <w:highlight w:val="none"/>
          <w:lang w:eastAsia="zh-CN"/>
        </w:rPr>
        <w:t>。</w:t>
      </w:r>
    </w:p>
    <w:p>
      <w:pPr>
        <w:pStyle w:val="18"/>
        <w:spacing w:line="360" w:lineRule="auto"/>
        <w:ind w:left="1104"/>
        <w:rPr>
          <w:rFonts w:hAnsi="宋体"/>
          <w:color w:val="auto"/>
          <w:sz w:val="21"/>
          <w:highlight w:val="none"/>
        </w:rPr>
      </w:pPr>
    </w:p>
    <w:p>
      <w:pPr>
        <w:pStyle w:val="18"/>
        <w:spacing w:line="360" w:lineRule="auto"/>
        <w:ind w:left="1104"/>
        <w:rPr>
          <w:rFonts w:hAnsi="宋体"/>
          <w:color w:val="auto"/>
          <w:sz w:val="21"/>
          <w:highlight w:val="none"/>
        </w:rPr>
      </w:pPr>
      <w:r>
        <w:rPr>
          <w:rFonts w:hint="eastAsia" w:hAnsi="宋体"/>
          <w:color w:val="auto"/>
          <w:sz w:val="21"/>
          <w:highlight w:val="none"/>
        </w:rPr>
        <w:t>投 标 人  （盖章）：</w:t>
      </w:r>
    </w:p>
    <w:p>
      <w:pPr>
        <w:pStyle w:val="18"/>
        <w:spacing w:line="360" w:lineRule="auto"/>
        <w:ind w:left="1104"/>
        <w:rPr>
          <w:rFonts w:hAnsi="宋体"/>
          <w:color w:val="auto"/>
          <w:sz w:val="21"/>
          <w:highlight w:val="none"/>
        </w:rPr>
      </w:pPr>
      <w:r>
        <w:rPr>
          <w:rFonts w:hint="eastAsia" w:hAnsi="宋体"/>
          <w:color w:val="auto"/>
          <w:sz w:val="21"/>
          <w:highlight w:val="none"/>
        </w:rPr>
        <w:t>投标人代表（签字）：</w:t>
      </w:r>
    </w:p>
    <w:p>
      <w:pPr>
        <w:spacing w:line="276" w:lineRule="auto"/>
        <w:ind w:firstLine="1050" w:firstLineChars="500"/>
        <w:jc w:val="both"/>
        <w:outlineLvl w:val="1"/>
        <w:rPr>
          <w:rFonts w:hint="eastAsia" w:hAnsi="宋体"/>
          <w:color w:val="auto"/>
          <w:sz w:val="21"/>
          <w:highlight w:val="none"/>
        </w:rPr>
      </w:pPr>
      <w:bookmarkStart w:id="272" w:name="_Toc269"/>
      <w:r>
        <w:rPr>
          <w:rFonts w:hint="eastAsia" w:hAnsi="宋体"/>
          <w:color w:val="auto"/>
          <w:sz w:val="21"/>
          <w:highlight w:val="none"/>
        </w:rPr>
        <w:t>日             期：</w:t>
      </w:r>
      <w:bookmarkEnd w:id="272"/>
    </w:p>
    <w:p>
      <w:pPr>
        <w:rPr>
          <w:rFonts w:hint="eastAsia" w:hAnsi="宋体"/>
          <w:color w:val="auto"/>
          <w:sz w:val="21"/>
          <w:highlight w:val="none"/>
        </w:rPr>
      </w:pPr>
      <w:r>
        <w:rPr>
          <w:rFonts w:hint="eastAsia" w:hAnsi="宋体"/>
          <w:color w:val="auto"/>
          <w:sz w:val="21"/>
          <w:highlight w:val="none"/>
        </w:rPr>
        <w:br w:type="page"/>
      </w:r>
    </w:p>
    <w:p>
      <w:pPr>
        <w:spacing w:line="276" w:lineRule="auto"/>
        <w:jc w:val="center"/>
        <w:outlineLvl w:val="1"/>
        <w:rPr>
          <w:b/>
          <w:color w:val="auto"/>
          <w:highlight w:val="none"/>
        </w:rPr>
      </w:pPr>
      <w:bookmarkStart w:id="273" w:name="_Toc9745"/>
      <w:r>
        <w:rPr>
          <w:rFonts w:hint="eastAsia"/>
          <w:b/>
          <w:color w:val="auto"/>
          <w:highlight w:val="none"/>
        </w:rPr>
        <w:t>开标一览表</w:t>
      </w:r>
      <w:bookmarkEnd w:id="273"/>
    </w:p>
    <w:p>
      <w:pPr>
        <w:pStyle w:val="22"/>
        <w:adjustRightInd w:val="0"/>
        <w:snapToGrid w:val="0"/>
        <w:spacing w:line="360" w:lineRule="auto"/>
        <w:rPr>
          <w:color w:val="auto"/>
          <w:highlight w:val="none"/>
          <w:u w:val="single"/>
        </w:rPr>
      </w:pPr>
      <w:r>
        <w:rPr>
          <w:rFonts w:hint="eastAsia"/>
          <w:color w:val="auto"/>
          <w:highlight w:val="none"/>
        </w:rPr>
        <w:t>招标编号：</w:t>
      </w:r>
    </w:p>
    <w:p>
      <w:pPr>
        <w:pStyle w:val="22"/>
        <w:snapToGrid w:val="0"/>
        <w:spacing w:line="360" w:lineRule="auto"/>
        <w:rPr>
          <w:rFonts w:hAnsi="宋体"/>
          <w:color w:val="auto"/>
          <w:highlight w:val="none"/>
        </w:rPr>
      </w:pPr>
      <w:r>
        <w:rPr>
          <w:rFonts w:hint="eastAsia"/>
          <w:color w:val="auto"/>
          <w:highlight w:val="none"/>
        </w:rPr>
        <w:t>项目名称：</w:t>
      </w:r>
    </w:p>
    <w:p>
      <w:pPr>
        <w:pStyle w:val="22"/>
        <w:shd w:val="clear" w:color="auto" w:fill="auto"/>
        <w:snapToGrid w:val="0"/>
        <w:spacing w:line="360" w:lineRule="auto"/>
        <w:rPr>
          <w:rFonts w:hAnsi="宋体"/>
          <w:color w:val="auto"/>
          <w:highlight w:val="none"/>
        </w:rPr>
      </w:pPr>
      <w:r>
        <w:rPr>
          <w:rFonts w:hint="eastAsia" w:hAnsi="宋体"/>
          <w:color w:val="auto"/>
          <w:highlight w:val="none"/>
        </w:rPr>
        <w:t>标项：</w:t>
      </w:r>
    </w:p>
    <w:tbl>
      <w:tblPr>
        <w:tblStyle w:val="40"/>
        <w:tblW w:w="9997"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377"/>
        <w:gridCol w:w="1366"/>
        <w:gridCol w:w="1086"/>
        <w:gridCol w:w="1288"/>
        <w:gridCol w:w="1043"/>
        <w:gridCol w:w="900"/>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序号</w:t>
            </w:r>
          </w:p>
        </w:tc>
        <w:tc>
          <w:tcPr>
            <w:tcW w:w="2377"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报价表内容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1</w:t>
            </w:r>
          </w:p>
        </w:tc>
        <w:tc>
          <w:tcPr>
            <w:tcW w:w="2377"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标项</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标项名称</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海曙东区常规交通设施年度维护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3</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项目预算</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260万元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4</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rPr>
            </w:pPr>
            <w:r>
              <w:rPr>
                <w:rFonts w:hint="eastAsia" w:ascii="宋体" w:hAnsi="宋体" w:eastAsia="宋体" w:cs="宋体"/>
                <w:i w:val="0"/>
                <w:iCs w:val="0"/>
                <w:color w:val="auto"/>
                <w:kern w:val="0"/>
                <w:sz w:val="18"/>
                <w:szCs w:val="18"/>
                <w:highlight w:val="none"/>
                <w:u w:val="none"/>
                <w:lang w:val="en-US" w:eastAsia="zh-CN" w:bidi="ar"/>
              </w:rPr>
              <w:t>招标单价合计（公众责任险）</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978190.71元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377" w:type="dxa"/>
            <w:noWrap w:val="0"/>
            <w:vAlign w:val="center"/>
          </w:tcPr>
          <w:p>
            <w:pPr>
              <w:keepNext w:val="0"/>
              <w:keepLines w:val="0"/>
              <w:pageBreakBefore w:val="0"/>
              <w:widowControl/>
              <w:suppressLineNumbers w:val="0"/>
              <w:shd w:val="clear" w:color="auto" w:fill="auto"/>
              <w:kinsoku/>
              <w:wordWrap/>
              <w:overflowPunct/>
              <w:topLinePunct w:val="0"/>
              <w:autoSpaceDE/>
              <w:autoSpaceDN/>
              <w:bidi w:val="0"/>
              <w:snapToGrid/>
              <w:spacing w:line="300" w:lineRule="exact"/>
              <w:jc w:val="center"/>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可下浮单价合计</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893190.71元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6</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分类预算金额（万元）</w:t>
            </w:r>
          </w:p>
        </w:tc>
        <w:tc>
          <w:tcPr>
            <w:tcW w:w="136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维护项目</w:t>
            </w:r>
          </w:p>
        </w:tc>
        <w:tc>
          <w:tcPr>
            <w:tcW w:w="1086"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173.5</w:t>
            </w:r>
          </w:p>
        </w:tc>
        <w:tc>
          <w:tcPr>
            <w:tcW w:w="1288"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年度维护费</w:t>
            </w:r>
          </w:p>
        </w:tc>
        <w:tc>
          <w:tcPr>
            <w:tcW w:w="1043"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78</w:t>
            </w:r>
          </w:p>
        </w:tc>
        <w:tc>
          <w:tcPr>
            <w:tcW w:w="900"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保险</w:t>
            </w:r>
          </w:p>
        </w:tc>
        <w:tc>
          <w:tcPr>
            <w:tcW w:w="1044" w:type="dxa"/>
            <w:noWrap w:val="0"/>
            <w:vAlign w:val="center"/>
          </w:tcPr>
          <w:p>
            <w:pPr>
              <w:widowControl/>
              <w:shd w:val="clear" w:color="auto" w:fill="auto"/>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7</w:t>
            </w:r>
          </w:p>
        </w:tc>
        <w:tc>
          <w:tcPr>
            <w:tcW w:w="2377"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rPr>
              <w:t>投标</w:t>
            </w:r>
            <w:r>
              <w:rPr>
                <w:rFonts w:hint="eastAsia" w:ascii="宋体" w:hAnsi="宋体" w:cs="宋体"/>
                <w:b w:val="0"/>
                <w:bCs/>
                <w:color w:val="auto"/>
                <w:sz w:val="21"/>
                <w:szCs w:val="21"/>
                <w:highlight w:val="none"/>
                <w:lang w:val="en-US" w:eastAsia="zh-CN"/>
              </w:rPr>
              <w:t>单价合计</w:t>
            </w:r>
            <w:r>
              <w:rPr>
                <w:rFonts w:hint="eastAsia" w:ascii="宋体" w:hAnsi="宋体" w:cs="宋体"/>
                <w:b w:val="0"/>
                <w:bCs/>
                <w:color w:val="auto"/>
                <w:sz w:val="21"/>
                <w:szCs w:val="21"/>
                <w:highlight w:val="none"/>
              </w:rPr>
              <w:t>（元）</w:t>
            </w:r>
          </w:p>
        </w:tc>
        <w:tc>
          <w:tcPr>
            <w:tcW w:w="6727" w:type="dxa"/>
            <w:gridSpan w:val="6"/>
            <w:noWrap w:val="0"/>
            <w:vAlign w:val="center"/>
          </w:tcPr>
          <w:p>
            <w:pPr>
              <w:widowControl/>
              <w:shd w:val="clear" w:color="auto" w:fill="auto"/>
              <w:jc w:val="both"/>
              <w:rPr>
                <w:rFonts w:hint="eastAsia" w:ascii="Times New Roman" w:hAnsi="宋体" w:eastAsia="宋体" w:cs="宋体"/>
                <w:color w:val="auto"/>
                <w:sz w:val="21"/>
                <w:szCs w:val="21"/>
                <w:highlight w:val="none"/>
                <w:lang w:val="en-US" w:eastAsia="zh-CN"/>
              </w:rPr>
            </w:pPr>
            <w:r>
              <w:rPr>
                <w:rFonts w:hint="eastAsia" w:ascii="Times New Roman" w:hAnsi="宋体" w:eastAsia="宋体" w:cs="宋体"/>
                <w:color w:val="auto"/>
                <w:sz w:val="21"/>
                <w:szCs w:val="21"/>
                <w:highlight w:val="none"/>
                <w:lang w:val="en-US" w:eastAsia="zh-CN"/>
              </w:rPr>
              <w:t>小写：</w:t>
            </w:r>
          </w:p>
          <w:p>
            <w:pPr>
              <w:widowControl/>
              <w:shd w:val="clear" w:color="auto" w:fill="auto"/>
              <w:jc w:val="both"/>
              <w:rPr>
                <w:rFonts w:hint="eastAsia" w:ascii="宋体" w:hAnsi="宋体" w:eastAsia="宋体" w:cs="宋体"/>
                <w:b/>
                <w:color w:val="auto"/>
                <w:sz w:val="21"/>
                <w:szCs w:val="21"/>
                <w:highlight w:val="none"/>
              </w:rPr>
            </w:pPr>
            <w:r>
              <w:rPr>
                <w:rFonts w:hint="eastAsia" w:hAnsi="宋体" w:cs="宋体"/>
                <w:color w:val="auto"/>
                <w:sz w:val="21"/>
                <w:szCs w:val="21"/>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default" w:ascii="宋体" w:hAnsi="宋体" w:eastAsia="宋体" w:cs="宋体"/>
                <w:b w:val="0"/>
                <w:bCs/>
                <w:color w:val="auto"/>
                <w:sz w:val="21"/>
                <w:szCs w:val="21"/>
                <w:highlight w:val="none"/>
                <w:lang w:val="en-US" w:eastAsia="zh-CN" w:bidi="ar-SA"/>
              </w:rPr>
            </w:pPr>
            <w:r>
              <w:rPr>
                <w:rFonts w:hint="eastAsia" w:ascii="宋体" w:hAnsi="宋体" w:cs="宋体"/>
                <w:b w:val="0"/>
                <w:bCs/>
                <w:color w:val="auto"/>
                <w:sz w:val="21"/>
                <w:szCs w:val="21"/>
                <w:highlight w:val="none"/>
                <w:lang w:val="en-US" w:eastAsia="zh-CN"/>
              </w:rPr>
              <w:t>8</w:t>
            </w:r>
          </w:p>
        </w:tc>
        <w:tc>
          <w:tcPr>
            <w:tcW w:w="2377" w:type="dxa"/>
            <w:noWrap w:val="0"/>
            <w:vAlign w:val="center"/>
          </w:tcPr>
          <w:p>
            <w:pPr>
              <w:widowControl/>
              <w:shd w:val="clear" w:color="auto" w:fill="auto"/>
              <w:jc w:val="center"/>
              <w:rPr>
                <w:rFonts w:hint="default" w:ascii="宋体" w:hAnsi="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统一下浮率及下浮后价格</w:t>
            </w:r>
          </w:p>
        </w:tc>
        <w:tc>
          <w:tcPr>
            <w:tcW w:w="6727" w:type="dxa"/>
            <w:gridSpan w:val="6"/>
            <w:noWrap w:val="0"/>
            <w:vAlign w:val="center"/>
          </w:tcPr>
          <w:p>
            <w:pPr>
              <w:widowControl/>
              <w:shd w:val="clear" w:color="auto" w:fill="auto"/>
              <w:jc w:val="center"/>
              <w:rPr>
                <w:rFonts w:hint="default" w:ascii="宋体" w:hAnsi="宋体" w:eastAsia="宋体" w:cs="宋体"/>
                <w:b/>
                <w:color w:val="auto"/>
                <w:sz w:val="21"/>
                <w:szCs w:val="21"/>
                <w:highlight w:val="none"/>
                <w:u w:val="none"/>
                <w:lang w:val="en-US"/>
              </w:rPr>
            </w:pP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%，即</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3" w:type="dxa"/>
            <w:noWrap w:val="0"/>
            <w:vAlign w:val="center"/>
          </w:tcPr>
          <w:p>
            <w:pPr>
              <w:widowControl/>
              <w:shd w:val="clear" w:color="auto" w:fill="auto"/>
              <w:jc w:val="center"/>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9</w:t>
            </w:r>
          </w:p>
        </w:tc>
        <w:tc>
          <w:tcPr>
            <w:tcW w:w="2377" w:type="dxa"/>
            <w:noWrap w:val="0"/>
            <w:vAlign w:val="center"/>
          </w:tcPr>
          <w:p>
            <w:pPr>
              <w:widowControl/>
              <w:shd w:val="clear" w:color="auto" w:fill="auto"/>
              <w:jc w:val="center"/>
              <w:rPr>
                <w:rFonts w:hint="eastAsia" w:ascii="宋体" w:hAnsi="宋体" w:cs="宋体"/>
                <w:b w:val="0"/>
                <w:bCs/>
                <w:color w:val="auto"/>
                <w:sz w:val="21"/>
                <w:szCs w:val="21"/>
                <w:highlight w:val="none"/>
              </w:rPr>
            </w:pPr>
            <w:r>
              <w:rPr>
                <w:rFonts w:hint="eastAsia"/>
                <w:b w:val="0"/>
                <w:bCs/>
                <w:color w:val="auto"/>
                <w:sz w:val="21"/>
                <w:szCs w:val="21"/>
                <w:highlight w:val="none"/>
                <w:lang w:val="en-US" w:eastAsia="zh-CN"/>
              </w:rPr>
              <w:t>投标声明</w:t>
            </w:r>
          </w:p>
        </w:tc>
        <w:tc>
          <w:tcPr>
            <w:tcW w:w="6727" w:type="dxa"/>
            <w:gridSpan w:val="6"/>
            <w:noWrap w:val="0"/>
            <w:vAlign w:val="center"/>
          </w:tcPr>
          <w:p>
            <w:pPr>
              <w:widowControl/>
              <w:shd w:val="clear" w:color="auto" w:fill="auto"/>
              <w:jc w:val="center"/>
              <w:rPr>
                <w:rFonts w:hint="eastAsia" w:ascii="宋体" w:hAnsi="宋体" w:eastAsia="宋体" w:cs="宋体"/>
                <w:b/>
                <w:color w:val="auto"/>
                <w:sz w:val="21"/>
                <w:szCs w:val="21"/>
                <w:highlight w:val="none"/>
                <w:lang w:val="en-US" w:eastAsia="zh-CN"/>
              </w:rPr>
            </w:pPr>
          </w:p>
        </w:tc>
      </w:tr>
    </w:tbl>
    <w:p>
      <w:pPr>
        <w:pStyle w:val="22"/>
        <w:shd w:val="clear" w:color="auto" w:fill="auto"/>
        <w:snapToGrid w:val="0"/>
        <w:spacing w:line="360" w:lineRule="auto"/>
        <w:rPr>
          <w:rFonts w:hint="eastAsia" w:hAnsi="宋体"/>
          <w:color w:val="auto"/>
          <w:highlight w:val="none"/>
        </w:rPr>
      </w:pPr>
      <w:r>
        <w:rPr>
          <w:rFonts w:hint="eastAsia" w:hAnsi="宋体"/>
          <w:color w:val="auto"/>
          <w:highlight w:val="none"/>
        </w:rPr>
        <w:t>注：</w:t>
      </w:r>
      <w:r>
        <w:rPr>
          <w:rFonts w:hint="eastAsia" w:hAnsi="宋体"/>
          <w:color w:val="auto"/>
          <w:highlight w:val="none"/>
          <w:lang w:val="en-US" w:eastAsia="zh-CN"/>
        </w:rPr>
        <w:t>1、下浮率填写“+”值，如下浮5%，则填写“5%”</w:t>
      </w:r>
      <w:r>
        <w:rPr>
          <w:rFonts w:hint="eastAsia" w:hAnsi="宋体"/>
          <w:color w:val="auto"/>
          <w:highlight w:val="none"/>
        </w:rPr>
        <w:t xml:space="preserve"> </w:t>
      </w:r>
    </w:p>
    <w:p>
      <w:pPr>
        <w:pStyle w:val="22"/>
        <w:shd w:val="clear" w:color="auto" w:fill="auto"/>
        <w:snapToGrid w:val="0"/>
        <w:spacing w:line="360" w:lineRule="auto"/>
        <w:rPr>
          <w:rFonts w:hint="default" w:hAnsi="宋体" w:eastAsia="宋体"/>
          <w:color w:val="auto"/>
          <w:highlight w:val="none"/>
          <w:lang w:val="en-US" w:eastAsia="zh-CN"/>
        </w:rPr>
      </w:pPr>
      <w:r>
        <w:rPr>
          <w:rFonts w:hint="eastAsia" w:hAnsi="宋体"/>
          <w:color w:val="auto"/>
          <w:highlight w:val="none"/>
          <w:lang w:val="en-US" w:eastAsia="zh-CN"/>
        </w:rPr>
        <w:t>2、</w:t>
      </w:r>
      <w:r>
        <w:rPr>
          <w:rFonts w:hint="eastAsia" w:ascii="宋体" w:hAnsi="宋体" w:eastAsia="宋体" w:cs="宋体"/>
          <w:b/>
          <w:bCs/>
          <w:color w:val="auto"/>
          <w:sz w:val="21"/>
          <w:szCs w:val="21"/>
          <w:highlight w:val="none"/>
          <w:lang w:val="en-US" w:eastAsia="zh-CN"/>
        </w:rPr>
        <w:t>本项目除</w:t>
      </w:r>
      <w:r>
        <w:rPr>
          <w:rFonts w:hint="eastAsia" w:ascii="宋体" w:hAnsi="宋体" w:eastAsia="宋体" w:cs="宋体"/>
          <w:b w:val="0"/>
          <w:bCs w:val="0"/>
          <w:color w:val="auto"/>
          <w:sz w:val="21"/>
          <w:szCs w:val="21"/>
          <w:highlight w:val="none"/>
          <w:lang w:val="en-US" w:eastAsia="zh-CN"/>
        </w:rPr>
        <w:t>“绿化及路面恢复赔偿”该项不下浮，其余</w:t>
      </w:r>
      <w:r>
        <w:rPr>
          <w:rFonts w:hint="eastAsia" w:ascii="宋体" w:hAnsi="宋体" w:eastAsia="宋体" w:cs="宋体"/>
          <w:b/>
          <w:bCs/>
          <w:color w:val="auto"/>
          <w:sz w:val="21"/>
          <w:szCs w:val="21"/>
          <w:highlight w:val="none"/>
          <w:lang w:val="en-US" w:eastAsia="zh-CN"/>
        </w:rPr>
        <w:t>须报统一下浮率，不允许不平衡报价</w:t>
      </w:r>
      <w:r>
        <w:rPr>
          <w:rFonts w:hint="eastAsia" w:ascii="宋体" w:hAnsi="宋体" w:eastAsia="宋体" w:cs="宋体"/>
          <w:b/>
          <w:bCs/>
          <w:color w:val="auto"/>
          <w:sz w:val="21"/>
          <w:szCs w:val="21"/>
          <w:highlight w:val="none"/>
          <w:lang w:val="zh-CN"/>
        </w:rPr>
        <w:t>，否则投标文件无效。</w:t>
      </w:r>
    </w:p>
    <w:p>
      <w:pPr>
        <w:pStyle w:val="18"/>
        <w:spacing w:line="360" w:lineRule="auto"/>
        <w:ind w:left="0" w:leftChars="0" w:firstLine="0" w:firstLineChars="0"/>
        <w:rPr>
          <w:rFonts w:hint="eastAsia" w:hAnsi="宋体"/>
          <w:color w:val="auto"/>
          <w:sz w:val="21"/>
          <w:highlight w:val="none"/>
          <w:lang w:val="en-US" w:eastAsia="zh-CN"/>
        </w:rPr>
      </w:pPr>
      <w:r>
        <w:rPr>
          <w:rFonts w:hint="eastAsia" w:hAnsi="宋体"/>
          <w:color w:val="auto"/>
          <w:sz w:val="21"/>
          <w:highlight w:val="none"/>
          <w:lang w:val="en-US" w:eastAsia="zh-CN"/>
        </w:rPr>
        <w:t>3、“统一下浮率”项仅对“可下浮单价合计列”进行统一下浮。</w:t>
      </w:r>
    </w:p>
    <w:p>
      <w:pPr>
        <w:pStyle w:val="18"/>
        <w:spacing w:line="360" w:lineRule="auto"/>
        <w:ind w:left="0" w:leftChars="0" w:firstLine="0" w:firstLineChars="0"/>
        <w:rPr>
          <w:rFonts w:hAnsi="宋体"/>
          <w:color w:val="auto"/>
          <w:sz w:val="21"/>
          <w:highlight w:val="none"/>
        </w:rPr>
      </w:pPr>
      <w:r>
        <w:rPr>
          <w:rFonts w:hint="eastAsia" w:hAnsi="宋体"/>
          <w:color w:val="auto"/>
          <w:sz w:val="21"/>
          <w:highlight w:val="none"/>
          <w:lang w:val="en-US" w:eastAsia="zh-CN"/>
        </w:rPr>
        <w:t>4、</w:t>
      </w:r>
      <w:r>
        <w:rPr>
          <w:rFonts w:hint="eastAsia" w:hAnsi="宋体"/>
          <w:color w:val="auto"/>
          <w:sz w:val="21"/>
          <w:highlight w:val="none"/>
        </w:rPr>
        <w:t>投标</w:t>
      </w:r>
      <w:r>
        <w:rPr>
          <w:rFonts w:hint="eastAsia" w:hAnsi="宋体"/>
          <w:color w:val="auto"/>
          <w:sz w:val="21"/>
          <w:highlight w:val="none"/>
          <w:lang w:val="en-US" w:eastAsia="zh-CN"/>
        </w:rPr>
        <w:t>单价合计=下浮后价格+公众责任险（85000元），投标单价合计</w:t>
      </w:r>
      <w:r>
        <w:rPr>
          <w:rFonts w:hint="eastAsia" w:hAnsi="宋体"/>
          <w:color w:val="auto"/>
          <w:sz w:val="21"/>
          <w:highlight w:val="none"/>
        </w:rPr>
        <w:t>应与附件三“投标分项报价表”合计一致。</w:t>
      </w:r>
    </w:p>
    <w:p>
      <w:pPr>
        <w:pStyle w:val="18"/>
        <w:spacing w:line="360" w:lineRule="auto"/>
        <w:ind w:left="0" w:leftChars="0" w:firstLine="0" w:firstLineChars="0"/>
        <w:rPr>
          <w:rFonts w:hint="eastAsia" w:hAnsi="宋体" w:eastAsia="宋体"/>
          <w:color w:val="auto"/>
          <w:sz w:val="21"/>
          <w:highlight w:val="none"/>
          <w:lang w:eastAsia="zh-CN"/>
        </w:rPr>
      </w:pPr>
      <w:r>
        <w:rPr>
          <w:rFonts w:hint="eastAsia" w:hAnsi="宋体"/>
          <w:color w:val="auto"/>
          <w:sz w:val="21"/>
          <w:highlight w:val="none"/>
          <w:lang w:val="en-US" w:eastAsia="zh-CN"/>
        </w:rPr>
        <w:t>5、</w:t>
      </w:r>
      <w:r>
        <w:rPr>
          <w:rFonts w:hint="eastAsia" w:hAnsi="宋体"/>
          <w:color w:val="auto"/>
          <w:sz w:val="21"/>
          <w:highlight w:val="none"/>
        </w:rPr>
        <w:t>投标文件中开标一览表内容与政采云系统“开标一览表”中录入的报价内容不一致的，以投标文件中开标一览表为准</w:t>
      </w:r>
      <w:r>
        <w:rPr>
          <w:rFonts w:hint="eastAsia" w:hAnsi="宋体"/>
          <w:color w:val="auto"/>
          <w:sz w:val="21"/>
          <w:highlight w:val="none"/>
          <w:lang w:eastAsia="zh-CN"/>
        </w:rPr>
        <w:t>。</w:t>
      </w:r>
    </w:p>
    <w:p>
      <w:pPr>
        <w:pStyle w:val="18"/>
        <w:spacing w:line="360" w:lineRule="auto"/>
        <w:ind w:left="1104"/>
        <w:rPr>
          <w:rFonts w:hAnsi="宋体"/>
          <w:color w:val="auto"/>
          <w:sz w:val="21"/>
          <w:highlight w:val="none"/>
        </w:rPr>
      </w:pPr>
    </w:p>
    <w:p>
      <w:pPr>
        <w:pStyle w:val="18"/>
        <w:spacing w:line="360" w:lineRule="auto"/>
        <w:ind w:left="1104"/>
        <w:rPr>
          <w:rFonts w:hint="eastAsia" w:ascii="宋体" w:hAnsi="宋体" w:eastAsia="宋体" w:cs="Times New Roman"/>
          <w:color w:val="auto"/>
          <w:sz w:val="21"/>
          <w:highlight w:val="none"/>
        </w:rPr>
      </w:pPr>
      <w:r>
        <w:rPr>
          <w:rFonts w:hint="eastAsia" w:hAnsi="宋体"/>
          <w:color w:val="auto"/>
          <w:sz w:val="21"/>
          <w:highlight w:val="none"/>
        </w:rPr>
        <w:t xml:space="preserve">投 </w:t>
      </w:r>
      <w:r>
        <w:rPr>
          <w:rFonts w:hint="eastAsia" w:ascii="宋体" w:hAnsi="宋体" w:eastAsia="宋体" w:cs="Times New Roman"/>
          <w:color w:val="auto"/>
          <w:sz w:val="21"/>
          <w:highlight w:val="none"/>
        </w:rPr>
        <w:t>标 人  （盖章）：</w:t>
      </w:r>
    </w:p>
    <w:p>
      <w:pPr>
        <w:pStyle w:val="18"/>
        <w:spacing w:line="360" w:lineRule="auto"/>
        <w:ind w:left="1104"/>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投标人代表（签字）：</w:t>
      </w:r>
    </w:p>
    <w:p>
      <w:pPr>
        <w:pStyle w:val="18"/>
        <w:spacing w:line="360" w:lineRule="auto"/>
        <w:ind w:left="1104"/>
        <w:rPr>
          <w:rFonts w:hint="eastAsia" w:ascii="宋体" w:hAnsi="宋体" w:eastAsia="宋体" w:cs="Times New Roman"/>
          <w:color w:val="auto"/>
          <w:sz w:val="21"/>
          <w:highlight w:val="none"/>
        </w:rPr>
      </w:pPr>
      <w:r>
        <w:rPr>
          <w:rFonts w:hint="eastAsia" w:ascii="宋体" w:hAnsi="宋体" w:eastAsia="宋体" w:cs="Times New Roman"/>
          <w:color w:val="auto"/>
          <w:sz w:val="21"/>
          <w:highlight w:val="none"/>
        </w:rPr>
        <w:t>日             期：</w:t>
      </w:r>
    </w:p>
    <w:p>
      <w:pPr>
        <w:rPr>
          <w:rFonts w:hint="eastAsia"/>
          <w:b/>
          <w:color w:val="auto"/>
          <w:highlight w:val="none"/>
        </w:rPr>
      </w:pPr>
      <w:r>
        <w:rPr>
          <w:rFonts w:hint="eastAsia"/>
          <w:b/>
          <w:color w:val="auto"/>
          <w:highlight w:val="none"/>
        </w:rPr>
        <w:br w:type="page"/>
      </w:r>
    </w:p>
    <w:p>
      <w:pPr>
        <w:spacing w:line="276" w:lineRule="auto"/>
        <w:jc w:val="center"/>
        <w:outlineLvl w:val="1"/>
        <w:rPr>
          <w:b/>
          <w:color w:val="auto"/>
          <w:highlight w:val="none"/>
        </w:rPr>
      </w:pPr>
      <w:bookmarkStart w:id="274" w:name="_Toc11646"/>
      <w:r>
        <w:rPr>
          <w:rFonts w:hint="eastAsia"/>
          <w:b/>
          <w:color w:val="auto"/>
          <w:highlight w:val="none"/>
        </w:rPr>
        <w:t>附件三、</w:t>
      </w:r>
      <w:bookmarkEnd w:id="244"/>
      <w:bookmarkEnd w:id="245"/>
      <w:r>
        <w:rPr>
          <w:rFonts w:hint="eastAsia"/>
          <w:b/>
          <w:color w:val="auto"/>
          <w:highlight w:val="none"/>
        </w:rPr>
        <w:t>投标分项报价表</w:t>
      </w:r>
      <w:bookmarkEnd w:id="265"/>
      <w:bookmarkEnd w:id="266"/>
      <w:bookmarkEnd w:id="268"/>
      <w:bookmarkEnd w:id="269"/>
      <w:bookmarkEnd w:id="274"/>
    </w:p>
    <w:p>
      <w:pPr>
        <w:spacing w:line="276" w:lineRule="auto"/>
        <w:jc w:val="both"/>
        <w:rPr>
          <w:rFonts w:ascii="宋体"/>
          <w:b/>
          <w:color w:val="auto"/>
          <w:szCs w:val="24"/>
          <w:highlight w:val="none"/>
        </w:rPr>
      </w:pPr>
    </w:p>
    <w:p>
      <w:pPr>
        <w:pStyle w:val="22"/>
        <w:adjustRightInd w:val="0"/>
        <w:snapToGrid w:val="0"/>
        <w:spacing w:line="360" w:lineRule="auto"/>
        <w:rPr>
          <w:color w:val="auto"/>
          <w:highlight w:val="none"/>
          <w:u w:val="single"/>
        </w:rPr>
      </w:pPr>
      <w:r>
        <w:rPr>
          <w:rFonts w:hint="eastAsia"/>
          <w:color w:val="auto"/>
          <w:highlight w:val="none"/>
        </w:rPr>
        <w:t>招标编号：</w:t>
      </w:r>
    </w:p>
    <w:p>
      <w:pPr>
        <w:pStyle w:val="22"/>
        <w:snapToGrid w:val="0"/>
        <w:spacing w:line="360" w:lineRule="auto"/>
        <w:rPr>
          <w:rFonts w:hAnsi="宋体"/>
          <w:color w:val="auto"/>
          <w:highlight w:val="none"/>
        </w:rPr>
      </w:pPr>
      <w:r>
        <w:rPr>
          <w:rFonts w:hint="eastAsia"/>
          <w:color w:val="auto"/>
          <w:highlight w:val="none"/>
        </w:rPr>
        <w:t>项目名称：</w:t>
      </w:r>
    </w:p>
    <w:p>
      <w:pPr>
        <w:spacing w:line="360" w:lineRule="auto"/>
        <w:rPr>
          <w:rFonts w:hint="eastAsia"/>
          <w:b/>
          <w:bCs/>
          <w:color w:val="auto"/>
          <w:kern w:val="2"/>
          <w:sz w:val="21"/>
          <w:szCs w:val="21"/>
          <w:highlight w:val="none"/>
        </w:rPr>
      </w:pPr>
      <w:r>
        <w:rPr>
          <w:rFonts w:hint="eastAsia"/>
          <w:b/>
          <w:bCs/>
          <w:color w:val="auto"/>
          <w:kern w:val="2"/>
          <w:sz w:val="21"/>
          <w:szCs w:val="21"/>
          <w:highlight w:val="none"/>
        </w:rPr>
        <w:t>标项一</w:t>
      </w:r>
      <w:r>
        <w:rPr>
          <w:rFonts w:hint="eastAsia"/>
          <w:b/>
          <w:bCs/>
          <w:color w:val="auto"/>
          <w:kern w:val="2"/>
          <w:sz w:val="21"/>
          <w:szCs w:val="21"/>
          <w:highlight w:val="none"/>
          <w:lang w:eastAsia="zh-CN"/>
        </w:rPr>
        <w:t>：江北区常规交通设施年度维护</w:t>
      </w:r>
    </w:p>
    <w:tbl>
      <w:tblPr>
        <w:tblStyle w:val="40"/>
        <w:tblW w:w="5376" w:type="pct"/>
        <w:tblInd w:w="-3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1"/>
        <w:gridCol w:w="1840"/>
        <w:gridCol w:w="4301"/>
        <w:gridCol w:w="821"/>
        <w:gridCol w:w="1298"/>
        <w:gridCol w:w="11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366"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10"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服务项目</w:t>
            </w:r>
          </w:p>
        </w:tc>
        <w:tc>
          <w:tcPr>
            <w:tcW w:w="212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技术参数</w:t>
            </w:r>
          </w:p>
        </w:tc>
        <w:tc>
          <w:tcPr>
            <w:tcW w:w="406"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64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综合单价最高限价（元）</w:t>
            </w:r>
          </w:p>
        </w:tc>
        <w:tc>
          <w:tcPr>
            <w:tcW w:w="54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投标综合单价（元）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维护项目</w:t>
            </w:r>
          </w:p>
        </w:tc>
        <w:tc>
          <w:tcPr>
            <w:tcW w:w="372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常温标线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厚度0.4mm以上</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44.06</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Ⅱ级反光热熔标线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普通热熔振荡标线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基线厚度达到1.5mm，突起部分高度达到5mm，均匀撒布反光珠</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91.23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Ⅱ级振荡反光热熔标线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彩色防滑路面标线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使用三层工艺，含地面夯平、清洁路面、涂布彩色底漆、撒砂、收砂、涂布高光面漆。标线厚度2-3mm。陶瓷颗粒直径1-2mm。</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179.85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双组份结构型反光标线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高压水除线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超高压水磨清洗法，清除老标线，无明显痕迹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39.24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绿化带端头刷漆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按照GB5768要求施划立面标记，黄黑漆，零星施工。</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66"/>
                <w:rFonts w:hint="eastAsia" w:ascii="宋体" w:hAnsi="宋体" w:eastAsia="宋体" w:cs="宋体"/>
                <w:color w:val="auto"/>
                <w:sz w:val="21"/>
                <w:szCs w:val="21"/>
                <w:highlight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89.38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705.13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711.34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975.23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981.45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989.24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标志牌贴膜改版</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旧标牌内容变更，贴超强级反光膜</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788.31</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784.39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标志牌更换（面积＞15m2）</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799.95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杆件、警示桩、护栏边柱、岗亭等设施贴超强级反光膜。按实计算</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KT板（广告牌）</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按要求设计版面</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抱箍</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铝滑槽抱箍、镀锌U型管夹抱箍、紧固件抱箍圈。含配套螺栓螺母。</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30.52</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小型活动支架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钢制活动支架，用以直接设置在路上，3m2以下</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403.3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大型活动支架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钢制活动支架，用以直接设置在路上，3m2以上，含3m2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机动车靠右标志（一体化）</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黄黑警示桩上结合标志牌，含安装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695.32</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标志牌清洗</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仅限大于5m²的，小于等于5m²的包含于年度维护费中</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安装于指定位置。详见交警局《宁波市交通标杆及基础、交通护栏大样图 V2.1》 所有大于DN110的杆件终生质保并按照大样图制作铭牌。不含基础。</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10414.75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基础（C25混凝土）</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含基础开挖,混凝土浇灌。详见交警局《宁波市交通标杆及基础、交通护栏大样图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947.77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基础（杆件钢筋）</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详见交警局《宁波市交通标杆及基础、交通护栏大样图 V2.1》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5713.17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大型杆件吊装</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不含基础，含杆件运输和吊装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827.5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348.46</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护栏反光片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安装在护栏边柱，反光诱导作用，两片一组，一片的价格为一组的一半</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城市护栏轮廓标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1.由弹性TPU材料制成，耐刮擦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2.反光膜区域内凹2mm，减少刮擦磨损；含3M反光膜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3.规格:12.4*5.4*3cm</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护栏底座</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对损坏底座进行更换，并安装于指定位置。详见各阶段护栏标准</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护栏普通盖帽</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安装在护栏的顶部，并安装于指定位置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8.72</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中心护栏边柱方管（含反光膜）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机非护栏边柱方管（含反光膜）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护栏道钉</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护栏安装后固定用的钉子，材质须为镀锌。</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枚</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高度渐变中心护栏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中心矮护栏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326.44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2m/扇，整体高度80cm，详见护栏大样图，含所有配件和安装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546.7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2m/扇，详见护栏大样图，含配件，不含安装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414.2</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弧形护栏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中央绿篱</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1180mm*3000mm，并安装于指定位置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起伏波浪纹景观护栏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738.45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古藏金典护栏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600.82</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波形护栏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含栏板、托架、立柱、护头、铁脚等配件，含基础开挖、夯实、钢笼、预理件及混凝土浇灌，高度、长度参照大样图，并安装于指定位置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218.26</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景观护栏花箱</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1144.5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景观护栏（东部新城）</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479.6</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中山路花箱护栏（波浪）</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中山路花箱护栏（回字）</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瓦片式护栏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4469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185.23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人非不锈钢护栏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514.67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人行护栏刷漆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对生锈的人行护栏刷油漆，含油漆费用</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可移动护栏（钢轮）</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活动中心护栏（加工）</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4000*1050mm，详见交警局《宁波市交通标杆及基础、交通护栏大样图 V2.1》中心护栏样式，底座改滚轮式</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不锈钢伸缩护栏</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高1.3米，运送至甲方指定地点。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272.47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锁具</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3米链条（防剪加粗8mm）+锁具</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车档石柱隔离墩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ø220*500mm，贴3M黄黑反光条，含基础开挖及安装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新款防撞桶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贴红白反光膜，桶内装入适当沙石，并放置指定位置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278.93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三联防撞桶</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新型船式防撞桶，由三个防撞桶组成</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2001.13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DN100警示桩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法兰盘300*300*14mm，立柱ø110*800*4mm，整件热镀锌， 4个膨胀螺丝固定。运送至甲方指定地点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152.6</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φ115.8道钉式弹性交通柱</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PU材质，硬度85-90A，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可拆卸式弹性交通柱（红白）</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φ80*750，符合GBT 24972-2010可拆卸式弹性交通柱标准（甲供安装数量总计超过1000根后每安装一根甲供材料补贴5元）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87.18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二次过街用的警示桩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用在二次过街路口，黄黑相间</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锥筒</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新款pvc材质交通路锥，产品技术参数须符合符合招标文件中的技术要求。反光膜上打有宁波交警水印</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水马</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新款水马，滚塑三孔，1500*800mm，净重大于12.5公斤，桶内装入适当沙石，并放置指定位置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365.83</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防眩板</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220*900mm，4个304不锈钢膨胀螺丝固定，玻璃钢质，并安装指定位置（甲供安装数量总计超过1000片后每安装一片甲供材料补贴5元）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防抛网</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220*900mm，4个膨胀螺丝固定，玻璃钢质，并安装指定位置（甲供安装数量总计超过1000片后每安装一片甲供材料补贴5元）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196.2</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可导向钢制防撞垫</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符合JTG D81-2017和JTG/T D81-2017的要求</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32700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轮廓标</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反光诱导作用，并安装于指定位置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减速垄</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橡胶反光减速带，1000*360*50mm或500*360*50mm黄黑条纹，每米8根道钉固定。并安装于指定位置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111.71</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抽屉锁</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A级锁，岗亭衣柜及办公抽屉锁等</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岗亭门锁</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B级锁即可。</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岗亭玻璃（平面），更换岗亭玻璃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岗亭玻璃(曲面)</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更换岗亭玻璃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岗亭灯管</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更换岗亭日光灯管</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岗亭（空调加氟利昂）</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老旧空调加氟利昂</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次</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岗亭（空调遥控器）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适配岗亭空调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1.5P，型号不限</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4360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1.0P，型号不限</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满足岗亭日常清洁需求</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岗亭内的扫把、拖把、水桶、垃圾畚斗、抹布</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岗亭（空调铜管）</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更换岗亭空调铜管</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岗亭（空调插座）</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更换岗亭空调插座</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岗亭（空调主板）</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更换岗亭空调主板</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岗亭空调清洗，漏水修复</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岗亭清洗</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对岗亭进行整体清洗</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行人二次过街横杆</w:t>
            </w:r>
          </w:p>
        </w:tc>
        <w:tc>
          <w:tcPr>
            <w:tcW w:w="21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4芯电缆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ZCKVVR电缆线4*1.5mm</w:t>
            </w:r>
            <w:r>
              <w:rPr>
                <w:rStyle w:val="166"/>
                <w:rFonts w:hint="eastAsia" w:ascii="宋体" w:hAnsi="宋体" w:eastAsia="宋体" w:cs="宋体"/>
                <w:color w:val="auto"/>
                <w:sz w:val="21"/>
                <w:szCs w:val="21"/>
                <w:highlight w:val="none"/>
                <w:lang w:val="en-US" w:eastAsia="zh-CN" w:bidi="ar"/>
              </w:rPr>
              <w:t>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凸面镜</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直径80cm 含DN100杆件及基础制作和安装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707.7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挡车器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500*150*100mm，黄黑色，膨胀螺丝固定，并安装于指定位置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108.98</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爆闪灯</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双面太阳能LED灯，带储电池，并安装于指定位置。不含DN80立杆和基础</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新增宣传标语（铁皮）</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安装在指定的护栏上</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新增行人安全岛</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公交车站</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行人安全岛</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岛头900mm*920mm*625mm*2只，配2根DN80钢管警示桩，踏板1000mm*900mm*40mm*4块。共长6m，并安装于指定位置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9265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塑料反光道钉</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尺寸（mm）100*100打孔加胶粘安装石英砂，包含安装</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刷漆</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对生锈的岗亭、标志杆除锈刷油漆，含油漆费用</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遮阳棚（手动）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伸缩遮阳棚尺寸2.5m*2.5m，其中机头、前管、伸缩臂等金属构件均采用铝合金材质，棚布采用加厚PVC材质，防水防晒，配2m伸缩手摇杆</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遮阳棚（电动）</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1417</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岗亭窗帘，含轨道</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年度维护费</w:t>
            </w:r>
          </w:p>
        </w:tc>
        <w:tc>
          <w:tcPr>
            <w:tcW w:w="372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维护费</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780000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三</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保险</w:t>
            </w:r>
          </w:p>
        </w:tc>
        <w:tc>
          <w:tcPr>
            <w:tcW w:w="3723"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公众责任险</w:t>
            </w:r>
          </w:p>
        </w:tc>
        <w:tc>
          <w:tcPr>
            <w:tcW w:w="21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合同工期内投标区域内所有交通安全设施的保险</w:t>
            </w:r>
            <w:r>
              <w:rPr>
                <w:rFonts w:hint="eastAsia" w:ascii="宋体" w:hAnsi="宋体" w:eastAsia="宋体" w:cs="宋体"/>
                <w:b w:val="0"/>
                <w:bCs w:val="0"/>
                <w:i w:val="0"/>
                <w:iCs w:val="0"/>
                <w:color w:val="auto"/>
                <w:kern w:val="0"/>
                <w:sz w:val="21"/>
                <w:szCs w:val="21"/>
                <w:highlight w:val="none"/>
                <w:u w:val="none"/>
                <w:lang w:val="en-US" w:eastAsia="zh-CN" w:bidi="ar"/>
              </w:rPr>
              <w:t>（本项不得下浮）</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85000</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85000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1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标项一综合单价最高限价总计（元）</w:t>
            </w:r>
          </w:p>
        </w:tc>
        <w:tc>
          <w:tcPr>
            <w:tcW w:w="11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1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除公众责任险外的统一下浮率</w:t>
            </w:r>
          </w:p>
        </w:tc>
        <w:tc>
          <w:tcPr>
            <w:tcW w:w="11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81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投标综合单价合计（元）</w:t>
            </w:r>
          </w:p>
        </w:tc>
        <w:tc>
          <w:tcPr>
            <w:tcW w:w="1189"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default" w:ascii="宋体" w:hAnsi="宋体" w:eastAsia="宋体" w:cs="宋体"/>
                <w:i w:val="0"/>
                <w:iCs w:val="0"/>
                <w:color w:val="auto"/>
                <w:sz w:val="21"/>
                <w:szCs w:val="21"/>
                <w:highlight w:val="none"/>
                <w:u w:val="none"/>
                <w:lang w:val="en-US"/>
              </w:rPr>
            </w:pPr>
          </w:p>
        </w:tc>
      </w:tr>
    </w:tbl>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备注：1、数量均默认为“1”；</w:t>
      </w:r>
    </w:p>
    <w:p>
      <w:pPr>
        <w:spacing w:line="360" w:lineRule="auto"/>
        <w:rPr>
          <w:rFonts w:ascii="宋体" w:hAnsi="宋体"/>
          <w:b/>
          <w:bCs/>
          <w:color w:val="auto"/>
          <w:sz w:val="21"/>
          <w:szCs w:val="21"/>
          <w:highlight w:val="none"/>
        </w:rPr>
      </w:pPr>
      <w:r>
        <w:rPr>
          <w:rFonts w:hint="eastAsia" w:ascii="宋体" w:hAnsi="宋体"/>
          <w:b/>
          <w:bCs/>
          <w:color w:val="auto"/>
          <w:sz w:val="21"/>
          <w:szCs w:val="21"/>
          <w:highlight w:val="none"/>
        </w:rPr>
        <w:t>2、</w:t>
      </w:r>
      <w:r>
        <w:rPr>
          <w:rFonts w:hint="eastAsia" w:hAnsi="宋体"/>
          <w:b/>
          <w:bCs/>
          <w:color w:val="auto"/>
          <w:sz w:val="21"/>
          <w:szCs w:val="21"/>
          <w:highlight w:val="none"/>
        </w:rPr>
        <w:t>投标报价采用综合单价统一下浮方式（不接受不平衡报价</w:t>
      </w:r>
      <w:r>
        <w:rPr>
          <w:rFonts w:hint="eastAsia" w:hAnsi="宋体" w:cs="宋体"/>
          <w:b/>
          <w:bCs/>
          <w:color w:val="auto"/>
          <w:sz w:val="21"/>
          <w:szCs w:val="21"/>
          <w:highlight w:val="none"/>
        </w:rPr>
        <w:t>）</w:t>
      </w:r>
      <w:r>
        <w:rPr>
          <w:rFonts w:hint="eastAsia" w:hAnsi="宋体"/>
          <w:b/>
          <w:bCs/>
          <w:color w:val="auto"/>
          <w:sz w:val="21"/>
          <w:szCs w:val="21"/>
          <w:highlight w:val="none"/>
        </w:rPr>
        <w:t>，其他报价方式视为无效投标</w:t>
      </w:r>
      <w:r>
        <w:rPr>
          <w:rFonts w:hint="eastAsia" w:hAnsi="宋体"/>
          <w:b/>
          <w:bCs/>
          <w:color w:val="auto"/>
          <w:sz w:val="21"/>
          <w:szCs w:val="21"/>
          <w:highlight w:val="none"/>
          <w:lang w:eastAsia="zh-CN"/>
        </w:rPr>
        <w:t>。</w:t>
      </w:r>
      <w:r>
        <w:rPr>
          <w:rFonts w:hint="eastAsia" w:hAnsi="宋体"/>
          <w:b/>
          <w:bCs/>
          <w:color w:val="auto"/>
          <w:sz w:val="21"/>
          <w:szCs w:val="21"/>
          <w:highlight w:val="none"/>
          <w:lang w:val="en-US" w:eastAsia="zh-CN"/>
        </w:rPr>
        <w:t>下浮率报价应≥0%，即如下浮率为5，则填写5%，无需填写“-”号</w:t>
      </w:r>
      <w:r>
        <w:rPr>
          <w:rFonts w:hint="eastAsia" w:ascii="宋体" w:hAnsi="宋体"/>
          <w:b/>
          <w:bCs/>
          <w:color w:val="auto"/>
          <w:sz w:val="21"/>
          <w:szCs w:val="21"/>
          <w:highlight w:val="none"/>
        </w:rPr>
        <w:t>。</w:t>
      </w:r>
    </w:p>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3、小数点保留至2位。</w:t>
      </w:r>
    </w:p>
    <w:p>
      <w:pPr>
        <w:spacing w:line="360" w:lineRule="auto"/>
        <w:rPr>
          <w:rFonts w:ascii="宋体" w:hAnsi="宋体"/>
          <w:color w:val="auto"/>
          <w:sz w:val="21"/>
          <w:szCs w:val="21"/>
          <w:highlight w:val="none"/>
        </w:rPr>
      </w:pP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 xml:space="preserve">投 标 人：(盖章) </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授权代表：(签字)</w:t>
      </w:r>
    </w:p>
    <w:p>
      <w:pPr>
        <w:rPr>
          <w:rFonts w:ascii="宋体" w:hAnsi="宋体"/>
          <w:color w:val="auto"/>
          <w:sz w:val="21"/>
          <w:szCs w:val="21"/>
          <w:highlight w:val="none"/>
        </w:rPr>
      </w:pPr>
      <w:r>
        <w:rPr>
          <w:rFonts w:hint="eastAsia" w:ascii="宋体" w:hAnsi="宋体"/>
          <w:color w:val="auto"/>
          <w:sz w:val="21"/>
          <w:szCs w:val="21"/>
          <w:highlight w:val="none"/>
        </w:rPr>
        <w:t>日期：</w:t>
      </w:r>
      <w:r>
        <w:rPr>
          <w:rFonts w:hint="eastAsia" w:ascii="宋体" w:hAnsi="宋体"/>
          <w:color w:val="auto"/>
          <w:sz w:val="21"/>
          <w:szCs w:val="21"/>
          <w:highlight w:val="none"/>
        </w:rPr>
        <w:br w:type="page"/>
      </w:r>
    </w:p>
    <w:p>
      <w:pPr>
        <w:spacing w:line="276" w:lineRule="auto"/>
        <w:jc w:val="center"/>
        <w:outlineLvl w:val="1"/>
        <w:rPr>
          <w:b/>
          <w:color w:val="auto"/>
          <w:highlight w:val="none"/>
        </w:rPr>
      </w:pPr>
      <w:bookmarkStart w:id="275" w:name="_Toc27833"/>
      <w:r>
        <w:rPr>
          <w:rFonts w:hint="eastAsia"/>
          <w:b/>
          <w:color w:val="auto"/>
          <w:highlight w:val="none"/>
        </w:rPr>
        <w:t>投标分项报价表</w:t>
      </w:r>
      <w:bookmarkEnd w:id="275"/>
    </w:p>
    <w:p>
      <w:pPr>
        <w:spacing w:line="276" w:lineRule="auto"/>
        <w:jc w:val="both"/>
        <w:rPr>
          <w:rFonts w:ascii="宋体"/>
          <w:b/>
          <w:color w:val="auto"/>
          <w:szCs w:val="24"/>
          <w:highlight w:val="none"/>
        </w:rPr>
      </w:pPr>
    </w:p>
    <w:p>
      <w:pPr>
        <w:pStyle w:val="22"/>
        <w:adjustRightInd w:val="0"/>
        <w:snapToGrid w:val="0"/>
        <w:spacing w:line="360" w:lineRule="auto"/>
        <w:rPr>
          <w:color w:val="auto"/>
          <w:sz w:val="21"/>
          <w:szCs w:val="21"/>
          <w:highlight w:val="none"/>
          <w:u w:val="single"/>
        </w:rPr>
      </w:pPr>
      <w:r>
        <w:rPr>
          <w:rFonts w:hint="eastAsia"/>
          <w:color w:val="auto"/>
          <w:sz w:val="21"/>
          <w:szCs w:val="21"/>
          <w:highlight w:val="none"/>
        </w:rPr>
        <w:t>招标编号：</w:t>
      </w:r>
    </w:p>
    <w:p>
      <w:pPr>
        <w:spacing w:line="360" w:lineRule="auto"/>
        <w:rPr>
          <w:rFonts w:hint="eastAsia"/>
          <w:b/>
          <w:bCs/>
          <w:color w:val="auto"/>
          <w:kern w:val="2"/>
          <w:sz w:val="21"/>
          <w:szCs w:val="21"/>
          <w:highlight w:val="none"/>
        </w:rPr>
      </w:pPr>
      <w:r>
        <w:rPr>
          <w:rFonts w:hint="eastAsia"/>
          <w:color w:val="auto"/>
          <w:sz w:val="21"/>
          <w:szCs w:val="21"/>
          <w:highlight w:val="none"/>
        </w:rPr>
        <w:t>项目名称：</w:t>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标项二</w:t>
      </w:r>
      <w:r>
        <w:rPr>
          <w:rFonts w:hint="eastAsia"/>
          <w:b/>
          <w:bCs/>
          <w:color w:val="auto"/>
          <w:kern w:val="2"/>
          <w:sz w:val="21"/>
          <w:szCs w:val="21"/>
          <w:highlight w:val="none"/>
          <w:lang w:eastAsia="zh-CN"/>
        </w:rPr>
        <w:t>：海曙西区和市三区快速路常规交通设施年度维护</w:t>
      </w:r>
      <w:r>
        <w:rPr>
          <w:rFonts w:hint="eastAsia"/>
          <w:b/>
          <w:bCs/>
          <w:color w:val="auto"/>
          <w:kern w:val="2"/>
          <w:sz w:val="21"/>
          <w:szCs w:val="21"/>
          <w:highlight w:val="none"/>
        </w:rPr>
        <w:t>清单</w:t>
      </w:r>
    </w:p>
    <w:tbl>
      <w:tblPr>
        <w:tblStyle w:val="40"/>
        <w:tblW w:w="5593" w:type="pct"/>
        <w:tblInd w:w="-6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0"/>
        <w:gridCol w:w="1843"/>
        <w:gridCol w:w="4213"/>
        <w:gridCol w:w="662"/>
        <w:gridCol w:w="1413"/>
        <w:gridCol w:w="1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408"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876"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服务项目</w:t>
            </w:r>
          </w:p>
        </w:tc>
        <w:tc>
          <w:tcPr>
            <w:tcW w:w="2003"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技术参数</w:t>
            </w:r>
          </w:p>
        </w:tc>
        <w:tc>
          <w:tcPr>
            <w:tcW w:w="314"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671"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综合单价最高限价（元）</w:t>
            </w:r>
          </w:p>
        </w:tc>
        <w:tc>
          <w:tcPr>
            <w:tcW w:w="725"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投标综合单价</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维护项目</w:t>
            </w:r>
          </w:p>
        </w:tc>
        <w:tc>
          <w:tcPr>
            <w:tcW w:w="3714"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常温标线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厚度0.4mm以上</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44.06</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Ⅱ级反光热熔标线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普通热熔振荡标线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基线厚度达到1.5mm，突起部分高度达到5mm，均匀撒布反光珠</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91.23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Ⅱ级振荡反光热熔标线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彩色防滑路面标线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使用三层工艺，含地面夯平、清洁路面、涂布彩色底漆、撒砂、收砂、涂布高光面漆。标线厚度2-3mm。陶瓷颗粒直径1-2mm。</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179.85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双组份结构型反光标线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1、表面MMA材质；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2、不粘胎干结时间：≤15 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3、耐磨性：≤40mg；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4、符合JTG F80/1-2017《公路工程质量检验评定标准》施划后检测逆反射亮度系数≥250，一年内任一一次检测时逆反射亮度系数≥150</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高压水除线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超高压水磨清洗法，清除老标线，无明显痕迹</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39.24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绿化带端头刷漆</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按照GB5768要求施划立面标记，黄黑漆，零星施工。</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r>
              <w:rPr>
                <w:rStyle w:val="178"/>
                <w:color w:val="auto"/>
                <w:sz w:val="21"/>
                <w:szCs w:val="21"/>
                <w:highlight w:val="none"/>
                <w:lang w:val="en-US" w:eastAsia="zh-CN" w:bidi="ar"/>
              </w:rPr>
              <w:t>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89.38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705.13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标志牌（IV类）（面积≥7m2，＜15m2）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711.34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标志牌（IV类）（面积≥15m2）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711.4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975.23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标志牌（V类）（面积≥7m2，＜15m2）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981.45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标志牌（V类）（面积＞15m2）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989.24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标志牌贴膜改版</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旧标牌内容变更，贴超强级反光膜</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788.31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标志牌更换（面积≥7m2，＜15m2）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784.39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标志牌更换（面积＞15m2）</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799.95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贴膜</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杆件、警示桩、护栏边柱、岗亭等设施贴超强级反光膜。按实计算</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KT板（广告牌）</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按要求设计版面</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抱箍</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铝滑槽抱箍、镀锌U型管夹抱箍、紧固件抱箍圈。含配套螺栓螺母。</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30.52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小型活动支架</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钢制活动支架，用以直接设置在路上，3m2以下</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403.3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大型活动支架</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钢制活动支架，用以直接设置在路上，3m2以上，含3m2</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817.5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机动车靠右标志（一体化）</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黄黑警示桩上结合标志牌，含安装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695.32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标志牌清洗</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仅限大于5m²的，小于等于5m²的包含于年度维护费中</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标志杆</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10414.75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基础（C25混凝土）</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含基础开挖,混凝土浇灌。详见交警局《宁波市交通标杆及基础、交通护栏大样图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m3</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947.77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基础（杆件钢筋）</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详见交警局《宁波市交通标杆及基础、交通护栏大样图 V2.1》</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5713.17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大型杆件吊装</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不含基础，含杆件运输和吊装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827.5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中心护栏片</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机非护栏片</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2m/扇，详见护栏大样图，含所有配件和安装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348.46</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护栏反光片</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安装在护栏边柱，反光诱导作用，两片一组，一片的价格为一组的一半</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城市护栏轮廓标</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1.由弹性TPU材料制成，耐刮擦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2.反光膜区域内凹2mm，减少刮擦磨损；含3M反光膜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3.规格:12.4*5.4*3cm</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护栏底座</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对损坏底座进行更换，并安装于指定位置。详见各阶段护栏标准</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护栏普通盖帽</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安装在护栏的顶部，并安装于指定位置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中心护栏边柱方管（含反光膜）</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机非护栏边柱方管（含反光膜）</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热镀锌方管，加贴黄黑超强级反光膜，并安装于护栏首片位置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49.05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护栏道钉</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护栏安装后固定用的钉子，材质须为镀锌。</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枚</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高度渐变中心护栏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370.46</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中心矮护栏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326.44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2m/扇，整体高度80cm，详见护栏大样图，含所有配件和安装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546.7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东部新城式景观中心矮护栏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2m/扇，详见护栏大样图，含配件，不含安装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弧形护栏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2m/扇，含安装及反光片、底座等配件，详见招标文件</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414.5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中央绿篱</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1180mm*3000mm，并安装于指定位置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起伏波浪纹景观护栏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738.45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古藏金典护栏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2.5m/扇，详见护栏大样图，含所有配件和安装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600.82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波形护栏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含栏板、托架、立柱、护头、铁脚等配件，含基础开挖、夯实、钢笼、预理件及混凝土浇灌，高度、长度参照大样图，并安装于指定位置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218.26</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景观护栏花箱</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1144.5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景观护栏（东部新城）</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479.6</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中山路花箱护栏（波浪）</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中山路花箱护栏（回字）</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2398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瓦片式护栏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详见图纸</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4469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185.23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人非不锈钢护栏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965*2800mm，含基础开挖、夯实、预理件及混凝土浇灌。并安装于指定位置，详见大样图</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514.67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人行护栏刷漆</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对生锈的人行护栏刷油漆，含油漆费用</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可移动护栏（钢轮）</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活动中心护栏（加工）</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4000*1050mm，详见交警局《宁波市交通标杆及基础、交通护栏大样图 V2.1》中心护栏样式，底座改滚轮式</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不锈钢伸缩护栏</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高1.3米，运送至甲方指定地点。</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272.47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锁具</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3米链条（防剪加粗8mm）+锁具</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车档石柱隔离墩</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ø220*500mm，贴3M黄黑反光条，含基础开挖及安装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283.4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新款防撞桶</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贴红白反光膜，桶内装入适当沙石，并放置指定位置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278.93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三联防撞桶</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新型船式防撞桶，由三个防撞桶组成</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2001.13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DN100警示桩</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法兰盘300*300*14mm，立柱ø110*800*4mm，整件热镀锌， 4个膨胀螺丝固定。运送至甲方指定地点</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152.6</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φ115.8道钉式弹性交通柱</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可拆卸式弹性交通柱（红白）</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φ80*750，符合GBT 24972-2010 可拆卸式弹性交通柱标准（甲供安装数量总计超过1000根后每安装一根甲供材料补贴5元）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87.18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二次过街用的警示桩</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用在二次过街路口，黄黑相间</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锥筒</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新款pvc材质交通路锥，产品技术参数须符合符合招标文件中的技术要求。反光膜上打有宁波交警水印</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65.4</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水马</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新款水马，滚塑三孔，1500*800mm，净重大于12.5公斤，桶内装入适当沙石，并放置指定位置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365.83</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防眩板</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220*900mm，4个304不锈钢膨胀螺丝固定，玻璃钢质，并安装指定位置（甲供安装数量总计超过1000片后每安装一片甲供材料补贴5元）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70.85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防抛网</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220*900mm，4个膨胀螺丝固定，玻璃钢质，并安装指定位置（甲供安装数量总计超过1000片后每安装一片甲供材料补贴5元）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196.2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可导向钢制防撞垫</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符合JTG D81-2017和JTG/T D81-2017的要求</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32700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轮廓标</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反光诱导作用，并安装于指定位置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减速垄</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橡胶反光减速带，1000*360*50mm或500*360*50mm黄黑条纹，每米8根道钉固定。并安装于指定位置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111.71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抽屉锁</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A级锁，岗亭衣柜及办公抽屉锁等</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岗亭门锁</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B级锁即可。</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岗亭玻璃（平面），更换岗亭玻璃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岗亭玻璃(曲面)</w:t>
            </w:r>
          </w:p>
        </w:tc>
        <w:tc>
          <w:tcPr>
            <w:tcW w:w="20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更换岗亭玻璃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岗亭灯管</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更换岗亭日光灯管</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岗亭（空调加氟利昂）</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老旧空调加氟利昂</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次</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岗亭（空调遥控器）</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适配岗亭空调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1.5P，型号不限</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4360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1.0P，型号不限</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满足岗亭日常清洁需求</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岗亭内的扫把、拖把、水桶、垃圾畚斗、抹布</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件</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岗亭（空调铜管）</w:t>
            </w:r>
          </w:p>
        </w:tc>
        <w:tc>
          <w:tcPr>
            <w:tcW w:w="20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更换岗亭空调铜管</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岗亭（空调插座）</w:t>
            </w:r>
          </w:p>
        </w:tc>
        <w:tc>
          <w:tcPr>
            <w:tcW w:w="20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更换岗亭空调插座</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岗亭（空调主板）</w:t>
            </w:r>
          </w:p>
        </w:tc>
        <w:tc>
          <w:tcPr>
            <w:tcW w:w="20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更换岗亭空调主板</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w:t>
            </w:r>
          </w:p>
        </w:tc>
        <w:tc>
          <w:tcPr>
            <w:tcW w:w="20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岗亭空调清洗，漏水修复</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处</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岗亭清洗</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对岗亭进行整体清洗</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行人二次过街横杆</w:t>
            </w:r>
          </w:p>
        </w:tc>
        <w:tc>
          <w:tcPr>
            <w:tcW w:w="20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用在二次过街路口</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2180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4芯电缆</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ZCKVVR电缆线4*1.5mm</w:t>
            </w:r>
            <w:r>
              <w:rPr>
                <w:rStyle w:val="178"/>
                <w:color w:val="auto"/>
                <w:sz w:val="21"/>
                <w:szCs w:val="21"/>
                <w:highlight w:val="none"/>
                <w:lang w:val="en-US" w:eastAsia="zh-CN" w:bidi="ar"/>
              </w:rPr>
              <w:t>2</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凸面镜</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直径80cm 含DN100杆件及基础制作和安装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707.7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挡车器</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500*150*100mm，黄黑色，膨胀螺丝固定，并安装于指定位置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108.98</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爆闪灯</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双面太阳能LED灯，带储电池，并安装于指定位置。不含DN80立杆和基础</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981</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新增宣传标语（铁皮）</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安装在指定的护栏上</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新增行人安全岛</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公交车站</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行人安全岛</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岛头900mm*920mm*625mm*2只，配2根DN80钢管警示桩，踏板1000mm*900mm*40mm*4块。共长6m，并安装于指定位置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9265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塑料反光道钉</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尺寸（mm）100*100打孔加胶粘安装石英砂，包含安装</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只</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38.15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刷漆</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对生锈的岗亭、标志杆除锈刷油漆，含油漆费用</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遮阳棚（手动）</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伸缩遮阳棚尺寸2.5m*2.5m，其中机头、前管、伸缩臂等金属构件均采用铝合金材质，棚布采用加厚PVC材质，防水防晒，配2m伸缩手摇杆</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遮阳棚（电动）</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1417</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窗帘</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岗亭窗帘，含轨道</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163.5</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年度维护费</w:t>
            </w:r>
          </w:p>
        </w:tc>
        <w:tc>
          <w:tcPr>
            <w:tcW w:w="3714"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维护费</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780000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三</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保险</w:t>
            </w:r>
          </w:p>
        </w:tc>
        <w:tc>
          <w:tcPr>
            <w:tcW w:w="3714"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spacing w:line="288"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87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公众责任险</w:t>
            </w:r>
          </w:p>
        </w:tc>
        <w:tc>
          <w:tcPr>
            <w:tcW w:w="200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合同工期内投标区域内所有交通安全设施的保险（本项不得下浮）</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85000</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cs="宋体"/>
                <w:i w:val="0"/>
                <w:iCs w:val="0"/>
                <w:color w:val="auto"/>
                <w:kern w:val="0"/>
                <w:sz w:val="21"/>
                <w:szCs w:val="21"/>
                <w:highlight w:val="none"/>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7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标项一综合单价最高限价总计（元）</w:t>
            </w:r>
          </w:p>
        </w:tc>
        <w:tc>
          <w:tcPr>
            <w:tcW w:w="29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7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除公众责任险外的统一下浮率</w:t>
            </w:r>
          </w:p>
        </w:tc>
        <w:tc>
          <w:tcPr>
            <w:tcW w:w="29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57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投标综合单价合计（元）</w:t>
            </w:r>
          </w:p>
        </w:tc>
        <w:tc>
          <w:tcPr>
            <w:tcW w:w="29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备注：1、数量均默认为“1”；</w:t>
      </w:r>
    </w:p>
    <w:p>
      <w:pPr>
        <w:spacing w:line="360" w:lineRule="auto"/>
        <w:rPr>
          <w:rFonts w:ascii="宋体" w:hAnsi="宋体"/>
          <w:b/>
          <w:bCs/>
          <w:color w:val="auto"/>
          <w:sz w:val="21"/>
          <w:szCs w:val="21"/>
          <w:highlight w:val="none"/>
        </w:rPr>
      </w:pPr>
      <w:r>
        <w:rPr>
          <w:rFonts w:hint="eastAsia" w:ascii="宋体" w:hAnsi="宋体"/>
          <w:b/>
          <w:bCs/>
          <w:color w:val="auto"/>
          <w:sz w:val="21"/>
          <w:szCs w:val="21"/>
          <w:highlight w:val="none"/>
        </w:rPr>
        <w:t>2、</w:t>
      </w:r>
      <w:r>
        <w:rPr>
          <w:rFonts w:hint="eastAsia" w:hAnsi="宋体"/>
          <w:b/>
          <w:bCs/>
          <w:color w:val="auto"/>
          <w:sz w:val="21"/>
          <w:szCs w:val="21"/>
          <w:highlight w:val="none"/>
        </w:rPr>
        <w:t>投标报价采用综合单价统一下浮方式（不接受不平衡报价</w:t>
      </w:r>
      <w:r>
        <w:rPr>
          <w:rFonts w:hint="eastAsia" w:hAnsi="宋体" w:cs="宋体"/>
          <w:b/>
          <w:bCs/>
          <w:color w:val="auto"/>
          <w:sz w:val="21"/>
          <w:szCs w:val="21"/>
          <w:highlight w:val="none"/>
        </w:rPr>
        <w:t>）</w:t>
      </w:r>
      <w:r>
        <w:rPr>
          <w:rFonts w:hint="eastAsia" w:hAnsi="宋体"/>
          <w:b/>
          <w:bCs/>
          <w:color w:val="auto"/>
          <w:sz w:val="21"/>
          <w:szCs w:val="21"/>
          <w:highlight w:val="none"/>
        </w:rPr>
        <w:t>，其他报价方式视为无效投标</w:t>
      </w:r>
      <w:r>
        <w:rPr>
          <w:rFonts w:hint="eastAsia" w:hAnsi="宋体"/>
          <w:b/>
          <w:bCs/>
          <w:color w:val="auto"/>
          <w:sz w:val="21"/>
          <w:szCs w:val="21"/>
          <w:highlight w:val="none"/>
          <w:lang w:eastAsia="zh-CN"/>
        </w:rPr>
        <w:t>。</w:t>
      </w:r>
      <w:r>
        <w:rPr>
          <w:rFonts w:hint="eastAsia" w:hAnsi="宋体"/>
          <w:b/>
          <w:bCs/>
          <w:color w:val="auto"/>
          <w:sz w:val="21"/>
          <w:szCs w:val="21"/>
          <w:highlight w:val="none"/>
          <w:lang w:val="en-US" w:eastAsia="zh-CN"/>
        </w:rPr>
        <w:t>下浮率报价应≥0%，即如下浮率为5，则填写5%，无需填写“-”号</w:t>
      </w:r>
      <w:r>
        <w:rPr>
          <w:rFonts w:hint="eastAsia" w:ascii="宋体" w:hAnsi="宋体"/>
          <w:b/>
          <w:bCs/>
          <w:color w:val="auto"/>
          <w:sz w:val="21"/>
          <w:szCs w:val="21"/>
          <w:highlight w:val="none"/>
        </w:rPr>
        <w:t>。</w:t>
      </w:r>
    </w:p>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3、小数点保留至2位。</w:t>
      </w:r>
    </w:p>
    <w:p>
      <w:pPr>
        <w:rPr>
          <w:color w:val="auto"/>
          <w:highlight w:val="none"/>
        </w:rPr>
      </w:pPr>
    </w:p>
    <w:p>
      <w:pPr>
        <w:rPr>
          <w:color w:val="auto"/>
          <w:highlight w:val="none"/>
        </w:rPr>
      </w:pP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 xml:space="preserve">投 标 人：(盖章) </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授权代表：(签字)</w:t>
      </w:r>
    </w:p>
    <w:p>
      <w:pPr>
        <w:rPr>
          <w:color w:val="auto"/>
          <w:highlight w:val="none"/>
        </w:rPr>
      </w:pPr>
      <w:r>
        <w:rPr>
          <w:rFonts w:hint="eastAsia" w:ascii="宋体" w:hAnsi="宋体"/>
          <w:color w:val="auto"/>
          <w:sz w:val="21"/>
          <w:szCs w:val="21"/>
          <w:highlight w:val="none"/>
        </w:rPr>
        <w:t>日期：</w:t>
      </w:r>
      <w:r>
        <w:rPr>
          <w:color w:val="auto"/>
          <w:highlight w:val="none"/>
        </w:rPr>
        <w:br w:type="page"/>
      </w:r>
    </w:p>
    <w:p>
      <w:pPr>
        <w:spacing w:line="276" w:lineRule="auto"/>
        <w:jc w:val="center"/>
        <w:outlineLvl w:val="1"/>
        <w:rPr>
          <w:b/>
          <w:color w:val="auto"/>
          <w:highlight w:val="none"/>
        </w:rPr>
      </w:pPr>
      <w:bookmarkStart w:id="276" w:name="_Toc17326"/>
      <w:r>
        <w:rPr>
          <w:rFonts w:hint="eastAsia"/>
          <w:b/>
          <w:color w:val="auto"/>
          <w:highlight w:val="none"/>
        </w:rPr>
        <w:t>投标分项报价表</w:t>
      </w:r>
      <w:bookmarkEnd w:id="276"/>
    </w:p>
    <w:p>
      <w:pPr>
        <w:spacing w:line="276" w:lineRule="auto"/>
        <w:jc w:val="both"/>
        <w:rPr>
          <w:rFonts w:ascii="宋体"/>
          <w:b/>
          <w:color w:val="auto"/>
          <w:szCs w:val="24"/>
          <w:highlight w:val="none"/>
        </w:rPr>
      </w:pPr>
    </w:p>
    <w:p>
      <w:pPr>
        <w:pStyle w:val="22"/>
        <w:adjustRightInd w:val="0"/>
        <w:snapToGrid w:val="0"/>
        <w:spacing w:line="360" w:lineRule="auto"/>
        <w:rPr>
          <w:color w:val="auto"/>
          <w:highlight w:val="none"/>
          <w:u w:val="single"/>
        </w:rPr>
      </w:pPr>
      <w:r>
        <w:rPr>
          <w:rFonts w:hint="eastAsia"/>
          <w:color w:val="auto"/>
          <w:highlight w:val="none"/>
        </w:rPr>
        <w:t>招标编号：</w:t>
      </w:r>
    </w:p>
    <w:p>
      <w:pPr>
        <w:pStyle w:val="22"/>
        <w:adjustRightInd w:val="0"/>
        <w:snapToGrid w:val="0"/>
        <w:spacing w:line="360" w:lineRule="auto"/>
        <w:rPr>
          <w:rFonts w:hint="eastAsia" w:ascii="宋体" w:hAnsi="Times New Roman" w:eastAsia="宋体" w:cs="Times New Roman"/>
          <w:color w:val="auto"/>
          <w:highlight w:val="none"/>
        </w:rPr>
      </w:pPr>
      <w:r>
        <w:rPr>
          <w:rFonts w:hint="eastAsia" w:ascii="宋体" w:hAnsi="Times New Roman" w:eastAsia="宋体" w:cs="Times New Roman"/>
          <w:color w:val="auto"/>
          <w:highlight w:val="none"/>
        </w:rPr>
        <w:t>项目名称：</w:t>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w:t>
      </w:r>
      <w:r>
        <w:rPr>
          <w:rFonts w:hint="eastAsia"/>
          <w:b/>
          <w:bCs/>
          <w:color w:val="auto"/>
          <w:kern w:val="2"/>
          <w:sz w:val="21"/>
          <w:szCs w:val="21"/>
          <w:highlight w:val="none"/>
          <w:lang w:val="en-US" w:eastAsia="zh-CN"/>
        </w:rPr>
        <w:t>三：鄞州南区常规交通设施年度维护</w:t>
      </w:r>
      <w:r>
        <w:rPr>
          <w:rFonts w:hint="eastAsia"/>
          <w:b/>
          <w:bCs/>
          <w:color w:val="auto"/>
          <w:kern w:val="2"/>
          <w:sz w:val="21"/>
          <w:szCs w:val="21"/>
          <w:highlight w:val="none"/>
        </w:rPr>
        <w:t>清单</w:t>
      </w:r>
    </w:p>
    <w:tbl>
      <w:tblPr>
        <w:tblStyle w:val="40"/>
        <w:tblW w:w="5510" w:type="pct"/>
        <w:tblInd w:w="-4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
        <w:gridCol w:w="1747"/>
        <w:gridCol w:w="4647"/>
        <w:gridCol w:w="690"/>
        <w:gridCol w:w="1239"/>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843"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服务项目</w:t>
            </w:r>
          </w:p>
        </w:tc>
        <w:tc>
          <w:tcPr>
            <w:tcW w:w="224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技术参数</w:t>
            </w:r>
          </w:p>
        </w:tc>
        <w:tc>
          <w:tcPr>
            <w:tcW w:w="333"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59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综合单价最高限价（元）</w:t>
            </w:r>
          </w:p>
        </w:tc>
        <w:tc>
          <w:tcPr>
            <w:tcW w:w="58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投标综合单价（元）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维护项目</w:t>
            </w:r>
          </w:p>
        </w:tc>
        <w:tc>
          <w:tcPr>
            <w:tcW w:w="3755"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常温标线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厚度0.4mm以上</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44.06</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Ⅱ级反光热熔标线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普通热熔振荡标线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基线厚度达到1.5mm，突起部分高度达到5mm，均匀撒布反光珠</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91.23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Ⅱ级振荡反光热熔标线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彩色防滑路面标线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使用三层工艺，含地面夯平、清洁路面、涂布彩色底漆、撒砂、收砂、涂布高光面漆。标线厚度2-3mm。陶瓷颗粒直径1-2mm。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179.85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双组份结构型反光标线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高压水除线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超高压水磨清洗法，清除老标线，无明显痕迹</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39.24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绿化带端头刷漆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按照GB5768要求施划立面标记，黄黑漆，零星施工。</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89.38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705.13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711.34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975.23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981.45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989.24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标志牌贴膜改版</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旧标牌内容变更，贴超强级反光膜</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788.31</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784.39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标志牌更换（面积＞15m2）</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799.95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杆件、警示桩、护栏边柱、岗亭等设施贴超强级反光膜。按实计算</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KT板（广告牌）</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按要求设计版面</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抱箍</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铝滑槽抱箍、镀锌U型管夹抱箍、紧固件抱箍圈。含配套螺栓螺母。</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30.52</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小型活动支架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钢制活动支架，用以直接设置在路上，3m2以下</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403.3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大型活动支架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钢制活动支架，用以直接设置在路上，3m2以上，含3m2</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机动车靠右标志（一体化）</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黄黑警示桩上结合标志牌，含安装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695.32</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标志牌清洗</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仅限大于5m²的，小于等于5m²的包含于年度维护费中</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10414.75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基础（C25混凝土）</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含基础开挖,混凝土浇灌。详见交警局《宁波市交通标杆及基础、交通护栏大样图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947.77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基础（杆件钢筋）</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详见交警局《宁波市交通标杆及基础、交通护栏大样图 V2.1》</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5713.17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大型杆件吊装</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不含基础，含杆件运输和吊装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827.5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348.46</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护栏反光片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安装在护栏边柱，反光诱导作用，两片一组，一片的价格为一组的一半</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城市护栏轮廓标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1.由弹性TPU材料制成，耐刮擦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2.反光膜区域内凹2mm，减少刮擦磨损；含3M反光膜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3.规格:12.4*5.4*3cm</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护栏底座</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对损坏底座进行更换，并安装于指定位置。详见各阶段护栏标准</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护栏普通盖帽</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安装在护栏的顶部，并安装于指定位置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8.72</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中心护栏边柱方管（含反光膜）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机非护栏边柱方管（含反光膜）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护栏道钉</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护栏安装后固定用的钉子，材质须为镀锌。</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枚</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高度渐变中心护栏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中心矮护栏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326.44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2m/扇，整体高度80cm，详见护栏大样图，含所有配件和安装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546.7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2m/扇，详见护栏大样图，含配件，不含安装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414.2</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弧形护栏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中央绿篱</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1180mm*3000mm，并安装于指定位置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起伏波浪纹景观护栏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738.45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古藏金典护栏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600.82</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波形护栏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含栏板、托架、立柱、护头、铁脚等配件，含基础开挖、夯实、钢笼、预理件及混凝土浇灌，高度、长度参照大样图，并安装于指定位置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218.26</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景观护栏花箱</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1144.5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景观护栏（东部新城）</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479.6</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中山路花箱护栏（波浪）</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中山路花箱护栏（回字）</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瓦片式护栏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4469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185.23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人非不锈钢护栏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514.67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人行护栏刷漆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对生锈的人行护栏刷油漆，含油漆费用</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可移动护栏（钢轮）</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活动中心护栏（加工）</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4000*1050mm，详见交警局《宁波市交通标杆及基础、交通护栏大样图 V2.1》中心护栏样式，底座改滚轮式</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不锈钢伸缩护栏</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高1.3米，运送至甲方指定地点。</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272.47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锁具</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3米链条（防剪加粗8mm）+锁具</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车档石柱隔离墩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ø220*500mm，贴3M黄黑反光条，含基础开挖及安装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283.4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新款防撞桶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贴红白反光膜，桶内装入适当沙石，并放置指定位置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278.93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三联防撞桶</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新型船式防撞桶，由三个防撞桶组成</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2001.13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DN100警示桩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法兰盘300*300*14mm，立柱ø110*800*4mm，整件热镀锌，4个膨胀螺丝固定。运送至甲方指定地点</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152.6</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φ115.8道钉式弹性交通柱</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可拆卸式弹性交通柱（红白）</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φ80*750，符合GBT 24972-2010 可拆卸式弹性交通柱标准（甲供安装数量总计超过1000根后每安装一根甲供材料补贴5元）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87.18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二次过街用的警示桩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用在二次过街路口，黄黑相间</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锥筒</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新款pvc材质交通路锥，产品技术参数须符合符合招标文件中的技术要求。反光膜上打有宁波交警水印</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水马</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新款水马，滚塑三孔，1500*800mm，净重大于12.5公斤，桶内装入适当沙石，并放置指定位置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365.83</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防眩板</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220*900mm，4个304不锈钢膨胀螺丝固定，玻璃钢质，并安装指定位置（甲供安装数量总计超过1000片后每安装一片甲供材料补贴5元）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防抛网</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220*900mm，4个膨胀螺丝固定，玻璃钢质，并安装指定位置（甲供安装数量总计超过1000片后每安装一片甲供材料补贴5元）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196.2</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可导向钢制防撞垫</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符合JTG D81-2017和JTG/T D81-2017的要求</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轮廓标</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反光诱导作用，并安装于指定位置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减速垄</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橡胶反光减速带，1000*360*50mm或500*360*50mm黄黑条纹，每米8根道钉固定。并安装于指定位置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111.71</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抽屉锁</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A级锁，岗亭衣柜及办公抽屉锁等</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岗亭门锁</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B级锁即可。</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岗亭玻璃（平面），更换岗亭玻璃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岗亭玻璃(曲面)</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更换岗亭玻璃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岗亭灯管</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更换岗亭日光灯管</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岗亭（空调加氟利昂）</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老旧空调加氟利昂</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岗亭（空调遥控器）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适配岗亭空调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1.5P，型号不限</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4360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1.0P，型号不限</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满足岗亭日常清洁需求</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岗亭内的扫把、拖把、水桶、垃圾畚斗、抹布</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岗亭（空调铜管）</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更换岗亭空调铜管</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岗亭（空调插座）</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更换岗亭空调插座</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岗亭（空调主板）</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更换岗亭空调主板</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岗亭空调清洗，漏水修复</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岗亭清洗</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对岗亭进行整体清洗</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行人二次过街横杆</w:t>
            </w:r>
          </w:p>
        </w:tc>
        <w:tc>
          <w:tcPr>
            <w:tcW w:w="22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4芯电缆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ZCKVVR电缆线4*1.5mm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凸面镜</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直径80cm 含DN100杆件及基础制作和安装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707.7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挡车器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500*150*100mm，黄黑色，膨胀螺丝固定，并安装于指定位置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108.98</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爆闪灯</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双面太阳能LED灯，带储电池，并安装于指定位置。不含DN80立杆和基础</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新增宣传标语（铁皮）</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安装在指定的护栏上</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新增行人安全岛</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公交车站</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行人安全岛</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岛头900mm*920mm*625mm*2只，配2根DN80钢管警示桩，踏板1000mm*900mm*40mm*4块。共长6m，并安装于指定位置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9265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塑料反光道钉</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尺寸（mm）100*100打孔加胶粘安装石英砂，包含安装</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刷漆</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对生锈的岗亭、标志杆除锈刷油漆，含油漆费用</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遮阳棚（手动）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伸缩遮阳棚尺寸2.5m*2.5m，其中机头、前管、伸缩臂等金属构件均采用铝合金材质，棚布采用加厚PVC材质，防水防晒，配2m伸缩手摇杆</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遮阳棚（电动）</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1417</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岗亭窗帘，含轨道</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年度维护费</w:t>
            </w:r>
          </w:p>
        </w:tc>
        <w:tc>
          <w:tcPr>
            <w:tcW w:w="3755" w:type="pct"/>
            <w:gridSpan w:val="4"/>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维护费</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780000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保险</w:t>
            </w:r>
          </w:p>
        </w:tc>
        <w:tc>
          <w:tcPr>
            <w:tcW w:w="3755"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8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公众责任险</w:t>
            </w:r>
          </w:p>
        </w:tc>
        <w:tc>
          <w:tcPr>
            <w:tcW w:w="22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合同工期内投标区域内所有交通安全设施的保险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（本项不得下浮）</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85000</w:t>
            </w:r>
          </w:p>
        </w:tc>
        <w:tc>
          <w:tcPr>
            <w:tcW w:w="5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85000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1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标项一综合单价最高限价总计（元）</w:t>
            </w:r>
          </w:p>
        </w:tc>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1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除公众责任险外的统一下浮率</w:t>
            </w:r>
          </w:p>
        </w:tc>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91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投标综合单价合计（元）</w:t>
            </w:r>
          </w:p>
        </w:tc>
        <w:tc>
          <w:tcPr>
            <w:tcW w:w="24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备注：1、数量均默认为“1”；</w:t>
      </w:r>
    </w:p>
    <w:p>
      <w:pPr>
        <w:spacing w:line="360" w:lineRule="auto"/>
        <w:rPr>
          <w:rFonts w:ascii="宋体" w:hAnsi="宋体"/>
          <w:b/>
          <w:bCs/>
          <w:color w:val="auto"/>
          <w:sz w:val="21"/>
          <w:szCs w:val="21"/>
          <w:highlight w:val="none"/>
        </w:rPr>
      </w:pPr>
      <w:r>
        <w:rPr>
          <w:rFonts w:hint="eastAsia" w:ascii="宋体" w:hAnsi="宋体"/>
          <w:b/>
          <w:bCs/>
          <w:color w:val="auto"/>
          <w:sz w:val="21"/>
          <w:szCs w:val="21"/>
          <w:highlight w:val="none"/>
        </w:rPr>
        <w:t>2、</w:t>
      </w:r>
      <w:r>
        <w:rPr>
          <w:rFonts w:hint="eastAsia" w:hAnsi="宋体"/>
          <w:b/>
          <w:bCs/>
          <w:color w:val="auto"/>
          <w:sz w:val="21"/>
          <w:szCs w:val="21"/>
          <w:highlight w:val="none"/>
        </w:rPr>
        <w:t>投标报价采用综合单价统一下浮方式（不接受不平衡报价</w:t>
      </w:r>
      <w:r>
        <w:rPr>
          <w:rFonts w:hint="eastAsia" w:hAnsi="宋体" w:cs="宋体"/>
          <w:b/>
          <w:bCs/>
          <w:color w:val="auto"/>
          <w:sz w:val="21"/>
          <w:szCs w:val="21"/>
          <w:highlight w:val="none"/>
        </w:rPr>
        <w:t>）</w:t>
      </w:r>
      <w:r>
        <w:rPr>
          <w:rFonts w:hint="eastAsia" w:hAnsi="宋体"/>
          <w:b/>
          <w:bCs/>
          <w:color w:val="auto"/>
          <w:sz w:val="21"/>
          <w:szCs w:val="21"/>
          <w:highlight w:val="none"/>
        </w:rPr>
        <w:t>，其他报价方式视为无效投标</w:t>
      </w:r>
      <w:r>
        <w:rPr>
          <w:rFonts w:hint="eastAsia" w:hAnsi="宋体"/>
          <w:b/>
          <w:bCs/>
          <w:color w:val="auto"/>
          <w:sz w:val="21"/>
          <w:szCs w:val="21"/>
          <w:highlight w:val="none"/>
          <w:lang w:eastAsia="zh-CN"/>
        </w:rPr>
        <w:t>。</w:t>
      </w:r>
      <w:r>
        <w:rPr>
          <w:rFonts w:hint="eastAsia" w:hAnsi="宋体"/>
          <w:b/>
          <w:bCs/>
          <w:color w:val="auto"/>
          <w:sz w:val="21"/>
          <w:szCs w:val="21"/>
          <w:highlight w:val="none"/>
          <w:lang w:val="en-US" w:eastAsia="zh-CN"/>
        </w:rPr>
        <w:t>下浮率报价应≥0%，即如下浮率为5，则填写5%，无需填写“-”号</w:t>
      </w:r>
      <w:r>
        <w:rPr>
          <w:rFonts w:hint="eastAsia" w:ascii="宋体" w:hAnsi="宋体"/>
          <w:b/>
          <w:bCs/>
          <w:color w:val="auto"/>
          <w:sz w:val="21"/>
          <w:szCs w:val="21"/>
          <w:highlight w:val="none"/>
        </w:rPr>
        <w:t>。</w:t>
      </w:r>
    </w:p>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3、小数点保留至2位。</w:t>
      </w:r>
    </w:p>
    <w:p>
      <w:pPr>
        <w:rPr>
          <w:rFonts w:ascii="宋体" w:hAnsi="宋体" w:cs="宋体"/>
          <w:color w:val="auto"/>
          <w:sz w:val="21"/>
          <w:szCs w:val="21"/>
          <w:highlight w:val="none"/>
        </w:rPr>
      </w:pPr>
    </w:p>
    <w:p>
      <w:pPr>
        <w:rPr>
          <w:rFonts w:ascii="宋体" w:hAnsi="宋体" w:cs="宋体"/>
          <w:color w:val="auto"/>
          <w:sz w:val="21"/>
          <w:szCs w:val="21"/>
          <w:highlight w:val="none"/>
        </w:rPr>
      </w:pP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 xml:space="preserve">投 标 人：(盖章) </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授权代表：(签字)</w:t>
      </w:r>
    </w:p>
    <w:p>
      <w:pPr>
        <w:rPr>
          <w:rFonts w:ascii="宋体" w:hAnsi="宋体" w:cs="宋体"/>
          <w:color w:val="auto"/>
          <w:sz w:val="21"/>
          <w:szCs w:val="21"/>
          <w:highlight w:val="none"/>
        </w:rPr>
      </w:pPr>
      <w:r>
        <w:rPr>
          <w:rFonts w:hint="eastAsia" w:ascii="宋体" w:hAnsi="宋体"/>
          <w:color w:val="auto"/>
          <w:sz w:val="21"/>
          <w:szCs w:val="21"/>
          <w:highlight w:val="none"/>
        </w:rPr>
        <w:t>日期：</w:t>
      </w:r>
      <w:r>
        <w:rPr>
          <w:rFonts w:ascii="宋体" w:hAnsi="宋体" w:cs="宋体"/>
          <w:color w:val="auto"/>
          <w:sz w:val="21"/>
          <w:szCs w:val="21"/>
          <w:highlight w:val="none"/>
        </w:rPr>
        <w:br w:type="page"/>
      </w:r>
    </w:p>
    <w:p>
      <w:pPr>
        <w:spacing w:line="276" w:lineRule="auto"/>
        <w:jc w:val="center"/>
        <w:outlineLvl w:val="1"/>
        <w:rPr>
          <w:b/>
          <w:color w:val="auto"/>
          <w:highlight w:val="none"/>
        </w:rPr>
      </w:pPr>
      <w:bookmarkStart w:id="277" w:name="_Toc335"/>
      <w:r>
        <w:rPr>
          <w:rFonts w:hint="eastAsia"/>
          <w:b/>
          <w:color w:val="auto"/>
          <w:highlight w:val="none"/>
        </w:rPr>
        <w:t>投标分项报价表</w:t>
      </w:r>
      <w:bookmarkEnd w:id="277"/>
    </w:p>
    <w:p>
      <w:pPr>
        <w:spacing w:line="276" w:lineRule="auto"/>
        <w:jc w:val="both"/>
        <w:rPr>
          <w:rFonts w:ascii="宋体"/>
          <w:b/>
          <w:color w:val="auto"/>
          <w:szCs w:val="24"/>
          <w:highlight w:val="none"/>
        </w:rPr>
      </w:pPr>
    </w:p>
    <w:p>
      <w:pPr>
        <w:pStyle w:val="22"/>
        <w:adjustRightInd w:val="0"/>
        <w:snapToGrid w:val="0"/>
        <w:spacing w:line="360" w:lineRule="auto"/>
        <w:rPr>
          <w:color w:val="auto"/>
          <w:highlight w:val="none"/>
          <w:u w:val="single"/>
        </w:rPr>
      </w:pPr>
      <w:r>
        <w:rPr>
          <w:rFonts w:hint="eastAsia"/>
          <w:color w:val="auto"/>
          <w:highlight w:val="none"/>
        </w:rPr>
        <w:t>招标编号：</w:t>
      </w:r>
    </w:p>
    <w:p>
      <w:pPr>
        <w:spacing w:line="360" w:lineRule="auto"/>
        <w:rPr>
          <w:rFonts w:hint="eastAsia"/>
          <w:b/>
          <w:bCs/>
          <w:color w:val="auto"/>
          <w:kern w:val="2"/>
          <w:sz w:val="21"/>
          <w:szCs w:val="21"/>
          <w:highlight w:val="none"/>
        </w:rPr>
      </w:pPr>
      <w:r>
        <w:rPr>
          <w:rFonts w:hint="eastAsia"/>
          <w:color w:val="auto"/>
          <w:sz w:val="21"/>
          <w:szCs w:val="21"/>
          <w:highlight w:val="none"/>
        </w:rPr>
        <w:t>项目名称：</w:t>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w:t>
      </w:r>
      <w:r>
        <w:rPr>
          <w:rFonts w:hint="eastAsia"/>
          <w:b/>
          <w:bCs/>
          <w:color w:val="auto"/>
          <w:kern w:val="2"/>
          <w:sz w:val="21"/>
          <w:szCs w:val="21"/>
          <w:highlight w:val="none"/>
          <w:lang w:val="en-US" w:eastAsia="zh-CN"/>
        </w:rPr>
        <w:t>四：鄞州北区常规交通设施年度维护</w:t>
      </w:r>
      <w:r>
        <w:rPr>
          <w:rFonts w:hint="eastAsia"/>
          <w:b/>
          <w:bCs/>
          <w:color w:val="auto"/>
          <w:kern w:val="2"/>
          <w:sz w:val="21"/>
          <w:szCs w:val="21"/>
          <w:highlight w:val="none"/>
        </w:rPr>
        <w:t>清单</w:t>
      </w:r>
    </w:p>
    <w:tbl>
      <w:tblPr>
        <w:tblStyle w:val="40"/>
        <w:tblW w:w="5652" w:type="pct"/>
        <w:tblInd w:w="-6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9"/>
        <w:gridCol w:w="1804"/>
        <w:gridCol w:w="4951"/>
        <w:gridCol w:w="791"/>
        <w:gridCol w:w="1287"/>
        <w:gridCol w:w="1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35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848"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服务项目</w:t>
            </w:r>
          </w:p>
        </w:tc>
        <w:tc>
          <w:tcPr>
            <w:tcW w:w="232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技术参数</w:t>
            </w:r>
          </w:p>
        </w:tc>
        <w:tc>
          <w:tcPr>
            <w:tcW w:w="372"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605"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综合单价最高限价（元）</w:t>
            </w:r>
          </w:p>
        </w:tc>
        <w:tc>
          <w:tcPr>
            <w:tcW w:w="491"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投标综合单价（元）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w:t>
            </w:r>
          </w:p>
        </w:tc>
        <w:tc>
          <w:tcPr>
            <w:tcW w:w="8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维护项目</w:t>
            </w:r>
          </w:p>
        </w:tc>
        <w:tc>
          <w:tcPr>
            <w:tcW w:w="3798"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常温标线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厚度0.4mm以上</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44.06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Ⅱ级反光热熔标线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普通热熔振荡标线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基线厚度达到1.5mm，突起部分高度达到5mm，均匀撒布反光珠</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91.23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Ⅱ级振荡反光热熔标线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彩色防滑路面标线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使用三层工艺，含地面夯平、清洁路面、涂布彩色底漆、撒砂、收砂、涂布高光面漆。标线厚度2-3mm。陶瓷颗粒直径1-2mm。</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179.85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双组份结构型反光标线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高压水除线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超高压水磨清洗法，清除老标线，无明显痕迹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39.24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绿化带端头刷漆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按照GB5768要求施划立面标记，黄黑漆，零星施工。</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89.38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705.13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711.34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975.23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989.24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标志牌贴膜改版</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旧标牌内容变更，贴超强级反光膜</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788.31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784.39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标志牌更换（面积＞15m2）</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799.95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杆件、警示桩、护栏边柱、岗亭等设施贴超强级反光膜。按实计算</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KT板（广告牌）</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按要求设计版面</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抱箍</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铝滑槽抱箍、镀锌U型管夹抱箍、紧固件抱箍圈。含配套螺栓螺母。</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30.52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小型活动支架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钢制活动支架，用以直接设置在路上，3m2以下</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403.3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大型活动支架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钢制活动支架，用以直接设置在路上，3m2以上，含3m2</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机动车靠右标志（一体化）</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黄黑警示桩上结合标志牌，含安装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695.32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标志牌清洗</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仅限大于5m²的，小于等于5m²的包含于年度维护费中</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10414.75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基础（C25混凝土）</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含基础开挖,混凝土浇灌。详见交警局《宁波市交通标杆及基础、交通护栏大样图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947.77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基础（杆件钢筋）</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详见交警局《宁波市交通标杆及基础、交通护栏大样图 V2.1》</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5713.17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大型杆件吊装</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不含基础，含杆件运输和吊装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827.5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348.46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护栏反光片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安装在护栏边柱，反光诱导作用，两片一组，一片的价格为一组的一半</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城市护栏轮廓标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1.由弹性TPU材料制成，耐刮擦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2.反光膜区域内凹2mm，减少刮擦磨损；含3M反光膜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3.规格:12.4*5.4*3cm</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护栏底座</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对损坏底座进行更换，并安装于指定位置。详见各阶段护栏标准</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护栏普通盖帽</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安装在护栏的顶部，并安装于指定位置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中心护栏边柱方管（含反光膜）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机非护栏边柱方管（含反光膜）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护栏道钉</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护栏安装后固定用的钉子，材质须为镀锌。</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枚</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高度渐变中心护栏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中心矮护栏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326.44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2m/扇，整体高度80cm，详见护栏大样图，含所有配件和安装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546.7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2m/扇，详见护栏大样图，含配件，不含安装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弧形护栏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中央绿篱</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1180mm*3000mm，并安装于指定位置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起伏波浪纹景观护栏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738.45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古藏金典护栏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600.82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波形护栏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含栏板、托架、立柱、护头、铁脚等配件，含基础开挖、夯实、钢笼、预理件及混凝土浇灌，高度、长度参照大样图，并安装于指定位置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218.26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景观护栏花箱</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景观护栏（东部新城）</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中山路花箱护栏（波浪）</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中山路花箱护栏（回字）</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瓦片式护栏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4469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185.23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人非不锈钢护栏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514.67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人行护栏刷漆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对生锈的人行护栏刷油漆，含油漆费用</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可移动护栏（钢轮）</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活动中心护栏（加工）</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4000*1050mm，详见交警局《宁波市交通标杆及基础、交通护栏大样图 V2.1》中心护栏样式，底座改滚轮式</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不锈钢伸缩护栏</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高1.3米，运送至甲方指定地点。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272.47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锁具</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3米链条（防剪加粗8mm）+锁具</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车档石柱隔离墩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ø220*500mm，贴3M黄黑反光条，含基础开挖及安装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283.4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新款防撞桶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贴红白反光膜，桶内装入适当沙石，并放置指定位置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278.93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三联防撞桶</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新型船式防撞桶，由三个防撞桶组成</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2001.13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DN100警示桩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法兰盘300*300*14mm，立柱ø110*800*4mm，整件热镀锌， 4个膨胀螺丝固定。运送至甲方指定地点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152.6</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φ115.8道钉式弹性交通柱</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可拆卸式弹性交通柱（红白）</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φ80*750，符合GBT 24972-2010 可拆卸式弹性交通柱标准（甲供安装数量总计超过1000根后每安装一根甲供材料补贴5元）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二次过街用的警示桩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用在二次过街路口，黄黑相间</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锥筒</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新款pvc材质交通路锥，产品技术参数须符合符合招标文件中的技术要求。反光膜上打有宁波交警水印</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水马</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新款水马，滚塑三孔，1500*800mm，净重大于12.5公斤，桶内装入适当沙石，并放置指定位置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365.83</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防眩板</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220*900mm，4个304不锈钢膨胀螺丝固定，玻璃钢质，并安装指定位置（甲供安装数量总计超过1000片后每安装一片甲供材料补贴5元）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防抛网</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220*900mm，4个膨胀螺丝固定，玻璃钢质，并安装指定位置（甲供安装数量总计超过1000片后每安装一片甲供材料补贴5元）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可导向钢制防撞垫</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符合JTG D81-2017和JTG/T D81-2017的要求</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轮廓标</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反光诱导作用，并安装于指定位置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减速垄</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橡胶反光减速带，1000*360*50mm或500*360*50mm黄黑条纹，每米8根道钉固定。并安装于指定位置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111.71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抽屉锁</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A级锁，岗亭衣柜及办公抽屉锁等</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岗亭门锁</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B级锁即可。</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岗亭玻璃（平面），更换岗亭玻璃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岗亭玻璃(曲面)</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更换岗亭玻璃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岗亭灯管</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更换岗亭日光灯管</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岗亭（空调加氟利昂）</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老旧空调加氟利昂</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岗亭（空调遥控器）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适配岗亭空调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1.5P，型号不限</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4360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1.0P，型号不限</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满足岗亭日常清洁需求</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岗亭内的扫把、拖把、水桶、垃圾畚斗、抹布</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岗亭（空调铜管）</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更换岗亭空调铜管</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岗亭（空调插座）</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更换岗亭空调插座</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岗亭（空调主板）</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更换岗亭空调主板</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岗亭空调清洗，漏水修复</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岗亭清洗</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对岗亭进行整体清洗</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行人二次过街横杆</w:t>
            </w:r>
          </w:p>
        </w:tc>
        <w:tc>
          <w:tcPr>
            <w:tcW w:w="232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4芯电缆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ZCKVVR电缆线4*1.5mm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凸面镜</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直径80cm 含DN100杆件及基础制作和安装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707.7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挡车器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500*150*100mm，黄黑色，膨胀螺丝固定，并安装于指定位置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108.98</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爆闪灯</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双面太阳能LED灯，带储电池，并安装于指定位置。不含DN80立杆和基础</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新增宣传标语（铁皮）</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安装在指定的护栏上</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新增行人安全岛</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公交车站</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行人安全岛</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岛头900mm*920mm*625mm*2只，配2根DN80钢管警示桩，踏板1000mm*900mm*40mm*4块。共长6m，并安装于指定位置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9265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塑料反光道钉</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尺寸（mm）100*100打孔加胶粘安装石英砂，包含安装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刷漆</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对生锈的岗亭、标志杆除锈刷油漆，含油漆费用</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遮阳棚（手动）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伸缩遮阳棚尺寸2.5m*2.5m，其中机头、前管、伸缩臂等金属构件均采用铝合金材质，棚布采用加厚PVC材质，防水防晒，配2m伸缩手摇杆</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遮阳棚（电动）</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1417</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848" w:type="pct"/>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岗亭窗帘，含轨道</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w:t>
            </w:r>
          </w:p>
        </w:tc>
        <w:tc>
          <w:tcPr>
            <w:tcW w:w="8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年度维护费</w:t>
            </w:r>
          </w:p>
        </w:tc>
        <w:tc>
          <w:tcPr>
            <w:tcW w:w="3798" w:type="pct"/>
            <w:gridSpan w:val="4"/>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8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维护费</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780000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w:t>
            </w:r>
          </w:p>
        </w:tc>
        <w:tc>
          <w:tcPr>
            <w:tcW w:w="8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保险</w:t>
            </w:r>
          </w:p>
        </w:tc>
        <w:tc>
          <w:tcPr>
            <w:tcW w:w="3798"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8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公众责任险</w:t>
            </w:r>
          </w:p>
        </w:tc>
        <w:tc>
          <w:tcPr>
            <w:tcW w:w="2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合同工期内投标区域内所有交通安全设施的保险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（本项不得下浮）</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85000</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85000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9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标项一综合单价最高限价总计（元）</w:t>
            </w:r>
          </w:p>
        </w:tc>
        <w:tc>
          <w:tcPr>
            <w:tcW w:w="233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9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除公众责任险外的统一下浮率</w:t>
            </w:r>
          </w:p>
        </w:tc>
        <w:tc>
          <w:tcPr>
            <w:tcW w:w="233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29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投标综合单价合计（元）</w:t>
            </w:r>
          </w:p>
        </w:tc>
        <w:tc>
          <w:tcPr>
            <w:tcW w:w="233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备注：1、数量均默认为“1”；</w:t>
      </w:r>
    </w:p>
    <w:p>
      <w:pPr>
        <w:spacing w:line="360" w:lineRule="auto"/>
        <w:rPr>
          <w:rFonts w:ascii="宋体" w:hAnsi="宋体"/>
          <w:b/>
          <w:bCs/>
          <w:color w:val="auto"/>
          <w:sz w:val="21"/>
          <w:szCs w:val="21"/>
          <w:highlight w:val="none"/>
        </w:rPr>
      </w:pPr>
      <w:r>
        <w:rPr>
          <w:rFonts w:hint="eastAsia" w:ascii="宋体" w:hAnsi="宋体"/>
          <w:b/>
          <w:bCs/>
          <w:color w:val="auto"/>
          <w:sz w:val="21"/>
          <w:szCs w:val="21"/>
          <w:highlight w:val="none"/>
        </w:rPr>
        <w:t>2、</w:t>
      </w:r>
      <w:r>
        <w:rPr>
          <w:rFonts w:hint="eastAsia" w:hAnsi="宋体"/>
          <w:b/>
          <w:bCs/>
          <w:color w:val="auto"/>
          <w:sz w:val="21"/>
          <w:szCs w:val="21"/>
          <w:highlight w:val="none"/>
        </w:rPr>
        <w:t>投标报价采用综合单价统一下浮方式（不接受不平衡报价</w:t>
      </w:r>
      <w:r>
        <w:rPr>
          <w:rFonts w:hint="eastAsia" w:hAnsi="宋体" w:cs="宋体"/>
          <w:b/>
          <w:bCs/>
          <w:color w:val="auto"/>
          <w:sz w:val="21"/>
          <w:szCs w:val="21"/>
          <w:highlight w:val="none"/>
        </w:rPr>
        <w:t>）</w:t>
      </w:r>
      <w:r>
        <w:rPr>
          <w:rFonts w:hint="eastAsia" w:hAnsi="宋体"/>
          <w:b/>
          <w:bCs/>
          <w:color w:val="auto"/>
          <w:sz w:val="21"/>
          <w:szCs w:val="21"/>
          <w:highlight w:val="none"/>
        </w:rPr>
        <w:t>，其他报价方式视为无效投标</w:t>
      </w:r>
      <w:r>
        <w:rPr>
          <w:rFonts w:hint="eastAsia" w:hAnsi="宋体"/>
          <w:b/>
          <w:bCs/>
          <w:color w:val="auto"/>
          <w:sz w:val="21"/>
          <w:szCs w:val="21"/>
          <w:highlight w:val="none"/>
          <w:lang w:eastAsia="zh-CN"/>
        </w:rPr>
        <w:t>。</w:t>
      </w:r>
      <w:r>
        <w:rPr>
          <w:rFonts w:hint="eastAsia" w:hAnsi="宋体"/>
          <w:b/>
          <w:bCs/>
          <w:color w:val="auto"/>
          <w:sz w:val="21"/>
          <w:szCs w:val="21"/>
          <w:highlight w:val="none"/>
          <w:lang w:val="en-US" w:eastAsia="zh-CN"/>
        </w:rPr>
        <w:t>下浮率报价应≥0%，即如下浮率为5，则填写5%，无需填写“-”号</w:t>
      </w:r>
      <w:r>
        <w:rPr>
          <w:rFonts w:hint="eastAsia" w:ascii="宋体" w:hAnsi="宋体"/>
          <w:b/>
          <w:bCs/>
          <w:color w:val="auto"/>
          <w:sz w:val="21"/>
          <w:szCs w:val="21"/>
          <w:highlight w:val="none"/>
        </w:rPr>
        <w:t>。</w:t>
      </w:r>
    </w:p>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3、小数点保留至2位。</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 xml:space="preserve">投 标 人：(盖章) </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授权代表：(签字)</w:t>
      </w:r>
    </w:p>
    <w:p>
      <w:pPr>
        <w:rPr>
          <w:rFonts w:hint="eastAsia" w:hAnsi="宋体"/>
          <w:color w:val="auto"/>
          <w:sz w:val="21"/>
          <w:szCs w:val="21"/>
          <w:highlight w:val="none"/>
        </w:rPr>
      </w:pPr>
      <w:r>
        <w:rPr>
          <w:rFonts w:hint="eastAsia" w:ascii="宋体" w:hAnsi="宋体"/>
          <w:color w:val="auto"/>
          <w:sz w:val="21"/>
          <w:szCs w:val="21"/>
          <w:highlight w:val="none"/>
        </w:rPr>
        <w:t>日期：</w:t>
      </w:r>
      <w:r>
        <w:rPr>
          <w:rFonts w:hint="eastAsia" w:hAnsi="宋体"/>
          <w:color w:val="auto"/>
          <w:sz w:val="21"/>
          <w:szCs w:val="21"/>
          <w:highlight w:val="none"/>
        </w:rPr>
        <w:br w:type="page"/>
      </w:r>
    </w:p>
    <w:p>
      <w:pPr>
        <w:spacing w:line="276" w:lineRule="auto"/>
        <w:jc w:val="center"/>
        <w:outlineLvl w:val="1"/>
        <w:rPr>
          <w:b/>
          <w:color w:val="auto"/>
          <w:highlight w:val="none"/>
        </w:rPr>
      </w:pPr>
      <w:bookmarkStart w:id="278" w:name="_Toc16284"/>
      <w:r>
        <w:rPr>
          <w:rFonts w:hint="eastAsia"/>
          <w:b/>
          <w:color w:val="auto"/>
          <w:highlight w:val="none"/>
        </w:rPr>
        <w:t>投标分项报价表</w:t>
      </w:r>
      <w:bookmarkEnd w:id="278"/>
    </w:p>
    <w:p>
      <w:pPr>
        <w:spacing w:line="276" w:lineRule="auto"/>
        <w:jc w:val="both"/>
        <w:rPr>
          <w:rFonts w:ascii="宋体"/>
          <w:b/>
          <w:color w:val="auto"/>
          <w:szCs w:val="24"/>
          <w:highlight w:val="none"/>
        </w:rPr>
      </w:pPr>
    </w:p>
    <w:p>
      <w:pPr>
        <w:pStyle w:val="22"/>
        <w:adjustRightInd w:val="0"/>
        <w:snapToGrid w:val="0"/>
        <w:spacing w:line="360" w:lineRule="auto"/>
        <w:rPr>
          <w:color w:val="auto"/>
          <w:highlight w:val="none"/>
          <w:u w:val="single"/>
        </w:rPr>
      </w:pPr>
      <w:r>
        <w:rPr>
          <w:rFonts w:hint="eastAsia"/>
          <w:color w:val="auto"/>
          <w:highlight w:val="none"/>
        </w:rPr>
        <w:t>招标编号：</w:t>
      </w:r>
    </w:p>
    <w:p>
      <w:pPr>
        <w:spacing w:line="360" w:lineRule="auto"/>
        <w:rPr>
          <w:rFonts w:hint="eastAsia"/>
          <w:b/>
          <w:bCs/>
          <w:color w:val="auto"/>
          <w:kern w:val="2"/>
          <w:sz w:val="21"/>
          <w:szCs w:val="21"/>
          <w:highlight w:val="none"/>
        </w:rPr>
      </w:pPr>
      <w:r>
        <w:rPr>
          <w:rFonts w:hint="eastAsia"/>
          <w:color w:val="auto"/>
          <w:sz w:val="21"/>
          <w:szCs w:val="21"/>
          <w:highlight w:val="none"/>
        </w:rPr>
        <w:t>项目名称：</w:t>
      </w:r>
    </w:p>
    <w:p>
      <w:pPr>
        <w:spacing w:line="360" w:lineRule="auto"/>
        <w:rPr>
          <w:rFonts w:hint="eastAsia" w:ascii="宋体" w:hAnsi="宋体"/>
          <w:b/>
          <w:color w:val="auto"/>
          <w:sz w:val="21"/>
          <w:szCs w:val="21"/>
          <w:highlight w:val="none"/>
        </w:rPr>
      </w:pPr>
      <w:r>
        <w:rPr>
          <w:rFonts w:hint="eastAsia"/>
          <w:b/>
          <w:bCs/>
          <w:color w:val="auto"/>
          <w:kern w:val="2"/>
          <w:sz w:val="21"/>
          <w:szCs w:val="21"/>
          <w:highlight w:val="none"/>
        </w:rPr>
        <w:t>标项</w:t>
      </w:r>
      <w:r>
        <w:rPr>
          <w:rFonts w:hint="eastAsia"/>
          <w:b/>
          <w:bCs/>
          <w:color w:val="auto"/>
          <w:kern w:val="2"/>
          <w:sz w:val="21"/>
          <w:szCs w:val="21"/>
          <w:highlight w:val="none"/>
          <w:lang w:val="en-US" w:eastAsia="zh-CN"/>
        </w:rPr>
        <w:t>五：海曙东区常规交通设施年度维护</w:t>
      </w:r>
      <w:r>
        <w:rPr>
          <w:rFonts w:hint="eastAsia"/>
          <w:b/>
          <w:bCs/>
          <w:color w:val="auto"/>
          <w:kern w:val="2"/>
          <w:sz w:val="21"/>
          <w:szCs w:val="21"/>
          <w:highlight w:val="none"/>
        </w:rPr>
        <w:t>清单</w:t>
      </w:r>
    </w:p>
    <w:tbl>
      <w:tblPr>
        <w:tblStyle w:val="40"/>
        <w:tblW w:w="5744" w:type="pct"/>
        <w:tblInd w:w="-6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
        <w:gridCol w:w="1921"/>
        <w:gridCol w:w="5027"/>
        <w:gridCol w:w="715"/>
        <w:gridCol w:w="1416"/>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30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889"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服务项目</w:t>
            </w:r>
          </w:p>
        </w:tc>
        <w:tc>
          <w:tcPr>
            <w:tcW w:w="2327"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技术参数</w:t>
            </w:r>
          </w:p>
        </w:tc>
        <w:tc>
          <w:tcPr>
            <w:tcW w:w="331"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655"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综合单价最高限价（元）</w:t>
            </w:r>
          </w:p>
        </w:tc>
        <w:tc>
          <w:tcPr>
            <w:tcW w:w="488" w:type="pct"/>
            <w:tcBorders>
              <w:top w:val="single" w:color="000000" w:sz="4" w:space="0"/>
              <w:left w:val="single" w:color="000000" w:sz="4" w:space="0"/>
              <w:bottom w:val="single" w:color="000000" w:sz="4" w:space="0"/>
              <w:right w:val="single" w:color="000000" w:sz="4" w:space="0"/>
            </w:tcBorders>
            <w:shd w:val="clear" w:color="auto" w:fill="DBEEF3" w:themeFill="accent5" w:themeFillTint="32"/>
            <w:noWrap w:val="0"/>
            <w:vAlign w:val="center"/>
          </w:tcPr>
          <w:p>
            <w:pPr>
              <w:keepNext w:val="0"/>
              <w:keepLines w:val="0"/>
              <w:widowControl/>
              <w:suppressLineNumbers w:val="0"/>
              <w:jc w:val="both"/>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投标综合单价（元）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维护项目</w:t>
            </w:r>
          </w:p>
        </w:tc>
        <w:tc>
          <w:tcPr>
            <w:tcW w:w="3802"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常温标线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厚度0.4mm以上</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11.79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44.06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Ⅱ级反光热熔标线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 厚度1.8mm以上，均匀撒布反光珠，符合F80-2017(公路工程质量检验评定标准）标线施划后检测逆反射亮度系数大于250，一年内任意一次检测时数值均需大于150。</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普通热熔振荡标线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基线厚度达到1.5mm，突起部分高度达到5mm，均匀撒布反光珠</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91.23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Ⅱ级振荡反光热熔标线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热熔反光型标线，厚度1.5mm以上，凸起部分高度达到5mm，均匀撒布反光珠，符合JTG F80/1-2017《公路工程质量检验评定标准》施划后检测逆反射亮度系数≥250，一年内任意一次检测时逆反射亮度系数≥150</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彩色防滑路面标线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使用三层工艺，含地面夯平、清洁路面、涂布彩色底漆、撒砂、收砂、涂布高光面漆。标线厚度2-3mm。陶瓷颗粒直径1-2mm。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179.85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双组份结构型反光标线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1、表面MMA材质；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2、不粘胎干结时间：≤15 分钟；</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3、耐磨性：≤40mg；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4、符合JTG F80/1-2017《公路工程质量检验评定标准》施划后检测逆反射亮度系数≥250，一年内任一一次检测时逆反射亮度系数≥150</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119.9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高压水除线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超高压水磨清洗法，清除老标线，无明显痕迹</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39.24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绿化带端头刷漆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按照GB5768要求施划立面标记，黄黑漆，零星施工。</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89.38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标志板型号1060H24铝合金标志板制作、安装，超强级反光膜（Ⅳ类），单位面积1m2，厚度2mm，含折边、铝槽、抱箍、螺栓。详见交警局《宁波市区交通设施细节要求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705.13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标志牌（IV类）（面积≥7m2，＜15m2）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标志板型号1060H24铝合金标志板制作、安装，超强级反光膜（Ⅳ类），单位面积1m2，厚度2.5mm，含折边、铝槽、抱箍、螺栓。详见交警局《宁波市区交通设施细节要求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711.34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标志牌（IV类）（面积≥15m2）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711.4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标志板型号1060H24铝合金标志板制作、安装，超强级反光膜（V类），单位面积1m2，厚度2mm，含折边、铝槽、抱箍、螺栓。详见交警局《宁波市区交通设施细节要求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975.23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标志牌（V类）（面积≥7m2，＜15m2）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981.45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标志牌（V类）（面积＞15m2）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标志板型号1060H24铝合金标志板制作、安装，超强级反光膜（V类），单位面积1m2，厚度2.5mm，含折边、铝槽、抱箍、螺栓。详见交警局《宁波市区交通设施细节要求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989.24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标志牌贴膜改版</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旧标牌内容变更，贴超强级反光膜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788.31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标志牌更换（面积≥7m2，＜15m2）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784.39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标志牌更换（面积＞15m2）</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标志板型号1060H24铝合金标志板制作、安装，超强级反光膜（Ⅳ类），单位面积1m2，厚度2mm，新增标志含折边、铝槽、抱箍、螺栓等配件，老旧标志含拆除及运输入库</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799.95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杆件、警示桩、护栏边柱、岗亭等设施贴超强级反光膜。按实计算</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KT板（广告牌）</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按要求设计版面</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抱箍</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铝滑槽抱箍、镀锌U型管夹抱箍、紧固件抱箍圈。含配套螺栓螺母。</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30.52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小型活动支架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钢制活动支架，用以直接设置在路上，3m2以下</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403.3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大型活动支架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钢制活动支架，用以直接设置在路上，3m2以上，含3m2</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817.5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机动车靠右标志（一体化）</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黄黑警示桩上结合标志牌，含安装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695.32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标志牌清洗</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仅限大于5m²的，小于等于5m²的包含于年度维护费中</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标志杆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安装于指定位置。详见交警局《宁波市交通标杆及基础、交通护栏大样图 V2.1》 所有大于DN110的杆件终生质保并按照大样图制作铭牌。不含基础。</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10414.75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基础（C25混凝土）</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含基础开挖,混凝土浇灌。详见交警局《宁波市交通标杆及基础、交通护栏大样图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947.77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基础（杆件钢筋）</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详见交警局《宁波市交通标杆及基础、交通护栏大样图 V2.1》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5713.17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大型杆件吊装</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不含基础，含杆件运输和吊装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827.5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2m/扇，详见护栏大样图，含所有配件和安装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348.46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护栏反光片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安装在护栏边柱，反光诱导作用，两片一组，一片的价格为一组的一半</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组</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城市护栏轮廓标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1.由弹性TPU材料制成，耐刮擦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2.反光膜区域内凹2mm，减少刮擦磨损；含3M反光膜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3.规格:12.4*5.4*3cm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护栏底座</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对损坏底座进行更换，并安装于指定位置。详见各阶段护栏标准</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护栏普通盖帽</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安装在护栏的顶部，并安装于指定位置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中心护栏边柱方管（含反光膜）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机非护栏边柱方管（含反光膜）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热镀锌方管，加贴黄黑超强级反光膜，并安装于护栏首片位置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49.05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护栏道钉</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护栏安装后固定用的钉子，材质须为镀锌。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枚</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高度渐变中心护栏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370.46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中心矮护栏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326.44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2m/扇，整体高度80cm，详见护栏大样图，含所有配件和安装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546.7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东部新城式景观中心矮护栏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2m/扇，详见护栏大样图，含配件，不含安装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弧形护栏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2m/扇，含安装及反光片、底座等配件，详见招标文件</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414.5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中央绿篱</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1180mm*3000mm，并安装于指定位置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起伏波浪纹景观护栏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738.45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古藏金典护栏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2.5m/扇，详见护栏大样图，含所有配件和安装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600.82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波形护栏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含栏板、托架、立柱、护头、铁脚等配件，含基础开挖、夯实、钢笼、预理件及混凝土浇灌，高度、长度参照大样图，并安装于指定位置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218.26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景观护栏花箱</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1144.5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景观护栏（东部新城）</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479.6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中山路花箱护栏（波浪）</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中山路花箱护栏（回字）</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2398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瓦片式护栏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详见图纸</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4469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185.23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人非不锈钢护栏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965*2800mm，含基础开挖、夯实、预理件及混凝土浇灌。并安装于指定位置，详见大样图</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514.67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人行护栏刷漆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对生锈的人行护栏刷油漆，含油漆费用</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可移动护栏（钢轮）</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立柱DN219*1300*6mm，底法兰800*600*20mm，钢轮配置紧密型主轴、轴承及底坐，护栏片釆用60*60+40*40方管制作并设置缓冲装置，所有材料采用热镀锌浸泡处理，成品后贴反光膜，不含基础制作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活动中心护栏（加工）</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4000*1050mm，详见交警局《宁波市交通标杆及基础、交通护栏大样图 V2.1》中心护栏样式，底座改滚轮式</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不锈钢伸缩护栏</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高1.3米，运送至甲方指定地点。</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272.47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锁具</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3米链条（防剪加粗8mm）+锁具</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130.8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车档石柱隔离墩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ø220*500mm，贴3M黄黑反光条，含基础开挖及安装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283.4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新款防撞桶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贴红白反光膜，桶内装入适当沙石，并放置指定位置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278.93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三联防撞桶</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新型船式防撞桶，由三个防撞桶组成</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2001.13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DN100警示桩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法兰盘300*300*14mm，立柱ø110*800*4mm，整件热镀锌， 4个膨胀螺丝固定。运送至甲方指定地点</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152.6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φ115.8道钉式弹性交通柱</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TPU材质，硬度85-90A， 拉伸强度20MPA，弹性交通柱高度80±2cm，长方形底座225x167±1cm,重量2.0±0.1KG，通体壁厚不小于3mm；柱体含有两道反光膜，反光膜区域凹陷2MM以上，反光膜具有柔韧性并符合国标IV类（甲供安装数量总计超过1000根后每安装一根甲供材料补贴5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可拆卸式弹性交通柱（红白）</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φ80*750，符合GBT 24972-2010 可拆卸式弹性交通柱标准（甲供安装数量总计超过1000根后每安装一根甲供材料补贴5元）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87.18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二次过街用的警示桩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用在二次过街路口，黄黑相间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锥筒</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新款pvc材质交通路锥，产品技术参数须符合符合招标文件中的技术要求。反光膜上打有宁波交警水印</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水马</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新款水马，滚塑三孔，1500*800mm，净重大于12.5公斤，桶内装入适当沙石，并放置指定位置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365.83</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防眩板</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220*900mm，4个304不锈钢膨胀螺丝固定，玻璃钢质，并安装指定位置（甲供安装数量总计超过1000片后每安装一片甲供材料补贴5元）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70.85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防抛网</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220*900mm，4个膨胀螺丝固定，玻璃钢质，并安装指定位置（甲供安装数量总计超过1000片后每安装一片甲供材料补贴5元）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196.2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可导向钢制防撞垫</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符合JTG D81-2017和JTG/T D81-2017的要求</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轮廓标</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反光诱导作用，并安装于指定位置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减速垄</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橡胶反光减速带，1000*360*50mm或500*360*50mm黄黑条纹，每米8根道钉固定。并安装于指定位置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111.71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抽屉锁</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A级锁，岗亭衣柜及办公抽屉锁等</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岗亭门锁</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B级锁即可。</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岗亭玻璃（平面），更换岗亭玻璃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岗亭玻璃(曲面)</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更换岗亭玻璃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岗亭灯管</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更换岗亭日光灯管</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岗亭（空调加氟利昂）</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老旧空调加氟利昂</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次</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岗亭（空调遥控器）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适配岗亭空调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1.5P，型号不限</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4360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1.0P，型号不限</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满足岗亭日常清洁需求</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岗亭内的扫把、拖把、水桶、垃圾畚斗、抹布</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件</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岗亭（空调铜管）</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更换岗亭空调铜管</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岗亭（空调插座）</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更换岗亭空调插座</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岗亭（空调主板）</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更换岗亭空调主板</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岗亭空调清洗，漏水修复</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处</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岗亭清洗</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对岗亭进行整体清洗</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行人二次过街横杆</w:t>
            </w:r>
          </w:p>
        </w:tc>
        <w:tc>
          <w:tcPr>
            <w:tcW w:w="23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用在二次过街路口</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2180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4芯电缆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ZCKVVR电缆线4*1.5mm</w:t>
            </w:r>
            <w:r>
              <w:rPr>
                <w:rFonts w:hint="eastAsia" w:ascii="宋体" w:hAnsi="宋体" w:eastAsia="宋体" w:cs="宋体"/>
                <w:i w:val="0"/>
                <w:iCs w:val="0"/>
                <w:color w:val="auto"/>
                <w:kern w:val="0"/>
                <w:sz w:val="20"/>
                <w:szCs w:val="20"/>
                <w:highlight w:val="none"/>
                <w:u w:val="none"/>
                <w:vertAlign w:val="superscript"/>
                <w:lang w:val="en-US" w:eastAsia="zh-CN" w:bidi="ar"/>
              </w:rPr>
              <w:t>2</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凸面镜</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直径80cm 含DN100杆件及基础制作和安装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707.7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挡车器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500*150*100mm，黄黑色，膨胀螺丝固定，并安装于指定位置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108.98</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爆闪灯</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双面太阳能LED灯，带储电池，并安装于指定位置。不含DN80立杆和基础</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96</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新增宣传标语（铁皮）</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安装在指定的护栏上</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97</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新增行人安全岛</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公交车站</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98</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行人安全岛</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岛头900mm*920mm*625mm*2只，配2根DN80钢管警示桩，踏板1000mm*900mm*40mm*4块。共长6m，并安装于指定位置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9265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99</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塑料反光道钉</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尺寸（mm）100*100打孔加胶粘安装石英砂，包含安装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38.15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刷漆</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对生锈的岗亭、标志杆除锈刷油漆，含油漆费用</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109</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101</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遮阳棚（手动）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伸缩遮阳棚尺寸2.5m*2.5m，其中机头、前管、伸缩臂等金属构件均采用铝合金材质，棚布采用加厚PVC材质，防水防晒，配2m伸缩手摇杆</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102</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遮阳棚（电动）</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伸缩遮阳棚尺寸2.5m*2.5m，其中机头、前管、伸缩臂等金属构件均采用铝合金材质，棚布采用加厚PVC材质，防水防晒，配手、自电动一体电机，可遥控伸缩</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1417</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103</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窗帘</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岗亭窗帘，含轨道</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163.5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年度维护费</w:t>
            </w:r>
          </w:p>
        </w:tc>
        <w:tc>
          <w:tcPr>
            <w:tcW w:w="3802"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104</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维护费</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基本维护费用含道路巡查、排查、维护，小杆件扶正，护栏整理、标志杆件拆除、标志牌版面的清洗（小于等于5m2），甲供材料的安装（弹性交通柱、防眩板等但不限于主材清单内的内容），场地间设施搬运，岗亭及内部设备的日常维护和保养，部分绿化修剪，非法广告拆除，交通设施基础信息排查、统计、汇总及所有人工费、汽车台班费、占道费用等内容。</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780000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保险</w:t>
            </w:r>
          </w:p>
        </w:tc>
        <w:tc>
          <w:tcPr>
            <w:tcW w:w="3802" w:type="pct"/>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8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公众责任险</w:t>
            </w:r>
          </w:p>
        </w:tc>
        <w:tc>
          <w:tcPr>
            <w:tcW w:w="23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合同工期内投标区域内所有交通安全设施的保险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（本项不得下浮）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85000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cs="宋体"/>
                <w:i w:val="0"/>
                <w:iCs w:val="0"/>
                <w:color w:val="auto"/>
                <w:kern w:val="0"/>
                <w:sz w:val="20"/>
                <w:szCs w:val="20"/>
                <w:highlight w:val="none"/>
                <w:u w:val="none"/>
                <w:lang w:val="en-US" w:eastAsia="zh-CN" w:bidi="ar"/>
              </w:rPr>
              <w:t>85000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32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标项一综合单价最高限价总计（元）</w:t>
            </w:r>
          </w:p>
        </w:tc>
        <w:tc>
          <w:tcPr>
            <w:tcW w:w="24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978190.71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32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除公众责任险外的统一下浮率</w:t>
            </w:r>
          </w:p>
        </w:tc>
        <w:tc>
          <w:tcPr>
            <w:tcW w:w="24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val="0"/>
              <w:snapToGrid/>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32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投标综合单价合计（元）</w:t>
            </w:r>
          </w:p>
        </w:tc>
        <w:tc>
          <w:tcPr>
            <w:tcW w:w="247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备注：1、数量均默认为“1”；</w:t>
      </w:r>
    </w:p>
    <w:p>
      <w:pPr>
        <w:spacing w:line="360" w:lineRule="auto"/>
        <w:rPr>
          <w:rFonts w:ascii="宋体" w:hAnsi="宋体"/>
          <w:b/>
          <w:bCs/>
          <w:color w:val="auto"/>
          <w:sz w:val="21"/>
          <w:szCs w:val="21"/>
          <w:highlight w:val="none"/>
        </w:rPr>
      </w:pPr>
      <w:r>
        <w:rPr>
          <w:rFonts w:hint="eastAsia" w:ascii="宋体" w:hAnsi="宋体"/>
          <w:b/>
          <w:bCs/>
          <w:color w:val="auto"/>
          <w:sz w:val="21"/>
          <w:szCs w:val="21"/>
          <w:highlight w:val="none"/>
        </w:rPr>
        <w:t>2、</w:t>
      </w:r>
      <w:r>
        <w:rPr>
          <w:rFonts w:hint="eastAsia" w:hAnsi="宋体"/>
          <w:b/>
          <w:bCs/>
          <w:color w:val="auto"/>
          <w:sz w:val="21"/>
          <w:szCs w:val="21"/>
          <w:highlight w:val="none"/>
        </w:rPr>
        <w:t>投标报价采用综合单价统一下浮方式（不接受不平衡报价</w:t>
      </w:r>
      <w:r>
        <w:rPr>
          <w:rFonts w:hint="eastAsia" w:hAnsi="宋体" w:cs="宋体"/>
          <w:b/>
          <w:bCs/>
          <w:color w:val="auto"/>
          <w:sz w:val="21"/>
          <w:szCs w:val="21"/>
          <w:highlight w:val="none"/>
        </w:rPr>
        <w:t>）</w:t>
      </w:r>
      <w:r>
        <w:rPr>
          <w:rFonts w:hint="eastAsia" w:hAnsi="宋体"/>
          <w:b/>
          <w:bCs/>
          <w:color w:val="auto"/>
          <w:sz w:val="21"/>
          <w:szCs w:val="21"/>
          <w:highlight w:val="none"/>
        </w:rPr>
        <w:t>，其他报价方式视为无效投标</w:t>
      </w:r>
      <w:r>
        <w:rPr>
          <w:rFonts w:hint="eastAsia" w:hAnsi="宋体"/>
          <w:b/>
          <w:bCs/>
          <w:color w:val="auto"/>
          <w:sz w:val="21"/>
          <w:szCs w:val="21"/>
          <w:highlight w:val="none"/>
          <w:lang w:eastAsia="zh-CN"/>
        </w:rPr>
        <w:t>。</w:t>
      </w:r>
      <w:r>
        <w:rPr>
          <w:rFonts w:hint="eastAsia" w:hAnsi="宋体"/>
          <w:b/>
          <w:bCs/>
          <w:color w:val="auto"/>
          <w:sz w:val="21"/>
          <w:szCs w:val="21"/>
          <w:highlight w:val="none"/>
          <w:lang w:val="en-US" w:eastAsia="zh-CN"/>
        </w:rPr>
        <w:t>下浮率报价应≥0%，即如下浮率为5，则填写5%，无需填写“-”号</w:t>
      </w:r>
      <w:r>
        <w:rPr>
          <w:rFonts w:hint="eastAsia" w:ascii="宋体" w:hAnsi="宋体"/>
          <w:b/>
          <w:bCs/>
          <w:color w:val="auto"/>
          <w:sz w:val="21"/>
          <w:szCs w:val="21"/>
          <w:highlight w:val="none"/>
        </w:rPr>
        <w:t>。</w:t>
      </w:r>
    </w:p>
    <w:p>
      <w:pPr>
        <w:spacing w:line="360" w:lineRule="auto"/>
        <w:rPr>
          <w:rFonts w:ascii="宋体" w:hAnsi="宋体" w:cs="宋体"/>
          <w:b/>
          <w:bCs/>
          <w:color w:val="auto"/>
          <w:sz w:val="21"/>
          <w:szCs w:val="16"/>
          <w:highlight w:val="none"/>
        </w:rPr>
      </w:pPr>
      <w:r>
        <w:rPr>
          <w:rFonts w:hint="eastAsia" w:ascii="宋体" w:hAnsi="宋体" w:cs="宋体"/>
          <w:b/>
          <w:bCs/>
          <w:color w:val="auto"/>
          <w:sz w:val="21"/>
          <w:szCs w:val="16"/>
          <w:highlight w:val="none"/>
        </w:rPr>
        <w:t>3、小数点保留至2位。</w:t>
      </w:r>
    </w:p>
    <w:p>
      <w:pPr>
        <w:snapToGrid w:val="0"/>
        <w:spacing w:line="360" w:lineRule="auto"/>
        <w:rPr>
          <w:rFonts w:ascii="宋体" w:hAnsi="宋体"/>
          <w:color w:val="auto"/>
          <w:sz w:val="21"/>
          <w:szCs w:val="21"/>
          <w:highlight w:val="none"/>
        </w:rPr>
      </w:pP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 xml:space="preserve">投 标 人：(盖章) </w:t>
      </w:r>
    </w:p>
    <w:p>
      <w:pPr>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授权代表：(签字)</w:t>
      </w:r>
    </w:p>
    <w:p>
      <w:pPr>
        <w:spacing w:line="360" w:lineRule="auto"/>
        <w:rPr>
          <w:color w:val="auto"/>
          <w:highlight w:val="none"/>
        </w:rPr>
      </w:pPr>
      <w:r>
        <w:rPr>
          <w:rFonts w:hint="eastAsia" w:ascii="宋体" w:hAnsi="宋体"/>
          <w:color w:val="auto"/>
          <w:sz w:val="21"/>
          <w:szCs w:val="21"/>
          <w:highlight w:val="none"/>
        </w:rPr>
        <w:t>日期：</w:t>
      </w:r>
      <w:r>
        <w:rPr>
          <w:color w:val="auto"/>
          <w:highlight w:val="none"/>
        </w:rPr>
        <w:br w:type="page"/>
      </w:r>
    </w:p>
    <w:p>
      <w:pPr>
        <w:spacing w:line="480" w:lineRule="exact"/>
        <w:jc w:val="center"/>
        <w:rPr>
          <w:b/>
          <w:color w:val="auto"/>
          <w:sz w:val="30"/>
          <w:highlight w:val="none"/>
        </w:rPr>
      </w:pPr>
      <w:bookmarkStart w:id="279" w:name="_Toc241827257"/>
      <w:bookmarkStart w:id="280" w:name="_Toc389139112"/>
      <w:bookmarkStart w:id="281" w:name="_Toc387317150"/>
      <w:bookmarkStart w:id="282" w:name="_Toc86202651"/>
      <w:r>
        <w:rPr>
          <w:rFonts w:hint="eastAsia"/>
          <w:b/>
          <w:color w:val="auto"/>
          <w:highlight w:val="none"/>
        </w:rPr>
        <w:t>附件四、法定代表人身份证明书</w:t>
      </w:r>
    </w:p>
    <w:p>
      <w:pPr>
        <w:spacing w:line="480" w:lineRule="exact"/>
        <w:jc w:val="center"/>
        <w:rPr>
          <w:b/>
          <w:color w:val="auto"/>
          <w:sz w:val="28"/>
          <w:highlight w:val="none"/>
        </w:rPr>
      </w:pPr>
    </w:p>
    <w:p>
      <w:pPr>
        <w:spacing w:line="960" w:lineRule="exact"/>
        <w:rPr>
          <w:color w:val="auto"/>
          <w:sz w:val="21"/>
          <w:szCs w:val="21"/>
          <w:highlight w:val="none"/>
          <w:u w:val="single"/>
        </w:rPr>
      </w:pPr>
      <w:r>
        <w:rPr>
          <w:rFonts w:hint="eastAsia"/>
          <w:color w:val="auto"/>
          <w:sz w:val="21"/>
          <w:szCs w:val="21"/>
          <w:highlight w:val="none"/>
        </w:rPr>
        <w:t>单位名称：</w:t>
      </w:r>
    </w:p>
    <w:p>
      <w:pPr>
        <w:spacing w:line="960" w:lineRule="exact"/>
        <w:rPr>
          <w:color w:val="auto"/>
          <w:sz w:val="21"/>
          <w:szCs w:val="21"/>
          <w:highlight w:val="none"/>
          <w:u w:val="single"/>
        </w:rPr>
      </w:pPr>
      <w:r>
        <w:rPr>
          <w:rFonts w:hint="eastAsia"/>
          <w:color w:val="auto"/>
          <w:sz w:val="21"/>
          <w:szCs w:val="21"/>
          <w:highlight w:val="none"/>
        </w:rPr>
        <w:t>单位性质：</w:t>
      </w:r>
    </w:p>
    <w:p>
      <w:pPr>
        <w:spacing w:line="960" w:lineRule="exact"/>
        <w:rPr>
          <w:color w:val="auto"/>
          <w:sz w:val="21"/>
          <w:szCs w:val="21"/>
          <w:highlight w:val="none"/>
          <w:u w:val="single"/>
        </w:rPr>
      </w:pPr>
      <w:r>
        <w:rPr>
          <w:rFonts w:hint="eastAsia"/>
          <w:color w:val="auto"/>
          <w:sz w:val="21"/>
          <w:szCs w:val="21"/>
          <w:highlight w:val="none"/>
        </w:rPr>
        <w:t>地    址：</w:t>
      </w:r>
    </w:p>
    <w:p>
      <w:pPr>
        <w:spacing w:line="960" w:lineRule="exact"/>
        <w:rPr>
          <w:color w:val="auto"/>
          <w:sz w:val="21"/>
          <w:szCs w:val="21"/>
          <w:highlight w:val="none"/>
        </w:rPr>
      </w:pPr>
      <w:r>
        <w:rPr>
          <w:rFonts w:hint="eastAsia"/>
          <w:color w:val="auto"/>
          <w:sz w:val="21"/>
          <w:szCs w:val="21"/>
          <w:highlight w:val="none"/>
        </w:rPr>
        <w:t>成立时间：年月日</w:t>
      </w:r>
    </w:p>
    <w:p>
      <w:pPr>
        <w:spacing w:line="960" w:lineRule="exact"/>
        <w:rPr>
          <w:color w:val="auto"/>
          <w:sz w:val="21"/>
          <w:szCs w:val="21"/>
          <w:highlight w:val="none"/>
          <w:u w:val="single"/>
        </w:rPr>
      </w:pPr>
      <w:r>
        <w:rPr>
          <w:rFonts w:hint="eastAsia"/>
          <w:color w:val="auto"/>
          <w:sz w:val="21"/>
          <w:szCs w:val="21"/>
          <w:highlight w:val="none"/>
        </w:rPr>
        <w:t>经营期限：</w:t>
      </w:r>
    </w:p>
    <w:p>
      <w:pPr>
        <w:spacing w:line="960" w:lineRule="exact"/>
        <w:rPr>
          <w:color w:val="auto"/>
          <w:sz w:val="21"/>
          <w:szCs w:val="21"/>
          <w:highlight w:val="none"/>
          <w:u w:val="single"/>
        </w:rPr>
      </w:pPr>
      <w:r>
        <w:rPr>
          <w:rFonts w:hint="eastAsia"/>
          <w:color w:val="auto"/>
          <w:sz w:val="21"/>
          <w:szCs w:val="21"/>
          <w:highlight w:val="none"/>
        </w:rPr>
        <w:t>姓    名：  性别： 年龄： 职务：</w:t>
      </w:r>
    </w:p>
    <w:p>
      <w:pPr>
        <w:spacing w:line="960" w:lineRule="exact"/>
        <w:rPr>
          <w:color w:val="auto"/>
          <w:sz w:val="21"/>
          <w:szCs w:val="21"/>
          <w:highlight w:val="none"/>
        </w:rPr>
      </w:pPr>
      <w:r>
        <w:rPr>
          <w:rFonts w:hint="eastAsia"/>
          <w:color w:val="auto"/>
          <w:sz w:val="21"/>
          <w:szCs w:val="21"/>
          <w:highlight w:val="none"/>
        </w:rPr>
        <w:t xml:space="preserve">系 </w:t>
      </w:r>
      <w:r>
        <w:rPr>
          <w:rFonts w:hint="eastAsia"/>
          <w:color w:val="auto"/>
          <w:sz w:val="21"/>
          <w:szCs w:val="21"/>
          <w:highlight w:val="none"/>
          <w:u w:val="single"/>
        </w:rPr>
        <w:t xml:space="preserve">           (投标人名称)                     </w:t>
      </w:r>
      <w:r>
        <w:rPr>
          <w:rFonts w:hint="eastAsia"/>
          <w:color w:val="auto"/>
          <w:sz w:val="21"/>
          <w:szCs w:val="21"/>
          <w:highlight w:val="none"/>
        </w:rPr>
        <w:t>的法定代表人。</w:t>
      </w:r>
    </w:p>
    <w:p>
      <w:pPr>
        <w:spacing w:line="960" w:lineRule="exact"/>
        <w:rPr>
          <w:color w:val="auto"/>
          <w:sz w:val="21"/>
          <w:szCs w:val="21"/>
          <w:highlight w:val="none"/>
        </w:rPr>
      </w:pPr>
      <w:r>
        <w:rPr>
          <w:rFonts w:hint="eastAsia"/>
          <w:color w:val="auto"/>
          <w:sz w:val="21"/>
          <w:szCs w:val="21"/>
          <w:highlight w:val="none"/>
        </w:rPr>
        <w:t>特此证明。</w:t>
      </w:r>
    </w:p>
    <w:p>
      <w:pPr>
        <w:spacing w:line="960" w:lineRule="exact"/>
        <w:rPr>
          <w:color w:val="auto"/>
          <w:sz w:val="21"/>
          <w:szCs w:val="21"/>
          <w:highlight w:val="none"/>
          <w:u w:val="single"/>
        </w:rPr>
      </w:pPr>
      <w:r>
        <w:rPr>
          <w:rFonts w:hint="eastAsia"/>
          <w:color w:val="auto"/>
          <w:sz w:val="21"/>
          <w:szCs w:val="21"/>
          <w:highlight w:val="none"/>
        </w:rPr>
        <w:t xml:space="preserve">                               投标人：</w:t>
      </w:r>
      <w:r>
        <w:rPr>
          <w:rFonts w:hint="eastAsia"/>
          <w:color w:val="auto"/>
          <w:sz w:val="21"/>
          <w:szCs w:val="21"/>
          <w:highlight w:val="none"/>
          <w:u w:val="single"/>
        </w:rPr>
        <w:t xml:space="preserve">               (盖章)             </w:t>
      </w:r>
    </w:p>
    <w:p>
      <w:pPr>
        <w:spacing w:line="960" w:lineRule="exact"/>
        <w:rPr>
          <w:color w:val="auto"/>
          <w:sz w:val="21"/>
          <w:szCs w:val="21"/>
          <w:highlight w:val="none"/>
        </w:rPr>
      </w:pPr>
      <w:r>
        <w:rPr>
          <w:rFonts w:hint="eastAsia"/>
          <w:color w:val="auto"/>
          <w:sz w:val="21"/>
          <w:szCs w:val="21"/>
          <w:highlight w:val="none"/>
        </w:rPr>
        <w:t xml:space="preserve">                               日  期：年月日</w:t>
      </w:r>
    </w:p>
    <w:p>
      <w:pPr>
        <w:rPr>
          <w:color w:val="auto"/>
          <w:sz w:val="21"/>
          <w:szCs w:val="21"/>
          <w:highlight w:val="none"/>
        </w:rPr>
      </w:pPr>
    </w:p>
    <w:p>
      <w:pPr>
        <w:rPr>
          <w:color w:val="auto"/>
          <w:sz w:val="21"/>
          <w:szCs w:val="21"/>
          <w:highlight w:val="none"/>
        </w:rPr>
      </w:pPr>
    </w:p>
    <w:p>
      <w:pPr>
        <w:spacing w:line="276" w:lineRule="auto"/>
        <w:ind w:firstLine="1054" w:firstLineChars="500"/>
        <w:jc w:val="center"/>
        <w:outlineLvl w:val="1"/>
        <w:rPr>
          <w:b/>
          <w:color w:val="auto"/>
          <w:highlight w:val="none"/>
        </w:rPr>
      </w:pPr>
      <w:bookmarkStart w:id="283" w:name="_Toc6871"/>
      <w:bookmarkStart w:id="284" w:name="_Toc8981"/>
      <w:bookmarkStart w:id="285" w:name="_Toc1096"/>
      <w:r>
        <w:rPr>
          <w:rFonts w:hint="eastAsia" w:ascii="宋体" w:hAnsi="宋体"/>
          <w:b/>
          <w:color w:val="auto"/>
          <w:sz w:val="21"/>
          <w:szCs w:val="21"/>
          <w:highlight w:val="none"/>
          <w:u w:val="single"/>
        </w:rPr>
        <w:t>附：法定代表人身份证复印件。</w:t>
      </w:r>
      <w:r>
        <w:rPr>
          <w:b/>
          <w:color w:val="auto"/>
          <w:highlight w:val="none"/>
        </w:rPr>
        <w:br w:type="page"/>
      </w:r>
      <w:r>
        <w:rPr>
          <w:rFonts w:hint="eastAsia"/>
          <w:b/>
          <w:color w:val="auto"/>
          <w:highlight w:val="none"/>
        </w:rPr>
        <w:t>法定代表人授权委托书</w:t>
      </w:r>
      <w:bookmarkEnd w:id="279"/>
      <w:bookmarkEnd w:id="280"/>
      <w:bookmarkEnd w:id="281"/>
      <w:bookmarkEnd w:id="283"/>
      <w:bookmarkEnd w:id="284"/>
      <w:bookmarkEnd w:id="285"/>
    </w:p>
    <w:p>
      <w:pPr>
        <w:spacing w:line="276" w:lineRule="auto"/>
        <w:rPr>
          <w:rFonts w:ascii="宋体"/>
          <w:color w:val="auto"/>
          <w:szCs w:val="24"/>
          <w:highlight w:val="none"/>
          <w:u w:val="single"/>
        </w:rPr>
      </w:pPr>
    </w:p>
    <w:p>
      <w:pPr>
        <w:spacing w:line="276" w:lineRule="auto"/>
        <w:rPr>
          <w:rFonts w:ascii="宋体"/>
          <w:color w:val="auto"/>
          <w:szCs w:val="24"/>
          <w:highlight w:val="none"/>
          <w:u w:val="single"/>
        </w:rPr>
      </w:pPr>
    </w:p>
    <w:p>
      <w:pPr>
        <w:spacing w:line="360" w:lineRule="auto"/>
        <w:rPr>
          <w:rFonts w:ascii="宋体"/>
          <w:color w:val="auto"/>
          <w:sz w:val="21"/>
          <w:szCs w:val="21"/>
          <w:highlight w:val="none"/>
        </w:rPr>
      </w:pPr>
      <w:r>
        <w:rPr>
          <w:rFonts w:hint="eastAsia" w:ascii="宋体"/>
          <w:color w:val="auto"/>
          <w:sz w:val="21"/>
          <w:szCs w:val="21"/>
          <w:highlight w:val="none"/>
          <w:u w:val="single"/>
        </w:rPr>
        <w:t>（招标人）名称</w:t>
      </w:r>
      <w:r>
        <w:rPr>
          <w:rFonts w:hint="eastAsia" w:ascii="宋体"/>
          <w:color w:val="auto"/>
          <w:sz w:val="21"/>
          <w:szCs w:val="21"/>
          <w:highlight w:val="none"/>
        </w:rPr>
        <w:t>：</w:t>
      </w:r>
    </w:p>
    <w:p>
      <w:pPr>
        <w:spacing w:line="360" w:lineRule="auto"/>
        <w:rPr>
          <w:rFonts w:ascii="宋体"/>
          <w:color w:val="auto"/>
          <w:sz w:val="21"/>
          <w:szCs w:val="21"/>
          <w:highlight w:val="none"/>
        </w:rPr>
      </w:pP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本授权书声明：注册于（投标人住址）的（投标人名称）法定代表人（法定代表人姓名、职务）代表本公司授权在下面签字的（投标人代表姓名、职务）为本公司的合法代理人，就贵方组织的项目，招标编号：，以本公司名义处理一切与之有关的事务。</w:t>
      </w:r>
    </w:p>
    <w:p>
      <w:pPr>
        <w:spacing w:line="360" w:lineRule="auto"/>
        <w:rPr>
          <w:rFonts w:ascii="宋体"/>
          <w:color w:val="auto"/>
          <w:sz w:val="21"/>
          <w:szCs w:val="21"/>
          <w:highlight w:val="none"/>
        </w:rPr>
      </w:pP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本授权书于年月日签字生效，特此声明。</w:t>
      </w:r>
    </w:p>
    <w:p>
      <w:pPr>
        <w:spacing w:line="360" w:lineRule="auto"/>
        <w:rPr>
          <w:rFonts w:ascii="宋体"/>
          <w:color w:val="auto"/>
          <w:sz w:val="21"/>
          <w:szCs w:val="21"/>
          <w:highlight w:val="none"/>
        </w:rPr>
      </w:pP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 xml:space="preserve">法定代表人姓名（印刷体）：签字（或盖人名章）： </w:t>
      </w:r>
    </w:p>
    <w:p>
      <w:pPr>
        <w:spacing w:line="360" w:lineRule="auto"/>
        <w:rPr>
          <w:rFonts w:ascii="宋体"/>
          <w:color w:val="auto"/>
          <w:sz w:val="21"/>
          <w:szCs w:val="21"/>
          <w:highlight w:val="none"/>
        </w:rPr>
      </w:pP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 xml:space="preserve">投标人代表姓名（印刷体）：签字： </w:t>
      </w:r>
    </w:p>
    <w:p>
      <w:pPr>
        <w:spacing w:line="360" w:lineRule="auto"/>
        <w:rPr>
          <w:rFonts w:ascii="宋体"/>
          <w:color w:val="auto"/>
          <w:sz w:val="21"/>
          <w:szCs w:val="21"/>
          <w:highlight w:val="none"/>
        </w:rPr>
      </w:pPr>
      <w:r>
        <w:rPr>
          <w:rFonts w:hint="eastAsia" w:ascii="宋体"/>
          <w:color w:val="auto"/>
          <w:sz w:val="21"/>
          <w:szCs w:val="21"/>
          <w:highlight w:val="none"/>
        </w:rPr>
        <w:tab/>
      </w: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投标人全称并加盖投标人公章：</w:t>
      </w:r>
    </w:p>
    <w:p>
      <w:pPr>
        <w:snapToGrid w:val="0"/>
        <w:ind w:firstLine="527" w:firstLineChars="250"/>
        <w:rPr>
          <w:rFonts w:ascii="宋体" w:hAnsi="宋体"/>
          <w:b/>
          <w:color w:val="auto"/>
          <w:sz w:val="21"/>
          <w:szCs w:val="21"/>
          <w:highlight w:val="none"/>
          <w:u w:val="single"/>
        </w:rPr>
      </w:pPr>
      <w:r>
        <w:rPr>
          <w:rFonts w:hint="eastAsia" w:ascii="宋体" w:hAnsi="宋体"/>
          <w:b/>
          <w:color w:val="auto"/>
          <w:sz w:val="21"/>
          <w:szCs w:val="21"/>
          <w:highlight w:val="none"/>
          <w:u w:val="single"/>
        </w:rPr>
        <w:t>附：法定代表人及被授权人身份证复印件。</w:t>
      </w:r>
    </w:p>
    <w:p>
      <w:pPr>
        <w:snapToGrid w:val="0"/>
        <w:spacing w:line="400" w:lineRule="exact"/>
        <w:rPr>
          <w:rFonts w:ascii="宋体" w:hAnsi="宋体" w:cs="宋体"/>
          <w:color w:val="auto"/>
          <w:sz w:val="21"/>
          <w:szCs w:val="21"/>
          <w:highlight w:val="none"/>
        </w:rPr>
      </w:pPr>
    </w:p>
    <w:p>
      <w:pPr>
        <w:pStyle w:val="18"/>
        <w:spacing w:line="300" w:lineRule="auto"/>
        <w:ind w:left="0" w:leftChars="0"/>
        <w:rPr>
          <w:b/>
          <w:color w:val="auto"/>
          <w:sz w:val="21"/>
          <w:highlight w:val="none"/>
        </w:rPr>
      </w:pPr>
      <w:r>
        <w:rPr>
          <w:rFonts w:hint="eastAsia"/>
          <w:b/>
          <w:color w:val="auto"/>
          <w:sz w:val="21"/>
          <w:highlight w:val="none"/>
        </w:rPr>
        <w:t>注:</w:t>
      </w:r>
      <w:r>
        <w:rPr>
          <w:rFonts w:hAnsi="Courier New"/>
          <w:b/>
          <w:color w:val="auto"/>
          <w:spacing w:val="-4"/>
          <w:sz w:val="21"/>
          <w:highlight w:val="none"/>
        </w:rPr>
        <w:t>如果投标人的法定代表人亲自签署投标文件，则不需提交</w:t>
      </w:r>
      <w:r>
        <w:rPr>
          <w:rFonts w:hint="eastAsia" w:hAnsi="Courier New"/>
          <w:b/>
          <w:color w:val="auto"/>
          <w:spacing w:val="-4"/>
          <w:sz w:val="21"/>
          <w:highlight w:val="none"/>
        </w:rPr>
        <w:t>此</w:t>
      </w:r>
      <w:r>
        <w:rPr>
          <w:rFonts w:hAnsi="Courier New"/>
          <w:b/>
          <w:color w:val="auto"/>
          <w:spacing w:val="-4"/>
          <w:sz w:val="21"/>
          <w:highlight w:val="none"/>
        </w:rPr>
        <w:t>授权书。</w:t>
      </w:r>
    </w:p>
    <w:p>
      <w:pPr>
        <w:spacing w:line="360" w:lineRule="auto"/>
        <w:ind w:firstLine="420" w:firstLineChars="200"/>
        <w:rPr>
          <w:rFonts w:ascii="宋体"/>
          <w:color w:val="auto"/>
          <w:sz w:val="21"/>
          <w:szCs w:val="21"/>
          <w:highlight w:val="none"/>
        </w:rPr>
      </w:pPr>
    </w:p>
    <w:p>
      <w:pPr>
        <w:spacing w:line="276" w:lineRule="auto"/>
        <w:ind w:firstLine="480" w:firstLineChars="200"/>
        <w:rPr>
          <w:rFonts w:ascii="宋体"/>
          <w:color w:val="auto"/>
          <w:szCs w:val="24"/>
          <w:highlight w:val="none"/>
        </w:rPr>
      </w:pPr>
    </w:p>
    <w:p>
      <w:pPr>
        <w:spacing w:line="276" w:lineRule="auto"/>
        <w:ind w:firstLine="480" w:firstLineChars="200"/>
        <w:rPr>
          <w:rFonts w:ascii="宋体"/>
          <w:color w:val="auto"/>
          <w:szCs w:val="24"/>
          <w:highlight w:val="none"/>
        </w:rPr>
        <w:sectPr>
          <w:pgSz w:w="11906" w:h="16838"/>
          <w:pgMar w:top="1418" w:right="1134" w:bottom="1418" w:left="1588" w:header="851" w:footer="851"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bookmarkEnd w:id="282"/>
    <w:p>
      <w:pPr>
        <w:spacing w:line="276" w:lineRule="auto"/>
        <w:jc w:val="center"/>
        <w:outlineLvl w:val="1"/>
        <w:rPr>
          <w:b/>
          <w:color w:val="auto"/>
          <w:highlight w:val="none"/>
        </w:rPr>
      </w:pPr>
      <w:bookmarkStart w:id="286" w:name="_Toc241827260"/>
      <w:bookmarkStart w:id="287" w:name="_Toc20923"/>
      <w:bookmarkStart w:id="288" w:name="_Toc389139113"/>
      <w:bookmarkStart w:id="289" w:name="_Toc387317151"/>
      <w:bookmarkStart w:id="290" w:name="_Toc4086"/>
      <w:bookmarkStart w:id="291" w:name="_Toc16368"/>
      <w:bookmarkStart w:id="292" w:name="_Toc86202636"/>
      <w:r>
        <w:rPr>
          <w:rFonts w:hint="eastAsia"/>
          <w:b/>
          <w:color w:val="auto"/>
          <w:highlight w:val="none"/>
        </w:rPr>
        <w:t>附件五、</w:t>
      </w:r>
      <w:bookmarkEnd w:id="286"/>
      <w:r>
        <w:rPr>
          <w:rFonts w:hint="eastAsia"/>
          <w:b/>
          <w:color w:val="auto"/>
          <w:highlight w:val="none"/>
        </w:rPr>
        <w:t>技术应答（偏离）表</w:t>
      </w:r>
      <w:bookmarkEnd w:id="287"/>
      <w:bookmarkEnd w:id="288"/>
      <w:bookmarkEnd w:id="289"/>
      <w:bookmarkEnd w:id="290"/>
      <w:bookmarkEnd w:id="291"/>
    </w:p>
    <w:tbl>
      <w:tblPr>
        <w:tblStyle w:val="40"/>
        <w:tblW w:w="884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304"/>
        <w:gridCol w:w="2268"/>
        <w:gridCol w:w="2410"/>
        <w:gridCol w:w="1966"/>
        <w:gridCol w:w="8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vAlign w:val="center"/>
          </w:tcPr>
          <w:p>
            <w:pPr>
              <w:spacing w:before="120" w:line="360" w:lineRule="auto"/>
              <w:jc w:val="center"/>
              <w:rPr>
                <w:rFonts w:ascii="宋体"/>
                <w:color w:val="auto"/>
                <w:sz w:val="21"/>
                <w:szCs w:val="21"/>
                <w:highlight w:val="none"/>
              </w:rPr>
            </w:pPr>
            <w:r>
              <w:rPr>
                <w:rFonts w:hint="eastAsia" w:ascii="宋体"/>
                <w:color w:val="auto"/>
                <w:sz w:val="21"/>
                <w:szCs w:val="21"/>
                <w:highlight w:val="none"/>
              </w:rPr>
              <w:t>序号</w:t>
            </w:r>
          </w:p>
        </w:tc>
        <w:tc>
          <w:tcPr>
            <w:tcW w:w="2268"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招标文件</w:t>
            </w:r>
          </w:p>
          <w:p>
            <w:pPr>
              <w:spacing w:line="360" w:lineRule="auto"/>
              <w:jc w:val="center"/>
              <w:rPr>
                <w:rFonts w:ascii="宋体"/>
                <w:color w:val="auto"/>
                <w:sz w:val="21"/>
                <w:szCs w:val="21"/>
                <w:highlight w:val="none"/>
              </w:rPr>
            </w:pPr>
            <w:r>
              <w:rPr>
                <w:rFonts w:hint="eastAsia" w:ascii="宋体"/>
                <w:color w:val="auto"/>
                <w:sz w:val="21"/>
                <w:szCs w:val="21"/>
                <w:highlight w:val="none"/>
              </w:rPr>
              <w:t>技术要求</w:t>
            </w:r>
          </w:p>
        </w:tc>
        <w:tc>
          <w:tcPr>
            <w:tcW w:w="2410"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对应技术应答</w:t>
            </w:r>
          </w:p>
        </w:tc>
        <w:tc>
          <w:tcPr>
            <w:tcW w:w="1966" w:type="dxa"/>
            <w:vAlign w:val="center"/>
          </w:tcPr>
          <w:p>
            <w:pPr>
              <w:spacing w:before="120" w:line="360" w:lineRule="auto"/>
              <w:jc w:val="center"/>
              <w:rPr>
                <w:rFonts w:ascii="宋体"/>
                <w:color w:val="auto"/>
                <w:sz w:val="21"/>
                <w:szCs w:val="21"/>
                <w:highlight w:val="none"/>
              </w:rPr>
            </w:pPr>
            <w:r>
              <w:rPr>
                <w:rFonts w:hint="eastAsia" w:ascii="宋体"/>
                <w:color w:val="auto"/>
                <w:sz w:val="21"/>
                <w:szCs w:val="21"/>
                <w:highlight w:val="none"/>
              </w:rPr>
              <w:t>偏差</w:t>
            </w:r>
          </w:p>
        </w:tc>
        <w:tc>
          <w:tcPr>
            <w:tcW w:w="895" w:type="dxa"/>
            <w:vAlign w:val="center"/>
          </w:tcPr>
          <w:p>
            <w:pPr>
              <w:spacing w:before="120" w:line="360" w:lineRule="auto"/>
              <w:jc w:val="center"/>
              <w:rPr>
                <w:rFonts w:ascii="宋体"/>
                <w:color w:val="auto"/>
                <w:sz w:val="21"/>
                <w:szCs w:val="21"/>
                <w:highlight w:val="none"/>
              </w:rPr>
            </w:pPr>
            <w:r>
              <w:rPr>
                <w:rFonts w:hint="eastAsia" w:ascii="宋体"/>
                <w:color w:val="auto"/>
                <w:sz w:val="21"/>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rPr>
                <w:rFonts w:ascii="宋体"/>
                <w:color w:val="auto"/>
                <w:sz w:val="21"/>
                <w:szCs w:val="21"/>
                <w:highlight w:val="none"/>
              </w:rPr>
            </w:pPr>
          </w:p>
        </w:tc>
        <w:tc>
          <w:tcPr>
            <w:tcW w:w="2268" w:type="dxa"/>
          </w:tcPr>
          <w:p>
            <w:pPr>
              <w:spacing w:line="360" w:lineRule="auto"/>
              <w:ind w:left="58" w:leftChars="24" w:right="62" w:rightChars="26"/>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ind w:firstLine="420" w:firstLineChars="200"/>
              <w:rPr>
                <w:rFonts w:ascii="宋体"/>
                <w:color w:val="auto"/>
                <w:sz w:val="21"/>
                <w:szCs w:val="21"/>
                <w:highlight w:val="none"/>
              </w:rPr>
            </w:pPr>
          </w:p>
        </w:tc>
        <w:tc>
          <w:tcPr>
            <w:tcW w:w="2268" w:type="dxa"/>
          </w:tcPr>
          <w:p>
            <w:pPr>
              <w:spacing w:line="360" w:lineRule="auto"/>
              <w:ind w:left="58" w:leftChars="24" w:right="62" w:rightChars="26"/>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ind w:firstLine="420" w:firstLineChars="200"/>
              <w:rPr>
                <w:rFonts w:ascii="宋体"/>
                <w:color w:val="auto"/>
                <w:sz w:val="21"/>
                <w:szCs w:val="21"/>
                <w:highlight w:val="none"/>
              </w:rPr>
            </w:pPr>
          </w:p>
        </w:tc>
        <w:tc>
          <w:tcPr>
            <w:tcW w:w="2268" w:type="dxa"/>
          </w:tcPr>
          <w:p>
            <w:pPr>
              <w:spacing w:line="360" w:lineRule="auto"/>
              <w:ind w:left="58" w:leftChars="24" w:right="62" w:rightChars="26"/>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ind w:firstLine="420" w:firstLineChars="200"/>
              <w:rPr>
                <w:rFonts w:ascii="宋体"/>
                <w:color w:val="auto"/>
                <w:sz w:val="21"/>
                <w:szCs w:val="21"/>
                <w:highlight w:val="none"/>
              </w:rPr>
            </w:pPr>
          </w:p>
        </w:tc>
        <w:tc>
          <w:tcPr>
            <w:tcW w:w="2268" w:type="dxa"/>
          </w:tcPr>
          <w:p>
            <w:pPr>
              <w:spacing w:line="360" w:lineRule="auto"/>
              <w:ind w:left="58" w:leftChars="24" w:right="62" w:rightChars="26"/>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rPr>
                <w:rFonts w:ascii="宋体"/>
                <w:color w:val="auto"/>
                <w:sz w:val="21"/>
                <w:szCs w:val="21"/>
                <w:highlight w:val="none"/>
              </w:rPr>
            </w:pPr>
          </w:p>
        </w:tc>
        <w:tc>
          <w:tcPr>
            <w:tcW w:w="2268" w:type="dxa"/>
          </w:tcPr>
          <w:p>
            <w:pPr>
              <w:spacing w:line="360" w:lineRule="auto"/>
              <w:ind w:left="58" w:leftChars="24" w:right="62" w:rightChars="26"/>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ind w:firstLine="420" w:firstLineChars="200"/>
              <w:rPr>
                <w:rFonts w:ascii="宋体"/>
                <w:color w:val="auto"/>
                <w:sz w:val="21"/>
                <w:szCs w:val="21"/>
                <w:highlight w:val="none"/>
              </w:rPr>
            </w:pPr>
          </w:p>
        </w:tc>
        <w:tc>
          <w:tcPr>
            <w:tcW w:w="2268" w:type="dxa"/>
          </w:tcPr>
          <w:p>
            <w:pPr>
              <w:spacing w:line="360" w:lineRule="auto"/>
              <w:ind w:left="58" w:leftChars="24" w:right="62" w:rightChars="26"/>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ind w:firstLine="420" w:firstLineChars="200"/>
              <w:rPr>
                <w:rFonts w:ascii="宋体"/>
                <w:color w:val="auto"/>
                <w:sz w:val="21"/>
                <w:szCs w:val="21"/>
                <w:highlight w:val="none"/>
              </w:rPr>
            </w:pPr>
          </w:p>
        </w:tc>
        <w:tc>
          <w:tcPr>
            <w:tcW w:w="2268" w:type="dxa"/>
          </w:tcPr>
          <w:p>
            <w:pPr>
              <w:spacing w:line="360" w:lineRule="auto"/>
              <w:ind w:left="58" w:leftChars="24" w:right="62" w:rightChars="26"/>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rPr>
                <w:rFonts w:ascii="宋体"/>
                <w:color w:val="auto"/>
                <w:sz w:val="21"/>
                <w:szCs w:val="21"/>
                <w:highlight w:val="none"/>
              </w:rPr>
            </w:pPr>
          </w:p>
        </w:tc>
        <w:tc>
          <w:tcPr>
            <w:tcW w:w="2268" w:type="dxa"/>
          </w:tcPr>
          <w:p>
            <w:pPr>
              <w:spacing w:line="360" w:lineRule="auto"/>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rPr>
                <w:rFonts w:ascii="宋体"/>
                <w:color w:val="auto"/>
                <w:sz w:val="21"/>
                <w:szCs w:val="21"/>
                <w:highlight w:val="none"/>
              </w:rPr>
            </w:pPr>
          </w:p>
        </w:tc>
        <w:tc>
          <w:tcPr>
            <w:tcW w:w="2268" w:type="dxa"/>
          </w:tcPr>
          <w:p>
            <w:pPr>
              <w:spacing w:line="360" w:lineRule="auto"/>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1304" w:type="dxa"/>
          </w:tcPr>
          <w:p>
            <w:pPr>
              <w:spacing w:line="360" w:lineRule="auto"/>
              <w:rPr>
                <w:rFonts w:ascii="宋体"/>
                <w:color w:val="auto"/>
                <w:sz w:val="21"/>
                <w:szCs w:val="21"/>
                <w:highlight w:val="none"/>
              </w:rPr>
            </w:pPr>
          </w:p>
        </w:tc>
        <w:tc>
          <w:tcPr>
            <w:tcW w:w="2268" w:type="dxa"/>
          </w:tcPr>
          <w:p>
            <w:pPr>
              <w:spacing w:line="360" w:lineRule="auto"/>
              <w:rPr>
                <w:rFonts w:ascii="宋体"/>
                <w:color w:val="auto"/>
                <w:sz w:val="21"/>
                <w:szCs w:val="21"/>
                <w:highlight w:val="none"/>
              </w:rPr>
            </w:pPr>
          </w:p>
        </w:tc>
        <w:tc>
          <w:tcPr>
            <w:tcW w:w="2410" w:type="dxa"/>
          </w:tcPr>
          <w:p>
            <w:pPr>
              <w:spacing w:line="360" w:lineRule="auto"/>
              <w:rPr>
                <w:rFonts w:ascii="宋体"/>
                <w:color w:val="auto"/>
                <w:sz w:val="21"/>
                <w:szCs w:val="21"/>
                <w:highlight w:val="none"/>
              </w:rPr>
            </w:pPr>
          </w:p>
        </w:tc>
        <w:tc>
          <w:tcPr>
            <w:tcW w:w="1966" w:type="dxa"/>
          </w:tcPr>
          <w:p>
            <w:pPr>
              <w:spacing w:line="360" w:lineRule="auto"/>
              <w:rPr>
                <w:rFonts w:ascii="宋体"/>
                <w:color w:val="auto"/>
                <w:sz w:val="21"/>
                <w:szCs w:val="21"/>
                <w:highlight w:val="none"/>
              </w:rPr>
            </w:pPr>
          </w:p>
        </w:tc>
        <w:tc>
          <w:tcPr>
            <w:tcW w:w="895" w:type="dxa"/>
          </w:tcPr>
          <w:p>
            <w:pPr>
              <w:spacing w:line="360" w:lineRule="auto"/>
              <w:rPr>
                <w:rFonts w:ascii="宋体"/>
                <w:color w:val="auto"/>
                <w:sz w:val="21"/>
                <w:szCs w:val="21"/>
                <w:highlight w:val="none"/>
              </w:rPr>
            </w:pPr>
          </w:p>
        </w:tc>
      </w:tr>
    </w:tbl>
    <w:p>
      <w:pPr>
        <w:spacing w:line="360" w:lineRule="auto"/>
        <w:rPr>
          <w:rFonts w:ascii="宋体"/>
          <w:color w:val="auto"/>
          <w:sz w:val="21"/>
          <w:szCs w:val="21"/>
          <w:highlight w:val="none"/>
        </w:rPr>
      </w:pP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投标人名称(加盖公章)：</w:t>
      </w:r>
    </w:p>
    <w:p>
      <w:pPr>
        <w:tabs>
          <w:tab w:val="left" w:pos="1440"/>
        </w:tabs>
        <w:spacing w:line="360" w:lineRule="auto"/>
        <w:ind w:firstLine="420" w:firstLineChars="200"/>
        <w:rPr>
          <w:rFonts w:ascii="宋体"/>
          <w:color w:val="auto"/>
          <w:sz w:val="21"/>
          <w:szCs w:val="21"/>
          <w:highlight w:val="none"/>
        </w:rPr>
      </w:pPr>
    </w:p>
    <w:p>
      <w:pPr>
        <w:tabs>
          <w:tab w:val="left" w:pos="1440"/>
        </w:tabs>
        <w:spacing w:line="360" w:lineRule="auto"/>
        <w:ind w:firstLine="420" w:firstLineChars="200"/>
        <w:rPr>
          <w:rFonts w:ascii="宋体"/>
          <w:color w:val="auto"/>
          <w:sz w:val="21"/>
          <w:szCs w:val="21"/>
          <w:highlight w:val="none"/>
        </w:rPr>
      </w:pPr>
      <w:r>
        <w:rPr>
          <w:rFonts w:hint="eastAsia" w:ascii="宋体"/>
          <w:color w:val="auto"/>
          <w:sz w:val="21"/>
          <w:szCs w:val="21"/>
          <w:highlight w:val="none"/>
        </w:rPr>
        <w:t>投标人代表(签字)：</w:t>
      </w:r>
    </w:p>
    <w:p>
      <w:pPr>
        <w:tabs>
          <w:tab w:val="left" w:pos="1440"/>
        </w:tabs>
        <w:spacing w:line="360" w:lineRule="auto"/>
        <w:ind w:firstLine="420" w:firstLineChars="200"/>
        <w:rPr>
          <w:rFonts w:ascii="宋体"/>
          <w:color w:val="auto"/>
          <w:sz w:val="21"/>
          <w:szCs w:val="21"/>
          <w:highlight w:val="none"/>
        </w:rPr>
      </w:pPr>
    </w:p>
    <w:p>
      <w:pPr>
        <w:tabs>
          <w:tab w:val="left" w:pos="1440"/>
        </w:tabs>
        <w:spacing w:line="360" w:lineRule="auto"/>
        <w:ind w:firstLine="420" w:firstLineChars="200"/>
        <w:rPr>
          <w:rFonts w:ascii="宋体"/>
          <w:color w:val="auto"/>
          <w:sz w:val="21"/>
          <w:szCs w:val="21"/>
          <w:highlight w:val="none"/>
        </w:rPr>
      </w:pPr>
      <w:r>
        <w:rPr>
          <w:rFonts w:hint="eastAsia" w:ascii="宋体"/>
          <w:color w:val="auto"/>
          <w:sz w:val="21"/>
          <w:szCs w:val="21"/>
          <w:highlight w:val="none"/>
        </w:rPr>
        <w:t>日期：</w:t>
      </w:r>
    </w:p>
    <w:p>
      <w:pPr>
        <w:tabs>
          <w:tab w:val="left" w:pos="1440"/>
        </w:tabs>
        <w:spacing w:line="360" w:lineRule="auto"/>
        <w:ind w:firstLine="420" w:firstLineChars="200"/>
        <w:rPr>
          <w:rFonts w:ascii="宋体"/>
          <w:color w:val="auto"/>
          <w:sz w:val="21"/>
          <w:szCs w:val="21"/>
          <w:highlight w:val="none"/>
        </w:rPr>
      </w:pPr>
    </w:p>
    <w:p>
      <w:pPr>
        <w:spacing w:line="360" w:lineRule="auto"/>
        <w:ind w:left="269" w:hanging="268" w:hangingChars="128"/>
        <w:rPr>
          <w:rFonts w:ascii="宋体"/>
          <w:color w:val="auto"/>
          <w:sz w:val="21"/>
          <w:szCs w:val="21"/>
          <w:highlight w:val="none"/>
        </w:rPr>
      </w:pPr>
      <w:r>
        <w:rPr>
          <w:rFonts w:hint="eastAsia" w:ascii="宋体"/>
          <w:color w:val="auto"/>
          <w:sz w:val="21"/>
          <w:szCs w:val="21"/>
          <w:highlight w:val="none"/>
        </w:rPr>
        <w:t>注：</w:t>
      </w:r>
    </w:p>
    <w:p>
      <w:pPr>
        <w:spacing w:line="360" w:lineRule="auto"/>
        <w:ind w:left="269" w:hanging="268" w:hangingChars="128"/>
        <w:rPr>
          <w:rFonts w:ascii="宋体"/>
          <w:color w:val="auto"/>
          <w:sz w:val="21"/>
          <w:szCs w:val="21"/>
          <w:highlight w:val="none"/>
        </w:rPr>
      </w:pPr>
      <w:r>
        <w:rPr>
          <w:rFonts w:hint="eastAsia" w:ascii="宋体"/>
          <w:color w:val="auto"/>
          <w:sz w:val="21"/>
          <w:szCs w:val="21"/>
          <w:highlight w:val="none"/>
        </w:rPr>
        <w:t>1、填写此表时，应做到用文字一一对应的描述报价货物技术规范与投标文件技术规范序号、技术规范要求的响应与偏离。</w:t>
      </w:r>
    </w:p>
    <w:p>
      <w:pPr>
        <w:spacing w:line="360" w:lineRule="auto"/>
        <w:rPr>
          <w:rFonts w:ascii="宋体"/>
          <w:color w:val="auto"/>
          <w:sz w:val="21"/>
          <w:szCs w:val="21"/>
          <w:highlight w:val="none"/>
        </w:rPr>
      </w:pPr>
      <w:r>
        <w:rPr>
          <w:rFonts w:hint="eastAsia" w:ascii="宋体"/>
          <w:color w:val="auto"/>
          <w:sz w:val="21"/>
          <w:szCs w:val="21"/>
          <w:highlight w:val="none"/>
        </w:rPr>
        <w:t>2、不能只简单写为“满足”或“无偏差”，否则视为无效应答。</w:t>
      </w:r>
    </w:p>
    <w:p>
      <w:pPr>
        <w:spacing w:line="360" w:lineRule="auto"/>
        <w:rPr>
          <w:rFonts w:ascii="宋体"/>
          <w:b/>
          <w:color w:val="auto"/>
          <w:sz w:val="21"/>
          <w:szCs w:val="21"/>
          <w:highlight w:val="none"/>
        </w:rPr>
      </w:pPr>
      <w:r>
        <w:rPr>
          <w:rFonts w:hint="eastAsia" w:ascii="宋体"/>
          <w:b/>
          <w:color w:val="auto"/>
          <w:sz w:val="21"/>
          <w:szCs w:val="21"/>
          <w:highlight w:val="none"/>
        </w:rPr>
        <w:t>3、投标的供应商应认真阅读“招标需求”中的所有内容，一经投标视为完全理解标书所有内容与要求。在投标时应对招标文件中各项技术要求作出明确的应答和文字说明，不能只用“符合招标要求”、“满足招标要求”字样来描述，表述不清或照抄招标文件中技术要求内容的或只用“符合招标要求”、“满足招标要求”字样来描述的,评审时将酌情扣分。</w:t>
      </w:r>
    </w:p>
    <w:p>
      <w:pPr>
        <w:numPr>
          <w:ilvl w:val="0"/>
          <w:numId w:val="5"/>
        </w:numPr>
        <w:tabs>
          <w:tab w:val="left" w:pos="360"/>
        </w:tabs>
        <w:spacing w:line="276" w:lineRule="auto"/>
        <w:ind w:left="360"/>
        <w:rPr>
          <w:rFonts w:ascii="宋体"/>
          <w:b/>
          <w:color w:val="auto"/>
          <w:szCs w:val="24"/>
          <w:highlight w:val="none"/>
        </w:rPr>
        <w:sectPr>
          <w:pgSz w:w="11906" w:h="16838"/>
          <w:pgMar w:top="1418" w:right="1134" w:bottom="1418" w:left="1588" w:header="851" w:footer="992"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p>
      <w:pPr>
        <w:spacing w:line="276" w:lineRule="auto"/>
        <w:jc w:val="center"/>
        <w:outlineLvl w:val="1"/>
        <w:rPr>
          <w:b/>
          <w:color w:val="auto"/>
          <w:highlight w:val="none"/>
        </w:rPr>
      </w:pPr>
      <w:bookmarkStart w:id="293" w:name="_Toc241827261"/>
      <w:bookmarkStart w:id="294" w:name="_Toc19256"/>
      <w:bookmarkStart w:id="295" w:name="_Toc24068"/>
      <w:bookmarkStart w:id="296" w:name="_Toc29477"/>
      <w:bookmarkStart w:id="297" w:name="_Toc389139114"/>
      <w:bookmarkStart w:id="298" w:name="_Toc387317152"/>
      <w:r>
        <w:rPr>
          <w:rFonts w:hint="eastAsia"/>
          <w:b/>
          <w:color w:val="auto"/>
          <w:highlight w:val="none"/>
        </w:rPr>
        <w:t>附件六、</w:t>
      </w:r>
      <w:bookmarkEnd w:id="293"/>
      <w:r>
        <w:rPr>
          <w:rFonts w:hint="eastAsia"/>
          <w:b/>
          <w:color w:val="auto"/>
          <w:highlight w:val="none"/>
        </w:rPr>
        <w:t>商务偏离表</w:t>
      </w:r>
      <w:bookmarkEnd w:id="294"/>
      <w:bookmarkEnd w:id="295"/>
      <w:bookmarkEnd w:id="296"/>
      <w:bookmarkEnd w:id="297"/>
      <w:bookmarkEnd w:id="298"/>
    </w:p>
    <w:tbl>
      <w:tblPr>
        <w:tblStyle w:val="40"/>
        <w:tblW w:w="9781" w:type="dxa"/>
        <w:tblInd w:w="-5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09"/>
        <w:gridCol w:w="1422"/>
        <w:gridCol w:w="5240"/>
        <w:gridCol w:w="1418"/>
        <w:gridCol w:w="9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hint="eastAsia" w:ascii="宋体"/>
                <w:color w:val="auto"/>
                <w:sz w:val="21"/>
                <w:szCs w:val="21"/>
                <w:highlight w:val="none"/>
              </w:rPr>
              <w:t>序号</w:t>
            </w:r>
          </w:p>
        </w:tc>
        <w:tc>
          <w:tcPr>
            <w:tcW w:w="1422"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招标文件条目</w:t>
            </w:r>
          </w:p>
        </w:tc>
        <w:tc>
          <w:tcPr>
            <w:tcW w:w="5240"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招标文件的商务条款</w:t>
            </w:r>
          </w:p>
        </w:tc>
        <w:tc>
          <w:tcPr>
            <w:tcW w:w="1418"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投标文件的应答与偏离</w:t>
            </w:r>
          </w:p>
        </w:tc>
        <w:tc>
          <w:tcPr>
            <w:tcW w:w="992" w:type="dxa"/>
            <w:vAlign w:val="center"/>
          </w:tcPr>
          <w:p>
            <w:pPr>
              <w:spacing w:line="240" w:lineRule="auto"/>
              <w:jc w:val="center"/>
              <w:rPr>
                <w:rFonts w:ascii="宋体"/>
                <w:color w:val="auto"/>
                <w:sz w:val="21"/>
                <w:szCs w:val="21"/>
                <w:highlight w:val="none"/>
              </w:rPr>
            </w:pPr>
            <w:r>
              <w:rPr>
                <w:rFonts w:hint="eastAsia" w:ascii="宋体"/>
                <w:color w:val="auto"/>
                <w:sz w:val="21"/>
                <w:szCs w:val="21"/>
                <w:highlight w:val="no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ascii="宋体"/>
                <w:color w:val="auto"/>
                <w:sz w:val="21"/>
                <w:szCs w:val="21"/>
                <w:highlight w:val="none"/>
              </w:rPr>
              <w:t>1</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spacing w:line="400" w:lineRule="exact"/>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ascii="宋体"/>
                <w:color w:val="auto"/>
                <w:sz w:val="21"/>
                <w:szCs w:val="21"/>
                <w:highlight w:val="none"/>
              </w:rPr>
              <w:t>2</w:t>
            </w:r>
          </w:p>
        </w:tc>
        <w:tc>
          <w:tcPr>
            <w:tcW w:w="1422" w:type="dxa"/>
            <w:vAlign w:val="center"/>
          </w:tcPr>
          <w:p>
            <w:pPr>
              <w:snapToGrid w:val="0"/>
              <w:spacing w:line="400" w:lineRule="exact"/>
              <w:jc w:val="center"/>
              <w:rPr>
                <w:rFonts w:ascii="宋体"/>
                <w:color w:val="auto"/>
                <w:kern w:val="2"/>
                <w:sz w:val="21"/>
                <w:szCs w:val="21"/>
                <w:highlight w:val="none"/>
              </w:rPr>
            </w:pPr>
          </w:p>
        </w:tc>
        <w:tc>
          <w:tcPr>
            <w:tcW w:w="5240" w:type="dxa"/>
            <w:vAlign w:val="center"/>
          </w:tcPr>
          <w:p>
            <w:pPr>
              <w:pStyle w:val="2"/>
              <w:spacing w:line="360" w:lineRule="auto"/>
              <w:rPr>
                <w:rFonts w:ascii="宋体" w:hAns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jc w:val="center"/>
              <w:rPr>
                <w:rFonts w:ascii="宋体"/>
                <w:color w:val="auto"/>
                <w:sz w:val="21"/>
                <w:szCs w:val="21"/>
                <w:highlight w:val="none"/>
              </w:rPr>
            </w:pPr>
            <w:r>
              <w:rPr>
                <w:rFonts w:hint="eastAsia" w:ascii="宋体"/>
                <w:color w:val="auto"/>
                <w:sz w:val="21"/>
                <w:szCs w:val="21"/>
                <w:highlight w:val="none"/>
              </w:rPr>
              <w:t>3</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spacing w:line="360" w:lineRule="auto"/>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4</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pStyle w:val="2"/>
              <w:spacing w:line="400" w:lineRule="exact"/>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5</w:t>
            </w:r>
          </w:p>
        </w:tc>
        <w:tc>
          <w:tcPr>
            <w:tcW w:w="1422" w:type="dxa"/>
            <w:vAlign w:val="center"/>
          </w:tcPr>
          <w:p>
            <w:pPr>
              <w:snapToGrid w:val="0"/>
              <w:spacing w:line="400" w:lineRule="exact"/>
              <w:jc w:val="center"/>
              <w:rPr>
                <w:rFonts w:ascii="宋体"/>
                <w:color w:val="auto"/>
                <w:sz w:val="21"/>
                <w:szCs w:val="21"/>
                <w:highlight w:val="none"/>
              </w:rPr>
            </w:pPr>
          </w:p>
        </w:tc>
        <w:tc>
          <w:tcPr>
            <w:tcW w:w="5240" w:type="dxa"/>
            <w:vAlign w:val="center"/>
          </w:tcPr>
          <w:p>
            <w:pPr>
              <w:spacing w:line="400" w:lineRule="exact"/>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6</w:t>
            </w:r>
          </w:p>
        </w:tc>
        <w:tc>
          <w:tcPr>
            <w:tcW w:w="1422" w:type="dxa"/>
            <w:vAlign w:val="center"/>
          </w:tcPr>
          <w:p>
            <w:pPr>
              <w:snapToGrid w:val="0"/>
              <w:spacing w:line="400" w:lineRule="exact"/>
              <w:jc w:val="center"/>
              <w:rPr>
                <w:rFonts w:ascii="宋体"/>
                <w:color w:val="auto"/>
                <w:kern w:val="2"/>
                <w:sz w:val="21"/>
                <w:szCs w:val="21"/>
                <w:highlight w:val="none"/>
              </w:rPr>
            </w:pPr>
          </w:p>
        </w:tc>
        <w:tc>
          <w:tcPr>
            <w:tcW w:w="5240" w:type="dxa"/>
            <w:vAlign w:val="center"/>
          </w:tcPr>
          <w:p>
            <w:pPr>
              <w:spacing w:line="400" w:lineRule="exact"/>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7</w:t>
            </w:r>
          </w:p>
        </w:tc>
        <w:tc>
          <w:tcPr>
            <w:tcW w:w="1422" w:type="dxa"/>
            <w:vAlign w:val="center"/>
          </w:tcPr>
          <w:p>
            <w:pPr>
              <w:snapToGrid w:val="0"/>
              <w:spacing w:line="400" w:lineRule="exact"/>
              <w:jc w:val="center"/>
              <w:rPr>
                <w:rFonts w:ascii="宋体"/>
                <w:color w:val="auto"/>
                <w:kern w:val="2"/>
                <w:sz w:val="21"/>
                <w:szCs w:val="21"/>
                <w:highlight w:val="none"/>
              </w:rPr>
            </w:pPr>
          </w:p>
        </w:tc>
        <w:tc>
          <w:tcPr>
            <w:tcW w:w="5240" w:type="dxa"/>
            <w:vAlign w:val="center"/>
          </w:tcPr>
          <w:p>
            <w:pPr>
              <w:spacing w:line="400" w:lineRule="exact"/>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8</w:t>
            </w:r>
          </w:p>
        </w:tc>
        <w:tc>
          <w:tcPr>
            <w:tcW w:w="1422" w:type="dxa"/>
            <w:vAlign w:val="center"/>
          </w:tcPr>
          <w:p>
            <w:pPr>
              <w:snapToGrid w:val="0"/>
              <w:spacing w:line="240" w:lineRule="auto"/>
              <w:jc w:val="center"/>
              <w:rPr>
                <w:rFonts w:ascii="宋体"/>
                <w:color w:val="auto"/>
                <w:kern w:val="2"/>
                <w:sz w:val="21"/>
                <w:szCs w:val="21"/>
                <w:highlight w:val="none"/>
              </w:rPr>
            </w:pPr>
          </w:p>
        </w:tc>
        <w:tc>
          <w:tcPr>
            <w:tcW w:w="5240" w:type="dxa"/>
            <w:vAlign w:val="center"/>
          </w:tcPr>
          <w:p>
            <w:pPr>
              <w:tabs>
                <w:tab w:val="left" w:pos="105"/>
                <w:tab w:val="left" w:pos="735"/>
                <w:tab w:val="left" w:pos="945"/>
                <w:tab w:val="left" w:pos="3360"/>
              </w:tabs>
              <w:spacing w:line="240" w:lineRule="auto"/>
              <w:jc w:val="both"/>
              <w:rPr>
                <w:rFonts w:ascii="宋体"/>
                <w:color w:val="auto"/>
                <w:sz w:val="21"/>
                <w:szCs w:val="21"/>
                <w:highlight w:val="none"/>
              </w:rPr>
            </w:pPr>
          </w:p>
        </w:tc>
        <w:tc>
          <w:tcPr>
            <w:tcW w:w="1418" w:type="dxa"/>
            <w:vAlign w:val="center"/>
          </w:tcPr>
          <w:p>
            <w:pPr>
              <w:spacing w:line="240" w:lineRule="auto"/>
              <w:jc w:val="center"/>
              <w:rPr>
                <w:rFonts w:ascii="宋体"/>
                <w:color w:val="auto"/>
                <w:sz w:val="21"/>
                <w:szCs w:val="21"/>
                <w:highlight w:val="none"/>
              </w:rPr>
            </w:pPr>
          </w:p>
        </w:tc>
        <w:tc>
          <w:tcPr>
            <w:tcW w:w="992" w:type="dxa"/>
            <w:vAlign w:val="center"/>
          </w:tcPr>
          <w:p>
            <w:pPr>
              <w:spacing w:line="240" w:lineRule="auto"/>
              <w:jc w:val="center"/>
              <w:rPr>
                <w:rFonts w:ascii="宋体"/>
                <w:color w:val="auto"/>
                <w:sz w:val="21"/>
                <w:szCs w:val="21"/>
                <w:highlight w:val="none"/>
              </w:rPr>
            </w:pPr>
          </w:p>
        </w:tc>
      </w:tr>
    </w:tbl>
    <w:p>
      <w:pPr>
        <w:spacing w:line="360" w:lineRule="auto"/>
        <w:rPr>
          <w:rFonts w:ascii="宋体"/>
          <w:color w:val="auto"/>
          <w:sz w:val="21"/>
          <w:szCs w:val="21"/>
          <w:highlight w:val="none"/>
        </w:rPr>
      </w:pPr>
      <w:r>
        <w:rPr>
          <w:rFonts w:hint="eastAsia" w:ascii="宋体"/>
          <w:color w:val="auto"/>
          <w:sz w:val="21"/>
          <w:szCs w:val="21"/>
          <w:highlight w:val="none"/>
        </w:rPr>
        <w:t>投标人名称(加盖公章)：</w:t>
      </w:r>
    </w:p>
    <w:p>
      <w:pPr>
        <w:tabs>
          <w:tab w:val="left" w:pos="1440"/>
        </w:tabs>
        <w:spacing w:line="360" w:lineRule="auto"/>
        <w:ind w:firstLine="420" w:firstLineChars="200"/>
        <w:rPr>
          <w:rFonts w:ascii="宋体"/>
          <w:color w:val="auto"/>
          <w:sz w:val="21"/>
          <w:szCs w:val="21"/>
          <w:highlight w:val="none"/>
        </w:rPr>
      </w:pPr>
    </w:p>
    <w:p>
      <w:pPr>
        <w:tabs>
          <w:tab w:val="left" w:pos="1440"/>
        </w:tabs>
        <w:spacing w:line="360" w:lineRule="auto"/>
        <w:ind w:firstLine="420" w:firstLineChars="200"/>
        <w:rPr>
          <w:rFonts w:ascii="宋体"/>
          <w:color w:val="auto"/>
          <w:sz w:val="21"/>
          <w:szCs w:val="21"/>
          <w:highlight w:val="none"/>
        </w:rPr>
      </w:pPr>
      <w:r>
        <w:rPr>
          <w:rFonts w:hint="eastAsia" w:ascii="宋体"/>
          <w:color w:val="auto"/>
          <w:sz w:val="21"/>
          <w:szCs w:val="21"/>
          <w:highlight w:val="none"/>
        </w:rPr>
        <w:t>投标人代表(签字)：</w:t>
      </w:r>
    </w:p>
    <w:p>
      <w:pPr>
        <w:tabs>
          <w:tab w:val="left" w:pos="1440"/>
        </w:tabs>
        <w:spacing w:line="360" w:lineRule="auto"/>
        <w:ind w:firstLine="420" w:firstLineChars="200"/>
        <w:rPr>
          <w:rFonts w:ascii="宋体"/>
          <w:color w:val="auto"/>
          <w:sz w:val="21"/>
          <w:szCs w:val="21"/>
          <w:highlight w:val="none"/>
        </w:rPr>
      </w:pPr>
      <w:r>
        <w:rPr>
          <w:rFonts w:hint="eastAsia" w:ascii="宋体"/>
          <w:color w:val="auto"/>
          <w:sz w:val="21"/>
          <w:szCs w:val="21"/>
          <w:highlight w:val="none"/>
        </w:rPr>
        <w:t>日期：</w:t>
      </w:r>
    </w:p>
    <w:p>
      <w:pPr>
        <w:spacing w:line="360" w:lineRule="auto"/>
        <w:rPr>
          <w:rFonts w:ascii="宋体"/>
          <w:color w:val="auto"/>
          <w:sz w:val="21"/>
          <w:szCs w:val="21"/>
          <w:highlight w:val="none"/>
        </w:rPr>
      </w:pPr>
      <w:r>
        <w:rPr>
          <w:rFonts w:hint="eastAsia" w:ascii="宋体"/>
          <w:color w:val="auto"/>
          <w:sz w:val="21"/>
          <w:szCs w:val="21"/>
          <w:highlight w:val="none"/>
        </w:rPr>
        <w:t>注：</w:t>
      </w:r>
    </w:p>
    <w:p>
      <w:pPr>
        <w:spacing w:line="360" w:lineRule="auto"/>
        <w:ind w:left="281" w:hanging="281" w:hangingChars="134"/>
        <w:rPr>
          <w:rFonts w:ascii="宋体"/>
          <w:color w:val="auto"/>
          <w:sz w:val="21"/>
          <w:szCs w:val="21"/>
          <w:highlight w:val="none"/>
        </w:rPr>
      </w:pPr>
      <w:r>
        <w:rPr>
          <w:rFonts w:hint="eastAsia" w:ascii="宋体"/>
          <w:color w:val="auto"/>
          <w:sz w:val="21"/>
          <w:szCs w:val="21"/>
          <w:highlight w:val="none"/>
        </w:rPr>
        <w:t>1、如有商务偏离，在填写此表时，应做到投标商务应答与招标文件的商务条款一一对应。</w:t>
      </w:r>
    </w:p>
    <w:p>
      <w:pPr>
        <w:spacing w:line="360" w:lineRule="auto"/>
        <w:rPr>
          <w:rFonts w:ascii="宋体"/>
          <w:color w:val="auto"/>
          <w:sz w:val="21"/>
          <w:szCs w:val="21"/>
          <w:highlight w:val="none"/>
        </w:rPr>
      </w:pPr>
      <w:r>
        <w:rPr>
          <w:rFonts w:hint="eastAsia" w:ascii="宋体"/>
          <w:color w:val="auto"/>
          <w:sz w:val="21"/>
          <w:szCs w:val="21"/>
          <w:highlight w:val="none"/>
        </w:rPr>
        <w:t>2、如全部响应招标文件商务条款，则在本表中注明“商务无偏离”。</w:t>
      </w:r>
    </w:p>
    <w:p>
      <w:pPr>
        <w:spacing w:line="276" w:lineRule="auto"/>
        <w:jc w:val="center"/>
        <w:outlineLvl w:val="1"/>
        <w:rPr>
          <w:rFonts w:ascii="宋体"/>
          <w:color w:val="auto"/>
          <w:szCs w:val="24"/>
          <w:highlight w:val="none"/>
        </w:rPr>
      </w:pPr>
      <w:r>
        <w:rPr>
          <w:rFonts w:hint="eastAsia" w:ascii="宋体"/>
          <w:color w:val="auto"/>
          <w:szCs w:val="24"/>
          <w:highlight w:val="none"/>
        </w:rPr>
        <w:br w:type="page"/>
      </w:r>
      <w:bookmarkEnd w:id="292"/>
      <w:bookmarkStart w:id="299" w:name="_Toc110331671"/>
      <w:bookmarkStart w:id="300" w:name="_Toc7876"/>
      <w:bookmarkStart w:id="301" w:name="_Toc241827262"/>
      <w:bookmarkStart w:id="302" w:name="_Toc387317153"/>
      <w:bookmarkStart w:id="303" w:name="_Toc17964"/>
      <w:bookmarkStart w:id="304" w:name="_Toc1782"/>
      <w:bookmarkStart w:id="305" w:name="_Toc389139115"/>
      <w:bookmarkStart w:id="306" w:name="_Toc86202638"/>
      <w:r>
        <w:rPr>
          <w:rFonts w:hint="eastAsia"/>
          <w:b/>
          <w:color w:val="auto"/>
          <w:highlight w:val="none"/>
        </w:rPr>
        <w:t>附件七、投标人概况表</w:t>
      </w:r>
      <w:bookmarkEnd w:id="299"/>
      <w:bookmarkEnd w:id="300"/>
      <w:bookmarkEnd w:id="301"/>
      <w:bookmarkEnd w:id="302"/>
      <w:bookmarkEnd w:id="303"/>
      <w:bookmarkEnd w:id="304"/>
      <w:bookmarkEnd w:id="305"/>
    </w:p>
    <w:p>
      <w:pPr>
        <w:spacing w:after="240" w:line="360" w:lineRule="auto"/>
        <w:ind w:hanging="119"/>
        <w:rPr>
          <w:rFonts w:ascii="宋体"/>
          <w:color w:val="auto"/>
          <w:sz w:val="21"/>
          <w:szCs w:val="21"/>
          <w:highlight w:val="none"/>
        </w:rPr>
      </w:pPr>
      <w:r>
        <w:rPr>
          <w:rFonts w:hint="eastAsia" w:ascii="宋体"/>
          <w:color w:val="auto"/>
          <w:sz w:val="21"/>
          <w:szCs w:val="21"/>
          <w:highlight w:val="none"/>
        </w:rPr>
        <w:t>投标人名称：</w:t>
      </w:r>
    </w:p>
    <w:p>
      <w:pPr>
        <w:spacing w:after="240" w:line="360" w:lineRule="auto"/>
        <w:ind w:hanging="119"/>
        <w:rPr>
          <w:rFonts w:ascii="宋体"/>
          <w:color w:val="auto"/>
          <w:sz w:val="21"/>
          <w:szCs w:val="21"/>
          <w:highlight w:val="none"/>
        </w:rPr>
      </w:pPr>
      <w:r>
        <w:rPr>
          <w:rFonts w:hint="eastAsia" w:ascii="宋体"/>
          <w:color w:val="auto"/>
          <w:sz w:val="21"/>
          <w:szCs w:val="21"/>
          <w:highlight w:val="none"/>
        </w:rPr>
        <w:t>招标编号：</w:t>
      </w:r>
    </w:p>
    <w:tbl>
      <w:tblPr>
        <w:tblStyle w:val="40"/>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155"/>
        <w:gridCol w:w="1065"/>
        <w:gridCol w:w="990"/>
        <w:gridCol w:w="465"/>
        <w:gridCol w:w="420"/>
        <w:gridCol w:w="945"/>
        <w:gridCol w:w="840"/>
        <w:gridCol w:w="870"/>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企业名称</w:t>
            </w:r>
          </w:p>
        </w:tc>
        <w:tc>
          <w:tcPr>
            <w:tcW w:w="3675" w:type="dxa"/>
            <w:gridSpan w:val="4"/>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ascii="宋体"/>
                <w:color w:val="auto"/>
                <w:sz w:val="21"/>
                <w:szCs w:val="21"/>
                <w:highlight w:val="none"/>
              </w:rPr>
            </w:pPr>
          </w:p>
        </w:tc>
        <w:tc>
          <w:tcPr>
            <w:tcW w:w="136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成立时间</w:t>
            </w:r>
          </w:p>
        </w:tc>
        <w:tc>
          <w:tcPr>
            <w:tcW w:w="3085" w:type="dxa"/>
            <w:gridSpan w:val="3"/>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企业性质</w:t>
            </w:r>
          </w:p>
        </w:tc>
        <w:tc>
          <w:tcPr>
            <w:tcW w:w="367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36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单位地址</w:t>
            </w:r>
          </w:p>
        </w:tc>
        <w:tc>
          <w:tcPr>
            <w:tcW w:w="3085"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经营范围</w:t>
            </w:r>
          </w:p>
        </w:tc>
        <w:tc>
          <w:tcPr>
            <w:tcW w:w="367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36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经营方式</w:t>
            </w:r>
          </w:p>
        </w:tc>
        <w:tc>
          <w:tcPr>
            <w:tcW w:w="3085"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企  业</w:t>
            </w:r>
          </w:p>
          <w:p>
            <w:pPr>
              <w:spacing w:line="360" w:lineRule="auto"/>
              <w:jc w:val="center"/>
              <w:rPr>
                <w:rFonts w:ascii="宋体"/>
                <w:color w:val="auto"/>
                <w:sz w:val="21"/>
                <w:szCs w:val="21"/>
                <w:highlight w:val="none"/>
              </w:rPr>
            </w:pPr>
            <w:r>
              <w:rPr>
                <w:rFonts w:hint="eastAsia" w:ascii="宋体"/>
                <w:color w:val="auto"/>
                <w:sz w:val="21"/>
                <w:szCs w:val="21"/>
                <w:highlight w:val="none"/>
              </w:rPr>
              <w:t>职  工</w:t>
            </w:r>
          </w:p>
          <w:p>
            <w:pPr>
              <w:spacing w:line="360" w:lineRule="auto"/>
              <w:jc w:val="center"/>
              <w:rPr>
                <w:rFonts w:ascii="宋体"/>
                <w:color w:val="auto"/>
                <w:sz w:val="21"/>
                <w:szCs w:val="21"/>
                <w:highlight w:val="none"/>
              </w:rPr>
            </w:pPr>
            <w:r>
              <w:rPr>
                <w:rFonts w:hint="eastAsia" w:ascii="宋体"/>
                <w:color w:val="auto"/>
                <w:sz w:val="21"/>
                <w:szCs w:val="21"/>
                <w:highlight w:val="none"/>
              </w:rPr>
              <w:t>总  数</w:t>
            </w:r>
          </w:p>
        </w:tc>
        <w:tc>
          <w:tcPr>
            <w:tcW w:w="1155" w:type="dxa"/>
            <w:vMerge w:val="restart"/>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p>
            <w:pPr>
              <w:spacing w:line="360" w:lineRule="auto"/>
              <w:jc w:val="center"/>
              <w:rPr>
                <w:rFonts w:ascii="宋体"/>
                <w:color w:val="auto"/>
                <w:sz w:val="21"/>
                <w:szCs w:val="21"/>
                <w:highlight w:val="none"/>
              </w:rPr>
            </w:pPr>
            <w:r>
              <w:rPr>
                <w:rFonts w:hint="eastAsia" w:ascii="宋体"/>
                <w:color w:val="auto"/>
                <w:sz w:val="21"/>
                <w:szCs w:val="21"/>
                <w:highlight w:val="none"/>
              </w:rPr>
              <w:t xml:space="preserve">     人</w:t>
            </w:r>
          </w:p>
        </w:tc>
        <w:tc>
          <w:tcPr>
            <w:tcW w:w="3885"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有职称管理人员</w:t>
            </w:r>
          </w:p>
        </w:tc>
        <w:tc>
          <w:tcPr>
            <w:tcW w:w="3085"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工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高 工</w:t>
            </w: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工程师</w:t>
            </w:r>
          </w:p>
        </w:tc>
        <w:tc>
          <w:tcPr>
            <w:tcW w:w="8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助 工</w:t>
            </w:r>
          </w:p>
        </w:tc>
        <w:tc>
          <w:tcPr>
            <w:tcW w:w="9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技术员</w:t>
            </w:r>
          </w:p>
        </w:tc>
        <w:tc>
          <w:tcPr>
            <w:tcW w:w="8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color w:val="auto"/>
                <w:sz w:val="21"/>
                <w:szCs w:val="21"/>
                <w:highlight w:val="none"/>
              </w:rPr>
            </w:pPr>
            <w:r>
              <w:rPr>
                <w:rFonts w:hint="eastAsia" w:ascii="宋体"/>
                <w:color w:val="auto"/>
                <w:sz w:val="21"/>
                <w:szCs w:val="21"/>
                <w:highlight w:val="none"/>
              </w:rPr>
              <w:t>4-8级</w:t>
            </w:r>
          </w:p>
        </w:tc>
        <w:tc>
          <w:tcPr>
            <w:tcW w:w="8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1-3级</w:t>
            </w:r>
          </w:p>
        </w:tc>
        <w:tc>
          <w:tcPr>
            <w:tcW w:w="1375" w:type="dxa"/>
            <w:tcBorders>
              <w:top w:val="nil"/>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无级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106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4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p>
            <w:pPr>
              <w:spacing w:line="360" w:lineRule="auto"/>
              <w:jc w:val="center"/>
              <w:rPr>
                <w:rFonts w:ascii="宋体"/>
                <w:color w:val="auto"/>
                <w:sz w:val="21"/>
                <w:szCs w:val="21"/>
                <w:highlight w:val="none"/>
              </w:rPr>
            </w:pPr>
            <w:r>
              <w:rPr>
                <w:rFonts w:hint="eastAsia" w:ascii="宋体"/>
                <w:color w:val="auto"/>
                <w:sz w:val="21"/>
                <w:szCs w:val="21"/>
                <w:highlight w:val="none"/>
              </w:rPr>
              <w:t>主</w:t>
            </w:r>
          </w:p>
          <w:p>
            <w:pPr>
              <w:spacing w:line="360" w:lineRule="auto"/>
              <w:jc w:val="center"/>
              <w:rPr>
                <w:rFonts w:ascii="宋体"/>
                <w:color w:val="auto"/>
                <w:sz w:val="21"/>
                <w:szCs w:val="21"/>
                <w:highlight w:val="none"/>
              </w:rPr>
            </w:pPr>
            <w:r>
              <w:rPr>
                <w:rFonts w:hint="eastAsia" w:ascii="宋体"/>
                <w:color w:val="auto"/>
                <w:sz w:val="21"/>
                <w:szCs w:val="21"/>
                <w:highlight w:val="none"/>
              </w:rPr>
              <w:t>要</w:t>
            </w:r>
          </w:p>
          <w:p>
            <w:pPr>
              <w:spacing w:line="360" w:lineRule="auto"/>
              <w:jc w:val="center"/>
              <w:rPr>
                <w:rFonts w:ascii="宋体"/>
                <w:color w:val="auto"/>
                <w:sz w:val="21"/>
                <w:szCs w:val="21"/>
                <w:highlight w:val="none"/>
              </w:rPr>
            </w:pPr>
            <w:r>
              <w:rPr>
                <w:rFonts w:hint="eastAsia" w:ascii="宋体"/>
                <w:color w:val="auto"/>
                <w:sz w:val="21"/>
                <w:szCs w:val="21"/>
                <w:highlight w:val="none"/>
              </w:rPr>
              <w:t>施</w:t>
            </w:r>
          </w:p>
          <w:p>
            <w:pPr>
              <w:spacing w:line="360" w:lineRule="auto"/>
              <w:jc w:val="center"/>
              <w:rPr>
                <w:rFonts w:ascii="宋体"/>
                <w:color w:val="auto"/>
                <w:sz w:val="21"/>
                <w:szCs w:val="21"/>
                <w:highlight w:val="none"/>
              </w:rPr>
            </w:pPr>
            <w:r>
              <w:rPr>
                <w:rFonts w:hint="eastAsia" w:ascii="宋体"/>
                <w:color w:val="auto"/>
                <w:sz w:val="21"/>
                <w:szCs w:val="21"/>
                <w:highlight w:val="none"/>
              </w:rPr>
              <w:t>工</w:t>
            </w:r>
          </w:p>
          <w:p>
            <w:pPr>
              <w:spacing w:line="360" w:lineRule="auto"/>
              <w:jc w:val="center"/>
              <w:rPr>
                <w:rFonts w:ascii="宋体"/>
                <w:color w:val="auto"/>
                <w:sz w:val="21"/>
                <w:szCs w:val="21"/>
                <w:highlight w:val="none"/>
              </w:rPr>
            </w:pPr>
            <w:r>
              <w:rPr>
                <w:rFonts w:hint="eastAsia" w:ascii="宋体"/>
                <w:color w:val="auto"/>
                <w:sz w:val="21"/>
                <w:szCs w:val="21"/>
                <w:highlight w:val="none"/>
              </w:rPr>
              <w:t>机</w:t>
            </w:r>
          </w:p>
          <w:p>
            <w:pPr>
              <w:spacing w:line="360" w:lineRule="auto"/>
              <w:jc w:val="center"/>
              <w:rPr>
                <w:rFonts w:ascii="宋体"/>
                <w:color w:val="auto"/>
                <w:sz w:val="21"/>
                <w:szCs w:val="21"/>
                <w:highlight w:val="none"/>
              </w:rPr>
            </w:pPr>
            <w:r>
              <w:rPr>
                <w:rFonts w:hint="eastAsia" w:ascii="宋体"/>
                <w:color w:val="auto"/>
                <w:sz w:val="21"/>
                <w:szCs w:val="21"/>
                <w:highlight w:val="none"/>
              </w:rPr>
              <w:t>械</w:t>
            </w:r>
          </w:p>
          <w:p>
            <w:pPr>
              <w:spacing w:line="360" w:lineRule="auto"/>
              <w:jc w:val="center"/>
              <w:rPr>
                <w:rFonts w:ascii="宋体"/>
                <w:color w:val="auto"/>
                <w:sz w:val="21"/>
                <w:szCs w:val="21"/>
                <w:highlight w:val="none"/>
              </w:rPr>
            </w:pPr>
            <w:r>
              <w:rPr>
                <w:rFonts w:hint="eastAsia" w:ascii="宋体"/>
                <w:color w:val="auto"/>
                <w:sz w:val="21"/>
                <w:szCs w:val="21"/>
                <w:highlight w:val="none"/>
              </w:rPr>
              <w:t>设</w:t>
            </w:r>
          </w:p>
          <w:p>
            <w:pPr>
              <w:spacing w:line="360" w:lineRule="auto"/>
              <w:jc w:val="center"/>
              <w:rPr>
                <w:rFonts w:ascii="宋体"/>
                <w:color w:val="auto"/>
                <w:sz w:val="21"/>
                <w:szCs w:val="21"/>
                <w:highlight w:val="none"/>
              </w:rPr>
            </w:pPr>
            <w:r>
              <w:rPr>
                <w:rFonts w:hint="eastAsia" w:ascii="宋体"/>
                <w:color w:val="auto"/>
                <w:sz w:val="21"/>
                <w:szCs w:val="21"/>
                <w:highlight w:val="none"/>
              </w:rPr>
              <w:t>备</w:t>
            </w:r>
          </w:p>
        </w:tc>
        <w:tc>
          <w:tcPr>
            <w:tcW w:w="2220"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color w:val="auto"/>
                <w:sz w:val="21"/>
                <w:szCs w:val="21"/>
                <w:highlight w:val="none"/>
              </w:rPr>
            </w:pPr>
            <w:r>
              <w:rPr>
                <w:rFonts w:hint="eastAsia" w:ascii="宋体"/>
                <w:color w:val="auto"/>
                <w:sz w:val="21"/>
                <w:szCs w:val="21"/>
                <w:highlight w:val="none"/>
              </w:rPr>
              <w:t>名  称</w:t>
            </w:r>
          </w:p>
        </w:tc>
        <w:tc>
          <w:tcPr>
            <w:tcW w:w="99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color w:val="auto"/>
                <w:sz w:val="21"/>
                <w:szCs w:val="21"/>
                <w:highlight w:val="none"/>
              </w:rPr>
            </w:pPr>
            <w:r>
              <w:rPr>
                <w:rFonts w:hint="eastAsia" w:ascii="宋体"/>
                <w:color w:val="auto"/>
                <w:sz w:val="21"/>
                <w:szCs w:val="21"/>
                <w:highlight w:val="none"/>
              </w:rPr>
              <w:t>型号</w:t>
            </w:r>
          </w:p>
        </w:tc>
        <w:tc>
          <w:tcPr>
            <w:tcW w:w="885"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color w:val="auto"/>
                <w:sz w:val="21"/>
                <w:szCs w:val="21"/>
                <w:highlight w:val="none"/>
              </w:rPr>
            </w:pPr>
            <w:r>
              <w:rPr>
                <w:rFonts w:hint="eastAsia" w:ascii="宋体"/>
                <w:color w:val="auto"/>
                <w:sz w:val="21"/>
                <w:szCs w:val="21"/>
                <w:highlight w:val="none"/>
              </w:rPr>
              <w:t>数量</w:t>
            </w:r>
          </w:p>
          <w:p>
            <w:pPr>
              <w:spacing w:line="0" w:lineRule="atLeast"/>
              <w:jc w:val="center"/>
              <w:rPr>
                <w:rFonts w:ascii="宋体"/>
                <w:color w:val="auto"/>
                <w:sz w:val="21"/>
                <w:szCs w:val="21"/>
                <w:highlight w:val="none"/>
              </w:rPr>
            </w:pPr>
            <w:r>
              <w:rPr>
                <w:rFonts w:hint="eastAsia" w:ascii="宋体"/>
                <w:color w:val="auto"/>
                <w:sz w:val="21"/>
                <w:szCs w:val="21"/>
                <w:highlight w:val="none"/>
              </w:rPr>
              <w:t>（台）</w:t>
            </w:r>
          </w:p>
        </w:tc>
        <w:tc>
          <w:tcPr>
            <w:tcW w:w="94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color w:val="auto"/>
                <w:sz w:val="21"/>
                <w:szCs w:val="21"/>
                <w:highlight w:val="none"/>
              </w:rPr>
            </w:pPr>
            <w:r>
              <w:rPr>
                <w:rFonts w:hint="eastAsia" w:ascii="宋体"/>
                <w:color w:val="auto"/>
                <w:sz w:val="21"/>
                <w:szCs w:val="21"/>
                <w:highlight w:val="none"/>
              </w:rPr>
              <w:t>总功率</w:t>
            </w:r>
          </w:p>
        </w:tc>
        <w:tc>
          <w:tcPr>
            <w:tcW w:w="1710"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color w:val="auto"/>
                <w:sz w:val="21"/>
                <w:szCs w:val="21"/>
                <w:highlight w:val="none"/>
              </w:rPr>
            </w:pPr>
            <w:r>
              <w:rPr>
                <w:rFonts w:hint="eastAsia" w:ascii="宋体"/>
                <w:color w:val="auto"/>
                <w:sz w:val="21"/>
                <w:szCs w:val="21"/>
                <w:highlight w:val="none"/>
              </w:rPr>
              <w:t>制造国或产地</w:t>
            </w:r>
          </w:p>
        </w:tc>
        <w:tc>
          <w:tcPr>
            <w:tcW w:w="137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color w:val="auto"/>
                <w:sz w:val="21"/>
                <w:szCs w:val="21"/>
                <w:highlight w:val="none"/>
              </w:rPr>
            </w:pPr>
            <w:r>
              <w:rPr>
                <w:rFonts w:hint="eastAsia" w:ascii="宋体"/>
                <w:color w:val="auto"/>
                <w:sz w:val="21"/>
                <w:szCs w:val="21"/>
                <w:highlight w:val="none"/>
              </w:rPr>
              <w:t>制造日期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color w:val="auto"/>
                <w:sz w:val="21"/>
                <w:szCs w:val="21"/>
                <w:highlight w:val="none"/>
              </w:rPr>
            </w:pPr>
          </w:p>
        </w:tc>
        <w:tc>
          <w:tcPr>
            <w:tcW w:w="222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9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885"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94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710"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c>
          <w:tcPr>
            <w:tcW w:w="13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color w:val="auto"/>
                <w:sz w:val="21"/>
                <w:szCs w:val="21"/>
                <w:highlight w:val="none"/>
              </w:rPr>
            </w:pPr>
          </w:p>
        </w:tc>
      </w:tr>
    </w:tbl>
    <w:p>
      <w:pPr>
        <w:spacing w:after="240" w:line="360" w:lineRule="auto"/>
        <w:ind w:hanging="119"/>
        <w:rPr>
          <w:rFonts w:ascii="宋体"/>
          <w:color w:val="auto"/>
          <w:sz w:val="21"/>
          <w:szCs w:val="21"/>
          <w:highlight w:val="none"/>
          <w:u w:val="single"/>
        </w:rPr>
      </w:pPr>
      <w:r>
        <w:rPr>
          <w:rFonts w:hint="eastAsia" w:ascii="宋体"/>
          <w:color w:val="auto"/>
          <w:sz w:val="21"/>
          <w:szCs w:val="21"/>
          <w:highlight w:val="none"/>
        </w:rPr>
        <w:t>投标人名称（公章）：</w:t>
      </w:r>
    </w:p>
    <w:p>
      <w:pPr>
        <w:spacing w:line="360" w:lineRule="auto"/>
        <w:rPr>
          <w:rFonts w:ascii="宋体"/>
          <w:color w:val="auto"/>
          <w:sz w:val="21"/>
          <w:szCs w:val="21"/>
          <w:highlight w:val="none"/>
          <w:u w:val="single"/>
        </w:rPr>
      </w:pPr>
      <w:r>
        <w:rPr>
          <w:rFonts w:hint="eastAsia" w:ascii="宋体"/>
          <w:color w:val="auto"/>
          <w:sz w:val="21"/>
          <w:szCs w:val="21"/>
          <w:highlight w:val="none"/>
        </w:rPr>
        <w:t>投标人代表签字</w:t>
      </w:r>
      <w:r>
        <w:rPr>
          <w:rFonts w:hint="eastAsia" w:ascii="宋体"/>
          <w:color w:val="auto"/>
          <w:sz w:val="21"/>
          <w:szCs w:val="21"/>
          <w:highlight w:val="none"/>
          <w:u w:val="single"/>
        </w:rPr>
        <w:t xml:space="preserve">：                        </w:t>
      </w:r>
      <w:bookmarkStart w:id="307" w:name="_Toc262811153"/>
      <w:bookmarkStart w:id="308" w:name="_Toc207435645"/>
    </w:p>
    <w:p>
      <w:pPr>
        <w:spacing w:line="276" w:lineRule="auto"/>
        <w:rPr>
          <w:color w:val="auto"/>
          <w:szCs w:val="24"/>
          <w:highlight w:val="none"/>
        </w:rPr>
      </w:pPr>
    </w:p>
    <w:p>
      <w:pPr>
        <w:outlineLvl w:val="1"/>
        <w:rPr>
          <w:rFonts w:ascii="宋体"/>
          <w:color w:val="auto"/>
          <w:szCs w:val="24"/>
          <w:highlight w:val="none"/>
          <w:u w:val="single"/>
        </w:rPr>
        <w:sectPr>
          <w:pgSz w:w="11906" w:h="16838"/>
          <w:pgMar w:top="1418" w:right="1134" w:bottom="1418" w:left="1588" w:header="851" w:footer="851"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p>
      <w:pPr>
        <w:pStyle w:val="4"/>
        <w:adjustRightInd/>
        <w:spacing w:line="276" w:lineRule="auto"/>
        <w:ind w:left="567"/>
        <w:jc w:val="both"/>
        <w:textAlignment w:val="auto"/>
        <w:rPr>
          <w:rStyle w:val="161"/>
          <w:rFonts w:ascii="宋体" w:eastAsia="宋体"/>
          <w:b w:val="0"/>
          <w:bCs w:val="0"/>
          <w:color w:val="auto"/>
          <w:sz w:val="36"/>
          <w:szCs w:val="36"/>
          <w:highlight w:val="none"/>
        </w:rPr>
      </w:pPr>
      <w:bookmarkStart w:id="309" w:name="_Toc29595"/>
      <w:bookmarkStart w:id="310" w:name="_Toc9627"/>
      <w:bookmarkStart w:id="311" w:name="_Toc389139116"/>
      <w:bookmarkStart w:id="312" w:name="_Toc387317154"/>
      <w:bookmarkStart w:id="313" w:name="_Toc17512"/>
      <w:r>
        <w:rPr>
          <w:rFonts w:hint="eastAsia" w:ascii="宋体" w:eastAsia="宋体"/>
          <w:bCs w:val="0"/>
          <w:color w:val="auto"/>
          <w:sz w:val="24"/>
          <w:szCs w:val="24"/>
          <w:highlight w:val="none"/>
        </w:rPr>
        <w:t>附件八、</w:t>
      </w:r>
      <w:r>
        <w:rPr>
          <w:rFonts w:hint="eastAsia"/>
          <w:bCs w:val="0"/>
          <w:color w:val="auto"/>
          <w:sz w:val="24"/>
          <w:szCs w:val="24"/>
          <w:highlight w:val="none"/>
        </w:rPr>
        <w:t>拟派往本项目的团队人员一览表</w:t>
      </w:r>
      <w:bookmarkEnd w:id="307"/>
      <w:bookmarkEnd w:id="308"/>
      <w:bookmarkEnd w:id="309"/>
      <w:bookmarkEnd w:id="310"/>
      <w:bookmarkEnd w:id="311"/>
      <w:bookmarkEnd w:id="312"/>
      <w:bookmarkEnd w:id="313"/>
    </w:p>
    <w:tbl>
      <w:tblPr>
        <w:tblStyle w:val="40"/>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20"/>
        <w:gridCol w:w="180"/>
        <w:gridCol w:w="900"/>
        <w:gridCol w:w="540"/>
        <w:gridCol w:w="720"/>
        <w:gridCol w:w="900"/>
        <w:gridCol w:w="180"/>
        <w:gridCol w:w="1620"/>
        <w:gridCol w:w="231"/>
        <w:gridCol w:w="506"/>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9051"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b/>
                <w:bCs/>
                <w:color w:val="auto"/>
                <w:sz w:val="21"/>
                <w:szCs w:val="21"/>
                <w:highlight w:val="none"/>
              </w:rPr>
            </w:pPr>
            <w:r>
              <w:rPr>
                <w:rFonts w:hint="eastAsia" w:ascii="宋体"/>
                <w:b/>
                <w:bCs/>
                <w:color w:val="auto"/>
                <w:sz w:val="21"/>
                <w:szCs w:val="21"/>
                <w:highlight w:val="none"/>
              </w:rPr>
              <w:t>拟派人员及构成情况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00"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项目管理部</w:t>
            </w:r>
          </w:p>
          <w:p>
            <w:pPr>
              <w:spacing w:line="360" w:lineRule="auto"/>
              <w:jc w:val="center"/>
              <w:rPr>
                <w:rFonts w:ascii="宋体"/>
                <w:color w:val="auto"/>
                <w:sz w:val="21"/>
                <w:szCs w:val="21"/>
                <w:highlight w:val="none"/>
              </w:rPr>
            </w:pPr>
            <w:r>
              <w:rPr>
                <w:rFonts w:hint="eastAsia" w:ascii="宋体"/>
                <w:color w:val="auto"/>
                <w:sz w:val="21"/>
                <w:szCs w:val="21"/>
                <w:highlight w:val="none"/>
              </w:rPr>
              <w:t>管理人员</w:t>
            </w:r>
          </w:p>
        </w:tc>
        <w:tc>
          <w:tcPr>
            <w:tcW w:w="1620" w:type="dxa"/>
            <w:gridSpan w:val="3"/>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（人）</w:t>
            </w:r>
          </w:p>
        </w:tc>
        <w:tc>
          <w:tcPr>
            <w:tcW w:w="5631"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有职称管理人员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0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 w:val="21"/>
                <w:szCs w:val="21"/>
                <w:highlight w:val="none"/>
              </w:rPr>
            </w:pPr>
          </w:p>
        </w:tc>
        <w:tc>
          <w:tcPr>
            <w:tcW w:w="1620"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 w:val="21"/>
                <w:szCs w:val="21"/>
                <w:highlight w:val="none"/>
              </w:rPr>
            </w:pPr>
          </w:p>
        </w:tc>
        <w:tc>
          <w:tcPr>
            <w:tcW w:w="180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高级</w:t>
            </w:r>
          </w:p>
        </w:tc>
        <w:tc>
          <w:tcPr>
            <w:tcW w:w="1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中级</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初级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0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 w:val="21"/>
                <w:szCs w:val="21"/>
                <w:highlight w:val="none"/>
              </w:rPr>
            </w:pPr>
          </w:p>
        </w:tc>
        <w:tc>
          <w:tcPr>
            <w:tcW w:w="1620"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 w:val="21"/>
                <w:szCs w:val="21"/>
                <w:highlight w:val="none"/>
              </w:rPr>
            </w:pPr>
          </w:p>
        </w:tc>
        <w:tc>
          <w:tcPr>
            <w:tcW w:w="180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姓名</w:t>
            </w: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年龄</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专业</w:t>
            </w: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学历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职称</w:t>
            </w: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在本项目</w:t>
            </w:r>
          </w:p>
          <w:p>
            <w:pPr>
              <w:spacing w:line="360" w:lineRule="auto"/>
              <w:jc w:val="center"/>
              <w:rPr>
                <w:rFonts w:ascii="宋体"/>
                <w:color w:val="auto"/>
                <w:sz w:val="21"/>
                <w:szCs w:val="21"/>
                <w:highlight w:val="none"/>
              </w:rPr>
            </w:pPr>
            <w:r>
              <w:rPr>
                <w:rFonts w:hint="eastAsia" w:ascii="宋体"/>
                <w:color w:val="auto"/>
                <w:sz w:val="21"/>
                <w:szCs w:val="21"/>
                <w:highlight w:val="none"/>
              </w:rPr>
              <w:t>拟担任职务</w:t>
            </w:r>
          </w:p>
        </w:tc>
        <w:tc>
          <w:tcPr>
            <w:tcW w:w="73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工作年限</w:t>
            </w:r>
          </w:p>
        </w:tc>
        <w:tc>
          <w:tcPr>
            <w:tcW w:w="14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left="420"/>
              <w:jc w:val="center"/>
              <w:rPr>
                <w:rFonts w:ascii="宋体"/>
                <w:color w:val="auto"/>
                <w:sz w:val="21"/>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73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9051" w:type="dxa"/>
            <w:gridSpan w:val="1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olor w:val="auto"/>
                <w:sz w:val="21"/>
                <w:szCs w:val="21"/>
                <w:highlight w:val="none"/>
              </w:rPr>
            </w:pPr>
            <w:r>
              <w:rPr>
                <w:rFonts w:hint="eastAsia" w:ascii="宋体"/>
                <w:color w:val="auto"/>
                <w:sz w:val="21"/>
                <w:szCs w:val="21"/>
                <w:highlight w:val="none"/>
              </w:rPr>
              <w:t>上述拟派现场组织机构各主要岗位的职责概述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9051" w:type="dxa"/>
            <w:gridSpan w:val="12"/>
            <w:tcBorders>
              <w:top w:val="single" w:color="auto" w:sz="4" w:space="0"/>
              <w:left w:val="single" w:color="auto" w:sz="4" w:space="0"/>
              <w:right w:val="single" w:color="auto" w:sz="4" w:space="0"/>
            </w:tcBorders>
            <w:vAlign w:val="center"/>
          </w:tcPr>
          <w:p>
            <w:pPr>
              <w:spacing w:line="360" w:lineRule="auto"/>
              <w:jc w:val="center"/>
              <w:rPr>
                <w:rFonts w:ascii="宋体"/>
                <w:color w:val="auto"/>
                <w:sz w:val="21"/>
                <w:szCs w:val="21"/>
                <w:highlight w:val="none"/>
              </w:rPr>
            </w:pPr>
          </w:p>
        </w:tc>
      </w:tr>
    </w:tbl>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我方承诺项目经理，主要技术人员，将在</w:t>
      </w:r>
      <w:r>
        <w:rPr>
          <w:rFonts w:hint="eastAsia" w:ascii="宋体" w:cs="Arial Unicode MS"/>
          <w:color w:val="auto"/>
          <w:sz w:val="21"/>
          <w:szCs w:val="21"/>
          <w:highlight w:val="none"/>
        </w:rPr>
        <w:t>项目实施周期内全职承担本项目工作，未得到招标人许可不能更换项目经理和主要技术人员，同时承诺保证服务期限内实施人员的稳定。</w:t>
      </w: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注：投标人须随本表附拟派往本项目的主要人员资格证书复印件，主要技术人员须为投标人正式在职员工、且实际参加本合同实施工作中涉及到的主要专业负责人。</w:t>
      </w:r>
    </w:p>
    <w:p>
      <w:pPr>
        <w:spacing w:line="360" w:lineRule="auto"/>
        <w:rPr>
          <w:rFonts w:ascii="宋体"/>
          <w:color w:val="auto"/>
          <w:sz w:val="21"/>
          <w:szCs w:val="21"/>
          <w:highlight w:val="none"/>
        </w:rPr>
      </w:pPr>
    </w:p>
    <w:p>
      <w:pPr>
        <w:spacing w:line="360" w:lineRule="auto"/>
        <w:rPr>
          <w:rFonts w:ascii="宋体"/>
          <w:color w:val="auto"/>
          <w:sz w:val="21"/>
          <w:szCs w:val="21"/>
          <w:highlight w:val="none"/>
          <w:u w:val="single"/>
        </w:rPr>
      </w:pPr>
      <w:r>
        <w:rPr>
          <w:rFonts w:hint="eastAsia" w:ascii="宋体"/>
          <w:color w:val="auto"/>
          <w:sz w:val="21"/>
          <w:szCs w:val="21"/>
          <w:highlight w:val="none"/>
        </w:rPr>
        <w:t>投标人名称（公章）：</w:t>
      </w:r>
    </w:p>
    <w:p>
      <w:pPr>
        <w:spacing w:line="360" w:lineRule="auto"/>
        <w:rPr>
          <w:rFonts w:ascii="宋体"/>
          <w:color w:val="auto"/>
          <w:sz w:val="21"/>
          <w:szCs w:val="21"/>
          <w:highlight w:val="none"/>
          <w:u w:val="single"/>
        </w:rPr>
      </w:pPr>
      <w:r>
        <w:rPr>
          <w:rFonts w:hint="eastAsia" w:ascii="宋体"/>
          <w:color w:val="auto"/>
          <w:sz w:val="21"/>
          <w:szCs w:val="21"/>
          <w:highlight w:val="none"/>
        </w:rPr>
        <w:t>投标人代表签字</w:t>
      </w:r>
      <w:r>
        <w:rPr>
          <w:rFonts w:hint="eastAsia" w:ascii="宋体"/>
          <w:color w:val="auto"/>
          <w:sz w:val="21"/>
          <w:szCs w:val="21"/>
          <w:highlight w:val="none"/>
          <w:u w:val="single"/>
        </w:rPr>
        <w:t xml:space="preserve">：                        </w:t>
      </w:r>
    </w:p>
    <w:p>
      <w:pPr>
        <w:pStyle w:val="4"/>
        <w:adjustRightInd/>
        <w:spacing w:line="276" w:lineRule="auto"/>
        <w:ind w:left="567"/>
        <w:jc w:val="both"/>
        <w:textAlignment w:val="auto"/>
        <w:rPr>
          <w:color w:val="auto"/>
          <w:highlight w:val="none"/>
        </w:rPr>
      </w:pPr>
      <w:bookmarkStart w:id="314" w:name="_Toc57897730"/>
      <w:bookmarkStart w:id="315" w:name="_Toc57896870"/>
      <w:bookmarkStart w:id="316" w:name="_Toc57897624"/>
      <w:bookmarkStart w:id="317" w:name="_Toc57897520"/>
      <w:bookmarkStart w:id="318" w:name="_Toc57897664"/>
      <w:r>
        <w:rPr>
          <w:color w:val="auto"/>
          <w:highlight w:val="none"/>
        </w:rPr>
        <w:br w:type="page"/>
      </w:r>
      <w:bookmarkStart w:id="319" w:name="_Toc10320"/>
      <w:bookmarkStart w:id="320" w:name="_Toc262811154"/>
      <w:bookmarkStart w:id="321" w:name="_Toc17096"/>
      <w:bookmarkStart w:id="322" w:name="_Toc387317155"/>
      <w:bookmarkStart w:id="323" w:name="_Toc24021"/>
      <w:bookmarkStart w:id="324" w:name="_Toc179866636"/>
      <w:bookmarkStart w:id="325" w:name="_Toc389139117"/>
      <w:r>
        <w:rPr>
          <w:rFonts w:hint="eastAsia" w:ascii="宋体" w:eastAsia="宋体"/>
          <w:bCs w:val="0"/>
          <w:color w:val="auto"/>
          <w:sz w:val="24"/>
          <w:szCs w:val="24"/>
          <w:highlight w:val="none"/>
        </w:rPr>
        <w:t>附件九、</w:t>
      </w:r>
      <w:r>
        <w:rPr>
          <w:rFonts w:hint="eastAsia"/>
          <w:bCs w:val="0"/>
          <w:color w:val="auto"/>
          <w:sz w:val="24"/>
          <w:szCs w:val="24"/>
          <w:highlight w:val="none"/>
        </w:rPr>
        <w:t>主要技术负责人简历表</w:t>
      </w:r>
      <w:bookmarkEnd w:id="314"/>
      <w:bookmarkEnd w:id="315"/>
      <w:bookmarkEnd w:id="316"/>
      <w:bookmarkEnd w:id="317"/>
      <w:bookmarkEnd w:id="318"/>
      <w:bookmarkEnd w:id="319"/>
      <w:bookmarkEnd w:id="320"/>
      <w:bookmarkEnd w:id="321"/>
      <w:bookmarkEnd w:id="322"/>
      <w:bookmarkEnd w:id="323"/>
      <w:bookmarkEnd w:id="324"/>
      <w:bookmarkEnd w:id="325"/>
    </w:p>
    <w:p>
      <w:pPr>
        <w:spacing w:line="276" w:lineRule="auto"/>
        <w:rPr>
          <w:rFonts w:ascii="宋体"/>
          <w:color w:val="auto"/>
          <w:highlight w:val="none"/>
        </w:rPr>
      </w:pPr>
    </w:p>
    <w:tbl>
      <w:tblPr>
        <w:tblStyle w:val="40"/>
        <w:tblW w:w="95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425"/>
        <w:gridCol w:w="1275"/>
        <w:gridCol w:w="212"/>
        <w:gridCol w:w="1275"/>
        <w:gridCol w:w="212"/>
        <w:gridCol w:w="1275"/>
        <w:gridCol w:w="216"/>
        <w:gridCol w:w="1483"/>
        <w:gridCol w:w="645"/>
        <w:gridCol w:w="17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姓  名</w:t>
            </w: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性   别</w:t>
            </w:r>
          </w:p>
        </w:tc>
        <w:tc>
          <w:tcPr>
            <w:tcW w:w="14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1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年   龄</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职  务</w:t>
            </w: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职   称</w:t>
            </w:r>
          </w:p>
        </w:tc>
        <w:tc>
          <w:tcPr>
            <w:tcW w:w="14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1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学   历</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27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专  业</w:t>
            </w:r>
          </w:p>
        </w:tc>
        <w:tc>
          <w:tcPr>
            <w:tcW w:w="4465"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ind w:left="72"/>
              <w:jc w:val="center"/>
              <w:rPr>
                <w:rFonts w:ascii="宋体"/>
                <w:color w:val="auto"/>
                <w:sz w:val="21"/>
                <w:szCs w:val="21"/>
                <w:highlight w:val="none"/>
              </w:rPr>
            </w:pPr>
          </w:p>
        </w:tc>
        <w:tc>
          <w:tcPr>
            <w:tcW w:w="21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left="72"/>
              <w:jc w:val="center"/>
              <w:rPr>
                <w:rFonts w:ascii="宋体"/>
                <w:color w:val="auto"/>
                <w:sz w:val="21"/>
                <w:szCs w:val="21"/>
                <w:highlight w:val="none"/>
              </w:rPr>
            </w:pPr>
            <w:r>
              <w:rPr>
                <w:rFonts w:hint="eastAsia" w:ascii="宋体"/>
                <w:color w:val="auto"/>
                <w:sz w:val="21"/>
                <w:szCs w:val="21"/>
                <w:highlight w:val="none"/>
              </w:rPr>
              <w:t>工作年限</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ind w:left="72"/>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570" w:type="dxa"/>
            <w:gridSpan w:val="11"/>
            <w:tcBorders>
              <w:top w:val="single" w:color="auto" w:sz="4" w:space="0"/>
              <w:left w:val="single" w:color="auto" w:sz="4" w:space="0"/>
              <w:bottom w:val="single" w:color="auto" w:sz="4" w:space="0"/>
              <w:right w:val="single" w:color="auto" w:sz="4" w:space="0"/>
            </w:tcBorders>
            <w:vAlign w:val="center"/>
          </w:tcPr>
          <w:p>
            <w:pPr>
              <w:spacing w:line="360" w:lineRule="auto"/>
              <w:ind w:left="72"/>
              <w:jc w:val="center"/>
              <w:rPr>
                <w:rFonts w:ascii="宋体"/>
                <w:color w:val="auto"/>
                <w:sz w:val="21"/>
                <w:szCs w:val="21"/>
                <w:highlight w:val="none"/>
              </w:rPr>
            </w:pPr>
            <w:r>
              <w:rPr>
                <w:rFonts w:hint="eastAsia" w:ascii="宋体"/>
                <w:color w:val="auto"/>
                <w:sz w:val="21"/>
                <w:szCs w:val="21"/>
                <w:highlight w:val="none"/>
              </w:rPr>
              <w:t>在本项目中拟任职务：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570" w:type="dxa"/>
            <w:gridSpan w:val="11"/>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承担过的项目情况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序号</w:t>
            </w: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项目名称</w:t>
            </w: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业主单位</w:t>
            </w: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建设规模</w:t>
            </w:r>
          </w:p>
        </w:tc>
        <w:tc>
          <w:tcPr>
            <w:tcW w:w="16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工作范围</w:t>
            </w:r>
          </w:p>
        </w:tc>
        <w:tc>
          <w:tcPr>
            <w:tcW w:w="23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担任职务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6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3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6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3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6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3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6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3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6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3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1699"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c>
          <w:tcPr>
            <w:tcW w:w="23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olor w:val="auto"/>
                <w:sz w:val="21"/>
                <w:szCs w:val="21"/>
                <w:highlight w:val="none"/>
              </w:rPr>
            </w:pPr>
          </w:p>
        </w:tc>
      </w:tr>
    </w:tbl>
    <w:p>
      <w:pPr>
        <w:spacing w:after="240" w:line="360" w:lineRule="auto"/>
        <w:rPr>
          <w:rFonts w:ascii="宋体"/>
          <w:color w:val="auto"/>
          <w:sz w:val="21"/>
          <w:szCs w:val="21"/>
          <w:highlight w:val="none"/>
        </w:rPr>
      </w:pPr>
      <w:r>
        <w:rPr>
          <w:rFonts w:hint="eastAsia"/>
          <w:color w:val="auto"/>
          <w:sz w:val="21"/>
          <w:szCs w:val="21"/>
          <w:highlight w:val="none"/>
        </w:rPr>
        <w:t>注： 拟参加本项目建设的项目经理和主要技术人员均须填写本表，一人一表。</w:t>
      </w:r>
    </w:p>
    <w:p>
      <w:pPr>
        <w:spacing w:line="360" w:lineRule="auto"/>
        <w:rPr>
          <w:rFonts w:ascii="宋体"/>
          <w:color w:val="auto"/>
          <w:sz w:val="21"/>
          <w:szCs w:val="21"/>
          <w:highlight w:val="none"/>
        </w:rPr>
      </w:pPr>
    </w:p>
    <w:p>
      <w:pPr>
        <w:spacing w:line="360" w:lineRule="auto"/>
        <w:rPr>
          <w:rFonts w:ascii="宋体"/>
          <w:color w:val="auto"/>
          <w:sz w:val="21"/>
          <w:szCs w:val="21"/>
          <w:highlight w:val="none"/>
        </w:rPr>
      </w:pPr>
    </w:p>
    <w:p>
      <w:pPr>
        <w:spacing w:line="360" w:lineRule="auto"/>
        <w:rPr>
          <w:rFonts w:ascii="宋体"/>
          <w:color w:val="auto"/>
          <w:sz w:val="21"/>
          <w:szCs w:val="21"/>
          <w:highlight w:val="none"/>
          <w:u w:val="single"/>
        </w:rPr>
      </w:pPr>
      <w:r>
        <w:rPr>
          <w:rFonts w:hint="eastAsia" w:ascii="宋体"/>
          <w:color w:val="auto"/>
          <w:sz w:val="21"/>
          <w:szCs w:val="21"/>
          <w:highlight w:val="none"/>
        </w:rPr>
        <w:t>投标人名称（公章）：</w:t>
      </w:r>
    </w:p>
    <w:p>
      <w:pPr>
        <w:spacing w:line="360" w:lineRule="auto"/>
        <w:rPr>
          <w:rFonts w:ascii="宋体"/>
          <w:color w:val="auto"/>
          <w:sz w:val="21"/>
          <w:szCs w:val="21"/>
          <w:highlight w:val="none"/>
          <w:u w:val="single"/>
        </w:rPr>
      </w:pPr>
      <w:r>
        <w:rPr>
          <w:rFonts w:hint="eastAsia" w:ascii="宋体"/>
          <w:color w:val="auto"/>
          <w:sz w:val="21"/>
          <w:szCs w:val="21"/>
          <w:highlight w:val="none"/>
        </w:rPr>
        <w:t>投标人代表签字</w:t>
      </w:r>
      <w:r>
        <w:rPr>
          <w:rFonts w:hint="eastAsia" w:ascii="宋体"/>
          <w:color w:val="auto"/>
          <w:sz w:val="21"/>
          <w:szCs w:val="21"/>
          <w:highlight w:val="none"/>
          <w:u w:val="single"/>
        </w:rPr>
        <w:t xml:space="preserve">：                        </w:t>
      </w:r>
    </w:p>
    <w:p>
      <w:pPr>
        <w:spacing w:line="276" w:lineRule="auto"/>
        <w:rPr>
          <w:rFonts w:ascii="宋体"/>
          <w:color w:val="auto"/>
          <w:highlight w:val="none"/>
        </w:rPr>
      </w:pPr>
    </w:p>
    <w:p>
      <w:pPr>
        <w:spacing w:line="276" w:lineRule="auto"/>
        <w:ind w:firstLine="435"/>
        <w:rPr>
          <w:rFonts w:ascii="宋体"/>
          <w:color w:val="auto"/>
          <w:highlight w:val="none"/>
          <w:u w:val="single"/>
        </w:rPr>
        <w:sectPr>
          <w:pgSz w:w="11906" w:h="16838"/>
          <w:pgMar w:top="1418" w:right="1134" w:bottom="1418" w:left="1588" w:header="851" w:footer="851"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p>
      <w:pPr>
        <w:pStyle w:val="4"/>
        <w:adjustRightInd/>
        <w:spacing w:line="276" w:lineRule="auto"/>
        <w:jc w:val="both"/>
        <w:textAlignment w:val="auto"/>
        <w:rPr>
          <w:bCs w:val="0"/>
          <w:color w:val="auto"/>
          <w:sz w:val="24"/>
          <w:szCs w:val="24"/>
          <w:highlight w:val="none"/>
        </w:rPr>
      </w:pPr>
      <w:bookmarkStart w:id="326" w:name="_Toc387317157"/>
      <w:bookmarkStart w:id="327" w:name="_Toc262811156"/>
      <w:bookmarkStart w:id="328" w:name="_Toc207435652"/>
      <w:bookmarkStart w:id="329" w:name="_Toc28482"/>
      <w:bookmarkStart w:id="330" w:name="_Toc9972"/>
      <w:bookmarkStart w:id="331" w:name="_Toc19316"/>
      <w:bookmarkStart w:id="332" w:name="_Toc389139119"/>
      <w:r>
        <w:rPr>
          <w:rFonts w:hint="eastAsia" w:ascii="宋体" w:eastAsia="宋体"/>
          <w:bCs w:val="0"/>
          <w:color w:val="auto"/>
          <w:sz w:val="24"/>
          <w:szCs w:val="24"/>
          <w:highlight w:val="none"/>
        </w:rPr>
        <w:t>附件十、</w:t>
      </w:r>
      <w:r>
        <w:rPr>
          <w:rFonts w:hint="eastAsia"/>
          <w:bCs w:val="0"/>
          <w:color w:val="auto"/>
          <w:sz w:val="24"/>
          <w:szCs w:val="24"/>
          <w:highlight w:val="none"/>
        </w:rPr>
        <w:t>投标人同类项目业绩</w:t>
      </w:r>
      <w:bookmarkEnd w:id="326"/>
      <w:bookmarkEnd w:id="327"/>
      <w:bookmarkEnd w:id="328"/>
      <w:bookmarkEnd w:id="329"/>
      <w:bookmarkEnd w:id="330"/>
      <w:bookmarkEnd w:id="331"/>
      <w:bookmarkEnd w:id="332"/>
    </w:p>
    <w:tbl>
      <w:tblPr>
        <w:tblStyle w:val="40"/>
        <w:tblW w:w="91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377"/>
        <w:gridCol w:w="1128"/>
        <w:gridCol w:w="1833"/>
        <w:gridCol w:w="1540"/>
        <w:gridCol w:w="1183"/>
        <w:gridCol w:w="1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vAlign w:val="center"/>
          </w:tcPr>
          <w:p>
            <w:pPr>
              <w:spacing w:line="360" w:lineRule="auto"/>
              <w:jc w:val="center"/>
              <w:rPr>
                <w:rFonts w:ascii="宋体"/>
                <w:color w:val="auto"/>
                <w:sz w:val="21"/>
                <w:szCs w:val="21"/>
                <w:highlight w:val="none"/>
              </w:rPr>
            </w:pPr>
            <w:r>
              <w:rPr>
                <w:rFonts w:hint="eastAsia" w:ascii="宋体" w:cs="宋体"/>
                <w:color w:val="auto"/>
                <w:sz w:val="21"/>
                <w:szCs w:val="21"/>
                <w:highlight w:val="none"/>
              </w:rPr>
              <w:t>编号</w:t>
            </w:r>
          </w:p>
        </w:tc>
        <w:tc>
          <w:tcPr>
            <w:tcW w:w="1377"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项目</w:t>
            </w:r>
          </w:p>
          <w:p>
            <w:pPr>
              <w:spacing w:line="360" w:lineRule="auto"/>
              <w:jc w:val="center"/>
              <w:rPr>
                <w:rFonts w:ascii="宋体"/>
                <w:color w:val="auto"/>
                <w:sz w:val="21"/>
                <w:szCs w:val="21"/>
                <w:highlight w:val="none"/>
              </w:rPr>
            </w:pPr>
            <w:r>
              <w:rPr>
                <w:rFonts w:hint="eastAsia" w:ascii="宋体"/>
                <w:color w:val="auto"/>
                <w:sz w:val="21"/>
                <w:szCs w:val="21"/>
                <w:highlight w:val="none"/>
              </w:rPr>
              <w:t>名称</w:t>
            </w:r>
          </w:p>
        </w:tc>
        <w:tc>
          <w:tcPr>
            <w:tcW w:w="1128"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建设单位</w:t>
            </w:r>
          </w:p>
        </w:tc>
        <w:tc>
          <w:tcPr>
            <w:tcW w:w="1833"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简要描述</w:t>
            </w:r>
          </w:p>
        </w:tc>
        <w:tc>
          <w:tcPr>
            <w:tcW w:w="1540"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合同金额</w:t>
            </w:r>
          </w:p>
          <w:p>
            <w:pPr>
              <w:spacing w:line="360" w:lineRule="auto"/>
              <w:jc w:val="center"/>
              <w:rPr>
                <w:rFonts w:ascii="宋体"/>
                <w:color w:val="auto"/>
                <w:sz w:val="21"/>
                <w:szCs w:val="21"/>
                <w:highlight w:val="none"/>
              </w:rPr>
            </w:pPr>
            <w:r>
              <w:rPr>
                <w:rFonts w:hint="eastAsia" w:ascii="宋体"/>
                <w:color w:val="auto"/>
                <w:sz w:val="21"/>
                <w:szCs w:val="21"/>
                <w:highlight w:val="none"/>
              </w:rPr>
              <w:t>（万元）</w:t>
            </w:r>
          </w:p>
        </w:tc>
        <w:tc>
          <w:tcPr>
            <w:tcW w:w="1183"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上线或验收日期</w:t>
            </w:r>
          </w:p>
        </w:tc>
        <w:tc>
          <w:tcPr>
            <w:tcW w:w="1488" w:type="dxa"/>
            <w:vAlign w:val="center"/>
          </w:tcPr>
          <w:p>
            <w:pPr>
              <w:spacing w:line="360" w:lineRule="auto"/>
              <w:jc w:val="center"/>
              <w:rPr>
                <w:rFonts w:ascii="宋体"/>
                <w:color w:val="auto"/>
                <w:sz w:val="21"/>
                <w:szCs w:val="21"/>
                <w:highlight w:val="none"/>
              </w:rPr>
            </w:pPr>
            <w:r>
              <w:rPr>
                <w:rFonts w:hint="eastAsia" w:ascii="宋体"/>
                <w:color w:val="auto"/>
                <w:sz w:val="21"/>
                <w:szCs w:val="21"/>
                <w:highlight w:val="none"/>
              </w:rPr>
              <w:t>业主单位联系电话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vAlign w:val="center"/>
          </w:tcPr>
          <w:p>
            <w:pPr>
              <w:widowControl/>
              <w:spacing w:line="360" w:lineRule="auto"/>
              <w:jc w:val="center"/>
              <w:rPr>
                <w:rFonts w:ascii="宋体" w:cs="宋体"/>
                <w:color w:val="auto"/>
                <w:sz w:val="21"/>
                <w:szCs w:val="21"/>
                <w:highlight w:val="none"/>
              </w:rPr>
            </w:pPr>
            <w:r>
              <w:rPr>
                <w:rFonts w:hint="eastAsia" w:ascii="宋体" w:cs="宋体"/>
                <w:color w:val="auto"/>
                <w:sz w:val="21"/>
                <w:szCs w:val="21"/>
                <w:highlight w:val="none"/>
              </w:rPr>
              <w:t>1</w:t>
            </w:r>
          </w:p>
        </w:tc>
        <w:tc>
          <w:tcPr>
            <w:tcW w:w="1377" w:type="dxa"/>
            <w:vAlign w:val="center"/>
          </w:tcPr>
          <w:p>
            <w:pPr>
              <w:spacing w:line="360" w:lineRule="auto"/>
              <w:jc w:val="center"/>
              <w:rPr>
                <w:rFonts w:ascii="宋体"/>
                <w:color w:val="auto"/>
                <w:sz w:val="21"/>
                <w:szCs w:val="21"/>
                <w:highlight w:val="none"/>
              </w:rPr>
            </w:pPr>
          </w:p>
        </w:tc>
        <w:tc>
          <w:tcPr>
            <w:tcW w:w="1128" w:type="dxa"/>
            <w:vAlign w:val="center"/>
          </w:tcPr>
          <w:p>
            <w:pPr>
              <w:spacing w:line="360" w:lineRule="auto"/>
              <w:jc w:val="center"/>
              <w:rPr>
                <w:rFonts w:ascii="宋体"/>
                <w:color w:val="auto"/>
                <w:sz w:val="21"/>
                <w:szCs w:val="21"/>
                <w:highlight w:val="none"/>
              </w:rPr>
            </w:pPr>
          </w:p>
        </w:tc>
        <w:tc>
          <w:tcPr>
            <w:tcW w:w="1833" w:type="dxa"/>
            <w:vAlign w:val="center"/>
          </w:tcPr>
          <w:p>
            <w:pPr>
              <w:spacing w:line="360" w:lineRule="auto"/>
              <w:jc w:val="center"/>
              <w:rPr>
                <w:rFonts w:ascii="宋体"/>
                <w:color w:val="auto"/>
                <w:sz w:val="21"/>
                <w:szCs w:val="21"/>
                <w:highlight w:val="none"/>
              </w:rPr>
            </w:pPr>
          </w:p>
        </w:tc>
        <w:tc>
          <w:tcPr>
            <w:tcW w:w="1540" w:type="dxa"/>
            <w:vAlign w:val="center"/>
          </w:tcPr>
          <w:p>
            <w:pPr>
              <w:spacing w:line="360" w:lineRule="auto"/>
              <w:jc w:val="center"/>
              <w:rPr>
                <w:rFonts w:ascii="宋体"/>
                <w:color w:val="auto"/>
                <w:sz w:val="21"/>
                <w:szCs w:val="21"/>
                <w:highlight w:val="none"/>
              </w:rPr>
            </w:pPr>
          </w:p>
        </w:tc>
        <w:tc>
          <w:tcPr>
            <w:tcW w:w="1183" w:type="dxa"/>
            <w:vAlign w:val="center"/>
          </w:tcPr>
          <w:p>
            <w:pPr>
              <w:spacing w:line="360" w:lineRule="auto"/>
              <w:jc w:val="center"/>
              <w:rPr>
                <w:rFonts w:ascii="宋体"/>
                <w:color w:val="auto"/>
                <w:sz w:val="21"/>
                <w:szCs w:val="21"/>
                <w:highlight w:val="none"/>
              </w:rPr>
            </w:pPr>
          </w:p>
        </w:tc>
        <w:tc>
          <w:tcPr>
            <w:tcW w:w="1488" w:type="dxa"/>
            <w:vAlign w:val="center"/>
          </w:tcPr>
          <w:p>
            <w:pPr>
              <w:spacing w:line="360" w:lineRule="auto"/>
              <w:jc w:val="center"/>
              <w:rPr>
                <w:rFonts w:asci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vAlign w:val="center"/>
          </w:tcPr>
          <w:p>
            <w:pPr>
              <w:widowControl/>
              <w:spacing w:line="360" w:lineRule="auto"/>
              <w:jc w:val="center"/>
              <w:rPr>
                <w:rFonts w:ascii="宋体" w:cs="宋体"/>
                <w:color w:val="auto"/>
                <w:sz w:val="21"/>
                <w:szCs w:val="21"/>
                <w:highlight w:val="none"/>
              </w:rPr>
            </w:pPr>
            <w:r>
              <w:rPr>
                <w:rFonts w:hint="eastAsia" w:ascii="宋体"/>
                <w:color w:val="auto"/>
                <w:sz w:val="21"/>
                <w:szCs w:val="21"/>
                <w:highlight w:val="none"/>
              </w:rPr>
              <w:t>2</w:t>
            </w:r>
          </w:p>
        </w:tc>
        <w:tc>
          <w:tcPr>
            <w:tcW w:w="1377" w:type="dxa"/>
            <w:vAlign w:val="center"/>
          </w:tcPr>
          <w:p>
            <w:pPr>
              <w:spacing w:line="360" w:lineRule="auto"/>
              <w:jc w:val="center"/>
              <w:rPr>
                <w:rFonts w:ascii="宋体"/>
                <w:color w:val="auto"/>
                <w:sz w:val="21"/>
                <w:szCs w:val="21"/>
                <w:highlight w:val="none"/>
              </w:rPr>
            </w:pPr>
          </w:p>
        </w:tc>
        <w:tc>
          <w:tcPr>
            <w:tcW w:w="1128" w:type="dxa"/>
            <w:vAlign w:val="center"/>
          </w:tcPr>
          <w:p>
            <w:pPr>
              <w:spacing w:line="360" w:lineRule="auto"/>
              <w:jc w:val="center"/>
              <w:rPr>
                <w:rFonts w:ascii="宋体"/>
                <w:color w:val="auto"/>
                <w:sz w:val="21"/>
                <w:szCs w:val="21"/>
                <w:highlight w:val="none"/>
              </w:rPr>
            </w:pPr>
          </w:p>
        </w:tc>
        <w:tc>
          <w:tcPr>
            <w:tcW w:w="1833" w:type="dxa"/>
            <w:vAlign w:val="center"/>
          </w:tcPr>
          <w:p>
            <w:pPr>
              <w:spacing w:line="360" w:lineRule="auto"/>
              <w:jc w:val="center"/>
              <w:rPr>
                <w:rFonts w:ascii="宋体"/>
                <w:color w:val="auto"/>
                <w:sz w:val="21"/>
                <w:szCs w:val="21"/>
                <w:highlight w:val="none"/>
              </w:rPr>
            </w:pPr>
          </w:p>
        </w:tc>
        <w:tc>
          <w:tcPr>
            <w:tcW w:w="1540" w:type="dxa"/>
            <w:vAlign w:val="center"/>
          </w:tcPr>
          <w:p>
            <w:pPr>
              <w:spacing w:line="360" w:lineRule="auto"/>
              <w:jc w:val="center"/>
              <w:rPr>
                <w:rFonts w:ascii="宋体"/>
                <w:color w:val="auto"/>
                <w:sz w:val="21"/>
                <w:szCs w:val="21"/>
                <w:highlight w:val="none"/>
              </w:rPr>
            </w:pPr>
          </w:p>
        </w:tc>
        <w:tc>
          <w:tcPr>
            <w:tcW w:w="1183" w:type="dxa"/>
            <w:vAlign w:val="center"/>
          </w:tcPr>
          <w:p>
            <w:pPr>
              <w:spacing w:line="360" w:lineRule="auto"/>
              <w:jc w:val="center"/>
              <w:rPr>
                <w:rFonts w:ascii="宋体"/>
                <w:color w:val="auto"/>
                <w:sz w:val="21"/>
                <w:szCs w:val="21"/>
                <w:highlight w:val="none"/>
              </w:rPr>
            </w:pPr>
          </w:p>
        </w:tc>
        <w:tc>
          <w:tcPr>
            <w:tcW w:w="1488" w:type="dxa"/>
            <w:vAlign w:val="center"/>
          </w:tcPr>
          <w:p>
            <w:pPr>
              <w:spacing w:line="360" w:lineRule="auto"/>
              <w:jc w:val="center"/>
              <w:rPr>
                <w:rFonts w:asci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vAlign w:val="center"/>
          </w:tcPr>
          <w:p>
            <w:pPr>
              <w:widowControl/>
              <w:spacing w:line="360" w:lineRule="auto"/>
              <w:jc w:val="center"/>
              <w:rPr>
                <w:rFonts w:ascii="宋体" w:cs="宋体"/>
                <w:color w:val="auto"/>
                <w:sz w:val="21"/>
                <w:szCs w:val="21"/>
                <w:highlight w:val="none"/>
              </w:rPr>
            </w:pPr>
            <w:r>
              <w:rPr>
                <w:rFonts w:hint="eastAsia" w:ascii="宋体" w:cs="宋体"/>
                <w:color w:val="auto"/>
                <w:sz w:val="21"/>
                <w:szCs w:val="21"/>
                <w:highlight w:val="none"/>
              </w:rPr>
              <w:t>3</w:t>
            </w:r>
          </w:p>
        </w:tc>
        <w:tc>
          <w:tcPr>
            <w:tcW w:w="1377" w:type="dxa"/>
            <w:vAlign w:val="center"/>
          </w:tcPr>
          <w:p>
            <w:pPr>
              <w:spacing w:line="360" w:lineRule="auto"/>
              <w:jc w:val="center"/>
              <w:rPr>
                <w:rFonts w:ascii="宋体"/>
                <w:color w:val="auto"/>
                <w:sz w:val="21"/>
                <w:szCs w:val="21"/>
                <w:highlight w:val="none"/>
              </w:rPr>
            </w:pPr>
          </w:p>
        </w:tc>
        <w:tc>
          <w:tcPr>
            <w:tcW w:w="1128" w:type="dxa"/>
            <w:vAlign w:val="center"/>
          </w:tcPr>
          <w:p>
            <w:pPr>
              <w:spacing w:line="360" w:lineRule="auto"/>
              <w:jc w:val="center"/>
              <w:rPr>
                <w:rFonts w:ascii="宋体"/>
                <w:color w:val="auto"/>
                <w:sz w:val="21"/>
                <w:szCs w:val="21"/>
                <w:highlight w:val="none"/>
              </w:rPr>
            </w:pPr>
          </w:p>
        </w:tc>
        <w:tc>
          <w:tcPr>
            <w:tcW w:w="1833" w:type="dxa"/>
            <w:vAlign w:val="center"/>
          </w:tcPr>
          <w:p>
            <w:pPr>
              <w:spacing w:line="360" w:lineRule="auto"/>
              <w:jc w:val="center"/>
              <w:rPr>
                <w:rFonts w:ascii="宋体"/>
                <w:color w:val="auto"/>
                <w:sz w:val="21"/>
                <w:szCs w:val="21"/>
                <w:highlight w:val="none"/>
              </w:rPr>
            </w:pPr>
          </w:p>
        </w:tc>
        <w:tc>
          <w:tcPr>
            <w:tcW w:w="1540" w:type="dxa"/>
            <w:vAlign w:val="center"/>
          </w:tcPr>
          <w:p>
            <w:pPr>
              <w:spacing w:line="360" w:lineRule="auto"/>
              <w:jc w:val="center"/>
              <w:rPr>
                <w:rFonts w:ascii="宋体"/>
                <w:color w:val="auto"/>
                <w:sz w:val="21"/>
                <w:szCs w:val="21"/>
                <w:highlight w:val="none"/>
              </w:rPr>
            </w:pPr>
          </w:p>
        </w:tc>
        <w:tc>
          <w:tcPr>
            <w:tcW w:w="1183" w:type="dxa"/>
            <w:vAlign w:val="center"/>
          </w:tcPr>
          <w:p>
            <w:pPr>
              <w:spacing w:line="360" w:lineRule="auto"/>
              <w:jc w:val="center"/>
              <w:rPr>
                <w:rFonts w:ascii="宋体"/>
                <w:color w:val="auto"/>
                <w:sz w:val="21"/>
                <w:szCs w:val="21"/>
                <w:highlight w:val="none"/>
              </w:rPr>
            </w:pPr>
          </w:p>
        </w:tc>
        <w:tc>
          <w:tcPr>
            <w:tcW w:w="1488" w:type="dxa"/>
            <w:vAlign w:val="center"/>
          </w:tcPr>
          <w:p>
            <w:pPr>
              <w:spacing w:line="360" w:lineRule="auto"/>
              <w:jc w:val="center"/>
              <w:rPr>
                <w:rFonts w:ascii="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7" w:type="dxa"/>
            <w:vAlign w:val="center"/>
          </w:tcPr>
          <w:p>
            <w:pPr>
              <w:widowControl/>
              <w:spacing w:line="360" w:lineRule="auto"/>
              <w:jc w:val="center"/>
              <w:rPr>
                <w:rFonts w:ascii="宋体" w:cs="宋体"/>
                <w:color w:val="auto"/>
                <w:sz w:val="21"/>
                <w:szCs w:val="21"/>
                <w:highlight w:val="none"/>
              </w:rPr>
            </w:pPr>
            <w:r>
              <w:rPr>
                <w:rFonts w:hint="eastAsia" w:ascii="宋体"/>
                <w:color w:val="auto"/>
                <w:sz w:val="21"/>
                <w:szCs w:val="21"/>
                <w:highlight w:val="none"/>
              </w:rPr>
              <w:t>…</w:t>
            </w:r>
          </w:p>
        </w:tc>
        <w:tc>
          <w:tcPr>
            <w:tcW w:w="1377" w:type="dxa"/>
            <w:vAlign w:val="center"/>
          </w:tcPr>
          <w:p>
            <w:pPr>
              <w:spacing w:line="360" w:lineRule="auto"/>
              <w:jc w:val="center"/>
              <w:rPr>
                <w:rFonts w:ascii="宋体"/>
                <w:color w:val="auto"/>
                <w:sz w:val="21"/>
                <w:szCs w:val="21"/>
                <w:highlight w:val="none"/>
              </w:rPr>
            </w:pPr>
          </w:p>
        </w:tc>
        <w:tc>
          <w:tcPr>
            <w:tcW w:w="1128" w:type="dxa"/>
            <w:vAlign w:val="center"/>
          </w:tcPr>
          <w:p>
            <w:pPr>
              <w:spacing w:line="360" w:lineRule="auto"/>
              <w:jc w:val="center"/>
              <w:rPr>
                <w:rFonts w:ascii="宋体"/>
                <w:color w:val="auto"/>
                <w:sz w:val="21"/>
                <w:szCs w:val="21"/>
                <w:highlight w:val="none"/>
              </w:rPr>
            </w:pPr>
          </w:p>
        </w:tc>
        <w:tc>
          <w:tcPr>
            <w:tcW w:w="1833" w:type="dxa"/>
            <w:vAlign w:val="center"/>
          </w:tcPr>
          <w:p>
            <w:pPr>
              <w:spacing w:line="360" w:lineRule="auto"/>
              <w:jc w:val="center"/>
              <w:rPr>
                <w:rFonts w:ascii="宋体"/>
                <w:color w:val="auto"/>
                <w:sz w:val="21"/>
                <w:szCs w:val="21"/>
                <w:highlight w:val="none"/>
              </w:rPr>
            </w:pPr>
          </w:p>
        </w:tc>
        <w:tc>
          <w:tcPr>
            <w:tcW w:w="1540" w:type="dxa"/>
            <w:vAlign w:val="center"/>
          </w:tcPr>
          <w:p>
            <w:pPr>
              <w:spacing w:line="360" w:lineRule="auto"/>
              <w:jc w:val="center"/>
              <w:rPr>
                <w:rFonts w:ascii="宋体"/>
                <w:color w:val="auto"/>
                <w:sz w:val="21"/>
                <w:szCs w:val="21"/>
                <w:highlight w:val="none"/>
              </w:rPr>
            </w:pPr>
          </w:p>
        </w:tc>
        <w:tc>
          <w:tcPr>
            <w:tcW w:w="1183" w:type="dxa"/>
            <w:vAlign w:val="center"/>
          </w:tcPr>
          <w:p>
            <w:pPr>
              <w:spacing w:line="360" w:lineRule="auto"/>
              <w:jc w:val="center"/>
              <w:rPr>
                <w:rFonts w:ascii="宋体"/>
                <w:color w:val="auto"/>
                <w:sz w:val="21"/>
                <w:szCs w:val="21"/>
                <w:highlight w:val="none"/>
              </w:rPr>
            </w:pPr>
          </w:p>
        </w:tc>
        <w:tc>
          <w:tcPr>
            <w:tcW w:w="1488" w:type="dxa"/>
            <w:vAlign w:val="center"/>
          </w:tcPr>
          <w:p>
            <w:pPr>
              <w:spacing w:line="360" w:lineRule="auto"/>
              <w:jc w:val="center"/>
              <w:rPr>
                <w:rFonts w:ascii="宋体"/>
                <w:color w:val="auto"/>
                <w:sz w:val="21"/>
                <w:szCs w:val="21"/>
                <w:highlight w:val="none"/>
              </w:rPr>
            </w:pPr>
          </w:p>
        </w:tc>
      </w:tr>
    </w:tbl>
    <w:p>
      <w:pPr>
        <w:spacing w:line="360" w:lineRule="auto"/>
        <w:rPr>
          <w:rFonts w:ascii="宋体"/>
          <w:color w:val="auto"/>
          <w:sz w:val="21"/>
          <w:szCs w:val="21"/>
          <w:highlight w:val="none"/>
        </w:rPr>
      </w:pPr>
      <w:r>
        <w:rPr>
          <w:rFonts w:hint="eastAsia" w:ascii="宋体"/>
          <w:color w:val="auto"/>
          <w:sz w:val="21"/>
          <w:szCs w:val="21"/>
          <w:highlight w:val="none"/>
        </w:rPr>
        <w:t>注：１、同类项目指与本项目同类型的项目。</w:t>
      </w:r>
    </w:p>
    <w:p>
      <w:pPr>
        <w:spacing w:line="360" w:lineRule="auto"/>
        <w:ind w:firstLine="420" w:firstLineChars="200"/>
        <w:rPr>
          <w:rFonts w:ascii="宋体"/>
          <w:color w:val="auto"/>
          <w:sz w:val="21"/>
          <w:szCs w:val="21"/>
          <w:highlight w:val="none"/>
        </w:rPr>
      </w:pPr>
      <w:r>
        <w:rPr>
          <w:rFonts w:hint="eastAsia" w:ascii="宋体"/>
          <w:color w:val="auto"/>
          <w:sz w:val="21"/>
          <w:szCs w:val="21"/>
          <w:highlight w:val="none"/>
        </w:rPr>
        <w:t>2、投标人应随本表提供合同或其他有效证明材料（彩色扫描件或复印件，并加盖投标人公章），证明材料须清晰显示：项目名称、项目内容及服务时间、甲乙双方单位名称和单位公章等。</w:t>
      </w:r>
      <w:r>
        <w:rPr>
          <w:rFonts w:hint="eastAsia" w:ascii="宋体"/>
          <w:bCs/>
          <w:color w:val="auto"/>
          <w:sz w:val="21"/>
          <w:szCs w:val="21"/>
          <w:highlight w:val="none"/>
        </w:rPr>
        <w:t>申请人须将相关证明材料按本表方式进行编号并按顺序装订提交。未提供有效证明材料的业绩在评标时将不予认可。</w:t>
      </w:r>
    </w:p>
    <w:p>
      <w:pPr>
        <w:spacing w:line="360" w:lineRule="auto"/>
        <w:ind w:firstLine="420" w:firstLineChars="200"/>
        <w:rPr>
          <w:rFonts w:ascii="宋体"/>
          <w:color w:val="auto"/>
          <w:sz w:val="21"/>
          <w:szCs w:val="21"/>
          <w:highlight w:val="none"/>
        </w:rPr>
      </w:pPr>
    </w:p>
    <w:p>
      <w:pPr>
        <w:spacing w:line="360" w:lineRule="auto"/>
        <w:rPr>
          <w:rFonts w:ascii="宋体"/>
          <w:color w:val="auto"/>
          <w:sz w:val="21"/>
          <w:szCs w:val="21"/>
          <w:highlight w:val="none"/>
          <w:u w:val="single"/>
        </w:rPr>
      </w:pPr>
      <w:r>
        <w:rPr>
          <w:rFonts w:hint="eastAsia" w:ascii="宋体"/>
          <w:color w:val="auto"/>
          <w:sz w:val="21"/>
          <w:szCs w:val="21"/>
          <w:highlight w:val="none"/>
        </w:rPr>
        <w:t>投标人名称（公章）：</w:t>
      </w:r>
    </w:p>
    <w:p>
      <w:pPr>
        <w:spacing w:line="360" w:lineRule="auto"/>
        <w:rPr>
          <w:rFonts w:ascii="宋体"/>
          <w:color w:val="auto"/>
          <w:sz w:val="21"/>
          <w:szCs w:val="21"/>
          <w:highlight w:val="none"/>
          <w:u w:val="single"/>
        </w:rPr>
      </w:pPr>
      <w:r>
        <w:rPr>
          <w:rFonts w:hint="eastAsia" w:ascii="宋体"/>
          <w:color w:val="auto"/>
          <w:sz w:val="21"/>
          <w:szCs w:val="21"/>
          <w:highlight w:val="none"/>
        </w:rPr>
        <w:t>投标人代表签字</w:t>
      </w:r>
      <w:r>
        <w:rPr>
          <w:rFonts w:hint="eastAsia" w:ascii="宋体"/>
          <w:color w:val="auto"/>
          <w:sz w:val="21"/>
          <w:szCs w:val="21"/>
          <w:highlight w:val="none"/>
          <w:u w:val="single"/>
        </w:rPr>
        <w:t xml:space="preserve">：                        </w:t>
      </w:r>
      <w:bookmarkStart w:id="333" w:name="_Toc387317158"/>
      <w:bookmarkStart w:id="334" w:name="_Toc389139120"/>
    </w:p>
    <w:p>
      <w:pPr>
        <w:spacing w:line="276" w:lineRule="auto"/>
        <w:rPr>
          <w:rFonts w:ascii="宋体"/>
          <w:color w:val="auto"/>
          <w:szCs w:val="24"/>
          <w:highlight w:val="none"/>
          <w:u w:val="single"/>
        </w:rPr>
      </w:pPr>
    </w:p>
    <w:p>
      <w:pPr>
        <w:wordWrap w:val="0"/>
        <w:spacing w:line="440" w:lineRule="exact"/>
        <w:jc w:val="both"/>
        <w:rPr>
          <w:rFonts w:ascii="宋体" w:hAnsi="宋体"/>
          <w:color w:val="auto"/>
          <w:sz w:val="21"/>
          <w:szCs w:val="21"/>
          <w:highlight w:val="none"/>
        </w:rPr>
      </w:pPr>
      <w:r>
        <w:rPr>
          <w:rFonts w:ascii="宋体"/>
          <w:color w:val="auto"/>
          <w:szCs w:val="24"/>
          <w:highlight w:val="none"/>
          <w:u w:val="single"/>
        </w:rPr>
        <w:br w:type="page"/>
      </w:r>
      <w:bookmarkEnd w:id="333"/>
      <w:bookmarkEnd w:id="334"/>
      <w:bookmarkStart w:id="335" w:name="_Toc241827265"/>
      <w:bookmarkStart w:id="336" w:name="_Toc389139122"/>
      <w:bookmarkStart w:id="337" w:name="_Toc11089"/>
      <w:bookmarkStart w:id="338" w:name="_Toc387317160"/>
      <w:r>
        <w:rPr>
          <w:rFonts w:hint="eastAsia" w:ascii="宋体" w:hAnsi="宋体"/>
          <w:color w:val="auto"/>
          <w:sz w:val="21"/>
          <w:szCs w:val="21"/>
          <w:highlight w:val="none"/>
        </w:rPr>
        <w:t>附件十一、</w:t>
      </w:r>
      <w:bookmarkEnd w:id="306"/>
      <w:bookmarkEnd w:id="335"/>
      <w:bookmarkEnd w:id="336"/>
      <w:bookmarkEnd w:id="337"/>
      <w:bookmarkEnd w:id="338"/>
      <w:bookmarkStart w:id="339" w:name="_Toc241827266"/>
    </w:p>
    <w:p>
      <w:pPr>
        <w:wordWrap w:val="0"/>
        <w:spacing w:line="440" w:lineRule="exact"/>
        <w:jc w:val="center"/>
        <w:rPr>
          <w:rFonts w:ascii="宋体" w:hAnsi="宋体"/>
          <w:b/>
          <w:color w:val="auto"/>
          <w:sz w:val="21"/>
          <w:szCs w:val="21"/>
          <w:highlight w:val="none"/>
        </w:rPr>
      </w:pPr>
      <w:r>
        <w:rPr>
          <w:rFonts w:hint="eastAsia" w:ascii="宋体" w:hAnsi="宋体"/>
          <w:b/>
          <w:color w:val="auto"/>
          <w:sz w:val="21"/>
          <w:szCs w:val="21"/>
          <w:highlight w:val="none"/>
        </w:rPr>
        <w:t>供应商一般情况表</w:t>
      </w:r>
    </w:p>
    <w:tbl>
      <w:tblPr>
        <w:tblStyle w:val="40"/>
        <w:tblW w:w="8777" w:type="dxa"/>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1</w:t>
            </w:r>
          </w:p>
        </w:tc>
        <w:tc>
          <w:tcPr>
            <w:tcW w:w="8147" w:type="dxa"/>
            <w:gridSpan w:val="3"/>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单位名称：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2</w:t>
            </w:r>
          </w:p>
        </w:tc>
        <w:tc>
          <w:tcPr>
            <w:tcW w:w="8147" w:type="dxa"/>
            <w:gridSpan w:val="3"/>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总部地址：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3</w:t>
            </w:r>
          </w:p>
        </w:tc>
        <w:tc>
          <w:tcPr>
            <w:tcW w:w="8147" w:type="dxa"/>
            <w:gridSpan w:val="3"/>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当地代表处地址：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4</w:t>
            </w:r>
          </w:p>
        </w:tc>
        <w:tc>
          <w:tcPr>
            <w:tcW w:w="4305" w:type="dxa"/>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电</w:t>
            </w:r>
            <w:r>
              <w:rPr>
                <w:rFonts w:ascii="宋体" w:hAnsi="宋体"/>
                <w:color w:val="auto"/>
                <w:sz w:val="21"/>
                <w:szCs w:val="21"/>
                <w:highlight w:val="none"/>
              </w:rPr>
              <w:t xml:space="preserve">  </w:t>
            </w:r>
            <w:r>
              <w:rPr>
                <w:rFonts w:hint="eastAsia" w:ascii="宋体" w:hAnsi="宋体"/>
                <w:color w:val="auto"/>
                <w:sz w:val="21"/>
                <w:szCs w:val="21"/>
                <w:highlight w:val="none"/>
              </w:rPr>
              <w:t>话：</w:t>
            </w:r>
          </w:p>
        </w:tc>
        <w:tc>
          <w:tcPr>
            <w:tcW w:w="3842" w:type="dxa"/>
            <w:gridSpan w:val="2"/>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联</w:t>
            </w:r>
            <w:r>
              <w:rPr>
                <w:rFonts w:ascii="宋体" w:hAnsi="宋体"/>
                <w:color w:val="auto"/>
                <w:sz w:val="21"/>
                <w:szCs w:val="21"/>
                <w:highlight w:val="none"/>
              </w:rPr>
              <w:t xml:space="preserve"> </w:t>
            </w:r>
            <w:r>
              <w:rPr>
                <w:rFonts w:hint="eastAsia" w:ascii="宋体" w:hAnsi="宋体"/>
                <w:color w:val="auto"/>
                <w:sz w:val="21"/>
                <w:szCs w:val="21"/>
                <w:highlight w:val="none"/>
              </w:rPr>
              <w:t>系</w:t>
            </w:r>
            <w:r>
              <w:rPr>
                <w:rFonts w:ascii="宋体" w:hAnsi="宋体"/>
                <w:color w:val="auto"/>
                <w:sz w:val="21"/>
                <w:szCs w:val="21"/>
                <w:highlight w:val="none"/>
              </w:rPr>
              <w:t xml:space="preserve"> </w:t>
            </w:r>
            <w:r>
              <w:rPr>
                <w:rFonts w:hint="eastAsia" w:ascii="宋体" w:hAnsi="宋体"/>
                <w:color w:val="auto"/>
                <w:sz w:val="21"/>
                <w:szCs w:val="21"/>
                <w:highlight w:val="none"/>
              </w:rPr>
              <w:t>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5</w:t>
            </w:r>
          </w:p>
        </w:tc>
        <w:tc>
          <w:tcPr>
            <w:tcW w:w="4305" w:type="dxa"/>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传</w:t>
            </w:r>
            <w:r>
              <w:rPr>
                <w:rFonts w:ascii="宋体" w:hAnsi="宋体"/>
                <w:color w:val="auto"/>
                <w:sz w:val="21"/>
                <w:szCs w:val="21"/>
                <w:highlight w:val="none"/>
              </w:rPr>
              <w:t xml:space="preserve">  </w:t>
            </w:r>
            <w:r>
              <w:rPr>
                <w:rFonts w:hint="eastAsia" w:ascii="宋体" w:hAnsi="宋体"/>
                <w:color w:val="auto"/>
                <w:sz w:val="21"/>
                <w:szCs w:val="21"/>
                <w:highlight w:val="none"/>
              </w:rPr>
              <w:t>真：</w:t>
            </w:r>
          </w:p>
        </w:tc>
        <w:tc>
          <w:tcPr>
            <w:tcW w:w="3842" w:type="dxa"/>
            <w:gridSpan w:val="2"/>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电子信箱：</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6</w:t>
            </w:r>
          </w:p>
        </w:tc>
        <w:tc>
          <w:tcPr>
            <w:tcW w:w="4305" w:type="dxa"/>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注册地：</w:t>
            </w:r>
          </w:p>
        </w:tc>
        <w:tc>
          <w:tcPr>
            <w:tcW w:w="3842" w:type="dxa"/>
            <w:gridSpan w:val="2"/>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注册年份：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7</w:t>
            </w:r>
          </w:p>
        </w:tc>
        <w:tc>
          <w:tcPr>
            <w:tcW w:w="8147" w:type="dxa"/>
            <w:gridSpan w:val="3"/>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公司的资质等级（请附上有关证书的复印件）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8</w:t>
            </w:r>
          </w:p>
        </w:tc>
        <w:tc>
          <w:tcPr>
            <w:tcW w:w="8147" w:type="dxa"/>
            <w:gridSpan w:val="3"/>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公司（是否通过，何种）质量保证体系认证（如通过请附相关证书复印件，提供认证机构年审监督报告）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9</w:t>
            </w:r>
          </w:p>
        </w:tc>
        <w:tc>
          <w:tcPr>
            <w:tcW w:w="4314" w:type="dxa"/>
            <w:gridSpan w:val="2"/>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从业人员数量</w:t>
            </w:r>
          </w:p>
        </w:tc>
        <w:tc>
          <w:tcPr>
            <w:tcW w:w="3833" w:type="dxa"/>
            <w:vAlign w:val="center"/>
          </w:tcPr>
          <w:p>
            <w:pPr>
              <w:wordWrap w:val="0"/>
              <w:spacing w:line="400" w:lineRule="exact"/>
              <w:rPr>
                <w:rFonts w:ascii="宋体" w:hAnsi="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10</w:t>
            </w:r>
          </w:p>
        </w:tc>
        <w:tc>
          <w:tcPr>
            <w:tcW w:w="4314" w:type="dxa"/>
            <w:gridSpan w:val="2"/>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营业收入</w:t>
            </w:r>
          </w:p>
        </w:tc>
        <w:tc>
          <w:tcPr>
            <w:tcW w:w="3833" w:type="dxa"/>
            <w:vAlign w:val="center"/>
          </w:tcPr>
          <w:p>
            <w:pPr>
              <w:wordWrap w:val="0"/>
              <w:spacing w:line="400" w:lineRule="exact"/>
              <w:rPr>
                <w:rFonts w:ascii="宋体" w:hAnsi="宋体"/>
                <w:color w:val="auto"/>
                <w:sz w:val="21"/>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pPr>
              <w:wordWrap w:val="0"/>
              <w:spacing w:line="400" w:lineRule="exact"/>
              <w:jc w:val="center"/>
              <w:rPr>
                <w:rFonts w:ascii="宋体" w:hAnsi="宋体"/>
                <w:color w:val="auto"/>
                <w:sz w:val="21"/>
                <w:szCs w:val="21"/>
                <w:highlight w:val="none"/>
              </w:rPr>
            </w:pPr>
            <w:r>
              <w:rPr>
                <w:rFonts w:ascii="宋体" w:hAnsi="宋体"/>
                <w:color w:val="auto"/>
                <w:sz w:val="21"/>
                <w:szCs w:val="21"/>
                <w:highlight w:val="none"/>
              </w:rPr>
              <w:t>11</w:t>
            </w:r>
          </w:p>
        </w:tc>
        <w:tc>
          <w:tcPr>
            <w:tcW w:w="4314" w:type="dxa"/>
            <w:gridSpan w:val="2"/>
            <w:vAlign w:val="center"/>
          </w:tcPr>
          <w:p>
            <w:pPr>
              <w:wordWrap w:val="0"/>
              <w:spacing w:line="400" w:lineRule="exact"/>
              <w:rPr>
                <w:rFonts w:ascii="宋体" w:hAnsi="宋体"/>
                <w:color w:val="auto"/>
                <w:sz w:val="21"/>
                <w:szCs w:val="21"/>
                <w:highlight w:val="none"/>
              </w:rPr>
            </w:pPr>
            <w:r>
              <w:rPr>
                <w:rFonts w:hint="eastAsia" w:ascii="宋体" w:hAnsi="宋体"/>
                <w:color w:val="auto"/>
                <w:sz w:val="21"/>
                <w:szCs w:val="21"/>
                <w:highlight w:val="none"/>
              </w:rPr>
              <w:t>其他需要说明的情况</w:t>
            </w:r>
          </w:p>
        </w:tc>
        <w:tc>
          <w:tcPr>
            <w:tcW w:w="3833" w:type="dxa"/>
            <w:vAlign w:val="center"/>
          </w:tcPr>
          <w:p>
            <w:pPr>
              <w:wordWrap w:val="0"/>
              <w:spacing w:line="400" w:lineRule="exact"/>
              <w:rPr>
                <w:rFonts w:ascii="宋体" w:hAnsi="宋体"/>
                <w:color w:val="auto"/>
                <w:sz w:val="21"/>
                <w:szCs w:val="21"/>
                <w:highlight w:val="none"/>
              </w:rPr>
            </w:pPr>
          </w:p>
        </w:tc>
      </w:tr>
    </w:tbl>
    <w:p>
      <w:pPr>
        <w:wordWrap w:val="0"/>
        <w:spacing w:line="400" w:lineRule="atLeast"/>
        <w:rPr>
          <w:rFonts w:ascii="宋体" w:hAnsi="宋体"/>
          <w:color w:val="auto"/>
          <w:sz w:val="21"/>
          <w:szCs w:val="21"/>
          <w:highlight w:val="none"/>
        </w:rPr>
      </w:pPr>
    </w:p>
    <w:p>
      <w:pPr>
        <w:wordWrap w:val="0"/>
        <w:spacing w:line="400" w:lineRule="atLeast"/>
        <w:rPr>
          <w:rFonts w:ascii="宋体" w:hAnsi="宋体"/>
          <w:color w:val="auto"/>
          <w:sz w:val="21"/>
          <w:szCs w:val="21"/>
          <w:highlight w:val="none"/>
        </w:rPr>
      </w:pPr>
    </w:p>
    <w:p>
      <w:pPr>
        <w:wordWrap w:val="0"/>
        <w:spacing w:line="400" w:lineRule="atLeast"/>
        <w:rPr>
          <w:rFonts w:ascii="宋体" w:hAnsi="宋体"/>
          <w:color w:val="auto"/>
          <w:sz w:val="21"/>
          <w:szCs w:val="21"/>
          <w:highlight w:val="none"/>
        </w:rPr>
      </w:pPr>
      <w:r>
        <w:rPr>
          <w:rFonts w:hint="eastAsia" w:ascii="宋体" w:hAnsi="宋体"/>
          <w:color w:val="auto"/>
          <w:sz w:val="21"/>
          <w:szCs w:val="21"/>
          <w:highlight w:val="none"/>
        </w:rPr>
        <w:t>供应商（盖章）：</w:t>
      </w:r>
    </w:p>
    <w:p>
      <w:pPr>
        <w:spacing w:before="100" w:after="100" w:line="276" w:lineRule="auto"/>
        <w:jc w:val="both"/>
        <w:rPr>
          <w:color w:val="auto"/>
          <w:sz w:val="21"/>
          <w:szCs w:val="21"/>
          <w:highlight w:val="none"/>
        </w:rPr>
      </w:pPr>
      <w:r>
        <w:rPr>
          <w:rFonts w:hint="eastAsia" w:ascii="宋体" w:hAnsi="宋体"/>
          <w:color w:val="auto"/>
          <w:sz w:val="21"/>
          <w:szCs w:val="21"/>
          <w:highlight w:val="none"/>
        </w:rPr>
        <w:t>日</w:t>
      </w:r>
      <w:r>
        <w:rPr>
          <w:rFonts w:ascii="宋体" w:hAnsi="宋体"/>
          <w:color w:val="auto"/>
          <w:sz w:val="21"/>
          <w:szCs w:val="21"/>
          <w:highlight w:val="none"/>
        </w:rPr>
        <w:t xml:space="preserve">          </w:t>
      </w:r>
      <w:r>
        <w:rPr>
          <w:rFonts w:hint="eastAsia" w:ascii="宋体" w:hAnsi="宋体"/>
          <w:color w:val="auto"/>
          <w:sz w:val="21"/>
          <w:szCs w:val="21"/>
          <w:highlight w:val="none"/>
        </w:rPr>
        <w:t>期：</w:t>
      </w:r>
    </w:p>
    <w:p>
      <w:pPr>
        <w:pStyle w:val="3"/>
        <w:spacing w:line="276" w:lineRule="auto"/>
        <w:rPr>
          <w:b w:val="0"/>
          <w:color w:val="auto"/>
          <w:sz w:val="24"/>
          <w:szCs w:val="20"/>
          <w:highlight w:val="none"/>
        </w:rPr>
      </w:pPr>
    </w:p>
    <w:p>
      <w:pPr>
        <w:rPr>
          <w:color w:val="auto"/>
          <w:highlight w:val="none"/>
        </w:rPr>
      </w:pPr>
      <w:r>
        <w:rPr>
          <w:color w:val="auto"/>
          <w:highlight w:val="none"/>
        </w:rPr>
        <w:br w:type="page"/>
      </w:r>
    </w:p>
    <w:p>
      <w:pPr>
        <w:rPr>
          <w:color w:val="auto"/>
          <w:highlight w:val="none"/>
        </w:rPr>
      </w:pPr>
      <w:r>
        <w:rPr>
          <w:rFonts w:hint="eastAsia" w:ascii="宋体" w:hAnsi="宋体"/>
          <w:color w:val="auto"/>
          <w:sz w:val="21"/>
          <w:szCs w:val="21"/>
          <w:highlight w:val="none"/>
        </w:rPr>
        <w:t>附件十</w:t>
      </w:r>
      <w:r>
        <w:rPr>
          <w:rFonts w:hint="eastAsia" w:ascii="宋体" w:hAnsi="宋体"/>
          <w:color w:val="auto"/>
          <w:sz w:val="21"/>
          <w:szCs w:val="21"/>
          <w:highlight w:val="none"/>
          <w:lang w:val="en-US" w:eastAsia="zh-CN"/>
        </w:rPr>
        <w:t>二</w:t>
      </w:r>
    </w:p>
    <w:p>
      <w:pPr>
        <w:pStyle w:val="18"/>
        <w:spacing w:line="460" w:lineRule="exact"/>
        <w:ind w:left="0" w:leftChars="0"/>
        <w:jc w:val="center"/>
        <w:rPr>
          <w:rFonts w:hint="eastAsia"/>
          <w:b/>
          <w:bCs/>
          <w:color w:val="auto"/>
          <w:highlight w:val="none"/>
        </w:rPr>
      </w:pPr>
      <w:r>
        <w:rPr>
          <w:rFonts w:hint="eastAsia"/>
          <w:b/>
          <w:bCs/>
          <w:color w:val="auto"/>
          <w:highlight w:val="none"/>
        </w:rPr>
        <w:t>设备材料保障能力汇总表-样表</w:t>
      </w:r>
    </w:p>
    <w:tbl>
      <w:tblPr>
        <w:tblStyle w:val="40"/>
        <w:tblW w:w="7800" w:type="dxa"/>
        <w:jc w:val="center"/>
        <w:tblLayout w:type="autofit"/>
        <w:tblCellMar>
          <w:top w:w="0" w:type="dxa"/>
          <w:left w:w="108" w:type="dxa"/>
          <w:bottom w:w="0" w:type="dxa"/>
          <w:right w:w="108" w:type="dxa"/>
        </w:tblCellMar>
      </w:tblPr>
      <w:tblGrid>
        <w:gridCol w:w="1919"/>
        <w:gridCol w:w="1979"/>
        <w:gridCol w:w="1979"/>
        <w:gridCol w:w="1923"/>
      </w:tblGrid>
      <w:tr>
        <w:tblPrEx>
          <w:tblCellMar>
            <w:top w:w="0" w:type="dxa"/>
            <w:left w:w="108" w:type="dxa"/>
            <w:bottom w:w="0" w:type="dxa"/>
            <w:right w:w="108" w:type="dxa"/>
          </w:tblCellMar>
        </w:tblPrEx>
        <w:trPr>
          <w:trHeight w:val="636" w:hRule="atLeast"/>
          <w:jc w:val="center"/>
        </w:trPr>
        <w:tc>
          <w:tcPr>
            <w:tcW w:w="780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设备材料保障能力汇总表</w:t>
            </w:r>
          </w:p>
        </w:tc>
      </w:tr>
      <w:tr>
        <w:tblPrEx>
          <w:tblCellMar>
            <w:top w:w="0" w:type="dxa"/>
            <w:left w:w="108" w:type="dxa"/>
            <w:bottom w:w="0" w:type="dxa"/>
            <w:right w:w="108" w:type="dxa"/>
          </w:tblCellMar>
        </w:tblPrEx>
        <w:trPr>
          <w:trHeight w:val="636" w:hRule="atLeast"/>
          <w:jc w:val="center"/>
        </w:trPr>
        <w:tc>
          <w:tcPr>
            <w:tcW w:w="780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设备</w:t>
            </w: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名称</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型号</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数量</w:t>
            </w:r>
          </w:p>
        </w:tc>
        <w:tc>
          <w:tcPr>
            <w:tcW w:w="19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页码</w:t>
            </w: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7800"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材料</w:t>
            </w: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名称</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品牌</w:t>
            </w:r>
          </w:p>
        </w:tc>
        <w:tc>
          <w:tcPr>
            <w:tcW w:w="197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规格</w:t>
            </w:r>
          </w:p>
        </w:tc>
        <w:tc>
          <w:tcPr>
            <w:tcW w:w="19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页码</w:t>
            </w: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36"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45" w:hRule="atLeast"/>
          <w:jc w:val="center"/>
        </w:trPr>
        <w:tc>
          <w:tcPr>
            <w:tcW w:w="191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79"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21"/>
                <w:szCs w:val="21"/>
                <w:highlight w:val="none"/>
              </w:rPr>
            </w:pPr>
          </w:p>
        </w:tc>
        <w:tc>
          <w:tcPr>
            <w:tcW w:w="192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auto"/>
                <w:sz w:val="21"/>
                <w:szCs w:val="21"/>
                <w:highlight w:val="none"/>
              </w:rPr>
            </w:pPr>
          </w:p>
        </w:tc>
      </w:tr>
    </w:tbl>
    <w:p>
      <w:pPr>
        <w:pStyle w:val="18"/>
        <w:spacing w:line="460" w:lineRule="exact"/>
        <w:ind w:left="0" w:leftChars="0"/>
        <w:jc w:val="left"/>
        <w:rPr>
          <w:rFonts w:hint="eastAsia"/>
          <w:b/>
          <w:bCs/>
          <w:color w:val="auto"/>
          <w:highlight w:val="none"/>
        </w:rPr>
      </w:pPr>
      <w:r>
        <w:rPr>
          <w:rFonts w:hint="eastAsia"/>
          <w:b/>
          <w:bCs/>
          <w:color w:val="auto"/>
          <w:highlight w:val="none"/>
        </w:rPr>
        <w:br w:type="page"/>
      </w:r>
    </w:p>
    <w:p>
      <w:pPr>
        <w:pStyle w:val="18"/>
        <w:spacing w:line="460" w:lineRule="exact"/>
        <w:ind w:left="0" w:leftChars="0"/>
        <w:jc w:val="left"/>
        <w:rPr>
          <w:rFonts w:hint="eastAsia"/>
          <w:b/>
          <w:bCs/>
          <w:color w:val="auto"/>
          <w:highlight w:val="none"/>
        </w:rPr>
      </w:pPr>
      <w:r>
        <w:rPr>
          <w:rFonts w:hint="eastAsia" w:ascii="宋体" w:hAnsi="宋体"/>
          <w:color w:val="auto"/>
          <w:sz w:val="21"/>
          <w:szCs w:val="21"/>
          <w:highlight w:val="none"/>
        </w:rPr>
        <w:t>附件十</w:t>
      </w:r>
      <w:r>
        <w:rPr>
          <w:rFonts w:hint="eastAsia" w:ascii="宋体" w:hAnsi="宋体"/>
          <w:color w:val="auto"/>
          <w:sz w:val="21"/>
          <w:szCs w:val="21"/>
          <w:highlight w:val="none"/>
          <w:lang w:val="en-US" w:eastAsia="zh-CN"/>
        </w:rPr>
        <w:t>三</w:t>
      </w:r>
      <w:r>
        <w:rPr>
          <w:rFonts w:hint="eastAsia" w:ascii="宋体" w:hAnsi="宋体"/>
          <w:color w:val="auto"/>
          <w:sz w:val="21"/>
          <w:szCs w:val="21"/>
          <w:highlight w:val="none"/>
        </w:rPr>
        <w:t>、</w:t>
      </w:r>
    </w:p>
    <w:p>
      <w:pPr>
        <w:pStyle w:val="18"/>
        <w:spacing w:line="460" w:lineRule="exact"/>
        <w:ind w:left="0" w:leftChars="0"/>
        <w:jc w:val="left"/>
        <w:rPr>
          <w:rFonts w:hint="eastAsia"/>
          <w:b/>
          <w:bCs/>
          <w:color w:val="auto"/>
          <w:sz w:val="21"/>
          <w:szCs w:val="21"/>
          <w:highlight w:val="none"/>
        </w:rPr>
      </w:pPr>
      <w:r>
        <w:rPr>
          <w:rFonts w:hint="eastAsia"/>
          <w:b/>
          <w:bCs/>
          <w:color w:val="auto"/>
          <w:sz w:val="21"/>
          <w:szCs w:val="21"/>
          <w:highlight w:val="none"/>
        </w:rPr>
        <w:t>人员保障能力汇总表-样表</w:t>
      </w:r>
    </w:p>
    <w:tbl>
      <w:tblPr>
        <w:tblStyle w:val="40"/>
        <w:tblW w:w="4893" w:type="pct"/>
        <w:tblInd w:w="78" w:type="dxa"/>
        <w:tblLayout w:type="autofit"/>
        <w:tblCellMar>
          <w:top w:w="0" w:type="dxa"/>
          <w:left w:w="108" w:type="dxa"/>
          <w:bottom w:w="0" w:type="dxa"/>
          <w:right w:w="108" w:type="dxa"/>
        </w:tblCellMar>
      </w:tblPr>
      <w:tblGrid>
        <w:gridCol w:w="1343"/>
        <w:gridCol w:w="810"/>
        <w:gridCol w:w="1068"/>
        <w:gridCol w:w="743"/>
        <w:gridCol w:w="976"/>
        <w:gridCol w:w="905"/>
        <w:gridCol w:w="806"/>
        <w:gridCol w:w="2548"/>
      </w:tblGrid>
      <w:tr>
        <w:tblPrEx>
          <w:tblCellMar>
            <w:top w:w="0" w:type="dxa"/>
            <w:left w:w="108" w:type="dxa"/>
            <w:bottom w:w="0" w:type="dxa"/>
            <w:right w:w="108" w:type="dxa"/>
          </w:tblCellMar>
        </w:tblPrEx>
        <w:trPr>
          <w:trHeight w:val="656" w:hRule="atLeast"/>
        </w:trPr>
        <w:tc>
          <w:tcPr>
            <w:tcW w:w="9199" w:type="dxa"/>
            <w:gridSpan w:val="8"/>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人员保障能力汇总表</w:t>
            </w:r>
          </w:p>
        </w:tc>
      </w:tr>
      <w:tr>
        <w:tblPrEx>
          <w:tblCellMar>
            <w:top w:w="0" w:type="dxa"/>
            <w:left w:w="108" w:type="dxa"/>
            <w:bottom w:w="0" w:type="dxa"/>
            <w:right w:w="108" w:type="dxa"/>
          </w:tblCellMar>
        </w:tblPrEx>
        <w:trPr>
          <w:trHeight w:val="656" w:hRule="atLeast"/>
        </w:trPr>
        <w:tc>
          <w:tcPr>
            <w:tcW w:w="9199" w:type="dxa"/>
            <w:gridSpan w:val="8"/>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拟派人员及构成情况</w:t>
            </w:r>
          </w:p>
        </w:tc>
      </w:tr>
      <w:tr>
        <w:tblPrEx>
          <w:tblCellMar>
            <w:top w:w="0" w:type="dxa"/>
            <w:left w:w="108" w:type="dxa"/>
            <w:bottom w:w="0" w:type="dxa"/>
            <w:right w:w="108" w:type="dxa"/>
          </w:tblCellMar>
        </w:tblPrEx>
        <w:trPr>
          <w:trHeight w:val="656" w:hRule="atLeast"/>
        </w:trPr>
        <w:tc>
          <w:tcPr>
            <w:tcW w:w="215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项目管理部管理人员</w:t>
            </w:r>
          </w:p>
        </w:tc>
        <w:tc>
          <w:tcPr>
            <w:tcW w:w="106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 xml:space="preserve">     （人）</w:t>
            </w:r>
          </w:p>
        </w:tc>
        <w:tc>
          <w:tcPr>
            <w:tcW w:w="5978"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有职称管理人员</w:t>
            </w:r>
          </w:p>
        </w:tc>
      </w:tr>
      <w:tr>
        <w:tblPrEx>
          <w:tblCellMar>
            <w:top w:w="0" w:type="dxa"/>
            <w:left w:w="108" w:type="dxa"/>
            <w:bottom w:w="0" w:type="dxa"/>
            <w:right w:w="108" w:type="dxa"/>
          </w:tblCellMar>
        </w:tblPrEx>
        <w:trPr>
          <w:trHeight w:val="656" w:hRule="atLeast"/>
        </w:trPr>
        <w:tc>
          <w:tcPr>
            <w:tcW w:w="215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auto"/>
                <w:sz w:val="21"/>
                <w:szCs w:val="21"/>
                <w:highlight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71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高级</w:t>
            </w:r>
          </w:p>
        </w:tc>
        <w:tc>
          <w:tcPr>
            <w:tcW w:w="1711"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中级</w:t>
            </w: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初级</w:t>
            </w:r>
          </w:p>
        </w:tc>
      </w:tr>
      <w:tr>
        <w:tblPrEx>
          <w:tblCellMar>
            <w:top w:w="0" w:type="dxa"/>
            <w:left w:w="108" w:type="dxa"/>
            <w:bottom w:w="0" w:type="dxa"/>
            <w:right w:w="108" w:type="dxa"/>
          </w:tblCellMar>
        </w:tblPrEx>
        <w:trPr>
          <w:trHeight w:val="656" w:hRule="atLeast"/>
        </w:trPr>
        <w:tc>
          <w:tcPr>
            <w:tcW w:w="215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auto"/>
                <w:sz w:val="21"/>
                <w:szCs w:val="21"/>
                <w:highlight w:val="none"/>
              </w:rPr>
            </w:pPr>
          </w:p>
        </w:tc>
        <w:tc>
          <w:tcPr>
            <w:tcW w:w="106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71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71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100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姓名</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年龄</w:t>
            </w: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专业</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kern w:val="0"/>
                <w:sz w:val="21"/>
                <w:szCs w:val="21"/>
                <w:highlight w:val="none"/>
                <w:lang w:bidi="ar"/>
              </w:rPr>
            </w:pPr>
            <w:r>
              <w:rPr>
                <w:rFonts w:hint="eastAsia" w:ascii="宋体" w:hAnsi="宋体" w:cs="宋体"/>
                <w:b/>
                <w:bCs/>
                <w:color w:val="auto"/>
                <w:kern w:val="0"/>
                <w:sz w:val="21"/>
                <w:szCs w:val="21"/>
                <w:highlight w:val="none"/>
                <w:lang w:bidi="ar"/>
              </w:rPr>
              <w:t>学历</w:t>
            </w: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bCs/>
                <w:color w:val="auto"/>
                <w:kern w:val="0"/>
                <w:sz w:val="21"/>
                <w:szCs w:val="21"/>
                <w:highlight w:val="none"/>
                <w:lang w:bidi="ar"/>
              </w:rPr>
            </w:pPr>
            <w:r>
              <w:rPr>
                <w:rFonts w:hint="eastAsia" w:ascii="宋体" w:hAnsi="宋体" w:cs="宋体"/>
                <w:b/>
                <w:bCs/>
                <w:color w:val="auto"/>
                <w:kern w:val="0"/>
                <w:sz w:val="21"/>
                <w:szCs w:val="21"/>
                <w:highlight w:val="none"/>
                <w:lang w:bidi="ar"/>
              </w:rPr>
              <w:t>职称</w:t>
            </w: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本项目拟担任职务</w:t>
            </w: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工作年限</w:t>
            </w: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主要工作业绩</w:t>
            </w: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56"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r>
        <w:tblPrEx>
          <w:tblCellMar>
            <w:top w:w="0" w:type="dxa"/>
            <w:left w:w="108" w:type="dxa"/>
            <w:bottom w:w="0" w:type="dxa"/>
            <w:right w:w="108" w:type="dxa"/>
          </w:tblCellMar>
        </w:tblPrEx>
        <w:trPr>
          <w:trHeight w:val="665" w:hRule="atLeast"/>
        </w:trPr>
        <w:tc>
          <w:tcPr>
            <w:tcW w:w="134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1"/>
                <w:szCs w:val="21"/>
                <w:highlight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106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74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c>
          <w:tcPr>
            <w:tcW w:w="254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1"/>
                <w:szCs w:val="21"/>
                <w:highlight w:val="none"/>
              </w:rPr>
            </w:pPr>
          </w:p>
        </w:tc>
      </w:tr>
    </w:tbl>
    <w:p>
      <w:pPr>
        <w:pStyle w:val="18"/>
        <w:spacing w:line="460" w:lineRule="exact"/>
        <w:ind w:left="0" w:leftChars="0"/>
        <w:jc w:val="left"/>
        <w:rPr>
          <w:rFonts w:hint="eastAsia"/>
          <w:b/>
          <w:bCs/>
          <w:color w:val="auto"/>
          <w:highlight w:val="none"/>
        </w:rPr>
      </w:pPr>
    </w:p>
    <w:p>
      <w:pPr>
        <w:tabs>
          <w:tab w:val="left" w:pos="3780"/>
        </w:tabs>
        <w:spacing w:line="360" w:lineRule="auto"/>
        <w:rPr>
          <w:rFonts w:hint="eastAsia" w:ascii="仿宋_GB2312" w:hAnsi="仿宋" w:eastAsia="仿宋_GB2312" w:cs="宋体"/>
          <w:color w:val="auto"/>
          <w:sz w:val="32"/>
          <w:szCs w:val="32"/>
          <w:highlight w:val="none"/>
          <w:lang w:val="zh-CN"/>
        </w:rPr>
      </w:pPr>
      <w:r>
        <w:rPr>
          <w:rFonts w:hint="eastAsia" w:ascii="仿宋_GB2312" w:hAnsi="仿宋" w:eastAsia="仿宋_GB2312" w:cs="宋体"/>
          <w:color w:val="auto"/>
          <w:sz w:val="32"/>
          <w:szCs w:val="32"/>
          <w:highlight w:val="none"/>
          <w:lang w:val="zh-CN"/>
        </w:rPr>
        <w:br w:type="page"/>
      </w:r>
    </w:p>
    <w:p>
      <w:pPr>
        <w:tabs>
          <w:tab w:val="left" w:pos="3780"/>
        </w:tabs>
        <w:spacing w:line="360" w:lineRule="auto"/>
        <w:rPr>
          <w:rFonts w:hint="eastAsia" w:ascii="仿宋_GB2312" w:hAnsi="仿宋" w:eastAsia="仿宋_GB2312" w:cs="宋体"/>
          <w:color w:val="auto"/>
          <w:sz w:val="32"/>
          <w:szCs w:val="32"/>
          <w:highlight w:val="none"/>
          <w:lang w:val="zh-CN"/>
        </w:rPr>
      </w:pPr>
      <w:r>
        <w:rPr>
          <w:rFonts w:hint="eastAsia" w:ascii="宋体" w:hAnsi="宋体"/>
          <w:color w:val="auto"/>
          <w:sz w:val="21"/>
          <w:szCs w:val="21"/>
          <w:highlight w:val="none"/>
        </w:rPr>
        <w:t>附件十</w:t>
      </w:r>
      <w:r>
        <w:rPr>
          <w:rFonts w:hint="eastAsia" w:ascii="宋体" w:hAnsi="宋体"/>
          <w:color w:val="auto"/>
          <w:sz w:val="21"/>
          <w:szCs w:val="21"/>
          <w:highlight w:val="none"/>
          <w:lang w:val="en-US" w:eastAsia="zh-CN"/>
        </w:rPr>
        <w:t>四</w:t>
      </w:r>
      <w:r>
        <w:rPr>
          <w:rFonts w:hint="eastAsia" w:ascii="宋体" w:hAnsi="宋体"/>
          <w:color w:val="auto"/>
          <w:sz w:val="21"/>
          <w:szCs w:val="21"/>
          <w:highlight w:val="none"/>
        </w:rPr>
        <w:t>、</w:t>
      </w:r>
    </w:p>
    <w:p>
      <w:pPr>
        <w:tabs>
          <w:tab w:val="left" w:pos="3780"/>
        </w:tabs>
        <w:spacing w:line="360" w:lineRule="auto"/>
        <w:jc w:val="center"/>
        <w:rPr>
          <w:rFonts w:hint="eastAsia"/>
          <w:b/>
          <w:bCs/>
          <w:color w:val="auto"/>
          <w:sz w:val="21"/>
          <w:szCs w:val="21"/>
          <w:highlight w:val="none"/>
        </w:rPr>
      </w:pPr>
      <w:r>
        <w:rPr>
          <w:rFonts w:hint="eastAsia"/>
          <w:b/>
          <w:bCs/>
          <w:color w:val="auto"/>
          <w:sz w:val="21"/>
          <w:szCs w:val="21"/>
          <w:highlight w:val="none"/>
        </w:rPr>
        <w:t>车辆保障能力汇总表-样表</w:t>
      </w:r>
    </w:p>
    <w:tbl>
      <w:tblPr>
        <w:tblStyle w:val="40"/>
        <w:tblW w:w="1080" w:type="dxa"/>
        <w:tblInd w:w="93" w:type="dxa"/>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900" w:hRule="atLeast"/>
        </w:trPr>
        <w:tc>
          <w:tcPr>
            <w:tcW w:w="8522" w:type="dxa"/>
            <w:tcBorders>
              <w:top w:val="nil"/>
              <w:left w:val="nil"/>
              <w:bottom w:val="nil"/>
              <w:right w:val="nil"/>
            </w:tcBorders>
            <w:noWrap/>
            <w:vAlign w:val="center"/>
          </w:tcPr>
          <w:tbl>
            <w:tblPr>
              <w:tblStyle w:val="40"/>
              <w:tblpPr w:leftFromText="180" w:rightFromText="180" w:vertAnchor="text" w:horzAnchor="page" w:tblpX="-43" w:tblpY="-148"/>
              <w:tblOverlap w:val="never"/>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2052"/>
              <w:gridCol w:w="2052"/>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207" w:type="dxa"/>
                  <w:gridSpan w:val="4"/>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车辆保障能力汇总表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名称</w:t>
                  </w:r>
                </w:p>
              </w:tc>
              <w:tc>
                <w:tcPr>
                  <w:tcW w:w="2052" w:type="dxa"/>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型号</w:t>
                  </w:r>
                </w:p>
              </w:tc>
              <w:tc>
                <w:tcPr>
                  <w:tcW w:w="2052" w:type="dxa"/>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数量</w:t>
                  </w:r>
                </w:p>
              </w:tc>
              <w:tc>
                <w:tcPr>
                  <w:tcW w:w="2052" w:type="dxa"/>
                  <w:noWrap/>
                  <w:vAlign w:val="center"/>
                </w:tcPr>
                <w:p>
                  <w:pPr>
                    <w:widowControl/>
                    <w:jc w:val="center"/>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51"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jc w:val="center"/>
                    <w:rPr>
                      <w:rFonts w:hint="eastAsia" w:ascii="宋体" w:hAnsi="宋体" w:cs="宋体"/>
                      <w:color w:val="auto"/>
                      <w:sz w:val="21"/>
                      <w:szCs w:val="21"/>
                      <w:highlight w:val="none"/>
                    </w:rPr>
                  </w:pPr>
                </w:p>
              </w:tc>
              <w:tc>
                <w:tcPr>
                  <w:tcW w:w="2052" w:type="dxa"/>
                  <w:noWrap/>
                  <w:vAlign w:val="center"/>
                </w:tcPr>
                <w:p>
                  <w:pPr>
                    <w:rPr>
                      <w:rFonts w:hint="eastAsia" w:ascii="宋体" w:hAnsi="宋体" w:cs="宋体"/>
                      <w:color w:val="auto"/>
                      <w:sz w:val="21"/>
                      <w:szCs w:val="21"/>
                      <w:highlight w:val="none"/>
                    </w:rPr>
                  </w:pPr>
                </w:p>
              </w:tc>
            </w:tr>
          </w:tbl>
          <w:p>
            <w:pPr>
              <w:rPr>
                <w:rFonts w:hint="eastAsia" w:ascii="宋体" w:hAnsi="宋体" w:cs="宋体"/>
                <w:color w:val="auto"/>
                <w:sz w:val="21"/>
                <w:szCs w:val="21"/>
                <w:highlight w:val="none"/>
              </w:rPr>
            </w:pPr>
          </w:p>
        </w:tc>
      </w:tr>
    </w:tbl>
    <w:p>
      <w:pPr>
        <w:rPr>
          <w:color w:val="auto"/>
          <w:highlight w:val="none"/>
        </w:rPr>
        <w:sectPr>
          <w:pgSz w:w="11906" w:h="16838"/>
          <w:pgMar w:top="1418" w:right="1134" w:bottom="1418" w:left="1588" w:header="851" w:footer="992"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bookmarkEnd w:id="339"/>
    <w:p>
      <w:pPr>
        <w:pStyle w:val="4"/>
        <w:tabs>
          <w:tab w:val="left" w:pos="420"/>
          <w:tab w:val="clear" w:pos="0"/>
        </w:tabs>
        <w:spacing w:line="276" w:lineRule="auto"/>
        <w:rPr>
          <w:rFonts w:ascii="宋体" w:eastAsia="宋体"/>
          <w:color w:val="auto"/>
          <w:sz w:val="24"/>
          <w:szCs w:val="24"/>
          <w:highlight w:val="none"/>
        </w:rPr>
      </w:pPr>
      <w:bookmarkStart w:id="340" w:name="_Toc8168"/>
      <w:bookmarkStart w:id="341" w:name="_Toc19824"/>
      <w:bookmarkStart w:id="342" w:name="_Toc31364"/>
      <w:bookmarkStart w:id="343" w:name="_Toc425251522"/>
      <w:bookmarkStart w:id="344" w:name="_Toc389139123"/>
      <w:bookmarkStart w:id="345" w:name="_Toc387317161"/>
      <w:r>
        <w:rPr>
          <w:rFonts w:hint="eastAsia" w:ascii="宋体" w:eastAsia="宋体"/>
          <w:color w:val="auto"/>
          <w:sz w:val="24"/>
          <w:szCs w:val="24"/>
          <w:highlight w:val="none"/>
        </w:rPr>
        <w:t>附件十</w:t>
      </w:r>
      <w:r>
        <w:rPr>
          <w:rFonts w:hint="eastAsia" w:ascii="宋体" w:eastAsia="宋体"/>
          <w:color w:val="auto"/>
          <w:sz w:val="24"/>
          <w:szCs w:val="24"/>
          <w:highlight w:val="none"/>
          <w:lang w:val="en-US" w:eastAsia="zh-CN"/>
        </w:rPr>
        <w:t>五</w:t>
      </w:r>
      <w:r>
        <w:rPr>
          <w:rFonts w:hint="eastAsia" w:ascii="宋体" w:eastAsia="宋体"/>
          <w:color w:val="auto"/>
          <w:sz w:val="24"/>
          <w:szCs w:val="24"/>
          <w:highlight w:val="none"/>
        </w:rPr>
        <w:t>、中小企业声明函</w:t>
      </w:r>
      <w:bookmarkEnd w:id="340"/>
      <w:bookmarkEnd w:id="341"/>
      <w:bookmarkEnd w:id="342"/>
      <w:bookmarkEnd w:id="343"/>
      <w:bookmarkEnd w:id="344"/>
      <w:bookmarkEnd w:id="345"/>
    </w:p>
    <w:p>
      <w:pPr>
        <w:widowControl/>
        <w:spacing w:before="100" w:beforeAutospacing="1" w:after="100" w:afterAutospacing="1" w:line="276" w:lineRule="auto"/>
        <w:jc w:val="center"/>
        <w:rPr>
          <w:rFonts w:hint="eastAsia" w:ascii="方正书宋_GBK" w:eastAsia="方正书宋_GBK" w:cs="Arial"/>
          <w:color w:val="auto"/>
          <w:szCs w:val="24"/>
          <w:highlight w:val="none"/>
          <w:lang w:eastAsia="zh-CN"/>
        </w:rPr>
      </w:pPr>
      <w:r>
        <w:rPr>
          <w:rFonts w:hint="eastAsia" w:ascii="方正书宋_GBK" w:eastAsia="方正书宋_GBK" w:cs="Arial"/>
          <w:b/>
          <w:bCs/>
          <w:color w:val="auto"/>
          <w:szCs w:val="24"/>
          <w:highlight w:val="none"/>
        </w:rPr>
        <w:t>中小企业声明函</w:t>
      </w:r>
      <w:r>
        <w:rPr>
          <w:rFonts w:hint="eastAsia" w:ascii="方正书宋_GBK" w:eastAsia="方正书宋_GBK" w:cs="Arial"/>
          <w:b/>
          <w:bCs/>
          <w:color w:val="auto"/>
          <w:szCs w:val="24"/>
          <w:highlight w:val="none"/>
          <w:lang w:eastAsia="zh-CN"/>
        </w:rPr>
        <w:t>（标项一）</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本公司郑重声明，根据《政府采购促进中小</w:t>
      </w:r>
      <w:r>
        <w:rPr>
          <w:rFonts w:hint="eastAsia" w:ascii="宋体" w:hAnsi="宋体" w:cs="宋体"/>
          <w:color w:val="auto"/>
          <w:spacing w:val="-6"/>
          <w:sz w:val="24"/>
          <w:szCs w:val="24"/>
          <w:highlight w:val="none"/>
        </w:rPr>
        <w:t>企业发展管理办法》（财库﹝2020﹞46</w:t>
      </w:r>
      <w:r>
        <w:rPr>
          <w:rFonts w:hint="eastAsia" w:ascii="宋体" w:hAnsi="宋体" w:cs="宋体"/>
          <w:color w:val="auto"/>
          <w:spacing w:val="-92"/>
          <w:sz w:val="24"/>
          <w:szCs w:val="24"/>
          <w:highlight w:val="none"/>
        </w:rPr>
        <w:t xml:space="preserve"> </w:t>
      </w:r>
      <w:r>
        <w:rPr>
          <w:rFonts w:hint="eastAsia" w:ascii="宋体" w:hAnsi="宋体" w:cs="宋体"/>
          <w:color w:val="auto"/>
          <w:spacing w:val="3"/>
          <w:sz w:val="24"/>
          <w:szCs w:val="24"/>
          <w:highlight w:val="none"/>
        </w:rPr>
        <w:t>号）的规定，本公司</w:t>
      </w:r>
      <w:r>
        <w:rPr>
          <w:rFonts w:hint="eastAsia" w:ascii="宋体" w:hAnsi="宋体" w:cs="宋体"/>
          <w:color w:val="auto"/>
          <w:w w:val="95"/>
          <w:sz w:val="24"/>
          <w:szCs w:val="24"/>
          <w:highlight w:val="none"/>
        </w:rPr>
        <w:t>参加</w:t>
      </w:r>
      <w:r>
        <w:rPr>
          <w:rFonts w:hint="eastAsia" w:ascii="宋体" w:hAnsi="宋体" w:cs="宋体"/>
          <w:color w:val="auto"/>
          <w:w w:val="95"/>
          <w:sz w:val="24"/>
          <w:szCs w:val="24"/>
          <w:highlight w:val="none"/>
          <w:u w:val="single"/>
        </w:rPr>
        <w:t>（单位名称）</w:t>
      </w:r>
      <w:r>
        <w:rPr>
          <w:rFonts w:hint="eastAsia" w:ascii="宋体" w:hAnsi="宋体" w:cs="宋体"/>
          <w:color w:val="auto"/>
          <w:w w:val="95"/>
          <w:sz w:val="24"/>
          <w:szCs w:val="24"/>
          <w:highlight w:val="none"/>
        </w:rPr>
        <w:t>的</w:t>
      </w:r>
      <w:r>
        <w:rPr>
          <w:rFonts w:hint="eastAsia" w:ascii="宋体" w:hAnsi="宋体" w:cs="宋体"/>
          <w:color w:val="auto"/>
          <w:w w:val="95"/>
          <w:sz w:val="24"/>
          <w:szCs w:val="24"/>
          <w:highlight w:val="none"/>
          <w:u w:val="single"/>
        </w:rPr>
        <w:t>（项目名称）</w:t>
      </w:r>
      <w:r>
        <w:rPr>
          <w:rFonts w:hint="eastAsia" w:ascii="宋体" w:hAnsi="宋体" w:cs="宋体"/>
          <w:color w:val="auto"/>
          <w:w w:val="95"/>
          <w:sz w:val="24"/>
          <w:szCs w:val="24"/>
          <w:highlight w:val="none"/>
        </w:rPr>
        <w:t>采购活动</w:t>
      </w:r>
      <w:r>
        <w:rPr>
          <w:rFonts w:hint="eastAsia" w:ascii="宋体" w:hAnsi="宋体" w:cs="宋体"/>
          <w:color w:val="auto"/>
          <w:spacing w:val="-49"/>
          <w:sz w:val="24"/>
          <w:szCs w:val="24"/>
          <w:highlight w:val="none"/>
        </w:rPr>
        <w:t>，</w:t>
      </w:r>
      <w:r>
        <w:rPr>
          <w:rFonts w:hint="eastAsia" w:ascii="宋体" w:hAnsi="宋体" w:cs="宋体"/>
          <w:color w:val="auto"/>
          <w:w w:val="95"/>
          <w:sz w:val="24"/>
          <w:szCs w:val="24"/>
          <w:highlight w:val="none"/>
        </w:rPr>
        <w:t>服务全部由符合政策要求的中小企业承接。相关企业（含联合体中的中小企业、签订分包意向协议的中小企业）的具体情</w:t>
      </w:r>
      <w:r>
        <w:rPr>
          <w:rFonts w:hint="eastAsia" w:ascii="宋体" w:hAnsi="宋体" w:cs="宋体"/>
          <w:color w:val="auto"/>
          <w:sz w:val="24"/>
          <w:szCs w:val="24"/>
          <w:highlight w:val="none"/>
        </w:rPr>
        <w:t>况如下：</w:t>
      </w:r>
    </w:p>
    <w:p>
      <w:pPr>
        <w:pStyle w:val="2"/>
        <w:spacing w:line="360" w:lineRule="auto"/>
        <w:ind w:firstLine="456" w:firstLineChars="200"/>
        <w:rPr>
          <w:rFonts w:ascii="宋体" w:hAnsi="宋体" w:cs="宋体"/>
          <w:color w:val="auto"/>
          <w:w w:val="95"/>
          <w:sz w:val="24"/>
          <w:szCs w:val="24"/>
          <w:highlight w:val="none"/>
        </w:rPr>
      </w:pPr>
      <w:r>
        <w:rPr>
          <w:rFonts w:hint="eastAsia" w:ascii="宋体" w:hAnsi="宋体" w:cs="宋体"/>
          <w:color w:val="auto"/>
          <w:w w:val="95"/>
          <w:sz w:val="24"/>
          <w:szCs w:val="24"/>
          <w:highlight w:val="none"/>
        </w:rPr>
        <w:t>1.</w:t>
      </w:r>
      <w:r>
        <w:rPr>
          <w:rFonts w:hint="eastAsia" w:ascii="宋体" w:hAnsi="宋体" w:cs="宋体"/>
          <w:color w:val="auto"/>
          <w:w w:val="95"/>
          <w:sz w:val="24"/>
          <w:szCs w:val="24"/>
          <w:highlight w:val="none"/>
          <w:u w:val="single"/>
        </w:rPr>
        <w:t>江北区常规交通设施年度维护（标项一）</w:t>
      </w:r>
      <w:r>
        <w:rPr>
          <w:rFonts w:hint="eastAsia" w:ascii="宋体" w:hAnsi="宋体" w:cs="宋体"/>
          <w:color w:val="auto"/>
          <w:w w:val="95"/>
          <w:sz w:val="24"/>
          <w:szCs w:val="24"/>
          <w:highlight w:val="none"/>
        </w:rPr>
        <w:t>，属于</w:t>
      </w:r>
      <w:r>
        <w:rPr>
          <w:rFonts w:hint="eastAsia" w:ascii="宋体" w:hAnsi="宋体" w:cs="宋体"/>
          <w:color w:val="auto"/>
          <w:w w:val="95"/>
          <w:sz w:val="24"/>
          <w:szCs w:val="24"/>
          <w:highlight w:val="none"/>
          <w:u w:val="single"/>
        </w:rPr>
        <w:t>其他未列明行业</w:t>
      </w:r>
      <w:r>
        <w:rPr>
          <w:rFonts w:hint="eastAsia" w:ascii="宋体" w:hAnsi="宋体" w:cs="宋体"/>
          <w:color w:val="auto"/>
          <w:w w:val="95"/>
          <w:sz w:val="24"/>
          <w:szCs w:val="24"/>
          <w:highlight w:val="none"/>
        </w:rPr>
        <w:t>；承建（承接）企业为</w:t>
      </w:r>
      <w:r>
        <w:rPr>
          <w:rFonts w:hint="eastAsia" w:ascii="宋体" w:hAnsi="宋体" w:cs="宋体"/>
          <w:color w:val="auto"/>
          <w:w w:val="95"/>
          <w:sz w:val="24"/>
          <w:szCs w:val="24"/>
          <w:highlight w:val="none"/>
          <w:u w:val="single"/>
        </w:rPr>
        <w:t>（企业名称）</w:t>
      </w:r>
      <w:r>
        <w:rPr>
          <w:rFonts w:hint="eastAsia" w:ascii="宋体" w:hAnsi="宋体" w:cs="宋体"/>
          <w:color w:val="auto"/>
          <w:w w:val="95"/>
          <w:sz w:val="24"/>
          <w:szCs w:val="24"/>
          <w:highlight w:val="none"/>
        </w:rPr>
        <w:t>，从业人员</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人，营业收入为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万元，资产总额为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万元，属于</w:t>
      </w:r>
      <w:r>
        <w:rPr>
          <w:rFonts w:hint="eastAsia" w:ascii="宋体" w:hAnsi="宋体" w:cs="宋体"/>
          <w:color w:val="auto"/>
          <w:w w:val="95"/>
          <w:sz w:val="24"/>
          <w:szCs w:val="24"/>
          <w:highlight w:val="none"/>
          <w:u w:val="single"/>
        </w:rPr>
        <w:t>（中型企业、小型企业、微型企业）</w:t>
      </w: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以上企业，不属于大企业的分支机构，不存在控股股东为大企业的情形，也不存在与大企业的负责人为同一人的情形。</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本企业对上述声明内容的真实性负责。如有虚假，将依</w:t>
      </w:r>
      <w:r>
        <w:rPr>
          <w:rFonts w:hint="eastAsia" w:ascii="宋体" w:hAnsi="宋体" w:cs="宋体"/>
          <w:color w:val="auto"/>
          <w:sz w:val="24"/>
          <w:szCs w:val="24"/>
          <w:highlight w:val="none"/>
        </w:rPr>
        <w:t>法承担相应责任。</w:t>
      </w: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r>
        <w:rPr>
          <w:rFonts w:hint="eastAsia" w:ascii="宋体" w:hAnsi="宋体" w:cs="宋体"/>
          <w:color w:val="auto"/>
          <w:spacing w:val="-18"/>
          <w:sz w:val="24"/>
          <w:szCs w:val="24"/>
          <w:highlight w:val="none"/>
        </w:rPr>
        <w:t>企业名称（盖章）：</w:t>
      </w:r>
    </w:p>
    <w:p>
      <w:pPr>
        <w:widowControl/>
        <w:adjustRightInd/>
        <w:spacing w:line="360" w:lineRule="auto"/>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日</w:t>
      </w:r>
      <w:r>
        <w:rPr>
          <w:rFonts w:hint="eastAsia" w:ascii="宋体" w:hAnsi="宋体" w:cs="宋体"/>
          <w:color w:val="auto"/>
          <w:spacing w:val="-91"/>
          <w:szCs w:val="24"/>
          <w:highlight w:val="none"/>
        </w:rPr>
        <w:t xml:space="preserve"> </w:t>
      </w:r>
      <w:r>
        <w:rPr>
          <w:rFonts w:hint="eastAsia" w:ascii="宋体" w:hAnsi="宋体" w:cs="宋体"/>
          <w:color w:val="auto"/>
          <w:szCs w:val="24"/>
          <w:highlight w:val="none"/>
        </w:rPr>
        <w:t>期：</w:t>
      </w:r>
    </w:p>
    <w:p>
      <w:pPr>
        <w:widowControl/>
        <w:adjustRightInd/>
        <w:spacing w:line="360" w:lineRule="auto"/>
        <w:ind w:firstLine="480" w:firstLineChars="200"/>
        <w:textAlignment w:val="auto"/>
        <w:rPr>
          <w:rFonts w:ascii="宋体" w:hAnsi="宋体" w:cs="宋体"/>
          <w:color w:val="auto"/>
          <w:szCs w:val="24"/>
          <w:highlight w:val="none"/>
        </w:rPr>
      </w:pPr>
    </w:p>
    <w:p>
      <w:pPr>
        <w:spacing w:line="200" w:lineRule="exact"/>
        <w:ind w:left="20" w:firstLine="540" w:firstLineChars="300"/>
        <w:rPr>
          <w:rFonts w:ascii="宋体" w:hAnsi="宋体" w:cs="宋体"/>
          <w:color w:val="auto"/>
          <w:sz w:val="18"/>
          <w:szCs w:val="18"/>
          <w:highlight w:val="none"/>
        </w:rPr>
      </w:pPr>
      <w:r>
        <w:rPr>
          <w:rFonts w:hint="eastAsia" w:ascii="宋体" w:hAnsi="宋体" w:cs="宋体"/>
          <w:color w:val="auto"/>
          <w:sz w:val="18"/>
          <w:szCs w:val="18"/>
          <w:highlight w:val="none"/>
        </w:rPr>
        <w:t>注：</w:t>
      </w:r>
      <w:r>
        <w:rPr>
          <w:rFonts w:ascii="宋体" w:hAnsi="宋体" w:cs="宋体"/>
          <w:color w:val="auto"/>
          <w:sz w:val="18"/>
          <w:szCs w:val="18"/>
          <w:highlight w:val="none"/>
        </w:rPr>
        <w:t>从业人员、营业收入、资产总额填报上一年度数据，无上一年度数据的新成立企业可不填报。</w:t>
      </w:r>
    </w:p>
    <w:p>
      <w:pPr>
        <w:widowControl/>
        <w:adjustRightInd/>
        <w:spacing w:line="360" w:lineRule="auto"/>
        <w:ind w:firstLine="420" w:firstLineChars="200"/>
        <w:textAlignment w:val="auto"/>
        <w:rPr>
          <w:rFonts w:hint="eastAsia"/>
          <w:color w:val="auto"/>
          <w:sz w:val="21"/>
          <w:szCs w:val="21"/>
          <w:highlight w:val="none"/>
        </w:rPr>
      </w:pPr>
    </w:p>
    <w:p>
      <w:pPr>
        <w:widowControl/>
        <w:adjustRightInd/>
        <w:spacing w:line="360" w:lineRule="auto"/>
        <w:ind w:firstLine="420" w:firstLineChars="200"/>
        <w:textAlignment w:val="auto"/>
        <w:rPr>
          <w:rFonts w:hint="eastAsia"/>
          <w:color w:val="auto"/>
          <w:sz w:val="21"/>
          <w:szCs w:val="21"/>
          <w:highlight w:val="none"/>
        </w:rPr>
      </w:pPr>
    </w:p>
    <w:p>
      <w:pPr>
        <w:widowControl/>
        <w:adjustRightInd/>
        <w:spacing w:line="360" w:lineRule="auto"/>
        <w:ind w:firstLine="420" w:firstLineChars="200"/>
        <w:textAlignment w:val="auto"/>
        <w:rPr>
          <w:color w:val="auto"/>
          <w:sz w:val="21"/>
          <w:szCs w:val="21"/>
          <w:highlight w:val="none"/>
        </w:rPr>
      </w:pPr>
      <w:r>
        <w:rPr>
          <w:color w:val="auto"/>
          <w:sz w:val="21"/>
          <w:szCs w:val="21"/>
          <w:highlight w:val="none"/>
        </w:rPr>
        <w:br w:type="page"/>
      </w:r>
    </w:p>
    <w:p>
      <w:pPr>
        <w:widowControl/>
        <w:spacing w:before="100" w:beforeAutospacing="1" w:after="100" w:afterAutospacing="1" w:line="276" w:lineRule="auto"/>
        <w:jc w:val="center"/>
        <w:rPr>
          <w:rFonts w:hint="eastAsia" w:ascii="方正书宋_GBK" w:eastAsia="方正书宋_GBK" w:cs="Arial"/>
          <w:color w:val="auto"/>
          <w:szCs w:val="24"/>
          <w:highlight w:val="none"/>
          <w:lang w:eastAsia="zh-CN"/>
        </w:rPr>
      </w:pPr>
      <w:r>
        <w:rPr>
          <w:rFonts w:hint="eastAsia" w:ascii="方正书宋_GBK" w:eastAsia="方正书宋_GBK" w:cs="Arial"/>
          <w:b/>
          <w:bCs/>
          <w:color w:val="auto"/>
          <w:szCs w:val="24"/>
          <w:highlight w:val="none"/>
        </w:rPr>
        <w:t>中小企业声明函</w:t>
      </w:r>
      <w:r>
        <w:rPr>
          <w:rFonts w:hint="eastAsia" w:ascii="方正书宋_GBK" w:eastAsia="方正书宋_GBK" w:cs="Arial"/>
          <w:b/>
          <w:bCs/>
          <w:color w:val="auto"/>
          <w:szCs w:val="24"/>
          <w:highlight w:val="none"/>
          <w:lang w:eastAsia="zh-CN"/>
        </w:rPr>
        <w:t>（标项二）</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本公司郑重声明，根据《政府采购促进中小</w:t>
      </w:r>
      <w:r>
        <w:rPr>
          <w:rFonts w:hint="eastAsia" w:ascii="宋体" w:hAnsi="宋体" w:cs="宋体"/>
          <w:color w:val="auto"/>
          <w:spacing w:val="-6"/>
          <w:sz w:val="24"/>
          <w:szCs w:val="24"/>
          <w:highlight w:val="none"/>
        </w:rPr>
        <w:t>企业发展管理办法》（财库﹝2020﹞46</w:t>
      </w:r>
      <w:r>
        <w:rPr>
          <w:rFonts w:hint="eastAsia" w:ascii="宋体" w:hAnsi="宋体" w:cs="宋体"/>
          <w:color w:val="auto"/>
          <w:spacing w:val="-92"/>
          <w:sz w:val="24"/>
          <w:szCs w:val="24"/>
          <w:highlight w:val="none"/>
        </w:rPr>
        <w:t xml:space="preserve"> </w:t>
      </w:r>
      <w:r>
        <w:rPr>
          <w:rFonts w:hint="eastAsia" w:ascii="宋体" w:hAnsi="宋体" w:cs="宋体"/>
          <w:color w:val="auto"/>
          <w:spacing w:val="3"/>
          <w:sz w:val="24"/>
          <w:szCs w:val="24"/>
          <w:highlight w:val="none"/>
        </w:rPr>
        <w:t>号）的规定，本公司</w:t>
      </w:r>
      <w:r>
        <w:rPr>
          <w:rFonts w:hint="eastAsia" w:ascii="宋体" w:hAnsi="宋体" w:cs="宋体"/>
          <w:color w:val="auto"/>
          <w:w w:val="95"/>
          <w:sz w:val="24"/>
          <w:szCs w:val="24"/>
          <w:highlight w:val="none"/>
        </w:rPr>
        <w:t>参加</w:t>
      </w:r>
      <w:r>
        <w:rPr>
          <w:rFonts w:hint="eastAsia" w:ascii="宋体" w:hAnsi="宋体" w:cs="宋体"/>
          <w:color w:val="auto"/>
          <w:w w:val="95"/>
          <w:sz w:val="24"/>
          <w:szCs w:val="24"/>
          <w:highlight w:val="none"/>
          <w:u w:val="single"/>
        </w:rPr>
        <w:t>（单位名称）</w:t>
      </w:r>
      <w:r>
        <w:rPr>
          <w:rFonts w:hint="eastAsia" w:ascii="宋体" w:hAnsi="宋体" w:cs="宋体"/>
          <w:color w:val="auto"/>
          <w:w w:val="95"/>
          <w:sz w:val="24"/>
          <w:szCs w:val="24"/>
          <w:highlight w:val="none"/>
        </w:rPr>
        <w:t>的</w:t>
      </w:r>
      <w:r>
        <w:rPr>
          <w:rFonts w:hint="eastAsia" w:ascii="宋体" w:hAnsi="宋体" w:cs="宋体"/>
          <w:color w:val="auto"/>
          <w:w w:val="95"/>
          <w:sz w:val="24"/>
          <w:szCs w:val="24"/>
          <w:highlight w:val="none"/>
          <w:u w:val="single"/>
        </w:rPr>
        <w:t>（项目名称）</w:t>
      </w:r>
      <w:r>
        <w:rPr>
          <w:rFonts w:hint="eastAsia" w:ascii="宋体" w:hAnsi="宋体" w:cs="宋体"/>
          <w:color w:val="auto"/>
          <w:w w:val="95"/>
          <w:sz w:val="24"/>
          <w:szCs w:val="24"/>
          <w:highlight w:val="none"/>
        </w:rPr>
        <w:t>采购活动</w:t>
      </w:r>
      <w:r>
        <w:rPr>
          <w:rFonts w:hint="eastAsia" w:ascii="宋体" w:hAnsi="宋体" w:cs="宋体"/>
          <w:color w:val="auto"/>
          <w:spacing w:val="-49"/>
          <w:sz w:val="24"/>
          <w:szCs w:val="24"/>
          <w:highlight w:val="none"/>
        </w:rPr>
        <w:t>，</w:t>
      </w:r>
      <w:r>
        <w:rPr>
          <w:rFonts w:hint="eastAsia" w:ascii="宋体" w:hAnsi="宋体" w:cs="宋体"/>
          <w:color w:val="auto"/>
          <w:w w:val="95"/>
          <w:sz w:val="24"/>
          <w:szCs w:val="24"/>
          <w:highlight w:val="none"/>
        </w:rPr>
        <w:t>服务全部由符合政策要求的中小企业承接。相关企业（含联合体中的中小企业、签订分包意向协议的中小企业）的具体情</w:t>
      </w:r>
      <w:r>
        <w:rPr>
          <w:rFonts w:hint="eastAsia" w:ascii="宋体" w:hAnsi="宋体" w:cs="宋体"/>
          <w:color w:val="auto"/>
          <w:sz w:val="24"/>
          <w:szCs w:val="24"/>
          <w:highlight w:val="none"/>
        </w:rPr>
        <w:t>况如下：</w:t>
      </w:r>
    </w:p>
    <w:p>
      <w:pPr>
        <w:pStyle w:val="2"/>
        <w:spacing w:line="360" w:lineRule="auto"/>
        <w:ind w:firstLine="456" w:firstLineChars="200"/>
        <w:rPr>
          <w:rFonts w:ascii="宋体" w:hAnsi="宋体" w:cs="宋体"/>
          <w:color w:val="auto"/>
          <w:w w:val="95"/>
          <w:sz w:val="24"/>
          <w:szCs w:val="24"/>
          <w:highlight w:val="none"/>
        </w:rPr>
      </w:pPr>
      <w:r>
        <w:rPr>
          <w:rFonts w:hint="eastAsia" w:ascii="宋体" w:hAnsi="宋体" w:cs="宋体"/>
          <w:color w:val="auto"/>
          <w:w w:val="95"/>
          <w:sz w:val="24"/>
          <w:szCs w:val="24"/>
          <w:highlight w:val="none"/>
        </w:rPr>
        <w:t>1.</w:t>
      </w:r>
      <w:r>
        <w:rPr>
          <w:rFonts w:hint="eastAsia" w:ascii="宋体" w:hAnsi="宋体" w:cs="宋体"/>
          <w:color w:val="auto"/>
          <w:w w:val="95"/>
          <w:sz w:val="24"/>
          <w:szCs w:val="24"/>
          <w:highlight w:val="none"/>
          <w:u w:val="single"/>
        </w:rPr>
        <w:t>海曙西区和市三区快速路常规交通设施年度维护（标项二）</w:t>
      </w:r>
      <w:r>
        <w:rPr>
          <w:rFonts w:hint="eastAsia" w:ascii="宋体" w:hAnsi="宋体" w:cs="宋体"/>
          <w:color w:val="auto"/>
          <w:w w:val="95"/>
          <w:sz w:val="24"/>
          <w:szCs w:val="24"/>
          <w:highlight w:val="none"/>
        </w:rPr>
        <w:t>，属于</w:t>
      </w:r>
      <w:r>
        <w:rPr>
          <w:rFonts w:hint="eastAsia" w:ascii="宋体" w:hAnsi="宋体" w:cs="宋体"/>
          <w:color w:val="auto"/>
          <w:w w:val="95"/>
          <w:sz w:val="24"/>
          <w:szCs w:val="24"/>
          <w:highlight w:val="none"/>
          <w:u w:val="single"/>
        </w:rPr>
        <w:t>其他未列明行业</w:t>
      </w:r>
      <w:r>
        <w:rPr>
          <w:rFonts w:hint="eastAsia" w:ascii="宋体" w:hAnsi="宋体" w:cs="宋体"/>
          <w:color w:val="auto"/>
          <w:w w:val="95"/>
          <w:sz w:val="24"/>
          <w:szCs w:val="24"/>
          <w:highlight w:val="none"/>
        </w:rPr>
        <w:t>；承建（承接）企业为</w:t>
      </w:r>
      <w:r>
        <w:rPr>
          <w:rFonts w:hint="eastAsia" w:ascii="宋体" w:hAnsi="宋体" w:cs="宋体"/>
          <w:color w:val="auto"/>
          <w:w w:val="95"/>
          <w:sz w:val="24"/>
          <w:szCs w:val="24"/>
          <w:highlight w:val="none"/>
          <w:u w:val="single"/>
        </w:rPr>
        <w:t>（企业名称）</w:t>
      </w:r>
      <w:r>
        <w:rPr>
          <w:rFonts w:hint="eastAsia" w:ascii="宋体" w:hAnsi="宋体" w:cs="宋体"/>
          <w:color w:val="auto"/>
          <w:w w:val="95"/>
          <w:sz w:val="24"/>
          <w:szCs w:val="24"/>
          <w:highlight w:val="none"/>
        </w:rPr>
        <w:t>，从业人员</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人，营业收入为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万元，资产总额为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万元，属于</w:t>
      </w:r>
      <w:r>
        <w:rPr>
          <w:rFonts w:hint="eastAsia" w:ascii="宋体" w:hAnsi="宋体" w:cs="宋体"/>
          <w:color w:val="auto"/>
          <w:w w:val="95"/>
          <w:sz w:val="24"/>
          <w:szCs w:val="24"/>
          <w:highlight w:val="none"/>
          <w:u w:val="single"/>
        </w:rPr>
        <w:t>（中型企业、小型企业、微型企业）</w:t>
      </w: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以上企业，不属于大企业的分支机构，不存在控股股东为大企业的情形，也不存在与大企业的负责人为同一人的情形。</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本企业对上述声明内容的真实性负责。如有虚假，将依</w:t>
      </w:r>
      <w:r>
        <w:rPr>
          <w:rFonts w:hint="eastAsia" w:ascii="宋体" w:hAnsi="宋体" w:cs="宋体"/>
          <w:color w:val="auto"/>
          <w:sz w:val="24"/>
          <w:szCs w:val="24"/>
          <w:highlight w:val="none"/>
        </w:rPr>
        <w:t>法承担相应责任。</w:t>
      </w: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r>
        <w:rPr>
          <w:rFonts w:hint="eastAsia" w:ascii="宋体" w:hAnsi="宋体" w:cs="宋体"/>
          <w:color w:val="auto"/>
          <w:spacing w:val="-18"/>
          <w:sz w:val="24"/>
          <w:szCs w:val="24"/>
          <w:highlight w:val="none"/>
        </w:rPr>
        <w:t>企业名称（盖章）：</w:t>
      </w:r>
    </w:p>
    <w:p>
      <w:pPr>
        <w:widowControl/>
        <w:adjustRightInd/>
        <w:spacing w:line="360" w:lineRule="auto"/>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日</w:t>
      </w:r>
      <w:r>
        <w:rPr>
          <w:rFonts w:hint="eastAsia" w:ascii="宋体" w:hAnsi="宋体" w:cs="宋体"/>
          <w:color w:val="auto"/>
          <w:spacing w:val="-91"/>
          <w:szCs w:val="24"/>
          <w:highlight w:val="none"/>
        </w:rPr>
        <w:t xml:space="preserve"> </w:t>
      </w:r>
      <w:r>
        <w:rPr>
          <w:rFonts w:hint="eastAsia" w:ascii="宋体" w:hAnsi="宋体" w:cs="宋体"/>
          <w:color w:val="auto"/>
          <w:szCs w:val="24"/>
          <w:highlight w:val="none"/>
        </w:rPr>
        <w:t>期：</w:t>
      </w:r>
    </w:p>
    <w:p>
      <w:pPr>
        <w:widowControl/>
        <w:adjustRightInd/>
        <w:spacing w:line="360" w:lineRule="auto"/>
        <w:ind w:firstLine="480" w:firstLineChars="200"/>
        <w:textAlignment w:val="auto"/>
        <w:rPr>
          <w:rFonts w:ascii="宋体" w:hAnsi="宋体" w:cs="宋体"/>
          <w:color w:val="auto"/>
          <w:szCs w:val="24"/>
          <w:highlight w:val="none"/>
        </w:rPr>
      </w:pPr>
    </w:p>
    <w:p>
      <w:pPr>
        <w:spacing w:line="200" w:lineRule="exact"/>
        <w:ind w:left="20" w:firstLine="540" w:firstLineChars="300"/>
        <w:rPr>
          <w:rFonts w:ascii="宋体" w:hAnsi="宋体" w:cs="宋体"/>
          <w:color w:val="auto"/>
          <w:sz w:val="18"/>
          <w:szCs w:val="18"/>
          <w:highlight w:val="none"/>
        </w:rPr>
      </w:pPr>
      <w:r>
        <w:rPr>
          <w:rFonts w:hint="eastAsia" w:ascii="宋体" w:hAnsi="宋体" w:cs="宋体"/>
          <w:color w:val="auto"/>
          <w:sz w:val="18"/>
          <w:szCs w:val="18"/>
          <w:highlight w:val="none"/>
        </w:rPr>
        <w:t>注：</w:t>
      </w:r>
      <w:r>
        <w:rPr>
          <w:rFonts w:ascii="宋体" w:hAnsi="宋体" w:cs="宋体"/>
          <w:color w:val="auto"/>
          <w:sz w:val="18"/>
          <w:szCs w:val="18"/>
          <w:highlight w:val="none"/>
        </w:rPr>
        <w:t>从业人员、营业收入、资产总额填报上一年度数据，无上一年度数据的新成立企业可不填报。</w:t>
      </w:r>
    </w:p>
    <w:p>
      <w:pPr>
        <w:widowControl/>
        <w:adjustRightInd/>
        <w:spacing w:line="360" w:lineRule="auto"/>
        <w:ind w:firstLine="420" w:firstLineChars="200"/>
        <w:textAlignment w:val="auto"/>
        <w:rPr>
          <w:color w:val="auto"/>
          <w:sz w:val="21"/>
          <w:szCs w:val="21"/>
          <w:highlight w:val="none"/>
        </w:rPr>
      </w:pPr>
      <w:r>
        <w:rPr>
          <w:color w:val="auto"/>
          <w:sz w:val="21"/>
          <w:szCs w:val="21"/>
          <w:highlight w:val="none"/>
        </w:rPr>
        <w:br w:type="page"/>
      </w:r>
    </w:p>
    <w:p>
      <w:pPr>
        <w:widowControl/>
        <w:spacing w:before="100" w:beforeAutospacing="1" w:after="100" w:afterAutospacing="1" w:line="276" w:lineRule="auto"/>
        <w:jc w:val="center"/>
        <w:rPr>
          <w:rFonts w:hint="eastAsia" w:ascii="方正书宋_GBK" w:eastAsia="方正书宋_GBK" w:cs="Arial"/>
          <w:color w:val="auto"/>
          <w:szCs w:val="24"/>
          <w:highlight w:val="none"/>
          <w:lang w:eastAsia="zh-CN"/>
        </w:rPr>
      </w:pPr>
      <w:r>
        <w:rPr>
          <w:rFonts w:hint="eastAsia" w:ascii="方正书宋_GBK" w:eastAsia="方正书宋_GBK" w:cs="Arial"/>
          <w:b/>
          <w:bCs/>
          <w:color w:val="auto"/>
          <w:szCs w:val="24"/>
          <w:highlight w:val="none"/>
        </w:rPr>
        <w:t>中小企业声明函</w:t>
      </w:r>
      <w:r>
        <w:rPr>
          <w:rFonts w:hint="eastAsia" w:ascii="方正书宋_GBK" w:eastAsia="方正书宋_GBK" w:cs="Arial"/>
          <w:b/>
          <w:bCs/>
          <w:color w:val="auto"/>
          <w:szCs w:val="24"/>
          <w:highlight w:val="none"/>
          <w:lang w:eastAsia="zh-CN"/>
        </w:rPr>
        <w:t>（标项三）</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本公司郑重声明，根据《政府采购促进中小</w:t>
      </w:r>
      <w:r>
        <w:rPr>
          <w:rFonts w:hint="eastAsia" w:ascii="宋体" w:hAnsi="宋体" w:cs="宋体"/>
          <w:color w:val="auto"/>
          <w:spacing w:val="-6"/>
          <w:sz w:val="24"/>
          <w:szCs w:val="24"/>
          <w:highlight w:val="none"/>
        </w:rPr>
        <w:t>企业发展管理办法》（财库﹝2020﹞46</w:t>
      </w:r>
      <w:r>
        <w:rPr>
          <w:rFonts w:hint="eastAsia" w:ascii="宋体" w:hAnsi="宋体" w:cs="宋体"/>
          <w:color w:val="auto"/>
          <w:spacing w:val="-92"/>
          <w:sz w:val="24"/>
          <w:szCs w:val="24"/>
          <w:highlight w:val="none"/>
        </w:rPr>
        <w:t xml:space="preserve"> </w:t>
      </w:r>
      <w:r>
        <w:rPr>
          <w:rFonts w:hint="eastAsia" w:ascii="宋体" w:hAnsi="宋体" w:cs="宋体"/>
          <w:color w:val="auto"/>
          <w:spacing w:val="3"/>
          <w:sz w:val="24"/>
          <w:szCs w:val="24"/>
          <w:highlight w:val="none"/>
        </w:rPr>
        <w:t>号）的规定，本公司</w:t>
      </w:r>
      <w:r>
        <w:rPr>
          <w:rFonts w:hint="eastAsia" w:ascii="宋体" w:hAnsi="宋体" w:cs="宋体"/>
          <w:color w:val="auto"/>
          <w:w w:val="95"/>
          <w:sz w:val="24"/>
          <w:szCs w:val="24"/>
          <w:highlight w:val="none"/>
        </w:rPr>
        <w:t>参加</w:t>
      </w:r>
      <w:r>
        <w:rPr>
          <w:rFonts w:hint="eastAsia" w:ascii="宋体" w:hAnsi="宋体" w:cs="宋体"/>
          <w:color w:val="auto"/>
          <w:w w:val="95"/>
          <w:sz w:val="24"/>
          <w:szCs w:val="24"/>
          <w:highlight w:val="none"/>
          <w:u w:val="single"/>
        </w:rPr>
        <w:t>（单位名称）</w:t>
      </w:r>
      <w:r>
        <w:rPr>
          <w:rFonts w:hint="eastAsia" w:ascii="宋体" w:hAnsi="宋体" w:cs="宋体"/>
          <w:color w:val="auto"/>
          <w:w w:val="95"/>
          <w:sz w:val="24"/>
          <w:szCs w:val="24"/>
          <w:highlight w:val="none"/>
        </w:rPr>
        <w:t>的</w:t>
      </w:r>
      <w:r>
        <w:rPr>
          <w:rFonts w:hint="eastAsia" w:ascii="宋体" w:hAnsi="宋体" w:cs="宋体"/>
          <w:color w:val="auto"/>
          <w:w w:val="95"/>
          <w:sz w:val="24"/>
          <w:szCs w:val="24"/>
          <w:highlight w:val="none"/>
          <w:u w:val="single"/>
        </w:rPr>
        <w:t>（项目名称）</w:t>
      </w:r>
      <w:r>
        <w:rPr>
          <w:rFonts w:hint="eastAsia" w:ascii="宋体" w:hAnsi="宋体" w:cs="宋体"/>
          <w:color w:val="auto"/>
          <w:w w:val="95"/>
          <w:sz w:val="24"/>
          <w:szCs w:val="24"/>
          <w:highlight w:val="none"/>
        </w:rPr>
        <w:t>采购活动</w:t>
      </w:r>
      <w:r>
        <w:rPr>
          <w:rFonts w:hint="eastAsia" w:ascii="宋体" w:hAnsi="宋体" w:cs="宋体"/>
          <w:color w:val="auto"/>
          <w:spacing w:val="-49"/>
          <w:sz w:val="24"/>
          <w:szCs w:val="24"/>
          <w:highlight w:val="none"/>
        </w:rPr>
        <w:t>，</w:t>
      </w:r>
      <w:r>
        <w:rPr>
          <w:rFonts w:hint="eastAsia" w:ascii="宋体" w:hAnsi="宋体" w:cs="宋体"/>
          <w:color w:val="auto"/>
          <w:w w:val="95"/>
          <w:sz w:val="24"/>
          <w:szCs w:val="24"/>
          <w:highlight w:val="none"/>
        </w:rPr>
        <w:t>服务全部由符合政策要求的中小企业承接。相关企业（含联合体中的中小企业、签订分包意向协议的中小企业）的具体情</w:t>
      </w:r>
      <w:r>
        <w:rPr>
          <w:rFonts w:hint="eastAsia" w:ascii="宋体" w:hAnsi="宋体" w:cs="宋体"/>
          <w:color w:val="auto"/>
          <w:sz w:val="24"/>
          <w:szCs w:val="24"/>
          <w:highlight w:val="none"/>
        </w:rPr>
        <w:t>况如下：</w:t>
      </w:r>
    </w:p>
    <w:p>
      <w:pPr>
        <w:pStyle w:val="2"/>
        <w:spacing w:line="360" w:lineRule="auto"/>
        <w:ind w:firstLine="456" w:firstLineChars="200"/>
        <w:rPr>
          <w:rFonts w:ascii="宋体" w:hAnsi="宋体" w:cs="宋体"/>
          <w:color w:val="auto"/>
          <w:w w:val="95"/>
          <w:sz w:val="24"/>
          <w:szCs w:val="24"/>
          <w:highlight w:val="none"/>
        </w:rPr>
      </w:pPr>
      <w:r>
        <w:rPr>
          <w:rFonts w:hint="eastAsia" w:ascii="宋体" w:hAnsi="宋体" w:cs="宋体"/>
          <w:color w:val="auto"/>
          <w:w w:val="95"/>
          <w:sz w:val="24"/>
          <w:szCs w:val="24"/>
          <w:highlight w:val="none"/>
        </w:rPr>
        <w:t>1.</w:t>
      </w:r>
      <w:r>
        <w:rPr>
          <w:rFonts w:hint="eastAsia" w:ascii="宋体" w:hAnsi="宋体" w:cs="宋体"/>
          <w:i w:val="0"/>
          <w:iCs w:val="0"/>
          <w:color w:val="auto"/>
          <w:w w:val="95"/>
          <w:sz w:val="24"/>
          <w:szCs w:val="24"/>
          <w:highlight w:val="none"/>
          <w:u w:val="single"/>
        </w:rPr>
        <w:t>鄞州南区常规交通设施年度维护</w:t>
      </w:r>
      <w:r>
        <w:rPr>
          <w:rFonts w:hint="eastAsia" w:ascii="宋体" w:hAnsi="宋体" w:cs="宋体"/>
          <w:color w:val="auto"/>
          <w:w w:val="95"/>
          <w:sz w:val="24"/>
          <w:szCs w:val="24"/>
          <w:highlight w:val="none"/>
          <w:u w:val="single"/>
        </w:rPr>
        <w:t>（标项</w:t>
      </w:r>
      <w:r>
        <w:rPr>
          <w:rFonts w:hint="eastAsia" w:ascii="宋体" w:hAnsi="宋体" w:cs="宋体"/>
          <w:color w:val="auto"/>
          <w:w w:val="95"/>
          <w:sz w:val="24"/>
          <w:szCs w:val="24"/>
          <w:highlight w:val="none"/>
          <w:u w:val="single"/>
          <w:lang w:val="en-US" w:eastAsia="zh-CN"/>
        </w:rPr>
        <w:t>三</w:t>
      </w:r>
      <w:r>
        <w:rPr>
          <w:rFonts w:hint="eastAsia" w:ascii="宋体" w:hAnsi="宋体" w:cs="宋体"/>
          <w:color w:val="auto"/>
          <w:w w:val="95"/>
          <w:sz w:val="24"/>
          <w:szCs w:val="24"/>
          <w:highlight w:val="none"/>
          <w:u w:val="single"/>
        </w:rPr>
        <w:t>）</w:t>
      </w:r>
      <w:r>
        <w:rPr>
          <w:rFonts w:hint="eastAsia" w:ascii="宋体" w:hAnsi="宋体" w:cs="宋体"/>
          <w:color w:val="auto"/>
          <w:w w:val="95"/>
          <w:sz w:val="24"/>
          <w:szCs w:val="24"/>
          <w:highlight w:val="none"/>
        </w:rPr>
        <w:t>，属于</w:t>
      </w:r>
      <w:r>
        <w:rPr>
          <w:rFonts w:hint="eastAsia" w:ascii="宋体" w:hAnsi="宋体" w:cs="宋体"/>
          <w:color w:val="auto"/>
          <w:w w:val="95"/>
          <w:sz w:val="24"/>
          <w:szCs w:val="24"/>
          <w:highlight w:val="none"/>
          <w:u w:val="single"/>
        </w:rPr>
        <w:t>其他未列明行业</w:t>
      </w:r>
      <w:r>
        <w:rPr>
          <w:rFonts w:hint="eastAsia" w:ascii="宋体" w:hAnsi="宋体" w:cs="宋体"/>
          <w:color w:val="auto"/>
          <w:w w:val="95"/>
          <w:sz w:val="24"/>
          <w:szCs w:val="24"/>
          <w:highlight w:val="none"/>
        </w:rPr>
        <w:t>；承建（承接）企业为</w:t>
      </w:r>
      <w:r>
        <w:rPr>
          <w:rFonts w:hint="eastAsia" w:ascii="宋体" w:hAnsi="宋体" w:cs="宋体"/>
          <w:color w:val="auto"/>
          <w:w w:val="95"/>
          <w:sz w:val="24"/>
          <w:szCs w:val="24"/>
          <w:highlight w:val="none"/>
          <w:u w:val="single"/>
        </w:rPr>
        <w:t>（企业名称）</w:t>
      </w:r>
      <w:r>
        <w:rPr>
          <w:rFonts w:hint="eastAsia" w:ascii="宋体" w:hAnsi="宋体" w:cs="宋体"/>
          <w:color w:val="auto"/>
          <w:w w:val="95"/>
          <w:sz w:val="24"/>
          <w:szCs w:val="24"/>
          <w:highlight w:val="none"/>
        </w:rPr>
        <w:t>，从业人员</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人，营业收入为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万元，资产总额为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万元，属于</w:t>
      </w:r>
      <w:r>
        <w:rPr>
          <w:rFonts w:hint="eastAsia" w:ascii="宋体" w:hAnsi="宋体" w:cs="宋体"/>
          <w:color w:val="auto"/>
          <w:w w:val="95"/>
          <w:sz w:val="24"/>
          <w:szCs w:val="24"/>
          <w:highlight w:val="none"/>
          <w:u w:val="single"/>
        </w:rPr>
        <w:t>（中型企业、小型企业、微型企业）</w:t>
      </w: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以上企业，不属于大企业的分支机构，不存在控股股东为大企业的情形，也不存在与大企业的负责人为同一人的情形。</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本企业对上述声明内容的真实性负责。如有虚假，将依</w:t>
      </w:r>
      <w:r>
        <w:rPr>
          <w:rFonts w:hint="eastAsia" w:ascii="宋体" w:hAnsi="宋体" w:cs="宋体"/>
          <w:color w:val="auto"/>
          <w:sz w:val="24"/>
          <w:szCs w:val="24"/>
          <w:highlight w:val="none"/>
        </w:rPr>
        <w:t>法承担相应责任。</w:t>
      </w: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r>
        <w:rPr>
          <w:rFonts w:hint="eastAsia" w:ascii="宋体" w:hAnsi="宋体" w:cs="宋体"/>
          <w:color w:val="auto"/>
          <w:spacing w:val="-18"/>
          <w:sz w:val="24"/>
          <w:szCs w:val="24"/>
          <w:highlight w:val="none"/>
        </w:rPr>
        <w:t>企业名称（盖章）：</w:t>
      </w:r>
    </w:p>
    <w:p>
      <w:pPr>
        <w:widowControl/>
        <w:adjustRightInd/>
        <w:spacing w:line="360" w:lineRule="auto"/>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日</w:t>
      </w:r>
      <w:r>
        <w:rPr>
          <w:rFonts w:hint="eastAsia" w:ascii="宋体" w:hAnsi="宋体" w:cs="宋体"/>
          <w:color w:val="auto"/>
          <w:spacing w:val="-91"/>
          <w:szCs w:val="24"/>
          <w:highlight w:val="none"/>
        </w:rPr>
        <w:t xml:space="preserve"> </w:t>
      </w:r>
      <w:r>
        <w:rPr>
          <w:rFonts w:hint="eastAsia" w:ascii="宋体" w:hAnsi="宋体" w:cs="宋体"/>
          <w:color w:val="auto"/>
          <w:szCs w:val="24"/>
          <w:highlight w:val="none"/>
        </w:rPr>
        <w:t>期：</w:t>
      </w:r>
    </w:p>
    <w:p>
      <w:pPr>
        <w:widowControl/>
        <w:adjustRightInd/>
        <w:spacing w:line="360" w:lineRule="auto"/>
        <w:ind w:firstLine="480" w:firstLineChars="200"/>
        <w:textAlignment w:val="auto"/>
        <w:rPr>
          <w:rFonts w:ascii="宋体" w:hAnsi="宋体" w:cs="宋体"/>
          <w:color w:val="auto"/>
          <w:szCs w:val="24"/>
          <w:highlight w:val="none"/>
        </w:rPr>
      </w:pPr>
    </w:p>
    <w:p>
      <w:pPr>
        <w:spacing w:line="200" w:lineRule="exact"/>
        <w:ind w:left="20" w:firstLine="540" w:firstLineChars="300"/>
        <w:rPr>
          <w:rFonts w:ascii="宋体" w:hAnsi="宋体" w:cs="宋体"/>
          <w:color w:val="auto"/>
          <w:sz w:val="18"/>
          <w:szCs w:val="18"/>
          <w:highlight w:val="none"/>
        </w:rPr>
      </w:pPr>
      <w:r>
        <w:rPr>
          <w:rFonts w:hint="eastAsia" w:ascii="宋体" w:hAnsi="宋体" w:cs="宋体"/>
          <w:color w:val="auto"/>
          <w:sz w:val="18"/>
          <w:szCs w:val="18"/>
          <w:highlight w:val="none"/>
        </w:rPr>
        <w:t>注：</w:t>
      </w:r>
      <w:r>
        <w:rPr>
          <w:rFonts w:ascii="宋体" w:hAnsi="宋体" w:cs="宋体"/>
          <w:color w:val="auto"/>
          <w:sz w:val="18"/>
          <w:szCs w:val="18"/>
          <w:highlight w:val="none"/>
        </w:rPr>
        <w:t>从业人员、营业收入、资产总额填报上一年度数据，无上一年度数据的新成立企业可不填报。</w:t>
      </w:r>
    </w:p>
    <w:p>
      <w:pPr>
        <w:widowControl/>
        <w:adjustRightInd/>
        <w:spacing w:line="360" w:lineRule="auto"/>
        <w:ind w:firstLine="420" w:firstLineChars="200"/>
        <w:textAlignment w:val="auto"/>
        <w:rPr>
          <w:color w:val="auto"/>
          <w:sz w:val="21"/>
          <w:szCs w:val="21"/>
          <w:highlight w:val="none"/>
        </w:rPr>
      </w:pPr>
      <w:r>
        <w:rPr>
          <w:color w:val="auto"/>
          <w:sz w:val="21"/>
          <w:szCs w:val="21"/>
          <w:highlight w:val="none"/>
        </w:rPr>
        <w:br w:type="page"/>
      </w:r>
    </w:p>
    <w:p>
      <w:pPr>
        <w:widowControl/>
        <w:spacing w:before="100" w:beforeAutospacing="1" w:after="100" w:afterAutospacing="1" w:line="276" w:lineRule="auto"/>
        <w:jc w:val="center"/>
        <w:rPr>
          <w:rFonts w:hint="eastAsia" w:ascii="方正书宋_GBK" w:eastAsia="方正书宋_GBK" w:cs="Arial"/>
          <w:color w:val="auto"/>
          <w:szCs w:val="24"/>
          <w:highlight w:val="none"/>
          <w:lang w:eastAsia="zh-CN"/>
        </w:rPr>
      </w:pPr>
      <w:r>
        <w:rPr>
          <w:rFonts w:hint="eastAsia" w:ascii="方正书宋_GBK" w:eastAsia="方正书宋_GBK" w:cs="Arial"/>
          <w:b/>
          <w:bCs/>
          <w:color w:val="auto"/>
          <w:szCs w:val="24"/>
          <w:highlight w:val="none"/>
        </w:rPr>
        <w:t>中小企业声明函</w:t>
      </w:r>
      <w:r>
        <w:rPr>
          <w:rFonts w:hint="eastAsia" w:ascii="方正书宋_GBK" w:eastAsia="方正书宋_GBK" w:cs="Arial"/>
          <w:b/>
          <w:bCs/>
          <w:color w:val="auto"/>
          <w:szCs w:val="24"/>
          <w:highlight w:val="none"/>
          <w:lang w:eastAsia="zh-CN"/>
        </w:rPr>
        <w:t>（标项四）</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本公司郑重声明，根据《政府采购促进中小</w:t>
      </w:r>
      <w:r>
        <w:rPr>
          <w:rFonts w:hint="eastAsia" w:ascii="宋体" w:hAnsi="宋体" w:cs="宋体"/>
          <w:color w:val="auto"/>
          <w:spacing w:val="-6"/>
          <w:sz w:val="24"/>
          <w:szCs w:val="24"/>
          <w:highlight w:val="none"/>
        </w:rPr>
        <w:t>企业发展管理办法》（财库﹝2020﹞46</w:t>
      </w:r>
      <w:r>
        <w:rPr>
          <w:rFonts w:hint="eastAsia" w:ascii="宋体" w:hAnsi="宋体" w:cs="宋体"/>
          <w:color w:val="auto"/>
          <w:spacing w:val="-92"/>
          <w:sz w:val="24"/>
          <w:szCs w:val="24"/>
          <w:highlight w:val="none"/>
        </w:rPr>
        <w:t xml:space="preserve"> </w:t>
      </w:r>
      <w:r>
        <w:rPr>
          <w:rFonts w:hint="eastAsia" w:ascii="宋体" w:hAnsi="宋体" w:cs="宋体"/>
          <w:color w:val="auto"/>
          <w:spacing w:val="3"/>
          <w:sz w:val="24"/>
          <w:szCs w:val="24"/>
          <w:highlight w:val="none"/>
        </w:rPr>
        <w:t>号）的规定，本公司</w:t>
      </w:r>
      <w:r>
        <w:rPr>
          <w:rFonts w:hint="eastAsia" w:ascii="宋体" w:hAnsi="宋体" w:cs="宋体"/>
          <w:color w:val="auto"/>
          <w:w w:val="95"/>
          <w:sz w:val="24"/>
          <w:szCs w:val="24"/>
          <w:highlight w:val="none"/>
        </w:rPr>
        <w:t>参加</w:t>
      </w:r>
      <w:r>
        <w:rPr>
          <w:rFonts w:hint="eastAsia" w:ascii="宋体" w:hAnsi="宋体" w:cs="宋体"/>
          <w:color w:val="auto"/>
          <w:w w:val="95"/>
          <w:sz w:val="24"/>
          <w:szCs w:val="24"/>
          <w:highlight w:val="none"/>
          <w:u w:val="single"/>
        </w:rPr>
        <w:t>（单位名称）</w:t>
      </w:r>
      <w:r>
        <w:rPr>
          <w:rFonts w:hint="eastAsia" w:ascii="宋体" w:hAnsi="宋体" w:cs="宋体"/>
          <w:color w:val="auto"/>
          <w:w w:val="95"/>
          <w:sz w:val="24"/>
          <w:szCs w:val="24"/>
          <w:highlight w:val="none"/>
        </w:rPr>
        <w:t>的</w:t>
      </w:r>
      <w:r>
        <w:rPr>
          <w:rFonts w:hint="eastAsia" w:ascii="宋体" w:hAnsi="宋体" w:cs="宋体"/>
          <w:color w:val="auto"/>
          <w:w w:val="95"/>
          <w:sz w:val="24"/>
          <w:szCs w:val="24"/>
          <w:highlight w:val="none"/>
          <w:u w:val="single"/>
        </w:rPr>
        <w:t>（项目名称）</w:t>
      </w:r>
      <w:r>
        <w:rPr>
          <w:rFonts w:hint="eastAsia" w:ascii="宋体" w:hAnsi="宋体" w:cs="宋体"/>
          <w:color w:val="auto"/>
          <w:w w:val="95"/>
          <w:sz w:val="24"/>
          <w:szCs w:val="24"/>
          <w:highlight w:val="none"/>
        </w:rPr>
        <w:t>采购活动</w:t>
      </w:r>
      <w:r>
        <w:rPr>
          <w:rFonts w:hint="eastAsia" w:ascii="宋体" w:hAnsi="宋体" w:cs="宋体"/>
          <w:color w:val="auto"/>
          <w:spacing w:val="-49"/>
          <w:sz w:val="24"/>
          <w:szCs w:val="24"/>
          <w:highlight w:val="none"/>
        </w:rPr>
        <w:t>，</w:t>
      </w:r>
      <w:r>
        <w:rPr>
          <w:rFonts w:hint="eastAsia" w:ascii="宋体" w:hAnsi="宋体" w:cs="宋体"/>
          <w:color w:val="auto"/>
          <w:w w:val="95"/>
          <w:sz w:val="24"/>
          <w:szCs w:val="24"/>
          <w:highlight w:val="none"/>
        </w:rPr>
        <w:t>服务全部由符合政策要求的中小企业承接。相关企业（含联合体中的中小企业、签订分包意向协议的中小企业）的具体情</w:t>
      </w:r>
      <w:r>
        <w:rPr>
          <w:rFonts w:hint="eastAsia" w:ascii="宋体" w:hAnsi="宋体" w:cs="宋体"/>
          <w:color w:val="auto"/>
          <w:sz w:val="24"/>
          <w:szCs w:val="24"/>
          <w:highlight w:val="none"/>
        </w:rPr>
        <w:t>况如下：</w:t>
      </w:r>
    </w:p>
    <w:p>
      <w:pPr>
        <w:pStyle w:val="2"/>
        <w:spacing w:line="360" w:lineRule="auto"/>
        <w:ind w:firstLine="456" w:firstLineChars="200"/>
        <w:rPr>
          <w:rFonts w:ascii="宋体" w:hAnsi="宋体" w:cs="宋体"/>
          <w:color w:val="auto"/>
          <w:w w:val="95"/>
          <w:sz w:val="24"/>
          <w:szCs w:val="24"/>
          <w:highlight w:val="none"/>
        </w:rPr>
      </w:pPr>
      <w:r>
        <w:rPr>
          <w:rFonts w:hint="eastAsia" w:ascii="宋体" w:hAnsi="宋体" w:cs="宋体"/>
          <w:color w:val="auto"/>
          <w:w w:val="95"/>
          <w:sz w:val="24"/>
          <w:szCs w:val="24"/>
          <w:highlight w:val="none"/>
        </w:rPr>
        <w:t>1.</w:t>
      </w:r>
      <w:r>
        <w:rPr>
          <w:rFonts w:hint="eastAsia" w:ascii="宋体" w:hAnsi="宋体" w:cs="宋体"/>
          <w:color w:val="auto"/>
          <w:w w:val="95"/>
          <w:sz w:val="24"/>
          <w:szCs w:val="24"/>
          <w:highlight w:val="none"/>
          <w:u w:val="single"/>
        </w:rPr>
        <w:t>鄞州北区常规交通设施年度维护（标项</w:t>
      </w:r>
      <w:r>
        <w:rPr>
          <w:rFonts w:hint="eastAsia" w:ascii="宋体" w:hAnsi="宋体" w:cs="宋体"/>
          <w:color w:val="auto"/>
          <w:w w:val="95"/>
          <w:sz w:val="24"/>
          <w:szCs w:val="24"/>
          <w:highlight w:val="none"/>
          <w:u w:val="single"/>
          <w:lang w:val="en-US" w:eastAsia="zh-CN"/>
        </w:rPr>
        <w:t>四</w:t>
      </w:r>
      <w:r>
        <w:rPr>
          <w:rFonts w:hint="eastAsia" w:ascii="宋体" w:hAnsi="宋体" w:cs="宋体"/>
          <w:color w:val="auto"/>
          <w:w w:val="95"/>
          <w:sz w:val="24"/>
          <w:szCs w:val="24"/>
          <w:highlight w:val="none"/>
          <w:u w:val="single"/>
        </w:rPr>
        <w:t>）</w:t>
      </w:r>
      <w:r>
        <w:rPr>
          <w:rFonts w:hint="eastAsia" w:ascii="宋体" w:hAnsi="宋体" w:cs="宋体"/>
          <w:color w:val="auto"/>
          <w:w w:val="95"/>
          <w:sz w:val="24"/>
          <w:szCs w:val="24"/>
          <w:highlight w:val="none"/>
        </w:rPr>
        <w:t>，属于</w:t>
      </w:r>
      <w:r>
        <w:rPr>
          <w:rFonts w:hint="eastAsia" w:ascii="宋体" w:hAnsi="宋体" w:cs="宋体"/>
          <w:color w:val="auto"/>
          <w:w w:val="95"/>
          <w:sz w:val="24"/>
          <w:szCs w:val="24"/>
          <w:highlight w:val="none"/>
          <w:u w:val="single"/>
        </w:rPr>
        <w:t>其他未列明行业</w:t>
      </w:r>
      <w:r>
        <w:rPr>
          <w:rFonts w:hint="eastAsia" w:ascii="宋体" w:hAnsi="宋体" w:cs="宋体"/>
          <w:color w:val="auto"/>
          <w:w w:val="95"/>
          <w:sz w:val="24"/>
          <w:szCs w:val="24"/>
          <w:highlight w:val="none"/>
        </w:rPr>
        <w:t>；承建（承接）企业为</w:t>
      </w:r>
      <w:r>
        <w:rPr>
          <w:rFonts w:hint="eastAsia" w:ascii="宋体" w:hAnsi="宋体" w:cs="宋体"/>
          <w:color w:val="auto"/>
          <w:w w:val="95"/>
          <w:sz w:val="24"/>
          <w:szCs w:val="24"/>
          <w:highlight w:val="none"/>
          <w:u w:val="single"/>
        </w:rPr>
        <w:t>（企业名称）</w:t>
      </w:r>
      <w:r>
        <w:rPr>
          <w:rFonts w:hint="eastAsia" w:ascii="宋体" w:hAnsi="宋体" w:cs="宋体"/>
          <w:color w:val="auto"/>
          <w:w w:val="95"/>
          <w:sz w:val="24"/>
          <w:szCs w:val="24"/>
          <w:highlight w:val="none"/>
        </w:rPr>
        <w:t>，从业人员</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人，营业收入为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万元，资产总额为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万元，属于</w:t>
      </w:r>
      <w:r>
        <w:rPr>
          <w:rFonts w:hint="eastAsia" w:ascii="宋体" w:hAnsi="宋体" w:cs="宋体"/>
          <w:color w:val="auto"/>
          <w:w w:val="95"/>
          <w:sz w:val="24"/>
          <w:szCs w:val="24"/>
          <w:highlight w:val="none"/>
          <w:u w:val="single"/>
        </w:rPr>
        <w:t>（中型企业、小型企业、微型企业）</w:t>
      </w: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以上企业，不属于大企业的分支机构，不存在控股股东为大企业的情形，也不存在与大企业的负责人为同一人的情形。</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本企业对上述声明内容的真实性负责。如有虚假，将依</w:t>
      </w:r>
      <w:r>
        <w:rPr>
          <w:rFonts w:hint="eastAsia" w:ascii="宋体" w:hAnsi="宋体" w:cs="宋体"/>
          <w:color w:val="auto"/>
          <w:sz w:val="24"/>
          <w:szCs w:val="24"/>
          <w:highlight w:val="none"/>
        </w:rPr>
        <w:t>法承担相应责任。</w:t>
      </w: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r>
        <w:rPr>
          <w:rFonts w:hint="eastAsia" w:ascii="宋体" w:hAnsi="宋体" w:cs="宋体"/>
          <w:color w:val="auto"/>
          <w:spacing w:val="-18"/>
          <w:sz w:val="24"/>
          <w:szCs w:val="24"/>
          <w:highlight w:val="none"/>
        </w:rPr>
        <w:t>企业名称（盖章）：</w:t>
      </w:r>
    </w:p>
    <w:p>
      <w:pPr>
        <w:widowControl/>
        <w:adjustRightInd/>
        <w:spacing w:line="360" w:lineRule="auto"/>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日</w:t>
      </w:r>
      <w:r>
        <w:rPr>
          <w:rFonts w:hint="eastAsia" w:ascii="宋体" w:hAnsi="宋体" w:cs="宋体"/>
          <w:color w:val="auto"/>
          <w:spacing w:val="-91"/>
          <w:szCs w:val="24"/>
          <w:highlight w:val="none"/>
        </w:rPr>
        <w:t xml:space="preserve"> </w:t>
      </w:r>
      <w:r>
        <w:rPr>
          <w:rFonts w:hint="eastAsia" w:ascii="宋体" w:hAnsi="宋体" w:cs="宋体"/>
          <w:color w:val="auto"/>
          <w:szCs w:val="24"/>
          <w:highlight w:val="none"/>
        </w:rPr>
        <w:t>期：</w:t>
      </w:r>
    </w:p>
    <w:p>
      <w:pPr>
        <w:widowControl/>
        <w:adjustRightInd/>
        <w:spacing w:line="360" w:lineRule="auto"/>
        <w:ind w:firstLine="480" w:firstLineChars="200"/>
        <w:textAlignment w:val="auto"/>
        <w:rPr>
          <w:rFonts w:ascii="宋体" w:hAnsi="宋体" w:cs="宋体"/>
          <w:color w:val="auto"/>
          <w:szCs w:val="24"/>
          <w:highlight w:val="none"/>
        </w:rPr>
      </w:pPr>
    </w:p>
    <w:p>
      <w:pPr>
        <w:spacing w:line="200" w:lineRule="exact"/>
        <w:ind w:left="20" w:firstLine="540" w:firstLineChars="300"/>
        <w:rPr>
          <w:rFonts w:ascii="宋体" w:hAnsi="宋体" w:cs="宋体"/>
          <w:color w:val="auto"/>
          <w:sz w:val="18"/>
          <w:szCs w:val="18"/>
          <w:highlight w:val="none"/>
        </w:rPr>
      </w:pPr>
      <w:r>
        <w:rPr>
          <w:rFonts w:hint="eastAsia" w:ascii="宋体" w:hAnsi="宋体" w:cs="宋体"/>
          <w:color w:val="auto"/>
          <w:sz w:val="18"/>
          <w:szCs w:val="18"/>
          <w:highlight w:val="none"/>
        </w:rPr>
        <w:t>注：</w:t>
      </w:r>
      <w:r>
        <w:rPr>
          <w:rFonts w:ascii="宋体" w:hAnsi="宋体" w:cs="宋体"/>
          <w:color w:val="auto"/>
          <w:sz w:val="18"/>
          <w:szCs w:val="18"/>
          <w:highlight w:val="none"/>
        </w:rPr>
        <w:t>从业人员、营业收入、资产总额填报上一年度数据，无上一年度数据的新成立企业可不填报。</w:t>
      </w:r>
    </w:p>
    <w:p>
      <w:pPr>
        <w:widowControl/>
        <w:adjustRightInd/>
        <w:spacing w:line="360" w:lineRule="auto"/>
        <w:ind w:firstLine="420" w:firstLineChars="200"/>
        <w:textAlignment w:val="auto"/>
        <w:rPr>
          <w:rFonts w:hint="eastAsia"/>
          <w:color w:val="auto"/>
          <w:sz w:val="21"/>
          <w:szCs w:val="21"/>
          <w:highlight w:val="none"/>
        </w:rPr>
      </w:pPr>
    </w:p>
    <w:p>
      <w:pPr>
        <w:widowControl/>
        <w:adjustRightInd/>
        <w:spacing w:line="360" w:lineRule="auto"/>
        <w:ind w:firstLine="420" w:firstLineChars="200"/>
        <w:textAlignment w:val="auto"/>
        <w:rPr>
          <w:color w:val="auto"/>
          <w:sz w:val="21"/>
          <w:szCs w:val="21"/>
          <w:highlight w:val="none"/>
        </w:rPr>
      </w:pPr>
      <w:r>
        <w:rPr>
          <w:color w:val="auto"/>
          <w:sz w:val="21"/>
          <w:szCs w:val="21"/>
          <w:highlight w:val="none"/>
        </w:rPr>
        <w:br w:type="page"/>
      </w:r>
    </w:p>
    <w:p>
      <w:pPr>
        <w:widowControl/>
        <w:spacing w:before="100" w:beforeAutospacing="1" w:after="100" w:afterAutospacing="1" w:line="276" w:lineRule="auto"/>
        <w:jc w:val="center"/>
        <w:rPr>
          <w:rFonts w:hint="eastAsia" w:ascii="方正书宋_GBK" w:eastAsia="方正书宋_GBK" w:cs="Arial"/>
          <w:color w:val="auto"/>
          <w:szCs w:val="24"/>
          <w:highlight w:val="none"/>
          <w:lang w:eastAsia="zh-CN"/>
        </w:rPr>
      </w:pPr>
      <w:r>
        <w:rPr>
          <w:rFonts w:hint="eastAsia" w:ascii="方正书宋_GBK" w:eastAsia="方正书宋_GBK" w:cs="Arial"/>
          <w:b/>
          <w:bCs/>
          <w:color w:val="auto"/>
          <w:szCs w:val="24"/>
          <w:highlight w:val="none"/>
        </w:rPr>
        <w:t>中小企业声明函</w:t>
      </w:r>
      <w:r>
        <w:rPr>
          <w:rFonts w:hint="eastAsia" w:ascii="方正书宋_GBK" w:eastAsia="方正书宋_GBK" w:cs="Arial"/>
          <w:b/>
          <w:bCs/>
          <w:color w:val="auto"/>
          <w:szCs w:val="24"/>
          <w:highlight w:val="none"/>
          <w:lang w:eastAsia="zh-CN"/>
        </w:rPr>
        <w:t>（标项五）</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本公司郑重声明，根据《政府采购促进中小</w:t>
      </w:r>
      <w:r>
        <w:rPr>
          <w:rFonts w:hint="eastAsia" w:ascii="宋体" w:hAnsi="宋体" w:cs="宋体"/>
          <w:color w:val="auto"/>
          <w:spacing w:val="-6"/>
          <w:sz w:val="24"/>
          <w:szCs w:val="24"/>
          <w:highlight w:val="none"/>
        </w:rPr>
        <w:t>企业发展管理办法》（财库﹝2020﹞46</w:t>
      </w:r>
      <w:r>
        <w:rPr>
          <w:rFonts w:hint="eastAsia" w:ascii="宋体" w:hAnsi="宋体" w:cs="宋体"/>
          <w:color w:val="auto"/>
          <w:spacing w:val="-92"/>
          <w:sz w:val="24"/>
          <w:szCs w:val="24"/>
          <w:highlight w:val="none"/>
        </w:rPr>
        <w:t xml:space="preserve"> </w:t>
      </w:r>
      <w:r>
        <w:rPr>
          <w:rFonts w:hint="eastAsia" w:ascii="宋体" w:hAnsi="宋体" w:cs="宋体"/>
          <w:color w:val="auto"/>
          <w:spacing w:val="3"/>
          <w:sz w:val="24"/>
          <w:szCs w:val="24"/>
          <w:highlight w:val="none"/>
        </w:rPr>
        <w:t>号）的规定，本公司</w:t>
      </w:r>
      <w:r>
        <w:rPr>
          <w:rFonts w:hint="eastAsia" w:ascii="宋体" w:hAnsi="宋体" w:cs="宋体"/>
          <w:color w:val="auto"/>
          <w:w w:val="95"/>
          <w:sz w:val="24"/>
          <w:szCs w:val="24"/>
          <w:highlight w:val="none"/>
        </w:rPr>
        <w:t>参加</w:t>
      </w:r>
      <w:r>
        <w:rPr>
          <w:rFonts w:hint="eastAsia" w:ascii="宋体" w:hAnsi="宋体" w:cs="宋体"/>
          <w:color w:val="auto"/>
          <w:w w:val="95"/>
          <w:sz w:val="24"/>
          <w:szCs w:val="24"/>
          <w:highlight w:val="none"/>
          <w:u w:val="single"/>
        </w:rPr>
        <w:t>（单位名称）</w:t>
      </w:r>
      <w:r>
        <w:rPr>
          <w:rFonts w:hint="eastAsia" w:ascii="宋体" w:hAnsi="宋体" w:cs="宋体"/>
          <w:color w:val="auto"/>
          <w:w w:val="95"/>
          <w:sz w:val="24"/>
          <w:szCs w:val="24"/>
          <w:highlight w:val="none"/>
        </w:rPr>
        <w:t>的</w:t>
      </w:r>
      <w:r>
        <w:rPr>
          <w:rFonts w:hint="eastAsia" w:ascii="宋体" w:hAnsi="宋体" w:cs="宋体"/>
          <w:color w:val="auto"/>
          <w:w w:val="95"/>
          <w:sz w:val="24"/>
          <w:szCs w:val="24"/>
          <w:highlight w:val="none"/>
          <w:u w:val="single"/>
        </w:rPr>
        <w:t>（项目名称）</w:t>
      </w:r>
      <w:r>
        <w:rPr>
          <w:rFonts w:hint="eastAsia" w:ascii="宋体" w:hAnsi="宋体" w:cs="宋体"/>
          <w:color w:val="auto"/>
          <w:w w:val="95"/>
          <w:sz w:val="24"/>
          <w:szCs w:val="24"/>
          <w:highlight w:val="none"/>
        </w:rPr>
        <w:t>采购活动</w:t>
      </w:r>
      <w:r>
        <w:rPr>
          <w:rFonts w:hint="eastAsia" w:ascii="宋体" w:hAnsi="宋体" w:cs="宋体"/>
          <w:color w:val="auto"/>
          <w:spacing w:val="-49"/>
          <w:sz w:val="24"/>
          <w:szCs w:val="24"/>
          <w:highlight w:val="none"/>
        </w:rPr>
        <w:t>，</w:t>
      </w:r>
      <w:r>
        <w:rPr>
          <w:rFonts w:hint="eastAsia" w:ascii="宋体" w:hAnsi="宋体" w:cs="宋体"/>
          <w:color w:val="auto"/>
          <w:w w:val="95"/>
          <w:sz w:val="24"/>
          <w:szCs w:val="24"/>
          <w:highlight w:val="none"/>
        </w:rPr>
        <w:t>服务全部由符合政策要求的中小企业承接。相关企业（含联合体中的中小企业、签订分包意向协议的中小企业）的具体情</w:t>
      </w:r>
      <w:r>
        <w:rPr>
          <w:rFonts w:hint="eastAsia" w:ascii="宋体" w:hAnsi="宋体" w:cs="宋体"/>
          <w:color w:val="auto"/>
          <w:sz w:val="24"/>
          <w:szCs w:val="24"/>
          <w:highlight w:val="none"/>
        </w:rPr>
        <w:t>况如下：</w:t>
      </w:r>
    </w:p>
    <w:p>
      <w:pPr>
        <w:pStyle w:val="2"/>
        <w:spacing w:line="360" w:lineRule="auto"/>
        <w:ind w:firstLine="456" w:firstLineChars="200"/>
        <w:rPr>
          <w:rFonts w:ascii="宋体" w:hAnsi="宋体" w:cs="宋体"/>
          <w:color w:val="auto"/>
          <w:w w:val="95"/>
          <w:sz w:val="24"/>
          <w:szCs w:val="24"/>
          <w:highlight w:val="none"/>
        </w:rPr>
      </w:pPr>
      <w:r>
        <w:rPr>
          <w:rFonts w:hint="eastAsia" w:ascii="宋体" w:hAnsi="宋体" w:cs="宋体"/>
          <w:color w:val="auto"/>
          <w:w w:val="95"/>
          <w:sz w:val="24"/>
          <w:szCs w:val="24"/>
          <w:highlight w:val="none"/>
        </w:rPr>
        <w:t>1.</w:t>
      </w:r>
      <w:r>
        <w:rPr>
          <w:rFonts w:hint="eastAsia" w:ascii="宋体" w:hAnsi="宋体" w:cs="宋体"/>
          <w:color w:val="auto"/>
          <w:w w:val="95"/>
          <w:sz w:val="24"/>
          <w:szCs w:val="24"/>
          <w:highlight w:val="none"/>
          <w:u w:val="single"/>
        </w:rPr>
        <w:t>海曙东区常规交通设施年度维护（标项</w:t>
      </w:r>
      <w:r>
        <w:rPr>
          <w:rFonts w:hint="eastAsia" w:ascii="宋体" w:hAnsi="宋体" w:cs="宋体"/>
          <w:color w:val="auto"/>
          <w:w w:val="95"/>
          <w:sz w:val="24"/>
          <w:szCs w:val="24"/>
          <w:highlight w:val="none"/>
          <w:u w:val="single"/>
          <w:lang w:val="en-US" w:eastAsia="zh-CN"/>
        </w:rPr>
        <w:t>五</w:t>
      </w:r>
      <w:r>
        <w:rPr>
          <w:rFonts w:hint="eastAsia" w:ascii="宋体" w:hAnsi="宋体" w:cs="宋体"/>
          <w:color w:val="auto"/>
          <w:w w:val="95"/>
          <w:sz w:val="24"/>
          <w:szCs w:val="24"/>
          <w:highlight w:val="none"/>
          <w:u w:val="single"/>
        </w:rPr>
        <w:t>）</w:t>
      </w:r>
      <w:r>
        <w:rPr>
          <w:rFonts w:hint="eastAsia" w:ascii="宋体" w:hAnsi="宋体" w:cs="宋体"/>
          <w:color w:val="auto"/>
          <w:w w:val="95"/>
          <w:sz w:val="24"/>
          <w:szCs w:val="24"/>
          <w:highlight w:val="none"/>
        </w:rPr>
        <w:t>，属于</w:t>
      </w:r>
      <w:r>
        <w:rPr>
          <w:rFonts w:hint="eastAsia" w:ascii="宋体" w:hAnsi="宋体" w:cs="宋体"/>
          <w:color w:val="auto"/>
          <w:w w:val="95"/>
          <w:sz w:val="24"/>
          <w:szCs w:val="24"/>
          <w:highlight w:val="none"/>
          <w:u w:val="single"/>
        </w:rPr>
        <w:t>其他未列明行业</w:t>
      </w:r>
      <w:r>
        <w:rPr>
          <w:rFonts w:hint="eastAsia" w:ascii="宋体" w:hAnsi="宋体" w:cs="宋体"/>
          <w:color w:val="auto"/>
          <w:w w:val="95"/>
          <w:sz w:val="24"/>
          <w:szCs w:val="24"/>
          <w:highlight w:val="none"/>
        </w:rPr>
        <w:t>；承建（承接）企业为</w:t>
      </w:r>
      <w:r>
        <w:rPr>
          <w:rFonts w:hint="eastAsia" w:ascii="宋体" w:hAnsi="宋体" w:cs="宋体"/>
          <w:color w:val="auto"/>
          <w:w w:val="95"/>
          <w:sz w:val="24"/>
          <w:szCs w:val="24"/>
          <w:highlight w:val="none"/>
          <w:u w:val="single"/>
        </w:rPr>
        <w:t>（企业名称）</w:t>
      </w:r>
      <w:r>
        <w:rPr>
          <w:rFonts w:hint="eastAsia" w:ascii="宋体" w:hAnsi="宋体" w:cs="宋体"/>
          <w:color w:val="auto"/>
          <w:w w:val="95"/>
          <w:sz w:val="24"/>
          <w:szCs w:val="24"/>
          <w:highlight w:val="none"/>
        </w:rPr>
        <w:t>，从业人员</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人，营业收入为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万元，资产总额为</w:t>
      </w:r>
      <w:r>
        <w:rPr>
          <w:rFonts w:hint="eastAsia" w:ascii="宋体" w:hAnsi="宋体" w:cs="宋体"/>
          <w:color w:val="auto"/>
          <w:w w:val="95"/>
          <w:sz w:val="24"/>
          <w:szCs w:val="24"/>
          <w:highlight w:val="none"/>
          <w:u w:val="single"/>
        </w:rPr>
        <w:t xml:space="preserve">   </w:t>
      </w:r>
      <w:r>
        <w:rPr>
          <w:rFonts w:hint="eastAsia" w:ascii="宋体" w:hAnsi="宋体" w:cs="宋体"/>
          <w:color w:val="auto"/>
          <w:w w:val="95"/>
          <w:sz w:val="24"/>
          <w:szCs w:val="24"/>
          <w:highlight w:val="none"/>
        </w:rPr>
        <w:t>万元，属于</w:t>
      </w:r>
      <w:r>
        <w:rPr>
          <w:rFonts w:hint="eastAsia" w:ascii="宋体" w:hAnsi="宋体" w:cs="宋体"/>
          <w:color w:val="auto"/>
          <w:w w:val="95"/>
          <w:sz w:val="24"/>
          <w:szCs w:val="24"/>
          <w:highlight w:val="none"/>
          <w:u w:val="single"/>
        </w:rPr>
        <w:t>（中型企业、小型企业、微型企业）</w:t>
      </w: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w:t>
      </w:r>
    </w:p>
    <w:p>
      <w:pPr>
        <w:pStyle w:val="2"/>
        <w:spacing w:line="360" w:lineRule="auto"/>
        <w:ind w:firstLine="456" w:firstLineChars="200"/>
        <w:jc w:val="left"/>
        <w:rPr>
          <w:rFonts w:ascii="宋体" w:hAnsi="宋体" w:cs="宋体"/>
          <w:color w:val="auto"/>
          <w:w w:val="95"/>
          <w:sz w:val="24"/>
          <w:szCs w:val="24"/>
          <w:highlight w:val="none"/>
        </w:rPr>
      </w:pPr>
      <w:r>
        <w:rPr>
          <w:rFonts w:hint="eastAsia" w:ascii="宋体" w:hAnsi="宋体" w:cs="宋体"/>
          <w:color w:val="auto"/>
          <w:w w:val="95"/>
          <w:sz w:val="24"/>
          <w:szCs w:val="24"/>
          <w:highlight w:val="none"/>
        </w:rPr>
        <w:t>以上企业，不属于大企业的分支机构，不存在控股股东为大企业的情形，也不存在与大企业的负责人为同一人的情形。</w:t>
      </w:r>
    </w:p>
    <w:p>
      <w:pPr>
        <w:pStyle w:val="2"/>
        <w:spacing w:line="360" w:lineRule="auto"/>
        <w:ind w:firstLine="456" w:firstLineChars="200"/>
        <w:jc w:val="left"/>
        <w:rPr>
          <w:rFonts w:ascii="宋体" w:hAnsi="宋体" w:cs="宋体"/>
          <w:color w:val="auto"/>
          <w:sz w:val="24"/>
          <w:szCs w:val="24"/>
          <w:highlight w:val="none"/>
        </w:rPr>
      </w:pPr>
      <w:r>
        <w:rPr>
          <w:rFonts w:hint="eastAsia" w:ascii="宋体" w:hAnsi="宋体" w:cs="宋体"/>
          <w:color w:val="auto"/>
          <w:w w:val="95"/>
          <w:sz w:val="24"/>
          <w:szCs w:val="24"/>
          <w:highlight w:val="none"/>
        </w:rPr>
        <w:t>本企业对上述声明内容的真实性负责。如有虚假，将依</w:t>
      </w:r>
      <w:r>
        <w:rPr>
          <w:rFonts w:hint="eastAsia" w:ascii="宋体" w:hAnsi="宋体" w:cs="宋体"/>
          <w:color w:val="auto"/>
          <w:sz w:val="24"/>
          <w:szCs w:val="24"/>
          <w:highlight w:val="none"/>
        </w:rPr>
        <w:t>法承担相应责任。</w:t>
      </w: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p>
    <w:p>
      <w:pPr>
        <w:pStyle w:val="2"/>
        <w:spacing w:line="360" w:lineRule="auto"/>
        <w:ind w:firstLine="408" w:firstLineChars="200"/>
        <w:jc w:val="left"/>
        <w:rPr>
          <w:rFonts w:ascii="宋体" w:hAnsi="宋体" w:cs="宋体"/>
          <w:color w:val="auto"/>
          <w:spacing w:val="-18"/>
          <w:sz w:val="24"/>
          <w:szCs w:val="24"/>
          <w:highlight w:val="none"/>
        </w:rPr>
      </w:pPr>
      <w:r>
        <w:rPr>
          <w:rFonts w:hint="eastAsia" w:ascii="宋体" w:hAnsi="宋体" w:cs="宋体"/>
          <w:color w:val="auto"/>
          <w:spacing w:val="-18"/>
          <w:sz w:val="24"/>
          <w:szCs w:val="24"/>
          <w:highlight w:val="none"/>
        </w:rPr>
        <w:t>企业名称（盖章）：</w:t>
      </w:r>
    </w:p>
    <w:p>
      <w:pPr>
        <w:widowControl/>
        <w:adjustRightInd/>
        <w:spacing w:line="360" w:lineRule="auto"/>
        <w:ind w:firstLine="480" w:firstLineChars="200"/>
        <w:textAlignment w:val="auto"/>
        <w:rPr>
          <w:rFonts w:ascii="宋体" w:hAnsi="宋体" w:cs="宋体"/>
          <w:color w:val="auto"/>
          <w:szCs w:val="24"/>
          <w:highlight w:val="none"/>
        </w:rPr>
      </w:pPr>
      <w:r>
        <w:rPr>
          <w:rFonts w:hint="eastAsia" w:ascii="宋体" w:hAnsi="宋体" w:cs="宋体"/>
          <w:color w:val="auto"/>
          <w:szCs w:val="24"/>
          <w:highlight w:val="none"/>
        </w:rPr>
        <w:t>日</w:t>
      </w:r>
      <w:r>
        <w:rPr>
          <w:rFonts w:hint="eastAsia" w:ascii="宋体" w:hAnsi="宋体" w:cs="宋体"/>
          <w:color w:val="auto"/>
          <w:spacing w:val="-91"/>
          <w:szCs w:val="24"/>
          <w:highlight w:val="none"/>
        </w:rPr>
        <w:t xml:space="preserve"> </w:t>
      </w:r>
      <w:r>
        <w:rPr>
          <w:rFonts w:hint="eastAsia" w:ascii="宋体" w:hAnsi="宋体" w:cs="宋体"/>
          <w:color w:val="auto"/>
          <w:szCs w:val="24"/>
          <w:highlight w:val="none"/>
        </w:rPr>
        <w:t>期：</w:t>
      </w:r>
    </w:p>
    <w:p>
      <w:pPr>
        <w:widowControl/>
        <w:adjustRightInd/>
        <w:spacing w:line="360" w:lineRule="auto"/>
        <w:ind w:firstLine="480" w:firstLineChars="200"/>
        <w:textAlignment w:val="auto"/>
        <w:rPr>
          <w:rFonts w:ascii="宋体" w:hAnsi="宋体" w:cs="宋体"/>
          <w:color w:val="auto"/>
          <w:szCs w:val="24"/>
          <w:highlight w:val="none"/>
        </w:rPr>
      </w:pPr>
    </w:p>
    <w:p>
      <w:pPr>
        <w:spacing w:line="200" w:lineRule="exact"/>
        <w:ind w:left="20" w:firstLine="540" w:firstLineChars="300"/>
        <w:rPr>
          <w:rFonts w:ascii="宋体" w:hAnsi="宋体" w:cs="宋体"/>
          <w:color w:val="auto"/>
          <w:sz w:val="18"/>
          <w:szCs w:val="18"/>
          <w:highlight w:val="none"/>
        </w:rPr>
      </w:pPr>
      <w:r>
        <w:rPr>
          <w:rFonts w:hint="eastAsia" w:ascii="宋体" w:hAnsi="宋体" w:cs="宋体"/>
          <w:color w:val="auto"/>
          <w:sz w:val="18"/>
          <w:szCs w:val="18"/>
          <w:highlight w:val="none"/>
        </w:rPr>
        <w:t>注：</w:t>
      </w:r>
      <w:r>
        <w:rPr>
          <w:rFonts w:ascii="宋体" w:hAnsi="宋体" w:cs="宋体"/>
          <w:color w:val="auto"/>
          <w:sz w:val="18"/>
          <w:szCs w:val="18"/>
          <w:highlight w:val="none"/>
        </w:rPr>
        <w:t>从业人员、营业收入、资产总额填报上一年度数据，无上一年度数据的新成立企业可不填报。</w:t>
      </w:r>
    </w:p>
    <w:p>
      <w:pPr>
        <w:widowControl/>
        <w:adjustRightInd/>
        <w:spacing w:line="360" w:lineRule="auto"/>
        <w:ind w:firstLine="420" w:firstLineChars="200"/>
        <w:textAlignment w:val="auto"/>
        <w:rPr>
          <w:color w:val="auto"/>
          <w:sz w:val="21"/>
          <w:szCs w:val="21"/>
          <w:highlight w:val="none"/>
        </w:rPr>
      </w:pPr>
      <w:r>
        <w:rPr>
          <w:color w:val="auto"/>
          <w:sz w:val="21"/>
          <w:szCs w:val="21"/>
          <w:highlight w:val="none"/>
        </w:rPr>
        <w:br w:type="page"/>
      </w:r>
    </w:p>
    <w:p>
      <w:pPr>
        <w:spacing w:line="360" w:lineRule="auto"/>
        <w:jc w:val="center"/>
        <w:rPr>
          <w:rFonts w:ascii="宋体" w:hAnsi="宋体"/>
          <w:b/>
          <w:color w:val="auto"/>
          <w:sz w:val="21"/>
          <w:szCs w:val="21"/>
          <w:highlight w:val="none"/>
        </w:rPr>
      </w:pPr>
      <w:r>
        <w:rPr>
          <w:rFonts w:ascii="宋体" w:hAnsi="宋体"/>
          <w:b/>
          <w:color w:val="auto"/>
          <w:sz w:val="21"/>
          <w:szCs w:val="21"/>
          <w:highlight w:val="none"/>
        </w:rPr>
        <w:t>C</w:t>
      </w:r>
      <w:r>
        <w:rPr>
          <w:rFonts w:hint="eastAsia" w:ascii="宋体" w:hAnsi="宋体"/>
          <w:b/>
          <w:color w:val="auto"/>
          <w:sz w:val="21"/>
          <w:szCs w:val="21"/>
          <w:highlight w:val="none"/>
        </w:rPr>
        <w:t>4残疾人福利性单位声明函（如有需提供）</w:t>
      </w:r>
    </w:p>
    <w:p>
      <w:pPr>
        <w:wordWrap w:val="0"/>
        <w:spacing w:line="588"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本单位郑重声明，根据《财政部</w:t>
      </w:r>
      <w:r>
        <w:rPr>
          <w:rFonts w:ascii="宋体" w:hAnsi="宋体"/>
          <w:color w:val="auto"/>
          <w:sz w:val="21"/>
          <w:szCs w:val="21"/>
          <w:highlight w:val="none"/>
        </w:rPr>
        <w:t xml:space="preserve"> </w:t>
      </w:r>
      <w:r>
        <w:rPr>
          <w:rFonts w:hint="eastAsia" w:ascii="宋体" w:hAnsi="宋体"/>
          <w:color w:val="auto"/>
          <w:sz w:val="21"/>
          <w:szCs w:val="21"/>
          <w:highlight w:val="none"/>
        </w:rPr>
        <w:t>民政部</w:t>
      </w:r>
      <w:r>
        <w:rPr>
          <w:rFonts w:ascii="宋体" w:hAnsi="宋体"/>
          <w:color w:val="auto"/>
          <w:sz w:val="21"/>
          <w:szCs w:val="21"/>
          <w:highlight w:val="none"/>
        </w:rPr>
        <w:t xml:space="preserve"> </w:t>
      </w:r>
      <w:r>
        <w:rPr>
          <w:rFonts w:hint="eastAsia" w:ascii="宋体" w:hAnsi="宋体"/>
          <w:color w:val="auto"/>
          <w:sz w:val="21"/>
          <w:szCs w:val="21"/>
          <w:highlight w:val="none"/>
        </w:rPr>
        <w:t>中国残疾人联合会关于促进残疾人就业政府采购政策的通知》（财库〔</w:t>
      </w:r>
      <w:r>
        <w:rPr>
          <w:rFonts w:ascii="宋体" w:hAnsi="宋体"/>
          <w:color w:val="auto"/>
          <w:sz w:val="21"/>
          <w:szCs w:val="21"/>
          <w:highlight w:val="none"/>
        </w:rPr>
        <w:t>2017</w:t>
      </w:r>
      <w:r>
        <w:rPr>
          <w:rFonts w:hint="eastAsia" w:ascii="宋体" w:hAnsi="宋体"/>
          <w:color w:val="auto"/>
          <w:sz w:val="21"/>
          <w:szCs w:val="21"/>
          <w:highlight w:val="none"/>
        </w:rPr>
        <w:t>〕</w:t>
      </w:r>
      <w:r>
        <w:rPr>
          <w:rFonts w:ascii="宋体" w:hAnsi="宋体"/>
          <w:color w:val="auto"/>
          <w:sz w:val="21"/>
          <w:szCs w:val="21"/>
          <w:highlight w:val="none"/>
        </w:rPr>
        <w:t>141</w:t>
      </w:r>
      <w:r>
        <w:rPr>
          <w:rFonts w:hint="eastAsia" w:ascii="宋体" w:hAnsi="宋体"/>
          <w:color w:val="auto"/>
          <w:sz w:val="21"/>
          <w:szCs w:val="21"/>
          <w:highlight w:val="none"/>
        </w:rPr>
        <w:t>号）的规定，本单位为符合条件的残疾人福利性单位，且本单位参加</w:t>
      </w:r>
      <w:r>
        <w:rPr>
          <w:rFonts w:ascii="宋体" w:hAnsi="宋体"/>
          <w:color w:val="auto"/>
          <w:sz w:val="21"/>
          <w:szCs w:val="21"/>
          <w:highlight w:val="none"/>
        </w:rPr>
        <w:t>______</w:t>
      </w:r>
      <w:r>
        <w:rPr>
          <w:rFonts w:hint="eastAsia" w:ascii="宋体" w:hAnsi="宋体"/>
          <w:color w:val="auto"/>
          <w:sz w:val="21"/>
          <w:szCs w:val="21"/>
          <w:highlight w:val="none"/>
        </w:rPr>
        <w:t>单位的</w:t>
      </w:r>
      <w:r>
        <w:rPr>
          <w:rFonts w:ascii="宋体" w:hAnsi="宋体"/>
          <w:color w:val="auto"/>
          <w:sz w:val="21"/>
          <w:szCs w:val="21"/>
          <w:highlight w:val="none"/>
        </w:rPr>
        <w:t>______</w:t>
      </w:r>
      <w:r>
        <w:rPr>
          <w:rFonts w:hint="eastAsia" w:ascii="宋体" w:hAnsi="宋体"/>
          <w:color w:val="auto"/>
          <w:sz w:val="21"/>
          <w:szCs w:val="21"/>
          <w:highlight w:val="none"/>
        </w:rPr>
        <w:t>项目采购活动提供本单位制造的货物（由本单位承担工程</w:t>
      </w:r>
      <w:r>
        <w:rPr>
          <w:rFonts w:ascii="宋体" w:hAnsi="宋体"/>
          <w:color w:val="auto"/>
          <w:sz w:val="21"/>
          <w:szCs w:val="21"/>
          <w:highlight w:val="none"/>
        </w:rPr>
        <w:t>/</w:t>
      </w:r>
      <w:r>
        <w:rPr>
          <w:rFonts w:hint="eastAsia" w:ascii="宋体" w:hAnsi="宋体"/>
          <w:color w:val="auto"/>
          <w:sz w:val="21"/>
          <w:szCs w:val="21"/>
          <w:highlight w:val="none"/>
        </w:rPr>
        <w:t>提供服务），或者提供其他残疾人福利性单位制造的货物（不包括使用非残疾人福利性单位注册商标的货物）。</w:t>
      </w:r>
    </w:p>
    <w:p>
      <w:pPr>
        <w:wordWrap w:val="0"/>
        <w:spacing w:line="588"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本单位对上述声明的真实性负责。如有虚假，将依法承担相应责任。</w:t>
      </w:r>
    </w:p>
    <w:p>
      <w:pPr>
        <w:wordWrap w:val="0"/>
        <w:spacing w:line="588" w:lineRule="exact"/>
        <w:ind w:firstLine="420" w:firstLineChars="200"/>
        <w:rPr>
          <w:rFonts w:ascii="宋体" w:hAnsi="宋体"/>
          <w:color w:val="auto"/>
          <w:sz w:val="21"/>
          <w:szCs w:val="21"/>
          <w:highlight w:val="none"/>
        </w:rPr>
      </w:pPr>
    </w:p>
    <w:p>
      <w:pPr>
        <w:wordWrap w:val="0"/>
        <w:spacing w:line="588" w:lineRule="exact"/>
        <w:ind w:firstLine="420" w:firstLineChars="200"/>
        <w:rPr>
          <w:rFonts w:ascii="宋体" w:hAnsi="宋体"/>
          <w:color w:val="auto"/>
          <w:sz w:val="21"/>
          <w:szCs w:val="21"/>
          <w:highlight w:val="none"/>
        </w:rPr>
      </w:pPr>
    </w:p>
    <w:p>
      <w:pPr>
        <w:tabs>
          <w:tab w:val="left" w:pos="4860"/>
        </w:tabs>
        <w:wordWrap w:val="0"/>
        <w:spacing w:line="588" w:lineRule="exact"/>
        <w:ind w:right="1560" w:firstLine="840" w:firstLineChars="400"/>
        <w:jc w:val="both"/>
        <w:rPr>
          <w:rFonts w:ascii="宋体" w:hAnsi="宋体"/>
          <w:color w:val="auto"/>
          <w:sz w:val="21"/>
          <w:szCs w:val="21"/>
          <w:highlight w:val="none"/>
        </w:rPr>
      </w:pPr>
      <w:r>
        <w:rPr>
          <w:rFonts w:hint="eastAsia" w:ascii="宋体" w:hAnsi="宋体"/>
          <w:color w:val="auto"/>
          <w:sz w:val="21"/>
          <w:szCs w:val="21"/>
          <w:highlight w:val="none"/>
        </w:rPr>
        <w:t>单位名称（盖章）：</w:t>
      </w:r>
    </w:p>
    <w:p>
      <w:pPr>
        <w:spacing w:line="400" w:lineRule="exact"/>
        <w:rPr>
          <w:rFonts w:ascii="宋体" w:hAnsi="宋体"/>
          <w:color w:val="auto"/>
          <w:sz w:val="21"/>
          <w:szCs w:val="21"/>
          <w:highlight w:val="none"/>
        </w:rPr>
      </w:pPr>
      <w:r>
        <w:rPr>
          <w:rFonts w:ascii="宋体" w:hAnsi="宋体"/>
          <w:color w:val="auto"/>
          <w:sz w:val="21"/>
          <w:szCs w:val="21"/>
          <w:highlight w:val="none"/>
        </w:rPr>
        <w:t xml:space="preserve">       </w:t>
      </w:r>
      <w:r>
        <w:rPr>
          <w:rFonts w:hint="eastAsia" w:ascii="宋体" w:hAnsi="宋体"/>
          <w:color w:val="auto"/>
          <w:sz w:val="21"/>
          <w:szCs w:val="21"/>
          <w:highlight w:val="none"/>
        </w:rPr>
        <w:t>日</w:t>
      </w:r>
      <w:r>
        <w:rPr>
          <w:rFonts w:ascii="宋体" w:hAnsi="宋体"/>
          <w:color w:val="auto"/>
          <w:sz w:val="21"/>
          <w:szCs w:val="21"/>
          <w:highlight w:val="none"/>
        </w:rPr>
        <w:t xml:space="preserve">  </w:t>
      </w:r>
      <w:r>
        <w:rPr>
          <w:rFonts w:hint="eastAsia" w:ascii="宋体" w:hAnsi="宋体"/>
          <w:color w:val="auto"/>
          <w:sz w:val="21"/>
          <w:szCs w:val="21"/>
          <w:highlight w:val="none"/>
        </w:rPr>
        <w:t>期：</w:t>
      </w:r>
    </w:p>
    <w:p>
      <w:pPr>
        <w:rPr>
          <w:rFonts w:ascii="宋体" w:hAnsi="宋体"/>
          <w:color w:val="auto"/>
          <w:sz w:val="21"/>
          <w:szCs w:val="21"/>
          <w:highlight w:val="none"/>
        </w:rPr>
      </w:pPr>
      <w:r>
        <w:rPr>
          <w:rFonts w:hint="eastAsia" w:ascii="宋体" w:hAnsi="宋体"/>
          <w:color w:val="auto"/>
          <w:sz w:val="21"/>
          <w:szCs w:val="21"/>
          <w:highlight w:val="none"/>
        </w:rPr>
        <w:br w:type="page"/>
      </w:r>
    </w:p>
    <w:p>
      <w:pPr>
        <w:widowControl/>
        <w:wordWrap w:val="0"/>
        <w:jc w:val="center"/>
        <w:rPr>
          <w:rFonts w:ascii="宋体" w:hAnsi="宋体" w:cs="宋体"/>
          <w:b/>
          <w:bCs/>
          <w:color w:val="auto"/>
          <w:highlight w:val="none"/>
        </w:rPr>
        <w:sectPr>
          <w:pgSz w:w="11906" w:h="16838"/>
          <w:pgMar w:top="1418" w:right="1134" w:bottom="1418" w:left="1588" w:header="851" w:footer="992"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pPr>
    </w:p>
    <w:tbl>
      <w:tblPr>
        <w:tblStyle w:val="40"/>
        <w:tblW w:w="15077" w:type="dxa"/>
        <w:tblInd w:w="-176" w:type="dxa"/>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34"/>
        <w:gridCol w:w="6"/>
      </w:tblGrid>
      <w:tr>
        <w:tblPrEx>
          <w:tblCellMar>
            <w:top w:w="0" w:type="dxa"/>
            <w:left w:w="108" w:type="dxa"/>
            <w:bottom w:w="0" w:type="dxa"/>
            <w:right w:w="108" w:type="dxa"/>
          </w:tblCellMar>
        </w:tblPrEx>
        <w:trPr>
          <w:trHeight w:val="148" w:hRule="atLeast"/>
        </w:trPr>
        <w:tc>
          <w:tcPr>
            <w:tcW w:w="15077" w:type="dxa"/>
            <w:gridSpan w:val="11"/>
            <w:tcBorders>
              <w:top w:val="nil"/>
              <w:left w:val="nil"/>
              <w:bottom w:val="nil"/>
              <w:right w:val="nil"/>
            </w:tcBorders>
            <w:vAlign w:val="bottom"/>
          </w:tcPr>
          <w:p>
            <w:pPr>
              <w:widowControl/>
              <w:wordWrap w:val="0"/>
              <w:jc w:val="center"/>
              <w:rPr>
                <w:rFonts w:ascii="宋体" w:hAnsi="宋体" w:cs="宋体"/>
                <w:b/>
                <w:bCs/>
                <w:color w:val="auto"/>
                <w:sz w:val="32"/>
                <w:szCs w:val="32"/>
                <w:highlight w:val="none"/>
              </w:rPr>
            </w:pPr>
            <w:r>
              <w:rPr>
                <w:rFonts w:hint="eastAsia" w:ascii="宋体" w:hAnsi="宋体" w:cs="宋体"/>
                <w:b/>
                <w:bCs/>
                <w:color w:val="auto"/>
                <w:highlight w:val="none"/>
              </w:rPr>
              <w:t>中小微行业划型标准规定（根据工信部联企业〔</w:t>
            </w:r>
            <w:r>
              <w:rPr>
                <w:rFonts w:ascii="宋体" w:hAnsi="宋体" w:cs="宋体"/>
                <w:b/>
                <w:bCs/>
                <w:color w:val="auto"/>
                <w:highlight w:val="none"/>
              </w:rPr>
              <w:t>2011</w:t>
            </w:r>
            <w:r>
              <w:rPr>
                <w:rFonts w:hint="eastAsia" w:ascii="宋体" w:hAnsi="宋体" w:cs="宋体"/>
                <w:b/>
                <w:bCs/>
                <w:color w:val="auto"/>
                <w:highlight w:val="none"/>
              </w:rPr>
              <w:t>〕</w:t>
            </w:r>
            <w:r>
              <w:rPr>
                <w:rFonts w:ascii="宋体" w:hAnsi="宋体" w:cs="宋体"/>
                <w:b/>
                <w:bCs/>
                <w:color w:val="auto"/>
                <w:highlight w:val="none"/>
              </w:rPr>
              <w:t>300</w:t>
            </w:r>
            <w:r>
              <w:rPr>
                <w:rFonts w:hint="eastAsia" w:ascii="宋体" w:hAnsi="宋体" w:cs="宋体"/>
                <w:b/>
                <w:bCs/>
                <w:color w:val="auto"/>
                <w:highlight w:val="none"/>
              </w:rPr>
              <w:t>号制定）</w:t>
            </w:r>
          </w:p>
        </w:tc>
      </w:tr>
      <w:tr>
        <w:tblPrEx>
          <w:tblCellMar>
            <w:top w:w="0" w:type="dxa"/>
            <w:left w:w="108" w:type="dxa"/>
            <w:bottom w:w="0" w:type="dxa"/>
            <w:right w:w="108" w:type="dxa"/>
          </w:tblCellMar>
        </w:tblPrEx>
        <w:trPr>
          <w:gridAfter w:val="1"/>
          <w:wAfter w:w="6" w:type="dxa"/>
          <w:trHeight w:val="459" w:hRule="atLeast"/>
        </w:trPr>
        <w:tc>
          <w:tcPr>
            <w:tcW w:w="2003" w:type="dxa"/>
            <w:vMerge w:val="restart"/>
            <w:tcBorders>
              <w:top w:val="single" w:color="auto" w:sz="8" w:space="0"/>
              <w:left w:val="single" w:color="auto" w:sz="8" w:space="0"/>
              <w:bottom w:val="single" w:color="000000" w:sz="4" w:space="0"/>
              <w:right w:val="single" w:color="auto" w:sz="8" w:space="0"/>
            </w:tcBorders>
            <w:vAlign w:val="center"/>
          </w:tcPr>
          <w:p>
            <w:pPr>
              <w:widowControl/>
              <w:wordWrap w:val="0"/>
              <w:jc w:val="center"/>
              <w:rPr>
                <w:rFonts w:ascii="宋体" w:hAnsi="宋体" w:cs="宋体"/>
                <w:b/>
                <w:bCs/>
                <w:color w:val="auto"/>
                <w:highlight w:val="none"/>
              </w:rPr>
            </w:pPr>
            <w:r>
              <w:rPr>
                <w:rFonts w:hint="eastAsia" w:ascii="宋体" w:hAnsi="宋体" w:cs="宋体"/>
                <w:b/>
                <w:bCs/>
                <w:color w:val="auto"/>
                <w:highlight w:val="none"/>
              </w:rPr>
              <w:t>行业</w:t>
            </w:r>
          </w:p>
        </w:tc>
        <w:tc>
          <w:tcPr>
            <w:tcW w:w="4968" w:type="dxa"/>
            <w:gridSpan w:val="3"/>
            <w:tcBorders>
              <w:top w:val="single" w:color="auto" w:sz="8" w:space="0"/>
              <w:left w:val="nil"/>
              <w:bottom w:val="single" w:color="auto" w:sz="4" w:space="0"/>
              <w:right w:val="single" w:color="000000" w:sz="8" w:space="0"/>
            </w:tcBorders>
            <w:vAlign w:val="bottom"/>
          </w:tcPr>
          <w:p>
            <w:pPr>
              <w:widowControl/>
              <w:wordWrap w:val="0"/>
              <w:jc w:val="center"/>
              <w:rPr>
                <w:rFonts w:ascii="宋体" w:hAnsi="宋体" w:cs="宋体"/>
                <w:b/>
                <w:bCs/>
                <w:color w:val="auto"/>
                <w:highlight w:val="none"/>
              </w:rPr>
            </w:pPr>
            <w:r>
              <w:rPr>
                <w:rFonts w:hint="eastAsia" w:ascii="宋体" w:hAnsi="宋体" w:cs="宋体"/>
                <w:b/>
                <w:bCs/>
                <w:color w:val="auto"/>
                <w:highlight w:val="none"/>
              </w:rPr>
              <w:t>中型企业</w:t>
            </w:r>
          </w:p>
        </w:tc>
        <w:tc>
          <w:tcPr>
            <w:tcW w:w="4282" w:type="dxa"/>
            <w:gridSpan w:val="3"/>
            <w:tcBorders>
              <w:top w:val="single" w:color="auto" w:sz="8" w:space="0"/>
              <w:left w:val="nil"/>
              <w:bottom w:val="single" w:color="auto" w:sz="4" w:space="0"/>
              <w:right w:val="single" w:color="000000" w:sz="8" w:space="0"/>
            </w:tcBorders>
            <w:vAlign w:val="bottom"/>
          </w:tcPr>
          <w:p>
            <w:pPr>
              <w:widowControl/>
              <w:wordWrap w:val="0"/>
              <w:jc w:val="center"/>
              <w:rPr>
                <w:rFonts w:ascii="宋体" w:hAnsi="宋体" w:cs="宋体"/>
                <w:b/>
                <w:bCs/>
                <w:color w:val="auto"/>
                <w:highlight w:val="none"/>
              </w:rPr>
            </w:pPr>
            <w:r>
              <w:rPr>
                <w:rFonts w:hint="eastAsia" w:ascii="宋体" w:hAnsi="宋体" w:cs="宋体"/>
                <w:b/>
                <w:bCs/>
                <w:color w:val="auto"/>
                <w:highlight w:val="none"/>
              </w:rPr>
              <w:t>小型企业</w:t>
            </w:r>
          </w:p>
        </w:tc>
        <w:tc>
          <w:tcPr>
            <w:tcW w:w="3818" w:type="dxa"/>
            <w:gridSpan w:val="3"/>
            <w:tcBorders>
              <w:top w:val="single" w:color="auto" w:sz="8" w:space="0"/>
              <w:left w:val="nil"/>
              <w:bottom w:val="single" w:color="auto" w:sz="4" w:space="0"/>
              <w:right w:val="single" w:color="000000" w:sz="8" w:space="0"/>
            </w:tcBorders>
            <w:vAlign w:val="bottom"/>
          </w:tcPr>
          <w:p>
            <w:pPr>
              <w:widowControl/>
              <w:wordWrap w:val="0"/>
              <w:jc w:val="center"/>
              <w:rPr>
                <w:rFonts w:ascii="宋体" w:hAnsi="宋体" w:cs="宋体"/>
                <w:b/>
                <w:bCs/>
                <w:color w:val="auto"/>
                <w:highlight w:val="none"/>
              </w:rPr>
            </w:pPr>
            <w:r>
              <w:rPr>
                <w:rFonts w:hint="eastAsia" w:ascii="宋体" w:hAnsi="宋体" w:cs="宋体"/>
                <w:b/>
                <w:bCs/>
                <w:color w:val="auto"/>
                <w:highlight w:val="none"/>
              </w:rPr>
              <w:t>微型企业</w:t>
            </w:r>
          </w:p>
        </w:tc>
      </w:tr>
      <w:tr>
        <w:tblPrEx>
          <w:tblCellMar>
            <w:top w:w="0" w:type="dxa"/>
            <w:left w:w="108" w:type="dxa"/>
            <w:bottom w:w="0" w:type="dxa"/>
            <w:right w:w="108" w:type="dxa"/>
          </w:tblCellMar>
        </w:tblPrEx>
        <w:trPr>
          <w:gridAfter w:val="1"/>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vAlign w:val="center"/>
          </w:tcPr>
          <w:p>
            <w:pPr>
              <w:widowControl/>
              <w:wordWrap w:val="0"/>
              <w:rPr>
                <w:rFonts w:ascii="宋体" w:hAnsi="宋体" w:cs="宋体"/>
                <w:b/>
                <w:bCs/>
                <w:color w:val="auto"/>
                <w:highlight w:val="none"/>
              </w:rPr>
            </w:pPr>
          </w:p>
        </w:tc>
        <w:tc>
          <w:tcPr>
            <w:tcW w:w="1512" w:type="dxa"/>
            <w:tcBorders>
              <w:top w:val="nil"/>
              <w:left w:val="nil"/>
              <w:bottom w:val="single" w:color="auto" w:sz="4" w:space="0"/>
              <w:right w:val="single" w:color="auto" w:sz="4"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从业人员</w:t>
            </w:r>
            <w:r>
              <w:rPr>
                <w:rFonts w:ascii="宋体" w:hAnsi="宋体" w:cs="宋体"/>
                <w:color w:val="auto"/>
                <w:sz w:val="20"/>
                <w:highlight w:val="none"/>
              </w:rPr>
              <w:t>X</w:t>
            </w:r>
            <w:r>
              <w:rPr>
                <w:rFonts w:hint="eastAsia" w:ascii="宋体" w:hAnsi="宋体" w:cs="宋体"/>
                <w:color w:val="auto"/>
                <w:sz w:val="20"/>
                <w:highlight w:val="none"/>
              </w:rPr>
              <w:t>（人）</w:t>
            </w:r>
          </w:p>
        </w:tc>
        <w:tc>
          <w:tcPr>
            <w:tcW w:w="1779" w:type="dxa"/>
            <w:tcBorders>
              <w:top w:val="nil"/>
              <w:left w:val="nil"/>
              <w:bottom w:val="single" w:color="auto" w:sz="4" w:space="0"/>
              <w:right w:val="single" w:color="auto" w:sz="4"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营业收入</w:t>
            </w:r>
            <w:r>
              <w:rPr>
                <w:rFonts w:ascii="宋体" w:hAnsi="宋体" w:cs="宋体"/>
                <w:color w:val="auto"/>
                <w:sz w:val="20"/>
                <w:highlight w:val="none"/>
              </w:rPr>
              <w:t>Y</w:t>
            </w:r>
          </w:p>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（万元）</w:t>
            </w:r>
          </w:p>
        </w:tc>
        <w:tc>
          <w:tcPr>
            <w:tcW w:w="1677" w:type="dxa"/>
            <w:tcBorders>
              <w:top w:val="nil"/>
              <w:left w:val="nil"/>
              <w:bottom w:val="single" w:color="auto" w:sz="4" w:space="0"/>
              <w:right w:val="single" w:color="auto" w:sz="8"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资产总额</w:t>
            </w:r>
            <w:r>
              <w:rPr>
                <w:rFonts w:ascii="宋体" w:hAnsi="宋体" w:cs="宋体"/>
                <w:color w:val="auto"/>
                <w:sz w:val="20"/>
                <w:highlight w:val="none"/>
              </w:rPr>
              <w:t>Z</w:t>
            </w:r>
          </w:p>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（万元）</w:t>
            </w:r>
          </w:p>
        </w:tc>
        <w:tc>
          <w:tcPr>
            <w:tcW w:w="1252" w:type="dxa"/>
            <w:tcBorders>
              <w:top w:val="nil"/>
              <w:left w:val="nil"/>
              <w:bottom w:val="single" w:color="auto" w:sz="4" w:space="0"/>
              <w:right w:val="single" w:color="auto" w:sz="4"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从业人员</w:t>
            </w:r>
            <w:r>
              <w:rPr>
                <w:rFonts w:ascii="宋体" w:hAnsi="宋体" w:cs="宋体"/>
                <w:color w:val="auto"/>
                <w:sz w:val="20"/>
                <w:highlight w:val="none"/>
              </w:rPr>
              <w:t>X</w:t>
            </w:r>
            <w:r>
              <w:rPr>
                <w:rFonts w:hint="eastAsia" w:ascii="宋体" w:hAnsi="宋体" w:cs="宋体"/>
                <w:color w:val="auto"/>
                <w:sz w:val="20"/>
                <w:highlight w:val="none"/>
              </w:rPr>
              <w:t>（人）</w:t>
            </w:r>
          </w:p>
        </w:tc>
        <w:tc>
          <w:tcPr>
            <w:tcW w:w="1494" w:type="dxa"/>
            <w:tcBorders>
              <w:top w:val="nil"/>
              <w:left w:val="nil"/>
              <w:bottom w:val="single" w:color="auto" w:sz="4" w:space="0"/>
              <w:right w:val="single" w:color="auto" w:sz="4"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营业收入</w:t>
            </w:r>
            <w:r>
              <w:rPr>
                <w:rFonts w:ascii="宋体" w:hAnsi="宋体" w:cs="宋体"/>
                <w:color w:val="auto"/>
                <w:sz w:val="20"/>
                <w:highlight w:val="none"/>
              </w:rPr>
              <w:t>Y</w:t>
            </w:r>
          </w:p>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（万元）</w:t>
            </w:r>
          </w:p>
        </w:tc>
        <w:tc>
          <w:tcPr>
            <w:tcW w:w="1536" w:type="dxa"/>
            <w:tcBorders>
              <w:top w:val="nil"/>
              <w:left w:val="nil"/>
              <w:bottom w:val="single" w:color="auto" w:sz="4" w:space="0"/>
              <w:right w:val="single" w:color="auto" w:sz="8"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资产总额</w:t>
            </w:r>
            <w:r>
              <w:rPr>
                <w:rFonts w:ascii="宋体" w:hAnsi="宋体" w:cs="宋体"/>
                <w:color w:val="auto"/>
                <w:sz w:val="20"/>
                <w:highlight w:val="none"/>
              </w:rPr>
              <w:t>Z</w:t>
            </w:r>
          </w:p>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（万元）</w:t>
            </w:r>
          </w:p>
        </w:tc>
        <w:tc>
          <w:tcPr>
            <w:tcW w:w="1297" w:type="dxa"/>
            <w:tcBorders>
              <w:top w:val="nil"/>
              <w:left w:val="nil"/>
              <w:bottom w:val="single" w:color="auto" w:sz="4" w:space="0"/>
              <w:right w:val="single" w:color="auto" w:sz="4"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从业人员</w:t>
            </w:r>
            <w:r>
              <w:rPr>
                <w:rFonts w:ascii="宋体" w:hAnsi="宋体" w:cs="宋体"/>
                <w:color w:val="auto"/>
                <w:sz w:val="20"/>
                <w:highlight w:val="none"/>
              </w:rPr>
              <w:t>X</w:t>
            </w:r>
            <w:r>
              <w:rPr>
                <w:rFonts w:hint="eastAsia" w:ascii="宋体" w:hAnsi="宋体" w:cs="宋体"/>
                <w:color w:val="auto"/>
                <w:sz w:val="20"/>
                <w:highlight w:val="none"/>
              </w:rPr>
              <w:t>（人）</w:t>
            </w:r>
          </w:p>
        </w:tc>
        <w:tc>
          <w:tcPr>
            <w:tcW w:w="1287" w:type="dxa"/>
            <w:tcBorders>
              <w:top w:val="nil"/>
              <w:left w:val="nil"/>
              <w:bottom w:val="single" w:color="auto" w:sz="4" w:space="0"/>
              <w:right w:val="single" w:color="auto" w:sz="4"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营业收入</w:t>
            </w:r>
            <w:r>
              <w:rPr>
                <w:rFonts w:ascii="宋体" w:hAnsi="宋体" w:cs="宋体"/>
                <w:color w:val="auto"/>
                <w:sz w:val="20"/>
                <w:highlight w:val="none"/>
              </w:rPr>
              <w:t>Y</w:t>
            </w:r>
            <w:r>
              <w:rPr>
                <w:rFonts w:hint="eastAsia" w:ascii="宋体" w:hAnsi="宋体" w:cs="宋体"/>
                <w:color w:val="auto"/>
                <w:sz w:val="20"/>
                <w:highlight w:val="none"/>
              </w:rPr>
              <w:t>（万元）</w:t>
            </w:r>
          </w:p>
        </w:tc>
        <w:tc>
          <w:tcPr>
            <w:tcW w:w="1234" w:type="dxa"/>
            <w:tcBorders>
              <w:top w:val="nil"/>
              <w:left w:val="nil"/>
              <w:bottom w:val="single" w:color="auto" w:sz="4" w:space="0"/>
              <w:right w:val="single" w:color="auto" w:sz="8" w:space="0"/>
            </w:tcBorders>
            <w:vAlign w:val="bottom"/>
          </w:tcPr>
          <w:p>
            <w:pPr>
              <w:widowControl/>
              <w:wordWrap w:val="0"/>
              <w:jc w:val="center"/>
              <w:rPr>
                <w:rFonts w:ascii="宋体" w:hAnsi="宋体" w:cs="宋体"/>
                <w:color w:val="auto"/>
                <w:sz w:val="20"/>
                <w:highlight w:val="none"/>
              </w:rPr>
            </w:pPr>
            <w:r>
              <w:rPr>
                <w:rFonts w:hint="eastAsia" w:ascii="宋体" w:hAnsi="宋体" w:cs="宋体"/>
                <w:color w:val="auto"/>
                <w:sz w:val="20"/>
                <w:highlight w:val="none"/>
              </w:rPr>
              <w:t>资产总额</w:t>
            </w:r>
            <w:r>
              <w:rPr>
                <w:rFonts w:ascii="宋体" w:hAnsi="宋体" w:cs="宋体"/>
                <w:color w:val="auto"/>
                <w:sz w:val="20"/>
                <w:highlight w:val="none"/>
              </w:rPr>
              <w:t>Z</w:t>
            </w:r>
            <w:r>
              <w:rPr>
                <w:rFonts w:hint="eastAsia" w:ascii="宋体" w:hAnsi="宋体" w:cs="宋体"/>
                <w:color w:val="auto"/>
                <w:sz w:val="20"/>
                <w:highlight w:val="none"/>
              </w:rPr>
              <w:t>（万元）</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1</w:t>
            </w:r>
            <w:r>
              <w:rPr>
                <w:rFonts w:hint="eastAsia" w:ascii="宋体" w:hAnsi="宋体" w:cs="宋体"/>
                <w:color w:val="auto"/>
                <w:sz w:val="20"/>
                <w:highlight w:val="none"/>
              </w:rPr>
              <w:t>、农林牧渔业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20000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500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50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2</w:t>
            </w:r>
            <w:r>
              <w:rPr>
                <w:rFonts w:hint="eastAsia" w:ascii="宋体" w:hAnsi="宋体" w:cs="宋体"/>
                <w:color w:val="auto"/>
                <w:sz w:val="20"/>
                <w:highlight w:val="none"/>
              </w:rPr>
              <w:t>、工业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40000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2000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300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3</w:t>
            </w:r>
            <w:r>
              <w:rPr>
                <w:rFonts w:hint="eastAsia" w:ascii="宋体" w:hAnsi="宋体" w:cs="宋体"/>
                <w:color w:val="auto"/>
                <w:sz w:val="20"/>
                <w:highlight w:val="none"/>
              </w:rPr>
              <w:t>、建筑业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6000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80000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5000</w:t>
            </w:r>
            <w:r>
              <w:rPr>
                <w:rFonts w:hint="eastAsia" w:ascii="宋体" w:hAnsi="宋体" w:cs="宋体"/>
                <w:color w:val="auto"/>
                <w:sz w:val="20"/>
                <w:highlight w:val="none"/>
              </w:rPr>
              <w:t>≤</w:t>
            </w: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80000</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6000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w:t>
            </w:r>
            <w:r>
              <w:rPr>
                <w:rFonts w:hint="eastAsia" w:ascii="宋体" w:hAnsi="宋体" w:cs="宋体"/>
                <w:color w:val="auto"/>
                <w:sz w:val="20"/>
                <w:highlight w:val="none"/>
              </w:rPr>
              <w:t>≤</w:t>
            </w: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5000</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300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300</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4</w:t>
            </w:r>
            <w:r>
              <w:rPr>
                <w:rFonts w:hint="eastAsia" w:ascii="宋体" w:hAnsi="宋体" w:cs="宋体"/>
                <w:color w:val="auto"/>
                <w:sz w:val="20"/>
                <w:highlight w:val="none"/>
              </w:rPr>
              <w:t>、批发业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40000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5000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5</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5</w:t>
            </w:r>
            <w:r>
              <w:rPr>
                <w:rFonts w:hint="eastAsia" w:ascii="宋体" w:hAnsi="宋体" w:cs="宋体"/>
                <w:color w:val="auto"/>
                <w:sz w:val="20"/>
                <w:highlight w:val="none"/>
              </w:rPr>
              <w:t>、零售业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 xml:space="preserve"> 500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20000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50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500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6</w:t>
            </w:r>
            <w:r>
              <w:rPr>
                <w:rFonts w:hint="eastAsia" w:ascii="宋体" w:hAnsi="宋体" w:cs="宋体"/>
                <w:color w:val="auto"/>
                <w:sz w:val="20"/>
                <w:highlight w:val="none"/>
              </w:rPr>
              <w:t>、交通运输业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30000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3000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V</w:t>
            </w:r>
            <w:r>
              <w:rPr>
                <w:rFonts w:hint="eastAsia" w:ascii="宋体" w:hAnsi="宋体" w:cs="宋体"/>
                <w:color w:val="auto"/>
                <w:sz w:val="20"/>
                <w:highlight w:val="none"/>
              </w:rPr>
              <w:t>＜</w:t>
            </w:r>
            <w:r>
              <w:rPr>
                <w:rFonts w:ascii="宋体" w:hAnsi="宋体" w:cs="宋体"/>
                <w:color w:val="auto"/>
                <w:sz w:val="20"/>
                <w:highlight w:val="none"/>
              </w:rPr>
              <w:t>200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7</w:t>
            </w:r>
            <w:r>
              <w:rPr>
                <w:rFonts w:hint="eastAsia" w:ascii="宋体" w:hAnsi="宋体" w:cs="宋体"/>
                <w:color w:val="auto"/>
                <w:sz w:val="20"/>
                <w:highlight w:val="none"/>
              </w:rPr>
              <w:t>、仓储业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30000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8</w:t>
            </w:r>
            <w:r>
              <w:rPr>
                <w:rFonts w:hint="eastAsia" w:ascii="宋体" w:hAnsi="宋体" w:cs="宋体"/>
                <w:color w:val="auto"/>
                <w:sz w:val="20"/>
                <w:highlight w:val="none"/>
              </w:rPr>
              <w:t>、邮政业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30000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2000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 xml:space="preserve"> 9</w:t>
            </w:r>
            <w:r>
              <w:rPr>
                <w:rFonts w:hint="eastAsia" w:ascii="宋体" w:hAnsi="宋体" w:cs="宋体"/>
                <w:color w:val="auto"/>
                <w:sz w:val="20"/>
                <w:highlight w:val="none"/>
              </w:rPr>
              <w:t>、住宿业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2000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、餐饮业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2000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V</w:t>
            </w:r>
            <w:r>
              <w:rPr>
                <w:rFonts w:hint="eastAsia" w:ascii="宋体" w:hAnsi="宋体" w:cs="宋体"/>
                <w:color w:val="auto"/>
                <w:sz w:val="20"/>
                <w:highlight w:val="none"/>
              </w:rPr>
              <w:t>＜</w:t>
            </w:r>
            <w:r>
              <w:rPr>
                <w:rFonts w:ascii="宋体" w:hAnsi="宋体" w:cs="宋体"/>
                <w:color w:val="auto"/>
                <w:sz w:val="20"/>
                <w:highlight w:val="none"/>
              </w:rPr>
              <w:t>100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11</w:t>
            </w:r>
            <w:r>
              <w:rPr>
                <w:rFonts w:hint="eastAsia" w:ascii="宋体" w:hAnsi="宋体" w:cs="宋体"/>
                <w:color w:val="auto"/>
                <w:sz w:val="20"/>
                <w:highlight w:val="none"/>
              </w:rPr>
              <w:t>、信息传输业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2000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12</w:t>
            </w:r>
            <w:r>
              <w:rPr>
                <w:rFonts w:hint="eastAsia" w:ascii="宋体" w:hAnsi="宋体" w:cs="宋体"/>
                <w:color w:val="auto"/>
                <w:sz w:val="20"/>
                <w:highlight w:val="none"/>
              </w:rPr>
              <w:t>、软件和信息技术服务业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 xml:space="preserve"> 50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50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13</w:t>
            </w:r>
            <w:r>
              <w:rPr>
                <w:rFonts w:hint="eastAsia" w:ascii="宋体" w:hAnsi="宋体" w:cs="宋体"/>
                <w:color w:val="auto"/>
                <w:sz w:val="20"/>
                <w:highlight w:val="none"/>
              </w:rPr>
              <w:t>、房地产开发经营</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200000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5000</w:t>
            </w:r>
            <w:r>
              <w:rPr>
                <w:rFonts w:hint="eastAsia" w:ascii="宋体" w:hAnsi="宋体" w:cs="宋体"/>
                <w:color w:val="auto"/>
                <w:sz w:val="20"/>
                <w:highlight w:val="none"/>
              </w:rPr>
              <w:t>≤</w:t>
            </w: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10000</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2000</w:t>
            </w:r>
            <w:r>
              <w:rPr>
                <w:rFonts w:hint="eastAsia" w:ascii="宋体" w:hAnsi="宋体" w:cs="宋体"/>
                <w:color w:val="auto"/>
                <w:sz w:val="20"/>
                <w:highlight w:val="none"/>
              </w:rPr>
              <w:t>≤</w:t>
            </w: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5000</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2000</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14</w:t>
            </w:r>
            <w:r>
              <w:rPr>
                <w:rFonts w:hint="eastAsia" w:ascii="宋体" w:hAnsi="宋体" w:cs="宋体"/>
                <w:color w:val="auto"/>
                <w:sz w:val="20"/>
                <w:highlight w:val="none"/>
              </w:rPr>
              <w:t>、物业管理</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300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5000</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500</w:t>
            </w:r>
            <w:r>
              <w:rPr>
                <w:rFonts w:hint="eastAsia" w:ascii="宋体" w:hAnsi="宋体" w:cs="宋体"/>
                <w:color w:val="auto"/>
                <w:sz w:val="20"/>
                <w:highlight w:val="none"/>
              </w:rPr>
              <w:t>≤</w:t>
            </w: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1000</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Y</w:t>
            </w:r>
            <w:r>
              <w:rPr>
                <w:rFonts w:hint="eastAsia" w:ascii="宋体" w:hAnsi="宋体" w:cs="宋体"/>
                <w:color w:val="auto"/>
                <w:sz w:val="20"/>
                <w:highlight w:val="none"/>
              </w:rPr>
              <w:t>＜</w:t>
            </w:r>
            <w:r>
              <w:rPr>
                <w:rFonts w:ascii="宋体" w:hAnsi="宋体" w:cs="宋体"/>
                <w:color w:val="auto"/>
                <w:sz w:val="20"/>
                <w:highlight w:val="none"/>
              </w:rPr>
              <w:t>500</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15</w:t>
            </w:r>
            <w:r>
              <w:rPr>
                <w:rFonts w:hint="eastAsia" w:ascii="宋体" w:hAnsi="宋体" w:cs="宋体"/>
                <w:color w:val="auto"/>
                <w:sz w:val="20"/>
                <w:highlight w:val="none"/>
              </w:rPr>
              <w:t>、租赁和商务服务业</w:t>
            </w:r>
          </w:p>
        </w:tc>
        <w:tc>
          <w:tcPr>
            <w:tcW w:w="151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779"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677"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8000</w:t>
            </w:r>
            <w:r>
              <w:rPr>
                <w:rFonts w:hint="eastAsia" w:ascii="宋体" w:hAnsi="宋体" w:cs="宋体"/>
                <w:color w:val="auto"/>
                <w:sz w:val="20"/>
                <w:highlight w:val="none"/>
              </w:rPr>
              <w:t>≤</w:t>
            </w: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120000</w:t>
            </w:r>
          </w:p>
        </w:tc>
        <w:tc>
          <w:tcPr>
            <w:tcW w:w="1252"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494"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536"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 xml:space="preserve"> 100</w:t>
            </w:r>
            <w:r>
              <w:rPr>
                <w:rFonts w:hint="eastAsia" w:ascii="宋体" w:hAnsi="宋体" w:cs="宋体"/>
                <w:color w:val="auto"/>
                <w:sz w:val="20"/>
                <w:highlight w:val="none"/>
              </w:rPr>
              <w:t>≤</w:t>
            </w: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8000</w:t>
            </w:r>
          </w:p>
        </w:tc>
        <w:tc>
          <w:tcPr>
            <w:tcW w:w="129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w:t>
            </w:r>
          </w:p>
        </w:tc>
        <w:tc>
          <w:tcPr>
            <w:tcW w:w="1287" w:type="dxa"/>
            <w:tcBorders>
              <w:top w:val="nil"/>
              <w:left w:val="nil"/>
              <w:bottom w:val="single" w:color="auto" w:sz="4"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34" w:type="dxa"/>
            <w:tcBorders>
              <w:top w:val="nil"/>
              <w:left w:val="nil"/>
              <w:bottom w:val="single" w:color="auto" w:sz="4" w:space="0"/>
              <w:right w:val="single" w:color="auto" w:sz="8"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Z</w:t>
            </w:r>
            <w:r>
              <w:rPr>
                <w:rFonts w:hint="eastAsia" w:ascii="宋体" w:hAnsi="宋体" w:cs="宋体"/>
                <w:color w:val="auto"/>
                <w:sz w:val="20"/>
                <w:highlight w:val="none"/>
              </w:rPr>
              <w:t>＜</w:t>
            </w:r>
            <w:r>
              <w:rPr>
                <w:rFonts w:ascii="宋体" w:hAnsi="宋体" w:cs="宋体"/>
                <w:color w:val="auto"/>
                <w:sz w:val="20"/>
                <w:highlight w:val="none"/>
              </w:rPr>
              <w:t>100</w:t>
            </w:r>
          </w:p>
        </w:tc>
      </w:tr>
      <w:tr>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8" w:space="0"/>
              <w:right w:val="single" w:color="auto" w:sz="8" w:space="0"/>
            </w:tcBorders>
            <w:vAlign w:val="bottom"/>
          </w:tcPr>
          <w:p>
            <w:pPr>
              <w:widowControl/>
              <w:wordWrap w:val="0"/>
              <w:rPr>
                <w:rFonts w:ascii="宋体" w:hAnsi="宋体" w:cs="宋体"/>
                <w:color w:val="auto"/>
                <w:sz w:val="20"/>
                <w:highlight w:val="none"/>
              </w:rPr>
            </w:pPr>
            <w:r>
              <w:rPr>
                <w:rFonts w:ascii="宋体" w:hAnsi="宋体" w:cs="宋体"/>
                <w:color w:val="auto"/>
                <w:sz w:val="20"/>
                <w:highlight w:val="none"/>
              </w:rPr>
              <w:t>16</w:t>
            </w:r>
            <w:r>
              <w:rPr>
                <w:rFonts w:hint="eastAsia" w:ascii="宋体" w:hAnsi="宋体" w:cs="宋体"/>
                <w:color w:val="auto"/>
                <w:sz w:val="20"/>
                <w:highlight w:val="none"/>
              </w:rPr>
              <w:t>、其他未列明行业</w:t>
            </w:r>
          </w:p>
        </w:tc>
        <w:tc>
          <w:tcPr>
            <w:tcW w:w="1512" w:type="dxa"/>
            <w:tcBorders>
              <w:top w:val="nil"/>
              <w:left w:val="nil"/>
              <w:bottom w:val="single" w:color="auto" w:sz="8"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300</w:t>
            </w:r>
          </w:p>
        </w:tc>
        <w:tc>
          <w:tcPr>
            <w:tcW w:w="1779" w:type="dxa"/>
            <w:tcBorders>
              <w:top w:val="nil"/>
              <w:left w:val="nil"/>
              <w:bottom w:val="single" w:color="auto" w:sz="8"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677" w:type="dxa"/>
            <w:tcBorders>
              <w:top w:val="nil"/>
              <w:left w:val="nil"/>
              <w:bottom w:val="single" w:color="auto" w:sz="8"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52" w:type="dxa"/>
            <w:tcBorders>
              <w:top w:val="nil"/>
              <w:left w:val="nil"/>
              <w:bottom w:val="single" w:color="auto" w:sz="8"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10</w:t>
            </w:r>
            <w:r>
              <w:rPr>
                <w:rFonts w:hint="eastAsia" w:ascii="宋体" w:hAnsi="宋体" w:cs="宋体"/>
                <w:color w:val="auto"/>
                <w:sz w:val="20"/>
                <w:highlight w:val="none"/>
              </w:rPr>
              <w:t>≤</w:t>
            </w: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100</w:t>
            </w:r>
          </w:p>
        </w:tc>
        <w:tc>
          <w:tcPr>
            <w:tcW w:w="1494" w:type="dxa"/>
            <w:tcBorders>
              <w:top w:val="nil"/>
              <w:left w:val="nil"/>
              <w:bottom w:val="single" w:color="auto" w:sz="8"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536" w:type="dxa"/>
            <w:tcBorders>
              <w:top w:val="nil"/>
              <w:left w:val="nil"/>
              <w:bottom w:val="single" w:color="auto" w:sz="8"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97" w:type="dxa"/>
            <w:tcBorders>
              <w:top w:val="nil"/>
              <w:left w:val="nil"/>
              <w:bottom w:val="single" w:color="auto" w:sz="8" w:space="0"/>
              <w:right w:val="single" w:color="auto" w:sz="4" w:space="0"/>
            </w:tcBorders>
            <w:vAlign w:val="center"/>
          </w:tcPr>
          <w:p>
            <w:pPr>
              <w:widowControl/>
              <w:wordWrap w:val="0"/>
              <w:rPr>
                <w:rFonts w:ascii="宋体" w:hAnsi="宋体" w:cs="宋体"/>
                <w:color w:val="auto"/>
                <w:sz w:val="20"/>
                <w:highlight w:val="none"/>
              </w:rPr>
            </w:pPr>
            <w:r>
              <w:rPr>
                <w:rFonts w:ascii="宋体" w:hAnsi="宋体" w:cs="宋体"/>
                <w:color w:val="auto"/>
                <w:sz w:val="20"/>
                <w:highlight w:val="none"/>
              </w:rPr>
              <w:t>X</w:t>
            </w:r>
            <w:r>
              <w:rPr>
                <w:rFonts w:hint="eastAsia" w:ascii="宋体" w:hAnsi="宋体" w:cs="宋体"/>
                <w:color w:val="auto"/>
                <w:sz w:val="20"/>
                <w:highlight w:val="none"/>
              </w:rPr>
              <w:t>＜</w:t>
            </w:r>
            <w:r>
              <w:rPr>
                <w:rFonts w:ascii="宋体" w:hAnsi="宋体" w:cs="宋体"/>
                <w:color w:val="auto"/>
                <w:sz w:val="20"/>
                <w:highlight w:val="none"/>
              </w:rPr>
              <w:t>10</w:t>
            </w:r>
          </w:p>
        </w:tc>
        <w:tc>
          <w:tcPr>
            <w:tcW w:w="1287" w:type="dxa"/>
            <w:tcBorders>
              <w:top w:val="nil"/>
              <w:left w:val="nil"/>
              <w:bottom w:val="single" w:color="auto" w:sz="8" w:space="0"/>
              <w:right w:val="single" w:color="auto" w:sz="4"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c>
          <w:tcPr>
            <w:tcW w:w="1234" w:type="dxa"/>
            <w:tcBorders>
              <w:top w:val="nil"/>
              <w:left w:val="nil"/>
              <w:bottom w:val="single" w:color="auto" w:sz="8" w:space="0"/>
              <w:right w:val="single" w:color="auto" w:sz="8" w:space="0"/>
            </w:tcBorders>
            <w:vAlign w:val="center"/>
          </w:tcPr>
          <w:p>
            <w:pPr>
              <w:widowControl/>
              <w:wordWrap w:val="0"/>
              <w:rPr>
                <w:rFonts w:ascii="宋体" w:hAnsi="宋体" w:cs="宋体"/>
                <w:color w:val="auto"/>
                <w:sz w:val="20"/>
                <w:highlight w:val="none"/>
              </w:rPr>
            </w:pPr>
            <w:r>
              <w:rPr>
                <w:rFonts w:hint="eastAsia" w:ascii="宋体" w:hAnsi="宋体" w:cs="宋体"/>
                <w:color w:val="auto"/>
                <w:sz w:val="20"/>
                <w:highlight w:val="none"/>
              </w:rPr>
              <w:t>　</w:t>
            </w:r>
          </w:p>
        </w:tc>
      </w:tr>
      <w:tr>
        <w:tblPrEx>
          <w:tblCellMar>
            <w:top w:w="0" w:type="dxa"/>
            <w:left w:w="108" w:type="dxa"/>
            <w:bottom w:w="0" w:type="dxa"/>
            <w:right w:w="108" w:type="dxa"/>
          </w:tblCellMar>
        </w:tblPrEx>
        <w:trPr>
          <w:trHeight w:val="1124" w:hRule="atLeast"/>
        </w:trPr>
        <w:tc>
          <w:tcPr>
            <w:tcW w:w="15077" w:type="dxa"/>
            <w:gridSpan w:val="11"/>
            <w:tcBorders>
              <w:top w:val="nil"/>
              <w:left w:val="nil"/>
              <w:bottom w:val="nil"/>
              <w:right w:val="nil"/>
            </w:tcBorders>
            <w:vAlign w:val="bottom"/>
          </w:tcPr>
          <w:p>
            <w:pPr>
              <w:widowControl/>
              <w:wordWrap w:val="0"/>
              <w:rPr>
                <w:rFonts w:ascii="宋体" w:hAnsi="宋体" w:cs="宋体"/>
                <w:color w:val="auto"/>
                <w:sz w:val="20"/>
                <w:highlight w:val="none"/>
              </w:rPr>
            </w:pPr>
            <w:r>
              <w:rPr>
                <w:rFonts w:hint="eastAsia" w:ascii="宋体" w:hAnsi="宋体" w:cs="宋体"/>
                <w:color w:val="auto"/>
                <w:sz w:val="20"/>
                <w:highlight w:val="none"/>
              </w:rPr>
              <w:t>说明　</w:t>
            </w:r>
            <w:r>
              <w:rPr>
                <w:rFonts w:ascii="宋体" w:hAnsi="宋体" w:cs="宋体"/>
                <w:color w:val="auto"/>
                <w:sz w:val="20"/>
                <w:highlight w:val="none"/>
              </w:rPr>
              <w:t>1</w:t>
            </w:r>
            <w:r>
              <w:rPr>
                <w:rFonts w:hint="eastAsia" w:ascii="宋体" w:hAnsi="宋体" w:cs="宋体"/>
                <w:color w:val="auto"/>
                <w:sz w:val="20"/>
                <w:highlight w:val="none"/>
              </w:rPr>
              <w:t>、企业类型的划分以统计部门的统计数据为依据。</w:t>
            </w:r>
          </w:p>
          <w:p>
            <w:pPr>
              <w:widowControl/>
              <w:wordWrap w:val="0"/>
              <w:ind w:firstLine="600" w:firstLineChars="300"/>
              <w:rPr>
                <w:rFonts w:ascii="宋体" w:hAnsi="宋体" w:cs="宋体"/>
                <w:color w:val="auto"/>
                <w:sz w:val="20"/>
                <w:highlight w:val="none"/>
              </w:rPr>
            </w:pPr>
            <w:r>
              <w:rPr>
                <w:rFonts w:ascii="宋体" w:hAnsi="宋体" w:cs="宋体"/>
                <w:color w:val="auto"/>
                <w:sz w:val="20"/>
                <w:highlight w:val="none"/>
              </w:rPr>
              <w:t>2</w:t>
            </w:r>
            <w:r>
              <w:rPr>
                <w:rFonts w:hint="eastAsia" w:ascii="宋体" w:hAnsi="宋体" w:cs="宋体"/>
                <w:color w:val="auto"/>
                <w:sz w:val="20"/>
                <w:highlight w:val="none"/>
              </w:rPr>
              <w:t>、个体工商户和本规定以外的行业，参照本规定进行划型。</w:t>
            </w:r>
          </w:p>
          <w:p>
            <w:pPr>
              <w:widowControl/>
              <w:wordWrap w:val="0"/>
              <w:ind w:firstLine="600" w:firstLineChars="300"/>
              <w:rPr>
                <w:rFonts w:ascii="宋体" w:hAnsi="宋体" w:cs="宋体"/>
                <w:color w:val="auto"/>
                <w:sz w:val="20"/>
                <w:highlight w:val="none"/>
              </w:rPr>
            </w:pPr>
            <w:r>
              <w:rPr>
                <w:rFonts w:ascii="宋体" w:hAnsi="宋体" w:cs="宋体"/>
                <w:color w:val="auto"/>
                <w:sz w:val="20"/>
                <w:highlight w:val="none"/>
              </w:rPr>
              <w:t>3</w:t>
            </w:r>
            <w:r>
              <w:rPr>
                <w:rFonts w:hint="eastAsia" w:ascii="宋体" w:hAnsi="宋体" w:cs="宋体"/>
                <w:color w:val="auto"/>
                <w:sz w:val="20"/>
                <w:highlight w:val="none"/>
              </w:rPr>
              <w:t>、本规定的中型企业标准上限即为大型企业标准的下限。</w:t>
            </w:r>
          </w:p>
        </w:tc>
      </w:tr>
    </w:tbl>
    <w:p>
      <w:pPr>
        <w:pStyle w:val="18"/>
        <w:spacing w:line="460" w:lineRule="exact"/>
        <w:ind w:left="0" w:leftChars="0"/>
        <w:jc w:val="center"/>
        <w:rPr>
          <w:color w:val="auto"/>
          <w:sz w:val="21"/>
          <w:highlight w:val="none"/>
        </w:rPr>
      </w:pPr>
    </w:p>
    <w:sectPr>
      <w:pgSz w:w="16838" w:h="11906" w:orient="landscape"/>
      <w:pgMar w:top="1587" w:right="1418" w:bottom="1134" w:left="1418" w:header="851" w:footer="992" w:gutter="0"/>
      <w:pgBorders w:offsetFrom="page">
        <w:top w:val="single" w:color="000000" w:sz="12" w:space="24"/>
        <w:left w:val="single" w:color="000000" w:sz="12" w:space="24"/>
        <w:bottom w:val="single" w:color="000000" w:sz="12" w:space="24"/>
        <w:right w:val="single" w:color="000000" w:sz="12" w:space="24"/>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Times">
    <w:altName w:val="Times New Roman"/>
    <w:panose1 w:val="02020603050405020304"/>
    <w:charset w:val="00"/>
    <w:family w:val="auto"/>
    <w:pitch w:val="default"/>
    <w:sig w:usb0="00000000" w:usb1="00000000" w:usb2="00000009" w:usb3="00000000" w:csb0="000001FF" w:csb1="00000000"/>
  </w:font>
  <w:font w:name="长城仿宋">
    <w:altName w:val="仿宋"/>
    <w:panose1 w:val="00000000000000000000"/>
    <w:charset w:val="86"/>
    <w:family w:val="auto"/>
    <w:pitch w:val="default"/>
    <w:sig w:usb0="00000000" w:usb1="00000000" w:usb2="00000010" w:usb3="00000000" w:csb0="00040000" w:csb1="00000000"/>
  </w:font>
  <w:font w:name="方正黑体_GBK">
    <w:altName w:val="黑体"/>
    <w:panose1 w:val="00000000000000000000"/>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_GBK">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书宋_GBK">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rPr>
        <w:rStyle w:val="44"/>
      </w:rPr>
      <w:instrText xml:space="preserve"> PAGE </w:instrText>
    </w:r>
    <w:r>
      <w:fldChar w:fldCharType="separate"/>
    </w:r>
    <w:r>
      <w:rPr>
        <w:rStyle w:val="44"/>
      </w:rPr>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 PAGE   \* MERGEFORMAT </w:instrText>
    </w:r>
    <w:r>
      <w:fldChar w:fldCharType="separate"/>
    </w:r>
    <w:r>
      <w:rPr>
        <w:lang w:val="zh-CN"/>
      </w:rPr>
      <w:t>45</w:t>
    </w:r>
    <w:r>
      <w:rPr>
        <w:lang w:val="zh-CN"/>
      </w:rPr>
      <w:fldChar w:fldCharType="end"/>
    </w:r>
  </w:p>
  <w:p>
    <w:pPr>
      <w:pStyle w:val="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27C875"/>
    <w:multiLevelType w:val="singleLevel"/>
    <w:tmpl w:val="B527C875"/>
    <w:lvl w:ilvl="0" w:tentative="0">
      <w:start w:val="1"/>
      <w:numFmt w:val="decimal"/>
      <w:suff w:val="nothing"/>
      <w:lvlText w:val="%1、"/>
      <w:lvlJc w:val="left"/>
      <w:pPr>
        <w:ind w:left="420"/>
      </w:pPr>
    </w:lvl>
  </w:abstractNum>
  <w:abstractNum w:abstractNumId="1">
    <w:nsid w:val="D00CCDA3"/>
    <w:multiLevelType w:val="singleLevel"/>
    <w:tmpl w:val="D00CCDA3"/>
    <w:lvl w:ilvl="0" w:tentative="0">
      <w:start w:val="1"/>
      <w:numFmt w:val="decimal"/>
      <w:lvlText w:val="%1)"/>
      <w:lvlJc w:val="left"/>
      <w:pPr>
        <w:tabs>
          <w:tab w:val="left" w:pos="840"/>
        </w:tabs>
        <w:ind w:left="845" w:hanging="425"/>
      </w:pPr>
      <w:rPr>
        <w:rFonts w:hint="default"/>
      </w:rPr>
    </w:lvl>
  </w:abstractNum>
  <w:abstractNum w:abstractNumId="2">
    <w:nsid w:val="00000002"/>
    <w:multiLevelType w:val="multilevel"/>
    <w:tmpl w:val="00000002"/>
    <w:lvl w:ilvl="0" w:tentative="0">
      <w:start w:val="0"/>
      <w:numFmt w:val="decimal"/>
      <w:lvlText w:val=""/>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3">
    <w:nsid w:val="00000005"/>
    <w:multiLevelType w:val="multilevel"/>
    <w:tmpl w:val="00000005"/>
    <w:lvl w:ilvl="0" w:tentative="0">
      <w:start w:val="1"/>
      <w:numFmt w:val="decimal"/>
      <w:pStyle w:val="19"/>
      <w:lvlText w:val="%1、"/>
      <w:lvlJc w:val="left"/>
      <w:pPr>
        <w:tabs>
          <w:tab w:val="left" w:pos="0"/>
        </w:tabs>
        <w:ind w:left="420" w:hanging="42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4">
    <w:nsid w:val="00000007"/>
    <w:multiLevelType w:val="multilevel"/>
    <w:tmpl w:val="00000007"/>
    <w:lvl w:ilvl="0" w:tentative="0">
      <w:start w:val="1"/>
      <w:numFmt w:val="bullet"/>
      <w:pStyle w:val="47"/>
      <w:lvlText w:val=""/>
      <w:lvlJc w:val="left"/>
      <w:pPr>
        <w:tabs>
          <w:tab w:val="left" w:pos="0"/>
        </w:tabs>
        <w:ind w:left="2520" w:hanging="420"/>
      </w:pPr>
      <w:rPr>
        <w:rFonts w:hint="default" w:ascii="Wingdings" w:hAnsi="Wingdings"/>
      </w:rPr>
    </w:lvl>
    <w:lvl w:ilvl="1" w:tentative="0">
      <w:start w:val="1"/>
      <w:numFmt w:val="bullet"/>
      <w:lvlText w:val=""/>
      <w:lvlJc w:val="left"/>
      <w:pPr>
        <w:tabs>
          <w:tab w:val="left" w:pos="0"/>
        </w:tabs>
        <w:ind w:left="2940" w:hanging="420"/>
      </w:pPr>
      <w:rPr>
        <w:rFonts w:hint="default" w:ascii="Wingdings" w:hAnsi="Wingdings"/>
      </w:rPr>
    </w:lvl>
    <w:lvl w:ilvl="2" w:tentative="0">
      <w:start w:val="1"/>
      <w:numFmt w:val="bullet"/>
      <w:lvlText w:val=""/>
      <w:lvlJc w:val="left"/>
      <w:pPr>
        <w:tabs>
          <w:tab w:val="left" w:pos="0"/>
        </w:tabs>
        <w:ind w:left="3360" w:hanging="420"/>
      </w:pPr>
      <w:rPr>
        <w:rFonts w:hint="default" w:ascii="Wingdings" w:hAnsi="Wingdings"/>
      </w:rPr>
    </w:lvl>
    <w:lvl w:ilvl="3" w:tentative="0">
      <w:start w:val="1"/>
      <w:numFmt w:val="bullet"/>
      <w:lvlText w:val=""/>
      <w:lvlJc w:val="left"/>
      <w:pPr>
        <w:tabs>
          <w:tab w:val="left" w:pos="0"/>
        </w:tabs>
        <w:ind w:left="3780" w:hanging="420"/>
      </w:pPr>
      <w:rPr>
        <w:rFonts w:hint="default" w:ascii="Wingdings" w:hAnsi="Wingdings"/>
      </w:rPr>
    </w:lvl>
    <w:lvl w:ilvl="4" w:tentative="0">
      <w:start w:val="1"/>
      <w:numFmt w:val="bullet"/>
      <w:lvlText w:val=""/>
      <w:lvlJc w:val="left"/>
      <w:pPr>
        <w:tabs>
          <w:tab w:val="left" w:pos="0"/>
        </w:tabs>
        <w:ind w:left="4200" w:hanging="420"/>
      </w:pPr>
      <w:rPr>
        <w:rFonts w:hint="default" w:ascii="Wingdings" w:hAnsi="Wingdings"/>
      </w:rPr>
    </w:lvl>
    <w:lvl w:ilvl="5" w:tentative="0">
      <w:start w:val="1"/>
      <w:numFmt w:val="bullet"/>
      <w:lvlText w:val=""/>
      <w:lvlJc w:val="left"/>
      <w:pPr>
        <w:tabs>
          <w:tab w:val="left" w:pos="0"/>
        </w:tabs>
        <w:ind w:left="4620" w:hanging="420"/>
      </w:pPr>
      <w:rPr>
        <w:rFonts w:hint="default" w:ascii="Wingdings" w:hAnsi="Wingdings"/>
      </w:rPr>
    </w:lvl>
    <w:lvl w:ilvl="6" w:tentative="0">
      <w:start w:val="1"/>
      <w:numFmt w:val="bullet"/>
      <w:lvlText w:val=""/>
      <w:lvlJc w:val="left"/>
      <w:pPr>
        <w:tabs>
          <w:tab w:val="left" w:pos="0"/>
        </w:tabs>
        <w:ind w:left="5040" w:hanging="420"/>
      </w:pPr>
      <w:rPr>
        <w:rFonts w:hint="default" w:ascii="Wingdings" w:hAnsi="Wingdings"/>
      </w:rPr>
    </w:lvl>
    <w:lvl w:ilvl="7" w:tentative="0">
      <w:start w:val="1"/>
      <w:numFmt w:val="bullet"/>
      <w:lvlText w:val=""/>
      <w:lvlJc w:val="left"/>
      <w:pPr>
        <w:tabs>
          <w:tab w:val="left" w:pos="0"/>
        </w:tabs>
        <w:ind w:left="5460" w:hanging="420"/>
      </w:pPr>
      <w:rPr>
        <w:rFonts w:hint="default" w:ascii="Wingdings" w:hAnsi="Wingdings"/>
      </w:rPr>
    </w:lvl>
    <w:lvl w:ilvl="8" w:tentative="0">
      <w:start w:val="1"/>
      <w:numFmt w:val="bullet"/>
      <w:lvlText w:val=""/>
      <w:lvlJc w:val="left"/>
      <w:pPr>
        <w:tabs>
          <w:tab w:val="left" w:pos="0"/>
        </w:tabs>
        <w:ind w:left="5880" w:hanging="420"/>
      </w:pPr>
      <w:rPr>
        <w:rFonts w:hint="default" w:ascii="Wingdings" w:hAnsi="Wingdings"/>
      </w:rPr>
    </w:lvl>
  </w:abstractNum>
  <w:abstractNum w:abstractNumId="5">
    <w:nsid w:val="00000009"/>
    <w:multiLevelType w:val="multilevel"/>
    <w:tmpl w:val="00000009"/>
    <w:lvl w:ilvl="0" w:tentative="0">
      <w:start w:val="1"/>
      <w:numFmt w:val="chineseCountingThousand"/>
      <w:pStyle w:val="66"/>
      <w:lvlText w:val="(%1)"/>
      <w:lvlJc w:val="left"/>
      <w:pPr>
        <w:tabs>
          <w:tab w:val="left" w:pos="0"/>
        </w:tabs>
        <w:ind w:left="1680" w:hanging="420"/>
      </w:pPr>
    </w:lvl>
    <w:lvl w:ilvl="1" w:tentative="0">
      <w:start w:val="1"/>
      <w:numFmt w:val="lowerLetter"/>
      <w:pStyle w:val="122"/>
      <w:lvlText w:val="%2)"/>
      <w:lvlJc w:val="left"/>
      <w:pPr>
        <w:tabs>
          <w:tab w:val="left" w:pos="0"/>
        </w:tabs>
        <w:ind w:left="2100" w:hanging="420"/>
      </w:pPr>
    </w:lvl>
    <w:lvl w:ilvl="2" w:tentative="0">
      <w:start w:val="1"/>
      <w:numFmt w:val="lowerRoman"/>
      <w:lvlText w:val="%3."/>
      <w:lvlJc w:val="right"/>
      <w:pPr>
        <w:tabs>
          <w:tab w:val="left" w:pos="0"/>
        </w:tabs>
        <w:ind w:left="2520" w:hanging="420"/>
      </w:pPr>
    </w:lvl>
    <w:lvl w:ilvl="3" w:tentative="0">
      <w:start w:val="1"/>
      <w:numFmt w:val="decimal"/>
      <w:lvlText w:val="%4."/>
      <w:lvlJc w:val="left"/>
      <w:pPr>
        <w:tabs>
          <w:tab w:val="left" w:pos="0"/>
        </w:tabs>
        <w:ind w:left="2940" w:hanging="420"/>
      </w:pPr>
    </w:lvl>
    <w:lvl w:ilvl="4" w:tentative="0">
      <w:start w:val="1"/>
      <w:numFmt w:val="lowerLetter"/>
      <w:lvlText w:val="%5)"/>
      <w:lvlJc w:val="left"/>
      <w:pPr>
        <w:tabs>
          <w:tab w:val="left" w:pos="0"/>
        </w:tabs>
        <w:ind w:left="3360" w:hanging="420"/>
      </w:pPr>
    </w:lvl>
    <w:lvl w:ilvl="5" w:tentative="0">
      <w:start w:val="1"/>
      <w:numFmt w:val="lowerRoman"/>
      <w:lvlText w:val="%6."/>
      <w:lvlJc w:val="right"/>
      <w:pPr>
        <w:tabs>
          <w:tab w:val="left" w:pos="0"/>
        </w:tabs>
        <w:ind w:left="3780" w:hanging="420"/>
      </w:pPr>
    </w:lvl>
    <w:lvl w:ilvl="6" w:tentative="0">
      <w:start w:val="1"/>
      <w:numFmt w:val="decimal"/>
      <w:lvlText w:val="%7."/>
      <w:lvlJc w:val="left"/>
      <w:pPr>
        <w:tabs>
          <w:tab w:val="left" w:pos="0"/>
        </w:tabs>
        <w:ind w:left="4200" w:hanging="420"/>
      </w:pPr>
    </w:lvl>
    <w:lvl w:ilvl="7" w:tentative="0">
      <w:start w:val="1"/>
      <w:numFmt w:val="lowerLetter"/>
      <w:lvlText w:val="%8)"/>
      <w:lvlJc w:val="left"/>
      <w:pPr>
        <w:tabs>
          <w:tab w:val="left" w:pos="0"/>
        </w:tabs>
        <w:ind w:left="4620" w:hanging="420"/>
      </w:pPr>
    </w:lvl>
    <w:lvl w:ilvl="8" w:tentative="0">
      <w:start w:val="1"/>
      <w:numFmt w:val="lowerRoman"/>
      <w:lvlText w:val="%9."/>
      <w:lvlJc w:val="right"/>
      <w:pPr>
        <w:tabs>
          <w:tab w:val="left" w:pos="0"/>
        </w:tabs>
        <w:ind w:left="5040" w:hanging="420"/>
      </w:pPr>
    </w:lvl>
  </w:abstractNum>
  <w:abstractNum w:abstractNumId="6">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7">
    <w:nsid w:val="2F2FDC42"/>
    <w:multiLevelType w:val="singleLevel"/>
    <w:tmpl w:val="2F2FDC42"/>
    <w:lvl w:ilvl="0" w:tentative="0">
      <w:start w:val="2"/>
      <w:numFmt w:val="chineseCounting"/>
      <w:suff w:val="space"/>
      <w:lvlText w:val="第%1部分"/>
      <w:lvlJc w:val="left"/>
      <w:rPr>
        <w:rFonts w:hint="eastAsia"/>
      </w:rPr>
    </w:lvl>
  </w:abstractNum>
  <w:num w:numId="1">
    <w:abstractNumId w:val="3"/>
  </w:num>
  <w:num w:numId="2">
    <w:abstractNumId w:val="4"/>
  </w:num>
  <w:num w:numId="3">
    <w:abstractNumId w:val="5"/>
  </w:num>
  <w:num w:numId="4">
    <w:abstractNumId w:val="1"/>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1NmIwYjQzMDY2ZjExMjI4ODMxMDJhOWMxNWQzYzUifQ=="/>
  </w:docVars>
  <w:rsids>
    <w:rsidRoot w:val="00172A27"/>
    <w:rsid w:val="00001E90"/>
    <w:rsid w:val="00004105"/>
    <w:rsid w:val="00004EC8"/>
    <w:rsid w:val="00006F70"/>
    <w:rsid w:val="000148A7"/>
    <w:rsid w:val="00014F6D"/>
    <w:rsid w:val="0002120A"/>
    <w:rsid w:val="000218F8"/>
    <w:rsid w:val="000244CB"/>
    <w:rsid w:val="00024831"/>
    <w:rsid w:val="000265F1"/>
    <w:rsid w:val="000311D6"/>
    <w:rsid w:val="000340FF"/>
    <w:rsid w:val="00034C82"/>
    <w:rsid w:val="000360DC"/>
    <w:rsid w:val="0003655C"/>
    <w:rsid w:val="00040FF3"/>
    <w:rsid w:val="00043C14"/>
    <w:rsid w:val="000450E4"/>
    <w:rsid w:val="0004707A"/>
    <w:rsid w:val="00050823"/>
    <w:rsid w:val="00051090"/>
    <w:rsid w:val="000516C4"/>
    <w:rsid w:val="00056045"/>
    <w:rsid w:val="00056C4E"/>
    <w:rsid w:val="000611D1"/>
    <w:rsid w:val="0006312C"/>
    <w:rsid w:val="00063D96"/>
    <w:rsid w:val="00064446"/>
    <w:rsid w:val="00065476"/>
    <w:rsid w:val="00065ADA"/>
    <w:rsid w:val="0006607F"/>
    <w:rsid w:val="00066EC8"/>
    <w:rsid w:val="00067510"/>
    <w:rsid w:val="00067F45"/>
    <w:rsid w:val="0008040D"/>
    <w:rsid w:val="0008193C"/>
    <w:rsid w:val="00081F9A"/>
    <w:rsid w:val="000845B8"/>
    <w:rsid w:val="00085C29"/>
    <w:rsid w:val="00087702"/>
    <w:rsid w:val="00087AA2"/>
    <w:rsid w:val="00096C90"/>
    <w:rsid w:val="0009775A"/>
    <w:rsid w:val="000977DA"/>
    <w:rsid w:val="000A0252"/>
    <w:rsid w:val="000A2388"/>
    <w:rsid w:val="000A5B81"/>
    <w:rsid w:val="000A6F06"/>
    <w:rsid w:val="000B0650"/>
    <w:rsid w:val="000B36E8"/>
    <w:rsid w:val="000B37BB"/>
    <w:rsid w:val="000B4450"/>
    <w:rsid w:val="000B68C4"/>
    <w:rsid w:val="000B7B3A"/>
    <w:rsid w:val="000B7F9D"/>
    <w:rsid w:val="000C115B"/>
    <w:rsid w:val="000C3AA3"/>
    <w:rsid w:val="000C4186"/>
    <w:rsid w:val="000D0D18"/>
    <w:rsid w:val="000D35B6"/>
    <w:rsid w:val="000D3D1A"/>
    <w:rsid w:val="000D5EAE"/>
    <w:rsid w:val="000D7267"/>
    <w:rsid w:val="000D73E8"/>
    <w:rsid w:val="000D7BCB"/>
    <w:rsid w:val="000E475B"/>
    <w:rsid w:val="000E4FE3"/>
    <w:rsid w:val="000E5CD9"/>
    <w:rsid w:val="000E7E7C"/>
    <w:rsid w:val="000F2382"/>
    <w:rsid w:val="000F6F99"/>
    <w:rsid w:val="00104E27"/>
    <w:rsid w:val="0010742B"/>
    <w:rsid w:val="00107B11"/>
    <w:rsid w:val="00110BEB"/>
    <w:rsid w:val="001142FF"/>
    <w:rsid w:val="0011506A"/>
    <w:rsid w:val="001151E8"/>
    <w:rsid w:val="00115A2F"/>
    <w:rsid w:val="00116039"/>
    <w:rsid w:val="001170CA"/>
    <w:rsid w:val="0012342A"/>
    <w:rsid w:val="00125713"/>
    <w:rsid w:val="00126457"/>
    <w:rsid w:val="00127640"/>
    <w:rsid w:val="001312F4"/>
    <w:rsid w:val="00132693"/>
    <w:rsid w:val="001334A3"/>
    <w:rsid w:val="00133B15"/>
    <w:rsid w:val="001414A3"/>
    <w:rsid w:val="0014179D"/>
    <w:rsid w:val="00143C01"/>
    <w:rsid w:val="00146C32"/>
    <w:rsid w:val="00147043"/>
    <w:rsid w:val="00151B56"/>
    <w:rsid w:val="00152CD5"/>
    <w:rsid w:val="00153D76"/>
    <w:rsid w:val="0015707E"/>
    <w:rsid w:val="001608E3"/>
    <w:rsid w:val="00160B7C"/>
    <w:rsid w:val="00161ED3"/>
    <w:rsid w:val="00162919"/>
    <w:rsid w:val="00164BB1"/>
    <w:rsid w:val="001659DC"/>
    <w:rsid w:val="00172A27"/>
    <w:rsid w:val="0017553E"/>
    <w:rsid w:val="00177329"/>
    <w:rsid w:val="00180097"/>
    <w:rsid w:val="001807C5"/>
    <w:rsid w:val="00180E0B"/>
    <w:rsid w:val="00180EBB"/>
    <w:rsid w:val="001818F7"/>
    <w:rsid w:val="00181C6A"/>
    <w:rsid w:val="00183838"/>
    <w:rsid w:val="001858A7"/>
    <w:rsid w:val="00190470"/>
    <w:rsid w:val="00192D91"/>
    <w:rsid w:val="00197F8F"/>
    <w:rsid w:val="001A4245"/>
    <w:rsid w:val="001A45A1"/>
    <w:rsid w:val="001B5EC7"/>
    <w:rsid w:val="001C7E6F"/>
    <w:rsid w:val="001D107E"/>
    <w:rsid w:val="001D22A3"/>
    <w:rsid w:val="001D2526"/>
    <w:rsid w:val="001D4829"/>
    <w:rsid w:val="001D7AAE"/>
    <w:rsid w:val="001E10A1"/>
    <w:rsid w:val="001E2581"/>
    <w:rsid w:val="001E3C0A"/>
    <w:rsid w:val="001E4256"/>
    <w:rsid w:val="001E465D"/>
    <w:rsid w:val="001E4EFF"/>
    <w:rsid w:val="001E52AE"/>
    <w:rsid w:val="001E5764"/>
    <w:rsid w:val="001E6384"/>
    <w:rsid w:val="001E67FC"/>
    <w:rsid w:val="001F1B72"/>
    <w:rsid w:val="001F351C"/>
    <w:rsid w:val="001F43BB"/>
    <w:rsid w:val="00206FE0"/>
    <w:rsid w:val="00210037"/>
    <w:rsid w:val="002136D7"/>
    <w:rsid w:val="00215D93"/>
    <w:rsid w:val="00221A10"/>
    <w:rsid w:val="00222BFD"/>
    <w:rsid w:val="00225688"/>
    <w:rsid w:val="002302F7"/>
    <w:rsid w:val="00231EEA"/>
    <w:rsid w:val="00233B4D"/>
    <w:rsid w:val="002340CA"/>
    <w:rsid w:val="00234475"/>
    <w:rsid w:val="00236502"/>
    <w:rsid w:val="00244230"/>
    <w:rsid w:val="0024615F"/>
    <w:rsid w:val="002507FD"/>
    <w:rsid w:val="002622FA"/>
    <w:rsid w:val="00263828"/>
    <w:rsid w:val="00264B52"/>
    <w:rsid w:val="002701B6"/>
    <w:rsid w:val="00270BF2"/>
    <w:rsid w:val="0027437F"/>
    <w:rsid w:val="00274AC7"/>
    <w:rsid w:val="00275DC1"/>
    <w:rsid w:val="00275F7D"/>
    <w:rsid w:val="002767FE"/>
    <w:rsid w:val="00281164"/>
    <w:rsid w:val="002822DF"/>
    <w:rsid w:val="002862B3"/>
    <w:rsid w:val="00286C72"/>
    <w:rsid w:val="00290409"/>
    <w:rsid w:val="00290D9B"/>
    <w:rsid w:val="0029209B"/>
    <w:rsid w:val="00292466"/>
    <w:rsid w:val="00295778"/>
    <w:rsid w:val="0029694F"/>
    <w:rsid w:val="002A0157"/>
    <w:rsid w:val="002A0F69"/>
    <w:rsid w:val="002A2221"/>
    <w:rsid w:val="002A2871"/>
    <w:rsid w:val="002A5A6C"/>
    <w:rsid w:val="002A5C91"/>
    <w:rsid w:val="002A5CFF"/>
    <w:rsid w:val="002A786E"/>
    <w:rsid w:val="002B183C"/>
    <w:rsid w:val="002B2770"/>
    <w:rsid w:val="002B4204"/>
    <w:rsid w:val="002C0EDA"/>
    <w:rsid w:val="002C32C0"/>
    <w:rsid w:val="002C3A31"/>
    <w:rsid w:val="002C51E8"/>
    <w:rsid w:val="002C5311"/>
    <w:rsid w:val="002C558B"/>
    <w:rsid w:val="002D2AE2"/>
    <w:rsid w:val="002D6979"/>
    <w:rsid w:val="002D6B00"/>
    <w:rsid w:val="002D72E1"/>
    <w:rsid w:val="002E1227"/>
    <w:rsid w:val="002E2A5C"/>
    <w:rsid w:val="002E2F23"/>
    <w:rsid w:val="002E4EE2"/>
    <w:rsid w:val="002E7597"/>
    <w:rsid w:val="002F1029"/>
    <w:rsid w:val="002F658F"/>
    <w:rsid w:val="002F79C3"/>
    <w:rsid w:val="002F7B49"/>
    <w:rsid w:val="00300FB3"/>
    <w:rsid w:val="00301C69"/>
    <w:rsid w:val="0030407B"/>
    <w:rsid w:val="0030582A"/>
    <w:rsid w:val="00312A94"/>
    <w:rsid w:val="00313F92"/>
    <w:rsid w:val="00321251"/>
    <w:rsid w:val="003221C6"/>
    <w:rsid w:val="0032292A"/>
    <w:rsid w:val="00322BE5"/>
    <w:rsid w:val="003300CA"/>
    <w:rsid w:val="003332EF"/>
    <w:rsid w:val="00334984"/>
    <w:rsid w:val="00337392"/>
    <w:rsid w:val="003403AB"/>
    <w:rsid w:val="00341213"/>
    <w:rsid w:val="0034373C"/>
    <w:rsid w:val="003439B2"/>
    <w:rsid w:val="00344CBF"/>
    <w:rsid w:val="003507F6"/>
    <w:rsid w:val="00353D53"/>
    <w:rsid w:val="0035580C"/>
    <w:rsid w:val="00355AE7"/>
    <w:rsid w:val="00361653"/>
    <w:rsid w:val="003624EB"/>
    <w:rsid w:val="003638AD"/>
    <w:rsid w:val="00364870"/>
    <w:rsid w:val="00366E40"/>
    <w:rsid w:val="00367878"/>
    <w:rsid w:val="00372B55"/>
    <w:rsid w:val="00372C22"/>
    <w:rsid w:val="003735D9"/>
    <w:rsid w:val="00373E06"/>
    <w:rsid w:val="00374AE4"/>
    <w:rsid w:val="003763B9"/>
    <w:rsid w:val="0038029E"/>
    <w:rsid w:val="003804B2"/>
    <w:rsid w:val="00380898"/>
    <w:rsid w:val="00380E64"/>
    <w:rsid w:val="00382D4D"/>
    <w:rsid w:val="00386D11"/>
    <w:rsid w:val="00390339"/>
    <w:rsid w:val="00393DE7"/>
    <w:rsid w:val="00393EAF"/>
    <w:rsid w:val="0039425B"/>
    <w:rsid w:val="00395D05"/>
    <w:rsid w:val="003A1FC3"/>
    <w:rsid w:val="003A409D"/>
    <w:rsid w:val="003B23F7"/>
    <w:rsid w:val="003B4B84"/>
    <w:rsid w:val="003B684B"/>
    <w:rsid w:val="003B68EC"/>
    <w:rsid w:val="003B7160"/>
    <w:rsid w:val="003C27E4"/>
    <w:rsid w:val="003C5D4A"/>
    <w:rsid w:val="003D5143"/>
    <w:rsid w:val="003D71C6"/>
    <w:rsid w:val="003D7DE6"/>
    <w:rsid w:val="003E104E"/>
    <w:rsid w:val="003E1A4F"/>
    <w:rsid w:val="003E5178"/>
    <w:rsid w:val="003E6419"/>
    <w:rsid w:val="003F2892"/>
    <w:rsid w:val="003F5DBD"/>
    <w:rsid w:val="00400A2D"/>
    <w:rsid w:val="00402C21"/>
    <w:rsid w:val="004062F2"/>
    <w:rsid w:val="0040643D"/>
    <w:rsid w:val="00406702"/>
    <w:rsid w:val="0041232F"/>
    <w:rsid w:val="00414EAD"/>
    <w:rsid w:val="004238C2"/>
    <w:rsid w:val="00423ECF"/>
    <w:rsid w:val="0042783F"/>
    <w:rsid w:val="004356D5"/>
    <w:rsid w:val="0043606D"/>
    <w:rsid w:val="0044041F"/>
    <w:rsid w:val="00447483"/>
    <w:rsid w:val="00450F5E"/>
    <w:rsid w:val="00451254"/>
    <w:rsid w:val="0045279D"/>
    <w:rsid w:val="00455F42"/>
    <w:rsid w:val="00456CED"/>
    <w:rsid w:val="004624B6"/>
    <w:rsid w:val="004647BD"/>
    <w:rsid w:val="00465128"/>
    <w:rsid w:val="00466ABA"/>
    <w:rsid w:val="0047061D"/>
    <w:rsid w:val="00474AEB"/>
    <w:rsid w:val="00475209"/>
    <w:rsid w:val="00475BAB"/>
    <w:rsid w:val="00477CEA"/>
    <w:rsid w:val="004901B8"/>
    <w:rsid w:val="0049034D"/>
    <w:rsid w:val="00490C74"/>
    <w:rsid w:val="00490F58"/>
    <w:rsid w:val="00491DD0"/>
    <w:rsid w:val="00493E02"/>
    <w:rsid w:val="004949AA"/>
    <w:rsid w:val="004A0348"/>
    <w:rsid w:val="004A03C5"/>
    <w:rsid w:val="004A54AE"/>
    <w:rsid w:val="004A6592"/>
    <w:rsid w:val="004B1EAE"/>
    <w:rsid w:val="004B391D"/>
    <w:rsid w:val="004C3206"/>
    <w:rsid w:val="004C52E1"/>
    <w:rsid w:val="004D0400"/>
    <w:rsid w:val="004D0DFB"/>
    <w:rsid w:val="004D0E89"/>
    <w:rsid w:val="004D68E2"/>
    <w:rsid w:val="004D700E"/>
    <w:rsid w:val="004E0899"/>
    <w:rsid w:val="004E2865"/>
    <w:rsid w:val="004E2C31"/>
    <w:rsid w:val="004E38B7"/>
    <w:rsid w:val="004E57B3"/>
    <w:rsid w:val="004E69E4"/>
    <w:rsid w:val="004F17DC"/>
    <w:rsid w:val="004F35D4"/>
    <w:rsid w:val="004F4993"/>
    <w:rsid w:val="004F4E77"/>
    <w:rsid w:val="004F58EA"/>
    <w:rsid w:val="004F64E5"/>
    <w:rsid w:val="004F6FB5"/>
    <w:rsid w:val="00501927"/>
    <w:rsid w:val="00505FE8"/>
    <w:rsid w:val="00506A8F"/>
    <w:rsid w:val="00511ABC"/>
    <w:rsid w:val="00513B1B"/>
    <w:rsid w:val="00514A9D"/>
    <w:rsid w:val="0051549D"/>
    <w:rsid w:val="005156ED"/>
    <w:rsid w:val="00515FD9"/>
    <w:rsid w:val="00517938"/>
    <w:rsid w:val="00520884"/>
    <w:rsid w:val="00522FFA"/>
    <w:rsid w:val="00523913"/>
    <w:rsid w:val="00525165"/>
    <w:rsid w:val="00526874"/>
    <w:rsid w:val="00527220"/>
    <w:rsid w:val="00530B4F"/>
    <w:rsid w:val="005354F4"/>
    <w:rsid w:val="0054117A"/>
    <w:rsid w:val="00541466"/>
    <w:rsid w:val="005426C2"/>
    <w:rsid w:val="005427B0"/>
    <w:rsid w:val="00542EC3"/>
    <w:rsid w:val="00547B0F"/>
    <w:rsid w:val="005506D7"/>
    <w:rsid w:val="00552CDB"/>
    <w:rsid w:val="00553B6E"/>
    <w:rsid w:val="005576F4"/>
    <w:rsid w:val="0056097A"/>
    <w:rsid w:val="00561B17"/>
    <w:rsid w:val="00562DC9"/>
    <w:rsid w:val="00562E21"/>
    <w:rsid w:val="00565B7F"/>
    <w:rsid w:val="00570A36"/>
    <w:rsid w:val="00580347"/>
    <w:rsid w:val="0058255B"/>
    <w:rsid w:val="00585DEB"/>
    <w:rsid w:val="00586BA8"/>
    <w:rsid w:val="00587CA1"/>
    <w:rsid w:val="00590423"/>
    <w:rsid w:val="00594907"/>
    <w:rsid w:val="00596B45"/>
    <w:rsid w:val="00597C2A"/>
    <w:rsid w:val="00597D6C"/>
    <w:rsid w:val="005A367A"/>
    <w:rsid w:val="005B33B6"/>
    <w:rsid w:val="005B5580"/>
    <w:rsid w:val="005B558F"/>
    <w:rsid w:val="005B62EB"/>
    <w:rsid w:val="005B79F2"/>
    <w:rsid w:val="005C01D0"/>
    <w:rsid w:val="005C158A"/>
    <w:rsid w:val="005C6F72"/>
    <w:rsid w:val="005C70B9"/>
    <w:rsid w:val="005D2556"/>
    <w:rsid w:val="005D381D"/>
    <w:rsid w:val="005D3F71"/>
    <w:rsid w:val="005D5F9F"/>
    <w:rsid w:val="005D6ABF"/>
    <w:rsid w:val="005D7BD2"/>
    <w:rsid w:val="005E7C2E"/>
    <w:rsid w:val="005F0C18"/>
    <w:rsid w:val="005F0F37"/>
    <w:rsid w:val="005F1ADE"/>
    <w:rsid w:val="005F31EE"/>
    <w:rsid w:val="005F3850"/>
    <w:rsid w:val="005F3C71"/>
    <w:rsid w:val="005F5AC9"/>
    <w:rsid w:val="005F6B07"/>
    <w:rsid w:val="00604B11"/>
    <w:rsid w:val="006068FE"/>
    <w:rsid w:val="00611691"/>
    <w:rsid w:val="006125C1"/>
    <w:rsid w:val="00613EA4"/>
    <w:rsid w:val="006158DC"/>
    <w:rsid w:val="00617352"/>
    <w:rsid w:val="0062290F"/>
    <w:rsid w:val="006255F3"/>
    <w:rsid w:val="00625A1E"/>
    <w:rsid w:val="0062775E"/>
    <w:rsid w:val="00627B7E"/>
    <w:rsid w:val="006330A9"/>
    <w:rsid w:val="006344F0"/>
    <w:rsid w:val="006351D4"/>
    <w:rsid w:val="00635D16"/>
    <w:rsid w:val="00637D8B"/>
    <w:rsid w:val="006405CA"/>
    <w:rsid w:val="00640DDD"/>
    <w:rsid w:val="006440B6"/>
    <w:rsid w:val="00644852"/>
    <w:rsid w:val="00645AD7"/>
    <w:rsid w:val="00646B8D"/>
    <w:rsid w:val="00653672"/>
    <w:rsid w:val="00654F03"/>
    <w:rsid w:val="00654F46"/>
    <w:rsid w:val="00655105"/>
    <w:rsid w:val="006557D1"/>
    <w:rsid w:val="0065768C"/>
    <w:rsid w:val="00665230"/>
    <w:rsid w:val="00667925"/>
    <w:rsid w:val="00675812"/>
    <w:rsid w:val="006773E7"/>
    <w:rsid w:val="00681038"/>
    <w:rsid w:val="00681B6F"/>
    <w:rsid w:val="006937E9"/>
    <w:rsid w:val="00693B53"/>
    <w:rsid w:val="00694399"/>
    <w:rsid w:val="00695A0A"/>
    <w:rsid w:val="00695F94"/>
    <w:rsid w:val="006A1B02"/>
    <w:rsid w:val="006A255B"/>
    <w:rsid w:val="006A418E"/>
    <w:rsid w:val="006A590C"/>
    <w:rsid w:val="006B27F8"/>
    <w:rsid w:val="006B41E5"/>
    <w:rsid w:val="006B47A5"/>
    <w:rsid w:val="006B5D47"/>
    <w:rsid w:val="006B60D1"/>
    <w:rsid w:val="006B66B4"/>
    <w:rsid w:val="006B7213"/>
    <w:rsid w:val="006C10C2"/>
    <w:rsid w:val="006C303B"/>
    <w:rsid w:val="006C54CC"/>
    <w:rsid w:val="006C6DB3"/>
    <w:rsid w:val="006D099C"/>
    <w:rsid w:val="006D1643"/>
    <w:rsid w:val="006D367E"/>
    <w:rsid w:val="006D3D6D"/>
    <w:rsid w:val="006E3A31"/>
    <w:rsid w:val="006E7E41"/>
    <w:rsid w:val="006F0C7F"/>
    <w:rsid w:val="006F13E4"/>
    <w:rsid w:val="006F142E"/>
    <w:rsid w:val="006F2CA1"/>
    <w:rsid w:val="006F2F6A"/>
    <w:rsid w:val="006F62B4"/>
    <w:rsid w:val="007032B0"/>
    <w:rsid w:val="00705B5C"/>
    <w:rsid w:val="007100E3"/>
    <w:rsid w:val="00710B68"/>
    <w:rsid w:val="0071154E"/>
    <w:rsid w:val="00712BAC"/>
    <w:rsid w:val="00715074"/>
    <w:rsid w:val="007152F2"/>
    <w:rsid w:val="007152F5"/>
    <w:rsid w:val="00715922"/>
    <w:rsid w:val="0071665F"/>
    <w:rsid w:val="0072082E"/>
    <w:rsid w:val="00720E58"/>
    <w:rsid w:val="00720E70"/>
    <w:rsid w:val="00723B21"/>
    <w:rsid w:val="0073122D"/>
    <w:rsid w:val="0073382B"/>
    <w:rsid w:val="0073518F"/>
    <w:rsid w:val="0073549F"/>
    <w:rsid w:val="00735749"/>
    <w:rsid w:val="00735EBA"/>
    <w:rsid w:val="00741FF1"/>
    <w:rsid w:val="00743912"/>
    <w:rsid w:val="00743FEB"/>
    <w:rsid w:val="00744456"/>
    <w:rsid w:val="00746BF0"/>
    <w:rsid w:val="00750219"/>
    <w:rsid w:val="00753218"/>
    <w:rsid w:val="00757186"/>
    <w:rsid w:val="007578CF"/>
    <w:rsid w:val="0076010C"/>
    <w:rsid w:val="0076077A"/>
    <w:rsid w:val="00764B0C"/>
    <w:rsid w:val="00766B9E"/>
    <w:rsid w:val="007670FD"/>
    <w:rsid w:val="00767CD6"/>
    <w:rsid w:val="00770556"/>
    <w:rsid w:val="00770758"/>
    <w:rsid w:val="007752E5"/>
    <w:rsid w:val="00775372"/>
    <w:rsid w:val="00775657"/>
    <w:rsid w:val="00776E23"/>
    <w:rsid w:val="0077759C"/>
    <w:rsid w:val="0078068F"/>
    <w:rsid w:val="0078322A"/>
    <w:rsid w:val="0078395A"/>
    <w:rsid w:val="00783B42"/>
    <w:rsid w:val="00787FBB"/>
    <w:rsid w:val="00793C6A"/>
    <w:rsid w:val="007947F9"/>
    <w:rsid w:val="0079719E"/>
    <w:rsid w:val="00797CB2"/>
    <w:rsid w:val="007A03A2"/>
    <w:rsid w:val="007A20E6"/>
    <w:rsid w:val="007A5167"/>
    <w:rsid w:val="007A5228"/>
    <w:rsid w:val="007B1415"/>
    <w:rsid w:val="007B195D"/>
    <w:rsid w:val="007B1A5A"/>
    <w:rsid w:val="007B25EB"/>
    <w:rsid w:val="007B4391"/>
    <w:rsid w:val="007B4801"/>
    <w:rsid w:val="007C6D49"/>
    <w:rsid w:val="007D037B"/>
    <w:rsid w:val="007D7DE4"/>
    <w:rsid w:val="007E17DC"/>
    <w:rsid w:val="007E3965"/>
    <w:rsid w:val="007F03FA"/>
    <w:rsid w:val="007F2C5A"/>
    <w:rsid w:val="007F2D9C"/>
    <w:rsid w:val="007F606A"/>
    <w:rsid w:val="0080083F"/>
    <w:rsid w:val="008015D1"/>
    <w:rsid w:val="00802A4C"/>
    <w:rsid w:val="00802E5C"/>
    <w:rsid w:val="00805197"/>
    <w:rsid w:val="00806023"/>
    <w:rsid w:val="00806E61"/>
    <w:rsid w:val="00810656"/>
    <w:rsid w:val="00813D13"/>
    <w:rsid w:val="0081423D"/>
    <w:rsid w:val="0082125C"/>
    <w:rsid w:val="00821BEF"/>
    <w:rsid w:val="00821FCB"/>
    <w:rsid w:val="0082632D"/>
    <w:rsid w:val="00836E4C"/>
    <w:rsid w:val="00837A4C"/>
    <w:rsid w:val="00841EF3"/>
    <w:rsid w:val="00843404"/>
    <w:rsid w:val="00847B6B"/>
    <w:rsid w:val="0085641F"/>
    <w:rsid w:val="00856FBA"/>
    <w:rsid w:val="00860CE5"/>
    <w:rsid w:val="00861495"/>
    <w:rsid w:val="00861BB9"/>
    <w:rsid w:val="00863DCD"/>
    <w:rsid w:val="00865162"/>
    <w:rsid w:val="0087254B"/>
    <w:rsid w:val="00872D54"/>
    <w:rsid w:val="00883F78"/>
    <w:rsid w:val="00884879"/>
    <w:rsid w:val="008914A4"/>
    <w:rsid w:val="008914CC"/>
    <w:rsid w:val="0089204E"/>
    <w:rsid w:val="00893C51"/>
    <w:rsid w:val="0089486F"/>
    <w:rsid w:val="00897C18"/>
    <w:rsid w:val="008A04DE"/>
    <w:rsid w:val="008A0C4D"/>
    <w:rsid w:val="008A1DAC"/>
    <w:rsid w:val="008A310E"/>
    <w:rsid w:val="008B0575"/>
    <w:rsid w:val="008B0B79"/>
    <w:rsid w:val="008B1DD5"/>
    <w:rsid w:val="008B2872"/>
    <w:rsid w:val="008B443F"/>
    <w:rsid w:val="008C38C6"/>
    <w:rsid w:val="008C6055"/>
    <w:rsid w:val="008D660E"/>
    <w:rsid w:val="008D7667"/>
    <w:rsid w:val="008E28EC"/>
    <w:rsid w:val="008E77F1"/>
    <w:rsid w:val="008F0C14"/>
    <w:rsid w:val="008F0CB8"/>
    <w:rsid w:val="008F195C"/>
    <w:rsid w:val="008F3F6B"/>
    <w:rsid w:val="008F4188"/>
    <w:rsid w:val="008F5E29"/>
    <w:rsid w:val="008F60C6"/>
    <w:rsid w:val="0090189C"/>
    <w:rsid w:val="00903BAF"/>
    <w:rsid w:val="00903CD5"/>
    <w:rsid w:val="009066CE"/>
    <w:rsid w:val="00911FBF"/>
    <w:rsid w:val="00917038"/>
    <w:rsid w:val="0092057F"/>
    <w:rsid w:val="00922F73"/>
    <w:rsid w:val="00923909"/>
    <w:rsid w:val="00924D16"/>
    <w:rsid w:val="00927CFC"/>
    <w:rsid w:val="00931C2D"/>
    <w:rsid w:val="00931EEC"/>
    <w:rsid w:val="009328CF"/>
    <w:rsid w:val="009359FC"/>
    <w:rsid w:val="00941C14"/>
    <w:rsid w:val="00941F6D"/>
    <w:rsid w:val="00941F8C"/>
    <w:rsid w:val="00944768"/>
    <w:rsid w:val="00944C39"/>
    <w:rsid w:val="00944FB6"/>
    <w:rsid w:val="009477FA"/>
    <w:rsid w:val="00951595"/>
    <w:rsid w:val="00951B28"/>
    <w:rsid w:val="00952C55"/>
    <w:rsid w:val="009602DB"/>
    <w:rsid w:val="00961A73"/>
    <w:rsid w:val="0096261E"/>
    <w:rsid w:val="0096549C"/>
    <w:rsid w:val="009719E6"/>
    <w:rsid w:val="00975176"/>
    <w:rsid w:val="0097651B"/>
    <w:rsid w:val="00976C2E"/>
    <w:rsid w:val="00980912"/>
    <w:rsid w:val="00982F3D"/>
    <w:rsid w:val="0098305C"/>
    <w:rsid w:val="0098394B"/>
    <w:rsid w:val="0098607E"/>
    <w:rsid w:val="00987AE0"/>
    <w:rsid w:val="00992F77"/>
    <w:rsid w:val="00995E9E"/>
    <w:rsid w:val="009A1642"/>
    <w:rsid w:val="009A2380"/>
    <w:rsid w:val="009A3187"/>
    <w:rsid w:val="009A4645"/>
    <w:rsid w:val="009A4E90"/>
    <w:rsid w:val="009B13CE"/>
    <w:rsid w:val="009B2227"/>
    <w:rsid w:val="009B38DF"/>
    <w:rsid w:val="009B654C"/>
    <w:rsid w:val="009B6616"/>
    <w:rsid w:val="009C1646"/>
    <w:rsid w:val="009C2073"/>
    <w:rsid w:val="009C2589"/>
    <w:rsid w:val="009D0D53"/>
    <w:rsid w:val="009D313A"/>
    <w:rsid w:val="009E3FD5"/>
    <w:rsid w:val="009E607D"/>
    <w:rsid w:val="009E60BB"/>
    <w:rsid w:val="009F1587"/>
    <w:rsid w:val="009F2834"/>
    <w:rsid w:val="009F3DFD"/>
    <w:rsid w:val="009F716D"/>
    <w:rsid w:val="00A0241D"/>
    <w:rsid w:val="00A1071E"/>
    <w:rsid w:val="00A1090F"/>
    <w:rsid w:val="00A10D2D"/>
    <w:rsid w:val="00A120C5"/>
    <w:rsid w:val="00A1257C"/>
    <w:rsid w:val="00A17177"/>
    <w:rsid w:val="00A21761"/>
    <w:rsid w:val="00A22268"/>
    <w:rsid w:val="00A2397A"/>
    <w:rsid w:val="00A349AD"/>
    <w:rsid w:val="00A35789"/>
    <w:rsid w:val="00A35A6F"/>
    <w:rsid w:val="00A412B6"/>
    <w:rsid w:val="00A41E30"/>
    <w:rsid w:val="00A436C8"/>
    <w:rsid w:val="00A470C2"/>
    <w:rsid w:val="00A50C32"/>
    <w:rsid w:val="00A52097"/>
    <w:rsid w:val="00A539CE"/>
    <w:rsid w:val="00A53A5C"/>
    <w:rsid w:val="00A54DAB"/>
    <w:rsid w:val="00A56487"/>
    <w:rsid w:val="00A56EC2"/>
    <w:rsid w:val="00A57E76"/>
    <w:rsid w:val="00A634FF"/>
    <w:rsid w:val="00A6538C"/>
    <w:rsid w:val="00A667C3"/>
    <w:rsid w:val="00A70223"/>
    <w:rsid w:val="00A718F3"/>
    <w:rsid w:val="00A72789"/>
    <w:rsid w:val="00A729D2"/>
    <w:rsid w:val="00A742FD"/>
    <w:rsid w:val="00A75F0B"/>
    <w:rsid w:val="00A77B6D"/>
    <w:rsid w:val="00A83353"/>
    <w:rsid w:val="00A866C9"/>
    <w:rsid w:val="00A90FF7"/>
    <w:rsid w:val="00A94218"/>
    <w:rsid w:val="00A97DDF"/>
    <w:rsid w:val="00AA185E"/>
    <w:rsid w:val="00AA29C9"/>
    <w:rsid w:val="00AA557C"/>
    <w:rsid w:val="00AA58CD"/>
    <w:rsid w:val="00AA5924"/>
    <w:rsid w:val="00AA73F6"/>
    <w:rsid w:val="00AA760E"/>
    <w:rsid w:val="00AB0CD3"/>
    <w:rsid w:val="00AB152D"/>
    <w:rsid w:val="00AB24EE"/>
    <w:rsid w:val="00AB3170"/>
    <w:rsid w:val="00AB54D8"/>
    <w:rsid w:val="00AB69D3"/>
    <w:rsid w:val="00AC1E74"/>
    <w:rsid w:val="00AC7595"/>
    <w:rsid w:val="00AD2E7A"/>
    <w:rsid w:val="00AD311D"/>
    <w:rsid w:val="00AD3778"/>
    <w:rsid w:val="00AD4C64"/>
    <w:rsid w:val="00AD5DCC"/>
    <w:rsid w:val="00AD5FB8"/>
    <w:rsid w:val="00AE34E9"/>
    <w:rsid w:val="00AE4F67"/>
    <w:rsid w:val="00AE5270"/>
    <w:rsid w:val="00AE6C16"/>
    <w:rsid w:val="00AE761C"/>
    <w:rsid w:val="00AF1F25"/>
    <w:rsid w:val="00AF224E"/>
    <w:rsid w:val="00AF2AB4"/>
    <w:rsid w:val="00AF5A54"/>
    <w:rsid w:val="00AF6D04"/>
    <w:rsid w:val="00AF74BF"/>
    <w:rsid w:val="00B04ADB"/>
    <w:rsid w:val="00B0581A"/>
    <w:rsid w:val="00B21C1F"/>
    <w:rsid w:val="00B3726A"/>
    <w:rsid w:val="00B42BF1"/>
    <w:rsid w:val="00B43CAE"/>
    <w:rsid w:val="00B43F0E"/>
    <w:rsid w:val="00B4566A"/>
    <w:rsid w:val="00B50C90"/>
    <w:rsid w:val="00B515D2"/>
    <w:rsid w:val="00B5679E"/>
    <w:rsid w:val="00B56C09"/>
    <w:rsid w:val="00B622A3"/>
    <w:rsid w:val="00B63AF0"/>
    <w:rsid w:val="00B64979"/>
    <w:rsid w:val="00B65F6A"/>
    <w:rsid w:val="00B679DF"/>
    <w:rsid w:val="00B7244D"/>
    <w:rsid w:val="00B72DD1"/>
    <w:rsid w:val="00B7663E"/>
    <w:rsid w:val="00B77DF7"/>
    <w:rsid w:val="00B77FD2"/>
    <w:rsid w:val="00B820D7"/>
    <w:rsid w:val="00B823DB"/>
    <w:rsid w:val="00B8314E"/>
    <w:rsid w:val="00B87415"/>
    <w:rsid w:val="00B87EE1"/>
    <w:rsid w:val="00B91650"/>
    <w:rsid w:val="00B9492A"/>
    <w:rsid w:val="00B963D2"/>
    <w:rsid w:val="00BA11A5"/>
    <w:rsid w:val="00BA39C0"/>
    <w:rsid w:val="00BB0916"/>
    <w:rsid w:val="00BB1A71"/>
    <w:rsid w:val="00BB26C1"/>
    <w:rsid w:val="00BB4547"/>
    <w:rsid w:val="00BB5443"/>
    <w:rsid w:val="00BB685A"/>
    <w:rsid w:val="00BC0D60"/>
    <w:rsid w:val="00BC20F1"/>
    <w:rsid w:val="00BC3236"/>
    <w:rsid w:val="00BC6121"/>
    <w:rsid w:val="00BD232F"/>
    <w:rsid w:val="00BD2EB6"/>
    <w:rsid w:val="00BD33D6"/>
    <w:rsid w:val="00BD5BB0"/>
    <w:rsid w:val="00BD79D1"/>
    <w:rsid w:val="00BD79E0"/>
    <w:rsid w:val="00BE4B41"/>
    <w:rsid w:val="00BE5607"/>
    <w:rsid w:val="00BE67E8"/>
    <w:rsid w:val="00BF05A8"/>
    <w:rsid w:val="00BF4D29"/>
    <w:rsid w:val="00BF5DC2"/>
    <w:rsid w:val="00BF76D3"/>
    <w:rsid w:val="00BF7959"/>
    <w:rsid w:val="00C03986"/>
    <w:rsid w:val="00C049B1"/>
    <w:rsid w:val="00C07FEF"/>
    <w:rsid w:val="00C14582"/>
    <w:rsid w:val="00C15642"/>
    <w:rsid w:val="00C216A5"/>
    <w:rsid w:val="00C231C3"/>
    <w:rsid w:val="00C25390"/>
    <w:rsid w:val="00C26DFF"/>
    <w:rsid w:val="00C275D0"/>
    <w:rsid w:val="00C27A9E"/>
    <w:rsid w:val="00C32100"/>
    <w:rsid w:val="00C3621E"/>
    <w:rsid w:val="00C44F65"/>
    <w:rsid w:val="00C45F52"/>
    <w:rsid w:val="00C46808"/>
    <w:rsid w:val="00C47C80"/>
    <w:rsid w:val="00C52744"/>
    <w:rsid w:val="00C55A2F"/>
    <w:rsid w:val="00C56873"/>
    <w:rsid w:val="00C60A6D"/>
    <w:rsid w:val="00C636C0"/>
    <w:rsid w:val="00C66CEA"/>
    <w:rsid w:val="00C7067E"/>
    <w:rsid w:val="00C746BF"/>
    <w:rsid w:val="00C80C64"/>
    <w:rsid w:val="00C829CC"/>
    <w:rsid w:val="00C8491E"/>
    <w:rsid w:val="00C87FED"/>
    <w:rsid w:val="00C91A43"/>
    <w:rsid w:val="00C91D19"/>
    <w:rsid w:val="00C95C6C"/>
    <w:rsid w:val="00CA1F5B"/>
    <w:rsid w:val="00CA23B5"/>
    <w:rsid w:val="00CA327F"/>
    <w:rsid w:val="00CB6334"/>
    <w:rsid w:val="00CB67CC"/>
    <w:rsid w:val="00CB6B8A"/>
    <w:rsid w:val="00CC0EFC"/>
    <w:rsid w:val="00CC220E"/>
    <w:rsid w:val="00CC35F2"/>
    <w:rsid w:val="00CC39F3"/>
    <w:rsid w:val="00CC46FA"/>
    <w:rsid w:val="00CC4A89"/>
    <w:rsid w:val="00CD2C66"/>
    <w:rsid w:val="00CD5FBE"/>
    <w:rsid w:val="00CD7D8F"/>
    <w:rsid w:val="00CF056A"/>
    <w:rsid w:val="00CF2AFD"/>
    <w:rsid w:val="00CF2B0D"/>
    <w:rsid w:val="00CF562B"/>
    <w:rsid w:val="00CF5F27"/>
    <w:rsid w:val="00D00686"/>
    <w:rsid w:val="00D02264"/>
    <w:rsid w:val="00D076AE"/>
    <w:rsid w:val="00D10C3A"/>
    <w:rsid w:val="00D118EC"/>
    <w:rsid w:val="00D11AC9"/>
    <w:rsid w:val="00D142C4"/>
    <w:rsid w:val="00D17001"/>
    <w:rsid w:val="00D175A2"/>
    <w:rsid w:val="00D2157D"/>
    <w:rsid w:val="00D2212F"/>
    <w:rsid w:val="00D3059B"/>
    <w:rsid w:val="00D3719C"/>
    <w:rsid w:val="00D42DA9"/>
    <w:rsid w:val="00D45388"/>
    <w:rsid w:val="00D459ED"/>
    <w:rsid w:val="00D46728"/>
    <w:rsid w:val="00D4672D"/>
    <w:rsid w:val="00D47F55"/>
    <w:rsid w:val="00D50240"/>
    <w:rsid w:val="00D513B9"/>
    <w:rsid w:val="00D519C3"/>
    <w:rsid w:val="00D52561"/>
    <w:rsid w:val="00D54725"/>
    <w:rsid w:val="00D54C8C"/>
    <w:rsid w:val="00D5631A"/>
    <w:rsid w:val="00D566B1"/>
    <w:rsid w:val="00D63567"/>
    <w:rsid w:val="00D6789A"/>
    <w:rsid w:val="00D7135A"/>
    <w:rsid w:val="00D733EA"/>
    <w:rsid w:val="00D74C6F"/>
    <w:rsid w:val="00D77700"/>
    <w:rsid w:val="00D82257"/>
    <w:rsid w:val="00D82FD3"/>
    <w:rsid w:val="00D840C0"/>
    <w:rsid w:val="00D84667"/>
    <w:rsid w:val="00D846CC"/>
    <w:rsid w:val="00D86D80"/>
    <w:rsid w:val="00D8746C"/>
    <w:rsid w:val="00D878CE"/>
    <w:rsid w:val="00D945FC"/>
    <w:rsid w:val="00DB1BBB"/>
    <w:rsid w:val="00DB48C1"/>
    <w:rsid w:val="00DB7538"/>
    <w:rsid w:val="00DD2009"/>
    <w:rsid w:val="00DD2704"/>
    <w:rsid w:val="00DD304B"/>
    <w:rsid w:val="00DD3262"/>
    <w:rsid w:val="00DD3AFF"/>
    <w:rsid w:val="00DE0DFC"/>
    <w:rsid w:val="00DE1BDA"/>
    <w:rsid w:val="00DE1BDC"/>
    <w:rsid w:val="00DE3904"/>
    <w:rsid w:val="00DE3BCE"/>
    <w:rsid w:val="00DE48FF"/>
    <w:rsid w:val="00DE568F"/>
    <w:rsid w:val="00DF2BD4"/>
    <w:rsid w:val="00DF4174"/>
    <w:rsid w:val="00DF431B"/>
    <w:rsid w:val="00DF6A4C"/>
    <w:rsid w:val="00E02DEE"/>
    <w:rsid w:val="00E0579C"/>
    <w:rsid w:val="00E06551"/>
    <w:rsid w:val="00E072AF"/>
    <w:rsid w:val="00E13291"/>
    <w:rsid w:val="00E1566F"/>
    <w:rsid w:val="00E16D14"/>
    <w:rsid w:val="00E17A16"/>
    <w:rsid w:val="00E17CB9"/>
    <w:rsid w:val="00E225BA"/>
    <w:rsid w:val="00E257BD"/>
    <w:rsid w:val="00E27C65"/>
    <w:rsid w:val="00E32F5B"/>
    <w:rsid w:val="00E33F63"/>
    <w:rsid w:val="00E340D0"/>
    <w:rsid w:val="00E35BB8"/>
    <w:rsid w:val="00E37A4F"/>
    <w:rsid w:val="00E43F28"/>
    <w:rsid w:val="00E45BD1"/>
    <w:rsid w:val="00E476AA"/>
    <w:rsid w:val="00E53277"/>
    <w:rsid w:val="00E5361F"/>
    <w:rsid w:val="00E5649A"/>
    <w:rsid w:val="00E570AB"/>
    <w:rsid w:val="00E60DEF"/>
    <w:rsid w:val="00E64D8D"/>
    <w:rsid w:val="00E64E0B"/>
    <w:rsid w:val="00E7312F"/>
    <w:rsid w:val="00E7413F"/>
    <w:rsid w:val="00E7679E"/>
    <w:rsid w:val="00E769E7"/>
    <w:rsid w:val="00E8056F"/>
    <w:rsid w:val="00E90365"/>
    <w:rsid w:val="00E93585"/>
    <w:rsid w:val="00E94557"/>
    <w:rsid w:val="00E96CC1"/>
    <w:rsid w:val="00EA0766"/>
    <w:rsid w:val="00EA0B53"/>
    <w:rsid w:val="00EA293B"/>
    <w:rsid w:val="00EA2A98"/>
    <w:rsid w:val="00EB0A2F"/>
    <w:rsid w:val="00EB684B"/>
    <w:rsid w:val="00EB69C2"/>
    <w:rsid w:val="00EC079A"/>
    <w:rsid w:val="00EC0EF0"/>
    <w:rsid w:val="00EC2757"/>
    <w:rsid w:val="00EC7B89"/>
    <w:rsid w:val="00ED1B90"/>
    <w:rsid w:val="00ED5C15"/>
    <w:rsid w:val="00ED75B8"/>
    <w:rsid w:val="00ED786E"/>
    <w:rsid w:val="00EE1E35"/>
    <w:rsid w:val="00EE3CB2"/>
    <w:rsid w:val="00EF3D88"/>
    <w:rsid w:val="00EF592A"/>
    <w:rsid w:val="00F006AC"/>
    <w:rsid w:val="00F0166F"/>
    <w:rsid w:val="00F0485B"/>
    <w:rsid w:val="00F06199"/>
    <w:rsid w:val="00F06889"/>
    <w:rsid w:val="00F06CFE"/>
    <w:rsid w:val="00F115A1"/>
    <w:rsid w:val="00F14283"/>
    <w:rsid w:val="00F14859"/>
    <w:rsid w:val="00F14998"/>
    <w:rsid w:val="00F175B7"/>
    <w:rsid w:val="00F17809"/>
    <w:rsid w:val="00F242A2"/>
    <w:rsid w:val="00F2658C"/>
    <w:rsid w:val="00F27736"/>
    <w:rsid w:val="00F30A55"/>
    <w:rsid w:val="00F46E16"/>
    <w:rsid w:val="00F50AE1"/>
    <w:rsid w:val="00F52925"/>
    <w:rsid w:val="00F549FF"/>
    <w:rsid w:val="00F54E40"/>
    <w:rsid w:val="00F55EB3"/>
    <w:rsid w:val="00F5661E"/>
    <w:rsid w:val="00F6415E"/>
    <w:rsid w:val="00F67136"/>
    <w:rsid w:val="00F700B0"/>
    <w:rsid w:val="00F7072A"/>
    <w:rsid w:val="00F70DFF"/>
    <w:rsid w:val="00F72D0E"/>
    <w:rsid w:val="00F74269"/>
    <w:rsid w:val="00F744EA"/>
    <w:rsid w:val="00F74674"/>
    <w:rsid w:val="00F8413E"/>
    <w:rsid w:val="00F85665"/>
    <w:rsid w:val="00F8693D"/>
    <w:rsid w:val="00F86E40"/>
    <w:rsid w:val="00F87990"/>
    <w:rsid w:val="00F91FC9"/>
    <w:rsid w:val="00F920D2"/>
    <w:rsid w:val="00F96D8F"/>
    <w:rsid w:val="00FA176E"/>
    <w:rsid w:val="00FA240F"/>
    <w:rsid w:val="00FA2584"/>
    <w:rsid w:val="00FA2B2F"/>
    <w:rsid w:val="00FA7989"/>
    <w:rsid w:val="00FB0A5F"/>
    <w:rsid w:val="00FB1E1C"/>
    <w:rsid w:val="00FB7999"/>
    <w:rsid w:val="00FB7D4E"/>
    <w:rsid w:val="00FB7F4F"/>
    <w:rsid w:val="00FC0FA9"/>
    <w:rsid w:val="00FC4AA8"/>
    <w:rsid w:val="00FD26E3"/>
    <w:rsid w:val="00FD410F"/>
    <w:rsid w:val="00FD55EC"/>
    <w:rsid w:val="00FD5DF1"/>
    <w:rsid w:val="00FD5FE0"/>
    <w:rsid w:val="00FE01A8"/>
    <w:rsid w:val="00FE568C"/>
    <w:rsid w:val="00FE699D"/>
    <w:rsid w:val="00FE70BB"/>
    <w:rsid w:val="00FF0094"/>
    <w:rsid w:val="00FF16E2"/>
    <w:rsid w:val="00FF681C"/>
    <w:rsid w:val="010D1530"/>
    <w:rsid w:val="012C3035"/>
    <w:rsid w:val="015F6184"/>
    <w:rsid w:val="024F3985"/>
    <w:rsid w:val="02C34272"/>
    <w:rsid w:val="03910922"/>
    <w:rsid w:val="04790B48"/>
    <w:rsid w:val="061B1025"/>
    <w:rsid w:val="07191689"/>
    <w:rsid w:val="072E2838"/>
    <w:rsid w:val="079178A7"/>
    <w:rsid w:val="07A96E08"/>
    <w:rsid w:val="086F15B6"/>
    <w:rsid w:val="0A720951"/>
    <w:rsid w:val="0A743B69"/>
    <w:rsid w:val="0B014935"/>
    <w:rsid w:val="0B0E0C05"/>
    <w:rsid w:val="0C4A2348"/>
    <w:rsid w:val="0C874956"/>
    <w:rsid w:val="0D707A33"/>
    <w:rsid w:val="0DFA4114"/>
    <w:rsid w:val="1035748B"/>
    <w:rsid w:val="10B65D95"/>
    <w:rsid w:val="11705029"/>
    <w:rsid w:val="124B69B1"/>
    <w:rsid w:val="128A37C9"/>
    <w:rsid w:val="131D6FF7"/>
    <w:rsid w:val="135F6956"/>
    <w:rsid w:val="14A12BA3"/>
    <w:rsid w:val="176409F3"/>
    <w:rsid w:val="17C81BB8"/>
    <w:rsid w:val="18EB63E8"/>
    <w:rsid w:val="18EF138C"/>
    <w:rsid w:val="18F15D4D"/>
    <w:rsid w:val="195E2BE3"/>
    <w:rsid w:val="19D106D2"/>
    <w:rsid w:val="1AC81CC5"/>
    <w:rsid w:val="1BED09EB"/>
    <w:rsid w:val="1E9623BB"/>
    <w:rsid w:val="1FAE66EE"/>
    <w:rsid w:val="20B40A1C"/>
    <w:rsid w:val="21477C75"/>
    <w:rsid w:val="216D06F2"/>
    <w:rsid w:val="217E3A7B"/>
    <w:rsid w:val="22014FA9"/>
    <w:rsid w:val="25874D5F"/>
    <w:rsid w:val="26754BE8"/>
    <w:rsid w:val="278E4F1E"/>
    <w:rsid w:val="284B1464"/>
    <w:rsid w:val="287C0292"/>
    <w:rsid w:val="28BC3F66"/>
    <w:rsid w:val="28F83861"/>
    <w:rsid w:val="28FC1B7F"/>
    <w:rsid w:val="29323532"/>
    <w:rsid w:val="29604DC6"/>
    <w:rsid w:val="2A3F2BD5"/>
    <w:rsid w:val="2AE73386"/>
    <w:rsid w:val="2AEC1D54"/>
    <w:rsid w:val="2AFB2851"/>
    <w:rsid w:val="2BE11CDE"/>
    <w:rsid w:val="2C004309"/>
    <w:rsid w:val="2CC42325"/>
    <w:rsid w:val="2D7A3E83"/>
    <w:rsid w:val="2E87787C"/>
    <w:rsid w:val="30F8259C"/>
    <w:rsid w:val="32D06D32"/>
    <w:rsid w:val="331E10D8"/>
    <w:rsid w:val="347B4A7C"/>
    <w:rsid w:val="36D819D5"/>
    <w:rsid w:val="37B63A36"/>
    <w:rsid w:val="38FD06E1"/>
    <w:rsid w:val="39D9393E"/>
    <w:rsid w:val="3A0D4FA9"/>
    <w:rsid w:val="3AAA4898"/>
    <w:rsid w:val="3B130FAD"/>
    <w:rsid w:val="3B7E3CD8"/>
    <w:rsid w:val="3C7F796D"/>
    <w:rsid w:val="3D6176E6"/>
    <w:rsid w:val="3D961015"/>
    <w:rsid w:val="3E093575"/>
    <w:rsid w:val="3E0F6C59"/>
    <w:rsid w:val="3E8B3679"/>
    <w:rsid w:val="3F997F88"/>
    <w:rsid w:val="3FE96445"/>
    <w:rsid w:val="3FFA5956"/>
    <w:rsid w:val="416C40CA"/>
    <w:rsid w:val="41924A2B"/>
    <w:rsid w:val="42431334"/>
    <w:rsid w:val="429C58EE"/>
    <w:rsid w:val="43155CD3"/>
    <w:rsid w:val="4421736B"/>
    <w:rsid w:val="4458764F"/>
    <w:rsid w:val="447B5455"/>
    <w:rsid w:val="471F3979"/>
    <w:rsid w:val="47E175E2"/>
    <w:rsid w:val="4A361A9D"/>
    <w:rsid w:val="4A98132A"/>
    <w:rsid w:val="4D4E5D71"/>
    <w:rsid w:val="4E8E6338"/>
    <w:rsid w:val="4EDF1EFF"/>
    <w:rsid w:val="502F3701"/>
    <w:rsid w:val="50EB46E2"/>
    <w:rsid w:val="511F7A80"/>
    <w:rsid w:val="51DB121E"/>
    <w:rsid w:val="524E5126"/>
    <w:rsid w:val="53486D9B"/>
    <w:rsid w:val="53A5781C"/>
    <w:rsid w:val="542C4745"/>
    <w:rsid w:val="54664802"/>
    <w:rsid w:val="54DA7F8F"/>
    <w:rsid w:val="559B2225"/>
    <w:rsid w:val="55CF52C2"/>
    <w:rsid w:val="569D177C"/>
    <w:rsid w:val="56B57F1E"/>
    <w:rsid w:val="56BB6989"/>
    <w:rsid w:val="577640C2"/>
    <w:rsid w:val="599154FE"/>
    <w:rsid w:val="5A4C03FF"/>
    <w:rsid w:val="5B39348F"/>
    <w:rsid w:val="5C0A5678"/>
    <w:rsid w:val="5E5030FF"/>
    <w:rsid w:val="5E542828"/>
    <w:rsid w:val="5E631844"/>
    <w:rsid w:val="61042E42"/>
    <w:rsid w:val="627F0062"/>
    <w:rsid w:val="633C488A"/>
    <w:rsid w:val="63413E16"/>
    <w:rsid w:val="642C60EE"/>
    <w:rsid w:val="64402D87"/>
    <w:rsid w:val="64A52A2C"/>
    <w:rsid w:val="65B8166D"/>
    <w:rsid w:val="65E25482"/>
    <w:rsid w:val="66F50198"/>
    <w:rsid w:val="67726C21"/>
    <w:rsid w:val="68F55E2F"/>
    <w:rsid w:val="697B45FB"/>
    <w:rsid w:val="6AAA68E4"/>
    <w:rsid w:val="6B83603D"/>
    <w:rsid w:val="6D3C1F21"/>
    <w:rsid w:val="6DA373BD"/>
    <w:rsid w:val="6DAE450C"/>
    <w:rsid w:val="6DFB0B9A"/>
    <w:rsid w:val="6E0334DC"/>
    <w:rsid w:val="6F9A4902"/>
    <w:rsid w:val="70A93A25"/>
    <w:rsid w:val="71000567"/>
    <w:rsid w:val="71E36359"/>
    <w:rsid w:val="72801CC6"/>
    <w:rsid w:val="73AD4A88"/>
    <w:rsid w:val="73AE3EC0"/>
    <w:rsid w:val="73B62661"/>
    <w:rsid w:val="74782F69"/>
    <w:rsid w:val="75082B8F"/>
    <w:rsid w:val="75270877"/>
    <w:rsid w:val="75CC44B9"/>
    <w:rsid w:val="776B5CAF"/>
    <w:rsid w:val="77E739AB"/>
    <w:rsid w:val="79494D4F"/>
    <w:rsid w:val="79500428"/>
    <w:rsid w:val="79AC037F"/>
    <w:rsid w:val="79B736AE"/>
    <w:rsid w:val="7AAA22D2"/>
    <w:rsid w:val="7BD75745"/>
    <w:rsid w:val="7CD120DA"/>
    <w:rsid w:val="7D55001A"/>
    <w:rsid w:val="7FDD2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3">
    <w:name w:val="heading 1"/>
    <w:basedOn w:val="1"/>
    <w:next w:val="1"/>
    <w:link w:val="131"/>
    <w:qFormat/>
    <w:uiPriority w:val="0"/>
    <w:pPr>
      <w:keepNext/>
      <w:keepLines/>
      <w:tabs>
        <w:tab w:val="left" w:pos="0"/>
      </w:tabs>
      <w:spacing w:before="340" w:after="330" w:line="578" w:lineRule="atLeast"/>
      <w:outlineLvl w:val="0"/>
    </w:pPr>
    <w:rPr>
      <w:b/>
      <w:bCs/>
      <w:kern w:val="44"/>
      <w:sz w:val="44"/>
      <w:szCs w:val="44"/>
    </w:rPr>
  </w:style>
  <w:style w:type="paragraph" w:styleId="4">
    <w:name w:val="heading 2"/>
    <w:basedOn w:val="1"/>
    <w:next w:val="1"/>
    <w:link w:val="132"/>
    <w:qFormat/>
    <w:uiPriority w:val="0"/>
    <w:pPr>
      <w:keepNext/>
      <w:keepLines/>
      <w:tabs>
        <w:tab w:val="left" w:pos="0"/>
      </w:tabs>
      <w:spacing w:before="260" w:after="260" w:line="416" w:lineRule="atLeast"/>
      <w:outlineLvl w:val="1"/>
    </w:pPr>
    <w:rPr>
      <w:rFonts w:ascii="Arial" w:hAnsi="Arial" w:eastAsia="黑体"/>
      <w:b/>
      <w:bCs/>
      <w:sz w:val="32"/>
      <w:szCs w:val="32"/>
    </w:rPr>
  </w:style>
  <w:style w:type="paragraph" w:styleId="5">
    <w:name w:val="heading 3"/>
    <w:basedOn w:val="1"/>
    <w:next w:val="1"/>
    <w:link w:val="133"/>
    <w:qFormat/>
    <w:uiPriority w:val="9"/>
    <w:pPr>
      <w:keepNext/>
      <w:keepLines/>
      <w:tabs>
        <w:tab w:val="left" w:pos="0"/>
      </w:tabs>
      <w:spacing w:before="260" w:after="260" w:line="416" w:lineRule="atLeast"/>
      <w:outlineLvl w:val="2"/>
    </w:pPr>
    <w:rPr>
      <w:b/>
      <w:bCs/>
      <w:sz w:val="32"/>
      <w:szCs w:val="32"/>
    </w:rPr>
  </w:style>
  <w:style w:type="paragraph" w:styleId="6">
    <w:name w:val="heading 4"/>
    <w:basedOn w:val="1"/>
    <w:next w:val="1"/>
    <w:link w:val="134"/>
    <w:qFormat/>
    <w:uiPriority w:val="9"/>
    <w:pPr>
      <w:keepNext/>
      <w:keepLines/>
      <w:tabs>
        <w:tab w:val="left" w:pos="0"/>
      </w:tabs>
      <w:spacing w:before="280" w:after="290" w:line="376" w:lineRule="atLeast"/>
      <w:outlineLvl w:val="3"/>
    </w:pPr>
    <w:rPr>
      <w:rFonts w:ascii="Arial" w:hAnsi="Arial" w:eastAsia="黑体"/>
      <w:b/>
      <w:bCs/>
      <w:sz w:val="28"/>
      <w:szCs w:val="28"/>
    </w:rPr>
  </w:style>
  <w:style w:type="paragraph" w:styleId="7">
    <w:name w:val="heading 5"/>
    <w:basedOn w:val="1"/>
    <w:next w:val="1"/>
    <w:link w:val="135"/>
    <w:qFormat/>
    <w:uiPriority w:val="0"/>
    <w:pPr>
      <w:keepNext/>
      <w:keepLines/>
      <w:tabs>
        <w:tab w:val="left" w:pos="0"/>
      </w:tabs>
      <w:spacing w:before="280" w:after="290" w:line="376" w:lineRule="atLeast"/>
      <w:outlineLvl w:val="4"/>
    </w:pPr>
    <w:rPr>
      <w:b/>
      <w:bCs/>
      <w:sz w:val="28"/>
      <w:szCs w:val="28"/>
    </w:rPr>
  </w:style>
  <w:style w:type="paragraph" w:styleId="8">
    <w:name w:val="heading 6"/>
    <w:basedOn w:val="1"/>
    <w:next w:val="1"/>
    <w:link w:val="136"/>
    <w:qFormat/>
    <w:uiPriority w:val="0"/>
    <w:pPr>
      <w:keepNext/>
      <w:keepLines/>
      <w:tabs>
        <w:tab w:val="left" w:pos="0"/>
      </w:tabs>
      <w:spacing w:before="240" w:after="64" w:line="320" w:lineRule="atLeast"/>
      <w:outlineLvl w:val="5"/>
    </w:pPr>
    <w:rPr>
      <w:rFonts w:ascii="Arial" w:hAnsi="Arial" w:eastAsia="黑体"/>
      <w:b/>
      <w:bCs/>
      <w:szCs w:val="24"/>
    </w:rPr>
  </w:style>
  <w:style w:type="paragraph" w:styleId="9">
    <w:name w:val="heading 7"/>
    <w:basedOn w:val="1"/>
    <w:next w:val="1"/>
    <w:link w:val="137"/>
    <w:qFormat/>
    <w:uiPriority w:val="0"/>
    <w:pPr>
      <w:keepNext/>
      <w:keepLines/>
      <w:tabs>
        <w:tab w:val="left" w:pos="0"/>
      </w:tabs>
      <w:spacing w:before="240" w:after="64" w:line="320" w:lineRule="atLeast"/>
      <w:outlineLvl w:val="6"/>
    </w:pPr>
    <w:rPr>
      <w:b/>
      <w:bCs/>
      <w:szCs w:val="24"/>
    </w:rPr>
  </w:style>
  <w:style w:type="paragraph" w:styleId="10">
    <w:name w:val="heading 8"/>
    <w:basedOn w:val="1"/>
    <w:next w:val="1"/>
    <w:link w:val="138"/>
    <w:qFormat/>
    <w:uiPriority w:val="0"/>
    <w:pPr>
      <w:keepNext/>
      <w:keepLines/>
      <w:tabs>
        <w:tab w:val="left" w:pos="0"/>
      </w:tabs>
      <w:spacing w:before="240" w:after="64" w:line="320" w:lineRule="atLeast"/>
      <w:outlineLvl w:val="7"/>
    </w:pPr>
    <w:rPr>
      <w:rFonts w:ascii="Arial" w:hAnsi="Arial" w:eastAsia="黑体"/>
      <w:szCs w:val="24"/>
    </w:rPr>
  </w:style>
  <w:style w:type="paragraph" w:styleId="11">
    <w:name w:val="heading 9"/>
    <w:basedOn w:val="1"/>
    <w:next w:val="1"/>
    <w:link w:val="139"/>
    <w:qFormat/>
    <w:uiPriority w:val="0"/>
    <w:pPr>
      <w:keepNext/>
      <w:keepLines/>
      <w:tabs>
        <w:tab w:val="left" w:pos="0"/>
      </w:tabs>
      <w:spacing w:before="240" w:after="64" w:line="320" w:lineRule="atLeast"/>
      <w:outlineLvl w:val="8"/>
    </w:pPr>
    <w:rPr>
      <w:rFonts w:ascii="Arial" w:hAnsi="Arial" w:eastAsia="黑体"/>
      <w:sz w:val="21"/>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42"/>
    <w:qFormat/>
    <w:uiPriority w:val="0"/>
    <w:pPr>
      <w:adjustRightInd/>
      <w:spacing w:line="240" w:lineRule="auto"/>
      <w:jc w:val="both"/>
      <w:textAlignment w:val="auto"/>
    </w:pPr>
    <w:rPr>
      <w:kern w:val="2"/>
      <w:sz w:val="28"/>
    </w:rPr>
  </w:style>
  <w:style w:type="paragraph" w:styleId="12">
    <w:name w:val="toc 7"/>
    <w:basedOn w:val="1"/>
    <w:next w:val="1"/>
    <w:qFormat/>
    <w:uiPriority w:val="0"/>
    <w:pPr>
      <w:ind w:left="1200"/>
    </w:pPr>
    <w:rPr>
      <w:sz w:val="20"/>
    </w:rPr>
  </w:style>
  <w:style w:type="paragraph" w:styleId="13">
    <w:name w:val="Normal Indent"/>
    <w:basedOn w:val="1"/>
    <w:next w:val="1"/>
    <w:link w:val="144"/>
    <w:qFormat/>
    <w:uiPriority w:val="0"/>
    <w:pPr>
      <w:ind w:firstLine="200" w:firstLineChars="200"/>
    </w:pPr>
  </w:style>
  <w:style w:type="paragraph" w:styleId="14">
    <w:name w:val="caption"/>
    <w:basedOn w:val="1"/>
    <w:next w:val="1"/>
    <w:qFormat/>
    <w:uiPriority w:val="0"/>
    <w:pPr>
      <w:spacing w:line="480" w:lineRule="auto"/>
    </w:pPr>
    <w:rPr>
      <w:rFonts w:ascii="华文中宋" w:eastAsia="华文中宋"/>
      <w:kern w:val="2"/>
      <w:sz w:val="36"/>
    </w:rPr>
  </w:style>
  <w:style w:type="paragraph" w:styleId="15">
    <w:name w:val="Document Map"/>
    <w:basedOn w:val="1"/>
    <w:link w:val="145"/>
    <w:qFormat/>
    <w:uiPriority w:val="99"/>
    <w:pPr>
      <w:shd w:val="clear" w:color="auto" w:fill="000080"/>
    </w:pPr>
  </w:style>
  <w:style w:type="paragraph" w:styleId="16">
    <w:name w:val="annotation text"/>
    <w:basedOn w:val="1"/>
    <w:link w:val="140"/>
    <w:qFormat/>
    <w:uiPriority w:val="0"/>
  </w:style>
  <w:style w:type="paragraph" w:styleId="17">
    <w:name w:val="Salutation"/>
    <w:next w:val="1"/>
    <w:link w:val="146"/>
    <w:qFormat/>
    <w:uiPriority w:val="0"/>
    <w:pPr>
      <w:widowControl w:val="0"/>
      <w:adjustRightInd w:val="0"/>
      <w:snapToGrid w:val="0"/>
      <w:spacing w:line="360" w:lineRule="auto"/>
      <w:jc w:val="both"/>
    </w:pPr>
    <w:rPr>
      <w:rFonts w:ascii="方正仿宋_GBK" w:hAnsi="Times New Roman" w:eastAsia="方正仿宋_GBK" w:cs="方正仿宋_GBK"/>
      <w:sz w:val="32"/>
      <w:szCs w:val="32"/>
      <w:lang w:val="en-US" w:eastAsia="zh-CN" w:bidi="ar-SA"/>
    </w:rPr>
  </w:style>
  <w:style w:type="paragraph" w:styleId="18">
    <w:name w:val="Body Text Indent"/>
    <w:basedOn w:val="1"/>
    <w:next w:val="1"/>
    <w:link w:val="147"/>
    <w:qFormat/>
    <w:uiPriority w:val="0"/>
    <w:pPr>
      <w:spacing w:line="240" w:lineRule="auto"/>
      <w:ind w:left="460" w:leftChars="460"/>
    </w:pPr>
    <w:rPr>
      <w:rFonts w:ascii="宋体"/>
      <w:szCs w:val="21"/>
    </w:rPr>
  </w:style>
  <w:style w:type="paragraph" w:styleId="19">
    <w:name w:val="List Bullet 2"/>
    <w:basedOn w:val="1"/>
    <w:qFormat/>
    <w:uiPriority w:val="0"/>
    <w:pPr>
      <w:numPr>
        <w:ilvl w:val="0"/>
        <w:numId w:val="1"/>
      </w:numPr>
    </w:pPr>
  </w:style>
  <w:style w:type="paragraph" w:styleId="20">
    <w:name w:val="toc 5"/>
    <w:basedOn w:val="1"/>
    <w:next w:val="1"/>
    <w:qFormat/>
    <w:uiPriority w:val="39"/>
    <w:pPr>
      <w:ind w:left="720"/>
    </w:pPr>
    <w:rPr>
      <w:sz w:val="20"/>
    </w:rPr>
  </w:style>
  <w:style w:type="paragraph" w:styleId="21">
    <w:name w:val="toc 3"/>
    <w:basedOn w:val="1"/>
    <w:next w:val="1"/>
    <w:qFormat/>
    <w:uiPriority w:val="39"/>
    <w:pPr>
      <w:ind w:left="240"/>
    </w:pPr>
    <w:rPr>
      <w:sz w:val="20"/>
    </w:rPr>
  </w:style>
  <w:style w:type="paragraph" w:styleId="22">
    <w:name w:val="Plain Text"/>
    <w:basedOn w:val="1"/>
    <w:link w:val="148"/>
    <w:qFormat/>
    <w:uiPriority w:val="0"/>
    <w:pPr>
      <w:adjustRightInd/>
      <w:spacing w:line="240" w:lineRule="auto"/>
      <w:jc w:val="both"/>
      <w:textAlignment w:val="auto"/>
    </w:pPr>
    <w:rPr>
      <w:rFonts w:ascii="宋体"/>
      <w:kern w:val="2"/>
      <w:sz w:val="21"/>
      <w:szCs w:val="21"/>
    </w:rPr>
  </w:style>
  <w:style w:type="paragraph" w:styleId="23">
    <w:name w:val="toc 8"/>
    <w:basedOn w:val="1"/>
    <w:next w:val="1"/>
    <w:qFormat/>
    <w:uiPriority w:val="0"/>
    <w:pPr>
      <w:ind w:left="1440"/>
    </w:pPr>
    <w:rPr>
      <w:sz w:val="20"/>
    </w:rPr>
  </w:style>
  <w:style w:type="paragraph" w:styleId="24">
    <w:name w:val="Date"/>
    <w:basedOn w:val="1"/>
    <w:next w:val="1"/>
    <w:link w:val="149"/>
    <w:qFormat/>
    <w:uiPriority w:val="0"/>
    <w:pPr>
      <w:adjustRightInd/>
      <w:spacing w:line="240" w:lineRule="auto"/>
      <w:ind w:left="2500" w:leftChars="2500"/>
      <w:jc w:val="both"/>
      <w:textAlignment w:val="auto"/>
    </w:pPr>
    <w:rPr>
      <w:kern w:val="2"/>
      <w:sz w:val="21"/>
    </w:rPr>
  </w:style>
  <w:style w:type="paragraph" w:styleId="25">
    <w:name w:val="Body Text Indent 2"/>
    <w:basedOn w:val="1"/>
    <w:link w:val="150"/>
    <w:qFormat/>
    <w:uiPriority w:val="0"/>
    <w:pPr>
      <w:spacing w:line="240" w:lineRule="auto"/>
      <w:ind w:firstLine="244" w:firstLineChars="244"/>
    </w:pPr>
    <w:rPr>
      <w:rFonts w:ascii="宋体"/>
      <w:szCs w:val="21"/>
    </w:rPr>
  </w:style>
  <w:style w:type="paragraph" w:styleId="26">
    <w:name w:val="Balloon Text"/>
    <w:basedOn w:val="1"/>
    <w:link w:val="151"/>
    <w:qFormat/>
    <w:uiPriority w:val="0"/>
    <w:rPr>
      <w:sz w:val="18"/>
      <w:szCs w:val="18"/>
    </w:rPr>
  </w:style>
  <w:style w:type="paragraph" w:styleId="27">
    <w:name w:val="footer"/>
    <w:basedOn w:val="1"/>
    <w:link w:val="152"/>
    <w:qFormat/>
    <w:uiPriority w:val="99"/>
    <w:pPr>
      <w:tabs>
        <w:tab w:val="center" w:pos="4153"/>
        <w:tab w:val="right" w:pos="8306"/>
      </w:tabs>
      <w:spacing w:line="240" w:lineRule="atLeast"/>
    </w:pPr>
    <w:rPr>
      <w:sz w:val="18"/>
    </w:rPr>
  </w:style>
  <w:style w:type="paragraph" w:styleId="28">
    <w:name w:val="header"/>
    <w:basedOn w:val="1"/>
    <w:link w:val="153"/>
    <w:qFormat/>
    <w:uiPriority w:val="99"/>
    <w:pPr>
      <w:pBdr>
        <w:bottom w:val="single" w:color="auto" w:sz="6" w:space="1"/>
      </w:pBdr>
      <w:tabs>
        <w:tab w:val="center" w:pos="4153"/>
        <w:tab w:val="right" w:pos="8306"/>
      </w:tabs>
      <w:spacing w:line="240" w:lineRule="atLeast"/>
      <w:jc w:val="center"/>
    </w:pPr>
    <w:rPr>
      <w:sz w:val="18"/>
    </w:rPr>
  </w:style>
  <w:style w:type="paragraph" w:styleId="29">
    <w:name w:val="toc 1"/>
    <w:basedOn w:val="1"/>
    <w:next w:val="1"/>
    <w:qFormat/>
    <w:uiPriority w:val="39"/>
    <w:pPr>
      <w:spacing w:before="360"/>
    </w:pPr>
    <w:rPr>
      <w:rFonts w:ascii="Arial" w:hAnsi="Arial" w:cs="Arial"/>
      <w:b/>
      <w:bCs/>
      <w:caps/>
      <w:szCs w:val="24"/>
    </w:rPr>
  </w:style>
  <w:style w:type="paragraph" w:styleId="30">
    <w:name w:val="toc 4"/>
    <w:basedOn w:val="1"/>
    <w:next w:val="1"/>
    <w:qFormat/>
    <w:uiPriority w:val="39"/>
    <w:pPr>
      <w:ind w:left="480"/>
    </w:pPr>
    <w:rPr>
      <w:sz w:val="20"/>
    </w:rPr>
  </w:style>
  <w:style w:type="paragraph" w:styleId="31">
    <w:name w:val="toc 6"/>
    <w:basedOn w:val="1"/>
    <w:next w:val="1"/>
    <w:qFormat/>
    <w:uiPriority w:val="0"/>
    <w:pPr>
      <w:ind w:left="960"/>
    </w:pPr>
    <w:rPr>
      <w:sz w:val="20"/>
    </w:rPr>
  </w:style>
  <w:style w:type="paragraph" w:styleId="32">
    <w:name w:val="Body Text Indent 3"/>
    <w:basedOn w:val="1"/>
    <w:link w:val="154"/>
    <w:qFormat/>
    <w:uiPriority w:val="0"/>
    <w:pPr>
      <w:ind w:firstLine="570"/>
    </w:pPr>
    <w:rPr>
      <w:sz w:val="28"/>
    </w:rPr>
  </w:style>
  <w:style w:type="paragraph" w:styleId="33">
    <w:name w:val="toc 2"/>
    <w:basedOn w:val="1"/>
    <w:next w:val="1"/>
    <w:qFormat/>
    <w:uiPriority w:val="39"/>
    <w:pPr>
      <w:spacing w:before="240"/>
    </w:pPr>
    <w:rPr>
      <w:b/>
      <w:bCs/>
      <w:sz w:val="20"/>
    </w:rPr>
  </w:style>
  <w:style w:type="paragraph" w:styleId="34">
    <w:name w:val="toc 9"/>
    <w:basedOn w:val="1"/>
    <w:next w:val="1"/>
    <w:qFormat/>
    <w:uiPriority w:val="0"/>
    <w:pPr>
      <w:ind w:left="1680"/>
    </w:pPr>
    <w:rPr>
      <w:sz w:val="20"/>
    </w:rPr>
  </w:style>
  <w:style w:type="paragraph" w:styleId="35">
    <w:name w:val="Body Text 2"/>
    <w:basedOn w:val="1"/>
    <w:link w:val="155"/>
    <w:qFormat/>
    <w:uiPriority w:val="0"/>
    <w:pPr>
      <w:spacing w:after="120" w:line="480" w:lineRule="auto"/>
    </w:pPr>
  </w:style>
  <w:style w:type="paragraph" w:styleId="36">
    <w:name w:val="Normal (Web)"/>
    <w:basedOn w:val="1"/>
    <w:qFormat/>
    <w:uiPriority w:val="0"/>
    <w:pPr>
      <w:widowControl/>
      <w:adjustRightInd/>
      <w:spacing w:before="100" w:beforeAutospacing="1" w:after="100" w:afterAutospacing="1" w:line="240" w:lineRule="auto"/>
      <w:textAlignment w:val="auto"/>
    </w:pPr>
    <w:rPr>
      <w:rFonts w:ascii="宋体"/>
      <w:szCs w:val="24"/>
      <w:lang w:eastAsia="en-US"/>
    </w:rPr>
  </w:style>
  <w:style w:type="paragraph" w:styleId="37">
    <w:name w:val="annotation subject"/>
    <w:basedOn w:val="16"/>
    <w:next w:val="16"/>
    <w:link w:val="141"/>
    <w:qFormat/>
    <w:uiPriority w:val="0"/>
    <w:rPr>
      <w:b/>
      <w:bCs/>
      <w:kern w:val="2"/>
    </w:rPr>
  </w:style>
  <w:style w:type="paragraph" w:styleId="38">
    <w:name w:val="Body Text First Indent"/>
    <w:basedOn w:val="2"/>
    <w:next w:val="1"/>
    <w:link w:val="143"/>
    <w:qFormat/>
    <w:uiPriority w:val="0"/>
    <w:pPr>
      <w:spacing w:after="120"/>
      <w:ind w:firstLine="420" w:firstLineChars="100"/>
    </w:pPr>
    <w:rPr>
      <w:sz w:val="21"/>
      <w:szCs w:val="24"/>
    </w:rPr>
  </w:style>
  <w:style w:type="paragraph" w:styleId="39">
    <w:name w:val="Body Text First Indent 2"/>
    <w:basedOn w:val="18"/>
    <w:next w:val="1"/>
    <w:qFormat/>
    <w:uiPriority w:val="99"/>
    <w:pPr>
      <w:tabs>
        <w:tab w:val="left" w:pos="2340"/>
      </w:tabs>
      <w:ind w:firstLine="420"/>
    </w:pPr>
  </w:style>
  <w:style w:type="table" w:styleId="41">
    <w:name w:val="Table Grid"/>
    <w:basedOn w:val="4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paragraph" w:customStyle="1" w:styleId="47">
    <w:name w:val="正文1"/>
    <w:basedOn w:val="1"/>
    <w:next w:val="1"/>
    <w:qFormat/>
    <w:uiPriority w:val="0"/>
    <w:pPr>
      <w:numPr>
        <w:ilvl w:val="0"/>
        <w:numId w:val="2"/>
      </w:numPr>
      <w:adjustRightInd/>
      <w:spacing w:line="360" w:lineRule="auto"/>
      <w:textAlignment w:val="auto"/>
    </w:pPr>
    <w:rPr>
      <w:rFonts w:ascii="宋体" w:hAnsi="Calibri"/>
      <w:color w:val="000000"/>
      <w:kern w:val="2"/>
      <w:szCs w:val="28"/>
    </w:rPr>
  </w:style>
  <w:style w:type="paragraph" w:customStyle="1" w:styleId="48">
    <w:name w:val="无间隔1"/>
    <w:link w:val="162"/>
    <w:qFormat/>
    <w:uiPriority w:val="1"/>
    <w:rPr>
      <w:rFonts w:ascii="Times New Roman" w:hAnsi="Times New Roman" w:eastAsia="等线" w:cs="Times New Roman"/>
      <w:sz w:val="22"/>
      <w:szCs w:val="22"/>
      <w:lang w:val="en-US" w:eastAsia="zh-CN" w:bidi="ar-SA"/>
    </w:rPr>
  </w:style>
  <w:style w:type="paragraph" w:customStyle="1" w:styleId="49">
    <w:name w:val="样式 首行缩进:  0.85 厘米"/>
    <w:basedOn w:val="1"/>
    <w:qFormat/>
    <w:uiPriority w:val="0"/>
    <w:pPr>
      <w:adjustRightInd/>
      <w:spacing w:line="240" w:lineRule="auto"/>
      <w:ind w:firstLine="851"/>
      <w:jc w:val="both"/>
      <w:textAlignment w:val="auto"/>
    </w:pPr>
    <w:rPr>
      <w:rFonts w:cs="宋体"/>
      <w:kern w:val="2"/>
      <w:szCs w:val="24"/>
    </w:rPr>
  </w:style>
  <w:style w:type="paragraph" w:customStyle="1" w:styleId="50">
    <w:name w:val="xl23"/>
    <w:basedOn w:val="1"/>
    <w:qFormat/>
    <w:uiPriority w:val="0"/>
    <w:pPr>
      <w:widowControl/>
      <w:adjustRightInd/>
      <w:spacing w:before="100" w:beforeAutospacing="1" w:after="100" w:afterAutospacing="1" w:line="360" w:lineRule="auto"/>
      <w:jc w:val="both"/>
      <w:textAlignment w:val="top"/>
    </w:pPr>
    <w:rPr>
      <w:szCs w:val="24"/>
    </w:rPr>
  </w:style>
  <w:style w:type="paragraph" w:customStyle="1" w:styleId="51">
    <w:name w:val="彩色列表1"/>
    <w:basedOn w:val="1"/>
    <w:qFormat/>
    <w:uiPriority w:val="0"/>
    <w:pPr>
      <w:adjustRightInd/>
      <w:spacing w:line="240" w:lineRule="auto"/>
      <w:ind w:firstLine="200" w:firstLineChars="200"/>
      <w:jc w:val="both"/>
      <w:textAlignment w:val="auto"/>
    </w:pPr>
    <w:rPr>
      <w:kern w:val="2"/>
      <w:szCs w:val="24"/>
    </w:rPr>
  </w:style>
  <w:style w:type="paragraph" w:customStyle="1" w:styleId="52">
    <w:name w:val="样式 样式 标题 1 + 黑体 三号 + 段前: 1 行 段后: 1 行"/>
    <w:basedOn w:val="1"/>
    <w:qFormat/>
    <w:uiPriority w:val="0"/>
    <w:pPr>
      <w:keepNext/>
      <w:keepLines/>
      <w:tabs>
        <w:tab w:val="left" w:pos="425"/>
      </w:tabs>
      <w:adjustRightInd/>
      <w:spacing w:beforeLines="100" w:afterLines="100" w:line="360" w:lineRule="auto"/>
      <w:ind w:left="425" w:hanging="425"/>
      <w:jc w:val="both"/>
      <w:textAlignment w:val="auto"/>
      <w:outlineLvl w:val="0"/>
    </w:pPr>
    <w:rPr>
      <w:rFonts w:ascii="Arial" w:hAnsi="Arial" w:eastAsia="黑体" w:cs="宋体"/>
      <w:b/>
      <w:bCs/>
      <w:spacing w:val="10"/>
      <w:kern w:val="44"/>
      <w:sz w:val="32"/>
      <w:szCs w:val="32"/>
    </w:rPr>
  </w:style>
  <w:style w:type="paragraph" w:customStyle="1" w:styleId="53">
    <w:name w:val="正文2"/>
    <w:basedOn w:val="1"/>
    <w:qFormat/>
    <w:uiPriority w:val="0"/>
    <w:pPr>
      <w:tabs>
        <w:tab w:val="left" w:pos="3360"/>
      </w:tabs>
      <w:adjustRightInd/>
      <w:spacing w:before="60" w:after="60" w:line="360" w:lineRule="auto"/>
      <w:ind w:left="3360" w:hanging="420"/>
      <w:jc w:val="both"/>
      <w:textAlignment w:val="auto"/>
      <w:outlineLvl w:val="7"/>
    </w:pPr>
    <w:rPr>
      <w:kern w:val="2"/>
      <w:szCs w:val="24"/>
    </w:rPr>
  </w:style>
  <w:style w:type="paragraph" w:customStyle="1" w:styleId="54">
    <w:name w:val="默认段落字体 Para Char Char Char Char"/>
    <w:basedOn w:val="1"/>
    <w:qFormat/>
    <w:uiPriority w:val="0"/>
    <w:pPr>
      <w:adjustRightInd/>
      <w:spacing w:line="240" w:lineRule="auto"/>
      <w:jc w:val="both"/>
      <w:textAlignment w:val="auto"/>
    </w:pPr>
    <w:rPr>
      <w:rFonts w:ascii="Arial" w:hAnsi="Arial" w:cs="Arial"/>
      <w:kern w:val="2"/>
      <w:sz w:val="21"/>
      <w:szCs w:val="21"/>
    </w:rPr>
  </w:style>
  <w:style w:type="paragraph" w:customStyle="1" w:styleId="55">
    <w:name w:val="样式1"/>
    <w:basedOn w:val="1"/>
    <w:qFormat/>
    <w:uiPriority w:val="0"/>
    <w:pPr>
      <w:tabs>
        <w:tab w:val="left" w:pos="0"/>
      </w:tabs>
      <w:spacing w:line="240" w:lineRule="auto"/>
      <w:jc w:val="both"/>
    </w:pPr>
    <w:rPr>
      <w:rFonts w:ascii="宋体"/>
      <w:sz w:val="21"/>
      <w:szCs w:val="21"/>
    </w:rPr>
  </w:style>
  <w:style w:type="paragraph" w:customStyle="1" w:styleId="56">
    <w:name w:val="Char2"/>
    <w:basedOn w:val="1"/>
    <w:qFormat/>
    <w:uiPriority w:val="0"/>
    <w:pPr>
      <w:widowControl/>
      <w:adjustRightInd/>
      <w:spacing w:after="160" w:line="240" w:lineRule="exact"/>
      <w:textAlignment w:val="auto"/>
    </w:pPr>
    <w:rPr>
      <w:kern w:val="2"/>
      <w:sz w:val="21"/>
      <w:szCs w:val="24"/>
    </w:rPr>
  </w:style>
  <w:style w:type="paragraph" w:customStyle="1" w:styleId="57">
    <w:name w:val="样式 标题 5 + 段前: 5 磅 段后: 5 磅 行距: 单倍行距"/>
    <w:basedOn w:val="7"/>
    <w:qFormat/>
    <w:uiPriority w:val="0"/>
    <w:pPr>
      <w:tabs>
        <w:tab w:val="left" w:pos="2100"/>
        <w:tab w:val="clear" w:pos="0"/>
      </w:tabs>
      <w:spacing w:before="100" w:after="100" w:line="240" w:lineRule="auto"/>
      <w:ind w:left="2100" w:hanging="420"/>
    </w:pPr>
    <w:rPr>
      <w:szCs w:val="20"/>
    </w:rPr>
  </w:style>
  <w:style w:type="paragraph" w:customStyle="1" w:styleId="58">
    <w:name w:val="样式 样式 样式 样式 标题 2 + 宋体 五号 非加粗 黑色 + 段前: 6 磅 段后: 0 磅 行距: 单倍行距 + 段前:..."/>
    <w:basedOn w:val="59"/>
    <w:qFormat/>
    <w:uiPriority w:val="0"/>
    <w:pPr>
      <w:tabs>
        <w:tab w:val="left" w:pos="1140"/>
      </w:tabs>
    </w:pPr>
    <w:rPr>
      <w:b/>
      <w:bCs/>
    </w:rPr>
  </w:style>
  <w:style w:type="paragraph" w:customStyle="1" w:styleId="59">
    <w:name w:val="样式 样式 样式 标题 2 + 宋体 五号 非加粗 黑色 + 段前: 6 磅 段后: 0 磅 行距: 单倍行距 + 段前: 12..."/>
    <w:basedOn w:val="60"/>
    <w:qFormat/>
    <w:uiPriority w:val="0"/>
    <w:pPr>
      <w:tabs>
        <w:tab w:val="left" w:pos="1140"/>
      </w:tabs>
      <w:spacing w:before="240"/>
    </w:pPr>
  </w:style>
  <w:style w:type="paragraph" w:customStyle="1" w:styleId="60">
    <w:name w:val="样式 样式 标题 2 + 宋体 五号 非加粗 黑色 + 段前: 6 磅 段后: 0 磅 行距: 单倍行距"/>
    <w:basedOn w:val="61"/>
    <w:qFormat/>
    <w:uiPriority w:val="0"/>
    <w:pPr>
      <w:tabs>
        <w:tab w:val="left" w:pos="1140"/>
      </w:tabs>
      <w:spacing w:before="120" w:after="0" w:line="240" w:lineRule="auto"/>
    </w:pPr>
    <w:rPr>
      <w:szCs w:val="20"/>
    </w:rPr>
  </w:style>
  <w:style w:type="paragraph" w:customStyle="1" w:styleId="61">
    <w:name w:val="样式 标题 2 + 宋体 五号 非加粗 黑色"/>
    <w:basedOn w:val="4"/>
    <w:qFormat/>
    <w:uiPriority w:val="0"/>
    <w:pPr>
      <w:tabs>
        <w:tab w:val="left" w:pos="1140"/>
        <w:tab w:val="clear" w:pos="0"/>
      </w:tabs>
      <w:ind w:left="1140" w:hanging="720"/>
    </w:pPr>
    <w:rPr>
      <w:rFonts w:ascii="宋体" w:eastAsia="宋体"/>
      <w:b w:val="0"/>
      <w:bCs w:val="0"/>
      <w:color w:val="000000"/>
      <w:sz w:val="21"/>
    </w:rPr>
  </w:style>
  <w:style w:type="paragraph" w:customStyle="1" w:styleId="62">
    <w:name w:val="标书正文"/>
    <w:basedOn w:val="1"/>
    <w:next w:val="1"/>
    <w:qFormat/>
    <w:uiPriority w:val="0"/>
    <w:pPr>
      <w:widowControl/>
      <w:adjustRightInd/>
      <w:spacing w:beforeLines="50" w:line="400" w:lineRule="exact"/>
      <w:ind w:firstLine="200" w:firstLineChars="200"/>
      <w:jc w:val="both"/>
      <w:textAlignment w:val="auto"/>
    </w:pPr>
    <w:rPr>
      <w:rFonts w:ascii="黑体"/>
    </w:rPr>
  </w:style>
  <w:style w:type="paragraph" w:customStyle="1" w:styleId="63">
    <w:name w:val="Char Char Char Char"/>
    <w:basedOn w:val="1"/>
    <w:qFormat/>
    <w:uiPriority w:val="0"/>
    <w:pPr>
      <w:adjustRightInd/>
      <w:spacing w:line="240" w:lineRule="auto"/>
      <w:jc w:val="both"/>
      <w:textAlignment w:val="auto"/>
    </w:pPr>
    <w:rPr>
      <w:rFonts w:ascii="Tahoma" w:hAnsi="Tahoma"/>
      <w:kern w:val="2"/>
    </w:rPr>
  </w:style>
  <w:style w:type="paragraph" w:customStyle="1" w:styleId="64">
    <w:name w:val="xl27"/>
    <w:basedOn w:val="1"/>
    <w:qFormat/>
    <w:uiPriority w:val="0"/>
    <w:pPr>
      <w:widowControl/>
      <w:adjustRightInd/>
      <w:spacing w:before="100" w:beforeAutospacing="1" w:after="100" w:afterAutospacing="1" w:line="240" w:lineRule="auto"/>
      <w:jc w:val="center"/>
      <w:textAlignment w:val="auto"/>
    </w:pPr>
    <w:rPr>
      <w:rFonts w:ascii="Arial Unicode MS" w:eastAsia="Arial Unicode MS" w:cs="Arial Unicode MS"/>
      <w:szCs w:val="24"/>
    </w:rPr>
  </w:style>
  <w:style w:type="paragraph" w:customStyle="1" w:styleId="65">
    <w:name w:val="blockquote"/>
    <w:next w:val="32"/>
    <w:qFormat/>
    <w:uiPriority w:val="0"/>
    <w:pPr>
      <w:autoSpaceDE w:val="0"/>
      <w:autoSpaceDN w:val="0"/>
      <w:spacing w:before="100" w:after="100"/>
      <w:ind w:left="360" w:right="360"/>
    </w:pPr>
    <w:rPr>
      <w:rFonts w:ascii="Times New Roman" w:hAnsi="Times New Roman" w:eastAsia="宋体" w:cs="Times New Roman"/>
      <w:sz w:val="24"/>
      <w:szCs w:val="24"/>
      <w:lang w:val="en-US" w:eastAsia="zh-CN" w:bidi="ar-SA"/>
    </w:rPr>
  </w:style>
  <w:style w:type="paragraph" w:customStyle="1" w:styleId="66">
    <w:name w:val="L33"/>
    <w:basedOn w:val="1"/>
    <w:qFormat/>
    <w:uiPriority w:val="0"/>
    <w:pPr>
      <w:numPr>
        <w:ilvl w:val="0"/>
        <w:numId w:val="3"/>
      </w:numPr>
      <w:tabs>
        <w:tab w:val="left" w:pos="1680"/>
        <w:tab w:val="clear" w:pos="0"/>
      </w:tabs>
      <w:adjustRightInd/>
      <w:spacing w:line="240" w:lineRule="auto"/>
      <w:ind w:left="0" w:firstLine="228" w:firstLineChars="228"/>
      <w:jc w:val="both"/>
      <w:textAlignment w:val="auto"/>
    </w:pPr>
    <w:rPr>
      <w:rFonts w:ascii="Calibri" w:hAnsi="Calibri"/>
      <w:bCs/>
      <w:kern w:val="2"/>
      <w:sz w:val="21"/>
    </w:rPr>
  </w:style>
  <w:style w:type="paragraph" w:customStyle="1" w:styleId="67">
    <w:name w:val="样式 标题 4 + 段前: 5 磅 段后: 5 磅 行距: 单倍行距"/>
    <w:basedOn w:val="6"/>
    <w:qFormat/>
    <w:uiPriority w:val="0"/>
    <w:pPr>
      <w:tabs>
        <w:tab w:val="left" w:pos="1680"/>
        <w:tab w:val="clear" w:pos="0"/>
      </w:tabs>
      <w:spacing w:before="100" w:after="100" w:line="240" w:lineRule="auto"/>
      <w:ind w:left="1680" w:hanging="420"/>
    </w:pPr>
    <w:rPr>
      <w:szCs w:val="20"/>
    </w:rPr>
  </w:style>
  <w:style w:type="paragraph" w:customStyle="1" w:styleId="68">
    <w:name w:val="样式2"/>
    <w:basedOn w:val="1"/>
    <w:qFormat/>
    <w:uiPriority w:val="0"/>
    <w:pPr>
      <w:tabs>
        <w:tab w:val="left" w:pos="567"/>
      </w:tabs>
      <w:spacing w:line="240" w:lineRule="auto"/>
      <w:ind w:left="567" w:hanging="567"/>
      <w:jc w:val="both"/>
    </w:pPr>
    <w:rPr>
      <w:rFonts w:ascii="宋体"/>
      <w:sz w:val="21"/>
      <w:szCs w:val="21"/>
    </w:rPr>
  </w:style>
  <w:style w:type="paragraph" w:customStyle="1" w:styleId="69">
    <w:name w:val="Char Char Char Char Char Char Char Char Char Char Char Char Char Char Char Char Char Char Char Char Char Char Char Char Char"/>
    <w:basedOn w:val="1"/>
    <w:qFormat/>
    <w:uiPriority w:val="0"/>
    <w:pPr>
      <w:adjustRightInd/>
      <w:spacing w:line="240" w:lineRule="auto"/>
      <w:jc w:val="both"/>
      <w:textAlignment w:val="auto"/>
    </w:pPr>
    <w:rPr>
      <w:rFonts w:ascii="Tahoma" w:hAnsi="Tahoma"/>
      <w:kern w:val="2"/>
    </w:rPr>
  </w:style>
  <w:style w:type="paragraph" w:customStyle="1" w:styleId="70">
    <w:name w:val="Body Text Indent 21"/>
    <w:basedOn w:val="1"/>
    <w:qFormat/>
    <w:uiPriority w:val="0"/>
    <w:pPr>
      <w:spacing w:line="240" w:lineRule="auto"/>
      <w:ind w:left="720" w:hanging="720"/>
      <w:jc w:val="both"/>
    </w:pPr>
    <w:rPr>
      <w:b/>
      <w:kern w:val="2"/>
      <w:sz w:val="28"/>
    </w:rPr>
  </w:style>
  <w:style w:type="paragraph" w:customStyle="1" w:styleId="71">
    <w:name w:val="样式6"/>
    <w:basedOn w:val="4"/>
    <w:qFormat/>
    <w:uiPriority w:val="0"/>
    <w:pPr>
      <w:adjustRightInd/>
      <w:spacing w:before="0" w:after="0" w:line="560" w:lineRule="exact"/>
      <w:jc w:val="both"/>
      <w:textAlignment w:val="auto"/>
    </w:pPr>
    <w:rPr>
      <w:rFonts w:eastAsia="宋体"/>
      <w:b w:val="0"/>
      <w:kern w:val="2"/>
      <w:sz w:val="28"/>
    </w:rPr>
  </w:style>
  <w:style w:type="paragraph" w:customStyle="1" w:styleId="72">
    <w:name w:val="PMletterTextBullet"/>
    <w:basedOn w:val="73"/>
    <w:qFormat/>
    <w:uiPriority w:val="0"/>
    <w:pPr>
      <w:tabs>
        <w:tab w:val="left" w:pos="840"/>
        <w:tab w:val="left" w:pos="1800"/>
      </w:tabs>
      <w:ind w:left="1800" w:hanging="360"/>
    </w:pPr>
  </w:style>
  <w:style w:type="paragraph" w:customStyle="1" w:styleId="73">
    <w:name w:val="PMletterText"/>
    <w:basedOn w:val="74"/>
    <w:qFormat/>
    <w:uiPriority w:val="0"/>
    <w:pPr>
      <w:spacing w:before="240"/>
      <w:ind w:left="720"/>
    </w:pPr>
  </w:style>
  <w:style w:type="paragraph" w:customStyle="1" w:styleId="74">
    <w:name w:val="PMstyle"/>
    <w:qFormat/>
    <w:uiPriority w:val="0"/>
    <w:rPr>
      <w:rFonts w:ascii="Tahoma" w:hAnsi="Tahoma" w:eastAsia="宋体" w:cs="Times New Roman"/>
      <w:sz w:val="22"/>
      <w:lang w:val="en-US" w:eastAsia="zh-CN" w:bidi="ar-SA"/>
    </w:rPr>
  </w:style>
  <w:style w:type="paragraph" w:customStyle="1" w:styleId="75">
    <w:name w:val="列出段落1"/>
    <w:basedOn w:val="1"/>
    <w:qFormat/>
    <w:uiPriority w:val="34"/>
    <w:pPr>
      <w:adjustRightInd/>
      <w:spacing w:line="240" w:lineRule="auto"/>
      <w:ind w:firstLine="200" w:firstLineChars="200"/>
      <w:jc w:val="both"/>
      <w:textAlignment w:val="auto"/>
    </w:pPr>
    <w:rPr>
      <w:kern w:val="2"/>
      <w:sz w:val="21"/>
      <w:szCs w:val="24"/>
    </w:rPr>
  </w:style>
  <w:style w:type="paragraph" w:customStyle="1" w:styleId="76">
    <w:name w:val="TOC 标题1"/>
    <w:basedOn w:val="3"/>
    <w:next w:val="1"/>
    <w:qFormat/>
    <w:uiPriority w:val="39"/>
    <w:pPr>
      <w:widowControl/>
      <w:tabs>
        <w:tab w:val="clear" w:pos="0"/>
      </w:tabs>
      <w:adjustRightInd/>
      <w:spacing w:before="480" w:after="0" w:line="276" w:lineRule="auto"/>
      <w:textAlignment w:val="auto"/>
      <w:outlineLvl w:val="9"/>
    </w:pPr>
    <w:rPr>
      <w:rFonts w:ascii="Cambria" w:hAnsi="Cambria"/>
      <w:color w:val="365F91"/>
      <w:kern w:val="0"/>
      <w:sz w:val="28"/>
      <w:szCs w:val="28"/>
    </w:rPr>
  </w:style>
  <w:style w:type="paragraph" w:customStyle="1" w:styleId="77">
    <w:name w:val="Char Char Char Char Char Char Char Char Char Char Char Char 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78">
    <w:name w:val="样式 标题 5 + 段前: 1 行 段后: 1 行"/>
    <w:basedOn w:val="7"/>
    <w:qFormat/>
    <w:uiPriority w:val="0"/>
    <w:pPr>
      <w:tabs>
        <w:tab w:val="left" w:pos="992"/>
        <w:tab w:val="clear" w:pos="0"/>
      </w:tabs>
      <w:adjustRightInd/>
      <w:spacing w:beforeLines="100" w:afterLines="100" w:line="360" w:lineRule="auto"/>
      <w:ind w:left="992" w:hanging="992"/>
      <w:jc w:val="both"/>
      <w:textAlignment w:val="auto"/>
    </w:pPr>
    <w:rPr>
      <w:rFonts w:ascii="Arial" w:hAnsi="Arial" w:eastAsia="黑体" w:cs="宋体"/>
      <w:b w:val="0"/>
      <w:bCs w:val="0"/>
      <w:spacing w:val="10"/>
      <w:kern w:val="2"/>
      <w:sz w:val="24"/>
      <w:szCs w:val="24"/>
    </w:rPr>
  </w:style>
  <w:style w:type="paragraph" w:customStyle="1" w:styleId="79">
    <w:name w:val="样式 标题 3h3H3sect1.2.3 + 五号 段前: 6 磅 段后: 6 磅 行距: 单倍行距"/>
    <w:basedOn w:val="5"/>
    <w:qFormat/>
    <w:uiPriority w:val="0"/>
    <w:pPr>
      <w:tabs>
        <w:tab w:val="left" w:pos="1260"/>
        <w:tab w:val="clear" w:pos="0"/>
      </w:tabs>
      <w:spacing w:before="120" w:after="120" w:line="240" w:lineRule="auto"/>
      <w:ind w:left="1260" w:hanging="420"/>
    </w:pPr>
    <w:rPr>
      <w:sz w:val="21"/>
      <w:szCs w:val="20"/>
    </w:rPr>
  </w:style>
  <w:style w:type="paragraph" w:customStyle="1" w:styleId="80">
    <w:name w:val="Body Text 21"/>
    <w:basedOn w:val="1"/>
    <w:qFormat/>
    <w:uiPriority w:val="0"/>
    <w:pPr>
      <w:spacing w:before="240" w:line="400" w:lineRule="exact"/>
      <w:ind w:firstLine="357"/>
      <w:jc w:val="both"/>
    </w:pPr>
    <w:rPr>
      <w:kern w:val="2"/>
      <w:sz w:val="28"/>
    </w:rPr>
  </w:style>
  <w:style w:type="paragraph" w:customStyle="1" w:styleId="81">
    <w:name w:val="样式 宋体 五号 行距: 单倍行距"/>
    <w:basedOn w:val="1"/>
    <w:qFormat/>
    <w:uiPriority w:val="0"/>
    <w:pPr>
      <w:spacing w:line="240" w:lineRule="auto"/>
    </w:pPr>
    <w:rPr>
      <w:rFonts w:ascii="宋体"/>
      <w:sz w:val="21"/>
    </w:rPr>
  </w:style>
  <w:style w:type="paragraph" w:customStyle="1" w:styleId="82">
    <w:name w:val="样式4"/>
    <w:basedOn w:val="33"/>
    <w:qFormat/>
    <w:uiPriority w:val="0"/>
    <w:pPr>
      <w:adjustRightInd/>
      <w:spacing w:line="240" w:lineRule="auto"/>
      <w:ind w:left="420"/>
      <w:jc w:val="both"/>
      <w:textAlignment w:val="auto"/>
    </w:pPr>
    <w:rPr>
      <w:kern w:val="2"/>
      <w:sz w:val="28"/>
    </w:rPr>
  </w:style>
  <w:style w:type="paragraph" w:customStyle="1" w:styleId="83">
    <w:name w:val="正文缩进 1 五号字"/>
    <w:basedOn w:val="1"/>
    <w:qFormat/>
    <w:uiPriority w:val="0"/>
    <w:pPr>
      <w:adjustRightInd/>
      <w:spacing w:line="360" w:lineRule="auto"/>
      <w:ind w:firstLine="200" w:firstLineChars="200"/>
      <w:textAlignment w:val="auto"/>
    </w:pPr>
    <w:rPr>
      <w:rFonts w:ascii="宋体"/>
      <w:kern w:val="2"/>
      <w:sz w:val="21"/>
      <w:szCs w:val="21"/>
    </w:rPr>
  </w:style>
  <w:style w:type="paragraph" w:customStyle="1" w:styleId="84">
    <w:name w:val="Indent Normal"/>
    <w:basedOn w:val="1"/>
    <w:qFormat/>
    <w:uiPriority w:val="0"/>
    <w:pPr>
      <w:adjustRightInd/>
      <w:spacing w:line="240" w:lineRule="auto"/>
      <w:ind w:firstLine="420"/>
      <w:jc w:val="both"/>
      <w:textAlignment w:val="auto"/>
    </w:pPr>
    <w:rPr>
      <w:kern w:val="2"/>
      <w:sz w:val="21"/>
      <w:szCs w:val="24"/>
    </w:rPr>
  </w:style>
  <w:style w:type="paragraph" w:customStyle="1" w:styleId="85">
    <w:name w:val="FA正文"/>
    <w:basedOn w:val="1"/>
    <w:qFormat/>
    <w:uiPriority w:val="0"/>
    <w:pPr>
      <w:tabs>
        <w:tab w:val="left" w:pos="3375"/>
      </w:tabs>
      <w:adjustRightInd/>
      <w:spacing w:after="60" w:line="360" w:lineRule="auto"/>
      <w:ind w:firstLine="200" w:firstLineChars="200"/>
      <w:jc w:val="both"/>
      <w:textAlignment w:val="auto"/>
    </w:pPr>
    <w:rPr>
      <w:rFonts w:ascii="宋体"/>
      <w:spacing w:val="10"/>
      <w:kern w:val="2"/>
      <w:sz w:val="21"/>
      <w:szCs w:val="21"/>
    </w:rPr>
  </w:style>
  <w:style w:type="paragraph" w:customStyle="1" w:styleId="86">
    <w:name w:val="样式 标题 4 + (西文) 方正黑体_GBK (中文) 方正黑体_GBK (符号) 宋体 三号 非加粗 段前: 0 ...1"/>
    <w:basedOn w:val="4"/>
    <w:next w:val="1"/>
    <w:qFormat/>
    <w:uiPriority w:val="0"/>
    <w:pPr>
      <w:tabs>
        <w:tab w:val="clear" w:pos="0"/>
      </w:tabs>
      <w:adjustRightInd/>
      <w:spacing w:beforeLines="50" w:after="0" w:line="360" w:lineRule="auto"/>
      <w:ind w:left="432" w:leftChars="355" w:hanging="77" w:hangingChars="77"/>
      <w:textAlignment w:val="auto"/>
    </w:pPr>
    <w:rPr>
      <w:rFonts w:ascii="宋体" w:eastAsia="宋体" w:cs="宋体"/>
      <w:kern w:val="2"/>
    </w:rPr>
  </w:style>
  <w:style w:type="paragraph" w:customStyle="1" w:styleId="87">
    <w:name w:val="Char Char Char Char Char Char1 Char Char Char Char Char Char Char Char Char Char Char"/>
    <w:basedOn w:val="1"/>
    <w:qFormat/>
    <w:uiPriority w:val="0"/>
    <w:pPr>
      <w:widowControl/>
      <w:adjustRightInd/>
      <w:spacing w:after="160" w:line="240" w:lineRule="exact"/>
      <w:textAlignment w:val="auto"/>
    </w:pPr>
    <w:rPr>
      <w:rFonts w:ascii="Verdana" w:hAnsi="Verdana" w:eastAsia="仿宋_GB2312"/>
      <w:kern w:val="2"/>
      <w:szCs w:val="24"/>
      <w:lang w:eastAsia="en-US"/>
    </w:rPr>
  </w:style>
  <w:style w:type="paragraph" w:customStyle="1" w:styleId="88">
    <w:name w:val="样式 样式 标题 4 + 段前: 5 磅 段后: 5 磅 行距: 单倍行距 + 五号"/>
    <w:basedOn w:val="67"/>
    <w:qFormat/>
    <w:uiPriority w:val="0"/>
    <w:rPr>
      <w:sz w:val="21"/>
    </w:rPr>
  </w:style>
  <w:style w:type="paragraph" w:customStyle="1" w:styleId="89">
    <w:name w:val="列出段落11"/>
    <w:basedOn w:val="1"/>
    <w:qFormat/>
    <w:uiPriority w:val="0"/>
    <w:pPr>
      <w:adjustRightInd/>
      <w:spacing w:line="360" w:lineRule="auto"/>
      <w:ind w:firstLine="200" w:firstLineChars="200"/>
      <w:jc w:val="both"/>
      <w:textAlignment w:val="auto"/>
    </w:pPr>
    <w:rPr>
      <w:kern w:val="2"/>
      <w:szCs w:val="21"/>
    </w:rPr>
  </w:style>
  <w:style w:type="paragraph" w:customStyle="1" w:styleId="90">
    <w:name w:val="样式 宋体 小四 行距: 1.5 倍行距"/>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1">
    <w:name w:val="修订1"/>
    <w:qFormat/>
    <w:uiPriority w:val="0"/>
    <w:rPr>
      <w:rFonts w:ascii="Times New Roman" w:hAnsi="Times New Roman" w:eastAsia="宋体" w:cs="Times New Roman"/>
      <w:sz w:val="24"/>
      <w:lang w:val="en-US" w:eastAsia="zh-CN" w:bidi="ar-SA"/>
    </w:rPr>
  </w:style>
  <w:style w:type="paragraph" w:customStyle="1" w:styleId="92">
    <w:name w:val="模板正文"/>
    <w:basedOn w:val="1"/>
    <w:qFormat/>
    <w:uiPriority w:val="0"/>
    <w:pPr>
      <w:adjustRightInd/>
      <w:spacing w:beforeLines="50" w:line="400" w:lineRule="exact"/>
      <w:ind w:firstLine="200" w:firstLineChars="200"/>
      <w:jc w:val="both"/>
      <w:textAlignment w:val="auto"/>
    </w:pPr>
    <w:rPr>
      <w:rFonts w:ascii="宋体" w:hAnsi="宋体"/>
      <w:kern w:val="2"/>
      <w:szCs w:val="24"/>
    </w:rPr>
  </w:style>
  <w:style w:type="paragraph" w:customStyle="1" w:styleId="93">
    <w:name w:val="样式 宋体 小四"/>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4">
    <w:name w:val="样式 左侧:  2 字符"/>
    <w:basedOn w:val="1"/>
    <w:qFormat/>
    <w:uiPriority w:val="0"/>
    <w:pPr>
      <w:adjustRightInd/>
      <w:spacing w:line="520" w:lineRule="exact"/>
      <w:ind w:firstLine="200" w:firstLineChars="200"/>
      <w:jc w:val="both"/>
      <w:textAlignment w:val="auto"/>
    </w:pPr>
    <w:rPr>
      <w:rFonts w:cs="宋体"/>
      <w:kern w:val="2"/>
      <w:sz w:val="28"/>
    </w:rPr>
  </w:style>
  <w:style w:type="paragraph" w:customStyle="1" w:styleId="95">
    <w:name w:val="样式 样式 标题 5 + 段前: 5 磅 段后: 5 磅 行距: 单倍行距 + 五号"/>
    <w:basedOn w:val="57"/>
    <w:qFormat/>
    <w:uiPriority w:val="0"/>
    <w:rPr>
      <w:sz w:val="21"/>
    </w:rPr>
  </w:style>
  <w:style w:type="paragraph" w:customStyle="1" w:styleId="96">
    <w:name w:val="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97">
    <w:name w:val="Char1 Char Char Char"/>
    <w:basedOn w:val="1"/>
    <w:qFormat/>
    <w:uiPriority w:val="0"/>
    <w:pPr>
      <w:adjustRightInd/>
      <w:spacing w:line="240" w:lineRule="auto"/>
      <w:jc w:val="both"/>
      <w:textAlignment w:val="auto"/>
    </w:pPr>
    <w:rPr>
      <w:rFonts w:ascii="Tahoma" w:hAnsi="Tahoma"/>
      <w:kern w:val="2"/>
    </w:rPr>
  </w:style>
  <w:style w:type="paragraph" w:customStyle="1" w:styleId="98">
    <w:name w:val="标题4"/>
    <w:basedOn w:val="4"/>
    <w:qFormat/>
    <w:uiPriority w:val="0"/>
    <w:pPr>
      <w:spacing w:beforeLines="50" w:afterLines="50" w:line="240" w:lineRule="auto"/>
      <w:jc w:val="center"/>
    </w:pPr>
    <w:rPr>
      <w:rFonts w:ascii="Times New Roman" w:hAnsi="Times New Roman" w:eastAsia="宋体"/>
      <w:color w:val="000000"/>
      <w:sz w:val="24"/>
    </w:rPr>
  </w:style>
  <w:style w:type="paragraph" w:customStyle="1" w:styleId="9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样式 标题 2 + 宋体 五号 行距: 单倍行距"/>
    <w:basedOn w:val="4"/>
    <w:qFormat/>
    <w:uiPriority w:val="0"/>
    <w:pPr>
      <w:tabs>
        <w:tab w:val="left" w:pos="1140"/>
        <w:tab w:val="clear" w:pos="0"/>
      </w:tabs>
      <w:spacing w:line="240" w:lineRule="auto"/>
      <w:ind w:left="1140" w:hanging="720"/>
    </w:pPr>
    <w:rPr>
      <w:rFonts w:ascii="宋体" w:eastAsia="宋体"/>
      <w:sz w:val="21"/>
      <w:szCs w:val="20"/>
    </w:rPr>
  </w:style>
  <w:style w:type="paragraph" w:customStyle="1" w:styleId="10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2">
    <w:name w:val="Cap_正文"/>
    <w:qFormat/>
    <w:uiPriority w:val="0"/>
    <w:pPr>
      <w:spacing w:after="160"/>
      <w:ind w:firstLine="200" w:firstLineChars="200"/>
    </w:pPr>
    <w:rPr>
      <w:rFonts w:ascii="Times New Roman" w:hAnsi="Times New Roman" w:eastAsia="宋体" w:cs="Times New Roman"/>
      <w:sz w:val="22"/>
      <w:szCs w:val="24"/>
      <w:lang w:val="en-US" w:eastAsia="zh-CN" w:bidi="ar-SA"/>
    </w:rPr>
  </w:style>
  <w:style w:type="paragraph" w:customStyle="1" w:styleId="103">
    <w:name w:val="C1"/>
    <w:basedOn w:val="1"/>
    <w:qFormat/>
    <w:uiPriority w:val="0"/>
    <w:pPr>
      <w:adjustRightInd/>
      <w:spacing w:after="120" w:line="360" w:lineRule="auto"/>
      <w:ind w:firstLine="175" w:firstLineChars="175"/>
      <w:jc w:val="both"/>
      <w:textAlignment w:val="auto"/>
    </w:pPr>
    <w:rPr>
      <w:rFonts w:ascii="Calibri" w:hAnsi="Calibri" w:cs="Arial"/>
      <w:bCs/>
      <w:kern w:val="44"/>
      <w:sz w:val="21"/>
      <w:szCs w:val="24"/>
    </w:rPr>
  </w:style>
  <w:style w:type="paragraph" w:customStyle="1" w:styleId="104">
    <w:name w:val="样式 宋体 五号 两端对齐 行距: 单倍行距"/>
    <w:basedOn w:val="1"/>
    <w:qFormat/>
    <w:uiPriority w:val="0"/>
    <w:pPr>
      <w:spacing w:line="240" w:lineRule="auto"/>
      <w:jc w:val="both"/>
    </w:pPr>
    <w:rPr>
      <w:rFonts w:ascii="宋体"/>
      <w:sz w:val="21"/>
    </w:rPr>
  </w:style>
  <w:style w:type="paragraph" w:customStyle="1" w:styleId="105">
    <w:name w:val="L4"/>
    <w:basedOn w:val="19"/>
    <w:qFormat/>
    <w:uiPriority w:val="0"/>
    <w:pPr>
      <w:tabs>
        <w:tab w:val="left" w:pos="420"/>
        <w:tab w:val="clear" w:pos="0"/>
      </w:tabs>
      <w:adjustRightInd/>
      <w:spacing w:line="240" w:lineRule="auto"/>
      <w:jc w:val="both"/>
      <w:textAlignment w:val="auto"/>
    </w:pPr>
    <w:rPr>
      <w:rFonts w:ascii="Calibri" w:hAnsi="Calibri"/>
      <w:kern w:val="2"/>
      <w:sz w:val="21"/>
    </w:rPr>
  </w:style>
  <w:style w:type="paragraph" w:customStyle="1" w:styleId="106">
    <w:name w:val="Char Char Char Char Char Char Char Char Char Char"/>
    <w:basedOn w:val="1"/>
    <w:qFormat/>
    <w:uiPriority w:val="0"/>
    <w:pPr>
      <w:widowControl/>
      <w:adjustRightInd/>
      <w:spacing w:after="160" w:line="240" w:lineRule="exact"/>
      <w:textAlignment w:val="auto"/>
    </w:pPr>
  </w:style>
  <w:style w:type="paragraph" w:customStyle="1" w:styleId="107">
    <w:name w:val="样式5"/>
    <w:basedOn w:val="3"/>
    <w:qFormat/>
    <w:uiPriority w:val="0"/>
    <w:pPr>
      <w:adjustRightInd/>
      <w:spacing w:line="576" w:lineRule="auto"/>
      <w:jc w:val="both"/>
      <w:textAlignment w:val="auto"/>
    </w:pPr>
    <w:rPr>
      <w:sz w:val="28"/>
    </w:rPr>
  </w:style>
  <w:style w:type="paragraph" w:customStyle="1" w:styleId="108">
    <w:name w:val="PMtextBullet"/>
    <w:basedOn w:val="74"/>
    <w:qFormat/>
    <w:uiPriority w:val="0"/>
    <w:pPr>
      <w:tabs>
        <w:tab w:val="left" w:pos="2520"/>
      </w:tabs>
      <w:spacing w:after="200"/>
      <w:ind w:left="2520" w:firstLine="288"/>
    </w:pPr>
  </w:style>
  <w:style w:type="paragraph" w:customStyle="1" w:styleId="109">
    <w:name w:val="样式 宋体 五号 两端对齐 行距: 单倍行距1"/>
    <w:basedOn w:val="1"/>
    <w:qFormat/>
    <w:uiPriority w:val="0"/>
    <w:pPr>
      <w:spacing w:line="240" w:lineRule="auto"/>
      <w:jc w:val="both"/>
    </w:pPr>
    <w:rPr>
      <w:rFonts w:ascii="宋体"/>
      <w:sz w:val="21"/>
    </w:rPr>
  </w:style>
  <w:style w:type="paragraph" w:customStyle="1" w:styleId="110">
    <w:name w:val="样式 标题 1 + 四号 居中 段前: 12 磅 段后: 12 磅 行距: 单倍行距"/>
    <w:basedOn w:val="3"/>
    <w:qFormat/>
    <w:uiPriority w:val="0"/>
    <w:pPr>
      <w:spacing w:before="240" w:after="240" w:line="240" w:lineRule="auto"/>
      <w:jc w:val="center"/>
    </w:pPr>
    <w:rPr>
      <w:sz w:val="28"/>
      <w:szCs w:val="20"/>
    </w:rPr>
  </w:style>
  <w:style w:type="paragraph" w:customStyle="1" w:styleId="111">
    <w:name w:val="xl4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top"/>
    </w:pPr>
    <w:rPr>
      <w:rFonts w:ascii="宋体" w:hAnsi="宋体" w:cs="宋体"/>
      <w:szCs w:val="24"/>
    </w:rPr>
  </w:style>
  <w:style w:type="paragraph" w:customStyle="1" w:styleId="112">
    <w:name w:val="正文空格"/>
    <w:basedOn w:val="1"/>
    <w:next w:val="1"/>
    <w:qFormat/>
    <w:uiPriority w:val="0"/>
    <w:pPr>
      <w:adjustRightInd/>
      <w:spacing w:line="400" w:lineRule="exact"/>
      <w:ind w:firstLine="200" w:firstLineChars="200"/>
      <w:jc w:val="both"/>
      <w:textAlignment w:val="auto"/>
    </w:pPr>
    <w:rPr>
      <w:kern w:val="2"/>
      <w:szCs w:val="22"/>
    </w:rPr>
  </w:style>
  <w:style w:type="paragraph" w:customStyle="1" w:styleId="113">
    <w:name w:val="一级"/>
    <w:basedOn w:val="1"/>
    <w:next w:val="1"/>
    <w:qFormat/>
    <w:uiPriority w:val="0"/>
    <w:pPr>
      <w:adjustRightInd/>
      <w:spacing w:before="360" w:after="360" w:line="400" w:lineRule="exact"/>
      <w:jc w:val="both"/>
      <w:textAlignment w:val="auto"/>
      <w:outlineLvl w:val="1"/>
    </w:pPr>
    <w:rPr>
      <w:rFonts w:eastAsia="黑体"/>
      <w:kern w:val="2"/>
      <w:sz w:val="28"/>
      <w:szCs w:val="22"/>
    </w:rPr>
  </w:style>
  <w:style w:type="paragraph" w:customStyle="1" w:styleId="114">
    <w:name w:val="表格文字"/>
    <w:basedOn w:val="1"/>
    <w:qFormat/>
    <w:uiPriority w:val="0"/>
    <w:pPr>
      <w:adjustRightInd/>
      <w:spacing w:line="240" w:lineRule="auto"/>
      <w:textAlignment w:val="auto"/>
    </w:pPr>
    <w:rPr>
      <w:kern w:val="2"/>
      <w:sz w:val="21"/>
      <w:szCs w:val="22"/>
    </w:rPr>
  </w:style>
  <w:style w:type="paragraph" w:customStyle="1" w:styleId="115">
    <w:name w:val="三级"/>
    <w:basedOn w:val="1"/>
    <w:next w:val="1"/>
    <w:qFormat/>
    <w:uiPriority w:val="0"/>
    <w:pPr>
      <w:adjustRightInd/>
      <w:spacing w:before="120" w:after="120" w:line="400" w:lineRule="exact"/>
      <w:jc w:val="both"/>
      <w:textAlignment w:val="auto"/>
      <w:outlineLvl w:val="3"/>
    </w:pPr>
    <w:rPr>
      <w:rFonts w:eastAsia="黑体"/>
      <w:kern w:val="2"/>
      <w:szCs w:val="22"/>
    </w:rPr>
  </w:style>
  <w:style w:type="paragraph" w:customStyle="1" w:styleId="116">
    <w:name w:val="章节"/>
    <w:basedOn w:val="1"/>
    <w:next w:val="1"/>
    <w:qFormat/>
    <w:uiPriority w:val="0"/>
    <w:pPr>
      <w:adjustRightInd/>
      <w:spacing w:before="600" w:after="600" w:line="400" w:lineRule="exact"/>
      <w:jc w:val="center"/>
      <w:textAlignment w:val="auto"/>
      <w:outlineLvl w:val="0"/>
    </w:pPr>
    <w:rPr>
      <w:rFonts w:eastAsia="黑体"/>
      <w:kern w:val="2"/>
      <w:sz w:val="30"/>
      <w:szCs w:val="22"/>
    </w:rPr>
  </w:style>
  <w:style w:type="paragraph" w:customStyle="1" w:styleId="117">
    <w:name w:val="二级"/>
    <w:basedOn w:val="1"/>
    <w:next w:val="1"/>
    <w:qFormat/>
    <w:uiPriority w:val="0"/>
    <w:pPr>
      <w:adjustRightInd/>
      <w:spacing w:before="240" w:after="240" w:line="400" w:lineRule="exact"/>
      <w:jc w:val="both"/>
      <w:textAlignment w:val="auto"/>
      <w:outlineLvl w:val="2"/>
    </w:pPr>
    <w:rPr>
      <w:rFonts w:eastAsia="黑体"/>
      <w:kern w:val="2"/>
      <w:sz w:val="28"/>
      <w:szCs w:val="22"/>
    </w:rPr>
  </w:style>
  <w:style w:type="paragraph" w:customStyle="1" w:styleId="118">
    <w:name w:val="图文"/>
    <w:basedOn w:val="1"/>
    <w:qFormat/>
    <w:uiPriority w:val="0"/>
    <w:pPr>
      <w:adjustRightInd/>
      <w:spacing w:before="120" w:line="400" w:lineRule="exact"/>
      <w:jc w:val="both"/>
      <w:textAlignment w:val="auto"/>
    </w:pPr>
    <w:rPr>
      <w:kern w:val="2"/>
      <w:sz w:val="21"/>
      <w:szCs w:val="22"/>
    </w:rPr>
  </w:style>
  <w:style w:type="paragraph" w:customStyle="1" w:styleId="119">
    <w:name w:val="表前正文"/>
    <w:basedOn w:val="112"/>
    <w:next w:val="1"/>
    <w:qFormat/>
    <w:uiPriority w:val="0"/>
    <w:pPr>
      <w:spacing w:after="100"/>
    </w:pPr>
  </w:style>
  <w:style w:type="paragraph" w:customStyle="1" w:styleId="120">
    <w:name w:val="四级"/>
    <w:basedOn w:val="115"/>
    <w:next w:val="1"/>
    <w:qFormat/>
    <w:uiPriority w:val="0"/>
    <w:pPr>
      <w:outlineLvl w:val="4"/>
    </w:pPr>
  </w:style>
  <w:style w:type="paragraph" w:customStyle="1" w:styleId="121">
    <w:name w:val="Char1"/>
    <w:basedOn w:val="1"/>
    <w:qFormat/>
    <w:uiPriority w:val="0"/>
    <w:pPr>
      <w:adjustRightInd/>
      <w:spacing w:line="240" w:lineRule="auto"/>
      <w:jc w:val="both"/>
      <w:textAlignment w:val="auto"/>
    </w:pPr>
    <w:rPr>
      <w:rFonts w:ascii="宋体" w:hAnsi="宋体"/>
      <w:i/>
      <w:kern w:val="2"/>
      <w:szCs w:val="24"/>
    </w:rPr>
  </w:style>
  <w:style w:type="paragraph" w:customStyle="1" w:styleId="122">
    <w:name w:val="样式 标题 2 + 段前: 0.3 行 + 段前: 0.4 行 段后: 0.4 行 + 段前: 0.4 行 段后:... + 段..."/>
    <w:basedOn w:val="1"/>
    <w:qFormat/>
    <w:uiPriority w:val="0"/>
    <w:pPr>
      <w:keepNext/>
      <w:keepLines/>
      <w:numPr>
        <w:ilvl w:val="1"/>
        <w:numId w:val="3"/>
      </w:numPr>
      <w:tabs>
        <w:tab w:val="left" w:pos="532"/>
      </w:tabs>
      <w:spacing w:beforeLines="40" w:afterLines="40" w:line="360" w:lineRule="auto"/>
      <w:jc w:val="both"/>
      <w:textAlignment w:val="auto"/>
      <w:outlineLvl w:val="1"/>
    </w:pPr>
    <w:rPr>
      <w:rFonts w:ascii="Arial" w:hAnsi="Arial" w:eastAsia="黑体" w:cs="宋体"/>
      <w:b/>
      <w:bCs/>
      <w:kern w:val="2"/>
      <w:sz w:val="30"/>
    </w:rPr>
  </w:style>
  <w:style w:type="paragraph" w:customStyle="1" w:styleId="123">
    <w:name w:val="样式 标题 1 + 段前: 0.3 行 + 段前: 0.5 行 段后: 0.5 行 + 段前: 0.5 行 段后: 0.3 行"/>
    <w:basedOn w:val="1"/>
    <w:qFormat/>
    <w:uiPriority w:val="0"/>
    <w:pPr>
      <w:keepNext/>
      <w:keepLines/>
      <w:tabs>
        <w:tab w:val="left" w:pos="0"/>
        <w:tab w:val="left" w:pos="252"/>
      </w:tabs>
      <w:adjustRightInd/>
      <w:spacing w:beforeLines="50" w:afterLines="30" w:line="360" w:lineRule="auto"/>
      <w:ind w:left="1680" w:hanging="420"/>
      <w:jc w:val="both"/>
      <w:textAlignment w:val="auto"/>
      <w:outlineLvl w:val="0"/>
    </w:pPr>
    <w:rPr>
      <w:rFonts w:cs="宋体"/>
      <w:b/>
      <w:bCs/>
      <w:kern w:val="44"/>
      <w:sz w:val="32"/>
    </w:rPr>
  </w:style>
  <w:style w:type="paragraph" w:customStyle="1" w:styleId="124">
    <w:name w:val="hc正文1.5"/>
    <w:basedOn w:val="1"/>
    <w:qFormat/>
    <w:uiPriority w:val="0"/>
    <w:pPr>
      <w:tabs>
        <w:tab w:val="left" w:pos="3265"/>
      </w:tabs>
      <w:adjustRightInd/>
      <w:spacing w:beforeLines="20" w:afterLines="20" w:line="460" w:lineRule="exact"/>
      <w:ind w:firstLine="480" w:firstLineChars="200"/>
      <w:jc w:val="both"/>
      <w:textAlignment w:val="auto"/>
    </w:pPr>
    <w:rPr>
      <w:rFonts w:ascii="宋体" w:hAnsi="宋体" w:cs="仿宋_GB2312"/>
      <w:szCs w:val="24"/>
    </w:rPr>
  </w:style>
  <w:style w:type="paragraph" w:customStyle="1" w:styleId="125">
    <w:name w:val="Table Paragraph"/>
    <w:basedOn w:val="1"/>
    <w:qFormat/>
    <w:uiPriority w:val="1"/>
    <w:pPr>
      <w:autoSpaceDE w:val="0"/>
      <w:autoSpaceDN w:val="0"/>
    </w:pPr>
    <w:rPr>
      <w:rFonts w:ascii="Times" w:hAnsi="Times"/>
    </w:rPr>
  </w:style>
  <w:style w:type="paragraph" w:customStyle="1" w:styleId="126">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EEAF6"/>
      <w:adjustRightInd/>
      <w:spacing w:before="100" w:beforeAutospacing="1" w:after="100" w:afterAutospacing="1" w:line="240" w:lineRule="auto"/>
      <w:jc w:val="center"/>
      <w:textAlignment w:val="center"/>
    </w:pPr>
    <w:rPr>
      <w:rFonts w:ascii="宋体" w:hAnsi="宋体" w:cs="宋体"/>
      <w:b/>
      <w:bCs/>
      <w:color w:val="000000"/>
      <w:sz w:val="21"/>
      <w:szCs w:val="21"/>
    </w:rPr>
  </w:style>
  <w:style w:type="paragraph" w:customStyle="1" w:styleId="127">
    <w:name w:val="论文"/>
    <w:basedOn w:val="1"/>
    <w:qFormat/>
    <w:uiPriority w:val="0"/>
    <w:pPr>
      <w:adjustRightInd/>
      <w:spacing w:line="400" w:lineRule="exact"/>
      <w:jc w:val="both"/>
      <w:textAlignment w:val="auto"/>
    </w:pPr>
    <w:rPr>
      <w:kern w:val="2"/>
      <w:szCs w:val="22"/>
    </w:rPr>
  </w:style>
  <w:style w:type="paragraph" w:customStyle="1" w:styleId="128">
    <w:name w:val="文档正文"/>
    <w:basedOn w:val="1"/>
    <w:qFormat/>
    <w:uiPriority w:val="0"/>
    <w:pPr>
      <w:spacing w:line="312" w:lineRule="atLeast"/>
      <w:ind w:firstLine="567"/>
    </w:pPr>
    <w:rPr>
      <w:rFonts w:ascii="长城仿宋" w:eastAsia="长城仿宋"/>
      <w:sz w:val="28"/>
    </w:rPr>
  </w:style>
  <w:style w:type="paragraph" w:customStyle="1" w:styleId="129">
    <w:name w:val="正文2b"/>
    <w:basedOn w:val="1"/>
    <w:next w:val="1"/>
    <w:qFormat/>
    <w:uiPriority w:val="0"/>
    <w:pPr>
      <w:spacing w:line="360" w:lineRule="auto"/>
      <w:ind w:firstLine="200" w:firstLineChars="200"/>
    </w:pPr>
    <w:rPr>
      <w:rFonts w:ascii="仿宋_GB2312" w:hAnsi="Calibri" w:eastAsia="仿宋_GB2312"/>
      <w:szCs w:val="22"/>
    </w:rPr>
  </w:style>
  <w:style w:type="paragraph" w:customStyle="1" w:styleId="130">
    <w:name w:val="纯文本1"/>
    <w:basedOn w:val="1"/>
    <w:qFormat/>
    <w:uiPriority w:val="0"/>
    <w:rPr>
      <w:rFonts w:ascii="宋体" w:hAnsi="Courier New"/>
    </w:rPr>
  </w:style>
  <w:style w:type="character" w:customStyle="1" w:styleId="131">
    <w:name w:val="标题 1 Char"/>
    <w:link w:val="3"/>
    <w:qFormat/>
    <w:uiPriority w:val="0"/>
    <w:rPr>
      <w:rFonts w:eastAsia="宋体"/>
      <w:b/>
      <w:bCs/>
      <w:kern w:val="44"/>
      <w:sz w:val="44"/>
      <w:szCs w:val="44"/>
    </w:rPr>
  </w:style>
  <w:style w:type="character" w:customStyle="1" w:styleId="132">
    <w:name w:val="标题 2 Char"/>
    <w:link w:val="4"/>
    <w:qFormat/>
    <w:uiPriority w:val="0"/>
    <w:rPr>
      <w:rFonts w:ascii="Arial" w:hAnsi="Arial" w:eastAsia="黑体"/>
      <w:b/>
      <w:bCs/>
      <w:sz w:val="32"/>
      <w:szCs w:val="32"/>
    </w:rPr>
  </w:style>
  <w:style w:type="character" w:customStyle="1" w:styleId="133">
    <w:name w:val="标题 3 Char"/>
    <w:link w:val="5"/>
    <w:qFormat/>
    <w:uiPriority w:val="9"/>
    <w:rPr>
      <w:rFonts w:eastAsia="宋体"/>
      <w:b/>
      <w:bCs/>
      <w:sz w:val="32"/>
      <w:szCs w:val="32"/>
    </w:rPr>
  </w:style>
  <w:style w:type="character" w:customStyle="1" w:styleId="134">
    <w:name w:val="标题 4 Char"/>
    <w:link w:val="6"/>
    <w:qFormat/>
    <w:uiPriority w:val="9"/>
    <w:rPr>
      <w:rFonts w:ascii="Arial" w:hAnsi="Arial" w:eastAsia="黑体"/>
      <w:b/>
      <w:bCs/>
      <w:sz w:val="28"/>
      <w:szCs w:val="28"/>
    </w:rPr>
  </w:style>
  <w:style w:type="character" w:customStyle="1" w:styleId="135">
    <w:name w:val="标题 5 Char"/>
    <w:link w:val="7"/>
    <w:qFormat/>
    <w:uiPriority w:val="0"/>
    <w:rPr>
      <w:rFonts w:eastAsia="宋体"/>
      <w:b/>
      <w:bCs/>
      <w:sz w:val="28"/>
      <w:szCs w:val="28"/>
    </w:rPr>
  </w:style>
  <w:style w:type="character" w:customStyle="1" w:styleId="136">
    <w:name w:val="标题 6 Char"/>
    <w:link w:val="8"/>
    <w:qFormat/>
    <w:uiPriority w:val="0"/>
    <w:rPr>
      <w:rFonts w:ascii="Arial" w:hAnsi="Arial" w:eastAsia="黑体"/>
      <w:b/>
      <w:bCs/>
      <w:sz w:val="24"/>
      <w:szCs w:val="24"/>
    </w:rPr>
  </w:style>
  <w:style w:type="character" w:customStyle="1" w:styleId="137">
    <w:name w:val="标题 7 Char"/>
    <w:link w:val="9"/>
    <w:qFormat/>
    <w:uiPriority w:val="0"/>
    <w:rPr>
      <w:rFonts w:eastAsia="宋体"/>
      <w:b/>
      <w:bCs/>
      <w:sz w:val="24"/>
      <w:szCs w:val="24"/>
    </w:rPr>
  </w:style>
  <w:style w:type="character" w:customStyle="1" w:styleId="138">
    <w:name w:val="标题 8 Char"/>
    <w:link w:val="10"/>
    <w:qFormat/>
    <w:uiPriority w:val="0"/>
    <w:rPr>
      <w:rFonts w:ascii="Arial" w:hAnsi="Arial" w:eastAsia="黑体"/>
      <w:sz w:val="24"/>
      <w:szCs w:val="24"/>
    </w:rPr>
  </w:style>
  <w:style w:type="character" w:customStyle="1" w:styleId="139">
    <w:name w:val="标题 9 Char"/>
    <w:link w:val="11"/>
    <w:qFormat/>
    <w:uiPriority w:val="0"/>
    <w:rPr>
      <w:rFonts w:ascii="Arial" w:hAnsi="Arial" w:eastAsia="黑体"/>
      <w:sz w:val="21"/>
      <w:szCs w:val="21"/>
    </w:rPr>
  </w:style>
  <w:style w:type="character" w:customStyle="1" w:styleId="140">
    <w:name w:val="批注文字 Char"/>
    <w:link w:val="16"/>
    <w:qFormat/>
    <w:uiPriority w:val="0"/>
    <w:rPr>
      <w:rFonts w:eastAsia="宋体"/>
      <w:sz w:val="24"/>
    </w:rPr>
  </w:style>
  <w:style w:type="character" w:customStyle="1" w:styleId="141">
    <w:name w:val="批注主题 Char"/>
    <w:link w:val="37"/>
    <w:qFormat/>
    <w:uiPriority w:val="0"/>
    <w:rPr>
      <w:rFonts w:eastAsia="宋体"/>
      <w:b/>
      <w:bCs/>
      <w:kern w:val="2"/>
      <w:sz w:val="24"/>
    </w:rPr>
  </w:style>
  <w:style w:type="character" w:customStyle="1" w:styleId="142">
    <w:name w:val="正文文本 Char"/>
    <w:link w:val="2"/>
    <w:qFormat/>
    <w:uiPriority w:val="0"/>
    <w:rPr>
      <w:rFonts w:eastAsia="宋体"/>
      <w:kern w:val="2"/>
      <w:sz w:val="28"/>
    </w:rPr>
  </w:style>
  <w:style w:type="character" w:customStyle="1" w:styleId="143">
    <w:name w:val="正文首行缩进 Char"/>
    <w:link w:val="38"/>
    <w:qFormat/>
    <w:uiPriority w:val="0"/>
    <w:rPr>
      <w:rFonts w:eastAsia="宋体"/>
      <w:kern w:val="2"/>
      <w:sz w:val="21"/>
      <w:szCs w:val="24"/>
    </w:rPr>
  </w:style>
  <w:style w:type="character" w:customStyle="1" w:styleId="144">
    <w:name w:val="正文缩进 Char"/>
    <w:link w:val="13"/>
    <w:qFormat/>
    <w:uiPriority w:val="0"/>
    <w:rPr>
      <w:rFonts w:eastAsia="宋体"/>
      <w:sz w:val="24"/>
    </w:rPr>
  </w:style>
  <w:style w:type="character" w:customStyle="1" w:styleId="145">
    <w:name w:val="文档结构图 Char"/>
    <w:link w:val="15"/>
    <w:qFormat/>
    <w:uiPriority w:val="99"/>
    <w:rPr>
      <w:rFonts w:eastAsia="宋体"/>
      <w:sz w:val="24"/>
      <w:shd w:val="clear" w:color="auto" w:fill="000080"/>
    </w:rPr>
  </w:style>
  <w:style w:type="character" w:customStyle="1" w:styleId="146">
    <w:name w:val="称呼 Char"/>
    <w:link w:val="17"/>
    <w:qFormat/>
    <w:uiPriority w:val="0"/>
    <w:rPr>
      <w:rFonts w:ascii="方正仿宋_GBK" w:eastAsia="方正仿宋_GBK" w:cs="方正仿宋_GBK"/>
      <w:sz w:val="32"/>
      <w:szCs w:val="32"/>
      <w:lang w:val="en-US" w:eastAsia="zh-CN" w:bidi="ar-SA"/>
    </w:rPr>
  </w:style>
  <w:style w:type="character" w:customStyle="1" w:styleId="147">
    <w:name w:val="正文文本缩进 Char"/>
    <w:link w:val="18"/>
    <w:qFormat/>
    <w:uiPriority w:val="0"/>
    <w:rPr>
      <w:rFonts w:ascii="宋体" w:eastAsia="宋体"/>
      <w:sz w:val="24"/>
      <w:szCs w:val="21"/>
    </w:rPr>
  </w:style>
  <w:style w:type="character" w:customStyle="1" w:styleId="148">
    <w:name w:val="纯文本 Char"/>
    <w:link w:val="22"/>
    <w:qFormat/>
    <w:uiPriority w:val="0"/>
    <w:rPr>
      <w:rFonts w:ascii="宋体" w:eastAsia="宋体"/>
      <w:kern w:val="2"/>
      <w:sz w:val="21"/>
      <w:szCs w:val="21"/>
    </w:rPr>
  </w:style>
  <w:style w:type="character" w:customStyle="1" w:styleId="149">
    <w:name w:val="日期 Char"/>
    <w:link w:val="24"/>
    <w:qFormat/>
    <w:uiPriority w:val="0"/>
    <w:rPr>
      <w:rFonts w:eastAsia="宋体"/>
      <w:kern w:val="2"/>
      <w:sz w:val="21"/>
    </w:rPr>
  </w:style>
  <w:style w:type="character" w:customStyle="1" w:styleId="150">
    <w:name w:val="正文文本缩进 2 Char"/>
    <w:link w:val="25"/>
    <w:qFormat/>
    <w:uiPriority w:val="0"/>
    <w:rPr>
      <w:rFonts w:ascii="宋体" w:eastAsia="宋体"/>
      <w:sz w:val="24"/>
      <w:szCs w:val="21"/>
    </w:rPr>
  </w:style>
  <w:style w:type="character" w:customStyle="1" w:styleId="151">
    <w:name w:val="批注框文本 Char"/>
    <w:link w:val="26"/>
    <w:qFormat/>
    <w:uiPriority w:val="0"/>
    <w:rPr>
      <w:rFonts w:eastAsia="宋体"/>
      <w:sz w:val="18"/>
      <w:szCs w:val="18"/>
    </w:rPr>
  </w:style>
  <w:style w:type="character" w:customStyle="1" w:styleId="152">
    <w:name w:val="页脚 Char"/>
    <w:link w:val="27"/>
    <w:qFormat/>
    <w:uiPriority w:val="99"/>
    <w:rPr>
      <w:rFonts w:eastAsia="宋体"/>
      <w:sz w:val="18"/>
      <w:lang w:val="en-US" w:eastAsia="zh-CN" w:bidi="ar-SA"/>
    </w:rPr>
  </w:style>
  <w:style w:type="character" w:customStyle="1" w:styleId="153">
    <w:name w:val="页眉 Char"/>
    <w:link w:val="28"/>
    <w:qFormat/>
    <w:uiPriority w:val="99"/>
    <w:rPr>
      <w:rFonts w:eastAsia="宋体"/>
      <w:sz w:val="18"/>
    </w:rPr>
  </w:style>
  <w:style w:type="character" w:customStyle="1" w:styleId="154">
    <w:name w:val="正文文本缩进 3 Char"/>
    <w:link w:val="32"/>
    <w:qFormat/>
    <w:uiPriority w:val="0"/>
    <w:rPr>
      <w:rFonts w:eastAsia="宋体"/>
      <w:sz w:val="28"/>
    </w:rPr>
  </w:style>
  <w:style w:type="character" w:customStyle="1" w:styleId="155">
    <w:name w:val="正文文本 2 Char"/>
    <w:link w:val="35"/>
    <w:qFormat/>
    <w:uiPriority w:val="0"/>
    <w:rPr>
      <w:rFonts w:eastAsia="宋体"/>
      <w:sz w:val="24"/>
    </w:rPr>
  </w:style>
  <w:style w:type="character" w:customStyle="1" w:styleId="156">
    <w:name w:val="已访问的超链接1"/>
    <w:qFormat/>
    <w:uiPriority w:val="0"/>
    <w:rPr>
      <w:color w:val="800080"/>
      <w:u w:val="single"/>
    </w:rPr>
  </w:style>
  <w:style w:type="character" w:customStyle="1" w:styleId="157">
    <w:name w:val="批注文字 Char1"/>
    <w:qFormat/>
    <w:uiPriority w:val="0"/>
    <w:rPr>
      <w:rFonts w:eastAsia="宋体"/>
      <w:kern w:val="2"/>
      <w:sz w:val="21"/>
    </w:rPr>
  </w:style>
  <w:style w:type="character" w:customStyle="1" w:styleId="158">
    <w:name w:val="样式 标题 1 + (西文) 方正黑体_GBK (中文) 方正黑体_GBK (符号) 宋体 三号 非加粗 黑色"/>
    <w:qFormat/>
    <w:uiPriority w:val="0"/>
    <w:rPr>
      <w:rFonts w:ascii="方正黑体_GBK" w:eastAsia="方正黑体_GBK" w:cs="宋体"/>
      <w:color w:val="000000"/>
      <w:sz w:val="32"/>
      <w:szCs w:val="32"/>
      <w:lang w:val="zh-CN" w:eastAsia="zh-CN" w:bidi="ar-SA"/>
    </w:rPr>
  </w:style>
  <w:style w:type="character" w:customStyle="1" w:styleId="159">
    <w:name w:val="批注文字 Char2"/>
    <w:semiHidden/>
    <w:qFormat/>
    <w:uiPriority w:val="99"/>
    <w:rPr>
      <w:kern w:val="2"/>
      <w:sz w:val="21"/>
    </w:rPr>
  </w:style>
  <w:style w:type="character" w:customStyle="1" w:styleId="160">
    <w:name w:val="样式1 Char Char"/>
    <w:qFormat/>
    <w:uiPriority w:val="0"/>
    <w:rPr>
      <w:rFonts w:ascii="宋体" w:eastAsia="宋体"/>
      <w:sz w:val="21"/>
      <w:szCs w:val="21"/>
      <w:lang w:val="en-US" w:eastAsia="zh-CN" w:bidi="ar-SA"/>
    </w:rPr>
  </w:style>
  <w:style w:type="character" w:customStyle="1" w:styleId="161">
    <w:name w:val="标题 2 Char Char Char"/>
    <w:qFormat/>
    <w:uiPriority w:val="0"/>
    <w:rPr>
      <w:rFonts w:ascii="Arial" w:hAnsi="Arial" w:eastAsia="黑体"/>
      <w:b/>
      <w:bCs/>
      <w:kern w:val="2"/>
      <w:sz w:val="32"/>
      <w:szCs w:val="32"/>
      <w:lang w:val="en-US" w:eastAsia="zh-CN" w:bidi="ar-SA"/>
    </w:rPr>
  </w:style>
  <w:style w:type="character" w:customStyle="1" w:styleId="162">
    <w:name w:val="无间隔 Char"/>
    <w:link w:val="48"/>
    <w:qFormat/>
    <w:locked/>
    <w:uiPriority w:val="1"/>
    <w:rPr>
      <w:sz w:val="22"/>
      <w:szCs w:val="22"/>
      <w:lang w:val="en-US" w:eastAsia="zh-CN" w:bidi="ar-SA"/>
    </w:rPr>
  </w:style>
  <w:style w:type="character" w:customStyle="1" w:styleId="163">
    <w:name w:val="h3 Char"/>
    <w:qFormat/>
    <w:uiPriority w:val="0"/>
    <w:rPr>
      <w:rFonts w:eastAsia="宋体"/>
      <w:b/>
      <w:bCs/>
      <w:sz w:val="32"/>
      <w:szCs w:val="32"/>
      <w:lang w:val="en-US" w:eastAsia="zh-CN" w:bidi="ar-SA"/>
    </w:rPr>
  </w:style>
  <w:style w:type="character" w:customStyle="1" w:styleId="164">
    <w:name w:val="font01"/>
    <w:basedOn w:val="42"/>
    <w:qFormat/>
    <w:uiPriority w:val="0"/>
    <w:rPr>
      <w:rFonts w:hint="eastAsia" w:ascii="宋体" w:hAnsi="宋体" w:eastAsia="宋体" w:cs="宋体"/>
      <w:color w:val="000000"/>
      <w:sz w:val="22"/>
      <w:szCs w:val="22"/>
      <w:u w:val="none"/>
    </w:rPr>
  </w:style>
  <w:style w:type="character" w:customStyle="1" w:styleId="165">
    <w:name w:val="font101"/>
    <w:basedOn w:val="42"/>
    <w:qFormat/>
    <w:uiPriority w:val="0"/>
    <w:rPr>
      <w:rFonts w:hint="eastAsia" w:ascii="宋体" w:hAnsi="宋体" w:eastAsia="宋体" w:cs="宋体"/>
      <w:color w:val="000000"/>
      <w:sz w:val="22"/>
      <w:szCs w:val="22"/>
      <w:u w:val="none"/>
      <w:vertAlign w:val="superscript"/>
    </w:rPr>
  </w:style>
  <w:style w:type="character" w:customStyle="1" w:styleId="166">
    <w:name w:val="font31"/>
    <w:basedOn w:val="42"/>
    <w:qFormat/>
    <w:uiPriority w:val="0"/>
    <w:rPr>
      <w:rFonts w:hint="eastAsia" w:ascii="宋体" w:hAnsi="宋体" w:eastAsia="宋体" w:cs="宋体"/>
      <w:color w:val="000000"/>
      <w:sz w:val="22"/>
      <w:szCs w:val="22"/>
      <w:u w:val="none"/>
    </w:rPr>
  </w:style>
  <w:style w:type="character" w:customStyle="1" w:styleId="167">
    <w:name w:val="font21"/>
    <w:basedOn w:val="42"/>
    <w:qFormat/>
    <w:uiPriority w:val="0"/>
    <w:rPr>
      <w:rFonts w:hint="eastAsia" w:ascii="宋体" w:hAnsi="宋体" w:eastAsia="宋体" w:cs="宋体"/>
      <w:color w:val="000000"/>
      <w:sz w:val="22"/>
      <w:szCs w:val="22"/>
      <w:u w:val="none"/>
      <w:vertAlign w:val="superscript"/>
    </w:rPr>
  </w:style>
  <w:style w:type="character" w:customStyle="1" w:styleId="168">
    <w:name w:val="font91"/>
    <w:basedOn w:val="42"/>
    <w:qFormat/>
    <w:uiPriority w:val="0"/>
    <w:rPr>
      <w:rFonts w:hint="eastAsia" w:ascii="宋体" w:hAnsi="宋体" w:eastAsia="宋体" w:cs="宋体"/>
      <w:color w:val="000000"/>
      <w:sz w:val="22"/>
      <w:szCs w:val="22"/>
      <w:u w:val="none"/>
      <w:vertAlign w:val="superscript"/>
    </w:rPr>
  </w:style>
  <w:style w:type="character" w:customStyle="1" w:styleId="169">
    <w:name w:val="font81"/>
    <w:basedOn w:val="42"/>
    <w:qFormat/>
    <w:uiPriority w:val="0"/>
    <w:rPr>
      <w:rFonts w:hint="eastAsia" w:ascii="宋体" w:hAnsi="宋体" w:eastAsia="宋体" w:cs="宋体"/>
      <w:color w:val="000000"/>
      <w:sz w:val="20"/>
      <w:szCs w:val="20"/>
      <w:u w:val="none"/>
    </w:rPr>
  </w:style>
  <w:style w:type="character" w:customStyle="1" w:styleId="170">
    <w:name w:val="font11"/>
    <w:basedOn w:val="42"/>
    <w:qFormat/>
    <w:uiPriority w:val="0"/>
    <w:rPr>
      <w:rFonts w:hint="eastAsia" w:ascii="宋体" w:hAnsi="宋体" w:eastAsia="宋体" w:cs="宋体"/>
      <w:color w:val="000000"/>
      <w:sz w:val="20"/>
      <w:szCs w:val="20"/>
      <w:u w:val="none"/>
      <w:vertAlign w:val="superscript"/>
    </w:rPr>
  </w:style>
  <w:style w:type="character" w:customStyle="1" w:styleId="171">
    <w:name w:val="font13"/>
    <w:basedOn w:val="42"/>
    <w:qFormat/>
    <w:uiPriority w:val="0"/>
    <w:rPr>
      <w:rFonts w:hint="eastAsia" w:ascii="宋体" w:hAnsi="宋体" w:eastAsia="宋体" w:cs="宋体"/>
      <w:color w:val="000000"/>
      <w:sz w:val="20"/>
      <w:szCs w:val="20"/>
      <w:u w:val="none"/>
      <w:vertAlign w:val="superscript"/>
    </w:rPr>
  </w:style>
  <w:style w:type="character" w:customStyle="1" w:styleId="172">
    <w:name w:val="批注主题 Char1"/>
    <w:qFormat/>
    <w:uiPriority w:val="0"/>
    <w:rPr>
      <w:rFonts w:ascii="Times New Roman" w:hAnsi="Times New Roman" w:eastAsia="宋体" w:cs="Times New Roman"/>
      <w:szCs w:val="20"/>
    </w:rPr>
  </w:style>
  <w:style w:type="character" w:customStyle="1" w:styleId="173">
    <w:name w:val="标题 1 Char Char"/>
    <w:qFormat/>
    <w:uiPriority w:val="0"/>
    <w:rPr>
      <w:rFonts w:eastAsia="宋体"/>
      <w:b/>
      <w:spacing w:val="-2"/>
      <w:sz w:val="24"/>
      <w:lang w:val="en-US" w:eastAsia="zh-CN"/>
    </w:rPr>
  </w:style>
  <w:style w:type="paragraph" w:customStyle="1" w:styleId="174">
    <w:name w:val="列表段落2"/>
    <w:basedOn w:val="1"/>
    <w:qFormat/>
    <w:uiPriority w:val="34"/>
    <w:pPr>
      <w:ind w:firstLine="420" w:firstLineChars="200"/>
    </w:pPr>
  </w:style>
  <w:style w:type="paragraph" w:styleId="175">
    <w:name w:val="List Paragraph"/>
    <w:basedOn w:val="1"/>
    <w:qFormat/>
    <w:uiPriority w:val="34"/>
    <w:pPr>
      <w:ind w:firstLine="420" w:firstLineChars="200"/>
    </w:pPr>
  </w:style>
  <w:style w:type="character" w:customStyle="1" w:styleId="176">
    <w:name w:val="font41"/>
    <w:basedOn w:val="42"/>
    <w:qFormat/>
    <w:uiPriority w:val="0"/>
    <w:rPr>
      <w:rFonts w:hint="eastAsia" w:ascii="等线" w:hAnsi="等线" w:eastAsia="等线" w:cs="等线"/>
      <w:color w:val="000000"/>
      <w:sz w:val="22"/>
      <w:szCs w:val="22"/>
      <w:u w:val="none"/>
    </w:rPr>
  </w:style>
  <w:style w:type="character" w:customStyle="1" w:styleId="177">
    <w:name w:val="font51"/>
    <w:basedOn w:val="42"/>
    <w:qFormat/>
    <w:uiPriority w:val="0"/>
    <w:rPr>
      <w:rFonts w:ascii="等线 Light" w:hAnsi="等线 Light" w:eastAsia="等线 Light" w:cs="等线 Light"/>
      <w:color w:val="000000"/>
      <w:sz w:val="20"/>
      <w:szCs w:val="20"/>
      <w:u w:val="none"/>
      <w:vertAlign w:val="superscript"/>
    </w:rPr>
  </w:style>
  <w:style w:type="character" w:customStyle="1" w:styleId="178">
    <w:name w:val="font61"/>
    <w:basedOn w:val="42"/>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emf"/><Relationship Id="rId21" Type="http://schemas.openxmlformats.org/officeDocument/2006/relationships/image" Target="media/image9.emf"/><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155</Pages>
  <Words>85827</Words>
  <Characters>101612</Characters>
  <Lines>267</Lines>
  <Paragraphs>75</Paragraphs>
  <TotalTime>1</TotalTime>
  <ScaleCrop>false</ScaleCrop>
  <LinksUpToDate>false</LinksUpToDate>
  <CharactersWithSpaces>103060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2022-09-26T00:35:00Z</dcterms:created>
  <dc:creator>dell</dc:creator>
  <cp:lastModifiedBy>聪聪</cp:lastModifiedBy>
  <cp:lastPrinted>2022-10-27T09:43:00Z</cp:lastPrinted>
  <dcterms:modified xsi:type="dcterms:W3CDTF">2023-06-06T07:33:37Z</dcterms:modified>
  <dc:title>海关总署网络设备采购招标项目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7D5941160AC54F3D85C09C6FFD6B10F9</vt:lpwstr>
  </property>
</Properties>
</file>