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spacing w:line="276" w:lineRule="auto"/>
        <w:ind w:left="840" w:firstLine="0" w:firstLineChars="0"/>
        <w:rPr>
          <w:rFonts w:ascii="宋体"/>
          <w:color w:val="auto"/>
          <w:szCs w:val="21"/>
          <w:highlight w:val="none"/>
        </w:rPr>
      </w:pPr>
    </w:p>
    <w:p>
      <w:pPr>
        <w:spacing w:line="276" w:lineRule="auto"/>
        <w:rPr>
          <w:rFonts w:ascii="宋体"/>
          <w:color w:val="auto"/>
          <w:szCs w:val="21"/>
          <w:highlight w:val="none"/>
        </w:rPr>
      </w:pPr>
    </w:p>
    <w:p>
      <w:pPr>
        <w:spacing w:line="276" w:lineRule="auto"/>
        <w:rPr>
          <w:rFonts w:ascii="宋体"/>
          <w:color w:val="auto"/>
          <w:szCs w:val="21"/>
          <w:highlight w:val="none"/>
        </w:rPr>
      </w:pPr>
    </w:p>
    <w:p>
      <w:pPr>
        <w:spacing w:before="100" w:beforeAutospacing="1" w:after="100" w:afterAutospacing="1" w:line="276" w:lineRule="auto"/>
        <w:jc w:val="center"/>
        <w:rPr>
          <w:b/>
          <w:color w:val="auto"/>
          <w:sz w:val="52"/>
          <w:szCs w:val="52"/>
          <w:highlight w:val="none"/>
        </w:rPr>
      </w:pPr>
      <w:r>
        <w:rPr>
          <w:rFonts w:hint="eastAsia" w:hAnsi="宋体"/>
          <w:b/>
          <w:color w:val="auto"/>
          <w:sz w:val="52"/>
          <w:szCs w:val="52"/>
          <w:highlight w:val="none"/>
        </w:rPr>
        <w:t>宁波工程学院课程视频拍摄制作项目</w:t>
      </w:r>
    </w:p>
    <w:p>
      <w:pPr>
        <w:spacing w:line="276" w:lineRule="auto"/>
        <w:jc w:val="center"/>
        <w:rPr>
          <w:rFonts w:ascii="宋体"/>
          <w:b/>
          <w:bCs/>
          <w:color w:val="auto"/>
          <w:sz w:val="48"/>
          <w:szCs w:val="48"/>
          <w:highlight w:val="none"/>
        </w:rPr>
      </w:pPr>
    </w:p>
    <w:p>
      <w:pPr>
        <w:spacing w:line="276" w:lineRule="auto"/>
        <w:jc w:val="center"/>
        <w:rPr>
          <w:rFonts w:ascii="宋体"/>
          <w:b/>
          <w:bCs/>
          <w:color w:val="auto"/>
          <w:sz w:val="44"/>
          <w:szCs w:val="44"/>
          <w:highlight w:val="none"/>
        </w:rPr>
      </w:pPr>
    </w:p>
    <w:p>
      <w:pPr>
        <w:spacing w:line="276" w:lineRule="auto"/>
        <w:jc w:val="center"/>
        <w:rPr>
          <w:rFonts w:ascii="宋体"/>
          <w:b/>
          <w:bCs/>
          <w:color w:val="auto"/>
          <w:sz w:val="44"/>
          <w:szCs w:val="44"/>
          <w:highlight w:val="none"/>
        </w:rPr>
      </w:pPr>
    </w:p>
    <w:p>
      <w:pPr>
        <w:spacing w:line="276" w:lineRule="auto"/>
        <w:jc w:val="center"/>
        <w:rPr>
          <w:rFonts w:ascii="宋体"/>
          <w:b/>
          <w:color w:val="auto"/>
          <w:sz w:val="72"/>
          <w:szCs w:val="72"/>
          <w:highlight w:val="none"/>
        </w:rPr>
      </w:pPr>
      <w:r>
        <w:rPr>
          <w:rFonts w:hint="eastAsia" w:ascii="宋体"/>
          <w:b/>
          <w:bCs/>
          <w:color w:val="auto"/>
          <w:sz w:val="72"/>
          <w:szCs w:val="72"/>
          <w:highlight w:val="none"/>
        </w:rPr>
        <w:t>政府采购招标文件</w:t>
      </w:r>
      <w:r>
        <w:rPr>
          <w:rFonts w:hint="eastAsia" w:ascii="宋体"/>
          <w:b/>
          <w:bCs/>
          <w:color w:val="auto"/>
          <w:sz w:val="72"/>
          <w:szCs w:val="72"/>
          <w:highlight w:val="none"/>
        </w:rPr>
        <w:tab/>
      </w:r>
    </w:p>
    <w:p>
      <w:pPr>
        <w:spacing w:line="276" w:lineRule="auto"/>
        <w:ind w:firstLine="600"/>
        <w:jc w:val="both"/>
        <w:rPr>
          <w:rFonts w:ascii="宋体"/>
          <w:b/>
          <w:bCs/>
          <w:color w:val="auto"/>
          <w:sz w:val="30"/>
          <w:highlight w:val="none"/>
        </w:rPr>
      </w:pPr>
    </w:p>
    <w:p>
      <w:pPr>
        <w:spacing w:line="276" w:lineRule="auto"/>
        <w:ind w:firstLine="600"/>
        <w:jc w:val="both"/>
        <w:rPr>
          <w:rFonts w:ascii="宋体"/>
          <w:b/>
          <w:bCs/>
          <w:color w:val="auto"/>
          <w:sz w:val="30"/>
          <w:highlight w:val="none"/>
        </w:rPr>
      </w:pPr>
    </w:p>
    <w:p>
      <w:pPr>
        <w:spacing w:line="276" w:lineRule="auto"/>
        <w:ind w:firstLine="2397" w:firstLineChars="796"/>
        <w:rPr>
          <w:rFonts w:ascii="宋体"/>
          <w:b/>
          <w:bCs/>
          <w:color w:val="auto"/>
          <w:sz w:val="30"/>
          <w:highlight w:val="none"/>
          <w:u w:val="single"/>
        </w:rPr>
      </w:pPr>
      <w:r>
        <w:rPr>
          <w:rFonts w:hint="eastAsia" w:ascii="宋体"/>
          <w:b/>
          <w:bCs/>
          <w:color w:val="auto"/>
          <w:sz w:val="30"/>
          <w:highlight w:val="none"/>
        </w:rPr>
        <w:t>招标编号：</w:t>
      </w:r>
      <w:r>
        <w:rPr>
          <w:rFonts w:hint="eastAsia" w:ascii="宋体"/>
          <w:b/>
          <w:bCs/>
          <w:color w:val="auto"/>
          <w:sz w:val="30"/>
          <w:highlight w:val="none"/>
          <w:u w:val="single"/>
        </w:rPr>
        <w:t>NBITC-202230728G</w:t>
      </w:r>
    </w:p>
    <w:p>
      <w:pPr>
        <w:spacing w:line="276" w:lineRule="auto"/>
        <w:ind w:firstLine="600"/>
        <w:rPr>
          <w:rFonts w:ascii="宋体"/>
          <w:color w:val="auto"/>
          <w:highlight w:val="none"/>
        </w:rPr>
      </w:pPr>
    </w:p>
    <w:p>
      <w:pPr>
        <w:spacing w:line="276" w:lineRule="auto"/>
        <w:ind w:firstLine="600"/>
        <w:rPr>
          <w:rFonts w:ascii="宋体"/>
          <w:color w:val="auto"/>
          <w:highlight w:val="none"/>
        </w:rPr>
      </w:pPr>
    </w:p>
    <w:p>
      <w:pPr>
        <w:spacing w:line="276" w:lineRule="auto"/>
        <w:ind w:firstLine="600"/>
        <w:rPr>
          <w:rFonts w:ascii="宋体"/>
          <w:color w:val="auto"/>
          <w:highlight w:val="none"/>
        </w:rPr>
      </w:pPr>
    </w:p>
    <w:p>
      <w:pPr>
        <w:spacing w:line="276" w:lineRule="auto"/>
        <w:ind w:firstLine="600"/>
        <w:rPr>
          <w:rFonts w:ascii="宋体"/>
          <w:color w:val="auto"/>
          <w:highlight w:val="none"/>
        </w:rPr>
      </w:pPr>
    </w:p>
    <w:p>
      <w:pPr>
        <w:spacing w:before="240" w:line="276" w:lineRule="auto"/>
        <w:rPr>
          <w:rFonts w:ascii="宋体"/>
          <w:color w:val="auto"/>
          <w:highlight w:val="none"/>
        </w:rPr>
      </w:pPr>
    </w:p>
    <w:p>
      <w:pPr>
        <w:spacing w:line="276" w:lineRule="auto"/>
        <w:ind w:firstLine="600"/>
        <w:rPr>
          <w:rFonts w:ascii="宋体"/>
          <w:b/>
          <w:bCs/>
          <w:color w:val="auto"/>
          <w:sz w:val="30"/>
          <w:highlight w:val="none"/>
        </w:rPr>
      </w:pPr>
      <w:r>
        <w:rPr>
          <w:rFonts w:hint="eastAsia" w:ascii="宋体"/>
          <w:b/>
          <w:bCs/>
          <w:color w:val="auto"/>
          <w:sz w:val="30"/>
          <w:highlight w:val="none"/>
        </w:rPr>
        <w:t>招标人：宁波工程学院</w:t>
      </w:r>
    </w:p>
    <w:p>
      <w:pPr>
        <w:spacing w:line="276" w:lineRule="auto"/>
        <w:ind w:firstLine="600"/>
        <w:rPr>
          <w:rFonts w:ascii="宋体"/>
          <w:b/>
          <w:bCs/>
          <w:color w:val="auto"/>
          <w:sz w:val="30"/>
          <w:highlight w:val="none"/>
        </w:rPr>
      </w:pPr>
    </w:p>
    <w:p>
      <w:pPr>
        <w:spacing w:line="276" w:lineRule="auto"/>
        <w:ind w:firstLine="602" w:firstLineChars="200"/>
        <w:rPr>
          <w:rFonts w:ascii="宋体"/>
          <w:b/>
          <w:bCs/>
          <w:color w:val="auto"/>
          <w:sz w:val="30"/>
          <w:highlight w:val="none"/>
        </w:rPr>
      </w:pPr>
      <w:r>
        <w:rPr>
          <w:rFonts w:hint="eastAsia" w:ascii="宋体"/>
          <w:b/>
          <w:bCs/>
          <w:color w:val="auto"/>
          <w:sz w:val="30"/>
          <w:highlight w:val="none"/>
        </w:rPr>
        <w:t>招标代理机构：宁波市国际招标有限公司</w:t>
      </w:r>
    </w:p>
    <w:p>
      <w:pPr>
        <w:spacing w:line="276" w:lineRule="auto"/>
        <w:rPr>
          <w:rFonts w:ascii="宋体"/>
          <w:b/>
          <w:bCs/>
          <w:color w:val="auto"/>
          <w:sz w:val="30"/>
          <w:highlight w:val="none"/>
        </w:rPr>
      </w:pPr>
    </w:p>
    <w:p>
      <w:pPr>
        <w:spacing w:line="276" w:lineRule="auto"/>
        <w:ind w:firstLine="596" w:firstLineChars="198"/>
        <w:rPr>
          <w:rFonts w:ascii="方正小标宋_GBK" w:eastAsia="方正小标宋_GBK"/>
          <w:color w:val="auto"/>
          <w:sz w:val="36"/>
          <w:szCs w:val="36"/>
          <w:highlight w:val="none"/>
        </w:rPr>
      </w:pPr>
      <w:r>
        <w:rPr>
          <w:rFonts w:hint="eastAsia" w:ascii="宋体"/>
          <w:b/>
          <w:bCs/>
          <w:color w:val="auto"/>
          <w:sz w:val="30"/>
          <w:highlight w:val="none"/>
        </w:rPr>
        <w:t>编制日期：2022年</w:t>
      </w:r>
      <w:r>
        <w:rPr>
          <w:rFonts w:hint="eastAsia" w:ascii="宋体"/>
          <w:b/>
          <w:bCs/>
          <w:color w:val="auto"/>
          <w:sz w:val="30"/>
          <w:highlight w:val="none"/>
          <w:lang w:val="en-US" w:eastAsia="zh-CN"/>
        </w:rPr>
        <w:t>9</w:t>
      </w:r>
      <w:r>
        <w:rPr>
          <w:rFonts w:hint="eastAsia" w:ascii="宋体"/>
          <w:b/>
          <w:bCs/>
          <w:color w:val="auto"/>
          <w:sz w:val="30"/>
          <w:highlight w:val="none"/>
        </w:rPr>
        <w:t>月</w:t>
      </w:r>
    </w:p>
    <w:p>
      <w:pPr>
        <w:spacing w:line="276" w:lineRule="auto"/>
        <w:jc w:val="center"/>
        <w:rPr>
          <w:rFonts w:ascii="宋体"/>
          <w:color w:val="auto"/>
          <w:sz w:val="30"/>
          <w:highlight w:val="none"/>
        </w:rPr>
      </w:pPr>
      <w:bookmarkStart w:id="0" w:name="_Toc241827233"/>
      <w:bookmarkStart w:id="1" w:name="_Toc86202580"/>
      <w:bookmarkStart w:id="2" w:name="_Toc241827234"/>
    </w:p>
    <w:p>
      <w:pPr>
        <w:spacing w:line="276" w:lineRule="auto"/>
        <w:jc w:val="center"/>
        <w:rPr>
          <w:rFonts w:ascii="宋体"/>
          <w:color w:val="auto"/>
          <w:sz w:val="30"/>
          <w:highlight w:val="none"/>
        </w:rPr>
      </w:pPr>
    </w:p>
    <w:p>
      <w:pPr>
        <w:spacing w:line="276" w:lineRule="auto"/>
        <w:jc w:val="center"/>
        <w:rPr>
          <w:b/>
          <w:color w:val="auto"/>
          <w:highlight w:val="none"/>
        </w:rPr>
      </w:pPr>
    </w:p>
    <w:p>
      <w:pPr>
        <w:spacing w:line="276" w:lineRule="auto"/>
        <w:jc w:val="center"/>
        <w:rPr>
          <w:b/>
          <w:color w:val="auto"/>
          <w:highlight w:val="none"/>
        </w:rPr>
      </w:pPr>
      <w:r>
        <w:rPr>
          <w:b/>
          <w:color w:val="auto"/>
          <w:highlight w:val="none"/>
        </w:rPr>
        <w:br w:type="page"/>
      </w:r>
    </w:p>
    <w:p>
      <w:pPr>
        <w:spacing w:line="276" w:lineRule="auto"/>
        <w:jc w:val="center"/>
        <w:rPr>
          <w:b/>
          <w:color w:val="auto"/>
          <w:highlight w:val="none"/>
        </w:rPr>
      </w:pPr>
    </w:p>
    <w:p>
      <w:pPr>
        <w:spacing w:line="276" w:lineRule="auto"/>
        <w:jc w:val="center"/>
        <w:rPr>
          <w:b/>
          <w:color w:val="auto"/>
          <w:sz w:val="44"/>
          <w:szCs w:val="44"/>
          <w:highlight w:val="none"/>
        </w:rPr>
      </w:pPr>
    </w:p>
    <w:p>
      <w:pPr>
        <w:spacing w:line="276" w:lineRule="auto"/>
        <w:jc w:val="center"/>
        <w:rPr>
          <w:b/>
          <w:color w:val="auto"/>
          <w:sz w:val="44"/>
          <w:szCs w:val="44"/>
          <w:highlight w:val="none"/>
        </w:rPr>
      </w:pPr>
      <w:r>
        <w:rPr>
          <w:rFonts w:hint="eastAsia"/>
          <w:b/>
          <w:color w:val="auto"/>
          <w:sz w:val="44"/>
          <w:szCs w:val="44"/>
          <w:highlight w:val="none"/>
        </w:rPr>
        <w:t>目    录</w:t>
      </w:r>
    </w:p>
    <w:p>
      <w:pPr>
        <w:pStyle w:val="2"/>
        <w:rPr>
          <w:color w:val="auto"/>
          <w:highlight w:val="none"/>
        </w:rPr>
      </w:pPr>
    </w:p>
    <w:p>
      <w:pPr>
        <w:pStyle w:val="34"/>
        <w:tabs>
          <w:tab w:val="right" w:leader="dot" w:pos="8900"/>
        </w:tabs>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Style w:val="45"/>
          <w:rFonts w:hint="eastAsia" w:ascii="宋体" w:hAnsi="宋体" w:cs="宋体"/>
          <w:color w:val="auto"/>
          <w:sz w:val="24"/>
          <w:szCs w:val="24"/>
          <w:highlight w:val="none"/>
        </w:rPr>
        <w:instrText xml:space="preserve"> TOC \o "1-2" \h \z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"_Toc10125" </w:instrText>
      </w:r>
      <w:r>
        <w:rPr>
          <w:color w:val="auto"/>
          <w:highlight w:val="none"/>
        </w:rPr>
        <w:fldChar w:fldCharType="separate"/>
      </w:r>
      <w:r>
        <w:rPr>
          <w:rFonts w:hint="eastAsia" w:ascii="宋体" w:hAnsi="宋体" w:cs="宋体"/>
          <w:color w:val="auto"/>
          <w:sz w:val="24"/>
          <w:szCs w:val="24"/>
          <w:highlight w:val="none"/>
        </w:rPr>
        <w:t xml:space="preserve">第一部分  </w:t>
      </w:r>
      <w:r>
        <w:rPr>
          <w:rFonts w:hint="eastAsia" w:ascii="宋体" w:hAnsi="宋体" w:cs="宋体"/>
          <w:color w:val="auto"/>
          <w:sz w:val="24"/>
          <w:szCs w:val="24"/>
          <w:highlight w:val="none"/>
          <w:lang w:val="en-US" w:eastAsia="zh-CN"/>
        </w:rPr>
        <w:t>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_Toc10125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4"/>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"_Toc1528" </w:instrText>
      </w:r>
      <w:r>
        <w:rPr>
          <w:color w:val="auto"/>
          <w:highlight w:val="none"/>
        </w:rPr>
        <w:fldChar w:fldCharType="separate"/>
      </w:r>
      <w:r>
        <w:rPr>
          <w:rFonts w:hint="eastAsia" w:ascii="宋体" w:hAnsi="宋体" w:cs="宋体"/>
          <w:color w:val="auto"/>
          <w:sz w:val="24"/>
          <w:szCs w:val="24"/>
          <w:highlight w:val="none"/>
        </w:rPr>
        <w:t>第二部分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_Toc1528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4"/>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"_Toc22713" </w:instrText>
      </w:r>
      <w:r>
        <w:rPr>
          <w:color w:val="auto"/>
          <w:highlight w:val="none"/>
        </w:rPr>
        <w:fldChar w:fldCharType="separate"/>
      </w:r>
      <w:r>
        <w:rPr>
          <w:rFonts w:hint="eastAsia" w:ascii="宋体" w:hAnsi="宋体" w:cs="宋体"/>
          <w:color w:val="auto"/>
          <w:sz w:val="24"/>
          <w:szCs w:val="24"/>
          <w:highlight w:val="none"/>
        </w:rPr>
        <w:t>第三部分   合同主要条款（参考）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_Toc22713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4"/>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"_Toc1899" </w:instrText>
      </w:r>
      <w:r>
        <w:rPr>
          <w:color w:val="auto"/>
          <w:highlight w:val="none"/>
        </w:rPr>
        <w:fldChar w:fldCharType="separate"/>
      </w:r>
      <w:r>
        <w:rPr>
          <w:rFonts w:hint="eastAsia" w:ascii="宋体" w:hAnsi="宋体" w:cs="宋体"/>
          <w:color w:val="auto"/>
          <w:sz w:val="24"/>
          <w:szCs w:val="24"/>
          <w:highlight w:val="none"/>
        </w:rPr>
        <w:t>第四部分  技术要求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_Toc1899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4"/>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"_Toc19944" </w:instrText>
      </w:r>
      <w:r>
        <w:rPr>
          <w:color w:val="auto"/>
          <w:highlight w:val="none"/>
        </w:rPr>
        <w:fldChar w:fldCharType="separate"/>
      </w:r>
      <w:r>
        <w:rPr>
          <w:rFonts w:hint="eastAsia" w:ascii="宋体" w:hAnsi="宋体" w:cs="宋体"/>
          <w:color w:val="auto"/>
          <w:sz w:val="24"/>
          <w:szCs w:val="24"/>
          <w:highlight w:val="none"/>
        </w:rPr>
        <w:t>第五部分  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_Toc19944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4"/>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"_Toc2749" </w:instrText>
      </w:r>
      <w:r>
        <w:rPr>
          <w:color w:val="auto"/>
          <w:highlight w:val="none"/>
        </w:rPr>
        <w:fldChar w:fldCharType="separate"/>
      </w:r>
      <w:r>
        <w:rPr>
          <w:rFonts w:hint="eastAsia" w:ascii="宋体" w:hAnsi="宋体" w:cs="宋体"/>
          <w:color w:val="auto"/>
          <w:sz w:val="24"/>
          <w:szCs w:val="24"/>
          <w:highlight w:val="none"/>
        </w:rPr>
        <w:t>第六部分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_Toc2749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0"/>
        <w:tabs>
          <w:tab w:val="right" w:leader="dot" w:pos="8890"/>
        </w:tabs>
        <w:spacing w:line="480" w:lineRule="auto"/>
        <w:jc w:val="both"/>
        <w:rPr>
          <w:rFonts w:ascii="宋体" w:hAnsi="宋体" w:cs="宋体"/>
          <w:color w:val="auto"/>
          <w:highlight w:val="none"/>
        </w:rPr>
        <w:sectPr>
          <w:headerReference r:id="rId6" w:type="first"/>
          <w:headerReference r:id="rId5" w:type="default"/>
          <w:footerReference r:id="rId7" w:type="default"/>
          <w:pgSz w:w="11906" w:h="16838"/>
          <w:pgMar w:top="1418" w:right="1418"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r>
        <w:rPr>
          <w:rFonts w:hint="eastAsia" w:ascii="宋体" w:hAnsi="宋体" w:cs="宋体"/>
          <w:color w:val="auto"/>
          <w:highlight w:val="none"/>
        </w:rPr>
        <w:fldChar w:fldCharType="end"/>
      </w:r>
    </w:p>
    <w:bookmarkEnd w:id="0"/>
    <w:bookmarkEnd w:id="1"/>
    <w:bookmarkEnd w:id="2"/>
    <w:p>
      <w:pPr>
        <w:pStyle w:val="4"/>
        <w:jc w:val="center"/>
        <w:rPr>
          <w:rFonts w:hint="default" w:eastAsia="黑体"/>
          <w:color w:val="auto"/>
          <w:szCs w:val="28"/>
          <w:highlight w:val="none"/>
          <w:lang w:val="en-US" w:eastAsia="zh-CN"/>
        </w:rPr>
      </w:pPr>
      <w:bookmarkStart w:id="3" w:name="_Toc10125"/>
      <w:r>
        <w:rPr>
          <w:rFonts w:hint="eastAsia"/>
          <w:color w:val="auto"/>
          <w:highlight w:val="none"/>
        </w:rPr>
        <w:t xml:space="preserve">第一部分  </w:t>
      </w:r>
      <w:bookmarkEnd w:id="3"/>
      <w:r>
        <w:rPr>
          <w:rFonts w:hint="eastAsia"/>
          <w:color w:val="auto"/>
          <w:highlight w:val="none"/>
          <w:lang w:val="en-US" w:eastAsia="zh-CN"/>
        </w:rPr>
        <w:t>招标公告</w:t>
      </w:r>
    </w:p>
    <w:p>
      <w:pPr>
        <w:wordWrap w:val="0"/>
        <w:spacing w:line="360" w:lineRule="auto"/>
        <w:rPr>
          <w:rFonts w:ascii="宋体" w:hAnsi="宋体" w:cs="宋体"/>
          <w:color w:val="auto"/>
          <w:sz w:val="21"/>
          <w:szCs w:val="21"/>
          <w:highlight w:val="none"/>
        </w:rPr>
      </w:pPr>
      <w:bookmarkStart w:id="4" w:name="_Toc10720"/>
      <w:r>
        <w:rPr>
          <w:rFonts w:hint="eastAsia" w:ascii="宋体" w:hAnsi="宋体" w:cs="宋体"/>
          <w:color w:val="auto"/>
          <w:sz w:val="21"/>
          <w:szCs w:val="21"/>
          <w:highlight w:val="none"/>
        </w:rPr>
        <w:t>发布日期：2022年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日</w:t>
      </w:r>
    </w:p>
    <w:tbl>
      <w:tblPr>
        <w:tblStyle w:val="40"/>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9580" w:type="dxa"/>
          </w:tcPr>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项目概况</w:t>
            </w:r>
          </w:p>
          <w:p>
            <w:pPr>
              <w:wordWrap w:val="0"/>
              <w:spacing w:line="360" w:lineRule="auto"/>
              <w:rPr>
                <w:rFonts w:ascii="宋体" w:hAnsi="宋体" w:cs="宋体"/>
                <w:color w:val="auto"/>
                <w:sz w:val="21"/>
                <w:szCs w:val="21"/>
                <w:highlight w:val="none"/>
              </w:rPr>
            </w:pPr>
            <w:r>
              <w:rPr>
                <w:rFonts w:hint="eastAsia" w:ascii="宋体" w:hAnsi="宋体" w:cs="仿宋"/>
                <w:iCs/>
                <w:color w:val="auto"/>
                <w:sz w:val="21"/>
                <w:szCs w:val="21"/>
                <w:highlight w:val="none"/>
                <w:u w:val="single"/>
              </w:rPr>
              <w:t>宁波工程学院课程视频拍摄制作项目</w:t>
            </w:r>
            <w:r>
              <w:rPr>
                <w:rFonts w:hint="eastAsia" w:ascii="宋体" w:hAnsi="宋体" w:cs="宋体"/>
                <w:color w:val="auto"/>
                <w:sz w:val="21"/>
                <w:szCs w:val="21"/>
                <w:highlight w:val="none"/>
              </w:rPr>
              <w:t>的潜在投标人应在政府采购云平台（www.zcygov.cn）获取（下载）采购文件，并于2022年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cs="宋体"/>
                <w:color w:val="auto"/>
                <w:sz w:val="21"/>
                <w:szCs w:val="21"/>
                <w:highlight w:val="none"/>
              </w:rPr>
              <w:t>日14:</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0（北京时间）前递交（上传）投标文件。</w:t>
            </w:r>
          </w:p>
        </w:tc>
      </w:tr>
    </w:tbl>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一、项目基本情况</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项目编号：NBITC-202230728G</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项目名称：宁波工程学院课程视频拍摄制作项目</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预算金额（元）：1480000</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最高限价（元）：1480000</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采购需求：</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标项：一</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标项名称：课程视频拍摄制作</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数量：1批</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预算金额（元）：1480000</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简要规格描述或项目基本概况介绍、用途：详见采购文件第四部分技术要求。</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备注：详细采购需求见本公告附件。</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合同履约期限：自合同签订生效后开始至双方合同义务完全履行后截止。</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本项目（否）接受联合体投标。</w:t>
      </w:r>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本项目属于专门面向中小企业采购的项目，投标人应为符合《政府采购促进中小企业发展管理办法》（财库﹝2020﹞46号）规定的中小企业（其中，小微企业包括视同为小型、微型企业的监狱企业、残疾人福利性单位。）。</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3.本项目的特定资格要求：无</w:t>
      </w:r>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三、获取采购文件</w:t>
      </w:r>
    </w:p>
    <w:p>
      <w:pPr>
        <w:wordWrap w:val="0"/>
        <w:spacing w:line="360" w:lineRule="auto"/>
        <w:ind w:left="0" w:leftChars="0" w:firstLine="239" w:firstLineChars="114"/>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时间：2022年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日至2022年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地点（网址）：政府采购云平台（www.zcygov.cn）</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方式：供应商登录政府采购云平台（www.zcygov.c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售价（元）：0</w:t>
      </w:r>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提交投标文件截止时间：2022年09月2</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（北京时间）</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投标地点（网址）：政采云（http://www.zcygov.cn/） </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开标时间：2022年09月2</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开标地点（网址）：政采云（http://www.zcygov.cn/）</w:t>
      </w:r>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五、公告期限</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2.其他事项：2.1(1)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2.2供应商应于提交投标文件截止时间前将电子投标文件上传到政府采购云平台（www.zcygov.cn）。</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2.3开标时间后半小时内供应商可以登录政府采购云平台（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均不退还供应商。</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2.4本项目实行网上投标，采用电子投标文件。若供应商参与投标，自行承担投标一切费用。</w:t>
      </w:r>
    </w:p>
    <w:p>
      <w:pPr>
        <w:wordWrap w:val="0"/>
        <w:spacing w:line="360" w:lineRule="auto"/>
        <w:ind w:left="0" w:leftChars="0" w:firstLine="239" w:firstLineChars="114"/>
        <w:rPr>
          <w:rFonts w:hint="eastAsia" w:ascii="宋体" w:hAnsi="宋体" w:cs="宋体"/>
          <w:color w:val="auto"/>
          <w:sz w:val="21"/>
          <w:szCs w:val="21"/>
          <w:highlight w:val="none"/>
        </w:rPr>
      </w:pPr>
      <w:r>
        <w:rPr>
          <w:rFonts w:hint="eastAsia" w:ascii="宋体" w:hAnsi="宋体" w:cs="宋体"/>
          <w:color w:val="auto"/>
          <w:sz w:val="21"/>
          <w:szCs w:val="21"/>
          <w:highlight w:val="none"/>
        </w:rPr>
        <w:t>2.5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2.6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名称：宁波工程学院</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地址：宁波市江北区风华路201号</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传真：/</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项目联系人（询问）：丁老师</w:t>
      </w:r>
    </w:p>
    <w:p>
      <w:pPr>
        <w:wordWrap w:val="0"/>
        <w:spacing w:line="360" w:lineRule="auto"/>
        <w:ind w:left="0" w:leftChars="0" w:firstLine="239" w:firstLineChars="114"/>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87616045</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马</w:t>
      </w:r>
      <w:r>
        <w:rPr>
          <w:rFonts w:hint="eastAsia" w:ascii="宋体" w:hAnsi="宋体" w:cs="宋体"/>
          <w:color w:val="auto"/>
          <w:sz w:val="21"/>
          <w:szCs w:val="21"/>
          <w:highlight w:val="none"/>
        </w:rPr>
        <w:t>老师</w:t>
      </w:r>
    </w:p>
    <w:p>
      <w:pPr>
        <w:wordWrap w:val="0"/>
        <w:spacing w:line="360" w:lineRule="auto"/>
        <w:ind w:left="0" w:leftChars="0" w:firstLine="239" w:firstLineChars="114"/>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质疑联系方式：0574-8761</w:t>
      </w:r>
      <w:r>
        <w:rPr>
          <w:rFonts w:hint="eastAsia" w:ascii="宋体" w:hAnsi="宋体" w:cs="宋体"/>
          <w:color w:val="auto"/>
          <w:sz w:val="21"/>
          <w:szCs w:val="21"/>
          <w:highlight w:val="none"/>
          <w:lang w:val="en-US" w:eastAsia="zh-CN"/>
        </w:rPr>
        <w:t>0521</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名称：宁波市国际招标有限公司</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地址：宁波市江北区环城北路西段207弄19号世茂茂悦商业中心1号楼八楼</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传真：0574-87388460</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项目联系人（询问）：陈若水、姚露泽、严锋</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项目联系方式（询问）：0574-87357607</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质疑联系人：夏伟立</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质疑联系方式：0574-87128864</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3.同级政府采购监督管理部门</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名称：宁波市政府采购管理办公室</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地址：宁波市海曙区中山西路19号</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传真：/</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联系人：徐老师</w:t>
      </w: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监督投诉电话：0574-89388441</w:t>
      </w:r>
    </w:p>
    <w:p>
      <w:pPr>
        <w:wordWrap w:val="0"/>
        <w:spacing w:line="360" w:lineRule="auto"/>
        <w:ind w:left="0" w:leftChars="0" w:firstLine="239" w:firstLineChars="114"/>
        <w:rPr>
          <w:rFonts w:ascii="宋体" w:hAnsi="宋体" w:cs="宋体"/>
          <w:color w:val="auto"/>
          <w:sz w:val="21"/>
          <w:szCs w:val="21"/>
          <w:highlight w:val="none"/>
        </w:rPr>
      </w:pPr>
    </w:p>
    <w:p>
      <w:pPr>
        <w:wordWrap w:val="0"/>
        <w:spacing w:line="360" w:lineRule="auto"/>
        <w:ind w:left="0" w:leftChars="0" w:firstLine="239" w:firstLineChars="114"/>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4"/>
        <w:snapToGrid w:val="0"/>
        <w:spacing w:before="0" w:after="0" w:line="360" w:lineRule="auto"/>
        <w:ind w:left="0" w:leftChars="0" w:firstLine="240" w:firstLineChars="114"/>
        <w:textAlignment w:val="auto"/>
        <w:rPr>
          <w:rFonts w:ascii="宋体" w:hAnsi="宋体" w:eastAsia="宋体" w:cs="宋体"/>
          <w:bCs w:val="0"/>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bookmarkEnd w:id="4"/>
    <w:p>
      <w:pPr>
        <w:spacing w:line="360" w:lineRule="auto"/>
        <w:ind w:firstLine="630" w:firstLineChars="300"/>
        <w:rPr>
          <w:rFonts w:ascii="宋体" w:hAnsi="宋体" w:cs="仿宋"/>
          <w:color w:val="auto"/>
          <w:sz w:val="21"/>
          <w:szCs w:val="21"/>
          <w:highlight w:val="none"/>
          <w:u w:val="single"/>
        </w:rPr>
      </w:pPr>
    </w:p>
    <w:p>
      <w:pPr>
        <w:spacing w:line="360" w:lineRule="auto"/>
        <w:ind w:firstLine="630" w:firstLineChars="300"/>
        <w:rPr>
          <w:rFonts w:ascii="宋体" w:hAnsi="宋体" w:cs="仿宋"/>
          <w:color w:val="auto"/>
          <w:sz w:val="21"/>
          <w:szCs w:val="21"/>
          <w:highlight w:val="none"/>
          <w:u w:val="single"/>
        </w:rPr>
      </w:pPr>
    </w:p>
    <w:p>
      <w:pPr>
        <w:widowControl/>
        <w:adjustRightInd/>
        <w:spacing w:line="276" w:lineRule="auto"/>
        <w:jc w:val="center"/>
        <w:textAlignment w:val="auto"/>
        <w:rPr>
          <w:rFonts w:ascii="宋体"/>
          <w:b/>
          <w:color w:val="auto"/>
          <w:sz w:val="28"/>
          <w:szCs w:val="28"/>
          <w:highlight w:val="none"/>
        </w:rPr>
      </w:pPr>
      <w:r>
        <w:rPr>
          <w:rFonts w:ascii="宋体"/>
          <w:b/>
          <w:color w:val="auto"/>
          <w:sz w:val="28"/>
          <w:szCs w:val="28"/>
          <w:highlight w:val="none"/>
        </w:rPr>
        <w:br w:type="page"/>
      </w:r>
    </w:p>
    <w:p>
      <w:pPr>
        <w:pStyle w:val="4"/>
        <w:jc w:val="center"/>
        <w:rPr>
          <w:color w:val="auto"/>
          <w:highlight w:val="none"/>
        </w:rPr>
      </w:pPr>
      <w:bookmarkStart w:id="5" w:name="_Toc1528"/>
      <w:r>
        <w:rPr>
          <w:rFonts w:hint="eastAsia"/>
          <w:color w:val="auto"/>
          <w:highlight w:val="none"/>
        </w:rPr>
        <w:t>第二部分  投标人须知</w:t>
      </w:r>
      <w:bookmarkEnd w:id="5"/>
    </w:p>
    <w:p>
      <w:pPr>
        <w:spacing w:line="276" w:lineRule="auto"/>
        <w:jc w:val="center"/>
        <w:rPr>
          <w:b/>
          <w:color w:val="auto"/>
          <w:sz w:val="28"/>
          <w:szCs w:val="28"/>
          <w:highlight w:val="none"/>
        </w:rPr>
      </w:pPr>
      <w:r>
        <w:rPr>
          <w:rFonts w:hint="eastAsia"/>
          <w:b/>
          <w:color w:val="auto"/>
          <w:sz w:val="28"/>
          <w:szCs w:val="28"/>
          <w:highlight w:val="none"/>
        </w:rPr>
        <w:t>投标人须知前附表</w:t>
      </w:r>
    </w:p>
    <w:p>
      <w:pPr>
        <w:spacing w:line="360" w:lineRule="auto"/>
        <w:rPr>
          <w:rFonts w:ascii="宋体"/>
          <w:color w:val="auto"/>
          <w:sz w:val="21"/>
          <w:szCs w:val="21"/>
          <w:highlight w:val="none"/>
        </w:rPr>
      </w:pPr>
      <w:r>
        <w:rPr>
          <w:rFonts w:hint="eastAsia" w:ascii="宋体"/>
          <w:color w:val="auto"/>
          <w:sz w:val="21"/>
          <w:szCs w:val="21"/>
          <w:highlight w:val="none"/>
        </w:rPr>
        <w:t>注：1、本须知前附表是对投标人须知的修改和补充，如有矛盾，均以本表为准。</w:t>
      </w:r>
    </w:p>
    <w:p>
      <w:pPr>
        <w:spacing w:line="360" w:lineRule="auto"/>
        <w:rPr>
          <w:b/>
          <w:color w:val="auto"/>
          <w:sz w:val="21"/>
          <w:szCs w:val="21"/>
          <w:highlight w:val="none"/>
        </w:rPr>
      </w:pPr>
      <w:r>
        <w:rPr>
          <w:rFonts w:hint="eastAsia" w:ascii="宋体"/>
          <w:color w:val="auto"/>
          <w:sz w:val="21"/>
          <w:szCs w:val="21"/>
          <w:highlight w:val="none"/>
        </w:rPr>
        <w:t xml:space="preserve">    2、本附表中</w:t>
      </w:r>
      <w:r>
        <w:rPr>
          <w:rFonts w:hint="eastAsia"/>
          <w:color w:val="auto"/>
          <w:sz w:val="21"/>
          <w:szCs w:val="21"/>
          <w:highlight w:val="none"/>
        </w:rPr>
        <w:t>“*”标志的为实质性条款，如有其中一项不符合即按无效投标处理。</w:t>
      </w:r>
    </w:p>
    <w:tbl>
      <w:tblPr>
        <w:tblStyle w:val="4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46" w:type="dxa"/>
            <w:vAlign w:val="center"/>
          </w:tcPr>
          <w:p>
            <w:pPr>
              <w:spacing w:line="336" w:lineRule="auto"/>
              <w:jc w:val="center"/>
              <w:rPr>
                <w:rFonts w:ascii="宋体"/>
                <w:b/>
                <w:bCs/>
                <w:color w:val="auto"/>
                <w:sz w:val="21"/>
                <w:szCs w:val="21"/>
                <w:highlight w:val="none"/>
              </w:rPr>
            </w:pPr>
            <w:r>
              <w:rPr>
                <w:rFonts w:hint="eastAsia" w:ascii="宋体"/>
                <w:b/>
                <w:bCs/>
                <w:color w:val="auto"/>
                <w:sz w:val="21"/>
                <w:szCs w:val="21"/>
                <w:highlight w:val="none"/>
              </w:rPr>
              <w:t>序号</w:t>
            </w:r>
          </w:p>
        </w:tc>
        <w:tc>
          <w:tcPr>
            <w:tcW w:w="1136" w:type="dxa"/>
            <w:vAlign w:val="center"/>
          </w:tcPr>
          <w:p>
            <w:pPr>
              <w:spacing w:line="336" w:lineRule="auto"/>
              <w:jc w:val="center"/>
              <w:rPr>
                <w:rFonts w:ascii="宋体"/>
                <w:b/>
                <w:bCs/>
                <w:color w:val="auto"/>
                <w:sz w:val="21"/>
                <w:szCs w:val="21"/>
                <w:highlight w:val="none"/>
              </w:rPr>
            </w:pPr>
            <w:r>
              <w:rPr>
                <w:rFonts w:hint="eastAsia" w:ascii="宋体"/>
                <w:b/>
                <w:bCs/>
                <w:color w:val="auto"/>
                <w:sz w:val="21"/>
                <w:szCs w:val="21"/>
                <w:highlight w:val="none"/>
              </w:rPr>
              <w:t>类别</w:t>
            </w:r>
          </w:p>
        </w:tc>
        <w:tc>
          <w:tcPr>
            <w:tcW w:w="6946" w:type="dxa"/>
            <w:vAlign w:val="center"/>
          </w:tcPr>
          <w:p>
            <w:pPr>
              <w:spacing w:line="336" w:lineRule="auto"/>
              <w:jc w:val="center"/>
              <w:rPr>
                <w:rFonts w:ascii="宋体"/>
                <w:b/>
                <w:bCs/>
                <w:color w:val="auto"/>
                <w:sz w:val="21"/>
                <w:szCs w:val="21"/>
                <w:highlight w:val="none"/>
              </w:rPr>
            </w:pPr>
            <w:r>
              <w:rPr>
                <w:rFonts w:hint="eastAsia" w:ascii="宋体"/>
                <w:b/>
                <w:bCs/>
                <w:color w:val="auto"/>
                <w:sz w:val="21"/>
                <w:szCs w:val="21"/>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w:t>
            </w:r>
          </w:p>
        </w:tc>
        <w:tc>
          <w:tcPr>
            <w:tcW w:w="1136" w:type="dxa"/>
            <w:vAlign w:val="center"/>
          </w:tcPr>
          <w:p>
            <w:pPr>
              <w:snapToGrid w:val="0"/>
              <w:spacing w:line="336" w:lineRule="auto"/>
              <w:jc w:val="center"/>
              <w:rPr>
                <w:rFonts w:ascii="宋体"/>
                <w:bCs/>
                <w:color w:val="auto"/>
                <w:sz w:val="21"/>
                <w:szCs w:val="21"/>
                <w:highlight w:val="none"/>
              </w:rPr>
            </w:pPr>
            <w:r>
              <w:rPr>
                <w:rFonts w:hint="eastAsia" w:ascii="宋体"/>
                <w:bCs/>
                <w:color w:val="auto"/>
                <w:sz w:val="21"/>
                <w:szCs w:val="21"/>
                <w:highlight w:val="none"/>
              </w:rPr>
              <w:t>招标编号</w:t>
            </w:r>
          </w:p>
        </w:tc>
        <w:tc>
          <w:tcPr>
            <w:tcW w:w="6946" w:type="dxa"/>
            <w:vAlign w:val="center"/>
          </w:tcPr>
          <w:p>
            <w:pPr>
              <w:snapToGrid w:val="0"/>
              <w:spacing w:line="336" w:lineRule="auto"/>
              <w:rPr>
                <w:rFonts w:ascii="宋体"/>
                <w:bCs/>
                <w:color w:val="auto"/>
                <w:sz w:val="21"/>
                <w:szCs w:val="21"/>
                <w:highlight w:val="none"/>
              </w:rPr>
            </w:pPr>
            <w:r>
              <w:rPr>
                <w:rFonts w:hint="eastAsia" w:ascii="宋体"/>
                <w:bCs/>
                <w:color w:val="auto"/>
                <w:sz w:val="21"/>
                <w:szCs w:val="21"/>
                <w:highlight w:val="none"/>
              </w:rPr>
              <w:t>NBITC-202230728G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2</w:t>
            </w:r>
          </w:p>
        </w:tc>
        <w:tc>
          <w:tcPr>
            <w:tcW w:w="113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招标人</w:t>
            </w:r>
          </w:p>
        </w:tc>
        <w:tc>
          <w:tcPr>
            <w:tcW w:w="6946" w:type="dxa"/>
            <w:vAlign w:val="center"/>
          </w:tcPr>
          <w:p>
            <w:pPr>
              <w:snapToGrid w:val="0"/>
              <w:spacing w:line="336" w:lineRule="auto"/>
              <w:jc w:val="both"/>
              <w:rPr>
                <w:rFonts w:ascii="宋体"/>
                <w:bCs/>
                <w:color w:val="auto"/>
                <w:sz w:val="21"/>
                <w:szCs w:val="21"/>
                <w:highlight w:val="none"/>
              </w:rPr>
            </w:pPr>
            <w:r>
              <w:rPr>
                <w:rFonts w:hint="eastAsia" w:ascii="宋体"/>
                <w:bCs/>
                <w:color w:val="auto"/>
                <w:sz w:val="21"/>
                <w:szCs w:val="21"/>
                <w:highlight w:val="none"/>
                <w:lang w:val="en-US" w:eastAsia="zh-CN"/>
              </w:rPr>
              <w:t>名称：</w:t>
            </w:r>
            <w:r>
              <w:rPr>
                <w:rFonts w:hint="eastAsia" w:ascii="宋体"/>
                <w:bCs/>
                <w:color w:val="auto"/>
                <w:sz w:val="21"/>
                <w:szCs w:val="21"/>
                <w:highlight w:val="none"/>
              </w:rPr>
              <w:t>宁波工程学院</w:t>
            </w:r>
          </w:p>
          <w:p>
            <w:pPr>
              <w:snapToGrid w:val="0"/>
              <w:spacing w:line="336" w:lineRule="auto"/>
              <w:jc w:val="both"/>
              <w:rPr>
                <w:rFonts w:ascii="宋体"/>
                <w:bCs/>
                <w:color w:val="auto"/>
                <w:sz w:val="21"/>
                <w:szCs w:val="21"/>
                <w:highlight w:val="none"/>
              </w:rPr>
            </w:pPr>
            <w:r>
              <w:rPr>
                <w:rFonts w:hint="eastAsia" w:ascii="宋体"/>
                <w:bCs/>
                <w:color w:val="auto"/>
                <w:sz w:val="21"/>
                <w:szCs w:val="21"/>
                <w:highlight w:val="none"/>
              </w:rPr>
              <w:t>联 系 人：丁老师</w:t>
            </w:r>
          </w:p>
          <w:p>
            <w:pPr>
              <w:snapToGrid w:val="0"/>
              <w:spacing w:line="336" w:lineRule="auto"/>
              <w:jc w:val="both"/>
              <w:rPr>
                <w:rFonts w:ascii="宋体"/>
                <w:bCs/>
                <w:color w:val="auto"/>
                <w:sz w:val="21"/>
                <w:szCs w:val="21"/>
                <w:highlight w:val="none"/>
              </w:rPr>
            </w:pPr>
            <w:r>
              <w:rPr>
                <w:rFonts w:hint="eastAsia" w:ascii="宋体"/>
                <w:bCs/>
                <w:color w:val="auto"/>
                <w:sz w:val="21"/>
                <w:szCs w:val="21"/>
                <w:highlight w:val="none"/>
              </w:rPr>
              <w:t>联系电话：0574-</w:t>
            </w:r>
            <w:r>
              <w:rPr>
                <w:rFonts w:hint="eastAsia" w:ascii="宋体" w:hAnsi="宋体" w:cs="宋体"/>
                <w:color w:val="auto"/>
                <w:sz w:val="21"/>
                <w:szCs w:val="21"/>
                <w:highlight w:val="none"/>
                <w:lang w:val="en-US" w:eastAsia="zh-CN"/>
              </w:rPr>
              <w:t>87616045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3</w:t>
            </w:r>
          </w:p>
        </w:tc>
        <w:tc>
          <w:tcPr>
            <w:tcW w:w="113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招标代理机构</w:t>
            </w:r>
          </w:p>
        </w:tc>
        <w:tc>
          <w:tcPr>
            <w:tcW w:w="6946" w:type="dxa"/>
            <w:vAlign w:val="center"/>
          </w:tcPr>
          <w:p>
            <w:pPr>
              <w:spacing w:line="336" w:lineRule="auto"/>
              <w:jc w:val="both"/>
              <w:rPr>
                <w:rFonts w:ascii="宋体"/>
                <w:bCs/>
                <w:color w:val="auto"/>
                <w:sz w:val="21"/>
                <w:szCs w:val="21"/>
                <w:highlight w:val="none"/>
              </w:rPr>
            </w:pPr>
            <w:r>
              <w:rPr>
                <w:rFonts w:hint="eastAsia" w:ascii="宋体"/>
                <w:bCs/>
                <w:color w:val="auto"/>
                <w:sz w:val="21"/>
                <w:szCs w:val="21"/>
                <w:highlight w:val="none"/>
                <w:lang w:val="en-US" w:eastAsia="zh-CN"/>
              </w:rPr>
              <w:t>名称：</w:t>
            </w:r>
            <w:r>
              <w:rPr>
                <w:rFonts w:hint="eastAsia" w:ascii="宋体"/>
                <w:bCs/>
                <w:color w:val="auto"/>
                <w:sz w:val="21"/>
                <w:szCs w:val="21"/>
                <w:highlight w:val="none"/>
              </w:rPr>
              <w:t>宁波市国际招标有限公司</w:t>
            </w:r>
          </w:p>
          <w:p>
            <w:pPr>
              <w:spacing w:line="336" w:lineRule="auto"/>
              <w:jc w:val="both"/>
              <w:rPr>
                <w:rFonts w:ascii="宋体"/>
                <w:bCs/>
                <w:color w:val="auto"/>
                <w:sz w:val="21"/>
                <w:szCs w:val="21"/>
                <w:highlight w:val="none"/>
              </w:rPr>
            </w:pPr>
            <w:r>
              <w:rPr>
                <w:rFonts w:hint="eastAsia" w:ascii="宋体"/>
                <w:bCs/>
                <w:color w:val="auto"/>
                <w:sz w:val="21"/>
                <w:szCs w:val="21"/>
                <w:highlight w:val="none"/>
              </w:rPr>
              <w:t>地</w:t>
            </w:r>
            <w:r>
              <w:rPr>
                <w:rFonts w:ascii="宋体"/>
                <w:bCs/>
                <w:color w:val="auto"/>
                <w:sz w:val="21"/>
                <w:szCs w:val="21"/>
                <w:highlight w:val="none"/>
              </w:rPr>
              <w:t>址：</w:t>
            </w:r>
            <w:r>
              <w:rPr>
                <w:rFonts w:hint="eastAsia" w:ascii="宋体" w:hAnsi="宋体" w:cs="宋体"/>
                <w:color w:val="auto"/>
                <w:sz w:val="21"/>
                <w:szCs w:val="21"/>
                <w:highlight w:val="none"/>
              </w:rPr>
              <w:t>宁波市江北区环城北路西段207弄19号世茂茂悦商业中心1号楼八楼012室</w:t>
            </w:r>
          </w:p>
          <w:p>
            <w:pPr>
              <w:spacing w:line="336" w:lineRule="auto"/>
              <w:jc w:val="both"/>
              <w:rPr>
                <w:rFonts w:ascii="宋体"/>
                <w:bCs/>
                <w:color w:val="auto"/>
                <w:sz w:val="21"/>
                <w:szCs w:val="21"/>
                <w:highlight w:val="none"/>
              </w:rPr>
            </w:pPr>
            <w:r>
              <w:rPr>
                <w:rFonts w:hint="eastAsia" w:ascii="宋体"/>
                <w:bCs/>
                <w:color w:val="auto"/>
                <w:sz w:val="21"/>
                <w:szCs w:val="21"/>
                <w:highlight w:val="none"/>
              </w:rPr>
              <w:t>联</w:t>
            </w:r>
            <w:r>
              <w:rPr>
                <w:rFonts w:ascii="宋体"/>
                <w:bCs/>
                <w:color w:val="auto"/>
                <w:sz w:val="21"/>
                <w:szCs w:val="21"/>
                <w:highlight w:val="none"/>
              </w:rPr>
              <w:t>系人：</w:t>
            </w:r>
            <w:r>
              <w:rPr>
                <w:rFonts w:hint="eastAsia" w:ascii="宋体" w:hAnsi="宋体" w:cs="宋体"/>
                <w:color w:val="auto"/>
                <w:sz w:val="21"/>
                <w:szCs w:val="21"/>
                <w:highlight w:val="none"/>
              </w:rPr>
              <w:t>陈若水、姚露泽、严锋</w:t>
            </w:r>
            <w:r>
              <w:rPr>
                <w:rFonts w:hint="eastAsia" w:ascii="宋体"/>
                <w:bCs/>
                <w:color w:val="auto"/>
                <w:sz w:val="21"/>
                <w:szCs w:val="21"/>
                <w:highlight w:val="none"/>
              </w:rPr>
              <w:t xml:space="preserve">  </w:t>
            </w:r>
          </w:p>
          <w:p>
            <w:pPr>
              <w:spacing w:line="336" w:lineRule="auto"/>
              <w:jc w:val="both"/>
              <w:rPr>
                <w:rFonts w:ascii="宋体"/>
                <w:bCs/>
                <w:color w:val="auto"/>
                <w:sz w:val="21"/>
                <w:szCs w:val="21"/>
                <w:highlight w:val="none"/>
              </w:rPr>
            </w:pPr>
            <w:r>
              <w:rPr>
                <w:rFonts w:hint="eastAsia" w:ascii="宋体"/>
                <w:bCs/>
                <w:color w:val="auto"/>
                <w:sz w:val="21"/>
                <w:szCs w:val="21"/>
                <w:highlight w:val="none"/>
              </w:rPr>
              <w:t>电</w:t>
            </w:r>
            <w:r>
              <w:rPr>
                <w:rFonts w:ascii="宋体"/>
                <w:bCs/>
                <w:color w:val="auto"/>
                <w:sz w:val="21"/>
                <w:szCs w:val="21"/>
                <w:highlight w:val="none"/>
              </w:rPr>
              <w:t>话：</w:t>
            </w:r>
            <w:r>
              <w:rPr>
                <w:rFonts w:hint="eastAsia" w:ascii="宋体"/>
                <w:bCs/>
                <w:color w:val="auto"/>
                <w:sz w:val="21"/>
                <w:szCs w:val="21"/>
                <w:highlight w:val="none"/>
              </w:rPr>
              <w:t>0574－87357607</w:t>
            </w:r>
            <w:r>
              <w:rPr>
                <w:rFonts w:ascii="宋体"/>
                <w:bCs/>
                <w:color w:val="auto"/>
                <w:sz w:val="21"/>
                <w:szCs w:val="21"/>
                <w:highlight w:val="none"/>
              </w:rPr>
              <w:t xml:space="preserve">  </w:t>
            </w:r>
          </w:p>
          <w:p>
            <w:pPr>
              <w:spacing w:line="336" w:lineRule="auto"/>
              <w:jc w:val="both"/>
              <w:rPr>
                <w:rFonts w:ascii="宋体"/>
                <w:bCs/>
                <w:color w:val="auto"/>
                <w:sz w:val="21"/>
                <w:szCs w:val="21"/>
                <w:highlight w:val="none"/>
              </w:rPr>
            </w:pPr>
            <w:r>
              <w:rPr>
                <w:rFonts w:ascii="宋体"/>
                <w:bCs/>
                <w:color w:val="auto"/>
                <w:sz w:val="21"/>
                <w:szCs w:val="21"/>
                <w:highlight w:val="none"/>
              </w:rPr>
              <w:t>传真：0574</w:t>
            </w:r>
            <w:r>
              <w:rPr>
                <w:rFonts w:hint="eastAsia" w:ascii="宋体"/>
                <w:bCs/>
                <w:color w:val="auto"/>
                <w:sz w:val="21"/>
                <w:szCs w:val="21"/>
                <w:highlight w:val="none"/>
              </w:rPr>
              <w:t>-</w:t>
            </w:r>
            <w:r>
              <w:rPr>
                <w:rFonts w:ascii="宋体"/>
                <w:bCs/>
                <w:color w:val="auto"/>
                <w:sz w:val="21"/>
                <w:szCs w:val="21"/>
                <w:highlight w:val="none"/>
              </w:rPr>
              <w:t>87388460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4</w:t>
            </w:r>
          </w:p>
        </w:tc>
        <w:tc>
          <w:tcPr>
            <w:tcW w:w="113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采购项目名称</w:t>
            </w:r>
          </w:p>
        </w:tc>
        <w:tc>
          <w:tcPr>
            <w:tcW w:w="6946" w:type="dxa"/>
            <w:vAlign w:val="center"/>
          </w:tcPr>
          <w:p>
            <w:pPr>
              <w:spacing w:line="336" w:lineRule="auto"/>
              <w:jc w:val="both"/>
              <w:rPr>
                <w:rFonts w:ascii="宋体"/>
                <w:bCs/>
                <w:color w:val="auto"/>
                <w:sz w:val="21"/>
                <w:szCs w:val="21"/>
                <w:highlight w:val="none"/>
              </w:rPr>
            </w:pPr>
            <w:r>
              <w:rPr>
                <w:rFonts w:hint="eastAsia" w:ascii="宋体" w:hAnsi="宋体" w:cs="宋体"/>
                <w:color w:val="auto"/>
                <w:sz w:val="21"/>
                <w:szCs w:val="21"/>
                <w:highlight w:val="none"/>
              </w:rPr>
              <w:t>宁波工程学院课程视频拍摄制作项目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28" w:type="dxa"/>
            <w:gridSpan w:val="3"/>
            <w:vAlign w:val="center"/>
          </w:tcPr>
          <w:p>
            <w:pPr>
              <w:spacing w:line="336" w:lineRule="auto"/>
              <w:jc w:val="center"/>
              <w:rPr>
                <w:rFonts w:ascii="宋体"/>
                <w:color w:val="auto"/>
                <w:sz w:val="21"/>
                <w:szCs w:val="21"/>
                <w:highlight w:val="none"/>
              </w:rPr>
            </w:pPr>
            <w:r>
              <w:rPr>
                <w:rFonts w:hint="eastAsia" w:ascii="宋体"/>
                <w:color w:val="auto"/>
                <w:sz w:val="21"/>
                <w:szCs w:val="21"/>
                <w:highlight w:val="none"/>
              </w:rPr>
              <w:t>投标基本原则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
                <w:bCs/>
                <w:color w:val="auto"/>
                <w:sz w:val="21"/>
                <w:szCs w:val="21"/>
                <w:highlight w:val="none"/>
              </w:rPr>
            </w:pPr>
            <w:r>
              <w:rPr>
                <w:rFonts w:hint="eastAsia" w:ascii="宋体"/>
                <w:b/>
                <w:color w:val="auto"/>
                <w:sz w:val="21"/>
                <w:szCs w:val="21"/>
                <w:highlight w:val="none"/>
              </w:rPr>
              <w:t>*</w:t>
            </w:r>
            <w:r>
              <w:rPr>
                <w:rFonts w:hint="eastAsia" w:ascii="宋体"/>
                <w:b/>
                <w:bCs/>
                <w:color w:val="auto"/>
                <w:sz w:val="21"/>
                <w:szCs w:val="21"/>
                <w:highlight w:val="none"/>
              </w:rPr>
              <w:t>5</w:t>
            </w:r>
          </w:p>
        </w:tc>
        <w:tc>
          <w:tcPr>
            <w:tcW w:w="1136" w:type="dxa"/>
            <w:vAlign w:val="center"/>
          </w:tcPr>
          <w:p>
            <w:pPr>
              <w:spacing w:line="336" w:lineRule="auto"/>
              <w:jc w:val="center"/>
              <w:rPr>
                <w:rFonts w:ascii="宋体"/>
                <w:b/>
                <w:bCs/>
                <w:color w:val="auto"/>
                <w:sz w:val="21"/>
                <w:szCs w:val="21"/>
                <w:highlight w:val="none"/>
              </w:rPr>
            </w:pPr>
            <w:r>
              <w:rPr>
                <w:rFonts w:hint="eastAsia" w:ascii="宋体"/>
                <w:b/>
                <w:color w:val="auto"/>
                <w:sz w:val="21"/>
                <w:szCs w:val="21"/>
                <w:highlight w:val="none"/>
              </w:rPr>
              <w:t>投标人</w:t>
            </w:r>
            <w:r>
              <w:rPr>
                <w:rFonts w:hint="eastAsia" w:ascii="宋体"/>
                <w:b/>
                <w:bCs/>
                <w:color w:val="auto"/>
                <w:sz w:val="21"/>
                <w:szCs w:val="21"/>
                <w:highlight w:val="none"/>
              </w:rPr>
              <w:t>资质要求</w:t>
            </w:r>
          </w:p>
        </w:tc>
        <w:tc>
          <w:tcPr>
            <w:tcW w:w="6946" w:type="dxa"/>
            <w:vAlign w:val="center"/>
          </w:tcPr>
          <w:p>
            <w:pPr>
              <w:spacing w:line="336" w:lineRule="auto"/>
              <w:rPr>
                <w:rFonts w:ascii="宋体" w:hAnsi="宋体" w:cs="宋体"/>
                <w:color w:val="auto"/>
                <w:sz w:val="21"/>
                <w:szCs w:val="21"/>
                <w:highlight w:val="none"/>
              </w:rPr>
            </w:pPr>
            <w:r>
              <w:rPr>
                <w:rFonts w:hint="eastAsia" w:ascii="宋体" w:hAnsi="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6</w:t>
            </w:r>
          </w:p>
        </w:tc>
        <w:tc>
          <w:tcPr>
            <w:tcW w:w="113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投标报价</w:t>
            </w:r>
          </w:p>
        </w:tc>
        <w:tc>
          <w:tcPr>
            <w:tcW w:w="6946" w:type="dxa"/>
            <w:vAlign w:val="center"/>
          </w:tcPr>
          <w:p>
            <w:pPr>
              <w:pStyle w:val="55"/>
              <w:spacing w:line="336" w:lineRule="auto"/>
              <w:ind w:firstLine="2"/>
              <w:rPr>
                <w:color w:val="auto"/>
                <w:highlight w:val="none"/>
              </w:rPr>
            </w:pPr>
            <w:r>
              <w:rPr>
                <w:rFonts w:hint="eastAsia"/>
                <w:color w:val="auto"/>
                <w:highlight w:val="none"/>
              </w:rPr>
              <w:t>1、报价以人民币元为计算单位。</w:t>
            </w:r>
          </w:p>
          <w:p>
            <w:pPr>
              <w:pStyle w:val="55"/>
              <w:spacing w:line="336" w:lineRule="auto"/>
              <w:ind w:firstLine="2"/>
              <w:rPr>
                <w:color w:val="auto"/>
                <w:highlight w:val="none"/>
              </w:rPr>
            </w:pPr>
            <w:r>
              <w:rPr>
                <w:rFonts w:hint="eastAsia"/>
                <w:color w:val="auto"/>
                <w:highlight w:val="none"/>
              </w:rPr>
              <w:t>2、按要求的格式内容填写报价。</w:t>
            </w:r>
          </w:p>
          <w:p>
            <w:pPr>
              <w:pStyle w:val="55"/>
              <w:spacing w:line="336" w:lineRule="auto"/>
              <w:ind w:firstLine="2"/>
              <w:rPr>
                <w:color w:val="auto"/>
                <w:highlight w:val="none"/>
              </w:rPr>
            </w:pPr>
            <w:r>
              <w:rPr>
                <w:rFonts w:hint="eastAsia"/>
                <w:color w:val="auto"/>
                <w:highlight w:val="none"/>
              </w:rPr>
              <w:t>3、投标报价为投标人为完成本项目，实现招标文件中规定的本项目采购内容和范围并达到相关标准所需要的全部费用。包括所产生的人工、场所、设备、工具、零件、管理、维护、保险、利润、税金政策性文件规定及合同包含的所有风险、责任等各项应有费用（即交钥匙价）。</w:t>
            </w:r>
          </w:p>
          <w:p>
            <w:pPr>
              <w:pStyle w:val="55"/>
              <w:spacing w:line="336" w:lineRule="auto"/>
              <w:ind w:firstLine="2"/>
              <w:rPr>
                <w:color w:val="auto"/>
                <w:highlight w:val="none"/>
              </w:rPr>
            </w:pPr>
            <w:r>
              <w:rPr>
                <w:rFonts w:hint="eastAsia"/>
                <w:color w:val="auto"/>
                <w:highlight w:val="none"/>
              </w:rPr>
              <w:t>凡影响投标报价的所有相关费用应列入本次报价中。中标后，不得以不完全了解采购文件、现场、周围环境等情况为借口，而提出额外补偿或延长工期等的要求。如漏报，最终所发生的费用均由中标商承担，招标方一律不予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
                <w:bCs/>
                <w:color w:val="auto"/>
                <w:sz w:val="21"/>
                <w:szCs w:val="21"/>
                <w:highlight w:val="none"/>
              </w:rPr>
            </w:pPr>
            <w:r>
              <w:rPr>
                <w:rFonts w:hint="eastAsia" w:ascii="宋体"/>
                <w:b/>
                <w:color w:val="auto"/>
                <w:sz w:val="21"/>
                <w:szCs w:val="21"/>
                <w:highlight w:val="none"/>
              </w:rPr>
              <w:t>*</w:t>
            </w:r>
            <w:r>
              <w:rPr>
                <w:rFonts w:hint="eastAsia" w:ascii="宋体"/>
                <w:b/>
                <w:bCs/>
                <w:color w:val="auto"/>
                <w:sz w:val="21"/>
                <w:szCs w:val="21"/>
                <w:highlight w:val="none"/>
              </w:rPr>
              <w:t>7</w:t>
            </w:r>
          </w:p>
        </w:tc>
        <w:tc>
          <w:tcPr>
            <w:tcW w:w="1136" w:type="dxa"/>
            <w:vAlign w:val="center"/>
          </w:tcPr>
          <w:p>
            <w:pPr>
              <w:spacing w:line="336" w:lineRule="auto"/>
              <w:jc w:val="center"/>
              <w:rPr>
                <w:rFonts w:ascii="宋体"/>
                <w:b/>
                <w:bCs/>
                <w:color w:val="auto"/>
                <w:sz w:val="21"/>
                <w:szCs w:val="21"/>
                <w:highlight w:val="none"/>
              </w:rPr>
            </w:pPr>
            <w:r>
              <w:rPr>
                <w:rFonts w:hint="eastAsia" w:ascii="宋体"/>
                <w:b/>
                <w:color w:val="auto"/>
                <w:sz w:val="21"/>
                <w:szCs w:val="21"/>
                <w:highlight w:val="none"/>
              </w:rPr>
              <w:t>最高单价限价</w:t>
            </w:r>
          </w:p>
        </w:tc>
        <w:tc>
          <w:tcPr>
            <w:tcW w:w="6946" w:type="dxa"/>
            <w:vAlign w:val="center"/>
          </w:tcPr>
          <w:p>
            <w:pPr>
              <w:spacing w:line="336" w:lineRule="auto"/>
              <w:rPr>
                <w:rFonts w:ascii="宋体" w:hAnsi="宋体"/>
                <w:b/>
                <w:color w:val="auto"/>
                <w:sz w:val="21"/>
                <w:szCs w:val="21"/>
                <w:highlight w:val="none"/>
              </w:rPr>
            </w:pPr>
            <w:r>
              <w:rPr>
                <w:rFonts w:hint="eastAsia" w:ascii="宋体" w:hAnsi="宋体"/>
                <w:b/>
                <w:color w:val="auto"/>
                <w:sz w:val="21"/>
                <w:szCs w:val="21"/>
                <w:highlight w:val="none"/>
              </w:rPr>
              <w:t>预算金额：人民币148万元</w:t>
            </w:r>
          </w:p>
          <w:p>
            <w:pPr>
              <w:spacing w:line="336" w:lineRule="auto"/>
              <w:rPr>
                <w:rFonts w:ascii="宋体" w:hAnsi="宋体"/>
                <w:b/>
                <w:color w:val="auto"/>
                <w:sz w:val="21"/>
                <w:szCs w:val="21"/>
                <w:highlight w:val="none"/>
              </w:rPr>
            </w:pPr>
            <w:r>
              <w:rPr>
                <w:rFonts w:hint="eastAsia" w:ascii="宋体" w:hAnsi="宋体"/>
                <w:b/>
                <w:color w:val="auto"/>
                <w:sz w:val="21"/>
                <w:szCs w:val="21"/>
                <w:highlight w:val="none"/>
              </w:rPr>
              <w:t>最高单价限价为：</w:t>
            </w:r>
          </w:p>
          <w:tbl>
            <w:tblPr>
              <w:tblStyle w:val="40"/>
              <w:tblW w:w="6458" w:type="dxa"/>
              <w:tblInd w:w="7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997"/>
              <w:gridCol w:w="1402"/>
              <w:gridCol w:w="14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3"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997"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课程类型</w:t>
                  </w:r>
                </w:p>
              </w:tc>
              <w:tc>
                <w:tcPr>
                  <w:tcW w:w="1402"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时间</w:t>
                  </w:r>
                </w:p>
              </w:tc>
              <w:tc>
                <w:tcPr>
                  <w:tcW w:w="1406"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最高单价限价（元/个）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53"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997"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慕课、新形态教材、课程思政课程</w:t>
                  </w:r>
                </w:p>
              </w:tc>
              <w:tc>
                <w:tcPr>
                  <w:tcW w:w="1402" w:type="dxa"/>
                  <w:vAlign w:val="center"/>
                </w:tcPr>
                <w:p>
                  <w:pPr>
                    <w:spacing w:line="336" w:lineRule="auto"/>
                    <w:jc w:val="center"/>
                    <w:rPr>
                      <w:rFonts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≤10分钟</w:t>
                  </w:r>
                </w:p>
              </w:tc>
              <w:tc>
                <w:tcPr>
                  <w:tcW w:w="1406" w:type="dxa"/>
                  <w:vAlign w:val="center"/>
                </w:tcPr>
                <w:p>
                  <w:pPr>
                    <w:spacing w:line="336" w:lineRule="auto"/>
                    <w:jc w:val="center"/>
                    <w:rPr>
                      <w:rFonts w:ascii="宋体" w:hAnsi="宋体" w:eastAsia="宋体" w:cs="宋体"/>
                      <w:color w:val="auto"/>
                      <w:sz w:val="21"/>
                      <w:szCs w:val="21"/>
                      <w:highlight w:val="none"/>
                      <w:lang w:val="en-US" w:eastAsia="zh-CN" w:bidi="ar-SA"/>
                    </w:rPr>
                  </w:pPr>
                  <w:r>
                    <w:rPr>
                      <w:rFonts w:ascii="宋体" w:hAnsi="宋体" w:cs="宋体"/>
                      <w:color w:val="auto"/>
                      <w:sz w:val="21"/>
                      <w:szCs w:val="21"/>
                      <w:highlight w:val="none"/>
                    </w:rPr>
                    <w:t>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53" w:type="dxa"/>
                  <w:vMerge w:val="continue"/>
                  <w:vAlign w:val="center"/>
                </w:tcPr>
                <w:p>
                  <w:pPr>
                    <w:spacing w:line="336" w:lineRule="auto"/>
                    <w:jc w:val="center"/>
                    <w:rPr>
                      <w:rFonts w:ascii="宋体" w:hAnsi="宋体" w:cs="宋体"/>
                      <w:color w:val="auto"/>
                      <w:sz w:val="21"/>
                      <w:szCs w:val="21"/>
                      <w:highlight w:val="none"/>
                    </w:rPr>
                  </w:pPr>
                </w:p>
              </w:tc>
              <w:tc>
                <w:tcPr>
                  <w:tcW w:w="2997" w:type="dxa"/>
                  <w:vMerge w:val="continue"/>
                  <w:vAlign w:val="center"/>
                </w:tcPr>
                <w:p>
                  <w:pPr>
                    <w:spacing w:line="336" w:lineRule="auto"/>
                    <w:jc w:val="center"/>
                    <w:rPr>
                      <w:rFonts w:ascii="宋体" w:hAnsi="宋体" w:cs="宋体"/>
                      <w:color w:val="auto"/>
                      <w:sz w:val="21"/>
                      <w:szCs w:val="21"/>
                      <w:highlight w:val="none"/>
                    </w:rPr>
                  </w:pPr>
                </w:p>
              </w:tc>
              <w:tc>
                <w:tcPr>
                  <w:tcW w:w="1402" w:type="dxa"/>
                  <w:vAlign w:val="center"/>
                </w:tcPr>
                <w:p>
                  <w:pPr>
                    <w:spacing w:line="336" w:lineRule="auto"/>
                    <w:jc w:val="center"/>
                    <w:rPr>
                      <w:rFonts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10-15分钟</w:t>
                  </w:r>
                </w:p>
              </w:tc>
              <w:tc>
                <w:tcPr>
                  <w:tcW w:w="1406" w:type="dxa"/>
                  <w:vAlign w:val="center"/>
                </w:tcPr>
                <w:p>
                  <w:pPr>
                    <w:spacing w:line="336" w:lineRule="auto"/>
                    <w:jc w:val="center"/>
                    <w:rPr>
                      <w:rFonts w:ascii="宋体" w:hAnsi="宋体" w:eastAsia="宋体" w:cs="宋体"/>
                      <w:color w:val="auto"/>
                      <w:sz w:val="21"/>
                      <w:szCs w:val="21"/>
                      <w:highlight w:val="none"/>
                      <w:lang w:val="en-US" w:eastAsia="zh-CN" w:bidi="ar-SA"/>
                    </w:rPr>
                  </w:pPr>
                  <w:r>
                    <w:rPr>
                      <w:rFonts w:ascii="宋体" w:hAnsi="宋体" w:cs="宋体"/>
                      <w:color w:val="auto"/>
                      <w:sz w:val="21"/>
                      <w:szCs w:val="21"/>
                      <w:highlight w:val="none"/>
                    </w:rPr>
                    <w:t>1500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53"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997"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说课视频（需AE制作，不低于两处的特效包装）</w:t>
                  </w:r>
                </w:p>
              </w:tc>
              <w:tc>
                <w:tcPr>
                  <w:tcW w:w="140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10分钟</w:t>
                  </w:r>
                </w:p>
              </w:tc>
              <w:tc>
                <w:tcPr>
                  <w:tcW w:w="1406"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53"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997"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创新教学大赛等各类教学竞赛中课堂实录视频（含一镜到底）</w:t>
                  </w:r>
                </w:p>
              </w:tc>
              <w:tc>
                <w:tcPr>
                  <w:tcW w:w="140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45分钟</w:t>
                  </w:r>
                </w:p>
              </w:tc>
              <w:tc>
                <w:tcPr>
                  <w:tcW w:w="1406" w:type="dxa"/>
                  <w:vAlign w:val="center"/>
                </w:tcPr>
                <w:p>
                  <w:pPr>
                    <w:spacing w:line="336" w:lineRule="auto"/>
                    <w:jc w:val="center"/>
                    <w:rPr>
                      <w:rFonts w:ascii="宋体" w:hAnsi="宋体" w:cs="宋体"/>
                      <w:color w:val="auto"/>
                      <w:sz w:val="21"/>
                      <w:szCs w:val="21"/>
                      <w:highlight w:val="none"/>
                    </w:rPr>
                  </w:pPr>
                  <w:r>
                    <w:rPr>
                      <w:rFonts w:ascii="宋体" w:hAnsi="宋体" w:cs="宋体"/>
                      <w:color w:val="auto"/>
                      <w:sz w:val="21"/>
                      <w:szCs w:val="21"/>
                      <w:highlight w:val="none"/>
                    </w:rPr>
                    <w:t>4000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53"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997"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微课大赛</w:t>
                  </w:r>
                </w:p>
              </w:tc>
              <w:tc>
                <w:tcPr>
                  <w:tcW w:w="140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0</w:t>
                  </w:r>
                  <w:r>
                    <w:rPr>
                      <w:rFonts w:hint="eastAsia" w:ascii="宋体" w:hAnsi="宋体" w:cs="宋体"/>
                      <w:color w:val="auto"/>
                      <w:sz w:val="21"/>
                      <w:szCs w:val="21"/>
                      <w:highlight w:val="none"/>
                    </w:rPr>
                    <w:t>分钟</w:t>
                  </w:r>
                </w:p>
              </w:tc>
              <w:tc>
                <w:tcPr>
                  <w:tcW w:w="1406" w:type="dxa"/>
                  <w:vAlign w:val="center"/>
                </w:tcPr>
                <w:p>
                  <w:pPr>
                    <w:spacing w:line="336" w:lineRule="auto"/>
                    <w:jc w:val="center"/>
                    <w:rPr>
                      <w:rFonts w:ascii="宋体" w:hAnsi="宋体" w:cs="宋体"/>
                      <w:color w:val="auto"/>
                      <w:sz w:val="21"/>
                      <w:szCs w:val="21"/>
                      <w:highlight w:val="none"/>
                    </w:rPr>
                  </w:pPr>
                  <w:r>
                    <w:rPr>
                      <w:rFonts w:ascii="宋体" w:hAnsi="宋体" w:cs="宋体"/>
                      <w:color w:val="auto"/>
                      <w:sz w:val="21"/>
                      <w:szCs w:val="21"/>
                      <w:highlight w:val="none"/>
                    </w:rPr>
                    <w:t>2000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53" w:type="dxa"/>
                  <w:vMerge w:val="continue"/>
                  <w:vAlign w:val="center"/>
                </w:tcPr>
                <w:p>
                  <w:pPr>
                    <w:spacing w:line="336" w:lineRule="auto"/>
                    <w:jc w:val="center"/>
                    <w:rPr>
                      <w:rFonts w:ascii="宋体" w:hAnsi="宋体" w:cs="宋体"/>
                      <w:color w:val="auto"/>
                      <w:sz w:val="21"/>
                      <w:szCs w:val="21"/>
                      <w:highlight w:val="none"/>
                    </w:rPr>
                  </w:pPr>
                </w:p>
              </w:tc>
              <w:tc>
                <w:tcPr>
                  <w:tcW w:w="2997"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青年教师竞赛</w:t>
                  </w:r>
                </w:p>
              </w:tc>
              <w:tc>
                <w:tcPr>
                  <w:tcW w:w="1402" w:type="dxa"/>
                </w:tcPr>
                <w:p>
                  <w:pPr>
                    <w:spacing w:line="336" w:lineRule="auto"/>
                    <w:jc w:val="center"/>
                    <w:rPr>
                      <w:rFonts w:ascii="宋体" w:hAnsi="宋体" w:cs="宋体"/>
                      <w:color w:val="auto"/>
                      <w:sz w:val="21"/>
                      <w:szCs w:val="21"/>
                      <w:highlight w:val="none"/>
                    </w:rPr>
                  </w:pPr>
                  <w:r>
                    <w:rPr>
                      <w:rFonts w:hint="eastAsia"/>
                      <w:color w:val="auto"/>
                      <w:sz w:val="21"/>
                      <w:szCs w:val="21"/>
                      <w:highlight w:val="none"/>
                    </w:rPr>
                    <w:t>≤</w:t>
                  </w:r>
                  <w:r>
                    <w:rPr>
                      <w:color w:val="auto"/>
                      <w:sz w:val="21"/>
                      <w:szCs w:val="21"/>
                      <w:highlight w:val="none"/>
                    </w:rPr>
                    <w:t>20</w:t>
                  </w:r>
                  <w:r>
                    <w:rPr>
                      <w:rFonts w:hint="eastAsia"/>
                      <w:color w:val="auto"/>
                      <w:sz w:val="21"/>
                      <w:szCs w:val="21"/>
                      <w:highlight w:val="none"/>
                    </w:rPr>
                    <w:t>分钟</w:t>
                  </w:r>
                </w:p>
              </w:tc>
              <w:tc>
                <w:tcPr>
                  <w:tcW w:w="1406" w:type="dxa"/>
                </w:tcPr>
                <w:p>
                  <w:pPr>
                    <w:spacing w:line="336" w:lineRule="auto"/>
                    <w:jc w:val="center"/>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3"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997" w:type="dxa"/>
                  <w:vAlign w:val="center"/>
                </w:tcPr>
                <w:p>
                  <w:pPr>
                    <w:spacing w:line="4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二维动画</w:t>
                  </w:r>
                </w:p>
              </w:tc>
              <w:tc>
                <w:tcPr>
                  <w:tcW w:w="2808" w:type="dxa"/>
                  <w:gridSpan w:val="2"/>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20元/秒</w:t>
                  </w:r>
                </w:p>
              </w:tc>
            </w:tr>
          </w:tbl>
          <w:p>
            <w:pPr>
              <w:pStyle w:val="55"/>
              <w:spacing w:line="336" w:lineRule="auto"/>
              <w:ind w:firstLine="2"/>
              <w:rPr>
                <w:b/>
                <w:color w:val="auto"/>
                <w:highlight w:val="none"/>
              </w:rPr>
            </w:pPr>
            <w:r>
              <w:rPr>
                <w:rFonts w:hint="eastAsia" w:hAnsi="宋体"/>
                <w:b/>
                <w:color w:val="auto"/>
                <w:highlight w:val="none"/>
              </w:rPr>
              <w:t>注：</w:t>
            </w:r>
            <w:r>
              <w:rPr>
                <w:rFonts w:hint="eastAsia" w:hAnsi="宋体"/>
                <w:b/>
                <w:color w:val="auto"/>
                <w:highlight w:val="none"/>
                <w:lang w:val="en-US" w:eastAsia="zh-CN"/>
              </w:rPr>
              <w:t>投标报价</w:t>
            </w:r>
            <w:r>
              <w:rPr>
                <w:rFonts w:hint="eastAsia" w:hAnsi="宋体"/>
                <w:b/>
                <w:color w:val="auto"/>
                <w:highlight w:val="none"/>
              </w:rPr>
              <w:t>不得超过最高单价限价，否则作无效标处理。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
                <w:bCs/>
                <w:color w:val="auto"/>
                <w:sz w:val="21"/>
                <w:szCs w:val="21"/>
                <w:highlight w:val="none"/>
              </w:rPr>
            </w:pPr>
            <w:r>
              <w:rPr>
                <w:rFonts w:hint="eastAsia" w:ascii="宋体"/>
                <w:b/>
                <w:color w:val="auto"/>
                <w:sz w:val="21"/>
                <w:szCs w:val="21"/>
                <w:highlight w:val="none"/>
              </w:rPr>
              <w:t>*</w:t>
            </w:r>
            <w:r>
              <w:rPr>
                <w:rFonts w:hint="eastAsia" w:ascii="宋体"/>
                <w:b/>
                <w:bCs/>
                <w:color w:val="auto"/>
                <w:sz w:val="21"/>
                <w:szCs w:val="21"/>
                <w:highlight w:val="none"/>
              </w:rPr>
              <w:t>8</w:t>
            </w:r>
          </w:p>
        </w:tc>
        <w:tc>
          <w:tcPr>
            <w:tcW w:w="1136" w:type="dxa"/>
            <w:vAlign w:val="center"/>
          </w:tcPr>
          <w:p>
            <w:pPr>
              <w:spacing w:line="336" w:lineRule="auto"/>
              <w:jc w:val="center"/>
              <w:rPr>
                <w:rFonts w:ascii="宋体"/>
                <w:b/>
                <w:bCs/>
                <w:color w:val="auto"/>
                <w:sz w:val="21"/>
                <w:szCs w:val="21"/>
                <w:highlight w:val="none"/>
              </w:rPr>
            </w:pPr>
            <w:r>
              <w:rPr>
                <w:rFonts w:hint="eastAsia" w:ascii="宋体"/>
                <w:b/>
                <w:bCs/>
                <w:color w:val="auto"/>
                <w:sz w:val="21"/>
                <w:szCs w:val="21"/>
                <w:highlight w:val="none"/>
              </w:rPr>
              <w:t>投标有效期</w:t>
            </w:r>
          </w:p>
        </w:tc>
        <w:tc>
          <w:tcPr>
            <w:tcW w:w="6946" w:type="dxa"/>
            <w:vAlign w:val="center"/>
          </w:tcPr>
          <w:p>
            <w:pPr>
              <w:spacing w:line="336" w:lineRule="auto"/>
              <w:ind w:firstLine="4" w:firstLineChars="2"/>
              <w:jc w:val="both"/>
              <w:rPr>
                <w:rFonts w:ascii="宋体"/>
                <w:b/>
                <w:bCs/>
                <w:color w:val="auto"/>
                <w:sz w:val="21"/>
                <w:szCs w:val="21"/>
                <w:highlight w:val="none"/>
              </w:rPr>
            </w:pPr>
            <w:r>
              <w:rPr>
                <w:rFonts w:hint="eastAsia" w:ascii="宋体"/>
                <w:b/>
                <w:bCs/>
                <w:color w:val="auto"/>
                <w:sz w:val="21"/>
                <w:szCs w:val="21"/>
                <w:highlight w:val="none"/>
                <w:u w:val="single"/>
              </w:rPr>
              <w:t>90</w:t>
            </w:r>
            <w:r>
              <w:rPr>
                <w:rFonts w:hint="eastAsia" w:ascii="宋体"/>
                <w:b/>
                <w:bCs/>
                <w:color w:val="auto"/>
                <w:sz w:val="21"/>
                <w:szCs w:val="21"/>
                <w:highlight w:val="none"/>
              </w:rPr>
              <w:t>日历天（从开标日起计算）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928" w:type="dxa"/>
            <w:gridSpan w:val="3"/>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投标文件准备与递交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6" w:type="dxa"/>
            <w:vAlign w:val="center"/>
          </w:tcPr>
          <w:p>
            <w:pPr>
              <w:spacing w:line="336" w:lineRule="auto"/>
              <w:jc w:val="center"/>
              <w:rPr>
                <w:rFonts w:ascii="宋体"/>
                <w:b/>
                <w:bCs/>
                <w:color w:val="auto"/>
                <w:sz w:val="21"/>
                <w:szCs w:val="21"/>
                <w:highlight w:val="none"/>
              </w:rPr>
            </w:pPr>
            <w:r>
              <w:rPr>
                <w:rFonts w:hint="eastAsia" w:ascii="宋体"/>
                <w:b/>
                <w:color w:val="auto"/>
                <w:sz w:val="21"/>
                <w:szCs w:val="21"/>
                <w:highlight w:val="none"/>
              </w:rPr>
              <w:t>*</w:t>
            </w:r>
            <w:r>
              <w:rPr>
                <w:rFonts w:hint="eastAsia" w:ascii="宋体"/>
                <w:b/>
                <w:bCs/>
                <w:color w:val="auto"/>
                <w:sz w:val="21"/>
                <w:szCs w:val="21"/>
                <w:highlight w:val="none"/>
              </w:rPr>
              <w:t>9</w:t>
            </w:r>
          </w:p>
        </w:tc>
        <w:tc>
          <w:tcPr>
            <w:tcW w:w="1136" w:type="dxa"/>
            <w:vAlign w:val="center"/>
          </w:tcPr>
          <w:p>
            <w:pPr>
              <w:spacing w:line="336" w:lineRule="auto"/>
              <w:jc w:val="center"/>
              <w:rPr>
                <w:rFonts w:ascii="宋体"/>
                <w:b/>
                <w:bCs/>
                <w:color w:val="auto"/>
                <w:sz w:val="21"/>
                <w:szCs w:val="21"/>
                <w:highlight w:val="none"/>
              </w:rPr>
            </w:pPr>
            <w:r>
              <w:rPr>
                <w:rFonts w:hint="eastAsia" w:ascii="宋体"/>
                <w:b/>
                <w:bCs/>
                <w:color w:val="auto"/>
                <w:sz w:val="21"/>
                <w:szCs w:val="21"/>
                <w:highlight w:val="none"/>
              </w:rPr>
              <w:t>投标保证金</w:t>
            </w:r>
          </w:p>
        </w:tc>
        <w:tc>
          <w:tcPr>
            <w:tcW w:w="6946" w:type="dxa"/>
            <w:vAlign w:val="center"/>
          </w:tcPr>
          <w:p>
            <w:pPr>
              <w:spacing w:line="336" w:lineRule="auto"/>
              <w:rPr>
                <w:rFonts w:ascii="宋体" w:hAnsi="宋体"/>
                <w:color w:val="auto"/>
                <w:sz w:val="21"/>
                <w:szCs w:val="21"/>
                <w:highlight w:val="none"/>
              </w:rPr>
            </w:pPr>
            <w:r>
              <w:rPr>
                <w:rFonts w:hint="eastAsia" w:ascii="宋体" w:hAnsi="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10</w:t>
            </w:r>
          </w:p>
        </w:tc>
        <w:tc>
          <w:tcPr>
            <w:tcW w:w="1136" w:type="dxa"/>
            <w:vAlign w:val="center"/>
          </w:tcPr>
          <w:p>
            <w:pPr>
              <w:keepNext w:val="0"/>
              <w:keepLines w:val="0"/>
              <w:pageBreakBefore w:val="0"/>
              <w:kinsoku/>
              <w:wordWrap/>
              <w:overflowPunct/>
              <w:topLinePunct w:val="0"/>
              <w:autoSpaceDE/>
              <w:autoSpaceDN/>
              <w:bidi w:val="0"/>
              <w:spacing w:line="336" w:lineRule="auto"/>
              <w:jc w:val="center"/>
              <w:rPr>
                <w:rFonts w:ascii="宋体"/>
                <w:bCs/>
                <w:color w:val="auto"/>
                <w:sz w:val="21"/>
                <w:szCs w:val="21"/>
                <w:highlight w:val="none"/>
              </w:rPr>
            </w:pPr>
            <w:r>
              <w:rPr>
                <w:rFonts w:hint="eastAsia" w:ascii="宋体"/>
                <w:bCs/>
                <w:color w:val="auto"/>
                <w:sz w:val="21"/>
                <w:szCs w:val="21"/>
                <w:highlight w:val="none"/>
              </w:rPr>
              <w:t>投标文件份数</w:t>
            </w:r>
          </w:p>
        </w:tc>
        <w:tc>
          <w:tcPr>
            <w:tcW w:w="6946" w:type="dxa"/>
            <w:vAlign w:val="center"/>
          </w:tcPr>
          <w:p>
            <w:pPr>
              <w:keepNext w:val="0"/>
              <w:keepLines w:val="0"/>
              <w:pageBreakBefore w:val="0"/>
              <w:kinsoku/>
              <w:wordWrap/>
              <w:overflowPunct/>
              <w:topLinePunct w:val="0"/>
              <w:autoSpaceDE/>
              <w:autoSpaceDN/>
              <w:bidi w:val="0"/>
              <w:spacing w:line="336" w:lineRule="auto"/>
              <w:jc w:val="both"/>
              <w:rPr>
                <w:rFonts w:hint="eastAsia" w:ascii="宋体"/>
                <w:bCs/>
                <w:color w:val="auto"/>
                <w:sz w:val="21"/>
                <w:szCs w:val="21"/>
                <w:highlight w:val="none"/>
                <w:lang w:val="en-US" w:eastAsia="zh-CN"/>
              </w:rPr>
            </w:pPr>
            <w:r>
              <w:rPr>
                <w:rFonts w:hint="eastAsia" w:ascii="宋体"/>
                <w:bCs/>
                <w:color w:val="auto"/>
                <w:sz w:val="21"/>
                <w:szCs w:val="21"/>
                <w:highlight w:val="none"/>
                <w:lang w:val="en-US" w:eastAsia="zh-CN"/>
              </w:rPr>
              <w:t>*</w:t>
            </w:r>
            <w:r>
              <w:rPr>
                <w:rFonts w:hint="eastAsia" w:ascii="宋体"/>
                <w:bCs/>
                <w:color w:val="auto"/>
                <w:sz w:val="21"/>
                <w:szCs w:val="21"/>
                <w:highlight w:val="none"/>
              </w:rPr>
              <w:t>上传政采云系统的电子投标文件一份</w:t>
            </w:r>
            <w:r>
              <w:rPr>
                <w:rFonts w:hint="eastAsia" w:ascii="宋体"/>
                <w:bCs/>
                <w:color w:val="auto"/>
                <w:sz w:val="21"/>
                <w:szCs w:val="21"/>
                <w:highlight w:val="none"/>
                <w:lang w:val="en-US" w:eastAsia="zh-CN"/>
              </w:rPr>
              <w:t>;</w:t>
            </w:r>
          </w:p>
          <w:p>
            <w:pPr>
              <w:keepNext w:val="0"/>
              <w:keepLines w:val="0"/>
              <w:pageBreakBefore w:val="0"/>
              <w:kinsoku/>
              <w:wordWrap/>
              <w:overflowPunct/>
              <w:topLinePunct w:val="0"/>
              <w:autoSpaceDE/>
              <w:autoSpaceDN/>
              <w:bidi w:val="0"/>
              <w:spacing w:line="336" w:lineRule="auto"/>
              <w:jc w:val="both"/>
              <w:rPr>
                <w:rFonts w:ascii="宋体"/>
                <w:color w:val="auto"/>
                <w:sz w:val="21"/>
                <w:szCs w:val="21"/>
                <w:highlight w:val="none"/>
              </w:rPr>
            </w:pPr>
            <w:r>
              <w:rPr>
                <w:rFonts w:hint="eastAsia" w:ascii="宋体"/>
                <w:bCs/>
                <w:color w:val="auto"/>
                <w:sz w:val="21"/>
                <w:szCs w:val="21"/>
                <w:highlight w:val="none"/>
              </w:rPr>
              <w:t>电子备份投标文件（介质：U盘）1份。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11</w:t>
            </w:r>
          </w:p>
        </w:tc>
        <w:tc>
          <w:tcPr>
            <w:tcW w:w="1136" w:type="dxa"/>
            <w:vAlign w:val="center"/>
          </w:tcPr>
          <w:p>
            <w:pPr>
              <w:snapToGrid w:val="0"/>
              <w:spacing w:line="336" w:lineRule="auto"/>
              <w:jc w:val="center"/>
              <w:rPr>
                <w:rFonts w:ascii="宋体"/>
                <w:bCs/>
                <w:color w:val="auto"/>
                <w:sz w:val="21"/>
                <w:szCs w:val="21"/>
                <w:highlight w:val="none"/>
              </w:rPr>
            </w:pPr>
            <w:r>
              <w:rPr>
                <w:rFonts w:hint="eastAsia" w:ascii="宋体"/>
                <w:bCs/>
                <w:color w:val="auto"/>
                <w:sz w:val="21"/>
                <w:szCs w:val="21"/>
                <w:highlight w:val="none"/>
              </w:rPr>
              <w:t>交货地点</w:t>
            </w:r>
          </w:p>
        </w:tc>
        <w:tc>
          <w:tcPr>
            <w:tcW w:w="6946" w:type="dxa"/>
            <w:vAlign w:val="center"/>
          </w:tcPr>
          <w:p>
            <w:pPr>
              <w:snapToGrid w:val="0"/>
              <w:spacing w:line="336" w:lineRule="auto"/>
              <w:rPr>
                <w:rFonts w:ascii="宋体"/>
                <w:bCs/>
                <w:color w:val="auto"/>
                <w:sz w:val="21"/>
                <w:szCs w:val="21"/>
                <w:highlight w:val="none"/>
              </w:rPr>
            </w:pPr>
            <w:r>
              <w:rPr>
                <w:rFonts w:hint="eastAsia" w:ascii="宋体"/>
                <w:bCs/>
                <w:color w:val="auto"/>
                <w:sz w:val="21"/>
                <w:szCs w:val="21"/>
                <w:highlight w:val="none"/>
              </w:rPr>
              <w:t>具体地点由采购人指定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12</w:t>
            </w:r>
          </w:p>
        </w:tc>
        <w:tc>
          <w:tcPr>
            <w:tcW w:w="113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投标截止日期</w:t>
            </w:r>
          </w:p>
        </w:tc>
        <w:tc>
          <w:tcPr>
            <w:tcW w:w="6946" w:type="dxa"/>
            <w:vAlign w:val="center"/>
          </w:tcPr>
          <w:p>
            <w:pPr>
              <w:spacing w:line="336" w:lineRule="auto"/>
              <w:jc w:val="both"/>
              <w:rPr>
                <w:rFonts w:ascii="宋体"/>
                <w:color w:val="auto"/>
                <w:sz w:val="21"/>
                <w:szCs w:val="21"/>
                <w:highlight w:val="none"/>
              </w:rPr>
            </w:pPr>
            <w:r>
              <w:rPr>
                <w:rFonts w:ascii="宋体" w:cs="宋体"/>
                <w:color w:val="auto"/>
                <w:sz w:val="21"/>
                <w:szCs w:val="21"/>
                <w:highlight w:val="none"/>
              </w:rPr>
              <w:t>202</w:t>
            </w:r>
            <w:r>
              <w:rPr>
                <w:rFonts w:hint="eastAsia" w:ascii="宋体" w:cs="宋体"/>
                <w:color w:val="auto"/>
                <w:sz w:val="21"/>
                <w:szCs w:val="21"/>
                <w:highlight w:val="none"/>
              </w:rPr>
              <w:t>2</w:t>
            </w:r>
            <w:r>
              <w:rPr>
                <w:rFonts w:ascii="宋体" w:cs="宋体"/>
                <w:color w:val="auto"/>
                <w:sz w:val="21"/>
                <w:szCs w:val="21"/>
                <w:highlight w:val="none"/>
              </w:rPr>
              <w:t>年</w:t>
            </w:r>
            <w:r>
              <w:rPr>
                <w:rFonts w:hint="eastAsia" w:ascii="宋体" w:hAnsi="宋体" w:cs="宋体"/>
                <w:color w:val="auto"/>
                <w:sz w:val="21"/>
                <w:szCs w:val="21"/>
                <w:highlight w:val="none"/>
              </w:rPr>
              <w:t>09月2</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color w:val="auto"/>
                <w:sz w:val="21"/>
                <w:szCs w:val="21"/>
                <w:highlight w:val="none"/>
              </w:rPr>
              <w:t>（北京时间）</w:t>
            </w:r>
          </w:p>
          <w:p>
            <w:pPr>
              <w:spacing w:line="336" w:lineRule="auto"/>
              <w:jc w:val="both"/>
              <w:rPr>
                <w:rFonts w:ascii="宋体"/>
                <w:color w:val="auto"/>
                <w:sz w:val="21"/>
                <w:szCs w:val="21"/>
                <w:highlight w:val="none"/>
              </w:rPr>
            </w:pPr>
            <w:r>
              <w:rPr>
                <w:rFonts w:hint="eastAsia" w:ascii="宋体" w:hAnsi="宋体" w:cs="宋体"/>
                <w:color w:val="auto"/>
                <w:sz w:val="21"/>
                <w:szCs w:val="21"/>
                <w:highlight w:val="none"/>
              </w:rPr>
              <w:t>投标地点（网址）：政采云（http://www.zcygov.cn/）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13</w:t>
            </w:r>
          </w:p>
        </w:tc>
        <w:tc>
          <w:tcPr>
            <w:tcW w:w="113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开标日期、地点</w:t>
            </w:r>
          </w:p>
        </w:tc>
        <w:tc>
          <w:tcPr>
            <w:tcW w:w="6946" w:type="dxa"/>
            <w:vAlign w:val="center"/>
          </w:tcPr>
          <w:p>
            <w:pPr>
              <w:spacing w:line="336" w:lineRule="auto"/>
              <w:jc w:val="both"/>
              <w:rPr>
                <w:rFonts w:ascii="宋体"/>
                <w:color w:val="auto"/>
                <w:sz w:val="21"/>
                <w:szCs w:val="21"/>
                <w:highlight w:val="none"/>
              </w:rPr>
            </w:pPr>
            <w:r>
              <w:rPr>
                <w:rFonts w:ascii="宋体" w:cs="宋体"/>
                <w:color w:val="auto"/>
                <w:sz w:val="21"/>
                <w:szCs w:val="21"/>
                <w:highlight w:val="none"/>
              </w:rPr>
              <w:t>202</w:t>
            </w:r>
            <w:r>
              <w:rPr>
                <w:rFonts w:hint="eastAsia" w:ascii="宋体" w:cs="宋体"/>
                <w:color w:val="auto"/>
                <w:sz w:val="21"/>
                <w:szCs w:val="21"/>
                <w:highlight w:val="none"/>
              </w:rPr>
              <w:t>2</w:t>
            </w:r>
            <w:r>
              <w:rPr>
                <w:rFonts w:ascii="宋体" w:cs="宋体"/>
                <w:color w:val="auto"/>
                <w:sz w:val="21"/>
                <w:szCs w:val="21"/>
                <w:highlight w:val="none"/>
              </w:rPr>
              <w:t>年</w:t>
            </w:r>
            <w:r>
              <w:rPr>
                <w:rFonts w:hint="eastAsia" w:ascii="宋体" w:hAnsi="宋体" w:cs="宋体"/>
                <w:color w:val="auto"/>
                <w:sz w:val="21"/>
                <w:szCs w:val="21"/>
                <w:highlight w:val="none"/>
              </w:rPr>
              <w:t>09月2</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color w:val="auto"/>
                <w:sz w:val="21"/>
                <w:szCs w:val="21"/>
                <w:highlight w:val="none"/>
              </w:rPr>
              <w:t>（北京时间）</w:t>
            </w:r>
          </w:p>
          <w:p>
            <w:pPr>
              <w:spacing w:line="336" w:lineRule="auto"/>
              <w:jc w:val="both"/>
              <w:rPr>
                <w:rFonts w:ascii="宋体"/>
                <w:bCs/>
                <w:color w:val="auto"/>
                <w:sz w:val="21"/>
                <w:szCs w:val="21"/>
                <w:highlight w:val="none"/>
              </w:rPr>
            </w:pPr>
            <w:r>
              <w:rPr>
                <w:rFonts w:hint="eastAsia" w:ascii="宋体" w:hAnsi="宋体" w:cs="宋体"/>
                <w:color w:val="auto"/>
                <w:sz w:val="21"/>
                <w:szCs w:val="21"/>
                <w:highlight w:val="none"/>
              </w:rPr>
              <w:t>开标地点（网址）：政采云（http://www.zcygov.cn/）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14</w:t>
            </w:r>
          </w:p>
        </w:tc>
        <w:tc>
          <w:tcPr>
            <w:tcW w:w="113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评标方法</w:t>
            </w:r>
          </w:p>
        </w:tc>
        <w:tc>
          <w:tcPr>
            <w:tcW w:w="6946" w:type="dxa"/>
            <w:vAlign w:val="center"/>
          </w:tcPr>
          <w:p>
            <w:pPr>
              <w:tabs>
                <w:tab w:val="left" w:pos="1125"/>
              </w:tabs>
              <w:spacing w:line="336" w:lineRule="auto"/>
              <w:rPr>
                <w:rFonts w:ascii="宋体"/>
                <w:color w:val="auto"/>
                <w:sz w:val="21"/>
                <w:szCs w:val="21"/>
                <w:highlight w:val="none"/>
              </w:rPr>
            </w:pPr>
            <w:r>
              <w:rPr>
                <w:rFonts w:hint="eastAsia" w:ascii="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*15</w:t>
            </w:r>
          </w:p>
        </w:tc>
        <w:tc>
          <w:tcPr>
            <w:tcW w:w="1136" w:type="dxa"/>
            <w:vAlign w:val="center"/>
          </w:tcPr>
          <w:p>
            <w:pPr>
              <w:snapToGrid w:val="0"/>
              <w:spacing w:line="336" w:lineRule="auto"/>
              <w:jc w:val="center"/>
              <w:rPr>
                <w:rFonts w:ascii="宋体"/>
                <w:bCs/>
                <w:color w:val="auto"/>
                <w:sz w:val="21"/>
                <w:szCs w:val="21"/>
                <w:highlight w:val="none"/>
              </w:rPr>
            </w:pPr>
            <w:r>
              <w:rPr>
                <w:rFonts w:hint="eastAsia" w:ascii="宋体"/>
                <w:bCs/>
                <w:color w:val="auto"/>
                <w:sz w:val="21"/>
                <w:szCs w:val="21"/>
                <w:highlight w:val="none"/>
              </w:rPr>
              <w:t>招标文件答疑</w:t>
            </w:r>
          </w:p>
        </w:tc>
        <w:tc>
          <w:tcPr>
            <w:tcW w:w="6946" w:type="dxa"/>
            <w:vAlign w:val="center"/>
          </w:tcPr>
          <w:p>
            <w:pPr>
              <w:tabs>
                <w:tab w:val="left" w:pos="1216"/>
              </w:tabs>
              <w:snapToGrid w:val="0"/>
              <w:spacing w:line="336" w:lineRule="auto"/>
              <w:rPr>
                <w:rFonts w:ascii="宋体"/>
                <w:bCs/>
                <w:color w:val="auto"/>
                <w:sz w:val="21"/>
                <w:szCs w:val="21"/>
                <w:highlight w:val="none"/>
              </w:rPr>
            </w:pPr>
            <w:r>
              <w:rPr>
                <w:rFonts w:hint="eastAsia" w:ascii="宋体"/>
                <w:bCs/>
                <w:color w:val="auto"/>
                <w:sz w:val="21"/>
                <w:szCs w:val="21"/>
                <w:highlight w:val="none"/>
              </w:rPr>
              <w:t>投标人对招标文件的任何疑问，请通过书面形式提出。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16</w:t>
            </w:r>
          </w:p>
        </w:tc>
        <w:tc>
          <w:tcPr>
            <w:tcW w:w="1136" w:type="dxa"/>
            <w:vMerge w:val="restart"/>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中标原则</w:t>
            </w:r>
          </w:p>
        </w:tc>
        <w:tc>
          <w:tcPr>
            <w:tcW w:w="6946" w:type="dxa"/>
            <w:vAlign w:val="center"/>
          </w:tcPr>
          <w:p>
            <w:pPr>
              <w:spacing w:line="336" w:lineRule="auto"/>
              <w:rPr>
                <w:color w:val="auto"/>
                <w:sz w:val="21"/>
                <w:szCs w:val="21"/>
                <w:highlight w:val="none"/>
              </w:rPr>
            </w:pPr>
            <w:r>
              <w:rPr>
                <w:rFonts w:hint="eastAsia" w:ascii="宋体"/>
                <w:bCs/>
                <w:color w:val="auto"/>
                <w:sz w:val="21"/>
                <w:szCs w:val="21"/>
                <w:highlight w:val="none"/>
              </w:rPr>
              <w:t>详见评标细则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17</w:t>
            </w:r>
          </w:p>
        </w:tc>
        <w:tc>
          <w:tcPr>
            <w:tcW w:w="1136" w:type="dxa"/>
            <w:vMerge w:val="continue"/>
            <w:vAlign w:val="center"/>
          </w:tcPr>
          <w:p>
            <w:pPr>
              <w:tabs>
                <w:tab w:val="left" w:pos="1125"/>
              </w:tabs>
              <w:spacing w:line="336" w:lineRule="auto"/>
              <w:jc w:val="center"/>
              <w:rPr>
                <w:rFonts w:ascii="宋体"/>
                <w:color w:val="auto"/>
                <w:sz w:val="21"/>
                <w:szCs w:val="21"/>
                <w:highlight w:val="none"/>
              </w:rPr>
            </w:pPr>
          </w:p>
        </w:tc>
        <w:tc>
          <w:tcPr>
            <w:tcW w:w="6946" w:type="dxa"/>
            <w:vAlign w:val="center"/>
          </w:tcPr>
          <w:p>
            <w:pPr>
              <w:snapToGrid w:val="0"/>
              <w:spacing w:line="336" w:lineRule="auto"/>
              <w:ind w:right="-24" w:rightChars="-10"/>
              <w:jc w:val="both"/>
              <w:rPr>
                <w:rFonts w:ascii="宋体"/>
                <w:color w:val="auto"/>
                <w:sz w:val="21"/>
                <w:szCs w:val="21"/>
                <w:highlight w:val="none"/>
              </w:rPr>
            </w:pPr>
            <w:r>
              <w:rPr>
                <w:rFonts w:hint="eastAsia" w:ascii="宋体"/>
                <w:color w:val="auto"/>
                <w:sz w:val="21"/>
                <w:szCs w:val="21"/>
                <w:highlight w:val="none"/>
              </w:rPr>
              <w:t>投标人的排名按总得分从高至低排序前三名为中标单位，得分一致的，以其中投标报价低者排名在前，如投标报价也相同则由抽签确定排名。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18</w:t>
            </w:r>
          </w:p>
        </w:tc>
        <w:tc>
          <w:tcPr>
            <w:tcW w:w="1136" w:type="dxa"/>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中标</w:t>
            </w:r>
          </w:p>
          <w:p>
            <w:pPr>
              <w:spacing w:line="336" w:lineRule="auto"/>
              <w:jc w:val="center"/>
              <w:rPr>
                <w:rFonts w:ascii="宋体"/>
                <w:bCs/>
                <w:color w:val="auto"/>
                <w:sz w:val="21"/>
                <w:szCs w:val="21"/>
                <w:highlight w:val="none"/>
              </w:rPr>
            </w:pPr>
            <w:r>
              <w:rPr>
                <w:rFonts w:hint="eastAsia" w:ascii="宋体"/>
                <w:bCs/>
                <w:color w:val="auto"/>
                <w:sz w:val="21"/>
                <w:szCs w:val="21"/>
                <w:highlight w:val="none"/>
              </w:rPr>
              <w:t>服务费</w:t>
            </w:r>
          </w:p>
        </w:tc>
        <w:tc>
          <w:tcPr>
            <w:tcW w:w="6946" w:type="dxa"/>
            <w:vAlign w:val="center"/>
          </w:tcPr>
          <w:p>
            <w:pPr>
              <w:snapToGrid w:val="0"/>
              <w:spacing w:line="336" w:lineRule="auto"/>
              <w:ind w:right="-24" w:rightChars="-10"/>
              <w:jc w:val="both"/>
              <w:rPr>
                <w:rFonts w:ascii="宋体"/>
                <w:color w:val="auto"/>
                <w:sz w:val="21"/>
                <w:szCs w:val="21"/>
                <w:highlight w:val="none"/>
              </w:rPr>
            </w:pPr>
            <w:r>
              <w:rPr>
                <w:rFonts w:hint="eastAsia" w:ascii="宋体"/>
                <w:color w:val="auto"/>
                <w:sz w:val="21"/>
                <w:szCs w:val="21"/>
                <w:highlight w:val="none"/>
              </w:rPr>
              <w:t>中标服务费：中标人在领取中标通知书时向宁波市国际招标有限公司一次性交纳中标服务费。第一名为6406元，第二名、第三名为4804元。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28" w:type="dxa"/>
            <w:gridSpan w:val="3"/>
            <w:tcBorders>
              <w:right w:val="single" w:color="auto" w:sz="4" w:space="0"/>
            </w:tcBorders>
            <w:vAlign w:val="center"/>
          </w:tcPr>
          <w:p>
            <w:pPr>
              <w:pStyle w:val="55"/>
              <w:spacing w:line="336" w:lineRule="auto"/>
              <w:jc w:val="center"/>
              <w:rPr>
                <w:bCs/>
                <w:color w:val="auto"/>
                <w:highlight w:val="none"/>
              </w:rPr>
            </w:pPr>
            <w:r>
              <w:rPr>
                <w:rFonts w:hint="eastAsia"/>
                <w:bCs/>
                <w:color w:val="auto"/>
                <w:highlight w:val="none"/>
              </w:rPr>
              <w:t>合同通用条款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Borders>
              <w:right w:val="single" w:color="auto" w:sz="4" w:space="0"/>
            </w:tcBorders>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*19</w:t>
            </w:r>
          </w:p>
        </w:tc>
        <w:tc>
          <w:tcPr>
            <w:tcW w:w="1136" w:type="dxa"/>
            <w:tcBorders>
              <w:right w:val="single" w:color="auto" w:sz="4" w:space="0"/>
            </w:tcBorders>
            <w:vAlign w:val="center"/>
          </w:tcPr>
          <w:p>
            <w:pPr>
              <w:snapToGrid w:val="0"/>
              <w:spacing w:line="360" w:lineRule="auto"/>
              <w:jc w:val="center"/>
              <w:rPr>
                <w:rFonts w:ascii="宋体"/>
                <w:color w:val="auto"/>
                <w:kern w:val="2"/>
                <w:sz w:val="21"/>
                <w:szCs w:val="21"/>
                <w:highlight w:val="none"/>
              </w:rPr>
            </w:pPr>
            <w:r>
              <w:rPr>
                <w:rFonts w:hint="eastAsia" w:ascii="宋体"/>
                <w:b/>
                <w:bCs/>
                <w:color w:val="auto"/>
                <w:kern w:val="2"/>
                <w:sz w:val="21"/>
                <w:szCs w:val="21"/>
                <w:highlight w:val="none"/>
              </w:rPr>
              <w:t>服务期限</w:t>
            </w:r>
            <w:r>
              <w:rPr>
                <w:rFonts w:ascii="宋体"/>
                <w:b/>
                <w:bCs/>
                <w:color w:val="auto"/>
                <w:kern w:val="2"/>
                <w:sz w:val="21"/>
                <w:szCs w:val="21"/>
                <w:highlight w:val="none"/>
              </w:rPr>
              <w:t>及</w:t>
            </w:r>
            <w:r>
              <w:rPr>
                <w:rFonts w:hint="eastAsia" w:ascii="宋体" w:hAnsi="宋体"/>
                <w:b/>
                <w:bCs/>
                <w:color w:val="auto"/>
                <w:sz w:val="21"/>
                <w:szCs w:val="21"/>
                <w:highlight w:val="none"/>
              </w:rPr>
              <w:t>单个成果交付时间</w:t>
            </w:r>
          </w:p>
        </w:tc>
        <w:tc>
          <w:tcPr>
            <w:tcW w:w="6946" w:type="dxa"/>
            <w:vAlign w:val="center"/>
          </w:tcPr>
          <w:p>
            <w:pPr>
              <w:snapToGrid w:val="0"/>
              <w:spacing w:line="360" w:lineRule="auto"/>
              <w:rPr>
                <w:rFonts w:hint="default" w:eastAsia="宋体"/>
                <w:color w:val="auto"/>
                <w:sz w:val="21"/>
                <w:szCs w:val="21"/>
                <w:highlight w:val="none"/>
                <w:lang w:val="en-US" w:eastAsia="zh-CN"/>
              </w:rPr>
            </w:pPr>
            <w:r>
              <w:rPr>
                <w:b/>
                <w:bCs/>
                <w:color w:val="auto"/>
                <w:sz w:val="21"/>
                <w:szCs w:val="21"/>
                <w:highlight w:val="none"/>
              </w:rPr>
              <w:t>服务期限：</w:t>
            </w:r>
            <w:r>
              <w:rPr>
                <w:rFonts w:hint="eastAsia"/>
                <w:color w:val="auto"/>
                <w:sz w:val="21"/>
                <w:szCs w:val="21"/>
                <w:highlight w:val="none"/>
              </w:rPr>
              <w:t>自合同签订之日起</w:t>
            </w:r>
            <w:r>
              <w:rPr>
                <w:rFonts w:hint="eastAsia"/>
                <w:b w:val="0"/>
                <w:bCs w:val="0"/>
                <w:color w:val="auto"/>
                <w:sz w:val="21"/>
                <w:szCs w:val="21"/>
                <w:highlight w:val="none"/>
                <w:lang w:val="en-US" w:eastAsia="zh-CN"/>
              </w:rPr>
              <w:t>二年</w:t>
            </w:r>
            <w:r>
              <w:rPr>
                <w:rFonts w:hint="eastAsia"/>
                <w:b/>
                <w:bCs/>
                <w:color w:val="auto"/>
                <w:sz w:val="21"/>
                <w:szCs w:val="21"/>
                <w:highlight w:val="none"/>
                <w:lang w:val="en-US" w:eastAsia="zh-CN"/>
              </w:rPr>
              <w:t>，</w:t>
            </w:r>
            <w:r>
              <w:rPr>
                <w:rFonts w:hint="eastAsia"/>
                <w:color w:val="auto"/>
                <w:sz w:val="21"/>
                <w:szCs w:val="21"/>
                <w:highlight w:val="none"/>
                <w:lang w:val="en-US" w:eastAsia="zh-CN"/>
              </w:rPr>
              <w:t>合同一年一签，视上一年度教师评价情况续签下一年。</w:t>
            </w:r>
          </w:p>
          <w:p>
            <w:pPr>
              <w:pStyle w:val="2"/>
              <w:spacing w:line="360" w:lineRule="auto"/>
              <w:rPr>
                <w:color w:val="auto"/>
                <w:sz w:val="21"/>
                <w:szCs w:val="21"/>
                <w:highlight w:val="none"/>
              </w:rPr>
            </w:pPr>
            <w:r>
              <w:rPr>
                <w:rFonts w:hint="eastAsia" w:ascii="宋体" w:hAnsi="宋体"/>
                <w:b/>
                <w:color w:val="auto"/>
                <w:sz w:val="21"/>
                <w:szCs w:val="21"/>
                <w:highlight w:val="none"/>
              </w:rPr>
              <w:t>单个成果交付时间</w:t>
            </w:r>
            <w:r>
              <w:rPr>
                <w:rFonts w:ascii="宋体" w:hAnsi="宋体"/>
                <w:b/>
                <w:color w:val="auto"/>
                <w:sz w:val="21"/>
                <w:szCs w:val="21"/>
                <w:highlight w:val="none"/>
              </w:rPr>
              <w:t>：</w:t>
            </w:r>
            <w:r>
              <w:rPr>
                <w:rFonts w:hint="eastAsia" w:ascii="宋体"/>
                <w:color w:val="auto"/>
                <w:sz w:val="21"/>
                <w:szCs w:val="21"/>
                <w:highlight w:val="none"/>
              </w:rPr>
              <w:t>学校各课程项目确认制作，供应商后与其单独签订委托制作合同，每个课程项目签订1个；合同签订后一月内供应商制定相关拍摄及制作计划，所有视频成片须在指定时间内交至课程负责人。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Borders>
              <w:right w:val="single" w:color="auto" w:sz="4" w:space="0"/>
            </w:tcBorders>
            <w:vAlign w:val="center"/>
          </w:tcPr>
          <w:p>
            <w:pPr>
              <w:spacing w:line="336" w:lineRule="auto"/>
              <w:jc w:val="center"/>
              <w:rPr>
                <w:rFonts w:ascii="宋体"/>
                <w:bCs/>
                <w:color w:val="auto"/>
                <w:sz w:val="21"/>
                <w:szCs w:val="21"/>
                <w:highlight w:val="none"/>
              </w:rPr>
            </w:pPr>
            <w:r>
              <w:rPr>
                <w:rFonts w:hint="eastAsia" w:ascii="宋体"/>
                <w:bCs/>
                <w:color w:val="auto"/>
                <w:sz w:val="21"/>
                <w:szCs w:val="21"/>
                <w:highlight w:val="none"/>
              </w:rPr>
              <w:t>*20</w:t>
            </w:r>
          </w:p>
        </w:tc>
        <w:tc>
          <w:tcPr>
            <w:tcW w:w="1136" w:type="dxa"/>
            <w:tcBorders>
              <w:right w:val="single" w:color="auto" w:sz="4" w:space="0"/>
            </w:tcBorders>
            <w:vAlign w:val="center"/>
          </w:tcPr>
          <w:p>
            <w:pPr>
              <w:snapToGrid w:val="0"/>
              <w:spacing w:line="360" w:lineRule="auto"/>
              <w:jc w:val="center"/>
              <w:rPr>
                <w:rFonts w:ascii="宋体" w:hAnsi="宋体"/>
                <w:b/>
                <w:color w:val="auto"/>
                <w:sz w:val="21"/>
                <w:szCs w:val="21"/>
                <w:highlight w:val="none"/>
              </w:rPr>
            </w:pPr>
            <w:r>
              <w:rPr>
                <w:rFonts w:ascii="宋体" w:hAnsi="宋体"/>
                <w:b/>
                <w:color w:val="auto"/>
                <w:sz w:val="21"/>
                <w:szCs w:val="21"/>
                <w:highlight w:val="none"/>
              </w:rPr>
              <w:t>质保期限</w:t>
            </w:r>
          </w:p>
        </w:tc>
        <w:tc>
          <w:tcPr>
            <w:tcW w:w="6946" w:type="dxa"/>
            <w:vAlign w:val="center"/>
          </w:tcPr>
          <w:p>
            <w:pPr>
              <w:pStyle w:val="2"/>
              <w:spacing w:line="360" w:lineRule="auto"/>
              <w:rPr>
                <w:rFonts w:ascii="宋体"/>
                <w:color w:val="auto"/>
                <w:sz w:val="21"/>
                <w:szCs w:val="21"/>
                <w:highlight w:val="none"/>
              </w:rPr>
            </w:pPr>
            <w:r>
              <w:rPr>
                <w:rFonts w:hint="eastAsia" w:ascii="宋体"/>
                <w:color w:val="auto"/>
                <w:sz w:val="21"/>
                <w:szCs w:val="21"/>
                <w:highlight w:val="none"/>
              </w:rPr>
              <w:t>提交视频成片后12月内，须根据招标人授课过程中发现的问题提供相关成片修改服务，满足课程建设要求为止</w:t>
            </w:r>
            <w:r>
              <w:rPr>
                <w:rFonts w:asci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color w:val="auto"/>
                <w:sz w:val="21"/>
                <w:szCs w:val="21"/>
                <w:highlight w:val="none"/>
              </w:rPr>
            </w:pPr>
            <w:r>
              <w:rPr>
                <w:rFonts w:hint="eastAsia" w:ascii="宋体"/>
                <w:color w:val="auto"/>
                <w:sz w:val="21"/>
                <w:szCs w:val="21"/>
                <w:highlight w:val="none"/>
              </w:rPr>
              <w:t>21</w:t>
            </w:r>
          </w:p>
        </w:tc>
        <w:tc>
          <w:tcPr>
            <w:tcW w:w="1136" w:type="dxa"/>
            <w:vAlign w:val="center"/>
          </w:tcPr>
          <w:p>
            <w:pPr>
              <w:snapToGrid w:val="0"/>
              <w:spacing w:line="360" w:lineRule="auto"/>
              <w:jc w:val="center"/>
              <w:rPr>
                <w:rFonts w:ascii="宋体"/>
                <w:color w:val="auto"/>
                <w:kern w:val="2"/>
                <w:sz w:val="21"/>
                <w:szCs w:val="21"/>
                <w:highlight w:val="none"/>
              </w:rPr>
            </w:pPr>
            <w:r>
              <w:rPr>
                <w:rFonts w:hint="eastAsia" w:ascii="宋体"/>
                <w:color w:val="auto"/>
                <w:kern w:val="2"/>
                <w:sz w:val="21"/>
                <w:szCs w:val="21"/>
                <w:highlight w:val="none"/>
              </w:rPr>
              <w:t>付款条件</w:t>
            </w:r>
          </w:p>
        </w:tc>
        <w:tc>
          <w:tcPr>
            <w:tcW w:w="6946" w:type="dxa"/>
            <w:vAlign w:val="center"/>
          </w:tcPr>
          <w:p>
            <w:pPr>
              <w:pStyle w:val="2"/>
              <w:spacing w:line="360" w:lineRule="auto"/>
              <w:rPr>
                <w:rFonts w:hint="eastAsia" w:ascii="宋体" w:hAnsi="Times New Roman" w:eastAsia="宋体" w:cs="Times New Roman"/>
                <w:color w:val="auto"/>
                <w:sz w:val="21"/>
                <w:szCs w:val="21"/>
                <w:highlight w:val="none"/>
                <w:lang w:eastAsia="zh-CN"/>
              </w:rPr>
            </w:pPr>
            <w:r>
              <w:rPr>
                <w:rFonts w:hint="eastAsia" w:ascii="宋体" w:hAnsi="Times New Roman" w:cs="Times New Roman"/>
                <w:color w:val="auto"/>
                <w:sz w:val="21"/>
                <w:szCs w:val="21"/>
                <w:highlight w:val="none"/>
              </w:rPr>
              <w:t>单个结算，拍摄视频全部成片且验收合格后3个月内全款结清</w:t>
            </w:r>
            <w:r>
              <w:rPr>
                <w:rFonts w:hint="eastAsia" w:ascii="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color w:val="auto"/>
                <w:sz w:val="21"/>
                <w:szCs w:val="21"/>
                <w:highlight w:val="none"/>
              </w:rPr>
            </w:pPr>
            <w:r>
              <w:rPr>
                <w:rFonts w:hint="eastAsia" w:ascii="宋体"/>
                <w:color w:val="auto"/>
                <w:sz w:val="21"/>
                <w:szCs w:val="21"/>
                <w:highlight w:val="none"/>
              </w:rPr>
              <w:t>22</w:t>
            </w:r>
          </w:p>
        </w:tc>
        <w:tc>
          <w:tcPr>
            <w:tcW w:w="1136" w:type="dxa"/>
            <w:vAlign w:val="center"/>
          </w:tcPr>
          <w:p>
            <w:pPr>
              <w:snapToGrid w:val="0"/>
              <w:spacing w:line="360" w:lineRule="auto"/>
              <w:jc w:val="center"/>
              <w:rPr>
                <w:rFonts w:ascii="宋体"/>
                <w:color w:val="auto"/>
                <w:kern w:val="2"/>
                <w:sz w:val="21"/>
                <w:szCs w:val="21"/>
                <w:highlight w:val="none"/>
              </w:rPr>
            </w:pPr>
            <w:r>
              <w:rPr>
                <w:rFonts w:hint="eastAsia" w:ascii="宋体"/>
                <w:color w:val="auto"/>
                <w:kern w:val="2"/>
                <w:sz w:val="21"/>
                <w:szCs w:val="21"/>
                <w:highlight w:val="none"/>
              </w:rPr>
              <w:t>履约保证金</w:t>
            </w:r>
          </w:p>
        </w:tc>
        <w:tc>
          <w:tcPr>
            <w:tcW w:w="6946" w:type="dxa"/>
            <w:vAlign w:val="center"/>
          </w:tcPr>
          <w:p>
            <w:pPr>
              <w:pStyle w:val="2"/>
              <w:spacing w:line="360" w:lineRule="auto"/>
              <w:rPr>
                <w:rFonts w:ascii="宋体"/>
                <w:color w:val="auto"/>
                <w:sz w:val="21"/>
                <w:szCs w:val="21"/>
                <w:highlight w:val="none"/>
              </w:rPr>
            </w:pPr>
            <w:r>
              <w:rPr>
                <w:rFonts w:hint="eastAsia" w:ascii="宋体"/>
                <w:color w:val="auto"/>
                <w:sz w:val="21"/>
                <w:szCs w:val="21"/>
                <w:highlight w:val="none"/>
              </w:rPr>
              <w:t>履约保证金金额：5000元，在履约过程中有约扣款的则在扣款后中标人应立即补足履约保证金；</w:t>
            </w:r>
          </w:p>
          <w:p>
            <w:pPr>
              <w:pStyle w:val="39"/>
              <w:spacing w:line="360" w:lineRule="auto"/>
              <w:ind w:firstLine="0" w:firstLineChars="0"/>
              <w:rPr>
                <w:color w:val="auto"/>
                <w:highlight w:val="none"/>
              </w:rPr>
            </w:pPr>
            <w:r>
              <w:rPr>
                <w:rFonts w:hint="eastAsia"/>
                <w:color w:val="auto"/>
                <w:highlight w:val="none"/>
              </w:rPr>
              <w:t>递交时间：合同签订后7个工作日内</w:t>
            </w:r>
          </w:p>
          <w:p>
            <w:pPr>
              <w:pStyle w:val="2"/>
              <w:spacing w:line="360" w:lineRule="auto"/>
              <w:rPr>
                <w:rFonts w:ascii="宋体"/>
                <w:color w:val="auto"/>
                <w:sz w:val="21"/>
                <w:szCs w:val="21"/>
                <w:highlight w:val="none"/>
              </w:rPr>
            </w:pPr>
            <w:r>
              <w:rPr>
                <w:rFonts w:hint="eastAsia" w:ascii="宋体"/>
                <w:color w:val="auto"/>
                <w:sz w:val="21"/>
                <w:szCs w:val="21"/>
                <w:highlight w:val="none"/>
              </w:rPr>
              <w:t>履约保证金形式：电汇、银行或保险公司出具的履约保函。</w:t>
            </w:r>
          </w:p>
          <w:p>
            <w:pPr>
              <w:pStyle w:val="2"/>
              <w:spacing w:line="360" w:lineRule="auto"/>
              <w:rPr>
                <w:rFonts w:ascii="宋体"/>
                <w:color w:val="auto"/>
                <w:sz w:val="21"/>
                <w:szCs w:val="21"/>
                <w:highlight w:val="none"/>
              </w:rPr>
            </w:pPr>
            <w:r>
              <w:rPr>
                <w:rFonts w:hint="eastAsia" w:ascii="宋体" w:hAnsi="宋体"/>
                <w:color w:val="auto"/>
                <w:sz w:val="21"/>
                <w:szCs w:val="21"/>
                <w:highlight w:val="none"/>
              </w:rPr>
              <w:t>履约保证金在终验后7个工作日内一次退还（无息）。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color w:val="auto"/>
                <w:sz w:val="21"/>
                <w:szCs w:val="21"/>
                <w:highlight w:val="none"/>
              </w:rPr>
            </w:pPr>
            <w:r>
              <w:rPr>
                <w:rFonts w:hint="eastAsia" w:ascii="宋体"/>
                <w:color w:val="auto"/>
                <w:sz w:val="21"/>
                <w:szCs w:val="21"/>
                <w:highlight w:val="none"/>
              </w:rPr>
              <w:t>23</w:t>
            </w:r>
          </w:p>
        </w:tc>
        <w:tc>
          <w:tcPr>
            <w:tcW w:w="1136" w:type="dxa"/>
            <w:vAlign w:val="center"/>
          </w:tcPr>
          <w:p>
            <w:pPr>
              <w:snapToGrid w:val="0"/>
              <w:spacing w:line="360" w:lineRule="auto"/>
              <w:jc w:val="center"/>
              <w:rPr>
                <w:rFonts w:ascii="宋体"/>
                <w:color w:val="auto"/>
                <w:kern w:val="2"/>
                <w:sz w:val="21"/>
                <w:szCs w:val="21"/>
                <w:highlight w:val="none"/>
              </w:rPr>
            </w:pPr>
            <w:r>
              <w:rPr>
                <w:rFonts w:hint="eastAsia" w:ascii="宋体"/>
                <w:color w:val="auto"/>
                <w:kern w:val="2"/>
                <w:sz w:val="21"/>
                <w:szCs w:val="21"/>
                <w:highlight w:val="none"/>
              </w:rPr>
              <w:t>售后服务</w:t>
            </w:r>
          </w:p>
        </w:tc>
        <w:tc>
          <w:tcPr>
            <w:tcW w:w="6946" w:type="dxa"/>
            <w:vAlign w:val="center"/>
          </w:tcPr>
          <w:p>
            <w:pPr>
              <w:pStyle w:val="2"/>
              <w:spacing w:line="360" w:lineRule="auto"/>
              <w:rPr>
                <w:rFonts w:ascii="宋体" w:hAnsi="宋体"/>
                <w:color w:val="auto"/>
                <w:sz w:val="21"/>
                <w:szCs w:val="21"/>
                <w:highlight w:val="none"/>
              </w:rPr>
            </w:pPr>
            <w:r>
              <w:rPr>
                <w:rFonts w:hint="eastAsia" w:ascii="宋体" w:hAnsi="宋体"/>
                <w:color w:val="auto"/>
                <w:sz w:val="21"/>
                <w:szCs w:val="21"/>
                <w:highlight w:val="none"/>
              </w:rPr>
              <w:t>针对招标人后续扩展需求，供应商须提供相关技术服务，包括及时配合招标人将课程微视频改造成系统化的在线课程，平台使用培训、在线课程建设培训，课程运行指导服务等。同时，须协助招标人进行相关教学改革实践和教学模式创新。（招标文件第四部分有特别要求的按第四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6" w:type="dxa"/>
            <w:vAlign w:val="center"/>
          </w:tcPr>
          <w:p>
            <w:pPr>
              <w:spacing w:line="336" w:lineRule="auto"/>
              <w:jc w:val="center"/>
              <w:rPr>
                <w:rFonts w:ascii="宋体"/>
                <w:color w:val="auto"/>
                <w:sz w:val="21"/>
                <w:szCs w:val="21"/>
                <w:highlight w:val="none"/>
              </w:rPr>
            </w:pPr>
            <w:r>
              <w:rPr>
                <w:rFonts w:hint="eastAsia" w:ascii="宋体"/>
                <w:color w:val="auto"/>
                <w:sz w:val="21"/>
                <w:szCs w:val="21"/>
                <w:highlight w:val="none"/>
              </w:rPr>
              <w:t>24</w:t>
            </w:r>
          </w:p>
        </w:tc>
        <w:tc>
          <w:tcPr>
            <w:tcW w:w="1136" w:type="dxa"/>
            <w:vAlign w:val="center"/>
          </w:tcPr>
          <w:p>
            <w:pPr>
              <w:snapToGrid w:val="0"/>
              <w:spacing w:line="360" w:lineRule="auto"/>
              <w:jc w:val="center"/>
              <w:rPr>
                <w:rFonts w:ascii="宋体"/>
                <w:color w:val="auto"/>
                <w:kern w:val="2"/>
                <w:sz w:val="21"/>
                <w:szCs w:val="21"/>
                <w:highlight w:val="none"/>
              </w:rPr>
            </w:pPr>
            <w:r>
              <w:rPr>
                <w:rFonts w:hint="eastAsia" w:ascii="宋体"/>
                <w:color w:val="auto"/>
                <w:kern w:val="2"/>
                <w:sz w:val="21"/>
                <w:szCs w:val="21"/>
                <w:highlight w:val="none"/>
              </w:rPr>
              <w:t>维保地点</w:t>
            </w:r>
          </w:p>
        </w:tc>
        <w:tc>
          <w:tcPr>
            <w:tcW w:w="6946" w:type="dxa"/>
            <w:vAlign w:val="center"/>
          </w:tcPr>
          <w:p>
            <w:pPr>
              <w:spacing w:line="360" w:lineRule="auto"/>
              <w:jc w:val="both"/>
              <w:rPr>
                <w:rFonts w:ascii="宋体"/>
                <w:color w:val="auto"/>
                <w:kern w:val="2"/>
                <w:sz w:val="21"/>
                <w:szCs w:val="21"/>
                <w:highlight w:val="none"/>
              </w:rPr>
            </w:pPr>
            <w:r>
              <w:rPr>
                <w:rFonts w:hint="eastAsia" w:ascii="宋体"/>
                <w:color w:val="auto"/>
                <w:kern w:val="2"/>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color w:val="auto"/>
                <w:sz w:val="21"/>
                <w:szCs w:val="21"/>
                <w:highlight w:val="none"/>
              </w:rPr>
            </w:pPr>
            <w:r>
              <w:rPr>
                <w:rFonts w:hint="eastAsia" w:ascii="宋体"/>
                <w:color w:val="auto"/>
                <w:sz w:val="21"/>
                <w:szCs w:val="21"/>
                <w:highlight w:val="none"/>
              </w:rPr>
              <w:t>25</w:t>
            </w:r>
          </w:p>
        </w:tc>
        <w:tc>
          <w:tcPr>
            <w:tcW w:w="1136" w:type="dxa"/>
            <w:vAlign w:val="center"/>
          </w:tcPr>
          <w:p>
            <w:pPr>
              <w:snapToGrid w:val="0"/>
              <w:spacing w:line="360" w:lineRule="auto"/>
              <w:jc w:val="center"/>
              <w:rPr>
                <w:rFonts w:ascii="宋体"/>
                <w:color w:val="auto"/>
                <w:kern w:val="2"/>
                <w:sz w:val="21"/>
                <w:szCs w:val="21"/>
                <w:highlight w:val="none"/>
              </w:rPr>
            </w:pPr>
            <w:r>
              <w:rPr>
                <w:rFonts w:hint="eastAsia" w:ascii="宋体"/>
                <w:color w:val="auto"/>
                <w:kern w:val="2"/>
                <w:sz w:val="21"/>
                <w:szCs w:val="21"/>
                <w:highlight w:val="none"/>
              </w:rPr>
              <w:t>授予合同</w:t>
            </w:r>
          </w:p>
        </w:tc>
        <w:tc>
          <w:tcPr>
            <w:tcW w:w="6946" w:type="dxa"/>
            <w:vAlign w:val="center"/>
          </w:tcPr>
          <w:p>
            <w:pPr>
              <w:tabs>
                <w:tab w:val="left" w:pos="105"/>
                <w:tab w:val="left" w:pos="735"/>
                <w:tab w:val="left" w:pos="945"/>
                <w:tab w:val="left" w:pos="3360"/>
              </w:tabs>
              <w:spacing w:line="360" w:lineRule="auto"/>
              <w:jc w:val="both"/>
              <w:rPr>
                <w:rFonts w:ascii="宋体"/>
                <w:color w:val="auto"/>
                <w:kern w:val="2"/>
                <w:sz w:val="21"/>
                <w:szCs w:val="21"/>
                <w:highlight w:val="none"/>
              </w:rPr>
            </w:pPr>
            <w:r>
              <w:rPr>
                <w:rFonts w:hint="eastAsia" w:ascii="宋体"/>
                <w:color w:val="auto"/>
                <w:kern w:val="2"/>
                <w:sz w:val="21"/>
                <w:szCs w:val="21"/>
                <w:highlight w:val="none"/>
              </w:rPr>
              <w:t>时间：中标通知书发出后30天内</w:t>
            </w:r>
          </w:p>
          <w:p>
            <w:pPr>
              <w:spacing w:line="360" w:lineRule="auto"/>
              <w:jc w:val="both"/>
              <w:rPr>
                <w:rFonts w:ascii="宋体"/>
                <w:color w:val="auto"/>
                <w:kern w:val="2"/>
                <w:sz w:val="21"/>
                <w:szCs w:val="21"/>
                <w:highlight w:val="none"/>
              </w:rPr>
            </w:pPr>
            <w:r>
              <w:rPr>
                <w:rFonts w:hint="eastAsia" w:ascii="宋体"/>
                <w:color w:val="auto"/>
                <w:kern w:val="2"/>
                <w:sz w:val="21"/>
                <w:szCs w:val="21"/>
                <w:highlight w:val="none"/>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color w:val="auto"/>
                <w:sz w:val="21"/>
                <w:szCs w:val="21"/>
                <w:highlight w:val="none"/>
              </w:rPr>
            </w:pPr>
            <w:bookmarkStart w:id="6" w:name="_Toc86202581"/>
            <w:r>
              <w:rPr>
                <w:rFonts w:hint="eastAsia" w:ascii="宋体"/>
                <w:color w:val="auto"/>
                <w:sz w:val="21"/>
                <w:szCs w:val="21"/>
                <w:highlight w:val="none"/>
              </w:rPr>
              <w:t>26</w:t>
            </w:r>
          </w:p>
        </w:tc>
        <w:tc>
          <w:tcPr>
            <w:tcW w:w="1136" w:type="dxa"/>
            <w:vAlign w:val="center"/>
          </w:tcPr>
          <w:p>
            <w:pPr>
              <w:snapToGrid w:val="0"/>
              <w:spacing w:line="360" w:lineRule="auto"/>
              <w:jc w:val="center"/>
              <w:rPr>
                <w:rFonts w:ascii="宋体"/>
                <w:color w:val="auto"/>
                <w:kern w:val="2"/>
                <w:sz w:val="21"/>
                <w:szCs w:val="21"/>
                <w:highlight w:val="none"/>
              </w:rPr>
            </w:pPr>
            <w:r>
              <w:rPr>
                <w:rFonts w:hint="eastAsia" w:ascii="宋体"/>
                <w:color w:val="auto"/>
                <w:kern w:val="2"/>
                <w:sz w:val="21"/>
                <w:szCs w:val="21"/>
                <w:highlight w:val="none"/>
              </w:rPr>
              <w:t>现场踏勘</w:t>
            </w:r>
          </w:p>
        </w:tc>
        <w:tc>
          <w:tcPr>
            <w:tcW w:w="6946" w:type="dxa"/>
            <w:vAlign w:val="center"/>
          </w:tcPr>
          <w:p>
            <w:pPr>
              <w:pStyle w:val="2"/>
              <w:spacing w:line="360" w:lineRule="auto"/>
              <w:rPr>
                <w:rFonts w:ascii="宋体"/>
                <w:b/>
                <w:bCs/>
                <w:color w:val="auto"/>
                <w:sz w:val="21"/>
                <w:szCs w:val="21"/>
                <w:highlight w:val="none"/>
              </w:rPr>
            </w:pPr>
            <w:r>
              <w:rPr>
                <w:rFonts w:hint="eastAsia" w:ascii="宋体"/>
                <w:color w:val="auto"/>
                <w:sz w:val="21"/>
                <w:szCs w:val="21"/>
                <w:highlight w:val="none"/>
              </w:rPr>
              <w:t>不统一组织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36" w:lineRule="auto"/>
              <w:jc w:val="center"/>
              <w:rPr>
                <w:rFonts w:ascii="宋体"/>
                <w:color w:val="auto"/>
                <w:sz w:val="21"/>
                <w:szCs w:val="21"/>
                <w:highlight w:val="none"/>
              </w:rPr>
            </w:pPr>
            <w:r>
              <w:rPr>
                <w:rFonts w:hint="eastAsia" w:ascii="宋体"/>
                <w:color w:val="auto"/>
                <w:sz w:val="21"/>
                <w:szCs w:val="21"/>
                <w:highlight w:val="none"/>
              </w:rPr>
              <w:t>27</w:t>
            </w:r>
          </w:p>
        </w:tc>
        <w:tc>
          <w:tcPr>
            <w:tcW w:w="1136" w:type="dxa"/>
            <w:vAlign w:val="center"/>
          </w:tcPr>
          <w:p>
            <w:pPr>
              <w:snapToGrid w:val="0"/>
              <w:spacing w:line="360" w:lineRule="auto"/>
              <w:jc w:val="center"/>
              <w:rPr>
                <w:rFonts w:ascii="宋体"/>
                <w:color w:val="auto"/>
                <w:kern w:val="2"/>
                <w:sz w:val="21"/>
                <w:szCs w:val="21"/>
                <w:highlight w:val="none"/>
              </w:rPr>
            </w:pPr>
            <w:r>
              <w:rPr>
                <w:rFonts w:hint="eastAsia" w:ascii="宋体"/>
                <w:color w:val="auto"/>
                <w:kern w:val="2"/>
                <w:sz w:val="21"/>
                <w:szCs w:val="21"/>
                <w:highlight w:val="none"/>
              </w:rPr>
              <w:t>质疑期及接收人</w:t>
            </w:r>
          </w:p>
        </w:tc>
        <w:tc>
          <w:tcPr>
            <w:tcW w:w="6946" w:type="dxa"/>
            <w:vAlign w:val="center"/>
          </w:tcPr>
          <w:p>
            <w:pPr>
              <w:tabs>
                <w:tab w:val="left" w:pos="105"/>
                <w:tab w:val="left" w:pos="735"/>
                <w:tab w:val="left" w:pos="945"/>
                <w:tab w:val="left" w:pos="3360"/>
              </w:tabs>
              <w:spacing w:line="360" w:lineRule="auto"/>
              <w:jc w:val="both"/>
              <w:rPr>
                <w:rFonts w:ascii="宋体"/>
                <w:color w:val="auto"/>
                <w:kern w:val="2"/>
                <w:sz w:val="21"/>
                <w:szCs w:val="21"/>
                <w:highlight w:val="none"/>
              </w:rPr>
            </w:pPr>
            <w:r>
              <w:rPr>
                <w:rFonts w:hint="eastAsia" w:ascii="宋体"/>
                <w:color w:val="auto"/>
                <w:kern w:val="2"/>
                <w:sz w:val="21"/>
                <w:szCs w:val="21"/>
                <w:highlight w:val="none"/>
              </w:rPr>
              <w:t>1、投标人如认为招标文件存在限制性、排他性或者其他违法等内容，使自己权益受到损害的，应在</w:t>
            </w:r>
            <w:r>
              <w:rPr>
                <w:rFonts w:hint="eastAsia"/>
                <w:color w:val="auto"/>
                <w:sz w:val="21"/>
                <w:szCs w:val="21"/>
                <w:highlight w:val="none"/>
              </w:rPr>
              <w:t>已获取或应当获取本招标文件</w:t>
            </w:r>
            <w:r>
              <w:rPr>
                <w:color w:val="auto"/>
                <w:sz w:val="21"/>
                <w:szCs w:val="21"/>
                <w:highlight w:val="none"/>
              </w:rPr>
              <w:t>7个工作日</w:t>
            </w:r>
            <w:r>
              <w:rPr>
                <w:rFonts w:hint="eastAsia" w:ascii="宋体"/>
                <w:color w:val="auto"/>
                <w:kern w:val="2"/>
                <w:sz w:val="21"/>
                <w:szCs w:val="21"/>
                <w:highlight w:val="none"/>
              </w:rPr>
              <w:t>内提出质疑。质疑书必须按《浙江省政府采购供应商质疑处理办法》规定。</w:t>
            </w:r>
          </w:p>
          <w:p>
            <w:pPr>
              <w:tabs>
                <w:tab w:val="left" w:pos="105"/>
                <w:tab w:val="left" w:pos="735"/>
                <w:tab w:val="left" w:pos="945"/>
                <w:tab w:val="left" w:pos="3360"/>
              </w:tabs>
              <w:spacing w:line="360" w:lineRule="auto"/>
              <w:jc w:val="both"/>
              <w:rPr>
                <w:rFonts w:ascii="宋体"/>
                <w:color w:val="auto"/>
                <w:kern w:val="2"/>
                <w:sz w:val="21"/>
                <w:szCs w:val="21"/>
                <w:highlight w:val="none"/>
              </w:rPr>
            </w:pPr>
            <w:r>
              <w:rPr>
                <w:rFonts w:hint="eastAsia" w:ascii="宋体"/>
                <w:color w:val="auto"/>
                <w:kern w:val="2"/>
                <w:sz w:val="21"/>
                <w:szCs w:val="21"/>
                <w:highlight w:val="none"/>
              </w:rPr>
              <w:t>2、接收质疑书联系人：陈若水</w:t>
            </w:r>
          </w:p>
          <w:p>
            <w:pPr>
              <w:tabs>
                <w:tab w:val="left" w:pos="105"/>
                <w:tab w:val="left" w:pos="735"/>
                <w:tab w:val="left" w:pos="945"/>
                <w:tab w:val="left" w:pos="3360"/>
              </w:tabs>
              <w:spacing w:line="360" w:lineRule="auto"/>
              <w:ind w:firstLine="315" w:firstLineChars="150"/>
              <w:jc w:val="both"/>
              <w:rPr>
                <w:rFonts w:ascii="宋体"/>
                <w:color w:val="auto"/>
                <w:kern w:val="2"/>
                <w:sz w:val="21"/>
                <w:szCs w:val="21"/>
                <w:highlight w:val="none"/>
              </w:rPr>
            </w:pPr>
            <w:r>
              <w:rPr>
                <w:rFonts w:hint="eastAsia" w:ascii="宋体"/>
                <w:color w:val="auto"/>
                <w:kern w:val="2"/>
                <w:sz w:val="21"/>
                <w:szCs w:val="21"/>
                <w:highlight w:val="none"/>
              </w:rPr>
              <w:t>联系电话：0574-87128864</w:t>
            </w:r>
          </w:p>
        </w:tc>
      </w:tr>
    </w:tbl>
    <w:p>
      <w:pPr>
        <w:spacing w:line="276" w:lineRule="auto"/>
        <w:jc w:val="center"/>
        <w:rPr>
          <w:rFonts w:ascii="宋体"/>
          <w:b/>
          <w:color w:val="auto"/>
          <w:sz w:val="32"/>
          <w:szCs w:val="32"/>
          <w:highlight w:val="none"/>
        </w:rPr>
      </w:pPr>
      <w:r>
        <w:rPr>
          <w:rFonts w:hint="eastAsia" w:ascii="宋体"/>
          <w:color w:val="auto"/>
          <w:szCs w:val="24"/>
          <w:highlight w:val="none"/>
        </w:rPr>
        <w:br w:type="page"/>
      </w:r>
      <w:bookmarkStart w:id="7" w:name="_Toc86202582"/>
      <w:bookmarkStart w:id="8" w:name="_Toc241827236"/>
      <w:r>
        <w:rPr>
          <w:rFonts w:hint="eastAsia" w:ascii="宋体"/>
          <w:b/>
          <w:color w:val="auto"/>
          <w:szCs w:val="24"/>
          <w:highlight w:val="none"/>
        </w:rPr>
        <w:t>投标人须知</w:t>
      </w:r>
    </w:p>
    <w:p>
      <w:pPr>
        <w:wordWrap w:val="0"/>
        <w:spacing w:line="360" w:lineRule="auto"/>
        <w:ind w:firstLine="422" w:firstLineChars="200"/>
        <w:rPr>
          <w:rFonts w:ascii="宋体" w:hAnsi="宋体" w:cs="宋体"/>
          <w:b/>
          <w:color w:val="auto"/>
          <w:sz w:val="21"/>
          <w:szCs w:val="21"/>
          <w:highlight w:val="none"/>
        </w:rPr>
      </w:pPr>
      <w:bookmarkStart w:id="9" w:name="_Hlt14560612"/>
      <w:bookmarkEnd w:id="9"/>
      <w:bookmarkStart w:id="10" w:name="_Toc500746969"/>
      <w:bookmarkStart w:id="11" w:name="_Toc177995476"/>
      <w:bookmarkStart w:id="12" w:name="_Toc239740354"/>
      <w:bookmarkStart w:id="13" w:name="_Toc500747192"/>
      <w:bookmarkStart w:id="14" w:name="_Toc492955418"/>
      <w:bookmarkStart w:id="15" w:name="_Toc230013635"/>
      <w:bookmarkStart w:id="16" w:name="_Toc235518469"/>
      <w:bookmarkStart w:id="17" w:name="_Toc385992335"/>
      <w:bookmarkStart w:id="18" w:name="_Toc232395215"/>
      <w:bookmarkStart w:id="19" w:name="_Toc389620174"/>
      <w:bookmarkStart w:id="20" w:name="_Toc230583544"/>
      <w:bookmarkStart w:id="21" w:name="_Toc265738863"/>
      <w:bookmarkStart w:id="22" w:name="_Toc177817337"/>
      <w:bookmarkStart w:id="23" w:name="_Toc53722843"/>
      <w:bookmarkStart w:id="24" w:name="_Toc176882545"/>
      <w:bookmarkStart w:id="25" w:name="_Toc496324582"/>
      <w:bookmarkStart w:id="26" w:name="_Toc499711887"/>
      <w:bookmarkStart w:id="27" w:name="_Toc499711046"/>
      <w:bookmarkStart w:id="28" w:name="_Toc500747065"/>
      <w:bookmarkStart w:id="29" w:name="_Toc503063425"/>
      <w:bookmarkStart w:id="30" w:name="_Toc177189238"/>
      <w:bookmarkStart w:id="31" w:name="_Toc232176275"/>
      <w:bookmarkStart w:id="32" w:name="_Toc70687149"/>
      <w:bookmarkStart w:id="33" w:name="_Toc184043022"/>
      <w:bookmarkStart w:id="34" w:name="_Toc230099800"/>
      <w:r>
        <w:rPr>
          <w:rFonts w:hint="eastAsia" w:ascii="宋体" w:hAnsi="宋体" w:cs="宋体"/>
          <w:b/>
          <w:color w:val="auto"/>
          <w:sz w:val="21"/>
          <w:szCs w:val="21"/>
          <w:highlight w:val="none"/>
        </w:rPr>
        <w:t>一、适用范围</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本采购文件仅适用于本采购项目所叙述的货物和服务的招标、评标、定标、验收、合同履约、付款等（法律、法规另有规定的，从其规定）。</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二、定义</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1、“采购人”系指宁波工程学院。</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2、“代理机构”系指宁波市国际招标有限公司。</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3、“供应商”系指向采购人提交投标文件的供应商。</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4、“货物”系指供方按采购文件规定承担的设备、备品备件供货等。</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5、“项目”系指投标人按采购文件规定向采购人提供的产品和服务。</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6、“同级政府采购监管部门”系指宁波市政府采购管理办公室</w:t>
      </w:r>
      <w:r>
        <w:rPr>
          <w:rFonts w:hint="eastAsia" w:ascii="宋体" w:hAnsi="宋体" w:cs="宋体"/>
          <w:color w:val="auto"/>
          <w:kern w:val="10"/>
          <w:sz w:val="21"/>
          <w:szCs w:val="21"/>
          <w:highlight w:val="none"/>
          <w:lang w:val="zh-CN"/>
        </w:rPr>
        <w:t>。</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7、“*”系指实质性响应条款。</w:t>
      </w:r>
    </w:p>
    <w:p>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三、合格的投标人和合格的投标货物或服务</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  合格的投标人：详见采购公告.</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  合格的投标货物或服务：</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1.2.1应该是中国境内生产的货物或提供的服务。</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若投标货物或服务是国家实行许可证制度或生产注册证制度的产品或服务，则应具备相应有效的证书。</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招标文件允许采购进口产品的，若投标货物是进口产品，投标人应保证所投产品为可履行合法报通关手续进入中国关境内、在中国海关完税的可合法销售的货物。</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1.2.2国家规定有标准及规范的，投标货物或服务应按有效的标准及规范执行，应符合国家及招标文件提出的有关技术、质量、安全标准。</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1.2.3投标人应保证所提供的产品或服务免受第三方提出侵犯其知识产权（专利权、商标权、工业设计权及使用权等）的索赔或起诉，否则，由此可能产生的一切法律责任和经济责任均由投标人承担。</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四、其他说明</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（一）投标费用</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无论投标过程和结果如何，供应商自行承担与投标有关的全部费用。</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（二）关于分公司投标</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仅允许银行、保险、石油石化、电力、电信、移动、联通等行业分公司投标，但需提供具有法人资格的总公司的营业执照原件扫描件及授权书，授权书须加盖总公司公章。</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（三）关于知识产权</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2、投标报价应包含所有应向所有权人支付的专利权、商标权或其它知识产权的一切相关费用。</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wordWrap w:val="0"/>
        <w:spacing w:line="360" w:lineRule="auto"/>
        <w:ind w:firstLine="422" w:firstLineChars="200"/>
        <w:rPr>
          <w:rFonts w:ascii="宋体" w:hAnsi="宋体" w:cs="宋体"/>
          <w:b/>
          <w:color w:val="auto"/>
          <w:sz w:val="21"/>
          <w:szCs w:val="21"/>
          <w:highlight w:val="none"/>
        </w:rPr>
      </w:pPr>
      <w:bookmarkStart w:id="35" w:name="_Toc460857903"/>
      <w:bookmarkStart w:id="36" w:name="_Toc17707916"/>
      <w:bookmarkStart w:id="37" w:name="_Toc23497307"/>
      <w:r>
        <w:rPr>
          <w:rFonts w:hint="eastAsia" w:ascii="宋体" w:hAnsi="宋体" w:cs="宋体"/>
          <w:b/>
          <w:color w:val="auto"/>
          <w:sz w:val="21"/>
          <w:szCs w:val="21"/>
          <w:highlight w:val="none"/>
        </w:rPr>
        <w:t>（四）联合体投标</w:t>
      </w:r>
      <w:bookmarkEnd w:id="35"/>
      <w:bookmarkEnd w:id="36"/>
      <w:bookmarkEnd w:id="37"/>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p>
      <w:pPr>
        <w:wordWrap w:val="0"/>
        <w:spacing w:line="360" w:lineRule="auto"/>
        <w:ind w:firstLine="422" w:firstLineChars="200"/>
        <w:rPr>
          <w:rFonts w:ascii="宋体" w:hAnsi="宋体" w:cs="宋体"/>
          <w:b/>
          <w:color w:val="auto"/>
          <w:sz w:val="21"/>
          <w:szCs w:val="21"/>
          <w:highlight w:val="none"/>
        </w:rPr>
      </w:pPr>
      <w:bookmarkStart w:id="38" w:name="_Toc23497308"/>
      <w:bookmarkStart w:id="39" w:name="_Toc460857904"/>
      <w:bookmarkStart w:id="40" w:name="_Toc17707917"/>
      <w:r>
        <w:rPr>
          <w:rFonts w:hint="eastAsia" w:ascii="宋体" w:hAnsi="宋体" w:cs="宋体"/>
          <w:b/>
          <w:color w:val="auto"/>
          <w:sz w:val="21"/>
          <w:szCs w:val="21"/>
          <w:highlight w:val="none"/>
        </w:rPr>
        <w:t>（五）转包与分包</w:t>
      </w:r>
      <w:bookmarkEnd w:id="38"/>
      <w:bookmarkEnd w:id="39"/>
      <w:bookmarkEnd w:id="40"/>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1.本项目不允许转包，未经采购人同意，不允许分包。</w:t>
      </w:r>
    </w:p>
    <w:p>
      <w:pPr>
        <w:wordWrap w:val="0"/>
        <w:spacing w:line="360" w:lineRule="auto"/>
        <w:ind w:firstLine="422" w:firstLineChars="200"/>
        <w:rPr>
          <w:rFonts w:ascii="宋体" w:hAnsi="宋体" w:cs="宋体"/>
          <w:b/>
          <w:color w:val="auto"/>
          <w:sz w:val="21"/>
          <w:szCs w:val="21"/>
          <w:highlight w:val="none"/>
        </w:rPr>
      </w:pPr>
      <w:bookmarkStart w:id="41" w:name="_Toc460416345"/>
      <w:bookmarkStart w:id="42" w:name="_Toc17707918"/>
      <w:bookmarkStart w:id="43" w:name="_Toc460416650"/>
      <w:bookmarkStart w:id="44" w:name="_Toc23497309"/>
      <w:bookmarkStart w:id="45" w:name="_Toc460416601"/>
      <w:bookmarkStart w:id="46" w:name="_Toc460857905"/>
      <w:r>
        <w:rPr>
          <w:rFonts w:hint="eastAsia" w:ascii="宋体" w:hAnsi="宋体" w:cs="宋体"/>
          <w:b/>
          <w:color w:val="auto"/>
          <w:sz w:val="21"/>
          <w:szCs w:val="21"/>
          <w:highlight w:val="none"/>
        </w:rPr>
        <w:t>（六）特别说明</w:t>
      </w:r>
      <w:bookmarkEnd w:id="41"/>
      <w:bookmarkEnd w:id="42"/>
      <w:bookmarkEnd w:id="43"/>
      <w:bookmarkEnd w:id="44"/>
      <w:bookmarkEnd w:id="45"/>
      <w:bookmarkEnd w:id="46"/>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1.投标人应仔细阅读采购文件的所有内容，按照采购文件的要求提交投标文件，并对所提供的全部资料的真实性承担法律责任。</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五、投标报价</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5.1投标报价货币为人民币，投标报价为投标人为完成本项目，实现招标文件中规定的本项目采购内容和范围并达到相关标准所需要的全部费用。</w:t>
      </w:r>
      <w:r>
        <w:rPr>
          <w:rFonts w:hint="eastAsia" w:ascii="宋体"/>
          <w:color w:val="auto"/>
          <w:sz w:val="21"/>
          <w:szCs w:val="21"/>
          <w:highlight w:val="none"/>
        </w:rPr>
        <w:t>包括维保时，所产生的人工、场所、物流、工具、零件、各类元器件等</w:t>
      </w:r>
      <w:r>
        <w:rPr>
          <w:rFonts w:hint="eastAsia" w:ascii="宋体" w:hAnsi="宋体"/>
          <w:color w:val="auto"/>
          <w:sz w:val="21"/>
          <w:szCs w:val="21"/>
          <w:highlight w:val="none"/>
        </w:rPr>
        <w:t>、</w:t>
      </w:r>
      <w:r>
        <w:rPr>
          <w:rFonts w:hint="eastAsia" w:ascii="宋体"/>
          <w:color w:val="auto"/>
          <w:sz w:val="21"/>
          <w:szCs w:val="21"/>
          <w:highlight w:val="none"/>
        </w:rPr>
        <w:t>基础、主材、辅材、预埋件、运输、安装、管理、维护、保险、利润、税金政策性文件规定及合同包含的所有风险、责任等各项应有费用（即交钥匙价）</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凡影响投标报价的所有相关费用应列入本次报价中。中标后，不得以不完全了解采购文件、现场、周围环境等情况为借口，而提出额外补偿或延长工期等的要求。如漏报，最终所发生的费用均由中标商承担，招标方一律不予承担。</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5.2供应商应详细列明各分项工作相关报价及依据，未列明的相关报价应视为已包含在已列明费用的报价中，采购人将不予单独支付。</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5.3投标文件的货币单位为人民币元。</w:t>
      </w:r>
    </w:p>
    <w:p>
      <w:pPr>
        <w:tabs>
          <w:tab w:val="left" w:pos="525"/>
        </w:tabs>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5.4</w:t>
      </w:r>
      <w:r>
        <w:rPr>
          <w:rFonts w:hint="eastAsia" w:ascii="宋体" w:hAnsi="宋体" w:cs="宋体"/>
          <w:b/>
          <w:color w:val="auto"/>
          <w:sz w:val="21"/>
          <w:szCs w:val="21"/>
          <w:highlight w:val="none"/>
        </w:rPr>
        <w:t>投标文件只允许有一个报价，有选择的或有条件的报价将不予接受。</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六、投标有效期</w:t>
      </w:r>
    </w:p>
    <w:p>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*1、投标文件从开标之日起，投标有效期为90个日历日。投标有效期不能小于采购文件的要求。</w:t>
      </w:r>
    </w:p>
    <w:p>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2、特殊情况下，采购人可与供应商协商延长投标文件的有效期，这种要求和答复均以书面形式进行。</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3、供应商可拒绝接受延期要求。同意延长有效期的供应商不能修改投标文件。</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七、投标文件的形式和效力</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1、投标文件分为电子投标文件以及备份投标文件，备份投标文件分为以</w:t>
      </w:r>
      <w:r>
        <w:rPr>
          <w:rFonts w:hint="eastAsia" w:ascii="宋体" w:hAnsi="宋体" w:eastAsia="宋体" w:cs="宋体"/>
          <w:color w:val="auto"/>
          <w:kern w:val="0"/>
          <w:sz w:val="21"/>
          <w:szCs w:val="21"/>
          <w:highlight w:val="none"/>
        </w:rPr>
        <w:t>U盘或光盘存储的电子</w:t>
      </w:r>
      <w:r>
        <w:rPr>
          <w:rFonts w:hint="eastAsia" w:ascii="宋体" w:hAnsi="宋体" w:eastAsia="宋体" w:cs="宋体"/>
          <w:color w:val="auto"/>
          <w:sz w:val="21"/>
          <w:szCs w:val="21"/>
          <w:highlight w:val="none"/>
        </w:rPr>
        <w:t>备份投标文件。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2、电子投标文件，按“项目采购-电子招投标操作指南”及本采购文件要求制作，并加密。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w:t>
      </w:r>
      <w:r>
        <w:rPr>
          <w:rFonts w:hint="eastAsia" w:ascii="宋体" w:hAnsi="宋体" w:eastAsia="宋体" w:cs="宋体"/>
          <w:color w:val="auto"/>
          <w:kern w:val="0"/>
          <w:sz w:val="21"/>
          <w:szCs w:val="21"/>
          <w:highlight w:val="none"/>
        </w:rPr>
        <w:t>U盘或光盘存储的电子</w:t>
      </w:r>
      <w:r>
        <w:rPr>
          <w:rFonts w:hint="eastAsia" w:ascii="宋体" w:hAnsi="宋体" w:eastAsia="宋体" w:cs="宋体"/>
          <w:color w:val="auto"/>
          <w:sz w:val="21"/>
          <w:szCs w:val="21"/>
          <w:highlight w:val="none"/>
        </w:rPr>
        <w:t>备份投标文件，按“项目采购-电子招投标操作指南”制作的电子备份文件。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4、投标文件按本章第八条投标文件的组成编制。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5、投标文件填写字迹必须清楚、工整，对不同文字文本投标文件的解释发生异议的，以中文文本为准。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6、投标文件的效力</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投标文件的启用，按先后顺位分别为电子投标文件、以</w:t>
      </w:r>
      <w:r>
        <w:rPr>
          <w:rFonts w:hint="eastAsia" w:ascii="宋体" w:hAnsi="宋体" w:eastAsia="宋体" w:cs="宋体"/>
          <w:color w:val="auto"/>
          <w:kern w:val="0"/>
          <w:sz w:val="21"/>
          <w:szCs w:val="21"/>
          <w:highlight w:val="none"/>
        </w:rPr>
        <w:t>U盘或光盘存储的电子</w:t>
      </w:r>
      <w:r>
        <w:rPr>
          <w:rFonts w:hint="eastAsia" w:ascii="宋体" w:hAnsi="宋体" w:eastAsia="宋体" w:cs="宋体"/>
          <w:color w:val="auto"/>
          <w:sz w:val="21"/>
          <w:szCs w:val="21"/>
          <w:highlight w:val="none"/>
        </w:rPr>
        <w:t>备份投标文件。在下一顺位的投标文件启用时，前一顺位的投标文件自动失效。</w:t>
      </w:r>
    </w:p>
    <w:p>
      <w:pPr>
        <w:wordWrap w:val="0"/>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rPr>
        <w:t>电子投标文件未能按时解密，供应商提供了电子备份投标文件，以电子备份投标文件作为依据，否则视为投标文件撤回。电子投标文件已按时解密的，电子备份投标文件自动失效</w:t>
      </w:r>
      <w:r>
        <w:rPr>
          <w:rFonts w:hint="eastAsia" w:ascii="宋体" w:hAnsi="宋体" w:cs="宋体"/>
          <w:color w:val="auto"/>
          <w:sz w:val="21"/>
          <w:szCs w:val="21"/>
          <w:highlight w:val="none"/>
        </w:rPr>
        <w:t>。</w:t>
      </w:r>
    </w:p>
    <w:p>
      <w:pPr>
        <w:wordWrap w:val="0"/>
        <w:spacing w:line="360" w:lineRule="auto"/>
        <w:ind w:firstLine="422" w:firstLineChars="200"/>
        <w:rPr>
          <w:rFonts w:ascii="宋体" w:hAnsi="宋体" w:cs="宋体"/>
          <w:b/>
          <w:bCs/>
          <w:color w:val="auto"/>
          <w:sz w:val="21"/>
          <w:szCs w:val="21"/>
          <w:highlight w:val="none"/>
        </w:rPr>
      </w:pPr>
      <w:bookmarkStart w:id="47" w:name="_Hlk23147633"/>
      <w:bookmarkStart w:id="48" w:name="_Hlk23150950"/>
      <w:r>
        <w:rPr>
          <w:rFonts w:hint="eastAsia" w:ascii="宋体" w:hAnsi="宋体" w:cs="宋体"/>
          <w:b/>
          <w:bCs/>
          <w:color w:val="auto"/>
          <w:sz w:val="21"/>
          <w:szCs w:val="21"/>
          <w:highlight w:val="none"/>
        </w:rPr>
        <w:t>八、投标文件的组成、制作</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1、投标文件的组成：</w:t>
      </w:r>
    </w:p>
    <w:p>
      <w:pPr>
        <w:wordWrap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A、第一册：资格文件</w:t>
      </w:r>
    </w:p>
    <w:p>
      <w:pPr>
        <w:spacing w:line="360" w:lineRule="auto"/>
        <w:ind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A1、关于资格的承诺函（格式见附件）；</w:t>
      </w:r>
    </w:p>
    <w:p>
      <w:pPr>
        <w:spacing w:line="360" w:lineRule="auto"/>
        <w:ind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pPr>
        <w:spacing w:line="360" w:lineRule="auto"/>
        <w:ind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A3、投标人承诺书</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A4、中小企业声明函；</w:t>
      </w:r>
    </w:p>
    <w:p>
      <w:pPr>
        <w:wordWrap w:val="0"/>
        <w:spacing w:line="360" w:lineRule="auto"/>
        <w:ind w:firstLine="420" w:firstLineChars="200"/>
        <w:rPr>
          <w:color w:val="auto"/>
          <w:highlight w:val="none"/>
        </w:rPr>
      </w:pPr>
      <w:r>
        <w:rPr>
          <w:rFonts w:hint="eastAsia" w:ascii="宋体" w:hAnsi="宋体" w:cs="宋体"/>
          <w:color w:val="auto"/>
          <w:sz w:val="21"/>
          <w:szCs w:val="21"/>
          <w:highlight w:val="none"/>
        </w:rPr>
        <w:t>A5、残疾人福利性单位声明函；</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A6、供应商认为需要的其他资料（如有需提供）。</w:t>
      </w:r>
    </w:p>
    <w:p>
      <w:pPr>
        <w:wordWrap w:val="0"/>
        <w:spacing w:line="360" w:lineRule="auto"/>
        <w:ind w:firstLine="422" w:firstLineChars="200"/>
        <w:rPr>
          <w:rFonts w:ascii="宋体" w:hAnsi="宋体" w:cs="宋体"/>
          <w:b/>
          <w:bCs/>
          <w:color w:val="auto"/>
          <w:sz w:val="21"/>
          <w:szCs w:val="21"/>
          <w:highlight w:val="none"/>
        </w:rPr>
      </w:pPr>
    </w:p>
    <w:p>
      <w:pPr>
        <w:wordWrap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B、第二册：商务和技术文件</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自评分表</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B1、投标书；</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B2、法定代表人身份证明；</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B3、法定代表人授权书（投标文件由授权代表签字的须提供）；</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B4、供应商一般情况表；</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B5、商务条款响应表；</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B6、技术条款响应表；</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B7、</w:t>
      </w:r>
      <w:r>
        <w:rPr>
          <w:rFonts w:hint="eastAsia" w:ascii="宋体"/>
          <w:color w:val="auto"/>
          <w:sz w:val="21"/>
          <w:szCs w:val="21"/>
          <w:highlight w:val="none"/>
        </w:rPr>
        <w:t>投标人应根据现场踏勘情况出具完整的维护方案</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B8、维（护）修人员情况的情况介绍（包括配置、人数、知识和专业技术结构介绍，证书情况、业绩情况）附相关证明材料；</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附相关人员身份证、职称证书、学历证书复印件（加盖公章）；社保机构出具投标人为相关人员开标前3个月的社保缴纳证明材料；</w:t>
      </w:r>
    </w:p>
    <w:p>
      <w:pPr>
        <w:wordWrap w:val="0"/>
        <w:spacing w:line="360" w:lineRule="auto"/>
        <w:ind w:firstLine="420" w:firstLineChars="200"/>
        <w:rPr>
          <w:rFonts w:ascii="宋体" w:hAnsi="宋体" w:cs="宋体"/>
          <w:color w:val="auto"/>
          <w:sz w:val="21"/>
          <w:szCs w:val="21"/>
          <w:highlight w:val="none"/>
        </w:rPr>
      </w:pPr>
      <w:r>
        <w:rPr>
          <w:rFonts w:hint="eastAsia" w:ascii="宋体"/>
          <w:color w:val="auto"/>
          <w:sz w:val="21"/>
          <w:szCs w:val="21"/>
          <w:highlight w:val="none"/>
        </w:rPr>
        <w:t>B9、投标人</w:t>
      </w:r>
      <w:r>
        <w:rPr>
          <w:rFonts w:hint="eastAsia" w:ascii="宋体" w:hAnsi="宋体" w:cs="宋体"/>
          <w:color w:val="auto"/>
          <w:sz w:val="21"/>
          <w:szCs w:val="21"/>
          <w:highlight w:val="none"/>
        </w:rPr>
        <w:t>类似项目业绩证明材料复印件，加盖投标人公章；</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B10、质保及本地化服务能力(应包括质保期限、质保内容、本地化维护服务能力、费用等内容)</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B11、第三章“评标办法及标准”中商务和技术评分表要求提供的资料（如有需提供）；</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B12、供应商认为需要的其他资料（如有需提供）。</w:t>
      </w:r>
    </w:p>
    <w:p>
      <w:pPr>
        <w:pStyle w:val="2"/>
        <w:rPr>
          <w:color w:val="auto"/>
          <w:highlight w:val="none"/>
        </w:rPr>
      </w:pPr>
    </w:p>
    <w:bookmarkEnd w:id="47"/>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C、第三册：报价文件</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C1、开标一览表；</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C2、分项报价表；</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C3、供应商认为需要的其他资料（如有需提供）。</w:t>
      </w:r>
    </w:p>
    <w:bookmarkEnd w:id="48"/>
    <w:p>
      <w:pPr>
        <w:wordWrap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供应商应对投标文件编制目录和评分索引表以方便查询。</w:t>
      </w:r>
    </w:p>
    <w:p>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投标文件制作：</w:t>
      </w:r>
    </w:p>
    <w:p>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（2）供应商通过政府采购云平台电子投标工具制作投标文件。电子投标工具请供应商自行前往浙江政府采购网下载并安装。</w:t>
      </w:r>
    </w:p>
    <w:p>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（3）以U盘或光盘存储的电子备份投标文件1份，即按“项目采购-电子招投标操作指南”制作的电子备份文件，以用于异常情况处理。</w:t>
      </w:r>
    </w:p>
    <w:p>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eastAsia="宋体" w:cs="宋体"/>
          <w:b/>
          <w:bCs/>
          <w:color w:val="auto"/>
          <w:sz w:val="21"/>
          <w:szCs w:val="21"/>
          <w:highlight w:val="none"/>
        </w:rPr>
        <w:t>完成CA数字证书办理预计一周左右，请供应商自行把握时间。</w:t>
      </w:r>
    </w:p>
    <w:p>
      <w:pPr>
        <w:wordWrap w:val="0"/>
        <w:spacing w:line="360"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九、投标文件的签署盖章</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1、采购文件第七章“附件”中标明加盖公章或签字的，加盖公章部分采用CA签章，签字部分由法定代表人或授权代表签字后扫描上传。授权代表签字的，还应附法定代表人签署的法定代表人授权书。</w:t>
      </w:r>
    </w:p>
    <w:p>
      <w:pPr>
        <w:wordWrap w:val="0"/>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rPr>
        <w:t>2、投标文件应尽量避免涂改、行间插字或删除。如果出现上述情况，改动之处应加盖供应商公章或由其法定代表人（或授权代表）签字确认</w:t>
      </w:r>
      <w:r>
        <w:rPr>
          <w:rFonts w:hint="eastAsia" w:ascii="宋体" w:hAnsi="宋体" w:cs="宋体"/>
          <w:color w:val="auto"/>
          <w:sz w:val="21"/>
          <w:szCs w:val="21"/>
          <w:highlight w:val="none"/>
        </w:rPr>
        <w:t>。</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十、投标文件的密封和标记</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1、电子投标文件：供应商应根据“项目采购-电子招投标操作指南”及本采购文件规定的格式和顺序编制电子投标文件并进行关联定位。</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2、以U盘或光盘存储的电子备份投标文件</w:t>
      </w:r>
      <w:r>
        <w:rPr>
          <w:rFonts w:hint="eastAsia" w:ascii="宋体" w:hAnsi="宋体" w:cs="宋体"/>
          <w:b/>
          <w:color w:val="auto"/>
          <w:sz w:val="21"/>
          <w:szCs w:val="21"/>
          <w:highlight w:val="none"/>
        </w:rPr>
        <w:t>用封袋密封后递交。</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、电子备份投标文件、纸质备份投标文件须在封袋上分别注明：</w:t>
      </w:r>
    </w:p>
    <w:p>
      <w:pPr>
        <w:tabs>
          <w:tab w:val="left" w:pos="900"/>
        </w:tabs>
        <w:wordWrap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（1）注    明：</w:t>
      </w:r>
      <w:r>
        <w:rPr>
          <w:rFonts w:hint="eastAsia" w:ascii="宋体" w:hAnsi="宋体" w:cs="宋体"/>
          <w:color w:val="auto"/>
          <w:sz w:val="21"/>
          <w:szCs w:val="21"/>
          <w:highlight w:val="none"/>
          <w:u w:val="single"/>
        </w:rPr>
        <w:t>“电子备份投标文件”</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（2）采购编号：</w:t>
      </w:r>
      <w:r>
        <w:rPr>
          <w:rFonts w:hint="eastAsia" w:ascii="宋体" w:hAnsi="宋体" w:cs="宋体"/>
          <w:color w:val="auto"/>
          <w:sz w:val="21"/>
          <w:szCs w:val="21"/>
          <w:highlight w:val="none"/>
          <w:u w:val="single"/>
        </w:rPr>
        <w:t xml:space="preserve">NBITC-202230728G                               </w:t>
      </w:r>
      <w:r>
        <w:rPr>
          <w:rFonts w:hint="eastAsia" w:ascii="宋体" w:hAnsi="宋体" w:cs="宋体"/>
          <w:color w:val="auto"/>
          <w:sz w:val="21"/>
          <w:szCs w:val="21"/>
          <w:highlight w:val="none"/>
        </w:rPr>
        <w:t>；</w:t>
      </w:r>
    </w:p>
    <w:p>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（3）项目名称：</w:t>
      </w:r>
      <w:r>
        <w:rPr>
          <w:rFonts w:hint="eastAsia" w:ascii="宋体" w:hAnsi="宋体" w:cs="宋体"/>
          <w:color w:val="auto"/>
          <w:sz w:val="21"/>
          <w:szCs w:val="21"/>
          <w:highlight w:val="none"/>
          <w:u w:val="single"/>
        </w:rPr>
        <w:t xml:space="preserve">宁波工程学院课程视频拍摄制作项目 </w:t>
      </w:r>
      <w:r>
        <w:rPr>
          <w:rFonts w:hint="eastAsia" w:ascii="宋体" w:hAnsi="宋体" w:cs="宋体"/>
          <w:color w:val="auto"/>
          <w:sz w:val="21"/>
          <w:szCs w:val="21"/>
          <w:highlight w:val="none"/>
        </w:rPr>
        <w:t>；</w:t>
      </w:r>
    </w:p>
    <w:p>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（4）所投标项（如有多个标项须填写）：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日（规定的开标日期和时间）前不准启封；</w:t>
      </w:r>
    </w:p>
    <w:p>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（6）供应商的名称：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供应商须在包封上加盖供应商公章或由其法定代表人（或授权代表）签字。</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供应商未按上述要求标记的，采购人（代理机构）不承担错放或提前开封的责任。</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十一、投标文件的递交</w:t>
      </w:r>
    </w:p>
    <w:p>
      <w:pPr>
        <w:spacing w:line="360" w:lineRule="auto"/>
        <w:ind w:firstLine="420" w:firstLineChars="200"/>
        <w:jc w:val="left"/>
        <w:rPr>
          <w:rFonts w:hint="eastAsia" w:ascii="宋体" w:hAnsi="宋体" w:cs="仿宋"/>
          <w:color w:val="auto"/>
          <w:kern w:val="0"/>
          <w:sz w:val="21"/>
          <w:szCs w:val="21"/>
          <w:highlight w:val="none"/>
          <w:lang w:eastAsia="zh-CN"/>
        </w:rPr>
      </w:pPr>
      <w:r>
        <w:rPr>
          <w:rFonts w:hint="eastAsia" w:ascii="宋体" w:hAnsi="宋体" w:cs="宋体"/>
          <w:color w:val="auto"/>
          <w:sz w:val="21"/>
          <w:szCs w:val="21"/>
          <w:highlight w:val="none"/>
          <w:lang w:val="en-US" w:eastAsia="zh-CN"/>
        </w:rPr>
        <w:t>*</w:t>
      </w:r>
      <w:r>
        <w:rPr>
          <w:rFonts w:hint="eastAsia" w:ascii="宋体" w:hAnsi="宋体"/>
          <w:color w:val="auto"/>
          <w:sz w:val="21"/>
          <w:szCs w:val="21"/>
          <w:highlight w:val="none"/>
        </w:rPr>
        <w:t>1、</w:t>
      </w:r>
      <w:r>
        <w:rPr>
          <w:rFonts w:hint="eastAsia" w:ascii="宋体" w:hAnsi="宋体" w:cs="仿宋"/>
          <w:b/>
          <w:bCs/>
          <w:color w:val="auto"/>
          <w:kern w:val="0"/>
          <w:sz w:val="21"/>
          <w:szCs w:val="21"/>
          <w:highlight w:val="none"/>
        </w:rPr>
        <w:t>电子投标文件</w:t>
      </w:r>
      <w:r>
        <w:rPr>
          <w:rFonts w:hint="eastAsia" w:ascii="宋体" w:hAnsi="宋体" w:cs="仿宋"/>
          <w:b/>
          <w:bCs/>
          <w:color w:val="auto"/>
          <w:kern w:val="0"/>
          <w:sz w:val="21"/>
          <w:szCs w:val="21"/>
          <w:highlight w:val="none"/>
          <w:lang w:eastAsia="zh-CN"/>
        </w:rPr>
        <w:t>：</w:t>
      </w:r>
      <w:r>
        <w:rPr>
          <w:rFonts w:hint="eastAsia" w:ascii="宋体" w:hAnsi="宋体" w:cs="仿宋"/>
          <w:color w:val="auto"/>
          <w:kern w:val="0"/>
          <w:sz w:val="21"/>
          <w:szCs w:val="21"/>
          <w:highlight w:val="none"/>
        </w:rPr>
        <w:t>供应商应于提交投标文件截止时间前将电子投标文件</w:t>
      </w:r>
      <w:r>
        <w:rPr>
          <w:rFonts w:hint="eastAsia" w:ascii="宋体" w:hAnsi="宋体" w:cs="宋体"/>
          <w:strike w:val="0"/>
          <w:dstrike w:val="0"/>
          <w:color w:val="auto"/>
          <w:kern w:val="0"/>
          <w:sz w:val="21"/>
          <w:szCs w:val="21"/>
          <w:highlight w:val="none"/>
        </w:rPr>
        <w:t>（含</w:t>
      </w:r>
      <w:r>
        <w:rPr>
          <w:rFonts w:hint="eastAsia" w:ascii="宋体" w:hAnsi="宋体"/>
          <w:strike w:val="0"/>
          <w:dstrike w:val="0"/>
          <w:color w:val="auto"/>
          <w:sz w:val="21"/>
          <w:szCs w:val="21"/>
          <w:highlight w:val="none"/>
        </w:rPr>
        <w:t>资格文件、商务和技术文件、报价文件）</w:t>
      </w:r>
      <w:r>
        <w:rPr>
          <w:rFonts w:hint="eastAsia" w:ascii="宋体" w:hAnsi="宋体" w:cs="仿宋"/>
          <w:color w:val="auto"/>
          <w:kern w:val="0"/>
          <w:sz w:val="21"/>
          <w:szCs w:val="21"/>
          <w:highlight w:val="none"/>
        </w:rPr>
        <w:t>上传到政府采购云平台（</w:t>
      </w:r>
      <w:r>
        <w:rPr>
          <w:rFonts w:ascii="宋体" w:hAnsi="宋体" w:cs="仿宋"/>
          <w:color w:val="auto"/>
          <w:kern w:val="0"/>
          <w:sz w:val="21"/>
          <w:szCs w:val="21"/>
          <w:highlight w:val="none"/>
        </w:rPr>
        <w:fldChar w:fldCharType="begin"/>
      </w:r>
      <w:r>
        <w:rPr>
          <w:rFonts w:ascii="宋体" w:hAnsi="宋体" w:cs="仿宋"/>
          <w:color w:val="auto"/>
          <w:kern w:val="0"/>
          <w:sz w:val="21"/>
          <w:szCs w:val="21"/>
          <w:highlight w:val="none"/>
        </w:rPr>
        <w:instrText xml:space="preserve"> HYPERLINK "http://www.zcygov.cn" </w:instrText>
      </w:r>
      <w:r>
        <w:rPr>
          <w:rFonts w:ascii="宋体" w:hAnsi="宋体" w:cs="仿宋"/>
          <w:color w:val="auto"/>
          <w:kern w:val="0"/>
          <w:sz w:val="21"/>
          <w:szCs w:val="21"/>
          <w:highlight w:val="none"/>
        </w:rPr>
        <w:fldChar w:fldCharType="separate"/>
      </w:r>
      <w:r>
        <w:rPr>
          <w:rStyle w:val="45"/>
          <w:rFonts w:hint="eastAsia" w:ascii="宋体" w:hAnsi="宋体"/>
          <w:color w:val="auto"/>
          <w:kern w:val="0"/>
          <w:sz w:val="21"/>
          <w:szCs w:val="21"/>
          <w:highlight w:val="none"/>
          <w:u w:val="none"/>
        </w:rPr>
        <w:t>www.zcygov.cn</w:t>
      </w:r>
      <w:r>
        <w:rPr>
          <w:rFonts w:ascii="宋体" w:hAnsi="宋体" w:cs="仿宋"/>
          <w:color w:val="auto"/>
          <w:kern w:val="0"/>
          <w:sz w:val="21"/>
          <w:szCs w:val="21"/>
          <w:highlight w:val="none"/>
        </w:rPr>
        <w:fldChar w:fldCharType="end"/>
      </w:r>
      <w:r>
        <w:rPr>
          <w:rFonts w:hint="eastAsia" w:ascii="宋体" w:hAnsi="宋体" w:cs="仿宋"/>
          <w:color w:val="auto"/>
          <w:kern w:val="0"/>
          <w:sz w:val="21"/>
          <w:szCs w:val="21"/>
          <w:highlight w:val="none"/>
        </w:rPr>
        <w:t>）</w:t>
      </w:r>
      <w:r>
        <w:rPr>
          <w:rFonts w:hint="eastAsia" w:ascii="宋体" w:hAnsi="宋体" w:cs="仿宋"/>
          <w:color w:val="auto"/>
          <w:kern w:val="0"/>
          <w:sz w:val="21"/>
          <w:szCs w:val="21"/>
          <w:highlight w:val="none"/>
          <w:lang w:eastAsia="zh-CN"/>
        </w:rPr>
        <w:t>。</w:t>
      </w:r>
    </w:p>
    <w:p>
      <w:pPr>
        <w:numPr>
          <w:ilvl w:val="0"/>
          <w:numId w:val="4"/>
        </w:numPr>
        <w:spacing w:line="360" w:lineRule="auto"/>
        <w:ind w:firstLine="422" w:firstLineChars="200"/>
        <w:jc w:val="left"/>
        <w:rPr>
          <w:rFonts w:hint="eastAsia" w:ascii="宋体" w:hAnsi="宋体" w:cs="宋体"/>
          <w:color w:val="auto"/>
          <w:kern w:val="0"/>
          <w:sz w:val="21"/>
          <w:szCs w:val="21"/>
          <w:highlight w:val="none"/>
          <w:lang w:eastAsia="zh-CN"/>
        </w:rPr>
      </w:pPr>
      <w:r>
        <w:rPr>
          <w:rFonts w:hint="eastAsia" w:ascii="宋体" w:hAnsi="宋体" w:cs="仿宋"/>
          <w:b/>
          <w:bCs/>
          <w:color w:val="auto"/>
          <w:kern w:val="0"/>
          <w:sz w:val="21"/>
          <w:szCs w:val="21"/>
          <w:highlight w:val="none"/>
        </w:rPr>
        <w:t>电子</w:t>
      </w:r>
      <w:r>
        <w:rPr>
          <w:rFonts w:hint="eastAsia" w:ascii="宋体" w:hAnsi="宋体" w:cs="仿宋"/>
          <w:b/>
          <w:bCs/>
          <w:color w:val="auto"/>
          <w:kern w:val="0"/>
          <w:sz w:val="21"/>
          <w:szCs w:val="21"/>
          <w:highlight w:val="none"/>
          <w:lang w:eastAsia="zh-CN"/>
        </w:rPr>
        <w:t>备份</w:t>
      </w:r>
      <w:r>
        <w:rPr>
          <w:rFonts w:hint="eastAsia" w:ascii="宋体" w:hAnsi="宋体" w:cs="仿宋"/>
          <w:b/>
          <w:bCs/>
          <w:color w:val="auto"/>
          <w:kern w:val="0"/>
          <w:sz w:val="21"/>
          <w:szCs w:val="21"/>
          <w:highlight w:val="none"/>
        </w:rPr>
        <w:t>投标文件</w:t>
      </w:r>
      <w:r>
        <w:rPr>
          <w:rFonts w:hint="eastAsia" w:ascii="宋体" w:hAnsi="宋体" w:cs="仿宋"/>
          <w:b/>
          <w:bCs/>
          <w:color w:val="auto"/>
          <w:kern w:val="0"/>
          <w:sz w:val="21"/>
          <w:szCs w:val="21"/>
          <w:highlight w:val="none"/>
          <w:lang w:eastAsia="zh-CN"/>
        </w:rPr>
        <w:t>：</w:t>
      </w:r>
      <w:r>
        <w:rPr>
          <w:rFonts w:hint="eastAsia" w:ascii="宋体" w:hAnsi="宋体" w:cs="仿宋"/>
          <w:color w:val="auto"/>
          <w:kern w:val="0"/>
          <w:sz w:val="21"/>
          <w:szCs w:val="21"/>
          <w:highlight w:val="none"/>
        </w:rPr>
        <w:t>供应商</w:t>
      </w:r>
      <w:r>
        <w:rPr>
          <w:rFonts w:hint="eastAsia" w:ascii="宋体" w:hAnsi="宋体" w:cs="仿宋"/>
          <w:color w:val="auto"/>
          <w:sz w:val="21"/>
          <w:szCs w:val="21"/>
          <w:highlight w:val="none"/>
        </w:rPr>
        <w:t>于提交投标文件截止时间</w:t>
      </w:r>
      <w:r>
        <w:rPr>
          <w:rFonts w:hint="eastAsia" w:ascii="宋体" w:hAnsi="宋体" w:cs="仿宋"/>
          <w:color w:val="auto"/>
          <w:kern w:val="0"/>
          <w:sz w:val="21"/>
          <w:szCs w:val="21"/>
          <w:highlight w:val="none"/>
        </w:rPr>
        <w:t>前，将以U盘或光盘存储的电子备份投标文件</w:t>
      </w:r>
      <w:r>
        <w:rPr>
          <w:rFonts w:hint="eastAsia" w:ascii="宋体" w:hAnsi="宋体" w:cs="仿宋"/>
          <w:color w:val="auto"/>
          <w:kern w:val="0"/>
          <w:sz w:val="21"/>
          <w:szCs w:val="21"/>
          <w:highlight w:val="none"/>
          <w:lang w:eastAsia="zh-CN"/>
        </w:rPr>
        <w:t>（</w:t>
      </w:r>
      <w:r>
        <w:rPr>
          <w:rFonts w:hint="eastAsia" w:ascii="宋体" w:hAnsi="宋体" w:cs="宋体"/>
          <w:strike w:val="0"/>
          <w:dstrike w:val="0"/>
          <w:color w:val="auto"/>
          <w:kern w:val="0"/>
          <w:sz w:val="21"/>
          <w:szCs w:val="21"/>
          <w:highlight w:val="none"/>
          <w:lang w:val="en-US" w:eastAsia="zh-CN"/>
        </w:rPr>
        <w:t>1</w:t>
      </w:r>
      <w:r>
        <w:rPr>
          <w:rFonts w:hint="eastAsia" w:ascii="宋体" w:hAnsi="宋体" w:cs="宋体"/>
          <w:strike w:val="0"/>
          <w:dstrike w:val="0"/>
          <w:color w:val="auto"/>
          <w:kern w:val="0"/>
          <w:sz w:val="21"/>
          <w:szCs w:val="21"/>
          <w:highlight w:val="none"/>
          <w:lang w:eastAsia="zh-CN"/>
        </w:rPr>
        <w:t>份，</w:t>
      </w:r>
      <w:r>
        <w:rPr>
          <w:rFonts w:hint="eastAsia" w:ascii="宋体" w:hAnsi="宋体" w:cs="宋体"/>
          <w:strike w:val="0"/>
          <w:dstrike w:val="0"/>
          <w:color w:val="auto"/>
          <w:kern w:val="0"/>
          <w:sz w:val="21"/>
          <w:szCs w:val="21"/>
          <w:highlight w:val="none"/>
        </w:rPr>
        <w:t>含</w:t>
      </w:r>
      <w:r>
        <w:rPr>
          <w:rFonts w:hint="eastAsia" w:ascii="宋体" w:hAnsi="宋体"/>
          <w:strike w:val="0"/>
          <w:dstrike w:val="0"/>
          <w:color w:val="auto"/>
          <w:sz w:val="21"/>
          <w:szCs w:val="21"/>
          <w:highlight w:val="none"/>
        </w:rPr>
        <w:t>资格文件、商务和技术文件、报价文件</w:t>
      </w:r>
      <w:r>
        <w:rPr>
          <w:rFonts w:hint="eastAsia" w:ascii="宋体" w:hAnsi="宋体" w:cs="仿宋"/>
          <w:strike w:val="0"/>
          <w:color w:val="auto"/>
          <w:kern w:val="0"/>
          <w:sz w:val="21"/>
          <w:szCs w:val="21"/>
          <w:highlight w:val="none"/>
          <w:lang w:eastAsia="zh-CN"/>
        </w:rPr>
        <w:t>）</w:t>
      </w:r>
      <w:r>
        <w:rPr>
          <w:rFonts w:hint="eastAsia" w:ascii="宋体" w:hAnsi="宋体" w:cs="仿宋"/>
          <w:color w:val="auto"/>
          <w:kern w:val="0"/>
          <w:sz w:val="21"/>
          <w:szCs w:val="21"/>
          <w:highlight w:val="none"/>
        </w:rPr>
        <w:t>密封后通过</w:t>
      </w:r>
      <w:r>
        <w:rPr>
          <w:rFonts w:hint="eastAsia" w:ascii="宋体" w:hAnsi="宋体" w:cs="宋体"/>
          <w:color w:val="auto"/>
          <w:kern w:val="0"/>
          <w:sz w:val="21"/>
          <w:szCs w:val="21"/>
          <w:highlight w:val="none"/>
        </w:rPr>
        <w:t>EMS等邮寄</w:t>
      </w:r>
      <w:r>
        <w:rPr>
          <w:rFonts w:hint="eastAsia" w:ascii="宋体" w:hAnsi="宋体" w:cs="宋体"/>
          <w:color w:val="auto"/>
          <w:kern w:val="0"/>
          <w:sz w:val="21"/>
          <w:szCs w:val="21"/>
          <w:highlight w:val="none"/>
          <w:lang w:eastAsia="zh-CN"/>
        </w:rPr>
        <w:t>或现场递交方式</w:t>
      </w:r>
      <w:r>
        <w:rPr>
          <w:rFonts w:hint="eastAsia" w:ascii="宋体" w:hAnsi="宋体" w:cs="宋体"/>
          <w:color w:val="auto"/>
          <w:kern w:val="0"/>
          <w:sz w:val="21"/>
          <w:szCs w:val="21"/>
          <w:highlight w:val="none"/>
        </w:rPr>
        <w:t>送达，送达地址：宁波市国际招标有限公司（宁波市江北区环城北路西段207弄19号世茂茂悦商业中心1号楼八楼</w:t>
      </w:r>
      <w:r>
        <w:rPr>
          <w:rFonts w:hint="eastAsia" w:ascii="宋体" w:hAnsi="宋体" w:cs="宋体"/>
          <w:color w:val="auto"/>
          <w:kern w:val="0"/>
          <w:sz w:val="21"/>
          <w:szCs w:val="21"/>
          <w:highlight w:val="none"/>
          <w:lang w:val="en-US" w:eastAsia="zh-CN"/>
        </w:rPr>
        <w:t>012</w:t>
      </w:r>
      <w:r>
        <w:rPr>
          <w:rFonts w:hint="eastAsia" w:ascii="宋体" w:hAnsi="宋体" w:cs="宋体"/>
          <w:color w:val="auto"/>
          <w:kern w:val="0"/>
          <w:sz w:val="21"/>
          <w:szCs w:val="21"/>
          <w:highlight w:val="none"/>
        </w:rPr>
        <w:t>室），联系方式：</w:t>
      </w:r>
      <w:r>
        <w:rPr>
          <w:rFonts w:hint="eastAsia" w:ascii="宋体" w:hAnsi="宋体" w:cs="宋体"/>
          <w:color w:val="auto"/>
          <w:kern w:val="0"/>
          <w:sz w:val="21"/>
          <w:szCs w:val="21"/>
          <w:highlight w:val="none"/>
          <w:lang w:val="en-US" w:eastAsia="zh-CN"/>
        </w:rPr>
        <w:t>姚露泽</w:t>
      </w:r>
      <w:r>
        <w:rPr>
          <w:rFonts w:hint="eastAsia" w:ascii="宋体" w:hAnsi="宋体" w:cs="宋体"/>
          <w:color w:val="auto"/>
          <w:kern w:val="0"/>
          <w:sz w:val="21"/>
          <w:szCs w:val="21"/>
          <w:highlight w:val="none"/>
        </w:rPr>
        <w:t>，0574</w:t>
      </w:r>
      <w:r>
        <w:rPr>
          <w:rFonts w:hint="eastAsia" w:ascii="宋体" w:hAnsi="宋体" w:cs="宋体"/>
          <w:color w:val="auto"/>
          <w:kern w:val="0"/>
          <w:sz w:val="21"/>
          <w:szCs w:val="21"/>
          <w:highlight w:val="none"/>
          <w:lang w:val="en-US" w:eastAsia="zh-CN"/>
        </w:rPr>
        <w:t>-87357607</w:t>
      </w:r>
      <w:r>
        <w:rPr>
          <w:rFonts w:hint="eastAsia" w:ascii="宋体" w:hAnsi="宋体" w:cs="宋体"/>
          <w:color w:val="auto"/>
          <w:kern w:val="0"/>
          <w:sz w:val="21"/>
          <w:szCs w:val="21"/>
          <w:highlight w:val="none"/>
        </w:rPr>
        <w:t>。供应商邮寄后须将邮件单号、联系电话发送至代理机构电子邮箱（电子邮箱：</w:t>
      </w:r>
      <w:r>
        <w:rPr>
          <w:rFonts w:hint="eastAsia" w:ascii="宋体" w:hAnsi="宋体" w:cs="宋体"/>
          <w:color w:val="auto"/>
          <w:kern w:val="0"/>
          <w:sz w:val="21"/>
          <w:szCs w:val="21"/>
          <w:highlight w:val="none"/>
          <w:u w:val="none"/>
          <w:lang w:val="en-US" w:eastAsia="zh-CN"/>
        </w:rPr>
        <w:t>NBITC</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126.</w:t>
      </w:r>
      <w:r>
        <w:rPr>
          <w:rFonts w:hint="eastAsia" w:ascii="宋体" w:hAnsi="宋体" w:cs="宋体"/>
          <w:color w:val="auto"/>
          <w:kern w:val="0"/>
          <w:sz w:val="21"/>
          <w:szCs w:val="21"/>
          <w:highlight w:val="none"/>
          <w:u w:val="none"/>
        </w:rPr>
        <w:t>com），并致电采购代理机构，以便采购代理机构查询物流记录。各供应商应当确保电子备份投标文件的密封包装在邮寄过程保持完好，并在邮寄包裹上注明项目名称、项目编号</w:t>
      </w:r>
      <w:r>
        <w:rPr>
          <w:rFonts w:hint="eastAsia" w:ascii="宋体" w:hAnsi="宋体" w:cs="宋体"/>
          <w:color w:val="auto"/>
          <w:kern w:val="0"/>
          <w:sz w:val="21"/>
          <w:szCs w:val="21"/>
          <w:highlight w:val="none"/>
          <w:u w:val="none"/>
          <w:lang w:eastAsia="zh-CN"/>
        </w:rPr>
        <w:t>。</w:t>
      </w:r>
    </w:p>
    <w:p>
      <w:pPr>
        <w:numPr>
          <w:ilvl w:val="0"/>
          <w:numId w:val="0"/>
        </w:numPr>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电子备份投标文件密封破损而不符合招标文件对</w:t>
      </w:r>
      <w:r>
        <w:rPr>
          <w:rFonts w:hint="eastAsia" w:ascii="宋体" w:hAnsi="宋体" w:cs="宋体"/>
          <w:color w:val="auto"/>
          <w:kern w:val="0"/>
          <w:sz w:val="21"/>
          <w:szCs w:val="21"/>
          <w:highlight w:val="none"/>
          <w:lang w:eastAsia="zh-CN"/>
        </w:rPr>
        <w:t>电子备份</w:t>
      </w:r>
      <w:r>
        <w:rPr>
          <w:rFonts w:hint="eastAsia" w:ascii="宋体" w:hAnsi="宋体" w:cs="宋体"/>
          <w:color w:val="auto"/>
          <w:kern w:val="0"/>
          <w:sz w:val="21"/>
          <w:szCs w:val="21"/>
          <w:highlight w:val="none"/>
        </w:rPr>
        <w:t>投标文件的密封要求</w:t>
      </w:r>
      <w:r>
        <w:rPr>
          <w:rFonts w:hint="eastAsia" w:ascii="宋体" w:hAnsi="宋体" w:cs="宋体"/>
          <w:color w:val="auto"/>
          <w:kern w:val="0"/>
          <w:sz w:val="21"/>
          <w:szCs w:val="21"/>
          <w:highlight w:val="none"/>
          <w:lang w:eastAsia="zh-CN"/>
        </w:rPr>
        <w:t>的</w:t>
      </w:r>
      <w:r>
        <w:rPr>
          <w:rFonts w:hint="eastAsia" w:ascii="宋体" w:hAnsi="宋体" w:cs="宋体"/>
          <w:color w:val="auto"/>
          <w:kern w:val="0"/>
          <w:sz w:val="21"/>
          <w:szCs w:val="21"/>
          <w:highlight w:val="none"/>
        </w:rPr>
        <w:t>、或电子备份投标文件未能在投标截止时间前送达的，代理机构将拒绝其</w:t>
      </w:r>
      <w:r>
        <w:rPr>
          <w:rFonts w:hint="eastAsia" w:ascii="宋体" w:hAnsi="宋体" w:cs="宋体"/>
          <w:color w:val="auto"/>
          <w:kern w:val="0"/>
          <w:sz w:val="21"/>
          <w:szCs w:val="21"/>
          <w:highlight w:val="none"/>
          <w:lang w:eastAsia="zh-CN"/>
        </w:rPr>
        <w:t>电子备份</w:t>
      </w:r>
      <w:r>
        <w:rPr>
          <w:rFonts w:hint="eastAsia" w:ascii="宋体" w:hAnsi="宋体" w:cs="宋体"/>
          <w:color w:val="auto"/>
          <w:kern w:val="0"/>
          <w:sz w:val="21"/>
          <w:szCs w:val="21"/>
          <w:highlight w:val="none"/>
        </w:rPr>
        <w:t>投标文件。供应商自行考虑邮寄在途时间，</w:t>
      </w:r>
      <w:r>
        <w:rPr>
          <w:rFonts w:hint="eastAsia" w:ascii="宋体" w:hAnsi="宋体" w:cs="宋体"/>
          <w:color w:val="auto"/>
          <w:kern w:val="0"/>
          <w:sz w:val="21"/>
          <w:szCs w:val="21"/>
          <w:highlight w:val="none"/>
          <w:lang w:eastAsia="zh-CN"/>
        </w:rPr>
        <w:t>电子备份</w:t>
      </w:r>
      <w:r>
        <w:rPr>
          <w:rFonts w:hint="eastAsia" w:ascii="宋体" w:hAnsi="宋体" w:cs="宋体"/>
          <w:color w:val="auto"/>
          <w:kern w:val="0"/>
          <w:sz w:val="21"/>
          <w:szCs w:val="21"/>
          <w:highlight w:val="none"/>
        </w:rPr>
        <w:t>投标文件送达时间以代理机构工作人员实际签收时间为准。</w:t>
      </w:r>
    </w:p>
    <w:p>
      <w:pPr>
        <w:spacing w:line="360" w:lineRule="auto"/>
        <w:ind w:firstLine="422" w:firstLineChars="200"/>
        <w:jc w:val="left"/>
        <w:rPr>
          <w:rFonts w:hint="eastAsia" w:ascii="宋体" w:hAnsi="宋体"/>
          <w:color w:val="auto"/>
          <w:sz w:val="21"/>
          <w:szCs w:val="21"/>
          <w:highlight w:val="none"/>
        </w:rPr>
      </w:pPr>
      <w:r>
        <w:rPr>
          <w:rFonts w:hint="eastAsia" w:ascii="宋体" w:hAnsi="宋体"/>
          <w:b/>
          <w:bCs/>
          <w:color w:val="auto"/>
          <w:sz w:val="21"/>
          <w:szCs w:val="21"/>
          <w:highlight w:val="none"/>
        </w:rPr>
        <w:t>电子备份投标文件不强制要求提交，但因电子投标文件未能按时解密或解密失败，投标人又未提交电</w:t>
      </w:r>
      <w:r>
        <w:rPr>
          <w:rFonts w:hint="eastAsia" w:ascii="宋体" w:hAnsi="宋体"/>
          <w:b/>
          <w:bCs/>
          <w:color w:val="auto"/>
          <w:sz w:val="21"/>
          <w:szCs w:val="21"/>
          <w:highlight w:val="none"/>
          <w:lang w:eastAsia="zh-CN"/>
        </w:rPr>
        <w:t>子</w:t>
      </w:r>
      <w:r>
        <w:rPr>
          <w:rFonts w:hint="eastAsia" w:ascii="宋体" w:hAnsi="宋体"/>
          <w:b/>
          <w:bCs/>
          <w:color w:val="auto"/>
          <w:sz w:val="21"/>
          <w:szCs w:val="21"/>
          <w:highlight w:val="none"/>
        </w:rPr>
        <w:t>备份投标文件的，将被视为投标文件撤回，投标无效</w:t>
      </w:r>
      <w:r>
        <w:rPr>
          <w:rFonts w:hint="eastAsia" w:ascii="宋体" w:hAnsi="宋体"/>
          <w:color w:val="auto"/>
          <w:sz w:val="21"/>
          <w:szCs w:val="21"/>
          <w:highlight w:val="none"/>
        </w:rPr>
        <w:t>。</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逾期送达的或者未送达指定地点的</w:t>
      </w:r>
      <w:r>
        <w:rPr>
          <w:rFonts w:hint="eastAsia" w:ascii="宋体" w:hAnsi="宋体" w:cs="宋体"/>
          <w:b/>
          <w:bCs/>
          <w:color w:val="auto"/>
          <w:kern w:val="0"/>
          <w:sz w:val="21"/>
          <w:szCs w:val="21"/>
          <w:highlight w:val="none"/>
          <w:lang w:eastAsia="zh-CN"/>
        </w:rPr>
        <w:t>电子备份</w:t>
      </w:r>
      <w:r>
        <w:rPr>
          <w:rFonts w:hint="eastAsia" w:ascii="宋体" w:hAnsi="宋体" w:cs="宋体"/>
          <w:b/>
          <w:bCs/>
          <w:color w:val="auto"/>
          <w:kern w:val="0"/>
          <w:sz w:val="21"/>
          <w:szCs w:val="21"/>
          <w:highlight w:val="none"/>
        </w:rPr>
        <w:t>投标文件</w:t>
      </w:r>
      <w:r>
        <w:rPr>
          <w:rFonts w:ascii="宋体" w:hAnsi="宋体"/>
          <w:color w:val="auto"/>
          <w:sz w:val="21"/>
          <w:szCs w:val="21"/>
          <w:highlight w:val="none"/>
        </w:rPr>
        <w:t>，</w:t>
      </w:r>
      <w:r>
        <w:rPr>
          <w:rFonts w:hint="eastAsia" w:ascii="宋体" w:hAnsi="宋体"/>
          <w:color w:val="auto"/>
          <w:sz w:val="21"/>
          <w:szCs w:val="21"/>
          <w:highlight w:val="none"/>
        </w:rPr>
        <w:t>代理机构</w:t>
      </w:r>
      <w:r>
        <w:rPr>
          <w:rFonts w:ascii="宋体" w:hAnsi="宋体"/>
          <w:color w:val="auto"/>
          <w:sz w:val="21"/>
          <w:szCs w:val="21"/>
          <w:highlight w:val="none"/>
        </w:rPr>
        <w:t>不予</w:t>
      </w:r>
      <w:r>
        <w:rPr>
          <w:rFonts w:hint="eastAsia" w:ascii="宋体" w:hAnsi="宋体"/>
          <w:color w:val="auto"/>
          <w:sz w:val="21"/>
          <w:szCs w:val="21"/>
          <w:highlight w:val="none"/>
          <w:lang w:val="en-US" w:eastAsia="zh-CN"/>
        </w:rPr>
        <w:t>接收</w:t>
      </w:r>
      <w:r>
        <w:rPr>
          <w:rFonts w:ascii="宋体" w:hAnsi="宋体"/>
          <w:color w:val="auto"/>
          <w:sz w:val="21"/>
          <w:szCs w:val="21"/>
          <w:highlight w:val="none"/>
        </w:rPr>
        <w:t>。</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4、投标文件的补充、修改</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olor w:val="auto"/>
          <w:sz w:val="21"/>
          <w:szCs w:val="21"/>
          <w:highlight w:val="none"/>
        </w:rPr>
        <w:t>投标截止时间前，供应商可以对递交的投标文件进行补充、修改，</w:t>
      </w:r>
      <w:r>
        <w:rPr>
          <w:rFonts w:hint="eastAsia" w:ascii="宋体" w:hAnsi="宋体"/>
          <w:color w:val="auto"/>
          <w:sz w:val="21"/>
          <w:szCs w:val="21"/>
          <w:highlight w:val="none"/>
          <w:lang w:val="en"/>
        </w:rPr>
        <w:t>补充、修改</w:t>
      </w:r>
      <w:r>
        <w:rPr>
          <w:rFonts w:hint="eastAsia" w:ascii="宋体" w:hAnsi="宋体"/>
          <w:color w:val="auto"/>
          <w:sz w:val="21"/>
          <w:szCs w:val="21"/>
          <w:highlight w:val="none"/>
        </w:rPr>
        <w:t>电子投标文件</w:t>
      </w:r>
      <w:r>
        <w:rPr>
          <w:rFonts w:hint="eastAsia" w:ascii="宋体" w:hAnsi="宋体"/>
          <w:color w:val="auto"/>
          <w:sz w:val="21"/>
          <w:szCs w:val="21"/>
          <w:highlight w:val="none"/>
          <w:lang w:val="en"/>
        </w:rPr>
        <w:t>的，应当先行撤回原文件，补充、修改后重新上传，电子备份投标文件也应重新制作。</w:t>
      </w:r>
      <w:r>
        <w:rPr>
          <w:rFonts w:hint="eastAsia" w:ascii="宋体" w:hAnsi="宋体"/>
          <w:color w:val="auto"/>
          <w:sz w:val="21"/>
          <w:szCs w:val="21"/>
          <w:highlight w:val="none"/>
        </w:rPr>
        <w:t>在投标截止时间之后，供应商不得对其投标文件进行补充、修改。投标截止时间之后供应商要求撤销投标文件的，应向采购人提交正式文件</w:t>
      </w:r>
      <w:r>
        <w:rPr>
          <w:rFonts w:hint="eastAsia" w:ascii="宋体" w:hAnsi="宋体" w:cs="宋体"/>
          <w:color w:val="auto"/>
          <w:sz w:val="21"/>
          <w:szCs w:val="21"/>
          <w:highlight w:val="none"/>
        </w:rPr>
        <w:t>。</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十二、开标</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1、代理机构在采购文件规定的时间和地点公开开标，并邀请所有供应商的法定代表人（或授权代表）准时</w:t>
      </w:r>
      <w:r>
        <w:rPr>
          <w:rFonts w:hint="eastAsia" w:ascii="宋体" w:hAnsi="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参加。供应商的法定代表人（或授权代表）不参加开标的或迟到参加开标的，视同该供应商默认开标记录，不得事后对开标过程提出任何异议。</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2、电子投标开标及评审程序：一阶段开标，同时开启“资格文件”、“商务和技术文件”和“报价文件”。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（2）投标截止时间后，供应商登录</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，用“项目采购-开标评标”功能对电子投标文件进行在线解密，在线解密电子投标文件时间为开标时间后半小时内。</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（3）介绍开标现场的人员情况；</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（4）宣读递交投标文件的供应商名单、开标纪律、应当回避的情形等注意事项；</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（5）供应商签署不存在影响公平竞争的《政府采购活动现场确认声明书》；</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确认无误后按照供应商提交投标文件的先后顺序，同时开启“资格文件”、“商务和技术文件”和“报价文件”；宣读供应商名称、供应商投标文件、投标文件中“开标一览表”内容，以及采购人认为必要的其他内容与记录，并做开标记录；</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（7）开标记录签字确认；</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（8）开标结束。</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公布中标候选人名单及采购人最终确定中标供应商名单的时间和公告方式等；</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3、特别说明：</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如对电子化开标及评审程序有调整的，按调整后的程序操作。</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本项目原则上采用政采云电子投标开标及评审程序，但有下情形之一的，按以下情况处理：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（1）若供应商在规定时间内无法解密或解密失败，代理机构将开启上述供应商递交的</w:t>
      </w:r>
      <w:r>
        <w:rPr>
          <w:rFonts w:hint="eastAsia" w:ascii="宋体" w:hAnsi="宋体" w:eastAsia="宋体" w:cs="宋体"/>
          <w:color w:val="auto"/>
          <w:kern w:val="0"/>
          <w:sz w:val="21"/>
          <w:szCs w:val="21"/>
          <w:highlight w:val="none"/>
        </w:rPr>
        <w:t>以U盘或光盘存储的电子备份投标文件</w:t>
      </w:r>
      <w:r>
        <w:rPr>
          <w:rFonts w:hint="eastAsia" w:ascii="宋体" w:hAnsi="宋体" w:eastAsia="宋体" w:cs="宋体"/>
          <w:color w:val="auto"/>
          <w:sz w:val="21"/>
          <w:szCs w:val="21"/>
          <w:highlight w:val="none"/>
        </w:rPr>
        <w:t>，上传至政采云平台项目采购模块，以完成开标，电子投标文件自动失效。</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）采购过程中出现以下情形，导致电子交易平台无法正常运行，或者无法保证电子交易的公平、公正和安全时，采购人（或代理机构）可中止电子交易活动：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.1电子交易平台发生故障而无法登录访问的；</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.2电子交易平台应用或数据库出现错误，不能进行正常操作的；</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.3电子交易平台发现严重安全漏洞，有潜在泄密危险的；</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.4病毒发作导致不能进行正常操作的； </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.5其他无法保证电子交易的公平、公正和安全的情况。</w:t>
      </w:r>
    </w:p>
    <w:p>
      <w:pPr>
        <w:wordWrap w:val="0"/>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出现前款规定情形，不影响采购公平、公正性的，采购人（或代理机构）可以待上述情形消除后继续组织电子交易活动</w:t>
      </w:r>
      <w:r>
        <w:rPr>
          <w:rFonts w:hint="eastAsia" w:ascii="宋体" w:hAnsi="宋体" w:cs="宋体"/>
          <w:color w:val="auto"/>
          <w:sz w:val="21"/>
          <w:szCs w:val="21"/>
          <w:highlight w:val="none"/>
        </w:rPr>
        <w:t>。</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十三、评标</w:t>
      </w:r>
    </w:p>
    <w:p>
      <w:pPr>
        <w:wordWrap w:val="0"/>
        <w:spacing w:line="360" w:lineRule="auto"/>
        <w:ind w:firstLine="422" w:firstLineChars="200"/>
        <w:rPr>
          <w:rFonts w:ascii="宋体" w:hAnsi="宋体" w:cs="宋体"/>
          <w:b/>
          <w:color w:val="auto"/>
          <w:sz w:val="21"/>
          <w:szCs w:val="21"/>
          <w:highlight w:val="none"/>
        </w:rPr>
      </w:pPr>
      <w:bookmarkStart w:id="49" w:name="_Toc460857925"/>
      <w:bookmarkStart w:id="50" w:name="_Toc17884841"/>
      <w:r>
        <w:rPr>
          <w:rFonts w:hint="eastAsia" w:ascii="宋体" w:hAnsi="宋体" w:cs="宋体"/>
          <w:b/>
          <w:color w:val="auto"/>
          <w:sz w:val="21"/>
          <w:szCs w:val="21"/>
          <w:highlight w:val="none"/>
        </w:rPr>
        <w:t>（一）组建评标委员会</w:t>
      </w:r>
      <w:bookmarkEnd w:id="49"/>
      <w:bookmarkEnd w:id="50"/>
    </w:p>
    <w:p>
      <w:pPr>
        <w:pStyle w:val="23"/>
        <w:snapToGrid w:val="0"/>
        <w:spacing w:line="360" w:lineRule="auto"/>
        <w:ind w:firstLine="420" w:firstLineChars="200"/>
        <w:rPr>
          <w:rFonts w:hAnsi="宋体" w:cs="宋体"/>
          <w:color w:val="auto"/>
          <w:highlight w:val="none"/>
        </w:rPr>
      </w:pPr>
      <w:r>
        <w:rPr>
          <w:rFonts w:hint="eastAsia" w:hAnsi="宋体" w:cs="宋体"/>
          <w:color w:val="auto"/>
          <w:highlight w:val="none"/>
        </w:rPr>
        <w:t>本项目评标委员会依法组建。</w:t>
      </w:r>
    </w:p>
    <w:p>
      <w:pPr>
        <w:wordWrap w:val="0"/>
        <w:spacing w:line="360" w:lineRule="auto"/>
        <w:ind w:firstLine="422" w:firstLineChars="200"/>
        <w:rPr>
          <w:rFonts w:ascii="宋体" w:hAnsi="宋体" w:cs="宋体"/>
          <w:b/>
          <w:color w:val="auto"/>
          <w:sz w:val="21"/>
          <w:szCs w:val="21"/>
          <w:highlight w:val="none"/>
        </w:rPr>
      </w:pPr>
      <w:bookmarkStart w:id="51" w:name="_Toc460857926"/>
      <w:bookmarkStart w:id="52" w:name="_Toc17884842"/>
      <w:r>
        <w:rPr>
          <w:rFonts w:hint="eastAsia" w:ascii="宋体" w:hAnsi="宋体" w:cs="宋体"/>
          <w:b/>
          <w:color w:val="auto"/>
          <w:sz w:val="21"/>
          <w:szCs w:val="21"/>
          <w:highlight w:val="none"/>
        </w:rPr>
        <w:t>（二）评标的方式</w:t>
      </w:r>
      <w:bookmarkEnd w:id="51"/>
      <w:bookmarkEnd w:id="52"/>
    </w:p>
    <w:p>
      <w:pPr>
        <w:pStyle w:val="23"/>
        <w:snapToGrid w:val="0"/>
        <w:spacing w:line="360" w:lineRule="auto"/>
        <w:ind w:left="757" w:leftChars="228" w:hanging="210" w:hangingChars="100"/>
        <w:rPr>
          <w:rFonts w:hAnsi="宋体" w:cs="宋体"/>
          <w:color w:val="auto"/>
          <w:highlight w:val="none"/>
        </w:rPr>
      </w:pPr>
      <w:r>
        <w:rPr>
          <w:rFonts w:hint="eastAsia" w:hAnsi="宋体" w:cs="宋体"/>
          <w:color w:val="auto"/>
          <w:highlight w:val="none"/>
        </w:rPr>
        <w:t>本项目采用不公开方式评标，评标的依据为采购文件和投标文件。</w:t>
      </w:r>
    </w:p>
    <w:p>
      <w:pPr>
        <w:wordWrap w:val="0"/>
        <w:spacing w:line="360" w:lineRule="auto"/>
        <w:ind w:firstLine="422" w:firstLineChars="200"/>
        <w:rPr>
          <w:rFonts w:ascii="宋体" w:hAnsi="宋体" w:cs="宋体"/>
          <w:b/>
          <w:color w:val="auto"/>
          <w:sz w:val="21"/>
          <w:szCs w:val="21"/>
          <w:highlight w:val="none"/>
        </w:rPr>
      </w:pPr>
      <w:bookmarkStart w:id="53" w:name="_Toc460857927"/>
      <w:bookmarkStart w:id="54" w:name="_Toc17884843"/>
      <w:r>
        <w:rPr>
          <w:rFonts w:hint="eastAsia" w:ascii="宋体" w:hAnsi="宋体" w:cs="宋体"/>
          <w:b/>
          <w:color w:val="auto"/>
          <w:sz w:val="21"/>
          <w:szCs w:val="21"/>
          <w:highlight w:val="none"/>
        </w:rPr>
        <w:t>（三）评标程序</w:t>
      </w:r>
      <w:bookmarkEnd w:id="53"/>
      <w:bookmarkEnd w:id="54"/>
    </w:p>
    <w:p>
      <w:pPr>
        <w:snapToGrid w:val="0"/>
        <w:spacing w:line="360" w:lineRule="auto"/>
        <w:ind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1、资格审查</w:t>
      </w:r>
    </w:p>
    <w:p>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招标代理机构工作人员对投标人的资格进行审查。</w:t>
      </w:r>
    </w:p>
    <w:p>
      <w:pPr>
        <w:snapToGrid w:val="0"/>
        <w:spacing w:line="360" w:lineRule="auto"/>
        <w:ind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2、符合性审查与比较</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（1）评标委员会审查投标文件的实质性内容是否符合采购文件的实质性要求。</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（3）各投标人的技术商务报价得分为所有评委的有效评分的算术平均数，由指定专人进行计算复核。</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（4）采购代理机构工作人员协助评标委员会根据本项目的评分标准计算各投标人的报价得分。</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（5）评标委员会完成评标后,评委对各部分得分汇总,计算出本项目最终得分。评标委员会按评标原则推荐中标候选人同时起草评标报告。</w:t>
      </w:r>
    </w:p>
    <w:p>
      <w:pPr>
        <w:wordWrap w:val="0"/>
        <w:spacing w:line="360" w:lineRule="auto"/>
        <w:ind w:firstLine="422" w:firstLineChars="200"/>
        <w:rPr>
          <w:rFonts w:ascii="宋体" w:hAnsi="宋体" w:cs="宋体"/>
          <w:b/>
          <w:color w:val="auto"/>
          <w:sz w:val="21"/>
          <w:szCs w:val="21"/>
          <w:highlight w:val="none"/>
        </w:rPr>
      </w:pPr>
      <w:bookmarkStart w:id="55" w:name="_Toc460857928"/>
      <w:bookmarkStart w:id="56" w:name="_Toc17884844"/>
      <w:r>
        <w:rPr>
          <w:rFonts w:hint="eastAsia" w:ascii="宋体" w:hAnsi="宋体" w:cs="宋体"/>
          <w:b/>
          <w:color w:val="auto"/>
          <w:sz w:val="21"/>
          <w:szCs w:val="21"/>
          <w:highlight w:val="none"/>
        </w:rPr>
        <w:t>（四）澄清问题的形式</w:t>
      </w:r>
      <w:bookmarkEnd w:id="55"/>
      <w:bookmarkEnd w:id="56"/>
    </w:p>
    <w:p>
      <w:pPr>
        <w:widowControl/>
        <w:spacing w:line="360" w:lineRule="auto"/>
        <w:ind w:firstLine="420" w:firstLineChars="200"/>
        <w:outlineLvl w:val="1"/>
        <w:rPr>
          <w:rFonts w:ascii="宋体" w:hAnsi="宋体" w:cs="宋体"/>
          <w:color w:val="auto"/>
          <w:sz w:val="21"/>
          <w:szCs w:val="21"/>
          <w:highlight w:val="none"/>
        </w:rPr>
      </w:pPr>
      <w:bookmarkStart w:id="57" w:name="_Toc497898868"/>
      <w:bookmarkStart w:id="58" w:name="_Toc17884845"/>
      <w:bookmarkStart w:id="59" w:name="_Toc460857930"/>
      <w:r>
        <w:rPr>
          <w:rFonts w:hint="eastAsia" w:ascii="宋体" w:hAnsi="宋体" w:cs="宋体"/>
          <w:color w:val="auto"/>
          <w:sz w:val="21"/>
          <w:szCs w:val="21"/>
          <w:highlight w:val="none"/>
        </w:rPr>
        <w:t>对于投标文件中含义不明确、同类问题表述不一致或者有明显文字和计算错误的内容，评标委员会可要求投标人以书面形式作出必要的澄清、说明或者补正。</w:t>
      </w:r>
      <w:bookmarkEnd w:id="57"/>
    </w:p>
    <w:p>
      <w:pPr>
        <w:widowControl/>
        <w:spacing w:line="360" w:lineRule="auto"/>
        <w:ind w:firstLine="420" w:firstLineChars="200"/>
        <w:outlineLvl w:val="1"/>
        <w:rPr>
          <w:rFonts w:ascii="宋体" w:hAnsi="宋体" w:cs="宋体"/>
          <w:color w:val="auto"/>
          <w:sz w:val="21"/>
          <w:szCs w:val="21"/>
          <w:highlight w:val="none"/>
        </w:rPr>
      </w:pPr>
      <w:bookmarkStart w:id="60" w:name="_Toc497898869"/>
      <w:r>
        <w:rPr>
          <w:rFonts w:hint="eastAsia" w:ascii="宋体" w:hAnsi="宋体" w:cs="宋体"/>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60"/>
    </w:p>
    <w:p>
      <w:pPr>
        <w:wordWrap w:val="0"/>
        <w:spacing w:line="360" w:lineRule="auto"/>
        <w:ind w:firstLine="422" w:firstLineChars="200"/>
        <w:rPr>
          <w:rFonts w:ascii="宋体" w:hAnsi="宋体" w:cs="宋体"/>
          <w:b/>
          <w:color w:val="auto"/>
          <w:sz w:val="21"/>
          <w:szCs w:val="21"/>
          <w:highlight w:val="none"/>
        </w:rPr>
      </w:pPr>
      <w:bookmarkStart w:id="61" w:name="_Toc497898870"/>
      <w:r>
        <w:rPr>
          <w:rFonts w:hint="eastAsia" w:ascii="宋体" w:hAnsi="宋体" w:cs="宋体"/>
          <w:b/>
          <w:color w:val="auto"/>
          <w:sz w:val="21"/>
          <w:szCs w:val="21"/>
          <w:highlight w:val="none"/>
        </w:rPr>
        <w:t>（五）错误修正</w:t>
      </w:r>
      <w:bookmarkEnd w:id="61"/>
    </w:p>
    <w:p>
      <w:pPr>
        <w:pStyle w:val="172"/>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投标文件报价出现前后不一致的，除采购文件另有规定外，按照下列规定修正：</w:t>
      </w:r>
    </w:p>
    <w:p>
      <w:pPr>
        <w:pStyle w:val="172"/>
        <w:widowControl/>
        <w:spacing w:line="360" w:lineRule="auto"/>
        <w:ind w:left="17" w:leftChars="7" w:firstLine="529" w:firstLineChars="25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（1）投标文件中开标一览表内容与投标文件中分项报价表内容不一致的，以开标一览表为准；</w:t>
      </w:r>
    </w:p>
    <w:p>
      <w:pPr>
        <w:pStyle w:val="172"/>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pStyle w:val="172"/>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pStyle w:val="172"/>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eastAsia="宋体" w:cs="宋体"/>
          <w:b/>
          <w:bCs/>
          <w:color w:val="auto"/>
          <w:sz w:val="21"/>
          <w:szCs w:val="21"/>
          <w:highlight w:val="none"/>
        </w:rPr>
        <w:t>同时出现两种以上不一致的，按照前款规定的顺序修正。修正后的报价经投标人确认后具有约束</w:t>
      </w:r>
      <w:r>
        <w:rPr>
          <w:rFonts w:hint="eastAsia" w:ascii="宋体" w:hAnsi="宋体" w:eastAsia="宋体" w:cs="宋体"/>
          <w:b/>
          <w:color w:val="auto"/>
          <w:sz w:val="21"/>
          <w:szCs w:val="21"/>
          <w:highlight w:val="none"/>
        </w:rPr>
        <w:t>力，若投标人不确认的，则其投标无效</w:t>
      </w:r>
      <w:r>
        <w:rPr>
          <w:rFonts w:hint="eastAsia" w:ascii="宋体" w:hAnsi="宋体" w:cs="宋体"/>
          <w:b/>
          <w:color w:val="auto"/>
          <w:sz w:val="21"/>
          <w:szCs w:val="21"/>
          <w:highlight w:val="none"/>
        </w:rPr>
        <w:t>。</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（六）评标原则和评标办法</w:t>
      </w:r>
      <w:bookmarkEnd w:id="58"/>
      <w:bookmarkEnd w:id="59"/>
    </w:p>
    <w:p>
      <w:pPr>
        <w:pStyle w:val="23"/>
        <w:snapToGrid w:val="0"/>
        <w:spacing w:line="360" w:lineRule="auto"/>
        <w:ind w:firstLine="420" w:firstLineChars="200"/>
        <w:rPr>
          <w:rFonts w:hAnsi="宋体" w:cs="宋体"/>
          <w:color w:val="auto"/>
          <w:highlight w:val="none"/>
        </w:rPr>
      </w:pPr>
      <w:r>
        <w:rPr>
          <w:rFonts w:hint="eastAsia"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snapToGrid w:val="0"/>
        <w:spacing w:line="360" w:lineRule="auto"/>
        <w:ind w:firstLine="422" w:firstLineChars="200"/>
        <w:rPr>
          <w:rFonts w:hAnsi="宋体" w:cs="宋体"/>
          <w:b/>
          <w:color w:val="auto"/>
          <w:highlight w:val="none"/>
        </w:rPr>
      </w:pPr>
      <w:r>
        <w:rPr>
          <w:rFonts w:hint="eastAsia" w:hAnsi="宋体" w:cs="宋体"/>
          <w:b/>
          <w:color w:val="auto"/>
          <w:highlight w:val="none"/>
        </w:rPr>
        <w:t>2、评标办法。本项目评标办法是</w:t>
      </w:r>
      <w:r>
        <w:rPr>
          <w:rFonts w:hint="eastAsia" w:hAnsi="宋体" w:cs="宋体"/>
          <w:b/>
          <w:color w:val="auto"/>
          <w:highlight w:val="none"/>
          <w:u w:val="single"/>
        </w:rPr>
        <w:t xml:space="preserve"> 综合评分法 </w:t>
      </w:r>
      <w:r>
        <w:rPr>
          <w:rFonts w:hint="eastAsia" w:hAnsi="宋体" w:cs="宋体"/>
          <w:b/>
          <w:color w:val="auto"/>
          <w:highlight w:val="none"/>
        </w:rPr>
        <w:t>，具体评标内容及评分标准等详见评分标准。</w:t>
      </w:r>
    </w:p>
    <w:p>
      <w:pPr>
        <w:spacing w:line="360" w:lineRule="auto"/>
        <w:ind w:firstLine="422" w:firstLineChars="200"/>
        <w:rPr>
          <w:rFonts w:ascii="宋体" w:hAnsi="宋体" w:cs="宋体"/>
          <w:b/>
          <w:color w:val="auto"/>
          <w:sz w:val="21"/>
          <w:szCs w:val="21"/>
          <w:highlight w:val="none"/>
        </w:rPr>
      </w:pPr>
      <w:bookmarkStart w:id="62" w:name="_Toc17884846"/>
      <w:bookmarkStart w:id="63" w:name="_Toc460857931"/>
      <w:r>
        <w:rPr>
          <w:rFonts w:hint="eastAsia" w:ascii="宋体" w:hAnsi="宋体" w:cs="宋体"/>
          <w:b/>
          <w:color w:val="auto"/>
          <w:sz w:val="21"/>
          <w:szCs w:val="21"/>
          <w:highlight w:val="none"/>
        </w:rPr>
        <w:t>十四、</w:t>
      </w:r>
      <w:bookmarkEnd w:id="62"/>
      <w:bookmarkEnd w:id="63"/>
      <w:r>
        <w:rPr>
          <w:rFonts w:hint="eastAsia" w:ascii="宋体" w:hAnsi="宋体" w:cs="宋体"/>
          <w:b/>
          <w:color w:val="auto"/>
          <w:sz w:val="21"/>
          <w:szCs w:val="21"/>
          <w:highlight w:val="none"/>
        </w:rPr>
        <w:t>项目终止</w:t>
      </w:r>
    </w:p>
    <w:p>
      <w:pPr>
        <w:snapToGrid w:val="0"/>
        <w:spacing w:line="360" w:lineRule="auto"/>
        <w:ind w:firstLine="420" w:firstLineChars="200"/>
        <w:rPr>
          <w:rFonts w:ascii="宋体" w:hAnsi="宋体" w:cs="宋体"/>
          <w:color w:val="auto"/>
          <w:sz w:val="21"/>
          <w:szCs w:val="21"/>
          <w:highlight w:val="none"/>
        </w:rPr>
      </w:pPr>
      <w:bookmarkStart w:id="64" w:name="_Toc460857932"/>
      <w:r>
        <w:rPr>
          <w:rFonts w:hint="eastAsia" w:ascii="宋体" w:hAnsi="宋体" w:cs="宋体"/>
          <w:color w:val="auto"/>
          <w:sz w:val="21"/>
          <w:szCs w:val="21"/>
          <w:highlight w:val="none"/>
        </w:rPr>
        <w:t>政府采购的国内公开招标，采购响应截止时间或评审期间，出现参与采购响应或者对采购文件作出实质性响应的供应商不足</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家的情况，本项目终止招标。</w:t>
      </w:r>
    </w:p>
    <w:p>
      <w:pPr>
        <w:spacing w:line="360" w:lineRule="auto"/>
        <w:ind w:firstLine="422" w:firstLineChars="200"/>
        <w:rPr>
          <w:rFonts w:ascii="宋体" w:hAnsi="宋体" w:cs="宋体"/>
          <w:b/>
          <w:color w:val="auto"/>
          <w:sz w:val="21"/>
          <w:szCs w:val="21"/>
          <w:highlight w:val="none"/>
        </w:rPr>
      </w:pPr>
      <w:bookmarkStart w:id="65" w:name="_Toc17884847"/>
      <w:r>
        <w:rPr>
          <w:rFonts w:hint="eastAsia" w:ascii="宋体" w:hAnsi="宋体" w:cs="宋体"/>
          <w:b/>
          <w:color w:val="auto"/>
          <w:sz w:val="21"/>
          <w:szCs w:val="21"/>
          <w:highlight w:val="none"/>
        </w:rPr>
        <w:t>十五、定标</w:t>
      </w:r>
      <w:bookmarkEnd w:id="64"/>
      <w:bookmarkEnd w:id="65"/>
    </w:p>
    <w:p>
      <w:pPr>
        <w:spacing w:line="360" w:lineRule="auto"/>
        <w:ind w:firstLine="422" w:firstLineChars="200"/>
        <w:rPr>
          <w:rFonts w:ascii="宋体" w:hAnsi="宋体" w:cs="宋体"/>
          <w:b/>
          <w:color w:val="auto"/>
          <w:sz w:val="21"/>
          <w:szCs w:val="21"/>
          <w:highlight w:val="none"/>
        </w:rPr>
      </w:pPr>
      <w:bookmarkStart w:id="66" w:name="_Toc17884848"/>
      <w:bookmarkStart w:id="67" w:name="_Toc460857933"/>
      <w:r>
        <w:rPr>
          <w:rFonts w:hint="eastAsia" w:ascii="宋体" w:hAnsi="宋体" w:cs="宋体"/>
          <w:b/>
          <w:color w:val="auto"/>
          <w:sz w:val="21"/>
          <w:szCs w:val="21"/>
          <w:highlight w:val="none"/>
        </w:rPr>
        <w:t>（一）确定中标人</w:t>
      </w:r>
      <w:bookmarkEnd w:id="66"/>
      <w:bookmarkEnd w:id="67"/>
    </w:p>
    <w:p>
      <w:pPr>
        <w:pStyle w:val="23"/>
        <w:spacing w:line="360" w:lineRule="auto"/>
        <w:ind w:firstLine="420" w:firstLineChars="200"/>
        <w:rPr>
          <w:rFonts w:hAnsi="宋体" w:cs="宋体"/>
          <w:color w:val="auto"/>
          <w:highlight w:val="none"/>
        </w:rPr>
      </w:pPr>
      <w:bookmarkStart w:id="68" w:name="_Toc460416359"/>
      <w:bookmarkStart w:id="69" w:name="_Toc460857934"/>
      <w:bookmarkStart w:id="70" w:name="_Toc17884849"/>
      <w:bookmarkStart w:id="71" w:name="_Toc460416664"/>
      <w:r>
        <w:rPr>
          <w:rFonts w:hint="eastAsia" w:hAnsi="宋体" w:cs="宋体"/>
          <w:color w:val="auto"/>
          <w:highlight w:val="none"/>
        </w:rPr>
        <w:t>1、确定中标人。本项目由评标委员会推荐中标候选人，采购人不得在评标委员会推荐的中标候选人以外确定中标人。</w:t>
      </w:r>
    </w:p>
    <w:p>
      <w:pPr>
        <w:pStyle w:val="23"/>
        <w:spacing w:line="360" w:lineRule="auto"/>
        <w:ind w:firstLine="420" w:firstLineChars="200"/>
        <w:rPr>
          <w:rFonts w:hAnsi="宋体" w:cs="宋体"/>
          <w:color w:val="auto"/>
          <w:highlight w:val="none"/>
        </w:rPr>
      </w:pPr>
      <w:r>
        <w:rPr>
          <w:rFonts w:hint="eastAsia" w:hAnsi="宋体" w:cs="宋体"/>
          <w:color w:val="auto"/>
          <w:highlight w:val="none"/>
        </w:rPr>
        <w:t>2、采购代理机构在评标结束后2个工作日内将评标报告交采购人确认，采购人在收到评标报告之日起5个工作日内在评标报告确定的中标候选人中按顺序确定三名中标人，采购人在收到评标报告之日起5个工作日内未按评标报告推荐的中标候选人排序确定中标人，又不能说明合法理由的，视同按评标报告推荐的顺序确定排名前三的中标候选人为中标人。</w:t>
      </w:r>
    </w:p>
    <w:p>
      <w:pPr>
        <w:pStyle w:val="23"/>
        <w:spacing w:line="360" w:lineRule="auto"/>
        <w:ind w:firstLine="420" w:firstLineChars="200"/>
        <w:rPr>
          <w:rFonts w:hint="eastAsia" w:hAnsi="宋体" w:eastAsia="宋体" w:cs="宋体"/>
          <w:color w:val="auto"/>
          <w:highlight w:val="none"/>
          <w:lang w:eastAsia="zh-CN"/>
        </w:rPr>
      </w:pPr>
      <w:r>
        <w:rPr>
          <w:rFonts w:hint="eastAsia" w:hAnsi="宋体" w:cs="宋体"/>
          <w:color w:val="auto"/>
          <w:highlight w:val="none"/>
        </w:rPr>
        <w:t>3、采购代理机构自中标人确定之日起2个工作日内，在发布招标公告的网站上对中标结果进行公示，中标结果公告期限为1个工作日</w:t>
      </w:r>
      <w:r>
        <w:rPr>
          <w:rFonts w:hint="eastAsia" w:hAnsi="宋体" w:cs="宋体"/>
          <w:color w:val="auto"/>
          <w:highlight w:val="none"/>
          <w:lang w:eastAsia="zh-CN"/>
        </w:rPr>
        <w:t>，</w:t>
      </w:r>
      <w:r>
        <w:rPr>
          <w:rFonts w:hint="eastAsia" w:hAnsi="宋体" w:cs="宋体"/>
          <w:color w:val="auto"/>
          <w:highlight w:val="none"/>
          <w:lang w:val="en-US" w:eastAsia="zh-CN"/>
        </w:rPr>
        <w:t>同时</w:t>
      </w:r>
      <w:r>
        <w:rPr>
          <w:rFonts w:hint="eastAsia" w:hAnsi="宋体" w:cs="宋体"/>
          <w:color w:val="auto"/>
          <w:highlight w:val="none"/>
        </w:rPr>
        <w:t>在公告中标结果的同时向中标人发出中标通知书</w:t>
      </w:r>
      <w:r>
        <w:rPr>
          <w:rFonts w:hint="eastAsia" w:hAnsi="宋体" w:cs="宋体"/>
          <w:color w:val="auto"/>
          <w:highlight w:val="none"/>
          <w:lang w:eastAsia="zh-CN"/>
        </w:rPr>
        <w:t>。</w:t>
      </w:r>
    </w:p>
    <w:p>
      <w:pPr>
        <w:pStyle w:val="23"/>
        <w:spacing w:line="360" w:lineRule="auto"/>
        <w:ind w:firstLine="420" w:firstLineChars="200"/>
        <w:rPr>
          <w:rFonts w:hAnsi="宋体" w:cs="宋体"/>
          <w:color w:val="auto"/>
          <w:highlight w:val="none"/>
        </w:rPr>
      </w:pPr>
      <w:r>
        <w:rPr>
          <w:rFonts w:hint="eastAsia" w:hAnsi="宋体" w:cs="宋体"/>
          <w:color w:val="auto"/>
          <w:highlight w:val="none"/>
        </w:rPr>
        <w:t>4、凡发现中标人有下列行为之一的，将移交政府采购监督管理部门依法处理：</w:t>
      </w:r>
    </w:p>
    <w:p>
      <w:pPr>
        <w:numPr>
          <w:ilvl w:val="0"/>
          <w:numId w:val="5"/>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提供虚假材料谋取中标的；</w:t>
      </w:r>
    </w:p>
    <w:p>
      <w:pPr>
        <w:numPr>
          <w:ilvl w:val="0"/>
          <w:numId w:val="5"/>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采取不正当手段诋毁、排挤其他投标人的；</w:t>
      </w:r>
    </w:p>
    <w:p>
      <w:pPr>
        <w:numPr>
          <w:ilvl w:val="0"/>
          <w:numId w:val="5"/>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与采购人、其他投标人或者采购代理机构工作人员恶意串通的；</w:t>
      </w:r>
    </w:p>
    <w:p>
      <w:pPr>
        <w:numPr>
          <w:ilvl w:val="0"/>
          <w:numId w:val="5"/>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向采购人或采购代理机构人员行贿或者提供其他不正当利益的；</w:t>
      </w:r>
    </w:p>
    <w:p>
      <w:pPr>
        <w:numPr>
          <w:ilvl w:val="0"/>
          <w:numId w:val="5"/>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拒绝有关部门监督检查或者提供虚假情况的；</w:t>
      </w:r>
    </w:p>
    <w:p>
      <w:pPr>
        <w:numPr>
          <w:ilvl w:val="0"/>
          <w:numId w:val="5"/>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有法律、法规规定的其他损害采购人利益和社会公共利益情形的。</w:t>
      </w:r>
    </w:p>
    <w:p>
      <w:pPr>
        <w:widowControl/>
        <w:spacing w:line="360" w:lineRule="auto"/>
        <w:ind w:firstLine="422" w:firstLineChars="200"/>
        <w:outlineLvl w:val="1"/>
        <w:rPr>
          <w:rFonts w:ascii="宋体" w:hAnsi="宋体" w:cs="宋体"/>
          <w:b/>
          <w:color w:val="auto"/>
          <w:sz w:val="21"/>
          <w:szCs w:val="21"/>
          <w:highlight w:val="none"/>
        </w:rPr>
      </w:pPr>
      <w:bookmarkStart w:id="72" w:name="_Toc497898872"/>
      <w:r>
        <w:rPr>
          <w:rFonts w:hint="eastAsia" w:ascii="宋体" w:hAnsi="宋体" w:cs="宋体"/>
          <w:b/>
          <w:color w:val="auto"/>
          <w:sz w:val="21"/>
          <w:szCs w:val="21"/>
          <w:highlight w:val="none"/>
        </w:rPr>
        <w:t>十六、评标过程的监控</w:t>
      </w:r>
      <w:bookmarkEnd w:id="72"/>
    </w:p>
    <w:p>
      <w:pPr>
        <w:snapToGrid w:val="0"/>
        <w:spacing w:line="360" w:lineRule="auto"/>
        <w:ind w:firstLine="420" w:firstLineChars="200"/>
        <w:rPr>
          <w:rFonts w:ascii="宋体" w:hAnsi="宋体" w:cs="宋体"/>
          <w:bCs/>
          <w:color w:val="auto"/>
          <w:sz w:val="21"/>
          <w:szCs w:val="21"/>
          <w:highlight w:val="none"/>
        </w:rPr>
      </w:pPr>
      <w:bookmarkStart w:id="73" w:name="_Toc497898873"/>
      <w:r>
        <w:rPr>
          <w:rFonts w:hint="eastAsia" w:ascii="宋体" w:hAnsi="宋体" w:cs="宋体"/>
          <w:color w:val="auto"/>
          <w:sz w:val="21"/>
          <w:szCs w:val="21"/>
          <w:highlight w:val="none"/>
        </w:rPr>
        <w:t>本项目评标过程实行全程录音</w:t>
      </w:r>
      <w:r>
        <w:rPr>
          <w:rFonts w:hint="eastAsia" w:ascii="宋体" w:hAnsi="宋体" w:cs="宋体"/>
          <w:bCs/>
          <w:color w:val="auto"/>
          <w:sz w:val="21"/>
          <w:szCs w:val="21"/>
          <w:highlight w:val="none"/>
        </w:rPr>
        <w:t>、录像监控，投标人在评标过程中所进行的试图影响评标结果的不公正活动，可能导致其投标被拒绝。</w:t>
      </w:r>
      <w:bookmarkEnd w:id="73"/>
    </w:p>
    <w:bookmarkEnd w:id="68"/>
    <w:bookmarkEnd w:id="69"/>
    <w:bookmarkEnd w:id="70"/>
    <w:bookmarkEnd w:id="71"/>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十七、采购文件的澄清和修改</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b/>
          <w:color w:val="auto"/>
          <w:sz w:val="21"/>
          <w:szCs w:val="21"/>
          <w:highlight w:val="none"/>
        </w:rPr>
        <w:t>采购人可以对已发出的采购文件进行必要的澄清或者修改，将以“更正公告”的形式发布在政采云平台，供应商应及时登录政采云平台，进行浏览并下载，未及时浏览下载的责任自负。</w:t>
      </w:r>
      <w:r>
        <w:rPr>
          <w:rFonts w:hint="eastAsia" w:ascii="宋体" w:hAnsi="宋体" w:cs="宋体"/>
          <w:color w:val="auto"/>
          <w:sz w:val="21"/>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十八、质疑与投诉</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5、采购人、代理机构接收质疑函的方式：只接收供应商以当面递交、邮寄、传真或电子邮件方式提出的质疑函，以其他方式提出的质疑不予接收。</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采取邮寄方式的，提出质疑的时间为质疑函原件交邮的时间（以邮戳时间或快递收件时间为准）。</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采取传真、电子邮件方式的，供应商应当在传真、电子邮件发出后将质疑函原件邮寄给被质疑人，提出质疑的时间为质疑函原件交邮的时间（以邮戳时间或快递收件时间为准）。</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6、采购人、代理机构以实际收到质疑函原件之日作为收到质疑函的日期，将在收到质疑函后7个工作日内作出答复。</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7、采购人、代理机构接收质疑函的联系人、联系电话和通讯地址等信息详见采购公告。</w:t>
      </w:r>
    </w:p>
    <w:p>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*十九、最高单价限价</w:t>
      </w:r>
    </w:p>
    <w:p>
      <w:pPr>
        <w:wordWrap w:val="0"/>
        <w:spacing w:line="360" w:lineRule="auto"/>
        <w:ind w:firstLine="420" w:firstLineChars="200"/>
        <w:rPr>
          <w:rFonts w:ascii="宋体" w:hAnsi="宋体" w:cs="宋体"/>
          <w:color w:val="auto"/>
          <w:sz w:val="21"/>
          <w:szCs w:val="21"/>
          <w:highlight w:val="none"/>
        </w:rPr>
      </w:pPr>
      <w:bookmarkStart w:id="74" w:name="_Hlk37142004"/>
      <w:r>
        <w:rPr>
          <w:rFonts w:hint="eastAsia" w:ascii="宋体" w:hAnsi="宋体" w:cs="宋体"/>
          <w:color w:val="auto"/>
          <w:sz w:val="21"/>
          <w:szCs w:val="21"/>
          <w:highlight w:val="none"/>
        </w:rPr>
        <w:t>1、本次公开招标设有预算价格详见第一部分招标公告，最高单价限价详见第二部分投标人须知，投标价超出最高单价限价作无效标处理。</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二十、招标代理服务费</w:t>
      </w:r>
    </w:p>
    <w:p>
      <w:pPr>
        <w:snapToGrid w:val="0"/>
        <w:spacing w:line="336" w:lineRule="auto"/>
        <w:ind w:right="-24" w:rightChars="-10"/>
        <w:jc w:val="both"/>
        <w:rPr>
          <w:rFonts w:ascii="宋体" w:hAnsi="宋体" w:cs="宋体"/>
          <w:color w:val="auto"/>
          <w:sz w:val="21"/>
          <w:szCs w:val="21"/>
          <w:highlight w:val="none"/>
        </w:rPr>
      </w:pPr>
      <w:r>
        <w:rPr>
          <w:rFonts w:hint="eastAsia" w:ascii="宋体" w:hAnsi="宋体" w:cs="宋体"/>
          <w:color w:val="auto"/>
          <w:sz w:val="21"/>
          <w:szCs w:val="21"/>
          <w:highlight w:val="none"/>
        </w:rPr>
        <w:t>1、向中标人收取招标服务费：</w:t>
      </w:r>
      <w:r>
        <w:rPr>
          <w:rFonts w:hint="eastAsia" w:ascii="宋体"/>
          <w:color w:val="auto"/>
          <w:sz w:val="21"/>
          <w:szCs w:val="21"/>
          <w:highlight w:val="none"/>
        </w:rPr>
        <w:t>中标人在领取中标通知书时向宁波市国际招标有限公司一次性交纳中标服务费。第一名为6406元，第二名、第三名为4804元</w:t>
      </w:r>
      <w:r>
        <w:rPr>
          <w:rFonts w:hint="eastAsia" w:ascii="宋体" w:hAnsi="宋体" w:cs="宋体"/>
          <w:color w:val="auto"/>
          <w:sz w:val="21"/>
          <w:szCs w:val="21"/>
          <w:highlight w:val="none"/>
        </w:rPr>
        <w:t>。</w:t>
      </w:r>
    </w:p>
    <w:p>
      <w:pPr>
        <w:wordWrap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2、中标供应商应在代理机构发出中标通知书5个工作日内向本代理机构支付招标代理服务费。</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3、招标代理服务费收取银行票汇款、电汇款。</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账户名称：宁波市国际招标有限公司</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开户银行：上海浦东发展银行宁波分行江北支行</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银行账号：94090154800000191</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4、邮箱：nbitc@126.com</w:t>
      </w:r>
    </w:p>
    <w:bookmarkEnd w:id="74"/>
    <w:p>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二十一、合同授予</w:t>
      </w:r>
    </w:p>
    <w:p>
      <w:pPr>
        <w:spacing w:line="360" w:lineRule="auto"/>
        <w:ind w:firstLine="422" w:firstLineChars="200"/>
        <w:rPr>
          <w:rFonts w:ascii="宋体" w:hAnsi="宋体" w:cs="宋体"/>
          <w:b/>
          <w:color w:val="auto"/>
          <w:sz w:val="21"/>
          <w:szCs w:val="21"/>
          <w:highlight w:val="none"/>
        </w:rPr>
      </w:pPr>
      <w:bookmarkStart w:id="75" w:name="_Toc460857935"/>
      <w:bookmarkStart w:id="76" w:name="_Toc17884850"/>
      <w:r>
        <w:rPr>
          <w:rFonts w:hint="eastAsia" w:ascii="宋体" w:hAnsi="宋体" w:cs="宋体"/>
          <w:b/>
          <w:color w:val="auto"/>
          <w:sz w:val="21"/>
          <w:szCs w:val="21"/>
          <w:highlight w:val="none"/>
        </w:rPr>
        <w:t>（一）签订合同</w:t>
      </w:r>
      <w:bookmarkEnd w:id="75"/>
      <w:bookmarkEnd w:id="76"/>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1、采购人与中标人应当在中标通知书发出之日起30日内签订政府采购合同。</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采购单位应及时签订采购合同，并通过政采云平台录入公布合同信息，相关信息会自动同步到浙江政府采购网和宁波政府采购网，如有特殊原因，暂时无法签订采购合同的，可以在政采云平台提交合同缓签申请，经采购办审核确认后，该项目不列入“无感监测”统计范围（目前仍有效）。如有因为未按照采购文件和投标文件规定签订合同引发纠纷的，请第一时间联系政府采购监管部门。</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3、中标人拖延、拒签合同的,将取消中标资格。</w:t>
      </w:r>
    </w:p>
    <w:p>
      <w:pPr>
        <w:spacing w:line="360" w:lineRule="auto"/>
        <w:ind w:firstLine="422" w:firstLineChars="200"/>
        <w:rPr>
          <w:rFonts w:ascii="宋体" w:hAnsi="宋体" w:cs="宋体"/>
          <w:b/>
          <w:color w:val="auto"/>
          <w:sz w:val="21"/>
          <w:szCs w:val="21"/>
          <w:highlight w:val="none"/>
        </w:rPr>
      </w:pPr>
      <w:bookmarkStart w:id="77" w:name="_Toc17884851"/>
      <w:bookmarkStart w:id="78" w:name="_Toc460857936"/>
      <w:r>
        <w:rPr>
          <w:rFonts w:hint="eastAsia" w:ascii="宋体" w:hAnsi="宋体" w:cs="宋体"/>
          <w:b/>
          <w:color w:val="auto"/>
          <w:sz w:val="21"/>
          <w:szCs w:val="21"/>
          <w:highlight w:val="none"/>
        </w:rPr>
        <w:t>（二）履约保证金</w:t>
      </w:r>
      <w:bookmarkEnd w:id="77"/>
      <w:bookmarkEnd w:id="78"/>
    </w:p>
    <w:p>
      <w:pPr>
        <w:pStyle w:val="23"/>
        <w:snapToGrid w:val="0"/>
        <w:spacing w:line="360" w:lineRule="auto"/>
        <w:ind w:firstLine="420" w:firstLineChars="200"/>
        <w:rPr>
          <w:rFonts w:hAnsi="宋体" w:cs="宋体"/>
          <w:color w:val="auto"/>
          <w:highlight w:val="none"/>
        </w:rPr>
      </w:pPr>
      <w:r>
        <w:rPr>
          <w:rFonts w:hint="eastAsia" w:hAnsi="宋体" w:cs="宋体"/>
          <w:color w:val="auto"/>
          <w:highlight w:val="none"/>
        </w:rPr>
        <w:t>中标供应商须按5000元以支票、银行转账或银行保函、保险保函等非现金方式向采购人交纳履约保证金；履约保证金在供应商履行完采购合同约定义务事项后</w:t>
      </w:r>
      <w:r>
        <w:rPr>
          <w:rFonts w:hint="eastAsia" w:hAnsi="宋体" w:cs="宋体"/>
          <w:color w:val="auto"/>
          <w:highlight w:val="none"/>
          <w:lang w:val="en-US" w:eastAsia="zh-CN"/>
        </w:rPr>
        <w:t>7</w:t>
      </w:r>
      <w:r>
        <w:rPr>
          <w:rFonts w:hint="eastAsia" w:hAnsi="宋体" w:cs="宋体"/>
          <w:color w:val="auto"/>
          <w:highlight w:val="none"/>
        </w:rPr>
        <w:t>天内无息退还。</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二十二、特别说明</w:t>
      </w:r>
    </w:p>
    <w:p>
      <w:pPr>
        <w:wordWrap w:val="0"/>
        <w:spacing w:line="360" w:lineRule="auto"/>
        <w:ind w:firstLine="424" w:firstLineChars="202"/>
        <w:rPr>
          <w:rFonts w:hint="eastAsia" w:ascii="宋体" w:hAnsi="宋体" w:eastAsia="宋体" w:cs="宋体"/>
          <w:color w:val="auto"/>
          <w:sz w:val="21"/>
          <w:szCs w:val="21"/>
          <w:highlight w:val="none"/>
        </w:rPr>
      </w:pPr>
      <w:bookmarkStart w:id="79" w:name="_Toc21541015"/>
      <w:bookmarkStart w:id="80" w:name="_Toc495244277"/>
      <w:bookmarkStart w:id="81" w:name="_Toc419729159"/>
      <w:r>
        <w:rPr>
          <w:rFonts w:hint="eastAsia" w:ascii="宋体" w:hAnsi="宋体" w:eastAsia="宋体" w:cs="宋体"/>
          <w:color w:val="auto"/>
          <w:sz w:val="21"/>
          <w:szCs w:val="21"/>
          <w:highlight w:val="none"/>
        </w:rPr>
        <w:t>1、执行财政部、工业和信息化部《政府采购促进中小企业发展管理办法》（财库〔2020〕46号）。政府采购活动中有关中小企业的相关规定如下：</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1.2在政府采购活动中，供应商提供的货物、工程或者服务符合下列情形的，享受《政府采购促进中小企业发展管理办法》规定的中小企业扶持政策：</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（3）、在服务采购项目中，服务由中小企业承接，即提供服务的人员为中小企业依照《中华人民共和国劳动合同法》订立劳动合同的从业人员。</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在货物采购项目中，供应商提供的货物既有中小企业制造货物，也有大型企业制造货物的，不享受《政府采购促进中小企业发展管理办法》规定的中小企业扶持政策。</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1.3中小企业参加政府采购活动，应当出具《政府采购促进中小企业发展管理办法》规定的《中小企业声明函》（格式见本采购文件附件），否则不得享受相关中小企业扶持政策。</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供应商提供声明函内容不实的，属于提供虚假材料谋取中标、成交，依照《中华人民共和国政府采购法》等国家有关规定追究相应责任。</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适用招标投标法的政府采购工程建设项目，投标人提供声明函内容不实的，属于弄虚作假骗取中标，依照《中华人民共和国招标投标法》等国家有关规定追究相应责任。</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1.5《中小企业声明函》由参加投标的供应商提交，如供应商为代理商，须自行采集制造商的中小企业划分类型信息填入相应栏目并对其真实性负责。</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79"/>
      <w:bookmarkEnd w:id="80"/>
    </w:p>
    <w:p>
      <w:pPr>
        <w:wordWrap w:val="0"/>
        <w:spacing w:line="360" w:lineRule="auto"/>
        <w:ind w:firstLine="420" w:firstLineChars="200"/>
        <w:rPr>
          <w:rFonts w:hint="eastAsia" w:ascii="宋体" w:hAnsi="宋体" w:eastAsia="宋体" w:cs="宋体"/>
          <w:color w:val="auto"/>
          <w:sz w:val="21"/>
          <w:szCs w:val="21"/>
          <w:highlight w:val="none"/>
        </w:rPr>
      </w:pPr>
      <w:bookmarkStart w:id="82" w:name="_Toc21541016"/>
      <w:r>
        <w:rPr>
          <w:rFonts w:hint="eastAsia" w:ascii="宋体" w:hAnsi="宋体" w:eastAsia="宋体" w:cs="宋体"/>
          <w:color w:val="auto"/>
          <w:sz w:val="21"/>
          <w:szCs w:val="21"/>
          <w:highlight w:val="none"/>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82"/>
    </w:p>
    <w:p>
      <w:pPr>
        <w:wordWrap w:val="0"/>
        <w:spacing w:line="360" w:lineRule="auto"/>
        <w:ind w:firstLine="420" w:firstLineChars="200"/>
        <w:rPr>
          <w:rFonts w:hint="eastAsia" w:ascii="宋体" w:hAnsi="宋体" w:eastAsia="宋体" w:cs="宋体"/>
          <w:color w:val="auto"/>
          <w:sz w:val="21"/>
          <w:szCs w:val="21"/>
          <w:highlight w:val="none"/>
        </w:rPr>
      </w:pPr>
      <w:bookmarkStart w:id="83" w:name="_Toc21541017"/>
      <w:bookmarkStart w:id="84" w:name="_Toc419729158"/>
      <w:r>
        <w:rPr>
          <w:rFonts w:hint="eastAsia" w:ascii="宋体" w:hAnsi="宋体" w:eastAsia="宋体" w:cs="宋体"/>
          <w:color w:val="auto"/>
          <w:sz w:val="21"/>
          <w:szCs w:val="21"/>
          <w:highlight w:val="none"/>
        </w:rPr>
        <w:t>4、本项目不组织潜在供应商现场考察或者召开开标前答疑。</w:t>
      </w:r>
      <w:bookmarkEnd w:id="83"/>
    </w:p>
    <w:p>
      <w:pPr>
        <w:wordWrap w:val="0"/>
        <w:spacing w:line="360" w:lineRule="auto"/>
        <w:ind w:firstLine="420" w:firstLineChars="200"/>
        <w:rPr>
          <w:rFonts w:hint="eastAsia" w:ascii="宋体" w:hAnsi="宋体" w:eastAsia="宋体" w:cs="宋体"/>
          <w:color w:val="auto"/>
          <w:sz w:val="21"/>
          <w:szCs w:val="21"/>
          <w:highlight w:val="none"/>
        </w:rPr>
      </w:pPr>
      <w:bookmarkStart w:id="85" w:name="_Toc21541018"/>
      <w:r>
        <w:rPr>
          <w:rFonts w:hint="eastAsia" w:ascii="宋体" w:hAnsi="宋体" w:eastAsia="宋体" w:cs="宋体"/>
          <w:color w:val="auto"/>
          <w:sz w:val="21"/>
          <w:szCs w:val="21"/>
          <w:highlight w:val="none"/>
        </w:rPr>
        <w:t>5、本文件未及事项，在签订合同时供需及使用方友好商定。</w:t>
      </w:r>
      <w:bookmarkEnd w:id="84"/>
      <w:bookmarkEnd w:id="85"/>
    </w:p>
    <w:p>
      <w:pPr>
        <w:wordWrap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w:t>
      </w:r>
      <w:r>
        <w:rPr>
          <w:rFonts w:hint="eastAsia" w:ascii="宋体" w:hAnsi="宋体" w:eastAsia="宋体" w:cs="宋体"/>
          <w:color w:val="auto"/>
          <w:sz w:val="21"/>
          <w:szCs w:val="21"/>
          <w:highlight w:val="none"/>
        </w:rPr>
        <w:t>6、不同投标人的投标文件出自同一终端设备或在相同Internet主机分配地址（相同IP地址）网上报名投标的作无效标处理。</w:t>
      </w:r>
    </w:p>
    <w:p>
      <w:pPr>
        <w:spacing w:line="360" w:lineRule="auto"/>
        <w:ind w:firstLine="420" w:firstLineChars="200"/>
        <w:rPr>
          <w:color w:val="auto"/>
          <w:highlight w:val="none"/>
        </w:rPr>
      </w:pPr>
      <w:r>
        <w:rPr>
          <w:rFonts w:hint="eastAsia" w:ascii="宋体" w:hAnsi="宋体" w:eastAsia="宋体" w:cs="宋体"/>
          <w:color w:val="auto"/>
          <w:sz w:val="21"/>
          <w:szCs w:val="21"/>
          <w:highlight w:val="none"/>
        </w:rPr>
        <w:t>7、本采购文件解释权归采购人</w:t>
      </w:r>
      <w:r>
        <w:rPr>
          <w:rFonts w:hint="eastAsia" w:ascii="宋体" w:hAnsi="宋体" w:cs="宋体"/>
          <w:color w:val="auto"/>
          <w:sz w:val="21"/>
          <w:szCs w:val="21"/>
          <w:highlight w:val="none"/>
        </w:rPr>
        <w:t>。</w:t>
      </w:r>
      <w:bookmarkEnd w:id="81"/>
    </w:p>
    <w:p>
      <w:pPr>
        <w:spacing w:line="276" w:lineRule="auto"/>
        <w:jc w:val="center"/>
        <w:rPr>
          <w:rFonts w:ascii="宋体"/>
          <w:b/>
          <w:color w:val="auto"/>
          <w:sz w:val="32"/>
          <w:szCs w:val="32"/>
          <w:highlight w:val="none"/>
        </w:rPr>
      </w:pPr>
    </w:p>
    <w:bookmarkEnd w:id="6"/>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Pr>
        <w:rPr>
          <w:color w:val="auto"/>
          <w:highlight w:val="none"/>
        </w:rPr>
      </w:pPr>
      <w:bookmarkStart w:id="86" w:name="_Toc201632872"/>
      <w:bookmarkStart w:id="87" w:name="_Toc241827247"/>
      <w:bookmarkStart w:id="88" w:name="_Toc22713"/>
      <w:r>
        <w:rPr>
          <w:rFonts w:hint="eastAsia"/>
          <w:color w:val="auto"/>
          <w:highlight w:val="none"/>
        </w:rPr>
        <w:br w:type="page"/>
      </w:r>
    </w:p>
    <w:p>
      <w:pPr>
        <w:pStyle w:val="4"/>
        <w:jc w:val="center"/>
        <w:rPr>
          <w:color w:val="auto"/>
          <w:highlight w:val="none"/>
        </w:rPr>
      </w:pPr>
      <w:r>
        <w:rPr>
          <w:rFonts w:hint="eastAsia"/>
          <w:color w:val="auto"/>
          <w:highlight w:val="none"/>
        </w:rPr>
        <w:t xml:space="preserve">第三部分  </w:t>
      </w:r>
      <w:bookmarkEnd w:id="86"/>
      <w:bookmarkEnd w:id="87"/>
      <w:bookmarkStart w:id="89" w:name="_Toc241827248"/>
      <w:r>
        <w:rPr>
          <w:rFonts w:hint="eastAsia"/>
          <w:color w:val="auto"/>
          <w:highlight w:val="none"/>
        </w:rPr>
        <w:t xml:space="preserve"> 合同主要条款</w:t>
      </w:r>
      <w:bookmarkEnd w:id="88"/>
    </w:p>
    <w:p>
      <w:pPr>
        <w:spacing w:line="460" w:lineRule="exact"/>
        <w:jc w:val="center"/>
        <w:rPr>
          <w:rFonts w:ascii="宋体"/>
          <w:b/>
          <w:color w:val="auto"/>
          <w:sz w:val="36"/>
          <w:highlight w:val="none"/>
        </w:rPr>
      </w:pPr>
      <w:r>
        <w:rPr>
          <w:rFonts w:hint="eastAsia" w:ascii="宋体"/>
          <w:b/>
          <w:color w:val="auto"/>
          <w:sz w:val="36"/>
          <w:highlight w:val="none"/>
        </w:rPr>
        <w:t>宁波市政府采购合同</w:t>
      </w:r>
    </w:p>
    <w:p>
      <w:pPr>
        <w:spacing w:line="460" w:lineRule="exact"/>
        <w:jc w:val="center"/>
        <w:rPr>
          <w:rFonts w:ascii="宋体"/>
          <w:bCs/>
          <w:i/>
          <w:iCs/>
          <w:color w:val="auto"/>
          <w:sz w:val="28"/>
          <w:highlight w:val="none"/>
        </w:rPr>
      </w:pP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采购编号：                                 签订日期：</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合同地点：                                 完工日期：</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采购人（甲方）：</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供应商（乙方）：</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甲、乙双方根据《中华人民共和国民法典》、《中华人民共和国政府采购法》和宁波市政府采购有关办法，同意按照下述的条款和条件，签署本合同。</w:t>
      </w:r>
    </w:p>
    <w:p>
      <w:pPr>
        <w:pStyle w:val="23"/>
        <w:snapToGrid w:val="0"/>
        <w:spacing w:line="360" w:lineRule="auto"/>
        <w:rPr>
          <w:rFonts w:hAnsi="宋体" w:cs="宋体"/>
          <w:b/>
          <w:color w:val="auto"/>
          <w:highlight w:val="none"/>
        </w:rPr>
      </w:pPr>
      <w:r>
        <w:rPr>
          <w:rFonts w:hint="eastAsia" w:hAnsi="宋体" w:cs="宋体"/>
          <w:b/>
          <w:color w:val="auto"/>
          <w:highlight w:val="none"/>
        </w:rPr>
        <w:t>一、合同标的</w:t>
      </w:r>
    </w:p>
    <w:p>
      <w:pPr>
        <w:pStyle w:val="23"/>
        <w:snapToGrid w:val="0"/>
        <w:spacing w:line="360" w:lineRule="auto"/>
        <w:rPr>
          <w:rFonts w:hAnsi="宋体" w:cs="宋体"/>
          <w:color w:val="auto"/>
          <w:highlight w:val="none"/>
        </w:rPr>
      </w:pPr>
      <w:r>
        <w:rPr>
          <w:rFonts w:hint="eastAsia" w:hAnsi="宋体" w:cs="宋体"/>
          <w:color w:val="auto"/>
          <w:highlight w:val="none"/>
        </w:rPr>
        <w:t>1. 标的清单：</w:t>
      </w:r>
    </w:p>
    <w:p>
      <w:pPr>
        <w:pStyle w:val="23"/>
        <w:snapToGrid w:val="0"/>
        <w:spacing w:line="360" w:lineRule="auto"/>
        <w:rPr>
          <w:rFonts w:hAnsi="宋体" w:cs="宋体"/>
          <w:b/>
          <w:color w:val="auto"/>
          <w:highlight w:val="none"/>
        </w:rPr>
      </w:pPr>
      <w:r>
        <w:rPr>
          <w:rFonts w:hint="eastAsia" w:hAnsi="宋体" w:cs="宋体"/>
          <w:b/>
          <w:color w:val="auto"/>
          <w:highlight w:val="none"/>
        </w:rPr>
        <w:t>二、合同金额</w:t>
      </w:r>
    </w:p>
    <w:p>
      <w:pPr>
        <w:pStyle w:val="23"/>
        <w:snapToGrid w:val="0"/>
        <w:spacing w:line="360" w:lineRule="auto"/>
        <w:ind w:left="359" w:hanging="359" w:hangingChars="171"/>
        <w:jc w:val="left"/>
        <w:rPr>
          <w:rFonts w:hAnsi="宋体" w:cs="宋体"/>
          <w:color w:val="auto"/>
          <w:highlight w:val="none"/>
        </w:rPr>
      </w:pPr>
      <w:r>
        <w:rPr>
          <w:rFonts w:hint="eastAsia" w:hAnsi="宋体" w:cs="宋体"/>
          <w:color w:val="auto"/>
          <w:highlight w:val="none"/>
        </w:rPr>
        <w:t xml:space="preserve"> 本合同金额为（大写）：____________________________________元（￥_______________元）人民币。</w:t>
      </w:r>
    </w:p>
    <w:p>
      <w:pPr>
        <w:pStyle w:val="23"/>
        <w:snapToGrid w:val="0"/>
        <w:spacing w:line="360" w:lineRule="auto"/>
        <w:rPr>
          <w:rFonts w:hAnsi="宋体" w:cs="宋体"/>
          <w:b/>
          <w:color w:val="auto"/>
          <w:highlight w:val="none"/>
        </w:rPr>
      </w:pPr>
      <w:r>
        <w:rPr>
          <w:rFonts w:hint="eastAsia" w:hAnsi="宋体" w:cs="宋体"/>
          <w:b/>
          <w:color w:val="auto"/>
          <w:highlight w:val="none"/>
        </w:rPr>
        <w:t>三、技术资料</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1.乙方应按招标文件规定的时间向甲方提供使用标的有关技术资料。</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napToGrid w:val="0"/>
        <w:spacing w:line="360" w:lineRule="auto"/>
        <w:ind w:left="360" w:hanging="361" w:hangingChars="171"/>
        <w:rPr>
          <w:rFonts w:hAnsi="宋体" w:cs="宋体"/>
          <w:b/>
          <w:color w:val="auto"/>
          <w:highlight w:val="none"/>
        </w:rPr>
      </w:pPr>
      <w:r>
        <w:rPr>
          <w:rFonts w:hint="eastAsia" w:hAnsi="宋体" w:cs="宋体"/>
          <w:b/>
          <w:color w:val="auto"/>
          <w:highlight w:val="none"/>
        </w:rPr>
        <w:t>四、知识产权</w:t>
      </w:r>
    </w:p>
    <w:p>
      <w:pPr>
        <w:pStyle w:val="23"/>
        <w:snapToGrid w:val="0"/>
        <w:spacing w:line="360" w:lineRule="auto"/>
        <w:rPr>
          <w:rFonts w:hAnsi="宋体" w:cs="宋体"/>
          <w:bCs/>
          <w:color w:val="auto"/>
          <w:highlight w:val="none"/>
        </w:rPr>
      </w:pPr>
      <w:r>
        <w:rPr>
          <w:rFonts w:hint="eastAsia" w:hAnsi="宋体" w:cs="宋体"/>
          <w:color w:val="auto"/>
          <w:highlight w:val="none"/>
        </w:rPr>
        <w:t>乙方应保证所提供的标的或其任何一部分均不会侵犯任何第三方的知识产权</w:t>
      </w:r>
      <w:r>
        <w:rPr>
          <w:rFonts w:hint="eastAsia" w:hAnsi="宋体" w:cs="宋体"/>
          <w:bCs/>
          <w:color w:val="auto"/>
          <w:highlight w:val="none"/>
        </w:rPr>
        <w:t>。</w:t>
      </w:r>
    </w:p>
    <w:p>
      <w:pPr>
        <w:pStyle w:val="23"/>
        <w:snapToGrid w:val="0"/>
        <w:spacing w:line="360" w:lineRule="auto"/>
        <w:rPr>
          <w:rFonts w:hAnsi="宋体" w:cs="宋体"/>
          <w:color w:val="auto"/>
          <w:highlight w:val="none"/>
          <w:u w:val="single"/>
        </w:rPr>
      </w:pPr>
      <w:r>
        <w:rPr>
          <w:rFonts w:hint="eastAsia" w:hAnsi="宋体" w:cs="宋体"/>
          <w:b/>
          <w:color w:val="auto"/>
          <w:highlight w:val="none"/>
        </w:rPr>
        <w:t>五、产权担保</w:t>
      </w:r>
    </w:p>
    <w:p>
      <w:pPr>
        <w:pStyle w:val="23"/>
        <w:snapToGrid w:val="0"/>
        <w:spacing w:line="360" w:lineRule="auto"/>
        <w:ind w:left="357" w:hanging="357" w:hangingChars="170"/>
        <w:rPr>
          <w:rFonts w:hAnsi="宋体" w:cs="宋体"/>
          <w:color w:val="auto"/>
          <w:highlight w:val="none"/>
          <w:u w:val="single"/>
        </w:rPr>
      </w:pPr>
      <w:r>
        <w:rPr>
          <w:rFonts w:hint="eastAsia" w:hAnsi="宋体" w:cs="宋体"/>
          <w:color w:val="auto"/>
          <w:highlight w:val="none"/>
        </w:rPr>
        <w:t>乙方保证所交付的标的的所有权完全属于乙方且无任何抵押、查封等产权瑕疵。</w:t>
      </w:r>
    </w:p>
    <w:p>
      <w:pPr>
        <w:pStyle w:val="23"/>
        <w:snapToGrid w:val="0"/>
        <w:spacing w:line="360" w:lineRule="auto"/>
        <w:ind w:left="358" w:hanging="358" w:hangingChars="170"/>
        <w:rPr>
          <w:rFonts w:hAnsi="宋体" w:cs="宋体"/>
          <w:b/>
          <w:color w:val="auto"/>
          <w:highlight w:val="none"/>
        </w:rPr>
      </w:pPr>
      <w:r>
        <w:rPr>
          <w:rFonts w:hint="eastAsia" w:hAnsi="宋体" w:cs="宋体"/>
          <w:b/>
          <w:color w:val="auto"/>
          <w:highlight w:val="none"/>
        </w:rPr>
        <w:t>六、履约保证金</w:t>
      </w:r>
    </w:p>
    <w:p>
      <w:pPr>
        <w:pStyle w:val="23"/>
        <w:snapToGrid w:val="0"/>
        <w:spacing w:line="360" w:lineRule="auto"/>
        <w:ind w:left="357" w:hanging="357" w:hangingChars="170"/>
        <w:rPr>
          <w:rFonts w:hAnsi="宋体" w:cs="宋体"/>
          <w:color w:val="auto"/>
          <w:highlight w:val="none"/>
        </w:rPr>
      </w:pPr>
      <w:r>
        <w:rPr>
          <w:rFonts w:hint="eastAsia" w:hAnsi="宋体" w:cs="宋体"/>
          <w:color w:val="auto"/>
          <w:highlight w:val="none"/>
        </w:rPr>
        <w:t>乙方交纳人民币</w:t>
      </w:r>
      <w:r>
        <w:rPr>
          <w:rFonts w:hint="eastAsia" w:hAnsi="宋体" w:cs="宋体"/>
          <w:b/>
          <w:color w:val="auto"/>
          <w:highlight w:val="none"/>
          <w:u w:val="single"/>
        </w:rPr>
        <w:t xml:space="preserve">          </w:t>
      </w:r>
      <w:r>
        <w:rPr>
          <w:rFonts w:hint="eastAsia" w:hAnsi="宋体" w:cs="宋体"/>
          <w:color w:val="auto"/>
          <w:highlight w:val="none"/>
        </w:rPr>
        <w:t>元作为本合同的履约保证金。</w:t>
      </w:r>
    </w:p>
    <w:p>
      <w:pPr>
        <w:pStyle w:val="23"/>
        <w:snapToGrid w:val="0"/>
        <w:spacing w:line="360" w:lineRule="auto"/>
        <w:ind w:left="358" w:hanging="358" w:hangingChars="170"/>
        <w:rPr>
          <w:rFonts w:hAnsi="宋体" w:cs="宋体"/>
          <w:b/>
          <w:color w:val="auto"/>
          <w:highlight w:val="none"/>
        </w:rPr>
      </w:pPr>
      <w:r>
        <w:rPr>
          <w:rFonts w:hint="eastAsia" w:hAnsi="宋体" w:cs="宋体"/>
          <w:b/>
          <w:color w:val="auto"/>
          <w:highlight w:val="none"/>
        </w:rPr>
        <w:t>七、转包或分包</w:t>
      </w:r>
    </w:p>
    <w:p>
      <w:pPr>
        <w:snapToGrid w:val="0"/>
        <w:spacing w:before="120" w:beforeLines="50" w:after="120" w:after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1.本合同范围的标的，应由乙方直接供应，不得转让他人供应；</w:t>
      </w:r>
    </w:p>
    <w:p>
      <w:pPr>
        <w:snapToGrid w:val="0"/>
        <w:spacing w:before="120" w:beforeLines="50" w:after="120" w:after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2.除非得到甲方的书面同意，乙方不得将本合同范围的标的全部或部分分包给他人供应；</w:t>
      </w:r>
    </w:p>
    <w:p>
      <w:pPr>
        <w:snapToGrid w:val="0"/>
        <w:spacing w:before="120" w:beforeLines="50" w:after="120" w:after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3.如有转让和未经甲方同意的分包行为，甲方有权解除合同，没收履约保证金并追究乙方的违约责任。</w:t>
      </w:r>
    </w:p>
    <w:p>
      <w:pPr>
        <w:pStyle w:val="23"/>
        <w:snapToGrid w:val="0"/>
        <w:spacing w:line="360" w:lineRule="auto"/>
        <w:rPr>
          <w:rFonts w:hAnsi="宋体" w:cs="宋体"/>
          <w:color w:val="auto"/>
          <w:highlight w:val="none"/>
        </w:rPr>
      </w:pPr>
      <w:r>
        <w:rPr>
          <w:rFonts w:hint="eastAsia" w:hAnsi="宋体" w:cs="宋体"/>
          <w:b/>
          <w:color w:val="auto"/>
          <w:highlight w:val="none"/>
        </w:rPr>
        <w:t>八、质保期和质保金</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1. 质保期</w:t>
      </w:r>
      <w:r>
        <w:rPr>
          <w:rFonts w:hint="eastAsia" w:hAnsi="宋体" w:cs="宋体"/>
          <w:color w:val="auto"/>
          <w:highlight w:val="none"/>
          <w:u w:val="single"/>
        </w:rPr>
        <w:t xml:space="preserve">      </w:t>
      </w:r>
      <w:r>
        <w:rPr>
          <w:rFonts w:hint="eastAsia" w:hAnsi="宋体" w:cs="宋体"/>
          <w:color w:val="auto"/>
          <w:highlight w:val="none"/>
        </w:rPr>
        <w:t>年。（自验收合格之日起计）</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2. 质保金</w:t>
      </w:r>
      <w:r>
        <w:rPr>
          <w:rFonts w:hint="eastAsia" w:hAnsi="宋体" w:cs="宋体"/>
          <w:color w:val="auto"/>
          <w:highlight w:val="none"/>
          <w:u w:val="single"/>
        </w:rPr>
        <w:t xml:space="preserve">            </w:t>
      </w:r>
      <w:r>
        <w:rPr>
          <w:rFonts w:hint="eastAsia" w:hAnsi="宋体" w:cs="宋体"/>
          <w:color w:val="auto"/>
          <w:highlight w:val="none"/>
        </w:rPr>
        <w:t>元。</w:t>
      </w:r>
    </w:p>
    <w:p>
      <w:pPr>
        <w:pStyle w:val="23"/>
        <w:snapToGrid w:val="0"/>
        <w:spacing w:line="360" w:lineRule="auto"/>
        <w:rPr>
          <w:rFonts w:hAnsi="宋体" w:cs="宋体"/>
          <w:b/>
          <w:color w:val="auto"/>
          <w:highlight w:val="none"/>
        </w:rPr>
      </w:pPr>
      <w:r>
        <w:rPr>
          <w:rFonts w:hint="eastAsia" w:hAnsi="宋体" w:cs="宋体"/>
          <w:b/>
          <w:color w:val="auto"/>
          <w:highlight w:val="none"/>
        </w:rPr>
        <w:t>九、标的履约时间、履约方式及履约地点</w:t>
      </w:r>
    </w:p>
    <w:p>
      <w:pPr>
        <w:pStyle w:val="23"/>
        <w:snapToGrid w:val="0"/>
        <w:spacing w:line="360" w:lineRule="auto"/>
        <w:rPr>
          <w:rFonts w:hAnsi="宋体" w:cs="宋体"/>
          <w:bCs/>
          <w:color w:val="auto"/>
          <w:highlight w:val="none"/>
        </w:rPr>
      </w:pPr>
      <w:r>
        <w:rPr>
          <w:rFonts w:hint="eastAsia" w:hAnsi="宋体" w:cs="宋体"/>
          <w:bCs/>
          <w:color w:val="auto"/>
          <w:highlight w:val="none"/>
        </w:rPr>
        <w:t>1. 履约时间：</w:t>
      </w:r>
    </w:p>
    <w:p>
      <w:pPr>
        <w:pStyle w:val="23"/>
        <w:snapToGrid w:val="0"/>
        <w:spacing w:line="360" w:lineRule="auto"/>
        <w:rPr>
          <w:rFonts w:hAnsi="宋体" w:cs="宋体"/>
          <w:bCs/>
          <w:color w:val="auto"/>
          <w:highlight w:val="none"/>
        </w:rPr>
      </w:pPr>
      <w:r>
        <w:rPr>
          <w:rFonts w:hint="eastAsia" w:hAnsi="宋体" w:cs="宋体"/>
          <w:bCs/>
          <w:color w:val="auto"/>
          <w:highlight w:val="none"/>
        </w:rPr>
        <w:t>2. 履约方式：</w:t>
      </w:r>
    </w:p>
    <w:p>
      <w:pPr>
        <w:pStyle w:val="23"/>
        <w:snapToGrid w:val="0"/>
        <w:spacing w:line="360" w:lineRule="auto"/>
        <w:rPr>
          <w:rFonts w:hAnsi="宋体" w:cs="宋体"/>
          <w:b/>
          <w:color w:val="auto"/>
          <w:highlight w:val="none"/>
        </w:rPr>
      </w:pPr>
      <w:r>
        <w:rPr>
          <w:rFonts w:hint="eastAsia" w:hAnsi="宋体" w:cs="宋体"/>
          <w:bCs/>
          <w:color w:val="auto"/>
          <w:highlight w:val="none"/>
        </w:rPr>
        <w:t>3. 履约地点：</w:t>
      </w:r>
    </w:p>
    <w:p>
      <w:pPr>
        <w:pStyle w:val="23"/>
        <w:snapToGrid w:val="0"/>
        <w:spacing w:line="360" w:lineRule="auto"/>
        <w:rPr>
          <w:rFonts w:hAnsi="宋体" w:cs="宋体"/>
          <w:b/>
          <w:color w:val="auto"/>
          <w:highlight w:val="none"/>
        </w:rPr>
      </w:pPr>
      <w:r>
        <w:rPr>
          <w:rFonts w:hint="eastAsia" w:hAnsi="宋体" w:cs="宋体"/>
          <w:b/>
          <w:color w:val="auto"/>
          <w:highlight w:val="none"/>
        </w:rPr>
        <w:t>十、合同款支付</w:t>
      </w:r>
    </w:p>
    <w:p>
      <w:pPr>
        <w:pStyle w:val="23"/>
        <w:snapToGrid w:val="0"/>
        <w:spacing w:line="360" w:lineRule="auto"/>
        <w:rPr>
          <w:rFonts w:hAnsi="宋体" w:cs="宋体"/>
          <w:bCs/>
          <w:color w:val="auto"/>
          <w:highlight w:val="none"/>
        </w:rPr>
      </w:pPr>
      <w:r>
        <w:rPr>
          <w:rFonts w:hint="eastAsia" w:hAnsi="宋体" w:cs="宋体"/>
          <w:bCs/>
          <w:color w:val="auto"/>
          <w:highlight w:val="none"/>
        </w:rPr>
        <w:t>1. 付款方式：</w:t>
      </w:r>
    </w:p>
    <w:p>
      <w:pPr>
        <w:pStyle w:val="23"/>
        <w:snapToGrid w:val="0"/>
        <w:spacing w:line="360" w:lineRule="auto"/>
        <w:ind w:left="420" w:hanging="420" w:hangingChars="200"/>
        <w:rPr>
          <w:rFonts w:hAnsi="宋体" w:cs="宋体"/>
          <w:bCs/>
          <w:color w:val="auto"/>
          <w:highlight w:val="none"/>
        </w:rPr>
      </w:pPr>
      <w:r>
        <w:rPr>
          <w:rFonts w:hint="eastAsia" w:hAnsi="宋体" w:cs="宋体"/>
          <w:bCs/>
          <w:color w:val="auto"/>
          <w:highlight w:val="none"/>
        </w:rPr>
        <w:t>2.</w:t>
      </w:r>
      <w:r>
        <w:rPr>
          <w:rFonts w:hint="eastAsia" w:hAnsi="宋体" w:cs="宋体"/>
          <w:color w:val="auto"/>
          <w:highlight w:val="none"/>
        </w:rPr>
        <w:t>当采购数量与实际使用数量不一致时，乙方应根据实际使用量提供，合同的最终结算金额按实际使用量乘以成交单价进行计算。</w:t>
      </w:r>
    </w:p>
    <w:p>
      <w:pPr>
        <w:snapToGrid w:val="0"/>
        <w:spacing w:before="120" w:beforeLines="50" w:after="120" w:afterLines="5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十一、税费</w:t>
      </w:r>
    </w:p>
    <w:p>
      <w:pPr>
        <w:snapToGrid w:val="0"/>
        <w:spacing w:before="120" w:beforeLines="50" w:after="120" w:after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本合同执行中相关的一切税费均由乙方负担。</w:t>
      </w:r>
    </w:p>
    <w:p>
      <w:pPr>
        <w:pStyle w:val="23"/>
        <w:snapToGrid w:val="0"/>
        <w:spacing w:line="360" w:lineRule="auto"/>
        <w:ind w:left="360" w:hanging="361" w:hangingChars="171"/>
        <w:rPr>
          <w:rFonts w:hAnsi="宋体" w:cs="宋体"/>
          <w:color w:val="auto"/>
          <w:highlight w:val="none"/>
        </w:rPr>
      </w:pPr>
      <w:r>
        <w:rPr>
          <w:rFonts w:hint="eastAsia" w:hAnsi="宋体" w:cs="宋体"/>
          <w:b/>
          <w:color w:val="auto"/>
          <w:highlight w:val="none"/>
        </w:rPr>
        <w:t>十二、质量保证及售后服务</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1. 乙方应按招标文件规定的标的性能、技术要求、质量标准向甲方提供未经使用的全新产品。</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2. 乙方提供的标的在质保期内因货物本身的质量问题发生故障，乙方应负责免费更换。对达不到技术要求者，根据实际情况，经双方协商，可按以下办法处理：</w:t>
      </w:r>
    </w:p>
    <w:p>
      <w:pPr>
        <w:pStyle w:val="23"/>
        <w:snapToGrid w:val="0"/>
        <w:spacing w:line="360" w:lineRule="auto"/>
        <w:ind w:firstLine="420"/>
        <w:rPr>
          <w:rFonts w:hAnsi="宋体" w:cs="宋体"/>
          <w:color w:val="auto"/>
          <w:highlight w:val="none"/>
        </w:rPr>
      </w:pPr>
      <w:r>
        <w:rPr>
          <w:rFonts w:hint="eastAsia" w:hAnsi="宋体" w:cs="宋体"/>
          <w:color w:val="auto"/>
          <w:highlight w:val="none"/>
        </w:rPr>
        <w:t>⑴更换：由乙方承担所发生的全部费用。</w:t>
      </w:r>
    </w:p>
    <w:p>
      <w:pPr>
        <w:pStyle w:val="23"/>
        <w:snapToGrid w:val="0"/>
        <w:spacing w:line="360" w:lineRule="auto"/>
        <w:ind w:firstLine="420"/>
        <w:rPr>
          <w:rFonts w:hAnsi="宋体" w:cs="宋体"/>
          <w:color w:val="auto"/>
          <w:highlight w:val="none"/>
        </w:rPr>
      </w:pPr>
      <w:r>
        <w:rPr>
          <w:rFonts w:hint="eastAsia" w:hAnsi="宋体" w:cs="宋体"/>
          <w:color w:val="auto"/>
          <w:highlight w:val="none"/>
        </w:rPr>
        <w:t>⑵贬值处理：由甲乙双方合议定价。</w:t>
      </w:r>
    </w:p>
    <w:p>
      <w:pPr>
        <w:pStyle w:val="23"/>
        <w:snapToGrid w:val="0"/>
        <w:spacing w:line="360" w:lineRule="auto"/>
        <w:ind w:left="480" w:leftChars="200"/>
        <w:rPr>
          <w:rFonts w:hAnsi="宋体" w:cs="宋体"/>
          <w:color w:val="auto"/>
          <w:highlight w:val="none"/>
        </w:rPr>
      </w:pPr>
      <w:r>
        <w:rPr>
          <w:rFonts w:hint="eastAsia" w:hAnsi="宋体" w:cs="宋体"/>
          <w:color w:val="auto"/>
          <w:highlight w:val="none"/>
        </w:rPr>
        <w:t>⑶退货处理：乙方应退还甲方支付的合同款，同时应承担该标的的直接费用（运输、保险、检验、货款利息及银行手续费等）。</w:t>
      </w:r>
    </w:p>
    <w:p>
      <w:pPr>
        <w:pStyle w:val="23"/>
        <w:snapToGrid w:val="0"/>
        <w:spacing w:line="360" w:lineRule="auto"/>
        <w:rPr>
          <w:rFonts w:hAnsi="宋体" w:cs="宋体"/>
          <w:color w:val="auto"/>
          <w:highlight w:val="none"/>
        </w:rPr>
      </w:pPr>
      <w:r>
        <w:rPr>
          <w:rFonts w:hint="eastAsia" w:hAnsi="宋体" w:cs="宋体"/>
          <w:color w:val="auto"/>
          <w:highlight w:val="none"/>
        </w:rPr>
        <w:t>3. 如在使用过程中发生质量问题，乙方在接到甲方通知后在</w:t>
      </w:r>
      <w:r>
        <w:rPr>
          <w:rFonts w:hint="eastAsia" w:hAnsi="宋体" w:cs="宋体"/>
          <w:color w:val="auto"/>
          <w:highlight w:val="none"/>
          <w:u w:val="single"/>
        </w:rPr>
        <w:t xml:space="preserve">     </w:t>
      </w:r>
      <w:r>
        <w:rPr>
          <w:rFonts w:hint="eastAsia" w:hAnsi="宋体" w:cs="宋体"/>
          <w:color w:val="auto"/>
          <w:highlight w:val="none"/>
        </w:rPr>
        <w:t>小时内到达甲方现场。</w:t>
      </w:r>
    </w:p>
    <w:p>
      <w:pPr>
        <w:pStyle w:val="23"/>
        <w:snapToGrid w:val="0"/>
        <w:spacing w:line="360" w:lineRule="auto"/>
        <w:rPr>
          <w:rFonts w:hAnsi="宋体" w:cs="宋体"/>
          <w:color w:val="auto"/>
          <w:highlight w:val="none"/>
        </w:rPr>
      </w:pPr>
      <w:r>
        <w:rPr>
          <w:rFonts w:hint="eastAsia" w:hAnsi="宋体" w:cs="宋体"/>
          <w:color w:val="auto"/>
          <w:highlight w:val="none"/>
        </w:rPr>
        <w:t>4. 在质保期内，乙方应对标的出现的质量及安全问题负责处理解决并承担一切费用。</w:t>
      </w:r>
    </w:p>
    <w:p>
      <w:pPr>
        <w:pStyle w:val="23"/>
        <w:snapToGrid w:val="0"/>
        <w:spacing w:line="360" w:lineRule="auto"/>
        <w:rPr>
          <w:rFonts w:hAnsi="宋体" w:cs="宋体"/>
          <w:color w:val="auto"/>
          <w:highlight w:val="none"/>
        </w:rPr>
      </w:pPr>
      <w:r>
        <w:rPr>
          <w:rFonts w:hint="eastAsia" w:hAnsi="宋体" w:cs="宋体"/>
          <w:color w:val="auto"/>
          <w:highlight w:val="none"/>
        </w:rPr>
        <w:t>5.上述的标的免费保修期为</w:t>
      </w:r>
      <w:r>
        <w:rPr>
          <w:rFonts w:hint="eastAsia" w:hAnsi="宋体" w:cs="宋体"/>
          <w:color w:val="auto"/>
          <w:highlight w:val="none"/>
          <w:u w:val="single"/>
        </w:rPr>
        <w:t xml:space="preserve">     </w:t>
      </w:r>
      <w:r>
        <w:rPr>
          <w:rFonts w:hint="eastAsia" w:hAnsi="宋体" w:cs="宋体"/>
          <w:color w:val="auto"/>
          <w:highlight w:val="none"/>
        </w:rPr>
        <w:t>年，因人为因素出现的故障不在免费保修范围内。超过保修期的产品，终生维修，维修时只收部件成本费。</w:t>
      </w:r>
    </w:p>
    <w:p>
      <w:pPr>
        <w:pStyle w:val="23"/>
        <w:snapToGrid w:val="0"/>
        <w:spacing w:line="360" w:lineRule="auto"/>
        <w:rPr>
          <w:rFonts w:hAnsi="宋体" w:cs="宋体"/>
          <w:b/>
          <w:color w:val="auto"/>
          <w:highlight w:val="none"/>
        </w:rPr>
      </w:pPr>
      <w:r>
        <w:rPr>
          <w:rFonts w:hint="eastAsia" w:hAnsi="宋体" w:cs="宋体"/>
          <w:b/>
          <w:color w:val="auto"/>
          <w:highlight w:val="none"/>
        </w:rPr>
        <w:t>十三、调试和验收</w:t>
      </w:r>
    </w:p>
    <w:p>
      <w:pPr>
        <w:pStyle w:val="23"/>
        <w:snapToGrid w:val="0"/>
        <w:spacing w:line="360" w:lineRule="auto"/>
        <w:jc w:val="left"/>
        <w:rPr>
          <w:rFonts w:hAnsi="宋体" w:cs="宋体"/>
          <w:color w:val="auto"/>
          <w:highlight w:val="none"/>
        </w:rPr>
      </w:pPr>
      <w:r>
        <w:rPr>
          <w:rFonts w:hint="eastAsia" w:hAnsi="宋体" w:cs="宋体"/>
          <w:color w:val="auto"/>
          <w:highlight w:val="none"/>
        </w:rPr>
        <w:t>1. 甲方对乙方提交的标的依据招标文件上的技术规格要求和国家有关质量标准进行现场初步验收，外观、说明书符合招标文件技术要求的，给予签收，初步验收不合格的不予签收，甲方需在五个工作日内验收。</w:t>
      </w:r>
    </w:p>
    <w:p>
      <w:pPr>
        <w:pStyle w:val="23"/>
        <w:snapToGrid w:val="0"/>
        <w:spacing w:line="360" w:lineRule="auto"/>
        <w:rPr>
          <w:rFonts w:hAnsi="宋体" w:cs="宋体"/>
          <w:color w:val="auto"/>
          <w:highlight w:val="none"/>
        </w:rPr>
      </w:pPr>
      <w:r>
        <w:rPr>
          <w:rFonts w:hint="eastAsia" w:hAnsi="宋体" w:cs="宋体"/>
          <w:color w:val="auto"/>
          <w:highlight w:val="none"/>
        </w:rPr>
        <w:t>2. 乙方交付前应对产品作出全面检查和对验收文件进行整理，并列出清单，作为甲方验收和使用的技术条件依据，检验的结果应随标的交甲方。</w:t>
      </w:r>
    </w:p>
    <w:p>
      <w:pPr>
        <w:pStyle w:val="23"/>
        <w:snapToGrid w:val="0"/>
        <w:spacing w:line="360" w:lineRule="auto"/>
        <w:rPr>
          <w:rFonts w:hAnsi="宋体" w:cs="宋体"/>
          <w:color w:val="auto"/>
          <w:highlight w:val="none"/>
          <w:u w:val="single"/>
        </w:rPr>
      </w:pPr>
      <w:r>
        <w:rPr>
          <w:rFonts w:hint="eastAsia" w:hAnsi="宋体" w:cs="宋体"/>
          <w:color w:val="auto"/>
          <w:highlight w:val="none"/>
        </w:rPr>
        <w:t>3. 甲方对乙方提供的标的在使用前进行调试时，乙方需负责安装并培训甲方的使用操作人员，并协助甲方一起调试，直到符合技术要求，甲方才做最终验收。</w:t>
      </w:r>
    </w:p>
    <w:p>
      <w:pPr>
        <w:pStyle w:val="23"/>
        <w:snapToGrid w:val="0"/>
        <w:spacing w:line="360" w:lineRule="auto"/>
        <w:rPr>
          <w:rFonts w:hAnsi="宋体" w:cs="宋体"/>
          <w:color w:val="auto"/>
          <w:highlight w:val="none"/>
        </w:rPr>
      </w:pPr>
      <w:r>
        <w:rPr>
          <w:rFonts w:hint="eastAsia" w:hAnsi="宋体" w:cs="宋体"/>
          <w:color w:val="auto"/>
          <w:highlight w:val="none"/>
        </w:rPr>
        <w:t>4. 对技术复杂的标的，甲方应请国家认可的专业检测机构参与初步验收及最终验收，并由其出具质量检测报告。</w:t>
      </w:r>
    </w:p>
    <w:p>
      <w:pPr>
        <w:pStyle w:val="23"/>
        <w:snapToGrid w:val="0"/>
        <w:spacing w:line="360" w:lineRule="auto"/>
        <w:rPr>
          <w:rFonts w:hAnsi="宋体" w:cs="宋体"/>
          <w:color w:val="auto"/>
          <w:highlight w:val="none"/>
        </w:rPr>
      </w:pPr>
      <w:r>
        <w:rPr>
          <w:rFonts w:hint="eastAsia" w:hAnsi="宋体" w:cs="宋体"/>
          <w:color w:val="auto"/>
          <w:highlight w:val="none"/>
        </w:rPr>
        <w:t>5. 验收时乙方必须在现场，验收完毕后作出验收结果报告；验收费用由乙方负责。</w:t>
      </w:r>
    </w:p>
    <w:p>
      <w:pPr>
        <w:pStyle w:val="23"/>
        <w:snapToGrid w:val="0"/>
        <w:spacing w:line="360" w:lineRule="auto"/>
        <w:rPr>
          <w:rFonts w:hAnsi="宋体" w:cs="宋体"/>
          <w:b/>
          <w:color w:val="auto"/>
          <w:highlight w:val="none"/>
        </w:rPr>
      </w:pPr>
      <w:r>
        <w:rPr>
          <w:rFonts w:hint="eastAsia" w:hAnsi="宋体" w:cs="宋体"/>
          <w:b/>
          <w:color w:val="auto"/>
          <w:highlight w:val="none"/>
        </w:rPr>
        <w:t>十四、包装、发运及运输</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1. 乙方应在发运前对其进行满足运输距离、防潮、防震、防锈和防破损装卸等要求包装，以保证安全运达甲方指定地点。</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2. 使用说明书、质量检验证明书、随配附件和工具以及清单一并附于标的内。</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3. 乙方在发运手续办理完毕后24小时内或到甲方48小时前通知甲方，以准备接收。</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4. 标的在交付甲方前发生的风险均由乙方负责。</w:t>
      </w:r>
    </w:p>
    <w:p>
      <w:pPr>
        <w:pStyle w:val="23"/>
        <w:snapToGrid w:val="0"/>
        <w:spacing w:line="360" w:lineRule="auto"/>
        <w:ind w:left="420" w:right="26" w:hanging="420" w:hangingChars="200"/>
        <w:rPr>
          <w:rFonts w:hAnsi="宋体" w:cs="宋体"/>
          <w:color w:val="auto"/>
          <w:highlight w:val="none"/>
        </w:rPr>
      </w:pPr>
      <w:r>
        <w:rPr>
          <w:rFonts w:hint="eastAsia" w:hAnsi="宋体" w:cs="宋体"/>
          <w:color w:val="auto"/>
          <w:highlight w:val="none"/>
        </w:rPr>
        <w:t>5. 标的在规定的交付期限内由乙方送达甲方指定的地点视为交付，乙方同时需通知甲方标的已送达。</w:t>
      </w:r>
    </w:p>
    <w:p>
      <w:pPr>
        <w:pStyle w:val="23"/>
        <w:snapToGrid w:val="0"/>
        <w:spacing w:line="360" w:lineRule="auto"/>
        <w:rPr>
          <w:rFonts w:hAnsi="宋体" w:cs="宋体"/>
          <w:b/>
          <w:color w:val="auto"/>
          <w:highlight w:val="none"/>
        </w:rPr>
      </w:pPr>
      <w:r>
        <w:rPr>
          <w:rFonts w:hint="eastAsia" w:hAnsi="宋体" w:cs="宋体"/>
          <w:b/>
          <w:color w:val="auto"/>
          <w:highlight w:val="none"/>
        </w:rPr>
        <w:t>十五、违约责任</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1. 甲方无正当理由拒收的，甲方向乙方偿付拒收合同款总值的5%违约金。</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2. 甲方无故逾期验收和办理款项支付手续的,甲方应按逾期付款总额每日万分之五向乙方支付违约金。</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 xml:space="preserve">3. 乙方逾期交付的，乙方应按逾期交付总额每日万分之五向甲方支付违约金，由甲方从待付货款中扣除。逾期超过约定日期20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3"/>
        <w:snapToGrid w:val="0"/>
        <w:spacing w:line="360" w:lineRule="auto"/>
        <w:ind w:left="359" w:hanging="359" w:hangingChars="171"/>
        <w:rPr>
          <w:rFonts w:hAnsi="宋体" w:cs="宋体"/>
          <w:color w:val="auto"/>
          <w:highlight w:val="none"/>
        </w:rPr>
      </w:pPr>
      <w:r>
        <w:rPr>
          <w:rFonts w:hint="eastAsia" w:hAnsi="宋体" w:cs="宋体"/>
          <w:color w:val="auto"/>
          <w:highlight w:val="none"/>
        </w:rPr>
        <w:t>4. 乙方所交的标的品种、型号、规格、技术参数、质量不符合合同规定及招标文件规定标准的，甲方有权拒收，乙方愿意更换但逾期交付的，按乙方逾期交付处理。乙方拒绝更换的，甲方可单方面解除合同。</w:t>
      </w:r>
    </w:p>
    <w:p>
      <w:pPr>
        <w:pStyle w:val="23"/>
        <w:snapToGrid w:val="0"/>
        <w:spacing w:line="360" w:lineRule="auto"/>
        <w:rPr>
          <w:rFonts w:hAnsi="宋体" w:cs="宋体"/>
          <w:b/>
          <w:color w:val="auto"/>
          <w:highlight w:val="none"/>
        </w:rPr>
      </w:pPr>
      <w:r>
        <w:rPr>
          <w:rFonts w:hint="eastAsia" w:hAnsi="宋体" w:cs="宋体"/>
          <w:b/>
          <w:color w:val="auto"/>
          <w:highlight w:val="none"/>
        </w:rPr>
        <w:t>十六、不可抗力事件处理</w:t>
      </w:r>
    </w:p>
    <w:p>
      <w:pPr>
        <w:pStyle w:val="23"/>
        <w:snapToGrid w:val="0"/>
        <w:spacing w:line="360" w:lineRule="auto"/>
        <w:rPr>
          <w:rFonts w:hAnsi="宋体" w:cs="宋体"/>
          <w:color w:val="auto"/>
          <w:highlight w:val="none"/>
        </w:rPr>
      </w:pPr>
      <w:r>
        <w:rPr>
          <w:rFonts w:hint="eastAsia" w:hAnsi="宋体" w:cs="宋体"/>
          <w:color w:val="auto"/>
          <w:highlight w:val="none"/>
        </w:rPr>
        <w:t>1. 在合同有效期内，任何一方因不可抗力事件导致不能履行合同，则合同履行期可延长，其延长期与不可抗力影响期相同。</w:t>
      </w:r>
    </w:p>
    <w:p>
      <w:pPr>
        <w:pStyle w:val="23"/>
        <w:snapToGrid w:val="0"/>
        <w:spacing w:line="360" w:lineRule="auto"/>
        <w:rPr>
          <w:rFonts w:hAnsi="宋体" w:cs="宋体"/>
          <w:color w:val="auto"/>
          <w:highlight w:val="none"/>
        </w:rPr>
      </w:pPr>
      <w:r>
        <w:rPr>
          <w:rFonts w:hint="eastAsia" w:hAnsi="宋体" w:cs="宋体"/>
          <w:color w:val="auto"/>
          <w:highlight w:val="none"/>
        </w:rPr>
        <w:t>2. 不可抗力事件发生后，应立即通知对方，并寄送有关权威机构出具的证明。</w:t>
      </w:r>
    </w:p>
    <w:p>
      <w:pPr>
        <w:pStyle w:val="23"/>
        <w:snapToGrid w:val="0"/>
        <w:spacing w:line="360" w:lineRule="auto"/>
        <w:rPr>
          <w:rFonts w:hAnsi="宋体" w:cs="宋体"/>
          <w:color w:val="auto"/>
          <w:highlight w:val="none"/>
        </w:rPr>
      </w:pPr>
      <w:r>
        <w:rPr>
          <w:rFonts w:hint="eastAsia" w:hAnsi="宋体" w:cs="宋体"/>
          <w:color w:val="auto"/>
          <w:highlight w:val="none"/>
        </w:rPr>
        <w:t>3. 不可抗力事件延续120天以上，双方应通过友好协商，确定是否继续履行合同。</w:t>
      </w:r>
    </w:p>
    <w:p>
      <w:pPr>
        <w:pStyle w:val="23"/>
        <w:snapToGrid w:val="0"/>
        <w:spacing w:line="360" w:lineRule="auto"/>
        <w:rPr>
          <w:rFonts w:hAnsi="宋体" w:cs="宋体"/>
          <w:b/>
          <w:color w:val="auto"/>
          <w:highlight w:val="none"/>
        </w:rPr>
      </w:pPr>
      <w:r>
        <w:rPr>
          <w:rFonts w:hint="eastAsia" w:hAnsi="宋体" w:cs="宋体"/>
          <w:b/>
          <w:color w:val="auto"/>
          <w:highlight w:val="none"/>
        </w:rPr>
        <w:t>十七、诉讼</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 xml:space="preserve"> 双方在执行合同中所发生的一切争议，应通过协商解决。如协商不成，可向甲方所在地提起仲裁或法院起诉。</w:t>
      </w:r>
    </w:p>
    <w:p>
      <w:pPr>
        <w:pStyle w:val="23"/>
        <w:snapToGrid w:val="0"/>
        <w:spacing w:line="360" w:lineRule="auto"/>
        <w:rPr>
          <w:rFonts w:hAnsi="宋体" w:cs="宋体"/>
          <w:b/>
          <w:color w:val="auto"/>
          <w:highlight w:val="none"/>
        </w:rPr>
      </w:pPr>
      <w:r>
        <w:rPr>
          <w:rFonts w:hint="eastAsia" w:hAnsi="宋体" w:cs="宋体"/>
          <w:b/>
          <w:color w:val="auto"/>
          <w:highlight w:val="none"/>
        </w:rPr>
        <w:t>十八、合同生效及其它</w:t>
      </w:r>
    </w:p>
    <w:p>
      <w:pPr>
        <w:pStyle w:val="23"/>
        <w:snapToGrid w:val="0"/>
        <w:spacing w:line="360" w:lineRule="auto"/>
        <w:rPr>
          <w:rFonts w:hAnsi="宋体" w:cs="宋体"/>
          <w:color w:val="auto"/>
          <w:highlight w:val="none"/>
        </w:rPr>
      </w:pPr>
      <w:r>
        <w:rPr>
          <w:rFonts w:hint="eastAsia" w:hAnsi="宋体" w:cs="宋体"/>
          <w:color w:val="auto"/>
          <w:highlight w:val="none"/>
        </w:rPr>
        <w:t>1. 合同经双方法定代表人或授权代表签字并盖章后生效。</w:t>
      </w:r>
    </w:p>
    <w:p>
      <w:pPr>
        <w:tabs>
          <w:tab w:val="left" w:pos="231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 根据《中华人民共和国政府采购法实施条例》第50条之规定，本合同自签订之日起2个工作日内，由甲方在浙江政府采购网(www.zjzfcg.gov.cn)上公告。</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3.本合同未尽事宜，遵照《民法典》有关条文执行。</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4.本合同正本一式两份，具有同等法律效力，甲乙双方各执一份；副本</w:t>
      </w:r>
      <w:r>
        <w:rPr>
          <w:rFonts w:hint="eastAsia" w:hAnsi="宋体" w:cs="宋体"/>
          <w:b/>
          <w:color w:val="auto"/>
          <w:highlight w:val="none"/>
          <w:u w:val="single"/>
        </w:rPr>
        <w:t xml:space="preserve">   </w:t>
      </w:r>
      <w:r>
        <w:rPr>
          <w:rFonts w:hint="eastAsia" w:hAnsi="宋体" w:cs="宋体"/>
          <w:color w:val="auto"/>
          <w:highlight w:val="none"/>
        </w:rPr>
        <w:t>份，(用途)。</w:t>
      </w:r>
    </w:p>
    <w:p>
      <w:pPr>
        <w:pStyle w:val="23"/>
        <w:snapToGrid w:val="0"/>
        <w:spacing w:line="360" w:lineRule="auto"/>
        <w:ind w:left="420" w:hanging="420" w:hangingChars="200"/>
        <w:rPr>
          <w:rFonts w:hAnsi="宋体" w:cs="宋体"/>
          <w:color w:val="auto"/>
          <w:highlight w:val="none"/>
        </w:rPr>
      </w:pPr>
      <w:r>
        <w:rPr>
          <w:rFonts w:hint="eastAsia" w:hAnsi="宋体" w:cs="宋体"/>
          <w:color w:val="auto"/>
          <w:highlight w:val="none"/>
        </w:rPr>
        <w:t xml:space="preserve">  甲方：                                   乙方： </w:t>
      </w:r>
    </w:p>
    <w:p>
      <w:pPr>
        <w:pStyle w:val="23"/>
        <w:snapToGrid w:val="0"/>
        <w:spacing w:line="360" w:lineRule="auto"/>
        <w:rPr>
          <w:rFonts w:hAnsi="宋体" w:cs="宋体"/>
          <w:color w:val="auto"/>
          <w:highlight w:val="none"/>
        </w:rPr>
      </w:pPr>
      <w:r>
        <w:rPr>
          <w:rFonts w:hint="eastAsia" w:hAnsi="宋体" w:cs="宋体"/>
          <w:color w:val="auto"/>
          <w:highlight w:val="none"/>
        </w:rPr>
        <w:t xml:space="preserve">  地址：                                   地址： </w:t>
      </w:r>
    </w:p>
    <w:p>
      <w:pPr>
        <w:pStyle w:val="23"/>
        <w:snapToGrid w:val="0"/>
        <w:spacing w:line="360" w:lineRule="auto"/>
        <w:rPr>
          <w:rFonts w:hAnsi="宋体" w:cs="宋体"/>
          <w:color w:val="auto"/>
          <w:highlight w:val="none"/>
        </w:rPr>
      </w:pPr>
      <w:r>
        <w:rPr>
          <w:rFonts w:hint="eastAsia" w:hAnsi="宋体" w:cs="宋体"/>
          <w:color w:val="auto"/>
          <w:highlight w:val="none"/>
        </w:rPr>
        <w:t xml:space="preserve">  法定（授权）代表人：                     法定（授权）代表人：</w:t>
      </w:r>
    </w:p>
    <w:p>
      <w:pPr>
        <w:pStyle w:val="23"/>
        <w:snapToGrid w:val="0"/>
        <w:spacing w:line="360" w:lineRule="auto"/>
        <w:rPr>
          <w:rFonts w:hAnsi="宋体" w:cs="宋体"/>
          <w:color w:val="auto"/>
          <w:highlight w:val="none"/>
        </w:rPr>
      </w:pPr>
      <w:r>
        <w:rPr>
          <w:rFonts w:hint="eastAsia" w:hAnsi="宋体" w:cs="宋体"/>
          <w:color w:val="auto"/>
          <w:highlight w:val="none"/>
        </w:rPr>
        <w:t xml:space="preserve">  </w:t>
      </w:r>
    </w:p>
    <w:p>
      <w:pPr>
        <w:pStyle w:val="23"/>
        <w:snapToGrid w:val="0"/>
        <w:spacing w:line="360" w:lineRule="auto"/>
        <w:rPr>
          <w:rFonts w:hAnsi="宋体" w:cs="宋体"/>
          <w:color w:val="auto"/>
          <w:highlight w:val="none"/>
        </w:rPr>
      </w:pPr>
      <w:r>
        <w:rPr>
          <w:rFonts w:hint="eastAsia" w:hAnsi="宋体" w:cs="宋体"/>
          <w:color w:val="auto"/>
          <w:highlight w:val="none"/>
        </w:rPr>
        <w:t>签字日期：      年  月  日           签字日期：      年  月  日</w:t>
      </w:r>
    </w:p>
    <w:p>
      <w:pPr>
        <w:pStyle w:val="3"/>
        <w:spacing w:before="0" w:after="0" w:line="276" w:lineRule="auto"/>
        <w:jc w:val="center"/>
        <w:rPr>
          <w:rFonts w:ascii="宋体"/>
          <w:color w:val="auto"/>
          <w:sz w:val="28"/>
          <w:szCs w:val="28"/>
          <w:highlight w:val="none"/>
        </w:rPr>
        <w:sectPr>
          <w:headerReference r:id="rId8" w:type="default"/>
          <w:footerReference r:id="rId9" w:type="default"/>
          <w:pgSz w:w="11906" w:h="16838"/>
          <w:pgMar w:top="1418" w:right="1418"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bookmarkEnd w:id="89"/>
    <w:p>
      <w:pPr>
        <w:pStyle w:val="4"/>
        <w:jc w:val="center"/>
        <w:rPr>
          <w:color w:val="auto"/>
          <w:highlight w:val="none"/>
        </w:rPr>
      </w:pPr>
      <w:bookmarkStart w:id="90" w:name="_Toc1899"/>
      <w:bookmarkStart w:id="91" w:name="_Toc241827249"/>
      <w:r>
        <w:rPr>
          <w:rFonts w:hint="eastAsia"/>
          <w:color w:val="auto"/>
          <w:highlight w:val="none"/>
        </w:rPr>
        <w:t>第四部分  技术要求</w:t>
      </w:r>
      <w:bookmarkEnd w:id="90"/>
    </w:p>
    <w:p>
      <w:pPr>
        <w:spacing w:line="324" w:lineRule="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一、采购项目概况：</w:t>
      </w:r>
    </w:p>
    <w:tbl>
      <w:tblPr>
        <w:tblStyle w:val="40"/>
        <w:tblW w:w="8798" w:type="dxa"/>
        <w:tblInd w:w="7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978"/>
        <w:gridCol w:w="1769"/>
        <w:gridCol w:w="22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12"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978"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课程类型</w:t>
            </w:r>
          </w:p>
        </w:tc>
        <w:tc>
          <w:tcPr>
            <w:tcW w:w="1769"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时间</w:t>
            </w:r>
          </w:p>
        </w:tc>
        <w:tc>
          <w:tcPr>
            <w:tcW w:w="2239"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最高单价限价（元/个）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978"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慕课、新形态教材、课程思政课程</w:t>
            </w:r>
          </w:p>
        </w:tc>
        <w:tc>
          <w:tcPr>
            <w:tcW w:w="176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10-15分钟</w:t>
            </w:r>
          </w:p>
        </w:tc>
        <w:tc>
          <w:tcPr>
            <w:tcW w:w="223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1500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Merge w:val="continue"/>
            <w:vAlign w:val="center"/>
          </w:tcPr>
          <w:p>
            <w:pPr>
              <w:spacing w:line="336" w:lineRule="auto"/>
              <w:jc w:val="center"/>
              <w:rPr>
                <w:rFonts w:ascii="宋体" w:hAnsi="宋体" w:cs="宋体"/>
                <w:color w:val="auto"/>
                <w:sz w:val="21"/>
                <w:szCs w:val="21"/>
                <w:highlight w:val="none"/>
              </w:rPr>
            </w:pPr>
          </w:p>
        </w:tc>
        <w:tc>
          <w:tcPr>
            <w:tcW w:w="3978" w:type="dxa"/>
            <w:vMerge w:val="continue"/>
            <w:vAlign w:val="center"/>
          </w:tcPr>
          <w:p>
            <w:pPr>
              <w:spacing w:line="336" w:lineRule="auto"/>
              <w:jc w:val="center"/>
              <w:rPr>
                <w:rFonts w:ascii="宋体" w:hAnsi="宋体" w:cs="宋体"/>
                <w:color w:val="auto"/>
                <w:sz w:val="21"/>
                <w:szCs w:val="21"/>
                <w:highlight w:val="none"/>
              </w:rPr>
            </w:pPr>
          </w:p>
        </w:tc>
        <w:tc>
          <w:tcPr>
            <w:tcW w:w="176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≤10分钟</w:t>
            </w:r>
          </w:p>
        </w:tc>
        <w:tc>
          <w:tcPr>
            <w:tcW w:w="223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978"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说课视频（需AE制作，不低于两处的特效包装）</w:t>
            </w:r>
          </w:p>
        </w:tc>
        <w:tc>
          <w:tcPr>
            <w:tcW w:w="176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10分钟</w:t>
            </w:r>
          </w:p>
        </w:tc>
        <w:tc>
          <w:tcPr>
            <w:tcW w:w="223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978"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创新教学大赛等各类教学竞赛中课堂实录视频（含一镜到底）</w:t>
            </w:r>
          </w:p>
        </w:tc>
        <w:tc>
          <w:tcPr>
            <w:tcW w:w="176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45分钟</w:t>
            </w:r>
          </w:p>
        </w:tc>
        <w:tc>
          <w:tcPr>
            <w:tcW w:w="223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978"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微课大赛</w:t>
            </w:r>
          </w:p>
        </w:tc>
        <w:tc>
          <w:tcPr>
            <w:tcW w:w="176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≤10分钟</w:t>
            </w:r>
          </w:p>
        </w:tc>
        <w:tc>
          <w:tcPr>
            <w:tcW w:w="2239"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Merge w:val="continue"/>
            <w:vAlign w:val="center"/>
          </w:tcPr>
          <w:p>
            <w:pPr>
              <w:spacing w:line="336" w:lineRule="auto"/>
              <w:jc w:val="center"/>
              <w:rPr>
                <w:rFonts w:ascii="宋体" w:hAnsi="宋体" w:cs="宋体"/>
                <w:color w:val="auto"/>
                <w:sz w:val="21"/>
                <w:szCs w:val="21"/>
                <w:highlight w:val="none"/>
              </w:rPr>
            </w:pPr>
          </w:p>
        </w:tc>
        <w:tc>
          <w:tcPr>
            <w:tcW w:w="3978"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青年教师竞赛</w:t>
            </w:r>
          </w:p>
        </w:tc>
        <w:tc>
          <w:tcPr>
            <w:tcW w:w="1769" w:type="dxa"/>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≤20分钟</w:t>
            </w:r>
          </w:p>
        </w:tc>
        <w:tc>
          <w:tcPr>
            <w:tcW w:w="2239" w:type="dxa"/>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978" w:type="dxa"/>
            <w:vAlign w:val="center"/>
          </w:tcPr>
          <w:p>
            <w:pPr>
              <w:spacing w:line="4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二维动画</w:t>
            </w:r>
          </w:p>
        </w:tc>
        <w:tc>
          <w:tcPr>
            <w:tcW w:w="4008" w:type="dxa"/>
            <w:gridSpan w:val="2"/>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20元/秒</w:t>
            </w:r>
          </w:p>
        </w:tc>
      </w:tr>
    </w:tbl>
    <w:p>
      <w:pPr>
        <w:numPr>
          <w:ilvl w:val="0"/>
          <w:numId w:val="6"/>
        </w:numPr>
        <w:spacing w:line="360" w:lineRule="auto"/>
        <w:rPr>
          <w:b/>
          <w:color w:val="auto"/>
          <w:sz w:val="21"/>
          <w:szCs w:val="21"/>
          <w:highlight w:val="none"/>
        </w:rPr>
      </w:pPr>
      <w:r>
        <w:rPr>
          <w:rFonts w:hint="eastAsia"/>
          <w:b/>
          <w:color w:val="auto"/>
          <w:sz w:val="21"/>
          <w:szCs w:val="21"/>
          <w:highlight w:val="none"/>
        </w:rPr>
        <w:t>服务期限：</w:t>
      </w:r>
      <w:r>
        <w:rPr>
          <w:rFonts w:hint="eastAsia"/>
          <w:b/>
          <w:bCs/>
          <w:color w:val="auto"/>
          <w:sz w:val="21"/>
          <w:szCs w:val="21"/>
          <w:highlight w:val="none"/>
        </w:rPr>
        <w:t>自合同签订之日起</w:t>
      </w:r>
      <w:r>
        <w:rPr>
          <w:rFonts w:hint="eastAsia"/>
          <w:b/>
          <w:bCs/>
          <w:color w:val="auto"/>
          <w:sz w:val="21"/>
          <w:szCs w:val="21"/>
          <w:highlight w:val="none"/>
          <w:lang w:val="en-US" w:eastAsia="zh-CN"/>
        </w:rPr>
        <w:t>二年，合同一年一签，视上一年度教师评价情况续签下一年</w:t>
      </w:r>
      <w:r>
        <w:rPr>
          <w:rFonts w:hint="eastAsia"/>
          <w:b/>
          <w:color w:val="auto"/>
          <w:sz w:val="21"/>
          <w:szCs w:val="21"/>
          <w:highlight w:val="none"/>
        </w:rPr>
        <w:t>。</w:t>
      </w:r>
    </w:p>
    <w:p>
      <w:pPr>
        <w:numPr>
          <w:ilvl w:val="0"/>
          <w:numId w:val="6"/>
        </w:numPr>
        <w:spacing w:line="360" w:lineRule="auto"/>
        <w:rPr>
          <w:color w:val="auto"/>
          <w:highlight w:val="none"/>
        </w:rPr>
      </w:pPr>
      <w:r>
        <w:rPr>
          <w:rFonts w:hint="eastAsia"/>
          <w:b/>
          <w:color w:val="auto"/>
          <w:sz w:val="21"/>
          <w:szCs w:val="21"/>
          <w:highlight w:val="none"/>
        </w:rPr>
        <w:t>中标单位数量：三家；</w:t>
      </w:r>
    </w:p>
    <w:p>
      <w:pPr>
        <w:spacing w:line="360" w:lineRule="auto"/>
        <w:ind w:firstLine="422" w:firstLineChars="200"/>
        <w:rPr>
          <w:color w:val="auto"/>
          <w:highlight w:val="none"/>
        </w:rPr>
      </w:pPr>
      <w:r>
        <w:rPr>
          <w:rFonts w:hint="eastAsia"/>
          <w:b/>
          <w:color w:val="auto"/>
          <w:sz w:val="21"/>
          <w:szCs w:val="21"/>
          <w:highlight w:val="none"/>
        </w:rPr>
        <w:t>服务单位分配比例约4:3:3，</w:t>
      </w:r>
      <w:r>
        <w:rPr>
          <w:rFonts w:hint="eastAsia" w:ascii="宋体" w:hAnsi="宋体" w:cs="宋体"/>
          <w:b/>
          <w:color w:val="auto"/>
          <w:sz w:val="21"/>
          <w:szCs w:val="21"/>
          <w:highlight w:val="none"/>
        </w:rPr>
        <w:t>招标人不保证合同期内中标人的具体业务量和业务金额。</w:t>
      </w:r>
    </w:p>
    <w:p>
      <w:pPr>
        <w:spacing w:line="360" w:lineRule="auto"/>
        <w:outlineLvl w:val="0"/>
        <w:rPr>
          <w:rFonts w:ascii="宋体" w:hAnsi="宋体" w:cs="宋体"/>
          <w:b/>
          <w:bCs/>
          <w:color w:val="auto"/>
          <w:sz w:val="21"/>
          <w:szCs w:val="21"/>
          <w:highlight w:val="none"/>
        </w:rPr>
      </w:pPr>
      <w:r>
        <w:rPr>
          <w:rFonts w:hint="eastAsia" w:ascii="宋体" w:hAnsi="宋体" w:cs="宋体"/>
          <w:b/>
          <w:color w:val="auto"/>
          <w:sz w:val="21"/>
          <w:szCs w:val="21"/>
          <w:highlight w:val="none"/>
        </w:rPr>
        <w:t>四、</w:t>
      </w:r>
      <w:r>
        <w:rPr>
          <w:rFonts w:hint="eastAsia" w:ascii="宋体" w:hAnsi="宋体" w:cs="宋体"/>
          <w:b/>
          <w:bCs/>
          <w:color w:val="auto"/>
          <w:sz w:val="21"/>
          <w:szCs w:val="21"/>
          <w:highlight w:val="none"/>
        </w:rPr>
        <w:t>技术服务要求</w:t>
      </w:r>
    </w:p>
    <w:tbl>
      <w:tblPr>
        <w:tblStyle w:val="40"/>
        <w:tblW w:w="925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836"/>
        <w:gridCol w:w="7251"/>
        <w:gridCol w:w="11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tblHeader/>
          <w:jc w:val="center"/>
        </w:trPr>
        <w:tc>
          <w:tcPr>
            <w:tcW w:w="836" w:type="dxa"/>
            <w:tcBorders>
              <w:bottom w:val="single" w:color="auto" w:sz="4" w:space="0"/>
            </w:tcBorders>
            <w:shd w:val="clear" w:color="auto" w:fill="DBEEF3" w:themeFill="accent5" w:themeFillTint="32"/>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b/>
                <w:bCs/>
                <w:color w:val="auto"/>
                <w:sz w:val="21"/>
                <w:szCs w:val="21"/>
                <w:highlight w:val="none"/>
              </w:rPr>
              <w:t>条款号</w:t>
            </w:r>
          </w:p>
        </w:tc>
        <w:tc>
          <w:tcPr>
            <w:tcW w:w="7251" w:type="dxa"/>
            <w:tcBorders>
              <w:bottom w:val="single" w:color="auto" w:sz="4" w:space="0"/>
            </w:tcBorders>
            <w:shd w:val="clear" w:color="auto" w:fill="DBEEF3" w:themeFill="accent5" w:themeFillTint="32"/>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b/>
                <w:bCs/>
                <w:color w:val="auto"/>
                <w:sz w:val="21"/>
                <w:szCs w:val="21"/>
                <w:highlight w:val="none"/>
              </w:rPr>
              <w:t>招标要求</w:t>
            </w:r>
          </w:p>
        </w:tc>
        <w:tc>
          <w:tcPr>
            <w:tcW w:w="1170" w:type="dxa"/>
            <w:tcBorders>
              <w:bottom w:val="single" w:color="auto" w:sz="4" w:space="0"/>
            </w:tcBorders>
            <w:shd w:val="clear" w:color="auto" w:fill="DBEEF3" w:themeFill="accent5" w:themeFillTint="32"/>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b/>
                <w:bCs/>
                <w:color w:val="auto"/>
                <w:sz w:val="21"/>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41"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一</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整体要求</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制作公司须用现代化的影视手段，对传统的教学进行视频化编排，以课堂内容为核心，针对各类教学视频标准要求拍摄制作成所需要的教学视频。视频拍摄制作技术须达到或高于国家高等院校专业教学资源库相关资源制作标准要求。</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本项目至少需要投入课程编导2人、课程顾问2人、摄像师2人、PPT设计及界面人员2人、动画制作1人、化妆师1人。项目负责人1人，可由上述人员兼任。拍摄前须提供详细的拍摄计划，并保证与主讲教师有效沟通，后期须尊重主讲教师的修改意见。</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制作公司有能力将所拍摄的课程视频可根据学校需求制作成各类形式，如：慕课课程、精品公开课、资源共享课、微课程等。</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制作公司须有强大的拍摄团队，能满足双机位拍摄。</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29"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制作公司能满足多种拍摄需求，如课堂实录、场景摆拍、抠像拍摄、外景拍摄、实训/实验拍摄、智慧课堂拍摄、商业片模式拍摄等。</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制作公司须具有丰富的课程在线运行经验，以满足学校后续相关扩展性需求，并支持与学校现有网络教学对。</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微课成品基本要求：</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7.1</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文件格式：扩展名*.mp4（优先选用mp4格式）。</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7.2</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品质要求：视频压缩采用H.264(MPEG-4 Part10：profile=main, level=3.0)编码方式，码率256 Kbps以上，帧率不低于25 fps，分辨率不低于720×576（4:3）或1024×576（16:9）。</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7.3</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字幕要求：</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7.3.1</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字幕清晰美观，能正确有效地传达信息。字幕尽可能少，在节目中的停留时间以能看清楚为准。</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7.3.2</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59"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7.4</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画面要求：</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7.4.1</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视频类素材每帧图像颜色数不低于256色。</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36"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7.4.2</w:t>
            </w:r>
          </w:p>
        </w:tc>
        <w:tc>
          <w:tcPr>
            <w:tcW w:w="7251" w:type="dxa"/>
            <w:tcBorders>
              <w:top w:val="single" w:color="auto" w:sz="2"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视频图像清晰，播放时没有明显的噪点，播放流畅。</w:t>
            </w:r>
          </w:p>
        </w:tc>
        <w:tc>
          <w:tcPr>
            <w:tcW w:w="1170" w:type="dxa"/>
            <w:tcBorders>
              <w:top w:val="single" w:color="auto" w:sz="2"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36" w:type="dxa"/>
            <w:tcBorders>
              <w:top w:val="single" w:color="auto" w:sz="4"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7.4.3</w:t>
            </w:r>
          </w:p>
        </w:tc>
        <w:tc>
          <w:tcPr>
            <w:tcW w:w="7251" w:type="dxa"/>
            <w:tcBorders>
              <w:top w:val="single" w:color="auto" w:sz="4" w:space="0"/>
              <w:bottom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彩色视频素材每帧图像颜色均为真彩色。</w:t>
            </w:r>
          </w:p>
        </w:tc>
        <w:tc>
          <w:tcPr>
            <w:tcW w:w="1170" w:type="dxa"/>
            <w:tcBorders>
              <w:top w:val="single" w:color="auto" w:sz="4" w:space="0"/>
              <w:bottom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7.4.4</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音频与视频图像有良好的同步，音频部分应符合音频素材的质量要求。</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836" w:type="dxa"/>
            <w:tcBorders>
              <w:top w:val="single" w:color="auto" w:sz="2" w:space="0"/>
            </w:tcBorders>
            <w:noWrap/>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7.5</w:t>
            </w:r>
          </w:p>
        </w:tc>
        <w:tc>
          <w:tcPr>
            <w:tcW w:w="7251" w:type="dxa"/>
            <w:tcBorders>
              <w:top w:val="single" w:color="auto" w:sz="2" w:space="0"/>
            </w:tcBorders>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内容要求</w:t>
            </w:r>
          </w:p>
        </w:tc>
        <w:tc>
          <w:tcPr>
            <w:tcW w:w="1170" w:type="dxa"/>
            <w:tcBorders>
              <w:top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7.5.1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视频内容符合我国法律法规，尊重各民族的风俗习惯，版权不存在争议；若其中包含少数民族或外国语言文字信息，应遵循其原内容完整性，使用原语言进行处理。</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836" w:type="dxa"/>
            <w:tcBorders>
              <w:top w:val="single" w:color="auto" w:sz="2" w:space="0"/>
            </w:tcBorders>
            <w:noWrap/>
            <w:vAlign w:val="center"/>
          </w:tcPr>
          <w:p>
            <w:pPr>
              <w:widowControl/>
              <w:spacing w:line="32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二</w:t>
            </w:r>
          </w:p>
        </w:tc>
        <w:tc>
          <w:tcPr>
            <w:tcW w:w="7251" w:type="dxa"/>
            <w:tcBorders>
              <w:top w:val="single" w:color="auto" w:sz="2" w:space="0"/>
            </w:tcBorders>
            <w:noWrap/>
            <w:vAlign w:val="center"/>
          </w:tcPr>
          <w:p>
            <w:pPr>
              <w:widowControl/>
              <w:spacing w:line="32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具体制作要求</w:t>
            </w:r>
          </w:p>
        </w:tc>
        <w:tc>
          <w:tcPr>
            <w:tcW w:w="1170" w:type="dxa"/>
            <w:tcBorders>
              <w:top w:val="single" w:color="auto" w:sz="2" w:space="0"/>
            </w:tcBorders>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拍摄要求</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前期准备</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课程编导与教师制定拍摄方式，寻找拍摄场地。商定拍摄方式和拍摄环境，及时联系教师，确定拍摄场地和时间。</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课程编导与教师确定课程的内容。商定课程内容设计的安排，包括章节框架、知识点和具体的拍摄单元。</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课程编辑配合教师收集详细的课程资料、图片、视频、文档等等。</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1.1.4</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根据拍摄技术标准和课程内容，设计贴合教师授课特点的拍摄形式，与老师沟通说明拍摄要求，并协助提供着装意见。</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1.1.5</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根据老师的课程内容，设计教学场景并安排布景。</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1.1.6</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课程编导帮助主讲教师进行以知识点为中心的课程拍摄脚本设计。</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1.1.7</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每个课程视频时长不宜过长，约为8-15分钟。</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录制每门课程视频均采用专业高清摄像机，双机位拍摄,所用摄像机分辨率不低于1920X1080，录制视频宽高比16:9，视频帧率为25帧/秒。录音设备专业无线麦、领夹话筒3套。</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拍摄时应针对实际情况选择适当的拍摄方式，与后期制作统筹策划，确保成片中的多媒体演示及板书完整、清晰。</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视频制作要求</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使用专业的非线性编辑系统对源视频进行最基本的处理（如抠像、颜色校正、双声道处理）。使用专业的视频编辑系统进行视频降噪、音频降噪。</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为每门课程提供不同形式的模版。使用专业的后期合成软件进行片头设计：用平面设计+后期合成+3D渲染，根据每个课题的内容设计出相关联的内容元素，片头不超过6秒，包括:项目LOGO、课程名称、知识点名称、讲次、主讲教师姓名、专业技术职务、单位等信息。</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使用专业的后期合成软件和图片处理软件进行片花背景设计、配乐：根据每讲的课程内容来制定出相应的片花背景，并且主色调要和片头、尾还有内容相协调。</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2.4</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使用专业的后期合成软件进行课题条、简介条设计：根据课程内容不同，设计符合本课程的课题简介的模版，以此来介绍本讲的主要内容和老师名称。</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2.5</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内容编辑、资料查询（编导工作）：通篇观看源视频，根据主讲人所讲内容，理清脉络，划分片子结构，确定片子整体风格，查找相关素材资料；标记与课程内容关系不大的内容时间点，进行删除处理，并且确保不存在涉及政治和民族矛盾等字眼出现，最后编辑出最终的制作脚本。</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2.6</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专业非线性编辑系统制作片花、引文、情景图片：根据编导所提供的制作脚本来进行片花和引文等的编辑与制作，主要有背景板、特定的背景音乐、音乐场景特效、引文字体、字体颜色、构图排版、转场特效、基本剪辑、音视频调整与衔接等。</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2.7</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使用专业非线性编辑系统剪掉不必要的废镜头，制作完之后，添加必要的背景音乐，保证制作的片花无错误、无硬伤，画面美观，排版规范、逻辑完整。</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2.8</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使用专业的后期合成软件制作片尾：根据版权所有，制定相关的片尾名单，包括版权单位、录制时间等信息。</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2.9</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使用专业非线性编辑系统渲染成片：所有内容编辑结束之后，生成成片，成品为高清制式。</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2.10</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制作课程视频时，投标人须提供相应课程的相关电子资源，供教师在课程设计和课程视频制作时引用，具体电子资源包括：图书、视频、报纸、期刊、杂志等。</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2.11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对于视频剪辑中所引用的教育视频片段、期刊与电子图书资源，制作公司须保证无版权问题，须提供相关授权协议。</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后期技术指标</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视频信号源</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3.1.1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稳定性：全片图像同步性能稳定，无失步现象，CTL同步控制信号必须连续；图像无抖动跳跃，色彩无突变，编辑点处图像稳定。</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3.1.2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信噪比：图像信噪比不低于55dB，无明显杂波。</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3.1.3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色调：白平衡正确，无明显偏色，多机拍摄的镜头衔接处无明显色差。</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3.1.4</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视频电平：视频全讯号幅度为1Ⅴp-p，最大不超过1.1Ⅴ p-p。其中，消隐电平为0V时，白电平幅度0.7Ⅴp-p，同步信号-0.3V，色同步信号幅度0.3V p-p (以消隐线上下对称)，全片一致。</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音频信号源</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3.2.1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声道：中文内容音频信号记录于第1声道，音乐、音效、同期声记录于第2声道，若有其他文字解说记录于第3声道(如录音设备无第3声道,则录于第2声道)。</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3.2.2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电平指标：-2db —— -8db声音应无明显失真、放音过冲、过弱。</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1"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音频信噪比：不低于48db。</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3.2.4</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音画同步：声音和画面要求同步，无交流声或其他杂音等缺陷。</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3.2.5</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伴音：清晰、饱满、圆润，无失真、噪声杂音干扰、音量忽大忽小现象。解说声与现场声无明显比例失调，解说声与背景音乐无明显比例失调</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视、音频交付文件</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交付载体：所有视频文件及相应的SRT唱词文件请刻录在DVD+R光盘上，并对刻录光盘做封口处理。每张DVD+R光盘可以刻录多讲内容（每一讲内容包括视频文件及相应的SRT唱词文件），并在盘面上注明光盘中的内容清单（标记学校名称、课程名称、讲次及标题、主讲教师、时长等）。</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视频压缩格式及技术参数</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3.3.2.1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视频压缩采用H.264(MPEG-4Part10：profile=main,level=3.0)编码、使用二次编码、不包含字幕的 MP4格式。</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3.3.2.2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视频码流率：动态码流的最高码率不高于2500 Kbps，最低码率不得低于1024Kbps。</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3.3.2.3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视频分辨率：前期采用高清16:9拍摄，设定为 1024×576。在同一课程中，各讲的视频分辨率统一，统一高清。</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3.3.2.4</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视频画幅宽高比：分辨率设定为 1024×576的，选定为16:9。在同一课程中，各讲画幅的宽高比统一。</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3.3.2.5</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视频帧率为25帧/秒。</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3.3.2.6</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扫描方式采用逐行扫描。</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3.3.2.7</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音频压缩格式及技术参数：音频压缩采用AAC(MPEG4 Part3)格式，采样率48KHz，音频码流率128Kbps (恒定)，必须是双声道，必须做混音处理。</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封装:采用MP4封装。</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外挂字幕文件：由于公开课成品要求有字幕唱词，所以需要对老师讲课的内容进行全片唱词的添加，外挂唱词文件：</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字幕文件格式：独立的SRT格式的唱词文件。</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字幕的行数要求：每屏只有一行唱词。</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字幕的字数要求：画幅比为16：9的，每行不超过20个字。</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3.3.4.4</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字幕的位置：保持每屏唱词出现位置一致。</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3.3.4.5</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字幕中的标点符号：只有书名号及书名号中的标点、间隔号、连接号、具有特殊含意的词语的引号可以出现在唱词中，在每屏唱词中用空格代替标点表示语气停顿，所有标点及空格均使用全角。</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3.3.4.6</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字幕的断句：不简单按照字数断句，以内容为断句依据。</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3.3.4.7</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字幕中的数学公式、化学分子式、物理量和单位，尽量以文本文字呈现；不宜用文本文字呈现的且在视频画面中已经通过PPT、板书等方式显示清楚的，可以不加该行唱词。</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3.3.4.8</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字幕文字：中文。如有需要，除制作中文唱词外，可另外制作英文唱词。</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3.3.4.9</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836" w:type="dxa"/>
            <w:noWrap/>
            <w:tcMar>
              <w:right w:w="170" w:type="dxa"/>
            </w:tcMar>
            <w:vAlign w:val="center"/>
          </w:tcPr>
          <w:p>
            <w:pPr>
              <w:widowControl/>
              <w:spacing w:line="32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三</w:t>
            </w:r>
          </w:p>
        </w:tc>
        <w:tc>
          <w:tcPr>
            <w:tcW w:w="7251" w:type="dxa"/>
            <w:noWrap/>
            <w:vAlign w:val="center"/>
          </w:tcPr>
          <w:p>
            <w:pPr>
              <w:widowControl/>
              <w:spacing w:line="32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后续扩展要求</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若采购方需要将课程视频改造成系统化的在线课程，制作公司须具有专业的课程制作团队进行课程的设计、包装、开发与制作。以微型视频资源为主、动画资源为辅，拍摄、制作相关课程视频（共享课、慕课及微课程等），通过富媒体化的教学设计以（包含相应的文本、教案、图片、音频、视频、动画、图书、期刊等），将课程建设成采购方需要的在线课程。</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对于制作公司所制做的在线课程具体要求如下：</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课程展现形式</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2.1.1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课程可按照主讲教师要求添加任意模块，如课程简介、教学要求、教师团队简介、教学实践、作品展示、课程片花等，并支持任意模块可自定义选择是否对外公开。课程页面的内容组织可支持富媒体或图文混排方式展现。在线课程展现形式包括精品课程、资源共享课、微课、慕课等，具体根据学校和老师的要求确定展现形式。</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教学运行要求</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2.2.1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网络修学分：所有的教学活动都在网络上进行。使学生可以跨时间，跨地域灵活自主的进行学习；教师可以利用课程上传教学所需的资料，布置作业，批改作业，在线与同学们进行讨论答疑等活动。并在线教学中加入学习流程管理，监控学生学习过程，设置各项学习指标的权重，统计学习成绩，使学生在课程学习合格后可以顺利拿到所通过课程相应的学分。</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2.2.2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线上线下混合式教学：教师可以采用线上线下结合的方式让学生部分内容线上学习考核，并结合考核结果适时进行线下授课，起到答疑解惑、引导学生深入对知识理解知识，提高应用能力，做到线上和线下授课优势互补，提高课堂授课质量。</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2.2.3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翻转课堂：将课程学习的过程由线下实体课堂反转到线上网上教学。首先由学生在线上进行自主的课程学习，在实体课堂中老师主要进行讨论与答疑等活动。</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课程运行要求</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2.3.1</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学习监管：可以跟踪记录并统计基于每个学生的课程登录次数、学习材料浏览和下载次数、作业和测试完成情况、参加答疑讨论的情况等多项学习考核指标。</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2.3.2</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教学管理：可以对课程任务、访问数、学生数、讨论数进行详细统计，并可以查看学生事实成绩、章节测验完成情况等详细内容。</w:t>
            </w:r>
          </w:p>
        </w:tc>
        <w:tc>
          <w:tcPr>
            <w:tcW w:w="1170" w:type="dxa"/>
            <w:noWrap/>
            <w:vAlign w:val="center"/>
          </w:tcPr>
          <w:p>
            <w:pPr>
              <w:widowControl/>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36" w:type="dxa"/>
            <w:noWrap/>
            <w:tcMar>
              <w:right w:w="170" w:type="dxa"/>
            </w:tcMar>
            <w:vAlign w:val="center"/>
          </w:tcPr>
          <w:p>
            <w:pPr>
              <w:widowControl/>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2.3.3</w:t>
            </w:r>
          </w:p>
        </w:tc>
        <w:tc>
          <w:tcPr>
            <w:tcW w:w="7251" w:type="dxa"/>
            <w:noWrap/>
            <w:vAlign w:val="center"/>
          </w:tcPr>
          <w:p>
            <w:pPr>
              <w:widowControl/>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教学评估：实现对教学过程中影响质量的各环节进行全员、全程、全面系统地监督、控制与评估。</w:t>
            </w:r>
          </w:p>
        </w:tc>
        <w:tc>
          <w:tcPr>
            <w:tcW w:w="1170" w:type="dxa"/>
            <w:noWrap/>
            <w:vAlign w:val="center"/>
          </w:tcPr>
          <w:p>
            <w:pPr>
              <w:widowControl/>
              <w:spacing w:line="320" w:lineRule="exact"/>
              <w:jc w:val="center"/>
              <w:rPr>
                <w:rFonts w:ascii="宋体" w:hAnsi="宋体" w:cs="宋体"/>
                <w:color w:val="auto"/>
                <w:sz w:val="21"/>
                <w:szCs w:val="21"/>
                <w:highlight w:val="none"/>
              </w:rPr>
            </w:pPr>
          </w:p>
        </w:tc>
      </w:tr>
    </w:tbl>
    <w:p>
      <w:pPr>
        <w:pStyle w:val="2"/>
        <w:spacing w:line="360" w:lineRule="auto"/>
        <w:ind w:firstLine="420" w:firstLineChars="200"/>
        <w:rPr>
          <w:rFonts w:ascii="宋体" w:hAnsi="宋体" w:cs="宋体"/>
          <w:color w:val="auto"/>
          <w:sz w:val="21"/>
          <w:szCs w:val="21"/>
          <w:highlight w:val="none"/>
        </w:rPr>
      </w:pPr>
    </w:p>
    <w:p>
      <w:pPr>
        <w:spacing w:line="360" w:lineRule="auto"/>
        <w:ind w:left="120" w:leftChars="50"/>
        <w:rPr>
          <w:rFonts w:ascii="宋体" w:hAnsi="宋体" w:cs="宋体"/>
          <w:b/>
          <w:bCs/>
          <w:color w:val="auto"/>
          <w:szCs w:val="21"/>
          <w:highlight w:val="none"/>
        </w:rPr>
      </w:pPr>
      <w:r>
        <w:rPr>
          <w:rFonts w:hint="eastAsia"/>
          <w:b/>
          <w:color w:val="auto"/>
          <w:sz w:val="21"/>
          <w:szCs w:val="21"/>
          <w:highlight w:val="none"/>
        </w:rPr>
        <w:t>五、</w:t>
      </w:r>
      <w:r>
        <w:rPr>
          <w:rFonts w:hint="eastAsia" w:ascii="宋体" w:hAnsi="宋体"/>
          <w:b/>
          <w:bCs/>
          <w:color w:val="auto"/>
          <w:highlight w:val="none"/>
        </w:rPr>
        <w:t>商务</w:t>
      </w:r>
      <w:r>
        <w:rPr>
          <w:rFonts w:hint="eastAsia" w:ascii="宋体" w:hAnsi="宋体"/>
          <w:b/>
          <w:bCs/>
          <w:color w:val="auto"/>
          <w:szCs w:val="21"/>
          <w:highlight w:val="none"/>
        </w:rPr>
        <w:t>条款内容</w:t>
      </w:r>
    </w:p>
    <w:tbl>
      <w:tblPr>
        <w:tblStyle w:val="40"/>
        <w:tblW w:w="923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37"/>
        <w:gridCol w:w="6907"/>
        <w:gridCol w:w="118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tblHeader/>
          <w:jc w:val="center"/>
        </w:trPr>
        <w:tc>
          <w:tcPr>
            <w:tcW w:w="1137" w:type="dxa"/>
            <w:shd w:val="clear" w:color="auto" w:fill="DBEEF3" w:themeFill="accent5" w:themeFillTint="32"/>
            <w:noWrap/>
            <w:tcMar>
              <w:right w:w="170" w:type="dxa"/>
            </w:tcMar>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条款号</w:t>
            </w:r>
          </w:p>
        </w:tc>
        <w:tc>
          <w:tcPr>
            <w:tcW w:w="6907" w:type="dxa"/>
            <w:shd w:val="clear" w:color="auto" w:fill="DBEEF3" w:themeFill="accent5" w:themeFillTint="32"/>
            <w:noWrap/>
            <w:vAlign w:val="center"/>
          </w:tcPr>
          <w:p>
            <w:pPr>
              <w:rPr>
                <w:rFonts w:ascii="宋体" w:hAnsi="宋体"/>
                <w:b/>
                <w:bCs/>
                <w:color w:val="auto"/>
                <w:sz w:val="21"/>
                <w:szCs w:val="21"/>
                <w:highlight w:val="none"/>
              </w:rPr>
            </w:pPr>
            <w:r>
              <w:rPr>
                <w:rFonts w:hint="eastAsia" w:ascii="宋体" w:hAnsi="宋体"/>
                <w:b/>
                <w:bCs/>
                <w:color w:val="auto"/>
                <w:sz w:val="21"/>
                <w:szCs w:val="21"/>
                <w:highlight w:val="none"/>
              </w:rPr>
              <w:t>商务条款要求</w:t>
            </w:r>
          </w:p>
        </w:tc>
        <w:tc>
          <w:tcPr>
            <w:tcW w:w="1188" w:type="dxa"/>
            <w:shd w:val="clear" w:color="auto" w:fill="DBEEF3" w:themeFill="accent5" w:themeFillTint="32"/>
            <w:noWrap/>
            <w:vAlign w:val="center"/>
          </w:tcPr>
          <w:p>
            <w:pPr>
              <w:jc w:val="center"/>
              <w:rPr>
                <w:rFonts w:ascii="宋体" w:hAnsi="宋体" w:cs="宋体"/>
                <w:color w:val="auto"/>
                <w:sz w:val="21"/>
                <w:szCs w:val="21"/>
                <w:highlight w:val="none"/>
              </w:rPr>
            </w:pPr>
            <w:r>
              <w:rPr>
                <w:rFonts w:hint="eastAsia" w:ascii="宋体" w:hAnsi="宋体"/>
                <w:b/>
                <w:bCs/>
                <w:color w:val="auto"/>
                <w:sz w:val="21"/>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学校各有视频拍摄制作需求的课程根据入围供应商提供的课程视频拍摄制作服务方案及报价，课程负责人可自行选择入围供应商进行课程视频拍摄制作与运行服务。</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服务期限</w:t>
            </w:r>
            <w:r>
              <w:rPr>
                <w:rFonts w:hint="eastAsia" w:ascii="宋体" w:hAnsi="宋体" w:cs="宋体"/>
                <w:color w:val="auto"/>
                <w:sz w:val="21"/>
                <w:szCs w:val="21"/>
                <w:highlight w:val="none"/>
                <w:lang w:eastAsia="zh-CN"/>
              </w:rPr>
              <w:t>：</w:t>
            </w:r>
            <w:r>
              <w:rPr>
                <w:rFonts w:hint="eastAsia"/>
                <w:color w:val="auto"/>
                <w:sz w:val="21"/>
                <w:szCs w:val="21"/>
                <w:highlight w:val="none"/>
              </w:rPr>
              <w:t>自合同签订之日起</w:t>
            </w:r>
            <w:r>
              <w:rPr>
                <w:rFonts w:hint="eastAsia"/>
                <w:b w:val="0"/>
                <w:bCs w:val="0"/>
                <w:color w:val="auto"/>
                <w:sz w:val="21"/>
                <w:szCs w:val="21"/>
                <w:highlight w:val="none"/>
                <w:lang w:val="en-US" w:eastAsia="zh-CN"/>
              </w:rPr>
              <w:t>二年</w:t>
            </w:r>
            <w:r>
              <w:rPr>
                <w:rFonts w:hint="eastAsia"/>
                <w:b/>
                <w:bCs/>
                <w:color w:val="auto"/>
                <w:sz w:val="21"/>
                <w:szCs w:val="21"/>
                <w:highlight w:val="none"/>
                <w:lang w:val="en-US" w:eastAsia="zh-CN"/>
              </w:rPr>
              <w:t>，</w:t>
            </w:r>
            <w:r>
              <w:rPr>
                <w:rFonts w:hint="eastAsia"/>
                <w:color w:val="auto"/>
                <w:sz w:val="21"/>
                <w:szCs w:val="21"/>
                <w:highlight w:val="none"/>
                <w:lang w:val="en-US" w:eastAsia="zh-CN"/>
              </w:rPr>
              <w:t>合同一年一签，视上一年度教师评价情况续签下一年。</w:t>
            </w:r>
            <w:r>
              <w:rPr>
                <w:rFonts w:hint="eastAsia" w:ascii="宋体" w:hAnsi="宋体" w:cs="宋体"/>
                <w:color w:val="auto"/>
                <w:sz w:val="21"/>
                <w:szCs w:val="21"/>
                <w:highlight w:val="none"/>
              </w:rPr>
              <w:t>合同</w:t>
            </w:r>
            <w:r>
              <w:rPr>
                <w:rFonts w:hint="eastAsia" w:ascii="宋体" w:hAnsi="宋体" w:cs="宋体"/>
                <w:color w:val="auto"/>
                <w:sz w:val="21"/>
                <w:szCs w:val="21"/>
                <w:highlight w:val="none"/>
                <w:lang w:val="en-US" w:eastAsia="zh-CN"/>
              </w:rPr>
              <w:t>期内</w:t>
            </w:r>
            <w:r>
              <w:rPr>
                <w:rFonts w:hint="eastAsia" w:ascii="宋体" w:hAnsi="宋体" w:cs="宋体"/>
                <w:color w:val="auto"/>
                <w:sz w:val="21"/>
                <w:szCs w:val="21"/>
                <w:highlight w:val="none"/>
              </w:rPr>
              <w:t>按照本次招标约定的价格和服务标准执行。</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5"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学校各课程项目确认制作供应商后与其单独签订委托制作合同，每个课程项目签订1个；合同签订后一月内供应商制定相关拍摄及制作计划，所有视频成片须在指定时间内交至课程负责人。</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6907" w:type="dxa"/>
            <w:noWrap/>
            <w:vAlign w:val="center"/>
          </w:tcPr>
          <w:p>
            <w:pPr>
              <w:rPr>
                <w:rFonts w:ascii="宋体" w:hAnsi="宋体" w:cs="宋体"/>
                <w:color w:val="auto"/>
                <w:sz w:val="21"/>
                <w:szCs w:val="21"/>
                <w:highlight w:val="none"/>
              </w:rPr>
            </w:pPr>
            <w:r>
              <w:rPr>
                <w:rFonts w:hint="eastAsia" w:ascii="宋体" w:hAnsi="宋体"/>
                <w:color w:val="auto"/>
                <w:sz w:val="21"/>
                <w:szCs w:val="21"/>
                <w:highlight w:val="none"/>
              </w:rPr>
              <w:t>供应商须在收到中标通知书后30日内与招标人签订入围合同，合同须附报价明细表，具体结算方式以中标后签订的课程视频拍摄制作合同为准。供应商在合同签订后一月内制定相关拍摄及制作计划，所有视频成片须在规定时间内提交给招标人。</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6907" w:type="dxa"/>
            <w:noWrap/>
            <w:vAlign w:val="center"/>
          </w:tcPr>
          <w:p>
            <w:pPr>
              <w:rPr>
                <w:rFonts w:ascii="宋体" w:hAnsi="宋体"/>
                <w:color w:val="auto"/>
                <w:sz w:val="21"/>
                <w:szCs w:val="21"/>
                <w:highlight w:val="none"/>
              </w:rPr>
            </w:pPr>
            <w:r>
              <w:rPr>
                <w:rFonts w:hint="eastAsia" w:ascii="宋体" w:hAnsi="宋体"/>
                <w:color w:val="auto"/>
                <w:sz w:val="21"/>
                <w:szCs w:val="21"/>
                <w:highlight w:val="none"/>
              </w:rPr>
              <w:t>履约保证金：5000元，中标人在</w:t>
            </w:r>
            <w:r>
              <w:rPr>
                <w:rFonts w:hint="eastAsia" w:ascii="宋体" w:hAnsi="宋体" w:cs="宋体"/>
                <w:color w:val="auto"/>
                <w:sz w:val="21"/>
                <w:szCs w:val="21"/>
                <w:highlight w:val="none"/>
              </w:rPr>
              <w:t>合同签订前向招标人缴纳，在供应商履行完采购合同约定义务事项后7天内无息退还。</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6907" w:type="dxa"/>
            <w:noWrap/>
            <w:vAlign w:val="center"/>
          </w:tcPr>
          <w:p>
            <w:pPr>
              <w:rPr>
                <w:rFonts w:ascii="宋体" w:hAnsi="宋体"/>
                <w:color w:val="auto"/>
                <w:sz w:val="21"/>
                <w:szCs w:val="21"/>
                <w:highlight w:val="none"/>
              </w:rPr>
            </w:pPr>
            <w:r>
              <w:rPr>
                <w:rFonts w:hint="eastAsia" w:ascii="宋体" w:hAnsi="宋体"/>
                <w:color w:val="auto"/>
                <w:sz w:val="21"/>
                <w:szCs w:val="21"/>
                <w:highlight w:val="none"/>
              </w:rPr>
              <w:t>供应商须确保所拍摄的视频的版权、知识产权、所有权全部都为招标人所有，如后期发现有未经招标人同意擅自将成片或原始拍摄素材上传到网上等侵权行为的，供应商须承担给招标人造成的损失。</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售后服务</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7.1</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供应商在提交视频成片后12月内，须根据招标人授课过程中发现的问题提供相关成片修改服务，满足课程建设要求为止。</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7.1.1</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视频资源修改到老师满意为主，完成课程拍摄以老师本人签字为准。</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7.1.2</w:t>
            </w:r>
          </w:p>
        </w:tc>
        <w:tc>
          <w:tcPr>
            <w:tcW w:w="6907" w:type="dxa"/>
            <w:noWrap/>
            <w:vAlign w:val="center"/>
          </w:tcPr>
          <w:p>
            <w:pPr>
              <w:rPr>
                <w:rFonts w:ascii="宋体" w:hAnsi="宋体" w:cs="宋体"/>
                <w:color w:val="auto"/>
                <w:sz w:val="21"/>
                <w:szCs w:val="21"/>
                <w:highlight w:val="none"/>
              </w:rPr>
            </w:pPr>
            <w:r>
              <w:rPr>
                <w:rFonts w:hint="eastAsia"/>
                <w:color w:val="auto"/>
                <w:sz w:val="21"/>
                <w:szCs w:val="21"/>
                <w:highlight w:val="none"/>
              </w:rPr>
              <w:t>自教师签字后，提供一年的免费修改和设计。</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7.1.3</w:t>
            </w:r>
          </w:p>
        </w:tc>
        <w:tc>
          <w:tcPr>
            <w:tcW w:w="6907" w:type="dxa"/>
            <w:noWrap/>
            <w:vAlign w:val="center"/>
          </w:tcPr>
          <w:p>
            <w:pPr>
              <w:rPr>
                <w:rFonts w:ascii="宋体" w:hAnsi="宋体" w:cs="宋体"/>
                <w:color w:val="auto"/>
                <w:sz w:val="21"/>
                <w:szCs w:val="21"/>
                <w:highlight w:val="none"/>
              </w:rPr>
            </w:pPr>
            <w:r>
              <w:rPr>
                <w:rFonts w:hint="eastAsia"/>
                <w:color w:val="auto"/>
                <w:sz w:val="21"/>
                <w:szCs w:val="21"/>
                <w:highlight w:val="none"/>
              </w:rPr>
              <w:t>免费帮助教师设计课程平台的首页宣传图片。</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7.1.4</w:t>
            </w:r>
          </w:p>
        </w:tc>
        <w:tc>
          <w:tcPr>
            <w:tcW w:w="6907" w:type="dxa"/>
            <w:noWrap/>
            <w:vAlign w:val="center"/>
          </w:tcPr>
          <w:p>
            <w:pPr>
              <w:rPr>
                <w:rFonts w:ascii="宋体" w:hAnsi="宋体" w:cs="宋体"/>
                <w:color w:val="auto"/>
                <w:sz w:val="21"/>
                <w:szCs w:val="21"/>
                <w:highlight w:val="none"/>
              </w:rPr>
            </w:pPr>
            <w:r>
              <w:rPr>
                <w:rFonts w:hint="eastAsia"/>
                <w:color w:val="auto"/>
                <w:sz w:val="21"/>
                <w:szCs w:val="21"/>
                <w:highlight w:val="none"/>
              </w:rPr>
              <w:t>自教师交纳P</w:t>
            </w:r>
            <w:r>
              <w:rPr>
                <w:color w:val="auto"/>
                <w:sz w:val="21"/>
                <w:szCs w:val="21"/>
                <w:highlight w:val="none"/>
              </w:rPr>
              <w:t>PT</w:t>
            </w:r>
            <w:r>
              <w:rPr>
                <w:rFonts w:hint="eastAsia"/>
                <w:color w:val="auto"/>
                <w:sz w:val="21"/>
                <w:szCs w:val="21"/>
                <w:highlight w:val="none"/>
              </w:rPr>
              <w:t>或者提出修改意见的1~</w:t>
            </w:r>
            <w:r>
              <w:rPr>
                <w:color w:val="auto"/>
                <w:sz w:val="21"/>
                <w:szCs w:val="21"/>
                <w:highlight w:val="none"/>
              </w:rPr>
              <w:t>2</w:t>
            </w:r>
            <w:r>
              <w:rPr>
                <w:rFonts w:hint="eastAsia"/>
                <w:color w:val="auto"/>
                <w:sz w:val="21"/>
                <w:szCs w:val="21"/>
                <w:highlight w:val="none"/>
              </w:rPr>
              <w:t>周内，完成教师的修改版本。</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7.2</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供应商须根据招标人需求，指派专业技术人员对招标人指定人员进行集中培训，次数不少于3次，单次不少于1天。</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7.3</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针对招标人后续扩展需求，供应商须提供相关技术服务，包括及时配合招标人将课程微视频改造成系统化的在线课程，平台使用培训、在线课程建设培训，课程运行指导服务等。同时，须协助招标人进行相关教学改革实践和教学模式创新。</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7.4</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供应商须提供电话支持、BBS在线支持、电子邮件支持、远程维护支持等至少四种常规技术服务方式。</w:t>
            </w:r>
          </w:p>
        </w:tc>
        <w:tc>
          <w:tcPr>
            <w:tcW w:w="1188" w:type="dxa"/>
            <w:noWrap/>
            <w:vAlign w:val="center"/>
          </w:tcPr>
          <w:p>
            <w:pPr>
              <w:ind w:left="120" w:leftChars="5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37" w:type="dxa"/>
            <w:noWrap/>
            <w:tcMar>
              <w:right w:w="170"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7.5</w:t>
            </w:r>
          </w:p>
        </w:tc>
        <w:tc>
          <w:tcPr>
            <w:tcW w:w="6907" w:type="dxa"/>
            <w:noWrap/>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项目实施过程中，供应商须指定专人负责与招标人保持长期的联系与服务。在制作剪辑制作过程中应保证制作人员及时在学校与课程教师面对面沟通的时间及条件支持。</w:t>
            </w:r>
          </w:p>
        </w:tc>
        <w:tc>
          <w:tcPr>
            <w:tcW w:w="1188" w:type="dxa"/>
            <w:noWrap/>
            <w:vAlign w:val="center"/>
          </w:tcPr>
          <w:p>
            <w:pPr>
              <w:ind w:left="120" w:leftChars="50"/>
              <w:jc w:val="center"/>
              <w:rPr>
                <w:rFonts w:ascii="宋体" w:hAnsi="宋体" w:cs="宋体"/>
                <w:color w:val="auto"/>
                <w:sz w:val="21"/>
                <w:szCs w:val="21"/>
                <w:highlight w:val="none"/>
              </w:rPr>
            </w:pPr>
          </w:p>
        </w:tc>
      </w:tr>
    </w:tbl>
    <w:p>
      <w:pPr>
        <w:spacing w:line="360" w:lineRule="auto"/>
        <w:rPr>
          <w:rFonts w:ascii="宋体" w:hAnsi="宋体"/>
          <w:b/>
          <w:color w:val="auto"/>
          <w:sz w:val="21"/>
          <w:szCs w:val="21"/>
          <w:highlight w:val="none"/>
        </w:rPr>
      </w:pPr>
      <w:r>
        <w:rPr>
          <w:rFonts w:hint="eastAsia" w:ascii="宋体" w:hAnsi="宋体"/>
          <w:b/>
          <w:color w:val="auto"/>
          <w:sz w:val="21"/>
          <w:szCs w:val="21"/>
          <w:highlight w:val="none"/>
        </w:rPr>
        <w:t>特别申明：</w:t>
      </w:r>
    </w:p>
    <w:p>
      <w:pPr>
        <w:spacing w:line="360" w:lineRule="auto"/>
        <w:ind w:firstLine="240" w:firstLineChars="114"/>
        <w:rPr>
          <w:rFonts w:ascii="宋体" w:hAnsi="宋体"/>
          <w:b/>
          <w:color w:val="auto"/>
          <w:sz w:val="21"/>
          <w:szCs w:val="21"/>
          <w:highlight w:val="none"/>
        </w:rPr>
      </w:pPr>
      <w:r>
        <w:rPr>
          <w:rFonts w:hint="eastAsia" w:ascii="宋体" w:hAnsi="宋体"/>
          <w:b/>
          <w:color w:val="auto"/>
          <w:sz w:val="21"/>
          <w:szCs w:val="21"/>
          <w:highlight w:val="none"/>
        </w:rPr>
        <w:t>1、</w:t>
      </w:r>
      <w:r>
        <w:rPr>
          <w:rFonts w:hint="eastAsia" w:ascii="宋体" w:hAnsi="宋体" w:cs="宋体"/>
          <w:b/>
          <w:color w:val="auto"/>
          <w:sz w:val="21"/>
          <w:szCs w:val="21"/>
          <w:highlight w:val="none"/>
        </w:rPr>
        <w:t>本技术规格书中招标内容仅供参考，具体以现场勘测为准。</w:t>
      </w:r>
    </w:p>
    <w:p>
      <w:pPr>
        <w:spacing w:line="360" w:lineRule="auto"/>
        <w:ind w:firstLine="240" w:firstLineChars="114"/>
        <w:rPr>
          <w:rFonts w:ascii="宋体" w:hAnsi="宋体"/>
          <w:b/>
          <w:color w:val="auto"/>
          <w:sz w:val="21"/>
          <w:szCs w:val="21"/>
          <w:highlight w:val="none"/>
        </w:rPr>
      </w:pPr>
      <w:r>
        <w:rPr>
          <w:rFonts w:hint="eastAsia" w:ascii="宋体" w:hAnsi="宋体"/>
          <w:b/>
          <w:color w:val="auto"/>
          <w:sz w:val="21"/>
          <w:szCs w:val="21"/>
          <w:highlight w:val="none"/>
        </w:rPr>
        <w:t>2、请各投标商认真阅读特别申明中的内容，参加投标的视为完全理解其中的各项内容。</w:t>
      </w:r>
    </w:p>
    <w:p>
      <w:pPr>
        <w:pStyle w:val="2"/>
        <w:spacing w:line="360" w:lineRule="auto"/>
        <w:ind w:firstLine="240" w:firstLineChars="114"/>
        <w:rPr>
          <w:rFonts w:ascii="宋体" w:hAnsi="宋体"/>
          <w:b/>
          <w:color w:val="auto"/>
          <w:sz w:val="21"/>
          <w:szCs w:val="21"/>
          <w:highlight w:val="none"/>
        </w:rPr>
      </w:pPr>
      <w:r>
        <w:rPr>
          <w:rFonts w:hint="eastAsia" w:ascii="宋体" w:hAnsi="宋体"/>
          <w:b/>
          <w:color w:val="auto"/>
          <w:sz w:val="21"/>
          <w:szCs w:val="21"/>
          <w:highlight w:val="none"/>
        </w:rPr>
        <w:t>4、投标人应认真阅读“技术需求”中的所有内容，一经投标视为完全理解其所有内容与要求。在投标时应对招标文件中各项功能需求的实现做出明确的应答和文字说明，不能只用“符合招标要求”、“满足招标要求”字样来描述，表述不清或照抄招标需求内容的或只用“符合招标要求”、“满足招标要求”字样来描述的，评审时将酌情扣分。</w:t>
      </w:r>
    </w:p>
    <w:p>
      <w:pPr>
        <w:pStyle w:val="2"/>
        <w:rPr>
          <w:color w:val="auto"/>
          <w:highlight w:val="none"/>
        </w:rPr>
        <w:sectPr>
          <w:headerReference r:id="rId10" w:type="default"/>
          <w:footerReference r:id="rId12" w:type="default"/>
          <w:headerReference r:id="rId11" w:type="even"/>
          <w:pgSz w:w="11906" w:h="16838"/>
          <w:pgMar w:top="1440" w:right="1558" w:bottom="1440" w:left="1800" w:header="851" w:footer="992" w:gutter="0"/>
          <w:pgBorders w:offsetFrom="page">
            <w:top w:val="single" w:color="000000" w:sz="12" w:space="24"/>
            <w:left w:val="single" w:color="000000" w:sz="12" w:space="24"/>
            <w:bottom w:val="single" w:color="000000" w:sz="12" w:space="24"/>
            <w:right w:val="single" w:color="000000" w:sz="12" w:space="24"/>
          </w:pgBorders>
          <w:cols w:space="720" w:num="1"/>
          <w:docGrid w:type="lines" w:linePitch="312" w:charSpace="0"/>
        </w:sectPr>
      </w:pPr>
    </w:p>
    <w:p>
      <w:pPr>
        <w:pStyle w:val="4"/>
        <w:jc w:val="center"/>
        <w:rPr>
          <w:color w:val="auto"/>
          <w:highlight w:val="none"/>
        </w:rPr>
      </w:pPr>
      <w:bookmarkStart w:id="92" w:name="_Toc19944"/>
      <w:r>
        <w:rPr>
          <w:rFonts w:hint="eastAsia"/>
          <w:color w:val="auto"/>
          <w:highlight w:val="none"/>
        </w:rPr>
        <w:t>第五部分  评分标准</w:t>
      </w:r>
      <w:bookmarkEnd w:id="92"/>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一、评标办法</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1.1本项目评标采用综合评分法。</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1.4本次采购为专门面向中小企业，采购标的对应的中小企业划分标准所属行业为：</w:t>
      </w:r>
      <w:r>
        <w:rPr>
          <w:rFonts w:hint="eastAsia" w:ascii="宋体" w:hAnsi="宋体" w:cs="宋体"/>
          <w:b/>
          <w:bCs/>
          <w:color w:val="auto"/>
          <w:sz w:val="21"/>
          <w:szCs w:val="21"/>
          <w:highlight w:val="none"/>
          <w:u w:val="single"/>
        </w:rPr>
        <w:t>其他未列明行业</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1.5评标委员会成员对需要共同认定的事项存在争议的，应当按照少数服从多数的原则作出结论。</w:t>
      </w:r>
    </w:p>
    <w:p>
      <w:pPr>
        <w:wordWrap w:val="0"/>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b/>
          <w:bCs/>
          <w:color w:val="auto"/>
          <w:sz w:val="21"/>
          <w:szCs w:val="21"/>
          <w:highlight w:val="none"/>
        </w:rPr>
        <w:t>评标程序</w:t>
      </w:r>
    </w:p>
    <w:p>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auto"/>
          <w:sz w:val="21"/>
          <w:szCs w:val="21"/>
          <w:highlight w:val="none"/>
        </w:rPr>
        <w:t>资格性审查和符合性审查中，有任意一项审查结论不合格的，作无效标处理。</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zh-CN"/>
        </w:rPr>
        <w:t>比较与评价：</w:t>
      </w:r>
      <w:r>
        <w:rPr>
          <w:rFonts w:hint="eastAsia" w:ascii="宋体" w:hAnsi="宋体" w:cs="宋体"/>
          <w:color w:val="auto"/>
          <w:sz w:val="21"/>
          <w:szCs w:val="21"/>
          <w:highlight w:val="none"/>
        </w:rPr>
        <w:t>评标委员会根据“附表3商务和技术评分表”的要求，</w:t>
      </w:r>
      <w:r>
        <w:rPr>
          <w:rFonts w:hint="eastAsia" w:ascii="宋体" w:hAnsi="宋体" w:cs="宋体"/>
          <w:color w:val="auto"/>
          <w:sz w:val="21"/>
          <w:szCs w:val="21"/>
          <w:highlight w:val="none"/>
          <w:lang w:val="zh-CN"/>
        </w:rPr>
        <w:t>对照投标文件的应答进行比较，判定其偏差性质和程度，</w:t>
      </w:r>
      <w:r>
        <w:rPr>
          <w:rFonts w:hint="eastAsia" w:ascii="宋体" w:hAnsi="宋体" w:cs="宋体"/>
          <w:color w:val="auto"/>
          <w:sz w:val="21"/>
          <w:szCs w:val="21"/>
          <w:highlight w:val="none"/>
        </w:rPr>
        <w:t>由评标委员会成员在分值范围内自行评分。供应商商务和技术得分为各评标委员会成员有效评分的算术平均值（小数点后保留二位数）。</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2.3在评标过程中，发现的价格计算错误按下述原则修正：</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）投标文件中开标一览表内容与投标文件中分项报价表内容不一致的，以开标一览表为准；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）大写金额和小写金额不一致的，以大写金额为准；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）单价金额小数点或者百分比有明显错位的，以开标一览表的总价为准，并修改单价；</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）总价金额与按单价汇总金额不一致的，以单价金额计算结果为准；</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同时出现两种以上不一致的，按照前款规定的顺序修正。修正后的报价经投标人确认后具有约束力，若投标人不确认的，则其投标无效。</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2.2.3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非单一产品采购项目，多家供应商提供的核心产品品牌相同的，按上述规定处理。</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2.2.4评标委员会根据“附表4价格评分表”的规定，计算供应商报价得分（小数点后保留二位数）。</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2.2.5综合评估：供应商的综合得分为商务和技术得分与报价得分之和。</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2.2.6推荐中标候选人：根据供应商综合得分由高到低进行排序，推荐中标候选人。若供应商的综合得分相等，则投标报价低者列前。若投标报价也相同时，则采取随机抽签的方式确定排序。</w:t>
      </w:r>
    </w:p>
    <w:p>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2.3确定中标供应商</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前三名为中标供应商。中标供应商因不可抗力或者自身原因不能履行政府采购合同的，采购人可以按照</w:t>
      </w:r>
      <w:r>
        <w:rPr>
          <w:rFonts w:hint="eastAsia" w:ascii="宋体" w:hAnsi="宋体" w:cs="宋体"/>
          <w:bCs/>
          <w:color w:val="auto"/>
          <w:sz w:val="21"/>
          <w:szCs w:val="21"/>
          <w:highlight w:val="none"/>
        </w:rPr>
        <w:t>评审结果排名先后替补，确定</w:t>
      </w:r>
      <w:r>
        <w:rPr>
          <w:rFonts w:hint="eastAsia" w:ascii="宋体" w:hAnsi="宋体" w:cs="宋体"/>
          <w:color w:val="auto"/>
          <w:sz w:val="21"/>
          <w:szCs w:val="21"/>
          <w:highlight w:val="none"/>
        </w:rPr>
        <w:t>下一个供应商为中标供应商或重新招标。</w:t>
      </w:r>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三、投标的澄清</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3.2政采云具体操作如下：</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路径：用户中心—项目采购—询标澄清</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（1）政采云平台通过待办事项和短信提醒供应商在截止时间前完成澄清。</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（2）供应商在“询标澄清-待办理”标签页下选择状态为“待澄清”的项目，点击操作栏【澄清】。</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（3）查看函内容，在澄清截止时间前上传澄清文件并对澄清文件进行签章。（注：澄清文件必须以PDF格式上传，文件大小：50M）</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（4）签章完成，文件名称处显示“已签章”，供应商可“撤回签章”修改澄清函和“查看文件”。</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（6）完成状态：供应商澄清文件提交成功后，在“询标澄清-全部”标签页下显示状态为“已澄清”。</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3.4供应商未在截止时间前完成澄清，将被视作自动放弃。</w:t>
      </w:r>
    </w:p>
    <w:p>
      <w:pPr>
        <w:wordWrap w:val="0"/>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四、特别声明：价格是评标的重要因素之一，但最低价不是中标的唯一依据。</w:t>
      </w:r>
    </w:p>
    <w:p>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五、重新招标</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有下列情形之一的，采购人将重新招标：</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5.1投标截止时间止，供应商少于</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个的；</w:t>
      </w:r>
    </w:p>
    <w:p>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5.2评标委员会评标过程中，有效供应商少于</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个的；</w:t>
      </w:r>
    </w:p>
    <w:p>
      <w:pPr>
        <w:widowControl/>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pPr>
        <w:spacing w:line="360" w:lineRule="auto"/>
        <w:ind w:firstLine="420" w:firstLineChars="200"/>
        <w:rPr>
          <w:color w:val="auto"/>
          <w:sz w:val="21"/>
          <w:szCs w:val="21"/>
          <w:highlight w:val="none"/>
        </w:rPr>
      </w:pPr>
    </w:p>
    <w:p>
      <w:pPr>
        <w:spacing w:line="400" w:lineRule="exact"/>
        <w:rPr>
          <w:rFonts w:ascii="宋体" w:hAnsi="宋体"/>
          <w:color w:val="auto"/>
          <w:sz w:val="21"/>
          <w:szCs w:val="21"/>
          <w:highlight w:val="none"/>
        </w:rPr>
      </w:pPr>
      <w:r>
        <w:rPr>
          <w:color w:val="auto"/>
          <w:sz w:val="21"/>
          <w:szCs w:val="21"/>
          <w:highlight w:val="none"/>
        </w:rPr>
        <w:br w:type="page"/>
      </w:r>
      <w:r>
        <w:rPr>
          <w:rFonts w:hint="eastAsia" w:ascii="宋体" w:hAnsi="宋体"/>
          <w:color w:val="auto"/>
          <w:sz w:val="21"/>
          <w:szCs w:val="21"/>
          <w:highlight w:val="none"/>
        </w:rPr>
        <w:t>附表</w:t>
      </w:r>
      <w:r>
        <w:rPr>
          <w:rFonts w:ascii="宋体" w:hAnsi="宋体"/>
          <w:color w:val="auto"/>
          <w:sz w:val="21"/>
          <w:szCs w:val="21"/>
          <w:highlight w:val="none"/>
        </w:rPr>
        <w:t>1</w:t>
      </w:r>
      <w:r>
        <w:rPr>
          <w:rFonts w:hint="eastAsia" w:ascii="宋体" w:hAnsi="宋体"/>
          <w:color w:val="auto"/>
          <w:sz w:val="21"/>
          <w:szCs w:val="21"/>
          <w:highlight w:val="none"/>
        </w:rPr>
        <w:t xml:space="preserve">：                           </w:t>
      </w:r>
    </w:p>
    <w:p>
      <w:pPr>
        <w:spacing w:line="340" w:lineRule="exact"/>
        <w:jc w:val="center"/>
        <w:rPr>
          <w:rFonts w:ascii="宋体" w:hAnsi="宋体"/>
          <w:color w:val="auto"/>
          <w:sz w:val="21"/>
          <w:szCs w:val="21"/>
          <w:highlight w:val="none"/>
        </w:rPr>
      </w:pPr>
      <w:r>
        <w:rPr>
          <w:rFonts w:hint="eastAsia" w:ascii="宋体" w:hAnsi="宋体"/>
          <w:b/>
          <w:color w:val="auto"/>
          <w:sz w:val="21"/>
          <w:szCs w:val="21"/>
          <w:highlight w:val="none"/>
        </w:rPr>
        <w:t>资格性审查表</w:t>
      </w:r>
    </w:p>
    <w:tbl>
      <w:tblPr>
        <w:tblStyle w:val="40"/>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53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041" w:type="dxa"/>
            <w:vAlign w:val="center"/>
          </w:tcPr>
          <w:p>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要求说明</w:t>
            </w:r>
          </w:p>
        </w:tc>
        <w:tc>
          <w:tcPr>
            <w:tcW w:w="5327" w:type="dxa"/>
            <w:vAlign w:val="center"/>
          </w:tcPr>
          <w:p>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04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满足《中华人民共和国政府采购法》第二十二条规定；</w:t>
            </w:r>
          </w:p>
        </w:tc>
        <w:tc>
          <w:tcPr>
            <w:tcW w:w="5327"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1、关于资格的承诺函；</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2、营业执照副本（或事业法人登记证副本或其他登记证明材料）扫描件加盖投标人公章（投标人如果有名称变更的，应提供由行政主管部门出具的变更证明文件扫描件加盖投标人公章）；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04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本项目属于专门面向中小企业采购的项目，投标人应为符合《政府采购促进中小企业发展管理办法》（财库﹝2020﹞46 号）规定的中小企业（其中，小微企业包括视同为小型、微型企业的监狱企业、残疾人福利性单位。）</w:t>
            </w:r>
          </w:p>
        </w:tc>
        <w:tc>
          <w:tcPr>
            <w:tcW w:w="5327" w:type="dxa"/>
            <w:vAlign w:val="center"/>
          </w:tcPr>
          <w:p>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1、中小企业声明函；</w:t>
            </w:r>
          </w:p>
          <w:p>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2、残疾人福利性单位声明函（如有需提供）；</w:t>
            </w:r>
          </w:p>
          <w:p>
            <w:pPr>
              <w:spacing w:line="360" w:lineRule="auto"/>
              <w:rPr>
                <w:rFonts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04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未被“信用中国”（www.creditchina.gov.cn)中国政府采购网（www.ccgp.gov.cn）列入失信被执行人、重大税收违法案件当事人名单（重大税收违法失信主体）、政府采购严重违法失信行为记录名单。</w:t>
            </w:r>
          </w:p>
        </w:tc>
        <w:tc>
          <w:tcPr>
            <w:tcW w:w="5327"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未被“信用中国”（www.creditchina.gov.cn)、中国政府采购网（www.ccgp.gov.cn）列入失信被执行人、重大税收违法案件当事人名单（重大税收违法失信主体）、政府采购严重违法失信行为记录名单。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04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是否允许联合体投标</w:t>
            </w:r>
          </w:p>
        </w:tc>
        <w:tc>
          <w:tcPr>
            <w:tcW w:w="5327"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本项目不允许联合体。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1" w:type="dxa"/>
            <w:gridSpan w:val="2"/>
            <w:vAlign w:val="center"/>
          </w:tcPr>
          <w:p>
            <w:pPr>
              <w:wordWrap w:val="0"/>
              <w:spacing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资格性审查结论</w:t>
            </w:r>
          </w:p>
        </w:tc>
        <w:tc>
          <w:tcPr>
            <w:tcW w:w="5327" w:type="dxa"/>
            <w:vAlign w:val="center"/>
          </w:tcPr>
          <w:p>
            <w:pPr>
              <w:wordWrap w:val="0"/>
              <w:spacing w:line="360" w:lineRule="auto"/>
              <w:jc w:val="center"/>
              <w:rPr>
                <w:rFonts w:ascii="宋体" w:hAnsi="宋体" w:cs="宋体"/>
                <w:color w:val="auto"/>
                <w:sz w:val="21"/>
                <w:szCs w:val="21"/>
                <w:highlight w:val="none"/>
              </w:rPr>
            </w:pPr>
          </w:p>
        </w:tc>
      </w:tr>
    </w:tbl>
    <w:p>
      <w:pPr>
        <w:spacing w:line="340" w:lineRule="exact"/>
        <w:rPr>
          <w:rFonts w:ascii="宋体" w:hAnsi="宋体"/>
          <w:color w:val="auto"/>
          <w:sz w:val="21"/>
          <w:szCs w:val="21"/>
          <w:highlight w:val="none"/>
        </w:rPr>
      </w:pPr>
      <w:r>
        <w:rPr>
          <w:rFonts w:hint="eastAsia" w:ascii="宋体" w:hAnsi="宋体"/>
          <w:color w:val="auto"/>
          <w:sz w:val="21"/>
          <w:szCs w:val="21"/>
          <w:highlight w:val="none"/>
        </w:rPr>
        <w:t>注：</w:t>
      </w:r>
      <w:r>
        <w:rPr>
          <w:rFonts w:ascii="宋体" w:hAnsi="宋体"/>
          <w:color w:val="auto"/>
          <w:sz w:val="21"/>
          <w:szCs w:val="21"/>
          <w:highlight w:val="none"/>
        </w:rPr>
        <w:t>1</w:t>
      </w:r>
      <w:r>
        <w:rPr>
          <w:rFonts w:hint="eastAsia" w:ascii="宋体" w:hAnsi="宋体"/>
          <w:color w:val="auto"/>
          <w:sz w:val="21"/>
          <w:szCs w:val="21"/>
          <w:highlight w:val="none"/>
        </w:rPr>
        <w:t>、上述资格证明文件未按招标文件要求附入投标文件中的，资格性审查不合格。</w:t>
      </w:r>
    </w:p>
    <w:p>
      <w:pPr>
        <w:spacing w:line="340" w:lineRule="exact"/>
        <w:ind w:firstLine="514" w:firstLineChars="245"/>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、上述审查项目中，任意一项不符合的，资格性审查不合格。</w:t>
      </w:r>
    </w:p>
    <w:p>
      <w:pPr>
        <w:spacing w:line="340" w:lineRule="exact"/>
        <w:ind w:firstLine="514" w:firstLineChars="245"/>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、依法免税或不需要缴纳社保的供应商，应提供相应文件证明其依法免税或不需要缴纳社保。</w:t>
      </w:r>
    </w:p>
    <w:p>
      <w:pPr>
        <w:spacing w:line="400" w:lineRule="exact"/>
        <w:rPr>
          <w:rFonts w:ascii="宋体" w:hAnsi="宋体"/>
          <w:color w:val="auto"/>
          <w:sz w:val="21"/>
          <w:szCs w:val="21"/>
          <w:highlight w:val="none"/>
        </w:rPr>
      </w:pPr>
      <w:r>
        <w:rPr>
          <w:rFonts w:ascii="宋体" w:hAnsi="宋体"/>
          <w:color w:val="auto"/>
          <w:sz w:val="21"/>
          <w:szCs w:val="21"/>
          <w:highlight w:val="none"/>
        </w:rPr>
        <w:br w:type="page"/>
      </w:r>
      <w:r>
        <w:rPr>
          <w:rFonts w:hint="eastAsia" w:ascii="宋体" w:hAnsi="宋体"/>
          <w:color w:val="auto"/>
          <w:sz w:val="21"/>
          <w:szCs w:val="21"/>
          <w:highlight w:val="none"/>
        </w:rPr>
        <w:t>附表</w:t>
      </w:r>
      <w:r>
        <w:rPr>
          <w:rFonts w:ascii="宋体" w:hAnsi="宋体"/>
          <w:color w:val="auto"/>
          <w:sz w:val="21"/>
          <w:szCs w:val="21"/>
          <w:highlight w:val="none"/>
        </w:rPr>
        <w:t>2</w:t>
      </w:r>
      <w:r>
        <w:rPr>
          <w:rFonts w:hint="eastAsia" w:ascii="宋体" w:hAnsi="宋体"/>
          <w:color w:val="auto"/>
          <w:sz w:val="21"/>
          <w:szCs w:val="21"/>
          <w:highlight w:val="none"/>
        </w:rPr>
        <w:t>：</w:t>
      </w:r>
    </w:p>
    <w:p>
      <w:pPr>
        <w:widowControl/>
        <w:snapToGrid w:val="0"/>
        <w:spacing w:line="560" w:lineRule="exact"/>
        <w:jc w:val="center"/>
        <w:rPr>
          <w:rFonts w:ascii="宋体" w:hAnsi="宋体"/>
          <w:b/>
          <w:color w:val="auto"/>
          <w:sz w:val="21"/>
          <w:szCs w:val="21"/>
          <w:highlight w:val="none"/>
        </w:rPr>
      </w:pPr>
      <w:r>
        <w:rPr>
          <w:rFonts w:hint="eastAsia" w:ascii="宋体" w:hAnsi="宋体"/>
          <w:b/>
          <w:color w:val="auto"/>
          <w:sz w:val="21"/>
          <w:szCs w:val="21"/>
          <w:highlight w:val="none"/>
        </w:rPr>
        <w:t>符合性审查表</w:t>
      </w:r>
    </w:p>
    <w:tbl>
      <w:tblPr>
        <w:tblStyle w:val="40"/>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72"/>
        <w:gridCol w:w="44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4272" w:type="dxa"/>
            <w:vAlign w:val="center"/>
          </w:tcPr>
          <w:p>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要求说明</w:t>
            </w:r>
          </w:p>
        </w:tc>
        <w:tc>
          <w:tcPr>
            <w:tcW w:w="4423" w:type="dxa"/>
            <w:vAlign w:val="center"/>
          </w:tcPr>
          <w:p>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ascii="宋体" w:hAnsi="宋体"/>
                <w:color w:val="auto"/>
                <w:sz w:val="21"/>
                <w:szCs w:val="21"/>
                <w:highlight w:val="none"/>
              </w:rPr>
              <w:t>1</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投标有效期：符合第二章“投标人须知前附表”第8条的要求。</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提供“投标书”</w:t>
            </w:r>
            <w:r>
              <w:rPr>
                <w:rFonts w:hint="eastAsia" w:ascii="宋体" w:hAnsi="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ascii="宋体" w:hAnsi="宋体"/>
                <w:color w:val="auto"/>
                <w:sz w:val="21"/>
                <w:szCs w:val="21"/>
                <w:highlight w:val="none"/>
              </w:rPr>
              <w:t>2</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法定代表人身份证明、法定代表人授权书。</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（1）投标文件由法定代表人签字的，提供“法定代表人身份证明”。</w:t>
            </w:r>
          </w:p>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（2）投标文件由授权代表签字的，提供“法定代表人身份证明”和“法定代表人授权书”，并提供社保部门出具的供应商单位为授权代表缴纳社保的证明资料复印件。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3</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符合第二章“投标人须知”第九、1条的要求。</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4</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对同个项目不允许提供两个投标方案。</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供应商不得在投标活动中提供任何虚假材料或从事其他违法活动的。</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6</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评标委员会经过审查，认定供应商虚假应标、串通投标的，有下列情形之一的，视为供应商串通投标：</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）不同供应商的投标文件由同一单位或者个人编制；</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）不同供应商委托同一单位或者个人办理投标事宜；</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）不同供应商的投标文件载明的项目管理成员或者联系人员为同一人；</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）不同供应商的投标文件异常一致或者投标报价呈规律性差异；</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5</w:t>
            </w:r>
            <w:r>
              <w:rPr>
                <w:rFonts w:hint="eastAsia" w:ascii="宋体" w:hAnsi="宋体"/>
                <w:color w:val="auto"/>
                <w:sz w:val="21"/>
                <w:szCs w:val="21"/>
                <w:highlight w:val="none"/>
              </w:rPr>
              <w:t>）不同供应商的投标文件相互混装。</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7</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符合法律、法规和采购文件中规定的其他实质性要求（实质性要求采购文件中“*”标记）</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8</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本次公开招标设有最高单价限价，详见第二部分投标人须知第7款。</w:t>
            </w:r>
          </w:p>
        </w:tc>
        <w:tc>
          <w:tcPr>
            <w:tcW w:w="4423" w:type="dxa"/>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提供“开标一览表”</w:t>
            </w:r>
            <w:r>
              <w:rPr>
                <w:rFonts w:hint="eastAsia" w:ascii="宋体" w:hAnsi="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9</w:t>
            </w:r>
          </w:p>
        </w:tc>
        <w:tc>
          <w:tcPr>
            <w:tcW w:w="4272" w:type="dxa"/>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23" w:type="dxa"/>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2" w:type="dxa"/>
            <w:gridSpan w:val="2"/>
            <w:vAlign w:val="center"/>
          </w:tcPr>
          <w:p>
            <w:pPr>
              <w:snapToGrid w:val="0"/>
              <w:spacing w:line="400" w:lineRule="exact"/>
              <w:jc w:val="center"/>
              <w:rPr>
                <w:rFonts w:ascii="宋体" w:hAnsi="宋体"/>
                <w:color w:val="auto"/>
                <w:sz w:val="21"/>
                <w:szCs w:val="21"/>
                <w:highlight w:val="none"/>
              </w:rPr>
            </w:pPr>
            <w:r>
              <w:rPr>
                <w:rFonts w:hint="eastAsia" w:ascii="宋体" w:hAnsi="宋体"/>
                <w:b/>
                <w:color w:val="auto"/>
                <w:sz w:val="21"/>
                <w:szCs w:val="21"/>
                <w:highlight w:val="none"/>
              </w:rPr>
              <w:t>符合性审查结论</w:t>
            </w:r>
          </w:p>
        </w:tc>
        <w:tc>
          <w:tcPr>
            <w:tcW w:w="4423" w:type="dxa"/>
            <w:vAlign w:val="center"/>
          </w:tcPr>
          <w:p>
            <w:pPr>
              <w:snapToGrid w:val="0"/>
              <w:spacing w:line="400" w:lineRule="exact"/>
              <w:rPr>
                <w:rFonts w:ascii="宋体" w:hAnsi="宋体"/>
                <w:color w:val="auto"/>
                <w:sz w:val="21"/>
                <w:szCs w:val="21"/>
                <w:highlight w:val="none"/>
              </w:rPr>
            </w:pPr>
          </w:p>
        </w:tc>
      </w:tr>
    </w:tbl>
    <w:p>
      <w:pPr>
        <w:spacing w:line="400" w:lineRule="exact"/>
        <w:rPr>
          <w:rFonts w:ascii="宋体" w:hAnsi="宋体"/>
          <w:b/>
          <w:color w:val="auto"/>
          <w:sz w:val="21"/>
          <w:szCs w:val="21"/>
          <w:highlight w:val="none"/>
        </w:rPr>
      </w:pPr>
      <w:r>
        <w:rPr>
          <w:rFonts w:hint="eastAsia" w:ascii="宋体" w:hAnsi="宋体"/>
          <w:b/>
          <w:color w:val="auto"/>
          <w:sz w:val="21"/>
          <w:szCs w:val="21"/>
          <w:highlight w:val="none"/>
        </w:rPr>
        <w:t>注：上述审查项目中，任意一项不符合的，符合性审查不合格。</w:t>
      </w:r>
    </w:p>
    <w:p>
      <w:pPr>
        <w:pStyle w:val="23"/>
        <w:widowControl/>
        <w:spacing w:line="360" w:lineRule="auto"/>
        <w:ind w:firstLine="420" w:firstLineChars="200"/>
        <w:jc w:val="left"/>
        <w:rPr>
          <w:rFonts w:hAnsi="宋体"/>
          <w:color w:val="auto"/>
          <w:highlight w:val="none"/>
        </w:rPr>
      </w:pPr>
    </w:p>
    <w:p>
      <w:pPr>
        <w:adjustRightInd/>
        <w:spacing w:line="480" w:lineRule="auto"/>
        <w:ind w:firstLine="422" w:firstLineChars="200"/>
        <w:jc w:val="center"/>
        <w:textAlignment w:val="auto"/>
        <w:rPr>
          <w:rFonts w:ascii="宋体" w:hAnsi="宋体"/>
          <w:b/>
          <w:color w:val="auto"/>
          <w:sz w:val="21"/>
          <w:szCs w:val="21"/>
          <w:highlight w:val="none"/>
        </w:rPr>
      </w:pPr>
      <w:r>
        <w:rPr>
          <w:rFonts w:ascii="宋体" w:hAnsi="宋体"/>
          <w:b/>
          <w:color w:val="auto"/>
          <w:sz w:val="21"/>
          <w:szCs w:val="21"/>
          <w:highlight w:val="none"/>
        </w:rPr>
        <w:br w:type="page"/>
      </w:r>
    </w:p>
    <w:p>
      <w:pPr>
        <w:pStyle w:val="2"/>
        <w:rPr>
          <w:rFonts w:ascii="宋体" w:hAnsi="宋体"/>
          <w:b/>
          <w:color w:val="auto"/>
          <w:sz w:val="21"/>
          <w:szCs w:val="21"/>
          <w:highlight w:val="none"/>
        </w:rPr>
      </w:pPr>
      <w:r>
        <w:rPr>
          <w:rFonts w:hint="eastAsia" w:ascii="宋体" w:hAnsi="宋体"/>
          <w:b/>
          <w:color w:val="auto"/>
          <w:sz w:val="21"/>
          <w:szCs w:val="21"/>
          <w:highlight w:val="none"/>
        </w:rPr>
        <w:t>附表3：</w:t>
      </w:r>
    </w:p>
    <w:p>
      <w:pPr>
        <w:pStyle w:val="2"/>
        <w:jc w:val="center"/>
        <w:rPr>
          <w:rFonts w:ascii="宋体" w:hAnsi="宋体"/>
          <w:b/>
          <w:color w:val="auto"/>
          <w:sz w:val="21"/>
          <w:szCs w:val="21"/>
          <w:highlight w:val="none"/>
        </w:rPr>
      </w:pPr>
      <w:r>
        <w:rPr>
          <w:rFonts w:hint="eastAsia" w:ascii="宋体" w:hAnsi="宋体"/>
          <w:b/>
          <w:color w:val="auto"/>
          <w:sz w:val="21"/>
          <w:szCs w:val="21"/>
          <w:highlight w:val="none"/>
        </w:rPr>
        <w:t>评分细则</w:t>
      </w:r>
    </w:p>
    <w:tbl>
      <w:tblPr>
        <w:tblStyle w:val="40"/>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905"/>
        <w:gridCol w:w="2574"/>
        <w:gridCol w:w="3096"/>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15" w:type="dxa"/>
            <w:gridSpan w:val="4"/>
            <w:shd w:val="clear" w:color="auto" w:fill="DBEEF3" w:themeFill="accent5" w:themeFillTint="32"/>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评审内容及分值</w:t>
            </w:r>
          </w:p>
        </w:tc>
        <w:tc>
          <w:tcPr>
            <w:tcW w:w="658" w:type="dxa"/>
            <w:shd w:val="clear" w:color="auto" w:fill="DBEEF3" w:themeFill="accent5" w:themeFillTint="32"/>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40" w:type="dxa"/>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商务、技术条款响应</w:t>
            </w:r>
          </w:p>
          <w:p>
            <w:pPr>
              <w:widowControl/>
              <w:spacing w:line="288" w:lineRule="auto"/>
              <w:jc w:val="center"/>
              <w:rPr>
                <w:color w:val="auto"/>
                <w:szCs w:val="21"/>
                <w:highlight w:val="none"/>
              </w:rPr>
            </w:pPr>
            <w:r>
              <w:rPr>
                <w:rFonts w:hint="eastAsia" w:ascii="宋体" w:hAnsi="宋体" w:cs="宋体"/>
                <w:b/>
                <w:bCs/>
                <w:color w:val="auto"/>
                <w:sz w:val="21"/>
                <w:szCs w:val="21"/>
                <w:highlight w:val="none"/>
              </w:rPr>
              <w:t>（1</w:t>
            </w:r>
            <w:r>
              <w:rPr>
                <w:rFonts w:ascii="宋体" w:hAnsi="宋体" w:cs="宋体"/>
                <w:b/>
                <w:bCs/>
                <w:color w:val="auto"/>
                <w:sz w:val="21"/>
                <w:szCs w:val="21"/>
                <w:highlight w:val="none"/>
              </w:rPr>
              <w:t>5</w:t>
            </w:r>
            <w:r>
              <w:rPr>
                <w:rFonts w:hint="eastAsia" w:ascii="宋体" w:hAnsi="宋体" w:cs="宋体"/>
                <w:b/>
                <w:bCs/>
                <w:color w:val="auto"/>
                <w:sz w:val="21"/>
                <w:szCs w:val="21"/>
                <w:highlight w:val="none"/>
              </w:rPr>
              <w:t>分）</w:t>
            </w:r>
          </w:p>
        </w:tc>
        <w:tc>
          <w:tcPr>
            <w:tcW w:w="7575" w:type="dxa"/>
            <w:gridSpan w:val="3"/>
            <w:vAlign w:val="center"/>
          </w:tcPr>
          <w:p>
            <w:pPr>
              <w:widowControl/>
              <w:spacing w:line="288" w:lineRule="auto"/>
              <w:ind w:right="-79" w:rightChars="-33"/>
              <w:rPr>
                <w:rFonts w:ascii="宋体" w:hAnsi="宋体" w:cs="宋体"/>
                <w:color w:val="auto"/>
                <w:sz w:val="21"/>
                <w:szCs w:val="21"/>
                <w:highlight w:val="none"/>
              </w:rPr>
            </w:pPr>
            <w:r>
              <w:rPr>
                <w:rFonts w:hint="eastAsia" w:ascii="宋体" w:hAnsi="宋体" w:cs="宋体"/>
                <w:color w:val="auto"/>
                <w:sz w:val="21"/>
                <w:szCs w:val="21"/>
                <w:highlight w:val="none"/>
              </w:rPr>
              <w:t>对招标文件的商务、技术参数条款响应情况进行评议，每负偏离一条标“*”的作无效标处理；每负偏离一条未“*”的，每条扣1分，若扣分项超过15分（含）的 作无效标处理。</w:t>
            </w:r>
          </w:p>
        </w:tc>
        <w:tc>
          <w:tcPr>
            <w:tcW w:w="658" w:type="dxa"/>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340" w:type="dxa"/>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项目需求</w:t>
            </w:r>
          </w:p>
          <w:p>
            <w:pPr>
              <w:widowControl/>
              <w:spacing w:line="288" w:lineRule="auto"/>
              <w:jc w:val="center"/>
              <w:rPr>
                <w:color w:val="auto"/>
                <w:szCs w:val="21"/>
                <w:highlight w:val="none"/>
              </w:rPr>
            </w:pPr>
            <w:r>
              <w:rPr>
                <w:rFonts w:hint="eastAsia" w:ascii="宋体" w:hAnsi="宋体" w:cs="宋体"/>
                <w:b/>
                <w:bCs/>
                <w:color w:val="auto"/>
                <w:sz w:val="21"/>
                <w:szCs w:val="21"/>
                <w:highlight w:val="none"/>
              </w:rPr>
              <w:t>（5分）</w:t>
            </w:r>
          </w:p>
        </w:tc>
        <w:tc>
          <w:tcPr>
            <w:tcW w:w="7575" w:type="dxa"/>
            <w:gridSpan w:val="3"/>
            <w:vAlign w:val="center"/>
          </w:tcPr>
          <w:p>
            <w:pPr>
              <w:pStyle w:val="19"/>
              <w:widowControl/>
              <w:spacing w:line="288" w:lineRule="auto"/>
              <w:ind w:left="0" w:right="-79" w:rightChars="-33"/>
              <w:rPr>
                <w:rFonts w:cs="宋体"/>
                <w:color w:val="auto"/>
                <w:sz w:val="21"/>
                <w:szCs w:val="21"/>
                <w:highlight w:val="none"/>
              </w:rPr>
            </w:pPr>
            <w:r>
              <w:rPr>
                <w:rFonts w:hint="eastAsia" w:cs="宋体"/>
                <w:color w:val="auto"/>
                <w:sz w:val="21"/>
                <w:szCs w:val="21"/>
                <w:highlight w:val="none"/>
              </w:rPr>
              <w:t>根据投标人对在线开放课程（MOOC）的理解（0-1分）；</w:t>
            </w:r>
          </w:p>
          <w:p>
            <w:pPr>
              <w:pStyle w:val="19"/>
              <w:widowControl/>
              <w:spacing w:line="288" w:lineRule="auto"/>
              <w:ind w:left="0" w:right="-79" w:rightChars="-33"/>
              <w:rPr>
                <w:rFonts w:cs="宋体"/>
                <w:color w:val="auto"/>
                <w:sz w:val="21"/>
                <w:szCs w:val="21"/>
                <w:highlight w:val="none"/>
              </w:rPr>
            </w:pPr>
            <w:r>
              <w:rPr>
                <w:rFonts w:hint="eastAsia" w:cs="宋体"/>
                <w:color w:val="auto"/>
                <w:sz w:val="21"/>
                <w:szCs w:val="21"/>
                <w:highlight w:val="none"/>
              </w:rPr>
              <w:t>国家级、省级精品在线课程共享平台的建设定位与目标（0-1分）；</w:t>
            </w:r>
          </w:p>
          <w:p>
            <w:pPr>
              <w:pStyle w:val="19"/>
              <w:widowControl/>
              <w:spacing w:line="288" w:lineRule="auto"/>
              <w:ind w:left="0" w:right="-79" w:rightChars="-33"/>
              <w:rPr>
                <w:rFonts w:cs="宋体"/>
                <w:color w:val="auto"/>
                <w:sz w:val="21"/>
                <w:szCs w:val="21"/>
                <w:highlight w:val="none"/>
              </w:rPr>
            </w:pPr>
            <w:r>
              <w:rPr>
                <w:rFonts w:hint="eastAsia" w:cs="宋体"/>
                <w:color w:val="auto"/>
                <w:sz w:val="21"/>
                <w:szCs w:val="21"/>
                <w:highlight w:val="none"/>
              </w:rPr>
              <w:t>国家级/省级精品在线开放课程建设要求（0-1分）；</w:t>
            </w:r>
          </w:p>
          <w:p>
            <w:pPr>
              <w:pStyle w:val="19"/>
              <w:widowControl/>
              <w:spacing w:line="288" w:lineRule="auto"/>
              <w:ind w:left="0" w:right="-79" w:rightChars="-33"/>
              <w:rPr>
                <w:rFonts w:cs="宋体"/>
                <w:color w:val="auto"/>
                <w:sz w:val="21"/>
                <w:szCs w:val="21"/>
                <w:highlight w:val="none"/>
              </w:rPr>
            </w:pPr>
            <w:r>
              <w:rPr>
                <w:rFonts w:hint="eastAsia" w:cs="宋体"/>
                <w:color w:val="auto"/>
                <w:sz w:val="21"/>
                <w:szCs w:val="21"/>
                <w:highlight w:val="none"/>
              </w:rPr>
              <w:t>应用推广（0-1分）；</w:t>
            </w:r>
          </w:p>
          <w:p>
            <w:pPr>
              <w:pStyle w:val="19"/>
              <w:widowControl/>
              <w:spacing w:line="288" w:lineRule="auto"/>
              <w:ind w:left="0" w:right="-79" w:rightChars="-33"/>
              <w:rPr>
                <w:rFonts w:cs="宋体"/>
                <w:color w:val="auto"/>
                <w:sz w:val="21"/>
                <w:szCs w:val="21"/>
                <w:highlight w:val="none"/>
                <w:lang w:bidi="ar"/>
              </w:rPr>
            </w:pPr>
            <w:r>
              <w:rPr>
                <w:rFonts w:hint="eastAsia" w:cs="宋体"/>
                <w:color w:val="auto"/>
                <w:sz w:val="21"/>
                <w:szCs w:val="21"/>
                <w:highlight w:val="none"/>
              </w:rPr>
              <w:t>评审认定的理解掌握程度（0-1分）等内容由评委进行综合评议</w:t>
            </w:r>
            <w:r>
              <w:rPr>
                <w:rFonts w:hint="eastAsia" w:cs="宋体"/>
                <w:color w:val="auto"/>
                <w:sz w:val="21"/>
                <w:szCs w:val="21"/>
                <w:highlight w:val="none"/>
                <w:lang w:bidi="ar"/>
              </w:rPr>
              <w:t>。</w:t>
            </w:r>
          </w:p>
        </w:tc>
        <w:tc>
          <w:tcPr>
            <w:tcW w:w="658" w:type="dxa"/>
            <w:vAlign w:val="center"/>
          </w:tcPr>
          <w:p>
            <w:pPr>
              <w:pStyle w:val="19"/>
              <w:widowControl/>
              <w:spacing w:line="288" w:lineRule="auto"/>
              <w:ind w:left="0" w:right="-276" w:rightChars="-115" w:firstLine="210" w:firstLineChars="100"/>
              <w:jc w:val="both"/>
              <w:rPr>
                <w:rFonts w:cs="宋体"/>
                <w:color w:val="auto"/>
                <w:sz w:val="21"/>
                <w:szCs w:val="21"/>
                <w:highlight w:val="none"/>
              </w:rPr>
            </w:pPr>
            <w:r>
              <w:rPr>
                <w:rFonts w:hint="eastAsia"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40" w:type="dxa"/>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实施方案</w:t>
            </w:r>
          </w:p>
          <w:p>
            <w:pPr>
              <w:widowControl/>
              <w:spacing w:line="288" w:lineRule="auto"/>
              <w:jc w:val="center"/>
              <w:rPr>
                <w:color w:val="auto"/>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8</w:t>
            </w:r>
            <w:r>
              <w:rPr>
                <w:rFonts w:hint="eastAsia" w:ascii="宋体" w:hAnsi="宋体" w:cs="宋体"/>
                <w:b/>
                <w:bCs/>
                <w:color w:val="auto"/>
                <w:sz w:val="21"/>
                <w:szCs w:val="21"/>
                <w:highlight w:val="none"/>
              </w:rPr>
              <w:t>分）</w:t>
            </w:r>
          </w:p>
        </w:tc>
        <w:tc>
          <w:tcPr>
            <w:tcW w:w="7575" w:type="dxa"/>
            <w:gridSpan w:val="3"/>
            <w:vAlign w:val="center"/>
          </w:tcPr>
          <w:p>
            <w:pPr>
              <w:pStyle w:val="19"/>
              <w:widowControl/>
              <w:spacing w:line="288" w:lineRule="auto"/>
              <w:ind w:left="0" w:right="-79" w:rightChars="-33"/>
              <w:rPr>
                <w:rFonts w:cs="宋体"/>
                <w:color w:val="auto"/>
                <w:sz w:val="21"/>
                <w:szCs w:val="21"/>
                <w:highlight w:val="none"/>
              </w:rPr>
            </w:pPr>
            <w:r>
              <w:rPr>
                <w:rFonts w:hint="eastAsia" w:cs="宋体"/>
                <w:color w:val="auto"/>
                <w:sz w:val="21"/>
                <w:szCs w:val="21"/>
                <w:highlight w:val="none"/>
              </w:rPr>
              <w:t>投标人须详细阐述针对1门工科课程的视频拍摄和制作组织实施方案。评委对方案的合理性、全面性、适用性进行综合评议：</w:t>
            </w:r>
          </w:p>
          <w:p>
            <w:pPr>
              <w:pStyle w:val="181"/>
              <w:numPr>
                <w:ilvl w:val="0"/>
                <w:numId w:val="7"/>
              </w:numPr>
              <w:spacing w:line="312" w:lineRule="auto"/>
              <w:ind w:firstLineChars="0"/>
              <w:rPr>
                <w:rFonts w:ascii="宋体" w:hAnsi="宋体" w:cs="宋体"/>
                <w:color w:val="auto"/>
                <w:sz w:val="21"/>
                <w:szCs w:val="21"/>
                <w:highlight w:val="none"/>
              </w:rPr>
            </w:pPr>
            <w:r>
              <w:rPr>
                <w:rFonts w:hint="eastAsia" w:ascii="宋体" w:hAnsi="宋体" w:cs="宋体"/>
                <w:color w:val="auto"/>
                <w:sz w:val="21"/>
                <w:szCs w:val="21"/>
                <w:highlight w:val="none"/>
              </w:rPr>
              <w:t>阐述内容完备、详尽、清楚、符合程度高的得</w:t>
            </w:r>
            <w:r>
              <w:rPr>
                <w:rFonts w:ascii="宋体" w:hAnsi="宋体" w:cs="宋体"/>
                <w:color w:val="auto"/>
                <w:sz w:val="21"/>
                <w:szCs w:val="21"/>
                <w:highlight w:val="none"/>
              </w:rPr>
              <w:t>8</w:t>
            </w:r>
            <w:r>
              <w:rPr>
                <w:rFonts w:hint="eastAsia" w:ascii="宋体" w:hAnsi="宋体" w:cs="宋体"/>
                <w:color w:val="auto"/>
                <w:sz w:val="21"/>
                <w:szCs w:val="21"/>
                <w:highlight w:val="none"/>
              </w:rPr>
              <w:t>分；</w:t>
            </w:r>
          </w:p>
          <w:p>
            <w:pPr>
              <w:pStyle w:val="181"/>
              <w:numPr>
                <w:ilvl w:val="0"/>
                <w:numId w:val="7"/>
              </w:numPr>
              <w:spacing w:line="312" w:lineRule="auto"/>
              <w:ind w:firstLineChars="0"/>
              <w:rPr>
                <w:rFonts w:ascii="宋体" w:hAnsi="宋体" w:cs="宋体"/>
                <w:color w:val="auto"/>
                <w:sz w:val="21"/>
                <w:szCs w:val="21"/>
                <w:highlight w:val="none"/>
              </w:rPr>
            </w:pPr>
            <w:r>
              <w:rPr>
                <w:rFonts w:hint="eastAsia" w:ascii="宋体" w:hAnsi="宋体" w:cs="宋体"/>
                <w:color w:val="auto"/>
                <w:sz w:val="21"/>
                <w:szCs w:val="21"/>
                <w:highlight w:val="none"/>
              </w:rPr>
              <w:t>阐述内容比较详尽、符合程度一般的得</w:t>
            </w:r>
            <w:r>
              <w:rPr>
                <w:rFonts w:ascii="宋体" w:hAnsi="宋体" w:cs="宋体"/>
                <w:color w:val="auto"/>
                <w:sz w:val="21"/>
                <w:szCs w:val="21"/>
                <w:highlight w:val="none"/>
              </w:rPr>
              <w:t>6</w:t>
            </w:r>
            <w:r>
              <w:rPr>
                <w:rFonts w:hint="eastAsia" w:ascii="宋体" w:hAnsi="宋体" w:cs="宋体"/>
                <w:color w:val="auto"/>
                <w:sz w:val="21"/>
                <w:szCs w:val="21"/>
                <w:highlight w:val="none"/>
              </w:rPr>
              <w:t xml:space="preserve">分； </w:t>
            </w:r>
          </w:p>
          <w:p>
            <w:pPr>
              <w:pStyle w:val="181"/>
              <w:numPr>
                <w:ilvl w:val="0"/>
                <w:numId w:val="7"/>
              </w:numPr>
              <w:spacing w:line="312" w:lineRule="auto"/>
              <w:ind w:firstLineChars="0"/>
              <w:rPr>
                <w:rFonts w:ascii="宋体" w:hAnsi="宋体" w:cs="宋体"/>
                <w:color w:val="auto"/>
                <w:sz w:val="21"/>
                <w:szCs w:val="21"/>
                <w:highlight w:val="none"/>
              </w:rPr>
            </w:pPr>
            <w:r>
              <w:rPr>
                <w:rFonts w:hint="eastAsia" w:ascii="宋体" w:hAnsi="宋体" w:cs="宋体"/>
                <w:color w:val="auto"/>
                <w:sz w:val="21"/>
                <w:szCs w:val="21"/>
                <w:highlight w:val="none"/>
              </w:rPr>
              <w:t>阐述内容有欠缺或不到位得</w:t>
            </w:r>
            <w:r>
              <w:rPr>
                <w:rFonts w:ascii="宋体" w:hAnsi="宋体" w:cs="宋体"/>
                <w:color w:val="auto"/>
                <w:sz w:val="21"/>
                <w:szCs w:val="21"/>
                <w:highlight w:val="none"/>
              </w:rPr>
              <w:t>4</w:t>
            </w:r>
            <w:r>
              <w:rPr>
                <w:rFonts w:hint="eastAsia" w:ascii="宋体" w:hAnsi="宋体" w:cs="宋体"/>
                <w:color w:val="auto"/>
                <w:sz w:val="21"/>
                <w:szCs w:val="21"/>
                <w:highlight w:val="none"/>
              </w:rPr>
              <w:t xml:space="preserve">分； </w:t>
            </w:r>
          </w:p>
          <w:p>
            <w:pPr>
              <w:pStyle w:val="19"/>
              <w:widowControl/>
              <w:numPr>
                <w:ilvl w:val="0"/>
                <w:numId w:val="7"/>
              </w:numPr>
              <w:spacing w:line="288" w:lineRule="auto"/>
              <w:ind w:left="360" w:right="-79" w:rightChars="-33"/>
              <w:rPr>
                <w:rFonts w:cs="宋体"/>
                <w:color w:val="auto"/>
                <w:sz w:val="21"/>
                <w:szCs w:val="21"/>
                <w:highlight w:val="none"/>
              </w:rPr>
            </w:pPr>
            <w:r>
              <w:rPr>
                <w:rFonts w:hint="eastAsia" w:cs="宋体"/>
                <w:color w:val="auto"/>
                <w:sz w:val="21"/>
                <w:szCs w:val="21"/>
                <w:highlight w:val="none"/>
              </w:rPr>
              <w:t>未提供本项内容的不得分；</w:t>
            </w:r>
          </w:p>
        </w:tc>
        <w:tc>
          <w:tcPr>
            <w:tcW w:w="658" w:type="dxa"/>
            <w:vAlign w:val="center"/>
          </w:tcPr>
          <w:p>
            <w:pPr>
              <w:pStyle w:val="19"/>
              <w:widowControl/>
              <w:spacing w:line="288" w:lineRule="auto"/>
              <w:ind w:left="0" w:right="-288" w:firstLine="210" w:firstLineChars="100"/>
              <w:jc w:val="both"/>
              <w:rPr>
                <w:rFonts w:cs="宋体"/>
                <w:color w:val="auto"/>
                <w:sz w:val="21"/>
                <w:szCs w:val="21"/>
                <w:highlight w:val="none"/>
              </w:rPr>
            </w:pPr>
            <w:r>
              <w:rPr>
                <w:rFonts w:cs="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40" w:type="dxa"/>
            <w:vMerge w:val="restart"/>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综合能力</w:t>
            </w:r>
          </w:p>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4</w:t>
            </w:r>
            <w:r>
              <w:rPr>
                <w:rFonts w:hint="eastAsia" w:ascii="宋体" w:hAnsi="宋体" w:cs="宋体"/>
                <w:b/>
                <w:bCs/>
                <w:color w:val="auto"/>
                <w:sz w:val="21"/>
                <w:szCs w:val="21"/>
                <w:highlight w:val="none"/>
              </w:rPr>
              <w:t>分)</w:t>
            </w:r>
          </w:p>
        </w:tc>
        <w:tc>
          <w:tcPr>
            <w:tcW w:w="7575" w:type="dxa"/>
            <w:gridSpan w:val="3"/>
            <w:vAlign w:val="center"/>
          </w:tcPr>
          <w:p>
            <w:pPr>
              <w:widowControl/>
              <w:spacing w:line="288" w:lineRule="auto"/>
              <w:ind w:right="-79" w:rightChars="-33"/>
              <w:textAlignment w:val="center"/>
              <w:rPr>
                <w:rFonts w:ascii="宋体" w:hAnsi="宋体" w:cs="宋体"/>
                <w:color w:val="auto"/>
                <w:sz w:val="21"/>
                <w:szCs w:val="21"/>
                <w:highlight w:val="none"/>
              </w:rPr>
            </w:pPr>
            <w:r>
              <w:rPr>
                <w:rFonts w:hint="eastAsia" w:ascii="宋体" w:hAnsi="宋体" w:cs="宋体"/>
                <w:color w:val="auto"/>
                <w:sz w:val="21"/>
                <w:szCs w:val="21"/>
                <w:highlight w:val="none"/>
              </w:rPr>
              <w:t>投标人具有有效的质量管理体系认证证书的，得2分，没有不得分。</w:t>
            </w:r>
          </w:p>
          <w:p>
            <w:pPr>
              <w:widowControl/>
              <w:spacing w:line="288" w:lineRule="auto"/>
              <w:ind w:right="-79" w:rightChars="-33"/>
              <w:textAlignment w:val="center"/>
              <w:rPr>
                <w:rFonts w:ascii="宋体" w:hAnsi="宋体" w:cs="宋体"/>
                <w:color w:val="auto"/>
                <w:sz w:val="21"/>
                <w:szCs w:val="21"/>
                <w:highlight w:val="none"/>
              </w:rPr>
            </w:pPr>
            <w:r>
              <w:rPr>
                <w:rFonts w:hint="eastAsia" w:ascii="宋体" w:hAnsi="宋体" w:cs="宋体"/>
                <w:color w:val="auto"/>
                <w:sz w:val="21"/>
                <w:szCs w:val="21"/>
                <w:highlight w:val="none"/>
              </w:rPr>
              <w:t>【有效的认证证书是指认证证书在认证的有效期限内，且在国家认证认可信息统一查询平台（www.cnca.gov.cn）查询结果为有效。须提供认证证书复印件及国家认证认可信息统一查询平台查询截图加盖投标人公章】</w:t>
            </w:r>
          </w:p>
        </w:tc>
        <w:tc>
          <w:tcPr>
            <w:tcW w:w="658" w:type="dxa"/>
            <w:vAlign w:val="center"/>
          </w:tcPr>
          <w:p>
            <w:pPr>
              <w:widowControl/>
              <w:spacing w:line="288"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7575" w:type="dxa"/>
            <w:gridSpan w:val="3"/>
            <w:vAlign w:val="center"/>
          </w:tcPr>
          <w:p>
            <w:pPr>
              <w:widowControl/>
              <w:spacing w:line="288" w:lineRule="auto"/>
              <w:ind w:right="-79" w:rightChars="-33"/>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投标人承接过多个使用单位课程建设视频拍摄、制作等类似项目业绩，具有10个及以上不同使用单位业绩的得</w:t>
            </w:r>
            <w:r>
              <w:rPr>
                <w:rFonts w:ascii="宋体" w:hAnsi="宋体" w:cs="宋体"/>
                <w:color w:val="auto"/>
                <w:sz w:val="21"/>
                <w:szCs w:val="21"/>
                <w:highlight w:val="none"/>
                <w:lang w:bidi="ar"/>
              </w:rPr>
              <w:t>2</w:t>
            </w:r>
            <w:r>
              <w:rPr>
                <w:rFonts w:hint="eastAsia" w:ascii="宋体" w:hAnsi="宋体" w:cs="宋体"/>
                <w:color w:val="auto"/>
                <w:sz w:val="21"/>
                <w:szCs w:val="21"/>
                <w:highlight w:val="none"/>
                <w:lang w:bidi="ar"/>
              </w:rPr>
              <w:t>分，5个及以上得</w:t>
            </w:r>
            <w:r>
              <w:rPr>
                <w:rFonts w:ascii="宋体" w:hAnsi="宋体" w:cs="宋体"/>
                <w:color w:val="auto"/>
                <w:sz w:val="21"/>
                <w:szCs w:val="21"/>
                <w:highlight w:val="none"/>
                <w:lang w:bidi="ar"/>
              </w:rPr>
              <w:t>1</w:t>
            </w:r>
            <w:r>
              <w:rPr>
                <w:rFonts w:hint="eastAsia" w:ascii="宋体" w:hAnsi="宋体" w:cs="宋体"/>
                <w:color w:val="auto"/>
                <w:sz w:val="21"/>
                <w:szCs w:val="21"/>
                <w:highlight w:val="none"/>
                <w:lang w:bidi="ar"/>
              </w:rPr>
              <w:t>分。</w:t>
            </w:r>
          </w:p>
          <w:p>
            <w:pPr>
              <w:widowControl/>
              <w:spacing w:line="288" w:lineRule="auto"/>
              <w:ind w:right="-79" w:rightChars="-33"/>
              <w:rPr>
                <w:rFonts w:ascii="宋体" w:hAnsi="宋体" w:cs="宋体"/>
                <w:color w:val="auto"/>
                <w:sz w:val="21"/>
                <w:szCs w:val="21"/>
                <w:highlight w:val="none"/>
              </w:rPr>
            </w:pPr>
            <w:r>
              <w:rPr>
                <w:rFonts w:hint="eastAsia" w:ascii="宋体" w:hAnsi="宋体" w:cs="宋体"/>
                <w:color w:val="auto"/>
                <w:sz w:val="21"/>
                <w:szCs w:val="21"/>
                <w:highlight w:val="none"/>
                <w:lang w:bidi="ar"/>
              </w:rPr>
              <w:t>【投标文件中须提供合同复印件加盖投标人公章（合同须至少须包括首页、内容页、盖章页，以上内容有缺失的合同不作为评审依据）。】</w:t>
            </w:r>
          </w:p>
        </w:tc>
        <w:tc>
          <w:tcPr>
            <w:tcW w:w="658" w:type="dxa"/>
            <w:vAlign w:val="center"/>
          </w:tcPr>
          <w:p>
            <w:pPr>
              <w:widowControl/>
              <w:spacing w:line="288" w:lineRule="auto"/>
              <w:jc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40" w:type="dxa"/>
            <w:vMerge w:val="restart"/>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投标</w:t>
            </w:r>
            <w:r>
              <w:rPr>
                <w:rFonts w:hint="eastAsia" w:ascii="宋体" w:hAnsi="宋体" w:cs="宋体"/>
                <w:b/>
                <w:bCs/>
                <w:color w:val="auto"/>
                <w:sz w:val="21"/>
                <w:szCs w:val="21"/>
                <w:highlight w:val="none"/>
              </w:rPr>
              <w:t>人</w:t>
            </w:r>
            <w:r>
              <w:rPr>
                <w:rFonts w:hint="eastAsia" w:ascii="宋体" w:hAnsi="宋体" w:cs="宋体"/>
                <w:b/>
                <w:bCs/>
                <w:color w:val="auto"/>
                <w:sz w:val="21"/>
                <w:szCs w:val="21"/>
                <w:highlight w:val="none"/>
                <w:lang w:val="en-US" w:eastAsia="zh-CN"/>
              </w:rPr>
              <w:t>综合</w:t>
            </w:r>
            <w:r>
              <w:rPr>
                <w:rFonts w:hint="eastAsia" w:ascii="宋体" w:hAnsi="宋体" w:cs="宋体"/>
                <w:b/>
                <w:bCs/>
                <w:color w:val="auto"/>
                <w:sz w:val="21"/>
                <w:szCs w:val="21"/>
                <w:highlight w:val="none"/>
              </w:rPr>
              <w:t>实力</w:t>
            </w:r>
          </w:p>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6</w:t>
            </w:r>
            <w:bookmarkStart w:id="166" w:name="_GoBack"/>
            <w:bookmarkEnd w:id="166"/>
            <w:r>
              <w:rPr>
                <w:rFonts w:hint="eastAsia" w:ascii="宋体" w:hAnsi="宋体" w:cs="宋体"/>
                <w:b/>
                <w:bCs/>
                <w:color w:val="auto"/>
                <w:sz w:val="21"/>
                <w:szCs w:val="21"/>
                <w:highlight w:val="none"/>
              </w:rPr>
              <w:t>分）</w:t>
            </w:r>
          </w:p>
        </w:tc>
        <w:tc>
          <w:tcPr>
            <w:tcW w:w="4479" w:type="dxa"/>
            <w:gridSpan w:val="2"/>
            <w:vMerge w:val="restart"/>
            <w:vAlign w:val="center"/>
          </w:tcPr>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评委根据投标人针对本项目拟投入人员的专业能力、经验、人数和架构完整性等进行综合评议，酌情打分：</w:t>
            </w:r>
          </w:p>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拟投入人员需提供学历证书、资格证书等证明资料复印件并加盖投标人公章，原件备查；人员必须提供由投标人缴纳的市、县（市、区）级及以上社保部门出具的投标前半年内任意3个月的为相关人员缴纳的参保证明等证明资料复印件加盖投标人公章，没有不得分】</w:t>
            </w:r>
          </w:p>
        </w:tc>
        <w:tc>
          <w:tcPr>
            <w:tcW w:w="3096" w:type="dxa"/>
            <w:vAlign w:val="center"/>
          </w:tcPr>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项目负责人（3分）项目负责人经验丰富、专业能力强的进行评议0-3分。</w:t>
            </w:r>
          </w:p>
        </w:tc>
        <w:tc>
          <w:tcPr>
            <w:tcW w:w="658" w:type="dxa"/>
            <w:vAlign w:val="center"/>
          </w:tcPr>
          <w:p>
            <w:pPr>
              <w:widowControl/>
              <w:spacing w:line="288"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4479" w:type="dxa"/>
            <w:gridSpan w:val="2"/>
            <w:vMerge w:val="continue"/>
            <w:vAlign w:val="center"/>
          </w:tcPr>
          <w:p>
            <w:pPr>
              <w:widowControl/>
              <w:spacing w:line="288" w:lineRule="auto"/>
              <w:ind w:right="-79" w:rightChars="-33"/>
              <w:textAlignment w:val="center"/>
              <w:rPr>
                <w:rFonts w:ascii="宋体" w:hAnsi="宋体" w:cs="宋体"/>
                <w:color w:val="auto"/>
                <w:sz w:val="21"/>
                <w:szCs w:val="21"/>
                <w:highlight w:val="none"/>
                <w:lang w:bidi="ar"/>
              </w:rPr>
            </w:pPr>
          </w:p>
        </w:tc>
        <w:tc>
          <w:tcPr>
            <w:tcW w:w="3096" w:type="dxa"/>
            <w:vAlign w:val="center"/>
          </w:tcPr>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人员数量、架构（3分）</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bidi="ar"/>
              </w:rPr>
              <w:t>员数量优于招标文件要求、岗位组成合理的进行评议0-3分。</w:t>
            </w:r>
          </w:p>
        </w:tc>
        <w:tc>
          <w:tcPr>
            <w:tcW w:w="658" w:type="dxa"/>
            <w:vAlign w:val="center"/>
          </w:tcPr>
          <w:p>
            <w:pPr>
              <w:widowControl/>
              <w:spacing w:line="288"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4479" w:type="dxa"/>
            <w:gridSpan w:val="2"/>
            <w:vMerge w:val="continue"/>
            <w:vAlign w:val="center"/>
          </w:tcPr>
          <w:p>
            <w:pPr>
              <w:widowControl/>
              <w:spacing w:line="288" w:lineRule="auto"/>
              <w:ind w:right="-79" w:rightChars="-33"/>
              <w:textAlignment w:val="center"/>
              <w:rPr>
                <w:rFonts w:ascii="宋体" w:hAnsi="宋体" w:cs="宋体"/>
                <w:color w:val="auto"/>
                <w:sz w:val="21"/>
                <w:szCs w:val="21"/>
                <w:highlight w:val="none"/>
                <w:lang w:bidi="ar"/>
              </w:rPr>
            </w:pPr>
          </w:p>
        </w:tc>
        <w:tc>
          <w:tcPr>
            <w:tcW w:w="3096" w:type="dxa"/>
            <w:vAlign w:val="center"/>
          </w:tcPr>
          <w:p>
            <w:pPr>
              <w:pStyle w:val="19"/>
              <w:widowControl/>
              <w:spacing w:line="288" w:lineRule="auto"/>
              <w:ind w:left="0" w:right="-79" w:rightChars="-33"/>
              <w:rPr>
                <w:rFonts w:cs="宋体"/>
                <w:color w:val="auto"/>
                <w:sz w:val="21"/>
                <w:szCs w:val="21"/>
                <w:highlight w:val="none"/>
              </w:rPr>
            </w:pPr>
            <w:r>
              <w:rPr>
                <w:rFonts w:hint="eastAsia" w:cs="宋体"/>
                <w:color w:val="auto"/>
                <w:sz w:val="21"/>
                <w:szCs w:val="21"/>
                <w:highlight w:val="none"/>
                <w:lang w:bidi="ar"/>
              </w:rPr>
              <w:t>专业能力、经验（4分）</w:t>
            </w:r>
            <w:r>
              <w:rPr>
                <w:rFonts w:hint="eastAsia" w:cs="宋体"/>
                <w:color w:val="auto"/>
                <w:sz w:val="21"/>
                <w:szCs w:val="21"/>
                <w:highlight w:val="none"/>
              </w:rPr>
              <w:t>项目组成人员的专业能力强、经验丰富的</w:t>
            </w:r>
            <w:r>
              <w:rPr>
                <w:rFonts w:hint="eastAsia" w:cs="宋体"/>
                <w:color w:val="auto"/>
                <w:sz w:val="21"/>
                <w:szCs w:val="21"/>
                <w:highlight w:val="none"/>
                <w:lang w:bidi="ar"/>
              </w:rPr>
              <w:t>进行评议0-4分。</w:t>
            </w:r>
          </w:p>
        </w:tc>
        <w:tc>
          <w:tcPr>
            <w:tcW w:w="658" w:type="dxa"/>
            <w:vAlign w:val="center"/>
          </w:tcPr>
          <w:p>
            <w:pPr>
              <w:pStyle w:val="19"/>
              <w:widowControl/>
              <w:spacing w:line="288" w:lineRule="auto"/>
              <w:ind w:left="0" w:right="-36" w:rightChars="-15"/>
              <w:jc w:val="center"/>
              <w:rPr>
                <w:rFonts w:hint="eastAsia" w:eastAsia="宋体" w:cs="宋体"/>
                <w:color w:val="auto"/>
                <w:sz w:val="21"/>
                <w:szCs w:val="21"/>
                <w:highlight w:val="none"/>
                <w:lang w:val="en-US" w:eastAsia="zh-CN" w:bidi="ar"/>
              </w:rPr>
            </w:pPr>
            <w:r>
              <w:rPr>
                <w:rFonts w:hint="eastAsia" w:cs="宋体"/>
                <w:color w:val="auto"/>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7575" w:type="dxa"/>
            <w:gridSpan w:val="3"/>
            <w:vAlign w:val="center"/>
          </w:tcPr>
          <w:p>
            <w:pPr>
              <w:pStyle w:val="19"/>
              <w:widowControl/>
              <w:spacing w:line="288" w:lineRule="auto"/>
              <w:ind w:left="0" w:right="-79" w:rightChars="-33"/>
              <w:rPr>
                <w:rFonts w:hint="eastAsia"/>
                <w:color w:val="auto"/>
                <w:sz w:val="21"/>
                <w:szCs w:val="21"/>
                <w:highlight w:val="none"/>
                <w:lang w:eastAsia="zh-CN"/>
              </w:rPr>
            </w:pPr>
            <w:r>
              <w:rPr>
                <w:rFonts w:hint="eastAsia"/>
                <w:color w:val="auto"/>
                <w:sz w:val="21"/>
                <w:szCs w:val="21"/>
                <w:highlight w:val="none"/>
              </w:rPr>
              <w:t>根据投标人近</w:t>
            </w:r>
            <w:r>
              <w:rPr>
                <w:color w:val="auto"/>
                <w:sz w:val="21"/>
                <w:szCs w:val="21"/>
                <w:highlight w:val="none"/>
              </w:rPr>
              <w:t>5</w:t>
            </w:r>
            <w:r>
              <w:rPr>
                <w:rFonts w:hint="eastAsia"/>
                <w:color w:val="auto"/>
                <w:sz w:val="21"/>
                <w:szCs w:val="21"/>
                <w:highlight w:val="none"/>
              </w:rPr>
              <w:t>年所制作的视频课程入围教育部认定的本科课程情况、教学视频获得的省部级奖项</w:t>
            </w:r>
            <w:r>
              <w:rPr>
                <w:rFonts w:hint="eastAsia" w:ascii="宋体" w:hAnsi="宋体" w:cs="宋体"/>
                <w:color w:val="auto"/>
                <w:sz w:val="21"/>
                <w:szCs w:val="21"/>
                <w:highlight w:val="none"/>
              </w:rPr>
              <w:t>（奖项要求是省教育厅等权威</w:t>
            </w:r>
            <w:r>
              <w:rPr>
                <w:rFonts w:hint="eastAsia" w:cs="宋体"/>
                <w:color w:val="auto"/>
                <w:sz w:val="21"/>
                <w:szCs w:val="21"/>
                <w:highlight w:val="none"/>
                <w:lang w:val="en-US" w:eastAsia="zh-CN"/>
              </w:rPr>
              <w:t>行政主管部门</w:t>
            </w:r>
            <w:r>
              <w:rPr>
                <w:rFonts w:hint="eastAsia" w:ascii="宋体" w:hAnsi="宋体" w:cs="宋体"/>
                <w:color w:val="auto"/>
                <w:sz w:val="21"/>
                <w:szCs w:val="21"/>
                <w:highlight w:val="none"/>
              </w:rPr>
              <w:t>颁发）</w:t>
            </w:r>
            <w:r>
              <w:rPr>
                <w:rFonts w:hint="eastAsia"/>
                <w:color w:val="auto"/>
                <w:sz w:val="21"/>
                <w:szCs w:val="21"/>
                <w:highlight w:val="none"/>
              </w:rPr>
              <w:t>进行评议</w:t>
            </w:r>
            <w:r>
              <w:rPr>
                <w:rFonts w:hint="eastAsia"/>
                <w:color w:val="auto"/>
                <w:sz w:val="21"/>
                <w:szCs w:val="21"/>
                <w:highlight w:val="none"/>
                <w:lang w:eastAsia="zh-CN"/>
              </w:rPr>
              <w:t>。</w:t>
            </w:r>
          </w:p>
          <w:p>
            <w:pPr>
              <w:pStyle w:val="16"/>
              <w:numPr>
                <w:ilvl w:val="0"/>
                <w:numId w:val="8"/>
              </w:numPr>
              <w:rPr>
                <w:rFonts w:ascii="宋体" w:hAnsi="宋体" w:cs="宋体"/>
                <w:color w:val="auto"/>
                <w:sz w:val="21"/>
                <w:szCs w:val="21"/>
                <w:highlight w:val="none"/>
              </w:rPr>
            </w:pPr>
            <w:r>
              <w:rPr>
                <w:rFonts w:hint="eastAsia" w:ascii="宋体" w:hAnsi="宋体" w:cs="宋体"/>
                <w:color w:val="auto"/>
                <w:sz w:val="21"/>
                <w:szCs w:val="21"/>
                <w:highlight w:val="none"/>
              </w:rPr>
              <w:t>投标人获得2门及以上视频课程入围国家级</w:t>
            </w:r>
            <w:r>
              <w:rPr>
                <w:rFonts w:hint="eastAsia" w:ascii="宋体" w:hAnsi="宋体" w:cs="宋体"/>
                <w:color w:val="auto"/>
                <w:sz w:val="21"/>
                <w:szCs w:val="21"/>
                <w:highlight w:val="none"/>
                <w:lang w:val="en-US" w:eastAsia="zh-CN"/>
              </w:rPr>
              <w:t>精品在线开放课程或国家级线上一流课程</w:t>
            </w:r>
            <w:r>
              <w:rPr>
                <w:rFonts w:hint="eastAsia" w:ascii="宋体" w:hAnsi="宋体" w:cs="宋体"/>
                <w:color w:val="auto"/>
                <w:sz w:val="21"/>
                <w:szCs w:val="21"/>
                <w:highlight w:val="none"/>
              </w:rPr>
              <w:t>，同时2项及以上教学视频获得省部级奖项的得6分；</w:t>
            </w:r>
          </w:p>
          <w:p>
            <w:pPr>
              <w:pStyle w:val="16"/>
              <w:numPr>
                <w:ilvl w:val="0"/>
                <w:numId w:val="8"/>
              </w:numPr>
              <w:rPr>
                <w:rFonts w:ascii="宋体" w:hAnsi="宋体" w:cs="宋体"/>
                <w:color w:val="auto"/>
                <w:sz w:val="21"/>
                <w:szCs w:val="21"/>
                <w:highlight w:val="none"/>
              </w:rPr>
            </w:pPr>
            <w:r>
              <w:rPr>
                <w:rFonts w:hint="eastAsia" w:ascii="宋体" w:hAnsi="宋体" w:cs="宋体"/>
                <w:color w:val="auto"/>
                <w:sz w:val="21"/>
                <w:szCs w:val="21"/>
                <w:highlight w:val="none"/>
              </w:rPr>
              <w:t>投标人获得过</w:t>
            </w:r>
            <w:r>
              <w:rPr>
                <w:rFonts w:ascii="宋体" w:hAnsi="宋体" w:cs="宋体"/>
                <w:color w:val="auto"/>
                <w:sz w:val="21"/>
                <w:szCs w:val="21"/>
                <w:highlight w:val="none"/>
              </w:rPr>
              <w:t>1</w:t>
            </w:r>
            <w:r>
              <w:rPr>
                <w:rFonts w:hint="eastAsia" w:ascii="宋体" w:hAnsi="宋体" w:cs="宋体"/>
                <w:color w:val="auto"/>
                <w:sz w:val="21"/>
                <w:szCs w:val="21"/>
                <w:highlight w:val="none"/>
              </w:rPr>
              <w:t>门视频课程入围国家级</w:t>
            </w:r>
            <w:r>
              <w:rPr>
                <w:rFonts w:hint="eastAsia" w:ascii="宋体" w:hAnsi="宋体" w:cs="宋体"/>
                <w:color w:val="auto"/>
                <w:sz w:val="21"/>
                <w:szCs w:val="21"/>
                <w:highlight w:val="none"/>
                <w:lang w:val="en-US" w:eastAsia="zh-CN"/>
              </w:rPr>
              <w:t>精品在线开放课程或国家级线上一流课程</w:t>
            </w:r>
            <w:r>
              <w:rPr>
                <w:rFonts w:hint="eastAsia" w:ascii="宋体" w:hAnsi="宋体" w:cs="宋体"/>
                <w:color w:val="auto"/>
                <w:sz w:val="21"/>
                <w:szCs w:val="21"/>
                <w:highlight w:val="none"/>
              </w:rPr>
              <w:t>，同时1项教学视频获得省部级奖项的得4分；</w:t>
            </w:r>
          </w:p>
          <w:p>
            <w:pPr>
              <w:pStyle w:val="16"/>
              <w:numPr>
                <w:ilvl w:val="0"/>
                <w:numId w:val="8"/>
              </w:numPr>
              <w:rPr>
                <w:rFonts w:ascii="宋体" w:hAnsi="宋体" w:cs="宋体"/>
                <w:color w:val="auto"/>
                <w:sz w:val="21"/>
                <w:szCs w:val="21"/>
                <w:highlight w:val="none"/>
              </w:rPr>
            </w:pPr>
            <w:r>
              <w:rPr>
                <w:rFonts w:hint="eastAsia" w:ascii="宋体" w:hAnsi="宋体" w:cs="宋体"/>
                <w:color w:val="auto"/>
                <w:sz w:val="21"/>
                <w:szCs w:val="21"/>
                <w:highlight w:val="none"/>
              </w:rPr>
              <w:t>投标人获得过视频课程入围国家级</w:t>
            </w:r>
            <w:r>
              <w:rPr>
                <w:rFonts w:hint="eastAsia" w:ascii="宋体" w:hAnsi="宋体" w:cs="宋体"/>
                <w:color w:val="auto"/>
                <w:sz w:val="21"/>
                <w:szCs w:val="21"/>
                <w:highlight w:val="none"/>
                <w:lang w:val="en-US" w:eastAsia="zh-CN"/>
              </w:rPr>
              <w:t>精品在线开放课程或国家级线上一流课程</w:t>
            </w:r>
            <w:r>
              <w:rPr>
                <w:rFonts w:hint="eastAsia" w:ascii="宋体" w:hAnsi="宋体" w:cs="宋体"/>
                <w:color w:val="auto"/>
                <w:sz w:val="21"/>
                <w:szCs w:val="21"/>
                <w:highlight w:val="none"/>
              </w:rPr>
              <w:t>或教学视频获得省部级奖项的得</w:t>
            </w:r>
            <w:r>
              <w:rPr>
                <w:rFonts w:ascii="宋体" w:hAnsi="宋体" w:cs="宋体"/>
                <w:color w:val="auto"/>
                <w:sz w:val="21"/>
                <w:szCs w:val="21"/>
                <w:highlight w:val="none"/>
              </w:rPr>
              <w:t>2</w:t>
            </w:r>
            <w:r>
              <w:rPr>
                <w:rFonts w:hint="eastAsia" w:ascii="宋体" w:hAnsi="宋体" w:cs="宋体"/>
                <w:color w:val="auto"/>
                <w:sz w:val="21"/>
                <w:szCs w:val="21"/>
                <w:highlight w:val="none"/>
              </w:rPr>
              <w:t>分；</w:t>
            </w:r>
          </w:p>
          <w:p>
            <w:pPr>
              <w:pStyle w:val="16"/>
              <w:numPr>
                <w:ilvl w:val="0"/>
                <w:numId w:val="8"/>
              </w:numPr>
              <w:rPr>
                <w:rFonts w:hint="eastAsia"/>
                <w:color w:val="auto"/>
                <w:sz w:val="21"/>
                <w:szCs w:val="21"/>
                <w:highlight w:val="none"/>
                <w:lang w:eastAsia="zh-CN"/>
              </w:rPr>
            </w:pPr>
            <w:r>
              <w:rPr>
                <w:rFonts w:hint="eastAsia" w:cs="宋体"/>
                <w:color w:val="auto"/>
                <w:sz w:val="21"/>
                <w:szCs w:val="21"/>
                <w:highlight w:val="none"/>
              </w:rPr>
              <w:t>未提供本项内容的不得分。</w:t>
            </w:r>
          </w:p>
          <w:p>
            <w:pPr>
              <w:pStyle w:val="16"/>
              <w:rPr>
                <w:rFonts w:cs="宋体"/>
                <w:color w:val="auto"/>
                <w:sz w:val="21"/>
                <w:szCs w:val="21"/>
                <w:highlight w:val="none"/>
              </w:rPr>
            </w:pPr>
            <w:r>
              <w:rPr>
                <w:rFonts w:hint="eastAsia" w:cs="宋体"/>
                <w:color w:val="auto"/>
                <w:sz w:val="21"/>
                <w:szCs w:val="21"/>
                <w:highlight w:val="none"/>
              </w:rPr>
              <w:t>提供</w:t>
            </w:r>
            <w:r>
              <w:rPr>
                <w:rFonts w:hint="eastAsia" w:cs="宋体"/>
                <w:color w:val="auto"/>
                <w:sz w:val="21"/>
                <w:szCs w:val="21"/>
                <w:highlight w:val="none"/>
                <w:lang w:val="en-US" w:eastAsia="zh-CN"/>
              </w:rPr>
              <w:t>有效</w:t>
            </w:r>
            <w:r>
              <w:rPr>
                <w:rFonts w:hint="eastAsia" w:cs="宋体"/>
                <w:color w:val="auto"/>
                <w:sz w:val="21"/>
                <w:szCs w:val="21"/>
                <w:highlight w:val="none"/>
              </w:rPr>
              <w:t>课程证明</w:t>
            </w:r>
            <w:r>
              <w:rPr>
                <w:rFonts w:hint="eastAsia" w:cs="宋体"/>
                <w:color w:val="auto"/>
                <w:sz w:val="21"/>
                <w:szCs w:val="21"/>
                <w:highlight w:val="none"/>
                <w:lang w:val="en-US" w:eastAsia="zh-CN"/>
              </w:rPr>
              <w:t>材料</w:t>
            </w:r>
            <w:r>
              <w:rPr>
                <w:rFonts w:hint="eastAsia" w:cs="宋体"/>
                <w:color w:val="auto"/>
                <w:sz w:val="21"/>
                <w:szCs w:val="21"/>
                <w:highlight w:val="none"/>
              </w:rPr>
              <w:t>：（1）</w:t>
            </w:r>
            <w:r>
              <w:rPr>
                <w:rFonts w:hint="eastAsia" w:ascii="宋体" w:hAnsi="宋体" w:cs="宋体"/>
                <w:color w:val="auto"/>
                <w:sz w:val="21"/>
                <w:szCs w:val="21"/>
                <w:highlight w:val="none"/>
                <w:lang w:val="en-US" w:eastAsia="zh-CN"/>
              </w:rPr>
              <w:t>国家级线上一流课程</w:t>
            </w:r>
            <w:r>
              <w:rPr>
                <w:rFonts w:hint="eastAsia" w:cs="宋体"/>
                <w:color w:val="auto"/>
                <w:sz w:val="21"/>
                <w:szCs w:val="21"/>
                <w:highlight w:val="none"/>
              </w:rPr>
              <w:t>证书复印件或相应证明</w:t>
            </w:r>
            <w:r>
              <w:rPr>
                <w:rFonts w:hint="eastAsia" w:ascii="宋体" w:hAnsi="宋体" w:cs="宋体"/>
                <w:color w:val="auto"/>
                <w:sz w:val="21"/>
                <w:szCs w:val="21"/>
                <w:highlight w:val="none"/>
                <w:lang w:val="en-US" w:eastAsia="zh-CN"/>
              </w:rPr>
              <w:t>国家级线上一流课程</w:t>
            </w:r>
            <w:r>
              <w:rPr>
                <w:rFonts w:hint="eastAsia" w:cs="宋体"/>
                <w:color w:val="auto"/>
                <w:sz w:val="21"/>
                <w:szCs w:val="21"/>
                <w:highlight w:val="none"/>
              </w:rPr>
              <w:t>的文件复印件，加盖课程开设单位教务处公章；（2）投标人与业主或课程负责人签订的对应课程制作合同复印件，加盖投标人公章，或业主证明资料（格式自拟）加盖业主公章；证明资料至少须体现课程名称、课程负责人、主要建设单位以及主要开课平台。</w:t>
            </w:r>
          </w:p>
          <w:p>
            <w:pPr>
              <w:pStyle w:val="19"/>
              <w:widowControl/>
              <w:spacing w:line="288" w:lineRule="auto"/>
              <w:ind w:left="0" w:right="-79" w:rightChars="-33"/>
              <w:rPr>
                <w:rFonts w:hint="eastAsia"/>
                <w:color w:val="auto"/>
                <w:sz w:val="21"/>
                <w:szCs w:val="21"/>
                <w:highlight w:val="none"/>
                <w:lang w:eastAsia="zh-CN"/>
              </w:rPr>
            </w:pPr>
            <w:r>
              <w:rPr>
                <w:rFonts w:hint="eastAsia" w:cs="宋体"/>
                <w:color w:val="auto"/>
                <w:sz w:val="21"/>
                <w:szCs w:val="21"/>
                <w:highlight w:val="none"/>
              </w:rPr>
              <w:t>提供奖项证明：获得的奖项有效证明材料，须提供投标人与业主或课程负责人签订的项目制作合同加盖投标人公章，以及获奖证书复印件，加盖获奖单位教务处公章。</w:t>
            </w:r>
          </w:p>
        </w:tc>
        <w:tc>
          <w:tcPr>
            <w:tcW w:w="658" w:type="dxa"/>
            <w:vAlign w:val="center"/>
          </w:tcPr>
          <w:p>
            <w:pPr>
              <w:pStyle w:val="19"/>
              <w:widowControl/>
              <w:spacing w:line="288" w:lineRule="auto"/>
              <w:ind w:left="0" w:right="-36" w:rightChars="-15"/>
              <w:jc w:val="center"/>
              <w:rPr>
                <w:rFonts w:hint="default" w:cs="宋体"/>
                <w:color w:val="auto"/>
                <w:sz w:val="21"/>
                <w:szCs w:val="21"/>
                <w:highlight w:val="none"/>
                <w:lang w:val="en-US" w:eastAsia="zh-CN" w:bidi="ar"/>
              </w:rPr>
            </w:pPr>
            <w:r>
              <w:rPr>
                <w:rFonts w:hint="eastAsia" w:cs="宋体"/>
                <w:color w:val="auto"/>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40" w:type="dxa"/>
            <w:vMerge w:val="restart"/>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售后服务</w:t>
            </w:r>
          </w:p>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分)</w:t>
            </w:r>
          </w:p>
          <w:p>
            <w:pPr>
              <w:spacing w:line="288" w:lineRule="auto"/>
              <w:jc w:val="center"/>
              <w:rPr>
                <w:rFonts w:ascii="宋体" w:hAnsi="宋体" w:cs="宋体"/>
                <w:b/>
                <w:bCs/>
                <w:color w:val="auto"/>
                <w:sz w:val="21"/>
                <w:szCs w:val="21"/>
                <w:highlight w:val="none"/>
              </w:rPr>
            </w:pPr>
          </w:p>
        </w:tc>
        <w:tc>
          <w:tcPr>
            <w:tcW w:w="7575" w:type="dxa"/>
            <w:gridSpan w:val="3"/>
            <w:vAlign w:val="center"/>
          </w:tcPr>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为配合招标方进行省级、国家级精品课程评选服务，投标人需提供省级、国家级课程评选的详细完整的售后服务方案。包含但不限于：售后人员组成及经验（0-2分），应急响应速度及措施（0-</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分），质保期限及范围（0-</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分）等，评委进行综合评议。</w:t>
            </w:r>
          </w:p>
        </w:tc>
        <w:tc>
          <w:tcPr>
            <w:tcW w:w="658" w:type="dxa"/>
            <w:vAlign w:val="center"/>
          </w:tcPr>
          <w:p>
            <w:pPr>
              <w:widowControl/>
              <w:spacing w:line="288" w:lineRule="auto"/>
              <w:jc w:val="center"/>
              <w:textAlignment w:val="center"/>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7575" w:type="dxa"/>
            <w:gridSpan w:val="3"/>
            <w:vAlign w:val="center"/>
          </w:tcPr>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投标人</w:t>
            </w:r>
            <w:r>
              <w:rPr>
                <w:rFonts w:hint="eastAsia" w:ascii="宋体" w:hAnsi="宋体" w:cs="宋体"/>
                <w:color w:val="auto"/>
                <w:sz w:val="21"/>
                <w:szCs w:val="21"/>
                <w:highlight w:val="none"/>
              </w:rPr>
              <w:t>有自有拍摄场地，</w:t>
            </w:r>
            <w:r>
              <w:rPr>
                <w:rFonts w:hint="eastAsia" w:ascii="宋体" w:hAnsi="宋体" w:cs="宋体"/>
                <w:color w:val="auto"/>
                <w:sz w:val="21"/>
                <w:szCs w:val="21"/>
                <w:highlight w:val="none"/>
                <w:lang w:bidi="ar"/>
              </w:rPr>
              <w:t>拍摄场地距离采购人60分钟以内车程的得3分，60～120分钟车程得2分，120～180分钟车程得1分，其余不得分。</w:t>
            </w:r>
          </w:p>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rPr>
              <w:t>【须提供至少近</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年的稳定场地租赁合同或自有证件（如房产证、土地证）等有效证明材料（承租方或自有证件显示的场地所有人须为投标人，否则不作为评审依据），车程时间以</w:t>
            </w:r>
            <w:r>
              <w:rPr>
                <w:rFonts w:hint="eastAsia" w:ascii="宋体" w:hAnsi="宋体" w:cs="宋体"/>
                <w:color w:val="auto"/>
                <w:sz w:val="21"/>
                <w:szCs w:val="21"/>
                <w:highlight w:val="none"/>
                <w:lang w:bidi="ar"/>
              </w:rPr>
              <w:t>百度地图等主流导航软件地图截图显示时间为准</w:t>
            </w:r>
            <w:r>
              <w:rPr>
                <w:rFonts w:hint="eastAsia" w:ascii="宋体" w:hAnsi="宋体" w:cs="宋体"/>
                <w:color w:val="auto"/>
                <w:sz w:val="21"/>
                <w:szCs w:val="21"/>
                <w:highlight w:val="none"/>
              </w:rPr>
              <w:t>】</w:t>
            </w:r>
          </w:p>
        </w:tc>
        <w:tc>
          <w:tcPr>
            <w:tcW w:w="658" w:type="dxa"/>
            <w:vAlign w:val="center"/>
          </w:tcPr>
          <w:p>
            <w:pPr>
              <w:widowControl/>
              <w:spacing w:line="288"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7575" w:type="dxa"/>
            <w:gridSpan w:val="3"/>
            <w:vAlign w:val="center"/>
          </w:tcPr>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投标人须具有较强的本地化服务能力，可提供快速的服务响应，评委对各投标人提供的服务网点到学校的便利性、人员到场的及时性等本地化服务内容进行综合评议、酌情打分：</w:t>
            </w:r>
          </w:p>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拟派团队人数</w:t>
            </w:r>
            <w:r>
              <w:rPr>
                <w:rFonts w:ascii="宋体" w:hAnsi="宋体" w:cs="宋体"/>
                <w:color w:val="auto"/>
                <w:sz w:val="21"/>
                <w:szCs w:val="21"/>
                <w:highlight w:val="none"/>
                <w:lang w:bidi="ar"/>
              </w:rPr>
              <w:t>15</w:t>
            </w:r>
            <w:r>
              <w:rPr>
                <w:rFonts w:hint="eastAsia" w:ascii="宋体" w:hAnsi="宋体" w:cs="宋体"/>
                <w:color w:val="auto"/>
                <w:sz w:val="21"/>
                <w:szCs w:val="21"/>
                <w:highlight w:val="none"/>
                <w:lang w:bidi="ar"/>
              </w:rPr>
              <w:t>人以上，响应时间在二个小时内，得5分；</w:t>
            </w:r>
          </w:p>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拟派团队人数10人以上，响应时间在四个小时内，得3分；</w:t>
            </w:r>
          </w:p>
          <w:p>
            <w:pPr>
              <w:widowControl/>
              <w:spacing w:line="288" w:lineRule="auto"/>
              <w:ind w:right="-79" w:rightChars="-33"/>
              <w:textAlignment w:val="center"/>
              <w:rPr>
                <w:rFonts w:ascii="宋体" w:hAnsi="宋体" w:cs="宋体"/>
                <w:color w:val="auto"/>
                <w:sz w:val="21"/>
                <w:szCs w:val="21"/>
                <w:highlight w:val="none"/>
              </w:rPr>
            </w:pPr>
            <w:r>
              <w:rPr>
                <w:rFonts w:hint="eastAsia" w:ascii="宋体" w:hAnsi="宋体" w:cs="宋体"/>
                <w:color w:val="auto"/>
                <w:sz w:val="21"/>
                <w:szCs w:val="21"/>
                <w:highlight w:val="none"/>
                <w:lang w:bidi="ar"/>
              </w:rPr>
              <w:t>拟派团队人数</w:t>
            </w:r>
            <w:r>
              <w:rPr>
                <w:rFonts w:ascii="宋体" w:hAnsi="宋体" w:cs="宋体"/>
                <w:color w:val="auto"/>
                <w:sz w:val="21"/>
                <w:szCs w:val="21"/>
                <w:highlight w:val="none"/>
                <w:lang w:bidi="ar"/>
              </w:rPr>
              <w:t>7</w:t>
            </w:r>
            <w:r>
              <w:rPr>
                <w:rFonts w:hint="eastAsia" w:ascii="宋体" w:hAnsi="宋体" w:cs="宋体"/>
                <w:color w:val="auto"/>
                <w:sz w:val="21"/>
                <w:szCs w:val="21"/>
                <w:highlight w:val="none"/>
                <w:lang w:bidi="ar"/>
              </w:rPr>
              <w:t>人以下，响应时间在四个小时内，得1分；</w:t>
            </w:r>
          </w:p>
          <w:p>
            <w:pPr>
              <w:widowControl/>
              <w:spacing w:line="288" w:lineRule="auto"/>
              <w:ind w:right="-79" w:rightChars="-33"/>
              <w:textAlignment w:val="center"/>
              <w:rPr>
                <w:rFonts w:ascii="宋体" w:hAnsi="宋体" w:cs="宋体"/>
                <w:color w:val="auto"/>
                <w:sz w:val="21"/>
                <w:szCs w:val="21"/>
                <w:highlight w:val="none"/>
              </w:rPr>
            </w:pPr>
            <w:r>
              <w:rPr>
                <w:rFonts w:hint="eastAsia" w:ascii="宋体" w:hAnsi="宋体" w:cs="宋体"/>
                <w:color w:val="auto"/>
                <w:sz w:val="21"/>
                <w:szCs w:val="21"/>
                <w:highlight w:val="none"/>
                <w:lang w:bidi="ar"/>
              </w:rPr>
              <w:t>团队服务人员必须提供由县（市、区）级及以上社保部门出具的且于投标前半年内任意3个月的为公司相关人员缴纳的参保证明等证明资料，复印件加盖投标人公章，没有不得分。</w:t>
            </w:r>
          </w:p>
        </w:tc>
        <w:tc>
          <w:tcPr>
            <w:tcW w:w="658" w:type="dxa"/>
            <w:vAlign w:val="center"/>
          </w:tcPr>
          <w:p>
            <w:pPr>
              <w:widowControl/>
              <w:spacing w:line="288" w:lineRule="auto"/>
              <w:jc w:val="center"/>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40" w:type="dxa"/>
            <w:vMerge w:val="restart"/>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样片演示</w:t>
            </w:r>
          </w:p>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（15分）</w:t>
            </w:r>
          </w:p>
        </w:tc>
        <w:tc>
          <w:tcPr>
            <w:tcW w:w="7575" w:type="dxa"/>
            <w:gridSpan w:val="3"/>
            <w:vAlign w:val="center"/>
          </w:tcPr>
          <w:p>
            <w:pPr>
              <w:widowControl/>
              <w:spacing w:line="288" w:lineRule="auto"/>
              <w:ind w:right="-79" w:rightChars="-33"/>
              <w:textAlignment w:val="center"/>
              <w:rPr>
                <w:rFonts w:ascii="宋体" w:hAnsi="宋体" w:cs="宋体"/>
                <w:color w:val="auto"/>
                <w:sz w:val="21"/>
                <w:szCs w:val="21"/>
                <w:highlight w:val="none"/>
              </w:rPr>
            </w:pPr>
            <w:r>
              <w:rPr>
                <w:rFonts w:hint="eastAsia" w:ascii="宋体" w:hAnsi="宋体" w:cs="宋体"/>
                <w:color w:val="auto"/>
                <w:sz w:val="21"/>
                <w:szCs w:val="21"/>
                <w:highlight w:val="none"/>
              </w:rPr>
              <w:t>投标人在评标时须提供教学视频样片演示（5分钟左右）,评委根据样片演示的效果进行综合评议，酌情打分：</w:t>
            </w:r>
          </w:p>
          <w:p>
            <w:pPr>
              <w:pStyle w:val="177"/>
              <w:widowControl/>
              <w:spacing w:line="288" w:lineRule="auto"/>
              <w:ind w:right="-79" w:rightChars="-33"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*如样片非投标人自行拍摄制作的，一经查实，其投标做无效标处理；如已中标的，招标人有权取消其中标资格；已签订合同的，招标人有权解除合同。造成的损失由相关投标人承担。</w:t>
            </w:r>
          </w:p>
        </w:tc>
        <w:tc>
          <w:tcPr>
            <w:tcW w:w="658" w:type="dxa"/>
            <w:vAlign w:val="center"/>
          </w:tcPr>
          <w:p>
            <w:pPr>
              <w:pStyle w:val="177"/>
              <w:widowControl/>
              <w:spacing w:line="288" w:lineRule="auto"/>
              <w:ind w:firstLine="0" w:firstLineChars="0"/>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1905" w:type="dxa"/>
            <w:vAlign w:val="center"/>
          </w:tcPr>
          <w:p>
            <w:pPr>
              <w:pStyle w:val="19"/>
              <w:widowControl/>
              <w:spacing w:line="288" w:lineRule="auto"/>
              <w:ind w:left="0" w:right="-79" w:rightChars="-33"/>
              <w:rPr>
                <w:rFonts w:cs="宋体"/>
                <w:color w:val="auto"/>
                <w:sz w:val="21"/>
                <w:szCs w:val="21"/>
                <w:highlight w:val="none"/>
              </w:rPr>
            </w:pPr>
            <w:r>
              <w:rPr>
                <w:rFonts w:hint="eastAsia" w:cs="宋体"/>
                <w:color w:val="auto"/>
                <w:sz w:val="21"/>
                <w:szCs w:val="21"/>
                <w:highlight w:val="none"/>
              </w:rPr>
              <w:t>逻辑思路（</w:t>
            </w:r>
            <w:r>
              <w:rPr>
                <w:rFonts w:hint="eastAsia" w:cs="宋体"/>
                <w:color w:val="auto"/>
                <w:sz w:val="21"/>
                <w:szCs w:val="21"/>
                <w:highlight w:val="none"/>
                <w:lang w:val="en-US" w:eastAsia="zh-CN"/>
              </w:rPr>
              <w:t>6</w:t>
            </w:r>
            <w:r>
              <w:rPr>
                <w:rFonts w:hint="eastAsia" w:cs="宋体"/>
                <w:color w:val="auto"/>
                <w:sz w:val="21"/>
                <w:szCs w:val="21"/>
                <w:highlight w:val="none"/>
              </w:rPr>
              <w:t>分）</w:t>
            </w:r>
          </w:p>
        </w:tc>
        <w:tc>
          <w:tcPr>
            <w:tcW w:w="5670" w:type="dxa"/>
            <w:gridSpan w:val="2"/>
            <w:vAlign w:val="center"/>
          </w:tcPr>
          <w:p>
            <w:pPr>
              <w:pStyle w:val="19"/>
              <w:widowControl/>
              <w:spacing w:line="288" w:lineRule="auto"/>
              <w:ind w:left="0" w:right="-79" w:rightChars="-33"/>
              <w:rPr>
                <w:rFonts w:cs="宋体"/>
                <w:color w:val="auto"/>
                <w:sz w:val="21"/>
                <w:szCs w:val="21"/>
                <w:highlight w:val="none"/>
              </w:rPr>
            </w:pPr>
            <w:r>
              <w:rPr>
                <w:rFonts w:hint="eastAsia" w:cs="宋体"/>
                <w:color w:val="auto"/>
                <w:sz w:val="21"/>
                <w:szCs w:val="21"/>
                <w:highlight w:val="none"/>
              </w:rPr>
              <w:t>思路清晰（0-3分）、逻辑严谨（0-</w:t>
            </w:r>
            <w:r>
              <w:rPr>
                <w:rFonts w:hint="eastAsia" w:cs="宋体"/>
                <w:color w:val="auto"/>
                <w:sz w:val="21"/>
                <w:szCs w:val="21"/>
                <w:highlight w:val="none"/>
                <w:lang w:val="en-US" w:eastAsia="zh-CN"/>
              </w:rPr>
              <w:t>3</w:t>
            </w:r>
            <w:r>
              <w:rPr>
                <w:rFonts w:hint="eastAsia" w:cs="宋体"/>
                <w:color w:val="auto"/>
                <w:sz w:val="21"/>
                <w:szCs w:val="21"/>
                <w:highlight w:val="none"/>
              </w:rPr>
              <w:t>分）的</w:t>
            </w:r>
            <w:r>
              <w:rPr>
                <w:rFonts w:hint="eastAsia" w:cs="宋体"/>
                <w:color w:val="auto"/>
                <w:sz w:val="21"/>
                <w:szCs w:val="21"/>
                <w:highlight w:val="none"/>
                <w:lang w:bidi="ar"/>
              </w:rPr>
              <w:t>进行评议</w:t>
            </w:r>
            <w:r>
              <w:rPr>
                <w:rFonts w:hint="eastAsia" w:cs="宋体"/>
                <w:color w:val="auto"/>
                <w:sz w:val="21"/>
                <w:szCs w:val="21"/>
                <w:highlight w:val="none"/>
              </w:rPr>
              <w:t>。</w:t>
            </w:r>
          </w:p>
        </w:tc>
        <w:tc>
          <w:tcPr>
            <w:tcW w:w="658" w:type="dxa"/>
            <w:vAlign w:val="center"/>
          </w:tcPr>
          <w:p>
            <w:pPr>
              <w:pStyle w:val="19"/>
              <w:widowControl/>
              <w:spacing w:line="288" w:lineRule="auto"/>
              <w:ind w:left="0" w:right="-288"/>
              <w:jc w:val="both"/>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1905" w:type="dxa"/>
            <w:vAlign w:val="center"/>
          </w:tcPr>
          <w:p>
            <w:pPr>
              <w:pStyle w:val="19"/>
              <w:widowControl/>
              <w:spacing w:line="288" w:lineRule="auto"/>
              <w:ind w:left="0" w:right="-79" w:rightChars="-33"/>
              <w:rPr>
                <w:rFonts w:cs="宋体"/>
                <w:color w:val="auto"/>
                <w:sz w:val="21"/>
                <w:szCs w:val="21"/>
                <w:highlight w:val="none"/>
                <w:lang w:bidi="ar"/>
              </w:rPr>
            </w:pPr>
            <w:r>
              <w:rPr>
                <w:rFonts w:hint="eastAsia" w:cs="宋体"/>
                <w:color w:val="auto"/>
                <w:sz w:val="21"/>
                <w:szCs w:val="21"/>
                <w:highlight w:val="none"/>
              </w:rPr>
              <w:t>画面音效（5分）</w:t>
            </w:r>
          </w:p>
        </w:tc>
        <w:tc>
          <w:tcPr>
            <w:tcW w:w="5670" w:type="dxa"/>
            <w:gridSpan w:val="2"/>
            <w:vAlign w:val="center"/>
          </w:tcPr>
          <w:p>
            <w:pPr>
              <w:pStyle w:val="19"/>
              <w:widowControl/>
              <w:spacing w:line="288" w:lineRule="auto"/>
              <w:ind w:left="0" w:right="-79" w:rightChars="-33"/>
              <w:rPr>
                <w:rFonts w:cs="宋体"/>
                <w:color w:val="auto"/>
                <w:sz w:val="21"/>
                <w:szCs w:val="21"/>
                <w:highlight w:val="none"/>
                <w:lang w:bidi="ar"/>
              </w:rPr>
            </w:pPr>
            <w:r>
              <w:rPr>
                <w:rFonts w:hint="eastAsia" w:cs="宋体"/>
                <w:color w:val="auto"/>
                <w:sz w:val="21"/>
                <w:szCs w:val="21"/>
                <w:highlight w:val="none"/>
              </w:rPr>
              <w:t>画面优美（0-3分），声音和谐统一（0-2分）的进行评议</w:t>
            </w:r>
            <w:r>
              <w:rPr>
                <w:rFonts w:hint="eastAsia" w:cs="宋体"/>
                <w:color w:val="auto"/>
                <w:sz w:val="21"/>
                <w:szCs w:val="21"/>
                <w:highlight w:val="none"/>
                <w:lang w:bidi="ar"/>
              </w:rPr>
              <w:t>。</w:t>
            </w:r>
          </w:p>
        </w:tc>
        <w:tc>
          <w:tcPr>
            <w:tcW w:w="658" w:type="dxa"/>
            <w:vAlign w:val="center"/>
          </w:tcPr>
          <w:p>
            <w:pPr>
              <w:pStyle w:val="19"/>
              <w:widowControl/>
              <w:spacing w:line="288" w:lineRule="auto"/>
              <w:ind w:left="0" w:right="-288"/>
              <w:jc w:val="both"/>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40" w:type="dxa"/>
            <w:vMerge w:val="continue"/>
            <w:vAlign w:val="center"/>
          </w:tcPr>
          <w:p>
            <w:pPr>
              <w:widowControl/>
              <w:spacing w:line="288" w:lineRule="auto"/>
              <w:jc w:val="center"/>
              <w:rPr>
                <w:rFonts w:ascii="宋体" w:hAnsi="宋体" w:cs="宋体"/>
                <w:b/>
                <w:bCs/>
                <w:color w:val="auto"/>
                <w:sz w:val="21"/>
                <w:szCs w:val="21"/>
                <w:highlight w:val="none"/>
              </w:rPr>
            </w:pPr>
          </w:p>
        </w:tc>
        <w:tc>
          <w:tcPr>
            <w:tcW w:w="1905" w:type="dxa"/>
            <w:vAlign w:val="center"/>
          </w:tcPr>
          <w:p>
            <w:pPr>
              <w:pStyle w:val="19"/>
              <w:widowControl/>
              <w:spacing w:line="288" w:lineRule="auto"/>
              <w:ind w:left="0" w:right="-79" w:rightChars="-33"/>
              <w:rPr>
                <w:rFonts w:cs="宋体"/>
                <w:color w:val="auto"/>
                <w:sz w:val="21"/>
                <w:szCs w:val="21"/>
                <w:highlight w:val="none"/>
                <w:lang w:bidi="ar"/>
              </w:rPr>
            </w:pPr>
            <w:r>
              <w:rPr>
                <w:rFonts w:hint="eastAsia" w:cs="宋体"/>
                <w:color w:val="auto"/>
                <w:sz w:val="21"/>
                <w:szCs w:val="21"/>
                <w:highlight w:val="none"/>
                <w:lang w:bidi="ar"/>
              </w:rPr>
              <w:t>动画特效（</w:t>
            </w:r>
            <w:r>
              <w:rPr>
                <w:rFonts w:hint="eastAsia" w:cs="宋体"/>
                <w:color w:val="auto"/>
                <w:sz w:val="21"/>
                <w:szCs w:val="21"/>
                <w:highlight w:val="none"/>
                <w:lang w:val="en-US" w:eastAsia="zh-CN" w:bidi="ar"/>
              </w:rPr>
              <w:t>4</w:t>
            </w:r>
            <w:r>
              <w:rPr>
                <w:rFonts w:hint="eastAsia" w:cs="宋体"/>
                <w:color w:val="auto"/>
                <w:sz w:val="21"/>
                <w:szCs w:val="21"/>
                <w:highlight w:val="none"/>
                <w:lang w:bidi="ar"/>
              </w:rPr>
              <w:t>分）</w:t>
            </w:r>
          </w:p>
        </w:tc>
        <w:tc>
          <w:tcPr>
            <w:tcW w:w="5670" w:type="dxa"/>
            <w:gridSpan w:val="2"/>
            <w:vAlign w:val="center"/>
          </w:tcPr>
          <w:p>
            <w:pPr>
              <w:pStyle w:val="19"/>
              <w:widowControl/>
              <w:spacing w:line="288" w:lineRule="auto"/>
              <w:ind w:left="0" w:right="-79" w:rightChars="-33"/>
              <w:rPr>
                <w:rFonts w:cs="宋体"/>
                <w:color w:val="auto"/>
                <w:sz w:val="21"/>
                <w:szCs w:val="21"/>
                <w:highlight w:val="none"/>
                <w:lang w:bidi="ar"/>
              </w:rPr>
            </w:pPr>
            <w:r>
              <w:rPr>
                <w:rFonts w:hint="eastAsia" w:cs="宋体"/>
                <w:color w:val="auto"/>
                <w:sz w:val="21"/>
                <w:szCs w:val="21"/>
                <w:highlight w:val="none"/>
              </w:rPr>
              <w:t>动画特效流畅（0-</w:t>
            </w:r>
            <w:r>
              <w:rPr>
                <w:rFonts w:hint="eastAsia" w:cs="宋体"/>
                <w:color w:val="auto"/>
                <w:sz w:val="21"/>
                <w:szCs w:val="21"/>
                <w:highlight w:val="none"/>
                <w:lang w:val="en-US" w:eastAsia="zh-CN"/>
              </w:rPr>
              <w:t>1</w:t>
            </w:r>
            <w:r>
              <w:rPr>
                <w:rFonts w:hint="eastAsia" w:cs="宋体"/>
                <w:color w:val="auto"/>
                <w:sz w:val="21"/>
                <w:szCs w:val="21"/>
                <w:highlight w:val="none"/>
              </w:rPr>
              <w:t>分）、有创意（0-2分）、与内容契合度高（0-1分）的</w:t>
            </w:r>
            <w:r>
              <w:rPr>
                <w:rFonts w:hint="eastAsia" w:cs="宋体"/>
                <w:color w:val="auto"/>
                <w:sz w:val="21"/>
                <w:szCs w:val="21"/>
                <w:highlight w:val="none"/>
                <w:lang w:bidi="ar"/>
              </w:rPr>
              <w:t>进行评议。</w:t>
            </w:r>
          </w:p>
        </w:tc>
        <w:tc>
          <w:tcPr>
            <w:tcW w:w="658" w:type="dxa"/>
            <w:vAlign w:val="center"/>
          </w:tcPr>
          <w:p>
            <w:pPr>
              <w:pStyle w:val="19"/>
              <w:widowControl/>
              <w:spacing w:line="288" w:lineRule="auto"/>
              <w:ind w:left="0" w:right="-288"/>
              <w:jc w:val="both"/>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40" w:type="dxa"/>
            <w:vAlign w:val="center"/>
          </w:tcPr>
          <w:p>
            <w:pPr>
              <w:widowControl/>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合理化建议（</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分）</w:t>
            </w:r>
          </w:p>
        </w:tc>
        <w:tc>
          <w:tcPr>
            <w:tcW w:w="7575" w:type="dxa"/>
            <w:gridSpan w:val="3"/>
            <w:vAlign w:val="center"/>
          </w:tcPr>
          <w:p>
            <w:pPr>
              <w:widowControl/>
              <w:spacing w:line="288" w:lineRule="auto"/>
              <w:ind w:right="-79" w:rightChars="-33"/>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根据投标人提供的针对本项目的合理化建议及优惠承诺进行综合评议，最高</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分。</w:t>
            </w:r>
          </w:p>
        </w:tc>
        <w:tc>
          <w:tcPr>
            <w:tcW w:w="658" w:type="dxa"/>
            <w:vAlign w:val="center"/>
          </w:tcPr>
          <w:p>
            <w:pPr>
              <w:widowControl/>
              <w:spacing w:line="288"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15" w:type="dxa"/>
            <w:gridSpan w:val="4"/>
            <w:vAlign w:val="center"/>
          </w:tcPr>
          <w:p>
            <w:pPr>
              <w:widowControl/>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合计80分</w:t>
            </w:r>
          </w:p>
        </w:tc>
        <w:tc>
          <w:tcPr>
            <w:tcW w:w="658" w:type="dxa"/>
            <w:vAlign w:val="center"/>
          </w:tcPr>
          <w:p>
            <w:pPr>
              <w:widowControl/>
              <w:spacing w:line="288" w:lineRule="auto"/>
              <w:jc w:val="center"/>
              <w:rPr>
                <w:rFonts w:ascii="宋体" w:hAnsi="宋体" w:cs="宋体"/>
                <w:color w:val="auto"/>
                <w:sz w:val="21"/>
                <w:szCs w:val="21"/>
                <w:highlight w:val="none"/>
              </w:rPr>
            </w:pPr>
          </w:p>
        </w:tc>
      </w:tr>
    </w:tbl>
    <w:p>
      <w:pPr>
        <w:pStyle w:val="39"/>
        <w:ind w:firstLine="211"/>
        <w:rPr>
          <w:rFonts w:ascii="宋体" w:hAnsi="宋体"/>
          <w:b/>
          <w:color w:val="auto"/>
          <w:szCs w:val="21"/>
          <w:highlight w:val="none"/>
        </w:rPr>
      </w:pPr>
    </w:p>
    <w:p>
      <w:pPr>
        <w:rPr>
          <w:rFonts w:ascii="宋体" w:hAnsi="宋体"/>
          <w:b/>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r>
        <w:rPr>
          <w:rFonts w:hint="eastAsia" w:ascii="宋体" w:hAnsi="宋体"/>
          <w:color w:val="auto"/>
          <w:sz w:val="21"/>
          <w:szCs w:val="21"/>
          <w:highlight w:val="none"/>
        </w:rPr>
        <w:br w:type="page"/>
      </w:r>
    </w:p>
    <w:p>
      <w:pPr>
        <w:wordWrap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附表</w:t>
      </w:r>
      <w:r>
        <w:rPr>
          <w:rFonts w:ascii="宋体" w:hAnsi="宋体"/>
          <w:color w:val="auto"/>
          <w:sz w:val="21"/>
          <w:szCs w:val="21"/>
          <w:highlight w:val="none"/>
        </w:rPr>
        <w:t>4</w:t>
      </w:r>
    </w:p>
    <w:p>
      <w:pPr>
        <w:widowControl/>
        <w:wordWrap w:val="0"/>
        <w:snapToGrid w:val="0"/>
        <w:spacing w:line="560" w:lineRule="exact"/>
        <w:jc w:val="center"/>
        <w:rPr>
          <w:rFonts w:ascii="宋体" w:hAnsi="宋体"/>
          <w:b/>
          <w:color w:val="auto"/>
          <w:sz w:val="21"/>
          <w:szCs w:val="21"/>
          <w:highlight w:val="none"/>
        </w:rPr>
      </w:pPr>
      <w:r>
        <w:rPr>
          <w:rFonts w:hint="eastAsia" w:ascii="宋体" w:hAnsi="宋体"/>
          <w:b/>
          <w:color w:val="auto"/>
          <w:sz w:val="21"/>
          <w:szCs w:val="21"/>
          <w:highlight w:val="none"/>
        </w:rPr>
        <w:t>价格评分表</w:t>
      </w:r>
    </w:p>
    <w:tbl>
      <w:tblPr>
        <w:tblStyle w:val="40"/>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760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801" w:type="dxa"/>
            <w:gridSpan w:val="2"/>
            <w:tcBorders>
              <w:top w:val="double" w:color="auto" w:sz="4" w:space="0"/>
              <w:left w:val="double" w:color="auto" w:sz="4" w:space="0"/>
              <w:tl2br w:val="single" w:color="000000" w:sz="4" w:space="0"/>
            </w:tcBorders>
          </w:tcPr>
          <w:p>
            <w:pPr>
              <w:wordWrap w:val="0"/>
              <w:spacing w:line="320" w:lineRule="exact"/>
              <w:ind w:right="420" w:firstLine="4410" w:firstLineChars="2100"/>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供应商</w:t>
            </w:r>
          </w:p>
          <w:p>
            <w:pPr>
              <w:wordWrap w:val="0"/>
              <w:spacing w:line="320" w:lineRule="exact"/>
              <w:ind w:firstLine="945" w:firstLineChars="450"/>
              <w:rPr>
                <w:rFonts w:ascii="宋体" w:hAnsi="宋体"/>
                <w:color w:val="auto"/>
                <w:sz w:val="21"/>
                <w:szCs w:val="21"/>
                <w:highlight w:val="none"/>
                <w:lang w:val="ru-RU"/>
              </w:rPr>
            </w:pPr>
            <w:r>
              <w:rPr>
                <w:rFonts w:hint="eastAsia" w:ascii="宋体" w:hAnsi="宋体"/>
                <w:color w:val="auto"/>
                <w:sz w:val="21"/>
                <w:szCs w:val="21"/>
                <w:highlight w:val="none"/>
              </w:rPr>
              <w:t>分值</w:t>
            </w:r>
          </w:p>
        </w:tc>
        <w:tc>
          <w:tcPr>
            <w:tcW w:w="1339" w:type="dxa"/>
            <w:tcBorders>
              <w:top w:val="double" w:color="auto" w:sz="4" w:space="0"/>
              <w:right w:val="double" w:color="auto" w:sz="4" w:space="0"/>
            </w:tcBorders>
            <w:vAlign w:val="center"/>
          </w:tcPr>
          <w:p>
            <w:pPr>
              <w:wordWrap w:val="0"/>
              <w:spacing w:line="320" w:lineRule="exact"/>
              <w:jc w:val="center"/>
              <w:rPr>
                <w:rFonts w:ascii="宋体" w:hAnsi="宋体"/>
                <w:color w:val="auto"/>
                <w:sz w:val="21"/>
                <w:szCs w:val="21"/>
                <w:highlight w:val="none"/>
                <w:lang w:val="ru-RU"/>
              </w:rPr>
            </w:pPr>
            <w:r>
              <w:rPr>
                <w:rFonts w:hint="eastAsia" w:ascii="宋体" w:hAnsi="宋体"/>
                <w:color w:val="auto"/>
                <w:sz w:val="21"/>
                <w:szCs w:val="21"/>
                <w:highlight w:val="none"/>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7" w:type="dxa"/>
            <w:tcBorders>
              <w:left w:val="double" w:color="auto" w:sz="4" w:space="0"/>
            </w:tcBorders>
            <w:vAlign w:val="center"/>
          </w:tcPr>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5～10分钟短视频</w:t>
            </w:r>
          </w:p>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p>
        </w:tc>
        <w:tc>
          <w:tcPr>
            <w:tcW w:w="7604" w:type="dxa"/>
            <w:vAlign w:val="center"/>
          </w:tcPr>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基准价：满足招标文件要求且参与评审的价格最低的报价为基准价，得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其他报价得分计算公式如下：</w:t>
            </w:r>
          </w:p>
          <w:p>
            <w:pPr>
              <w:widowControl/>
              <w:spacing w:line="28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报价得分=（基准价/参与评审的价格）×</w:t>
            </w:r>
            <w:r>
              <w:rPr>
                <w:rFonts w:hint="eastAsia" w:ascii="宋体" w:hAnsi="宋体" w:cs="宋体"/>
                <w:color w:val="auto"/>
                <w:sz w:val="21"/>
                <w:szCs w:val="21"/>
                <w:highlight w:val="none"/>
                <w:lang w:val="en-US" w:eastAsia="zh-CN"/>
              </w:rPr>
              <w:t>4</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报价得分以四舍五入保留小数点后两位。</w:t>
            </w:r>
          </w:p>
        </w:tc>
        <w:tc>
          <w:tcPr>
            <w:tcW w:w="1339" w:type="dxa"/>
            <w:tcBorders>
              <w:right w:val="double" w:color="auto" w:sz="4" w:space="0"/>
            </w:tcBorders>
            <w:vAlign w:val="center"/>
          </w:tcPr>
          <w:p>
            <w:pPr>
              <w:wordWrap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7" w:type="dxa"/>
            <w:tcBorders>
              <w:left w:val="double" w:color="auto" w:sz="4" w:space="0"/>
            </w:tcBorders>
            <w:vAlign w:val="center"/>
          </w:tcPr>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10～15分钟短视频</w:t>
            </w:r>
          </w:p>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（4分）</w:t>
            </w:r>
          </w:p>
        </w:tc>
        <w:tc>
          <w:tcPr>
            <w:tcW w:w="7604" w:type="dxa"/>
            <w:vAlign w:val="center"/>
          </w:tcPr>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基准价：满足招标文件要求且参与评审的价格最低的报价为基准价，得4分</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其他报价得分计算公式如下：</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报价得分=（基准价/参与评审的价格）×4</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报价得分以四舍五入保留小数点后两位。</w:t>
            </w:r>
          </w:p>
        </w:tc>
        <w:tc>
          <w:tcPr>
            <w:tcW w:w="1339" w:type="dxa"/>
            <w:tcBorders>
              <w:right w:val="double" w:color="auto" w:sz="4" w:space="0"/>
            </w:tcBorders>
            <w:vAlign w:val="center"/>
          </w:tcPr>
          <w:p>
            <w:pPr>
              <w:wordWrap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7" w:type="dxa"/>
            <w:tcBorders>
              <w:left w:val="double" w:color="auto" w:sz="4" w:space="0"/>
            </w:tcBorders>
            <w:vAlign w:val="center"/>
          </w:tcPr>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10分钟的说课视频（3分）</w:t>
            </w:r>
          </w:p>
        </w:tc>
        <w:tc>
          <w:tcPr>
            <w:tcW w:w="7604" w:type="dxa"/>
            <w:vAlign w:val="center"/>
          </w:tcPr>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基准价：满足招标文件要求且参与评审的价格最低的报价为基准价，得3分</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其他报价得分计算公式如下：</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报价得分=（基准价/参与评审的价格）×3</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报价得分以四舍五入保留小数点后两位。</w:t>
            </w:r>
          </w:p>
        </w:tc>
        <w:tc>
          <w:tcPr>
            <w:tcW w:w="1339" w:type="dxa"/>
            <w:tcBorders>
              <w:right w:val="double" w:color="auto" w:sz="4" w:space="0"/>
            </w:tcBorders>
            <w:vAlign w:val="center"/>
          </w:tcPr>
          <w:p>
            <w:pPr>
              <w:wordWrap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7" w:type="dxa"/>
            <w:tcBorders>
              <w:left w:val="double" w:color="auto" w:sz="4" w:space="0"/>
            </w:tcBorders>
            <w:vAlign w:val="center"/>
          </w:tcPr>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45分钟的教学实录（3分）</w:t>
            </w:r>
          </w:p>
        </w:tc>
        <w:tc>
          <w:tcPr>
            <w:tcW w:w="7604" w:type="dxa"/>
            <w:vAlign w:val="center"/>
          </w:tcPr>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基准价：满足招标文件要求且参与评审的价格最低的报价为基准价，得3分</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其他报价得分计算公式如下：</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报价得分=（基准价/参与评审的价格）×3</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报价得分以四舍五入保留小数点后两位。</w:t>
            </w:r>
          </w:p>
        </w:tc>
        <w:tc>
          <w:tcPr>
            <w:tcW w:w="1339" w:type="dxa"/>
            <w:tcBorders>
              <w:right w:val="double" w:color="auto" w:sz="4" w:space="0"/>
            </w:tcBorders>
            <w:vAlign w:val="center"/>
          </w:tcPr>
          <w:p>
            <w:pPr>
              <w:wordWrap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7" w:type="dxa"/>
            <w:tcBorders>
              <w:left w:val="double" w:color="auto" w:sz="4" w:space="0"/>
            </w:tcBorders>
            <w:vAlign w:val="center"/>
          </w:tcPr>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微课大赛青年教师竞赛视频（4分）</w:t>
            </w:r>
          </w:p>
        </w:tc>
        <w:tc>
          <w:tcPr>
            <w:tcW w:w="7604" w:type="dxa"/>
            <w:vAlign w:val="center"/>
          </w:tcPr>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基准价：满足招标文件要求且参与评审的价格最低的报价为基准价，得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其他报价得分计算公式如下：</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报价得分=（基准价/参与评审的价格）×4</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报价得分以四舍五入保留小数点后两位。</w:t>
            </w:r>
          </w:p>
        </w:tc>
        <w:tc>
          <w:tcPr>
            <w:tcW w:w="1339" w:type="dxa"/>
            <w:tcBorders>
              <w:right w:val="double" w:color="auto" w:sz="4" w:space="0"/>
            </w:tcBorders>
            <w:vAlign w:val="center"/>
          </w:tcPr>
          <w:p>
            <w:pPr>
              <w:wordWrap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7" w:type="dxa"/>
            <w:tcBorders>
              <w:left w:val="double" w:color="auto" w:sz="4" w:space="0"/>
            </w:tcBorders>
            <w:vAlign w:val="center"/>
          </w:tcPr>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二维动画</w:t>
            </w:r>
          </w:p>
          <w:p>
            <w:pPr>
              <w:widowControl/>
              <w:spacing w:line="28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分）</w:t>
            </w:r>
          </w:p>
        </w:tc>
        <w:tc>
          <w:tcPr>
            <w:tcW w:w="7604" w:type="dxa"/>
            <w:vAlign w:val="center"/>
          </w:tcPr>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基准价：满足招标文件要求且参与评审的价格最低的报价为基准价，得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其他报价得分计算公式如下：</w:t>
            </w:r>
          </w:p>
          <w:p>
            <w:pPr>
              <w:widowControl/>
              <w:spacing w:line="28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报价得分=（基准价/参与评审的价格）×</w:t>
            </w:r>
            <w:r>
              <w:rPr>
                <w:rFonts w:hint="eastAsia" w:ascii="宋体" w:hAnsi="宋体" w:cs="宋体"/>
                <w:color w:val="auto"/>
                <w:sz w:val="21"/>
                <w:szCs w:val="21"/>
                <w:highlight w:val="none"/>
                <w:lang w:val="en-US" w:eastAsia="zh-CN"/>
              </w:rPr>
              <w:t>2</w:t>
            </w:r>
          </w:p>
          <w:p>
            <w:pPr>
              <w:widowControl/>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报价得分以四舍五入保留小数点后两位。</w:t>
            </w:r>
          </w:p>
        </w:tc>
        <w:tc>
          <w:tcPr>
            <w:tcW w:w="1339" w:type="dxa"/>
            <w:tcBorders>
              <w:right w:val="double" w:color="auto" w:sz="4" w:space="0"/>
            </w:tcBorders>
            <w:vAlign w:val="center"/>
          </w:tcPr>
          <w:p>
            <w:pPr>
              <w:wordWrap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1" w:type="dxa"/>
            <w:gridSpan w:val="2"/>
            <w:tcBorders>
              <w:left w:val="double" w:color="auto" w:sz="4" w:space="0"/>
              <w:bottom w:val="double" w:color="auto" w:sz="4" w:space="0"/>
            </w:tcBorders>
            <w:vAlign w:val="center"/>
          </w:tcPr>
          <w:p>
            <w:pPr>
              <w:wordWrap w:val="0"/>
              <w:spacing w:line="320" w:lineRule="exact"/>
              <w:jc w:val="center"/>
              <w:rPr>
                <w:rFonts w:ascii="宋体" w:hAnsi="宋体"/>
                <w:color w:val="auto"/>
                <w:sz w:val="21"/>
                <w:szCs w:val="21"/>
                <w:highlight w:val="none"/>
              </w:rPr>
            </w:pPr>
            <w:r>
              <w:rPr>
                <w:rFonts w:hint="eastAsia" w:ascii="宋体" w:hAnsi="宋体"/>
                <w:b/>
                <w:color w:val="auto"/>
                <w:sz w:val="21"/>
                <w:szCs w:val="21"/>
                <w:highlight w:val="none"/>
              </w:rPr>
              <w:t>报价得分（20分）</w:t>
            </w:r>
          </w:p>
        </w:tc>
        <w:tc>
          <w:tcPr>
            <w:tcW w:w="1339" w:type="dxa"/>
            <w:tcBorders>
              <w:bottom w:val="double" w:color="auto" w:sz="4" w:space="0"/>
              <w:right w:val="double" w:color="auto" w:sz="4" w:space="0"/>
            </w:tcBorders>
            <w:vAlign w:val="center"/>
          </w:tcPr>
          <w:p>
            <w:pPr>
              <w:wordWrap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20</w:t>
            </w:r>
          </w:p>
        </w:tc>
      </w:tr>
    </w:tbl>
    <w:p>
      <w:pPr>
        <w:rPr>
          <w:rFonts w:ascii="宋体" w:hAnsi="宋体"/>
          <w:color w:val="auto"/>
          <w:sz w:val="21"/>
          <w:szCs w:val="21"/>
          <w:highlight w:val="none"/>
        </w:rPr>
      </w:pPr>
      <w:r>
        <w:rPr>
          <w:rFonts w:hint="eastAsia" w:ascii="宋体" w:hAnsi="宋体"/>
          <w:color w:val="auto"/>
          <w:sz w:val="21"/>
          <w:szCs w:val="21"/>
          <w:highlight w:val="none"/>
        </w:rPr>
        <w:br w:type="page"/>
      </w:r>
    </w:p>
    <w:bookmarkEnd w:id="91"/>
    <w:p>
      <w:pPr>
        <w:spacing w:line="480" w:lineRule="auto"/>
        <w:jc w:val="center"/>
        <w:rPr>
          <w:rFonts w:ascii="宋体"/>
          <w:color w:val="auto"/>
          <w:sz w:val="32"/>
          <w:szCs w:val="32"/>
          <w:highlight w:val="none"/>
        </w:rPr>
      </w:pPr>
      <w:bookmarkStart w:id="93" w:name="_Toc241827252"/>
      <w:bookmarkStart w:id="94" w:name="_Toc2749"/>
      <w:bookmarkStart w:id="95" w:name="_Toc86202637"/>
      <w:bookmarkStart w:id="96" w:name="_Toc241827256"/>
      <w:r>
        <w:rPr>
          <w:rStyle w:val="131"/>
          <w:rFonts w:hint="eastAsia"/>
          <w:color w:val="auto"/>
          <w:highlight w:val="none"/>
        </w:rPr>
        <w:t xml:space="preserve">第六部分  </w:t>
      </w:r>
      <w:bookmarkStart w:id="97" w:name="_Toc86202632"/>
      <w:r>
        <w:rPr>
          <w:rStyle w:val="131"/>
          <w:rFonts w:hint="eastAsia"/>
          <w:color w:val="auto"/>
          <w:highlight w:val="none"/>
        </w:rPr>
        <w:t>投标文件格式</w:t>
      </w:r>
      <w:bookmarkEnd w:id="93"/>
      <w:bookmarkEnd w:id="94"/>
      <w:bookmarkEnd w:id="97"/>
      <w:bookmarkStart w:id="98" w:name="_Toc86202633"/>
    </w:p>
    <w:p>
      <w:pPr>
        <w:spacing w:line="276" w:lineRule="auto"/>
        <w:rPr>
          <w:rFonts w:ascii="宋体"/>
          <w:color w:val="auto"/>
          <w:szCs w:val="24"/>
          <w:highlight w:val="none"/>
        </w:rPr>
      </w:pPr>
    </w:p>
    <w:p>
      <w:pPr>
        <w:spacing w:line="360" w:lineRule="auto"/>
        <w:rPr>
          <w:rFonts w:ascii="宋体"/>
          <w:color w:val="auto"/>
          <w:sz w:val="21"/>
          <w:szCs w:val="21"/>
          <w:highlight w:val="none"/>
        </w:rPr>
      </w:pPr>
      <w:bookmarkStart w:id="99" w:name="_Toc241827253"/>
      <w:r>
        <w:rPr>
          <w:rFonts w:hint="eastAsia" w:ascii="宋体"/>
          <w:color w:val="auto"/>
          <w:sz w:val="21"/>
          <w:szCs w:val="21"/>
          <w:highlight w:val="none"/>
        </w:rPr>
        <w:t>投标人提交文件须知</w:t>
      </w:r>
      <w:bookmarkEnd w:id="98"/>
      <w:bookmarkEnd w:id="99"/>
      <w:r>
        <w:rPr>
          <w:rFonts w:hint="eastAsia" w:ascii="宋体"/>
          <w:color w:val="auto"/>
          <w:sz w:val="21"/>
          <w:szCs w:val="21"/>
          <w:highlight w:val="none"/>
        </w:rPr>
        <w:t>：</w:t>
      </w:r>
    </w:p>
    <w:p>
      <w:pPr>
        <w:spacing w:line="360" w:lineRule="auto"/>
        <w:rPr>
          <w:rFonts w:ascii="宋体"/>
          <w:color w:val="auto"/>
          <w:sz w:val="21"/>
          <w:szCs w:val="21"/>
          <w:highlight w:val="none"/>
        </w:rPr>
      </w:pPr>
    </w:p>
    <w:p>
      <w:pPr>
        <w:spacing w:line="360" w:lineRule="auto"/>
        <w:ind w:left="348" w:leftChars="145"/>
        <w:rPr>
          <w:rFonts w:ascii="宋体"/>
          <w:color w:val="auto"/>
          <w:sz w:val="21"/>
          <w:szCs w:val="21"/>
          <w:highlight w:val="none"/>
        </w:rPr>
      </w:pPr>
      <w:r>
        <w:rPr>
          <w:rFonts w:hint="eastAsia" w:ascii="宋体"/>
          <w:color w:val="auto"/>
          <w:sz w:val="21"/>
          <w:szCs w:val="21"/>
          <w:highlight w:val="none"/>
        </w:rPr>
        <w:t>1、混乱的编排导致投标文件被误读或查找不到，后果由投标人承担。</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2、所附表格中要求回答的全部问题和信息都必须正面回答。</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3、本资格声明的签字人应保证全部声明和问题的回答是真实的和准确的。</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4、评标委员会将应用投标人提交的资料并根据自己的判断，决定投标人履行合同的合格性及能力。</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5、投标人提交的材料将被保密保存，但不退还。</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6、全部文件应按投标人须知中规定的语言和份数提交。</w:t>
      </w:r>
    </w:p>
    <w:p>
      <w:pPr>
        <w:rPr>
          <w:rFonts w:ascii="宋体"/>
          <w:color w:val="auto"/>
          <w:sz w:val="21"/>
          <w:szCs w:val="21"/>
          <w:highlight w:val="none"/>
        </w:rPr>
      </w:pPr>
      <w:r>
        <w:rPr>
          <w:rFonts w:hint="eastAsia" w:ascii="宋体"/>
          <w:color w:val="auto"/>
          <w:sz w:val="21"/>
          <w:szCs w:val="21"/>
          <w:highlight w:val="none"/>
        </w:rPr>
        <w:br w:type="page"/>
      </w:r>
    </w:p>
    <w:p>
      <w:pPr>
        <w:wordWrap w:val="0"/>
        <w:autoSpaceDE w:val="0"/>
        <w:autoSpaceDN w:val="0"/>
        <w:spacing w:line="420" w:lineRule="exact"/>
        <w:rPr>
          <w:rStyle w:val="173"/>
          <w:rFonts w:ascii="宋体" w:hAnsi="宋体"/>
          <w:b w:val="0"/>
          <w:color w:val="auto"/>
          <w:highlight w:val="none"/>
          <w:lang w:val="zh-CN"/>
        </w:rPr>
      </w:pPr>
      <w:r>
        <w:rPr>
          <w:rStyle w:val="173"/>
          <w:rFonts w:hint="eastAsia" w:ascii="宋体" w:hAnsi="宋体"/>
          <w:color w:val="auto"/>
          <w:szCs w:val="21"/>
          <w:highlight w:val="none"/>
        </w:rPr>
        <w:t>封面</w:t>
      </w:r>
    </w:p>
    <w:p>
      <w:pPr>
        <w:wordWrap w:val="0"/>
        <w:spacing w:line="360" w:lineRule="auto"/>
        <w:ind w:firstLine="1285" w:firstLineChars="400"/>
        <w:jc w:val="right"/>
        <w:rPr>
          <w:rFonts w:ascii="宋体" w:hAnsi="宋体"/>
          <w:b/>
          <w:color w:val="auto"/>
          <w:sz w:val="32"/>
          <w:szCs w:val="32"/>
          <w:highlight w:val="none"/>
        </w:rPr>
      </w:pPr>
      <w:r>
        <w:rPr>
          <w:rFonts w:hint="eastAsia" w:ascii="宋体" w:hAnsi="宋体"/>
          <w:b/>
          <w:color w:val="auto"/>
          <w:sz w:val="32"/>
          <w:szCs w:val="32"/>
          <w:highlight w:val="none"/>
        </w:rPr>
        <w:t>正本</w:t>
      </w:r>
    </w:p>
    <w:p>
      <w:pPr>
        <w:wordWrap w:val="0"/>
        <w:spacing w:line="360" w:lineRule="auto"/>
        <w:rPr>
          <w:rFonts w:ascii="宋体" w:hAnsi="宋体"/>
          <w:color w:val="auto"/>
          <w:sz w:val="28"/>
          <w:szCs w:val="28"/>
          <w:highlight w:val="none"/>
        </w:rPr>
      </w:pPr>
    </w:p>
    <w:p>
      <w:pPr>
        <w:wordWrap w:val="0"/>
        <w:spacing w:after="120" w:line="900" w:lineRule="exact"/>
        <w:jc w:val="center"/>
        <w:rPr>
          <w:rFonts w:ascii="宋体" w:hAnsi="宋体"/>
          <w:b/>
          <w:color w:val="auto"/>
          <w:sz w:val="36"/>
          <w:szCs w:val="36"/>
          <w:highlight w:val="none"/>
        </w:rPr>
      </w:pPr>
      <w:r>
        <w:rPr>
          <w:rFonts w:hint="eastAsia" w:ascii="宋体" w:hAnsi="宋体"/>
          <w:b/>
          <w:color w:val="auto"/>
          <w:sz w:val="36"/>
          <w:szCs w:val="36"/>
          <w:highlight w:val="none"/>
        </w:rPr>
        <w:t>宁波工程学院课程视频拍摄制作项目</w:t>
      </w:r>
    </w:p>
    <w:p>
      <w:pPr>
        <w:wordWrap w:val="0"/>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采购编号：NBITC-202230728G</w:t>
      </w:r>
    </w:p>
    <w:p>
      <w:pPr>
        <w:wordWrap w:val="0"/>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w:t>
      </w:r>
      <w:r>
        <w:rPr>
          <w:rFonts w:ascii="宋体" w:hAnsi="宋体"/>
          <w:color w:val="auto"/>
          <w:sz w:val="36"/>
          <w:szCs w:val="36"/>
          <w:highlight w:val="none"/>
          <w:u w:val="single"/>
        </w:rPr>
        <w:t xml:space="preserve">    </w:t>
      </w:r>
      <w:r>
        <w:rPr>
          <w:rFonts w:hint="eastAsia" w:ascii="宋体" w:hAnsi="宋体"/>
          <w:color w:val="auto"/>
          <w:sz w:val="36"/>
          <w:szCs w:val="36"/>
          <w:highlight w:val="none"/>
          <w:u w:val="single"/>
        </w:rPr>
        <w:t>项：（如有多个标项）</w:t>
      </w:r>
    </w:p>
    <w:p>
      <w:pPr>
        <w:wordWrap w:val="0"/>
        <w:rPr>
          <w:rFonts w:ascii="宋体" w:hAnsi="宋体"/>
          <w:color w:val="auto"/>
          <w:sz w:val="28"/>
          <w:szCs w:val="28"/>
          <w:highlight w:val="none"/>
        </w:rPr>
      </w:pP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wordWrap w:val="0"/>
        <w:jc w:val="center"/>
        <w:rPr>
          <w:rFonts w:ascii="宋体" w:hAnsi="宋体"/>
          <w:color w:val="auto"/>
          <w:sz w:val="28"/>
          <w:szCs w:val="28"/>
          <w:highlight w:val="none"/>
        </w:rPr>
      </w:pPr>
    </w:p>
    <w:p>
      <w:pPr>
        <w:wordWrap w:val="0"/>
        <w:spacing w:line="360" w:lineRule="auto"/>
        <w:jc w:val="center"/>
        <w:rPr>
          <w:rFonts w:ascii="宋体" w:hAnsi="宋体"/>
          <w:b/>
          <w:color w:val="auto"/>
          <w:sz w:val="72"/>
          <w:szCs w:val="72"/>
          <w:highlight w:val="none"/>
        </w:rPr>
      </w:pPr>
    </w:p>
    <w:p>
      <w:pPr>
        <w:wordWrap w:val="0"/>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wordWrap w:val="0"/>
        <w:ind w:left="115" w:leftChars="48" w:firstLine="1680" w:firstLineChars="800"/>
        <w:jc w:val="left"/>
        <w:rPr>
          <w:rFonts w:hAnsi="宋体"/>
          <w:color w:val="auto"/>
          <w:szCs w:val="28"/>
          <w:highlight w:val="none"/>
          <w:u w:val="single"/>
        </w:rPr>
      </w:pPr>
    </w:p>
    <w:p>
      <w:pPr>
        <w:wordWrap w:val="0"/>
        <w:spacing w:line="360" w:lineRule="auto"/>
        <w:jc w:val="center"/>
        <w:rPr>
          <w:rStyle w:val="173"/>
          <w:rFonts w:ascii="宋体" w:hAnsi="宋体"/>
          <w:color w:val="auto"/>
          <w:sz w:val="28"/>
          <w:szCs w:val="28"/>
          <w:highlight w:val="none"/>
        </w:rPr>
      </w:pPr>
      <w:bookmarkStart w:id="100" w:name="_Toc44162158"/>
      <w:bookmarkStart w:id="101" w:name="_Toc12534"/>
      <w:bookmarkStart w:id="102" w:name="_Toc21541027"/>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100"/>
      <w:bookmarkEnd w:id="101"/>
      <w:bookmarkEnd w:id="102"/>
    </w:p>
    <w:p>
      <w:pPr>
        <w:wordWrap w:val="0"/>
        <w:spacing w:line="360" w:lineRule="auto"/>
        <w:ind w:firstLine="4800" w:firstLineChars="2000"/>
        <w:rPr>
          <w:rFonts w:ascii="宋体" w:hAnsi="宋体"/>
          <w:color w:val="auto"/>
          <w:szCs w:val="21"/>
          <w:highlight w:val="none"/>
        </w:rPr>
      </w:pPr>
    </w:p>
    <w:p>
      <w:pPr>
        <w:wordWrap w:val="0"/>
        <w:spacing w:line="360" w:lineRule="auto"/>
        <w:jc w:val="center"/>
        <w:rPr>
          <w:rFonts w:ascii="宋体" w:hAnsi="宋体"/>
          <w:b/>
          <w:color w:val="auto"/>
          <w:szCs w:val="21"/>
          <w:highlight w:val="none"/>
        </w:rPr>
      </w:pPr>
      <w:r>
        <w:rPr>
          <w:rStyle w:val="173"/>
          <w:rFonts w:ascii="宋体" w:hAnsi="宋体"/>
          <w:color w:val="auto"/>
          <w:szCs w:val="21"/>
          <w:highlight w:val="none"/>
        </w:rPr>
        <w:br w:type="page"/>
      </w:r>
      <w:r>
        <w:rPr>
          <w:rFonts w:hint="eastAsia" w:ascii="宋体" w:hAnsi="宋体"/>
          <w:b/>
          <w:color w:val="auto"/>
          <w:szCs w:val="21"/>
          <w:highlight w:val="none"/>
        </w:rPr>
        <w:t>自评分表</w:t>
      </w:r>
    </w:p>
    <w:p>
      <w:pPr>
        <w:wordWrap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商务和技术评分表</w:t>
      </w:r>
    </w:p>
    <w:tbl>
      <w:tblPr>
        <w:tblStyle w:val="40"/>
        <w:tblW w:w="9513"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096"/>
        <w:gridCol w:w="851"/>
        <w:gridCol w:w="992"/>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tcBorders>
              <w:righ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评标项目</w:t>
            </w:r>
          </w:p>
        </w:tc>
        <w:tc>
          <w:tcPr>
            <w:tcW w:w="6096" w:type="dxa"/>
            <w:tcBorders>
              <w:righ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评分内容</w:t>
            </w:r>
          </w:p>
        </w:tc>
        <w:tc>
          <w:tcPr>
            <w:tcW w:w="851" w:type="dxa"/>
            <w:tcBorders>
              <w:left w:val="single" w:color="auto" w:sz="4" w:space="0"/>
              <w:righ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分值</w:t>
            </w:r>
          </w:p>
        </w:tc>
        <w:tc>
          <w:tcPr>
            <w:tcW w:w="992" w:type="dxa"/>
            <w:tcBorders>
              <w:left w:val="single" w:color="auto" w:sz="4" w:space="0"/>
              <w:righ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自评分</w:t>
            </w:r>
          </w:p>
        </w:tc>
        <w:tc>
          <w:tcPr>
            <w:tcW w:w="851" w:type="dxa"/>
            <w:tcBorders>
              <w:lef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restart"/>
            <w:tcBorders>
              <w:right w:val="single" w:color="auto" w:sz="4" w:space="0"/>
            </w:tcBorders>
            <w:vAlign w:val="center"/>
          </w:tcPr>
          <w:p>
            <w:pPr>
              <w:rPr>
                <w:rFonts w:ascii="宋体" w:hAnsi="宋体"/>
                <w:b/>
                <w:color w:val="auto"/>
                <w:sz w:val="21"/>
                <w:szCs w:val="21"/>
                <w:highlight w:val="none"/>
              </w:rPr>
            </w:pPr>
            <w:r>
              <w:rPr>
                <w:rFonts w:ascii="宋体" w:hAnsi="宋体"/>
                <w:b/>
                <w:color w:val="auto"/>
                <w:sz w:val="21"/>
                <w:szCs w:val="21"/>
                <w:highlight w:val="none"/>
              </w:rPr>
              <w:t>商务技术分</w:t>
            </w:r>
          </w:p>
        </w:tc>
        <w:tc>
          <w:tcPr>
            <w:tcW w:w="6096" w:type="dxa"/>
            <w:tcBorders>
              <w:right w:val="single" w:color="auto" w:sz="4" w:space="0"/>
            </w:tcBorders>
            <w:vAlign w:val="center"/>
          </w:tcPr>
          <w:p>
            <w:pPr>
              <w:widowControl/>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851" w:type="dxa"/>
            <w:tcBorders>
              <w:left w:val="single" w:color="auto" w:sz="4" w:space="0"/>
            </w:tcBorders>
            <w:vAlign w:val="center"/>
          </w:tcPr>
          <w:p>
            <w:pPr>
              <w:widowControl/>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851" w:type="dxa"/>
            <w:tcBorders>
              <w:left w:val="single" w:color="auto" w:sz="4" w:space="0"/>
            </w:tcBorders>
            <w:vAlign w:val="center"/>
          </w:tcPr>
          <w:p>
            <w:pPr>
              <w:widowControl/>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851" w:type="dxa"/>
            <w:tcBorders>
              <w:left w:val="single" w:color="auto" w:sz="4" w:space="0"/>
            </w:tcBorders>
            <w:vAlign w:val="center"/>
          </w:tcPr>
          <w:p>
            <w:pPr>
              <w:widowControl/>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851" w:type="dxa"/>
            <w:tcBorders>
              <w:left w:val="single" w:color="auto" w:sz="4" w:space="0"/>
            </w:tcBorders>
            <w:vAlign w:val="center"/>
          </w:tcPr>
          <w:p>
            <w:pPr>
              <w:widowControl/>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851" w:type="dxa"/>
            <w:tcBorders>
              <w:left w:val="single" w:color="auto" w:sz="4" w:space="0"/>
            </w:tcBorders>
            <w:vAlign w:val="center"/>
          </w:tcPr>
          <w:p>
            <w:pPr>
              <w:widowControl/>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851" w:type="dxa"/>
            <w:tcBorders>
              <w:left w:val="single" w:color="auto" w:sz="4" w:space="0"/>
            </w:tcBorders>
            <w:vAlign w:val="center"/>
          </w:tcPr>
          <w:p>
            <w:pPr>
              <w:widowControl/>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sz w:val="21"/>
                <w:szCs w:val="21"/>
                <w:highlight w:val="none"/>
              </w:rPr>
            </w:pPr>
          </w:p>
        </w:tc>
        <w:tc>
          <w:tcPr>
            <w:tcW w:w="851" w:type="dxa"/>
            <w:tcBorders>
              <w:left w:val="single" w:color="auto" w:sz="4" w:space="0"/>
            </w:tcBorders>
            <w:vAlign w:val="center"/>
          </w:tcPr>
          <w:p>
            <w:pPr>
              <w:widowControl/>
              <w:jc w:val="center"/>
              <w:rPr>
                <w:rFonts w:ascii="宋体" w:hAnsi="宋体"/>
                <w:color w:val="auto"/>
                <w:sz w:val="21"/>
                <w:szCs w:val="21"/>
                <w:highlight w:val="none"/>
              </w:rPr>
            </w:pPr>
          </w:p>
        </w:tc>
      </w:tr>
    </w:tbl>
    <w:p>
      <w:pPr>
        <w:pStyle w:val="2"/>
        <w:rPr>
          <w:color w:val="auto"/>
          <w:sz w:val="21"/>
          <w:szCs w:val="21"/>
          <w:highlight w:val="none"/>
        </w:rPr>
      </w:pPr>
      <w:r>
        <w:rPr>
          <w:rFonts w:hint="eastAsia"/>
          <w:color w:val="auto"/>
          <w:sz w:val="21"/>
          <w:szCs w:val="21"/>
          <w:highlight w:val="none"/>
        </w:rPr>
        <w:t>具体评分内容详见第五部分评分标准</w:t>
      </w:r>
    </w:p>
    <w:p>
      <w:pPr>
        <w:pStyle w:val="2"/>
        <w:rPr>
          <w:color w:val="auto"/>
          <w:sz w:val="21"/>
          <w:szCs w:val="21"/>
          <w:highlight w:val="none"/>
        </w:rPr>
      </w:pPr>
    </w:p>
    <w:p>
      <w:pPr>
        <w:spacing w:line="360" w:lineRule="auto"/>
        <w:jc w:val="center"/>
        <w:outlineLvl w:val="1"/>
        <w:rPr>
          <w:b/>
          <w:color w:val="auto"/>
          <w:highlight w:val="none"/>
        </w:rPr>
      </w:pPr>
      <w:r>
        <w:rPr>
          <w:rFonts w:hint="eastAsia"/>
          <w:color w:val="auto"/>
          <w:highlight w:val="none"/>
        </w:rPr>
        <w:br w:type="page"/>
      </w:r>
      <w:bookmarkStart w:id="103" w:name="_Toc389139109"/>
      <w:bookmarkStart w:id="104" w:name="_Toc241827254"/>
      <w:bookmarkStart w:id="105" w:name="_Toc86202634"/>
      <w:bookmarkStart w:id="106" w:name="_Toc387317147"/>
      <w:bookmarkStart w:id="107" w:name="_Toc209"/>
      <w:r>
        <w:rPr>
          <w:rFonts w:hint="eastAsia"/>
          <w:b/>
          <w:color w:val="auto"/>
          <w:highlight w:val="none"/>
        </w:rPr>
        <w:t>附件一、投标函</w:t>
      </w:r>
      <w:bookmarkEnd w:id="103"/>
      <w:bookmarkEnd w:id="104"/>
      <w:bookmarkEnd w:id="105"/>
      <w:bookmarkEnd w:id="106"/>
      <w:bookmarkEnd w:id="107"/>
    </w:p>
    <w:p>
      <w:pPr>
        <w:wordWrap w:val="0"/>
        <w:spacing w:line="360" w:lineRule="auto"/>
        <w:rPr>
          <w:rFonts w:ascii="宋体" w:hAnsi="宋体"/>
          <w:color w:val="auto"/>
          <w:sz w:val="21"/>
          <w:szCs w:val="21"/>
          <w:highlight w:val="none"/>
        </w:rPr>
      </w:pPr>
      <w:r>
        <w:rPr>
          <w:rFonts w:hint="eastAsia" w:ascii="宋体" w:hAnsi="宋体"/>
          <w:color w:val="auto"/>
          <w:sz w:val="21"/>
          <w:szCs w:val="21"/>
          <w:highlight w:val="none"/>
        </w:rPr>
        <w:t>致：宁波市国际招标有限公司</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授权</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（全名、职务）</w:t>
      </w:r>
      <w:r>
        <w:rPr>
          <w:rFonts w:ascii="宋体" w:hAnsi="宋体"/>
          <w:color w:val="auto"/>
          <w:sz w:val="21"/>
          <w:szCs w:val="21"/>
          <w:highlight w:val="none"/>
          <w:u w:val="single"/>
        </w:rPr>
        <w:t xml:space="preserve">  </w:t>
      </w:r>
      <w:r>
        <w:rPr>
          <w:rFonts w:hint="eastAsia" w:ascii="宋体" w:hAnsi="宋体"/>
          <w:color w:val="auto"/>
          <w:sz w:val="21"/>
          <w:szCs w:val="21"/>
          <w:highlight w:val="none"/>
        </w:rPr>
        <w:t>为全权代表，参加贵方组织的</w:t>
      </w:r>
      <w:r>
        <w:rPr>
          <w:rFonts w:hint="eastAsia" w:ascii="宋体" w:hAnsi="宋体"/>
          <w:color w:val="auto"/>
          <w:sz w:val="21"/>
          <w:szCs w:val="21"/>
          <w:highlight w:val="none"/>
          <w:u w:val="single"/>
        </w:rPr>
        <w:t xml:space="preserve">      项目</w:t>
      </w:r>
      <w:r>
        <w:rPr>
          <w:rFonts w:hint="eastAsia" w:ascii="宋体" w:hAnsi="宋体"/>
          <w:color w:val="auto"/>
          <w:sz w:val="21"/>
          <w:szCs w:val="21"/>
          <w:highlight w:val="none"/>
        </w:rPr>
        <w:t>（采购编号：</w:t>
      </w:r>
      <w:r>
        <w:rPr>
          <w:rFonts w:hint="eastAsia" w:ascii="宋体" w:hAnsi="宋体"/>
          <w:color w:val="auto"/>
          <w:sz w:val="21"/>
          <w:szCs w:val="21"/>
          <w:highlight w:val="none"/>
          <w:u w:val="single"/>
        </w:rPr>
        <w:t xml:space="preserve">NBITC-202230728G，标项   </w:t>
      </w:r>
      <w:r>
        <w:rPr>
          <w:rFonts w:hint="eastAsia" w:ascii="宋体" w:hAnsi="宋体"/>
          <w:color w:val="auto"/>
          <w:sz w:val="21"/>
          <w:szCs w:val="21"/>
          <w:highlight w:val="none"/>
        </w:rPr>
        <w:t>）招标活动并投标，为便于采购人公正、择优地确定中标供应商及其服务，我方就本次投标有关事项郑重声明如下：</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、我方提交的所有投标文件、资料都是准确的和真实的。如有虚假或隐瞒，我方愿意承担一切后果，并不再寻求任何旨在减轻或免除法律责任的辩解。</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、我方不是为本项目提供整体设计、规范编制或者项目管理、监理、检测等服务的供应商。</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、我们已详细审查全部采购文件及有关的澄清</w:t>
      </w:r>
      <w:r>
        <w:rPr>
          <w:rFonts w:ascii="宋体" w:hAnsi="宋体"/>
          <w:color w:val="auto"/>
          <w:sz w:val="21"/>
          <w:szCs w:val="21"/>
          <w:highlight w:val="none"/>
        </w:rPr>
        <w:t>/</w:t>
      </w:r>
      <w:r>
        <w:rPr>
          <w:rFonts w:hint="eastAsia" w:ascii="宋体" w:hAnsi="宋体"/>
          <w:color w:val="auto"/>
          <w:sz w:val="21"/>
          <w:szCs w:val="21"/>
          <w:highlight w:val="none"/>
        </w:rPr>
        <w:t>修改文件（若有），我们完全理解并同意放弃对这方面提出任何异议的权利。</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、保证遵守采购文件有关条款规定。</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、本项目的投标报价详见“开标一览表”。</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、投标文件有效期为自开标之日起</w:t>
      </w:r>
      <w:r>
        <w:rPr>
          <w:rFonts w:ascii="宋体" w:hAnsi="宋体"/>
          <w:color w:val="auto"/>
          <w:sz w:val="21"/>
          <w:szCs w:val="21"/>
          <w:highlight w:val="none"/>
          <w:u w:val="single"/>
        </w:rPr>
        <w:t xml:space="preserve"> 90 </w:t>
      </w:r>
      <w:r>
        <w:rPr>
          <w:rFonts w:hint="eastAsia" w:ascii="宋体" w:hAnsi="宋体"/>
          <w:color w:val="auto"/>
          <w:sz w:val="21"/>
          <w:szCs w:val="21"/>
          <w:highlight w:val="none"/>
        </w:rPr>
        <w:t>个日历日。</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、保证在中标后忠实地执行与采购人所签署的合同，并承担合同规定的责任义务。</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w:t>
      </w:r>
      <w:r>
        <w:rPr>
          <w:rFonts w:ascii="宋体" w:hAnsi="宋体"/>
          <w:color w:val="auto"/>
          <w:sz w:val="21"/>
          <w:szCs w:val="21"/>
          <w:highlight w:val="none"/>
        </w:rPr>
        <w:t>200%</w:t>
      </w:r>
      <w:r>
        <w:rPr>
          <w:rFonts w:hint="eastAsia" w:ascii="宋体" w:hAnsi="宋体"/>
          <w:color w:val="auto"/>
          <w:sz w:val="21"/>
          <w:szCs w:val="21"/>
          <w:highlight w:val="none"/>
        </w:rPr>
        <w:t>交纳违约金和滞纳的银行利息。承诺在未交足上述违约金和利息前，同意不再参加贵方代理的其他项目，如果贵方不接受我们的投标，我们自愿放弃任何方式进行抗辩的权力。</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、与本投标有关的一切正式来往通讯请寄：</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w:t>
      </w:r>
      <w:r>
        <w:rPr>
          <w:rFonts w:ascii="宋体" w:hAnsi="宋体"/>
          <w:color w:val="auto"/>
          <w:sz w:val="21"/>
          <w:szCs w:val="21"/>
          <w:highlight w:val="none"/>
          <w:u w:val="single"/>
        </w:rPr>
        <w:t xml:space="preserve">                    </w:t>
      </w:r>
      <w:r>
        <w:rPr>
          <w:rFonts w:hint="eastAsia" w:ascii="宋体" w:hAnsi="宋体"/>
          <w:color w:val="auto"/>
          <w:sz w:val="21"/>
          <w:szCs w:val="21"/>
          <w:highlight w:val="none"/>
        </w:rPr>
        <w:t>邮编：</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电话：</w:t>
      </w:r>
      <w:r>
        <w:rPr>
          <w:rFonts w:ascii="宋体" w:hAnsi="宋体"/>
          <w:color w:val="auto"/>
          <w:sz w:val="21"/>
          <w:szCs w:val="21"/>
          <w:highlight w:val="none"/>
          <w:u w:val="single"/>
        </w:rPr>
        <w:t xml:space="preserve">                    </w:t>
      </w:r>
      <w:r>
        <w:rPr>
          <w:rFonts w:hint="eastAsia" w:ascii="宋体" w:hAnsi="宋体"/>
          <w:color w:val="auto"/>
          <w:sz w:val="21"/>
          <w:szCs w:val="21"/>
          <w:highlight w:val="none"/>
        </w:rPr>
        <w:t>传真：</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pPr>
        <w:wordWrap w:val="0"/>
        <w:spacing w:line="360" w:lineRule="auto"/>
        <w:ind w:left="540" w:firstLine="30"/>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wordWrap w:val="0"/>
        <w:spacing w:line="360" w:lineRule="auto"/>
        <w:rPr>
          <w:rFonts w:ascii="宋体" w:hAnsi="宋体"/>
          <w:color w:val="auto"/>
          <w:sz w:val="21"/>
          <w:szCs w:val="21"/>
          <w:highlight w:val="none"/>
        </w:rPr>
      </w:pPr>
      <w:r>
        <w:rPr>
          <w:rFonts w:hint="eastAsia" w:ascii="宋体" w:hAnsi="宋体"/>
          <w:color w:val="auto"/>
          <w:sz w:val="21"/>
          <w:szCs w:val="21"/>
          <w:highlight w:val="none"/>
        </w:rPr>
        <w:t>供应商（盖章）：</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pPr>
        <w:spacing w:line="360" w:lineRule="auto"/>
        <w:ind w:left="420" w:hanging="420" w:hangingChars="200"/>
        <w:rPr>
          <w:rFonts w:asci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期：</w:t>
      </w:r>
      <w:r>
        <w:rPr>
          <w:rFonts w:ascii="宋体" w:hAnsi="宋体"/>
          <w:color w:val="auto"/>
          <w:sz w:val="21"/>
          <w:szCs w:val="21"/>
          <w:highlight w:val="none"/>
          <w:u w:val="single"/>
        </w:rPr>
        <w:t xml:space="preserve">                             </w:t>
      </w:r>
    </w:p>
    <w:p>
      <w:pPr>
        <w:spacing w:line="276" w:lineRule="auto"/>
        <w:jc w:val="center"/>
        <w:outlineLvl w:val="1"/>
        <w:rPr>
          <w:b/>
          <w:color w:val="auto"/>
          <w:highlight w:val="none"/>
        </w:rPr>
      </w:pPr>
      <w:bookmarkStart w:id="108" w:name="_Toc241827255"/>
      <w:bookmarkStart w:id="109" w:name="_Toc387317148"/>
      <w:bookmarkStart w:id="110" w:name="_Toc389139110"/>
      <w:r>
        <w:rPr>
          <w:b/>
          <w:color w:val="auto"/>
          <w:highlight w:val="none"/>
        </w:rPr>
        <w:br w:type="page"/>
      </w:r>
      <w:bookmarkStart w:id="111" w:name="_Toc1420"/>
      <w:r>
        <w:rPr>
          <w:rFonts w:hint="eastAsia"/>
          <w:b/>
          <w:color w:val="auto"/>
          <w:highlight w:val="none"/>
        </w:rPr>
        <w:t>附件二、开标一览表</w:t>
      </w:r>
      <w:bookmarkEnd w:id="108"/>
      <w:bookmarkEnd w:id="109"/>
      <w:bookmarkEnd w:id="110"/>
      <w:bookmarkEnd w:id="111"/>
    </w:p>
    <w:p>
      <w:pPr>
        <w:pStyle w:val="23"/>
        <w:adjustRightInd w:val="0"/>
        <w:snapToGrid w:val="0"/>
        <w:spacing w:line="360" w:lineRule="auto"/>
        <w:rPr>
          <w:color w:val="auto"/>
          <w:highlight w:val="none"/>
          <w:u w:val="single"/>
        </w:rPr>
      </w:pPr>
      <w:bookmarkStart w:id="112" w:name="_Toc387317149"/>
      <w:bookmarkStart w:id="113" w:name="_Toc389139111"/>
      <w:r>
        <w:rPr>
          <w:rFonts w:hint="eastAsia"/>
          <w:color w:val="auto"/>
          <w:highlight w:val="none"/>
        </w:rPr>
        <w:t>招标编号：</w:t>
      </w:r>
    </w:p>
    <w:p>
      <w:pPr>
        <w:pStyle w:val="23"/>
        <w:snapToGrid w:val="0"/>
        <w:spacing w:line="360" w:lineRule="auto"/>
        <w:rPr>
          <w:rFonts w:hAnsi="宋体"/>
          <w:color w:val="auto"/>
          <w:highlight w:val="none"/>
        </w:rPr>
      </w:pPr>
      <w:r>
        <w:rPr>
          <w:rFonts w:hint="eastAsia"/>
          <w:color w:val="auto"/>
          <w:highlight w:val="none"/>
        </w:rPr>
        <w:t>项目名称：</w:t>
      </w:r>
    </w:p>
    <w:p>
      <w:pPr>
        <w:pStyle w:val="23"/>
        <w:snapToGrid w:val="0"/>
        <w:spacing w:line="360" w:lineRule="auto"/>
        <w:rPr>
          <w:rFonts w:hAnsi="宋体"/>
          <w:color w:val="auto"/>
          <w:highlight w:val="none"/>
        </w:rPr>
      </w:pPr>
      <w:r>
        <w:rPr>
          <w:rFonts w:hint="eastAsia" w:hAnsi="宋体"/>
          <w:color w:val="auto"/>
          <w:highlight w:val="none"/>
        </w:rPr>
        <w:t>标项：</w:t>
      </w:r>
    </w:p>
    <w:tbl>
      <w:tblPr>
        <w:tblStyle w:val="40"/>
        <w:tblW w:w="8798" w:type="dxa"/>
        <w:tblInd w:w="7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15"/>
        <w:gridCol w:w="2034"/>
        <w:gridCol w:w="22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12"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717"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课程类型</w:t>
            </w:r>
          </w:p>
        </w:tc>
        <w:tc>
          <w:tcPr>
            <w:tcW w:w="2030"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时间</w:t>
            </w:r>
          </w:p>
        </w:tc>
        <w:tc>
          <w:tcPr>
            <w:tcW w:w="2239" w:type="dxa"/>
            <w:vAlign w:val="center"/>
          </w:tcPr>
          <w:p>
            <w:pPr>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投标单价（元/个）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717"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慕课、新形态教材、课程思政课程</w:t>
            </w:r>
          </w:p>
        </w:tc>
        <w:tc>
          <w:tcPr>
            <w:tcW w:w="2030"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≤10分钟</w:t>
            </w:r>
          </w:p>
        </w:tc>
        <w:tc>
          <w:tcPr>
            <w:tcW w:w="2239" w:type="dxa"/>
            <w:vAlign w:val="center"/>
          </w:tcPr>
          <w:p>
            <w:pPr>
              <w:spacing w:line="336" w:lineRule="auto"/>
              <w:jc w:val="center"/>
              <w:rPr>
                <w:rFonts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Merge w:val="continue"/>
            <w:vAlign w:val="center"/>
          </w:tcPr>
          <w:p>
            <w:pPr>
              <w:spacing w:line="336" w:lineRule="auto"/>
              <w:jc w:val="center"/>
              <w:rPr>
                <w:rFonts w:ascii="宋体" w:hAnsi="宋体" w:cs="宋体"/>
                <w:color w:val="auto"/>
                <w:sz w:val="21"/>
                <w:szCs w:val="21"/>
                <w:highlight w:val="none"/>
              </w:rPr>
            </w:pPr>
          </w:p>
        </w:tc>
        <w:tc>
          <w:tcPr>
            <w:tcW w:w="3717" w:type="dxa"/>
            <w:vMerge w:val="continue"/>
            <w:vAlign w:val="center"/>
          </w:tcPr>
          <w:p>
            <w:pPr>
              <w:spacing w:line="336" w:lineRule="auto"/>
              <w:jc w:val="center"/>
              <w:rPr>
                <w:rFonts w:ascii="宋体" w:hAnsi="宋体" w:cs="宋体"/>
                <w:color w:val="auto"/>
                <w:sz w:val="21"/>
                <w:szCs w:val="21"/>
                <w:highlight w:val="none"/>
              </w:rPr>
            </w:pPr>
          </w:p>
        </w:tc>
        <w:tc>
          <w:tcPr>
            <w:tcW w:w="2030"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10-15分钟</w:t>
            </w:r>
          </w:p>
        </w:tc>
        <w:tc>
          <w:tcPr>
            <w:tcW w:w="2239" w:type="dxa"/>
            <w:vAlign w:val="center"/>
          </w:tcPr>
          <w:p>
            <w:pPr>
              <w:spacing w:line="336" w:lineRule="auto"/>
              <w:jc w:val="center"/>
              <w:rPr>
                <w:rFonts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717"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说课视频（需AE制作，不低于两处的特效包装）</w:t>
            </w:r>
          </w:p>
        </w:tc>
        <w:tc>
          <w:tcPr>
            <w:tcW w:w="2030"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10分钟</w:t>
            </w:r>
          </w:p>
        </w:tc>
        <w:tc>
          <w:tcPr>
            <w:tcW w:w="2239" w:type="dxa"/>
            <w:vAlign w:val="center"/>
          </w:tcPr>
          <w:p>
            <w:pPr>
              <w:spacing w:line="336" w:lineRule="auto"/>
              <w:jc w:val="center"/>
              <w:rPr>
                <w:rFonts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717"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创新教学大赛等各类教学竞赛中课堂实录视频（含一镜到底）</w:t>
            </w:r>
          </w:p>
        </w:tc>
        <w:tc>
          <w:tcPr>
            <w:tcW w:w="2030"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45分钟</w:t>
            </w:r>
          </w:p>
        </w:tc>
        <w:tc>
          <w:tcPr>
            <w:tcW w:w="2239" w:type="dxa"/>
            <w:vAlign w:val="center"/>
          </w:tcPr>
          <w:p>
            <w:pPr>
              <w:spacing w:line="336" w:lineRule="auto"/>
              <w:jc w:val="center"/>
              <w:rPr>
                <w:rFonts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Merge w:val="restart"/>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717"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微课大赛</w:t>
            </w:r>
          </w:p>
        </w:tc>
        <w:tc>
          <w:tcPr>
            <w:tcW w:w="2030"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≤10分钟</w:t>
            </w:r>
          </w:p>
        </w:tc>
        <w:tc>
          <w:tcPr>
            <w:tcW w:w="2239" w:type="dxa"/>
            <w:vAlign w:val="center"/>
          </w:tcPr>
          <w:p>
            <w:pPr>
              <w:spacing w:line="336" w:lineRule="auto"/>
              <w:jc w:val="center"/>
              <w:rPr>
                <w:rFonts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Merge w:val="continue"/>
            <w:vAlign w:val="center"/>
          </w:tcPr>
          <w:p>
            <w:pPr>
              <w:spacing w:line="336" w:lineRule="auto"/>
              <w:jc w:val="center"/>
              <w:rPr>
                <w:rFonts w:ascii="宋体" w:hAnsi="宋体" w:cs="宋体"/>
                <w:color w:val="auto"/>
                <w:sz w:val="21"/>
                <w:szCs w:val="21"/>
                <w:highlight w:val="none"/>
              </w:rPr>
            </w:pPr>
          </w:p>
        </w:tc>
        <w:tc>
          <w:tcPr>
            <w:tcW w:w="3717"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青年教师竞赛</w:t>
            </w:r>
          </w:p>
        </w:tc>
        <w:tc>
          <w:tcPr>
            <w:tcW w:w="2030" w:type="dxa"/>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≤20分钟</w:t>
            </w:r>
          </w:p>
        </w:tc>
        <w:tc>
          <w:tcPr>
            <w:tcW w:w="2239" w:type="dxa"/>
          </w:tcPr>
          <w:p>
            <w:pPr>
              <w:spacing w:line="336" w:lineRule="auto"/>
              <w:jc w:val="center"/>
              <w:rPr>
                <w:rFonts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2"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717" w:type="dxa"/>
            <w:vAlign w:val="center"/>
          </w:tcPr>
          <w:p>
            <w:pPr>
              <w:spacing w:line="4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二维动画</w:t>
            </w:r>
          </w:p>
        </w:tc>
        <w:tc>
          <w:tcPr>
            <w:tcW w:w="2035"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秒</w:t>
            </w:r>
          </w:p>
        </w:tc>
        <w:tc>
          <w:tcPr>
            <w:tcW w:w="2234" w:type="dxa"/>
            <w:vAlign w:val="center"/>
          </w:tcPr>
          <w:p>
            <w:pPr>
              <w:spacing w:line="336" w:lineRule="auto"/>
              <w:jc w:val="center"/>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元/秒</w:t>
            </w:r>
          </w:p>
        </w:tc>
      </w:tr>
    </w:tbl>
    <w:p>
      <w:pPr>
        <w:pStyle w:val="23"/>
        <w:snapToGrid w:val="0"/>
        <w:spacing w:line="360" w:lineRule="auto"/>
        <w:rPr>
          <w:rFonts w:hAnsi="宋体"/>
          <w:color w:val="auto"/>
          <w:highlight w:val="none"/>
        </w:rPr>
      </w:pPr>
    </w:p>
    <w:p>
      <w:pPr>
        <w:pStyle w:val="18"/>
        <w:spacing w:line="360" w:lineRule="auto"/>
        <w:ind w:left="1104"/>
        <w:rPr>
          <w:rFonts w:hAnsi="宋体"/>
          <w:color w:val="auto"/>
          <w:sz w:val="21"/>
          <w:highlight w:val="none"/>
        </w:rPr>
      </w:pPr>
    </w:p>
    <w:p>
      <w:pPr>
        <w:pStyle w:val="18"/>
        <w:spacing w:line="360" w:lineRule="auto"/>
        <w:ind w:left="1104"/>
        <w:rPr>
          <w:rFonts w:hAnsi="宋体"/>
          <w:color w:val="auto"/>
          <w:sz w:val="21"/>
          <w:highlight w:val="none"/>
        </w:rPr>
      </w:pPr>
      <w:r>
        <w:rPr>
          <w:rFonts w:hint="eastAsia" w:hAnsi="宋体"/>
          <w:color w:val="auto"/>
          <w:sz w:val="21"/>
          <w:highlight w:val="none"/>
        </w:rPr>
        <w:t>投 标 人  （盖章）：</w:t>
      </w:r>
    </w:p>
    <w:p>
      <w:pPr>
        <w:pStyle w:val="18"/>
        <w:spacing w:line="360" w:lineRule="auto"/>
        <w:ind w:left="1104"/>
        <w:rPr>
          <w:rFonts w:hAnsi="宋体"/>
          <w:color w:val="auto"/>
          <w:sz w:val="21"/>
          <w:highlight w:val="none"/>
        </w:rPr>
      </w:pPr>
      <w:r>
        <w:rPr>
          <w:rFonts w:hint="eastAsia" w:hAnsi="宋体"/>
          <w:color w:val="auto"/>
          <w:sz w:val="21"/>
          <w:highlight w:val="none"/>
        </w:rPr>
        <w:t>投标人代表（签字）：</w:t>
      </w:r>
    </w:p>
    <w:p>
      <w:pPr>
        <w:pStyle w:val="18"/>
        <w:spacing w:line="360" w:lineRule="auto"/>
        <w:ind w:left="1104"/>
        <w:rPr>
          <w:rFonts w:hAnsi="宋体"/>
          <w:color w:val="auto"/>
          <w:sz w:val="21"/>
          <w:highlight w:val="none"/>
        </w:rPr>
      </w:pPr>
      <w:r>
        <w:rPr>
          <w:rFonts w:hint="eastAsia" w:hAnsi="宋体"/>
          <w:color w:val="auto"/>
          <w:sz w:val="21"/>
          <w:highlight w:val="none"/>
        </w:rPr>
        <w:t>日             期：</w:t>
      </w:r>
    </w:p>
    <w:p>
      <w:pPr>
        <w:spacing w:line="276" w:lineRule="auto"/>
        <w:jc w:val="center"/>
        <w:outlineLvl w:val="1"/>
        <w:rPr>
          <w:b/>
          <w:color w:val="auto"/>
          <w:highlight w:val="none"/>
        </w:rPr>
        <w:sectPr>
          <w:headerReference r:id="rId13" w:type="default"/>
          <w:footerReference r:id="rId14" w:type="default"/>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spacing w:line="276" w:lineRule="auto"/>
        <w:jc w:val="center"/>
        <w:outlineLvl w:val="1"/>
        <w:rPr>
          <w:b/>
          <w:color w:val="auto"/>
          <w:highlight w:val="none"/>
        </w:rPr>
      </w:pPr>
      <w:bookmarkStart w:id="114" w:name="_Toc15464"/>
      <w:r>
        <w:rPr>
          <w:rFonts w:hint="eastAsia"/>
          <w:b/>
          <w:color w:val="auto"/>
          <w:highlight w:val="none"/>
        </w:rPr>
        <w:t>附件三、</w:t>
      </w:r>
      <w:bookmarkEnd w:id="95"/>
      <w:bookmarkEnd w:id="96"/>
      <w:r>
        <w:rPr>
          <w:rFonts w:hint="eastAsia"/>
          <w:b/>
          <w:color w:val="auto"/>
          <w:highlight w:val="none"/>
        </w:rPr>
        <w:t>投标分项报价表</w:t>
      </w:r>
      <w:bookmarkEnd w:id="112"/>
      <w:bookmarkEnd w:id="113"/>
      <w:bookmarkEnd w:id="114"/>
    </w:p>
    <w:p>
      <w:pPr>
        <w:spacing w:line="276" w:lineRule="auto"/>
        <w:jc w:val="both"/>
        <w:rPr>
          <w:rFonts w:ascii="宋体"/>
          <w:b/>
          <w:color w:val="auto"/>
          <w:szCs w:val="24"/>
          <w:highlight w:val="none"/>
        </w:rPr>
      </w:pPr>
    </w:p>
    <w:p>
      <w:pPr>
        <w:pStyle w:val="23"/>
        <w:adjustRightInd w:val="0"/>
        <w:snapToGrid w:val="0"/>
        <w:spacing w:line="360" w:lineRule="auto"/>
        <w:rPr>
          <w:color w:val="auto"/>
          <w:highlight w:val="none"/>
          <w:u w:val="single"/>
        </w:rPr>
      </w:pPr>
      <w:r>
        <w:rPr>
          <w:rFonts w:hint="eastAsia"/>
          <w:color w:val="auto"/>
          <w:highlight w:val="none"/>
        </w:rPr>
        <w:t>招标编号：</w:t>
      </w:r>
    </w:p>
    <w:p>
      <w:pPr>
        <w:pStyle w:val="23"/>
        <w:snapToGrid w:val="0"/>
        <w:spacing w:line="360" w:lineRule="auto"/>
        <w:rPr>
          <w:rFonts w:hAnsi="宋体"/>
          <w:color w:val="auto"/>
          <w:highlight w:val="none"/>
        </w:rPr>
      </w:pPr>
      <w:r>
        <w:rPr>
          <w:rFonts w:hint="eastAsia"/>
          <w:color w:val="auto"/>
          <w:highlight w:val="none"/>
        </w:rPr>
        <w:t>项目名称：</w:t>
      </w:r>
    </w:p>
    <w:p>
      <w:pPr>
        <w:spacing w:line="240" w:lineRule="auto"/>
        <w:rPr>
          <w:rFonts w:ascii="宋体" w:hAnsi="宋体"/>
          <w:b/>
          <w:color w:val="auto"/>
          <w:sz w:val="21"/>
          <w:szCs w:val="21"/>
          <w:highlight w:val="none"/>
        </w:rPr>
      </w:pPr>
      <w:r>
        <w:rPr>
          <w:rFonts w:hint="eastAsia" w:ascii="宋体" w:hAnsi="宋体"/>
          <w:bCs/>
          <w:color w:val="auto"/>
          <w:sz w:val="21"/>
          <w:szCs w:val="21"/>
          <w:highlight w:val="none"/>
        </w:rPr>
        <w:t>标    项：</w:t>
      </w:r>
    </w:p>
    <w:tbl>
      <w:tblPr>
        <w:tblStyle w:val="40"/>
        <w:tblW w:w="96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709"/>
        <w:gridCol w:w="851"/>
        <w:gridCol w:w="1417"/>
        <w:gridCol w:w="1417"/>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701"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产品名称</w:t>
            </w:r>
          </w:p>
        </w:tc>
        <w:tc>
          <w:tcPr>
            <w:tcW w:w="1701" w:type="dxa"/>
            <w:vAlign w:val="center"/>
          </w:tcPr>
          <w:p>
            <w:pPr>
              <w:wordWrap w:val="0"/>
              <w:jc w:val="center"/>
              <w:rPr>
                <w:rFonts w:ascii="宋体" w:hAnsi="宋体" w:cs="宋体"/>
                <w:bCs/>
                <w:color w:val="auto"/>
                <w:spacing w:val="-6"/>
                <w:sz w:val="21"/>
                <w:szCs w:val="21"/>
                <w:highlight w:val="none"/>
                <w:lang w:val="zh-CN"/>
              </w:rPr>
            </w:pPr>
            <w:r>
              <w:rPr>
                <w:rFonts w:hint="eastAsia" w:ascii="宋体" w:hAnsi="宋体"/>
                <w:b/>
                <w:color w:val="auto"/>
                <w:sz w:val="21"/>
                <w:szCs w:val="21"/>
                <w:highlight w:val="none"/>
              </w:rPr>
              <w:t>规格、型号</w:t>
            </w:r>
          </w:p>
        </w:tc>
        <w:tc>
          <w:tcPr>
            <w:tcW w:w="709"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851"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417"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产地品牌</w:t>
            </w:r>
          </w:p>
        </w:tc>
        <w:tc>
          <w:tcPr>
            <w:tcW w:w="1417"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综合单价</w:t>
            </w:r>
          </w:p>
        </w:tc>
        <w:tc>
          <w:tcPr>
            <w:tcW w:w="992"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合价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一</w:t>
            </w:r>
          </w:p>
        </w:tc>
        <w:tc>
          <w:tcPr>
            <w:tcW w:w="1701" w:type="dxa"/>
            <w:vAlign w:val="center"/>
          </w:tcPr>
          <w:p>
            <w:pPr>
              <w:wordWrap w:val="0"/>
              <w:jc w:val="center"/>
              <w:rPr>
                <w:rFonts w:ascii="宋体" w:hAnsi="宋体"/>
                <w:b/>
                <w:color w:val="auto"/>
                <w:sz w:val="21"/>
                <w:szCs w:val="21"/>
                <w:highlight w:val="none"/>
              </w:rPr>
            </w:pPr>
          </w:p>
        </w:tc>
        <w:tc>
          <w:tcPr>
            <w:tcW w:w="1701" w:type="dxa"/>
            <w:vAlign w:val="center"/>
          </w:tcPr>
          <w:p>
            <w:pPr>
              <w:wordWrap w:val="0"/>
              <w:jc w:val="center"/>
              <w:rPr>
                <w:rFonts w:ascii="宋体" w:hAnsi="宋体"/>
                <w:b/>
                <w:color w:val="auto"/>
                <w:sz w:val="21"/>
                <w:szCs w:val="21"/>
                <w:highlight w:val="none"/>
              </w:rPr>
            </w:pPr>
          </w:p>
        </w:tc>
        <w:tc>
          <w:tcPr>
            <w:tcW w:w="709" w:type="dxa"/>
            <w:vAlign w:val="center"/>
          </w:tcPr>
          <w:p>
            <w:pPr>
              <w:wordWrap w:val="0"/>
              <w:jc w:val="center"/>
              <w:rPr>
                <w:rFonts w:ascii="宋体" w:hAnsi="宋体"/>
                <w:b/>
                <w:color w:val="auto"/>
                <w:sz w:val="21"/>
                <w:szCs w:val="21"/>
                <w:highlight w:val="none"/>
              </w:rPr>
            </w:pPr>
          </w:p>
        </w:tc>
        <w:tc>
          <w:tcPr>
            <w:tcW w:w="851" w:type="dxa"/>
            <w:vAlign w:val="center"/>
          </w:tcPr>
          <w:p>
            <w:pPr>
              <w:wordWrap w:val="0"/>
              <w:jc w:val="center"/>
              <w:rPr>
                <w:rFonts w:ascii="宋体" w:hAnsi="宋体"/>
                <w:b/>
                <w:color w:val="auto"/>
                <w:sz w:val="21"/>
                <w:szCs w:val="21"/>
                <w:highlight w:val="none"/>
              </w:rPr>
            </w:pPr>
          </w:p>
        </w:tc>
        <w:tc>
          <w:tcPr>
            <w:tcW w:w="1417" w:type="dxa"/>
            <w:vAlign w:val="center"/>
          </w:tcPr>
          <w:p>
            <w:pPr>
              <w:wordWrap w:val="0"/>
              <w:jc w:val="center"/>
              <w:rPr>
                <w:rFonts w:ascii="宋体" w:hAnsi="宋体"/>
                <w:b/>
                <w:color w:val="auto"/>
                <w:sz w:val="21"/>
                <w:szCs w:val="21"/>
                <w:highlight w:val="none"/>
              </w:rPr>
            </w:pPr>
          </w:p>
        </w:tc>
        <w:tc>
          <w:tcPr>
            <w:tcW w:w="1417" w:type="dxa"/>
            <w:vAlign w:val="center"/>
          </w:tcPr>
          <w:p>
            <w:pPr>
              <w:wordWrap w:val="0"/>
              <w:jc w:val="center"/>
              <w:rPr>
                <w:rFonts w:ascii="宋体" w:hAnsi="宋体"/>
                <w:b/>
                <w:color w:val="auto"/>
                <w:sz w:val="21"/>
                <w:szCs w:val="21"/>
                <w:highlight w:val="none"/>
              </w:rPr>
            </w:pPr>
          </w:p>
        </w:tc>
        <w:tc>
          <w:tcPr>
            <w:tcW w:w="992" w:type="dxa"/>
            <w:vAlign w:val="center"/>
          </w:tcPr>
          <w:p>
            <w:pPr>
              <w:wordWrap w:val="0"/>
              <w:jc w:val="center"/>
              <w:rPr>
                <w:rFonts w:ascii="宋体" w:hAnsi="宋体"/>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ascii="宋体" w:hAnsi="宋体" w:cs="宋体"/>
                <w:bCs/>
                <w:color w:val="auto"/>
                <w:spacing w:val="-6"/>
                <w:sz w:val="21"/>
                <w:szCs w:val="21"/>
                <w:highlight w:val="none"/>
                <w:lang w:val="zh-CN"/>
              </w:rPr>
              <w:t>1</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ascii="宋体" w:hAnsi="宋体" w:cs="宋体"/>
                <w:bCs/>
                <w:color w:val="auto"/>
                <w:spacing w:val="-6"/>
                <w:sz w:val="21"/>
                <w:szCs w:val="21"/>
                <w:highlight w:val="none"/>
                <w:lang w:val="zh-CN"/>
              </w:rPr>
              <w:t>2</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ascii="宋体" w:hAnsi="宋体" w:cs="宋体"/>
                <w:bCs/>
                <w:color w:val="auto"/>
                <w:spacing w:val="-6"/>
                <w:sz w:val="21"/>
                <w:szCs w:val="21"/>
                <w:highlight w:val="none"/>
                <w:lang w:val="zh-CN"/>
              </w:rPr>
              <w:t>3</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ascii="宋体" w:hAnsi="宋体" w:cs="宋体"/>
                <w:bCs/>
                <w:color w:val="auto"/>
                <w:spacing w:val="-6"/>
                <w:sz w:val="21"/>
                <w:szCs w:val="21"/>
                <w:highlight w:val="none"/>
                <w:lang w:val="zh-CN"/>
              </w:rPr>
              <w:t>…</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hint="eastAsia" w:ascii="宋体" w:hAnsi="宋体" w:cs="宋体"/>
                <w:bCs/>
                <w:color w:val="auto"/>
                <w:spacing w:val="-6"/>
                <w:sz w:val="21"/>
                <w:szCs w:val="21"/>
                <w:highlight w:val="none"/>
                <w:lang w:val="zh-CN"/>
              </w:rPr>
              <w:t>二</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ascii="宋体" w:hAnsi="宋体" w:cs="宋体"/>
                <w:bCs/>
                <w:color w:val="auto"/>
                <w:spacing w:val="-6"/>
                <w:sz w:val="21"/>
                <w:szCs w:val="21"/>
                <w:highlight w:val="none"/>
                <w:lang w:val="zh-CN"/>
              </w:rPr>
              <w:t>1</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ascii="宋体" w:hAnsi="宋体" w:cs="宋体"/>
                <w:bCs/>
                <w:color w:val="auto"/>
                <w:spacing w:val="-6"/>
                <w:sz w:val="21"/>
                <w:szCs w:val="21"/>
                <w:highlight w:val="none"/>
                <w:lang w:val="zh-CN"/>
              </w:rPr>
              <w:t>2</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ascii="宋体" w:hAnsi="宋体" w:cs="宋体"/>
                <w:bCs/>
                <w:color w:val="auto"/>
                <w:spacing w:val="-6"/>
                <w:sz w:val="21"/>
                <w:szCs w:val="21"/>
                <w:highlight w:val="none"/>
                <w:lang w:val="zh-CN"/>
              </w:rPr>
              <w:t>3</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r>
              <w:rPr>
                <w:rFonts w:ascii="宋体" w:hAnsi="宋体" w:cs="宋体"/>
                <w:bCs/>
                <w:color w:val="auto"/>
                <w:spacing w:val="-6"/>
                <w:sz w:val="21"/>
                <w:szCs w:val="21"/>
                <w:highlight w:val="none"/>
                <w:lang w:val="zh-CN"/>
              </w:rPr>
              <w:t>…</w:t>
            </w: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8"/>
            <w:vAlign w:val="center"/>
          </w:tcPr>
          <w:p>
            <w:pPr>
              <w:widowControl/>
              <w:wordWrap w:val="0"/>
              <w:spacing w:line="360" w:lineRule="auto"/>
              <w:textAlignment w:val="center"/>
              <w:rPr>
                <w:rFonts w:ascii="宋体" w:hAnsi="宋体" w:cs="宋体"/>
                <w:bCs/>
                <w:color w:val="auto"/>
                <w:spacing w:val="-6"/>
                <w:sz w:val="21"/>
                <w:szCs w:val="21"/>
                <w:highlight w:val="none"/>
                <w:lang w:val="zh-CN"/>
              </w:rPr>
            </w:pPr>
            <w:r>
              <w:rPr>
                <w:rFonts w:hint="eastAsia" w:ascii="宋体" w:hAnsi="宋体"/>
                <w:color w:val="auto"/>
                <w:sz w:val="21"/>
                <w:szCs w:val="21"/>
                <w:highlight w:val="none"/>
              </w:rPr>
              <w:t>投标总价（大写</w:t>
            </w:r>
            <w:r>
              <w:rPr>
                <w:rFonts w:ascii="宋体" w:hAnsi="宋体"/>
                <w:color w:val="auto"/>
                <w:sz w:val="21"/>
                <w:szCs w:val="21"/>
                <w:highlight w:val="none"/>
              </w:rPr>
              <w:t xml:space="preserve"> </w:t>
            </w:r>
            <w:r>
              <w:rPr>
                <w:rFonts w:hint="eastAsia" w:ascii="宋体" w:hAnsi="宋体"/>
                <w:color w:val="auto"/>
                <w:sz w:val="21"/>
                <w:szCs w:val="21"/>
                <w:highlight w:val="none"/>
              </w:rPr>
              <w:t>人民币</w:t>
            </w:r>
            <w:r>
              <w:rPr>
                <w:rFonts w:ascii="宋体" w:hAnsi="宋体"/>
                <w:color w:val="auto"/>
                <w:sz w:val="21"/>
                <w:szCs w:val="21"/>
                <w:highlight w:val="none"/>
              </w:rPr>
              <w:t xml:space="preserve">          </w:t>
            </w:r>
            <w:r>
              <w:rPr>
                <w:rFonts w:hint="eastAsia" w:ascii="宋体" w:hAnsi="宋体"/>
                <w:color w:val="auto"/>
                <w:sz w:val="21"/>
                <w:szCs w:val="21"/>
                <w:highlight w:val="none"/>
              </w:rPr>
              <w:t>元</w:t>
            </w:r>
            <w:r>
              <w:rPr>
                <w:rFonts w:ascii="宋体" w:hAnsi="宋体"/>
                <w:color w:val="auto"/>
                <w:sz w:val="21"/>
                <w:szCs w:val="21"/>
                <w:highlight w:val="none"/>
              </w:rPr>
              <w:t>，</w:t>
            </w:r>
            <w:r>
              <w:rPr>
                <w:rFonts w:hint="eastAsia" w:ascii="宋体" w:hAnsi="宋体"/>
                <w:color w:val="auto"/>
                <w:sz w:val="21"/>
                <w:szCs w:val="21"/>
                <w:highlight w:val="none"/>
              </w:rPr>
              <w:t>小写：人民币</w:t>
            </w:r>
            <w:r>
              <w:rPr>
                <w:rFonts w:ascii="宋体" w:hAnsi="宋体"/>
                <w:color w:val="auto"/>
                <w:sz w:val="21"/>
                <w:szCs w:val="21"/>
                <w:highlight w:val="none"/>
              </w:rPr>
              <w:t xml:space="preserve">        </w:t>
            </w:r>
            <w:r>
              <w:rPr>
                <w:rFonts w:hint="eastAsia" w:ascii="宋体" w:hAnsi="宋体"/>
                <w:color w:val="auto"/>
                <w:sz w:val="21"/>
                <w:szCs w:val="21"/>
                <w:highlight w:val="none"/>
              </w:rPr>
              <w:t>元）：</w:t>
            </w:r>
          </w:p>
        </w:tc>
      </w:tr>
    </w:tbl>
    <w:p>
      <w:pPr>
        <w:spacing w:line="240" w:lineRule="auto"/>
        <w:rPr>
          <w:rFonts w:ascii="宋体" w:hAnsi="宋体"/>
          <w:b/>
          <w:color w:val="auto"/>
          <w:sz w:val="21"/>
          <w:szCs w:val="21"/>
          <w:highlight w:val="none"/>
        </w:rPr>
      </w:pPr>
    </w:p>
    <w:p>
      <w:pPr>
        <w:snapToGrid w:val="0"/>
        <w:spacing w:line="360" w:lineRule="auto"/>
        <w:rPr>
          <w:rFonts w:hAnsi="宋体"/>
          <w:color w:val="auto"/>
          <w:sz w:val="21"/>
          <w:szCs w:val="21"/>
          <w:highlight w:val="none"/>
        </w:rPr>
      </w:pPr>
    </w:p>
    <w:p>
      <w:pPr>
        <w:snapToGrid w:val="0"/>
        <w:spacing w:line="360" w:lineRule="auto"/>
        <w:rPr>
          <w:rFonts w:ascii="宋体" w:hAnsi="宋体"/>
          <w:color w:val="auto"/>
          <w:sz w:val="21"/>
          <w:szCs w:val="21"/>
          <w:highlight w:val="none"/>
        </w:rPr>
      </w:pP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投 标 人：(盖章) </w:t>
      </w: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授权代表：(签字)</w:t>
      </w:r>
    </w:p>
    <w:p>
      <w:pPr>
        <w:spacing w:line="276" w:lineRule="auto"/>
        <w:rPr>
          <w:rFonts w:ascii="宋体"/>
          <w:color w:val="auto"/>
          <w:szCs w:val="24"/>
          <w:highlight w:val="none"/>
        </w:rPr>
      </w:pPr>
    </w:p>
    <w:p>
      <w:pPr>
        <w:spacing w:line="276" w:lineRule="auto"/>
        <w:rPr>
          <w:color w:val="auto"/>
          <w:highlight w:val="none"/>
        </w:rPr>
      </w:pPr>
      <w:r>
        <w:rPr>
          <w:b/>
          <w:color w:val="auto"/>
          <w:highlight w:val="none"/>
        </w:rPr>
        <w:br w:type="page"/>
      </w:r>
    </w:p>
    <w:p>
      <w:pPr>
        <w:spacing w:line="480" w:lineRule="exact"/>
        <w:jc w:val="center"/>
        <w:rPr>
          <w:b/>
          <w:color w:val="auto"/>
          <w:sz w:val="30"/>
          <w:highlight w:val="none"/>
        </w:rPr>
      </w:pPr>
      <w:bookmarkStart w:id="115" w:name="_Toc389139112"/>
      <w:bookmarkStart w:id="116" w:name="_Toc387317150"/>
      <w:bookmarkStart w:id="117" w:name="_Toc241827257"/>
      <w:bookmarkStart w:id="118" w:name="_Toc86202651"/>
      <w:r>
        <w:rPr>
          <w:rFonts w:hint="eastAsia"/>
          <w:b/>
          <w:color w:val="auto"/>
          <w:highlight w:val="none"/>
        </w:rPr>
        <w:t>附件四、</w:t>
      </w:r>
      <w:r>
        <w:rPr>
          <w:rFonts w:hint="eastAsia"/>
          <w:b/>
          <w:color w:val="auto"/>
          <w:sz w:val="30"/>
          <w:highlight w:val="none"/>
        </w:rPr>
        <w:t>法定代表人身份证明书</w:t>
      </w:r>
    </w:p>
    <w:p>
      <w:pPr>
        <w:spacing w:line="480" w:lineRule="exact"/>
        <w:jc w:val="center"/>
        <w:rPr>
          <w:b/>
          <w:color w:val="auto"/>
          <w:sz w:val="28"/>
          <w:highlight w:val="none"/>
        </w:rPr>
      </w:pPr>
    </w:p>
    <w:p>
      <w:pPr>
        <w:spacing w:line="960" w:lineRule="exact"/>
        <w:rPr>
          <w:color w:val="auto"/>
          <w:sz w:val="21"/>
          <w:szCs w:val="21"/>
          <w:highlight w:val="none"/>
          <w:u w:val="single"/>
        </w:rPr>
      </w:pPr>
      <w:r>
        <w:rPr>
          <w:rFonts w:hint="eastAsia"/>
          <w:color w:val="auto"/>
          <w:sz w:val="21"/>
          <w:szCs w:val="21"/>
          <w:highlight w:val="none"/>
        </w:rPr>
        <w:t>单位名称：</w:t>
      </w:r>
    </w:p>
    <w:p>
      <w:pPr>
        <w:spacing w:line="960" w:lineRule="exact"/>
        <w:rPr>
          <w:color w:val="auto"/>
          <w:sz w:val="21"/>
          <w:szCs w:val="21"/>
          <w:highlight w:val="none"/>
          <w:u w:val="single"/>
        </w:rPr>
      </w:pPr>
      <w:r>
        <w:rPr>
          <w:rFonts w:hint="eastAsia"/>
          <w:color w:val="auto"/>
          <w:sz w:val="21"/>
          <w:szCs w:val="21"/>
          <w:highlight w:val="none"/>
        </w:rPr>
        <w:t>单位性质：</w:t>
      </w:r>
    </w:p>
    <w:p>
      <w:pPr>
        <w:spacing w:line="960" w:lineRule="exact"/>
        <w:rPr>
          <w:color w:val="auto"/>
          <w:sz w:val="21"/>
          <w:szCs w:val="21"/>
          <w:highlight w:val="none"/>
          <w:u w:val="single"/>
        </w:rPr>
      </w:pPr>
      <w:r>
        <w:rPr>
          <w:rFonts w:hint="eastAsia"/>
          <w:color w:val="auto"/>
          <w:sz w:val="21"/>
          <w:szCs w:val="21"/>
          <w:highlight w:val="none"/>
        </w:rPr>
        <w:t>地    址：</w:t>
      </w:r>
    </w:p>
    <w:p>
      <w:pPr>
        <w:spacing w:line="960" w:lineRule="exact"/>
        <w:rPr>
          <w:color w:val="auto"/>
          <w:sz w:val="21"/>
          <w:szCs w:val="21"/>
          <w:highlight w:val="none"/>
        </w:rPr>
      </w:pPr>
      <w:r>
        <w:rPr>
          <w:rFonts w:hint="eastAsia"/>
          <w:color w:val="auto"/>
          <w:sz w:val="21"/>
          <w:szCs w:val="21"/>
          <w:highlight w:val="none"/>
        </w:rPr>
        <w:t>成立时间：年月日</w:t>
      </w:r>
    </w:p>
    <w:p>
      <w:pPr>
        <w:spacing w:line="960" w:lineRule="exact"/>
        <w:rPr>
          <w:color w:val="auto"/>
          <w:sz w:val="21"/>
          <w:szCs w:val="21"/>
          <w:highlight w:val="none"/>
          <w:u w:val="single"/>
        </w:rPr>
      </w:pPr>
      <w:r>
        <w:rPr>
          <w:rFonts w:hint="eastAsia"/>
          <w:color w:val="auto"/>
          <w:sz w:val="21"/>
          <w:szCs w:val="21"/>
          <w:highlight w:val="none"/>
        </w:rPr>
        <w:t>经营期限：</w:t>
      </w:r>
    </w:p>
    <w:p>
      <w:pPr>
        <w:spacing w:line="960" w:lineRule="exact"/>
        <w:rPr>
          <w:color w:val="auto"/>
          <w:sz w:val="21"/>
          <w:szCs w:val="21"/>
          <w:highlight w:val="none"/>
          <w:u w:val="single"/>
        </w:rPr>
      </w:pPr>
      <w:r>
        <w:rPr>
          <w:rFonts w:hint="eastAsia"/>
          <w:color w:val="auto"/>
          <w:sz w:val="21"/>
          <w:szCs w:val="21"/>
          <w:highlight w:val="none"/>
        </w:rPr>
        <w:t>姓    名：  性别： 年龄： 职务：</w:t>
      </w:r>
    </w:p>
    <w:p>
      <w:pPr>
        <w:spacing w:line="960" w:lineRule="exact"/>
        <w:rPr>
          <w:color w:val="auto"/>
          <w:sz w:val="21"/>
          <w:szCs w:val="21"/>
          <w:highlight w:val="none"/>
        </w:rPr>
      </w:pPr>
      <w:r>
        <w:rPr>
          <w:rFonts w:hint="eastAsia"/>
          <w:color w:val="auto"/>
          <w:sz w:val="21"/>
          <w:szCs w:val="21"/>
          <w:highlight w:val="none"/>
        </w:rPr>
        <w:t xml:space="preserve">系 </w:t>
      </w:r>
      <w:r>
        <w:rPr>
          <w:rFonts w:hint="eastAsia"/>
          <w:color w:val="auto"/>
          <w:sz w:val="21"/>
          <w:szCs w:val="21"/>
          <w:highlight w:val="none"/>
          <w:u w:val="single"/>
        </w:rPr>
        <w:t xml:space="preserve">           (投标人名称)                     </w:t>
      </w:r>
      <w:r>
        <w:rPr>
          <w:rFonts w:hint="eastAsia"/>
          <w:color w:val="auto"/>
          <w:sz w:val="21"/>
          <w:szCs w:val="21"/>
          <w:highlight w:val="none"/>
        </w:rPr>
        <w:t>的法定代表人。</w:t>
      </w:r>
    </w:p>
    <w:p>
      <w:pPr>
        <w:spacing w:line="960" w:lineRule="exact"/>
        <w:rPr>
          <w:color w:val="auto"/>
          <w:sz w:val="21"/>
          <w:szCs w:val="21"/>
          <w:highlight w:val="none"/>
        </w:rPr>
      </w:pPr>
      <w:r>
        <w:rPr>
          <w:rFonts w:hint="eastAsia"/>
          <w:color w:val="auto"/>
          <w:sz w:val="21"/>
          <w:szCs w:val="21"/>
          <w:highlight w:val="none"/>
        </w:rPr>
        <w:t>特此证明。</w:t>
      </w:r>
    </w:p>
    <w:p>
      <w:pPr>
        <w:spacing w:line="960" w:lineRule="exact"/>
        <w:rPr>
          <w:color w:val="auto"/>
          <w:sz w:val="21"/>
          <w:szCs w:val="21"/>
          <w:highlight w:val="none"/>
          <w:u w:val="single"/>
        </w:rPr>
      </w:pPr>
      <w:r>
        <w:rPr>
          <w:rFonts w:hint="eastAsia"/>
          <w:color w:val="auto"/>
          <w:sz w:val="21"/>
          <w:szCs w:val="21"/>
          <w:highlight w:val="none"/>
        </w:rPr>
        <w:t xml:space="preserve">                               投标人：</w:t>
      </w:r>
      <w:r>
        <w:rPr>
          <w:rFonts w:hint="eastAsia"/>
          <w:color w:val="auto"/>
          <w:sz w:val="21"/>
          <w:szCs w:val="21"/>
          <w:highlight w:val="none"/>
          <w:u w:val="single"/>
        </w:rPr>
        <w:t xml:space="preserve">               (盖章)             </w:t>
      </w:r>
    </w:p>
    <w:p>
      <w:pPr>
        <w:spacing w:line="960" w:lineRule="exact"/>
        <w:rPr>
          <w:color w:val="auto"/>
          <w:sz w:val="21"/>
          <w:szCs w:val="21"/>
          <w:highlight w:val="none"/>
        </w:rPr>
      </w:pPr>
      <w:r>
        <w:rPr>
          <w:rFonts w:hint="eastAsia"/>
          <w:color w:val="auto"/>
          <w:sz w:val="21"/>
          <w:szCs w:val="21"/>
          <w:highlight w:val="none"/>
        </w:rPr>
        <w:t xml:space="preserve">                               日  期：年月日</w:t>
      </w:r>
    </w:p>
    <w:p>
      <w:pPr>
        <w:rPr>
          <w:color w:val="auto"/>
          <w:sz w:val="21"/>
          <w:szCs w:val="21"/>
          <w:highlight w:val="none"/>
        </w:rPr>
      </w:pPr>
    </w:p>
    <w:p>
      <w:pPr>
        <w:rPr>
          <w:color w:val="auto"/>
          <w:sz w:val="21"/>
          <w:szCs w:val="21"/>
          <w:highlight w:val="none"/>
        </w:rPr>
      </w:pPr>
    </w:p>
    <w:p>
      <w:pPr>
        <w:spacing w:line="276" w:lineRule="auto"/>
        <w:ind w:firstLine="1054" w:firstLineChars="500"/>
        <w:jc w:val="center"/>
        <w:outlineLvl w:val="1"/>
        <w:rPr>
          <w:b/>
          <w:color w:val="auto"/>
          <w:highlight w:val="none"/>
        </w:rPr>
      </w:pPr>
      <w:bookmarkStart w:id="119" w:name="_Toc6871"/>
      <w:r>
        <w:rPr>
          <w:rFonts w:hint="eastAsia" w:ascii="宋体" w:hAnsi="宋体"/>
          <w:b/>
          <w:color w:val="auto"/>
          <w:sz w:val="21"/>
          <w:szCs w:val="21"/>
          <w:highlight w:val="none"/>
          <w:u w:val="single"/>
        </w:rPr>
        <w:t>附：法定代表人身份证复印件。</w:t>
      </w:r>
      <w:r>
        <w:rPr>
          <w:b/>
          <w:color w:val="auto"/>
          <w:highlight w:val="none"/>
        </w:rPr>
        <w:br w:type="page"/>
      </w:r>
      <w:r>
        <w:rPr>
          <w:rFonts w:hint="eastAsia"/>
          <w:b/>
          <w:color w:val="auto"/>
          <w:highlight w:val="none"/>
        </w:rPr>
        <w:t>法定代表人授权委托书</w:t>
      </w:r>
      <w:bookmarkEnd w:id="115"/>
      <w:bookmarkEnd w:id="116"/>
      <w:bookmarkEnd w:id="117"/>
      <w:bookmarkEnd w:id="119"/>
    </w:p>
    <w:p>
      <w:pPr>
        <w:spacing w:line="276" w:lineRule="auto"/>
        <w:rPr>
          <w:rFonts w:ascii="宋体"/>
          <w:color w:val="auto"/>
          <w:szCs w:val="24"/>
          <w:highlight w:val="none"/>
          <w:u w:val="single"/>
        </w:rPr>
      </w:pPr>
    </w:p>
    <w:p>
      <w:pPr>
        <w:spacing w:line="276" w:lineRule="auto"/>
        <w:rPr>
          <w:rFonts w:ascii="宋体"/>
          <w:color w:val="auto"/>
          <w:szCs w:val="24"/>
          <w:highlight w:val="none"/>
          <w:u w:val="single"/>
        </w:rPr>
      </w:pPr>
    </w:p>
    <w:p>
      <w:pPr>
        <w:spacing w:line="360" w:lineRule="auto"/>
        <w:rPr>
          <w:rFonts w:ascii="宋体"/>
          <w:color w:val="auto"/>
          <w:sz w:val="21"/>
          <w:szCs w:val="21"/>
          <w:highlight w:val="none"/>
        </w:rPr>
      </w:pPr>
      <w:r>
        <w:rPr>
          <w:rFonts w:hint="eastAsia" w:ascii="宋体"/>
          <w:color w:val="auto"/>
          <w:sz w:val="21"/>
          <w:szCs w:val="21"/>
          <w:highlight w:val="none"/>
          <w:u w:val="single"/>
        </w:rPr>
        <w:t>（招标人）名称</w:t>
      </w:r>
      <w:r>
        <w:rPr>
          <w:rFonts w:hint="eastAsia" w:ascii="宋体"/>
          <w:color w:val="auto"/>
          <w:sz w:val="21"/>
          <w:szCs w:val="21"/>
          <w:highlight w:val="none"/>
        </w:rPr>
        <w:t>：</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本授权书声明：注册于（投标人住址）的（投标人名称）法定代表人（法定代表人姓名、职务）代表本公司授权在下面签字的（投标人代表姓名、职务）为本公司的合法代理人，就贵方组织的项目，招标编号：，以本公司名义处理一切与之有关的事务。</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本授权书于年月日签字生效，特此声明。</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 xml:space="preserve">法定代表人姓名（印刷体）：签字（或盖人名章）： </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 xml:space="preserve">投标人代表姓名（印刷体）：签字： </w:t>
      </w:r>
    </w:p>
    <w:p>
      <w:pPr>
        <w:spacing w:line="360" w:lineRule="auto"/>
        <w:rPr>
          <w:rFonts w:ascii="宋体"/>
          <w:color w:val="auto"/>
          <w:sz w:val="21"/>
          <w:szCs w:val="21"/>
          <w:highlight w:val="none"/>
        </w:rPr>
      </w:pPr>
      <w:r>
        <w:rPr>
          <w:rFonts w:hint="eastAsia" w:ascii="宋体"/>
          <w:color w:val="auto"/>
          <w:sz w:val="21"/>
          <w:szCs w:val="21"/>
          <w:highlight w:val="none"/>
        </w:rPr>
        <w:tab/>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投标人全称并加盖投标人公章：</w:t>
      </w:r>
    </w:p>
    <w:p>
      <w:pPr>
        <w:snapToGrid w:val="0"/>
        <w:ind w:firstLine="527" w:firstLineChars="250"/>
        <w:rPr>
          <w:rFonts w:ascii="宋体" w:hAnsi="宋体"/>
          <w:b/>
          <w:color w:val="auto"/>
          <w:sz w:val="21"/>
          <w:szCs w:val="21"/>
          <w:highlight w:val="none"/>
          <w:u w:val="single"/>
        </w:rPr>
      </w:pPr>
      <w:r>
        <w:rPr>
          <w:rFonts w:hint="eastAsia" w:ascii="宋体" w:hAnsi="宋体"/>
          <w:b/>
          <w:color w:val="auto"/>
          <w:sz w:val="21"/>
          <w:szCs w:val="21"/>
          <w:highlight w:val="none"/>
          <w:u w:val="single"/>
        </w:rPr>
        <w:t>附：被授权人身份证复印件。</w:t>
      </w:r>
    </w:p>
    <w:p>
      <w:pPr>
        <w:snapToGrid w:val="0"/>
        <w:spacing w:line="400" w:lineRule="exact"/>
        <w:rPr>
          <w:rFonts w:ascii="宋体" w:hAnsi="宋体" w:cs="宋体"/>
          <w:color w:val="auto"/>
          <w:sz w:val="21"/>
          <w:szCs w:val="21"/>
          <w:highlight w:val="none"/>
        </w:rPr>
      </w:pPr>
    </w:p>
    <w:p>
      <w:pPr>
        <w:pStyle w:val="18"/>
        <w:spacing w:line="300" w:lineRule="auto"/>
        <w:ind w:left="0" w:leftChars="0"/>
        <w:rPr>
          <w:b/>
          <w:color w:val="auto"/>
          <w:sz w:val="21"/>
          <w:highlight w:val="none"/>
        </w:rPr>
      </w:pPr>
      <w:r>
        <w:rPr>
          <w:rFonts w:hint="eastAsia"/>
          <w:b/>
          <w:color w:val="auto"/>
          <w:sz w:val="21"/>
          <w:highlight w:val="none"/>
        </w:rPr>
        <w:t>注:</w:t>
      </w:r>
      <w:r>
        <w:rPr>
          <w:rFonts w:hAnsi="Courier New"/>
          <w:b/>
          <w:color w:val="auto"/>
          <w:spacing w:val="-4"/>
          <w:sz w:val="21"/>
          <w:highlight w:val="none"/>
        </w:rPr>
        <w:t>如果投标人的法定代表人亲自签署投标文件，则不需提交</w:t>
      </w:r>
      <w:r>
        <w:rPr>
          <w:rFonts w:hint="eastAsia" w:hAnsi="Courier New"/>
          <w:b/>
          <w:color w:val="auto"/>
          <w:spacing w:val="-4"/>
          <w:sz w:val="21"/>
          <w:highlight w:val="none"/>
        </w:rPr>
        <w:t>此</w:t>
      </w:r>
      <w:r>
        <w:rPr>
          <w:rFonts w:hAnsi="Courier New"/>
          <w:b/>
          <w:color w:val="auto"/>
          <w:spacing w:val="-4"/>
          <w:sz w:val="21"/>
          <w:highlight w:val="none"/>
        </w:rPr>
        <w:t>授权书。</w:t>
      </w:r>
    </w:p>
    <w:p>
      <w:pPr>
        <w:spacing w:line="360" w:lineRule="auto"/>
        <w:ind w:firstLine="420" w:firstLineChars="200"/>
        <w:rPr>
          <w:rFonts w:ascii="宋体"/>
          <w:color w:val="auto"/>
          <w:sz w:val="21"/>
          <w:szCs w:val="21"/>
          <w:highlight w:val="none"/>
        </w:rPr>
      </w:pPr>
    </w:p>
    <w:p>
      <w:pPr>
        <w:spacing w:line="276" w:lineRule="auto"/>
        <w:ind w:firstLine="480" w:firstLineChars="200"/>
        <w:rPr>
          <w:rFonts w:ascii="宋体"/>
          <w:color w:val="auto"/>
          <w:szCs w:val="24"/>
          <w:highlight w:val="none"/>
        </w:rPr>
      </w:pPr>
    </w:p>
    <w:p>
      <w:pPr>
        <w:spacing w:line="276" w:lineRule="auto"/>
        <w:ind w:firstLine="480" w:firstLineChars="200"/>
        <w:rPr>
          <w:rFonts w:ascii="宋体"/>
          <w:color w:val="auto"/>
          <w:szCs w:val="24"/>
          <w:highlight w:val="none"/>
        </w:rPr>
        <w:sectPr>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bookmarkEnd w:id="118"/>
    <w:p>
      <w:pPr>
        <w:spacing w:line="276" w:lineRule="auto"/>
        <w:jc w:val="center"/>
        <w:outlineLvl w:val="1"/>
        <w:rPr>
          <w:b/>
          <w:color w:val="auto"/>
          <w:highlight w:val="none"/>
        </w:rPr>
      </w:pPr>
      <w:bookmarkStart w:id="120" w:name="_Toc241827260"/>
      <w:bookmarkStart w:id="121" w:name="_Toc389139113"/>
      <w:bookmarkStart w:id="122" w:name="_Toc387317151"/>
      <w:bookmarkStart w:id="123" w:name="_Toc16368"/>
      <w:bookmarkStart w:id="124" w:name="_Toc86202636"/>
      <w:r>
        <w:rPr>
          <w:rFonts w:hint="eastAsia"/>
          <w:b/>
          <w:color w:val="auto"/>
          <w:highlight w:val="none"/>
        </w:rPr>
        <w:t>附件五、</w:t>
      </w:r>
      <w:bookmarkEnd w:id="120"/>
      <w:r>
        <w:rPr>
          <w:rFonts w:hint="eastAsia"/>
          <w:b/>
          <w:color w:val="auto"/>
          <w:highlight w:val="none"/>
        </w:rPr>
        <w:t>技术应答（偏离）表</w:t>
      </w:r>
      <w:bookmarkEnd w:id="121"/>
      <w:bookmarkEnd w:id="122"/>
      <w:bookmarkEnd w:id="123"/>
    </w:p>
    <w:tbl>
      <w:tblPr>
        <w:tblStyle w:val="40"/>
        <w:tblW w:w="884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04"/>
        <w:gridCol w:w="2268"/>
        <w:gridCol w:w="2410"/>
        <w:gridCol w:w="1966"/>
        <w:gridCol w:w="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center"/>
          </w:tcPr>
          <w:p>
            <w:pPr>
              <w:spacing w:before="120" w:line="360" w:lineRule="auto"/>
              <w:jc w:val="center"/>
              <w:rPr>
                <w:rFonts w:ascii="宋体"/>
                <w:color w:val="auto"/>
                <w:sz w:val="21"/>
                <w:szCs w:val="21"/>
                <w:highlight w:val="none"/>
              </w:rPr>
            </w:pPr>
            <w:r>
              <w:rPr>
                <w:rFonts w:hint="eastAsia" w:ascii="宋体"/>
                <w:color w:val="auto"/>
                <w:sz w:val="21"/>
                <w:szCs w:val="21"/>
                <w:highlight w:val="none"/>
              </w:rPr>
              <w:t>序号</w:t>
            </w:r>
          </w:p>
        </w:tc>
        <w:tc>
          <w:tcPr>
            <w:tcW w:w="2268"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招标文件</w:t>
            </w:r>
          </w:p>
          <w:p>
            <w:pPr>
              <w:spacing w:line="360" w:lineRule="auto"/>
              <w:jc w:val="center"/>
              <w:rPr>
                <w:rFonts w:ascii="宋体"/>
                <w:color w:val="auto"/>
                <w:sz w:val="21"/>
                <w:szCs w:val="21"/>
                <w:highlight w:val="none"/>
              </w:rPr>
            </w:pPr>
            <w:r>
              <w:rPr>
                <w:rFonts w:hint="eastAsia" w:ascii="宋体"/>
                <w:color w:val="auto"/>
                <w:sz w:val="21"/>
                <w:szCs w:val="21"/>
                <w:highlight w:val="none"/>
              </w:rPr>
              <w:t>技术要求</w:t>
            </w:r>
          </w:p>
        </w:tc>
        <w:tc>
          <w:tcPr>
            <w:tcW w:w="2410"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对应技术应答</w:t>
            </w:r>
          </w:p>
        </w:tc>
        <w:tc>
          <w:tcPr>
            <w:tcW w:w="1966" w:type="dxa"/>
            <w:vAlign w:val="center"/>
          </w:tcPr>
          <w:p>
            <w:pPr>
              <w:spacing w:before="120" w:line="360" w:lineRule="auto"/>
              <w:jc w:val="center"/>
              <w:rPr>
                <w:rFonts w:ascii="宋体"/>
                <w:color w:val="auto"/>
                <w:sz w:val="21"/>
                <w:szCs w:val="21"/>
                <w:highlight w:val="none"/>
              </w:rPr>
            </w:pPr>
            <w:r>
              <w:rPr>
                <w:rFonts w:hint="eastAsia" w:ascii="宋体"/>
                <w:color w:val="auto"/>
                <w:sz w:val="21"/>
                <w:szCs w:val="21"/>
                <w:highlight w:val="none"/>
              </w:rPr>
              <w:t>偏差</w:t>
            </w:r>
          </w:p>
        </w:tc>
        <w:tc>
          <w:tcPr>
            <w:tcW w:w="895" w:type="dxa"/>
            <w:vAlign w:val="center"/>
          </w:tcPr>
          <w:p>
            <w:pPr>
              <w:spacing w:before="120" w:line="360" w:lineRule="auto"/>
              <w:jc w:val="center"/>
              <w:rPr>
                <w:rFonts w:ascii="宋体"/>
                <w:color w:val="auto"/>
                <w:sz w:val="21"/>
                <w:szCs w:val="21"/>
                <w:highlight w:val="none"/>
              </w:rPr>
            </w:pPr>
            <w:r>
              <w:rPr>
                <w:rFonts w:hint="eastAsia" w:ascii="宋体"/>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rPr>
                <w:rFonts w:ascii="宋体"/>
                <w:color w:val="auto"/>
                <w:sz w:val="21"/>
                <w:szCs w:val="21"/>
                <w:highlight w:val="none"/>
              </w:rPr>
            </w:pPr>
          </w:p>
        </w:tc>
        <w:tc>
          <w:tcPr>
            <w:tcW w:w="2268" w:type="dxa"/>
          </w:tcPr>
          <w:p>
            <w:pPr>
              <w:spacing w:line="360" w:lineRule="auto"/>
              <w:ind w:left="58" w:leftChars="24" w:right="62" w:rightChars="26"/>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ind w:firstLine="420" w:firstLineChars="200"/>
              <w:rPr>
                <w:rFonts w:ascii="宋体"/>
                <w:color w:val="auto"/>
                <w:sz w:val="21"/>
                <w:szCs w:val="21"/>
                <w:highlight w:val="none"/>
              </w:rPr>
            </w:pPr>
          </w:p>
        </w:tc>
        <w:tc>
          <w:tcPr>
            <w:tcW w:w="2268" w:type="dxa"/>
          </w:tcPr>
          <w:p>
            <w:pPr>
              <w:spacing w:line="360" w:lineRule="auto"/>
              <w:ind w:left="58" w:leftChars="24" w:right="62" w:rightChars="26"/>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ind w:firstLine="420" w:firstLineChars="200"/>
              <w:rPr>
                <w:rFonts w:ascii="宋体"/>
                <w:color w:val="auto"/>
                <w:sz w:val="21"/>
                <w:szCs w:val="21"/>
                <w:highlight w:val="none"/>
              </w:rPr>
            </w:pPr>
          </w:p>
        </w:tc>
        <w:tc>
          <w:tcPr>
            <w:tcW w:w="2268" w:type="dxa"/>
          </w:tcPr>
          <w:p>
            <w:pPr>
              <w:spacing w:line="360" w:lineRule="auto"/>
              <w:ind w:left="58" w:leftChars="24" w:right="62" w:rightChars="26"/>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ind w:firstLine="420" w:firstLineChars="200"/>
              <w:rPr>
                <w:rFonts w:ascii="宋体"/>
                <w:color w:val="auto"/>
                <w:sz w:val="21"/>
                <w:szCs w:val="21"/>
                <w:highlight w:val="none"/>
              </w:rPr>
            </w:pPr>
          </w:p>
        </w:tc>
        <w:tc>
          <w:tcPr>
            <w:tcW w:w="2268" w:type="dxa"/>
          </w:tcPr>
          <w:p>
            <w:pPr>
              <w:spacing w:line="360" w:lineRule="auto"/>
              <w:ind w:left="58" w:leftChars="24" w:right="62" w:rightChars="26"/>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rPr>
                <w:rFonts w:ascii="宋体"/>
                <w:color w:val="auto"/>
                <w:sz w:val="21"/>
                <w:szCs w:val="21"/>
                <w:highlight w:val="none"/>
              </w:rPr>
            </w:pPr>
          </w:p>
        </w:tc>
        <w:tc>
          <w:tcPr>
            <w:tcW w:w="2268" w:type="dxa"/>
          </w:tcPr>
          <w:p>
            <w:pPr>
              <w:spacing w:line="360" w:lineRule="auto"/>
              <w:ind w:left="58" w:leftChars="24" w:right="62" w:rightChars="26"/>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ind w:firstLine="420" w:firstLineChars="200"/>
              <w:rPr>
                <w:rFonts w:ascii="宋体"/>
                <w:color w:val="auto"/>
                <w:sz w:val="21"/>
                <w:szCs w:val="21"/>
                <w:highlight w:val="none"/>
              </w:rPr>
            </w:pPr>
          </w:p>
        </w:tc>
        <w:tc>
          <w:tcPr>
            <w:tcW w:w="2268" w:type="dxa"/>
          </w:tcPr>
          <w:p>
            <w:pPr>
              <w:spacing w:line="360" w:lineRule="auto"/>
              <w:ind w:left="58" w:leftChars="24" w:right="62" w:rightChars="26"/>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ind w:firstLine="420" w:firstLineChars="200"/>
              <w:rPr>
                <w:rFonts w:ascii="宋体"/>
                <w:color w:val="auto"/>
                <w:sz w:val="21"/>
                <w:szCs w:val="21"/>
                <w:highlight w:val="none"/>
              </w:rPr>
            </w:pPr>
          </w:p>
        </w:tc>
        <w:tc>
          <w:tcPr>
            <w:tcW w:w="2268" w:type="dxa"/>
          </w:tcPr>
          <w:p>
            <w:pPr>
              <w:spacing w:line="360" w:lineRule="auto"/>
              <w:ind w:left="58" w:leftChars="24" w:right="62" w:rightChars="26"/>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rPr>
                <w:rFonts w:ascii="宋体"/>
                <w:color w:val="auto"/>
                <w:sz w:val="21"/>
                <w:szCs w:val="21"/>
                <w:highlight w:val="none"/>
              </w:rPr>
            </w:pPr>
          </w:p>
        </w:tc>
        <w:tc>
          <w:tcPr>
            <w:tcW w:w="2268" w:type="dxa"/>
          </w:tcPr>
          <w:p>
            <w:pPr>
              <w:spacing w:line="360" w:lineRule="auto"/>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rPr>
                <w:rFonts w:ascii="宋体"/>
                <w:color w:val="auto"/>
                <w:sz w:val="21"/>
                <w:szCs w:val="21"/>
                <w:highlight w:val="none"/>
              </w:rPr>
            </w:pPr>
          </w:p>
        </w:tc>
        <w:tc>
          <w:tcPr>
            <w:tcW w:w="2268" w:type="dxa"/>
          </w:tcPr>
          <w:p>
            <w:pPr>
              <w:spacing w:line="360" w:lineRule="auto"/>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tcPr>
          <w:p>
            <w:pPr>
              <w:spacing w:line="360" w:lineRule="auto"/>
              <w:rPr>
                <w:rFonts w:ascii="宋体"/>
                <w:color w:val="auto"/>
                <w:sz w:val="21"/>
                <w:szCs w:val="21"/>
                <w:highlight w:val="none"/>
              </w:rPr>
            </w:pPr>
          </w:p>
        </w:tc>
        <w:tc>
          <w:tcPr>
            <w:tcW w:w="2268" w:type="dxa"/>
          </w:tcPr>
          <w:p>
            <w:pPr>
              <w:spacing w:line="360" w:lineRule="auto"/>
              <w:rPr>
                <w:rFonts w:ascii="宋体"/>
                <w:color w:val="auto"/>
                <w:sz w:val="21"/>
                <w:szCs w:val="21"/>
                <w:highlight w:val="none"/>
              </w:rPr>
            </w:pPr>
          </w:p>
        </w:tc>
        <w:tc>
          <w:tcPr>
            <w:tcW w:w="2410" w:type="dxa"/>
          </w:tcPr>
          <w:p>
            <w:pPr>
              <w:spacing w:line="360" w:lineRule="auto"/>
              <w:rPr>
                <w:rFonts w:ascii="宋体"/>
                <w:color w:val="auto"/>
                <w:sz w:val="21"/>
                <w:szCs w:val="21"/>
                <w:highlight w:val="none"/>
              </w:rPr>
            </w:pPr>
          </w:p>
        </w:tc>
        <w:tc>
          <w:tcPr>
            <w:tcW w:w="1966" w:type="dxa"/>
          </w:tcPr>
          <w:p>
            <w:pPr>
              <w:spacing w:line="360" w:lineRule="auto"/>
              <w:rPr>
                <w:rFonts w:ascii="宋体"/>
                <w:color w:val="auto"/>
                <w:sz w:val="21"/>
                <w:szCs w:val="21"/>
                <w:highlight w:val="none"/>
              </w:rPr>
            </w:pPr>
          </w:p>
        </w:tc>
        <w:tc>
          <w:tcPr>
            <w:tcW w:w="895" w:type="dxa"/>
          </w:tcPr>
          <w:p>
            <w:pPr>
              <w:spacing w:line="360" w:lineRule="auto"/>
              <w:rPr>
                <w:rFonts w:ascii="宋体"/>
                <w:color w:val="auto"/>
                <w:sz w:val="21"/>
                <w:szCs w:val="21"/>
                <w:highlight w:val="none"/>
              </w:rPr>
            </w:pPr>
          </w:p>
        </w:tc>
      </w:tr>
    </w:tbl>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投标人名称(加盖公章)：</w:t>
      </w:r>
    </w:p>
    <w:p>
      <w:pPr>
        <w:tabs>
          <w:tab w:val="left" w:pos="1440"/>
        </w:tabs>
        <w:spacing w:line="360" w:lineRule="auto"/>
        <w:ind w:firstLine="420" w:firstLineChars="200"/>
        <w:rPr>
          <w:rFonts w:ascii="宋体"/>
          <w:color w:val="auto"/>
          <w:sz w:val="21"/>
          <w:szCs w:val="21"/>
          <w:highlight w:val="none"/>
        </w:rPr>
      </w:pPr>
    </w:p>
    <w:p>
      <w:pPr>
        <w:tabs>
          <w:tab w:val="left" w:pos="1440"/>
        </w:tabs>
        <w:spacing w:line="360" w:lineRule="auto"/>
        <w:ind w:firstLine="420" w:firstLineChars="200"/>
        <w:rPr>
          <w:rFonts w:ascii="宋体"/>
          <w:color w:val="auto"/>
          <w:sz w:val="21"/>
          <w:szCs w:val="21"/>
          <w:highlight w:val="none"/>
        </w:rPr>
      </w:pPr>
      <w:r>
        <w:rPr>
          <w:rFonts w:hint="eastAsia" w:ascii="宋体"/>
          <w:color w:val="auto"/>
          <w:sz w:val="21"/>
          <w:szCs w:val="21"/>
          <w:highlight w:val="none"/>
        </w:rPr>
        <w:t>投标人代表(签字)：</w:t>
      </w:r>
    </w:p>
    <w:p>
      <w:pPr>
        <w:tabs>
          <w:tab w:val="left" w:pos="1440"/>
        </w:tabs>
        <w:spacing w:line="360" w:lineRule="auto"/>
        <w:ind w:firstLine="420" w:firstLineChars="200"/>
        <w:rPr>
          <w:rFonts w:ascii="宋体"/>
          <w:color w:val="auto"/>
          <w:sz w:val="21"/>
          <w:szCs w:val="21"/>
          <w:highlight w:val="none"/>
        </w:rPr>
      </w:pPr>
    </w:p>
    <w:p>
      <w:pPr>
        <w:tabs>
          <w:tab w:val="left" w:pos="1440"/>
        </w:tabs>
        <w:spacing w:line="360" w:lineRule="auto"/>
        <w:ind w:firstLine="420" w:firstLineChars="200"/>
        <w:rPr>
          <w:rFonts w:ascii="宋体"/>
          <w:color w:val="auto"/>
          <w:sz w:val="21"/>
          <w:szCs w:val="21"/>
          <w:highlight w:val="none"/>
        </w:rPr>
      </w:pPr>
      <w:r>
        <w:rPr>
          <w:rFonts w:hint="eastAsia" w:ascii="宋体"/>
          <w:color w:val="auto"/>
          <w:sz w:val="21"/>
          <w:szCs w:val="21"/>
          <w:highlight w:val="none"/>
        </w:rPr>
        <w:t>日期：</w:t>
      </w:r>
    </w:p>
    <w:p>
      <w:pPr>
        <w:tabs>
          <w:tab w:val="left" w:pos="1440"/>
        </w:tabs>
        <w:spacing w:line="360" w:lineRule="auto"/>
        <w:ind w:firstLine="420" w:firstLineChars="200"/>
        <w:rPr>
          <w:rFonts w:ascii="宋体"/>
          <w:color w:val="auto"/>
          <w:sz w:val="21"/>
          <w:szCs w:val="21"/>
          <w:highlight w:val="none"/>
        </w:rPr>
      </w:pPr>
    </w:p>
    <w:p>
      <w:pPr>
        <w:spacing w:line="360" w:lineRule="auto"/>
        <w:ind w:left="269" w:hanging="268" w:hangingChars="128"/>
        <w:rPr>
          <w:rFonts w:ascii="宋体"/>
          <w:color w:val="auto"/>
          <w:sz w:val="21"/>
          <w:szCs w:val="21"/>
          <w:highlight w:val="none"/>
        </w:rPr>
      </w:pPr>
      <w:r>
        <w:rPr>
          <w:rFonts w:hint="eastAsia" w:ascii="宋体"/>
          <w:color w:val="auto"/>
          <w:sz w:val="21"/>
          <w:szCs w:val="21"/>
          <w:highlight w:val="none"/>
        </w:rPr>
        <w:t>注：</w:t>
      </w:r>
    </w:p>
    <w:p>
      <w:pPr>
        <w:spacing w:line="360" w:lineRule="auto"/>
        <w:ind w:left="269" w:hanging="268" w:hangingChars="128"/>
        <w:rPr>
          <w:rFonts w:ascii="宋体"/>
          <w:color w:val="auto"/>
          <w:sz w:val="21"/>
          <w:szCs w:val="21"/>
          <w:highlight w:val="none"/>
        </w:rPr>
      </w:pPr>
      <w:r>
        <w:rPr>
          <w:rFonts w:hint="eastAsia" w:ascii="宋体"/>
          <w:color w:val="auto"/>
          <w:sz w:val="21"/>
          <w:szCs w:val="21"/>
          <w:highlight w:val="none"/>
        </w:rPr>
        <w:t>1、填写此表时，应做到用文字一一对应的描述报价货物技术规范与投标文件技术规范序号、技术规范要求的响应与偏离。</w:t>
      </w:r>
    </w:p>
    <w:p>
      <w:pPr>
        <w:spacing w:line="360" w:lineRule="auto"/>
        <w:rPr>
          <w:rFonts w:ascii="宋体"/>
          <w:color w:val="auto"/>
          <w:sz w:val="21"/>
          <w:szCs w:val="21"/>
          <w:highlight w:val="none"/>
        </w:rPr>
      </w:pPr>
      <w:r>
        <w:rPr>
          <w:rFonts w:hint="eastAsia" w:ascii="宋体"/>
          <w:color w:val="auto"/>
          <w:sz w:val="21"/>
          <w:szCs w:val="21"/>
          <w:highlight w:val="none"/>
        </w:rPr>
        <w:t>2、不能只简单写为“满足”或“无偏差”，否则视为无效应答。</w:t>
      </w:r>
    </w:p>
    <w:p>
      <w:pPr>
        <w:spacing w:line="360" w:lineRule="auto"/>
        <w:rPr>
          <w:rFonts w:ascii="宋体"/>
          <w:b/>
          <w:color w:val="auto"/>
          <w:sz w:val="21"/>
          <w:szCs w:val="21"/>
          <w:highlight w:val="none"/>
        </w:rPr>
      </w:pPr>
      <w:r>
        <w:rPr>
          <w:rFonts w:hint="eastAsia" w:ascii="宋体"/>
          <w:b/>
          <w:color w:val="auto"/>
          <w:sz w:val="21"/>
          <w:szCs w:val="21"/>
          <w:highlight w:val="none"/>
        </w:rPr>
        <w:t>3、投标的供应商应认真阅读“招标需求”中的所有内容，一经投标视为完全理解标书所有内容与要求。在投标时应对招标文件中各项技术要求作出明确的应答和文字说明，不能只用“符合招标要求”、“满足招标要求”字样来描述，表述不清或照抄招标文件中技术要求内容的或只用“符合招标要求”、“满足招标要求”字样来描述的,评审时将酌情扣分。</w:t>
      </w:r>
    </w:p>
    <w:p>
      <w:pPr>
        <w:numPr>
          <w:ilvl w:val="0"/>
          <w:numId w:val="9"/>
        </w:numPr>
        <w:tabs>
          <w:tab w:val="left" w:pos="360"/>
        </w:tabs>
        <w:spacing w:line="276" w:lineRule="auto"/>
        <w:ind w:left="360"/>
        <w:rPr>
          <w:rFonts w:ascii="宋体"/>
          <w:b/>
          <w:color w:val="auto"/>
          <w:szCs w:val="24"/>
          <w:highlight w:val="none"/>
        </w:rPr>
        <w:sectPr>
          <w:pgSz w:w="11906" w:h="16838"/>
          <w:pgMar w:top="1418" w:right="1134" w:bottom="1418" w:left="1588" w:header="851" w:footer="992"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spacing w:line="276" w:lineRule="auto"/>
        <w:jc w:val="center"/>
        <w:outlineLvl w:val="1"/>
        <w:rPr>
          <w:b/>
          <w:color w:val="auto"/>
          <w:highlight w:val="none"/>
        </w:rPr>
      </w:pPr>
      <w:bookmarkStart w:id="125" w:name="_Toc241827261"/>
      <w:bookmarkStart w:id="126" w:name="_Toc389139114"/>
      <w:bookmarkStart w:id="127" w:name="_Toc387317152"/>
      <w:bookmarkStart w:id="128" w:name="_Toc29477"/>
      <w:r>
        <w:rPr>
          <w:rFonts w:hint="eastAsia"/>
          <w:b/>
          <w:color w:val="auto"/>
          <w:highlight w:val="none"/>
        </w:rPr>
        <w:t>附件六、</w:t>
      </w:r>
      <w:bookmarkEnd w:id="125"/>
      <w:r>
        <w:rPr>
          <w:rFonts w:hint="eastAsia"/>
          <w:b/>
          <w:color w:val="auto"/>
          <w:highlight w:val="none"/>
        </w:rPr>
        <w:t>商务偏离表</w:t>
      </w:r>
      <w:bookmarkEnd w:id="126"/>
      <w:bookmarkEnd w:id="127"/>
      <w:bookmarkEnd w:id="128"/>
    </w:p>
    <w:tbl>
      <w:tblPr>
        <w:tblStyle w:val="40"/>
        <w:tblW w:w="9781"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1422"/>
        <w:gridCol w:w="5240"/>
        <w:gridCol w:w="1418"/>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jc w:val="center"/>
              <w:rPr>
                <w:rFonts w:ascii="宋体"/>
                <w:color w:val="auto"/>
                <w:sz w:val="21"/>
                <w:szCs w:val="21"/>
                <w:highlight w:val="none"/>
              </w:rPr>
            </w:pPr>
            <w:r>
              <w:rPr>
                <w:rFonts w:hint="eastAsia" w:ascii="宋体"/>
                <w:color w:val="auto"/>
                <w:sz w:val="21"/>
                <w:szCs w:val="21"/>
                <w:highlight w:val="none"/>
              </w:rPr>
              <w:t>序号</w:t>
            </w:r>
          </w:p>
        </w:tc>
        <w:tc>
          <w:tcPr>
            <w:tcW w:w="1422" w:type="dxa"/>
            <w:vAlign w:val="center"/>
          </w:tcPr>
          <w:p>
            <w:pPr>
              <w:spacing w:line="240" w:lineRule="auto"/>
              <w:jc w:val="center"/>
              <w:rPr>
                <w:rFonts w:ascii="宋体"/>
                <w:color w:val="auto"/>
                <w:sz w:val="21"/>
                <w:szCs w:val="21"/>
                <w:highlight w:val="none"/>
              </w:rPr>
            </w:pPr>
            <w:r>
              <w:rPr>
                <w:rFonts w:hint="eastAsia" w:ascii="宋体"/>
                <w:color w:val="auto"/>
                <w:sz w:val="21"/>
                <w:szCs w:val="21"/>
                <w:highlight w:val="none"/>
              </w:rPr>
              <w:t>招标文件条目</w:t>
            </w:r>
          </w:p>
        </w:tc>
        <w:tc>
          <w:tcPr>
            <w:tcW w:w="5240" w:type="dxa"/>
            <w:vAlign w:val="center"/>
          </w:tcPr>
          <w:p>
            <w:pPr>
              <w:spacing w:line="240" w:lineRule="auto"/>
              <w:jc w:val="center"/>
              <w:rPr>
                <w:rFonts w:ascii="宋体"/>
                <w:color w:val="auto"/>
                <w:sz w:val="21"/>
                <w:szCs w:val="21"/>
                <w:highlight w:val="none"/>
              </w:rPr>
            </w:pPr>
            <w:r>
              <w:rPr>
                <w:rFonts w:hint="eastAsia" w:ascii="宋体"/>
                <w:color w:val="auto"/>
                <w:sz w:val="21"/>
                <w:szCs w:val="21"/>
                <w:highlight w:val="none"/>
              </w:rPr>
              <w:t>招标文件的商务条款</w:t>
            </w:r>
          </w:p>
        </w:tc>
        <w:tc>
          <w:tcPr>
            <w:tcW w:w="1418" w:type="dxa"/>
            <w:vAlign w:val="center"/>
          </w:tcPr>
          <w:p>
            <w:pPr>
              <w:spacing w:line="240" w:lineRule="auto"/>
              <w:jc w:val="center"/>
              <w:rPr>
                <w:rFonts w:ascii="宋体"/>
                <w:color w:val="auto"/>
                <w:sz w:val="21"/>
                <w:szCs w:val="21"/>
                <w:highlight w:val="none"/>
              </w:rPr>
            </w:pPr>
            <w:r>
              <w:rPr>
                <w:rFonts w:hint="eastAsia" w:ascii="宋体"/>
                <w:color w:val="auto"/>
                <w:sz w:val="21"/>
                <w:szCs w:val="21"/>
                <w:highlight w:val="none"/>
              </w:rPr>
              <w:t>投标文件的应答与偏离</w:t>
            </w:r>
          </w:p>
        </w:tc>
        <w:tc>
          <w:tcPr>
            <w:tcW w:w="992" w:type="dxa"/>
            <w:vAlign w:val="center"/>
          </w:tcPr>
          <w:p>
            <w:pPr>
              <w:spacing w:line="240" w:lineRule="auto"/>
              <w:jc w:val="center"/>
              <w:rPr>
                <w:rFonts w:ascii="宋体"/>
                <w:color w:val="auto"/>
                <w:sz w:val="21"/>
                <w:szCs w:val="21"/>
                <w:highlight w:val="none"/>
              </w:rPr>
            </w:pPr>
            <w:r>
              <w:rPr>
                <w:rFonts w:hint="eastAsia" w:ascii="宋体"/>
                <w:color w:val="auto"/>
                <w:sz w:val="21"/>
                <w:szCs w:val="21"/>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jc w:val="center"/>
              <w:rPr>
                <w:rFonts w:ascii="宋体"/>
                <w:color w:val="auto"/>
                <w:sz w:val="21"/>
                <w:szCs w:val="21"/>
                <w:highlight w:val="none"/>
              </w:rPr>
            </w:pPr>
            <w:r>
              <w:rPr>
                <w:rFonts w:ascii="宋体"/>
                <w:color w:val="auto"/>
                <w:sz w:val="21"/>
                <w:szCs w:val="21"/>
                <w:highlight w:val="none"/>
              </w:rPr>
              <w:t>1</w:t>
            </w:r>
          </w:p>
        </w:tc>
        <w:tc>
          <w:tcPr>
            <w:tcW w:w="1422" w:type="dxa"/>
            <w:vAlign w:val="center"/>
          </w:tcPr>
          <w:p>
            <w:pPr>
              <w:snapToGrid w:val="0"/>
              <w:spacing w:line="400" w:lineRule="exact"/>
              <w:jc w:val="center"/>
              <w:rPr>
                <w:rFonts w:ascii="宋体"/>
                <w:color w:val="auto"/>
                <w:sz w:val="21"/>
                <w:szCs w:val="21"/>
                <w:highlight w:val="none"/>
              </w:rPr>
            </w:pPr>
          </w:p>
        </w:tc>
        <w:tc>
          <w:tcPr>
            <w:tcW w:w="5240" w:type="dxa"/>
            <w:vAlign w:val="center"/>
          </w:tcPr>
          <w:p>
            <w:pPr>
              <w:spacing w:line="400" w:lineRule="exact"/>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jc w:val="center"/>
              <w:rPr>
                <w:rFonts w:ascii="宋体"/>
                <w:color w:val="auto"/>
                <w:sz w:val="21"/>
                <w:szCs w:val="21"/>
                <w:highlight w:val="none"/>
              </w:rPr>
            </w:pPr>
            <w:r>
              <w:rPr>
                <w:rFonts w:ascii="宋体"/>
                <w:color w:val="auto"/>
                <w:sz w:val="21"/>
                <w:szCs w:val="21"/>
                <w:highlight w:val="none"/>
              </w:rPr>
              <w:t>2</w:t>
            </w:r>
          </w:p>
        </w:tc>
        <w:tc>
          <w:tcPr>
            <w:tcW w:w="1422" w:type="dxa"/>
            <w:vAlign w:val="center"/>
          </w:tcPr>
          <w:p>
            <w:pPr>
              <w:snapToGrid w:val="0"/>
              <w:spacing w:line="400" w:lineRule="exact"/>
              <w:jc w:val="center"/>
              <w:rPr>
                <w:rFonts w:ascii="宋体"/>
                <w:color w:val="auto"/>
                <w:kern w:val="2"/>
                <w:sz w:val="21"/>
                <w:szCs w:val="21"/>
                <w:highlight w:val="none"/>
              </w:rPr>
            </w:pPr>
          </w:p>
        </w:tc>
        <w:tc>
          <w:tcPr>
            <w:tcW w:w="5240" w:type="dxa"/>
            <w:vAlign w:val="center"/>
          </w:tcPr>
          <w:p>
            <w:pPr>
              <w:pStyle w:val="2"/>
              <w:spacing w:line="360" w:lineRule="auto"/>
              <w:rPr>
                <w:rFonts w:ascii="宋体" w:hAns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jc w:val="center"/>
              <w:rPr>
                <w:rFonts w:ascii="宋体"/>
                <w:color w:val="auto"/>
                <w:sz w:val="21"/>
                <w:szCs w:val="21"/>
                <w:highlight w:val="none"/>
              </w:rPr>
            </w:pPr>
            <w:r>
              <w:rPr>
                <w:rFonts w:hint="eastAsia" w:ascii="宋体"/>
                <w:color w:val="auto"/>
                <w:sz w:val="21"/>
                <w:szCs w:val="21"/>
                <w:highlight w:val="none"/>
              </w:rPr>
              <w:t>3</w:t>
            </w:r>
          </w:p>
        </w:tc>
        <w:tc>
          <w:tcPr>
            <w:tcW w:w="1422" w:type="dxa"/>
            <w:vAlign w:val="center"/>
          </w:tcPr>
          <w:p>
            <w:pPr>
              <w:snapToGrid w:val="0"/>
              <w:spacing w:line="400" w:lineRule="exact"/>
              <w:jc w:val="center"/>
              <w:rPr>
                <w:rFonts w:ascii="宋体"/>
                <w:color w:val="auto"/>
                <w:sz w:val="21"/>
                <w:szCs w:val="21"/>
                <w:highlight w:val="none"/>
              </w:rPr>
            </w:pPr>
          </w:p>
        </w:tc>
        <w:tc>
          <w:tcPr>
            <w:tcW w:w="5240" w:type="dxa"/>
            <w:vAlign w:val="center"/>
          </w:tcPr>
          <w:p>
            <w:pPr>
              <w:spacing w:line="360" w:lineRule="auto"/>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4</w:t>
            </w:r>
          </w:p>
        </w:tc>
        <w:tc>
          <w:tcPr>
            <w:tcW w:w="1422" w:type="dxa"/>
            <w:vAlign w:val="center"/>
          </w:tcPr>
          <w:p>
            <w:pPr>
              <w:snapToGrid w:val="0"/>
              <w:spacing w:line="400" w:lineRule="exact"/>
              <w:jc w:val="center"/>
              <w:rPr>
                <w:rFonts w:ascii="宋体"/>
                <w:color w:val="auto"/>
                <w:sz w:val="21"/>
                <w:szCs w:val="21"/>
                <w:highlight w:val="none"/>
              </w:rPr>
            </w:pPr>
          </w:p>
        </w:tc>
        <w:tc>
          <w:tcPr>
            <w:tcW w:w="5240" w:type="dxa"/>
            <w:vAlign w:val="center"/>
          </w:tcPr>
          <w:p>
            <w:pPr>
              <w:pStyle w:val="2"/>
              <w:spacing w:line="400" w:lineRule="exact"/>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5</w:t>
            </w:r>
          </w:p>
        </w:tc>
        <w:tc>
          <w:tcPr>
            <w:tcW w:w="1422" w:type="dxa"/>
            <w:vAlign w:val="center"/>
          </w:tcPr>
          <w:p>
            <w:pPr>
              <w:snapToGrid w:val="0"/>
              <w:spacing w:line="400" w:lineRule="exact"/>
              <w:jc w:val="center"/>
              <w:rPr>
                <w:rFonts w:ascii="宋体"/>
                <w:color w:val="auto"/>
                <w:sz w:val="21"/>
                <w:szCs w:val="21"/>
                <w:highlight w:val="none"/>
              </w:rPr>
            </w:pPr>
          </w:p>
        </w:tc>
        <w:tc>
          <w:tcPr>
            <w:tcW w:w="5240" w:type="dxa"/>
            <w:vAlign w:val="center"/>
          </w:tcPr>
          <w:p>
            <w:pPr>
              <w:spacing w:line="400" w:lineRule="exact"/>
              <w:jc w:val="both"/>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6</w:t>
            </w:r>
          </w:p>
        </w:tc>
        <w:tc>
          <w:tcPr>
            <w:tcW w:w="1422" w:type="dxa"/>
            <w:vAlign w:val="center"/>
          </w:tcPr>
          <w:p>
            <w:pPr>
              <w:snapToGrid w:val="0"/>
              <w:spacing w:line="400" w:lineRule="exact"/>
              <w:jc w:val="center"/>
              <w:rPr>
                <w:rFonts w:ascii="宋体"/>
                <w:color w:val="auto"/>
                <w:kern w:val="2"/>
                <w:sz w:val="21"/>
                <w:szCs w:val="21"/>
                <w:highlight w:val="none"/>
              </w:rPr>
            </w:pPr>
          </w:p>
        </w:tc>
        <w:tc>
          <w:tcPr>
            <w:tcW w:w="5240" w:type="dxa"/>
            <w:vAlign w:val="center"/>
          </w:tcPr>
          <w:p>
            <w:pPr>
              <w:spacing w:line="400" w:lineRule="exact"/>
              <w:jc w:val="both"/>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7</w:t>
            </w:r>
          </w:p>
        </w:tc>
        <w:tc>
          <w:tcPr>
            <w:tcW w:w="1422" w:type="dxa"/>
            <w:vAlign w:val="center"/>
          </w:tcPr>
          <w:p>
            <w:pPr>
              <w:snapToGrid w:val="0"/>
              <w:spacing w:line="400" w:lineRule="exact"/>
              <w:jc w:val="center"/>
              <w:rPr>
                <w:rFonts w:ascii="宋体"/>
                <w:color w:val="auto"/>
                <w:kern w:val="2"/>
                <w:sz w:val="21"/>
                <w:szCs w:val="21"/>
                <w:highlight w:val="none"/>
              </w:rPr>
            </w:pPr>
          </w:p>
        </w:tc>
        <w:tc>
          <w:tcPr>
            <w:tcW w:w="5240" w:type="dxa"/>
            <w:vAlign w:val="center"/>
          </w:tcPr>
          <w:p>
            <w:pPr>
              <w:spacing w:line="400" w:lineRule="exact"/>
              <w:jc w:val="both"/>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8</w:t>
            </w:r>
          </w:p>
        </w:tc>
        <w:tc>
          <w:tcPr>
            <w:tcW w:w="1422" w:type="dxa"/>
            <w:vAlign w:val="center"/>
          </w:tcPr>
          <w:p>
            <w:pPr>
              <w:snapToGrid w:val="0"/>
              <w:spacing w:line="240" w:lineRule="auto"/>
              <w:jc w:val="center"/>
              <w:rPr>
                <w:rFonts w:ascii="宋体"/>
                <w:color w:val="auto"/>
                <w:kern w:val="2"/>
                <w:sz w:val="21"/>
                <w:szCs w:val="21"/>
                <w:highlight w:val="none"/>
              </w:rPr>
            </w:pPr>
          </w:p>
        </w:tc>
        <w:tc>
          <w:tcPr>
            <w:tcW w:w="5240" w:type="dxa"/>
            <w:vAlign w:val="center"/>
          </w:tcPr>
          <w:p>
            <w:pPr>
              <w:tabs>
                <w:tab w:val="left" w:pos="105"/>
                <w:tab w:val="left" w:pos="735"/>
                <w:tab w:val="left" w:pos="945"/>
                <w:tab w:val="left" w:pos="3360"/>
              </w:tabs>
              <w:spacing w:line="240" w:lineRule="auto"/>
              <w:jc w:val="both"/>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bl>
    <w:p>
      <w:pPr>
        <w:spacing w:line="360" w:lineRule="auto"/>
        <w:rPr>
          <w:rFonts w:ascii="宋体"/>
          <w:color w:val="auto"/>
          <w:sz w:val="21"/>
          <w:szCs w:val="21"/>
          <w:highlight w:val="none"/>
        </w:rPr>
      </w:pPr>
      <w:r>
        <w:rPr>
          <w:rFonts w:hint="eastAsia" w:ascii="宋体"/>
          <w:color w:val="auto"/>
          <w:sz w:val="21"/>
          <w:szCs w:val="21"/>
          <w:highlight w:val="none"/>
        </w:rPr>
        <w:t>投标人名称(加盖公章)：</w:t>
      </w:r>
    </w:p>
    <w:p>
      <w:pPr>
        <w:tabs>
          <w:tab w:val="left" w:pos="1440"/>
        </w:tabs>
        <w:spacing w:line="360" w:lineRule="auto"/>
        <w:ind w:firstLine="420" w:firstLineChars="200"/>
        <w:rPr>
          <w:rFonts w:ascii="宋体"/>
          <w:color w:val="auto"/>
          <w:sz w:val="21"/>
          <w:szCs w:val="21"/>
          <w:highlight w:val="none"/>
        </w:rPr>
      </w:pPr>
    </w:p>
    <w:p>
      <w:pPr>
        <w:tabs>
          <w:tab w:val="left" w:pos="1440"/>
        </w:tabs>
        <w:spacing w:line="360" w:lineRule="auto"/>
        <w:ind w:firstLine="420" w:firstLineChars="200"/>
        <w:rPr>
          <w:rFonts w:ascii="宋体"/>
          <w:color w:val="auto"/>
          <w:sz w:val="21"/>
          <w:szCs w:val="21"/>
          <w:highlight w:val="none"/>
        </w:rPr>
      </w:pPr>
      <w:r>
        <w:rPr>
          <w:rFonts w:hint="eastAsia" w:ascii="宋体"/>
          <w:color w:val="auto"/>
          <w:sz w:val="21"/>
          <w:szCs w:val="21"/>
          <w:highlight w:val="none"/>
        </w:rPr>
        <w:t>投标人代表(签字)：</w:t>
      </w:r>
    </w:p>
    <w:p>
      <w:pPr>
        <w:tabs>
          <w:tab w:val="left" w:pos="1440"/>
        </w:tabs>
        <w:spacing w:line="360" w:lineRule="auto"/>
        <w:ind w:firstLine="420" w:firstLineChars="200"/>
        <w:rPr>
          <w:rFonts w:ascii="宋体"/>
          <w:color w:val="auto"/>
          <w:sz w:val="21"/>
          <w:szCs w:val="21"/>
          <w:highlight w:val="none"/>
        </w:rPr>
      </w:pPr>
      <w:r>
        <w:rPr>
          <w:rFonts w:hint="eastAsia" w:ascii="宋体"/>
          <w:color w:val="auto"/>
          <w:sz w:val="21"/>
          <w:szCs w:val="21"/>
          <w:highlight w:val="none"/>
        </w:rPr>
        <w:t>日期：</w:t>
      </w:r>
    </w:p>
    <w:p>
      <w:pPr>
        <w:spacing w:line="360" w:lineRule="auto"/>
        <w:rPr>
          <w:rFonts w:ascii="宋体"/>
          <w:color w:val="auto"/>
          <w:sz w:val="21"/>
          <w:szCs w:val="21"/>
          <w:highlight w:val="none"/>
        </w:rPr>
      </w:pPr>
      <w:r>
        <w:rPr>
          <w:rFonts w:hint="eastAsia" w:ascii="宋体"/>
          <w:color w:val="auto"/>
          <w:sz w:val="21"/>
          <w:szCs w:val="21"/>
          <w:highlight w:val="none"/>
        </w:rPr>
        <w:t>注：</w:t>
      </w:r>
    </w:p>
    <w:p>
      <w:pPr>
        <w:spacing w:line="360" w:lineRule="auto"/>
        <w:ind w:left="281" w:hanging="281" w:hangingChars="134"/>
        <w:rPr>
          <w:rFonts w:ascii="宋体"/>
          <w:color w:val="auto"/>
          <w:sz w:val="21"/>
          <w:szCs w:val="21"/>
          <w:highlight w:val="none"/>
        </w:rPr>
      </w:pPr>
      <w:r>
        <w:rPr>
          <w:rFonts w:hint="eastAsia" w:ascii="宋体"/>
          <w:color w:val="auto"/>
          <w:sz w:val="21"/>
          <w:szCs w:val="21"/>
          <w:highlight w:val="none"/>
        </w:rPr>
        <w:t>1、如有商务偏离，在填写此表时，应做到投标商务应答与招标文件的商务条款一一对应。</w:t>
      </w:r>
    </w:p>
    <w:p>
      <w:pPr>
        <w:spacing w:line="360" w:lineRule="auto"/>
        <w:rPr>
          <w:rFonts w:ascii="宋体"/>
          <w:color w:val="auto"/>
          <w:sz w:val="21"/>
          <w:szCs w:val="21"/>
          <w:highlight w:val="none"/>
        </w:rPr>
      </w:pPr>
      <w:r>
        <w:rPr>
          <w:rFonts w:hint="eastAsia" w:ascii="宋体"/>
          <w:color w:val="auto"/>
          <w:sz w:val="21"/>
          <w:szCs w:val="21"/>
          <w:highlight w:val="none"/>
        </w:rPr>
        <w:t>2、如全部响应招标文件商务条款，则在本表中注明“商务无偏离”。</w:t>
      </w:r>
    </w:p>
    <w:p>
      <w:pPr>
        <w:spacing w:line="276" w:lineRule="auto"/>
        <w:jc w:val="center"/>
        <w:outlineLvl w:val="1"/>
        <w:rPr>
          <w:rFonts w:ascii="宋体"/>
          <w:color w:val="auto"/>
          <w:szCs w:val="24"/>
          <w:highlight w:val="none"/>
        </w:rPr>
      </w:pPr>
      <w:r>
        <w:rPr>
          <w:rFonts w:hint="eastAsia" w:ascii="宋体"/>
          <w:color w:val="auto"/>
          <w:szCs w:val="24"/>
          <w:highlight w:val="none"/>
        </w:rPr>
        <w:br w:type="page"/>
      </w:r>
      <w:bookmarkEnd w:id="124"/>
      <w:bookmarkStart w:id="129" w:name="_Toc110331671"/>
      <w:bookmarkStart w:id="130" w:name="_Toc389139115"/>
      <w:bookmarkStart w:id="131" w:name="_Toc241827262"/>
      <w:bookmarkStart w:id="132" w:name="_Toc1782"/>
      <w:bookmarkStart w:id="133" w:name="_Toc387317153"/>
      <w:bookmarkStart w:id="134" w:name="_Toc86202638"/>
      <w:r>
        <w:rPr>
          <w:rFonts w:hint="eastAsia"/>
          <w:b/>
          <w:color w:val="auto"/>
          <w:highlight w:val="none"/>
        </w:rPr>
        <w:t>附件七、投标人概况表</w:t>
      </w:r>
      <w:bookmarkEnd w:id="129"/>
      <w:bookmarkEnd w:id="130"/>
      <w:bookmarkEnd w:id="131"/>
      <w:bookmarkEnd w:id="132"/>
      <w:bookmarkEnd w:id="133"/>
    </w:p>
    <w:p>
      <w:pPr>
        <w:spacing w:after="240" w:line="360" w:lineRule="auto"/>
        <w:ind w:hanging="119"/>
        <w:rPr>
          <w:rFonts w:ascii="宋体"/>
          <w:color w:val="auto"/>
          <w:sz w:val="21"/>
          <w:szCs w:val="21"/>
          <w:highlight w:val="none"/>
        </w:rPr>
      </w:pPr>
      <w:r>
        <w:rPr>
          <w:rFonts w:hint="eastAsia" w:ascii="宋体"/>
          <w:color w:val="auto"/>
          <w:sz w:val="21"/>
          <w:szCs w:val="21"/>
          <w:highlight w:val="none"/>
        </w:rPr>
        <w:t>投标人名称：招标编号：</w:t>
      </w:r>
    </w:p>
    <w:tbl>
      <w:tblPr>
        <w:tblStyle w:val="40"/>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55"/>
        <w:gridCol w:w="1065"/>
        <w:gridCol w:w="990"/>
        <w:gridCol w:w="465"/>
        <w:gridCol w:w="420"/>
        <w:gridCol w:w="945"/>
        <w:gridCol w:w="840"/>
        <w:gridCol w:w="87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企业名称</w:t>
            </w:r>
          </w:p>
        </w:tc>
        <w:tc>
          <w:tcPr>
            <w:tcW w:w="3675"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color w:val="auto"/>
                <w:sz w:val="21"/>
                <w:szCs w:val="21"/>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成立时间</w:t>
            </w:r>
          </w:p>
        </w:tc>
        <w:tc>
          <w:tcPr>
            <w:tcW w:w="3085"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企业性质</w:t>
            </w:r>
          </w:p>
        </w:tc>
        <w:tc>
          <w:tcPr>
            <w:tcW w:w="367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单位地址</w:t>
            </w:r>
          </w:p>
        </w:tc>
        <w:tc>
          <w:tcPr>
            <w:tcW w:w="30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经营范围</w:t>
            </w:r>
          </w:p>
        </w:tc>
        <w:tc>
          <w:tcPr>
            <w:tcW w:w="367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经营方式</w:t>
            </w:r>
          </w:p>
        </w:tc>
        <w:tc>
          <w:tcPr>
            <w:tcW w:w="30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企  业</w:t>
            </w:r>
          </w:p>
          <w:p>
            <w:pPr>
              <w:spacing w:line="360" w:lineRule="auto"/>
              <w:jc w:val="center"/>
              <w:rPr>
                <w:rFonts w:ascii="宋体"/>
                <w:color w:val="auto"/>
                <w:sz w:val="21"/>
                <w:szCs w:val="21"/>
                <w:highlight w:val="none"/>
              </w:rPr>
            </w:pPr>
            <w:r>
              <w:rPr>
                <w:rFonts w:hint="eastAsia" w:ascii="宋体"/>
                <w:color w:val="auto"/>
                <w:sz w:val="21"/>
                <w:szCs w:val="21"/>
                <w:highlight w:val="none"/>
              </w:rPr>
              <w:t>职  工</w:t>
            </w:r>
          </w:p>
          <w:p>
            <w:pPr>
              <w:spacing w:line="360" w:lineRule="auto"/>
              <w:jc w:val="center"/>
              <w:rPr>
                <w:rFonts w:ascii="宋体"/>
                <w:color w:val="auto"/>
                <w:sz w:val="21"/>
                <w:szCs w:val="21"/>
                <w:highlight w:val="none"/>
              </w:rPr>
            </w:pPr>
            <w:r>
              <w:rPr>
                <w:rFonts w:hint="eastAsia" w:ascii="宋体"/>
                <w:color w:val="auto"/>
                <w:sz w:val="21"/>
                <w:szCs w:val="21"/>
                <w:highlight w:val="none"/>
              </w:rPr>
              <w:t>总  数</w:t>
            </w:r>
          </w:p>
        </w:tc>
        <w:tc>
          <w:tcPr>
            <w:tcW w:w="1155"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p>
            <w:pPr>
              <w:spacing w:line="360" w:lineRule="auto"/>
              <w:jc w:val="center"/>
              <w:rPr>
                <w:rFonts w:ascii="宋体"/>
                <w:color w:val="auto"/>
                <w:sz w:val="21"/>
                <w:szCs w:val="21"/>
                <w:highlight w:val="none"/>
              </w:rPr>
            </w:pPr>
            <w:r>
              <w:rPr>
                <w:rFonts w:hint="eastAsia" w:ascii="宋体"/>
                <w:color w:val="auto"/>
                <w:sz w:val="21"/>
                <w:szCs w:val="21"/>
                <w:highlight w:val="none"/>
              </w:rPr>
              <w:t xml:space="preserve">     人</w:t>
            </w:r>
          </w:p>
        </w:tc>
        <w:tc>
          <w:tcPr>
            <w:tcW w:w="388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有职称管理人员</w:t>
            </w:r>
          </w:p>
        </w:tc>
        <w:tc>
          <w:tcPr>
            <w:tcW w:w="30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工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高 工</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工程师</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助 工</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技术员</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1"/>
                <w:szCs w:val="21"/>
                <w:highlight w:val="none"/>
              </w:rPr>
            </w:pPr>
            <w:r>
              <w:rPr>
                <w:rFonts w:hint="eastAsia" w:ascii="宋体"/>
                <w:color w:val="auto"/>
                <w:sz w:val="21"/>
                <w:szCs w:val="21"/>
                <w:highlight w:val="none"/>
              </w:rPr>
              <w:t>4-8级</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1-3级</w:t>
            </w:r>
          </w:p>
        </w:tc>
        <w:tc>
          <w:tcPr>
            <w:tcW w:w="1375" w:type="dxa"/>
            <w:tcBorders>
              <w:top w:val="nil"/>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p>
            <w:pPr>
              <w:spacing w:line="360" w:lineRule="auto"/>
              <w:jc w:val="center"/>
              <w:rPr>
                <w:rFonts w:ascii="宋体"/>
                <w:color w:val="auto"/>
                <w:sz w:val="21"/>
                <w:szCs w:val="21"/>
                <w:highlight w:val="none"/>
              </w:rPr>
            </w:pPr>
            <w:r>
              <w:rPr>
                <w:rFonts w:hint="eastAsia" w:ascii="宋体"/>
                <w:color w:val="auto"/>
                <w:sz w:val="21"/>
                <w:szCs w:val="21"/>
                <w:highlight w:val="none"/>
              </w:rPr>
              <w:t>主</w:t>
            </w:r>
          </w:p>
          <w:p>
            <w:pPr>
              <w:spacing w:line="360" w:lineRule="auto"/>
              <w:jc w:val="center"/>
              <w:rPr>
                <w:rFonts w:ascii="宋体"/>
                <w:color w:val="auto"/>
                <w:sz w:val="21"/>
                <w:szCs w:val="21"/>
                <w:highlight w:val="none"/>
              </w:rPr>
            </w:pPr>
            <w:r>
              <w:rPr>
                <w:rFonts w:hint="eastAsia" w:ascii="宋体"/>
                <w:color w:val="auto"/>
                <w:sz w:val="21"/>
                <w:szCs w:val="21"/>
                <w:highlight w:val="none"/>
              </w:rPr>
              <w:t>要</w:t>
            </w:r>
          </w:p>
          <w:p>
            <w:pPr>
              <w:spacing w:line="360" w:lineRule="auto"/>
              <w:jc w:val="center"/>
              <w:rPr>
                <w:rFonts w:ascii="宋体"/>
                <w:color w:val="auto"/>
                <w:sz w:val="21"/>
                <w:szCs w:val="21"/>
                <w:highlight w:val="none"/>
              </w:rPr>
            </w:pPr>
            <w:r>
              <w:rPr>
                <w:rFonts w:hint="eastAsia" w:ascii="宋体"/>
                <w:color w:val="auto"/>
                <w:sz w:val="21"/>
                <w:szCs w:val="21"/>
                <w:highlight w:val="none"/>
              </w:rPr>
              <w:t>施</w:t>
            </w:r>
          </w:p>
          <w:p>
            <w:pPr>
              <w:spacing w:line="360" w:lineRule="auto"/>
              <w:jc w:val="center"/>
              <w:rPr>
                <w:rFonts w:ascii="宋体"/>
                <w:color w:val="auto"/>
                <w:sz w:val="21"/>
                <w:szCs w:val="21"/>
                <w:highlight w:val="none"/>
              </w:rPr>
            </w:pPr>
            <w:r>
              <w:rPr>
                <w:rFonts w:hint="eastAsia" w:ascii="宋体"/>
                <w:color w:val="auto"/>
                <w:sz w:val="21"/>
                <w:szCs w:val="21"/>
                <w:highlight w:val="none"/>
              </w:rPr>
              <w:t>工</w:t>
            </w:r>
          </w:p>
          <w:p>
            <w:pPr>
              <w:spacing w:line="360" w:lineRule="auto"/>
              <w:jc w:val="center"/>
              <w:rPr>
                <w:rFonts w:ascii="宋体"/>
                <w:color w:val="auto"/>
                <w:sz w:val="21"/>
                <w:szCs w:val="21"/>
                <w:highlight w:val="none"/>
              </w:rPr>
            </w:pPr>
            <w:r>
              <w:rPr>
                <w:rFonts w:hint="eastAsia" w:ascii="宋体"/>
                <w:color w:val="auto"/>
                <w:sz w:val="21"/>
                <w:szCs w:val="21"/>
                <w:highlight w:val="none"/>
              </w:rPr>
              <w:t>机</w:t>
            </w:r>
          </w:p>
          <w:p>
            <w:pPr>
              <w:spacing w:line="360" w:lineRule="auto"/>
              <w:jc w:val="center"/>
              <w:rPr>
                <w:rFonts w:ascii="宋体"/>
                <w:color w:val="auto"/>
                <w:sz w:val="21"/>
                <w:szCs w:val="21"/>
                <w:highlight w:val="none"/>
              </w:rPr>
            </w:pPr>
            <w:r>
              <w:rPr>
                <w:rFonts w:hint="eastAsia" w:ascii="宋体"/>
                <w:color w:val="auto"/>
                <w:sz w:val="21"/>
                <w:szCs w:val="21"/>
                <w:highlight w:val="none"/>
              </w:rPr>
              <w:t>械</w:t>
            </w:r>
          </w:p>
          <w:p>
            <w:pPr>
              <w:spacing w:line="360" w:lineRule="auto"/>
              <w:jc w:val="center"/>
              <w:rPr>
                <w:rFonts w:ascii="宋体"/>
                <w:color w:val="auto"/>
                <w:sz w:val="21"/>
                <w:szCs w:val="21"/>
                <w:highlight w:val="none"/>
              </w:rPr>
            </w:pPr>
            <w:r>
              <w:rPr>
                <w:rFonts w:hint="eastAsia" w:ascii="宋体"/>
                <w:color w:val="auto"/>
                <w:sz w:val="21"/>
                <w:szCs w:val="21"/>
                <w:highlight w:val="none"/>
              </w:rPr>
              <w:t>设</w:t>
            </w:r>
          </w:p>
          <w:p>
            <w:pPr>
              <w:spacing w:line="360" w:lineRule="auto"/>
              <w:jc w:val="center"/>
              <w:rPr>
                <w:rFonts w:ascii="宋体"/>
                <w:color w:val="auto"/>
                <w:sz w:val="21"/>
                <w:szCs w:val="21"/>
                <w:highlight w:val="none"/>
              </w:rPr>
            </w:pPr>
            <w:r>
              <w:rPr>
                <w:rFonts w:hint="eastAsia" w:ascii="宋体"/>
                <w:color w:val="auto"/>
                <w:sz w:val="21"/>
                <w:szCs w:val="21"/>
                <w:highlight w:val="none"/>
              </w:rPr>
              <w:t>备</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名  称</w:t>
            </w:r>
          </w:p>
        </w:tc>
        <w:tc>
          <w:tcPr>
            <w:tcW w:w="9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型号</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数量</w:t>
            </w:r>
          </w:p>
          <w:p>
            <w:pPr>
              <w:spacing w:line="0" w:lineRule="atLeast"/>
              <w:jc w:val="center"/>
              <w:rPr>
                <w:rFonts w:ascii="宋体"/>
                <w:color w:val="auto"/>
                <w:sz w:val="21"/>
                <w:szCs w:val="21"/>
                <w:highlight w:val="none"/>
              </w:rPr>
            </w:pPr>
            <w:r>
              <w:rPr>
                <w:rFonts w:hint="eastAsia" w:ascii="宋体"/>
                <w:color w:val="auto"/>
                <w:sz w:val="21"/>
                <w:szCs w:val="21"/>
                <w:highlight w:val="none"/>
              </w:rPr>
              <w:t>（台）</w:t>
            </w:r>
          </w:p>
        </w:tc>
        <w:tc>
          <w:tcPr>
            <w:tcW w:w="9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总功率</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制造国或产地</w:t>
            </w:r>
          </w:p>
        </w:tc>
        <w:tc>
          <w:tcPr>
            <w:tcW w:w="13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制造日期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1"/>
                <w:szCs w:val="21"/>
                <w:highlight w:val="none"/>
              </w:rPr>
            </w:pPr>
          </w:p>
        </w:tc>
      </w:tr>
    </w:tbl>
    <w:p>
      <w:pPr>
        <w:spacing w:after="240" w:line="360" w:lineRule="auto"/>
        <w:ind w:hanging="119"/>
        <w:rPr>
          <w:rFonts w:ascii="宋体"/>
          <w:color w:val="auto"/>
          <w:sz w:val="21"/>
          <w:szCs w:val="21"/>
          <w:highlight w:val="none"/>
          <w:u w:val="single"/>
        </w:rPr>
      </w:pPr>
      <w:r>
        <w:rPr>
          <w:rFonts w:hint="eastAsia" w:ascii="宋体"/>
          <w:color w:val="auto"/>
          <w:sz w:val="21"/>
          <w:szCs w:val="21"/>
          <w:highlight w:val="none"/>
        </w:rPr>
        <w:t>投标人名称（公章）：</w:t>
      </w:r>
    </w:p>
    <w:p>
      <w:pPr>
        <w:spacing w:line="360" w:lineRule="auto"/>
        <w:rPr>
          <w:rFonts w:ascii="宋体"/>
          <w:color w:val="auto"/>
          <w:sz w:val="21"/>
          <w:szCs w:val="21"/>
          <w:highlight w:val="none"/>
          <w:u w:val="single"/>
        </w:rPr>
      </w:pPr>
      <w:r>
        <w:rPr>
          <w:rFonts w:hint="eastAsia" w:ascii="宋体"/>
          <w:color w:val="auto"/>
          <w:sz w:val="21"/>
          <w:szCs w:val="21"/>
          <w:highlight w:val="none"/>
        </w:rPr>
        <w:t>投标人代表签字</w:t>
      </w:r>
      <w:r>
        <w:rPr>
          <w:rFonts w:hint="eastAsia" w:ascii="宋体"/>
          <w:color w:val="auto"/>
          <w:sz w:val="21"/>
          <w:szCs w:val="21"/>
          <w:highlight w:val="none"/>
          <w:u w:val="single"/>
        </w:rPr>
        <w:t xml:space="preserve">：                        </w:t>
      </w:r>
      <w:bookmarkStart w:id="135" w:name="_Toc262811153"/>
      <w:bookmarkStart w:id="136" w:name="_Toc207435645"/>
    </w:p>
    <w:p>
      <w:pPr>
        <w:spacing w:line="276" w:lineRule="auto"/>
        <w:rPr>
          <w:color w:val="auto"/>
          <w:szCs w:val="24"/>
          <w:highlight w:val="none"/>
        </w:rPr>
      </w:pPr>
    </w:p>
    <w:p>
      <w:pPr>
        <w:outlineLvl w:val="1"/>
        <w:rPr>
          <w:rFonts w:ascii="宋体"/>
          <w:color w:val="auto"/>
          <w:szCs w:val="24"/>
          <w:highlight w:val="none"/>
          <w:u w:val="single"/>
        </w:rPr>
        <w:sectPr>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pStyle w:val="4"/>
        <w:adjustRightInd/>
        <w:spacing w:line="276" w:lineRule="auto"/>
        <w:ind w:left="567"/>
        <w:jc w:val="both"/>
        <w:textAlignment w:val="auto"/>
        <w:rPr>
          <w:rStyle w:val="160"/>
          <w:rFonts w:ascii="宋体" w:eastAsia="宋体"/>
          <w:b w:val="0"/>
          <w:bCs w:val="0"/>
          <w:color w:val="auto"/>
          <w:sz w:val="36"/>
          <w:szCs w:val="36"/>
          <w:highlight w:val="none"/>
        </w:rPr>
      </w:pPr>
      <w:bookmarkStart w:id="137" w:name="_Toc387317154"/>
      <w:bookmarkStart w:id="138" w:name="_Toc17512"/>
      <w:bookmarkStart w:id="139" w:name="_Toc389139116"/>
      <w:r>
        <w:rPr>
          <w:rFonts w:hint="eastAsia" w:ascii="宋体" w:eastAsia="宋体"/>
          <w:bCs w:val="0"/>
          <w:color w:val="auto"/>
          <w:sz w:val="24"/>
          <w:szCs w:val="24"/>
          <w:highlight w:val="none"/>
        </w:rPr>
        <w:t>附件八、</w:t>
      </w:r>
      <w:r>
        <w:rPr>
          <w:rFonts w:hint="eastAsia"/>
          <w:bCs w:val="0"/>
          <w:color w:val="auto"/>
          <w:sz w:val="24"/>
          <w:szCs w:val="24"/>
          <w:highlight w:val="none"/>
        </w:rPr>
        <w:t>拟派往本项目的团队人员一览表</w:t>
      </w:r>
      <w:bookmarkEnd w:id="135"/>
      <w:bookmarkEnd w:id="136"/>
      <w:bookmarkEnd w:id="137"/>
      <w:bookmarkEnd w:id="138"/>
      <w:bookmarkEnd w:id="139"/>
    </w:p>
    <w:tbl>
      <w:tblPr>
        <w:tblStyle w:val="40"/>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20"/>
        <w:gridCol w:w="180"/>
        <w:gridCol w:w="900"/>
        <w:gridCol w:w="540"/>
        <w:gridCol w:w="720"/>
        <w:gridCol w:w="900"/>
        <w:gridCol w:w="180"/>
        <w:gridCol w:w="1620"/>
        <w:gridCol w:w="231"/>
        <w:gridCol w:w="50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5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auto"/>
                <w:sz w:val="21"/>
                <w:szCs w:val="21"/>
                <w:highlight w:val="none"/>
              </w:rPr>
            </w:pPr>
            <w:r>
              <w:rPr>
                <w:rFonts w:hint="eastAsia" w:ascii="宋体"/>
                <w:b/>
                <w:bCs/>
                <w:color w:val="auto"/>
                <w:sz w:val="21"/>
                <w:szCs w:val="21"/>
                <w:highlight w:val="none"/>
              </w:rPr>
              <w:t>拟派人员及构成情况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项目管理部</w:t>
            </w:r>
          </w:p>
          <w:p>
            <w:pPr>
              <w:spacing w:line="360" w:lineRule="auto"/>
              <w:jc w:val="center"/>
              <w:rPr>
                <w:rFonts w:ascii="宋体"/>
                <w:color w:val="auto"/>
                <w:sz w:val="21"/>
                <w:szCs w:val="21"/>
                <w:highlight w:val="none"/>
              </w:rPr>
            </w:pPr>
            <w:r>
              <w:rPr>
                <w:rFonts w:hint="eastAsia" w:ascii="宋体"/>
                <w:color w:val="auto"/>
                <w:sz w:val="21"/>
                <w:szCs w:val="21"/>
                <w:highlight w:val="none"/>
              </w:rPr>
              <w:t>管理人员</w:t>
            </w:r>
          </w:p>
        </w:tc>
        <w:tc>
          <w:tcPr>
            <w:tcW w:w="1620"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（人）</w:t>
            </w:r>
          </w:p>
        </w:tc>
        <w:tc>
          <w:tcPr>
            <w:tcW w:w="563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有职称管理人员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1"/>
                <w:szCs w:val="21"/>
                <w:highlight w:val="none"/>
              </w:rPr>
            </w:pPr>
          </w:p>
        </w:tc>
        <w:tc>
          <w:tcPr>
            <w:tcW w:w="162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1"/>
                <w:szCs w:val="21"/>
                <w:highlight w:val="none"/>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高级</w:t>
            </w:r>
          </w:p>
        </w:tc>
        <w:tc>
          <w:tcPr>
            <w:tcW w:w="1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中级</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1"/>
                <w:szCs w:val="21"/>
                <w:highlight w:val="none"/>
              </w:rPr>
            </w:pPr>
          </w:p>
        </w:tc>
        <w:tc>
          <w:tcPr>
            <w:tcW w:w="162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1"/>
                <w:szCs w:val="21"/>
                <w:highlight w:val="none"/>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姓名</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年龄</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专业</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学历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职称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在本项目</w:t>
            </w:r>
          </w:p>
          <w:p>
            <w:pPr>
              <w:spacing w:line="360" w:lineRule="auto"/>
              <w:jc w:val="center"/>
              <w:rPr>
                <w:rFonts w:ascii="宋体"/>
                <w:color w:val="auto"/>
                <w:sz w:val="21"/>
                <w:szCs w:val="21"/>
                <w:highlight w:val="none"/>
              </w:rPr>
            </w:pPr>
            <w:r>
              <w:rPr>
                <w:rFonts w:hint="eastAsia" w:ascii="宋体"/>
                <w:color w:val="auto"/>
                <w:sz w:val="21"/>
                <w:szCs w:val="21"/>
                <w:highlight w:val="none"/>
              </w:rPr>
              <w:t>拟担任职务</w:t>
            </w:r>
          </w:p>
        </w:tc>
        <w:tc>
          <w:tcPr>
            <w:tcW w:w="7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工作年限</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051" w:type="dxa"/>
            <w:gridSpan w:val="1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r>
              <w:rPr>
                <w:rFonts w:hint="eastAsia" w:ascii="宋体"/>
                <w:color w:val="auto"/>
                <w:sz w:val="21"/>
                <w:szCs w:val="21"/>
                <w:highlight w:val="none"/>
              </w:rPr>
              <w:t>上述拟派现场组织机构各主要岗位的职责概述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051" w:type="dxa"/>
            <w:gridSpan w:val="12"/>
            <w:tcBorders>
              <w:top w:val="single" w:color="auto" w:sz="4" w:space="0"/>
              <w:left w:val="single" w:color="auto" w:sz="4" w:space="0"/>
              <w:right w:val="single" w:color="auto" w:sz="4" w:space="0"/>
            </w:tcBorders>
            <w:vAlign w:val="center"/>
          </w:tcPr>
          <w:p>
            <w:pPr>
              <w:spacing w:line="360" w:lineRule="auto"/>
              <w:jc w:val="center"/>
              <w:rPr>
                <w:rFonts w:ascii="宋体"/>
                <w:color w:val="auto"/>
                <w:sz w:val="21"/>
                <w:szCs w:val="21"/>
                <w:highlight w:val="none"/>
              </w:rPr>
            </w:pPr>
          </w:p>
        </w:tc>
      </w:tr>
    </w:tbl>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我方承诺项目经理，主要技术人员，将在</w:t>
      </w:r>
      <w:r>
        <w:rPr>
          <w:rFonts w:hint="eastAsia" w:ascii="宋体" w:cs="Arial Unicode MS"/>
          <w:color w:val="auto"/>
          <w:sz w:val="21"/>
          <w:szCs w:val="21"/>
          <w:highlight w:val="none"/>
        </w:rPr>
        <w:t>项目实施周期内全职承担本项目工作，未得到招标人许可不能更换项目经理和主要技术人员，同时承诺保证服务期限内实施人员的稳定。</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注：投标人须随本表附拟派往本项目的主要人员资格证书复印件，主要技术人员须为投标人正式在职员工、且实际参加本合同实施工作中涉及到的主要专业负责人。</w:t>
      </w:r>
    </w:p>
    <w:p>
      <w:pPr>
        <w:spacing w:line="360" w:lineRule="auto"/>
        <w:rPr>
          <w:rFonts w:ascii="宋体"/>
          <w:color w:val="auto"/>
          <w:sz w:val="21"/>
          <w:szCs w:val="21"/>
          <w:highlight w:val="none"/>
        </w:rPr>
      </w:pPr>
    </w:p>
    <w:p>
      <w:pPr>
        <w:spacing w:line="360" w:lineRule="auto"/>
        <w:rPr>
          <w:rFonts w:ascii="宋体"/>
          <w:color w:val="auto"/>
          <w:sz w:val="21"/>
          <w:szCs w:val="21"/>
          <w:highlight w:val="none"/>
          <w:u w:val="single"/>
        </w:rPr>
      </w:pPr>
      <w:r>
        <w:rPr>
          <w:rFonts w:hint="eastAsia" w:ascii="宋体"/>
          <w:color w:val="auto"/>
          <w:sz w:val="21"/>
          <w:szCs w:val="21"/>
          <w:highlight w:val="none"/>
        </w:rPr>
        <w:t>投标人名称（公章）：</w:t>
      </w:r>
    </w:p>
    <w:p>
      <w:pPr>
        <w:spacing w:line="360" w:lineRule="auto"/>
        <w:rPr>
          <w:rFonts w:ascii="宋体"/>
          <w:color w:val="auto"/>
          <w:sz w:val="21"/>
          <w:szCs w:val="21"/>
          <w:highlight w:val="none"/>
          <w:u w:val="single"/>
        </w:rPr>
      </w:pPr>
      <w:r>
        <w:rPr>
          <w:rFonts w:hint="eastAsia" w:ascii="宋体"/>
          <w:color w:val="auto"/>
          <w:sz w:val="21"/>
          <w:szCs w:val="21"/>
          <w:highlight w:val="none"/>
        </w:rPr>
        <w:t>投标人代表签字</w:t>
      </w:r>
      <w:r>
        <w:rPr>
          <w:rFonts w:hint="eastAsia" w:ascii="宋体"/>
          <w:color w:val="auto"/>
          <w:sz w:val="21"/>
          <w:szCs w:val="21"/>
          <w:highlight w:val="none"/>
          <w:u w:val="single"/>
        </w:rPr>
        <w:t xml:space="preserve">：                        </w:t>
      </w:r>
    </w:p>
    <w:p>
      <w:pPr>
        <w:pStyle w:val="4"/>
        <w:adjustRightInd/>
        <w:spacing w:line="276" w:lineRule="auto"/>
        <w:ind w:left="567"/>
        <w:jc w:val="both"/>
        <w:textAlignment w:val="auto"/>
        <w:rPr>
          <w:color w:val="auto"/>
          <w:highlight w:val="none"/>
        </w:rPr>
      </w:pPr>
      <w:bookmarkStart w:id="140" w:name="_Toc57897730"/>
      <w:bookmarkStart w:id="141" w:name="_Toc57897624"/>
      <w:bookmarkStart w:id="142" w:name="_Toc57897520"/>
      <w:bookmarkStart w:id="143" w:name="_Toc57896870"/>
      <w:bookmarkStart w:id="144" w:name="_Toc57897664"/>
      <w:r>
        <w:rPr>
          <w:color w:val="auto"/>
          <w:highlight w:val="none"/>
        </w:rPr>
        <w:br w:type="page"/>
      </w:r>
      <w:bookmarkStart w:id="145" w:name="_Toc24021"/>
      <w:bookmarkStart w:id="146" w:name="_Toc262811154"/>
      <w:bookmarkStart w:id="147" w:name="_Toc179866636"/>
      <w:bookmarkStart w:id="148" w:name="_Toc389139117"/>
      <w:bookmarkStart w:id="149" w:name="_Toc387317155"/>
      <w:r>
        <w:rPr>
          <w:rFonts w:hint="eastAsia" w:ascii="宋体" w:eastAsia="宋体"/>
          <w:bCs w:val="0"/>
          <w:color w:val="auto"/>
          <w:sz w:val="24"/>
          <w:szCs w:val="24"/>
          <w:highlight w:val="none"/>
        </w:rPr>
        <w:t>附件九、</w:t>
      </w:r>
      <w:r>
        <w:rPr>
          <w:rFonts w:hint="eastAsia"/>
          <w:bCs w:val="0"/>
          <w:color w:val="auto"/>
          <w:sz w:val="24"/>
          <w:szCs w:val="24"/>
          <w:highlight w:val="none"/>
        </w:rPr>
        <w:t>主要技术负责人简历表</w:t>
      </w:r>
      <w:bookmarkEnd w:id="140"/>
      <w:bookmarkEnd w:id="141"/>
      <w:bookmarkEnd w:id="142"/>
      <w:bookmarkEnd w:id="143"/>
      <w:bookmarkEnd w:id="144"/>
      <w:bookmarkEnd w:id="145"/>
      <w:bookmarkEnd w:id="146"/>
      <w:bookmarkEnd w:id="147"/>
      <w:bookmarkEnd w:id="148"/>
      <w:bookmarkEnd w:id="149"/>
    </w:p>
    <w:p>
      <w:pPr>
        <w:spacing w:line="276" w:lineRule="auto"/>
        <w:rPr>
          <w:rFonts w:ascii="宋体"/>
          <w:color w:val="auto"/>
          <w:highlight w:val="none"/>
        </w:rPr>
      </w:pPr>
    </w:p>
    <w:tbl>
      <w:tblPr>
        <w:tblStyle w:val="40"/>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425"/>
        <w:gridCol w:w="1275"/>
        <w:gridCol w:w="212"/>
        <w:gridCol w:w="1275"/>
        <w:gridCol w:w="212"/>
        <w:gridCol w:w="1275"/>
        <w:gridCol w:w="216"/>
        <w:gridCol w:w="1483"/>
        <w:gridCol w:w="645"/>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姓  名</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性   别</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年   龄</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职  务</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职   称</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学   历</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专  业</w:t>
            </w:r>
          </w:p>
        </w:tc>
        <w:tc>
          <w:tcPr>
            <w:tcW w:w="446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rFonts w:ascii="宋体"/>
                <w:color w:val="auto"/>
                <w:sz w:val="21"/>
                <w:szCs w:val="21"/>
                <w:highlight w:val="none"/>
              </w:rPr>
            </w:pP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rFonts w:ascii="宋体"/>
                <w:color w:val="auto"/>
                <w:sz w:val="21"/>
                <w:szCs w:val="21"/>
                <w:highlight w:val="none"/>
              </w:rPr>
            </w:pPr>
            <w:r>
              <w:rPr>
                <w:rFonts w:hint="eastAsia" w:ascii="宋体"/>
                <w:color w:val="auto"/>
                <w:sz w:val="21"/>
                <w:szCs w:val="21"/>
                <w:highlight w:val="none"/>
              </w:rPr>
              <w:t>工作年限</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70"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rFonts w:ascii="宋体"/>
                <w:color w:val="auto"/>
                <w:sz w:val="21"/>
                <w:szCs w:val="21"/>
                <w:highlight w:val="none"/>
              </w:rPr>
            </w:pPr>
            <w:r>
              <w:rPr>
                <w:rFonts w:hint="eastAsia" w:ascii="宋体"/>
                <w:color w:val="auto"/>
                <w:sz w:val="21"/>
                <w:szCs w:val="21"/>
                <w:highlight w:val="none"/>
              </w:rPr>
              <w:t>在本项目中拟任职务：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70"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承担过的项目情况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序号</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项目名称</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业主单位</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建设规模</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工作范围</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bl>
    <w:p>
      <w:pPr>
        <w:spacing w:after="240" w:line="360" w:lineRule="auto"/>
        <w:rPr>
          <w:rFonts w:ascii="宋体"/>
          <w:color w:val="auto"/>
          <w:sz w:val="21"/>
          <w:szCs w:val="21"/>
          <w:highlight w:val="none"/>
        </w:rPr>
      </w:pPr>
      <w:r>
        <w:rPr>
          <w:rFonts w:hint="eastAsia"/>
          <w:color w:val="auto"/>
          <w:sz w:val="21"/>
          <w:szCs w:val="21"/>
          <w:highlight w:val="none"/>
        </w:rPr>
        <w:t>注： 拟参加本项目建设的项目经理和主要技术人员均须填写本表，一人一表。</w:t>
      </w:r>
    </w:p>
    <w:p>
      <w:pPr>
        <w:spacing w:line="360" w:lineRule="auto"/>
        <w:rPr>
          <w:rFonts w:ascii="宋体"/>
          <w:color w:val="auto"/>
          <w:sz w:val="21"/>
          <w:szCs w:val="21"/>
          <w:highlight w:val="none"/>
        </w:rPr>
      </w:pPr>
    </w:p>
    <w:p>
      <w:pPr>
        <w:spacing w:line="360" w:lineRule="auto"/>
        <w:rPr>
          <w:rFonts w:ascii="宋体"/>
          <w:color w:val="auto"/>
          <w:sz w:val="21"/>
          <w:szCs w:val="21"/>
          <w:highlight w:val="none"/>
        </w:rPr>
      </w:pPr>
    </w:p>
    <w:p>
      <w:pPr>
        <w:spacing w:line="360" w:lineRule="auto"/>
        <w:rPr>
          <w:rFonts w:ascii="宋体"/>
          <w:color w:val="auto"/>
          <w:sz w:val="21"/>
          <w:szCs w:val="21"/>
          <w:highlight w:val="none"/>
          <w:u w:val="single"/>
        </w:rPr>
      </w:pPr>
      <w:r>
        <w:rPr>
          <w:rFonts w:hint="eastAsia" w:ascii="宋体"/>
          <w:color w:val="auto"/>
          <w:sz w:val="21"/>
          <w:szCs w:val="21"/>
          <w:highlight w:val="none"/>
        </w:rPr>
        <w:t>投标人名称（公章）：</w:t>
      </w:r>
    </w:p>
    <w:p>
      <w:pPr>
        <w:spacing w:line="360" w:lineRule="auto"/>
        <w:rPr>
          <w:rFonts w:ascii="宋体"/>
          <w:color w:val="auto"/>
          <w:sz w:val="21"/>
          <w:szCs w:val="21"/>
          <w:highlight w:val="none"/>
          <w:u w:val="single"/>
        </w:rPr>
      </w:pPr>
      <w:r>
        <w:rPr>
          <w:rFonts w:hint="eastAsia" w:ascii="宋体"/>
          <w:color w:val="auto"/>
          <w:sz w:val="21"/>
          <w:szCs w:val="21"/>
          <w:highlight w:val="none"/>
        </w:rPr>
        <w:t>投标人代表签字</w:t>
      </w:r>
      <w:r>
        <w:rPr>
          <w:rFonts w:hint="eastAsia" w:ascii="宋体"/>
          <w:color w:val="auto"/>
          <w:sz w:val="21"/>
          <w:szCs w:val="21"/>
          <w:highlight w:val="none"/>
          <w:u w:val="single"/>
        </w:rPr>
        <w:t xml:space="preserve">：                        </w:t>
      </w:r>
    </w:p>
    <w:p>
      <w:pPr>
        <w:spacing w:line="276" w:lineRule="auto"/>
        <w:rPr>
          <w:rFonts w:ascii="宋体"/>
          <w:color w:val="auto"/>
          <w:highlight w:val="none"/>
        </w:rPr>
      </w:pPr>
    </w:p>
    <w:p>
      <w:pPr>
        <w:spacing w:line="276" w:lineRule="auto"/>
        <w:ind w:firstLine="435"/>
        <w:rPr>
          <w:rFonts w:ascii="宋体"/>
          <w:color w:val="auto"/>
          <w:highlight w:val="none"/>
          <w:u w:val="single"/>
        </w:rPr>
        <w:sectPr>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pStyle w:val="4"/>
        <w:adjustRightInd/>
        <w:spacing w:line="276" w:lineRule="auto"/>
        <w:jc w:val="both"/>
        <w:textAlignment w:val="auto"/>
        <w:rPr>
          <w:bCs w:val="0"/>
          <w:color w:val="auto"/>
          <w:sz w:val="24"/>
          <w:szCs w:val="24"/>
          <w:highlight w:val="none"/>
        </w:rPr>
      </w:pPr>
      <w:bookmarkStart w:id="150" w:name="_Toc262811156"/>
      <w:bookmarkStart w:id="151" w:name="_Toc207435652"/>
      <w:bookmarkStart w:id="152" w:name="_Toc389139119"/>
      <w:bookmarkStart w:id="153" w:name="_Toc9972"/>
      <w:bookmarkStart w:id="154" w:name="_Toc387317157"/>
      <w:r>
        <w:rPr>
          <w:rFonts w:hint="eastAsia" w:ascii="宋体" w:eastAsia="宋体"/>
          <w:bCs w:val="0"/>
          <w:color w:val="auto"/>
          <w:sz w:val="24"/>
          <w:szCs w:val="24"/>
          <w:highlight w:val="none"/>
        </w:rPr>
        <w:t>附件十、</w:t>
      </w:r>
      <w:r>
        <w:rPr>
          <w:rFonts w:hint="eastAsia"/>
          <w:bCs w:val="0"/>
          <w:color w:val="auto"/>
          <w:sz w:val="24"/>
          <w:szCs w:val="24"/>
          <w:highlight w:val="none"/>
        </w:rPr>
        <w:t>投标人同类项目业绩</w:t>
      </w:r>
      <w:bookmarkEnd w:id="150"/>
      <w:bookmarkEnd w:id="151"/>
      <w:bookmarkEnd w:id="152"/>
      <w:bookmarkEnd w:id="153"/>
      <w:bookmarkEnd w:id="154"/>
    </w:p>
    <w:tbl>
      <w:tblPr>
        <w:tblStyle w:val="40"/>
        <w:tblW w:w="9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377"/>
        <w:gridCol w:w="1128"/>
        <w:gridCol w:w="1833"/>
        <w:gridCol w:w="1540"/>
        <w:gridCol w:w="1183"/>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spacing w:line="360" w:lineRule="auto"/>
              <w:jc w:val="center"/>
              <w:rPr>
                <w:rFonts w:ascii="宋体"/>
                <w:color w:val="auto"/>
                <w:sz w:val="21"/>
                <w:szCs w:val="21"/>
                <w:highlight w:val="none"/>
              </w:rPr>
            </w:pPr>
            <w:r>
              <w:rPr>
                <w:rFonts w:hint="eastAsia" w:ascii="宋体" w:cs="宋体"/>
                <w:color w:val="auto"/>
                <w:sz w:val="21"/>
                <w:szCs w:val="21"/>
                <w:highlight w:val="none"/>
              </w:rPr>
              <w:t>编号</w:t>
            </w:r>
          </w:p>
        </w:tc>
        <w:tc>
          <w:tcPr>
            <w:tcW w:w="1377"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项目</w:t>
            </w:r>
          </w:p>
          <w:p>
            <w:pPr>
              <w:spacing w:line="360" w:lineRule="auto"/>
              <w:jc w:val="center"/>
              <w:rPr>
                <w:rFonts w:ascii="宋体"/>
                <w:color w:val="auto"/>
                <w:sz w:val="21"/>
                <w:szCs w:val="21"/>
                <w:highlight w:val="none"/>
              </w:rPr>
            </w:pPr>
            <w:r>
              <w:rPr>
                <w:rFonts w:hint="eastAsia" w:ascii="宋体"/>
                <w:color w:val="auto"/>
                <w:sz w:val="21"/>
                <w:szCs w:val="21"/>
                <w:highlight w:val="none"/>
              </w:rPr>
              <w:t>名称</w:t>
            </w:r>
          </w:p>
        </w:tc>
        <w:tc>
          <w:tcPr>
            <w:tcW w:w="1128"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建设单位</w:t>
            </w:r>
          </w:p>
        </w:tc>
        <w:tc>
          <w:tcPr>
            <w:tcW w:w="1833"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简要描述</w:t>
            </w:r>
          </w:p>
        </w:tc>
        <w:tc>
          <w:tcPr>
            <w:tcW w:w="1540"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合同金额</w:t>
            </w:r>
          </w:p>
          <w:p>
            <w:pPr>
              <w:spacing w:line="360" w:lineRule="auto"/>
              <w:jc w:val="center"/>
              <w:rPr>
                <w:rFonts w:ascii="宋体"/>
                <w:color w:val="auto"/>
                <w:sz w:val="21"/>
                <w:szCs w:val="21"/>
                <w:highlight w:val="none"/>
              </w:rPr>
            </w:pPr>
            <w:r>
              <w:rPr>
                <w:rFonts w:hint="eastAsia" w:ascii="宋体"/>
                <w:color w:val="auto"/>
                <w:sz w:val="21"/>
                <w:szCs w:val="21"/>
                <w:highlight w:val="none"/>
              </w:rPr>
              <w:t>（万元）</w:t>
            </w:r>
          </w:p>
        </w:tc>
        <w:tc>
          <w:tcPr>
            <w:tcW w:w="1183"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上线或验收日期</w:t>
            </w:r>
          </w:p>
        </w:tc>
        <w:tc>
          <w:tcPr>
            <w:tcW w:w="1488"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业主单位联系电话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widowControl/>
              <w:spacing w:line="360" w:lineRule="auto"/>
              <w:jc w:val="center"/>
              <w:rPr>
                <w:rFonts w:ascii="宋体" w:cs="宋体"/>
                <w:color w:val="auto"/>
                <w:sz w:val="21"/>
                <w:szCs w:val="21"/>
                <w:highlight w:val="none"/>
              </w:rPr>
            </w:pPr>
            <w:r>
              <w:rPr>
                <w:rFonts w:hint="eastAsia" w:ascii="宋体" w:cs="宋体"/>
                <w:color w:val="auto"/>
                <w:sz w:val="21"/>
                <w:szCs w:val="21"/>
                <w:highlight w:val="none"/>
              </w:rPr>
              <w:t>1</w:t>
            </w:r>
          </w:p>
        </w:tc>
        <w:tc>
          <w:tcPr>
            <w:tcW w:w="1377" w:type="dxa"/>
            <w:vAlign w:val="center"/>
          </w:tcPr>
          <w:p>
            <w:pPr>
              <w:spacing w:line="360" w:lineRule="auto"/>
              <w:jc w:val="center"/>
              <w:rPr>
                <w:rFonts w:ascii="宋体"/>
                <w:color w:val="auto"/>
                <w:sz w:val="21"/>
                <w:szCs w:val="21"/>
                <w:highlight w:val="none"/>
              </w:rPr>
            </w:pPr>
          </w:p>
        </w:tc>
        <w:tc>
          <w:tcPr>
            <w:tcW w:w="1128" w:type="dxa"/>
            <w:vAlign w:val="center"/>
          </w:tcPr>
          <w:p>
            <w:pPr>
              <w:spacing w:line="360" w:lineRule="auto"/>
              <w:jc w:val="center"/>
              <w:rPr>
                <w:rFonts w:ascii="宋体"/>
                <w:color w:val="auto"/>
                <w:sz w:val="21"/>
                <w:szCs w:val="21"/>
                <w:highlight w:val="none"/>
              </w:rPr>
            </w:pPr>
          </w:p>
        </w:tc>
        <w:tc>
          <w:tcPr>
            <w:tcW w:w="1833" w:type="dxa"/>
            <w:vAlign w:val="center"/>
          </w:tcPr>
          <w:p>
            <w:pPr>
              <w:spacing w:line="360" w:lineRule="auto"/>
              <w:jc w:val="center"/>
              <w:rPr>
                <w:rFonts w:ascii="宋体"/>
                <w:color w:val="auto"/>
                <w:sz w:val="21"/>
                <w:szCs w:val="21"/>
                <w:highlight w:val="none"/>
              </w:rPr>
            </w:pPr>
          </w:p>
        </w:tc>
        <w:tc>
          <w:tcPr>
            <w:tcW w:w="1540" w:type="dxa"/>
            <w:vAlign w:val="center"/>
          </w:tcPr>
          <w:p>
            <w:pPr>
              <w:spacing w:line="360" w:lineRule="auto"/>
              <w:jc w:val="center"/>
              <w:rPr>
                <w:rFonts w:ascii="宋体"/>
                <w:color w:val="auto"/>
                <w:sz w:val="21"/>
                <w:szCs w:val="21"/>
                <w:highlight w:val="none"/>
              </w:rPr>
            </w:pPr>
          </w:p>
        </w:tc>
        <w:tc>
          <w:tcPr>
            <w:tcW w:w="1183" w:type="dxa"/>
            <w:vAlign w:val="center"/>
          </w:tcPr>
          <w:p>
            <w:pPr>
              <w:spacing w:line="360" w:lineRule="auto"/>
              <w:jc w:val="center"/>
              <w:rPr>
                <w:rFonts w:ascii="宋体"/>
                <w:color w:val="auto"/>
                <w:sz w:val="21"/>
                <w:szCs w:val="21"/>
                <w:highlight w:val="none"/>
              </w:rPr>
            </w:pPr>
          </w:p>
        </w:tc>
        <w:tc>
          <w:tcPr>
            <w:tcW w:w="1488" w:type="dxa"/>
            <w:vAlign w:val="center"/>
          </w:tcPr>
          <w:p>
            <w:pPr>
              <w:spacing w:line="360" w:lineRule="auto"/>
              <w:jc w:val="center"/>
              <w:rPr>
                <w:rFonts w:asci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widowControl/>
              <w:spacing w:line="360" w:lineRule="auto"/>
              <w:jc w:val="center"/>
              <w:rPr>
                <w:rFonts w:ascii="宋体" w:cs="宋体"/>
                <w:color w:val="auto"/>
                <w:sz w:val="21"/>
                <w:szCs w:val="21"/>
                <w:highlight w:val="none"/>
              </w:rPr>
            </w:pPr>
            <w:r>
              <w:rPr>
                <w:rFonts w:hint="eastAsia" w:ascii="宋体"/>
                <w:color w:val="auto"/>
                <w:sz w:val="21"/>
                <w:szCs w:val="21"/>
                <w:highlight w:val="none"/>
              </w:rPr>
              <w:t>2</w:t>
            </w:r>
          </w:p>
        </w:tc>
        <w:tc>
          <w:tcPr>
            <w:tcW w:w="1377" w:type="dxa"/>
            <w:vAlign w:val="center"/>
          </w:tcPr>
          <w:p>
            <w:pPr>
              <w:spacing w:line="360" w:lineRule="auto"/>
              <w:jc w:val="center"/>
              <w:rPr>
                <w:rFonts w:ascii="宋体"/>
                <w:color w:val="auto"/>
                <w:sz w:val="21"/>
                <w:szCs w:val="21"/>
                <w:highlight w:val="none"/>
              </w:rPr>
            </w:pPr>
          </w:p>
        </w:tc>
        <w:tc>
          <w:tcPr>
            <w:tcW w:w="1128" w:type="dxa"/>
            <w:vAlign w:val="center"/>
          </w:tcPr>
          <w:p>
            <w:pPr>
              <w:spacing w:line="360" w:lineRule="auto"/>
              <w:jc w:val="center"/>
              <w:rPr>
                <w:rFonts w:ascii="宋体"/>
                <w:color w:val="auto"/>
                <w:sz w:val="21"/>
                <w:szCs w:val="21"/>
                <w:highlight w:val="none"/>
              </w:rPr>
            </w:pPr>
          </w:p>
        </w:tc>
        <w:tc>
          <w:tcPr>
            <w:tcW w:w="1833" w:type="dxa"/>
            <w:vAlign w:val="center"/>
          </w:tcPr>
          <w:p>
            <w:pPr>
              <w:spacing w:line="360" w:lineRule="auto"/>
              <w:jc w:val="center"/>
              <w:rPr>
                <w:rFonts w:ascii="宋体"/>
                <w:color w:val="auto"/>
                <w:sz w:val="21"/>
                <w:szCs w:val="21"/>
                <w:highlight w:val="none"/>
              </w:rPr>
            </w:pPr>
          </w:p>
        </w:tc>
        <w:tc>
          <w:tcPr>
            <w:tcW w:w="1540" w:type="dxa"/>
            <w:vAlign w:val="center"/>
          </w:tcPr>
          <w:p>
            <w:pPr>
              <w:spacing w:line="360" w:lineRule="auto"/>
              <w:jc w:val="center"/>
              <w:rPr>
                <w:rFonts w:ascii="宋体"/>
                <w:color w:val="auto"/>
                <w:sz w:val="21"/>
                <w:szCs w:val="21"/>
                <w:highlight w:val="none"/>
              </w:rPr>
            </w:pPr>
          </w:p>
        </w:tc>
        <w:tc>
          <w:tcPr>
            <w:tcW w:w="1183" w:type="dxa"/>
            <w:vAlign w:val="center"/>
          </w:tcPr>
          <w:p>
            <w:pPr>
              <w:spacing w:line="360" w:lineRule="auto"/>
              <w:jc w:val="center"/>
              <w:rPr>
                <w:rFonts w:ascii="宋体"/>
                <w:color w:val="auto"/>
                <w:sz w:val="21"/>
                <w:szCs w:val="21"/>
                <w:highlight w:val="none"/>
              </w:rPr>
            </w:pPr>
          </w:p>
        </w:tc>
        <w:tc>
          <w:tcPr>
            <w:tcW w:w="1488" w:type="dxa"/>
            <w:vAlign w:val="center"/>
          </w:tcPr>
          <w:p>
            <w:pPr>
              <w:spacing w:line="360" w:lineRule="auto"/>
              <w:jc w:val="center"/>
              <w:rPr>
                <w:rFonts w:asci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widowControl/>
              <w:spacing w:line="360" w:lineRule="auto"/>
              <w:jc w:val="center"/>
              <w:rPr>
                <w:rFonts w:ascii="宋体" w:cs="宋体"/>
                <w:color w:val="auto"/>
                <w:sz w:val="21"/>
                <w:szCs w:val="21"/>
                <w:highlight w:val="none"/>
              </w:rPr>
            </w:pPr>
            <w:r>
              <w:rPr>
                <w:rFonts w:hint="eastAsia" w:ascii="宋体" w:cs="宋体"/>
                <w:color w:val="auto"/>
                <w:sz w:val="21"/>
                <w:szCs w:val="21"/>
                <w:highlight w:val="none"/>
              </w:rPr>
              <w:t>3</w:t>
            </w:r>
          </w:p>
        </w:tc>
        <w:tc>
          <w:tcPr>
            <w:tcW w:w="1377" w:type="dxa"/>
            <w:vAlign w:val="center"/>
          </w:tcPr>
          <w:p>
            <w:pPr>
              <w:spacing w:line="360" w:lineRule="auto"/>
              <w:jc w:val="center"/>
              <w:rPr>
                <w:rFonts w:ascii="宋体"/>
                <w:color w:val="auto"/>
                <w:sz w:val="21"/>
                <w:szCs w:val="21"/>
                <w:highlight w:val="none"/>
              </w:rPr>
            </w:pPr>
          </w:p>
        </w:tc>
        <w:tc>
          <w:tcPr>
            <w:tcW w:w="1128" w:type="dxa"/>
            <w:vAlign w:val="center"/>
          </w:tcPr>
          <w:p>
            <w:pPr>
              <w:spacing w:line="360" w:lineRule="auto"/>
              <w:jc w:val="center"/>
              <w:rPr>
                <w:rFonts w:ascii="宋体"/>
                <w:color w:val="auto"/>
                <w:sz w:val="21"/>
                <w:szCs w:val="21"/>
                <w:highlight w:val="none"/>
              </w:rPr>
            </w:pPr>
          </w:p>
        </w:tc>
        <w:tc>
          <w:tcPr>
            <w:tcW w:w="1833" w:type="dxa"/>
            <w:vAlign w:val="center"/>
          </w:tcPr>
          <w:p>
            <w:pPr>
              <w:spacing w:line="360" w:lineRule="auto"/>
              <w:jc w:val="center"/>
              <w:rPr>
                <w:rFonts w:ascii="宋体"/>
                <w:color w:val="auto"/>
                <w:sz w:val="21"/>
                <w:szCs w:val="21"/>
                <w:highlight w:val="none"/>
              </w:rPr>
            </w:pPr>
          </w:p>
        </w:tc>
        <w:tc>
          <w:tcPr>
            <w:tcW w:w="1540" w:type="dxa"/>
            <w:vAlign w:val="center"/>
          </w:tcPr>
          <w:p>
            <w:pPr>
              <w:spacing w:line="360" w:lineRule="auto"/>
              <w:jc w:val="center"/>
              <w:rPr>
                <w:rFonts w:ascii="宋体"/>
                <w:color w:val="auto"/>
                <w:sz w:val="21"/>
                <w:szCs w:val="21"/>
                <w:highlight w:val="none"/>
              </w:rPr>
            </w:pPr>
          </w:p>
        </w:tc>
        <w:tc>
          <w:tcPr>
            <w:tcW w:w="1183" w:type="dxa"/>
            <w:vAlign w:val="center"/>
          </w:tcPr>
          <w:p>
            <w:pPr>
              <w:spacing w:line="360" w:lineRule="auto"/>
              <w:jc w:val="center"/>
              <w:rPr>
                <w:rFonts w:ascii="宋体"/>
                <w:color w:val="auto"/>
                <w:sz w:val="21"/>
                <w:szCs w:val="21"/>
                <w:highlight w:val="none"/>
              </w:rPr>
            </w:pPr>
          </w:p>
        </w:tc>
        <w:tc>
          <w:tcPr>
            <w:tcW w:w="1488" w:type="dxa"/>
            <w:vAlign w:val="center"/>
          </w:tcPr>
          <w:p>
            <w:pPr>
              <w:spacing w:line="360" w:lineRule="auto"/>
              <w:jc w:val="center"/>
              <w:rPr>
                <w:rFonts w:asci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widowControl/>
              <w:spacing w:line="360" w:lineRule="auto"/>
              <w:jc w:val="center"/>
              <w:rPr>
                <w:rFonts w:ascii="宋体" w:cs="宋体"/>
                <w:color w:val="auto"/>
                <w:sz w:val="21"/>
                <w:szCs w:val="21"/>
                <w:highlight w:val="none"/>
              </w:rPr>
            </w:pPr>
            <w:r>
              <w:rPr>
                <w:rFonts w:hint="eastAsia" w:ascii="宋体"/>
                <w:color w:val="auto"/>
                <w:sz w:val="21"/>
                <w:szCs w:val="21"/>
                <w:highlight w:val="none"/>
              </w:rPr>
              <w:t>…</w:t>
            </w:r>
          </w:p>
        </w:tc>
        <w:tc>
          <w:tcPr>
            <w:tcW w:w="1377" w:type="dxa"/>
            <w:vAlign w:val="center"/>
          </w:tcPr>
          <w:p>
            <w:pPr>
              <w:spacing w:line="360" w:lineRule="auto"/>
              <w:jc w:val="center"/>
              <w:rPr>
                <w:rFonts w:ascii="宋体"/>
                <w:color w:val="auto"/>
                <w:sz w:val="21"/>
                <w:szCs w:val="21"/>
                <w:highlight w:val="none"/>
              </w:rPr>
            </w:pPr>
          </w:p>
        </w:tc>
        <w:tc>
          <w:tcPr>
            <w:tcW w:w="1128" w:type="dxa"/>
            <w:vAlign w:val="center"/>
          </w:tcPr>
          <w:p>
            <w:pPr>
              <w:spacing w:line="360" w:lineRule="auto"/>
              <w:jc w:val="center"/>
              <w:rPr>
                <w:rFonts w:ascii="宋体"/>
                <w:color w:val="auto"/>
                <w:sz w:val="21"/>
                <w:szCs w:val="21"/>
                <w:highlight w:val="none"/>
              </w:rPr>
            </w:pPr>
          </w:p>
        </w:tc>
        <w:tc>
          <w:tcPr>
            <w:tcW w:w="1833" w:type="dxa"/>
            <w:vAlign w:val="center"/>
          </w:tcPr>
          <w:p>
            <w:pPr>
              <w:spacing w:line="360" w:lineRule="auto"/>
              <w:jc w:val="center"/>
              <w:rPr>
                <w:rFonts w:ascii="宋体"/>
                <w:color w:val="auto"/>
                <w:sz w:val="21"/>
                <w:szCs w:val="21"/>
                <w:highlight w:val="none"/>
              </w:rPr>
            </w:pPr>
          </w:p>
        </w:tc>
        <w:tc>
          <w:tcPr>
            <w:tcW w:w="1540" w:type="dxa"/>
            <w:vAlign w:val="center"/>
          </w:tcPr>
          <w:p>
            <w:pPr>
              <w:spacing w:line="360" w:lineRule="auto"/>
              <w:jc w:val="center"/>
              <w:rPr>
                <w:rFonts w:ascii="宋体"/>
                <w:color w:val="auto"/>
                <w:sz w:val="21"/>
                <w:szCs w:val="21"/>
                <w:highlight w:val="none"/>
              </w:rPr>
            </w:pPr>
          </w:p>
        </w:tc>
        <w:tc>
          <w:tcPr>
            <w:tcW w:w="1183" w:type="dxa"/>
            <w:vAlign w:val="center"/>
          </w:tcPr>
          <w:p>
            <w:pPr>
              <w:spacing w:line="360" w:lineRule="auto"/>
              <w:jc w:val="center"/>
              <w:rPr>
                <w:rFonts w:ascii="宋体"/>
                <w:color w:val="auto"/>
                <w:sz w:val="21"/>
                <w:szCs w:val="21"/>
                <w:highlight w:val="none"/>
              </w:rPr>
            </w:pPr>
          </w:p>
        </w:tc>
        <w:tc>
          <w:tcPr>
            <w:tcW w:w="1488" w:type="dxa"/>
            <w:vAlign w:val="center"/>
          </w:tcPr>
          <w:p>
            <w:pPr>
              <w:spacing w:line="360" w:lineRule="auto"/>
              <w:jc w:val="center"/>
              <w:rPr>
                <w:rFonts w:ascii="宋体"/>
                <w:color w:val="auto"/>
                <w:sz w:val="21"/>
                <w:szCs w:val="21"/>
                <w:highlight w:val="none"/>
              </w:rPr>
            </w:pPr>
          </w:p>
        </w:tc>
      </w:tr>
    </w:tbl>
    <w:p>
      <w:pPr>
        <w:spacing w:line="360" w:lineRule="auto"/>
        <w:rPr>
          <w:rFonts w:ascii="宋体"/>
          <w:color w:val="auto"/>
          <w:sz w:val="21"/>
          <w:szCs w:val="21"/>
          <w:highlight w:val="none"/>
        </w:rPr>
      </w:pPr>
      <w:r>
        <w:rPr>
          <w:rFonts w:hint="eastAsia" w:ascii="宋体"/>
          <w:color w:val="auto"/>
          <w:sz w:val="21"/>
          <w:szCs w:val="21"/>
          <w:highlight w:val="none"/>
        </w:rPr>
        <w:t>注：１、同类项目指与本项目同类型的项目。</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2、投标人应随本表提供合同或其他有效证明材料（彩色扫描件或复印件，并加盖投标人公章），证明材料须清晰显示：项目名称、项目内容及服务时间、甲乙双方单位名称和单位公章等。</w:t>
      </w:r>
      <w:r>
        <w:rPr>
          <w:rFonts w:hint="eastAsia" w:ascii="宋体"/>
          <w:bCs/>
          <w:color w:val="auto"/>
          <w:sz w:val="21"/>
          <w:szCs w:val="21"/>
          <w:highlight w:val="none"/>
        </w:rPr>
        <w:t>申请人须将相关证明材料按本表方式进行编号并按顺序装订提交。未提供有效证明材料的业绩在评标时将不予认可。</w:t>
      </w:r>
    </w:p>
    <w:p>
      <w:pPr>
        <w:spacing w:line="360" w:lineRule="auto"/>
        <w:ind w:firstLine="420" w:firstLineChars="200"/>
        <w:rPr>
          <w:rFonts w:ascii="宋体"/>
          <w:color w:val="auto"/>
          <w:sz w:val="21"/>
          <w:szCs w:val="21"/>
          <w:highlight w:val="none"/>
        </w:rPr>
      </w:pPr>
    </w:p>
    <w:p>
      <w:pPr>
        <w:spacing w:line="360" w:lineRule="auto"/>
        <w:rPr>
          <w:rFonts w:ascii="宋体"/>
          <w:color w:val="auto"/>
          <w:sz w:val="21"/>
          <w:szCs w:val="21"/>
          <w:highlight w:val="none"/>
          <w:u w:val="single"/>
        </w:rPr>
      </w:pPr>
      <w:r>
        <w:rPr>
          <w:rFonts w:hint="eastAsia" w:ascii="宋体"/>
          <w:color w:val="auto"/>
          <w:sz w:val="21"/>
          <w:szCs w:val="21"/>
          <w:highlight w:val="none"/>
        </w:rPr>
        <w:t>投标人名称（公章）：</w:t>
      </w:r>
    </w:p>
    <w:p>
      <w:pPr>
        <w:spacing w:line="360" w:lineRule="auto"/>
        <w:rPr>
          <w:rFonts w:ascii="宋体"/>
          <w:color w:val="auto"/>
          <w:sz w:val="21"/>
          <w:szCs w:val="21"/>
          <w:highlight w:val="none"/>
          <w:u w:val="single"/>
        </w:rPr>
      </w:pPr>
      <w:r>
        <w:rPr>
          <w:rFonts w:hint="eastAsia" w:ascii="宋体"/>
          <w:color w:val="auto"/>
          <w:sz w:val="21"/>
          <w:szCs w:val="21"/>
          <w:highlight w:val="none"/>
        </w:rPr>
        <w:t>投标人代表签字</w:t>
      </w:r>
      <w:r>
        <w:rPr>
          <w:rFonts w:hint="eastAsia" w:ascii="宋体"/>
          <w:color w:val="auto"/>
          <w:sz w:val="21"/>
          <w:szCs w:val="21"/>
          <w:highlight w:val="none"/>
          <w:u w:val="single"/>
        </w:rPr>
        <w:t xml:space="preserve">：                        </w:t>
      </w:r>
      <w:bookmarkStart w:id="155" w:name="_Toc387317158"/>
      <w:bookmarkStart w:id="156" w:name="_Toc389139120"/>
    </w:p>
    <w:p>
      <w:pPr>
        <w:spacing w:line="276" w:lineRule="auto"/>
        <w:rPr>
          <w:rFonts w:ascii="宋体"/>
          <w:color w:val="auto"/>
          <w:szCs w:val="24"/>
          <w:highlight w:val="none"/>
          <w:u w:val="single"/>
        </w:rPr>
      </w:pPr>
    </w:p>
    <w:p>
      <w:pPr>
        <w:wordWrap w:val="0"/>
        <w:spacing w:line="440" w:lineRule="exact"/>
        <w:jc w:val="both"/>
        <w:rPr>
          <w:rFonts w:ascii="宋体" w:hAnsi="宋体"/>
          <w:color w:val="auto"/>
          <w:sz w:val="21"/>
          <w:szCs w:val="21"/>
          <w:highlight w:val="none"/>
        </w:rPr>
      </w:pPr>
      <w:r>
        <w:rPr>
          <w:rFonts w:ascii="宋体"/>
          <w:color w:val="auto"/>
          <w:szCs w:val="24"/>
          <w:highlight w:val="none"/>
          <w:u w:val="single"/>
        </w:rPr>
        <w:br w:type="page"/>
      </w:r>
      <w:bookmarkEnd w:id="155"/>
      <w:bookmarkEnd w:id="156"/>
      <w:bookmarkStart w:id="157" w:name="_Toc11089"/>
      <w:bookmarkStart w:id="158" w:name="_Toc241827265"/>
      <w:bookmarkStart w:id="159" w:name="_Toc389139122"/>
      <w:bookmarkStart w:id="160" w:name="_Toc387317160"/>
      <w:r>
        <w:rPr>
          <w:rFonts w:hint="eastAsia" w:ascii="宋体" w:hAnsi="宋体"/>
          <w:color w:val="auto"/>
          <w:sz w:val="21"/>
          <w:szCs w:val="21"/>
          <w:highlight w:val="none"/>
        </w:rPr>
        <w:t>附件十一、</w:t>
      </w:r>
      <w:bookmarkEnd w:id="134"/>
      <w:bookmarkEnd w:id="157"/>
      <w:bookmarkEnd w:id="158"/>
      <w:bookmarkEnd w:id="159"/>
      <w:bookmarkEnd w:id="160"/>
      <w:bookmarkStart w:id="161" w:name="_Toc241827266"/>
    </w:p>
    <w:p>
      <w:pPr>
        <w:wordWrap w:val="0"/>
        <w:spacing w:line="440" w:lineRule="exact"/>
        <w:jc w:val="center"/>
        <w:rPr>
          <w:rFonts w:ascii="宋体" w:hAnsi="宋体"/>
          <w:b/>
          <w:color w:val="auto"/>
          <w:sz w:val="21"/>
          <w:szCs w:val="21"/>
          <w:highlight w:val="none"/>
        </w:rPr>
      </w:pPr>
      <w:r>
        <w:rPr>
          <w:rFonts w:hint="eastAsia" w:ascii="宋体" w:hAnsi="宋体"/>
          <w:b/>
          <w:color w:val="auto"/>
          <w:sz w:val="21"/>
          <w:szCs w:val="21"/>
          <w:highlight w:val="none"/>
        </w:rPr>
        <w:t>供应商一般情况表</w:t>
      </w:r>
    </w:p>
    <w:tbl>
      <w:tblPr>
        <w:tblStyle w:val="40"/>
        <w:tblW w:w="877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1</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2</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3</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4</w:t>
            </w:r>
          </w:p>
        </w:tc>
        <w:tc>
          <w:tcPr>
            <w:tcW w:w="4305" w:type="dxa"/>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电</w:t>
            </w:r>
            <w:r>
              <w:rPr>
                <w:rFonts w:ascii="宋体" w:hAnsi="宋体"/>
                <w:color w:val="auto"/>
                <w:sz w:val="21"/>
                <w:szCs w:val="21"/>
                <w:highlight w:val="none"/>
              </w:rPr>
              <w:t xml:space="preserve">  </w:t>
            </w:r>
            <w:r>
              <w:rPr>
                <w:rFonts w:hint="eastAsia" w:ascii="宋体" w:hAnsi="宋体"/>
                <w:color w:val="auto"/>
                <w:sz w:val="21"/>
                <w:szCs w:val="21"/>
                <w:highlight w:val="none"/>
              </w:rPr>
              <w:t>话：</w:t>
            </w:r>
          </w:p>
        </w:tc>
        <w:tc>
          <w:tcPr>
            <w:tcW w:w="3842"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联</w:t>
            </w:r>
            <w:r>
              <w:rPr>
                <w:rFonts w:ascii="宋体" w:hAnsi="宋体"/>
                <w:color w:val="auto"/>
                <w:sz w:val="21"/>
                <w:szCs w:val="21"/>
                <w:highlight w:val="none"/>
              </w:rPr>
              <w:t xml:space="preserve"> </w:t>
            </w:r>
            <w:r>
              <w:rPr>
                <w:rFonts w:hint="eastAsia" w:ascii="宋体" w:hAnsi="宋体"/>
                <w:color w:val="auto"/>
                <w:sz w:val="21"/>
                <w:szCs w:val="21"/>
                <w:highlight w:val="none"/>
              </w:rPr>
              <w:t>系</w:t>
            </w:r>
            <w:r>
              <w:rPr>
                <w:rFonts w:ascii="宋体" w:hAnsi="宋体"/>
                <w:color w:val="auto"/>
                <w:sz w:val="21"/>
                <w:szCs w:val="21"/>
                <w:highlight w:val="none"/>
              </w:rPr>
              <w:t xml:space="preserve"> </w:t>
            </w:r>
            <w:r>
              <w:rPr>
                <w:rFonts w:hint="eastAsia" w:ascii="宋体" w:hAnsi="宋体"/>
                <w:color w:val="auto"/>
                <w:sz w:val="21"/>
                <w:szCs w:val="21"/>
                <w:highlight w:val="none"/>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5</w:t>
            </w:r>
          </w:p>
        </w:tc>
        <w:tc>
          <w:tcPr>
            <w:tcW w:w="4305" w:type="dxa"/>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传</w:t>
            </w:r>
            <w:r>
              <w:rPr>
                <w:rFonts w:ascii="宋体" w:hAnsi="宋体"/>
                <w:color w:val="auto"/>
                <w:sz w:val="21"/>
                <w:szCs w:val="21"/>
                <w:highlight w:val="none"/>
              </w:rPr>
              <w:t xml:space="preserve">  </w:t>
            </w:r>
            <w:r>
              <w:rPr>
                <w:rFonts w:hint="eastAsia" w:ascii="宋体" w:hAnsi="宋体"/>
                <w:color w:val="auto"/>
                <w:sz w:val="21"/>
                <w:szCs w:val="21"/>
                <w:highlight w:val="none"/>
              </w:rPr>
              <w:t>真：</w:t>
            </w:r>
          </w:p>
        </w:tc>
        <w:tc>
          <w:tcPr>
            <w:tcW w:w="3842"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6</w:t>
            </w:r>
          </w:p>
        </w:tc>
        <w:tc>
          <w:tcPr>
            <w:tcW w:w="4305" w:type="dxa"/>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注册地：</w:t>
            </w:r>
          </w:p>
        </w:tc>
        <w:tc>
          <w:tcPr>
            <w:tcW w:w="3842"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7</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8</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9</w:t>
            </w:r>
          </w:p>
        </w:tc>
        <w:tc>
          <w:tcPr>
            <w:tcW w:w="4314"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从业人员数量</w:t>
            </w:r>
          </w:p>
        </w:tc>
        <w:tc>
          <w:tcPr>
            <w:tcW w:w="3833" w:type="dxa"/>
            <w:vAlign w:val="center"/>
          </w:tcPr>
          <w:p>
            <w:pPr>
              <w:wordWrap w:val="0"/>
              <w:spacing w:line="400" w:lineRule="exact"/>
              <w:rPr>
                <w:rFonts w:ascii="宋体"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10</w:t>
            </w:r>
          </w:p>
        </w:tc>
        <w:tc>
          <w:tcPr>
            <w:tcW w:w="4314"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营业收入</w:t>
            </w:r>
          </w:p>
        </w:tc>
        <w:tc>
          <w:tcPr>
            <w:tcW w:w="3833" w:type="dxa"/>
            <w:vAlign w:val="center"/>
          </w:tcPr>
          <w:p>
            <w:pPr>
              <w:wordWrap w:val="0"/>
              <w:spacing w:line="400" w:lineRule="exact"/>
              <w:rPr>
                <w:rFonts w:ascii="宋体"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11</w:t>
            </w:r>
          </w:p>
        </w:tc>
        <w:tc>
          <w:tcPr>
            <w:tcW w:w="4314"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其他需要说明的情况</w:t>
            </w:r>
          </w:p>
        </w:tc>
        <w:tc>
          <w:tcPr>
            <w:tcW w:w="3833" w:type="dxa"/>
            <w:vAlign w:val="center"/>
          </w:tcPr>
          <w:p>
            <w:pPr>
              <w:wordWrap w:val="0"/>
              <w:spacing w:line="400" w:lineRule="exact"/>
              <w:rPr>
                <w:rFonts w:ascii="宋体" w:hAnsi="宋体"/>
                <w:color w:val="auto"/>
                <w:sz w:val="21"/>
                <w:szCs w:val="21"/>
                <w:highlight w:val="none"/>
              </w:rPr>
            </w:pPr>
          </w:p>
        </w:tc>
      </w:tr>
    </w:tbl>
    <w:p>
      <w:pPr>
        <w:wordWrap w:val="0"/>
        <w:spacing w:line="400" w:lineRule="atLeast"/>
        <w:rPr>
          <w:rFonts w:ascii="宋体" w:hAnsi="宋体"/>
          <w:color w:val="auto"/>
          <w:sz w:val="21"/>
          <w:szCs w:val="21"/>
          <w:highlight w:val="none"/>
        </w:rPr>
      </w:pPr>
    </w:p>
    <w:p>
      <w:pPr>
        <w:wordWrap w:val="0"/>
        <w:spacing w:line="400" w:lineRule="atLeast"/>
        <w:rPr>
          <w:rFonts w:ascii="宋体" w:hAnsi="宋体"/>
          <w:color w:val="auto"/>
          <w:sz w:val="21"/>
          <w:szCs w:val="21"/>
          <w:highlight w:val="none"/>
        </w:rPr>
      </w:pPr>
    </w:p>
    <w:p>
      <w:pPr>
        <w:wordWrap w:val="0"/>
        <w:spacing w:line="400" w:lineRule="atLeast"/>
        <w:rPr>
          <w:rFonts w:ascii="宋体" w:hAnsi="宋体"/>
          <w:color w:val="auto"/>
          <w:sz w:val="21"/>
          <w:szCs w:val="21"/>
          <w:highlight w:val="none"/>
        </w:rPr>
      </w:pPr>
      <w:r>
        <w:rPr>
          <w:rFonts w:hint="eastAsia" w:ascii="宋体" w:hAnsi="宋体"/>
          <w:color w:val="auto"/>
          <w:sz w:val="21"/>
          <w:szCs w:val="21"/>
          <w:highlight w:val="none"/>
        </w:rPr>
        <w:t>供应商（盖章）：</w:t>
      </w:r>
    </w:p>
    <w:p>
      <w:pPr>
        <w:spacing w:before="100" w:after="100" w:line="276" w:lineRule="auto"/>
        <w:ind w:firstLine="5040" w:firstLineChars="2400"/>
        <w:jc w:val="both"/>
        <w:rPr>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期：</w:t>
      </w:r>
    </w:p>
    <w:p>
      <w:pPr>
        <w:pStyle w:val="3"/>
        <w:spacing w:line="276" w:lineRule="auto"/>
        <w:rPr>
          <w:b w:val="0"/>
          <w:color w:val="auto"/>
          <w:sz w:val="24"/>
          <w:szCs w:val="20"/>
          <w:highlight w:val="none"/>
        </w:rPr>
        <w:sectPr>
          <w:pgSz w:w="11906" w:h="16838"/>
          <w:pgMar w:top="1418" w:right="1134" w:bottom="1418" w:left="1588" w:header="851" w:footer="992"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bookmarkEnd w:id="161"/>
    <w:p>
      <w:pPr>
        <w:pStyle w:val="4"/>
        <w:tabs>
          <w:tab w:val="left" w:pos="420"/>
          <w:tab w:val="clear" w:pos="0"/>
        </w:tabs>
        <w:spacing w:line="276" w:lineRule="auto"/>
        <w:rPr>
          <w:rFonts w:ascii="宋体" w:eastAsia="宋体"/>
          <w:color w:val="auto"/>
          <w:sz w:val="24"/>
          <w:szCs w:val="24"/>
          <w:highlight w:val="none"/>
        </w:rPr>
      </w:pPr>
      <w:bookmarkStart w:id="162" w:name="_Toc387317161"/>
      <w:bookmarkStart w:id="163" w:name="_Toc389139123"/>
      <w:bookmarkStart w:id="164" w:name="_Toc8168"/>
      <w:bookmarkStart w:id="165" w:name="_Toc425251522"/>
      <w:r>
        <w:rPr>
          <w:rFonts w:hint="eastAsia" w:ascii="宋体" w:eastAsia="宋体"/>
          <w:color w:val="auto"/>
          <w:sz w:val="24"/>
          <w:szCs w:val="24"/>
          <w:highlight w:val="none"/>
        </w:rPr>
        <w:t>附件十二、中小企业声明函</w:t>
      </w:r>
      <w:bookmarkEnd w:id="162"/>
      <w:bookmarkEnd w:id="163"/>
      <w:bookmarkEnd w:id="164"/>
      <w:bookmarkEnd w:id="165"/>
    </w:p>
    <w:p>
      <w:pPr>
        <w:widowControl/>
        <w:spacing w:before="100" w:beforeAutospacing="1" w:after="100" w:afterAutospacing="1" w:line="276" w:lineRule="auto"/>
        <w:jc w:val="center"/>
        <w:rPr>
          <w:rFonts w:ascii="方正书宋_GBK" w:eastAsia="方正书宋_GBK" w:cs="Arial"/>
          <w:color w:val="auto"/>
          <w:szCs w:val="24"/>
          <w:highlight w:val="none"/>
        </w:rPr>
      </w:pPr>
      <w:r>
        <w:rPr>
          <w:rFonts w:hint="eastAsia" w:ascii="方正书宋_GBK" w:eastAsia="方正书宋_GBK" w:cs="Arial"/>
          <w:b/>
          <w:bCs/>
          <w:color w:val="auto"/>
          <w:szCs w:val="24"/>
          <w:highlight w:val="none"/>
        </w:rPr>
        <w:t>中小企业声明函</w:t>
      </w:r>
    </w:p>
    <w:p>
      <w:pPr>
        <w:pStyle w:val="2"/>
        <w:spacing w:line="360" w:lineRule="auto"/>
        <w:ind w:firstLine="456" w:firstLineChars="200"/>
        <w:jc w:val="left"/>
        <w:rPr>
          <w:rFonts w:ascii="宋体" w:hAnsi="宋体" w:cs="宋体"/>
          <w:color w:val="auto"/>
          <w:sz w:val="24"/>
          <w:szCs w:val="24"/>
          <w:highlight w:val="none"/>
        </w:rPr>
      </w:pPr>
      <w:r>
        <w:rPr>
          <w:rFonts w:hint="eastAsia" w:ascii="宋体" w:hAnsi="宋体" w:cs="宋体"/>
          <w:color w:val="auto"/>
          <w:w w:val="95"/>
          <w:sz w:val="24"/>
          <w:szCs w:val="24"/>
          <w:highlight w:val="none"/>
        </w:rPr>
        <w:t>本公司郑重声明，根据《政府采购促进中小</w:t>
      </w:r>
      <w:r>
        <w:rPr>
          <w:rFonts w:hint="eastAsia" w:ascii="宋体" w:hAnsi="宋体" w:cs="宋体"/>
          <w:color w:val="auto"/>
          <w:spacing w:val="-6"/>
          <w:sz w:val="24"/>
          <w:szCs w:val="24"/>
          <w:highlight w:val="none"/>
        </w:rPr>
        <w:t>企业发展管理办法》（财库﹝2020﹞46</w:t>
      </w:r>
      <w:r>
        <w:rPr>
          <w:rFonts w:hint="eastAsia" w:ascii="宋体" w:hAnsi="宋体" w:cs="宋体"/>
          <w:color w:val="auto"/>
          <w:spacing w:val="-92"/>
          <w:sz w:val="24"/>
          <w:szCs w:val="24"/>
          <w:highlight w:val="none"/>
        </w:rPr>
        <w:t xml:space="preserve"> </w:t>
      </w:r>
      <w:r>
        <w:rPr>
          <w:rFonts w:hint="eastAsia" w:ascii="宋体" w:hAnsi="宋体" w:cs="宋体"/>
          <w:color w:val="auto"/>
          <w:spacing w:val="3"/>
          <w:sz w:val="24"/>
          <w:szCs w:val="24"/>
          <w:highlight w:val="none"/>
        </w:rPr>
        <w:t>号）的规定，本公司</w:t>
      </w:r>
      <w:r>
        <w:rPr>
          <w:rFonts w:hint="eastAsia" w:ascii="宋体" w:hAnsi="宋体" w:cs="宋体"/>
          <w:color w:val="auto"/>
          <w:w w:val="95"/>
          <w:sz w:val="24"/>
          <w:szCs w:val="24"/>
          <w:highlight w:val="none"/>
        </w:rPr>
        <w:t>参加</w:t>
      </w:r>
      <w:r>
        <w:rPr>
          <w:rFonts w:hint="eastAsia" w:ascii="宋体" w:hAnsi="宋体" w:cs="宋体"/>
          <w:color w:val="auto"/>
          <w:w w:val="95"/>
          <w:sz w:val="24"/>
          <w:szCs w:val="24"/>
          <w:highlight w:val="none"/>
          <w:u w:val="single"/>
        </w:rPr>
        <w:t>（单位名称）</w:t>
      </w:r>
      <w:r>
        <w:rPr>
          <w:rFonts w:hint="eastAsia" w:ascii="宋体" w:hAnsi="宋体" w:cs="宋体"/>
          <w:color w:val="auto"/>
          <w:w w:val="95"/>
          <w:sz w:val="24"/>
          <w:szCs w:val="24"/>
          <w:highlight w:val="none"/>
        </w:rPr>
        <w:t>的</w:t>
      </w:r>
      <w:r>
        <w:rPr>
          <w:rFonts w:hint="eastAsia" w:ascii="宋体" w:hAnsi="宋体" w:cs="宋体"/>
          <w:color w:val="auto"/>
          <w:w w:val="95"/>
          <w:sz w:val="24"/>
          <w:szCs w:val="24"/>
          <w:highlight w:val="none"/>
          <w:u w:val="single"/>
        </w:rPr>
        <w:t>（项目名称）</w:t>
      </w:r>
      <w:r>
        <w:rPr>
          <w:rFonts w:hint="eastAsia" w:ascii="宋体" w:hAnsi="宋体" w:cs="宋体"/>
          <w:color w:val="auto"/>
          <w:w w:val="95"/>
          <w:sz w:val="24"/>
          <w:szCs w:val="24"/>
          <w:highlight w:val="none"/>
        </w:rPr>
        <w:t>采购活动</w:t>
      </w:r>
      <w:r>
        <w:rPr>
          <w:rFonts w:hint="eastAsia" w:ascii="宋体" w:hAnsi="宋体" w:cs="宋体"/>
          <w:color w:val="auto"/>
          <w:spacing w:val="-49"/>
          <w:sz w:val="24"/>
          <w:szCs w:val="24"/>
          <w:highlight w:val="none"/>
        </w:rPr>
        <w:t>，</w:t>
      </w:r>
      <w:r>
        <w:rPr>
          <w:rFonts w:hint="eastAsia" w:ascii="宋体" w:hAnsi="宋体" w:cs="宋体"/>
          <w:color w:val="auto"/>
          <w:w w:val="95"/>
          <w:sz w:val="24"/>
          <w:szCs w:val="24"/>
          <w:highlight w:val="none"/>
        </w:rPr>
        <w:t>服务全部由符合政策要求的中小企业承接。相关企业（含联合体中的中小企业、签订分包意向协议的中小企业）的具体情</w:t>
      </w:r>
      <w:r>
        <w:rPr>
          <w:rFonts w:hint="eastAsia" w:ascii="宋体" w:hAnsi="宋体" w:cs="宋体"/>
          <w:color w:val="auto"/>
          <w:sz w:val="24"/>
          <w:szCs w:val="24"/>
          <w:highlight w:val="none"/>
        </w:rPr>
        <w:t>况如下：</w:t>
      </w:r>
    </w:p>
    <w:p>
      <w:pPr>
        <w:pStyle w:val="2"/>
        <w:spacing w:line="360" w:lineRule="auto"/>
        <w:ind w:firstLine="456" w:firstLineChars="200"/>
        <w:rPr>
          <w:rFonts w:ascii="宋体" w:hAnsi="宋体" w:cs="宋体"/>
          <w:color w:val="auto"/>
          <w:w w:val="95"/>
          <w:sz w:val="24"/>
          <w:szCs w:val="24"/>
          <w:highlight w:val="none"/>
        </w:rPr>
      </w:pPr>
      <w:r>
        <w:rPr>
          <w:rFonts w:hint="eastAsia" w:ascii="宋体" w:hAnsi="宋体" w:cs="宋体"/>
          <w:color w:val="auto"/>
          <w:w w:val="95"/>
          <w:sz w:val="24"/>
          <w:szCs w:val="24"/>
          <w:highlight w:val="none"/>
        </w:rPr>
        <w:t>1.</w:t>
      </w:r>
      <w:r>
        <w:rPr>
          <w:rFonts w:hint="eastAsia" w:ascii="宋体" w:hAnsi="宋体" w:cs="宋体"/>
          <w:color w:val="auto"/>
          <w:w w:val="95"/>
          <w:sz w:val="24"/>
          <w:szCs w:val="24"/>
          <w:highlight w:val="none"/>
          <w:u w:val="single"/>
        </w:rPr>
        <w:t>（标的名称）</w:t>
      </w:r>
      <w:r>
        <w:rPr>
          <w:rFonts w:hint="eastAsia" w:ascii="宋体" w:hAnsi="宋体" w:cs="宋体"/>
          <w:color w:val="auto"/>
          <w:w w:val="95"/>
          <w:sz w:val="24"/>
          <w:szCs w:val="24"/>
          <w:highlight w:val="none"/>
        </w:rPr>
        <w:t>，属于</w:t>
      </w:r>
      <w:r>
        <w:rPr>
          <w:rFonts w:hint="eastAsia" w:ascii="宋体" w:hAnsi="宋体" w:cs="宋体"/>
          <w:color w:val="auto"/>
          <w:w w:val="95"/>
          <w:sz w:val="24"/>
          <w:szCs w:val="24"/>
          <w:highlight w:val="none"/>
          <w:u w:val="single"/>
        </w:rPr>
        <w:t>其他未列明行业</w:t>
      </w:r>
      <w:r>
        <w:rPr>
          <w:rFonts w:hint="eastAsia" w:ascii="宋体" w:hAnsi="宋体" w:cs="宋体"/>
          <w:color w:val="auto"/>
          <w:w w:val="95"/>
          <w:sz w:val="24"/>
          <w:szCs w:val="24"/>
          <w:highlight w:val="none"/>
        </w:rPr>
        <w:t>；承建（承接）企业为</w:t>
      </w:r>
      <w:r>
        <w:rPr>
          <w:rFonts w:hint="eastAsia" w:ascii="宋体" w:hAnsi="宋体" w:cs="宋体"/>
          <w:color w:val="auto"/>
          <w:w w:val="95"/>
          <w:sz w:val="24"/>
          <w:szCs w:val="24"/>
          <w:highlight w:val="none"/>
          <w:u w:val="single"/>
        </w:rPr>
        <w:t>（企业名称）</w:t>
      </w:r>
      <w:r>
        <w:rPr>
          <w:rFonts w:hint="eastAsia" w:ascii="宋体" w:hAnsi="宋体" w:cs="宋体"/>
          <w:color w:val="auto"/>
          <w:w w:val="95"/>
          <w:sz w:val="24"/>
          <w:szCs w:val="24"/>
          <w:highlight w:val="none"/>
        </w:rPr>
        <w:t>，从业人员</w:t>
      </w:r>
      <w:r>
        <w:rPr>
          <w:rFonts w:hint="eastAsia" w:ascii="宋体" w:hAnsi="宋体" w:cs="宋体"/>
          <w:color w:val="auto"/>
          <w:w w:val="95"/>
          <w:sz w:val="24"/>
          <w:szCs w:val="24"/>
          <w:highlight w:val="none"/>
          <w:u w:val="single"/>
        </w:rPr>
        <w:t xml:space="preserve">   </w:t>
      </w:r>
      <w:r>
        <w:rPr>
          <w:rFonts w:hint="eastAsia" w:ascii="宋体" w:hAnsi="宋体" w:cs="宋体"/>
          <w:color w:val="auto"/>
          <w:w w:val="95"/>
          <w:sz w:val="24"/>
          <w:szCs w:val="24"/>
          <w:highlight w:val="none"/>
        </w:rPr>
        <w:t>人，营业收入为</w:t>
      </w:r>
      <w:r>
        <w:rPr>
          <w:rFonts w:hint="eastAsia" w:ascii="宋体" w:hAnsi="宋体" w:cs="宋体"/>
          <w:color w:val="auto"/>
          <w:w w:val="95"/>
          <w:sz w:val="24"/>
          <w:szCs w:val="24"/>
          <w:highlight w:val="none"/>
          <w:u w:val="single"/>
        </w:rPr>
        <w:t xml:space="preserve">   </w:t>
      </w:r>
      <w:r>
        <w:rPr>
          <w:rFonts w:hint="eastAsia" w:ascii="宋体" w:hAnsi="宋体" w:cs="宋体"/>
          <w:color w:val="auto"/>
          <w:w w:val="95"/>
          <w:sz w:val="24"/>
          <w:szCs w:val="24"/>
          <w:highlight w:val="none"/>
        </w:rPr>
        <w:t>万元，资产总额为</w:t>
      </w:r>
      <w:r>
        <w:rPr>
          <w:rFonts w:hint="eastAsia" w:ascii="宋体" w:hAnsi="宋体" w:cs="宋体"/>
          <w:color w:val="auto"/>
          <w:w w:val="95"/>
          <w:sz w:val="24"/>
          <w:szCs w:val="24"/>
          <w:highlight w:val="none"/>
          <w:u w:val="single"/>
        </w:rPr>
        <w:t xml:space="preserve">   </w:t>
      </w:r>
      <w:r>
        <w:rPr>
          <w:rFonts w:hint="eastAsia" w:ascii="宋体" w:hAnsi="宋体" w:cs="宋体"/>
          <w:color w:val="auto"/>
          <w:w w:val="95"/>
          <w:sz w:val="24"/>
          <w:szCs w:val="24"/>
          <w:highlight w:val="none"/>
        </w:rPr>
        <w:t>万元，属于</w:t>
      </w:r>
      <w:r>
        <w:rPr>
          <w:rFonts w:hint="eastAsia" w:ascii="宋体" w:hAnsi="宋体" w:cs="宋体"/>
          <w:color w:val="auto"/>
          <w:w w:val="95"/>
          <w:sz w:val="24"/>
          <w:szCs w:val="24"/>
          <w:highlight w:val="none"/>
          <w:u w:val="single"/>
        </w:rPr>
        <w:t>（中型企业、小型企业、微型企业）</w:t>
      </w:r>
      <w:r>
        <w:rPr>
          <w:rFonts w:hint="eastAsia" w:ascii="宋体" w:hAnsi="宋体" w:cs="宋体"/>
          <w:color w:val="auto"/>
          <w:w w:val="95"/>
          <w:sz w:val="24"/>
          <w:szCs w:val="24"/>
          <w:highlight w:val="none"/>
        </w:rPr>
        <w:t>；</w:t>
      </w:r>
    </w:p>
    <w:p>
      <w:pPr>
        <w:pStyle w:val="2"/>
        <w:spacing w:line="360" w:lineRule="auto"/>
        <w:ind w:firstLine="456" w:firstLineChars="200"/>
        <w:jc w:val="left"/>
        <w:rPr>
          <w:rFonts w:ascii="宋体" w:hAnsi="宋体" w:cs="宋体"/>
          <w:color w:val="auto"/>
          <w:w w:val="95"/>
          <w:sz w:val="24"/>
          <w:szCs w:val="24"/>
          <w:highlight w:val="none"/>
        </w:rPr>
      </w:pPr>
      <w:r>
        <w:rPr>
          <w:rFonts w:hint="eastAsia" w:ascii="宋体" w:hAnsi="宋体" w:cs="宋体"/>
          <w:color w:val="auto"/>
          <w:w w:val="95"/>
          <w:sz w:val="24"/>
          <w:szCs w:val="24"/>
          <w:highlight w:val="none"/>
        </w:rPr>
        <w:t>...</w:t>
      </w:r>
    </w:p>
    <w:p>
      <w:pPr>
        <w:pStyle w:val="2"/>
        <w:spacing w:line="360" w:lineRule="auto"/>
        <w:ind w:firstLine="456" w:firstLineChars="200"/>
        <w:jc w:val="left"/>
        <w:rPr>
          <w:rFonts w:ascii="宋体" w:hAnsi="宋体" w:cs="宋体"/>
          <w:color w:val="auto"/>
          <w:w w:val="95"/>
          <w:sz w:val="24"/>
          <w:szCs w:val="24"/>
          <w:highlight w:val="none"/>
        </w:rPr>
      </w:pPr>
      <w:r>
        <w:rPr>
          <w:rFonts w:hint="eastAsia" w:ascii="宋体" w:hAnsi="宋体" w:cs="宋体"/>
          <w:color w:val="auto"/>
          <w:w w:val="95"/>
          <w:sz w:val="24"/>
          <w:szCs w:val="24"/>
          <w:highlight w:val="none"/>
        </w:rPr>
        <w:t>以上企业，不属于大企业的分支机构，不存在控股股东为大企业的情形，也不存在与大企业的负责人为同一人的情形。</w:t>
      </w:r>
    </w:p>
    <w:p>
      <w:pPr>
        <w:pStyle w:val="2"/>
        <w:spacing w:line="360" w:lineRule="auto"/>
        <w:ind w:firstLine="456" w:firstLineChars="200"/>
        <w:jc w:val="left"/>
        <w:rPr>
          <w:rFonts w:ascii="宋体" w:hAnsi="宋体" w:cs="宋体"/>
          <w:color w:val="auto"/>
          <w:sz w:val="24"/>
          <w:szCs w:val="24"/>
          <w:highlight w:val="none"/>
        </w:rPr>
      </w:pPr>
      <w:r>
        <w:rPr>
          <w:rFonts w:hint="eastAsia" w:ascii="宋体" w:hAnsi="宋体" w:cs="宋体"/>
          <w:color w:val="auto"/>
          <w:w w:val="95"/>
          <w:sz w:val="24"/>
          <w:szCs w:val="24"/>
          <w:highlight w:val="none"/>
        </w:rPr>
        <w:t>本企业对上述声明内容的真实性负责。如有虚假，将依</w:t>
      </w:r>
      <w:r>
        <w:rPr>
          <w:rFonts w:hint="eastAsia" w:ascii="宋体" w:hAnsi="宋体" w:cs="宋体"/>
          <w:color w:val="auto"/>
          <w:sz w:val="24"/>
          <w:szCs w:val="24"/>
          <w:highlight w:val="none"/>
        </w:rPr>
        <w:t>法承担相应责任。</w:t>
      </w:r>
    </w:p>
    <w:p>
      <w:pPr>
        <w:pStyle w:val="2"/>
        <w:spacing w:line="360" w:lineRule="auto"/>
        <w:ind w:firstLine="408" w:firstLineChars="200"/>
        <w:jc w:val="left"/>
        <w:rPr>
          <w:rFonts w:ascii="宋体" w:hAnsi="宋体" w:cs="宋体"/>
          <w:color w:val="auto"/>
          <w:spacing w:val="-18"/>
          <w:sz w:val="24"/>
          <w:szCs w:val="24"/>
          <w:highlight w:val="none"/>
        </w:rPr>
      </w:pPr>
    </w:p>
    <w:p>
      <w:pPr>
        <w:pStyle w:val="2"/>
        <w:spacing w:line="360" w:lineRule="auto"/>
        <w:ind w:firstLine="408" w:firstLineChars="200"/>
        <w:jc w:val="left"/>
        <w:rPr>
          <w:rFonts w:ascii="宋体" w:hAnsi="宋体" w:cs="宋体"/>
          <w:color w:val="auto"/>
          <w:spacing w:val="-18"/>
          <w:sz w:val="24"/>
          <w:szCs w:val="24"/>
          <w:highlight w:val="none"/>
        </w:rPr>
      </w:pPr>
    </w:p>
    <w:p>
      <w:pPr>
        <w:pStyle w:val="2"/>
        <w:spacing w:line="360" w:lineRule="auto"/>
        <w:ind w:firstLine="408" w:firstLineChars="200"/>
        <w:jc w:val="left"/>
        <w:rPr>
          <w:rFonts w:ascii="宋体" w:hAnsi="宋体" w:cs="宋体"/>
          <w:color w:val="auto"/>
          <w:spacing w:val="-18"/>
          <w:sz w:val="24"/>
          <w:szCs w:val="24"/>
          <w:highlight w:val="none"/>
        </w:rPr>
      </w:pPr>
      <w:r>
        <w:rPr>
          <w:rFonts w:hint="eastAsia" w:ascii="宋体" w:hAnsi="宋体" w:cs="宋体"/>
          <w:color w:val="auto"/>
          <w:spacing w:val="-18"/>
          <w:sz w:val="24"/>
          <w:szCs w:val="24"/>
          <w:highlight w:val="none"/>
        </w:rPr>
        <w:t>企业名称（盖章）：</w:t>
      </w:r>
    </w:p>
    <w:p>
      <w:pPr>
        <w:widowControl/>
        <w:adjustRightInd/>
        <w:spacing w:line="360" w:lineRule="auto"/>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日</w:t>
      </w:r>
      <w:r>
        <w:rPr>
          <w:rFonts w:hint="eastAsia" w:ascii="宋体" w:hAnsi="宋体" w:cs="宋体"/>
          <w:color w:val="auto"/>
          <w:spacing w:val="-91"/>
          <w:szCs w:val="24"/>
          <w:highlight w:val="none"/>
        </w:rPr>
        <w:t xml:space="preserve"> </w:t>
      </w:r>
      <w:r>
        <w:rPr>
          <w:rFonts w:hint="eastAsia" w:ascii="宋体" w:hAnsi="宋体" w:cs="宋体"/>
          <w:color w:val="auto"/>
          <w:szCs w:val="24"/>
          <w:highlight w:val="none"/>
        </w:rPr>
        <w:t>期：</w:t>
      </w:r>
    </w:p>
    <w:p>
      <w:pPr>
        <w:widowControl/>
        <w:adjustRightInd/>
        <w:spacing w:line="360" w:lineRule="auto"/>
        <w:ind w:firstLine="480" w:firstLineChars="200"/>
        <w:textAlignment w:val="auto"/>
        <w:rPr>
          <w:rFonts w:ascii="宋体" w:hAnsi="宋体" w:cs="宋体"/>
          <w:color w:val="auto"/>
          <w:szCs w:val="24"/>
          <w:highlight w:val="none"/>
        </w:rPr>
      </w:pPr>
    </w:p>
    <w:p>
      <w:pPr>
        <w:widowControl/>
        <w:adjustRightInd/>
        <w:spacing w:line="360" w:lineRule="auto"/>
        <w:ind w:firstLine="360" w:firstLineChars="200"/>
        <w:textAlignment w:val="auto"/>
        <w:rPr>
          <w:color w:val="auto"/>
          <w:sz w:val="21"/>
          <w:szCs w:val="21"/>
          <w:highlight w:val="none"/>
        </w:rPr>
      </w:pPr>
      <w:r>
        <w:rPr>
          <w:rFonts w:hint="eastAsia" w:ascii="宋体" w:hAnsi="宋体" w:cs="宋体"/>
          <w:color w:val="auto"/>
          <w:sz w:val="18"/>
          <w:szCs w:val="18"/>
          <w:highlight w:val="none"/>
        </w:rPr>
        <w:t>注：</w:t>
      </w:r>
      <w:r>
        <w:rPr>
          <w:rFonts w:ascii="宋体" w:hAnsi="宋体" w:cs="宋体"/>
          <w:color w:val="auto"/>
          <w:sz w:val="18"/>
          <w:szCs w:val="18"/>
          <w:highlight w:val="none"/>
        </w:rPr>
        <w:t>从业人员、营业收入、资产总额填报上一年度数据，无上一年度数据的新成立企业可不填报。</w:t>
      </w:r>
      <w:r>
        <w:rPr>
          <w:color w:val="auto"/>
          <w:sz w:val="21"/>
          <w:szCs w:val="21"/>
          <w:highlight w:val="none"/>
        </w:rPr>
        <w:br w:type="page"/>
      </w:r>
    </w:p>
    <w:p>
      <w:pPr>
        <w:spacing w:line="360" w:lineRule="auto"/>
        <w:jc w:val="center"/>
        <w:rPr>
          <w:rFonts w:ascii="宋体" w:hAnsi="宋体"/>
          <w:b/>
          <w:color w:val="auto"/>
          <w:sz w:val="21"/>
          <w:szCs w:val="21"/>
          <w:highlight w:val="none"/>
        </w:rPr>
      </w:pPr>
      <w:r>
        <w:rPr>
          <w:rFonts w:ascii="宋体" w:hAnsi="宋体"/>
          <w:b/>
          <w:color w:val="auto"/>
          <w:sz w:val="21"/>
          <w:szCs w:val="21"/>
          <w:highlight w:val="none"/>
        </w:rPr>
        <w:t>C</w:t>
      </w:r>
      <w:r>
        <w:rPr>
          <w:rFonts w:hint="eastAsia" w:ascii="宋体" w:hAnsi="宋体"/>
          <w:b/>
          <w:color w:val="auto"/>
          <w:sz w:val="21"/>
          <w:szCs w:val="21"/>
          <w:highlight w:val="none"/>
        </w:rPr>
        <w:t>4残疾人福利性单位声明函（如有需提供）</w:t>
      </w:r>
    </w:p>
    <w:p>
      <w:pPr>
        <w:wordWrap w:val="0"/>
        <w:spacing w:line="588"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本单位郑重声明，根据《财政部</w:t>
      </w:r>
      <w:r>
        <w:rPr>
          <w:rFonts w:ascii="宋体" w:hAnsi="宋体"/>
          <w:color w:val="auto"/>
          <w:sz w:val="21"/>
          <w:szCs w:val="21"/>
          <w:highlight w:val="none"/>
        </w:rPr>
        <w:t xml:space="preserve"> </w:t>
      </w:r>
      <w:r>
        <w:rPr>
          <w:rFonts w:hint="eastAsia" w:ascii="宋体" w:hAnsi="宋体"/>
          <w:color w:val="auto"/>
          <w:sz w:val="21"/>
          <w:szCs w:val="21"/>
          <w:highlight w:val="none"/>
        </w:rPr>
        <w:t>民政部</w:t>
      </w:r>
      <w:r>
        <w:rPr>
          <w:rFonts w:ascii="宋体" w:hAnsi="宋体"/>
          <w:color w:val="auto"/>
          <w:sz w:val="21"/>
          <w:szCs w:val="21"/>
          <w:highlight w:val="none"/>
        </w:rPr>
        <w:t xml:space="preserve"> </w:t>
      </w:r>
      <w:r>
        <w:rPr>
          <w:rFonts w:hint="eastAsia" w:ascii="宋体" w:hAnsi="宋体"/>
          <w:color w:val="auto"/>
          <w:sz w:val="21"/>
          <w:szCs w:val="21"/>
          <w:highlight w:val="none"/>
        </w:rPr>
        <w:t>中国残疾人联合会关于促进残疾人就业政府采购政策的通知》（财库〔</w:t>
      </w:r>
      <w:r>
        <w:rPr>
          <w:rFonts w:ascii="宋体" w:hAnsi="宋体"/>
          <w:color w:val="auto"/>
          <w:sz w:val="21"/>
          <w:szCs w:val="21"/>
          <w:highlight w:val="none"/>
        </w:rPr>
        <w:t>2017</w:t>
      </w:r>
      <w:r>
        <w:rPr>
          <w:rFonts w:hint="eastAsia" w:ascii="宋体" w:hAnsi="宋体"/>
          <w:color w:val="auto"/>
          <w:sz w:val="21"/>
          <w:szCs w:val="21"/>
          <w:highlight w:val="none"/>
        </w:rPr>
        <w:t>〕</w:t>
      </w:r>
      <w:r>
        <w:rPr>
          <w:rFonts w:ascii="宋体" w:hAnsi="宋体"/>
          <w:color w:val="auto"/>
          <w:sz w:val="21"/>
          <w:szCs w:val="21"/>
          <w:highlight w:val="none"/>
        </w:rPr>
        <w:t>141</w:t>
      </w:r>
      <w:r>
        <w:rPr>
          <w:rFonts w:hint="eastAsia" w:ascii="宋体" w:hAnsi="宋体"/>
          <w:color w:val="auto"/>
          <w:sz w:val="21"/>
          <w:szCs w:val="21"/>
          <w:highlight w:val="none"/>
        </w:rPr>
        <w:t>号）的规定，本单位为符合条件的残疾人福利性单位，且本单位参加</w:t>
      </w:r>
      <w:r>
        <w:rPr>
          <w:rFonts w:ascii="宋体" w:hAnsi="宋体"/>
          <w:color w:val="auto"/>
          <w:sz w:val="21"/>
          <w:szCs w:val="21"/>
          <w:highlight w:val="none"/>
        </w:rPr>
        <w:t>______</w:t>
      </w:r>
      <w:r>
        <w:rPr>
          <w:rFonts w:hint="eastAsia" w:ascii="宋体" w:hAnsi="宋体"/>
          <w:color w:val="auto"/>
          <w:sz w:val="21"/>
          <w:szCs w:val="21"/>
          <w:highlight w:val="none"/>
        </w:rPr>
        <w:t>单位的</w:t>
      </w:r>
      <w:r>
        <w:rPr>
          <w:rFonts w:ascii="宋体" w:hAnsi="宋体"/>
          <w:color w:val="auto"/>
          <w:sz w:val="21"/>
          <w:szCs w:val="21"/>
          <w:highlight w:val="none"/>
        </w:rPr>
        <w:t>______</w:t>
      </w:r>
      <w:r>
        <w:rPr>
          <w:rFonts w:hint="eastAsia" w:ascii="宋体" w:hAnsi="宋体"/>
          <w:color w:val="auto"/>
          <w:sz w:val="21"/>
          <w:szCs w:val="21"/>
          <w:highlight w:val="none"/>
        </w:rPr>
        <w:t>项目采购活动提供本单位制造的货物（由本单位承担工程</w:t>
      </w:r>
      <w:r>
        <w:rPr>
          <w:rFonts w:ascii="宋体" w:hAnsi="宋体"/>
          <w:color w:val="auto"/>
          <w:sz w:val="21"/>
          <w:szCs w:val="21"/>
          <w:highlight w:val="none"/>
        </w:rPr>
        <w:t>/</w:t>
      </w:r>
      <w:r>
        <w:rPr>
          <w:rFonts w:hint="eastAsia" w:ascii="宋体" w:hAnsi="宋体"/>
          <w:color w:val="auto"/>
          <w:sz w:val="21"/>
          <w:szCs w:val="21"/>
          <w:highlight w:val="none"/>
        </w:rPr>
        <w:t>提供服务），或者提供其他残疾人福利性单位制造的货物（不包括使用非残疾人福利性单位注册商标的货物）。</w:t>
      </w:r>
    </w:p>
    <w:p>
      <w:pPr>
        <w:wordWrap w:val="0"/>
        <w:spacing w:line="588"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pPr>
        <w:wordWrap w:val="0"/>
        <w:spacing w:line="588" w:lineRule="exact"/>
        <w:ind w:firstLine="420" w:firstLineChars="200"/>
        <w:rPr>
          <w:rFonts w:ascii="宋体" w:hAnsi="宋体"/>
          <w:color w:val="auto"/>
          <w:sz w:val="21"/>
          <w:szCs w:val="21"/>
          <w:highlight w:val="none"/>
        </w:rPr>
      </w:pPr>
    </w:p>
    <w:p>
      <w:pPr>
        <w:wordWrap w:val="0"/>
        <w:spacing w:line="588" w:lineRule="exact"/>
        <w:ind w:firstLine="420" w:firstLineChars="200"/>
        <w:rPr>
          <w:rFonts w:ascii="宋体" w:hAnsi="宋体"/>
          <w:color w:val="auto"/>
          <w:sz w:val="21"/>
          <w:szCs w:val="21"/>
          <w:highlight w:val="none"/>
        </w:rPr>
      </w:pPr>
    </w:p>
    <w:p>
      <w:pPr>
        <w:tabs>
          <w:tab w:val="left" w:pos="4860"/>
        </w:tabs>
        <w:wordWrap w:val="0"/>
        <w:spacing w:line="588" w:lineRule="exact"/>
        <w:ind w:right="1560" w:firstLine="840" w:firstLineChars="400"/>
        <w:jc w:val="both"/>
        <w:rPr>
          <w:rFonts w:ascii="宋体" w:hAnsi="宋体"/>
          <w:color w:val="auto"/>
          <w:sz w:val="21"/>
          <w:szCs w:val="21"/>
          <w:highlight w:val="none"/>
        </w:rPr>
      </w:pPr>
      <w:r>
        <w:rPr>
          <w:rFonts w:hint="eastAsia" w:ascii="宋体" w:hAnsi="宋体"/>
          <w:color w:val="auto"/>
          <w:sz w:val="21"/>
          <w:szCs w:val="21"/>
          <w:highlight w:val="none"/>
        </w:rPr>
        <w:t>单位名称（盖章）：</w:t>
      </w:r>
    </w:p>
    <w:p>
      <w:pPr>
        <w:spacing w:line="400" w:lineRule="exact"/>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期：</w:t>
      </w:r>
    </w:p>
    <w:p>
      <w:pPr>
        <w:rPr>
          <w:rFonts w:ascii="宋体" w:hAnsi="宋体"/>
          <w:color w:val="auto"/>
          <w:sz w:val="21"/>
          <w:szCs w:val="21"/>
          <w:highlight w:val="none"/>
        </w:rPr>
      </w:pPr>
      <w:r>
        <w:rPr>
          <w:rFonts w:hint="eastAsia" w:ascii="宋体" w:hAnsi="宋体"/>
          <w:color w:val="auto"/>
          <w:sz w:val="21"/>
          <w:szCs w:val="21"/>
          <w:highlight w:val="none"/>
        </w:rPr>
        <w:br w:type="page"/>
      </w:r>
    </w:p>
    <w:p>
      <w:pPr>
        <w:widowControl/>
        <w:wordWrap w:val="0"/>
        <w:jc w:val="center"/>
        <w:rPr>
          <w:rFonts w:ascii="宋体" w:hAnsi="宋体" w:cs="宋体"/>
          <w:b/>
          <w:bCs/>
          <w:color w:val="auto"/>
          <w:highlight w:val="none"/>
        </w:rPr>
        <w:sectPr>
          <w:pgSz w:w="11906" w:h="16838"/>
          <w:pgMar w:top="1418" w:right="1134" w:bottom="1418" w:left="1588" w:header="851" w:footer="992"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tbl>
      <w:tblPr>
        <w:tblStyle w:val="40"/>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pPr>
              <w:widowControl/>
              <w:wordWrap w:val="0"/>
              <w:jc w:val="center"/>
              <w:rPr>
                <w:rFonts w:ascii="宋体" w:hAnsi="宋体" w:cs="宋体"/>
                <w:b/>
                <w:bCs/>
                <w:color w:val="auto"/>
                <w:sz w:val="32"/>
                <w:szCs w:val="32"/>
                <w:highlight w:val="none"/>
              </w:rPr>
            </w:pPr>
            <w:r>
              <w:rPr>
                <w:rFonts w:hint="eastAsia" w:ascii="宋体" w:hAnsi="宋体" w:cs="宋体"/>
                <w:b/>
                <w:bCs/>
                <w:color w:val="auto"/>
                <w:highlight w:val="none"/>
              </w:rPr>
              <w:t>中小微行业划型标准规定（根据工信部联企业〔</w:t>
            </w:r>
            <w:r>
              <w:rPr>
                <w:rFonts w:ascii="宋体" w:hAnsi="宋体" w:cs="宋体"/>
                <w:b/>
                <w:bCs/>
                <w:color w:val="auto"/>
                <w:highlight w:val="none"/>
              </w:rPr>
              <w:t>2011</w:t>
            </w:r>
            <w:r>
              <w:rPr>
                <w:rFonts w:hint="eastAsia" w:ascii="宋体" w:hAnsi="宋体" w:cs="宋体"/>
                <w:b/>
                <w:bCs/>
                <w:color w:val="auto"/>
                <w:highlight w:val="none"/>
              </w:rPr>
              <w:t>〕</w:t>
            </w:r>
            <w:r>
              <w:rPr>
                <w:rFonts w:ascii="宋体" w:hAnsi="宋体" w:cs="宋体"/>
                <w:b/>
                <w:bCs/>
                <w:color w:val="auto"/>
                <w:highlight w:val="none"/>
              </w:rPr>
              <w:t>300</w:t>
            </w:r>
            <w:r>
              <w:rPr>
                <w:rFonts w:hint="eastAsia" w:ascii="宋体" w:hAnsi="宋体" w:cs="宋体"/>
                <w:b/>
                <w:bCs/>
                <w:color w:val="auto"/>
                <w:highlight w:val="none"/>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widowControl/>
              <w:wordWrap w:val="0"/>
              <w:jc w:val="center"/>
              <w:rPr>
                <w:rFonts w:ascii="宋体" w:hAnsi="宋体" w:cs="宋体"/>
                <w:b/>
                <w:bCs/>
                <w:color w:val="auto"/>
                <w:highlight w:val="none"/>
              </w:rPr>
            </w:pPr>
            <w:r>
              <w:rPr>
                <w:rFonts w:hint="eastAsia" w:ascii="宋体" w:hAnsi="宋体" w:cs="宋体"/>
                <w:b/>
                <w:bCs/>
                <w:color w:val="auto"/>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highlight w:val="none"/>
              </w:rPr>
            </w:pPr>
            <w:r>
              <w:rPr>
                <w:rFonts w:hint="eastAsia" w:ascii="宋体" w:hAnsi="宋体" w:cs="宋体"/>
                <w:b/>
                <w:bCs/>
                <w:color w:val="auto"/>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highlight w:val="none"/>
              </w:rPr>
            </w:pPr>
            <w:r>
              <w:rPr>
                <w:rFonts w:hint="eastAsia" w:ascii="宋体" w:hAnsi="宋体" w:cs="宋体"/>
                <w:b/>
                <w:bCs/>
                <w:color w:val="auto"/>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highlight w:val="none"/>
              </w:rPr>
            </w:pPr>
            <w:r>
              <w:rPr>
                <w:rFonts w:hint="eastAsia" w:ascii="宋体" w:hAnsi="宋体" w:cs="宋体"/>
                <w:b/>
                <w:bCs/>
                <w:color w:val="auto"/>
                <w:highlight w:val="none"/>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widowControl/>
              <w:wordWrap w:val="0"/>
              <w:rPr>
                <w:rFonts w:ascii="宋体" w:hAnsi="宋体" w:cs="宋体"/>
                <w:b/>
                <w:bCs/>
                <w:color w:val="auto"/>
                <w:highlight w:val="none"/>
              </w:rPr>
            </w:pPr>
          </w:p>
        </w:tc>
        <w:tc>
          <w:tcPr>
            <w:tcW w:w="1512"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从业人员</w:t>
            </w:r>
            <w:r>
              <w:rPr>
                <w:rFonts w:ascii="宋体" w:hAnsi="宋体" w:cs="宋体"/>
                <w:color w:val="auto"/>
                <w:sz w:val="20"/>
                <w:highlight w:val="none"/>
              </w:rPr>
              <w:t>X</w:t>
            </w:r>
            <w:r>
              <w:rPr>
                <w:rFonts w:hint="eastAsia" w:ascii="宋体" w:hAnsi="宋体" w:cs="宋体"/>
                <w:color w:val="auto"/>
                <w:sz w:val="20"/>
                <w:highlight w:val="none"/>
              </w:rPr>
              <w:t>（人）</w:t>
            </w:r>
          </w:p>
        </w:tc>
        <w:tc>
          <w:tcPr>
            <w:tcW w:w="1779"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营业收入</w:t>
            </w:r>
            <w:r>
              <w:rPr>
                <w:rFonts w:ascii="宋体" w:hAnsi="宋体" w:cs="宋体"/>
                <w:color w:val="auto"/>
                <w:sz w:val="20"/>
                <w:highlight w:val="none"/>
              </w:rPr>
              <w:t>Y</w:t>
            </w:r>
          </w:p>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（万元）</w:t>
            </w:r>
          </w:p>
        </w:tc>
        <w:tc>
          <w:tcPr>
            <w:tcW w:w="1677"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资产总额</w:t>
            </w:r>
            <w:r>
              <w:rPr>
                <w:rFonts w:ascii="宋体" w:hAnsi="宋体" w:cs="宋体"/>
                <w:color w:val="auto"/>
                <w:sz w:val="20"/>
                <w:highlight w:val="none"/>
              </w:rPr>
              <w:t>Z</w:t>
            </w:r>
          </w:p>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（万元）</w:t>
            </w:r>
          </w:p>
        </w:tc>
        <w:tc>
          <w:tcPr>
            <w:tcW w:w="1252"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从业人员</w:t>
            </w:r>
            <w:r>
              <w:rPr>
                <w:rFonts w:ascii="宋体" w:hAnsi="宋体" w:cs="宋体"/>
                <w:color w:val="auto"/>
                <w:sz w:val="20"/>
                <w:highlight w:val="none"/>
              </w:rPr>
              <w:t>X</w:t>
            </w:r>
            <w:r>
              <w:rPr>
                <w:rFonts w:hint="eastAsia" w:ascii="宋体" w:hAnsi="宋体" w:cs="宋体"/>
                <w:color w:val="auto"/>
                <w:sz w:val="20"/>
                <w:highlight w:val="none"/>
              </w:rPr>
              <w:t>（人）</w:t>
            </w:r>
          </w:p>
        </w:tc>
        <w:tc>
          <w:tcPr>
            <w:tcW w:w="1494"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营业收入</w:t>
            </w:r>
            <w:r>
              <w:rPr>
                <w:rFonts w:ascii="宋体" w:hAnsi="宋体" w:cs="宋体"/>
                <w:color w:val="auto"/>
                <w:sz w:val="20"/>
                <w:highlight w:val="none"/>
              </w:rPr>
              <w:t>Y</w:t>
            </w:r>
          </w:p>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（万元）</w:t>
            </w:r>
          </w:p>
        </w:tc>
        <w:tc>
          <w:tcPr>
            <w:tcW w:w="1536"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资产总额</w:t>
            </w:r>
            <w:r>
              <w:rPr>
                <w:rFonts w:ascii="宋体" w:hAnsi="宋体" w:cs="宋体"/>
                <w:color w:val="auto"/>
                <w:sz w:val="20"/>
                <w:highlight w:val="none"/>
              </w:rPr>
              <w:t>Z</w:t>
            </w:r>
          </w:p>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（万元）</w:t>
            </w:r>
          </w:p>
        </w:tc>
        <w:tc>
          <w:tcPr>
            <w:tcW w:w="1297"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从业人员</w:t>
            </w:r>
            <w:r>
              <w:rPr>
                <w:rFonts w:ascii="宋体" w:hAnsi="宋体" w:cs="宋体"/>
                <w:color w:val="auto"/>
                <w:sz w:val="20"/>
                <w:highlight w:val="none"/>
              </w:rPr>
              <w:t>X</w:t>
            </w:r>
            <w:r>
              <w:rPr>
                <w:rFonts w:hint="eastAsia" w:ascii="宋体" w:hAnsi="宋体" w:cs="宋体"/>
                <w:color w:val="auto"/>
                <w:sz w:val="20"/>
                <w:highlight w:val="none"/>
              </w:rPr>
              <w:t>（人）</w:t>
            </w:r>
          </w:p>
        </w:tc>
        <w:tc>
          <w:tcPr>
            <w:tcW w:w="1287"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营业收入</w:t>
            </w:r>
            <w:r>
              <w:rPr>
                <w:rFonts w:ascii="宋体" w:hAnsi="宋体" w:cs="宋体"/>
                <w:color w:val="auto"/>
                <w:sz w:val="20"/>
                <w:highlight w:val="none"/>
              </w:rPr>
              <w:t>Y</w:t>
            </w:r>
            <w:r>
              <w:rPr>
                <w:rFonts w:hint="eastAsia" w:ascii="宋体" w:hAnsi="宋体" w:cs="宋体"/>
                <w:color w:val="auto"/>
                <w:sz w:val="20"/>
                <w:highlight w:val="none"/>
              </w:rPr>
              <w:t>（万元）</w:t>
            </w:r>
          </w:p>
        </w:tc>
        <w:tc>
          <w:tcPr>
            <w:tcW w:w="1234"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sz w:val="20"/>
                <w:highlight w:val="none"/>
              </w:rPr>
            </w:pPr>
            <w:r>
              <w:rPr>
                <w:rFonts w:hint="eastAsia" w:ascii="宋体" w:hAnsi="宋体" w:cs="宋体"/>
                <w:color w:val="auto"/>
                <w:sz w:val="20"/>
                <w:highlight w:val="none"/>
              </w:rPr>
              <w:t>资产总额</w:t>
            </w:r>
            <w:r>
              <w:rPr>
                <w:rFonts w:ascii="宋体" w:hAnsi="宋体" w:cs="宋体"/>
                <w:color w:val="auto"/>
                <w:sz w:val="20"/>
                <w:highlight w:val="none"/>
              </w:rPr>
              <w:t>Z</w:t>
            </w:r>
            <w:r>
              <w:rPr>
                <w:rFonts w:hint="eastAsia" w:ascii="宋体" w:hAnsi="宋体" w:cs="宋体"/>
                <w:color w:val="auto"/>
                <w:sz w:val="20"/>
                <w:highlight w:val="none"/>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1</w:t>
            </w:r>
            <w:r>
              <w:rPr>
                <w:rFonts w:hint="eastAsia" w:ascii="宋体" w:hAnsi="宋体" w:cs="宋体"/>
                <w:color w:val="auto"/>
                <w:sz w:val="20"/>
                <w:highlight w:val="none"/>
              </w:rPr>
              <w:t>、农林牧渔业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500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20000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50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500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50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2</w:t>
            </w:r>
            <w:r>
              <w:rPr>
                <w:rFonts w:hint="eastAsia" w:ascii="宋体" w:hAnsi="宋体" w:cs="宋体"/>
                <w:color w:val="auto"/>
                <w:sz w:val="20"/>
                <w:highlight w:val="none"/>
              </w:rPr>
              <w:t>、工业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300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40000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300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300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3</w:t>
            </w:r>
            <w:r>
              <w:rPr>
                <w:rFonts w:hint="eastAsia" w:ascii="宋体" w:hAnsi="宋体" w:cs="宋体"/>
                <w:color w:val="auto"/>
                <w:sz w:val="20"/>
                <w:highlight w:val="none"/>
              </w:rPr>
              <w:t>、建筑业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6000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80000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5000</w:t>
            </w:r>
            <w:r>
              <w:rPr>
                <w:rFonts w:hint="eastAsia" w:ascii="宋体" w:hAnsi="宋体" w:cs="宋体"/>
                <w:color w:val="auto"/>
                <w:sz w:val="20"/>
                <w:highlight w:val="none"/>
              </w:rPr>
              <w:t>≤</w:t>
            </w: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80000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300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6000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300</w:t>
            </w:r>
            <w:r>
              <w:rPr>
                <w:rFonts w:hint="eastAsia" w:ascii="宋体" w:hAnsi="宋体" w:cs="宋体"/>
                <w:color w:val="auto"/>
                <w:sz w:val="20"/>
                <w:highlight w:val="none"/>
              </w:rPr>
              <w:t>≤</w:t>
            </w: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5000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300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4</w:t>
            </w:r>
            <w:r>
              <w:rPr>
                <w:rFonts w:hint="eastAsia" w:ascii="宋体" w:hAnsi="宋体" w:cs="宋体"/>
                <w:color w:val="auto"/>
                <w:sz w:val="20"/>
                <w:highlight w:val="none"/>
              </w:rPr>
              <w:t>、批发业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200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5000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40000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5</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20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5000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5</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5</w:t>
            </w:r>
            <w:r>
              <w:rPr>
                <w:rFonts w:hint="eastAsia" w:ascii="宋体" w:hAnsi="宋体" w:cs="宋体"/>
                <w:color w:val="auto"/>
                <w:sz w:val="20"/>
                <w:highlight w:val="none"/>
              </w:rPr>
              <w:t>、零售业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50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 xml:space="preserve"> 500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20000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50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500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6</w:t>
            </w:r>
            <w:r>
              <w:rPr>
                <w:rFonts w:hint="eastAsia" w:ascii="宋体" w:hAnsi="宋体" w:cs="宋体"/>
                <w:color w:val="auto"/>
                <w:sz w:val="20"/>
                <w:highlight w:val="none"/>
              </w:rPr>
              <w:t>、交通运输业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300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3000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3000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V</w:t>
            </w:r>
            <w:r>
              <w:rPr>
                <w:rFonts w:hint="eastAsia" w:ascii="宋体" w:hAnsi="宋体" w:cs="宋体"/>
                <w:color w:val="auto"/>
                <w:sz w:val="20"/>
                <w:highlight w:val="none"/>
              </w:rPr>
              <w:t>＜</w:t>
            </w:r>
            <w:r>
              <w:rPr>
                <w:rFonts w:ascii="宋体" w:hAnsi="宋体" w:cs="宋体"/>
                <w:color w:val="auto"/>
                <w:sz w:val="20"/>
                <w:highlight w:val="none"/>
              </w:rPr>
              <w:t>200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7</w:t>
            </w:r>
            <w:r>
              <w:rPr>
                <w:rFonts w:hint="eastAsia" w:ascii="宋体" w:hAnsi="宋体" w:cs="宋体"/>
                <w:color w:val="auto"/>
                <w:sz w:val="20"/>
                <w:highlight w:val="none"/>
              </w:rPr>
              <w:t>、仓储业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200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8</w:t>
            </w:r>
            <w:r>
              <w:rPr>
                <w:rFonts w:hint="eastAsia" w:ascii="宋体" w:hAnsi="宋体" w:cs="宋体"/>
                <w:color w:val="auto"/>
                <w:sz w:val="20"/>
                <w:highlight w:val="none"/>
              </w:rPr>
              <w:t>、邮政业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300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 xml:space="preserve"> 9</w:t>
            </w:r>
            <w:r>
              <w:rPr>
                <w:rFonts w:hint="eastAsia" w:ascii="宋体" w:hAnsi="宋体" w:cs="宋体"/>
                <w:color w:val="auto"/>
                <w:sz w:val="20"/>
                <w:highlight w:val="none"/>
              </w:rPr>
              <w:t>、住宿业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10</w:t>
            </w:r>
            <w:r>
              <w:rPr>
                <w:rFonts w:hint="eastAsia" w:ascii="宋体" w:hAnsi="宋体" w:cs="宋体"/>
                <w:color w:val="auto"/>
                <w:sz w:val="20"/>
                <w:highlight w:val="none"/>
              </w:rPr>
              <w:t>、餐饮业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V</w:t>
            </w:r>
            <w:r>
              <w:rPr>
                <w:rFonts w:hint="eastAsia" w:ascii="宋体" w:hAnsi="宋体" w:cs="宋体"/>
                <w:color w:val="auto"/>
                <w:sz w:val="20"/>
                <w:highlight w:val="none"/>
              </w:rPr>
              <w:t>＜</w:t>
            </w:r>
            <w:r>
              <w:rPr>
                <w:rFonts w:ascii="宋体" w:hAnsi="宋体" w:cs="宋体"/>
                <w:color w:val="auto"/>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11</w:t>
            </w:r>
            <w:r>
              <w:rPr>
                <w:rFonts w:hint="eastAsia" w:ascii="宋体" w:hAnsi="宋体" w:cs="宋体"/>
                <w:color w:val="auto"/>
                <w:sz w:val="20"/>
                <w:highlight w:val="none"/>
              </w:rPr>
              <w:t>、信息传输业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2000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12</w:t>
            </w:r>
            <w:r>
              <w:rPr>
                <w:rFonts w:hint="eastAsia" w:ascii="宋体" w:hAnsi="宋体" w:cs="宋体"/>
                <w:color w:val="auto"/>
                <w:sz w:val="20"/>
                <w:highlight w:val="none"/>
              </w:rPr>
              <w:t>、软件和信息技术服务业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 xml:space="preserve"> 50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50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13</w:t>
            </w:r>
            <w:r>
              <w:rPr>
                <w:rFonts w:hint="eastAsia" w:ascii="宋体" w:hAnsi="宋体" w:cs="宋体"/>
                <w:color w:val="auto"/>
                <w:sz w:val="20"/>
                <w:highlight w:val="none"/>
              </w:rPr>
              <w:t>、房地产开发经营</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200000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5000</w:t>
            </w:r>
            <w:r>
              <w:rPr>
                <w:rFonts w:hint="eastAsia" w:ascii="宋体" w:hAnsi="宋体" w:cs="宋体"/>
                <w:color w:val="auto"/>
                <w:sz w:val="20"/>
                <w:highlight w:val="none"/>
              </w:rPr>
              <w:t>≤</w:t>
            </w: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10000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2000</w:t>
            </w:r>
            <w:r>
              <w:rPr>
                <w:rFonts w:hint="eastAsia" w:ascii="宋体" w:hAnsi="宋体" w:cs="宋体"/>
                <w:color w:val="auto"/>
                <w:sz w:val="20"/>
                <w:highlight w:val="none"/>
              </w:rPr>
              <w:t>≤</w:t>
            </w: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5000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14</w:t>
            </w:r>
            <w:r>
              <w:rPr>
                <w:rFonts w:hint="eastAsia" w:ascii="宋体" w:hAnsi="宋体" w:cs="宋体"/>
                <w:color w:val="auto"/>
                <w:sz w:val="20"/>
                <w:highlight w:val="none"/>
              </w:rPr>
              <w:t>、物业管理</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300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5000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500</w:t>
            </w:r>
            <w:r>
              <w:rPr>
                <w:rFonts w:hint="eastAsia" w:ascii="宋体" w:hAnsi="宋体" w:cs="宋体"/>
                <w:color w:val="auto"/>
                <w:sz w:val="20"/>
                <w:highlight w:val="none"/>
              </w:rPr>
              <w:t>≤</w:t>
            </w: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Y</w:t>
            </w:r>
            <w:r>
              <w:rPr>
                <w:rFonts w:hint="eastAsia" w:ascii="宋体" w:hAnsi="宋体" w:cs="宋体"/>
                <w:color w:val="auto"/>
                <w:sz w:val="20"/>
                <w:highlight w:val="none"/>
              </w:rPr>
              <w:t>＜</w:t>
            </w:r>
            <w:r>
              <w:rPr>
                <w:rFonts w:ascii="宋体" w:hAnsi="宋体" w:cs="宋体"/>
                <w:color w:val="auto"/>
                <w:sz w:val="20"/>
                <w:highlight w:val="none"/>
              </w:rPr>
              <w:t>500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15</w:t>
            </w:r>
            <w:r>
              <w:rPr>
                <w:rFonts w:hint="eastAsia" w:ascii="宋体" w:hAnsi="宋体" w:cs="宋体"/>
                <w:color w:val="auto"/>
                <w:sz w:val="20"/>
                <w:highlight w:val="none"/>
              </w:rPr>
              <w:t>、租赁和商务服务业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8000</w:t>
            </w:r>
            <w:r>
              <w:rPr>
                <w:rFonts w:hint="eastAsia" w:ascii="宋体" w:hAnsi="宋体" w:cs="宋体"/>
                <w:color w:val="auto"/>
                <w:sz w:val="20"/>
                <w:highlight w:val="none"/>
              </w:rPr>
              <w:t>≤</w:t>
            </w: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120000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 xml:space="preserve"> 100</w:t>
            </w:r>
            <w:r>
              <w:rPr>
                <w:rFonts w:hint="eastAsia" w:ascii="宋体" w:hAnsi="宋体" w:cs="宋体"/>
                <w:color w:val="auto"/>
                <w:sz w:val="20"/>
                <w:highlight w:val="none"/>
              </w:rPr>
              <w:t>≤</w:t>
            </w: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8000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Z</w:t>
            </w:r>
            <w:r>
              <w:rPr>
                <w:rFonts w:hint="eastAsia" w:ascii="宋体" w:hAnsi="宋体" w:cs="宋体"/>
                <w:color w:val="auto"/>
                <w:sz w:val="20"/>
                <w:highlight w:val="none"/>
              </w:rPr>
              <w:t>＜</w:t>
            </w:r>
            <w:r>
              <w:rPr>
                <w:rFonts w:ascii="宋体" w:hAnsi="宋体" w:cs="宋体"/>
                <w:color w:val="auto"/>
                <w:sz w:val="20"/>
                <w:highlight w:val="none"/>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pPr>
              <w:widowControl/>
              <w:wordWrap w:val="0"/>
              <w:rPr>
                <w:rFonts w:ascii="宋体" w:hAnsi="宋体" w:cs="宋体"/>
                <w:color w:val="auto"/>
                <w:sz w:val="20"/>
                <w:highlight w:val="none"/>
              </w:rPr>
            </w:pPr>
            <w:r>
              <w:rPr>
                <w:rFonts w:ascii="宋体" w:hAnsi="宋体" w:cs="宋体"/>
                <w:color w:val="auto"/>
                <w:sz w:val="20"/>
                <w:highlight w:val="none"/>
              </w:rPr>
              <w:t>16</w:t>
            </w:r>
            <w:r>
              <w:rPr>
                <w:rFonts w:hint="eastAsia" w:ascii="宋体" w:hAnsi="宋体" w:cs="宋体"/>
                <w:color w:val="auto"/>
                <w:sz w:val="20"/>
                <w:highlight w:val="none"/>
              </w:rPr>
              <w:t>、其他未列明行业</w:t>
            </w:r>
          </w:p>
        </w:tc>
        <w:tc>
          <w:tcPr>
            <w:tcW w:w="1512" w:type="dxa"/>
            <w:tcBorders>
              <w:top w:val="nil"/>
              <w:left w:val="nil"/>
              <w:bottom w:val="single" w:color="auto" w:sz="8"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300</w:t>
            </w:r>
          </w:p>
        </w:tc>
        <w:tc>
          <w:tcPr>
            <w:tcW w:w="1779" w:type="dxa"/>
            <w:tcBorders>
              <w:top w:val="nil"/>
              <w:left w:val="nil"/>
              <w:bottom w:val="single" w:color="auto" w:sz="8"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677" w:type="dxa"/>
            <w:tcBorders>
              <w:top w:val="nil"/>
              <w:left w:val="nil"/>
              <w:bottom w:val="single" w:color="auto" w:sz="8"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52" w:type="dxa"/>
            <w:tcBorders>
              <w:top w:val="nil"/>
              <w:left w:val="nil"/>
              <w:bottom w:val="single" w:color="auto" w:sz="8"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10</w:t>
            </w:r>
            <w:r>
              <w:rPr>
                <w:rFonts w:hint="eastAsia" w:ascii="宋体" w:hAnsi="宋体" w:cs="宋体"/>
                <w:color w:val="auto"/>
                <w:sz w:val="20"/>
                <w:highlight w:val="none"/>
              </w:rPr>
              <w:t>≤</w:t>
            </w: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100</w:t>
            </w:r>
          </w:p>
        </w:tc>
        <w:tc>
          <w:tcPr>
            <w:tcW w:w="1494" w:type="dxa"/>
            <w:tcBorders>
              <w:top w:val="nil"/>
              <w:left w:val="nil"/>
              <w:bottom w:val="single" w:color="auto" w:sz="8"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536" w:type="dxa"/>
            <w:tcBorders>
              <w:top w:val="nil"/>
              <w:left w:val="nil"/>
              <w:bottom w:val="single" w:color="auto" w:sz="8"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97" w:type="dxa"/>
            <w:tcBorders>
              <w:top w:val="nil"/>
              <w:left w:val="nil"/>
              <w:bottom w:val="single" w:color="auto" w:sz="8" w:space="0"/>
              <w:right w:val="single" w:color="auto" w:sz="4" w:space="0"/>
            </w:tcBorders>
            <w:vAlign w:val="center"/>
          </w:tcPr>
          <w:p>
            <w:pPr>
              <w:widowControl/>
              <w:wordWrap w:val="0"/>
              <w:rPr>
                <w:rFonts w:ascii="宋体" w:hAnsi="宋体" w:cs="宋体"/>
                <w:color w:val="auto"/>
                <w:sz w:val="20"/>
                <w:highlight w:val="none"/>
              </w:rPr>
            </w:pPr>
            <w:r>
              <w:rPr>
                <w:rFonts w:ascii="宋体" w:hAnsi="宋体" w:cs="宋体"/>
                <w:color w:val="auto"/>
                <w:sz w:val="20"/>
                <w:highlight w:val="none"/>
              </w:rPr>
              <w:t>X</w:t>
            </w:r>
            <w:r>
              <w:rPr>
                <w:rFonts w:hint="eastAsia" w:ascii="宋体" w:hAnsi="宋体" w:cs="宋体"/>
                <w:color w:val="auto"/>
                <w:sz w:val="20"/>
                <w:highlight w:val="none"/>
              </w:rPr>
              <w:t>＜</w:t>
            </w:r>
            <w:r>
              <w:rPr>
                <w:rFonts w:ascii="宋体" w:hAnsi="宋体" w:cs="宋体"/>
                <w:color w:val="auto"/>
                <w:sz w:val="20"/>
                <w:highlight w:val="none"/>
              </w:rPr>
              <w:t>10</w:t>
            </w:r>
          </w:p>
        </w:tc>
        <w:tc>
          <w:tcPr>
            <w:tcW w:w="1287" w:type="dxa"/>
            <w:tcBorders>
              <w:top w:val="nil"/>
              <w:left w:val="nil"/>
              <w:bottom w:val="single" w:color="auto" w:sz="8" w:space="0"/>
              <w:right w:val="single" w:color="auto" w:sz="4"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c>
          <w:tcPr>
            <w:tcW w:w="1234" w:type="dxa"/>
            <w:tcBorders>
              <w:top w:val="nil"/>
              <w:left w:val="nil"/>
              <w:bottom w:val="single" w:color="auto" w:sz="8" w:space="0"/>
              <w:right w:val="single" w:color="auto" w:sz="8" w:space="0"/>
            </w:tcBorders>
            <w:vAlign w:val="center"/>
          </w:tcPr>
          <w:p>
            <w:pPr>
              <w:widowControl/>
              <w:wordWrap w:val="0"/>
              <w:rPr>
                <w:rFonts w:ascii="宋体" w:hAnsi="宋体" w:cs="宋体"/>
                <w:color w:val="auto"/>
                <w:sz w:val="20"/>
                <w:highlight w:val="none"/>
              </w:rPr>
            </w:pPr>
            <w:r>
              <w:rPr>
                <w:rFonts w:hint="eastAsia" w:ascii="宋体" w:hAnsi="宋体" w:cs="宋体"/>
                <w:color w:val="auto"/>
                <w:sz w:val="20"/>
                <w:highlight w:val="none"/>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pPr>
              <w:widowControl/>
              <w:wordWrap w:val="0"/>
              <w:rPr>
                <w:rFonts w:ascii="宋体" w:hAnsi="宋体" w:cs="宋体"/>
                <w:color w:val="auto"/>
                <w:sz w:val="20"/>
                <w:highlight w:val="none"/>
              </w:rPr>
            </w:pPr>
            <w:r>
              <w:rPr>
                <w:rFonts w:hint="eastAsia" w:ascii="宋体" w:hAnsi="宋体" w:cs="宋体"/>
                <w:color w:val="auto"/>
                <w:sz w:val="20"/>
                <w:highlight w:val="none"/>
              </w:rPr>
              <w:t>说明　</w:t>
            </w:r>
            <w:r>
              <w:rPr>
                <w:rFonts w:ascii="宋体" w:hAnsi="宋体" w:cs="宋体"/>
                <w:color w:val="auto"/>
                <w:sz w:val="20"/>
                <w:highlight w:val="none"/>
              </w:rPr>
              <w:t>1</w:t>
            </w:r>
            <w:r>
              <w:rPr>
                <w:rFonts w:hint="eastAsia" w:ascii="宋体" w:hAnsi="宋体" w:cs="宋体"/>
                <w:color w:val="auto"/>
                <w:sz w:val="20"/>
                <w:highlight w:val="none"/>
              </w:rPr>
              <w:t>、企业类型的划分以统计部门的统计数据为依据。</w:t>
            </w:r>
          </w:p>
          <w:p>
            <w:pPr>
              <w:widowControl/>
              <w:wordWrap w:val="0"/>
              <w:ind w:firstLine="600" w:firstLineChars="300"/>
              <w:rPr>
                <w:rFonts w:ascii="宋体" w:hAnsi="宋体" w:cs="宋体"/>
                <w:color w:val="auto"/>
                <w:sz w:val="20"/>
                <w:highlight w:val="none"/>
              </w:rPr>
            </w:pPr>
            <w:r>
              <w:rPr>
                <w:rFonts w:ascii="宋体" w:hAnsi="宋体" w:cs="宋体"/>
                <w:color w:val="auto"/>
                <w:sz w:val="20"/>
                <w:highlight w:val="none"/>
              </w:rPr>
              <w:t>2</w:t>
            </w:r>
            <w:r>
              <w:rPr>
                <w:rFonts w:hint="eastAsia" w:ascii="宋体" w:hAnsi="宋体" w:cs="宋体"/>
                <w:color w:val="auto"/>
                <w:sz w:val="20"/>
                <w:highlight w:val="none"/>
              </w:rPr>
              <w:t>、个体工商户和本规定以外的行业，参照本规定进行划型。</w:t>
            </w:r>
          </w:p>
          <w:p>
            <w:pPr>
              <w:widowControl/>
              <w:wordWrap w:val="0"/>
              <w:ind w:firstLine="600" w:firstLineChars="300"/>
              <w:rPr>
                <w:rFonts w:ascii="宋体" w:hAnsi="宋体" w:cs="宋体"/>
                <w:color w:val="auto"/>
                <w:sz w:val="20"/>
                <w:highlight w:val="none"/>
              </w:rPr>
            </w:pPr>
            <w:r>
              <w:rPr>
                <w:rFonts w:ascii="宋体" w:hAnsi="宋体" w:cs="宋体"/>
                <w:color w:val="auto"/>
                <w:sz w:val="20"/>
                <w:highlight w:val="none"/>
              </w:rPr>
              <w:t>3</w:t>
            </w:r>
            <w:r>
              <w:rPr>
                <w:rFonts w:hint="eastAsia" w:ascii="宋体" w:hAnsi="宋体" w:cs="宋体"/>
                <w:color w:val="auto"/>
                <w:sz w:val="20"/>
                <w:highlight w:val="none"/>
              </w:rPr>
              <w:t>、本规定的中型企业标准上限即为大型企业标准的下限。</w:t>
            </w:r>
          </w:p>
        </w:tc>
      </w:tr>
    </w:tbl>
    <w:p>
      <w:pPr>
        <w:pStyle w:val="18"/>
        <w:spacing w:line="460" w:lineRule="exact"/>
        <w:ind w:left="0" w:leftChars="0"/>
        <w:jc w:val="center"/>
        <w:rPr>
          <w:color w:val="auto"/>
          <w:sz w:val="21"/>
          <w:highlight w:val="none"/>
        </w:rPr>
      </w:pPr>
    </w:p>
    <w:sectPr>
      <w:pgSz w:w="16838" w:h="11906" w:orient="landscape"/>
      <w:pgMar w:top="1587" w:right="1418" w:bottom="1134" w:left="1418" w:header="851" w:footer="992" w:gutter="0"/>
      <w:pgBorders w:offsetFrom="page">
        <w:top w:val="single" w:color="000000" w:sz="12" w:space="24"/>
        <w:left w:val="single" w:color="000000" w:sz="12" w:space="24"/>
        <w:bottom w:val="single" w:color="000000" w:sz="12" w:space="24"/>
        <w:right w:val="single" w:color="000000" w:sz="12" w:space="24"/>
      </w:pgBorders>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长城仿宋">
    <w:altName w:val="仿宋"/>
    <w:panose1 w:val="00000000000000000000"/>
    <w:charset w:val="86"/>
    <w:family w:val="auto"/>
    <w:pitch w:val="default"/>
    <w:sig w:usb0="00000000" w:usb1="00000000" w:usb2="00000010" w:usb3="00000000" w:csb0="00040000" w:csb1="00000000"/>
  </w:font>
  <w:font w:name="方正黑体_GBK">
    <w:altName w:val="黑体"/>
    <w:panose1 w:val="00000000000000000000"/>
    <w:charset w:val="86"/>
    <w:family w:val="auto"/>
    <w:pitch w:val="default"/>
    <w:sig w:usb0="00000000" w:usb1="00000000" w:usb2="00000010" w:usb3="00000000" w:csb0="00040000" w:csb1="00000000"/>
  </w:font>
  <w:font w:name="方正小标宋_GBK">
    <w:altName w:val="黑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4"/>
      </w:rPr>
      <w:instrText xml:space="preserve"> PAGE </w:instrText>
    </w:r>
    <w:r>
      <w:fldChar w:fldCharType="separate"/>
    </w:r>
    <w:r>
      <w:rPr>
        <w:rStyle w:val="44"/>
      </w:rPr>
      <w:t>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14</w:t>
    </w:r>
    <w:r>
      <w:rPr>
        <w:lang w:val="zh-CN"/>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44</w:t>
    </w:r>
    <w:r>
      <w:rPr>
        <w:lang w:val="zh-CN"/>
      </w:rPr>
      <w:fldChar w:fldCharType="end"/>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1">
    <w:nsid w:val="00000005"/>
    <w:multiLevelType w:val="multilevel"/>
    <w:tmpl w:val="00000005"/>
    <w:lvl w:ilvl="0" w:tentative="0">
      <w:start w:val="1"/>
      <w:numFmt w:val="decimal"/>
      <w:pStyle w:val="20"/>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7"/>
    <w:multiLevelType w:val="multilevel"/>
    <w:tmpl w:val="00000007"/>
    <w:lvl w:ilvl="0" w:tentative="0">
      <w:start w:val="1"/>
      <w:numFmt w:val="bullet"/>
      <w:pStyle w:val="47"/>
      <w:lvlText w:val=""/>
      <w:lvlJc w:val="left"/>
      <w:pPr>
        <w:tabs>
          <w:tab w:val="left" w:pos="0"/>
        </w:tabs>
        <w:ind w:left="2520" w:hanging="420"/>
      </w:pPr>
      <w:rPr>
        <w:rFonts w:hint="default" w:ascii="Wingdings" w:hAnsi="Wingdings"/>
      </w:rPr>
    </w:lvl>
    <w:lvl w:ilvl="1" w:tentative="0">
      <w:start w:val="1"/>
      <w:numFmt w:val="bullet"/>
      <w:lvlText w:val=""/>
      <w:lvlJc w:val="left"/>
      <w:pPr>
        <w:tabs>
          <w:tab w:val="left" w:pos="0"/>
        </w:tabs>
        <w:ind w:left="2940" w:hanging="420"/>
      </w:pPr>
      <w:rPr>
        <w:rFonts w:hint="default" w:ascii="Wingdings" w:hAnsi="Wingdings"/>
      </w:rPr>
    </w:lvl>
    <w:lvl w:ilvl="2" w:tentative="0">
      <w:start w:val="1"/>
      <w:numFmt w:val="bullet"/>
      <w:lvlText w:val=""/>
      <w:lvlJc w:val="left"/>
      <w:pPr>
        <w:tabs>
          <w:tab w:val="left" w:pos="0"/>
        </w:tabs>
        <w:ind w:left="3360" w:hanging="420"/>
      </w:pPr>
      <w:rPr>
        <w:rFonts w:hint="default" w:ascii="Wingdings" w:hAnsi="Wingdings"/>
      </w:rPr>
    </w:lvl>
    <w:lvl w:ilvl="3" w:tentative="0">
      <w:start w:val="1"/>
      <w:numFmt w:val="bullet"/>
      <w:lvlText w:val=""/>
      <w:lvlJc w:val="left"/>
      <w:pPr>
        <w:tabs>
          <w:tab w:val="left" w:pos="0"/>
        </w:tabs>
        <w:ind w:left="3780" w:hanging="420"/>
      </w:pPr>
      <w:rPr>
        <w:rFonts w:hint="default" w:ascii="Wingdings" w:hAnsi="Wingdings"/>
      </w:rPr>
    </w:lvl>
    <w:lvl w:ilvl="4" w:tentative="0">
      <w:start w:val="1"/>
      <w:numFmt w:val="bullet"/>
      <w:lvlText w:val=""/>
      <w:lvlJc w:val="left"/>
      <w:pPr>
        <w:tabs>
          <w:tab w:val="left" w:pos="0"/>
        </w:tabs>
        <w:ind w:left="4200" w:hanging="420"/>
      </w:pPr>
      <w:rPr>
        <w:rFonts w:hint="default" w:ascii="Wingdings" w:hAnsi="Wingdings"/>
      </w:rPr>
    </w:lvl>
    <w:lvl w:ilvl="5" w:tentative="0">
      <w:start w:val="1"/>
      <w:numFmt w:val="bullet"/>
      <w:lvlText w:val=""/>
      <w:lvlJc w:val="left"/>
      <w:pPr>
        <w:tabs>
          <w:tab w:val="left" w:pos="0"/>
        </w:tabs>
        <w:ind w:left="4620" w:hanging="420"/>
      </w:pPr>
      <w:rPr>
        <w:rFonts w:hint="default" w:ascii="Wingdings" w:hAnsi="Wingdings"/>
      </w:rPr>
    </w:lvl>
    <w:lvl w:ilvl="6" w:tentative="0">
      <w:start w:val="1"/>
      <w:numFmt w:val="bullet"/>
      <w:lvlText w:val=""/>
      <w:lvlJc w:val="left"/>
      <w:pPr>
        <w:tabs>
          <w:tab w:val="left" w:pos="0"/>
        </w:tabs>
        <w:ind w:left="5040" w:hanging="420"/>
      </w:pPr>
      <w:rPr>
        <w:rFonts w:hint="default" w:ascii="Wingdings" w:hAnsi="Wingdings"/>
      </w:rPr>
    </w:lvl>
    <w:lvl w:ilvl="7" w:tentative="0">
      <w:start w:val="1"/>
      <w:numFmt w:val="bullet"/>
      <w:lvlText w:val=""/>
      <w:lvlJc w:val="left"/>
      <w:pPr>
        <w:tabs>
          <w:tab w:val="left" w:pos="0"/>
        </w:tabs>
        <w:ind w:left="5460" w:hanging="420"/>
      </w:pPr>
      <w:rPr>
        <w:rFonts w:hint="default" w:ascii="Wingdings" w:hAnsi="Wingdings"/>
      </w:rPr>
    </w:lvl>
    <w:lvl w:ilvl="8" w:tentative="0">
      <w:start w:val="1"/>
      <w:numFmt w:val="bullet"/>
      <w:lvlText w:val=""/>
      <w:lvlJc w:val="left"/>
      <w:pPr>
        <w:tabs>
          <w:tab w:val="left" w:pos="0"/>
        </w:tabs>
        <w:ind w:left="5880" w:hanging="420"/>
      </w:pPr>
      <w:rPr>
        <w:rFonts w:hint="default" w:ascii="Wingdings" w:hAnsi="Wingdings"/>
      </w:rPr>
    </w:lvl>
  </w:abstractNum>
  <w:abstractNum w:abstractNumId="3">
    <w:nsid w:val="00000009"/>
    <w:multiLevelType w:val="multilevel"/>
    <w:tmpl w:val="00000009"/>
    <w:lvl w:ilvl="0" w:tentative="0">
      <w:start w:val="1"/>
      <w:numFmt w:val="chineseCountingThousand"/>
      <w:pStyle w:val="66"/>
      <w:lvlText w:val="(%1)"/>
      <w:lvlJc w:val="left"/>
      <w:pPr>
        <w:tabs>
          <w:tab w:val="left" w:pos="0"/>
        </w:tabs>
        <w:ind w:left="1680" w:hanging="420"/>
      </w:pPr>
    </w:lvl>
    <w:lvl w:ilvl="1" w:tentative="0">
      <w:start w:val="1"/>
      <w:numFmt w:val="lowerLetter"/>
      <w:pStyle w:val="122"/>
      <w:lvlText w:val="%2)"/>
      <w:lvlJc w:val="left"/>
      <w:pPr>
        <w:tabs>
          <w:tab w:val="left" w:pos="0"/>
        </w:tabs>
        <w:ind w:left="2100" w:hanging="420"/>
      </w:pPr>
    </w:lvl>
    <w:lvl w:ilvl="2" w:tentative="0">
      <w:start w:val="1"/>
      <w:numFmt w:val="lowerRoman"/>
      <w:lvlText w:val="%3."/>
      <w:lvlJc w:val="right"/>
      <w:pPr>
        <w:tabs>
          <w:tab w:val="left" w:pos="0"/>
        </w:tabs>
        <w:ind w:left="2520" w:hanging="420"/>
      </w:pPr>
    </w:lvl>
    <w:lvl w:ilvl="3" w:tentative="0">
      <w:start w:val="1"/>
      <w:numFmt w:val="decimal"/>
      <w:lvlText w:val="%4."/>
      <w:lvlJc w:val="left"/>
      <w:pPr>
        <w:tabs>
          <w:tab w:val="left" w:pos="0"/>
        </w:tabs>
        <w:ind w:left="2940" w:hanging="420"/>
      </w:pPr>
    </w:lvl>
    <w:lvl w:ilvl="4" w:tentative="0">
      <w:start w:val="1"/>
      <w:numFmt w:val="lowerLetter"/>
      <w:lvlText w:val="%5)"/>
      <w:lvlJc w:val="left"/>
      <w:pPr>
        <w:tabs>
          <w:tab w:val="left" w:pos="0"/>
        </w:tabs>
        <w:ind w:left="3360" w:hanging="420"/>
      </w:pPr>
    </w:lvl>
    <w:lvl w:ilvl="5" w:tentative="0">
      <w:start w:val="1"/>
      <w:numFmt w:val="lowerRoman"/>
      <w:lvlText w:val="%6."/>
      <w:lvlJc w:val="right"/>
      <w:pPr>
        <w:tabs>
          <w:tab w:val="left" w:pos="0"/>
        </w:tabs>
        <w:ind w:left="3780" w:hanging="420"/>
      </w:pPr>
    </w:lvl>
    <w:lvl w:ilvl="6" w:tentative="0">
      <w:start w:val="1"/>
      <w:numFmt w:val="decimal"/>
      <w:lvlText w:val="%7."/>
      <w:lvlJc w:val="left"/>
      <w:pPr>
        <w:tabs>
          <w:tab w:val="left" w:pos="0"/>
        </w:tabs>
        <w:ind w:left="4200" w:hanging="420"/>
      </w:pPr>
    </w:lvl>
    <w:lvl w:ilvl="7" w:tentative="0">
      <w:start w:val="1"/>
      <w:numFmt w:val="lowerLetter"/>
      <w:lvlText w:val="%8)"/>
      <w:lvlJc w:val="left"/>
      <w:pPr>
        <w:tabs>
          <w:tab w:val="left" w:pos="0"/>
        </w:tabs>
        <w:ind w:left="4620" w:hanging="420"/>
      </w:pPr>
    </w:lvl>
    <w:lvl w:ilvl="8" w:tentative="0">
      <w:start w:val="1"/>
      <w:numFmt w:val="lowerRoman"/>
      <w:lvlText w:val="%9."/>
      <w:lvlJc w:val="right"/>
      <w:pPr>
        <w:tabs>
          <w:tab w:val="left" w:pos="0"/>
        </w:tabs>
        <w:ind w:left="5040" w:hanging="420"/>
      </w:pPr>
    </w:lvl>
  </w:abstractNum>
  <w:abstractNum w:abstractNumId="4">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5">
    <w:nsid w:val="0E674C14"/>
    <w:multiLevelType w:val="singleLevel"/>
    <w:tmpl w:val="0E674C14"/>
    <w:lvl w:ilvl="0" w:tentative="0">
      <w:start w:val="2"/>
      <w:numFmt w:val="decimal"/>
      <w:suff w:val="nothing"/>
      <w:lvlText w:val="%1、"/>
      <w:lvlJc w:val="left"/>
    </w:lvl>
  </w:abstractNum>
  <w:abstractNum w:abstractNumId="6">
    <w:nsid w:val="33FDE004"/>
    <w:multiLevelType w:val="singleLevel"/>
    <w:tmpl w:val="33FDE004"/>
    <w:lvl w:ilvl="0" w:tentative="0">
      <w:start w:val="2"/>
      <w:numFmt w:val="chineseCounting"/>
      <w:suff w:val="nothing"/>
      <w:lvlText w:val="%1、"/>
      <w:lvlJc w:val="left"/>
      <w:rPr>
        <w:rFonts w:hint="eastAsia"/>
      </w:rPr>
    </w:lvl>
  </w:abstractNum>
  <w:abstractNum w:abstractNumId="7">
    <w:nsid w:val="47F96DB5"/>
    <w:multiLevelType w:val="multilevel"/>
    <w:tmpl w:val="47F96D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7E552C"/>
    <w:multiLevelType w:val="multilevel"/>
    <w:tmpl w:val="537E552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MWZhZmUxNTc5Y2U5NDlmMjg0ZTg5NWFhMzJhYjgifQ=="/>
  </w:docVars>
  <w:rsids>
    <w:rsidRoot w:val="00172A27"/>
    <w:rsid w:val="00001E90"/>
    <w:rsid w:val="00004105"/>
    <w:rsid w:val="00004563"/>
    <w:rsid w:val="00004EC8"/>
    <w:rsid w:val="00006F70"/>
    <w:rsid w:val="000148A7"/>
    <w:rsid w:val="00014F6D"/>
    <w:rsid w:val="0002120A"/>
    <w:rsid w:val="000218F8"/>
    <w:rsid w:val="000244CB"/>
    <w:rsid w:val="00024831"/>
    <w:rsid w:val="000265F1"/>
    <w:rsid w:val="000311D6"/>
    <w:rsid w:val="000340FF"/>
    <w:rsid w:val="00034C82"/>
    <w:rsid w:val="000360DC"/>
    <w:rsid w:val="0003655C"/>
    <w:rsid w:val="00040FF3"/>
    <w:rsid w:val="00043C14"/>
    <w:rsid w:val="000450E4"/>
    <w:rsid w:val="0004707A"/>
    <w:rsid w:val="00050823"/>
    <w:rsid w:val="00051090"/>
    <w:rsid w:val="000516C4"/>
    <w:rsid w:val="0005536F"/>
    <w:rsid w:val="00056045"/>
    <w:rsid w:val="00056C4E"/>
    <w:rsid w:val="000611D1"/>
    <w:rsid w:val="0006312C"/>
    <w:rsid w:val="00063D96"/>
    <w:rsid w:val="00064446"/>
    <w:rsid w:val="00065476"/>
    <w:rsid w:val="00065ADA"/>
    <w:rsid w:val="0006607F"/>
    <w:rsid w:val="00066EC8"/>
    <w:rsid w:val="00067510"/>
    <w:rsid w:val="00067F45"/>
    <w:rsid w:val="0008040D"/>
    <w:rsid w:val="0008193C"/>
    <w:rsid w:val="00081F9A"/>
    <w:rsid w:val="000845B8"/>
    <w:rsid w:val="00085C29"/>
    <w:rsid w:val="00087702"/>
    <w:rsid w:val="00087AA2"/>
    <w:rsid w:val="00092B1B"/>
    <w:rsid w:val="00096C90"/>
    <w:rsid w:val="0009775A"/>
    <w:rsid w:val="000977DA"/>
    <w:rsid w:val="000A0252"/>
    <w:rsid w:val="000A2388"/>
    <w:rsid w:val="000A4BB5"/>
    <w:rsid w:val="000A5B81"/>
    <w:rsid w:val="000A6F06"/>
    <w:rsid w:val="000B0650"/>
    <w:rsid w:val="000B36E8"/>
    <w:rsid w:val="000B37BB"/>
    <w:rsid w:val="000B4450"/>
    <w:rsid w:val="000B68C4"/>
    <w:rsid w:val="000B7B3A"/>
    <w:rsid w:val="000B7F9D"/>
    <w:rsid w:val="000C115B"/>
    <w:rsid w:val="000C3AA3"/>
    <w:rsid w:val="000C4186"/>
    <w:rsid w:val="000D0D18"/>
    <w:rsid w:val="000D35B6"/>
    <w:rsid w:val="000D3D1A"/>
    <w:rsid w:val="000D5EAE"/>
    <w:rsid w:val="000D7267"/>
    <w:rsid w:val="000D73E8"/>
    <w:rsid w:val="000D7BCB"/>
    <w:rsid w:val="000E475B"/>
    <w:rsid w:val="000E4FE3"/>
    <w:rsid w:val="000E5CD9"/>
    <w:rsid w:val="000E7E7C"/>
    <w:rsid w:val="000F2382"/>
    <w:rsid w:val="000F6F99"/>
    <w:rsid w:val="00104E27"/>
    <w:rsid w:val="0010742B"/>
    <w:rsid w:val="00107B11"/>
    <w:rsid w:val="00110BEB"/>
    <w:rsid w:val="001142FF"/>
    <w:rsid w:val="0011506A"/>
    <w:rsid w:val="001151E8"/>
    <w:rsid w:val="00115A2F"/>
    <w:rsid w:val="00116039"/>
    <w:rsid w:val="001170CA"/>
    <w:rsid w:val="0012342A"/>
    <w:rsid w:val="00125713"/>
    <w:rsid w:val="00126457"/>
    <w:rsid w:val="00127640"/>
    <w:rsid w:val="001312F4"/>
    <w:rsid w:val="00132693"/>
    <w:rsid w:val="001334A3"/>
    <w:rsid w:val="00133B15"/>
    <w:rsid w:val="001414A3"/>
    <w:rsid w:val="0014179D"/>
    <w:rsid w:val="00143C01"/>
    <w:rsid w:val="00146C32"/>
    <w:rsid w:val="00147043"/>
    <w:rsid w:val="00151B56"/>
    <w:rsid w:val="00152CD5"/>
    <w:rsid w:val="00153D76"/>
    <w:rsid w:val="0015707E"/>
    <w:rsid w:val="001608E3"/>
    <w:rsid w:val="00160B7C"/>
    <w:rsid w:val="00161ED3"/>
    <w:rsid w:val="00162919"/>
    <w:rsid w:val="00164BB1"/>
    <w:rsid w:val="001659DC"/>
    <w:rsid w:val="00172A27"/>
    <w:rsid w:val="0017553E"/>
    <w:rsid w:val="00177329"/>
    <w:rsid w:val="00180097"/>
    <w:rsid w:val="001807C5"/>
    <w:rsid w:val="00180E0B"/>
    <w:rsid w:val="00180EBB"/>
    <w:rsid w:val="001818F7"/>
    <w:rsid w:val="00181C6A"/>
    <w:rsid w:val="00183838"/>
    <w:rsid w:val="001858A7"/>
    <w:rsid w:val="00190470"/>
    <w:rsid w:val="00192D91"/>
    <w:rsid w:val="00197F8F"/>
    <w:rsid w:val="001A4245"/>
    <w:rsid w:val="001A45A1"/>
    <w:rsid w:val="001B5EC7"/>
    <w:rsid w:val="001C7E6F"/>
    <w:rsid w:val="001D107E"/>
    <w:rsid w:val="001D22A3"/>
    <w:rsid w:val="001D2526"/>
    <w:rsid w:val="001D4829"/>
    <w:rsid w:val="001E10A1"/>
    <w:rsid w:val="001E2581"/>
    <w:rsid w:val="001E3C0A"/>
    <w:rsid w:val="001E4256"/>
    <w:rsid w:val="001E465D"/>
    <w:rsid w:val="001E4EFF"/>
    <w:rsid w:val="001E52AE"/>
    <w:rsid w:val="001E5764"/>
    <w:rsid w:val="001E6384"/>
    <w:rsid w:val="001E67FC"/>
    <w:rsid w:val="001F1B72"/>
    <w:rsid w:val="001F351C"/>
    <w:rsid w:val="001F43BB"/>
    <w:rsid w:val="00206FE0"/>
    <w:rsid w:val="00210037"/>
    <w:rsid w:val="00212196"/>
    <w:rsid w:val="002136D7"/>
    <w:rsid w:val="00215D93"/>
    <w:rsid w:val="00221A10"/>
    <w:rsid w:val="00222BFD"/>
    <w:rsid w:val="00225688"/>
    <w:rsid w:val="002302F7"/>
    <w:rsid w:val="00231EEA"/>
    <w:rsid w:val="00233B4D"/>
    <w:rsid w:val="002340CA"/>
    <w:rsid w:val="00234475"/>
    <w:rsid w:val="00236502"/>
    <w:rsid w:val="00244230"/>
    <w:rsid w:val="0024615F"/>
    <w:rsid w:val="002507FD"/>
    <w:rsid w:val="002622FA"/>
    <w:rsid w:val="00263828"/>
    <w:rsid w:val="00264B52"/>
    <w:rsid w:val="002701B6"/>
    <w:rsid w:val="00270BF2"/>
    <w:rsid w:val="0027437F"/>
    <w:rsid w:val="00274AC7"/>
    <w:rsid w:val="00275DC1"/>
    <w:rsid w:val="00275F7D"/>
    <w:rsid w:val="002767FE"/>
    <w:rsid w:val="00281164"/>
    <w:rsid w:val="002822DF"/>
    <w:rsid w:val="002862B3"/>
    <w:rsid w:val="00286C72"/>
    <w:rsid w:val="00290409"/>
    <w:rsid w:val="00290D9B"/>
    <w:rsid w:val="0029209B"/>
    <w:rsid w:val="00292466"/>
    <w:rsid w:val="00295778"/>
    <w:rsid w:val="0029694F"/>
    <w:rsid w:val="002A0157"/>
    <w:rsid w:val="002A0F69"/>
    <w:rsid w:val="002A2221"/>
    <w:rsid w:val="002A2871"/>
    <w:rsid w:val="002A5A6C"/>
    <w:rsid w:val="002A5C91"/>
    <w:rsid w:val="002A5CFF"/>
    <w:rsid w:val="002A786E"/>
    <w:rsid w:val="002B183C"/>
    <w:rsid w:val="002B2770"/>
    <w:rsid w:val="002B4204"/>
    <w:rsid w:val="002C0EDA"/>
    <w:rsid w:val="002C32C0"/>
    <w:rsid w:val="002C3A31"/>
    <w:rsid w:val="002C51E8"/>
    <w:rsid w:val="002C5311"/>
    <w:rsid w:val="002C558B"/>
    <w:rsid w:val="002D2AE2"/>
    <w:rsid w:val="002D6979"/>
    <w:rsid w:val="002D6B00"/>
    <w:rsid w:val="002D72E1"/>
    <w:rsid w:val="002E1227"/>
    <w:rsid w:val="002E2A5C"/>
    <w:rsid w:val="002E2F23"/>
    <w:rsid w:val="002E4EE2"/>
    <w:rsid w:val="002E7597"/>
    <w:rsid w:val="002F1029"/>
    <w:rsid w:val="002F658F"/>
    <w:rsid w:val="002F74FB"/>
    <w:rsid w:val="002F79C3"/>
    <w:rsid w:val="002F7B49"/>
    <w:rsid w:val="00300FB3"/>
    <w:rsid w:val="00301C69"/>
    <w:rsid w:val="0030407B"/>
    <w:rsid w:val="0030582A"/>
    <w:rsid w:val="00312A94"/>
    <w:rsid w:val="00313F92"/>
    <w:rsid w:val="00321251"/>
    <w:rsid w:val="003221C6"/>
    <w:rsid w:val="0032292A"/>
    <w:rsid w:val="00322BE5"/>
    <w:rsid w:val="003300CA"/>
    <w:rsid w:val="003332EF"/>
    <w:rsid w:val="00334984"/>
    <w:rsid w:val="00337392"/>
    <w:rsid w:val="003403AB"/>
    <w:rsid w:val="00341213"/>
    <w:rsid w:val="0034373C"/>
    <w:rsid w:val="003439B2"/>
    <w:rsid w:val="00344CBF"/>
    <w:rsid w:val="003507F6"/>
    <w:rsid w:val="00353D53"/>
    <w:rsid w:val="0035580C"/>
    <w:rsid w:val="00355AE7"/>
    <w:rsid w:val="00361653"/>
    <w:rsid w:val="003624EB"/>
    <w:rsid w:val="003638AD"/>
    <w:rsid w:val="00364870"/>
    <w:rsid w:val="00366E40"/>
    <w:rsid w:val="00367878"/>
    <w:rsid w:val="00372B55"/>
    <w:rsid w:val="00372C22"/>
    <w:rsid w:val="003735D9"/>
    <w:rsid w:val="00373E06"/>
    <w:rsid w:val="00374AE4"/>
    <w:rsid w:val="003763B9"/>
    <w:rsid w:val="0038029E"/>
    <w:rsid w:val="003804B2"/>
    <w:rsid w:val="00380898"/>
    <w:rsid w:val="00380E64"/>
    <w:rsid w:val="00380FC5"/>
    <w:rsid w:val="00382D4D"/>
    <w:rsid w:val="00386D11"/>
    <w:rsid w:val="00390339"/>
    <w:rsid w:val="00393DE7"/>
    <w:rsid w:val="00393EAF"/>
    <w:rsid w:val="0039425B"/>
    <w:rsid w:val="00395D05"/>
    <w:rsid w:val="003A1FC3"/>
    <w:rsid w:val="003A409D"/>
    <w:rsid w:val="003B23F7"/>
    <w:rsid w:val="003B4B84"/>
    <w:rsid w:val="003B684B"/>
    <w:rsid w:val="003B68EC"/>
    <w:rsid w:val="003B7160"/>
    <w:rsid w:val="003C27E4"/>
    <w:rsid w:val="003C5D4A"/>
    <w:rsid w:val="003D5143"/>
    <w:rsid w:val="003D71C6"/>
    <w:rsid w:val="003D7DE6"/>
    <w:rsid w:val="003E104E"/>
    <w:rsid w:val="003E1A4F"/>
    <w:rsid w:val="003E5178"/>
    <w:rsid w:val="003E6419"/>
    <w:rsid w:val="003F2892"/>
    <w:rsid w:val="003F5DBD"/>
    <w:rsid w:val="00400A2D"/>
    <w:rsid w:val="00402C21"/>
    <w:rsid w:val="004062F2"/>
    <w:rsid w:val="0040643D"/>
    <w:rsid w:val="00406702"/>
    <w:rsid w:val="0041232F"/>
    <w:rsid w:val="00414EAD"/>
    <w:rsid w:val="004238C2"/>
    <w:rsid w:val="00423ECF"/>
    <w:rsid w:val="0042783F"/>
    <w:rsid w:val="004356D5"/>
    <w:rsid w:val="0043606D"/>
    <w:rsid w:val="0044041F"/>
    <w:rsid w:val="00447483"/>
    <w:rsid w:val="00450F5E"/>
    <w:rsid w:val="00451254"/>
    <w:rsid w:val="0045279D"/>
    <w:rsid w:val="00455F42"/>
    <w:rsid w:val="00456CED"/>
    <w:rsid w:val="004624B6"/>
    <w:rsid w:val="004647BD"/>
    <w:rsid w:val="00465128"/>
    <w:rsid w:val="00466ABA"/>
    <w:rsid w:val="00467E8F"/>
    <w:rsid w:val="0047061D"/>
    <w:rsid w:val="00474AEB"/>
    <w:rsid w:val="00475209"/>
    <w:rsid w:val="00475BAB"/>
    <w:rsid w:val="00477CEA"/>
    <w:rsid w:val="004901B8"/>
    <w:rsid w:val="0049034D"/>
    <w:rsid w:val="00490C74"/>
    <w:rsid w:val="00490F58"/>
    <w:rsid w:val="00491DD0"/>
    <w:rsid w:val="00493E02"/>
    <w:rsid w:val="004949AA"/>
    <w:rsid w:val="004A0348"/>
    <w:rsid w:val="004A03C5"/>
    <w:rsid w:val="004A54AE"/>
    <w:rsid w:val="004A6592"/>
    <w:rsid w:val="004B1EAE"/>
    <w:rsid w:val="004B391D"/>
    <w:rsid w:val="004C3206"/>
    <w:rsid w:val="004C52E1"/>
    <w:rsid w:val="004D0400"/>
    <w:rsid w:val="004D0DFB"/>
    <w:rsid w:val="004D0E89"/>
    <w:rsid w:val="004D68E2"/>
    <w:rsid w:val="004D700E"/>
    <w:rsid w:val="004E0899"/>
    <w:rsid w:val="004E2865"/>
    <w:rsid w:val="004E2C31"/>
    <w:rsid w:val="004E38B7"/>
    <w:rsid w:val="004E57B3"/>
    <w:rsid w:val="004E69E4"/>
    <w:rsid w:val="004F17DC"/>
    <w:rsid w:val="004F35D4"/>
    <w:rsid w:val="004F4993"/>
    <w:rsid w:val="004F4E77"/>
    <w:rsid w:val="004F58EA"/>
    <w:rsid w:val="004F64E5"/>
    <w:rsid w:val="004F6FB5"/>
    <w:rsid w:val="00501927"/>
    <w:rsid w:val="00505FE8"/>
    <w:rsid w:val="00506A8F"/>
    <w:rsid w:val="00511ABC"/>
    <w:rsid w:val="00513B1B"/>
    <w:rsid w:val="00514A9D"/>
    <w:rsid w:val="0051549D"/>
    <w:rsid w:val="005156ED"/>
    <w:rsid w:val="00515FD9"/>
    <w:rsid w:val="00517938"/>
    <w:rsid w:val="00520884"/>
    <w:rsid w:val="00522FFA"/>
    <w:rsid w:val="00523913"/>
    <w:rsid w:val="00525165"/>
    <w:rsid w:val="00526874"/>
    <w:rsid w:val="00527220"/>
    <w:rsid w:val="00530B4F"/>
    <w:rsid w:val="005354F4"/>
    <w:rsid w:val="0054117A"/>
    <w:rsid w:val="00541466"/>
    <w:rsid w:val="005426C2"/>
    <w:rsid w:val="005427B0"/>
    <w:rsid w:val="00542EC3"/>
    <w:rsid w:val="00547B0F"/>
    <w:rsid w:val="005506D7"/>
    <w:rsid w:val="00552CDB"/>
    <w:rsid w:val="00553B6E"/>
    <w:rsid w:val="005576F4"/>
    <w:rsid w:val="005577A3"/>
    <w:rsid w:val="0056097A"/>
    <w:rsid w:val="005614F4"/>
    <w:rsid w:val="00561B17"/>
    <w:rsid w:val="00562DC9"/>
    <w:rsid w:val="00562E21"/>
    <w:rsid w:val="00565B7F"/>
    <w:rsid w:val="005709A3"/>
    <w:rsid w:val="00570A36"/>
    <w:rsid w:val="00580347"/>
    <w:rsid w:val="0058255B"/>
    <w:rsid w:val="00585DEB"/>
    <w:rsid w:val="00586BA8"/>
    <w:rsid w:val="00587CA1"/>
    <w:rsid w:val="00590423"/>
    <w:rsid w:val="00594907"/>
    <w:rsid w:val="00596B45"/>
    <w:rsid w:val="00597C2A"/>
    <w:rsid w:val="00597D6C"/>
    <w:rsid w:val="005A367A"/>
    <w:rsid w:val="005B33B6"/>
    <w:rsid w:val="005B5580"/>
    <w:rsid w:val="005B558F"/>
    <w:rsid w:val="005B62EB"/>
    <w:rsid w:val="005B79F2"/>
    <w:rsid w:val="005C01D0"/>
    <w:rsid w:val="005C158A"/>
    <w:rsid w:val="005C6F72"/>
    <w:rsid w:val="005C70B9"/>
    <w:rsid w:val="005D2556"/>
    <w:rsid w:val="005D381D"/>
    <w:rsid w:val="005D3F71"/>
    <w:rsid w:val="005D5F9F"/>
    <w:rsid w:val="005D6ABF"/>
    <w:rsid w:val="005D7BD2"/>
    <w:rsid w:val="005E7C2E"/>
    <w:rsid w:val="005F0C18"/>
    <w:rsid w:val="005F0F37"/>
    <w:rsid w:val="005F1ADE"/>
    <w:rsid w:val="005F31EE"/>
    <w:rsid w:val="005F3850"/>
    <w:rsid w:val="005F3C71"/>
    <w:rsid w:val="005F5AC9"/>
    <w:rsid w:val="005F6B07"/>
    <w:rsid w:val="00604B11"/>
    <w:rsid w:val="006068FE"/>
    <w:rsid w:val="00611691"/>
    <w:rsid w:val="006125C1"/>
    <w:rsid w:val="00613EA4"/>
    <w:rsid w:val="006158DC"/>
    <w:rsid w:val="00617352"/>
    <w:rsid w:val="0062290F"/>
    <w:rsid w:val="006255F3"/>
    <w:rsid w:val="00625A1E"/>
    <w:rsid w:val="0062775E"/>
    <w:rsid w:val="00627B7E"/>
    <w:rsid w:val="006330A9"/>
    <w:rsid w:val="006344F0"/>
    <w:rsid w:val="006351D4"/>
    <w:rsid w:val="00635D16"/>
    <w:rsid w:val="00637D8B"/>
    <w:rsid w:val="006405CA"/>
    <w:rsid w:val="00640DDD"/>
    <w:rsid w:val="006440B6"/>
    <w:rsid w:val="00644852"/>
    <w:rsid w:val="00645AD7"/>
    <w:rsid w:val="00646B8D"/>
    <w:rsid w:val="00653672"/>
    <w:rsid w:val="00654F03"/>
    <w:rsid w:val="00654F46"/>
    <w:rsid w:val="00655105"/>
    <w:rsid w:val="006557D1"/>
    <w:rsid w:val="0065768C"/>
    <w:rsid w:val="00657D8D"/>
    <w:rsid w:val="00665230"/>
    <w:rsid w:val="00667925"/>
    <w:rsid w:val="00675812"/>
    <w:rsid w:val="006773E7"/>
    <w:rsid w:val="00681038"/>
    <w:rsid w:val="00681B6F"/>
    <w:rsid w:val="006937E9"/>
    <w:rsid w:val="00693B53"/>
    <w:rsid w:val="00694399"/>
    <w:rsid w:val="00695A0A"/>
    <w:rsid w:val="00695F94"/>
    <w:rsid w:val="006A1B02"/>
    <w:rsid w:val="006A255B"/>
    <w:rsid w:val="006A410F"/>
    <w:rsid w:val="006A418E"/>
    <w:rsid w:val="006A590C"/>
    <w:rsid w:val="006B27F8"/>
    <w:rsid w:val="006B41E5"/>
    <w:rsid w:val="006B47A5"/>
    <w:rsid w:val="006B5D47"/>
    <w:rsid w:val="006B60D1"/>
    <w:rsid w:val="006B66B4"/>
    <w:rsid w:val="006B7213"/>
    <w:rsid w:val="006C10C2"/>
    <w:rsid w:val="006C303B"/>
    <w:rsid w:val="006C54CC"/>
    <w:rsid w:val="006C6DB3"/>
    <w:rsid w:val="006D099C"/>
    <w:rsid w:val="006D1643"/>
    <w:rsid w:val="006D367E"/>
    <w:rsid w:val="006D3D6D"/>
    <w:rsid w:val="006E3A31"/>
    <w:rsid w:val="006E7E41"/>
    <w:rsid w:val="006F0C7F"/>
    <w:rsid w:val="006F13E4"/>
    <w:rsid w:val="006F142E"/>
    <w:rsid w:val="006F2CA1"/>
    <w:rsid w:val="006F2F6A"/>
    <w:rsid w:val="006F62B4"/>
    <w:rsid w:val="007032B0"/>
    <w:rsid w:val="00705B5C"/>
    <w:rsid w:val="007100E3"/>
    <w:rsid w:val="00710B68"/>
    <w:rsid w:val="0071154E"/>
    <w:rsid w:val="00712BAC"/>
    <w:rsid w:val="00715074"/>
    <w:rsid w:val="007152F2"/>
    <w:rsid w:val="007152F5"/>
    <w:rsid w:val="00715922"/>
    <w:rsid w:val="0071665F"/>
    <w:rsid w:val="0072082E"/>
    <w:rsid w:val="00720E58"/>
    <w:rsid w:val="00720E70"/>
    <w:rsid w:val="00722395"/>
    <w:rsid w:val="00723B21"/>
    <w:rsid w:val="0073122D"/>
    <w:rsid w:val="0073382B"/>
    <w:rsid w:val="0073518F"/>
    <w:rsid w:val="00735749"/>
    <w:rsid w:val="00735EBA"/>
    <w:rsid w:val="00740A2B"/>
    <w:rsid w:val="00741FF1"/>
    <w:rsid w:val="00743912"/>
    <w:rsid w:val="00743FEB"/>
    <w:rsid w:val="00744456"/>
    <w:rsid w:val="00746BF0"/>
    <w:rsid w:val="00750219"/>
    <w:rsid w:val="00753218"/>
    <w:rsid w:val="00757186"/>
    <w:rsid w:val="007578CF"/>
    <w:rsid w:val="0076010C"/>
    <w:rsid w:val="0076077A"/>
    <w:rsid w:val="00764B0C"/>
    <w:rsid w:val="00766B9E"/>
    <w:rsid w:val="007670FD"/>
    <w:rsid w:val="00767CD6"/>
    <w:rsid w:val="00770556"/>
    <w:rsid w:val="00770758"/>
    <w:rsid w:val="007752E5"/>
    <w:rsid w:val="00775372"/>
    <w:rsid w:val="00775657"/>
    <w:rsid w:val="00776E23"/>
    <w:rsid w:val="0077759C"/>
    <w:rsid w:val="0078068F"/>
    <w:rsid w:val="0078322A"/>
    <w:rsid w:val="0078395A"/>
    <w:rsid w:val="00783B42"/>
    <w:rsid w:val="00787FBB"/>
    <w:rsid w:val="00793C6A"/>
    <w:rsid w:val="007947F9"/>
    <w:rsid w:val="0079719E"/>
    <w:rsid w:val="00797CB2"/>
    <w:rsid w:val="007A03A2"/>
    <w:rsid w:val="007A5167"/>
    <w:rsid w:val="007A5228"/>
    <w:rsid w:val="007B1415"/>
    <w:rsid w:val="007B195D"/>
    <w:rsid w:val="007B1A5A"/>
    <w:rsid w:val="007B25EB"/>
    <w:rsid w:val="007B4391"/>
    <w:rsid w:val="007B4801"/>
    <w:rsid w:val="007C6D49"/>
    <w:rsid w:val="007D037B"/>
    <w:rsid w:val="007D7DE4"/>
    <w:rsid w:val="007E17DC"/>
    <w:rsid w:val="007E3965"/>
    <w:rsid w:val="007F03FA"/>
    <w:rsid w:val="007F2C5A"/>
    <w:rsid w:val="007F2D9C"/>
    <w:rsid w:val="007F606A"/>
    <w:rsid w:val="0080083F"/>
    <w:rsid w:val="008015D1"/>
    <w:rsid w:val="00802A4C"/>
    <w:rsid w:val="00802E5C"/>
    <w:rsid w:val="00805197"/>
    <w:rsid w:val="00806023"/>
    <w:rsid w:val="00806E61"/>
    <w:rsid w:val="00810656"/>
    <w:rsid w:val="00813D13"/>
    <w:rsid w:val="0081423D"/>
    <w:rsid w:val="0082125C"/>
    <w:rsid w:val="00821BEF"/>
    <w:rsid w:val="00821FCB"/>
    <w:rsid w:val="00825CE6"/>
    <w:rsid w:val="0082632D"/>
    <w:rsid w:val="00837A4C"/>
    <w:rsid w:val="00841EF3"/>
    <w:rsid w:val="00843404"/>
    <w:rsid w:val="00847B6B"/>
    <w:rsid w:val="0085641F"/>
    <w:rsid w:val="00856FBA"/>
    <w:rsid w:val="00860CE5"/>
    <w:rsid w:val="00861495"/>
    <w:rsid w:val="00861BB9"/>
    <w:rsid w:val="00863DCD"/>
    <w:rsid w:val="00865162"/>
    <w:rsid w:val="00867C63"/>
    <w:rsid w:val="0087254B"/>
    <w:rsid w:val="00872D54"/>
    <w:rsid w:val="00883F78"/>
    <w:rsid w:val="00884879"/>
    <w:rsid w:val="008874F8"/>
    <w:rsid w:val="008914A4"/>
    <w:rsid w:val="008914CC"/>
    <w:rsid w:val="0089204E"/>
    <w:rsid w:val="00893C51"/>
    <w:rsid w:val="0089486F"/>
    <w:rsid w:val="00894F62"/>
    <w:rsid w:val="00897C18"/>
    <w:rsid w:val="008A04DE"/>
    <w:rsid w:val="008A0C4D"/>
    <w:rsid w:val="008A1DAC"/>
    <w:rsid w:val="008A310E"/>
    <w:rsid w:val="008B0575"/>
    <w:rsid w:val="008B0B79"/>
    <w:rsid w:val="008B1DD5"/>
    <w:rsid w:val="008B2872"/>
    <w:rsid w:val="008B4278"/>
    <w:rsid w:val="008B443F"/>
    <w:rsid w:val="008C05E1"/>
    <w:rsid w:val="008C38C6"/>
    <w:rsid w:val="008C6055"/>
    <w:rsid w:val="008D660E"/>
    <w:rsid w:val="008D7667"/>
    <w:rsid w:val="008E28EC"/>
    <w:rsid w:val="008E77F1"/>
    <w:rsid w:val="008F0C14"/>
    <w:rsid w:val="008F0CB8"/>
    <w:rsid w:val="008F195C"/>
    <w:rsid w:val="008F3F6B"/>
    <w:rsid w:val="008F4188"/>
    <w:rsid w:val="008F5E29"/>
    <w:rsid w:val="008F60C6"/>
    <w:rsid w:val="0090189C"/>
    <w:rsid w:val="00903BAF"/>
    <w:rsid w:val="00903CD5"/>
    <w:rsid w:val="009066CE"/>
    <w:rsid w:val="00911FBF"/>
    <w:rsid w:val="009157DD"/>
    <w:rsid w:val="00917038"/>
    <w:rsid w:val="0092057F"/>
    <w:rsid w:val="00922F73"/>
    <w:rsid w:val="00923909"/>
    <w:rsid w:val="00924D16"/>
    <w:rsid w:val="00927CFC"/>
    <w:rsid w:val="00931C2D"/>
    <w:rsid w:val="00931EEC"/>
    <w:rsid w:val="009328CF"/>
    <w:rsid w:val="009359FC"/>
    <w:rsid w:val="00941C14"/>
    <w:rsid w:val="00941F6D"/>
    <w:rsid w:val="00941F8C"/>
    <w:rsid w:val="00944768"/>
    <w:rsid w:val="00944C39"/>
    <w:rsid w:val="00944FB6"/>
    <w:rsid w:val="009477FA"/>
    <w:rsid w:val="00951595"/>
    <w:rsid w:val="00951B28"/>
    <w:rsid w:val="00952C55"/>
    <w:rsid w:val="009602DB"/>
    <w:rsid w:val="00961A73"/>
    <w:rsid w:val="0096261E"/>
    <w:rsid w:val="0096549C"/>
    <w:rsid w:val="009719E6"/>
    <w:rsid w:val="00975176"/>
    <w:rsid w:val="0097651B"/>
    <w:rsid w:val="00976C2E"/>
    <w:rsid w:val="00980912"/>
    <w:rsid w:val="00982F3D"/>
    <w:rsid w:val="0098305C"/>
    <w:rsid w:val="0098394B"/>
    <w:rsid w:val="0098607E"/>
    <w:rsid w:val="00987AE0"/>
    <w:rsid w:val="00992F77"/>
    <w:rsid w:val="00995E9E"/>
    <w:rsid w:val="009A1642"/>
    <w:rsid w:val="009A2380"/>
    <w:rsid w:val="009A3187"/>
    <w:rsid w:val="009A4645"/>
    <w:rsid w:val="009A4E90"/>
    <w:rsid w:val="009B13CE"/>
    <w:rsid w:val="009B2227"/>
    <w:rsid w:val="009B38DF"/>
    <w:rsid w:val="009B654C"/>
    <w:rsid w:val="009B6616"/>
    <w:rsid w:val="009C0EB6"/>
    <w:rsid w:val="009C1646"/>
    <w:rsid w:val="009C2073"/>
    <w:rsid w:val="009C2589"/>
    <w:rsid w:val="009D0D53"/>
    <w:rsid w:val="009D313A"/>
    <w:rsid w:val="009E3FD5"/>
    <w:rsid w:val="009E607D"/>
    <w:rsid w:val="009E60BB"/>
    <w:rsid w:val="009F1587"/>
    <w:rsid w:val="009F2834"/>
    <w:rsid w:val="009F3DFD"/>
    <w:rsid w:val="009F716D"/>
    <w:rsid w:val="00A0241D"/>
    <w:rsid w:val="00A1071E"/>
    <w:rsid w:val="00A1090F"/>
    <w:rsid w:val="00A10D2D"/>
    <w:rsid w:val="00A120C5"/>
    <w:rsid w:val="00A1257C"/>
    <w:rsid w:val="00A17177"/>
    <w:rsid w:val="00A21761"/>
    <w:rsid w:val="00A22268"/>
    <w:rsid w:val="00A2397A"/>
    <w:rsid w:val="00A349AD"/>
    <w:rsid w:val="00A35789"/>
    <w:rsid w:val="00A35A6F"/>
    <w:rsid w:val="00A412B6"/>
    <w:rsid w:val="00A41E30"/>
    <w:rsid w:val="00A436C8"/>
    <w:rsid w:val="00A470C2"/>
    <w:rsid w:val="00A50C32"/>
    <w:rsid w:val="00A52097"/>
    <w:rsid w:val="00A539CE"/>
    <w:rsid w:val="00A53A5C"/>
    <w:rsid w:val="00A54934"/>
    <w:rsid w:val="00A54DAB"/>
    <w:rsid w:val="00A56487"/>
    <w:rsid w:val="00A56EC2"/>
    <w:rsid w:val="00A57E76"/>
    <w:rsid w:val="00A634FF"/>
    <w:rsid w:val="00A6538C"/>
    <w:rsid w:val="00A667C3"/>
    <w:rsid w:val="00A70223"/>
    <w:rsid w:val="00A718F3"/>
    <w:rsid w:val="00A72789"/>
    <w:rsid w:val="00A729D2"/>
    <w:rsid w:val="00A742FD"/>
    <w:rsid w:val="00A75F0B"/>
    <w:rsid w:val="00A77B6D"/>
    <w:rsid w:val="00A83353"/>
    <w:rsid w:val="00A866C9"/>
    <w:rsid w:val="00A90FF7"/>
    <w:rsid w:val="00A94218"/>
    <w:rsid w:val="00A97DDF"/>
    <w:rsid w:val="00AA185E"/>
    <w:rsid w:val="00AA29C9"/>
    <w:rsid w:val="00AA557C"/>
    <w:rsid w:val="00AA58CD"/>
    <w:rsid w:val="00AA5924"/>
    <w:rsid w:val="00AA73F6"/>
    <w:rsid w:val="00AA760E"/>
    <w:rsid w:val="00AB0CD3"/>
    <w:rsid w:val="00AB152D"/>
    <w:rsid w:val="00AB24EE"/>
    <w:rsid w:val="00AB3170"/>
    <w:rsid w:val="00AB54D8"/>
    <w:rsid w:val="00AB69D3"/>
    <w:rsid w:val="00AC1E74"/>
    <w:rsid w:val="00AC7595"/>
    <w:rsid w:val="00AD2E7A"/>
    <w:rsid w:val="00AD311D"/>
    <w:rsid w:val="00AD3778"/>
    <w:rsid w:val="00AD4C64"/>
    <w:rsid w:val="00AD5DCC"/>
    <w:rsid w:val="00AD5FB8"/>
    <w:rsid w:val="00AE34E9"/>
    <w:rsid w:val="00AE4F67"/>
    <w:rsid w:val="00AE5270"/>
    <w:rsid w:val="00AE6C16"/>
    <w:rsid w:val="00AE761C"/>
    <w:rsid w:val="00AF1F25"/>
    <w:rsid w:val="00AF224E"/>
    <w:rsid w:val="00AF2AB4"/>
    <w:rsid w:val="00AF5A54"/>
    <w:rsid w:val="00AF6D04"/>
    <w:rsid w:val="00AF74BF"/>
    <w:rsid w:val="00B04ADB"/>
    <w:rsid w:val="00B0581A"/>
    <w:rsid w:val="00B21C1F"/>
    <w:rsid w:val="00B227A0"/>
    <w:rsid w:val="00B23347"/>
    <w:rsid w:val="00B3726A"/>
    <w:rsid w:val="00B42BF1"/>
    <w:rsid w:val="00B43CAE"/>
    <w:rsid w:val="00B43F0E"/>
    <w:rsid w:val="00B4566A"/>
    <w:rsid w:val="00B50C90"/>
    <w:rsid w:val="00B515D2"/>
    <w:rsid w:val="00B5679E"/>
    <w:rsid w:val="00B56C09"/>
    <w:rsid w:val="00B622A3"/>
    <w:rsid w:val="00B63AF0"/>
    <w:rsid w:val="00B64979"/>
    <w:rsid w:val="00B65F6A"/>
    <w:rsid w:val="00B679DF"/>
    <w:rsid w:val="00B7244D"/>
    <w:rsid w:val="00B72DD1"/>
    <w:rsid w:val="00B7663E"/>
    <w:rsid w:val="00B77DF7"/>
    <w:rsid w:val="00B77FD2"/>
    <w:rsid w:val="00B80690"/>
    <w:rsid w:val="00B820D7"/>
    <w:rsid w:val="00B823DB"/>
    <w:rsid w:val="00B8314E"/>
    <w:rsid w:val="00B87415"/>
    <w:rsid w:val="00B87EAC"/>
    <w:rsid w:val="00B87EE1"/>
    <w:rsid w:val="00B91650"/>
    <w:rsid w:val="00B9492A"/>
    <w:rsid w:val="00B963D2"/>
    <w:rsid w:val="00BA11A5"/>
    <w:rsid w:val="00BA39C0"/>
    <w:rsid w:val="00BB0916"/>
    <w:rsid w:val="00BB1A71"/>
    <w:rsid w:val="00BB26C1"/>
    <w:rsid w:val="00BB4547"/>
    <w:rsid w:val="00BB5443"/>
    <w:rsid w:val="00BB685A"/>
    <w:rsid w:val="00BC0D60"/>
    <w:rsid w:val="00BC20F1"/>
    <w:rsid w:val="00BC3236"/>
    <w:rsid w:val="00BC6121"/>
    <w:rsid w:val="00BD232F"/>
    <w:rsid w:val="00BD2EB6"/>
    <w:rsid w:val="00BD33D6"/>
    <w:rsid w:val="00BD5BB0"/>
    <w:rsid w:val="00BD79D1"/>
    <w:rsid w:val="00BD79E0"/>
    <w:rsid w:val="00BE4B41"/>
    <w:rsid w:val="00BE5607"/>
    <w:rsid w:val="00BE67E8"/>
    <w:rsid w:val="00BF05A8"/>
    <w:rsid w:val="00BF4D29"/>
    <w:rsid w:val="00BF5DC2"/>
    <w:rsid w:val="00BF76D3"/>
    <w:rsid w:val="00BF7959"/>
    <w:rsid w:val="00C03986"/>
    <w:rsid w:val="00C049B1"/>
    <w:rsid w:val="00C07FEF"/>
    <w:rsid w:val="00C14582"/>
    <w:rsid w:val="00C15642"/>
    <w:rsid w:val="00C216A5"/>
    <w:rsid w:val="00C231C3"/>
    <w:rsid w:val="00C25390"/>
    <w:rsid w:val="00C26DFF"/>
    <w:rsid w:val="00C275D0"/>
    <w:rsid w:val="00C27A9E"/>
    <w:rsid w:val="00C32100"/>
    <w:rsid w:val="00C3621E"/>
    <w:rsid w:val="00C44F65"/>
    <w:rsid w:val="00C46808"/>
    <w:rsid w:val="00C47C80"/>
    <w:rsid w:val="00C52744"/>
    <w:rsid w:val="00C55A2F"/>
    <w:rsid w:val="00C56873"/>
    <w:rsid w:val="00C60A6D"/>
    <w:rsid w:val="00C636C0"/>
    <w:rsid w:val="00C66CEA"/>
    <w:rsid w:val="00C7067E"/>
    <w:rsid w:val="00C72106"/>
    <w:rsid w:val="00C746BF"/>
    <w:rsid w:val="00C80C64"/>
    <w:rsid w:val="00C829CC"/>
    <w:rsid w:val="00C8491E"/>
    <w:rsid w:val="00C87FED"/>
    <w:rsid w:val="00C91A43"/>
    <w:rsid w:val="00C91D19"/>
    <w:rsid w:val="00C95C6C"/>
    <w:rsid w:val="00CA1F5B"/>
    <w:rsid w:val="00CA23B5"/>
    <w:rsid w:val="00CA327F"/>
    <w:rsid w:val="00CB2ADB"/>
    <w:rsid w:val="00CB6334"/>
    <w:rsid w:val="00CB67CC"/>
    <w:rsid w:val="00CB6B8A"/>
    <w:rsid w:val="00CB78CC"/>
    <w:rsid w:val="00CC0EFC"/>
    <w:rsid w:val="00CC220E"/>
    <w:rsid w:val="00CC35F2"/>
    <w:rsid w:val="00CC39F3"/>
    <w:rsid w:val="00CC46FA"/>
    <w:rsid w:val="00CC4A89"/>
    <w:rsid w:val="00CD2C66"/>
    <w:rsid w:val="00CD5FBE"/>
    <w:rsid w:val="00CD7D8F"/>
    <w:rsid w:val="00CF056A"/>
    <w:rsid w:val="00CF2AFD"/>
    <w:rsid w:val="00CF2B0D"/>
    <w:rsid w:val="00CF562B"/>
    <w:rsid w:val="00CF5F27"/>
    <w:rsid w:val="00D00686"/>
    <w:rsid w:val="00D02264"/>
    <w:rsid w:val="00D076AE"/>
    <w:rsid w:val="00D10C3A"/>
    <w:rsid w:val="00D118EC"/>
    <w:rsid w:val="00D11AC9"/>
    <w:rsid w:val="00D142C4"/>
    <w:rsid w:val="00D17001"/>
    <w:rsid w:val="00D175A2"/>
    <w:rsid w:val="00D2157D"/>
    <w:rsid w:val="00D2212F"/>
    <w:rsid w:val="00D252F2"/>
    <w:rsid w:val="00D3059B"/>
    <w:rsid w:val="00D3719C"/>
    <w:rsid w:val="00D42DA9"/>
    <w:rsid w:val="00D45388"/>
    <w:rsid w:val="00D459ED"/>
    <w:rsid w:val="00D46728"/>
    <w:rsid w:val="00D4672D"/>
    <w:rsid w:val="00D47F55"/>
    <w:rsid w:val="00D50240"/>
    <w:rsid w:val="00D513B9"/>
    <w:rsid w:val="00D519C3"/>
    <w:rsid w:val="00D52561"/>
    <w:rsid w:val="00D54725"/>
    <w:rsid w:val="00D54C8C"/>
    <w:rsid w:val="00D5631A"/>
    <w:rsid w:val="00D566B1"/>
    <w:rsid w:val="00D63567"/>
    <w:rsid w:val="00D6789A"/>
    <w:rsid w:val="00D7135A"/>
    <w:rsid w:val="00D733EA"/>
    <w:rsid w:val="00D74C6F"/>
    <w:rsid w:val="00D77700"/>
    <w:rsid w:val="00D82257"/>
    <w:rsid w:val="00D82FD3"/>
    <w:rsid w:val="00D840C0"/>
    <w:rsid w:val="00D84667"/>
    <w:rsid w:val="00D846CC"/>
    <w:rsid w:val="00D86D80"/>
    <w:rsid w:val="00D8746C"/>
    <w:rsid w:val="00D878CE"/>
    <w:rsid w:val="00D945FC"/>
    <w:rsid w:val="00DB1BBB"/>
    <w:rsid w:val="00DB48C1"/>
    <w:rsid w:val="00DB7538"/>
    <w:rsid w:val="00DD2009"/>
    <w:rsid w:val="00DD2704"/>
    <w:rsid w:val="00DD304B"/>
    <w:rsid w:val="00DD3262"/>
    <w:rsid w:val="00DD3AFF"/>
    <w:rsid w:val="00DE0DFC"/>
    <w:rsid w:val="00DE1BDA"/>
    <w:rsid w:val="00DE1BDC"/>
    <w:rsid w:val="00DE3904"/>
    <w:rsid w:val="00DE3BCE"/>
    <w:rsid w:val="00DE48FF"/>
    <w:rsid w:val="00DE568F"/>
    <w:rsid w:val="00DF2BD4"/>
    <w:rsid w:val="00DF4174"/>
    <w:rsid w:val="00DF431B"/>
    <w:rsid w:val="00DF6A4C"/>
    <w:rsid w:val="00E02DEE"/>
    <w:rsid w:val="00E0579C"/>
    <w:rsid w:val="00E06551"/>
    <w:rsid w:val="00E072AF"/>
    <w:rsid w:val="00E13291"/>
    <w:rsid w:val="00E1566F"/>
    <w:rsid w:val="00E16D14"/>
    <w:rsid w:val="00E17A16"/>
    <w:rsid w:val="00E17CB9"/>
    <w:rsid w:val="00E225BA"/>
    <w:rsid w:val="00E257BD"/>
    <w:rsid w:val="00E27C65"/>
    <w:rsid w:val="00E32F5B"/>
    <w:rsid w:val="00E33F63"/>
    <w:rsid w:val="00E340D0"/>
    <w:rsid w:val="00E35BB8"/>
    <w:rsid w:val="00E37A4F"/>
    <w:rsid w:val="00E43F28"/>
    <w:rsid w:val="00E45BD1"/>
    <w:rsid w:val="00E476AA"/>
    <w:rsid w:val="00E53277"/>
    <w:rsid w:val="00E5361F"/>
    <w:rsid w:val="00E5649A"/>
    <w:rsid w:val="00E570AB"/>
    <w:rsid w:val="00E60DEF"/>
    <w:rsid w:val="00E64D8D"/>
    <w:rsid w:val="00E64E0B"/>
    <w:rsid w:val="00E662AA"/>
    <w:rsid w:val="00E7312F"/>
    <w:rsid w:val="00E7413F"/>
    <w:rsid w:val="00E7679E"/>
    <w:rsid w:val="00E769E7"/>
    <w:rsid w:val="00E8056F"/>
    <w:rsid w:val="00E868E5"/>
    <w:rsid w:val="00E90365"/>
    <w:rsid w:val="00E93585"/>
    <w:rsid w:val="00E94557"/>
    <w:rsid w:val="00E96CC1"/>
    <w:rsid w:val="00EA0766"/>
    <w:rsid w:val="00EA0B53"/>
    <w:rsid w:val="00EA293B"/>
    <w:rsid w:val="00EA2A98"/>
    <w:rsid w:val="00EB0A2F"/>
    <w:rsid w:val="00EB684B"/>
    <w:rsid w:val="00EB69C2"/>
    <w:rsid w:val="00EC079A"/>
    <w:rsid w:val="00EC0EF0"/>
    <w:rsid w:val="00EC2757"/>
    <w:rsid w:val="00EC7B89"/>
    <w:rsid w:val="00ED1B90"/>
    <w:rsid w:val="00ED5C15"/>
    <w:rsid w:val="00ED75B8"/>
    <w:rsid w:val="00ED786E"/>
    <w:rsid w:val="00EE08F2"/>
    <w:rsid w:val="00EE1E35"/>
    <w:rsid w:val="00EE3CB2"/>
    <w:rsid w:val="00EF3D88"/>
    <w:rsid w:val="00EF592A"/>
    <w:rsid w:val="00F006AC"/>
    <w:rsid w:val="00F0166F"/>
    <w:rsid w:val="00F0485B"/>
    <w:rsid w:val="00F06199"/>
    <w:rsid w:val="00F06889"/>
    <w:rsid w:val="00F06CFE"/>
    <w:rsid w:val="00F115A1"/>
    <w:rsid w:val="00F14283"/>
    <w:rsid w:val="00F14859"/>
    <w:rsid w:val="00F14998"/>
    <w:rsid w:val="00F175B7"/>
    <w:rsid w:val="00F17809"/>
    <w:rsid w:val="00F242A2"/>
    <w:rsid w:val="00F2658C"/>
    <w:rsid w:val="00F27736"/>
    <w:rsid w:val="00F30A55"/>
    <w:rsid w:val="00F46E16"/>
    <w:rsid w:val="00F50AE1"/>
    <w:rsid w:val="00F52925"/>
    <w:rsid w:val="00F549FF"/>
    <w:rsid w:val="00F54E40"/>
    <w:rsid w:val="00F55EB3"/>
    <w:rsid w:val="00F5661E"/>
    <w:rsid w:val="00F6415E"/>
    <w:rsid w:val="00F67136"/>
    <w:rsid w:val="00F700B0"/>
    <w:rsid w:val="00F7072A"/>
    <w:rsid w:val="00F70DFF"/>
    <w:rsid w:val="00F72D0E"/>
    <w:rsid w:val="00F74269"/>
    <w:rsid w:val="00F744EA"/>
    <w:rsid w:val="00F74674"/>
    <w:rsid w:val="00F8413E"/>
    <w:rsid w:val="00F85665"/>
    <w:rsid w:val="00F8693D"/>
    <w:rsid w:val="00F86E40"/>
    <w:rsid w:val="00F87990"/>
    <w:rsid w:val="00F91FC9"/>
    <w:rsid w:val="00F920D2"/>
    <w:rsid w:val="00F96D8F"/>
    <w:rsid w:val="00FA0448"/>
    <w:rsid w:val="00FA176E"/>
    <w:rsid w:val="00FA240F"/>
    <w:rsid w:val="00FA2584"/>
    <w:rsid w:val="00FA2B2F"/>
    <w:rsid w:val="00FA7989"/>
    <w:rsid w:val="00FB0A5F"/>
    <w:rsid w:val="00FB1E1C"/>
    <w:rsid w:val="00FB7999"/>
    <w:rsid w:val="00FB7D4E"/>
    <w:rsid w:val="00FB7F4F"/>
    <w:rsid w:val="00FC0FA9"/>
    <w:rsid w:val="00FC4AA8"/>
    <w:rsid w:val="00FD13FA"/>
    <w:rsid w:val="00FD26E3"/>
    <w:rsid w:val="00FD410F"/>
    <w:rsid w:val="00FD55EC"/>
    <w:rsid w:val="00FD5DF1"/>
    <w:rsid w:val="00FD5FE0"/>
    <w:rsid w:val="00FE01A8"/>
    <w:rsid w:val="00FE568C"/>
    <w:rsid w:val="00FE699D"/>
    <w:rsid w:val="00FE70BB"/>
    <w:rsid w:val="00FF0094"/>
    <w:rsid w:val="00FF16E2"/>
    <w:rsid w:val="00FF681C"/>
    <w:rsid w:val="015F6184"/>
    <w:rsid w:val="03480A3A"/>
    <w:rsid w:val="03910922"/>
    <w:rsid w:val="04790B48"/>
    <w:rsid w:val="07191689"/>
    <w:rsid w:val="07900DD6"/>
    <w:rsid w:val="07A96E08"/>
    <w:rsid w:val="0A720951"/>
    <w:rsid w:val="0B014935"/>
    <w:rsid w:val="0B0E0C05"/>
    <w:rsid w:val="0C874956"/>
    <w:rsid w:val="0CF531F5"/>
    <w:rsid w:val="0D707A33"/>
    <w:rsid w:val="0DFA4114"/>
    <w:rsid w:val="128A37C9"/>
    <w:rsid w:val="131D6FF7"/>
    <w:rsid w:val="135F6956"/>
    <w:rsid w:val="15360E8A"/>
    <w:rsid w:val="178D4E46"/>
    <w:rsid w:val="18EF138C"/>
    <w:rsid w:val="18F15D4D"/>
    <w:rsid w:val="1E9623BB"/>
    <w:rsid w:val="206D72F1"/>
    <w:rsid w:val="20B40A1C"/>
    <w:rsid w:val="21477C75"/>
    <w:rsid w:val="217E3A7B"/>
    <w:rsid w:val="22014FA9"/>
    <w:rsid w:val="2A3F2BD5"/>
    <w:rsid w:val="2AE73386"/>
    <w:rsid w:val="2AEC1D54"/>
    <w:rsid w:val="2AFB2851"/>
    <w:rsid w:val="2C004309"/>
    <w:rsid w:val="2CC42325"/>
    <w:rsid w:val="2E2D0E3D"/>
    <w:rsid w:val="2E87787C"/>
    <w:rsid w:val="30F33025"/>
    <w:rsid w:val="31183B56"/>
    <w:rsid w:val="31953E54"/>
    <w:rsid w:val="32874993"/>
    <w:rsid w:val="33096330"/>
    <w:rsid w:val="331E10D8"/>
    <w:rsid w:val="35DE2BE7"/>
    <w:rsid w:val="36D819D5"/>
    <w:rsid w:val="39950D9A"/>
    <w:rsid w:val="3AAA4898"/>
    <w:rsid w:val="3AD0194F"/>
    <w:rsid w:val="3C7F796D"/>
    <w:rsid w:val="3D6176E6"/>
    <w:rsid w:val="3D961015"/>
    <w:rsid w:val="3E0F6C59"/>
    <w:rsid w:val="3E8B3679"/>
    <w:rsid w:val="3FE96445"/>
    <w:rsid w:val="409F5E6C"/>
    <w:rsid w:val="40CD35C3"/>
    <w:rsid w:val="429C58EE"/>
    <w:rsid w:val="430F4676"/>
    <w:rsid w:val="43155CD3"/>
    <w:rsid w:val="440F013F"/>
    <w:rsid w:val="453A4D31"/>
    <w:rsid w:val="45C86B07"/>
    <w:rsid w:val="4E307250"/>
    <w:rsid w:val="4E5A63AA"/>
    <w:rsid w:val="502F3701"/>
    <w:rsid w:val="50EB46E2"/>
    <w:rsid w:val="511F7A80"/>
    <w:rsid w:val="542C4745"/>
    <w:rsid w:val="54DA7F8F"/>
    <w:rsid w:val="55CF52C2"/>
    <w:rsid w:val="56024291"/>
    <w:rsid w:val="577640C2"/>
    <w:rsid w:val="578141DE"/>
    <w:rsid w:val="58683C9A"/>
    <w:rsid w:val="587E6562"/>
    <w:rsid w:val="599154FE"/>
    <w:rsid w:val="5B39348F"/>
    <w:rsid w:val="5C0A5678"/>
    <w:rsid w:val="5D012795"/>
    <w:rsid w:val="5E5030FF"/>
    <w:rsid w:val="5E542828"/>
    <w:rsid w:val="5E631844"/>
    <w:rsid w:val="5EC4664F"/>
    <w:rsid w:val="63413E16"/>
    <w:rsid w:val="63804532"/>
    <w:rsid w:val="642C60EE"/>
    <w:rsid w:val="64A52A2C"/>
    <w:rsid w:val="65E25482"/>
    <w:rsid w:val="667C2D67"/>
    <w:rsid w:val="67726C21"/>
    <w:rsid w:val="678364F9"/>
    <w:rsid w:val="6B83603D"/>
    <w:rsid w:val="6C8261E1"/>
    <w:rsid w:val="6DA373BD"/>
    <w:rsid w:val="6DAE450C"/>
    <w:rsid w:val="6DFB0B9A"/>
    <w:rsid w:val="6E0334DC"/>
    <w:rsid w:val="6EEC2ACA"/>
    <w:rsid w:val="6F9A4902"/>
    <w:rsid w:val="70A93A25"/>
    <w:rsid w:val="7121189A"/>
    <w:rsid w:val="71E36359"/>
    <w:rsid w:val="73AD4A88"/>
    <w:rsid w:val="73AE3EC0"/>
    <w:rsid w:val="73B62661"/>
    <w:rsid w:val="74D37BE3"/>
    <w:rsid w:val="75861CFF"/>
    <w:rsid w:val="76EF258C"/>
    <w:rsid w:val="792E1024"/>
    <w:rsid w:val="7A6A3015"/>
    <w:rsid w:val="7BD75745"/>
    <w:rsid w:val="7CD1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30"/>
    <w:qFormat/>
    <w:uiPriority w:val="0"/>
    <w:pPr>
      <w:keepNext/>
      <w:keepLines/>
      <w:tabs>
        <w:tab w:val="left" w:pos="0"/>
      </w:tabs>
      <w:spacing w:before="340" w:after="330" w:line="578" w:lineRule="atLeast"/>
      <w:outlineLvl w:val="0"/>
    </w:pPr>
    <w:rPr>
      <w:b/>
      <w:bCs/>
      <w:kern w:val="44"/>
      <w:sz w:val="44"/>
      <w:szCs w:val="44"/>
    </w:rPr>
  </w:style>
  <w:style w:type="paragraph" w:styleId="4">
    <w:name w:val="heading 2"/>
    <w:basedOn w:val="1"/>
    <w:next w:val="1"/>
    <w:link w:val="131"/>
    <w:qFormat/>
    <w:uiPriority w:val="0"/>
    <w:pPr>
      <w:keepNext/>
      <w:keepLines/>
      <w:tabs>
        <w:tab w:val="left" w:pos="0"/>
      </w:tabs>
      <w:spacing w:before="260" w:after="260" w:line="416" w:lineRule="atLeast"/>
      <w:outlineLvl w:val="1"/>
    </w:pPr>
    <w:rPr>
      <w:rFonts w:ascii="Arial" w:hAnsi="Arial" w:eastAsia="黑体"/>
      <w:b/>
      <w:bCs/>
      <w:sz w:val="32"/>
      <w:szCs w:val="32"/>
    </w:rPr>
  </w:style>
  <w:style w:type="paragraph" w:styleId="5">
    <w:name w:val="heading 3"/>
    <w:basedOn w:val="1"/>
    <w:next w:val="1"/>
    <w:link w:val="132"/>
    <w:qFormat/>
    <w:uiPriority w:val="9"/>
    <w:pPr>
      <w:keepNext/>
      <w:keepLines/>
      <w:tabs>
        <w:tab w:val="left" w:pos="0"/>
      </w:tabs>
      <w:spacing w:before="260" w:after="260" w:line="416" w:lineRule="atLeast"/>
      <w:outlineLvl w:val="2"/>
    </w:pPr>
    <w:rPr>
      <w:b/>
      <w:bCs/>
      <w:sz w:val="32"/>
      <w:szCs w:val="32"/>
    </w:rPr>
  </w:style>
  <w:style w:type="paragraph" w:styleId="6">
    <w:name w:val="heading 4"/>
    <w:basedOn w:val="1"/>
    <w:next w:val="1"/>
    <w:link w:val="133"/>
    <w:qFormat/>
    <w:uiPriority w:val="9"/>
    <w:pPr>
      <w:keepNext/>
      <w:keepLines/>
      <w:tabs>
        <w:tab w:val="left" w:pos="0"/>
      </w:tabs>
      <w:spacing w:before="280" w:after="290" w:line="376" w:lineRule="atLeast"/>
      <w:outlineLvl w:val="3"/>
    </w:pPr>
    <w:rPr>
      <w:rFonts w:ascii="Arial" w:hAnsi="Arial" w:eastAsia="黑体"/>
      <w:b/>
      <w:bCs/>
      <w:sz w:val="28"/>
      <w:szCs w:val="28"/>
    </w:rPr>
  </w:style>
  <w:style w:type="paragraph" w:styleId="7">
    <w:name w:val="heading 5"/>
    <w:basedOn w:val="1"/>
    <w:next w:val="1"/>
    <w:link w:val="134"/>
    <w:qFormat/>
    <w:uiPriority w:val="0"/>
    <w:pPr>
      <w:keepNext/>
      <w:keepLines/>
      <w:tabs>
        <w:tab w:val="left" w:pos="0"/>
      </w:tabs>
      <w:spacing w:before="280" w:after="290" w:line="376" w:lineRule="atLeast"/>
      <w:outlineLvl w:val="4"/>
    </w:pPr>
    <w:rPr>
      <w:b/>
      <w:bCs/>
      <w:sz w:val="28"/>
      <w:szCs w:val="28"/>
    </w:rPr>
  </w:style>
  <w:style w:type="paragraph" w:styleId="8">
    <w:name w:val="heading 6"/>
    <w:basedOn w:val="1"/>
    <w:next w:val="1"/>
    <w:link w:val="135"/>
    <w:qFormat/>
    <w:uiPriority w:val="0"/>
    <w:pPr>
      <w:keepNext/>
      <w:keepLines/>
      <w:tabs>
        <w:tab w:val="left" w:pos="0"/>
      </w:tabs>
      <w:spacing w:before="240" w:after="64" w:line="320" w:lineRule="atLeast"/>
      <w:outlineLvl w:val="5"/>
    </w:pPr>
    <w:rPr>
      <w:rFonts w:ascii="Arial" w:hAnsi="Arial" w:eastAsia="黑体"/>
      <w:b/>
      <w:bCs/>
      <w:szCs w:val="24"/>
    </w:rPr>
  </w:style>
  <w:style w:type="paragraph" w:styleId="9">
    <w:name w:val="heading 7"/>
    <w:basedOn w:val="1"/>
    <w:next w:val="1"/>
    <w:link w:val="136"/>
    <w:qFormat/>
    <w:uiPriority w:val="0"/>
    <w:pPr>
      <w:keepNext/>
      <w:keepLines/>
      <w:tabs>
        <w:tab w:val="left" w:pos="0"/>
      </w:tabs>
      <w:spacing w:before="240" w:after="64" w:line="320" w:lineRule="atLeast"/>
      <w:outlineLvl w:val="6"/>
    </w:pPr>
    <w:rPr>
      <w:b/>
      <w:bCs/>
      <w:szCs w:val="24"/>
    </w:rPr>
  </w:style>
  <w:style w:type="paragraph" w:styleId="10">
    <w:name w:val="heading 8"/>
    <w:basedOn w:val="1"/>
    <w:next w:val="1"/>
    <w:link w:val="137"/>
    <w:qFormat/>
    <w:uiPriority w:val="0"/>
    <w:pPr>
      <w:keepNext/>
      <w:keepLines/>
      <w:tabs>
        <w:tab w:val="left" w:pos="0"/>
      </w:tabs>
      <w:spacing w:before="240" w:after="64" w:line="320" w:lineRule="atLeast"/>
      <w:outlineLvl w:val="7"/>
    </w:pPr>
    <w:rPr>
      <w:rFonts w:ascii="Arial" w:hAnsi="Arial" w:eastAsia="黑体"/>
      <w:szCs w:val="24"/>
    </w:rPr>
  </w:style>
  <w:style w:type="paragraph" w:styleId="11">
    <w:name w:val="heading 9"/>
    <w:basedOn w:val="1"/>
    <w:next w:val="1"/>
    <w:link w:val="138"/>
    <w:qFormat/>
    <w:uiPriority w:val="0"/>
    <w:pPr>
      <w:keepNext/>
      <w:keepLines/>
      <w:tabs>
        <w:tab w:val="left" w:pos="0"/>
      </w:tabs>
      <w:spacing w:before="240" w:after="64" w:line="320" w:lineRule="atLeast"/>
      <w:outlineLvl w:val="8"/>
    </w:pPr>
    <w:rPr>
      <w:rFonts w:ascii="Arial" w:hAnsi="Arial" w:eastAsia="黑体"/>
      <w:sz w:val="21"/>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1"/>
    <w:qFormat/>
    <w:uiPriority w:val="0"/>
    <w:pPr>
      <w:adjustRightInd/>
      <w:spacing w:line="240" w:lineRule="auto"/>
      <w:jc w:val="both"/>
      <w:textAlignment w:val="auto"/>
    </w:pPr>
    <w:rPr>
      <w:kern w:val="2"/>
      <w:sz w:val="28"/>
    </w:rPr>
  </w:style>
  <w:style w:type="paragraph" w:styleId="12">
    <w:name w:val="toc 7"/>
    <w:basedOn w:val="1"/>
    <w:next w:val="1"/>
    <w:qFormat/>
    <w:uiPriority w:val="0"/>
    <w:pPr>
      <w:ind w:left="1200"/>
    </w:pPr>
    <w:rPr>
      <w:sz w:val="20"/>
    </w:rPr>
  </w:style>
  <w:style w:type="paragraph" w:styleId="13">
    <w:name w:val="Normal Indent"/>
    <w:basedOn w:val="1"/>
    <w:next w:val="1"/>
    <w:link w:val="143"/>
    <w:qFormat/>
    <w:uiPriority w:val="0"/>
    <w:pPr>
      <w:ind w:firstLine="200" w:firstLineChars="200"/>
    </w:pPr>
  </w:style>
  <w:style w:type="paragraph" w:styleId="14">
    <w:name w:val="caption"/>
    <w:basedOn w:val="1"/>
    <w:next w:val="1"/>
    <w:qFormat/>
    <w:uiPriority w:val="0"/>
    <w:pPr>
      <w:spacing w:line="480" w:lineRule="auto"/>
    </w:pPr>
    <w:rPr>
      <w:rFonts w:ascii="华文中宋" w:eastAsia="华文中宋"/>
      <w:kern w:val="2"/>
      <w:sz w:val="36"/>
    </w:rPr>
  </w:style>
  <w:style w:type="paragraph" w:styleId="15">
    <w:name w:val="Document Map"/>
    <w:basedOn w:val="1"/>
    <w:link w:val="144"/>
    <w:qFormat/>
    <w:uiPriority w:val="99"/>
    <w:pPr>
      <w:shd w:val="clear" w:color="auto" w:fill="000080"/>
    </w:pPr>
  </w:style>
  <w:style w:type="paragraph" w:styleId="16">
    <w:name w:val="annotation text"/>
    <w:basedOn w:val="1"/>
    <w:link w:val="139"/>
    <w:qFormat/>
    <w:uiPriority w:val="0"/>
  </w:style>
  <w:style w:type="paragraph" w:styleId="17">
    <w:name w:val="Salutation"/>
    <w:next w:val="1"/>
    <w:link w:val="145"/>
    <w:qFormat/>
    <w:uiPriority w:val="0"/>
    <w:pPr>
      <w:widowControl w:val="0"/>
      <w:adjustRightInd w:val="0"/>
      <w:snapToGrid w:val="0"/>
      <w:spacing w:line="360" w:lineRule="auto"/>
      <w:jc w:val="both"/>
    </w:pPr>
    <w:rPr>
      <w:rFonts w:ascii="方正仿宋_GBK" w:hAnsi="Times New Roman" w:eastAsia="方正仿宋_GBK" w:cs="方正仿宋_GBK"/>
      <w:sz w:val="32"/>
      <w:szCs w:val="32"/>
      <w:lang w:val="en-US" w:eastAsia="zh-CN" w:bidi="ar-SA"/>
    </w:rPr>
  </w:style>
  <w:style w:type="paragraph" w:styleId="18">
    <w:name w:val="Body Text Indent"/>
    <w:basedOn w:val="1"/>
    <w:link w:val="146"/>
    <w:qFormat/>
    <w:uiPriority w:val="0"/>
    <w:pPr>
      <w:spacing w:line="240" w:lineRule="auto"/>
      <w:ind w:left="460" w:leftChars="460"/>
    </w:pPr>
    <w:rPr>
      <w:rFonts w:ascii="宋体"/>
      <w:szCs w:val="21"/>
    </w:rPr>
  </w:style>
  <w:style w:type="paragraph" w:styleId="19">
    <w:name w:val="Block Text"/>
    <w:basedOn w:val="1"/>
    <w:qFormat/>
    <w:uiPriority w:val="0"/>
    <w:pPr>
      <w:spacing w:line="300" w:lineRule="auto"/>
      <w:ind w:left="958" w:right="-120" w:rightChars="-120"/>
    </w:pPr>
    <w:rPr>
      <w:rFonts w:ascii="宋体" w:hAnsi="宋体"/>
      <w:sz w:val="28"/>
    </w:rPr>
  </w:style>
  <w:style w:type="paragraph" w:styleId="20">
    <w:name w:val="List Bullet 2"/>
    <w:basedOn w:val="1"/>
    <w:qFormat/>
    <w:uiPriority w:val="0"/>
    <w:pPr>
      <w:numPr>
        <w:ilvl w:val="0"/>
        <w:numId w:val="1"/>
      </w:numPr>
    </w:pPr>
  </w:style>
  <w:style w:type="paragraph" w:styleId="21">
    <w:name w:val="toc 5"/>
    <w:basedOn w:val="1"/>
    <w:next w:val="1"/>
    <w:qFormat/>
    <w:uiPriority w:val="39"/>
    <w:pPr>
      <w:ind w:left="720"/>
    </w:pPr>
    <w:rPr>
      <w:sz w:val="20"/>
    </w:rPr>
  </w:style>
  <w:style w:type="paragraph" w:styleId="22">
    <w:name w:val="toc 3"/>
    <w:basedOn w:val="1"/>
    <w:next w:val="1"/>
    <w:qFormat/>
    <w:uiPriority w:val="39"/>
    <w:pPr>
      <w:ind w:left="240"/>
    </w:pPr>
    <w:rPr>
      <w:sz w:val="20"/>
    </w:rPr>
  </w:style>
  <w:style w:type="paragraph" w:styleId="23">
    <w:name w:val="Plain Text"/>
    <w:basedOn w:val="1"/>
    <w:link w:val="147"/>
    <w:qFormat/>
    <w:uiPriority w:val="0"/>
    <w:pPr>
      <w:adjustRightInd/>
      <w:spacing w:line="240" w:lineRule="auto"/>
      <w:jc w:val="both"/>
      <w:textAlignment w:val="auto"/>
    </w:pPr>
    <w:rPr>
      <w:rFonts w:ascii="宋体"/>
      <w:kern w:val="2"/>
      <w:sz w:val="21"/>
      <w:szCs w:val="21"/>
    </w:rPr>
  </w:style>
  <w:style w:type="paragraph" w:styleId="24">
    <w:name w:val="toc 8"/>
    <w:basedOn w:val="1"/>
    <w:next w:val="1"/>
    <w:qFormat/>
    <w:uiPriority w:val="0"/>
    <w:pPr>
      <w:ind w:left="1440"/>
    </w:pPr>
    <w:rPr>
      <w:sz w:val="20"/>
    </w:rPr>
  </w:style>
  <w:style w:type="paragraph" w:styleId="25">
    <w:name w:val="Date"/>
    <w:basedOn w:val="1"/>
    <w:next w:val="1"/>
    <w:link w:val="148"/>
    <w:qFormat/>
    <w:uiPriority w:val="0"/>
    <w:pPr>
      <w:adjustRightInd/>
      <w:spacing w:line="240" w:lineRule="auto"/>
      <w:ind w:left="2500" w:leftChars="2500"/>
      <w:jc w:val="both"/>
      <w:textAlignment w:val="auto"/>
    </w:pPr>
    <w:rPr>
      <w:kern w:val="2"/>
      <w:sz w:val="21"/>
    </w:rPr>
  </w:style>
  <w:style w:type="paragraph" w:styleId="26">
    <w:name w:val="Body Text Indent 2"/>
    <w:basedOn w:val="1"/>
    <w:link w:val="149"/>
    <w:qFormat/>
    <w:uiPriority w:val="0"/>
    <w:pPr>
      <w:spacing w:line="240" w:lineRule="auto"/>
      <w:ind w:firstLine="244" w:firstLineChars="244"/>
    </w:pPr>
    <w:rPr>
      <w:rFonts w:ascii="宋体"/>
      <w:szCs w:val="21"/>
    </w:rPr>
  </w:style>
  <w:style w:type="paragraph" w:styleId="27">
    <w:name w:val="Balloon Text"/>
    <w:basedOn w:val="1"/>
    <w:link w:val="150"/>
    <w:qFormat/>
    <w:uiPriority w:val="0"/>
    <w:rPr>
      <w:sz w:val="18"/>
      <w:szCs w:val="18"/>
    </w:rPr>
  </w:style>
  <w:style w:type="paragraph" w:styleId="28">
    <w:name w:val="footer"/>
    <w:basedOn w:val="1"/>
    <w:link w:val="151"/>
    <w:qFormat/>
    <w:uiPriority w:val="99"/>
    <w:pPr>
      <w:tabs>
        <w:tab w:val="center" w:pos="4153"/>
        <w:tab w:val="right" w:pos="8306"/>
      </w:tabs>
      <w:spacing w:line="240" w:lineRule="atLeast"/>
    </w:pPr>
    <w:rPr>
      <w:sz w:val="18"/>
    </w:rPr>
  </w:style>
  <w:style w:type="paragraph" w:styleId="29">
    <w:name w:val="header"/>
    <w:basedOn w:val="1"/>
    <w:link w:val="152"/>
    <w:qFormat/>
    <w:uiPriority w:val="99"/>
    <w:pPr>
      <w:pBdr>
        <w:bottom w:val="single" w:color="auto" w:sz="6" w:space="1"/>
      </w:pBdr>
      <w:tabs>
        <w:tab w:val="center" w:pos="4153"/>
        <w:tab w:val="right" w:pos="8306"/>
      </w:tabs>
      <w:spacing w:line="240" w:lineRule="atLeast"/>
      <w:jc w:val="center"/>
    </w:pPr>
    <w:rPr>
      <w:sz w:val="18"/>
    </w:rPr>
  </w:style>
  <w:style w:type="paragraph" w:styleId="30">
    <w:name w:val="toc 1"/>
    <w:basedOn w:val="1"/>
    <w:next w:val="1"/>
    <w:qFormat/>
    <w:uiPriority w:val="39"/>
    <w:pPr>
      <w:spacing w:before="360"/>
    </w:pPr>
    <w:rPr>
      <w:rFonts w:ascii="Arial" w:hAnsi="Arial" w:cs="Arial"/>
      <w:b/>
      <w:bCs/>
      <w:caps/>
      <w:szCs w:val="24"/>
    </w:rPr>
  </w:style>
  <w:style w:type="paragraph" w:styleId="31">
    <w:name w:val="toc 4"/>
    <w:basedOn w:val="1"/>
    <w:next w:val="1"/>
    <w:qFormat/>
    <w:uiPriority w:val="39"/>
    <w:pPr>
      <w:ind w:left="480"/>
    </w:pPr>
    <w:rPr>
      <w:sz w:val="20"/>
    </w:rPr>
  </w:style>
  <w:style w:type="paragraph" w:styleId="32">
    <w:name w:val="toc 6"/>
    <w:basedOn w:val="1"/>
    <w:next w:val="1"/>
    <w:qFormat/>
    <w:uiPriority w:val="0"/>
    <w:pPr>
      <w:ind w:left="960"/>
    </w:pPr>
    <w:rPr>
      <w:sz w:val="20"/>
    </w:rPr>
  </w:style>
  <w:style w:type="paragraph" w:styleId="33">
    <w:name w:val="Body Text Indent 3"/>
    <w:basedOn w:val="1"/>
    <w:link w:val="153"/>
    <w:qFormat/>
    <w:uiPriority w:val="0"/>
    <w:pPr>
      <w:ind w:firstLine="570"/>
    </w:pPr>
    <w:rPr>
      <w:sz w:val="28"/>
    </w:rPr>
  </w:style>
  <w:style w:type="paragraph" w:styleId="34">
    <w:name w:val="toc 2"/>
    <w:basedOn w:val="1"/>
    <w:next w:val="1"/>
    <w:qFormat/>
    <w:uiPriority w:val="39"/>
    <w:pPr>
      <w:spacing w:before="240"/>
    </w:pPr>
    <w:rPr>
      <w:b/>
      <w:bCs/>
      <w:sz w:val="20"/>
    </w:rPr>
  </w:style>
  <w:style w:type="paragraph" w:styleId="35">
    <w:name w:val="toc 9"/>
    <w:basedOn w:val="1"/>
    <w:next w:val="1"/>
    <w:qFormat/>
    <w:uiPriority w:val="0"/>
    <w:pPr>
      <w:ind w:left="1680"/>
    </w:pPr>
    <w:rPr>
      <w:sz w:val="20"/>
    </w:rPr>
  </w:style>
  <w:style w:type="paragraph" w:styleId="36">
    <w:name w:val="Body Text 2"/>
    <w:basedOn w:val="1"/>
    <w:link w:val="154"/>
    <w:qFormat/>
    <w:uiPriority w:val="0"/>
    <w:pPr>
      <w:spacing w:after="120" w:line="480" w:lineRule="auto"/>
    </w:pPr>
  </w:style>
  <w:style w:type="paragraph" w:styleId="37">
    <w:name w:val="Normal (Web)"/>
    <w:basedOn w:val="1"/>
    <w:qFormat/>
    <w:uiPriority w:val="0"/>
    <w:pPr>
      <w:widowControl/>
      <w:adjustRightInd/>
      <w:spacing w:before="100" w:beforeAutospacing="1" w:after="100" w:afterAutospacing="1" w:line="240" w:lineRule="auto"/>
      <w:textAlignment w:val="auto"/>
    </w:pPr>
    <w:rPr>
      <w:rFonts w:ascii="宋体"/>
      <w:szCs w:val="24"/>
      <w:lang w:eastAsia="en-US"/>
    </w:rPr>
  </w:style>
  <w:style w:type="paragraph" w:styleId="38">
    <w:name w:val="annotation subject"/>
    <w:basedOn w:val="16"/>
    <w:next w:val="16"/>
    <w:link w:val="140"/>
    <w:qFormat/>
    <w:uiPriority w:val="0"/>
    <w:rPr>
      <w:b/>
      <w:bCs/>
      <w:kern w:val="2"/>
    </w:rPr>
  </w:style>
  <w:style w:type="paragraph" w:styleId="39">
    <w:name w:val="Body Text First Indent"/>
    <w:basedOn w:val="2"/>
    <w:next w:val="1"/>
    <w:link w:val="142"/>
    <w:qFormat/>
    <w:uiPriority w:val="0"/>
    <w:pPr>
      <w:spacing w:after="120"/>
      <w:ind w:firstLine="420" w:firstLineChars="100"/>
    </w:pPr>
    <w:rPr>
      <w:sz w:val="21"/>
      <w:szCs w:val="24"/>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正文1"/>
    <w:basedOn w:val="1"/>
    <w:qFormat/>
    <w:uiPriority w:val="0"/>
    <w:pPr>
      <w:numPr>
        <w:ilvl w:val="0"/>
        <w:numId w:val="2"/>
      </w:numPr>
      <w:adjustRightInd/>
      <w:spacing w:line="360" w:lineRule="auto"/>
      <w:textAlignment w:val="auto"/>
    </w:pPr>
    <w:rPr>
      <w:rFonts w:ascii="宋体" w:hAnsi="Calibri"/>
      <w:color w:val="000000"/>
      <w:kern w:val="2"/>
      <w:szCs w:val="28"/>
    </w:rPr>
  </w:style>
  <w:style w:type="paragraph" w:customStyle="1" w:styleId="48">
    <w:name w:val="无间隔1"/>
    <w:link w:val="161"/>
    <w:qFormat/>
    <w:uiPriority w:val="1"/>
    <w:rPr>
      <w:rFonts w:ascii="Times New Roman" w:hAnsi="Times New Roman" w:eastAsia="等线" w:cs="Times New Roman"/>
      <w:sz w:val="22"/>
      <w:szCs w:val="22"/>
      <w:lang w:val="en-US" w:eastAsia="zh-CN" w:bidi="ar-SA"/>
    </w:rPr>
  </w:style>
  <w:style w:type="paragraph" w:customStyle="1" w:styleId="49">
    <w:name w:val="样式 首行缩进:  0.85 厘米"/>
    <w:basedOn w:val="1"/>
    <w:qFormat/>
    <w:uiPriority w:val="0"/>
    <w:pPr>
      <w:adjustRightInd/>
      <w:spacing w:line="240" w:lineRule="auto"/>
      <w:ind w:firstLine="851"/>
      <w:jc w:val="both"/>
      <w:textAlignment w:val="auto"/>
    </w:pPr>
    <w:rPr>
      <w:rFonts w:cs="宋体"/>
      <w:kern w:val="2"/>
      <w:szCs w:val="24"/>
    </w:rPr>
  </w:style>
  <w:style w:type="paragraph" w:customStyle="1" w:styleId="50">
    <w:name w:val="xl23"/>
    <w:basedOn w:val="1"/>
    <w:qFormat/>
    <w:uiPriority w:val="0"/>
    <w:pPr>
      <w:widowControl/>
      <w:adjustRightInd/>
      <w:spacing w:before="100" w:beforeAutospacing="1" w:after="100" w:afterAutospacing="1" w:line="360" w:lineRule="auto"/>
      <w:jc w:val="both"/>
      <w:textAlignment w:val="top"/>
    </w:pPr>
    <w:rPr>
      <w:szCs w:val="24"/>
    </w:rPr>
  </w:style>
  <w:style w:type="paragraph" w:customStyle="1" w:styleId="51">
    <w:name w:val="彩色列表1"/>
    <w:basedOn w:val="1"/>
    <w:qFormat/>
    <w:uiPriority w:val="0"/>
    <w:pPr>
      <w:adjustRightInd/>
      <w:spacing w:line="240" w:lineRule="auto"/>
      <w:ind w:firstLine="200" w:firstLineChars="200"/>
      <w:jc w:val="both"/>
      <w:textAlignment w:val="auto"/>
    </w:pPr>
    <w:rPr>
      <w:kern w:val="2"/>
      <w:szCs w:val="24"/>
    </w:rPr>
  </w:style>
  <w:style w:type="paragraph" w:customStyle="1" w:styleId="52">
    <w:name w:val="样式 样式 标题 1 + 黑体 三号 + 段前: 1 行 段后: 1 行"/>
    <w:basedOn w:val="1"/>
    <w:qFormat/>
    <w:uiPriority w:val="0"/>
    <w:pPr>
      <w:keepNext/>
      <w:keepLines/>
      <w:tabs>
        <w:tab w:val="left" w:pos="425"/>
      </w:tabs>
      <w:adjustRightInd/>
      <w:spacing w:beforeLines="100" w:afterLines="100" w:line="360" w:lineRule="auto"/>
      <w:ind w:left="425" w:hanging="425"/>
      <w:jc w:val="both"/>
      <w:textAlignment w:val="auto"/>
      <w:outlineLvl w:val="0"/>
    </w:pPr>
    <w:rPr>
      <w:rFonts w:ascii="Arial" w:hAnsi="Arial" w:eastAsia="黑体" w:cs="宋体"/>
      <w:b/>
      <w:bCs/>
      <w:spacing w:val="10"/>
      <w:kern w:val="44"/>
      <w:sz w:val="32"/>
      <w:szCs w:val="32"/>
    </w:rPr>
  </w:style>
  <w:style w:type="paragraph" w:customStyle="1" w:styleId="53">
    <w:name w:val="正文2"/>
    <w:basedOn w:val="1"/>
    <w:qFormat/>
    <w:uiPriority w:val="0"/>
    <w:pPr>
      <w:tabs>
        <w:tab w:val="left" w:pos="3360"/>
      </w:tabs>
      <w:adjustRightInd/>
      <w:spacing w:before="60" w:after="60" w:line="360" w:lineRule="auto"/>
      <w:ind w:left="3360" w:hanging="420"/>
      <w:jc w:val="both"/>
      <w:textAlignment w:val="auto"/>
      <w:outlineLvl w:val="7"/>
    </w:pPr>
    <w:rPr>
      <w:kern w:val="2"/>
      <w:szCs w:val="24"/>
    </w:rPr>
  </w:style>
  <w:style w:type="paragraph" w:customStyle="1" w:styleId="54">
    <w:name w:val="默认段落字体 Para Char Char Char Char"/>
    <w:basedOn w:val="1"/>
    <w:qFormat/>
    <w:uiPriority w:val="0"/>
    <w:pPr>
      <w:adjustRightInd/>
      <w:spacing w:line="240" w:lineRule="auto"/>
      <w:jc w:val="both"/>
      <w:textAlignment w:val="auto"/>
    </w:pPr>
    <w:rPr>
      <w:rFonts w:ascii="Arial" w:hAnsi="Arial" w:cs="Arial"/>
      <w:kern w:val="2"/>
      <w:sz w:val="21"/>
      <w:szCs w:val="21"/>
    </w:rPr>
  </w:style>
  <w:style w:type="paragraph" w:customStyle="1" w:styleId="55">
    <w:name w:val="样式1"/>
    <w:basedOn w:val="1"/>
    <w:qFormat/>
    <w:uiPriority w:val="0"/>
    <w:pPr>
      <w:tabs>
        <w:tab w:val="left" w:pos="0"/>
      </w:tabs>
      <w:spacing w:line="240" w:lineRule="auto"/>
      <w:jc w:val="both"/>
    </w:pPr>
    <w:rPr>
      <w:rFonts w:ascii="宋体"/>
      <w:sz w:val="21"/>
      <w:szCs w:val="21"/>
    </w:rPr>
  </w:style>
  <w:style w:type="paragraph" w:customStyle="1" w:styleId="56">
    <w:name w:val="Char2"/>
    <w:basedOn w:val="1"/>
    <w:qFormat/>
    <w:uiPriority w:val="0"/>
    <w:pPr>
      <w:widowControl/>
      <w:adjustRightInd/>
      <w:spacing w:after="160" w:line="240" w:lineRule="exact"/>
      <w:textAlignment w:val="auto"/>
    </w:pPr>
    <w:rPr>
      <w:kern w:val="2"/>
      <w:sz w:val="21"/>
      <w:szCs w:val="24"/>
    </w:rPr>
  </w:style>
  <w:style w:type="paragraph" w:customStyle="1" w:styleId="57">
    <w:name w:val="样式 标题 5 + 段前: 5 磅 段后: 5 磅 行距: 单倍行距"/>
    <w:basedOn w:val="7"/>
    <w:qFormat/>
    <w:uiPriority w:val="0"/>
    <w:pPr>
      <w:tabs>
        <w:tab w:val="left" w:pos="2100"/>
        <w:tab w:val="clear" w:pos="0"/>
      </w:tabs>
      <w:spacing w:before="100" w:after="100" w:line="240" w:lineRule="auto"/>
      <w:ind w:left="2100" w:hanging="420"/>
    </w:pPr>
    <w:rPr>
      <w:szCs w:val="20"/>
    </w:rPr>
  </w:style>
  <w:style w:type="paragraph" w:customStyle="1" w:styleId="58">
    <w:name w:val="样式 样式 样式 样式 标题 2 + 宋体 五号 非加粗 黑色 + 段前: 6 磅 段后: 0 磅 行距: 单倍行距 + 段前:..."/>
    <w:basedOn w:val="59"/>
    <w:qFormat/>
    <w:uiPriority w:val="0"/>
    <w:pPr>
      <w:tabs>
        <w:tab w:val="left" w:pos="1140"/>
      </w:tabs>
    </w:pPr>
    <w:rPr>
      <w:b/>
      <w:bCs/>
    </w:rPr>
  </w:style>
  <w:style w:type="paragraph" w:customStyle="1" w:styleId="59">
    <w:name w:val="样式 样式 样式 标题 2 + 宋体 五号 非加粗 黑色 + 段前: 6 磅 段后: 0 磅 行距: 单倍行距 + 段前: 12..."/>
    <w:basedOn w:val="60"/>
    <w:qFormat/>
    <w:uiPriority w:val="0"/>
    <w:pPr>
      <w:tabs>
        <w:tab w:val="left" w:pos="1140"/>
      </w:tabs>
      <w:spacing w:before="240"/>
    </w:pPr>
  </w:style>
  <w:style w:type="paragraph" w:customStyle="1" w:styleId="60">
    <w:name w:val="样式 样式 标题 2 + 宋体 五号 非加粗 黑色 + 段前: 6 磅 段后: 0 磅 行距: 单倍行距"/>
    <w:basedOn w:val="61"/>
    <w:qFormat/>
    <w:uiPriority w:val="0"/>
    <w:pPr>
      <w:tabs>
        <w:tab w:val="left" w:pos="1140"/>
      </w:tabs>
      <w:spacing w:before="120" w:after="0" w:line="240" w:lineRule="auto"/>
    </w:pPr>
    <w:rPr>
      <w:szCs w:val="20"/>
    </w:rPr>
  </w:style>
  <w:style w:type="paragraph" w:customStyle="1" w:styleId="61">
    <w:name w:val="样式 标题 2 + 宋体 五号 非加粗 黑色"/>
    <w:basedOn w:val="4"/>
    <w:qFormat/>
    <w:uiPriority w:val="0"/>
    <w:pPr>
      <w:tabs>
        <w:tab w:val="left" w:pos="1140"/>
        <w:tab w:val="clear" w:pos="0"/>
      </w:tabs>
      <w:ind w:left="1140" w:hanging="720"/>
    </w:pPr>
    <w:rPr>
      <w:rFonts w:ascii="宋体" w:eastAsia="宋体"/>
      <w:b w:val="0"/>
      <w:bCs w:val="0"/>
      <w:color w:val="000000"/>
      <w:sz w:val="21"/>
    </w:rPr>
  </w:style>
  <w:style w:type="paragraph" w:customStyle="1" w:styleId="62">
    <w:name w:val="标书正文"/>
    <w:basedOn w:val="1"/>
    <w:next w:val="1"/>
    <w:qFormat/>
    <w:uiPriority w:val="0"/>
    <w:pPr>
      <w:widowControl/>
      <w:adjustRightInd/>
      <w:spacing w:beforeLines="50" w:line="400" w:lineRule="exact"/>
      <w:ind w:firstLine="200" w:firstLineChars="200"/>
      <w:jc w:val="both"/>
      <w:textAlignment w:val="auto"/>
    </w:pPr>
    <w:rPr>
      <w:rFonts w:ascii="黑体"/>
    </w:rPr>
  </w:style>
  <w:style w:type="paragraph" w:customStyle="1" w:styleId="63">
    <w:name w:val="Char Char Char Char"/>
    <w:basedOn w:val="1"/>
    <w:qFormat/>
    <w:uiPriority w:val="0"/>
    <w:pPr>
      <w:adjustRightInd/>
      <w:spacing w:line="240" w:lineRule="auto"/>
      <w:jc w:val="both"/>
      <w:textAlignment w:val="auto"/>
    </w:pPr>
    <w:rPr>
      <w:rFonts w:ascii="Tahoma" w:hAnsi="Tahoma"/>
      <w:kern w:val="2"/>
    </w:rPr>
  </w:style>
  <w:style w:type="paragraph" w:customStyle="1" w:styleId="64">
    <w:name w:val="xl27"/>
    <w:basedOn w:val="1"/>
    <w:qFormat/>
    <w:uiPriority w:val="0"/>
    <w:pPr>
      <w:widowControl/>
      <w:adjustRightInd/>
      <w:spacing w:before="100" w:beforeAutospacing="1" w:after="100" w:afterAutospacing="1" w:line="240" w:lineRule="auto"/>
      <w:jc w:val="center"/>
      <w:textAlignment w:val="auto"/>
    </w:pPr>
    <w:rPr>
      <w:rFonts w:ascii="Arial Unicode MS" w:eastAsia="Arial Unicode MS" w:cs="Arial Unicode MS"/>
      <w:szCs w:val="24"/>
    </w:rPr>
  </w:style>
  <w:style w:type="paragraph" w:customStyle="1" w:styleId="65">
    <w:name w:val="blockquote"/>
    <w:next w:val="33"/>
    <w:qFormat/>
    <w:uiPriority w:val="0"/>
    <w:pPr>
      <w:autoSpaceDE w:val="0"/>
      <w:autoSpaceDN w:val="0"/>
      <w:spacing w:before="100" w:after="100"/>
      <w:ind w:left="360" w:right="360"/>
    </w:pPr>
    <w:rPr>
      <w:rFonts w:ascii="Times New Roman" w:hAnsi="Times New Roman" w:eastAsia="宋体" w:cs="Times New Roman"/>
      <w:sz w:val="24"/>
      <w:szCs w:val="24"/>
      <w:lang w:val="en-US" w:eastAsia="zh-CN" w:bidi="ar-SA"/>
    </w:rPr>
  </w:style>
  <w:style w:type="paragraph" w:customStyle="1" w:styleId="66">
    <w:name w:val="L33"/>
    <w:basedOn w:val="1"/>
    <w:qFormat/>
    <w:uiPriority w:val="0"/>
    <w:pPr>
      <w:numPr>
        <w:ilvl w:val="0"/>
        <w:numId w:val="3"/>
      </w:numPr>
      <w:tabs>
        <w:tab w:val="left" w:pos="1680"/>
        <w:tab w:val="clear" w:pos="0"/>
      </w:tabs>
      <w:adjustRightInd/>
      <w:spacing w:line="240" w:lineRule="auto"/>
      <w:ind w:left="0" w:firstLine="228" w:firstLineChars="228"/>
      <w:jc w:val="both"/>
      <w:textAlignment w:val="auto"/>
    </w:pPr>
    <w:rPr>
      <w:rFonts w:ascii="Calibri" w:hAnsi="Calibri"/>
      <w:bCs/>
      <w:kern w:val="2"/>
      <w:sz w:val="21"/>
    </w:rPr>
  </w:style>
  <w:style w:type="paragraph" w:customStyle="1" w:styleId="67">
    <w:name w:val="样式 标题 4 + 段前: 5 磅 段后: 5 磅 行距: 单倍行距"/>
    <w:basedOn w:val="6"/>
    <w:qFormat/>
    <w:uiPriority w:val="0"/>
    <w:pPr>
      <w:tabs>
        <w:tab w:val="left" w:pos="1680"/>
        <w:tab w:val="clear" w:pos="0"/>
      </w:tabs>
      <w:spacing w:before="100" w:after="100" w:line="240" w:lineRule="auto"/>
      <w:ind w:left="1680" w:hanging="420"/>
    </w:pPr>
    <w:rPr>
      <w:szCs w:val="20"/>
    </w:rPr>
  </w:style>
  <w:style w:type="paragraph" w:customStyle="1" w:styleId="68">
    <w:name w:val="样式2"/>
    <w:basedOn w:val="1"/>
    <w:qFormat/>
    <w:uiPriority w:val="0"/>
    <w:pPr>
      <w:tabs>
        <w:tab w:val="left" w:pos="567"/>
      </w:tabs>
      <w:spacing w:line="240" w:lineRule="auto"/>
      <w:ind w:left="567" w:hanging="567"/>
      <w:jc w:val="both"/>
    </w:pPr>
    <w:rPr>
      <w:rFonts w:ascii="宋体"/>
      <w:sz w:val="21"/>
      <w:szCs w:val="21"/>
    </w:rPr>
  </w:style>
  <w:style w:type="paragraph" w:customStyle="1" w:styleId="69">
    <w:name w:val="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70">
    <w:name w:val="Body Text Indent 21"/>
    <w:basedOn w:val="1"/>
    <w:qFormat/>
    <w:uiPriority w:val="0"/>
    <w:pPr>
      <w:spacing w:line="240" w:lineRule="auto"/>
      <w:ind w:left="720" w:hanging="720"/>
      <w:jc w:val="both"/>
    </w:pPr>
    <w:rPr>
      <w:b/>
      <w:kern w:val="2"/>
      <w:sz w:val="28"/>
    </w:rPr>
  </w:style>
  <w:style w:type="paragraph" w:customStyle="1" w:styleId="71">
    <w:name w:val="样式6"/>
    <w:basedOn w:val="4"/>
    <w:qFormat/>
    <w:uiPriority w:val="0"/>
    <w:pPr>
      <w:adjustRightInd/>
      <w:spacing w:before="0" w:after="0" w:line="560" w:lineRule="exact"/>
      <w:jc w:val="both"/>
      <w:textAlignment w:val="auto"/>
    </w:pPr>
    <w:rPr>
      <w:rFonts w:eastAsia="宋体"/>
      <w:b w:val="0"/>
      <w:kern w:val="2"/>
      <w:sz w:val="28"/>
    </w:rPr>
  </w:style>
  <w:style w:type="paragraph" w:customStyle="1" w:styleId="72">
    <w:name w:val="PMletterTextBullet"/>
    <w:basedOn w:val="73"/>
    <w:qFormat/>
    <w:uiPriority w:val="0"/>
    <w:pPr>
      <w:tabs>
        <w:tab w:val="left" w:pos="840"/>
        <w:tab w:val="left" w:pos="1800"/>
      </w:tabs>
      <w:ind w:left="1800" w:hanging="360"/>
    </w:pPr>
  </w:style>
  <w:style w:type="paragraph" w:customStyle="1" w:styleId="73">
    <w:name w:val="PMletterText"/>
    <w:basedOn w:val="74"/>
    <w:qFormat/>
    <w:uiPriority w:val="0"/>
    <w:pPr>
      <w:spacing w:before="240"/>
      <w:ind w:left="720"/>
    </w:pPr>
  </w:style>
  <w:style w:type="paragraph" w:customStyle="1" w:styleId="74">
    <w:name w:val="PMstyle"/>
    <w:qFormat/>
    <w:uiPriority w:val="0"/>
    <w:rPr>
      <w:rFonts w:ascii="Tahoma" w:hAnsi="Tahoma" w:eastAsia="宋体" w:cs="Times New Roman"/>
      <w:sz w:val="22"/>
      <w:lang w:val="en-US" w:eastAsia="zh-CN" w:bidi="ar-SA"/>
    </w:rPr>
  </w:style>
  <w:style w:type="paragraph" w:customStyle="1" w:styleId="75">
    <w:name w:val="列表段落1"/>
    <w:basedOn w:val="1"/>
    <w:qFormat/>
    <w:uiPriority w:val="34"/>
    <w:pPr>
      <w:adjustRightInd/>
      <w:spacing w:line="240" w:lineRule="auto"/>
      <w:ind w:firstLine="200" w:firstLineChars="200"/>
      <w:jc w:val="both"/>
      <w:textAlignment w:val="auto"/>
    </w:pPr>
    <w:rPr>
      <w:kern w:val="2"/>
      <w:sz w:val="21"/>
      <w:szCs w:val="24"/>
    </w:rPr>
  </w:style>
  <w:style w:type="paragraph" w:customStyle="1" w:styleId="76">
    <w:name w:val="TOC 标题1"/>
    <w:basedOn w:val="3"/>
    <w:next w:val="1"/>
    <w:qFormat/>
    <w:uiPriority w:val="39"/>
    <w:pPr>
      <w:widowControl/>
      <w:tabs>
        <w:tab w:val="clear" w:pos="0"/>
      </w:tabs>
      <w:adjustRightInd/>
      <w:spacing w:before="480" w:after="0" w:line="276" w:lineRule="auto"/>
      <w:textAlignment w:val="auto"/>
      <w:outlineLvl w:val="9"/>
    </w:pPr>
    <w:rPr>
      <w:rFonts w:ascii="Cambria" w:hAnsi="Cambria"/>
      <w:color w:val="365F91"/>
      <w:kern w:val="0"/>
      <w:sz w:val="28"/>
      <w:szCs w:val="28"/>
    </w:rPr>
  </w:style>
  <w:style w:type="paragraph" w:customStyle="1" w:styleId="77">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78">
    <w:name w:val="样式 标题 5 + 段前: 1 行 段后: 1 行"/>
    <w:basedOn w:val="7"/>
    <w:qFormat/>
    <w:uiPriority w:val="0"/>
    <w:pPr>
      <w:tabs>
        <w:tab w:val="left" w:pos="992"/>
        <w:tab w:val="clear" w:pos="0"/>
      </w:tabs>
      <w:adjustRightInd/>
      <w:spacing w:beforeLines="100" w:afterLines="100" w:line="360" w:lineRule="auto"/>
      <w:ind w:left="992" w:hanging="992"/>
      <w:jc w:val="both"/>
      <w:textAlignment w:val="auto"/>
    </w:pPr>
    <w:rPr>
      <w:rFonts w:ascii="Arial" w:hAnsi="Arial" w:eastAsia="黑体" w:cs="宋体"/>
      <w:b w:val="0"/>
      <w:bCs w:val="0"/>
      <w:spacing w:val="10"/>
      <w:kern w:val="2"/>
      <w:sz w:val="24"/>
      <w:szCs w:val="24"/>
    </w:rPr>
  </w:style>
  <w:style w:type="paragraph" w:customStyle="1" w:styleId="79">
    <w:name w:val="样式 标题 3h3H3sect1.2.3 + 五号 段前: 6 磅 段后: 6 磅 行距: 单倍行距"/>
    <w:basedOn w:val="5"/>
    <w:qFormat/>
    <w:uiPriority w:val="0"/>
    <w:pPr>
      <w:tabs>
        <w:tab w:val="left" w:pos="1260"/>
        <w:tab w:val="clear" w:pos="0"/>
      </w:tabs>
      <w:spacing w:before="120" w:after="120" w:line="240" w:lineRule="auto"/>
      <w:ind w:left="1260" w:hanging="420"/>
    </w:pPr>
    <w:rPr>
      <w:sz w:val="21"/>
      <w:szCs w:val="20"/>
    </w:rPr>
  </w:style>
  <w:style w:type="paragraph" w:customStyle="1" w:styleId="80">
    <w:name w:val="Body Text 21"/>
    <w:basedOn w:val="1"/>
    <w:qFormat/>
    <w:uiPriority w:val="0"/>
    <w:pPr>
      <w:spacing w:before="240" w:line="400" w:lineRule="exact"/>
      <w:ind w:firstLine="357"/>
      <w:jc w:val="both"/>
    </w:pPr>
    <w:rPr>
      <w:kern w:val="2"/>
      <w:sz w:val="28"/>
    </w:rPr>
  </w:style>
  <w:style w:type="paragraph" w:customStyle="1" w:styleId="81">
    <w:name w:val="样式 宋体 五号 行距: 单倍行距"/>
    <w:basedOn w:val="1"/>
    <w:qFormat/>
    <w:uiPriority w:val="0"/>
    <w:pPr>
      <w:spacing w:line="240" w:lineRule="auto"/>
    </w:pPr>
    <w:rPr>
      <w:rFonts w:ascii="宋体"/>
      <w:sz w:val="21"/>
    </w:rPr>
  </w:style>
  <w:style w:type="paragraph" w:customStyle="1" w:styleId="82">
    <w:name w:val="样式4"/>
    <w:basedOn w:val="34"/>
    <w:qFormat/>
    <w:uiPriority w:val="0"/>
    <w:pPr>
      <w:adjustRightInd/>
      <w:spacing w:line="240" w:lineRule="auto"/>
      <w:ind w:left="420"/>
      <w:jc w:val="both"/>
      <w:textAlignment w:val="auto"/>
    </w:pPr>
    <w:rPr>
      <w:kern w:val="2"/>
      <w:sz w:val="28"/>
    </w:rPr>
  </w:style>
  <w:style w:type="paragraph" w:customStyle="1" w:styleId="83">
    <w:name w:val="正文缩进 1 五号字"/>
    <w:basedOn w:val="1"/>
    <w:qFormat/>
    <w:uiPriority w:val="0"/>
    <w:pPr>
      <w:adjustRightInd/>
      <w:spacing w:line="360" w:lineRule="auto"/>
      <w:ind w:firstLine="200" w:firstLineChars="200"/>
      <w:textAlignment w:val="auto"/>
    </w:pPr>
    <w:rPr>
      <w:rFonts w:ascii="宋体"/>
      <w:kern w:val="2"/>
      <w:sz w:val="21"/>
      <w:szCs w:val="21"/>
    </w:rPr>
  </w:style>
  <w:style w:type="paragraph" w:customStyle="1" w:styleId="84">
    <w:name w:val="Indent Normal"/>
    <w:basedOn w:val="1"/>
    <w:qFormat/>
    <w:uiPriority w:val="0"/>
    <w:pPr>
      <w:adjustRightInd/>
      <w:spacing w:line="240" w:lineRule="auto"/>
      <w:ind w:firstLine="420"/>
      <w:jc w:val="both"/>
      <w:textAlignment w:val="auto"/>
    </w:pPr>
    <w:rPr>
      <w:kern w:val="2"/>
      <w:sz w:val="21"/>
      <w:szCs w:val="24"/>
    </w:rPr>
  </w:style>
  <w:style w:type="paragraph" w:customStyle="1" w:styleId="85">
    <w:name w:val="FA正文"/>
    <w:basedOn w:val="1"/>
    <w:qFormat/>
    <w:uiPriority w:val="0"/>
    <w:pPr>
      <w:tabs>
        <w:tab w:val="left" w:pos="3375"/>
      </w:tabs>
      <w:adjustRightInd/>
      <w:spacing w:after="60" w:line="360" w:lineRule="auto"/>
      <w:ind w:firstLine="200" w:firstLineChars="200"/>
      <w:jc w:val="both"/>
      <w:textAlignment w:val="auto"/>
    </w:pPr>
    <w:rPr>
      <w:rFonts w:ascii="宋体"/>
      <w:spacing w:val="10"/>
      <w:kern w:val="2"/>
      <w:sz w:val="21"/>
      <w:szCs w:val="21"/>
    </w:rPr>
  </w:style>
  <w:style w:type="paragraph" w:customStyle="1" w:styleId="86">
    <w:name w:val="样式 标题 4 + (西文) 方正黑体_GBK (中文) 方正黑体_GBK (符号) 宋体 三号 非加粗 段前: 0 ...1"/>
    <w:basedOn w:val="4"/>
    <w:next w:val="1"/>
    <w:qFormat/>
    <w:uiPriority w:val="0"/>
    <w:pPr>
      <w:tabs>
        <w:tab w:val="clear" w:pos="0"/>
      </w:tabs>
      <w:adjustRightInd/>
      <w:spacing w:beforeLines="50" w:after="0" w:line="360" w:lineRule="auto"/>
      <w:ind w:left="432" w:leftChars="355" w:hanging="77" w:hangingChars="77"/>
      <w:textAlignment w:val="auto"/>
    </w:pPr>
    <w:rPr>
      <w:rFonts w:ascii="宋体" w:eastAsia="宋体" w:cs="宋体"/>
      <w:kern w:val="2"/>
    </w:rPr>
  </w:style>
  <w:style w:type="paragraph" w:customStyle="1" w:styleId="87">
    <w:name w:val="Char Char Char Char Char Char1 Char Char Char Char Char Char Char Char Char Char Char"/>
    <w:basedOn w:val="1"/>
    <w:qFormat/>
    <w:uiPriority w:val="0"/>
    <w:pPr>
      <w:widowControl/>
      <w:adjustRightInd/>
      <w:spacing w:after="160" w:line="240" w:lineRule="exact"/>
      <w:textAlignment w:val="auto"/>
    </w:pPr>
    <w:rPr>
      <w:rFonts w:ascii="Verdana" w:hAnsi="Verdana" w:eastAsia="仿宋_GB2312"/>
      <w:kern w:val="2"/>
      <w:szCs w:val="24"/>
      <w:lang w:eastAsia="en-US"/>
    </w:rPr>
  </w:style>
  <w:style w:type="paragraph" w:customStyle="1" w:styleId="88">
    <w:name w:val="样式 样式 标题 4 + 段前: 5 磅 段后: 5 磅 行距: 单倍行距 + 五号"/>
    <w:basedOn w:val="67"/>
    <w:qFormat/>
    <w:uiPriority w:val="0"/>
    <w:rPr>
      <w:sz w:val="21"/>
    </w:rPr>
  </w:style>
  <w:style w:type="paragraph" w:customStyle="1" w:styleId="89">
    <w:name w:val="列出段落1"/>
    <w:basedOn w:val="1"/>
    <w:qFormat/>
    <w:uiPriority w:val="0"/>
    <w:pPr>
      <w:adjustRightInd/>
      <w:spacing w:line="360" w:lineRule="auto"/>
      <w:ind w:firstLine="200" w:firstLineChars="200"/>
      <w:jc w:val="both"/>
      <w:textAlignment w:val="auto"/>
    </w:pPr>
    <w:rPr>
      <w:kern w:val="2"/>
      <w:szCs w:val="21"/>
    </w:rPr>
  </w:style>
  <w:style w:type="paragraph" w:customStyle="1" w:styleId="90">
    <w:name w:val="样式 宋体 小四 行距: 1.5 倍行距"/>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1">
    <w:name w:val="修订1"/>
    <w:qFormat/>
    <w:uiPriority w:val="0"/>
    <w:rPr>
      <w:rFonts w:ascii="Times New Roman" w:hAnsi="Times New Roman" w:eastAsia="宋体" w:cs="Times New Roman"/>
      <w:sz w:val="24"/>
      <w:lang w:val="en-US" w:eastAsia="zh-CN" w:bidi="ar-SA"/>
    </w:rPr>
  </w:style>
  <w:style w:type="paragraph" w:customStyle="1" w:styleId="92">
    <w:name w:val="模板正文"/>
    <w:basedOn w:val="1"/>
    <w:qFormat/>
    <w:uiPriority w:val="0"/>
    <w:pPr>
      <w:adjustRightInd/>
      <w:spacing w:beforeLines="50" w:line="400" w:lineRule="exact"/>
      <w:ind w:firstLine="200" w:firstLineChars="200"/>
      <w:jc w:val="both"/>
      <w:textAlignment w:val="auto"/>
    </w:pPr>
    <w:rPr>
      <w:rFonts w:ascii="宋体" w:hAnsi="宋体"/>
      <w:kern w:val="2"/>
      <w:szCs w:val="24"/>
    </w:rPr>
  </w:style>
  <w:style w:type="paragraph" w:customStyle="1" w:styleId="93">
    <w:name w:val="样式 宋体 小四"/>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4">
    <w:name w:val="样式 左侧:  2 字符"/>
    <w:basedOn w:val="1"/>
    <w:qFormat/>
    <w:uiPriority w:val="0"/>
    <w:pPr>
      <w:adjustRightInd/>
      <w:spacing w:line="520" w:lineRule="exact"/>
      <w:ind w:firstLine="200" w:firstLineChars="200"/>
      <w:jc w:val="both"/>
      <w:textAlignment w:val="auto"/>
    </w:pPr>
    <w:rPr>
      <w:rFonts w:cs="宋体"/>
      <w:kern w:val="2"/>
      <w:sz w:val="28"/>
    </w:rPr>
  </w:style>
  <w:style w:type="paragraph" w:customStyle="1" w:styleId="95">
    <w:name w:val="样式 样式 标题 5 + 段前: 5 磅 段后: 5 磅 行距: 单倍行距 + 五号"/>
    <w:basedOn w:val="57"/>
    <w:qFormat/>
    <w:uiPriority w:val="0"/>
    <w:rPr>
      <w:sz w:val="21"/>
    </w:rPr>
  </w:style>
  <w:style w:type="paragraph" w:customStyle="1" w:styleId="96">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97">
    <w:name w:val="Char1 Char Char Char"/>
    <w:basedOn w:val="1"/>
    <w:qFormat/>
    <w:uiPriority w:val="0"/>
    <w:pPr>
      <w:adjustRightInd/>
      <w:spacing w:line="240" w:lineRule="auto"/>
      <w:jc w:val="both"/>
      <w:textAlignment w:val="auto"/>
    </w:pPr>
    <w:rPr>
      <w:rFonts w:ascii="Tahoma" w:hAnsi="Tahoma"/>
      <w:kern w:val="2"/>
    </w:rPr>
  </w:style>
  <w:style w:type="paragraph" w:customStyle="1" w:styleId="98">
    <w:name w:val="标题4"/>
    <w:basedOn w:val="4"/>
    <w:qFormat/>
    <w:uiPriority w:val="0"/>
    <w:pPr>
      <w:spacing w:beforeLines="50" w:afterLines="50" w:line="240" w:lineRule="auto"/>
      <w:jc w:val="center"/>
    </w:pPr>
    <w:rPr>
      <w:rFonts w:ascii="Times New Roman" w:hAnsi="Times New Roman" w:eastAsia="宋体"/>
      <w:color w:val="000000"/>
      <w:sz w:val="24"/>
    </w:rPr>
  </w:style>
  <w:style w:type="paragraph" w:customStyle="1" w:styleId="9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 标题 2 + 宋体 五号 行距: 单倍行距"/>
    <w:basedOn w:val="4"/>
    <w:qFormat/>
    <w:uiPriority w:val="0"/>
    <w:pPr>
      <w:tabs>
        <w:tab w:val="left" w:pos="1140"/>
        <w:tab w:val="clear" w:pos="0"/>
      </w:tabs>
      <w:spacing w:line="240" w:lineRule="auto"/>
      <w:ind w:left="1140" w:hanging="720"/>
    </w:pPr>
    <w:rPr>
      <w:rFonts w:ascii="宋体" w:eastAsia="宋体"/>
      <w:sz w:val="21"/>
      <w:szCs w:val="20"/>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Cap_正文"/>
    <w:qFormat/>
    <w:uiPriority w:val="0"/>
    <w:pPr>
      <w:spacing w:after="160"/>
      <w:ind w:firstLine="200" w:firstLineChars="200"/>
    </w:pPr>
    <w:rPr>
      <w:rFonts w:ascii="Times New Roman" w:hAnsi="Times New Roman" w:eastAsia="宋体" w:cs="Times New Roman"/>
      <w:sz w:val="22"/>
      <w:szCs w:val="24"/>
      <w:lang w:val="en-US" w:eastAsia="zh-CN" w:bidi="ar-SA"/>
    </w:rPr>
  </w:style>
  <w:style w:type="paragraph" w:customStyle="1" w:styleId="103">
    <w:name w:val="C1"/>
    <w:basedOn w:val="1"/>
    <w:qFormat/>
    <w:uiPriority w:val="0"/>
    <w:pPr>
      <w:adjustRightInd/>
      <w:spacing w:after="120" w:line="360" w:lineRule="auto"/>
      <w:ind w:firstLine="175" w:firstLineChars="175"/>
      <w:jc w:val="both"/>
      <w:textAlignment w:val="auto"/>
    </w:pPr>
    <w:rPr>
      <w:rFonts w:ascii="Calibri" w:hAnsi="Calibri" w:cs="Arial"/>
      <w:bCs/>
      <w:kern w:val="44"/>
      <w:sz w:val="21"/>
      <w:szCs w:val="24"/>
    </w:rPr>
  </w:style>
  <w:style w:type="paragraph" w:customStyle="1" w:styleId="104">
    <w:name w:val="样式 宋体 五号 两端对齐 行距: 单倍行距"/>
    <w:basedOn w:val="1"/>
    <w:qFormat/>
    <w:uiPriority w:val="0"/>
    <w:pPr>
      <w:spacing w:line="240" w:lineRule="auto"/>
      <w:jc w:val="both"/>
    </w:pPr>
    <w:rPr>
      <w:rFonts w:ascii="宋体"/>
      <w:sz w:val="21"/>
    </w:rPr>
  </w:style>
  <w:style w:type="paragraph" w:customStyle="1" w:styleId="105">
    <w:name w:val="L4"/>
    <w:basedOn w:val="20"/>
    <w:qFormat/>
    <w:uiPriority w:val="0"/>
    <w:pPr>
      <w:tabs>
        <w:tab w:val="left" w:pos="420"/>
        <w:tab w:val="clear" w:pos="0"/>
      </w:tabs>
      <w:adjustRightInd/>
      <w:spacing w:line="240" w:lineRule="auto"/>
      <w:jc w:val="both"/>
      <w:textAlignment w:val="auto"/>
    </w:pPr>
    <w:rPr>
      <w:rFonts w:ascii="Calibri" w:hAnsi="Calibri"/>
      <w:kern w:val="2"/>
      <w:sz w:val="21"/>
    </w:rPr>
  </w:style>
  <w:style w:type="paragraph" w:customStyle="1" w:styleId="106">
    <w:name w:val="Char Char Char Char Char Char Char Char Char Char"/>
    <w:basedOn w:val="1"/>
    <w:qFormat/>
    <w:uiPriority w:val="0"/>
    <w:pPr>
      <w:widowControl/>
      <w:adjustRightInd/>
      <w:spacing w:after="160" w:line="240" w:lineRule="exact"/>
      <w:textAlignment w:val="auto"/>
    </w:pPr>
  </w:style>
  <w:style w:type="paragraph" w:customStyle="1" w:styleId="107">
    <w:name w:val="样式5"/>
    <w:basedOn w:val="3"/>
    <w:qFormat/>
    <w:uiPriority w:val="0"/>
    <w:pPr>
      <w:adjustRightInd/>
      <w:spacing w:line="576" w:lineRule="auto"/>
      <w:jc w:val="both"/>
      <w:textAlignment w:val="auto"/>
    </w:pPr>
    <w:rPr>
      <w:sz w:val="28"/>
    </w:rPr>
  </w:style>
  <w:style w:type="paragraph" w:customStyle="1" w:styleId="108">
    <w:name w:val="PMtextBullet"/>
    <w:basedOn w:val="74"/>
    <w:qFormat/>
    <w:uiPriority w:val="0"/>
    <w:pPr>
      <w:tabs>
        <w:tab w:val="left" w:pos="2520"/>
      </w:tabs>
      <w:spacing w:after="200"/>
      <w:ind w:left="2520" w:firstLine="288"/>
    </w:pPr>
  </w:style>
  <w:style w:type="paragraph" w:customStyle="1" w:styleId="109">
    <w:name w:val="样式 宋体 五号 两端对齐 行距: 单倍行距1"/>
    <w:basedOn w:val="1"/>
    <w:qFormat/>
    <w:uiPriority w:val="0"/>
    <w:pPr>
      <w:spacing w:line="240" w:lineRule="auto"/>
      <w:jc w:val="both"/>
    </w:pPr>
    <w:rPr>
      <w:rFonts w:ascii="宋体"/>
      <w:sz w:val="21"/>
    </w:rPr>
  </w:style>
  <w:style w:type="paragraph" w:customStyle="1" w:styleId="110">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11">
    <w:name w:val="xl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top"/>
    </w:pPr>
    <w:rPr>
      <w:rFonts w:ascii="宋体" w:hAnsi="宋体" w:cs="宋体"/>
      <w:szCs w:val="24"/>
    </w:rPr>
  </w:style>
  <w:style w:type="paragraph" w:customStyle="1" w:styleId="112">
    <w:name w:val="正文空格"/>
    <w:basedOn w:val="1"/>
    <w:next w:val="1"/>
    <w:qFormat/>
    <w:uiPriority w:val="0"/>
    <w:pPr>
      <w:adjustRightInd/>
      <w:spacing w:line="400" w:lineRule="exact"/>
      <w:ind w:firstLine="200" w:firstLineChars="200"/>
      <w:jc w:val="both"/>
      <w:textAlignment w:val="auto"/>
    </w:pPr>
    <w:rPr>
      <w:kern w:val="2"/>
      <w:szCs w:val="22"/>
    </w:rPr>
  </w:style>
  <w:style w:type="paragraph" w:customStyle="1" w:styleId="113">
    <w:name w:val="一级"/>
    <w:basedOn w:val="1"/>
    <w:next w:val="1"/>
    <w:qFormat/>
    <w:uiPriority w:val="0"/>
    <w:pPr>
      <w:adjustRightInd/>
      <w:spacing w:before="360" w:after="360" w:line="400" w:lineRule="exact"/>
      <w:jc w:val="both"/>
      <w:textAlignment w:val="auto"/>
      <w:outlineLvl w:val="1"/>
    </w:pPr>
    <w:rPr>
      <w:rFonts w:eastAsia="黑体"/>
      <w:kern w:val="2"/>
      <w:sz w:val="28"/>
      <w:szCs w:val="22"/>
    </w:rPr>
  </w:style>
  <w:style w:type="paragraph" w:customStyle="1" w:styleId="114">
    <w:name w:val="表格文字"/>
    <w:basedOn w:val="53"/>
    <w:qFormat/>
    <w:uiPriority w:val="0"/>
    <w:pPr>
      <w:spacing w:line="240" w:lineRule="auto"/>
    </w:pPr>
    <w:rPr>
      <w:sz w:val="21"/>
      <w:szCs w:val="22"/>
    </w:rPr>
  </w:style>
  <w:style w:type="paragraph" w:customStyle="1" w:styleId="115">
    <w:name w:val="三级"/>
    <w:basedOn w:val="1"/>
    <w:next w:val="1"/>
    <w:qFormat/>
    <w:uiPriority w:val="0"/>
    <w:pPr>
      <w:adjustRightInd/>
      <w:spacing w:before="120" w:after="120" w:line="400" w:lineRule="exact"/>
      <w:jc w:val="both"/>
      <w:textAlignment w:val="auto"/>
      <w:outlineLvl w:val="3"/>
    </w:pPr>
    <w:rPr>
      <w:rFonts w:eastAsia="黑体"/>
      <w:kern w:val="2"/>
      <w:szCs w:val="22"/>
    </w:rPr>
  </w:style>
  <w:style w:type="paragraph" w:customStyle="1" w:styleId="116">
    <w:name w:val="章节"/>
    <w:basedOn w:val="1"/>
    <w:next w:val="1"/>
    <w:qFormat/>
    <w:uiPriority w:val="0"/>
    <w:pPr>
      <w:adjustRightInd/>
      <w:spacing w:before="600" w:after="600" w:line="400" w:lineRule="exact"/>
      <w:jc w:val="center"/>
      <w:textAlignment w:val="auto"/>
      <w:outlineLvl w:val="0"/>
    </w:pPr>
    <w:rPr>
      <w:rFonts w:eastAsia="黑体"/>
      <w:kern w:val="2"/>
      <w:sz w:val="30"/>
      <w:szCs w:val="22"/>
    </w:rPr>
  </w:style>
  <w:style w:type="paragraph" w:customStyle="1" w:styleId="117">
    <w:name w:val="二级"/>
    <w:basedOn w:val="1"/>
    <w:next w:val="1"/>
    <w:qFormat/>
    <w:uiPriority w:val="0"/>
    <w:pPr>
      <w:adjustRightInd/>
      <w:spacing w:before="240" w:after="240" w:line="400" w:lineRule="exact"/>
      <w:jc w:val="both"/>
      <w:textAlignment w:val="auto"/>
      <w:outlineLvl w:val="2"/>
    </w:pPr>
    <w:rPr>
      <w:rFonts w:eastAsia="黑体"/>
      <w:kern w:val="2"/>
      <w:sz w:val="28"/>
      <w:szCs w:val="22"/>
    </w:rPr>
  </w:style>
  <w:style w:type="paragraph" w:customStyle="1" w:styleId="118">
    <w:name w:val="图文"/>
    <w:basedOn w:val="1"/>
    <w:qFormat/>
    <w:uiPriority w:val="0"/>
    <w:pPr>
      <w:adjustRightInd/>
      <w:spacing w:before="120" w:line="400" w:lineRule="exact"/>
      <w:jc w:val="both"/>
      <w:textAlignment w:val="auto"/>
    </w:pPr>
    <w:rPr>
      <w:kern w:val="2"/>
      <w:sz w:val="21"/>
      <w:szCs w:val="22"/>
    </w:rPr>
  </w:style>
  <w:style w:type="paragraph" w:customStyle="1" w:styleId="119">
    <w:name w:val="表前正文"/>
    <w:basedOn w:val="112"/>
    <w:next w:val="1"/>
    <w:qFormat/>
    <w:uiPriority w:val="0"/>
    <w:pPr>
      <w:spacing w:after="100"/>
    </w:pPr>
  </w:style>
  <w:style w:type="paragraph" w:customStyle="1" w:styleId="120">
    <w:name w:val="四级"/>
    <w:basedOn w:val="115"/>
    <w:next w:val="1"/>
    <w:qFormat/>
    <w:uiPriority w:val="0"/>
    <w:pPr>
      <w:outlineLvl w:val="4"/>
    </w:pPr>
  </w:style>
  <w:style w:type="paragraph" w:customStyle="1" w:styleId="121">
    <w:name w:val="Char1"/>
    <w:basedOn w:val="1"/>
    <w:qFormat/>
    <w:uiPriority w:val="0"/>
    <w:pPr>
      <w:adjustRightInd/>
      <w:spacing w:line="240" w:lineRule="auto"/>
      <w:jc w:val="both"/>
      <w:textAlignment w:val="auto"/>
    </w:pPr>
    <w:rPr>
      <w:rFonts w:ascii="宋体" w:hAnsi="宋体"/>
      <w:i/>
      <w:kern w:val="2"/>
      <w:szCs w:val="24"/>
    </w:rPr>
  </w:style>
  <w:style w:type="paragraph" w:customStyle="1" w:styleId="122">
    <w:name w:val="样式 标题 2 + 段前: 0.3 行 + 段前: 0.4 行 段后: 0.4 行 + 段前: 0.4 行 段后:... + 段..."/>
    <w:basedOn w:val="1"/>
    <w:qFormat/>
    <w:uiPriority w:val="0"/>
    <w:pPr>
      <w:keepNext/>
      <w:keepLines/>
      <w:numPr>
        <w:ilvl w:val="1"/>
        <w:numId w:val="3"/>
      </w:numPr>
      <w:tabs>
        <w:tab w:val="left" w:pos="532"/>
      </w:tabs>
      <w:spacing w:beforeLines="40" w:afterLines="40" w:line="360" w:lineRule="auto"/>
      <w:jc w:val="both"/>
      <w:textAlignment w:val="auto"/>
      <w:outlineLvl w:val="1"/>
    </w:pPr>
    <w:rPr>
      <w:rFonts w:ascii="Arial" w:hAnsi="Arial" w:eastAsia="黑体" w:cs="宋体"/>
      <w:b/>
      <w:bCs/>
      <w:kern w:val="2"/>
      <w:sz w:val="30"/>
    </w:rPr>
  </w:style>
  <w:style w:type="paragraph" w:customStyle="1" w:styleId="123">
    <w:name w:val="样式 标题 1 + 段前: 0.3 行 + 段前: 0.5 行 段后: 0.5 行 + 段前: 0.5 行 段后: 0.3 行"/>
    <w:basedOn w:val="1"/>
    <w:qFormat/>
    <w:uiPriority w:val="0"/>
    <w:pPr>
      <w:keepNext/>
      <w:keepLines/>
      <w:tabs>
        <w:tab w:val="left" w:pos="0"/>
        <w:tab w:val="left" w:pos="252"/>
      </w:tabs>
      <w:adjustRightInd/>
      <w:spacing w:beforeLines="50" w:afterLines="30" w:line="360" w:lineRule="auto"/>
      <w:ind w:left="1680" w:hanging="420"/>
      <w:jc w:val="both"/>
      <w:textAlignment w:val="auto"/>
      <w:outlineLvl w:val="0"/>
    </w:pPr>
    <w:rPr>
      <w:rFonts w:cs="宋体"/>
      <w:b/>
      <w:bCs/>
      <w:kern w:val="44"/>
      <w:sz w:val="32"/>
    </w:rPr>
  </w:style>
  <w:style w:type="paragraph" w:customStyle="1" w:styleId="124">
    <w:name w:val="hc正文1.5"/>
    <w:basedOn w:val="1"/>
    <w:qFormat/>
    <w:uiPriority w:val="0"/>
    <w:pPr>
      <w:tabs>
        <w:tab w:val="left" w:pos="3265"/>
      </w:tabs>
      <w:adjustRightInd/>
      <w:spacing w:beforeLines="20" w:afterLines="20" w:line="460" w:lineRule="exact"/>
      <w:ind w:firstLine="480" w:firstLineChars="200"/>
      <w:jc w:val="both"/>
      <w:textAlignment w:val="auto"/>
    </w:pPr>
    <w:rPr>
      <w:rFonts w:ascii="宋体" w:hAnsi="宋体" w:cs="仿宋_GB2312"/>
      <w:szCs w:val="24"/>
    </w:rPr>
  </w:style>
  <w:style w:type="paragraph" w:customStyle="1" w:styleId="125">
    <w:name w:val="Table Paragraph"/>
    <w:basedOn w:val="1"/>
    <w:qFormat/>
    <w:uiPriority w:val="1"/>
    <w:pPr>
      <w:autoSpaceDE w:val="0"/>
      <w:autoSpaceDN w:val="0"/>
    </w:pPr>
    <w:rPr>
      <w:rFonts w:ascii="Times" w:hAnsi="Times"/>
    </w:rPr>
  </w:style>
  <w:style w:type="paragraph" w:customStyle="1" w:styleId="12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EEAF6"/>
      <w:adjustRightInd/>
      <w:spacing w:before="100" w:beforeAutospacing="1" w:after="100" w:afterAutospacing="1" w:line="240" w:lineRule="auto"/>
      <w:jc w:val="center"/>
      <w:textAlignment w:val="center"/>
    </w:pPr>
    <w:rPr>
      <w:rFonts w:ascii="宋体" w:hAnsi="宋体" w:cs="宋体"/>
      <w:b/>
      <w:bCs/>
      <w:color w:val="000000"/>
      <w:sz w:val="21"/>
      <w:szCs w:val="21"/>
    </w:rPr>
  </w:style>
  <w:style w:type="paragraph" w:customStyle="1" w:styleId="127">
    <w:name w:val="论文"/>
    <w:basedOn w:val="1"/>
    <w:qFormat/>
    <w:uiPriority w:val="0"/>
    <w:pPr>
      <w:adjustRightInd/>
      <w:spacing w:line="400" w:lineRule="exact"/>
      <w:jc w:val="both"/>
      <w:textAlignment w:val="auto"/>
    </w:pPr>
    <w:rPr>
      <w:kern w:val="2"/>
      <w:szCs w:val="22"/>
    </w:rPr>
  </w:style>
  <w:style w:type="paragraph" w:customStyle="1" w:styleId="128">
    <w:name w:val="文档正文"/>
    <w:basedOn w:val="1"/>
    <w:qFormat/>
    <w:uiPriority w:val="0"/>
    <w:pPr>
      <w:spacing w:line="312" w:lineRule="atLeast"/>
      <w:ind w:firstLine="567"/>
    </w:pPr>
    <w:rPr>
      <w:rFonts w:ascii="长城仿宋" w:eastAsia="长城仿宋"/>
      <w:sz w:val="28"/>
    </w:rPr>
  </w:style>
  <w:style w:type="paragraph" w:customStyle="1" w:styleId="129">
    <w:name w:val="正文2b"/>
    <w:basedOn w:val="1"/>
    <w:next w:val="1"/>
    <w:qFormat/>
    <w:uiPriority w:val="0"/>
    <w:pPr>
      <w:spacing w:line="360" w:lineRule="auto"/>
      <w:ind w:firstLine="200" w:firstLineChars="200"/>
    </w:pPr>
    <w:rPr>
      <w:rFonts w:ascii="仿宋_GB2312" w:hAnsi="Calibri" w:eastAsia="仿宋_GB2312"/>
      <w:szCs w:val="22"/>
    </w:rPr>
  </w:style>
  <w:style w:type="character" w:customStyle="1" w:styleId="130">
    <w:name w:val="标题 1 字符"/>
    <w:link w:val="3"/>
    <w:qFormat/>
    <w:uiPriority w:val="0"/>
    <w:rPr>
      <w:rFonts w:eastAsia="宋体"/>
      <w:b/>
      <w:bCs/>
      <w:kern w:val="44"/>
      <w:sz w:val="44"/>
      <w:szCs w:val="44"/>
    </w:rPr>
  </w:style>
  <w:style w:type="character" w:customStyle="1" w:styleId="131">
    <w:name w:val="标题 2 字符"/>
    <w:link w:val="4"/>
    <w:qFormat/>
    <w:uiPriority w:val="0"/>
    <w:rPr>
      <w:rFonts w:ascii="Arial" w:hAnsi="Arial" w:eastAsia="黑体"/>
      <w:b/>
      <w:bCs/>
      <w:sz w:val="32"/>
      <w:szCs w:val="32"/>
    </w:rPr>
  </w:style>
  <w:style w:type="character" w:customStyle="1" w:styleId="132">
    <w:name w:val="标题 3 字符"/>
    <w:link w:val="5"/>
    <w:qFormat/>
    <w:uiPriority w:val="9"/>
    <w:rPr>
      <w:rFonts w:eastAsia="宋体"/>
      <w:b/>
      <w:bCs/>
      <w:sz w:val="32"/>
      <w:szCs w:val="32"/>
    </w:rPr>
  </w:style>
  <w:style w:type="character" w:customStyle="1" w:styleId="133">
    <w:name w:val="标题 4 字符"/>
    <w:link w:val="6"/>
    <w:qFormat/>
    <w:uiPriority w:val="9"/>
    <w:rPr>
      <w:rFonts w:ascii="Arial" w:hAnsi="Arial" w:eastAsia="黑体"/>
      <w:b/>
      <w:bCs/>
      <w:sz w:val="28"/>
      <w:szCs w:val="28"/>
    </w:rPr>
  </w:style>
  <w:style w:type="character" w:customStyle="1" w:styleId="134">
    <w:name w:val="标题 5 字符"/>
    <w:link w:val="7"/>
    <w:qFormat/>
    <w:uiPriority w:val="0"/>
    <w:rPr>
      <w:rFonts w:eastAsia="宋体"/>
      <w:b/>
      <w:bCs/>
      <w:sz w:val="28"/>
      <w:szCs w:val="28"/>
    </w:rPr>
  </w:style>
  <w:style w:type="character" w:customStyle="1" w:styleId="135">
    <w:name w:val="标题 6 字符"/>
    <w:link w:val="8"/>
    <w:qFormat/>
    <w:uiPriority w:val="0"/>
    <w:rPr>
      <w:rFonts w:ascii="Arial" w:hAnsi="Arial" w:eastAsia="黑体"/>
      <w:b/>
      <w:bCs/>
      <w:sz w:val="24"/>
      <w:szCs w:val="24"/>
    </w:rPr>
  </w:style>
  <w:style w:type="character" w:customStyle="1" w:styleId="136">
    <w:name w:val="标题 7 字符"/>
    <w:link w:val="9"/>
    <w:qFormat/>
    <w:uiPriority w:val="0"/>
    <w:rPr>
      <w:rFonts w:eastAsia="宋体"/>
      <w:b/>
      <w:bCs/>
      <w:sz w:val="24"/>
      <w:szCs w:val="24"/>
    </w:rPr>
  </w:style>
  <w:style w:type="character" w:customStyle="1" w:styleId="137">
    <w:name w:val="标题 8 字符"/>
    <w:link w:val="10"/>
    <w:qFormat/>
    <w:uiPriority w:val="0"/>
    <w:rPr>
      <w:rFonts w:ascii="Arial" w:hAnsi="Arial" w:eastAsia="黑体"/>
      <w:sz w:val="24"/>
      <w:szCs w:val="24"/>
    </w:rPr>
  </w:style>
  <w:style w:type="character" w:customStyle="1" w:styleId="138">
    <w:name w:val="标题 9 字符"/>
    <w:link w:val="11"/>
    <w:qFormat/>
    <w:uiPriority w:val="0"/>
    <w:rPr>
      <w:rFonts w:ascii="Arial" w:hAnsi="Arial" w:eastAsia="黑体"/>
      <w:sz w:val="21"/>
      <w:szCs w:val="21"/>
    </w:rPr>
  </w:style>
  <w:style w:type="character" w:customStyle="1" w:styleId="139">
    <w:name w:val="批注文字 字符"/>
    <w:link w:val="16"/>
    <w:qFormat/>
    <w:uiPriority w:val="0"/>
    <w:rPr>
      <w:rFonts w:eastAsia="宋体"/>
      <w:sz w:val="24"/>
    </w:rPr>
  </w:style>
  <w:style w:type="character" w:customStyle="1" w:styleId="140">
    <w:name w:val="批注主题 字符"/>
    <w:link w:val="38"/>
    <w:qFormat/>
    <w:uiPriority w:val="0"/>
    <w:rPr>
      <w:rFonts w:eastAsia="宋体"/>
      <w:b/>
      <w:bCs/>
      <w:kern w:val="2"/>
      <w:sz w:val="24"/>
    </w:rPr>
  </w:style>
  <w:style w:type="character" w:customStyle="1" w:styleId="141">
    <w:name w:val="正文文本 字符"/>
    <w:link w:val="2"/>
    <w:qFormat/>
    <w:uiPriority w:val="0"/>
    <w:rPr>
      <w:rFonts w:eastAsia="宋体"/>
      <w:kern w:val="2"/>
      <w:sz w:val="28"/>
    </w:rPr>
  </w:style>
  <w:style w:type="character" w:customStyle="1" w:styleId="142">
    <w:name w:val="正文文本首行缩进 字符"/>
    <w:link w:val="39"/>
    <w:qFormat/>
    <w:uiPriority w:val="0"/>
    <w:rPr>
      <w:rFonts w:eastAsia="宋体"/>
      <w:kern w:val="2"/>
      <w:sz w:val="21"/>
      <w:szCs w:val="24"/>
    </w:rPr>
  </w:style>
  <w:style w:type="character" w:customStyle="1" w:styleId="143">
    <w:name w:val="正文缩进 字符"/>
    <w:link w:val="13"/>
    <w:qFormat/>
    <w:uiPriority w:val="0"/>
    <w:rPr>
      <w:rFonts w:eastAsia="宋体"/>
      <w:sz w:val="24"/>
    </w:rPr>
  </w:style>
  <w:style w:type="character" w:customStyle="1" w:styleId="144">
    <w:name w:val="文档结构图 字符"/>
    <w:link w:val="15"/>
    <w:qFormat/>
    <w:uiPriority w:val="99"/>
    <w:rPr>
      <w:rFonts w:eastAsia="宋体"/>
      <w:sz w:val="24"/>
      <w:shd w:val="clear" w:color="auto" w:fill="000080"/>
    </w:rPr>
  </w:style>
  <w:style w:type="character" w:customStyle="1" w:styleId="145">
    <w:name w:val="称呼 字符"/>
    <w:link w:val="17"/>
    <w:qFormat/>
    <w:uiPriority w:val="0"/>
    <w:rPr>
      <w:rFonts w:ascii="方正仿宋_GBK" w:eastAsia="方正仿宋_GBK" w:cs="方正仿宋_GBK"/>
      <w:sz w:val="32"/>
      <w:szCs w:val="32"/>
      <w:lang w:val="en-US" w:eastAsia="zh-CN" w:bidi="ar-SA"/>
    </w:rPr>
  </w:style>
  <w:style w:type="character" w:customStyle="1" w:styleId="146">
    <w:name w:val="正文文本缩进 字符"/>
    <w:link w:val="18"/>
    <w:qFormat/>
    <w:uiPriority w:val="0"/>
    <w:rPr>
      <w:rFonts w:ascii="宋体" w:eastAsia="宋体"/>
      <w:sz w:val="24"/>
      <w:szCs w:val="21"/>
    </w:rPr>
  </w:style>
  <w:style w:type="character" w:customStyle="1" w:styleId="147">
    <w:name w:val="纯文本 字符"/>
    <w:link w:val="23"/>
    <w:qFormat/>
    <w:uiPriority w:val="0"/>
    <w:rPr>
      <w:rFonts w:ascii="宋体" w:eastAsia="宋体"/>
      <w:kern w:val="2"/>
      <w:sz w:val="21"/>
      <w:szCs w:val="21"/>
    </w:rPr>
  </w:style>
  <w:style w:type="character" w:customStyle="1" w:styleId="148">
    <w:name w:val="日期 字符"/>
    <w:link w:val="25"/>
    <w:qFormat/>
    <w:uiPriority w:val="0"/>
    <w:rPr>
      <w:rFonts w:eastAsia="宋体"/>
      <w:kern w:val="2"/>
      <w:sz w:val="21"/>
    </w:rPr>
  </w:style>
  <w:style w:type="character" w:customStyle="1" w:styleId="149">
    <w:name w:val="正文文本缩进 2 字符"/>
    <w:link w:val="26"/>
    <w:qFormat/>
    <w:uiPriority w:val="0"/>
    <w:rPr>
      <w:rFonts w:ascii="宋体" w:eastAsia="宋体"/>
      <w:sz w:val="24"/>
      <w:szCs w:val="21"/>
    </w:rPr>
  </w:style>
  <w:style w:type="character" w:customStyle="1" w:styleId="150">
    <w:name w:val="批注框文本 字符"/>
    <w:link w:val="27"/>
    <w:qFormat/>
    <w:uiPriority w:val="0"/>
    <w:rPr>
      <w:rFonts w:eastAsia="宋体"/>
      <w:sz w:val="18"/>
      <w:szCs w:val="18"/>
    </w:rPr>
  </w:style>
  <w:style w:type="character" w:customStyle="1" w:styleId="151">
    <w:name w:val="页脚 字符"/>
    <w:link w:val="28"/>
    <w:qFormat/>
    <w:uiPriority w:val="99"/>
    <w:rPr>
      <w:rFonts w:eastAsia="宋体"/>
      <w:sz w:val="18"/>
      <w:lang w:val="en-US" w:eastAsia="zh-CN" w:bidi="ar-SA"/>
    </w:rPr>
  </w:style>
  <w:style w:type="character" w:customStyle="1" w:styleId="152">
    <w:name w:val="页眉 字符"/>
    <w:link w:val="29"/>
    <w:qFormat/>
    <w:uiPriority w:val="99"/>
    <w:rPr>
      <w:rFonts w:eastAsia="宋体"/>
      <w:sz w:val="18"/>
    </w:rPr>
  </w:style>
  <w:style w:type="character" w:customStyle="1" w:styleId="153">
    <w:name w:val="正文文本缩进 3 字符"/>
    <w:link w:val="33"/>
    <w:qFormat/>
    <w:uiPriority w:val="0"/>
    <w:rPr>
      <w:rFonts w:eastAsia="宋体"/>
      <w:sz w:val="28"/>
    </w:rPr>
  </w:style>
  <w:style w:type="character" w:customStyle="1" w:styleId="154">
    <w:name w:val="正文文本 2 字符"/>
    <w:link w:val="36"/>
    <w:qFormat/>
    <w:uiPriority w:val="0"/>
    <w:rPr>
      <w:rFonts w:eastAsia="宋体"/>
      <w:sz w:val="24"/>
    </w:rPr>
  </w:style>
  <w:style w:type="character" w:customStyle="1" w:styleId="155">
    <w:name w:val="已访问的超链接1"/>
    <w:qFormat/>
    <w:uiPriority w:val="0"/>
    <w:rPr>
      <w:color w:val="800080"/>
      <w:u w:val="single"/>
    </w:rPr>
  </w:style>
  <w:style w:type="character" w:customStyle="1" w:styleId="156">
    <w:name w:val="批注文字 Char1"/>
    <w:qFormat/>
    <w:uiPriority w:val="0"/>
    <w:rPr>
      <w:rFonts w:eastAsia="宋体"/>
      <w:kern w:val="2"/>
      <w:sz w:val="21"/>
    </w:rPr>
  </w:style>
  <w:style w:type="character" w:customStyle="1" w:styleId="157">
    <w:name w:val="样式 标题 1 + (西文) 方正黑体_GBK (中文) 方正黑体_GBK (符号) 宋体 三号 非加粗 黑色"/>
    <w:qFormat/>
    <w:uiPriority w:val="0"/>
    <w:rPr>
      <w:rFonts w:ascii="方正黑体_GBK" w:eastAsia="方正黑体_GBK" w:cs="宋体"/>
      <w:color w:val="000000"/>
      <w:sz w:val="32"/>
      <w:szCs w:val="32"/>
      <w:lang w:val="zh-CN" w:eastAsia="zh-CN" w:bidi="ar-SA"/>
    </w:rPr>
  </w:style>
  <w:style w:type="character" w:customStyle="1" w:styleId="158">
    <w:name w:val="批注文字 Char2"/>
    <w:semiHidden/>
    <w:qFormat/>
    <w:uiPriority w:val="99"/>
    <w:rPr>
      <w:kern w:val="2"/>
      <w:sz w:val="21"/>
    </w:rPr>
  </w:style>
  <w:style w:type="character" w:customStyle="1" w:styleId="159">
    <w:name w:val="样式1 Char Char"/>
    <w:qFormat/>
    <w:uiPriority w:val="0"/>
    <w:rPr>
      <w:rFonts w:ascii="宋体" w:eastAsia="宋体"/>
      <w:sz w:val="21"/>
      <w:szCs w:val="21"/>
      <w:lang w:val="en-US" w:eastAsia="zh-CN" w:bidi="ar-SA"/>
    </w:rPr>
  </w:style>
  <w:style w:type="character" w:customStyle="1" w:styleId="160">
    <w:name w:val="标题 2 Char Char Char"/>
    <w:qFormat/>
    <w:uiPriority w:val="0"/>
    <w:rPr>
      <w:rFonts w:ascii="Arial" w:hAnsi="Arial" w:eastAsia="黑体"/>
      <w:b/>
      <w:bCs/>
      <w:kern w:val="2"/>
      <w:sz w:val="32"/>
      <w:szCs w:val="32"/>
      <w:lang w:val="en-US" w:eastAsia="zh-CN" w:bidi="ar-SA"/>
    </w:rPr>
  </w:style>
  <w:style w:type="character" w:customStyle="1" w:styleId="161">
    <w:name w:val="无间隔 Char"/>
    <w:link w:val="48"/>
    <w:qFormat/>
    <w:locked/>
    <w:uiPriority w:val="1"/>
    <w:rPr>
      <w:sz w:val="22"/>
      <w:szCs w:val="22"/>
      <w:lang w:val="en-US" w:eastAsia="zh-CN" w:bidi="ar-SA"/>
    </w:rPr>
  </w:style>
  <w:style w:type="character" w:customStyle="1" w:styleId="162">
    <w:name w:val="h3 Char"/>
    <w:qFormat/>
    <w:uiPriority w:val="0"/>
    <w:rPr>
      <w:rFonts w:eastAsia="宋体"/>
      <w:b/>
      <w:bCs/>
      <w:sz w:val="32"/>
      <w:szCs w:val="32"/>
      <w:lang w:val="en-US" w:eastAsia="zh-CN" w:bidi="ar-SA"/>
    </w:rPr>
  </w:style>
  <w:style w:type="character" w:customStyle="1" w:styleId="163">
    <w:name w:val="font01"/>
    <w:basedOn w:val="42"/>
    <w:qFormat/>
    <w:uiPriority w:val="0"/>
    <w:rPr>
      <w:rFonts w:hint="eastAsia" w:ascii="宋体" w:hAnsi="宋体" w:eastAsia="宋体" w:cs="宋体"/>
      <w:color w:val="000000"/>
      <w:sz w:val="22"/>
      <w:szCs w:val="22"/>
      <w:u w:val="none"/>
    </w:rPr>
  </w:style>
  <w:style w:type="character" w:customStyle="1" w:styleId="164">
    <w:name w:val="font101"/>
    <w:basedOn w:val="42"/>
    <w:qFormat/>
    <w:uiPriority w:val="0"/>
    <w:rPr>
      <w:rFonts w:hint="eastAsia" w:ascii="宋体" w:hAnsi="宋体" w:eastAsia="宋体" w:cs="宋体"/>
      <w:color w:val="000000"/>
      <w:sz w:val="22"/>
      <w:szCs w:val="22"/>
      <w:u w:val="none"/>
      <w:vertAlign w:val="superscript"/>
    </w:rPr>
  </w:style>
  <w:style w:type="character" w:customStyle="1" w:styleId="165">
    <w:name w:val="font31"/>
    <w:basedOn w:val="42"/>
    <w:qFormat/>
    <w:uiPriority w:val="0"/>
    <w:rPr>
      <w:rFonts w:hint="eastAsia" w:ascii="宋体" w:hAnsi="宋体" w:eastAsia="宋体" w:cs="宋体"/>
      <w:color w:val="000000"/>
      <w:sz w:val="22"/>
      <w:szCs w:val="22"/>
      <w:u w:val="none"/>
    </w:rPr>
  </w:style>
  <w:style w:type="character" w:customStyle="1" w:styleId="166">
    <w:name w:val="font21"/>
    <w:basedOn w:val="42"/>
    <w:qFormat/>
    <w:uiPriority w:val="0"/>
    <w:rPr>
      <w:rFonts w:hint="eastAsia" w:ascii="宋体" w:hAnsi="宋体" w:eastAsia="宋体" w:cs="宋体"/>
      <w:color w:val="000000"/>
      <w:sz w:val="22"/>
      <w:szCs w:val="22"/>
      <w:u w:val="none"/>
      <w:vertAlign w:val="superscript"/>
    </w:rPr>
  </w:style>
  <w:style w:type="character" w:customStyle="1" w:styleId="167">
    <w:name w:val="font91"/>
    <w:basedOn w:val="42"/>
    <w:qFormat/>
    <w:uiPriority w:val="0"/>
    <w:rPr>
      <w:rFonts w:hint="eastAsia" w:ascii="宋体" w:hAnsi="宋体" w:eastAsia="宋体" w:cs="宋体"/>
      <w:color w:val="000000"/>
      <w:sz w:val="22"/>
      <w:szCs w:val="22"/>
      <w:u w:val="none"/>
      <w:vertAlign w:val="superscript"/>
    </w:rPr>
  </w:style>
  <w:style w:type="character" w:customStyle="1" w:styleId="168">
    <w:name w:val="font81"/>
    <w:basedOn w:val="42"/>
    <w:qFormat/>
    <w:uiPriority w:val="0"/>
    <w:rPr>
      <w:rFonts w:hint="eastAsia" w:ascii="宋体" w:hAnsi="宋体" w:eastAsia="宋体" w:cs="宋体"/>
      <w:color w:val="000000"/>
      <w:sz w:val="20"/>
      <w:szCs w:val="20"/>
      <w:u w:val="none"/>
    </w:rPr>
  </w:style>
  <w:style w:type="character" w:customStyle="1" w:styleId="169">
    <w:name w:val="font11"/>
    <w:basedOn w:val="42"/>
    <w:qFormat/>
    <w:uiPriority w:val="0"/>
    <w:rPr>
      <w:rFonts w:hint="eastAsia" w:ascii="宋体" w:hAnsi="宋体" w:eastAsia="宋体" w:cs="宋体"/>
      <w:color w:val="000000"/>
      <w:sz w:val="20"/>
      <w:szCs w:val="20"/>
      <w:u w:val="none"/>
      <w:vertAlign w:val="superscript"/>
    </w:rPr>
  </w:style>
  <w:style w:type="character" w:customStyle="1" w:styleId="170">
    <w:name w:val="font13"/>
    <w:basedOn w:val="42"/>
    <w:qFormat/>
    <w:uiPriority w:val="0"/>
    <w:rPr>
      <w:rFonts w:hint="eastAsia" w:ascii="宋体" w:hAnsi="宋体" w:eastAsia="宋体" w:cs="宋体"/>
      <w:color w:val="000000"/>
      <w:sz w:val="20"/>
      <w:szCs w:val="20"/>
      <w:u w:val="none"/>
      <w:vertAlign w:val="superscript"/>
    </w:rPr>
  </w:style>
  <w:style w:type="character" w:customStyle="1" w:styleId="171">
    <w:name w:val="批注主题 Char1"/>
    <w:qFormat/>
    <w:uiPriority w:val="0"/>
    <w:rPr>
      <w:rFonts w:ascii="Times New Roman" w:hAnsi="Times New Roman" w:eastAsia="宋体" w:cs="Times New Roman"/>
      <w:szCs w:val="20"/>
    </w:rPr>
  </w:style>
  <w:style w:type="paragraph" w:customStyle="1" w:styleId="172">
    <w:name w:val="纯文本1"/>
    <w:basedOn w:val="1"/>
    <w:qFormat/>
    <w:uiPriority w:val="0"/>
    <w:rPr>
      <w:rFonts w:ascii="宋体" w:hAnsi="Courier New"/>
    </w:rPr>
  </w:style>
  <w:style w:type="character" w:customStyle="1" w:styleId="173">
    <w:name w:val="标题 1 Char Char"/>
    <w:qFormat/>
    <w:uiPriority w:val="0"/>
    <w:rPr>
      <w:rFonts w:eastAsia="宋体"/>
      <w:b/>
      <w:spacing w:val="-2"/>
      <w:sz w:val="24"/>
      <w:lang w:val="en-US" w:eastAsia="zh-CN"/>
    </w:rPr>
  </w:style>
  <w:style w:type="paragraph" w:customStyle="1" w:styleId="174">
    <w:name w:val="p0"/>
    <w:basedOn w:val="1"/>
    <w:qFormat/>
    <w:uiPriority w:val="0"/>
    <w:pPr>
      <w:widowControl/>
    </w:pPr>
    <w:rPr>
      <w:szCs w:val="21"/>
    </w:rPr>
  </w:style>
  <w:style w:type="paragraph" w:customStyle="1" w:styleId="175">
    <w:name w:val="此正文"/>
    <w:basedOn w:val="1"/>
    <w:qFormat/>
    <w:uiPriority w:val="0"/>
    <w:pPr>
      <w:spacing w:line="360" w:lineRule="auto"/>
      <w:ind w:firstLine="200" w:firstLineChars="200"/>
    </w:pPr>
    <w:rPr>
      <w:szCs w:val="24"/>
    </w:rPr>
  </w:style>
  <w:style w:type="paragraph" w:customStyle="1" w:styleId="176">
    <w:name w:val="msolistparagraph"/>
    <w:basedOn w:val="1"/>
    <w:qFormat/>
    <w:uiPriority w:val="0"/>
    <w:pPr>
      <w:ind w:firstLine="420" w:firstLineChars="200"/>
    </w:pPr>
    <w:rPr>
      <w:sz w:val="20"/>
      <w:szCs w:val="24"/>
    </w:rPr>
  </w:style>
  <w:style w:type="paragraph" w:customStyle="1" w:styleId="177">
    <w:name w:val="DAS正文"/>
    <w:basedOn w:val="1"/>
    <w:qFormat/>
    <w:uiPriority w:val="0"/>
    <w:pPr>
      <w:spacing w:line="360" w:lineRule="auto"/>
      <w:ind w:right="181" w:firstLine="480" w:firstLineChars="200"/>
    </w:pPr>
    <w:rPr>
      <w:rFonts w:ascii="Verdana" w:hAnsi="Verdana"/>
    </w:rPr>
  </w:style>
  <w:style w:type="paragraph" w:customStyle="1" w:styleId="178">
    <w:name w:val="修订2"/>
    <w:hidden/>
    <w:semiHidden/>
    <w:qFormat/>
    <w:uiPriority w:val="99"/>
    <w:rPr>
      <w:rFonts w:ascii="Times New Roman" w:hAnsi="Times New Roman" w:eastAsia="宋体" w:cs="Times New Roman"/>
      <w:sz w:val="24"/>
      <w:lang w:val="en-US" w:eastAsia="zh-CN" w:bidi="ar-SA"/>
    </w:rPr>
  </w:style>
  <w:style w:type="paragraph" w:customStyle="1" w:styleId="179">
    <w:name w:val="修订3"/>
    <w:hidden/>
    <w:semiHidden/>
    <w:qFormat/>
    <w:uiPriority w:val="99"/>
    <w:rPr>
      <w:rFonts w:ascii="Times New Roman" w:hAnsi="Times New Roman" w:eastAsia="宋体" w:cs="Times New Roman"/>
      <w:sz w:val="24"/>
      <w:lang w:val="en-US" w:eastAsia="zh-CN" w:bidi="ar-SA"/>
    </w:rPr>
  </w:style>
  <w:style w:type="paragraph" w:customStyle="1" w:styleId="180">
    <w:name w:val="Revision"/>
    <w:hidden/>
    <w:semiHidden/>
    <w:qFormat/>
    <w:uiPriority w:val="99"/>
    <w:rPr>
      <w:rFonts w:ascii="Times New Roman" w:hAnsi="Times New Roman" w:eastAsia="宋体" w:cs="Times New Roman"/>
      <w:sz w:val="24"/>
      <w:lang w:val="en-US" w:eastAsia="zh-CN" w:bidi="ar-SA"/>
    </w:rPr>
  </w:style>
  <w:style w:type="paragraph" w:styleId="18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32646</Words>
  <Characters>35140</Characters>
  <Lines>278</Lines>
  <Paragraphs>78</Paragraphs>
  <TotalTime>2</TotalTime>
  <ScaleCrop>false</ScaleCrop>
  <LinksUpToDate>false</LinksUpToDate>
  <CharactersWithSpaces>36285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2022-08-04T22:37:00Z</dcterms:created>
  <dc:creator>dell</dc:creator>
  <cp:lastModifiedBy>聪聪</cp:lastModifiedBy>
  <cp:lastPrinted>2021-05-20T03:19:00Z</cp:lastPrinted>
  <dcterms:modified xsi:type="dcterms:W3CDTF">2022-09-09T04:53:47Z</dcterms:modified>
  <dc:title>海关总署网络设备采购招标项目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9A973EF64A39408B9A96AB0AC5FE9F1A</vt:lpwstr>
  </property>
</Properties>
</file>