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4"/>
        <w:spacing w:line="276" w:lineRule="auto"/>
        <w:ind w:left="840" w:firstLine="0" w:firstLineChars="0"/>
        <w:rPr>
          <w:rFonts w:ascii="宋体"/>
          <w:color w:val="auto"/>
          <w:szCs w:val="21"/>
          <w:highlight w:val="none"/>
        </w:rPr>
      </w:pPr>
    </w:p>
    <w:p>
      <w:pPr>
        <w:spacing w:line="276" w:lineRule="auto"/>
        <w:rPr>
          <w:rFonts w:ascii="宋体"/>
          <w:color w:val="auto"/>
          <w:szCs w:val="21"/>
          <w:highlight w:val="none"/>
        </w:rPr>
      </w:pPr>
    </w:p>
    <w:p>
      <w:pPr>
        <w:spacing w:line="276" w:lineRule="auto"/>
        <w:rPr>
          <w:rFonts w:ascii="宋体"/>
          <w:color w:val="auto"/>
          <w:szCs w:val="21"/>
          <w:highlight w:val="none"/>
        </w:rPr>
      </w:pPr>
    </w:p>
    <w:p>
      <w:pPr>
        <w:spacing w:before="100" w:beforeAutospacing="1" w:after="100" w:afterAutospacing="1" w:line="276" w:lineRule="auto"/>
        <w:jc w:val="center"/>
        <w:rPr>
          <w:rFonts w:hint="eastAsia" w:eastAsia="宋体"/>
          <w:b/>
          <w:color w:val="auto"/>
          <w:sz w:val="52"/>
          <w:szCs w:val="52"/>
          <w:highlight w:val="none"/>
          <w:lang w:eastAsia="zh-CN"/>
        </w:rPr>
      </w:pPr>
      <w:r>
        <w:rPr>
          <w:rFonts w:hint="eastAsia" w:hAnsi="宋体"/>
          <w:b/>
          <w:color w:val="auto"/>
          <w:sz w:val="52"/>
          <w:szCs w:val="52"/>
          <w:highlight w:val="none"/>
          <w:lang w:eastAsia="zh-CN"/>
        </w:rPr>
        <w:t>2022年交警局机房内（公安网）硬件设备维修保养项目</w:t>
      </w:r>
    </w:p>
    <w:p>
      <w:pPr>
        <w:spacing w:line="276" w:lineRule="auto"/>
        <w:jc w:val="center"/>
        <w:rPr>
          <w:rFonts w:ascii="宋体"/>
          <w:b/>
          <w:bCs/>
          <w:color w:val="auto"/>
          <w:sz w:val="48"/>
          <w:szCs w:val="48"/>
          <w:highlight w:val="none"/>
        </w:rPr>
      </w:pPr>
    </w:p>
    <w:p>
      <w:pPr>
        <w:spacing w:line="276" w:lineRule="auto"/>
        <w:jc w:val="center"/>
        <w:rPr>
          <w:rFonts w:ascii="宋体"/>
          <w:b/>
          <w:bCs/>
          <w:color w:val="auto"/>
          <w:sz w:val="44"/>
          <w:szCs w:val="44"/>
          <w:highlight w:val="none"/>
        </w:rPr>
      </w:pPr>
    </w:p>
    <w:p>
      <w:pPr>
        <w:spacing w:line="276" w:lineRule="auto"/>
        <w:jc w:val="center"/>
        <w:rPr>
          <w:rFonts w:ascii="宋体"/>
          <w:b/>
          <w:bCs/>
          <w:color w:val="auto"/>
          <w:sz w:val="44"/>
          <w:szCs w:val="44"/>
          <w:highlight w:val="none"/>
        </w:rPr>
      </w:pPr>
    </w:p>
    <w:p>
      <w:pPr>
        <w:spacing w:line="276" w:lineRule="auto"/>
        <w:jc w:val="center"/>
        <w:rPr>
          <w:rFonts w:ascii="宋体"/>
          <w:b/>
          <w:color w:val="auto"/>
          <w:sz w:val="72"/>
          <w:szCs w:val="72"/>
          <w:highlight w:val="none"/>
        </w:rPr>
      </w:pPr>
      <w:r>
        <w:rPr>
          <w:rFonts w:hint="eastAsia" w:ascii="宋体"/>
          <w:b/>
          <w:bCs/>
          <w:color w:val="auto"/>
          <w:sz w:val="72"/>
          <w:szCs w:val="72"/>
          <w:highlight w:val="none"/>
        </w:rPr>
        <w:t>政府采购招标文件</w:t>
      </w:r>
      <w:r>
        <w:rPr>
          <w:rFonts w:hint="eastAsia" w:ascii="宋体"/>
          <w:b/>
          <w:bCs/>
          <w:color w:val="auto"/>
          <w:sz w:val="72"/>
          <w:szCs w:val="72"/>
          <w:highlight w:val="none"/>
        </w:rPr>
        <w:tab/>
      </w:r>
    </w:p>
    <w:p>
      <w:pPr>
        <w:spacing w:line="276" w:lineRule="auto"/>
        <w:ind w:firstLine="600"/>
        <w:jc w:val="both"/>
        <w:rPr>
          <w:rFonts w:ascii="宋体"/>
          <w:b/>
          <w:bCs/>
          <w:color w:val="auto"/>
          <w:sz w:val="30"/>
          <w:highlight w:val="none"/>
        </w:rPr>
      </w:pPr>
    </w:p>
    <w:p>
      <w:pPr>
        <w:spacing w:line="276" w:lineRule="auto"/>
        <w:ind w:firstLine="600"/>
        <w:jc w:val="both"/>
        <w:rPr>
          <w:rFonts w:ascii="宋体"/>
          <w:b/>
          <w:bCs/>
          <w:color w:val="auto"/>
          <w:sz w:val="30"/>
          <w:highlight w:val="none"/>
        </w:rPr>
      </w:pPr>
    </w:p>
    <w:p>
      <w:pPr>
        <w:spacing w:line="276" w:lineRule="auto"/>
        <w:ind w:firstLine="2397" w:firstLineChars="796"/>
        <w:rPr>
          <w:rFonts w:hint="eastAsia" w:ascii="宋体" w:eastAsia="宋体"/>
          <w:b/>
          <w:bCs/>
          <w:color w:val="auto"/>
          <w:sz w:val="30"/>
          <w:highlight w:val="none"/>
          <w:u w:val="single"/>
          <w:lang w:eastAsia="zh-CN"/>
        </w:rPr>
      </w:pPr>
      <w:r>
        <w:rPr>
          <w:rFonts w:hint="eastAsia" w:ascii="宋体"/>
          <w:b/>
          <w:bCs/>
          <w:color w:val="auto"/>
          <w:sz w:val="30"/>
          <w:highlight w:val="none"/>
        </w:rPr>
        <w:t>招标编号：</w:t>
      </w:r>
      <w:r>
        <w:rPr>
          <w:rFonts w:hint="eastAsia" w:ascii="宋体"/>
          <w:b/>
          <w:bCs/>
          <w:color w:val="auto"/>
          <w:sz w:val="30"/>
          <w:highlight w:val="none"/>
          <w:u w:val="single"/>
          <w:lang w:eastAsia="zh-CN"/>
        </w:rPr>
        <w:t>NBITC-202230642G</w:t>
      </w:r>
    </w:p>
    <w:p>
      <w:pPr>
        <w:spacing w:line="276" w:lineRule="auto"/>
        <w:ind w:firstLine="600"/>
        <w:rPr>
          <w:rFonts w:ascii="宋体"/>
          <w:color w:val="auto"/>
          <w:highlight w:val="none"/>
        </w:rPr>
      </w:pPr>
    </w:p>
    <w:p>
      <w:pPr>
        <w:spacing w:line="276" w:lineRule="auto"/>
        <w:ind w:firstLine="600"/>
        <w:rPr>
          <w:rFonts w:ascii="宋体"/>
          <w:color w:val="auto"/>
          <w:highlight w:val="none"/>
        </w:rPr>
      </w:pPr>
    </w:p>
    <w:p>
      <w:pPr>
        <w:spacing w:line="276" w:lineRule="auto"/>
        <w:ind w:firstLine="600"/>
        <w:rPr>
          <w:rFonts w:ascii="宋体"/>
          <w:color w:val="auto"/>
          <w:highlight w:val="none"/>
        </w:rPr>
      </w:pPr>
    </w:p>
    <w:p>
      <w:pPr>
        <w:spacing w:line="276" w:lineRule="auto"/>
        <w:ind w:firstLine="600"/>
        <w:rPr>
          <w:rFonts w:ascii="宋体"/>
          <w:color w:val="auto"/>
          <w:highlight w:val="none"/>
        </w:rPr>
      </w:pPr>
    </w:p>
    <w:p>
      <w:pPr>
        <w:spacing w:before="240" w:line="276" w:lineRule="auto"/>
        <w:rPr>
          <w:rFonts w:ascii="宋体"/>
          <w:color w:val="auto"/>
          <w:highlight w:val="none"/>
        </w:rPr>
      </w:pPr>
    </w:p>
    <w:p>
      <w:pPr>
        <w:spacing w:line="276" w:lineRule="auto"/>
        <w:ind w:firstLine="600"/>
        <w:rPr>
          <w:rFonts w:ascii="宋体"/>
          <w:b/>
          <w:bCs/>
          <w:color w:val="auto"/>
          <w:sz w:val="30"/>
          <w:highlight w:val="none"/>
        </w:rPr>
      </w:pPr>
      <w:r>
        <w:rPr>
          <w:rFonts w:hint="eastAsia" w:ascii="宋体"/>
          <w:b/>
          <w:bCs/>
          <w:color w:val="auto"/>
          <w:sz w:val="30"/>
          <w:highlight w:val="none"/>
        </w:rPr>
        <w:t>招标人：宁波市公安局交通警察局</w:t>
      </w:r>
    </w:p>
    <w:p>
      <w:pPr>
        <w:spacing w:line="276" w:lineRule="auto"/>
        <w:ind w:firstLine="600"/>
        <w:rPr>
          <w:rFonts w:ascii="宋体"/>
          <w:b/>
          <w:bCs/>
          <w:color w:val="auto"/>
          <w:sz w:val="30"/>
          <w:highlight w:val="none"/>
        </w:rPr>
      </w:pPr>
    </w:p>
    <w:p>
      <w:pPr>
        <w:spacing w:line="276" w:lineRule="auto"/>
        <w:ind w:firstLine="602" w:firstLineChars="200"/>
        <w:rPr>
          <w:rFonts w:ascii="宋体"/>
          <w:b/>
          <w:bCs/>
          <w:color w:val="auto"/>
          <w:sz w:val="30"/>
          <w:highlight w:val="none"/>
        </w:rPr>
      </w:pPr>
      <w:r>
        <w:rPr>
          <w:rFonts w:hint="eastAsia" w:ascii="宋体"/>
          <w:b/>
          <w:bCs/>
          <w:color w:val="auto"/>
          <w:sz w:val="30"/>
          <w:highlight w:val="none"/>
        </w:rPr>
        <w:t>招标代理机构：宁波市国际招标有限公司</w:t>
      </w:r>
    </w:p>
    <w:p>
      <w:pPr>
        <w:spacing w:line="276" w:lineRule="auto"/>
        <w:rPr>
          <w:rFonts w:ascii="宋体"/>
          <w:b/>
          <w:bCs/>
          <w:color w:val="auto"/>
          <w:sz w:val="30"/>
          <w:highlight w:val="none"/>
        </w:rPr>
      </w:pPr>
    </w:p>
    <w:p>
      <w:pPr>
        <w:spacing w:line="276" w:lineRule="auto"/>
        <w:ind w:firstLine="596" w:firstLineChars="198"/>
        <w:rPr>
          <w:rFonts w:ascii="方正小标宋_GBK" w:eastAsia="方正小标宋_GBK"/>
          <w:color w:val="auto"/>
          <w:sz w:val="36"/>
          <w:szCs w:val="36"/>
          <w:highlight w:val="none"/>
        </w:rPr>
      </w:pPr>
      <w:r>
        <w:rPr>
          <w:rFonts w:hint="eastAsia" w:ascii="宋体"/>
          <w:b/>
          <w:bCs/>
          <w:color w:val="auto"/>
          <w:sz w:val="30"/>
          <w:highlight w:val="none"/>
        </w:rPr>
        <w:t>编制日期：202</w:t>
      </w:r>
      <w:r>
        <w:rPr>
          <w:rFonts w:hint="eastAsia" w:ascii="宋体"/>
          <w:b/>
          <w:bCs/>
          <w:color w:val="auto"/>
          <w:sz w:val="30"/>
          <w:highlight w:val="none"/>
          <w:lang w:val="en-US" w:eastAsia="zh-CN"/>
        </w:rPr>
        <w:t>2</w:t>
      </w:r>
      <w:r>
        <w:rPr>
          <w:rFonts w:hint="eastAsia" w:ascii="宋体"/>
          <w:b/>
          <w:bCs/>
          <w:color w:val="auto"/>
          <w:sz w:val="30"/>
          <w:highlight w:val="none"/>
        </w:rPr>
        <w:t>年</w:t>
      </w:r>
      <w:r>
        <w:rPr>
          <w:rFonts w:hint="eastAsia" w:ascii="宋体"/>
          <w:b/>
          <w:bCs/>
          <w:color w:val="auto"/>
          <w:sz w:val="30"/>
          <w:highlight w:val="none"/>
          <w:lang w:val="en-US" w:eastAsia="zh-CN"/>
        </w:rPr>
        <w:t>6</w:t>
      </w:r>
      <w:r>
        <w:rPr>
          <w:rFonts w:hint="eastAsia" w:ascii="宋体"/>
          <w:b/>
          <w:bCs/>
          <w:color w:val="auto"/>
          <w:sz w:val="30"/>
          <w:highlight w:val="none"/>
        </w:rPr>
        <w:t>月</w:t>
      </w:r>
    </w:p>
    <w:p>
      <w:pPr>
        <w:spacing w:line="276" w:lineRule="auto"/>
        <w:jc w:val="center"/>
        <w:rPr>
          <w:rFonts w:ascii="宋体"/>
          <w:color w:val="auto"/>
          <w:sz w:val="30"/>
          <w:highlight w:val="none"/>
        </w:rPr>
      </w:pPr>
      <w:bookmarkStart w:id="0" w:name="_Toc86202580"/>
      <w:bookmarkStart w:id="1" w:name="_Toc241827233"/>
      <w:bookmarkStart w:id="2" w:name="_Toc241827234"/>
    </w:p>
    <w:p>
      <w:pPr>
        <w:spacing w:line="276" w:lineRule="auto"/>
        <w:jc w:val="center"/>
        <w:rPr>
          <w:rFonts w:ascii="宋体"/>
          <w:color w:val="auto"/>
          <w:sz w:val="30"/>
          <w:highlight w:val="none"/>
        </w:rPr>
      </w:pPr>
    </w:p>
    <w:p>
      <w:pPr>
        <w:spacing w:line="276" w:lineRule="auto"/>
        <w:jc w:val="center"/>
        <w:rPr>
          <w:b/>
          <w:color w:val="auto"/>
          <w:highlight w:val="none"/>
        </w:rPr>
      </w:pPr>
    </w:p>
    <w:p>
      <w:pPr>
        <w:spacing w:line="276" w:lineRule="auto"/>
        <w:jc w:val="center"/>
        <w:rPr>
          <w:b/>
          <w:color w:val="auto"/>
          <w:highlight w:val="none"/>
        </w:rPr>
      </w:pPr>
      <w:r>
        <w:rPr>
          <w:b/>
          <w:color w:val="auto"/>
          <w:highlight w:val="none"/>
        </w:rPr>
        <w:br w:type="page"/>
      </w:r>
    </w:p>
    <w:p>
      <w:pPr>
        <w:spacing w:line="276" w:lineRule="auto"/>
        <w:jc w:val="center"/>
        <w:rPr>
          <w:b/>
          <w:color w:val="auto"/>
          <w:highlight w:val="none"/>
        </w:rPr>
      </w:pPr>
    </w:p>
    <w:p>
      <w:pPr>
        <w:spacing w:line="276" w:lineRule="auto"/>
        <w:jc w:val="center"/>
        <w:rPr>
          <w:b/>
          <w:color w:val="auto"/>
          <w:sz w:val="44"/>
          <w:szCs w:val="44"/>
          <w:highlight w:val="none"/>
        </w:rPr>
      </w:pPr>
    </w:p>
    <w:p>
      <w:pPr>
        <w:spacing w:line="276" w:lineRule="auto"/>
        <w:jc w:val="center"/>
        <w:rPr>
          <w:b/>
          <w:color w:val="auto"/>
          <w:sz w:val="44"/>
          <w:szCs w:val="44"/>
          <w:highlight w:val="none"/>
        </w:rPr>
      </w:pPr>
      <w:r>
        <w:rPr>
          <w:rFonts w:hint="eastAsia"/>
          <w:b/>
          <w:color w:val="auto"/>
          <w:sz w:val="44"/>
          <w:szCs w:val="44"/>
          <w:highlight w:val="none"/>
        </w:rPr>
        <w:t>目    录</w:t>
      </w:r>
    </w:p>
    <w:p>
      <w:pPr>
        <w:pStyle w:val="2"/>
        <w:rPr>
          <w:color w:val="auto"/>
          <w:highlight w:val="none"/>
        </w:rPr>
      </w:pPr>
    </w:p>
    <w:p>
      <w:pPr>
        <w:pStyle w:val="33"/>
        <w:tabs>
          <w:tab w:val="right" w:leader="dot" w:pos="8900"/>
        </w:tabs>
        <w:spacing w:line="480" w:lineRule="auto"/>
        <w:rPr>
          <w:rFonts w:ascii="宋体" w:hAnsi="宋体" w:cs="宋体"/>
          <w:color w:val="auto"/>
          <w:sz w:val="24"/>
          <w:szCs w:val="24"/>
          <w:highlight w:val="none"/>
        </w:rPr>
      </w:pPr>
      <w:r>
        <w:rPr>
          <w:rFonts w:hint="eastAsia" w:ascii="宋体" w:hAnsi="宋体" w:cs="宋体"/>
          <w:color w:val="auto"/>
          <w:sz w:val="24"/>
          <w:szCs w:val="24"/>
          <w:highlight w:val="none"/>
        </w:rPr>
        <w:fldChar w:fldCharType="begin"/>
      </w:r>
      <w:r>
        <w:rPr>
          <w:rStyle w:val="44"/>
          <w:rFonts w:hint="eastAsia" w:ascii="宋体" w:hAnsi="宋体" w:cs="宋体"/>
          <w:color w:val="auto"/>
          <w:sz w:val="24"/>
          <w:szCs w:val="24"/>
          <w:highlight w:val="none"/>
        </w:rPr>
        <w:instrText xml:space="preserve"> TOC \o "1-2" \h \z \u </w:instrText>
      </w:r>
      <w:r>
        <w:rPr>
          <w:rFonts w:hint="eastAsia" w:ascii="宋体" w:hAnsi="宋体" w:cs="宋体"/>
          <w:color w:val="auto"/>
          <w:sz w:val="24"/>
          <w:szCs w:val="24"/>
          <w:highlight w:val="none"/>
        </w:rPr>
        <w:fldChar w:fldCharType="separate"/>
      </w:r>
      <w:r>
        <w:rPr>
          <w:color w:val="auto"/>
          <w:highlight w:val="none"/>
        </w:rPr>
        <w:fldChar w:fldCharType="begin"/>
      </w:r>
      <w:r>
        <w:rPr>
          <w:color w:val="auto"/>
          <w:highlight w:val="none"/>
        </w:rPr>
        <w:instrText xml:space="preserve"> HYPERLINK \l "_Toc10125" </w:instrText>
      </w:r>
      <w:r>
        <w:rPr>
          <w:color w:val="auto"/>
          <w:highlight w:val="none"/>
        </w:rPr>
        <w:fldChar w:fldCharType="separate"/>
      </w:r>
      <w:r>
        <w:rPr>
          <w:rFonts w:hint="eastAsia" w:ascii="宋体" w:hAnsi="宋体" w:cs="宋体"/>
          <w:color w:val="auto"/>
          <w:sz w:val="24"/>
          <w:szCs w:val="24"/>
          <w:highlight w:val="none"/>
        </w:rPr>
        <w:t>第一部分  投标邀请</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_Toc10125 \h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3</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33"/>
        <w:tabs>
          <w:tab w:val="right" w:leader="dot" w:pos="8900"/>
        </w:tabs>
        <w:spacing w:line="48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"_Toc1528" </w:instrText>
      </w:r>
      <w:r>
        <w:rPr>
          <w:color w:val="auto"/>
          <w:highlight w:val="none"/>
        </w:rPr>
        <w:fldChar w:fldCharType="separate"/>
      </w:r>
      <w:r>
        <w:rPr>
          <w:rFonts w:hint="eastAsia" w:ascii="宋体" w:hAnsi="宋体" w:cs="宋体"/>
          <w:color w:val="auto"/>
          <w:sz w:val="24"/>
          <w:szCs w:val="24"/>
          <w:highlight w:val="none"/>
        </w:rPr>
        <w:t>第二部分  投标人须知</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_Toc1528 \h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7</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33"/>
        <w:tabs>
          <w:tab w:val="right" w:leader="dot" w:pos="8900"/>
        </w:tabs>
        <w:spacing w:line="48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"_Toc22713" </w:instrText>
      </w:r>
      <w:r>
        <w:rPr>
          <w:color w:val="auto"/>
          <w:highlight w:val="none"/>
        </w:rPr>
        <w:fldChar w:fldCharType="separate"/>
      </w:r>
      <w:r>
        <w:rPr>
          <w:rFonts w:hint="eastAsia" w:ascii="宋体" w:hAnsi="宋体" w:cs="宋体"/>
          <w:color w:val="auto"/>
          <w:sz w:val="24"/>
          <w:szCs w:val="24"/>
          <w:highlight w:val="none"/>
        </w:rPr>
        <w:t>第三部分   合同主要条款（参考）</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_Toc22713 \h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21</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33"/>
        <w:tabs>
          <w:tab w:val="right" w:leader="dot" w:pos="8900"/>
        </w:tabs>
        <w:spacing w:line="48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"_Toc1899" </w:instrText>
      </w:r>
      <w:r>
        <w:rPr>
          <w:color w:val="auto"/>
          <w:highlight w:val="none"/>
        </w:rPr>
        <w:fldChar w:fldCharType="separate"/>
      </w:r>
      <w:r>
        <w:rPr>
          <w:rFonts w:hint="eastAsia" w:ascii="宋体" w:hAnsi="宋体" w:cs="宋体"/>
          <w:color w:val="auto"/>
          <w:sz w:val="24"/>
          <w:szCs w:val="24"/>
          <w:highlight w:val="none"/>
        </w:rPr>
        <w:t>第四部分  技术要求</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_Toc1899 \h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25</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33"/>
        <w:tabs>
          <w:tab w:val="right" w:leader="dot" w:pos="8900"/>
        </w:tabs>
        <w:spacing w:line="48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"_Toc19944" </w:instrText>
      </w:r>
      <w:r>
        <w:rPr>
          <w:color w:val="auto"/>
          <w:highlight w:val="none"/>
        </w:rPr>
        <w:fldChar w:fldCharType="separate"/>
      </w:r>
      <w:r>
        <w:rPr>
          <w:rFonts w:hint="eastAsia" w:ascii="宋体" w:hAnsi="宋体" w:cs="宋体"/>
          <w:color w:val="auto"/>
          <w:sz w:val="24"/>
          <w:szCs w:val="24"/>
          <w:highlight w:val="none"/>
        </w:rPr>
        <w:t>第五部分  评分标准</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_Toc19944 \h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29</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33"/>
        <w:tabs>
          <w:tab w:val="right" w:leader="dot" w:pos="8900"/>
        </w:tabs>
        <w:spacing w:line="480" w:lineRule="auto"/>
        <w:rPr>
          <w:rFonts w:ascii="宋体" w:hAnsi="宋体" w:cs="宋体"/>
          <w:color w:val="auto"/>
          <w:sz w:val="24"/>
          <w:szCs w:val="24"/>
          <w:highlight w:val="none"/>
        </w:rPr>
      </w:pPr>
      <w:r>
        <w:rPr>
          <w:color w:val="auto"/>
          <w:highlight w:val="none"/>
        </w:rPr>
        <w:fldChar w:fldCharType="begin"/>
      </w:r>
      <w:r>
        <w:rPr>
          <w:color w:val="auto"/>
          <w:highlight w:val="none"/>
        </w:rPr>
        <w:instrText xml:space="preserve"> HYPERLINK \l "_Toc2749" </w:instrText>
      </w:r>
      <w:r>
        <w:rPr>
          <w:color w:val="auto"/>
          <w:highlight w:val="none"/>
        </w:rPr>
        <w:fldChar w:fldCharType="separate"/>
      </w:r>
      <w:r>
        <w:rPr>
          <w:rFonts w:hint="eastAsia" w:ascii="宋体" w:hAnsi="宋体" w:cs="宋体"/>
          <w:color w:val="auto"/>
          <w:sz w:val="24"/>
          <w:szCs w:val="24"/>
          <w:highlight w:val="none"/>
        </w:rPr>
        <w:t>第六部分  投标文件格式</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_Toc2749 \h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38</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29"/>
        <w:tabs>
          <w:tab w:val="right" w:leader="dot" w:pos="8890"/>
        </w:tabs>
        <w:spacing w:line="480" w:lineRule="auto"/>
        <w:jc w:val="both"/>
        <w:rPr>
          <w:rFonts w:ascii="宋体" w:hAnsi="宋体" w:cs="宋体"/>
          <w:color w:val="auto"/>
          <w:highlight w:val="none"/>
        </w:rPr>
        <w:sectPr>
          <w:headerReference r:id="rId6" w:type="first"/>
          <w:headerReference r:id="rId5" w:type="default"/>
          <w:footerReference r:id="rId7" w:type="default"/>
          <w:pgSz w:w="11906" w:h="16838"/>
          <w:pgMar w:top="1418" w:right="1418" w:bottom="1418" w:left="1588" w:header="851" w:footer="851"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r>
        <w:rPr>
          <w:rFonts w:hint="eastAsia" w:ascii="宋体" w:hAnsi="宋体" w:cs="宋体"/>
          <w:color w:val="auto"/>
          <w:highlight w:val="none"/>
        </w:rPr>
        <w:fldChar w:fldCharType="end"/>
      </w:r>
    </w:p>
    <w:bookmarkEnd w:id="0"/>
    <w:bookmarkEnd w:id="1"/>
    <w:bookmarkEnd w:id="2"/>
    <w:p>
      <w:pPr>
        <w:pStyle w:val="4"/>
        <w:jc w:val="center"/>
        <w:rPr>
          <w:rFonts w:eastAsia="宋体"/>
          <w:color w:val="auto"/>
          <w:szCs w:val="28"/>
          <w:highlight w:val="none"/>
        </w:rPr>
      </w:pPr>
      <w:bookmarkStart w:id="3" w:name="_Toc10125"/>
      <w:r>
        <w:rPr>
          <w:rFonts w:hint="eastAsia"/>
          <w:color w:val="auto"/>
          <w:highlight w:val="none"/>
        </w:rPr>
        <w:t>第一部分  投标邀请</w:t>
      </w:r>
      <w:bookmarkEnd w:id="3"/>
    </w:p>
    <w:p>
      <w:pPr>
        <w:wordWrap w:val="0"/>
        <w:spacing w:line="360" w:lineRule="auto"/>
        <w:rPr>
          <w:rFonts w:hint="eastAsia" w:ascii="宋体" w:hAnsi="宋体" w:eastAsia="宋体" w:cs="宋体"/>
          <w:color w:val="auto"/>
          <w:sz w:val="21"/>
          <w:szCs w:val="21"/>
          <w:highlight w:val="none"/>
        </w:rPr>
      </w:pPr>
      <w:bookmarkStart w:id="4" w:name="_Toc10720"/>
      <w:r>
        <w:rPr>
          <w:rFonts w:hint="eastAsia" w:ascii="宋体" w:hAnsi="宋体" w:eastAsia="宋体" w:cs="宋体"/>
          <w:color w:val="auto"/>
          <w:sz w:val="21"/>
          <w:szCs w:val="21"/>
          <w:highlight w:val="none"/>
        </w:rPr>
        <w:t>发布日期：2022年</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24</w:t>
      </w:r>
      <w:r>
        <w:rPr>
          <w:rFonts w:hint="eastAsia" w:ascii="宋体" w:hAnsi="宋体" w:eastAsia="宋体" w:cs="宋体"/>
          <w:color w:val="auto"/>
          <w:sz w:val="21"/>
          <w:szCs w:val="21"/>
          <w:highlight w:val="none"/>
        </w:rPr>
        <w:t>日</w:t>
      </w:r>
    </w:p>
    <w:tbl>
      <w:tblPr>
        <w:tblStyle w:val="39"/>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noWrap w:val="0"/>
            <w:vAlign w:val="top"/>
          </w:tcPr>
          <w:p>
            <w:pPr>
              <w:wordWrap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项目概况</w:t>
            </w:r>
          </w:p>
          <w:p>
            <w:pPr>
              <w:wordWrap w:val="0"/>
              <w:spacing w:line="360" w:lineRule="auto"/>
              <w:rPr>
                <w:rFonts w:hint="eastAsia" w:ascii="宋体" w:hAnsi="宋体" w:eastAsia="宋体" w:cs="宋体"/>
                <w:color w:val="auto"/>
                <w:sz w:val="21"/>
                <w:szCs w:val="21"/>
                <w:highlight w:val="none"/>
              </w:rPr>
            </w:pPr>
            <w:r>
              <w:rPr>
                <w:rFonts w:hint="eastAsia" w:ascii="宋体" w:hAnsi="宋体" w:cs="仿宋"/>
                <w:iCs/>
                <w:color w:val="auto"/>
                <w:sz w:val="21"/>
                <w:szCs w:val="21"/>
                <w:highlight w:val="none"/>
                <w:u w:val="single"/>
                <w:lang w:eastAsia="zh-CN"/>
              </w:rPr>
              <w:t>2022年交警局机房内（公安网）硬件设备维修保养项目</w:t>
            </w:r>
            <w:r>
              <w:rPr>
                <w:rFonts w:hint="eastAsia" w:ascii="宋体" w:hAnsi="宋体" w:eastAsia="宋体" w:cs="宋体"/>
                <w:color w:val="auto"/>
                <w:sz w:val="21"/>
                <w:szCs w:val="21"/>
                <w:highlight w:val="none"/>
              </w:rPr>
              <w:t>的潜在投标人应在政府采购云平台（www.zcygov.cn）获取（下载）采购文件，并于2022年</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14</w:t>
            </w:r>
            <w:r>
              <w:rPr>
                <w:rFonts w:hint="eastAsia" w:ascii="宋体" w:hAnsi="宋体" w:eastAsia="宋体" w:cs="宋体"/>
                <w:color w:val="auto"/>
                <w:sz w:val="21"/>
                <w:szCs w:val="21"/>
                <w:highlight w:val="none"/>
              </w:rPr>
              <w:t>日14:</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0（北京时间）前递交（上传）投标文件。</w:t>
            </w:r>
          </w:p>
        </w:tc>
      </w:tr>
    </w:tbl>
    <w:p>
      <w:pPr>
        <w:wordWrap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一、项目基本情况</w:t>
      </w:r>
    </w:p>
    <w:p>
      <w:pPr>
        <w:wordWrap w:val="0"/>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项目编号：</w:t>
      </w:r>
      <w:r>
        <w:rPr>
          <w:rFonts w:hint="eastAsia" w:ascii="宋体" w:hAnsi="宋体" w:cs="宋体"/>
          <w:color w:val="auto"/>
          <w:sz w:val="21"/>
          <w:szCs w:val="21"/>
          <w:highlight w:val="none"/>
          <w:lang w:eastAsia="zh-CN"/>
        </w:rPr>
        <w:t>NBITC-202230642G</w:t>
      </w:r>
    </w:p>
    <w:p>
      <w:pPr>
        <w:wordWrap w:val="0"/>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eastAsia="zh-CN"/>
        </w:rPr>
        <w:t>2022年交警局机房内（公安网）硬件设备维修保养项目</w:t>
      </w:r>
    </w:p>
    <w:p>
      <w:pPr>
        <w:wordWrap w:val="0"/>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预算金额（元）：</w:t>
      </w:r>
      <w:r>
        <w:rPr>
          <w:rFonts w:hint="eastAsia" w:ascii="宋体" w:hAnsi="宋体" w:cs="宋体"/>
          <w:color w:val="auto"/>
          <w:sz w:val="21"/>
          <w:szCs w:val="21"/>
          <w:highlight w:val="none"/>
          <w:lang w:val="en-US" w:eastAsia="zh-CN"/>
        </w:rPr>
        <w:t>615250.00</w:t>
      </w:r>
    </w:p>
    <w:p>
      <w:pPr>
        <w:wordWrap w:val="0"/>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最高限价（元）：</w:t>
      </w:r>
      <w:r>
        <w:rPr>
          <w:rFonts w:hint="eastAsia" w:ascii="宋体" w:hAnsi="宋体" w:cs="宋体"/>
          <w:color w:val="auto"/>
          <w:sz w:val="21"/>
          <w:szCs w:val="21"/>
          <w:highlight w:val="none"/>
          <w:lang w:val="en-US" w:eastAsia="zh-CN"/>
        </w:rPr>
        <w:t>615250.00</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采购需求：</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标项：一</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标项名称：</w:t>
      </w:r>
      <w:r>
        <w:rPr>
          <w:rFonts w:hint="eastAsia" w:ascii="宋体" w:hAnsi="宋体" w:cs="宋体"/>
          <w:color w:val="auto"/>
          <w:sz w:val="21"/>
          <w:szCs w:val="21"/>
          <w:highlight w:val="none"/>
          <w:lang w:eastAsia="zh-CN"/>
        </w:rPr>
        <w:t>2022年交警局机房内（公安网）硬件设备维修保养</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数量：1批</w:t>
      </w:r>
    </w:p>
    <w:p>
      <w:pPr>
        <w:wordWrap w:val="0"/>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预算金额（元）：</w:t>
      </w:r>
      <w:r>
        <w:rPr>
          <w:rFonts w:hint="eastAsia" w:ascii="宋体" w:hAnsi="宋体" w:cs="宋体"/>
          <w:color w:val="auto"/>
          <w:sz w:val="21"/>
          <w:szCs w:val="21"/>
          <w:highlight w:val="none"/>
          <w:lang w:val="en-US" w:eastAsia="zh-CN"/>
        </w:rPr>
        <w:t>615250.00</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简要规格描述或项目基本概况介绍、用途：详见采购文件第</w:t>
      </w:r>
      <w:r>
        <w:rPr>
          <w:rFonts w:hint="eastAsia" w:ascii="宋体" w:hAnsi="宋体" w:cs="宋体"/>
          <w:color w:val="auto"/>
          <w:sz w:val="21"/>
          <w:szCs w:val="21"/>
          <w:highlight w:val="none"/>
          <w:lang w:eastAsia="zh-CN"/>
        </w:rPr>
        <w:t>四部分技术要求</w:t>
      </w:r>
      <w:r>
        <w:rPr>
          <w:rFonts w:hint="eastAsia" w:ascii="宋体" w:hAnsi="宋体" w:eastAsia="宋体" w:cs="宋体"/>
          <w:color w:val="auto"/>
          <w:sz w:val="21"/>
          <w:szCs w:val="21"/>
          <w:highlight w:val="none"/>
        </w:rPr>
        <w:t>。</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备注：详细采购需求见本公告附件。</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合同履约期限：自2022年8月5日起至2023年8月31日止。</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本项目（否）接受联合体投标。</w:t>
      </w:r>
    </w:p>
    <w:p>
      <w:pPr>
        <w:wordWrap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二、申请人的资格要求：</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1.满足《中华人民共和国政府采购法》第二十二条规定；未被“信用中国”（www.creditchina.gov.cn)、中国政府采购网（www.ccgp.gov.cn）列入失信被执行人、</w:t>
      </w:r>
      <w:r>
        <w:rPr>
          <w:rFonts w:hint="eastAsia" w:ascii="宋体" w:hAnsi="宋体" w:cs="宋体"/>
          <w:color w:val="auto"/>
          <w:sz w:val="21"/>
          <w:szCs w:val="21"/>
          <w:highlight w:val="none"/>
          <w:lang w:eastAsia="zh-CN"/>
        </w:rPr>
        <w:t>重大税收违法案件当事人名单(税收违法黑名单）</w:t>
      </w:r>
      <w:r>
        <w:rPr>
          <w:rFonts w:hint="eastAsia" w:ascii="宋体" w:hAnsi="宋体" w:eastAsia="宋体" w:cs="宋体"/>
          <w:color w:val="auto"/>
          <w:sz w:val="21"/>
          <w:szCs w:val="21"/>
          <w:highlight w:val="none"/>
        </w:rPr>
        <w:t>、政府采购严重违法失信行为记录名单。</w:t>
      </w:r>
    </w:p>
    <w:p>
      <w:pPr>
        <w:wordWrap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2.落实政府采购政策需满足的资格要求：本项目属于专门面向中小企业采购的项目，投标人应为符合《政府采购促进中小企业发展管理办法》（财库﹝2020﹞46 号）规定的中小企业（其中，小微企业包括视同为小型、微型企业的监狱企业、残疾人福利性单位。）</w:t>
      </w:r>
      <w:r>
        <w:rPr>
          <w:rFonts w:hint="eastAsia" w:ascii="宋体" w:hAnsi="宋体" w:eastAsia="宋体" w:cs="宋体"/>
          <w:color w:val="auto"/>
          <w:sz w:val="21"/>
          <w:szCs w:val="21"/>
          <w:highlight w:val="none"/>
          <w:lang w:val="en-US" w:eastAsia="zh-CN"/>
        </w:rPr>
        <w:t>。</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3.本项目的特定资格要求：无</w:t>
      </w:r>
    </w:p>
    <w:p>
      <w:pPr>
        <w:wordWrap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三、获取采购文件</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时间：2022年</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24</w:t>
      </w:r>
      <w:r>
        <w:rPr>
          <w:rFonts w:hint="eastAsia" w:ascii="宋体" w:hAnsi="宋体" w:eastAsia="宋体" w:cs="宋体"/>
          <w:color w:val="auto"/>
          <w:sz w:val="21"/>
          <w:szCs w:val="21"/>
          <w:highlight w:val="none"/>
        </w:rPr>
        <w:t>日至2022年</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日，每天上午00:00至12:00，下午12:00至23:59（北京时间，线上获取法定节假日均可，线下获取文件法定节假日除外）</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地点（网址）：政府采购云平台（www.zcygov.cn）</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方式：供应商登录政府采购云平台（www.zcygov.cn）的注册账号后，进入政采云系统“项目采购”模块“获取采购文件”菜单，进行网上获取采购文件。如有疑问请及时咨询网站客服，咨询电话：4008817190。获取采购文件前，供应商应按照《浙江省政府采购供应商注册及诚信管理暂行办法》的规定在“浙江政府采购网（zfcg.czt.zj.gov.cn）”上进行供应商注册申请，并通过财政部门的终审后登记加入到“浙江省政府采购供应商库”。中标供应商必须注册并登记加入“浙江省政府采购供应商库”。具体要求及注册申请流程详见《浙江省政府采购供应商注册及诚信管理暂行办法》（浙财采监字{2009}28号）和浙江政府采购网“网上办事指南”的“供应商注册申请”。注册咨询电话：4008817190，如未注册的供应商，请注意注册所需时间。本招标公告附件中的采购文件仅供阅览使用，供应商应在规定的采购文件提供期限内在政采云平台登录上述供应商注册的账号后获取采购文件，未在规定的采购文件提供期限内或未按上述方式获取采购文件的，其投标均视为无效，并不得对采购文件提起质疑投诉。</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售价（元）：0</w:t>
      </w:r>
    </w:p>
    <w:p>
      <w:pPr>
        <w:wordWrap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四、提交投标文件截止时间、开标时间和地点</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提交投标文件截止时间：2022年</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14</w:t>
      </w:r>
      <w:r>
        <w:rPr>
          <w:rFonts w:hint="eastAsia" w:ascii="宋体" w:hAnsi="宋体" w:eastAsia="宋体" w:cs="宋体"/>
          <w:color w:val="auto"/>
          <w:sz w:val="21"/>
          <w:szCs w:val="21"/>
          <w:highlight w:val="none"/>
        </w:rPr>
        <w:t>日14:</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0（北京时间）</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投标地点（网址）：宁波市江北区环城北路西段207弄19号世茂茂悦商业中心1号楼七楼开标大厅</w:t>
      </w:r>
      <w:r>
        <w:rPr>
          <w:rFonts w:hint="eastAsia" w:ascii="宋体" w:hAnsi="宋体" w:cs="宋体"/>
          <w:color w:val="auto"/>
          <w:sz w:val="21"/>
          <w:szCs w:val="21"/>
          <w:highlight w:val="none"/>
          <w:lang w:eastAsia="zh-CN"/>
        </w:rPr>
        <w:t>一</w:t>
      </w:r>
      <w:r>
        <w:rPr>
          <w:rFonts w:hint="eastAsia" w:ascii="宋体" w:hAnsi="宋体" w:eastAsia="宋体" w:cs="宋体"/>
          <w:color w:val="auto"/>
          <w:sz w:val="21"/>
          <w:szCs w:val="21"/>
          <w:highlight w:val="none"/>
        </w:rPr>
        <w:t>,本项目通过“政府采购云平台（www.zcygov.cn）”实行在线制作并提交投标文件（电子投标）。</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开标时间：2022年</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14</w:t>
      </w:r>
      <w:r>
        <w:rPr>
          <w:rFonts w:hint="eastAsia" w:ascii="宋体" w:hAnsi="宋体" w:eastAsia="宋体" w:cs="宋体"/>
          <w:color w:val="auto"/>
          <w:sz w:val="21"/>
          <w:szCs w:val="21"/>
          <w:highlight w:val="none"/>
        </w:rPr>
        <w:t>日14:</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0（北京时间）</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开标地点（网址）：宁波市江北区环城北路西段207弄19号世茂茂悦商业中心1号楼七楼开标大厅</w:t>
      </w:r>
      <w:r>
        <w:rPr>
          <w:rFonts w:hint="eastAsia" w:ascii="宋体" w:hAnsi="宋体" w:cs="宋体"/>
          <w:color w:val="auto"/>
          <w:sz w:val="21"/>
          <w:szCs w:val="21"/>
          <w:highlight w:val="none"/>
          <w:lang w:eastAsia="zh-CN"/>
        </w:rPr>
        <w:t>一</w:t>
      </w:r>
      <w:r>
        <w:rPr>
          <w:rFonts w:hint="eastAsia" w:ascii="宋体" w:hAnsi="宋体" w:eastAsia="宋体" w:cs="宋体"/>
          <w:color w:val="auto"/>
          <w:sz w:val="21"/>
          <w:szCs w:val="21"/>
          <w:highlight w:val="none"/>
        </w:rPr>
        <w:t>,本项目通过“政府采购云平台（www.zcygov.cn）”实行在线开标。</w:t>
      </w:r>
    </w:p>
    <w:p>
      <w:pPr>
        <w:wordWrap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五、公告期限</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自本公告发布之日起5个工作日。</w:t>
      </w:r>
    </w:p>
    <w:p>
      <w:pPr>
        <w:wordWrap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六、其他补充事宜</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其他事项：(1)单位负责人为同一人或者存在直接控股、管理关系的不同供应商，不得参加同一标项号的投标。(2)为本项目提供整体设计、规范编制或者项目管理、监理、检测等服务的供应商，不得再参加本项目的投标。(3)落实的政策：《关于促进残疾人就业政府采购政策的通知》（财库[2017]141号）、《政府采购促进中小企业发展管理办法》（财库〔2020〕46号）、《关于政府采购支持监狱企业发展有关问题的通知》(财库[2014]68号)。</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3.供应商应于提交投标文件截止时间前将电子投标文件上传到政府采购云平台（www.zcygov.cn），并应于提交投标文件截止时间前，将以U盘或光盘存储的电子备份投标文件及纸质备份响应文件密封后送至开标地点：</w:t>
      </w:r>
      <w:r>
        <w:rPr>
          <w:rFonts w:hint="eastAsia" w:ascii="宋体" w:hAnsi="宋体" w:eastAsia="宋体" w:cs="宋体"/>
          <w:color w:val="auto"/>
          <w:kern w:val="0"/>
          <w:sz w:val="21"/>
          <w:szCs w:val="21"/>
          <w:highlight w:val="none"/>
        </w:rPr>
        <w:t>宁波市江北区环城北路西段207弄19号世茂茂悦商业中心1号楼七楼开标大厅</w:t>
      </w:r>
      <w:r>
        <w:rPr>
          <w:rFonts w:hint="eastAsia" w:ascii="宋体" w:hAnsi="宋体" w:cs="宋体"/>
          <w:color w:val="auto"/>
          <w:kern w:val="0"/>
          <w:sz w:val="21"/>
          <w:szCs w:val="21"/>
          <w:highlight w:val="none"/>
          <w:lang w:eastAsia="zh-CN"/>
        </w:rPr>
        <w:t>一</w:t>
      </w:r>
      <w:r>
        <w:rPr>
          <w:rFonts w:hint="eastAsia" w:ascii="宋体" w:hAnsi="宋体" w:eastAsia="宋体" w:cs="宋体"/>
          <w:color w:val="auto"/>
          <w:sz w:val="21"/>
          <w:szCs w:val="21"/>
          <w:highlight w:val="none"/>
        </w:rPr>
        <w:t>。</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4.开标时间后半小时内（2022年</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14</w:t>
      </w:r>
      <w:r>
        <w:rPr>
          <w:rFonts w:hint="eastAsia" w:ascii="宋体" w:hAnsi="宋体" w:eastAsia="宋体" w:cs="宋体"/>
          <w:color w:val="auto"/>
          <w:sz w:val="21"/>
          <w:szCs w:val="21"/>
          <w:highlight w:val="none"/>
        </w:rPr>
        <w:t>日1</w:t>
      </w:r>
      <w:r>
        <w:rPr>
          <w:rFonts w:hint="eastAsia" w:ascii="宋体" w:hAnsi="宋体" w:cs="宋体"/>
          <w:color w:val="auto"/>
          <w:sz w:val="21"/>
          <w:szCs w:val="21"/>
          <w:highlight w:val="none"/>
          <w:lang w:val="en-US" w:eastAsia="zh-CN"/>
        </w:rPr>
        <w:t>5：0</w:t>
      </w:r>
      <w:r>
        <w:rPr>
          <w:rFonts w:hint="eastAsia" w:ascii="宋体" w:hAnsi="宋体" w:eastAsia="宋体" w:cs="宋体"/>
          <w:color w:val="auto"/>
          <w:sz w:val="21"/>
          <w:szCs w:val="21"/>
          <w:highlight w:val="none"/>
        </w:rPr>
        <w:t>0前）供应商可以登录政府采购云平台（www.zcygov.cn），用“项目采购-开标评标”功能进行解密投标文件。供应商按时在线解密投标文件的，以在线解密的投标文件作为评审依据，若供应商在规定时间内无法解密或解密失败，则以备份电子投标文件作为评审依据（若备份电子投标文件与政采云平台上传的投标文件被识别为不一致，仍以备份电子投标文件作为评审依据）。如因系统或部分电子响应文件无法解密，而采用纸质备份响应文件线下评审程序时，供应商在截止时间前未提交纸质备份响应文件的，视为供应商放弃投标。无论是否启用备份电子投标文件或纸质备份响应文件，均不退还供应商。</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5.本项目实行网上投标，采用电子投标文件。若供应商参与投标，自行承担投标一切费用。</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开标前准备：各供应商应在投标截止时间前确保成为浙江政府采购网正式注册入库供应商，并完成CA数字证书办理。因未注册入库、未办理CA数字证书等原因造成无法投标或投标失败等后果由供应商自行承担。供应商CA申领操作指南（help.zcygov.cn/web/site_2/2018/11-29/2452.html），完成CA数字证书办理预计一周左右，请供应商自行把握时间。</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投标文件制作：（1）应按照本项目采购文件和政府采购云平台的要求编制、加密并递交投标文件。供应商在使用系统进行投标的过程中遇到涉及平台使用的任何问题，可致电政府采购云平台技术支持热线咨询，联系方式：4008817190。（2）供应商通过政府采购云平台电子投标工具制作投标文件。电子投标工具请供应商自行前往浙江政府采购网下载并安装（zfcg.czt.zj.gov.cn/bidClientTemplate/2019-05-27/12946.html）。供应商投标文件制作及电子交易操作指南详见：①政府采购项目电子交易管理操作指南（视频）：service.zcygov.cn/#/knowledges/CW1EtGwBFdiHxlNd6I3m/7GyLXW0BXgMSmLUuYuPM（电脑登录账号观看）；②政府采购项目电子交易管理操作指南（文本）：service.zcygov.cn/#/knowledges/CW1EtGwBFdiHxlNd6I3m/6IMVAG0BFdiHxlNdQ8Na（电脑登录账号浏览）。（3）以U盘或光盘存储的电子备份投标文件1份，即按“项目采购-电子招投标操作指南”制作的电子备份文件，以用于异常情况处理。</w:t>
      </w:r>
    </w:p>
    <w:p>
      <w:pPr>
        <w:wordWrap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七、对本次采购提出询问、质疑、投诉，请按以下方式联系</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1.采购人信息</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名称：宁波市公安局</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cs="仿宋"/>
          <w:color w:val="auto"/>
          <w:sz w:val="21"/>
          <w:szCs w:val="21"/>
          <w:highlight w:val="none"/>
        </w:rPr>
        <w:t>宁波市鄞州区兴宁路48号</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pPr>
        <w:wordWrap w:val="0"/>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项目联系人（询问）：</w:t>
      </w:r>
      <w:r>
        <w:rPr>
          <w:rFonts w:hint="eastAsia" w:ascii="宋体" w:hAnsi="宋体" w:cs="宋体"/>
          <w:color w:val="auto"/>
          <w:sz w:val="21"/>
          <w:szCs w:val="21"/>
          <w:highlight w:val="none"/>
          <w:lang w:val="en-US" w:eastAsia="zh-CN"/>
        </w:rPr>
        <w:t>蒋松强</w:t>
      </w:r>
    </w:p>
    <w:p>
      <w:pPr>
        <w:wordWrap w:val="0"/>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项目联系方式（询问）：0574-</w:t>
      </w:r>
      <w:r>
        <w:rPr>
          <w:rFonts w:hint="eastAsia" w:ascii="宋体" w:hAnsi="宋体" w:cs="宋体"/>
          <w:color w:val="auto"/>
          <w:sz w:val="21"/>
          <w:szCs w:val="21"/>
          <w:highlight w:val="none"/>
          <w:lang w:val="en-US" w:eastAsia="zh-CN"/>
        </w:rPr>
        <w:t>81981010</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质疑联系人：张锋杰</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质疑联系方式：0574-81981067</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2.采购代理机构信息</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名称：宁波市国际招标有限公司</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地址：宁波市江北区环城北路西段207弄19号世茂茂悦商业中心1号楼八楼</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r>
        <w:rPr>
          <w:rFonts w:hint="eastAsia" w:ascii="宋体" w:hAnsi="宋体" w:eastAsia="宋体" w:cs="宋体"/>
          <w:color w:val="auto"/>
          <w:kern w:val="0"/>
          <w:sz w:val="21"/>
          <w:szCs w:val="21"/>
          <w:highlight w:val="none"/>
        </w:rPr>
        <w:t>0574-</w:t>
      </w:r>
      <w:r>
        <w:rPr>
          <w:rFonts w:hint="eastAsia" w:ascii="宋体" w:hAnsi="宋体" w:eastAsia="宋体" w:cs="宋体"/>
          <w:color w:val="auto"/>
          <w:sz w:val="21"/>
          <w:szCs w:val="21"/>
          <w:highlight w:val="none"/>
        </w:rPr>
        <w:t>87388460</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项目联系人（询问）：</w:t>
      </w:r>
      <w:r>
        <w:rPr>
          <w:rFonts w:hint="eastAsia" w:ascii="宋体" w:hAnsi="宋体" w:eastAsia="宋体" w:cs="宋体"/>
          <w:color w:val="auto"/>
          <w:kern w:val="0"/>
          <w:sz w:val="21"/>
          <w:szCs w:val="21"/>
          <w:highlight w:val="none"/>
        </w:rPr>
        <w:t>陈若水、姚露泽、严锋</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项目联系方式（询问）：</w:t>
      </w:r>
      <w:r>
        <w:rPr>
          <w:rFonts w:hint="eastAsia" w:ascii="宋体" w:hAnsi="宋体" w:eastAsia="宋体" w:cs="宋体"/>
          <w:color w:val="auto"/>
          <w:kern w:val="0"/>
          <w:sz w:val="21"/>
          <w:szCs w:val="21"/>
          <w:highlight w:val="none"/>
        </w:rPr>
        <w:t>0574-87357607</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质疑联系人：夏伟立</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质疑联系方式：</w:t>
      </w:r>
      <w:r>
        <w:rPr>
          <w:rFonts w:hint="eastAsia" w:ascii="宋体" w:hAnsi="宋体" w:eastAsia="宋体" w:cs="宋体"/>
          <w:color w:val="auto"/>
          <w:kern w:val="0"/>
          <w:sz w:val="21"/>
          <w:szCs w:val="21"/>
          <w:highlight w:val="none"/>
        </w:rPr>
        <w:t>0574-87128864</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3.同级政府采购监督管理部门</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名称：宁波市政府采购管理办公室</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地址：宁波市海曙区中山西路19号</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r>
        <w:rPr>
          <w:rFonts w:hint="eastAsia" w:ascii="宋体" w:hAnsi="宋体" w:cs="宋体"/>
          <w:color w:val="auto"/>
          <w:sz w:val="21"/>
          <w:szCs w:val="21"/>
          <w:highlight w:val="none"/>
          <w:lang w:eastAsia="zh-CN"/>
        </w:rPr>
        <w:t>徐</w:t>
      </w:r>
      <w:r>
        <w:rPr>
          <w:rFonts w:hint="eastAsia" w:ascii="宋体" w:hAnsi="宋体" w:eastAsia="宋体" w:cs="宋体"/>
          <w:color w:val="auto"/>
          <w:sz w:val="21"/>
          <w:szCs w:val="21"/>
          <w:highlight w:val="none"/>
        </w:rPr>
        <w:t>老师</w:t>
      </w: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监督投诉电话：0574-89388441</w:t>
      </w:r>
    </w:p>
    <w:p>
      <w:pPr>
        <w:wordWrap w:val="0"/>
        <w:spacing w:line="360" w:lineRule="auto"/>
        <w:rPr>
          <w:rFonts w:hint="eastAsia" w:ascii="宋体" w:hAnsi="宋体" w:eastAsia="宋体" w:cs="宋体"/>
          <w:color w:val="auto"/>
          <w:sz w:val="21"/>
          <w:szCs w:val="21"/>
          <w:highlight w:val="none"/>
        </w:rPr>
      </w:pPr>
    </w:p>
    <w:p>
      <w:pPr>
        <w:wordWrap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若对项目采购电子交易系统操作有疑问，可登录政采云（https://www.zcygov.cn/），点击右侧咨询小采，获取采小蜜智能服务管家帮助，或拨打政采云服务热线400-881-7190获取热线服务帮助。</w:t>
      </w:r>
    </w:p>
    <w:p>
      <w:pPr>
        <w:pStyle w:val="4"/>
        <w:snapToGrid w:val="0"/>
        <w:spacing w:before="0" w:after="0" w:line="360" w:lineRule="auto"/>
        <w:textAlignment w:val="auto"/>
        <w:rPr>
          <w:rFonts w:hint="eastAsia" w:ascii="宋体" w:hAnsi="宋体" w:eastAsia="宋体" w:cs="宋体"/>
          <w:bCs w:val="0"/>
          <w:color w:val="auto"/>
          <w:sz w:val="21"/>
          <w:szCs w:val="21"/>
          <w:highlight w:val="none"/>
        </w:rPr>
      </w:pPr>
      <w:r>
        <w:rPr>
          <w:rFonts w:hint="eastAsia" w:ascii="宋体" w:hAnsi="宋体" w:eastAsia="宋体" w:cs="宋体"/>
          <w:color w:val="auto"/>
          <w:sz w:val="21"/>
          <w:szCs w:val="21"/>
          <w:highlight w:val="none"/>
        </w:rPr>
        <w:t>CA问题联系电话（人工）：汇信CA 400-888-4636；天谷CA 400-087-8198。</w:t>
      </w:r>
    </w:p>
    <w:bookmarkEnd w:id="4"/>
    <w:p>
      <w:pPr>
        <w:spacing w:line="360" w:lineRule="auto"/>
        <w:ind w:firstLine="630" w:firstLineChars="300"/>
        <w:rPr>
          <w:rFonts w:ascii="宋体" w:hAnsi="宋体" w:cs="仿宋"/>
          <w:color w:val="auto"/>
          <w:sz w:val="21"/>
          <w:szCs w:val="21"/>
          <w:highlight w:val="none"/>
          <w:u w:val="single"/>
        </w:rPr>
      </w:pPr>
    </w:p>
    <w:p>
      <w:pPr>
        <w:spacing w:line="360" w:lineRule="auto"/>
        <w:ind w:firstLine="630" w:firstLineChars="300"/>
        <w:rPr>
          <w:rFonts w:ascii="宋体" w:hAnsi="宋体" w:cs="仿宋"/>
          <w:color w:val="auto"/>
          <w:sz w:val="21"/>
          <w:szCs w:val="21"/>
          <w:highlight w:val="none"/>
          <w:u w:val="single"/>
        </w:rPr>
      </w:pPr>
    </w:p>
    <w:p>
      <w:pPr>
        <w:widowControl/>
        <w:adjustRightInd/>
        <w:spacing w:line="276" w:lineRule="auto"/>
        <w:jc w:val="center"/>
        <w:textAlignment w:val="auto"/>
        <w:rPr>
          <w:rFonts w:ascii="宋体"/>
          <w:b/>
          <w:color w:val="auto"/>
          <w:sz w:val="28"/>
          <w:szCs w:val="28"/>
          <w:highlight w:val="none"/>
        </w:rPr>
      </w:pPr>
      <w:r>
        <w:rPr>
          <w:rFonts w:ascii="宋体"/>
          <w:b/>
          <w:color w:val="auto"/>
          <w:sz w:val="28"/>
          <w:szCs w:val="28"/>
          <w:highlight w:val="none"/>
        </w:rPr>
        <w:br w:type="page"/>
      </w:r>
    </w:p>
    <w:p>
      <w:pPr>
        <w:pStyle w:val="4"/>
        <w:jc w:val="center"/>
        <w:rPr>
          <w:color w:val="auto"/>
          <w:highlight w:val="none"/>
        </w:rPr>
      </w:pPr>
      <w:bookmarkStart w:id="5" w:name="_Toc1528"/>
      <w:r>
        <w:rPr>
          <w:rFonts w:hint="eastAsia"/>
          <w:color w:val="auto"/>
          <w:highlight w:val="none"/>
        </w:rPr>
        <w:t>第二部分  投标人须知</w:t>
      </w:r>
      <w:bookmarkEnd w:id="5"/>
    </w:p>
    <w:p>
      <w:pPr>
        <w:spacing w:line="276" w:lineRule="auto"/>
        <w:jc w:val="center"/>
        <w:rPr>
          <w:b/>
          <w:color w:val="auto"/>
          <w:sz w:val="28"/>
          <w:szCs w:val="28"/>
          <w:highlight w:val="none"/>
        </w:rPr>
      </w:pPr>
      <w:r>
        <w:rPr>
          <w:rFonts w:hint="eastAsia"/>
          <w:b/>
          <w:color w:val="auto"/>
          <w:sz w:val="28"/>
          <w:szCs w:val="28"/>
          <w:highlight w:val="none"/>
        </w:rPr>
        <w:t>投标人须知前附表</w:t>
      </w:r>
    </w:p>
    <w:p>
      <w:pPr>
        <w:spacing w:line="360" w:lineRule="auto"/>
        <w:rPr>
          <w:rFonts w:ascii="宋体"/>
          <w:color w:val="auto"/>
          <w:sz w:val="21"/>
          <w:szCs w:val="21"/>
          <w:highlight w:val="none"/>
        </w:rPr>
      </w:pPr>
      <w:r>
        <w:rPr>
          <w:rFonts w:hint="eastAsia" w:ascii="宋体"/>
          <w:color w:val="auto"/>
          <w:sz w:val="21"/>
          <w:szCs w:val="21"/>
          <w:highlight w:val="none"/>
        </w:rPr>
        <w:t>注：1、本须知前附表是对投标人须知的修改和补充，如有矛盾，均以本表为准。</w:t>
      </w:r>
    </w:p>
    <w:p>
      <w:pPr>
        <w:spacing w:line="360" w:lineRule="auto"/>
        <w:rPr>
          <w:b/>
          <w:color w:val="auto"/>
          <w:sz w:val="21"/>
          <w:szCs w:val="21"/>
          <w:highlight w:val="none"/>
        </w:rPr>
      </w:pPr>
      <w:r>
        <w:rPr>
          <w:rFonts w:hint="eastAsia" w:ascii="宋体"/>
          <w:color w:val="auto"/>
          <w:sz w:val="21"/>
          <w:szCs w:val="21"/>
          <w:highlight w:val="none"/>
        </w:rPr>
        <w:t xml:space="preserve">    2、本附表中</w:t>
      </w:r>
      <w:r>
        <w:rPr>
          <w:rFonts w:hint="eastAsia"/>
          <w:color w:val="auto"/>
          <w:sz w:val="21"/>
          <w:szCs w:val="21"/>
          <w:highlight w:val="none"/>
        </w:rPr>
        <w:t>“*”标志的为实质性条款，如有其中一项不符合即按无效投标处理。</w:t>
      </w:r>
    </w:p>
    <w:tbl>
      <w:tblPr>
        <w:tblStyle w:val="39"/>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136"/>
        <w:gridCol w:w="6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bCs/>
                <w:color w:val="auto"/>
                <w:sz w:val="21"/>
                <w:szCs w:val="21"/>
                <w:highlight w:val="none"/>
              </w:rPr>
              <w:t>序号</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bCs/>
                <w:color w:val="auto"/>
                <w:sz w:val="21"/>
                <w:szCs w:val="21"/>
                <w:highlight w:val="none"/>
              </w:rPr>
              <w:t>类别</w:t>
            </w:r>
          </w:p>
        </w:tc>
        <w:tc>
          <w:tcPr>
            <w:tcW w:w="694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bCs/>
                <w:color w:val="auto"/>
                <w:sz w:val="21"/>
                <w:szCs w:val="21"/>
                <w:highlight w:val="none"/>
              </w:rPr>
              <w:t>内容说明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招标编号</w:t>
            </w:r>
          </w:p>
        </w:tc>
        <w:tc>
          <w:tcPr>
            <w:tcW w:w="6946" w:type="dxa"/>
            <w:vAlign w:val="center"/>
          </w:tcPr>
          <w:p>
            <w:pPr>
              <w:keepNext w:val="0"/>
              <w:keepLines w:val="0"/>
              <w:pageBreakBefore w:val="0"/>
              <w:kinsoku/>
              <w:wordWrap/>
              <w:overflowPunct/>
              <w:topLinePunct w:val="0"/>
              <w:autoSpaceDE/>
              <w:autoSpaceDN/>
              <w:bidi w:val="0"/>
              <w:snapToGrid w:val="0"/>
              <w:spacing w:line="336" w:lineRule="auto"/>
              <w:rPr>
                <w:rFonts w:hint="eastAsia" w:ascii="宋体" w:eastAsia="宋体"/>
                <w:bCs/>
                <w:color w:val="auto"/>
                <w:sz w:val="21"/>
                <w:szCs w:val="21"/>
                <w:highlight w:val="none"/>
                <w:lang w:eastAsia="zh-CN"/>
              </w:rPr>
            </w:pPr>
            <w:r>
              <w:rPr>
                <w:rFonts w:hint="eastAsia" w:ascii="宋体"/>
                <w:bCs/>
                <w:color w:val="auto"/>
                <w:sz w:val="21"/>
                <w:szCs w:val="21"/>
                <w:highlight w:val="none"/>
                <w:lang w:eastAsia="zh-CN"/>
              </w:rPr>
              <w:t>NBITC-202230642G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2</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招标人</w:t>
            </w:r>
          </w:p>
        </w:tc>
        <w:tc>
          <w:tcPr>
            <w:tcW w:w="6946" w:type="dxa"/>
            <w:vAlign w:val="center"/>
          </w:tcPr>
          <w:p>
            <w:pPr>
              <w:keepNext w:val="0"/>
              <w:keepLines w:val="0"/>
              <w:pageBreakBefore w:val="0"/>
              <w:kinsoku/>
              <w:wordWrap/>
              <w:overflowPunct/>
              <w:topLinePunct w:val="0"/>
              <w:autoSpaceDE/>
              <w:autoSpaceDN/>
              <w:bidi w:val="0"/>
              <w:snapToGrid w:val="0"/>
              <w:spacing w:line="336" w:lineRule="auto"/>
              <w:jc w:val="both"/>
              <w:rPr>
                <w:rFonts w:ascii="宋体"/>
                <w:bCs/>
                <w:color w:val="auto"/>
                <w:sz w:val="21"/>
                <w:szCs w:val="21"/>
                <w:highlight w:val="none"/>
              </w:rPr>
            </w:pPr>
            <w:r>
              <w:rPr>
                <w:rFonts w:hint="eastAsia" w:ascii="宋体"/>
                <w:bCs/>
                <w:color w:val="auto"/>
                <w:sz w:val="21"/>
                <w:szCs w:val="21"/>
                <w:highlight w:val="none"/>
              </w:rPr>
              <w:t>宁波市公安局交通警察局</w:t>
            </w:r>
          </w:p>
          <w:p>
            <w:pPr>
              <w:keepNext w:val="0"/>
              <w:keepLines w:val="0"/>
              <w:pageBreakBefore w:val="0"/>
              <w:kinsoku/>
              <w:wordWrap/>
              <w:overflowPunct/>
              <w:topLinePunct w:val="0"/>
              <w:autoSpaceDE/>
              <w:autoSpaceDN/>
              <w:bidi w:val="0"/>
              <w:snapToGrid w:val="0"/>
              <w:spacing w:line="336" w:lineRule="auto"/>
              <w:jc w:val="both"/>
              <w:rPr>
                <w:rFonts w:hint="default" w:ascii="宋体"/>
                <w:bCs/>
                <w:color w:val="auto"/>
                <w:sz w:val="21"/>
                <w:szCs w:val="21"/>
                <w:highlight w:val="none"/>
                <w:lang w:val="en-US"/>
              </w:rPr>
            </w:pPr>
            <w:r>
              <w:rPr>
                <w:rFonts w:hint="eastAsia" w:ascii="宋体"/>
                <w:bCs/>
                <w:color w:val="auto"/>
                <w:sz w:val="21"/>
                <w:szCs w:val="21"/>
                <w:highlight w:val="none"/>
              </w:rPr>
              <w:t>联 系 人：</w:t>
            </w:r>
            <w:r>
              <w:rPr>
                <w:rFonts w:hint="eastAsia" w:ascii="宋体"/>
                <w:bCs/>
                <w:color w:val="auto"/>
                <w:sz w:val="21"/>
                <w:szCs w:val="21"/>
                <w:highlight w:val="none"/>
                <w:lang w:val="en-US" w:eastAsia="zh-CN"/>
              </w:rPr>
              <w:t>蒋松强</w:t>
            </w:r>
          </w:p>
          <w:p>
            <w:pPr>
              <w:keepNext w:val="0"/>
              <w:keepLines w:val="0"/>
              <w:pageBreakBefore w:val="0"/>
              <w:kinsoku/>
              <w:wordWrap/>
              <w:overflowPunct/>
              <w:topLinePunct w:val="0"/>
              <w:autoSpaceDE/>
              <w:autoSpaceDN/>
              <w:bidi w:val="0"/>
              <w:snapToGrid w:val="0"/>
              <w:spacing w:line="336" w:lineRule="auto"/>
              <w:jc w:val="both"/>
              <w:rPr>
                <w:rFonts w:hint="default" w:ascii="宋体" w:eastAsia="宋体"/>
                <w:bCs/>
                <w:color w:val="auto"/>
                <w:sz w:val="21"/>
                <w:szCs w:val="21"/>
                <w:highlight w:val="none"/>
                <w:lang w:val="en-US" w:eastAsia="zh-CN"/>
              </w:rPr>
            </w:pPr>
            <w:r>
              <w:rPr>
                <w:rFonts w:hint="eastAsia" w:ascii="宋体"/>
                <w:bCs/>
                <w:color w:val="auto"/>
                <w:sz w:val="21"/>
                <w:szCs w:val="21"/>
                <w:highlight w:val="none"/>
              </w:rPr>
              <w:t>联系电话：0574-</w:t>
            </w:r>
            <w:r>
              <w:rPr>
                <w:rFonts w:hint="eastAsia" w:ascii="宋体"/>
                <w:bCs/>
                <w:color w:val="auto"/>
                <w:sz w:val="21"/>
                <w:szCs w:val="21"/>
                <w:highlight w:val="none"/>
                <w:lang w:val="en-US" w:eastAsia="zh-CN"/>
              </w:rPr>
              <w:t>81981010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3</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招标代理机构</w:t>
            </w:r>
          </w:p>
        </w:tc>
        <w:tc>
          <w:tcPr>
            <w:tcW w:w="6946" w:type="dxa"/>
            <w:vAlign w:val="center"/>
          </w:tcPr>
          <w:p>
            <w:pPr>
              <w:keepNext w:val="0"/>
              <w:keepLines w:val="0"/>
              <w:pageBreakBefore w:val="0"/>
              <w:kinsoku/>
              <w:wordWrap/>
              <w:overflowPunct/>
              <w:topLinePunct w:val="0"/>
              <w:autoSpaceDE/>
              <w:autoSpaceDN/>
              <w:bidi w:val="0"/>
              <w:spacing w:line="336" w:lineRule="auto"/>
              <w:jc w:val="both"/>
              <w:rPr>
                <w:rFonts w:ascii="宋体"/>
                <w:bCs/>
                <w:color w:val="auto"/>
                <w:sz w:val="21"/>
                <w:szCs w:val="21"/>
                <w:highlight w:val="none"/>
              </w:rPr>
            </w:pPr>
            <w:r>
              <w:rPr>
                <w:rFonts w:hint="eastAsia" w:ascii="宋体"/>
                <w:bCs/>
                <w:color w:val="auto"/>
                <w:sz w:val="21"/>
                <w:szCs w:val="21"/>
                <w:highlight w:val="none"/>
              </w:rPr>
              <w:t>宁波市国际招标有限公司</w:t>
            </w:r>
          </w:p>
          <w:p>
            <w:pPr>
              <w:keepNext w:val="0"/>
              <w:keepLines w:val="0"/>
              <w:pageBreakBefore w:val="0"/>
              <w:kinsoku/>
              <w:wordWrap/>
              <w:overflowPunct/>
              <w:topLinePunct w:val="0"/>
              <w:autoSpaceDE/>
              <w:autoSpaceDN/>
              <w:bidi w:val="0"/>
              <w:spacing w:line="336" w:lineRule="auto"/>
              <w:jc w:val="both"/>
              <w:rPr>
                <w:rFonts w:ascii="宋体"/>
                <w:bCs/>
                <w:color w:val="auto"/>
                <w:sz w:val="21"/>
                <w:szCs w:val="21"/>
                <w:highlight w:val="none"/>
              </w:rPr>
            </w:pPr>
            <w:r>
              <w:rPr>
                <w:rFonts w:hint="eastAsia" w:ascii="宋体"/>
                <w:bCs/>
                <w:color w:val="auto"/>
                <w:sz w:val="21"/>
                <w:szCs w:val="21"/>
                <w:highlight w:val="none"/>
              </w:rPr>
              <w:t>地</w:t>
            </w:r>
            <w:r>
              <w:rPr>
                <w:rFonts w:ascii="宋体"/>
                <w:bCs/>
                <w:color w:val="auto"/>
                <w:sz w:val="21"/>
                <w:szCs w:val="21"/>
                <w:highlight w:val="none"/>
              </w:rPr>
              <w:t>址：</w:t>
            </w:r>
            <w:r>
              <w:rPr>
                <w:rFonts w:hint="eastAsia" w:ascii="宋体" w:hAnsi="宋体" w:cs="宋体"/>
                <w:color w:val="auto"/>
                <w:sz w:val="21"/>
                <w:szCs w:val="21"/>
                <w:highlight w:val="none"/>
              </w:rPr>
              <w:t>宁波市江北区环城北路西段207弄19号世茂茂悦商业中心1号楼八楼012室</w:t>
            </w:r>
          </w:p>
          <w:p>
            <w:pPr>
              <w:keepNext w:val="0"/>
              <w:keepLines w:val="0"/>
              <w:pageBreakBefore w:val="0"/>
              <w:kinsoku/>
              <w:wordWrap/>
              <w:overflowPunct/>
              <w:topLinePunct w:val="0"/>
              <w:autoSpaceDE/>
              <w:autoSpaceDN/>
              <w:bidi w:val="0"/>
              <w:spacing w:line="336" w:lineRule="auto"/>
              <w:jc w:val="both"/>
              <w:rPr>
                <w:rFonts w:hint="eastAsia" w:ascii="宋体"/>
                <w:bCs/>
                <w:color w:val="auto"/>
                <w:sz w:val="21"/>
                <w:szCs w:val="21"/>
                <w:highlight w:val="none"/>
              </w:rPr>
            </w:pPr>
            <w:r>
              <w:rPr>
                <w:rFonts w:hint="eastAsia" w:ascii="宋体"/>
                <w:bCs/>
                <w:color w:val="auto"/>
                <w:sz w:val="21"/>
                <w:szCs w:val="21"/>
                <w:highlight w:val="none"/>
              </w:rPr>
              <w:t>联</w:t>
            </w:r>
            <w:r>
              <w:rPr>
                <w:rFonts w:ascii="宋体"/>
                <w:bCs/>
                <w:color w:val="auto"/>
                <w:sz w:val="21"/>
                <w:szCs w:val="21"/>
                <w:highlight w:val="none"/>
              </w:rPr>
              <w:t>系人：</w:t>
            </w:r>
            <w:r>
              <w:rPr>
                <w:rFonts w:hint="eastAsia" w:ascii="宋体" w:hAnsi="宋体" w:eastAsia="宋体" w:cs="宋体"/>
                <w:color w:val="auto"/>
                <w:kern w:val="0"/>
                <w:sz w:val="21"/>
                <w:szCs w:val="21"/>
                <w:highlight w:val="none"/>
              </w:rPr>
              <w:t>陈若水、姚露泽、严锋</w:t>
            </w:r>
            <w:r>
              <w:rPr>
                <w:rFonts w:hint="eastAsia" w:ascii="宋体"/>
                <w:bCs/>
                <w:color w:val="auto"/>
                <w:sz w:val="21"/>
                <w:szCs w:val="21"/>
                <w:highlight w:val="none"/>
              </w:rPr>
              <w:t xml:space="preserve">  </w:t>
            </w:r>
          </w:p>
          <w:p>
            <w:pPr>
              <w:keepNext w:val="0"/>
              <w:keepLines w:val="0"/>
              <w:pageBreakBefore w:val="0"/>
              <w:kinsoku/>
              <w:wordWrap/>
              <w:overflowPunct/>
              <w:topLinePunct w:val="0"/>
              <w:autoSpaceDE/>
              <w:autoSpaceDN/>
              <w:bidi w:val="0"/>
              <w:spacing w:line="336" w:lineRule="auto"/>
              <w:jc w:val="both"/>
              <w:rPr>
                <w:rFonts w:ascii="宋体"/>
                <w:bCs/>
                <w:color w:val="auto"/>
                <w:sz w:val="21"/>
                <w:szCs w:val="21"/>
                <w:highlight w:val="none"/>
              </w:rPr>
            </w:pPr>
            <w:r>
              <w:rPr>
                <w:rFonts w:hint="eastAsia" w:ascii="宋体"/>
                <w:bCs/>
                <w:color w:val="auto"/>
                <w:sz w:val="21"/>
                <w:szCs w:val="21"/>
                <w:highlight w:val="none"/>
              </w:rPr>
              <w:t>电</w:t>
            </w:r>
            <w:r>
              <w:rPr>
                <w:rFonts w:ascii="宋体"/>
                <w:bCs/>
                <w:color w:val="auto"/>
                <w:sz w:val="21"/>
                <w:szCs w:val="21"/>
                <w:highlight w:val="none"/>
              </w:rPr>
              <w:t>话：</w:t>
            </w:r>
            <w:r>
              <w:rPr>
                <w:rFonts w:hint="eastAsia" w:ascii="宋体"/>
                <w:bCs/>
                <w:color w:val="auto"/>
                <w:sz w:val="21"/>
                <w:szCs w:val="21"/>
                <w:highlight w:val="none"/>
              </w:rPr>
              <w:t>0574－87357607</w:t>
            </w:r>
            <w:r>
              <w:rPr>
                <w:rFonts w:ascii="宋体"/>
                <w:bCs/>
                <w:color w:val="auto"/>
                <w:sz w:val="21"/>
                <w:szCs w:val="21"/>
                <w:highlight w:val="none"/>
              </w:rPr>
              <w:t xml:space="preserve">  </w:t>
            </w:r>
          </w:p>
          <w:p>
            <w:pPr>
              <w:keepNext w:val="0"/>
              <w:keepLines w:val="0"/>
              <w:pageBreakBefore w:val="0"/>
              <w:kinsoku/>
              <w:wordWrap/>
              <w:overflowPunct/>
              <w:topLinePunct w:val="0"/>
              <w:autoSpaceDE/>
              <w:autoSpaceDN/>
              <w:bidi w:val="0"/>
              <w:spacing w:line="336" w:lineRule="auto"/>
              <w:jc w:val="both"/>
              <w:rPr>
                <w:rFonts w:ascii="宋体"/>
                <w:bCs/>
                <w:color w:val="auto"/>
                <w:sz w:val="21"/>
                <w:szCs w:val="21"/>
                <w:highlight w:val="none"/>
              </w:rPr>
            </w:pPr>
            <w:r>
              <w:rPr>
                <w:rFonts w:ascii="宋体"/>
                <w:bCs/>
                <w:color w:val="auto"/>
                <w:sz w:val="21"/>
                <w:szCs w:val="21"/>
                <w:highlight w:val="none"/>
              </w:rPr>
              <w:t>传真：0574</w:t>
            </w:r>
            <w:r>
              <w:rPr>
                <w:rFonts w:hint="eastAsia" w:ascii="宋体"/>
                <w:bCs/>
                <w:color w:val="auto"/>
                <w:sz w:val="21"/>
                <w:szCs w:val="21"/>
                <w:highlight w:val="none"/>
              </w:rPr>
              <w:t>-</w:t>
            </w:r>
            <w:r>
              <w:rPr>
                <w:rFonts w:ascii="宋体"/>
                <w:bCs/>
                <w:color w:val="auto"/>
                <w:sz w:val="21"/>
                <w:szCs w:val="21"/>
                <w:highlight w:val="none"/>
              </w:rPr>
              <w:t>87388460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4</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采购项目名称</w:t>
            </w:r>
          </w:p>
        </w:tc>
        <w:tc>
          <w:tcPr>
            <w:tcW w:w="6946" w:type="dxa"/>
            <w:vAlign w:val="center"/>
          </w:tcPr>
          <w:p>
            <w:pPr>
              <w:keepNext w:val="0"/>
              <w:keepLines w:val="0"/>
              <w:pageBreakBefore w:val="0"/>
              <w:kinsoku/>
              <w:wordWrap/>
              <w:overflowPunct/>
              <w:topLinePunct w:val="0"/>
              <w:autoSpaceDE/>
              <w:autoSpaceDN/>
              <w:bidi w:val="0"/>
              <w:spacing w:line="336" w:lineRule="auto"/>
              <w:jc w:val="both"/>
              <w:rPr>
                <w:rFonts w:hint="eastAsia" w:ascii="宋体" w:eastAsia="宋体"/>
                <w:bCs/>
                <w:color w:val="auto"/>
                <w:sz w:val="21"/>
                <w:szCs w:val="21"/>
                <w:highlight w:val="none"/>
                <w:lang w:eastAsia="zh-CN"/>
              </w:rPr>
            </w:pPr>
            <w:r>
              <w:rPr>
                <w:rFonts w:hint="eastAsia" w:ascii="宋体" w:hAnsi="宋体" w:cs="宋体"/>
                <w:color w:val="auto"/>
                <w:sz w:val="21"/>
                <w:szCs w:val="21"/>
                <w:highlight w:val="none"/>
                <w:lang w:eastAsia="zh-CN"/>
              </w:rPr>
              <w:t>2022年交警局机房内（公安网）硬件设备维修保养项目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928" w:type="dxa"/>
            <w:gridSpan w:val="3"/>
            <w:vAlign w:val="center"/>
          </w:tcPr>
          <w:p>
            <w:pPr>
              <w:keepNext w:val="0"/>
              <w:keepLines w:val="0"/>
              <w:pageBreakBefore w:val="0"/>
              <w:kinsoku/>
              <w:wordWrap/>
              <w:overflowPunct/>
              <w:topLinePunct w:val="0"/>
              <w:autoSpaceDE/>
              <w:autoSpaceDN/>
              <w:bidi w:val="0"/>
              <w:spacing w:line="336" w:lineRule="auto"/>
              <w:jc w:val="center"/>
              <w:rPr>
                <w:rFonts w:ascii="宋体"/>
                <w:color w:val="auto"/>
                <w:sz w:val="21"/>
                <w:szCs w:val="21"/>
                <w:highlight w:val="none"/>
              </w:rPr>
            </w:pPr>
            <w:r>
              <w:rPr>
                <w:rFonts w:hint="eastAsia" w:ascii="宋体"/>
                <w:color w:val="auto"/>
                <w:sz w:val="21"/>
                <w:szCs w:val="21"/>
                <w:highlight w:val="none"/>
              </w:rPr>
              <w:t>投标基本原则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color w:val="auto"/>
                <w:sz w:val="21"/>
                <w:szCs w:val="21"/>
                <w:highlight w:val="none"/>
              </w:rPr>
              <w:t>*</w:t>
            </w:r>
            <w:r>
              <w:rPr>
                <w:rFonts w:hint="eastAsia" w:ascii="宋体"/>
                <w:b/>
                <w:bCs/>
                <w:color w:val="auto"/>
                <w:sz w:val="21"/>
                <w:szCs w:val="21"/>
                <w:highlight w:val="none"/>
              </w:rPr>
              <w:t>5</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color w:val="auto"/>
                <w:sz w:val="21"/>
                <w:szCs w:val="21"/>
                <w:highlight w:val="none"/>
              </w:rPr>
              <w:t>投标人</w:t>
            </w:r>
            <w:r>
              <w:rPr>
                <w:rFonts w:hint="eastAsia" w:ascii="宋体"/>
                <w:b/>
                <w:bCs/>
                <w:color w:val="auto"/>
                <w:sz w:val="21"/>
                <w:szCs w:val="21"/>
                <w:highlight w:val="none"/>
              </w:rPr>
              <w:t>资质要求</w:t>
            </w:r>
          </w:p>
        </w:tc>
        <w:tc>
          <w:tcPr>
            <w:tcW w:w="6946" w:type="dxa"/>
            <w:vAlign w:val="center"/>
          </w:tcPr>
          <w:p>
            <w:pPr>
              <w:keepNext w:val="0"/>
              <w:keepLines w:val="0"/>
              <w:pageBreakBefore w:val="0"/>
              <w:kinsoku/>
              <w:wordWrap/>
              <w:overflowPunct/>
              <w:topLinePunct w:val="0"/>
              <w:autoSpaceDE/>
              <w:autoSpaceDN/>
              <w:bidi w:val="0"/>
              <w:spacing w:line="336" w:lineRule="auto"/>
              <w:rPr>
                <w:rFonts w:ascii="宋体" w:hAnsi="宋体" w:cs="宋体"/>
                <w:color w:val="auto"/>
                <w:sz w:val="21"/>
                <w:szCs w:val="21"/>
                <w:highlight w:val="none"/>
              </w:rPr>
            </w:pPr>
            <w:r>
              <w:rPr>
                <w:rFonts w:hint="eastAsia" w:ascii="宋体" w:hAnsi="宋体" w:cs="宋体"/>
                <w:color w:val="auto"/>
                <w:sz w:val="21"/>
                <w:szCs w:val="21"/>
                <w:highlight w:val="none"/>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6</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投标报价</w:t>
            </w:r>
          </w:p>
        </w:tc>
        <w:tc>
          <w:tcPr>
            <w:tcW w:w="6946" w:type="dxa"/>
            <w:vAlign w:val="center"/>
          </w:tcPr>
          <w:p>
            <w:pPr>
              <w:pStyle w:val="54"/>
              <w:keepNext w:val="0"/>
              <w:keepLines w:val="0"/>
              <w:pageBreakBefore w:val="0"/>
              <w:kinsoku/>
              <w:wordWrap/>
              <w:overflowPunct/>
              <w:topLinePunct w:val="0"/>
              <w:autoSpaceDE/>
              <w:autoSpaceDN/>
              <w:bidi w:val="0"/>
              <w:spacing w:line="336" w:lineRule="auto"/>
              <w:ind w:firstLine="2"/>
              <w:rPr>
                <w:color w:val="auto"/>
                <w:highlight w:val="none"/>
              </w:rPr>
            </w:pPr>
            <w:r>
              <w:rPr>
                <w:rFonts w:hint="eastAsia"/>
                <w:color w:val="auto"/>
                <w:highlight w:val="none"/>
              </w:rPr>
              <w:t>1、报价以人民币元为计算单位。</w:t>
            </w:r>
          </w:p>
          <w:p>
            <w:pPr>
              <w:pStyle w:val="54"/>
              <w:keepNext w:val="0"/>
              <w:keepLines w:val="0"/>
              <w:pageBreakBefore w:val="0"/>
              <w:kinsoku/>
              <w:wordWrap/>
              <w:overflowPunct/>
              <w:topLinePunct w:val="0"/>
              <w:autoSpaceDE/>
              <w:autoSpaceDN/>
              <w:bidi w:val="0"/>
              <w:spacing w:line="336" w:lineRule="auto"/>
              <w:ind w:firstLine="2"/>
              <w:rPr>
                <w:color w:val="auto"/>
                <w:highlight w:val="none"/>
              </w:rPr>
            </w:pPr>
            <w:r>
              <w:rPr>
                <w:rFonts w:hint="eastAsia"/>
                <w:color w:val="auto"/>
                <w:highlight w:val="none"/>
              </w:rPr>
              <w:t>2、按要求的格式内容填写报价。</w:t>
            </w:r>
          </w:p>
          <w:p>
            <w:pPr>
              <w:pStyle w:val="54"/>
              <w:keepNext w:val="0"/>
              <w:keepLines w:val="0"/>
              <w:pageBreakBefore w:val="0"/>
              <w:kinsoku/>
              <w:wordWrap/>
              <w:overflowPunct/>
              <w:topLinePunct w:val="0"/>
              <w:autoSpaceDE/>
              <w:autoSpaceDN/>
              <w:bidi w:val="0"/>
              <w:spacing w:line="336" w:lineRule="auto"/>
              <w:ind w:firstLine="2"/>
              <w:rPr>
                <w:color w:val="auto"/>
                <w:highlight w:val="none"/>
              </w:rPr>
            </w:pPr>
            <w:r>
              <w:rPr>
                <w:rFonts w:hint="eastAsia"/>
                <w:color w:val="auto"/>
                <w:highlight w:val="none"/>
              </w:rPr>
              <w:t>3、投标报价为投标人为完成本项目，实现招标文件中规定的本项目采购内容和范围并达到相关标准所需要的全部费用。</w:t>
            </w:r>
            <w:r>
              <w:rPr>
                <w:rFonts w:hint="eastAsia" w:ascii="宋体"/>
                <w:color w:val="auto"/>
                <w:sz w:val="21"/>
                <w:szCs w:val="21"/>
                <w:highlight w:val="none"/>
              </w:rPr>
              <w:t>包</w:t>
            </w:r>
            <w:r>
              <w:rPr>
                <w:rFonts w:hint="eastAsia" w:ascii="宋体" w:hAnsi="Times New Roman" w:eastAsia="宋体" w:cs="Times New Roman"/>
                <w:color w:val="auto"/>
                <w:sz w:val="21"/>
                <w:szCs w:val="21"/>
                <w:highlight w:val="none"/>
              </w:rPr>
              <w:t>括</w:t>
            </w:r>
            <w:r>
              <w:rPr>
                <w:rFonts w:hint="eastAsia" w:cs="Times New Roman"/>
                <w:color w:val="auto"/>
                <w:sz w:val="21"/>
                <w:szCs w:val="21"/>
                <w:highlight w:val="none"/>
                <w:lang w:val="en-US" w:eastAsia="zh-CN"/>
              </w:rPr>
              <w:t>维保</w:t>
            </w:r>
            <w:r>
              <w:rPr>
                <w:rFonts w:hint="eastAsia" w:ascii="宋体" w:hAnsi="Times New Roman" w:eastAsia="宋体" w:cs="Times New Roman"/>
                <w:color w:val="auto"/>
                <w:sz w:val="21"/>
                <w:szCs w:val="21"/>
                <w:highlight w:val="none"/>
              </w:rPr>
              <w:t>时，所产生的人工、</w:t>
            </w:r>
            <w:r>
              <w:rPr>
                <w:rFonts w:hint="eastAsia" w:ascii="宋体" w:hAnsi="Times New Roman" w:eastAsia="宋体" w:cs="Times New Roman"/>
                <w:color w:val="auto"/>
                <w:sz w:val="21"/>
                <w:szCs w:val="21"/>
                <w:highlight w:val="none"/>
                <w:lang w:val="en-US" w:eastAsia="zh-CN"/>
              </w:rPr>
              <w:t>场所、</w:t>
            </w:r>
            <w:r>
              <w:rPr>
                <w:rFonts w:hint="eastAsia" w:ascii="宋体" w:hAnsi="Times New Roman" w:eastAsia="宋体" w:cs="Times New Roman"/>
                <w:color w:val="auto"/>
                <w:sz w:val="21"/>
                <w:szCs w:val="21"/>
                <w:highlight w:val="none"/>
              </w:rPr>
              <w:t>物流、工具、零件、</w:t>
            </w:r>
            <w:r>
              <w:rPr>
                <w:rFonts w:hint="eastAsia" w:ascii="宋体" w:hAnsi="Times New Roman" w:eastAsia="宋体" w:cs="Times New Roman"/>
                <w:color w:val="auto"/>
                <w:sz w:val="21"/>
                <w:szCs w:val="21"/>
                <w:highlight w:val="none"/>
                <w:lang w:val="en-US" w:eastAsia="zh-CN"/>
              </w:rPr>
              <w:t>各类</w:t>
            </w:r>
            <w:r>
              <w:rPr>
                <w:rFonts w:hint="eastAsia" w:ascii="宋体" w:hAnsi="Times New Roman" w:eastAsia="宋体" w:cs="Times New Roman"/>
                <w:color w:val="auto"/>
                <w:sz w:val="21"/>
                <w:szCs w:val="21"/>
                <w:highlight w:val="none"/>
              </w:rPr>
              <w:t>元器件等</w:t>
            </w:r>
            <w:r>
              <w:rPr>
                <w:rFonts w:hint="eastAsia" w:ascii="宋体" w:hAnsi="宋体"/>
                <w:color w:val="auto"/>
                <w:sz w:val="21"/>
                <w:szCs w:val="21"/>
                <w:highlight w:val="none"/>
                <w:lang w:eastAsia="zh-CN"/>
              </w:rPr>
              <w:t>、</w:t>
            </w:r>
            <w:r>
              <w:rPr>
                <w:rFonts w:hint="eastAsia" w:ascii="宋体"/>
                <w:color w:val="auto"/>
                <w:sz w:val="21"/>
                <w:szCs w:val="21"/>
                <w:highlight w:val="none"/>
              </w:rPr>
              <w:t>基础、主材、辅材、预埋件、运输、安装、管理、维护、保险、利润、税金政策性文件规定及合同包含的所有风险、责任等各项应有费用（即交钥匙价）</w:t>
            </w:r>
            <w:r>
              <w:rPr>
                <w:rFonts w:hint="eastAsia"/>
                <w:color w:val="auto"/>
                <w:highlight w:val="none"/>
              </w:rPr>
              <w:t>。</w:t>
            </w:r>
          </w:p>
          <w:p>
            <w:pPr>
              <w:pStyle w:val="54"/>
              <w:keepNext w:val="0"/>
              <w:keepLines w:val="0"/>
              <w:pageBreakBefore w:val="0"/>
              <w:kinsoku/>
              <w:wordWrap/>
              <w:overflowPunct/>
              <w:topLinePunct w:val="0"/>
              <w:autoSpaceDE/>
              <w:autoSpaceDN/>
              <w:bidi w:val="0"/>
              <w:spacing w:line="336" w:lineRule="auto"/>
              <w:ind w:firstLine="2"/>
              <w:rPr>
                <w:rFonts w:hint="eastAsia" w:eastAsia="宋体"/>
                <w:color w:val="auto"/>
                <w:highlight w:val="none"/>
                <w:lang w:val="en-US" w:eastAsia="zh-CN"/>
              </w:rPr>
            </w:pPr>
            <w:r>
              <w:rPr>
                <w:rFonts w:hint="eastAsia"/>
                <w:color w:val="auto"/>
                <w:highlight w:val="none"/>
              </w:rPr>
              <w:t>凡影响投标报价的所有相关费用应列入本次报价中。中标后，不得以不完全了解采购文件、现场、周围环境等情况为借口，而提出额外补偿或延长工期等的要求。如漏报，最终所发生的费用均由中标商承担，招标方一律不予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color w:val="auto"/>
                <w:sz w:val="21"/>
                <w:szCs w:val="21"/>
                <w:highlight w:val="none"/>
              </w:rPr>
              <w:t>*</w:t>
            </w:r>
            <w:r>
              <w:rPr>
                <w:rFonts w:hint="eastAsia" w:ascii="宋体"/>
                <w:b/>
                <w:bCs/>
                <w:color w:val="auto"/>
                <w:sz w:val="21"/>
                <w:szCs w:val="21"/>
                <w:highlight w:val="none"/>
              </w:rPr>
              <w:t>7</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color w:val="auto"/>
                <w:sz w:val="21"/>
                <w:szCs w:val="21"/>
                <w:highlight w:val="none"/>
              </w:rPr>
              <w:t>最高限价</w:t>
            </w:r>
          </w:p>
        </w:tc>
        <w:tc>
          <w:tcPr>
            <w:tcW w:w="6946" w:type="dxa"/>
            <w:vAlign w:val="center"/>
          </w:tcPr>
          <w:p>
            <w:pPr>
              <w:keepNext w:val="0"/>
              <w:keepLines w:val="0"/>
              <w:pageBreakBefore w:val="0"/>
              <w:kinsoku/>
              <w:wordWrap/>
              <w:overflowPunct/>
              <w:topLinePunct w:val="0"/>
              <w:autoSpaceDE/>
              <w:autoSpaceDN/>
              <w:bidi w:val="0"/>
              <w:spacing w:line="336" w:lineRule="auto"/>
              <w:rPr>
                <w:rFonts w:hint="eastAsia" w:ascii="宋体" w:hAnsi="宋体"/>
                <w:b/>
                <w:color w:val="auto"/>
                <w:sz w:val="21"/>
                <w:szCs w:val="21"/>
                <w:highlight w:val="none"/>
              </w:rPr>
            </w:pPr>
            <w:r>
              <w:rPr>
                <w:rFonts w:hint="eastAsia" w:ascii="宋体" w:hAnsi="宋体"/>
                <w:b/>
                <w:color w:val="auto"/>
                <w:sz w:val="21"/>
                <w:szCs w:val="21"/>
                <w:highlight w:val="none"/>
              </w:rPr>
              <w:t>最高限价为：人民币</w:t>
            </w:r>
            <w:r>
              <w:rPr>
                <w:rFonts w:hint="eastAsia" w:ascii="宋体" w:hAnsi="宋体"/>
                <w:b/>
                <w:color w:val="auto"/>
                <w:sz w:val="21"/>
                <w:szCs w:val="21"/>
                <w:highlight w:val="none"/>
                <w:lang w:val="en-US" w:eastAsia="zh-CN"/>
              </w:rPr>
              <w:t>61.525</w:t>
            </w:r>
            <w:r>
              <w:rPr>
                <w:rFonts w:hint="eastAsia" w:ascii="宋体" w:hAnsi="宋体"/>
                <w:b/>
                <w:color w:val="auto"/>
                <w:sz w:val="21"/>
                <w:szCs w:val="21"/>
                <w:highlight w:val="none"/>
              </w:rPr>
              <w:t>万元</w:t>
            </w:r>
          </w:p>
          <w:p>
            <w:pPr>
              <w:pStyle w:val="54"/>
              <w:keepNext w:val="0"/>
              <w:keepLines w:val="0"/>
              <w:pageBreakBefore w:val="0"/>
              <w:kinsoku/>
              <w:wordWrap/>
              <w:overflowPunct/>
              <w:topLinePunct w:val="0"/>
              <w:autoSpaceDE/>
              <w:autoSpaceDN/>
              <w:bidi w:val="0"/>
              <w:spacing w:line="336" w:lineRule="auto"/>
              <w:ind w:firstLine="2"/>
              <w:rPr>
                <w:b/>
                <w:color w:val="auto"/>
                <w:highlight w:val="none"/>
              </w:rPr>
            </w:pPr>
            <w:r>
              <w:rPr>
                <w:rFonts w:hint="eastAsia" w:hAnsi="宋体"/>
                <w:b/>
                <w:color w:val="auto"/>
                <w:highlight w:val="none"/>
              </w:rPr>
              <w:t>注：不得超过最高限价，否则作无效标处理。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color w:val="auto"/>
                <w:sz w:val="21"/>
                <w:szCs w:val="21"/>
                <w:highlight w:val="none"/>
              </w:rPr>
              <w:t>*</w:t>
            </w:r>
            <w:r>
              <w:rPr>
                <w:rFonts w:hint="eastAsia" w:ascii="宋体"/>
                <w:b/>
                <w:bCs/>
                <w:color w:val="auto"/>
                <w:sz w:val="21"/>
                <w:szCs w:val="21"/>
                <w:highlight w:val="none"/>
              </w:rPr>
              <w:t>8</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bCs/>
                <w:color w:val="auto"/>
                <w:sz w:val="21"/>
                <w:szCs w:val="21"/>
                <w:highlight w:val="none"/>
              </w:rPr>
              <w:t>投标有效期</w:t>
            </w:r>
          </w:p>
        </w:tc>
        <w:tc>
          <w:tcPr>
            <w:tcW w:w="6946" w:type="dxa"/>
            <w:vAlign w:val="center"/>
          </w:tcPr>
          <w:p>
            <w:pPr>
              <w:keepNext w:val="0"/>
              <w:keepLines w:val="0"/>
              <w:pageBreakBefore w:val="0"/>
              <w:kinsoku/>
              <w:wordWrap/>
              <w:overflowPunct/>
              <w:topLinePunct w:val="0"/>
              <w:autoSpaceDE/>
              <w:autoSpaceDN/>
              <w:bidi w:val="0"/>
              <w:spacing w:line="336" w:lineRule="auto"/>
              <w:ind w:firstLine="4" w:firstLineChars="2"/>
              <w:jc w:val="both"/>
              <w:rPr>
                <w:rFonts w:ascii="宋体"/>
                <w:b/>
                <w:bCs/>
                <w:color w:val="auto"/>
                <w:sz w:val="21"/>
                <w:szCs w:val="21"/>
                <w:highlight w:val="none"/>
              </w:rPr>
            </w:pPr>
            <w:r>
              <w:rPr>
                <w:rFonts w:hint="eastAsia" w:ascii="宋体"/>
                <w:b/>
                <w:bCs/>
                <w:color w:val="auto"/>
                <w:sz w:val="21"/>
                <w:szCs w:val="21"/>
                <w:highlight w:val="none"/>
                <w:u w:val="single"/>
              </w:rPr>
              <w:t>90</w:t>
            </w:r>
            <w:r>
              <w:rPr>
                <w:rFonts w:hint="eastAsia" w:ascii="宋体"/>
                <w:b/>
                <w:bCs/>
                <w:color w:val="auto"/>
                <w:sz w:val="21"/>
                <w:szCs w:val="21"/>
                <w:highlight w:val="none"/>
              </w:rPr>
              <w:t>日历天（从开标日起计算）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8928" w:type="dxa"/>
            <w:gridSpan w:val="3"/>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投标文件准备与递交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color w:val="auto"/>
                <w:sz w:val="21"/>
                <w:szCs w:val="21"/>
                <w:highlight w:val="none"/>
              </w:rPr>
              <w:t>*</w:t>
            </w:r>
            <w:r>
              <w:rPr>
                <w:rFonts w:hint="eastAsia" w:ascii="宋体"/>
                <w:b/>
                <w:bCs/>
                <w:color w:val="auto"/>
                <w:sz w:val="21"/>
                <w:szCs w:val="21"/>
                <w:highlight w:val="none"/>
              </w:rPr>
              <w:t>9</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
                <w:bCs/>
                <w:color w:val="auto"/>
                <w:sz w:val="21"/>
                <w:szCs w:val="21"/>
                <w:highlight w:val="none"/>
              </w:rPr>
            </w:pPr>
            <w:r>
              <w:rPr>
                <w:rFonts w:hint="eastAsia" w:ascii="宋体"/>
                <w:b/>
                <w:bCs/>
                <w:color w:val="auto"/>
                <w:sz w:val="21"/>
                <w:szCs w:val="21"/>
                <w:highlight w:val="none"/>
              </w:rPr>
              <w:t>投标保证金</w:t>
            </w:r>
          </w:p>
        </w:tc>
        <w:tc>
          <w:tcPr>
            <w:tcW w:w="6946" w:type="dxa"/>
            <w:vAlign w:val="center"/>
          </w:tcPr>
          <w:p>
            <w:pPr>
              <w:keepNext w:val="0"/>
              <w:keepLines w:val="0"/>
              <w:pageBreakBefore w:val="0"/>
              <w:kinsoku/>
              <w:wordWrap/>
              <w:overflowPunct/>
              <w:topLinePunct w:val="0"/>
              <w:autoSpaceDE/>
              <w:autoSpaceDN/>
              <w:bidi w:val="0"/>
              <w:spacing w:line="336" w:lineRule="auto"/>
              <w:rPr>
                <w:rFonts w:ascii="宋体" w:hAnsi="宋体"/>
                <w:color w:val="auto"/>
                <w:sz w:val="21"/>
                <w:szCs w:val="21"/>
                <w:highlight w:val="none"/>
              </w:rPr>
            </w:pPr>
            <w:r>
              <w:rPr>
                <w:rFonts w:hint="eastAsia" w:ascii="宋体" w:hAnsi="宋体"/>
                <w:b/>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*10</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投标文件份数</w:t>
            </w:r>
          </w:p>
        </w:tc>
        <w:tc>
          <w:tcPr>
            <w:tcW w:w="6946" w:type="dxa"/>
            <w:vAlign w:val="center"/>
          </w:tcPr>
          <w:p>
            <w:pPr>
              <w:wordWrap/>
              <w:spacing w:line="336" w:lineRule="auto"/>
              <w:jc w:val="both"/>
              <w:rPr>
                <w:rFonts w:ascii="宋体"/>
                <w:color w:val="auto"/>
                <w:sz w:val="21"/>
                <w:szCs w:val="21"/>
                <w:highlight w:val="none"/>
              </w:rPr>
            </w:pPr>
            <w:r>
              <w:rPr>
                <w:rFonts w:hint="eastAsia" w:ascii="宋体"/>
                <w:bCs/>
                <w:color w:val="auto"/>
                <w:sz w:val="21"/>
                <w:szCs w:val="21"/>
                <w:highlight w:val="none"/>
              </w:rPr>
              <w:t>上传政采云系统的电子投标文件一份，电子备份投标文件（介质：U盘）1份，纸质备份投标文件正副本各一份。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11</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交货地点</w:t>
            </w:r>
          </w:p>
        </w:tc>
        <w:tc>
          <w:tcPr>
            <w:tcW w:w="6946" w:type="dxa"/>
            <w:vAlign w:val="center"/>
          </w:tcPr>
          <w:p>
            <w:pPr>
              <w:wordWrap/>
              <w:snapToGrid w:val="0"/>
              <w:spacing w:line="336" w:lineRule="auto"/>
              <w:rPr>
                <w:rFonts w:ascii="宋体"/>
                <w:bCs/>
                <w:color w:val="auto"/>
                <w:sz w:val="21"/>
                <w:szCs w:val="21"/>
                <w:highlight w:val="none"/>
              </w:rPr>
            </w:pPr>
            <w:r>
              <w:rPr>
                <w:rFonts w:hint="eastAsia" w:ascii="宋体"/>
                <w:bCs/>
                <w:color w:val="auto"/>
                <w:sz w:val="21"/>
                <w:szCs w:val="21"/>
                <w:highlight w:val="none"/>
              </w:rPr>
              <w:t>具体地点由采购人指定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12</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投标截止日期</w:t>
            </w:r>
          </w:p>
        </w:tc>
        <w:tc>
          <w:tcPr>
            <w:tcW w:w="6946" w:type="dxa"/>
            <w:vAlign w:val="center"/>
          </w:tcPr>
          <w:p>
            <w:pPr>
              <w:keepNext w:val="0"/>
              <w:keepLines w:val="0"/>
              <w:pageBreakBefore w:val="0"/>
              <w:kinsoku/>
              <w:wordWrap/>
              <w:overflowPunct/>
              <w:topLinePunct w:val="0"/>
              <w:autoSpaceDE/>
              <w:autoSpaceDN/>
              <w:bidi w:val="0"/>
              <w:spacing w:line="336" w:lineRule="auto"/>
              <w:jc w:val="both"/>
              <w:rPr>
                <w:rFonts w:ascii="宋体"/>
                <w:color w:val="auto"/>
                <w:sz w:val="21"/>
                <w:szCs w:val="21"/>
                <w:highlight w:val="none"/>
              </w:rPr>
            </w:pPr>
            <w:r>
              <w:rPr>
                <w:rFonts w:ascii="宋体" w:cs="宋体"/>
                <w:color w:val="auto"/>
                <w:sz w:val="21"/>
                <w:szCs w:val="21"/>
                <w:highlight w:val="none"/>
              </w:rPr>
              <w:t>202</w:t>
            </w:r>
            <w:r>
              <w:rPr>
                <w:rFonts w:hint="eastAsia" w:ascii="宋体" w:cs="宋体"/>
                <w:color w:val="auto"/>
                <w:sz w:val="21"/>
                <w:szCs w:val="21"/>
                <w:highlight w:val="none"/>
                <w:lang w:val="en-US" w:eastAsia="zh-CN"/>
              </w:rPr>
              <w:t>2</w:t>
            </w:r>
            <w:r>
              <w:rPr>
                <w:rFonts w:ascii="宋体" w:cs="宋体"/>
                <w:color w:val="auto"/>
                <w:sz w:val="21"/>
                <w:szCs w:val="21"/>
                <w:highlight w:val="none"/>
              </w:rPr>
              <w:t>年</w:t>
            </w:r>
            <w:r>
              <w:rPr>
                <w:rFonts w:hint="eastAsia" w:ascii="宋体" w:cs="宋体"/>
                <w:color w:val="auto"/>
                <w:sz w:val="21"/>
                <w:szCs w:val="21"/>
                <w:highlight w:val="none"/>
                <w:lang w:val="en-US" w:eastAsia="zh-CN"/>
              </w:rPr>
              <w:t>7月14</w:t>
            </w:r>
            <w:r>
              <w:rPr>
                <w:rFonts w:hint="eastAsia" w:ascii="宋体" w:cs="宋体"/>
                <w:color w:val="auto"/>
                <w:sz w:val="21"/>
                <w:szCs w:val="21"/>
                <w:highlight w:val="none"/>
              </w:rPr>
              <w:t>日</w:t>
            </w:r>
            <w:r>
              <w:rPr>
                <w:rFonts w:hint="eastAsia" w:ascii="宋体" w:cs="宋体"/>
                <w:color w:val="auto"/>
                <w:sz w:val="21"/>
                <w:szCs w:val="21"/>
                <w:highlight w:val="none"/>
                <w:lang w:val="en-US" w:eastAsia="zh-CN"/>
              </w:rPr>
              <w:t>14点30</w:t>
            </w:r>
            <w:r>
              <w:rPr>
                <w:rFonts w:hint="eastAsia" w:ascii="宋体" w:cs="宋体"/>
                <w:color w:val="auto"/>
                <w:sz w:val="21"/>
                <w:szCs w:val="21"/>
                <w:highlight w:val="none"/>
              </w:rPr>
              <w:t>分</w:t>
            </w:r>
            <w:r>
              <w:rPr>
                <w:rFonts w:hint="eastAsia" w:ascii="宋体"/>
                <w:color w:val="auto"/>
                <w:sz w:val="21"/>
                <w:szCs w:val="21"/>
                <w:highlight w:val="none"/>
              </w:rPr>
              <w:t>（北京时间）</w:t>
            </w:r>
          </w:p>
          <w:p>
            <w:pPr>
              <w:keepNext w:val="0"/>
              <w:keepLines w:val="0"/>
              <w:pageBreakBefore w:val="0"/>
              <w:kinsoku/>
              <w:wordWrap/>
              <w:overflowPunct/>
              <w:topLinePunct w:val="0"/>
              <w:autoSpaceDE/>
              <w:autoSpaceDN/>
              <w:bidi w:val="0"/>
              <w:spacing w:line="336" w:lineRule="auto"/>
              <w:jc w:val="both"/>
              <w:rPr>
                <w:rFonts w:ascii="宋体"/>
                <w:color w:val="auto"/>
                <w:sz w:val="21"/>
                <w:szCs w:val="21"/>
                <w:highlight w:val="none"/>
              </w:rPr>
            </w:pPr>
            <w:r>
              <w:rPr>
                <w:rFonts w:hint="eastAsia" w:ascii="宋体" w:hAnsi="宋体" w:eastAsia="宋体" w:cs="宋体"/>
                <w:color w:val="auto"/>
                <w:sz w:val="21"/>
                <w:szCs w:val="21"/>
                <w:highlight w:val="none"/>
              </w:rPr>
              <w:t>投标地点（网址）：宁波市江北区环城北路西段207弄19号世茂茂悦商业中心1号楼七楼开标大厅</w:t>
            </w:r>
            <w:r>
              <w:rPr>
                <w:rFonts w:hint="eastAsia" w:ascii="宋体" w:hAnsi="宋体" w:cs="宋体"/>
                <w:color w:val="auto"/>
                <w:sz w:val="21"/>
                <w:szCs w:val="21"/>
                <w:highlight w:val="none"/>
                <w:lang w:val="en-US" w:eastAsia="zh-CN"/>
              </w:rPr>
              <w:t>一</w:t>
            </w:r>
            <w:r>
              <w:rPr>
                <w:rFonts w:hint="eastAsia" w:ascii="宋体" w:hAnsi="宋体" w:eastAsia="宋体" w:cs="宋体"/>
                <w:color w:val="auto"/>
                <w:sz w:val="21"/>
                <w:szCs w:val="21"/>
                <w:highlight w:val="none"/>
              </w:rPr>
              <w:t>,本项目通过“政府采购云平台（www.zcygov.cn）”实行在线制作并提交投标文件（电子投标）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13</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开标日期、地点</w:t>
            </w:r>
          </w:p>
        </w:tc>
        <w:tc>
          <w:tcPr>
            <w:tcW w:w="6946" w:type="dxa"/>
            <w:vAlign w:val="center"/>
          </w:tcPr>
          <w:p>
            <w:pPr>
              <w:keepNext w:val="0"/>
              <w:keepLines w:val="0"/>
              <w:pageBreakBefore w:val="0"/>
              <w:kinsoku/>
              <w:wordWrap/>
              <w:overflowPunct/>
              <w:topLinePunct w:val="0"/>
              <w:autoSpaceDE/>
              <w:autoSpaceDN/>
              <w:bidi w:val="0"/>
              <w:spacing w:line="336" w:lineRule="auto"/>
              <w:jc w:val="both"/>
              <w:rPr>
                <w:rFonts w:ascii="宋体"/>
                <w:color w:val="auto"/>
                <w:sz w:val="21"/>
                <w:szCs w:val="21"/>
                <w:highlight w:val="none"/>
              </w:rPr>
            </w:pPr>
            <w:r>
              <w:rPr>
                <w:rFonts w:ascii="宋体" w:cs="宋体"/>
                <w:color w:val="auto"/>
                <w:sz w:val="21"/>
                <w:szCs w:val="21"/>
                <w:highlight w:val="none"/>
              </w:rPr>
              <w:t>202</w:t>
            </w:r>
            <w:r>
              <w:rPr>
                <w:rFonts w:hint="eastAsia" w:ascii="宋体" w:cs="宋体"/>
                <w:color w:val="auto"/>
                <w:sz w:val="21"/>
                <w:szCs w:val="21"/>
                <w:highlight w:val="none"/>
                <w:lang w:val="en-US" w:eastAsia="zh-CN"/>
              </w:rPr>
              <w:t>2</w:t>
            </w:r>
            <w:r>
              <w:rPr>
                <w:rFonts w:ascii="宋体" w:cs="宋体"/>
                <w:color w:val="auto"/>
                <w:sz w:val="21"/>
                <w:szCs w:val="21"/>
                <w:highlight w:val="none"/>
              </w:rPr>
              <w:t>年</w:t>
            </w:r>
            <w:r>
              <w:rPr>
                <w:rFonts w:hint="eastAsia" w:ascii="宋体" w:cs="宋体"/>
                <w:color w:val="auto"/>
                <w:sz w:val="21"/>
                <w:szCs w:val="21"/>
                <w:highlight w:val="none"/>
                <w:lang w:val="en-US" w:eastAsia="zh-CN"/>
              </w:rPr>
              <w:t>7月14</w:t>
            </w:r>
            <w:r>
              <w:rPr>
                <w:rFonts w:hint="eastAsia" w:ascii="宋体" w:cs="宋体"/>
                <w:color w:val="auto"/>
                <w:sz w:val="21"/>
                <w:szCs w:val="21"/>
                <w:highlight w:val="none"/>
              </w:rPr>
              <w:t>日</w:t>
            </w:r>
            <w:r>
              <w:rPr>
                <w:rFonts w:hint="eastAsia" w:ascii="宋体" w:cs="宋体"/>
                <w:color w:val="auto"/>
                <w:sz w:val="21"/>
                <w:szCs w:val="21"/>
                <w:highlight w:val="none"/>
                <w:lang w:val="en-US" w:eastAsia="zh-CN"/>
              </w:rPr>
              <w:t>14点30</w:t>
            </w:r>
            <w:r>
              <w:rPr>
                <w:rFonts w:hint="eastAsia" w:ascii="宋体" w:cs="宋体"/>
                <w:color w:val="auto"/>
                <w:sz w:val="21"/>
                <w:szCs w:val="21"/>
                <w:highlight w:val="none"/>
              </w:rPr>
              <w:t>分</w:t>
            </w:r>
            <w:r>
              <w:rPr>
                <w:rFonts w:hint="eastAsia" w:ascii="宋体"/>
                <w:color w:val="auto"/>
                <w:sz w:val="21"/>
                <w:szCs w:val="21"/>
                <w:highlight w:val="none"/>
              </w:rPr>
              <w:t>（北京时间）</w:t>
            </w:r>
          </w:p>
          <w:p>
            <w:pPr>
              <w:keepNext w:val="0"/>
              <w:keepLines w:val="0"/>
              <w:pageBreakBefore w:val="0"/>
              <w:kinsoku/>
              <w:wordWrap/>
              <w:overflowPunct/>
              <w:topLinePunct w:val="0"/>
              <w:autoSpaceDE/>
              <w:autoSpaceDN/>
              <w:bidi w:val="0"/>
              <w:spacing w:line="336" w:lineRule="auto"/>
              <w:jc w:val="both"/>
              <w:rPr>
                <w:rFonts w:hint="eastAsia" w:ascii="宋体" w:eastAsia="宋体"/>
                <w:bCs/>
                <w:color w:val="auto"/>
                <w:sz w:val="21"/>
                <w:szCs w:val="21"/>
                <w:highlight w:val="none"/>
                <w:lang w:eastAsia="zh-CN"/>
              </w:rPr>
            </w:pPr>
            <w:r>
              <w:rPr>
                <w:rFonts w:hint="eastAsia" w:ascii="宋体" w:hAnsi="宋体" w:cs="宋体"/>
                <w:color w:val="auto"/>
                <w:sz w:val="21"/>
                <w:szCs w:val="21"/>
                <w:highlight w:val="none"/>
                <w:lang w:val="en-US" w:eastAsia="zh-CN"/>
              </w:rPr>
              <w:t>开标</w:t>
            </w:r>
            <w:r>
              <w:rPr>
                <w:rFonts w:hint="eastAsia" w:ascii="宋体" w:hAnsi="宋体" w:eastAsia="宋体" w:cs="宋体"/>
                <w:color w:val="auto"/>
                <w:sz w:val="21"/>
                <w:szCs w:val="21"/>
                <w:highlight w:val="none"/>
              </w:rPr>
              <w:t>地点（网址）：宁波市江北区环城北路西段207弄19号世茂茂悦商业中心1号楼七楼开标大厅</w:t>
            </w:r>
            <w:r>
              <w:rPr>
                <w:rFonts w:hint="eastAsia" w:ascii="宋体" w:hAnsi="宋体" w:cs="宋体"/>
                <w:color w:val="auto"/>
                <w:sz w:val="21"/>
                <w:szCs w:val="21"/>
                <w:highlight w:val="none"/>
                <w:lang w:val="en-US" w:eastAsia="zh-CN"/>
              </w:rPr>
              <w:t>一</w:t>
            </w:r>
            <w:r>
              <w:rPr>
                <w:rFonts w:hint="eastAsia" w:ascii="宋体" w:hAnsi="宋体" w:eastAsia="宋体" w:cs="宋体"/>
                <w:color w:val="auto"/>
                <w:sz w:val="21"/>
                <w:szCs w:val="21"/>
                <w:highlight w:val="none"/>
              </w:rPr>
              <w:t>,本项目通过“政府采购云平台（www.zcygov.cn）”实行在线</w:t>
            </w:r>
            <w:r>
              <w:rPr>
                <w:rFonts w:hint="eastAsia" w:ascii="宋体" w:hAnsi="宋体" w:cs="宋体"/>
                <w:color w:val="auto"/>
                <w:sz w:val="21"/>
                <w:szCs w:val="21"/>
                <w:highlight w:val="none"/>
                <w:lang w:val="en-US" w:eastAsia="zh-CN"/>
              </w:rPr>
              <w:t>开标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14</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评标方法</w:t>
            </w:r>
          </w:p>
        </w:tc>
        <w:tc>
          <w:tcPr>
            <w:tcW w:w="6946" w:type="dxa"/>
            <w:vAlign w:val="center"/>
          </w:tcPr>
          <w:p>
            <w:pPr>
              <w:keepNext w:val="0"/>
              <w:keepLines w:val="0"/>
              <w:pageBreakBefore w:val="0"/>
              <w:tabs>
                <w:tab w:val="left" w:pos="1125"/>
              </w:tabs>
              <w:kinsoku/>
              <w:wordWrap/>
              <w:overflowPunct/>
              <w:topLinePunct w:val="0"/>
              <w:autoSpaceDE/>
              <w:autoSpaceDN/>
              <w:bidi w:val="0"/>
              <w:spacing w:line="336" w:lineRule="auto"/>
              <w:rPr>
                <w:rFonts w:ascii="宋体"/>
                <w:color w:val="auto"/>
                <w:sz w:val="21"/>
                <w:szCs w:val="21"/>
                <w:highlight w:val="none"/>
              </w:rPr>
            </w:pPr>
            <w:r>
              <w:rPr>
                <w:rFonts w:hint="eastAsia" w:ascii="宋体"/>
                <w:color w:val="auto"/>
                <w:sz w:val="21"/>
                <w:szCs w:val="21"/>
                <w:highlight w:val="none"/>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*15</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bCs/>
                <w:color w:val="auto"/>
                <w:sz w:val="21"/>
                <w:szCs w:val="21"/>
                <w:highlight w:val="none"/>
              </w:rPr>
            </w:pPr>
            <w:r>
              <w:rPr>
                <w:rFonts w:hint="eastAsia" w:ascii="宋体"/>
                <w:bCs/>
                <w:color w:val="auto"/>
                <w:sz w:val="21"/>
                <w:szCs w:val="21"/>
                <w:highlight w:val="none"/>
              </w:rPr>
              <w:t>招标文件答疑</w:t>
            </w:r>
          </w:p>
        </w:tc>
        <w:tc>
          <w:tcPr>
            <w:tcW w:w="6946" w:type="dxa"/>
            <w:vAlign w:val="center"/>
          </w:tcPr>
          <w:p>
            <w:pPr>
              <w:keepNext w:val="0"/>
              <w:keepLines w:val="0"/>
              <w:pageBreakBefore w:val="0"/>
              <w:tabs>
                <w:tab w:val="left" w:pos="1216"/>
              </w:tabs>
              <w:kinsoku/>
              <w:wordWrap/>
              <w:overflowPunct/>
              <w:topLinePunct w:val="0"/>
              <w:autoSpaceDE/>
              <w:autoSpaceDN/>
              <w:bidi w:val="0"/>
              <w:snapToGrid w:val="0"/>
              <w:spacing w:line="336" w:lineRule="auto"/>
              <w:rPr>
                <w:rFonts w:ascii="宋体"/>
                <w:bCs/>
                <w:color w:val="auto"/>
                <w:sz w:val="21"/>
                <w:szCs w:val="21"/>
                <w:highlight w:val="none"/>
              </w:rPr>
            </w:pPr>
            <w:r>
              <w:rPr>
                <w:rFonts w:hint="eastAsia" w:ascii="宋体"/>
                <w:bCs/>
                <w:color w:val="auto"/>
                <w:sz w:val="21"/>
                <w:szCs w:val="21"/>
                <w:highlight w:val="none"/>
              </w:rPr>
              <w:t>投标人对招标文件的任何疑问，请在202</w:t>
            </w:r>
            <w:r>
              <w:rPr>
                <w:rFonts w:hint="eastAsia" w:ascii="宋体"/>
                <w:bCs/>
                <w:color w:val="auto"/>
                <w:sz w:val="21"/>
                <w:szCs w:val="21"/>
                <w:highlight w:val="none"/>
                <w:lang w:val="en-US" w:eastAsia="zh-CN"/>
              </w:rPr>
              <w:t>2</w:t>
            </w:r>
            <w:r>
              <w:rPr>
                <w:rFonts w:hint="eastAsia" w:ascii="宋体"/>
                <w:bCs/>
                <w:color w:val="auto"/>
                <w:sz w:val="21"/>
                <w:szCs w:val="21"/>
                <w:highlight w:val="none"/>
              </w:rPr>
              <w:t>年</w:t>
            </w:r>
            <w:r>
              <w:rPr>
                <w:rFonts w:hint="eastAsia" w:ascii="宋体"/>
                <w:bCs/>
                <w:color w:val="auto"/>
                <w:sz w:val="21"/>
                <w:szCs w:val="21"/>
                <w:highlight w:val="none"/>
                <w:lang w:val="en-US" w:eastAsia="zh-CN"/>
              </w:rPr>
              <w:t>7</w:t>
            </w:r>
            <w:r>
              <w:rPr>
                <w:rFonts w:hint="eastAsia" w:ascii="宋体"/>
                <w:bCs/>
                <w:color w:val="auto"/>
                <w:sz w:val="21"/>
                <w:szCs w:val="21"/>
                <w:highlight w:val="none"/>
              </w:rPr>
              <w:t>月</w:t>
            </w:r>
            <w:r>
              <w:rPr>
                <w:rFonts w:hint="eastAsia" w:ascii="宋体"/>
                <w:bCs/>
                <w:color w:val="auto"/>
                <w:sz w:val="21"/>
                <w:szCs w:val="21"/>
                <w:highlight w:val="none"/>
                <w:lang w:val="en-US" w:eastAsia="zh-CN"/>
              </w:rPr>
              <w:t>2</w:t>
            </w:r>
            <w:r>
              <w:rPr>
                <w:rFonts w:hint="eastAsia" w:ascii="宋体"/>
                <w:bCs/>
                <w:color w:val="auto"/>
                <w:sz w:val="21"/>
                <w:szCs w:val="21"/>
                <w:highlight w:val="none"/>
              </w:rPr>
              <w:t>日17：00之前通过书面形式提出，逾时不予解答。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16</w:t>
            </w:r>
          </w:p>
        </w:tc>
        <w:tc>
          <w:tcPr>
            <w:tcW w:w="1136" w:type="dxa"/>
            <w:vMerge w:val="restart"/>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中标原则</w:t>
            </w:r>
          </w:p>
        </w:tc>
        <w:tc>
          <w:tcPr>
            <w:tcW w:w="6946" w:type="dxa"/>
            <w:vAlign w:val="center"/>
          </w:tcPr>
          <w:p>
            <w:pPr>
              <w:keepNext w:val="0"/>
              <w:keepLines w:val="0"/>
              <w:pageBreakBefore w:val="0"/>
              <w:kinsoku/>
              <w:wordWrap/>
              <w:overflowPunct/>
              <w:topLinePunct w:val="0"/>
              <w:autoSpaceDE/>
              <w:autoSpaceDN/>
              <w:bidi w:val="0"/>
              <w:spacing w:line="336" w:lineRule="auto"/>
              <w:rPr>
                <w:color w:val="auto"/>
                <w:sz w:val="21"/>
                <w:szCs w:val="21"/>
                <w:highlight w:val="none"/>
              </w:rPr>
            </w:pPr>
            <w:r>
              <w:rPr>
                <w:rFonts w:hint="eastAsia" w:ascii="宋体"/>
                <w:bCs/>
                <w:color w:val="auto"/>
                <w:sz w:val="21"/>
                <w:szCs w:val="21"/>
                <w:highlight w:val="none"/>
              </w:rPr>
              <w:t>详见评标细则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17</w:t>
            </w:r>
          </w:p>
        </w:tc>
        <w:tc>
          <w:tcPr>
            <w:tcW w:w="1136" w:type="dxa"/>
            <w:vMerge w:val="continue"/>
            <w:vAlign w:val="center"/>
          </w:tcPr>
          <w:p>
            <w:pPr>
              <w:keepNext w:val="0"/>
              <w:keepLines w:val="0"/>
              <w:pageBreakBefore w:val="0"/>
              <w:tabs>
                <w:tab w:val="left" w:pos="1125"/>
              </w:tabs>
              <w:kinsoku/>
              <w:wordWrap/>
              <w:overflowPunct/>
              <w:topLinePunct w:val="0"/>
              <w:autoSpaceDE/>
              <w:autoSpaceDN/>
              <w:bidi w:val="0"/>
              <w:spacing w:line="336" w:lineRule="auto"/>
              <w:jc w:val="center"/>
              <w:rPr>
                <w:rFonts w:ascii="宋体"/>
                <w:color w:val="auto"/>
                <w:sz w:val="21"/>
                <w:szCs w:val="21"/>
                <w:highlight w:val="none"/>
              </w:rPr>
            </w:pPr>
          </w:p>
        </w:tc>
        <w:tc>
          <w:tcPr>
            <w:tcW w:w="6946" w:type="dxa"/>
            <w:vAlign w:val="center"/>
          </w:tcPr>
          <w:p>
            <w:pPr>
              <w:keepNext w:val="0"/>
              <w:keepLines w:val="0"/>
              <w:pageBreakBefore w:val="0"/>
              <w:kinsoku/>
              <w:wordWrap/>
              <w:overflowPunct/>
              <w:topLinePunct w:val="0"/>
              <w:autoSpaceDE/>
              <w:autoSpaceDN/>
              <w:bidi w:val="0"/>
              <w:snapToGrid w:val="0"/>
              <w:spacing w:line="336" w:lineRule="auto"/>
              <w:ind w:right="-24" w:rightChars="-10"/>
              <w:jc w:val="both"/>
              <w:rPr>
                <w:rFonts w:ascii="宋体"/>
                <w:color w:val="auto"/>
                <w:sz w:val="21"/>
                <w:szCs w:val="21"/>
                <w:highlight w:val="none"/>
              </w:rPr>
            </w:pPr>
            <w:r>
              <w:rPr>
                <w:rFonts w:hint="eastAsia" w:ascii="宋体"/>
                <w:color w:val="auto"/>
                <w:sz w:val="21"/>
                <w:szCs w:val="21"/>
                <w:highlight w:val="none"/>
              </w:rPr>
              <w:t>投标人的排名按总得分从高至低排序，得分一致的，以其中投标报价低者排名在前，如投标报价也相同则由抽签确定排名。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18</w:t>
            </w:r>
          </w:p>
        </w:tc>
        <w:tc>
          <w:tcPr>
            <w:tcW w:w="1136" w:type="dxa"/>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中标</w:t>
            </w:r>
          </w:p>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服务费</w:t>
            </w:r>
          </w:p>
        </w:tc>
        <w:tc>
          <w:tcPr>
            <w:tcW w:w="6946" w:type="dxa"/>
            <w:vAlign w:val="center"/>
          </w:tcPr>
          <w:p>
            <w:pPr>
              <w:keepNext w:val="0"/>
              <w:keepLines w:val="0"/>
              <w:pageBreakBefore w:val="0"/>
              <w:kinsoku/>
              <w:wordWrap/>
              <w:overflowPunct/>
              <w:topLinePunct w:val="0"/>
              <w:autoSpaceDE/>
              <w:autoSpaceDN/>
              <w:bidi w:val="0"/>
              <w:spacing w:line="336" w:lineRule="auto"/>
              <w:rPr>
                <w:color w:val="auto"/>
                <w:sz w:val="21"/>
                <w:szCs w:val="21"/>
                <w:highlight w:val="none"/>
              </w:rPr>
            </w:pPr>
            <w:r>
              <w:rPr>
                <w:rFonts w:hint="eastAsia"/>
                <w:color w:val="auto"/>
                <w:sz w:val="21"/>
                <w:szCs w:val="21"/>
                <w:highlight w:val="none"/>
              </w:rPr>
              <w:t>中标服务费：中标人在领取中标通知书时向</w:t>
            </w:r>
            <w:r>
              <w:rPr>
                <w:rFonts w:hint="eastAsia"/>
                <w:color w:val="auto"/>
                <w:sz w:val="21"/>
                <w:szCs w:val="21"/>
                <w:highlight w:val="none"/>
                <w:u w:val="single"/>
              </w:rPr>
              <w:t>宁波市国际招标有限公司</w:t>
            </w:r>
            <w:r>
              <w:rPr>
                <w:rFonts w:hint="eastAsia"/>
                <w:color w:val="auto"/>
                <w:sz w:val="21"/>
                <w:szCs w:val="21"/>
                <w:highlight w:val="none"/>
              </w:rPr>
              <w:t>一次性交纳中标服务费</w:t>
            </w:r>
            <w:r>
              <w:rPr>
                <w:color w:val="auto"/>
                <w:sz w:val="21"/>
                <w:szCs w:val="21"/>
                <w:highlight w:val="none"/>
              </w:rPr>
              <w:t>。</w:t>
            </w:r>
            <w:r>
              <w:rPr>
                <w:rFonts w:hint="eastAsia"/>
                <w:color w:val="auto"/>
                <w:sz w:val="21"/>
                <w:szCs w:val="21"/>
                <w:highlight w:val="none"/>
              </w:rPr>
              <w:t>中标服务费金额为以中标人的投标报价金额作为计算基数，按国家计委(计价格【2002】1980)号文件规定收取。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28" w:type="dxa"/>
            <w:gridSpan w:val="3"/>
            <w:tcBorders>
              <w:right w:val="single" w:color="auto" w:sz="4" w:space="0"/>
            </w:tcBorders>
            <w:vAlign w:val="center"/>
          </w:tcPr>
          <w:p>
            <w:pPr>
              <w:pStyle w:val="54"/>
              <w:keepNext w:val="0"/>
              <w:keepLines w:val="0"/>
              <w:pageBreakBefore w:val="0"/>
              <w:kinsoku/>
              <w:wordWrap/>
              <w:overflowPunct/>
              <w:topLinePunct w:val="0"/>
              <w:autoSpaceDE/>
              <w:autoSpaceDN/>
              <w:bidi w:val="0"/>
              <w:spacing w:line="336" w:lineRule="auto"/>
              <w:jc w:val="center"/>
              <w:rPr>
                <w:bCs/>
                <w:color w:val="auto"/>
                <w:highlight w:val="none"/>
              </w:rPr>
            </w:pPr>
            <w:r>
              <w:rPr>
                <w:rFonts w:hint="eastAsia"/>
                <w:bCs/>
                <w:color w:val="auto"/>
                <w:highlight w:val="none"/>
              </w:rPr>
              <w:t>合同通用条款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right w:val="single" w:color="auto" w:sz="4" w:space="0"/>
            </w:tcBorders>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*19</w:t>
            </w:r>
          </w:p>
        </w:tc>
        <w:tc>
          <w:tcPr>
            <w:tcW w:w="1136" w:type="dxa"/>
            <w:tcBorders>
              <w:right w:val="single" w:color="auto" w:sz="4" w:space="0"/>
            </w:tcBorders>
            <w:vAlign w:val="center"/>
          </w:tcPr>
          <w:p>
            <w:pPr>
              <w:keepNext w:val="0"/>
              <w:keepLines w:val="0"/>
              <w:pageBreakBefore w:val="0"/>
              <w:kinsoku/>
              <w:wordWrap/>
              <w:overflowPunct/>
              <w:topLinePunct w:val="0"/>
              <w:autoSpaceDE/>
              <w:autoSpaceDN/>
              <w:bidi w:val="0"/>
              <w:snapToGrid w:val="0"/>
              <w:spacing w:line="336" w:lineRule="auto"/>
              <w:jc w:val="center"/>
              <w:rPr>
                <w:rFonts w:hint="default" w:ascii="宋体" w:eastAsia="宋体"/>
                <w:color w:val="auto"/>
                <w:kern w:val="2"/>
                <w:sz w:val="21"/>
                <w:szCs w:val="21"/>
                <w:highlight w:val="none"/>
                <w:lang w:val="en-US" w:eastAsia="zh-CN"/>
              </w:rPr>
            </w:pPr>
            <w:r>
              <w:rPr>
                <w:rFonts w:hint="eastAsia" w:ascii="宋体"/>
                <w:color w:val="auto"/>
                <w:kern w:val="2"/>
                <w:sz w:val="21"/>
                <w:szCs w:val="21"/>
                <w:highlight w:val="none"/>
                <w:lang w:val="en-US" w:eastAsia="zh-CN"/>
              </w:rPr>
              <w:t>维保期限</w:t>
            </w:r>
          </w:p>
        </w:tc>
        <w:tc>
          <w:tcPr>
            <w:tcW w:w="6946" w:type="dxa"/>
            <w:vAlign w:val="center"/>
          </w:tcPr>
          <w:p>
            <w:pPr>
              <w:keepNext w:val="0"/>
              <w:keepLines w:val="0"/>
              <w:pageBreakBefore w:val="0"/>
              <w:kinsoku/>
              <w:wordWrap/>
              <w:overflowPunct/>
              <w:topLinePunct w:val="0"/>
              <w:autoSpaceDE/>
              <w:autoSpaceDN/>
              <w:bidi w:val="0"/>
              <w:snapToGrid w:val="0"/>
              <w:spacing w:line="336" w:lineRule="auto"/>
              <w:jc w:val="left"/>
              <w:rPr>
                <w:rFonts w:hint="eastAsia" w:ascii="宋体" w:eastAsia="宋体"/>
                <w:color w:val="auto"/>
                <w:kern w:val="2"/>
                <w:sz w:val="21"/>
                <w:szCs w:val="21"/>
                <w:highlight w:val="none"/>
                <w:lang w:val="en-US" w:eastAsia="zh-CN"/>
              </w:rPr>
            </w:pPr>
            <w:r>
              <w:rPr>
                <w:rFonts w:hint="eastAsia" w:ascii="宋体" w:eastAsia="宋体"/>
                <w:color w:val="auto"/>
                <w:kern w:val="2"/>
                <w:sz w:val="21"/>
                <w:szCs w:val="21"/>
                <w:highlight w:val="none"/>
                <w:lang w:val="en-US" w:eastAsia="zh-CN"/>
              </w:rPr>
              <w:t>2022年8月5日起至2023年8月31日止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tcBorders>
              <w:right w:val="single" w:color="auto" w:sz="4" w:space="0"/>
            </w:tcBorders>
            <w:vAlign w:val="center"/>
          </w:tcPr>
          <w:p>
            <w:pPr>
              <w:keepNext w:val="0"/>
              <w:keepLines w:val="0"/>
              <w:pageBreakBefore w:val="0"/>
              <w:kinsoku/>
              <w:wordWrap/>
              <w:overflowPunct/>
              <w:topLinePunct w:val="0"/>
              <w:autoSpaceDE/>
              <w:autoSpaceDN/>
              <w:bidi w:val="0"/>
              <w:spacing w:line="336" w:lineRule="auto"/>
              <w:jc w:val="center"/>
              <w:rPr>
                <w:rFonts w:ascii="宋体"/>
                <w:bCs/>
                <w:color w:val="auto"/>
                <w:sz w:val="21"/>
                <w:szCs w:val="21"/>
                <w:highlight w:val="none"/>
              </w:rPr>
            </w:pPr>
            <w:r>
              <w:rPr>
                <w:rFonts w:hint="eastAsia" w:ascii="宋体"/>
                <w:bCs/>
                <w:color w:val="auto"/>
                <w:sz w:val="21"/>
                <w:szCs w:val="21"/>
                <w:highlight w:val="none"/>
              </w:rPr>
              <w:t>*20</w:t>
            </w:r>
          </w:p>
        </w:tc>
        <w:tc>
          <w:tcPr>
            <w:tcW w:w="1136" w:type="dxa"/>
            <w:tcBorders>
              <w:right w:val="single" w:color="auto" w:sz="4" w:space="0"/>
            </w:tcBorders>
            <w:vAlign w:val="center"/>
          </w:tcPr>
          <w:p>
            <w:pPr>
              <w:keepNext w:val="0"/>
              <w:keepLines w:val="0"/>
              <w:pageBreakBefore w:val="0"/>
              <w:kinsoku/>
              <w:wordWrap/>
              <w:overflowPunct/>
              <w:topLinePunct w:val="0"/>
              <w:autoSpaceDE/>
              <w:autoSpaceDN/>
              <w:bidi w:val="0"/>
              <w:snapToGrid w:val="0"/>
              <w:spacing w:line="336" w:lineRule="auto"/>
              <w:jc w:val="center"/>
              <w:rPr>
                <w:rFonts w:ascii="宋体" w:hAnsi="宋体"/>
                <w:b/>
                <w:color w:val="auto"/>
                <w:sz w:val="21"/>
                <w:szCs w:val="21"/>
                <w:highlight w:val="none"/>
              </w:rPr>
            </w:pPr>
            <w:r>
              <w:rPr>
                <w:rFonts w:hint="eastAsia" w:ascii="宋体" w:hAnsi="宋体"/>
                <w:b/>
                <w:color w:val="auto"/>
                <w:sz w:val="21"/>
                <w:szCs w:val="21"/>
                <w:highlight w:val="none"/>
              </w:rPr>
              <w:t>质保期</w:t>
            </w:r>
          </w:p>
        </w:tc>
        <w:tc>
          <w:tcPr>
            <w:tcW w:w="6946" w:type="dxa"/>
            <w:vAlign w:val="center"/>
          </w:tcPr>
          <w:p>
            <w:pPr>
              <w:pStyle w:val="2"/>
              <w:keepNext w:val="0"/>
              <w:keepLines w:val="0"/>
              <w:pageBreakBefore w:val="0"/>
              <w:kinsoku/>
              <w:wordWrap/>
              <w:overflowPunct/>
              <w:topLinePunct w:val="0"/>
              <w:autoSpaceDE/>
              <w:autoSpaceDN/>
              <w:bidi w:val="0"/>
              <w:spacing w:line="336" w:lineRule="auto"/>
              <w:rPr>
                <w:rFonts w:ascii="宋体"/>
                <w:color w:val="auto"/>
                <w:sz w:val="21"/>
                <w:szCs w:val="21"/>
                <w:highlight w:val="none"/>
              </w:rPr>
            </w:pPr>
            <w:r>
              <w:rPr>
                <w:rFonts w:hint="eastAsia" w:ascii="宋体"/>
                <w:color w:val="auto"/>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color w:val="auto"/>
                <w:sz w:val="21"/>
                <w:szCs w:val="21"/>
                <w:highlight w:val="none"/>
              </w:rPr>
            </w:pPr>
            <w:r>
              <w:rPr>
                <w:rFonts w:hint="eastAsia" w:ascii="宋体"/>
                <w:color w:val="auto"/>
                <w:sz w:val="21"/>
                <w:szCs w:val="21"/>
                <w:highlight w:val="none"/>
              </w:rPr>
              <w:t>21</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color w:val="auto"/>
                <w:kern w:val="2"/>
                <w:sz w:val="21"/>
                <w:szCs w:val="21"/>
                <w:highlight w:val="none"/>
              </w:rPr>
            </w:pPr>
            <w:r>
              <w:rPr>
                <w:rFonts w:hint="eastAsia" w:ascii="宋体"/>
                <w:color w:val="auto"/>
                <w:kern w:val="2"/>
                <w:sz w:val="21"/>
                <w:szCs w:val="21"/>
                <w:highlight w:val="none"/>
              </w:rPr>
              <w:t>付款条件</w:t>
            </w:r>
          </w:p>
        </w:tc>
        <w:tc>
          <w:tcPr>
            <w:tcW w:w="6946" w:type="dxa"/>
            <w:vAlign w:val="center"/>
          </w:tcPr>
          <w:p>
            <w:pPr>
              <w:pStyle w:val="174"/>
              <w:ind w:firstLine="0" w:firstLineChars="0"/>
              <w:rPr>
                <w:rFonts w:hint="eastAsia" w:ascii="宋体" w:hAnsi="宋体" w:cs="宋体"/>
                <w:color w:val="auto"/>
                <w:sz w:val="21"/>
                <w:szCs w:val="21"/>
                <w:highlight w:val="none"/>
              </w:rPr>
            </w:pPr>
            <w:r>
              <w:rPr>
                <w:rFonts w:hint="eastAsia" w:ascii="宋体" w:hAnsi="宋体" w:cs="宋体"/>
                <w:color w:val="auto"/>
                <w:sz w:val="21"/>
                <w:szCs w:val="21"/>
                <w:highlight w:val="none"/>
              </w:rPr>
              <w:t>（1）乙方在合同签订后</w:t>
            </w:r>
            <w:r>
              <w:rPr>
                <w:rFonts w:hint="eastAsia" w:ascii="宋体" w:hAnsi="宋体" w:cs="宋体"/>
                <w:color w:val="auto"/>
                <w:sz w:val="21"/>
                <w:szCs w:val="21"/>
                <w:highlight w:val="none"/>
                <w:lang w:val="en-US" w:eastAsia="zh-CN"/>
              </w:rPr>
              <w:t>7</w:t>
            </w:r>
            <w:r>
              <w:rPr>
                <w:rFonts w:hint="eastAsia" w:ascii="宋体" w:hAnsi="宋体" w:cs="宋体"/>
                <w:color w:val="auto"/>
                <w:sz w:val="21"/>
                <w:szCs w:val="21"/>
                <w:highlight w:val="none"/>
              </w:rPr>
              <w:t>个工作日内把合同总价的</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%作为履约保证金打入宁波市公安局交通警察局专用账户，维保期满后30个工作日内一次</w:t>
            </w:r>
            <w:r>
              <w:rPr>
                <w:rFonts w:hint="eastAsia" w:ascii="宋体" w:hAnsi="宋体" w:cs="宋体"/>
                <w:color w:val="auto"/>
                <w:sz w:val="21"/>
                <w:szCs w:val="21"/>
                <w:highlight w:val="none"/>
                <w:lang w:val="en-US" w:eastAsia="zh-CN"/>
              </w:rPr>
              <w:t>性</w:t>
            </w:r>
            <w:r>
              <w:rPr>
                <w:rFonts w:hint="eastAsia" w:ascii="宋体" w:hAnsi="宋体" w:cs="宋体"/>
                <w:color w:val="auto"/>
                <w:sz w:val="21"/>
                <w:szCs w:val="21"/>
                <w:highlight w:val="none"/>
              </w:rPr>
              <w:t>退还（无息）。</w:t>
            </w:r>
          </w:p>
          <w:p>
            <w:pPr>
              <w:pStyle w:val="174"/>
              <w:ind w:firstLine="0" w:firstLineChars="0"/>
              <w:rPr>
                <w:rFonts w:hint="eastAsia" w:ascii="宋体" w:hAnsi="宋体" w:cs="宋体"/>
                <w:color w:val="auto"/>
                <w:sz w:val="21"/>
                <w:szCs w:val="21"/>
                <w:highlight w:val="none"/>
              </w:rPr>
            </w:pPr>
            <w:r>
              <w:rPr>
                <w:rFonts w:hint="eastAsia" w:ascii="宋体" w:hAnsi="宋体" w:cs="宋体"/>
                <w:color w:val="auto"/>
                <w:sz w:val="21"/>
                <w:szCs w:val="21"/>
                <w:highlight w:val="none"/>
              </w:rPr>
              <w:t>（2）第一次付款：合同签订30个工作日内甲方向乙方支付</w:t>
            </w:r>
            <w:r>
              <w:rPr>
                <w:rFonts w:hint="eastAsia" w:ascii="宋体" w:hAnsi="宋体" w:cs="宋体"/>
                <w:color w:val="auto"/>
                <w:sz w:val="21"/>
                <w:szCs w:val="21"/>
                <w:highlight w:val="none"/>
                <w:lang w:val="en-US" w:eastAsia="zh-CN"/>
              </w:rPr>
              <w:t>8.06</w:t>
            </w:r>
            <w:r>
              <w:rPr>
                <w:rFonts w:hint="eastAsia" w:ascii="宋体" w:hAnsi="宋体" w:cs="宋体"/>
                <w:color w:val="auto"/>
                <w:sz w:val="21"/>
                <w:szCs w:val="21"/>
                <w:highlight w:val="none"/>
              </w:rPr>
              <w:t>万元，乙方提供合法票据。</w:t>
            </w:r>
          </w:p>
          <w:p>
            <w:pPr>
              <w:pStyle w:val="174"/>
              <w:ind w:firstLine="0" w:firstLineChars="0"/>
              <w:rPr>
                <w:rFonts w:hint="eastAsia" w:ascii="宋体" w:hAnsi="宋体" w:cs="宋体"/>
                <w:i w:val="0"/>
                <w:iCs w:val="0"/>
                <w:color w:val="auto"/>
                <w:sz w:val="21"/>
                <w:szCs w:val="21"/>
                <w:highlight w:val="none"/>
              </w:rPr>
            </w:pP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3</w:t>
            </w:r>
            <w:r>
              <w:rPr>
                <w:rFonts w:hint="eastAsia" w:ascii="宋体" w:hAnsi="宋体" w:cs="宋体"/>
                <w:color w:val="auto"/>
                <w:sz w:val="21"/>
                <w:szCs w:val="21"/>
                <w:highlight w:val="none"/>
              </w:rPr>
              <w:t>）第二次付款：维保</w:t>
            </w:r>
            <w:r>
              <w:rPr>
                <w:rFonts w:hint="eastAsia" w:ascii="宋体" w:hAnsi="宋体" w:cs="宋体"/>
                <w:color w:val="auto"/>
                <w:sz w:val="21"/>
                <w:szCs w:val="21"/>
                <w:highlight w:val="none"/>
                <w:lang w:val="en-US" w:eastAsia="zh-CN"/>
              </w:rPr>
              <w:t>服务6个月后，30个</w:t>
            </w:r>
            <w:r>
              <w:rPr>
                <w:rFonts w:hint="eastAsia" w:ascii="宋体" w:hAnsi="宋体" w:cs="宋体"/>
                <w:color w:val="auto"/>
                <w:sz w:val="21"/>
                <w:szCs w:val="21"/>
                <w:highlight w:val="none"/>
              </w:rPr>
              <w:t>工作日内甲方向乙方支付合</w:t>
            </w:r>
            <w:r>
              <w:rPr>
                <w:rFonts w:hint="eastAsia" w:ascii="宋体" w:hAnsi="宋体" w:cs="宋体"/>
                <w:i w:val="0"/>
                <w:iCs w:val="0"/>
                <w:color w:val="auto"/>
                <w:sz w:val="21"/>
                <w:szCs w:val="21"/>
                <w:highlight w:val="none"/>
              </w:rPr>
              <w:t>同</w:t>
            </w:r>
            <w:r>
              <w:rPr>
                <w:rFonts w:hint="eastAsia" w:ascii="宋体" w:hAnsi="宋体" w:cs="宋体"/>
                <w:color w:val="auto"/>
                <w:sz w:val="21"/>
                <w:szCs w:val="21"/>
                <w:highlight w:val="none"/>
              </w:rPr>
              <w:t>尾款的5</w:t>
            </w:r>
            <w:r>
              <w:rPr>
                <w:rFonts w:hint="eastAsia" w:ascii="宋体" w:hAnsi="宋体" w:cs="宋体"/>
                <w:color w:val="auto"/>
                <w:sz w:val="21"/>
                <w:szCs w:val="21"/>
                <w:highlight w:val="none"/>
                <w:lang w:val="en-US" w:eastAsia="zh-CN"/>
              </w:rPr>
              <w:t>0</w:t>
            </w:r>
            <w:r>
              <w:rPr>
                <w:rFonts w:hint="eastAsia" w:ascii="宋体" w:hAnsi="宋体" w:cs="宋体"/>
                <w:color w:val="auto"/>
                <w:sz w:val="21"/>
                <w:szCs w:val="21"/>
                <w:highlight w:val="none"/>
              </w:rPr>
              <w:t>%</w:t>
            </w:r>
            <w:r>
              <w:rPr>
                <w:rFonts w:hint="eastAsia" w:ascii="宋体" w:hAnsi="宋体" w:cs="宋体"/>
                <w:i w:val="0"/>
                <w:iCs w:val="0"/>
                <w:color w:val="auto"/>
                <w:sz w:val="21"/>
                <w:szCs w:val="21"/>
                <w:highlight w:val="none"/>
              </w:rPr>
              <w:t>，乙方提供合法票据。</w:t>
            </w:r>
          </w:p>
          <w:p>
            <w:pPr>
              <w:pStyle w:val="174"/>
              <w:ind w:firstLine="0" w:firstLineChars="0"/>
              <w:rPr>
                <w:rFonts w:hint="eastAsia" w:ascii="宋体" w:hAnsi="宋体"/>
                <w:color w:val="auto"/>
                <w:sz w:val="21"/>
                <w:szCs w:val="21"/>
                <w:highlight w:val="none"/>
              </w:rPr>
            </w:pPr>
            <w:r>
              <w:rPr>
                <w:rFonts w:hint="eastAsia" w:ascii="宋体" w:hAnsi="宋体" w:cs="宋体"/>
                <w:i w:val="0"/>
                <w:iCs w:val="0"/>
                <w:color w:val="auto"/>
                <w:sz w:val="21"/>
                <w:szCs w:val="21"/>
                <w:highlight w:val="none"/>
              </w:rPr>
              <w:t>（</w:t>
            </w:r>
            <w:r>
              <w:rPr>
                <w:rFonts w:hint="eastAsia" w:ascii="宋体" w:hAnsi="宋体" w:cs="宋体"/>
                <w:i w:val="0"/>
                <w:iCs w:val="0"/>
                <w:color w:val="auto"/>
                <w:sz w:val="21"/>
                <w:szCs w:val="21"/>
                <w:highlight w:val="none"/>
                <w:lang w:val="en-US" w:eastAsia="zh-CN"/>
              </w:rPr>
              <w:t>4</w:t>
            </w:r>
            <w:r>
              <w:rPr>
                <w:rFonts w:hint="eastAsia" w:ascii="宋体" w:hAnsi="宋体" w:cs="宋体"/>
                <w:i w:val="0"/>
                <w:iCs w:val="0"/>
                <w:color w:val="auto"/>
                <w:sz w:val="21"/>
                <w:szCs w:val="21"/>
                <w:highlight w:val="none"/>
              </w:rPr>
              <w:t>）第</w:t>
            </w:r>
            <w:r>
              <w:rPr>
                <w:rFonts w:hint="eastAsia" w:ascii="宋体" w:hAnsi="宋体" w:cs="宋体"/>
                <w:i w:val="0"/>
                <w:iCs w:val="0"/>
                <w:color w:val="auto"/>
                <w:sz w:val="21"/>
                <w:szCs w:val="21"/>
                <w:highlight w:val="none"/>
                <w:lang w:val="en-US" w:eastAsia="zh-CN"/>
              </w:rPr>
              <w:t>三</w:t>
            </w:r>
            <w:r>
              <w:rPr>
                <w:rFonts w:hint="eastAsia" w:ascii="宋体" w:hAnsi="宋体" w:cs="宋体"/>
                <w:i w:val="0"/>
                <w:iCs w:val="0"/>
                <w:color w:val="auto"/>
                <w:sz w:val="21"/>
                <w:szCs w:val="21"/>
                <w:highlight w:val="none"/>
              </w:rPr>
              <w:t>次付款：维保</w:t>
            </w:r>
            <w:r>
              <w:rPr>
                <w:rFonts w:hint="eastAsia" w:ascii="宋体" w:hAnsi="宋体" w:cs="宋体"/>
                <w:i w:val="0"/>
                <w:iCs w:val="0"/>
                <w:color w:val="auto"/>
                <w:sz w:val="21"/>
                <w:szCs w:val="21"/>
                <w:highlight w:val="none"/>
                <w:lang w:val="en-US" w:eastAsia="zh-CN"/>
              </w:rPr>
              <w:t>期满</w:t>
            </w:r>
            <w:r>
              <w:rPr>
                <w:rFonts w:hint="eastAsia" w:ascii="宋体" w:hAnsi="宋体" w:cs="宋体"/>
                <w:i w:val="0"/>
                <w:iCs w:val="0"/>
                <w:color w:val="auto"/>
                <w:sz w:val="21"/>
                <w:szCs w:val="21"/>
                <w:highlight w:val="none"/>
              </w:rPr>
              <w:t>后30个工作日甲方内向乙方支付合</w:t>
            </w:r>
            <w:r>
              <w:rPr>
                <w:rFonts w:hint="eastAsia" w:ascii="宋体" w:hAnsi="宋体" w:cs="宋体"/>
                <w:color w:val="auto"/>
                <w:sz w:val="21"/>
                <w:szCs w:val="21"/>
                <w:highlight w:val="none"/>
              </w:rPr>
              <w:t>同尾款，乙方提供合法票据。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color w:val="auto"/>
                <w:sz w:val="21"/>
                <w:szCs w:val="21"/>
                <w:highlight w:val="none"/>
              </w:rPr>
            </w:pPr>
            <w:r>
              <w:rPr>
                <w:rFonts w:hint="eastAsia" w:ascii="宋体"/>
                <w:color w:val="auto"/>
                <w:sz w:val="21"/>
                <w:szCs w:val="21"/>
                <w:highlight w:val="none"/>
              </w:rPr>
              <w:t>22</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color w:val="auto"/>
                <w:kern w:val="2"/>
                <w:sz w:val="21"/>
                <w:szCs w:val="21"/>
                <w:highlight w:val="none"/>
              </w:rPr>
            </w:pPr>
            <w:r>
              <w:rPr>
                <w:rFonts w:hint="eastAsia" w:ascii="宋体"/>
                <w:color w:val="auto"/>
                <w:kern w:val="2"/>
                <w:sz w:val="21"/>
                <w:szCs w:val="21"/>
                <w:highlight w:val="none"/>
              </w:rPr>
              <w:t>履约保证金</w:t>
            </w:r>
          </w:p>
        </w:tc>
        <w:tc>
          <w:tcPr>
            <w:tcW w:w="6946" w:type="dxa"/>
            <w:vAlign w:val="center"/>
          </w:tcPr>
          <w:p>
            <w:pPr>
              <w:pStyle w:val="2"/>
              <w:keepNext w:val="0"/>
              <w:keepLines w:val="0"/>
              <w:pageBreakBefore w:val="0"/>
              <w:kinsoku/>
              <w:wordWrap/>
              <w:overflowPunct/>
              <w:topLinePunct w:val="0"/>
              <w:autoSpaceDE/>
              <w:autoSpaceDN/>
              <w:bidi w:val="0"/>
              <w:spacing w:line="336" w:lineRule="auto"/>
              <w:rPr>
                <w:rFonts w:hint="eastAsia" w:ascii="宋体"/>
                <w:color w:val="auto"/>
                <w:sz w:val="21"/>
                <w:szCs w:val="21"/>
                <w:highlight w:val="none"/>
              </w:rPr>
            </w:pPr>
            <w:r>
              <w:rPr>
                <w:rFonts w:hint="eastAsia" w:ascii="宋体"/>
                <w:color w:val="auto"/>
                <w:sz w:val="21"/>
                <w:szCs w:val="21"/>
                <w:highlight w:val="none"/>
              </w:rPr>
              <w:t>履约保证金金额：合同总价的</w:t>
            </w:r>
            <w:r>
              <w:rPr>
                <w:rFonts w:hint="eastAsia" w:ascii="宋体"/>
                <w:color w:val="auto"/>
                <w:sz w:val="21"/>
                <w:szCs w:val="21"/>
                <w:highlight w:val="none"/>
                <w:lang w:val="en-US" w:eastAsia="zh-CN"/>
              </w:rPr>
              <w:t>1</w:t>
            </w:r>
            <w:r>
              <w:rPr>
                <w:rFonts w:hint="eastAsia" w:ascii="宋体"/>
                <w:color w:val="auto"/>
                <w:sz w:val="21"/>
                <w:szCs w:val="21"/>
                <w:highlight w:val="none"/>
              </w:rPr>
              <w:t>%，在履约过程中有约扣款的则在扣款后中标人应立即补足履约保证金；</w:t>
            </w:r>
          </w:p>
          <w:p>
            <w:pPr>
              <w:pStyle w:val="38"/>
              <w:ind w:left="0" w:leftChars="0" w:firstLine="0" w:firstLineChars="0"/>
              <w:rPr>
                <w:rFonts w:hint="default" w:eastAsia="宋体"/>
                <w:color w:val="auto"/>
                <w:highlight w:val="none"/>
                <w:lang w:val="en-US" w:eastAsia="zh-CN"/>
              </w:rPr>
            </w:pPr>
            <w:r>
              <w:rPr>
                <w:rFonts w:hint="eastAsia"/>
                <w:color w:val="auto"/>
                <w:highlight w:val="none"/>
                <w:lang w:val="en-US" w:eastAsia="zh-CN"/>
              </w:rPr>
              <w:t>递交时间：合同签订后7个工作日内</w:t>
            </w:r>
          </w:p>
          <w:p>
            <w:pPr>
              <w:pStyle w:val="2"/>
              <w:keepNext w:val="0"/>
              <w:keepLines w:val="0"/>
              <w:pageBreakBefore w:val="0"/>
              <w:kinsoku/>
              <w:wordWrap/>
              <w:overflowPunct/>
              <w:topLinePunct w:val="0"/>
              <w:autoSpaceDE/>
              <w:autoSpaceDN/>
              <w:bidi w:val="0"/>
              <w:spacing w:line="336" w:lineRule="auto"/>
              <w:rPr>
                <w:rFonts w:ascii="宋体"/>
                <w:color w:val="auto"/>
                <w:sz w:val="21"/>
                <w:szCs w:val="21"/>
                <w:highlight w:val="none"/>
              </w:rPr>
            </w:pPr>
            <w:r>
              <w:rPr>
                <w:rFonts w:hint="eastAsia" w:ascii="宋体"/>
                <w:color w:val="auto"/>
                <w:sz w:val="21"/>
                <w:szCs w:val="21"/>
                <w:highlight w:val="none"/>
              </w:rPr>
              <w:t>履约保证金形式：电汇、银行或保险公司出具的履约保函。</w:t>
            </w:r>
          </w:p>
          <w:p>
            <w:pPr>
              <w:pStyle w:val="2"/>
              <w:keepNext w:val="0"/>
              <w:keepLines w:val="0"/>
              <w:pageBreakBefore w:val="0"/>
              <w:kinsoku/>
              <w:wordWrap/>
              <w:overflowPunct/>
              <w:topLinePunct w:val="0"/>
              <w:autoSpaceDE/>
              <w:autoSpaceDN/>
              <w:bidi w:val="0"/>
              <w:spacing w:line="336" w:lineRule="auto"/>
              <w:rPr>
                <w:rFonts w:ascii="宋体"/>
                <w:color w:val="auto"/>
                <w:sz w:val="21"/>
                <w:szCs w:val="21"/>
                <w:highlight w:val="none"/>
              </w:rPr>
            </w:pPr>
            <w:r>
              <w:rPr>
                <w:rFonts w:hint="eastAsia" w:ascii="宋体" w:hAnsi="宋体"/>
                <w:color w:val="auto"/>
                <w:sz w:val="21"/>
                <w:szCs w:val="21"/>
                <w:highlight w:val="none"/>
              </w:rPr>
              <w:t>履约保证金在终验后7个工作日内一次退还（无息）。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color w:val="auto"/>
                <w:sz w:val="21"/>
                <w:szCs w:val="21"/>
                <w:highlight w:val="none"/>
              </w:rPr>
            </w:pPr>
            <w:r>
              <w:rPr>
                <w:rFonts w:hint="eastAsia" w:ascii="宋体"/>
                <w:color w:val="auto"/>
                <w:sz w:val="21"/>
                <w:szCs w:val="21"/>
                <w:highlight w:val="none"/>
              </w:rPr>
              <w:t>23</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color w:val="auto"/>
                <w:kern w:val="2"/>
                <w:sz w:val="21"/>
                <w:szCs w:val="21"/>
                <w:highlight w:val="none"/>
              </w:rPr>
            </w:pPr>
            <w:r>
              <w:rPr>
                <w:rFonts w:hint="eastAsia" w:ascii="宋体"/>
                <w:color w:val="auto"/>
                <w:kern w:val="2"/>
                <w:sz w:val="21"/>
                <w:szCs w:val="21"/>
                <w:highlight w:val="none"/>
              </w:rPr>
              <w:t>售后服务</w:t>
            </w:r>
          </w:p>
        </w:tc>
        <w:tc>
          <w:tcPr>
            <w:tcW w:w="6946" w:type="dxa"/>
            <w:vAlign w:val="center"/>
          </w:tcPr>
          <w:p>
            <w:pPr>
              <w:pStyle w:val="2"/>
              <w:keepNext w:val="0"/>
              <w:keepLines w:val="0"/>
              <w:pageBreakBefore w:val="0"/>
              <w:kinsoku/>
              <w:wordWrap/>
              <w:overflowPunct/>
              <w:topLinePunct w:val="0"/>
              <w:autoSpaceDE/>
              <w:autoSpaceDN/>
              <w:bidi w:val="0"/>
              <w:spacing w:line="336" w:lineRule="auto"/>
              <w:rPr>
                <w:rFonts w:ascii="宋体" w:hAnsi="宋体"/>
                <w:color w:val="auto"/>
                <w:sz w:val="21"/>
                <w:szCs w:val="21"/>
                <w:highlight w:val="none"/>
              </w:rPr>
            </w:pPr>
            <w:r>
              <w:rPr>
                <w:rFonts w:hint="eastAsia" w:ascii="宋体" w:hAnsi="宋体"/>
                <w:color w:val="auto"/>
                <w:sz w:val="21"/>
                <w:szCs w:val="21"/>
                <w:highlight w:val="none"/>
              </w:rPr>
              <w:t>接到用户通知后10分钟响应，45分钟内到达用户现场，常规故障4小时解决，非常规故障24小时解决，在24小时之内无法解决的，中标单位提供相应的备品备件，避免影响业务工作的正常开展。（招标文件第四部分有特别要求的按第四部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color w:val="auto"/>
                <w:sz w:val="21"/>
                <w:szCs w:val="21"/>
                <w:highlight w:val="none"/>
              </w:rPr>
            </w:pPr>
            <w:r>
              <w:rPr>
                <w:rFonts w:hint="eastAsia" w:ascii="宋体"/>
                <w:color w:val="auto"/>
                <w:sz w:val="21"/>
                <w:szCs w:val="21"/>
                <w:highlight w:val="none"/>
              </w:rPr>
              <w:t>24</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hint="default" w:ascii="宋体" w:eastAsia="宋体"/>
                <w:color w:val="auto"/>
                <w:kern w:val="2"/>
                <w:sz w:val="21"/>
                <w:szCs w:val="21"/>
                <w:highlight w:val="none"/>
                <w:lang w:val="en-US" w:eastAsia="zh-CN"/>
              </w:rPr>
            </w:pPr>
            <w:r>
              <w:rPr>
                <w:rFonts w:hint="eastAsia" w:ascii="宋体"/>
                <w:color w:val="auto"/>
                <w:kern w:val="2"/>
                <w:sz w:val="21"/>
                <w:szCs w:val="21"/>
                <w:highlight w:val="none"/>
                <w:lang w:val="en-US" w:eastAsia="zh-CN"/>
              </w:rPr>
              <w:t>维保地点</w:t>
            </w:r>
          </w:p>
        </w:tc>
        <w:tc>
          <w:tcPr>
            <w:tcW w:w="6946" w:type="dxa"/>
            <w:vAlign w:val="center"/>
          </w:tcPr>
          <w:p>
            <w:pPr>
              <w:keepNext w:val="0"/>
              <w:keepLines w:val="0"/>
              <w:pageBreakBefore w:val="0"/>
              <w:kinsoku/>
              <w:wordWrap/>
              <w:overflowPunct/>
              <w:topLinePunct w:val="0"/>
              <w:autoSpaceDE/>
              <w:autoSpaceDN/>
              <w:bidi w:val="0"/>
              <w:spacing w:line="336" w:lineRule="auto"/>
              <w:jc w:val="both"/>
              <w:rPr>
                <w:rFonts w:ascii="宋体"/>
                <w:color w:val="auto"/>
                <w:kern w:val="2"/>
                <w:sz w:val="21"/>
                <w:szCs w:val="21"/>
                <w:highlight w:val="none"/>
              </w:rPr>
            </w:pPr>
            <w:r>
              <w:rPr>
                <w:rFonts w:hint="eastAsia" w:ascii="宋体"/>
                <w:color w:val="auto"/>
                <w:kern w:val="2"/>
                <w:sz w:val="21"/>
                <w:szCs w:val="21"/>
                <w:highlight w:val="none"/>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color w:val="auto"/>
                <w:sz w:val="21"/>
                <w:szCs w:val="21"/>
                <w:highlight w:val="none"/>
              </w:rPr>
            </w:pPr>
            <w:r>
              <w:rPr>
                <w:rFonts w:hint="eastAsia" w:ascii="宋体"/>
                <w:color w:val="auto"/>
                <w:sz w:val="21"/>
                <w:szCs w:val="21"/>
                <w:highlight w:val="none"/>
              </w:rPr>
              <w:t>25</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color w:val="auto"/>
                <w:kern w:val="2"/>
                <w:sz w:val="21"/>
                <w:szCs w:val="21"/>
                <w:highlight w:val="none"/>
              </w:rPr>
            </w:pPr>
            <w:r>
              <w:rPr>
                <w:rFonts w:hint="eastAsia" w:ascii="宋体"/>
                <w:color w:val="auto"/>
                <w:kern w:val="2"/>
                <w:sz w:val="21"/>
                <w:szCs w:val="21"/>
                <w:highlight w:val="none"/>
              </w:rPr>
              <w:t>授予合同</w:t>
            </w:r>
          </w:p>
        </w:tc>
        <w:tc>
          <w:tcPr>
            <w:tcW w:w="6946" w:type="dxa"/>
            <w:vAlign w:val="center"/>
          </w:tcPr>
          <w:p>
            <w:pPr>
              <w:keepNext w:val="0"/>
              <w:keepLines w:val="0"/>
              <w:pageBreakBefore w:val="0"/>
              <w:tabs>
                <w:tab w:val="left" w:pos="105"/>
                <w:tab w:val="left" w:pos="735"/>
                <w:tab w:val="left" w:pos="945"/>
                <w:tab w:val="left" w:pos="3360"/>
              </w:tabs>
              <w:kinsoku/>
              <w:wordWrap/>
              <w:overflowPunct/>
              <w:topLinePunct w:val="0"/>
              <w:autoSpaceDE/>
              <w:autoSpaceDN/>
              <w:bidi w:val="0"/>
              <w:spacing w:line="336" w:lineRule="auto"/>
              <w:jc w:val="both"/>
              <w:rPr>
                <w:rFonts w:ascii="宋体"/>
                <w:color w:val="auto"/>
                <w:kern w:val="2"/>
                <w:sz w:val="21"/>
                <w:szCs w:val="21"/>
                <w:highlight w:val="none"/>
              </w:rPr>
            </w:pPr>
            <w:r>
              <w:rPr>
                <w:rFonts w:hint="eastAsia" w:ascii="宋体"/>
                <w:color w:val="auto"/>
                <w:kern w:val="2"/>
                <w:sz w:val="21"/>
                <w:szCs w:val="21"/>
                <w:highlight w:val="none"/>
              </w:rPr>
              <w:t>时间：中标通知书发出后30天内</w:t>
            </w:r>
          </w:p>
          <w:p>
            <w:pPr>
              <w:keepNext w:val="0"/>
              <w:keepLines w:val="0"/>
              <w:pageBreakBefore w:val="0"/>
              <w:kinsoku/>
              <w:wordWrap/>
              <w:overflowPunct/>
              <w:topLinePunct w:val="0"/>
              <w:autoSpaceDE/>
              <w:autoSpaceDN/>
              <w:bidi w:val="0"/>
              <w:spacing w:line="336" w:lineRule="auto"/>
              <w:jc w:val="both"/>
              <w:rPr>
                <w:rFonts w:ascii="宋体"/>
                <w:color w:val="auto"/>
                <w:kern w:val="2"/>
                <w:sz w:val="21"/>
                <w:szCs w:val="21"/>
                <w:highlight w:val="none"/>
              </w:rPr>
            </w:pPr>
            <w:r>
              <w:rPr>
                <w:rFonts w:hint="eastAsia" w:ascii="宋体"/>
                <w:color w:val="auto"/>
                <w:kern w:val="2"/>
                <w:sz w:val="21"/>
                <w:szCs w:val="21"/>
                <w:highlight w:val="none"/>
              </w:rPr>
              <w:t>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color w:val="auto"/>
                <w:sz w:val="21"/>
                <w:szCs w:val="21"/>
                <w:highlight w:val="none"/>
              </w:rPr>
            </w:pPr>
            <w:bookmarkStart w:id="6" w:name="_Toc86202581"/>
            <w:r>
              <w:rPr>
                <w:rFonts w:hint="eastAsia" w:ascii="宋体"/>
                <w:color w:val="auto"/>
                <w:sz w:val="21"/>
                <w:szCs w:val="21"/>
                <w:highlight w:val="none"/>
              </w:rPr>
              <w:t>26</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color w:val="auto"/>
                <w:kern w:val="2"/>
                <w:sz w:val="21"/>
                <w:szCs w:val="21"/>
                <w:highlight w:val="none"/>
              </w:rPr>
            </w:pPr>
            <w:r>
              <w:rPr>
                <w:rFonts w:hint="eastAsia" w:ascii="宋体"/>
                <w:color w:val="auto"/>
                <w:kern w:val="2"/>
                <w:sz w:val="21"/>
                <w:szCs w:val="21"/>
                <w:highlight w:val="none"/>
              </w:rPr>
              <w:t>现场踏勘</w:t>
            </w:r>
          </w:p>
        </w:tc>
        <w:tc>
          <w:tcPr>
            <w:tcW w:w="6946" w:type="dxa"/>
            <w:vAlign w:val="center"/>
          </w:tcPr>
          <w:p>
            <w:pPr>
              <w:pStyle w:val="2"/>
              <w:keepNext w:val="0"/>
              <w:keepLines w:val="0"/>
              <w:pageBreakBefore w:val="0"/>
              <w:kinsoku/>
              <w:wordWrap/>
              <w:overflowPunct/>
              <w:topLinePunct w:val="0"/>
              <w:autoSpaceDE/>
              <w:autoSpaceDN/>
              <w:bidi w:val="0"/>
              <w:spacing w:line="336" w:lineRule="auto"/>
              <w:rPr>
                <w:rFonts w:hint="default" w:ascii="宋体" w:eastAsia="宋体"/>
                <w:b/>
                <w:bCs/>
                <w:color w:val="auto"/>
                <w:sz w:val="21"/>
                <w:szCs w:val="21"/>
                <w:highlight w:val="none"/>
                <w:lang w:val="en-US" w:eastAsia="zh-CN"/>
              </w:rPr>
            </w:pPr>
            <w:r>
              <w:rPr>
                <w:rFonts w:hint="eastAsia" w:ascii="宋体"/>
                <w:color w:val="auto"/>
                <w:sz w:val="21"/>
                <w:szCs w:val="21"/>
                <w:highlight w:val="none"/>
                <w:lang w:val="en-US" w:eastAsia="zh-CN"/>
              </w:rPr>
              <w:t>不统一组织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pageBreakBefore w:val="0"/>
              <w:kinsoku/>
              <w:wordWrap/>
              <w:overflowPunct/>
              <w:topLinePunct w:val="0"/>
              <w:autoSpaceDE/>
              <w:autoSpaceDN/>
              <w:bidi w:val="0"/>
              <w:spacing w:line="336" w:lineRule="auto"/>
              <w:jc w:val="center"/>
              <w:rPr>
                <w:rFonts w:ascii="宋体"/>
                <w:color w:val="auto"/>
                <w:sz w:val="21"/>
                <w:szCs w:val="21"/>
                <w:highlight w:val="none"/>
              </w:rPr>
            </w:pPr>
            <w:r>
              <w:rPr>
                <w:rFonts w:hint="eastAsia" w:ascii="宋体"/>
                <w:color w:val="auto"/>
                <w:sz w:val="21"/>
                <w:szCs w:val="21"/>
                <w:highlight w:val="none"/>
              </w:rPr>
              <w:t>27</w:t>
            </w:r>
          </w:p>
        </w:tc>
        <w:tc>
          <w:tcPr>
            <w:tcW w:w="1136" w:type="dxa"/>
            <w:vAlign w:val="center"/>
          </w:tcPr>
          <w:p>
            <w:pPr>
              <w:keepNext w:val="0"/>
              <w:keepLines w:val="0"/>
              <w:pageBreakBefore w:val="0"/>
              <w:kinsoku/>
              <w:wordWrap/>
              <w:overflowPunct/>
              <w:topLinePunct w:val="0"/>
              <w:autoSpaceDE/>
              <w:autoSpaceDN/>
              <w:bidi w:val="0"/>
              <w:snapToGrid w:val="0"/>
              <w:spacing w:line="336" w:lineRule="auto"/>
              <w:jc w:val="center"/>
              <w:rPr>
                <w:rFonts w:ascii="宋体"/>
                <w:color w:val="auto"/>
                <w:kern w:val="2"/>
                <w:sz w:val="21"/>
                <w:szCs w:val="21"/>
                <w:highlight w:val="none"/>
              </w:rPr>
            </w:pPr>
            <w:r>
              <w:rPr>
                <w:rFonts w:hint="eastAsia" w:ascii="宋体"/>
                <w:color w:val="auto"/>
                <w:kern w:val="2"/>
                <w:sz w:val="21"/>
                <w:szCs w:val="21"/>
                <w:highlight w:val="none"/>
              </w:rPr>
              <w:t>质疑期及接收人</w:t>
            </w:r>
          </w:p>
        </w:tc>
        <w:tc>
          <w:tcPr>
            <w:tcW w:w="6946" w:type="dxa"/>
            <w:vAlign w:val="center"/>
          </w:tcPr>
          <w:p>
            <w:pPr>
              <w:keepNext w:val="0"/>
              <w:keepLines w:val="0"/>
              <w:pageBreakBefore w:val="0"/>
              <w:tabs>
                <w:tab w:val="left" w:pos="105"/>
                <w:tab w:val="left" w:pos="735"/>
                <w:tab w:val="left" w:pos="945"/>
                <w:tab w:val="left" w:pos="3360"/>
              </w:tabs>
              <w:kinsoku/>
              <w:wordWrap/>
              <w:overflowPunct/>
              <w:topLinePunct w:val="0"/>
              <w:autoSpaceDE/>
              <w:autoSpaceDN/>
              <w:bidi w:val="0"/>
              <w:spacing w:line="336" w:lineRule="auto"/>
              <w:jc w:val="both"/>
              <w:rPr>
                <w:rFonts w:ascii="宋体"/>
                <w:color w:val="auto"/>
                <w:kern w:val="2"/>
                <w:sz w:val="21"/>
                <w:szCs w:val="21"/>
                <w:highlight w:val="none"/>
              </w:rPr>
            </w:pPr>
            <w:r>
              <w:rPr>
                <w:rFonts w:hint="eastAsia" w:ascii="宋体"/>
                <w:color w:val="auto"/>
                <w:kern w:val="2"/>
                <w:sz w:val="21"/>
                <w:szCs w:val="21"/>
                <w:highlight w:val="none"/>
              </w:rPr>
              <w:t>1、投标人如认为招标文件存在限制性、排他性或者其他违法等内容，使自己权益受到损害的，应在</w:t>
            </w:r>
            <w:r>
              <w:rPr>
                <w:rFonts w:hint="eastAsia"/>
                <w:color w:val="auto"/>
                <w:sz w:val="21"/>
                <w:szCs w:val="21"/>
                <w:highlight w:val="none"/>
              </w:rPr>
              <w:t>已获取或应当获取本招标文件</w:t>
            </w:r>
            <w:r>
              <w:rPr>
                <w:color w:val="auto"/>
                <w:sz w:val="21"/>
                <w:szCs w:val="21"/>
                <w:highlight w:val="none"/>
              </w:rPr>
              <w:t>7个工作日</w:t>
            </w:r>
            <w:r>
              <w:rPr>
                <w:rFonts w:hint="eastAsia" w:ascii="宋体"/>
                <w:color w:val="auto"/>
                <w:kern w:val="2"/>
                <w:sz w:val="21"/>
                <w:szCs w:val="21"/>
                <w:highlight w:val="none"/>
              </w:rPr>
              <w:t>内提出质疑。质疑书必须按《浙江省政府采购供应商质疑处理办法》规定。</w:t>
            </w:r>
          </w:p>
          <w:p>
            <w:pPr>
              <w:keepNext w:val="0"/>
              <w:keepLines w:val="0"/>
              <w:pageBreakBefore w:val="0"/>
              <w:tabs>
                <w:tab w:val="left" w:pos="105"/>
                <w:tab w:val="left" w:pos="735"/>
                <w:tab w:val="left" w:pos="945"/>
                <w:tab w:val="left" w:pos="3360"/>
              </w:tabs>
              <w:kinsoku/>
              <w:wordWrap/>
              <w:overflowPunct/>
              <w:topLinePunct w:val="0"/>
              <w:autoSpaceDE/>
              <w:autoSpaceDN/>
              <w:bidi w:val="0"/>
              <w:spacing w:line="336" w:lineRule="auto"/>
              <w:jc w:val="both"/>
              <w:rPr>
                <w:rFonts w:ascii="宋体"/>
                <w:color w:val="auto"/>
                <w:kern w:val="2"/>
                <w:sz w:val="21"/>
                <w:szCs w:val="21"/>
                <w:highlight w:val="none"/>
              </w:rPr>
            </w:pPr>
            <w:r>
              <w:rPr>
                <w:rFonts w:hint="eastAsia" w:ascii="宋体"/>
                <w:color w:val="auto"/>
                <w:kern w:val="2"/>
                <w:sz w:val="21"/>
                <w:szCs w:val="21"/>
                <w:highlight w:val="none"/>
              </w:rPr>
              <w:t>2、接收质疑书联系人：陈若水</w:t>
            </w:r>
          </w:p>
          <w:p>
            <w:pPr>
              <w:keepNext w:val="0"/>
              <w:keepLines w:val="0"/>
              <w:pageBreakBefore w:val="0"/>
              <w:tabs>
                <w:tab w:val="left" w:pos="105"/>
                <w:tab w:val="left" w:pos="735"/>
                <w:tab w:val="left" w:pos="945"/>
                <w:tab w:val="left" w:pos="3360"/>
              </w:tabs>
              <w:kinsoku/>
              <w:wordWrap/>
              <w:overflowPunct/>
              <w:topLinePunct w:val="0"/>
              <w:autoSpaceDE/>
              <w:autoSpaceDN/>
              <w:bidi w:val="0"/>
              <w:spacing w:line="336" w:lineRule="auto"/>
              <w:ind w:firstLine="315" w:firstLineChars="150"/>
              <w:jc w:val="both"/>
              <w:rPr>
                <w:rFonts w:ascii="宋体"/>
                <w:color w:val="auto"/>
                <w:kern w:val="2"/>
                <w:sz w:val="21"/>
                <w:szCs w:val="21"/>
                <w:highlight w:val="none"/>
              </w:rPr>
            </w:pPr>
            <w:r>
              <w:rPr>
                <w:rFonts w:hint="eastAsia" w:ascii="宋体"/>
                <w:color w:val="auto"/>
                <w:kern w:val="2"/>
                <w:sz w:val="21"/>
                <w:szCs w:val="21"/>
                <w:highlight w:val="none"/>
              </w:rPr>
              <w:t>联系电话：0574-87128864</w:t>
            </w:r>
          </w:p>
        </w:tc>
      </w:tr>
    </w:tbl>
    <w:p>
      <w:pPr>
        <w:spacing w:line="276" w:lineRule="auto"/>
        <w:jc w:val="center"/>
        <w:rPr>
          <w:rFonts w:hint="default" w:ascii="宋体" w:eastAsia="宋体"/>
          <w:b/>
          <w:color w:val="auto"/>
          <w:sz w:val="32"/>
          <w:szCs w:val="32"/>
          <w:highlight w:val="none"/>
          <w:lang w:val="en-US" w:eastAsia="zh-CN"/>
        </w:rPr>
      </w:pPr>
      <w:r>
        <w:rPr>
          <w:rFonts w:hint="eastAsia" w:ascii="宋体"/>
          <w:color w:val="auto"/>
          <w:szCs w:val="24"/>
          <w:highlight w:val="none"/>
        </w:rPr>
        <w:br w:type="page"/>
      </w:r>
      <w:bookmarkStart w:id="7" w:name="_Toc86202582"/>
      <w:bookmarkStart w:id="8" w:name="_Toc241827236"/>
      <w:r>
        <w:rPr>
          <w:rFonts w:hint="eastAsia" w:ascii="宋体"/>
          <w:b/>
          <w:color w:val="auto"/>
          <w:szCs w:val="24"/>
          <w:highlight w:val="none"/>
          <w:lang w:val="en-US" w:eastAsia="zh-CN"/>
        </w:rPr>
        <w:t>投标人须知</w:t>
      </w:r>
    </w:p>
    <w:p>
      <w:pPr>
        <w:wordWrap w:val="0"/>
        <w:spacing w:line="360" w:lineRule="auto"/>
        <w:ind w:firstLine="422" w:firstLineChars="200"/>
        <w:rPr>
          <w:rFonts w:hint="eastAsia" w:ascii="宋体" w:hAnsi="宋体" w:eastAsia="宋体" w:cs="宋体"/>
          <w:b/>
          <w:color w:val="auto"/>
          <w:sz w:val="21"/>
          <w:szCs w:val="21"/>
          <w:highlight w:val="none"/>
        </w:rPr>
      </w:pPr>
      <w:bookmarkStart w:id="9" w:name="_Hlt14560612"/>
      <w:bookmarkEnd w:id="9"/>
      <w:bookmarkStart w:id="10" w:name="_Toc230013635"/>
      <w:bookmarkStart w:id="11" w:name="_Toc176882545"/>
      <w:bookmarkStart w:id="12" w:name="_Toc499711046"/>
      <w:bookmarkStart w:id="13" w:name="_Toc265738863"/>
      <w:bookmarkStart w:id="14" w:name="_Toc70687149"/>
      <w:bookmarkStart w:id="15" w:name="_Toc500747192"/>
      <w:bookmarkStart w:id="16" w:name="_Toc177817337"/>
      <w:bookmarkStart w:id="17" w:name="_Toc232395215"/>
      <w:bookmarkStart w:id="18" w:name="_Toc230583544"/>
      <w:bookmarkStart w:id="19" w:name="_Toc500746969"/>
      <w:bookmarkStart w:id="20" w:name="_Toc496324582"/>
      <w:bookmarkStart w:id="21" w:name="_Toc232176275"/>
      <w:bookmarkStart w:id="22" w:name="_Toc230099800"/>
      <w:bookmarkStart w:id="23" w:name="_Toc492955418"/>
      <w:bookmarkStart w:id="24" w:name="_Toc385992335"/>
      <w:bookmarkStart w:id="25" w:name="_Toc177189238"/>
      <w:bookmarkStart w:id="26" w:name="_Toc389620174"/>
      <w:bookmarkStart w:id="27" w:name="_Toc503063425"/>
      <w:bookmarkStart w:id="28" w:name="_Toc499711887"/>
      <w:bookmarkStart w:id="29" w:name="_Toc53722843"/>
      <w:bookmarkStart w:id="30" w:name="_Toc239740354"/>
      <w:bookmarkStart w:id="31" w:name="_Toc500747065"/>
      <w:bookmarkStart w:id="32" w:name="_Toc177995476"/>
      <w:bookmarkStart w:id="33" w:name="_Toc184043022"/>
      <w:bookmarkStart w:id="34" w:name="_Toc235518469"/>
      <w:r>
        <w:rPr>
          <w:rFonts w:hint="eastAsia" w:ascii="宋体" w:hAnsi="宋体" w:eastAsia="宋体" w:cs="宋体"/>
          <w:b/>
          <w:color w:val="auto"/>
          <w:sz w:val="21"/>
          <w:szCs w:val="21"/>
          <w:highlight w:val="none"/>
        </w:rPr>
        <w:t>一、适用范围</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本采购文件仅适用于本采购项目所叙述的货物和服务的招标、评标、定标、验收、合同履约、付款等（法律、法规另有规定的，从其规定）。</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二、定义</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1、“采购人”系指宁波市公安局</w:t>
      </w:r>
      <w:r>
        <w:rPr>
          <w:rFonts w:hint="eastAsia" w:ascii="宋体" w:hAnsi="宋体" w:cs="宋体"/>
          <w:color w:val="auto"/>
          <w:sz w:val="21"/>
          <w:szCs w:val="21"/>
          <w:highlight w:val="none"/>
          <w:lang w:val="en-US" w:eastAsia="zh-CN"/>
        </w:rPr>
        <w:t>交通警察局</w:t>
      </w:r>
      <w:r>
        <w:rPr>
          <w:rFonts w:hint="eastAsia" w:ascii="宋体" w:hAnsi="宋体" w:eastAsia="宋体" w:cs="宋体"/>
          <w:color w:val="auto"/>
          <w:sz w:val="21"/>
          <w:szCs w:val="21"/>
          <w:highlight w:val="none"/>
        </w:rPr>
        <w:t>。</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2、“代理机构”系指宁波市国际招标有限公司。</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3、“供应商”系指向采购人提交投标文件的供应商。</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4、“货物”系指供方按采购文件规定承担的设备、备品备件供货等。</w:t>
      </w:r>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5、“项目”系指投标人按采购文件规定向采购人提供的产品和服务。</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6、“同级政府采购监管部门”系指宁波市政府采购管理办公室</w:t>
      </w:r>
      <w:r>
        <w:rPr>
          <w:rFonts w:hint="eastAsia" w:ascii="宋体" w:hAnsi="宋体" w:eastAsia="宋体" w:cs="宋体"/>
          <w:color w:val="auto"/>
          <w:kern w:val="10"/>
          <w:sz w:val="21"/>
          <w:szCs w:val="21"/>
          <w:highlight w:val="none"/>
          <w:lang w:val="zh-CN"/>
        </w:rPr>
        <w:t>。</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”系指实质性响应条款。</w:t>
      </w:r>
    </w:p>
    <w:p>
      <w:pPr>
        <w:wordWrap w:val="0"/>
        <w:spacing w:line="360" w:lineRule="auto"/>
        <w:ind w:firstLine="420" w:firstLineChars="200"/>
        <w:jc w:val="left"/>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b/>
          <w:color w:val="auto"/>
          <w:sz w:val="21"/>
          <w:szCs w:val="21"/>
          <w:highlight w:val="none"/>
        </w:rPr>
        <w:t>三、合格的投标人和合格的投标货物或服务</w:t>
      </w:r>
    </w:p>
    <w:p>
      <w:pPr>
        <w:wordWrap w:val="0"/>
        <w:spacing w:line="360" w:lineRule="auto"/>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1.1  合格的投标人：详见采购公告</w:t>
      </w:r>
      <w:r>
        <w:rPr>
          <w:rFonts w:hint="eastAsia" w:ascii="宋体" w:hAnsi="宋体" w:cs="宋体"/>
          <w:color w:val="auto"/>
          <w:sz w:val="21"/>
          <w:szCs w:val="21"/>
          <w:highlight w:val="none"/>
          <w:lang w:val="en-US" w:eastAsia="zh-CN"/>
        </w:rPr>
        <w:t>.</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  合格的投标货物或服务：</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1.2.1应该是中国境内生产的货物或提供的服务。</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若投标货物或服务是国家实行许可证制度或生产注册证制度的产品或服务，则应具备相应有效的证书。</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招标文件允许采购进口产品的，若投标货物是进口产品，投标人应保证所投产品为可履行合法报通关手续进入中国关境内、在中国海关完税的可合法销售的货物。</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1.2.2国家规定有标准及规范的，投标货物或服务应按有效的标准及规范执行，应符合国家及招标文件提出的有关技术、质量、安全标准。</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1.2.3投标人应保证所提供的产品或服务免受第三方提出侵犯其知识产权（专利权、商标权、工业设计权及使用权等）的索赔或起诉，否则，由此可能产生的一切法律责任和经济责任均由投标人承担。</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四、其他说明</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（一）投标费用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无论投标过程和结果如何，供应商自行承担与投标有关的全部费用。</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（二）关于分公司投标</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仅允许银行、保险、石油石化、电力、电信、移动、联通等行业分公司投标，但需提供具有法人资格的总公司的营业执照原件扫描件及授权书，授权书须加盖总公司公章。总公司可就本项目或此类项目在一定范围或时间内出具授权书。已由总公司授权的，总公司取得的相关资质证书对分公司有效。</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（三）关于知识产权</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人必须保证，采购人在中华人民共和国境内使用投标货物、资料、技术、服务或其任何一部分时，享有不受限制的无偿使用权，如有第三方向采购人提出侵犯其专利权、商标权或其它知识产权的主张，该责任应由投标人承担。</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2、投标报价应包含所有应向所有权人支付的专利权、商标权或其它知识产权的一切相关费用。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3、系统软件、通用软件必须是具有在中国境内的合法使用权或版权的正版软件，涉及到第三方提出侵权或知识产权的起诉及支付版税等费用由投标人承担所有责任及费用。</w:t>
      </w:r>
    </w:p>
    <w:p>
      <w:pPr>
        <w:wordWrap w:val="0"/>
        <w:spacing w:line="360" w:lineRule="auto"/>
        <w:ind w:firstLine="422" w:firstLineChars="200"/>
        <w:jc w:val="left"/>
        <w:rPr>
          <w:rFonts w:hint="eastAsia" w:ascii="宋体" w:hAnsi="宋体" w:eastAsia="宋体" w:cs="宋体"/>
          <w:b/>
          <w:color w:val="auto"/>
          <w:sz w:val="21"/>
          <w:szCs w:val="21"/>
          <w:highlight w:val="none"/>
        </w:rPr>
      </w:pPr>
      <w:bookmarkStart w:id="35" w:name="_Toc460857903"/>
      <w:bookmarkStart w:id="36" w:name="_Toc23497307"/>
      <w:bookmarkStart w:id="37" w:name="_Toc17707916"/>
      <w:r>
        <w:rPr>
          <w:rFonts w:hint="eastAsia" w:ascii="宋体" w:hAnsi="宋体" w:eastAsia="宋体" w:cs="宋体"/>
          <w:b/>
          <w:color w:val="auto"/>
          <w:sz w:val="21"/>
          <w:szCs w:val="21"/>
          <w:highlight w:val="none"/>
        </w:rPr>
        <w:t>（四）联合体投标</w:t>
      </w:r>
      <w:bookmarkEnd w:id="35"/>
      <w:bookmarkEnd w:id="36"/>
      <w:bookmarkEnd w:id="37"/>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本项目不接受联合体投标。</w:t>
      </w:r>
    </w:p>
    <w:p>
      <w:pPr>
        <w:wordWrap w:val="0"/>
        <w:spacing w:line="360" w:lineRule="auto"/>
        <w:ind w:firstLine="422" w:firstLineChars="200"/>
        <w:jc w:val="left"/>
        <w:rPr>
          <w:rFonts w:hint="eastAsia" w:ascii="宋体" w:hAnsi="宋体" w:eastAsia="宋体" w:cs="宋体"/>
          <w:b/>
          <w:color w:val="auto"/>
          <w:sz w:val="21"/>
          <w:szCs w:val="21"/>
          <w:highlight w:val="none"/>
        </w:rPr>
      </w:pPr>
      <w:bookmarkStart w:id="38" w:name="_Toc23497308"/>
      <w:bookmarkStart w:id="39" w:name="_Toc460857904"/>
      <w:bookmarkStart w:id="40" w:name="_Toc17707917"/>
      <w:r>
        <w:rPr>
          <w:rFonts w:hint="eastAsia" w:ascii="宋体" w:hAnsi="宋体" w:eastAsia="宋体" w:cs="宋体"/>
          <w:b/>
          <w:color w:val="auto"/>
          <w:sz w:val="21"/>
          <w:szCs w:val="21"/>
          <w:highlight w:val="none"/>
        </w:rPr>
        <w:t>（五）转包与分包</w:t>
      </w:r>
      <w:bookmarkEnd w:id="38"/>
      <w:bookmarkEnd w:id="39"/>
      <w:bookmarkEnd w:id="40"/>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1.本项目不允许转包，未经采购人同意，不允许分包。</w:t>
      </w:r>
    </w:p>
    <w:p>
      <w:pPr>
        <w:wordWrap w:val="0"/>
        <w:spacing w:line="360" w:lineRule="auto"/>
        <w:ind w:firstLine="422" w:firstLineChars="200"/>
        <w:jc w:val="left"/>
        <w:rPr>
          <w:rFonts w:hint="eastAsia" w:ascii="宋体" w:hAnsi="宋体" w:eastAsia="宋体" w:cs="宋体"/>
          <w:b/>
          <w:color w:val="auto"/>
          <w:sz w:val="21"/>
          <w:szCs w:val="21"/>
          <w:highlight w:val="none"/>
        </w:rPr>
      </w:pPr>
      <w:bookmarkStart w:id="41" w:name="_Toc460857905"/>
      <w:bookmarkStart w:id="42" w:name="_Toc23497309"/>
      <w:bookmarkStart w:id="43" w:name="_Toc460416650"/>
      <w:bookmarkStart w:id="44" w:name="_Toc460416345"/>
      <w:bookmarkStart w:id="45" w:name="_Toc460416601"/>
      <w:bookmarkStart w:id="46" w:name="_Toc17707918"/>
      <w:r>
        <w:rPr>
          <w:rFonts w:hint="eastAsia" w:ascii="宋体" w:hAnsi="宋体" w:eastAsia="宋体" w:cs="宋体"/>
          <w:b/>
          <w:color w:val="auto"/>
          <w:sz w:val="21"/>
          <w:szCs w:val="21"/>
          <w:highlight w:val="none"/>
        </w:rPr>
        <w:t>（六）特别说明</w:t>
      </w:r>
      <w:bookmarkEnd w:id="41"/>
      <w:bookmarkEnd w:id="42"/>
      <w:bookmarkEnd w:id="43"/>
      <w:bookmarkEnd w:id="44"/>
      <w:bookmarkEnd w:id="45"/>
      <w:bookmarkEnd w:id="46"/>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1.投标人应仔细阅读采购文件的所有内容，按照采购文件的要求提交投标文件，并对所提供的全部资料的真实性承担法律责任。</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人在投标活动中提供任何虚假材料，其投标无效，并报监管部门查处；中标后发现的,中标人须依照《中华人民共和国消费者权益保护法》第55条之规定赔偿采购人，且民事赔偿并不免除违法投标人的行政与刑事责任。</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五、投标报价</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5.1投标报价货币为人民币，投标报价为投标人为完成本项目，实现招标文件中规定的本项目采购内容和范围并达到相关标准所需要的全部费用。</w:t>
      </w:r>
      <w:r>
        <w:rPr>
          <w:rFonts w:hint="eastAsia" w:ascii="宋体"/>
          <w:color w:val="auto"/>
          <w:sz w:val="21"/>
          <w:szCs w:val="21"/>
          <w:highlight w:val="none"/>
        </w:rPr>
        <w:t>包</w:t>
      </w:r>
      <w:r>
        <w:rPr>
          <w:rFonts w:hint="eastAsia" w:ascii="宋体" w:hAnsi="Times New Roman" w:eastAsia="宋体" w:cs="Times New Roman"/>
          <w:color w:val="auto"/>
          <w:sz w:val="21"/>
          <w:szCs w:val="21"/>
          <w:highlight w:val="none"/>
        </w:rPr>
        <w:t>括</w:t>
      </w:r>
      <w:r>
        <w:rPr>
          <w:rFonts w:hint="eastAsia" w:ascii="宋体" w:cs="Times New Roman"/>
          <w:color w:val="auto"/>
          <w:sz w:val="21"/>
          <w:szCs w:val="21"/>
          <w:highlight w:val="none"/>
          <w:lang w:val="en-US" w:eastAsia="zh-CN"/>
        </w:rPr>
        <w:t>维保</w:t>
      </w:r>
      <w:r>
        <w:rPr>
          <w:rFonts w:hint="eastAsia" w:ascii="宋体" w:hAnsi="Times New Roman" w:eastAsia="宋体" w:cs="Times New Roman"/>
          <w:color w:val="auto"/>
          <w:sz w:val="21"/>
          <w:szCs w:val="21"/>
          <w:highlight w:val="none"/>
        </w:rPr>
        <w:t>时，所产生的人工、</w:t>
      </w:r>
      <w:r>
        <w:rPr>
          <w:rFonts w:hint="eastAsia" w:ascii="宋体" w:hAnsi="Times New Roman" w:eastAsia="宋体" w:cs="Times New Roman"/>
          <w:color w:val="auto"/>
          <w:sz w:val="21"/>
          <w:szCs w:val="21"/>
          <w:highlight w:val="none"/>
          <w:lang w:val="en-US" w:eastAsia="zh-CN"/>
        </w:rPr>
        <w:t>场所、</w:t>
      </w:r>
      <w:r>
        <w:rPr>
          <w:rFonts w:hint="eastAsia" w:ascii="宋体" w:hAnsi="Times New Roman" w:eastAsia="宋体" w:cs="Times New Roman"/>
          <w:color w:val="auto"/>
          <w:sz w:val="21"/>
          <w:szCs w:val="21"/>
          <w:highlight w:val="none"/>
        </w:rPr>
        <w:t>物流、工具、零件、</w:t>
      </w:r>
      <w:r>
        <w:rPr>
          <w:rFonts w:hint="eastAsia" w:ascii="宋体" w:hAnsi="Times New Roman" w:eastAsia="宋体" w:cs="Times New Roman"/>
          <w:color w:val="auto"/>
          <w:sz w:val="21"/>
          <w:szCs w:val="21"/>
          <w:highlight w:val="none"/>
          <w:lang w:val="en-US" w:eastAsia="zh-CN"/>
        </w:rPr>
        <w:t>各类</w:t>
      </w:r>
      <w:r>
        <w:rPr>
          <w:rFonts w:hint="eastAsia" w:ascii="宋体" w:hAnsi="Times New Roman" w:eastAsia="宋体" w:cs="Times New Roman"/>
          <w:color w:val="auto"/>
          <w:sz w:val="21"/>
          <w:szCs w:val="21"/>
          <w:highlight w:val="none"/>
        </w:rPr>
        <w:t>元器件等</w:t>
      </w:r>
      <w:r>
        <w:rPr>
          <w:rFonts w:hint="eastAsia" w:ascii="宋体" w:hAnsi="宋体"/>
          <w:color w:val="auto"/>
          <w:sz w:val="21"/>
          <w:szCs w:val="21"/>
          <w:highlight w:val="none"/>
          <w:lang w:eastAsia="zh-CN"/>
        </w:rPr>
        <w:t>、</w:t>
      </w:r>
      <w:r>
        <w:rPr>
          <w:rFonts w:hint="eastAsia" w:ascii="宋体"/>
          <w:color w:val="auto"/>
          <w:sz w:val="21"/>
          <w:szCs w:val="21"/>
          <w:highlight w:val="none"/>
        </w:rPr>
        <w:t>基础、主材、辅材、预埋件、运输、安装、管理、维护、保险、利润、税金政策性文件规定及合同包含的所有风险、责任等各项应有费用（即交钥匙价）</w:t>
      </w:r>
      <w:r>
        <w:rPr>
          <w:rFonts w:hint="eastAsia" w:ascii="宋体" w:hAnsi="宋体" w:eastAsia="宋体" w:cs="宋体"/>
          <w:color w:val="auto"/>
          <w:sz w:val="21"/>
          <w:szCs w:val="21"/>
          <w:highlight w:val="none"/>
        </w:rPr>
        <w:t>。</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凡影响投标报价的所有相关费用应列入本次报价中。中标后，不得以不完全了解采购文件、现场、周围环境等情况为借口，而提出额外补偿或延长工期等的要求。如漏报，最终所发生的费用均由中标商承担，招标方一律不予承担。</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5.2供应商应详细列明各分项工作相关报价及依据，未列明的相关报价应视为已包含在已列明费用的报价中，采购人将不予单独支付。</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5.3投标文件的货币单位为人民币元。</w:t>
      </w:r>
    </w:p>
    <w:p>
      <w:pPr>
        <w:tabs>
          <w:tab w:val="left" w:pos="525"/>
        </w:tabs>
        <w:snapToGrid w:val="0"/>
        <w:spacing w:line="360" w:lineRule="auto"/>
        <w:ind w:firstLine="420" w:firstLineChars="200"/>
        <w:jc w:val="lef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5.4</w:t>
      </w:r>
      <w:r>
        <w:rPr>
          <w:rFonts w:hint="eastAsia" w:ascii="宋体" w:hAnsi="宋体" w:eastAsia="宋体" w:cs="宋体"/>
          <w:b/>
          <w:color w:val="auto"/>
          <w:sz w:val="21"/>
          <w:szCs w:val="21"/>
          <w:highlight w:val="none"/>
        </w:rPr>
        <w:t>投标文件只允许有一个报价，有选择的或有条件的报价将不予接受。</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六、投标有效期</w:t>
      </w:r>
    </w:p>
    <w:p>
      <w:pPr>
        <w:wordWrap w:val="0"/>
        <w:spacing w:line="360" w:lineRule="auto"/>
        <w:ind w:firstLine="420" w:firstLineChars="200"/>
        <w:jc w:val="left"/>
        <w:rPr>
          <w:rFonts w:hint="eastAsia" w:ascii="宋体" w:hAnsi="宋体" w:eastAsia="宋体" w:cs="宋体"/>
          <w:b/>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1、投标文件从开标之日起，投标有效期为90个日历日。投标有效期不能小于采购文件的要求。</w:t>
      </w:r>
    </w:p>
    <w:p>
      <w:pPr>
        <w:wordWrap w:val="0"/>
        <w:spacing w:line="360" w:lineRule="auto"/>
        <w:ind w:firstLine="420" w:firstLineChars="200"/>
        <w:jc w:val="left"/>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2、特殊情况下，采购人可与供应商协商延长投标文件的有效期，这种要求和答复均以书面形式进行。</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3、供应商可拒绝接受延期要求。同意延长有效期的供应商不能修改投标文件。</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七、投标文件的形式和效力</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1、投标文件分为电子投标文件以及备份投标文件，备份投标文件分为以</w:t>
      </w:r>
      <w:r>
        <w:rPr>
          <w:rFonts w:hint="eastAsia" w:ascii="宋体" w:hAnsi="宋体" w:eastAsia="宋体" w:cs="宋体"/>
          <w:color w:val="auto"/>
          <w:kern w:val="0"/>
          <w:sz w:val="21"/>
          <w:szCs w:val="21"/>
          <w:highlight w:val="none"/>
        </w:rPr>
        <w:t>U盘或光盘存储的电子</w:t>
      </w:r>
      <w:r>
        <w:rPr>
          <w:rFonts w:hint="eastAsia" w:ascii="宋体" w:hAnsi="宋体" w:eastAsia="宋体" w:cs="宋体"/>
          <w:color w:val="auto"/>
          <w:sz w:val="21"/>
          <w:szCs w:val="21"/>
          <w:highlight w:val="none"/>
        </w:rPr>
        <w:t>备份投标文件和纸质备份投标文件。</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2、电子投标文件，按“项目采购-电子招投标操作指南”及本采购文件要求制作，并加密。</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3、以</w:t>
      </w:r>
      <w:r>
        <w:rPr>
          <w:rFonts w:hint="eastAsia" w:ascii="宋体" w:hAnsi="宋体" w:eastAsia="宋体" w:cs="宋体"/>
          <w:color w:val="auto"/>
          <w:kern w:val="0"/>
          <w:sz w:val="21"/>
          <w:szCs w:val="21"/>
          <w:highlight w:val="none"/>
        </w:rPr>
        <w:t>U盘或光盘存储的电子</w:t>
      </w:r>
      <w:r>
        <w:rPr>
          <w:rFonts w:hint="eastAsia" w:ascii="宋体" w:hAnsi="宋体" w:eastAsia="宋体" w:cs="宋体"/>
          <w:color w:val="auto"/>
          <w:sz w:val="21"/>
          <w:szCs w:val="21"/>
          <w:highlight w:val="none"/>
        </w:rPr>
        <w:t>备份投标文件，按“项目采购-电子招投标操作指南”制作的电子备份文件。</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4、纸质备份投标文件按本章第八条投标文件的组成编制。</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5、投标文件填写字迹必须清楚、工整，对不同文字文本投标文件的解释发生异议的，以中文文本为准。</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6、投标文件的效力</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投标文件的启用，按先后顺位分别为电子投标文件、以</w:t>
      </w:r>
      <w:r>
        <w:rPr>
          <w:rFonts w:hint="eastAsia" w:ascii="宋体" w:hAnsi="宋体" w:eastAsia="宋体" w:cs="宋体"/>
          <w:color w:val="auto"/>
          <w:kern w:val="0"/>
          <w:sz w:val="21"/>
          <w:szCs w:val="21"/>
          <w:highlight w:val="none"/>
        </w:rPr>
        <w:t>U盘或光盘存储的电子</w:t>
      </w:r>
      <w:r>
        <w:rPr>
          <w:rFonts w:hint="eastAsia" w:ascii="宋体" w:hAnsi="宋体" w:eastAsia="宋体" w:cs="宋体"/>
          <w:color w:val="auto"/>
          <w:sz w:val="21"/>
          <w:szCs w:val="21"/>
          <w:highlight w:val="none"/>
        </w:rPr>
        <w:t>备份投标文件、纸质备份投标文件。在下一顺位的投标文件启用时，前一顺位的投标文件自动失效。</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投标文件未能按时解密，供应商提供了电子备份投标文件、纸质备份投标文件的，以电子备份投标文件、纸质备份投标文件作为依据，否则视为投标文件撤回。电子投标文件已按时解密的，电子备份投标文件、纸质备份投标文件自动失效。</w:t>
      </w:r>
    </w:p>
    <w:p>
      <w:pPr>
        <w:wordWrap w:val="0"/>
        <w:spacing w:line="360" w:lineRule="auto"/>
        <w:ind w:firstLine="422" w:firstLineChars="200"/>
        <w:jc w:val="left"/>
        <w:rPr>
          <w:rFonts w:hint="eastAsia" w:ascii="宋体" w:hAnsi="宋体" w:eastAsia="宋体" w:cs="宋体"/>
          <w:b/>
          <w:bCs/>
          <w:color w:val="auto"/>
          <w:sz w:val="21"/>
          <w:szCs w:val="21"/>
          <w:highlight w:val="none"/>
        </w:rPr>
      </w:pPr>
      <w:bookmarkStart w:id="47" w:name="_Hlk23147633"/>
      <w:bookmarkStart w:id="48" w:name="_Hlk23150950"/>
      <w:r>
        <w:rPr>
          <w:rFonts w:hint="eastAsia" w:ascii="宋体" w:hAnsi="宋体" w:eastAsia="宋体" w:cs="宋体"/>
          <w:b/>
          <w:bCs/>
          <w:color w:val="auto"/>
          <w:sz w:val="21"/>
          <w:szCs w:val="21"/>
          <w:highlight w:val="none"/>
        </w:rPr>
        <w:t>八、投标文件的组成和份数</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1、投标文件的组成：</w:t>
      </w:r>
    </w:p>
    <w:p>
      <w:pPr>
        <w:wordWrap w:val="0"/>
        <w:spacing w:line="360" w:lineRule="auto"/>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A、第一册：资格文件</w:t>
      </w:r>
    </w:p>
    <w:p>
      <w:pPr>
        <w:spacing w:line="360" w:lineRule="auto"/>
        <w:ind w:firstLine="413" w:firstLineChars="19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A1、关于资格的承诺函（格式见附件）；</w:t>
      </w:r>
    </w:p>
    <w:p>
      <w:pPr>
        <w:spacing w:line="360" w:lineRule="auto"/>
        <w:ind w:firstLine="413" w:firstLineChars="19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A2、营业执照副本（或事业法人登记证副本或其他登记证明材料）扫描件加盖供应商公章（供应商如果有名称变更的，应提供由行政主管部门出具的变更证明文件扫描件加盖供应商公章）；</w:t>
      </w:r>
    </w:p>
    <w:p>
      <w:pPr>
        <w:spacing w:line="360" w:lineRule="auto"/>
        <w:ind w:firstLine="413" w:firstLineChars="19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A3、投标人承诺书</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A4</w:t>
      </w:r>
      <w:r>
        <w:rPr>
          <w:rFonts w:hint="eastAsia" w:ascii="宋体" w:hAnsi="宋体" w:eastAsia="宋体" w:cs="宋体"/>
          <w:color w:val="auto"/>
          <w:sz w:val="21"/>
          <w:szCs w:val="21"/>
          <w:highlight w:val="none"/>
        </w:rPr>
        <w:t>、中小企业声明函；</w:t>
      </w:r>
    </w:p>
    <w:p>
      <w:pPr>
        <w:wordWrap w:val="0"/>
        <w:spacing w:line="360" w:lineRule="auto"/>
        <w:ind w:firstLine="420" w:firstLineChars="200"/>
        <w:jc w:val="left"/>
        <w:rPr>
          <w:rFonts w:hint="eastAsia"/>
          <w:color w:val="auto"/>
          <w:highlight w:val="none"/>
        </w:rPr>
      </w:pPr>
      <w:r>
        <w:rPr>
          <w:rFonts w:hint="eastAsia" w:ascii="宋体" w:hAnsi="宋体" w:cs="宋体"/>
          <w:color w:val="auto"/>
          <w:sz w:val="21"/>
          <w:szCs w:val="21"/>
          <w:highlight w:val="none"/>
          <w:lang w:val="en-US" w:eastAsia="zh-CN"/>
        </w:rPr>
        <w:t>A5</w:t>
      </w:r>
      <w:r>
        <w:rPr>
          <w:rFonts w:hint="eastAsia" w:ascii="宋体" w:hAnsi="宋体" w:eastAsia="宋体" w:cs="宋体"/>
          <w:color w:val="auto"/>
          <w:sz w:val="21"/>
          <w:szCs w:val="21"/>
          <w:highlight w:val="none"/>
        </w:rPr>
        <w:t>、残疾人福利性单位声明函；</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、供应商认为需要的其他资料（如有需提供）。</w:t>
      </w:r>
    </w:p>
    <w:p>
      <w:pPr>
        <w:wordWrap w:val="0"/>
        <w:spacing w:line="360" w:lineRule="auto"/>
        <w:ind w:firstLine="422" w:firstLineChars="200"/>
        <w:jc w:val="left"/>
        <w:rPr>
          <w:rFonts w:hint="eastAsia" w:ascii="宋体" w:hAnsi="宋体" w:eastAsia="宋体" w:cs="宋体"/>
          <w:b/>
          <w:bCs/>
          <w:color w:val="auto"/>
          <w:sz w:val="21"/>
          <w:szCs w:val="21"/>
          <w:highlight w:val="none"/>
        </w:rPr>
      </w:pPr>
    </w:p>
    <w:p>
      <w:pPr>
        <w:wordWrap w:val="0"/>
        <w:spacing w:line="360" w:lineRule="auto"/>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B、第二册：商务和技术文件</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自评分表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B1、投标书；</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B2、法定代表人身份证明；</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B3、法定代表人授权书（投标文件由授权代表签字的须提供）；</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B4、供应商一般情况表；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B5、商务条款响应表；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B6、技术条款响应表；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B7、</w:t>
      </w:r>
      <w:r>
        <w:rPr>
          <w:rFonts w:hint="eastAsia" w:ascii="宋体"/>
          <w:color w:val="auto"/>
          <w:sz w:val="21"/>
          <w:szCs w:val="21"/>
          <w:highlight w:val="none"/>
        </w:rPr>
        <w:t>投标人应根据现场踏勘情况出具完整的维护方案</w:t>
      </w:r>
      <w:r>
        <w:rPr>
          <w:rFonts w:hint="eastAsia" w:ascii="宋体" w:hAnsi="宋体" w:eastAsia="宋体" w:cs="宋体"/>
          <w:color w:val="auto"/>
          <w:sz w:val="21"/>
          <w:szCs w:val="21"/>
          <w:highlight w:val="none"/>
        </w:rPr>
        <w:t>；</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B8、维（护）修人员情况的情况介绍（包括配置、人数、知识和专业技术结构介绍，证书情况、业绩情况）附相关证明材料；</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附相关人员身份证、职称证书、学历证书复印件（加盖公章）；社保机构出具</w:t>
      </w:r>
      <w:r>
        <w:rPr>
          <w:rFonts w:hint="eastAsia" w:ascii="宋体" w:hAnsi="宋体" w:cs="宋体"/>
          <w:color w:val="auto"/>
          <w:sz w:val="21"/>
          <w:szCs w:val="21"/>
          <w:highlight w:val="none"/>
          <w:lang w:val="en-US" w:eastAsia="zh-CN"/>
        </w:rPr>
        <w:t>投标人为</w:t>
      </w:r>
      <w:r>
        <w:rPr>
          <w:rFonts w:hint="eastAsia" w:ascii="宋体" w:hAnsi="宋体" w:eastAsia="宋体" w:cs="宋体"/>
          <w:color w:val="auto"/>
          <w:sz w:val="21"/>
          <w:szCs w:val="21"/>
          <w:highlight w:val="none"/>
        </w:rPr>
        <w:t>相关人员</w:t>
      </w:r>
      <w:r>
        <w:rPr>
          <w:rFonts w:hint="eastAsia" w:ascii="宋体" w:hAnsi="宋体" w:cs="宋体"/>
          <w:color w:val="auto"/>
          <w:sz w:val="21"/>
          <w:szCs w:val="21"/>
          <w:highlight w:val="none"/>
          <w:lang w:val="en-US" w:eastAsia="zh-CN"/>
        </w:rPr>
        <w:t>开标前3个月的社保缴纳证明材料</w:t>
      </w:r>
      <w:r>
        <w:rPr>
          <w:rFonts w:hint="eastAsia" w:ascii="宋体" w:hAnsi="宋体" w:eastAsia="宋体" w:cs="宋体"/>
          <w:color w:val="auto"/>
          <w:sz w:val="21"/>
          <w:szCs w:val="21"/>
          <w:highlight w:val="none"/>
        </w:rPr>
        <w:t>；</w:t>
      </w:r>
    </w:p>
    <w:p>
      <w:pPr>
        <w:wordWrap w:val="0"/>
        <w:spacing w:line="360" w:lineRule="auto"/>
        <w:ind w:firstLine="420" w:firstLineChars="200"/>
        <w:jc w:val="left"/>
        <w:rPr>
          <w:rFonts w:hint="eastAsia" w:ascii="宋体" w:hAnsi="宋体" w:cs="宋体"/>
          <w:color w:val="auto"/>
          <w:sz w:val="21"/>
          <w:szCs w:val="21"/>
          <w:highlight w:val="none"/>
          <w:lang w:val="en-US" w:eastAsia="zh-CN"/>
        </w:rPr>
      </w:pPr>
      <w:r>
        <w:rPr>
          <w:rFonts w:hint="eastAsia" w:ascii="宋体"/>
          <w:color w:val="auto"/>
          <w:sz w:val="21"/>
          <w:szCs w:val="21"/>
          <w:highlight w:val="none"/>
          <w:lang w:val="en-US" w:eastAsia="zh-CN"/>
        </w:rPr>
        <w:t>B9、</w:t>
      </w:r>
      <w:r>
        <w:rPr>
          <w:rFonts w:hint="eastAsia" w:ascii="宋体"/>
          <w:color w:val="auto"/>
          <w:sz w:val="21"/>
          <w:szCs w:val="21"/>
          <w:highlight w:val="none"/>
        </w:rPr>
        <w:t>投标人</w:t>
      </w:r>
      <w:r>
        <w:rPr>
          <w:rFonts w:hint="eastAsia" w:ascii="宋体" w:hAnsi="宋体" w:cs="宋体"/>
          <w:color w:val="auto"/>
          <w:sz w:val="21"/>
          <w:szCs w:val="21"/>
          <w:highlight w:val="none"/>
          <w:lang w:val="en-US" w:eastAsia="zh-CN"/>
        </w:rPr>
        <w:t>类似项目业绩证明材料复印件，加盖投标人公章；</w:t>
      </w:r>
    </w:p>
    <w:p>
      <w:pPr>
        <w:wordWrap w:val="0"/>
        <w:spacing w:line="360" w:lineRule="auto"/>
        <w:ind w:firstLine="420" w:firstLineChars="200"/>
        <w:jc w:val="left"/>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B10、质保及本地化服务能力(应包括质保期限、质保内容、本地化维护服务能力、费用等内容)</w:t>
      </w:r>
    </w:p>
    <w:p>
      <w:pPr>
        <w:wordWrap w:val="0"/>
        <w:spacing w:line="360" w:lineRule="auto"/>
        <w:ind w:firstLine="420" w:firstLineChars="20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B11、第三章“评标办法及标准”中商务和技术评分表要求提供的资料（如有需提供）；</w:t>
      </w:r>
    </w:p>
    <w:p>
      <w:pPr>
        <w:wordWrap w:val="0"/>
        <w:spacing w:line="360" w:lineRule="auto"/>
        <w:ind w:firstLine="420" w:firstLineChars="20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B12、供应商认为需要的其他资料（如有需提供）。</w:t>
      </w:r>
    </w:p>
    <w:p>
      <w:pPr>
        <w:pStyle w:val="2"/>
        <w:rPr>
          <w:rFonts w:hint="eastAsia"/>
          <w:color w:val="auto"/>
          <w:highlight w:val="none"/>
        </w:rPr>
      </w:pPr>
    </w:p>
    <w:bookmarkEnd w:id="47"/>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C、第三册：报价文件</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C1、开标一览表；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C2、分项报价表；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、供应商认为需要的其他资料（如有需提供）。</w:t>
      </w:r>
    </w:p>
    <w:bookmarkEnd w:id="48"/>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2、投标文件的份数：</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本项目实行网上投标，供应商应准备以下投标文件：</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kern w:val="0"/>
          <w:sz w:val="21"/>
          <w:szCs w:val="21"/>
          <w:highlight w:val="none"/>
        </w:rPr>
        <w:t>上传到政府采购云平台的电子投标文件（含</w:t>
      </w:r>
      <w:r>
        <w:rPr>
          <w:rFonts w:hint="eastAsia" w:ascii="宋体" w:hAnsi="宋体" w:eastAsia="宋体" w:cs="宋体"/>
          <w:color w:val="auto"/>
          <w:sz w:val="21"/>
          <w:szCs w:val="21"/>
          <w:highlight w:val="none"/>
        </w:rPr>
        <w:t>资格文件、商务和技术文件、报价文件）</w:t>
      </w:r>
      <w:r>
        <w:rPr>
          <w:rFonts w:hint="eastAsia" w:ascii="宋体" w:hAnsi="宋体" w:eastAsia="宋体" w:cs="宋体"/>
          <w:color w:val="auto"/>
          <w:kern w:val="0"/>
          <w:sz w:val="21"/>
          <w:szCs w:val="21"/>
          <w:highlight w:val="none"/>
        </w:rPr>
        <w:t>1份</w:t>
      </w:r>
      <w:r>
        <w:rPr>
          <w:rFonts w:hint="eastAsia" w:ascii="宋体" w:hAnsi="宋体" w:eastAsia="宋体" w:cs="宋体"/>
          <w:color w:val="auto"/>
          <w:sz w:val="21"/>
          <w:szCs w:val="21"/>
          <w:highlight w:val="none"/>
        </w:rPr>
        <w:t>。</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kern w:val="0"/>
          <w:sz w:val="21"/>
          <w:szCs w:val="21"/>
          <w:highlight w:val="none"/>
        </w:rPr>
        <w:t>以U盘或光盘存储的电子备份投标文件（含</w:t>
      </w:r>
      <w:r>
        <w:rPr>
          <w:rFonts w:hint="eastAsia" w:ascii="宋体" w:hAnsi="宋体" w:eastAsia="宋体" w:cs="宋体"/>
          <w:color w:val="auto"/>
          <w:sz w:val="21"/>
          <w:szCs w:val="21"/>
          <w:highlight w:val="none"/>
        </w:rPr>
        <w:t>资格文件、商务和技术文件、报价文件）</w:t>
      </w:r>
      <w:r>
        <w:rPr>
          <w:rFonts w:hint="eastAsia" w:ascii="宋体" w:hAnsi="宋体" w:eastAsia="宋体" w:cs="宋体"/>
          <w:color w:val="auto"/>
          <w:kern w:val="0"/>
          <w:sz w:val="21"/>
          <w:szCs w:val="21"/>
          <w:highlight w:val="none"/>
        </w:rPr>
        <w:t>1份</w:t>
      </w:r>
      <w:r>
        <w:rPr>
          <w:rFonts w:hint="eastAsia" w:ascii="宋体" w:hAnsi="宋体" w:eastAsia="宋体" w:cs="宋体"/>
          <w:color w:val="auto"/>
          <w:sz w:val="21"/>
          <w:szCs w:val="21"/>
          <w:highlight w:val="none"/>
        </w:rPr>
        <w:t>。</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（3）纸质备份投标文件（含资格文件、商务和技术文件、报价文件）</w:t>
      </w:r>
      <w:r>
        <w:rPr>
          <w:rFonts w:hint="eastAsia" w:ascii="宋体" w:hAnsi="宋体" w:cs="宋体"/>
          <w:color w:val="auto"/>
          <w:sz w:val="21"/>
          <w:szCs w:val="21"/>
          <w:highlight w:val="none"/>
          <w:lang w:val="en-US" w:eastAsia="zh-CN"/>
        </w:rPr>
        <w:t>正副本各</w:t>
      </w:r>
      <w:r>
        <w:rPr>
          <w:rFonts w:hint="eastAsia" w:ascii="宋体" w:hAnsi="宋体" w:eastAsia="宋体" w:cs="宋体"/>
          <w:color w:val="auto"/>
          <w:sz w:val="21"/>
          <w:szCs w:val="21"/>
          <w:highlight w:val="none"/>
        </w:rPr>
        <w:t>1份。</w:t>
      </w:r>
    </w:p>
    <w:p>
      <w:pPr>
        <w:pStyle w:val="2"/>
        <w:spacing w:line="360" w:lineRule="auto"/>
        <w:ind w:firstLine="422" w:firstLineChars="200"/>
        <w:rPr>
          <w:rFonts w:hint="eastAsia" w:eastAsia="宋体"/>
          <w:color w:val="auto"/>
          <w:highlight w:val="none"/>
          <w:lang w:val="en-US" w:eastAsia="zh-CN"/>
        </w:rPr>
      </w:pPr>
      <w:r>
        <w:rPr>
          <w:rFonts w:hint="eastAsia" w:ascii="宋体"/>
          <w:b/>
          <w:color w:val="auto"/>
          <w:sz w:val="21"/>
          <w:szCs w:val="21"/>
          <w:highlight w:val="none"/>
        </w:rPr>
        <w:t>投标人提供的以上材料必须真实有效，任何一项的虚假将导致其投标被拒绝</w:t>
      </w:r>
      <w:r>
        <w:rPr>
          <w:rFonts w:hint="eastAsia" w:ascii="宋体"/>
          <w:b/>
          <w:color w:val="auto"/>
          <w:sz w:val="21"/>
          <w:szCs w:val="21"/>
          <w:highlight w:val="none"/>
          <w:lang w:eastAsia="zh-CN"/>
        </w:rPr>
        <w:t>。</w:t>
      </w:r>
    </w:p>
    <w:p>
      <w:pPr>
        <w:wordWrap w:val="0"/>
        <w:spacing w:line="360" w:lineRule="auto"/>
        <w:ind w:firstLine="420" w:firstLineChars="200"/>
        <w:jc w:val="left"/>
        <w:rPr>
          <w:rFonts w:hint="eastAsia" w:ascii="宋体" w:hAnsi="宋体" w:eastAsia="宋体" w:cs="宋体"/>
          <w:b/>
          <w:bCs/>
          <w:color w:val="auto"/>
          <w:sz w:val="21"/>
          <w:szCs w:val="21"/>
          <w:highlight w:val="none"/>
        </w:rPr>
      </w:pPr>
      <w:r>
        <w:rPr>
          <w:rFonts w:hint="eastAsia" w:ascii="宋体" w:hAnsi="宋体" w:cs="宋体"/>
          <w:color w:val="auto"/>
          <w:sz w:val="21"/>
          <w:szCs w:val="21"/>
          <w:highlight w:val="none"/>
          <w:lang w:val="en-US" w:eastAsia="zh-CN"/>
        </w:rPr>
        <w:t>*</w:t>
      </w:r>
      <w:r>
        <w:rPr>
          <w:rFonts w:hint="eastAsia" w:ascii="宋体" w:hAnsi="宋体" w:eastAsia="宋体" w:cs="宋体"/>
          <w:b/>
          <w:bCs/>
          <w:color w:val="auto"/>
          <w:sz w:val="21"/>
          <w:szCs w:val="21"/>
          <w:highlight w:val="none"/>
        </w:rPr>
        <w:t>九、投标文件的签署盖章</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1、采购文件第七章“附件”中标明加盖公章或签字的，加盖公章部分采用CA签章，签字部分由法定代表人或授权代表签字后扫描上传。授权代表签字的，还应附法定代表人签署的法定代表人授权书。</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纸质备份投标文件需打印或用不褪色的墨水填写。采购文件第七章“附件”中标明加盖公章或签字的，纸质备份投标文件须加盖供应商公章或其法定代表人（或授权代表）签字。授权代表签字的，纸质备份投标文件应附法定代表人签署的法定代表人授权书。纸质备份投标文件应尽量避免涂改、行间插字或删除。如果出现上述情况，改动之处应加盖供应商公章或由其法定代表人（或授权代表）签字确认。</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十、投标文件的密封和标记</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1、电子投标文件：供应商应根据“项目采购-电子招投标操作指南”及本采购文件规定的格式和顺序编制电子投标文件并进行关联定位。</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kern w:val="0"/>
          <w:sz w:val="21"/>
          <w:szCs w:val="21"/>
          <w:highlight w:val="none"/>
        </w:rPr>
        <w:t>以U盘或光盘存储的电子备份投标文件</w:t>
      </w:r>
      <w:r>
        <w:rPr>
          <w:rFonts w:hint="eastAsia" w:ascii="宋体" w:hAnsi="宋体" w:eastAsia="宋体" w:cs="宋体"/>
          <w:b/>
          <w:color w:val="auto"/>
          <w:sz w:val="21"/>
          <w:szCs w:val="21"/>
          <w:highlight w:val="none"/>
        </w:rPr>
        <w:t>用封袋密封后递交。</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kern w:val="0"/>
          <w:sz w:val="21"/>
          <w:szCs w:val="21"/>
          <w:highlight w:val="none"/>
        </w:rPr>
        <w:t>纸质备份投标文件：“资格文件正副本各1份”、“商务和技术文件正副本各1份”、“报价文件正副本各1份”用封袋密封后递交</w:t>
      </w:r>
      <w:r>
        <w:rPr>
          <w:rFonts w:hint="eastAsia" w:ascii="宋体" w:hAnsi="宋体" w:eastAsia="宋体" w:cs="宋体"/>
          <w:color w:val="auto"/>
          <w:sz w:val="21"/>
          <w:szCs w:val="21"/>
          <w:highlight w:val="none"/>
        </w:rPr>
        <w:t>。</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kern w:val="0"/>
          <w:sz w:val="21"/>
          <w:szCs w:val="21"/>
          <w:highlight w:val="none"/>
        </w:rPr>
        <w:t>电子备份投标文件、纸质备份投标文件须在</w:t>
      </w:r>
      <w:r>
        <w:rPr>
          <w:rFonts w:hint="eastAsia" w:ascii="宋体" w:hAnsi="宋体" w:eastAsia="宋体" w:cs="宋体"/>
          <w:color w:val="auto"/>
          <w:sz w:val="21"/>
          <w:szCs w:val="21"/>
          <w:highlight w:val="none"/>
        </w:rPr>
        <w:t>封袋上分别注明：</w:t>
      </w:r>
    </w:p>
    <w:p>
      <w:pPr>
        <w:tabs>
          <w:tab w:val="left" w:pos="900"/>
        </w:tabs>
        <w:wordWrap w:val="0"/>
        <w:spacing w:line="360" w:lineRule="auto"/>
        <w:ind w:firstLine="420" w:firstLineChars="200"/>
        <w:jc w:val="lef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（1）注    明：</w:t>
      </w:r>
      <w:r>
        <w:rPr>
          <w:rFonts w:hint="eastAsia" w:ascii="宋体" w:hAnsi="宋体" w:eastAsia="宋体" w:cs="宋体"/>
          <w:color w:val="auto"/>
          <w:sz w:val="21"/>
          <w:szCs w:val="21"/>
          <w:highlight w:val="none"/>
          <w:u w:val="single"/>
        </w:rPr>
        <w:t xml:space="preserve">“电子备份投标文件”、“纸质备份投标文件”     </w:t>
      </w:r>
      <w:r>
        <w:rPr>
          <w:rFonts w:hint="eastAsia" w:ascii="宋体" w:hAnsi="宋体" w:eastAsia="宋体" w:cs="宋体"/>
          <w:color w:val="auto"/>
          <w:sz w:val="21"/>
          <w:szCs w:val="21"/>
          <w:highlight w:val="none"/>
        </w:rPr>
        <w:t>；</w:t>
      </w:r>
    </w:p>
    <w:p>
      <w:pPr>
        <w:tabs>
          <w:tab w:val="left" w:pos="900"/>
        </w:tabs>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（2）采购编号：</w:t>
      </w:r>
      <w:r>
        <w:rPr>
          <w:rFonts w:hint="eastAsia" w:ascii="宋体" w:hAnsi="宋体" w:cs="宋体"/>
          <w:color w:val="auto"/>
          <w:sz w:val="21"/>
          <w:szCs w:val="21"/>
          <w:highlight w:val="none"/>
          <w:u w:val="single"/>
          <w:lang w:eastAsia="zh-CN"/>
        </w:rPr>
        <w:t>NBITC-202230642G</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tabs>
          <w:tab w:val="left" w:pos="900"/>
        </w:tabs>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（3）项目名称：</w:t>
      </w:r>
      <w:r>
        <w:rPr>
          <w:rFonts w:hint="eastAsia" w:ascii="宋体" w:hAnsi="宋体" w:cs="宋体"/>
          <w:color w:val="auto"/>
          <w:sz w:val="21"/>
          <w:szCs w:val="21"/>
          <w:highlight w:val="none"/>
          <w:u w:val="single"/>
          <w:lang w:eastAsia="zh-CN"/>
        </w:rPr>
        <w:t>2022年交警局机房内（公安网）硬件设备维修保养项目</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tabs>
          <w:tab w:val="left" w:pos="900"/>
        </w:tabs>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（4）所投标项（如有多个标项须填写）：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tabs>
          <w:tab w:val="left" w:pos="900"/>
        </w:tabs>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日（规定的开标日期和时间）前不准启封；</w:t>
      </w:r>
    </w:p>
    <w:p>
      <w:pPr>
        <w:tabs>
          <w:tab w:val="left" w:pos="900"/>
        </w:tabs>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（6）供应商的名称：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供应商须在包封上加盖供应商公章或由其法定代表人（或授权代表）签字。</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供应商未按上述要求标记的，采购人（代理机构）不承担错放或提前开封的责任。</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十一、投标文件的递交</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1、投标文件递交的具体要求详见采购公告。</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“电子备份投标文件”、“纸质备份投标文件”提交截止时间及投标地点详见采购公告。</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2、供应商未按上述要求密封的备份投标文件，代理机构不予受理。</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3、逾期送达的或者未送达指定地点的，代理机构不予受理。</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4、投标文件的补充、修改</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投标截止时间前，供应商可以对递交的投标文件进行补充、修改，</w:t>
      </w:r>
      <w:r>
        <w:rPr>
          <w:rFonts w:hint="eastAsia" w:ascii="宋体" w:hAnsi="宋体" w:eastAsia="宋体" w:cs="宋体"/>
          <w:color w:val="auto"/>
          <w:sz w:val="21"/>
          <w:szCs w:val="21"/>
          <w:highlight w:val="none"/>
          <w:lang w:val="en"/>
        </w:rPr>
        <w:t>补充、修改</w:t>
      </w:r>
      <w:r>
        <w:rPr>
          <w:rFonts w:hint="eastAsia" w:ascii="宋体" w:hAnsi="宋体" w:eastAsia="宋体" w:cs="宋体"/>
          <w:color w:val="auto"/>
          <w:sz w:val="21"/>
          <w:szCs w:val="21"/>
          <w:highlight w:val="none"/>
        </w:rPr>
        <w:t>电子投标文件</w:t>
      </w:r>
      <w:r>
        <w:rPr>
          <w:rFonts w:hint="eastAsia" w:ascii="宋体" w:hAnsi="宋体" w:eastAsia="宋体" w:cs="宋体"/>
          <w:color w:val="auto"/>
          <w:sz w:val="21"/>
          <w:szCs w:val="21"/>
          <w:highlight w:val="none"/>
          <w:lang w:val="en"/>
        </w:rPr>
        <w:t>的，应当先行撤回原文件，补充、修改后重新上传，电子备份投标文件也应重新制作。修改后的</w:t>
      </w:r>
      <w:r>
        <w:rPr>
          <w:rFonts w:hint="eastAsia" w:ascii="宋体" w:hAnsi="宋体" w:eastAsia="宋体" w:cs="宋体"/>
          <w:color w:val="auto"/>
          <w:sz w:val="21"/>
          <w:szCs w:val="21"/>
          <w:highlight w:val="none"/>
        </w:rPr>
        <w:t>纸质备份投标文件应当按本采购文件的要求签署、盖章和密封。在投标截止时间之后，供应商不得对其投标文件进行补充、修改。投标截止时间之后供应商要求撤销投标文件的，应向采购人提交正式文件。</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十二、开标</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代理机构在采购文件规定的时间和地点公开开标，并邀请所有供应商的法定代表人（或授权代表）准时参加。供应商的法定代表人（或授权代表）不参加开标的或迟到参加开标的，视同该供应商默认开标记录，不得事后对开标过程提出任何异议。</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2、电子投标开标及评审程序：一阶段开标，同时开启“资格文件”、“商务和技术文件”和“报价文件”。</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（1）宣布开标；</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（2）投标截止时间后，供应商登录</w:t>
      </w:r>
      <w:r>
        <w:rPr>
          <w:rFonts w:hint="eastAsia" w:ascii="宋体" w:hAnsi="宋体" w:eastAsia="宋体" w:cs="宋体"/>
          <w:color w:val="auto"/>
          <w:kern w:val="0"/>
          <w:sz w:val="21"/>
          <w:szCs w:val="21"/>
          <w:highlight w:val="none"/>
        </w:rPr>
        <w:t>政府采购云平台</w:t>
      </w:r>
      <w:r>
        <w:rPr>
          <w:rFonts w:hint="eastAsia" w:ascii="宋体" w:hAnsi="宋体" w:eastAsia="宋体" w:cs="宋体"/>
          <w:color w:val="auto"/>
          <w:sz w:val="21"/>
          <w:szCs w:val="21"/>
          <w:highlight w:val="none"/>
        </w:rPr>
        <w:t>，用“项目采购-开标评标”功能对电子投标文件进行在线解密，在线解密电子投标文件时间为开标时间后半小时内。</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（3）介绍开标现场的人员情况；</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（4）宣读递交投标文件的供应商名单、开标纪律、应当回避的情形等注意事项；</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（5）供应商签署不存在影响公平竞争的《政府采购活动现场确认声明书》；</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确认无误后按照供应商提交投标文件的先后顺序，同时开启“资格文件”、“商务和技术文件”和“报价文件”；宣读供应商名称、供应商投标文件、投标文件中“开标一览表”内容，以及采购人认为必要的其他内容与记录，并做开标记录；</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（7）开标记录签字确认；</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（8）开标结束。</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（9）在</w:t>
      </w:r>
      <w:r>
        <w:rPr>
          <w:rFonts w:hint="eastAsia" w:ascii="宋体" w:hAnsi="宋体" w:eastAsia="宋体" w:cs="宋体"/>
          <w:color w:val="auto"/>
          <w:kern w:val="0"/>
          <w:sz w:val="21"/>
          <w:szCs w:val="21"/>
          <w:highlight w:val="none"/>
        </w:rPr>
        <w:t>政府采购云平台</w:t>
      </w:r>
      <w:r>
        <w:rPr>
          <w:rFonts w:hint="eastAsia" w:ascii="宋体" w:hAnsi="宋体" w:eastAsia="宋体" w:cs="宋体"/>
          <w:color w:val="auto"/>
          <w:sz w:val="21"/>
          <w:szCs w:val="21"/>
          <w:highlight w:val="none"/>
        </w:rPr>
        <w:t>公布中标候选人名单及采购人最终确定中标供应商名单的时间和公告方式等；</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3、特别说明：</w:t>
      </w:r>
      <w:r>
        <w:rPr>
          <w:rFonts w:hint="eastAsia" w:ascii="宋体" w:hAnsi="宋体" w:eastAsia="宋体" w:cs="宋体"/>
          <w:color w:val="auto"/>
          <w:kern w:val="0"/>
          <w:sz w:val="21"/>
          <w:szCs w:val="21"/>
          <w:highlight w:val="none"/>
        </w:rPr>
        <w:t>政府采购云平台</w:t>
      </w:r>
      <w:r>
        <w:rPr>
          <w:rFonts w:hint="eastAsia" w:ascii="宋体" w:hAnsi="宋体" w:eastAsia="宋体" w:cs="宋体"/>
          <w:color w:val="auto"/>
          <w:sz w:val="21"/>
          <w:szCs w:val="21"/>
          <w:highlight w:val="none"/>
        </w:rPr>
        <w:t>如对电子化开标及评审程序有调整的，按调整后的程序操作。</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本项目原则上采用政采云电子投标开标及评审程序，但有下情形之一的，按以下情况处理：</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（1）若供应商在规定时间内无法解密或解密失败，代理机构将开启上述供应商递交的</w:t>
      </w:r>
      <w:r>
        <w:rPr>
          <w:rFonts w:hint="eastAsia" w:ascii="宋体" w:hAnsi="宋体" w:eastAsia="宋体" w:cs="宋体"/>
          <w:color w:val="auto"/>
          <w:kern w:val="0"/>
          <w:sz w:val="21"/>
          <w:szCs w:val="21"/>
          <w:highlight w:val="none"/>
        </w:rPr>
        <w:t>以U盘或光盘存储的电子备份投标文件</w:t>
      </w:r>
      <w:r>
        <w:rPr>
          <w:rFonts w:hint="eastAsia" w:ascii="宋体" w:hAnsi="宋体" w:eastAsia="宋体" w:cs="宋体"/>
          <w:color w:val="auto"/>
          <w:sz w:val="21"/>
          <w:szCs w:val="21"/>
          <w:highlight w:val="none"/>
        </w:rPr>
        <w:t>，上传至政采云平台项目采购模块，以完成开标，电子投标文件自动失效。</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（2）若因</w:t>
      </w:r>
      <w:r>
        <w:rPr>
          <w:rFonts w:hint="eastAsia" w:ascii="宋体" w:hAnsi="宋体" w:eastAsia="宋体" w:cs="宋体"/>
          <w:color w:val="auto"/>
          <w:kern w:val="0"/>
          <w:sz w:val="21"/>
          <w:szCs w:val="21"/>
          <w:highlight w:val="none"/>
        </w:rPr>
        <w:t>政府采购云平台</w:t>
      </w:r>
      <w:r>
        <w:rPr>
          <w:rFonts w:hint="eastAsia" w:ascii="宋体" w:hAnsi="宋体" w:eastAsia="宋体" w:cs="宋体"/>
          <w:color w:val="auto"/>
          <w:sz w:val="21"/>
          <w:szCs w:val="21"/>
          <w:highlight w:val="none"/>
        </w:rPr>
        <w:t>原因无法读取或电子开评标无法正常进行，代理机构将开启所有供应商递交的纸质备份投标文件，以完成开标，电子投标文件及</w:t>
      </w:r>
      <w:r>
        <w:rPr>
          <w:rFonts w:hint="eastAsia" w:ascii="宋体" w:hAnsi="宋体" w:eastAsia="宋体" w:cs="宋体"/>
          <w:color w:val="auto"/>
          <w:kern w:val="0"/>
          <w:sz w:val="21"/>
          <w:szCs w:val="21"/>
          <w:highlight w:val="none"/>
        </w:rPr>
        <w:t>以U盘或光盘存储的电子备份投标文件</w:t>
      </w:r>
      <w:r>
        <w:rPr>
          <w:rFonts w:hint="eastAsia" w:ascii="宋体" w:hAnsi="宋体" w:eastAsia="宋体" w:cs="宋体"/>
          <w:color w:val="auto"/>
          <w:sz w:val="21"/>
          <w:szCs w:val="21"/>
          <w:highlight w:val="none"/>
        </w:rPr>
        <w:t>自动失效。</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（3）采购过程中出现以下情形，导致电子交易平台无法正常运行，或者无法保证电子交易的公平、公正和安全时，采购人（或代理机构）可中止电子交易活动：</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3.1电子交易平台发生故障而无法登录访问的；</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3.2电子交易平台应用或数据库出现错误，不能进行正常操作的；</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3.3电子交易平台发现严重安全漏洞，有潜在泄密危险的；</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3.4病毒发作导致不能进行正常操作的； </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3.5其他无法保证电子交易的公平、公正和安全的情况。</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出现前款规定情形，不影响采购公平、公正性的，采购人（或代理机构）可以待上述情形消除后继续组织电子交易活动，也可以决定某些环节以纸质形式进行。</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十三、评标</w:t>
      </w:r>
    </w:p>
    <w:p>
      <w:pPr>
        <w:wordWrap w:val="0"/>
        <w:spacing w:line="360" w:lineRule="auto"/>
        <w:ind w:firstLine="422" w:firstLineChars="200"/>
        <w:jc w:val="left"/>
        <w:rPr>
          <w:rFonts w:hint="eastAsia" w:ascii="宋体" w:hAnsi="宋体" w:eastAsia="宋体" w:cs="宋体"/>
          <w:b/>
          <w:color w:val="auto"/>
          <w:sz w:val="21"/>
          <w:szCs w:val="21"/>
          <w:highlight w:val="none"/>
        </w:rPr>
      </w:pPr>
      <w:bookmarkStart w:id="49" w:name="_Toc460857925"/>
      <w:bookmarkStart w:id="50" w:name="_Toc17884841"/>
      <w:r>
        <w:rPr>
          <w:rFonts w:hint="eastAsia" w:ascii="宋体" w:hAnsi="宋体" w:eastAsia="宋体" w:cs="宋体"/>
          <w:b/>
          <w:color w:val="auto"/>
          <w:sz w:val="21"/>
          <w:szCs w:val="21"/>
          <w:highlight w:val="none"/>
        </w:rPr>
        <w:t>（一）组建评标委员会</w:t>
      </w:r>
      <w:bookmarkEnd w:id="49"/>
      <w:bookmarkEnd w:id="50"/>
    </w:p>
    <w:p>
      <w:pPr>
        <w:pStyle w:val="22"/>
        <w:snapToGrid w:val="0"/>
        <w:spacing w:before="0" w:beforeAutospacing="0" w:after="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本项目评标委员会依法组建。</w:t>
      </w:r>
    </w:p>
    <w:p>
      <w:pPr>
        <w:wordWrap w:val="0"/>
        <w:spacing w:line="360" w:lineRule="auto"/>
        <w:ind w:firstLine="422" w:firstLineChars="200"/>
        <w:jc w:val="left"/>
        <w:rPr>
          <w:rFonts w:hint="eastAsia" w:ascii="宋体" w:hAnsi="宋体" w:eastAsia="宋体" w:cs="宋体"/>
          <w:b/>
          <w:color w:val="auto"/>
          <w:sz w:val="21"/>
          <w:szCs w:val="21"/>
          <w:highlight w:val="none"/>
        </w:rPr>
      </w:pPr>
      <w:bookmarkStart w:id="51" w:name="_Toc460857926"/>
      <w:bookmarkStart w:id="52" w:name="_Toc17884842"/>
      <w:r>
        <w:rPr>
          <w:rFonts w:hint="eastAsia" w:ascii="宋体" w:hAnsi="宋体" w:eastAsia="宋体" w:cs="宋体"/>
          <w:b/>
          <w:color w:val="auto"/>
          <w:sz w:val="21"/>
          <w:szCs w:val="21"/>
          <w:highlight w:val="none"/>
        </w:rPr>
        <w:t>（二）评标的方式</w:t>
      </w:r>
      <w:bookmarkEnd w:id="51"/>
      <w:bookmarkEnd w:id="52"/>
    </w:p>
    <w:p>
      <w:pPr>
        <w:pStyle w:val="22"/>
        <w:snapToGrid w:val="0"/>
        <w:spacing w:before="0" w:beforeAutospacing="0" w:after="0" w:afterAutospacing="0" w:line="360" w:lineRule="auto"/>
        <w:ind w:left="757" w:leftChars="228" w:hanging="210" w:hanging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本项目采用不公开方式评标，评标的依据为采购文件和投标文件。</w:t>
      </w:r>
    </w:p>
    <w:p>
      <w:pPr>
        <w:wordWrap w:val="0"/>
        <w:spacing w:line="360" w:lineRule="auto"/>
        <w:ind w:firstLine="422" w:firstLineChars="200"/>
        <w:jc w:val="left"/>
        <w:rPr>
          <w:rFonts w:hint="eastAsia" w:ascii="宋体" w:hAnsi="宋体" w:eastAsia="宋体" w:cs="宋体"/>
          <w:b/>
          <w:color w:val="auto"/>
          <w:sz w:val="21"/>
          <w:szCs w:val="21"/>
          <w:highlight w:val="none"/>
        </w:rPr>
      </w:pPr>
      <w:bookmarkStart w:id="53" w:name="_Toc460857927"/>
      <w:bookmarkStart w:id="54" w:name="_Toc17884843"/>
      <w:r>
        <w:rPr>
          <w:rFonts w:hint="eastAsia" w:ascii="宋体" w:hAnsi="宋体" w:eastAsia="宋体" w:cs="宋体"/>
          <w:b/>
          <w:color w:val="auto"/>
          <w:sz w:val="21"/>
          <w:szCs w:val="21"/>
          <w:highlight w:val="none"/>
        </w:rPr>
        <w:t>（三）评标程序</w:t>
      </w:r>
      <w:bookmarkEnd w:id="53"/>
      <w:bookmarkEnd w:id="54"/>
    </w:p>
    <w:p>
      <w:pPr>
        <w:snapToGrid w:val="0"/>
        <w:spacing w:line="360" w:lineRule="auto"/>
        <w:ind w:firstLine="413" w:firstLineChars="196"/>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1、资格审查</w:t>
      </w:r>
    </w:p>
    <w:p>
      <w:pPr>
        <w:snapToGrid w:val="0"/>
        <w:spacing w:line="360" w:lineRule="auto"/>
        <w:ind w:firstLine="420" w:firstLineChars="20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招标代理机构工作人员对投标人的资格进行审查。</w:t>
      </w:r>
    </w:p>
    <w:p>
      <w:pPr>
        <w:snapToGrid w:val="0"/>
        <w:spacing w:line="360" w:lineRule="auto"/>
        <w:ind w:firstLine="413" w:firstLineChars="196"/>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2、符合性审查与比较</w:t>
      </w:r>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（1）评标委员会审查投标文件的实质性内容是否符合采购文件的实质性要求。</w:t>
      </w:r>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（2）评标委员会将根据投标人的投标文件进行审查、核对,如有疑问,将对投标人进行询标，投标人要向评标委员会澄清有关问题,并最终以书面形式进行答复。</w:t>
      </w:r>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投标人代表未到场或者拒绝澄清或者澄清的内容改变了投标文件的实质性内容的，评标委员会有权对该投标文件作出不利于投标人的评判。</w:t>
      </w:r>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（3）各投标人的技术商务报价得分为所有评委的有效评分的算术平均数，由指定专人进行计算复核。</w:t>
      </w:r>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（4）采购代理机构工作人员协助评标委员会根据本项目的评分标准计算各投标人的报价得分。</w:t>
      </w:r>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（5）评标委员会完成评标后,评委对各部分得分汇总,计算出本项目最终得分。评标委员会按评标原则推荐中标候选人同时起草评标报告。</w:t>
      </w:r>
    </w:p>
    <w:p>
      <w:pPr>
        <w:wordWrap w:val="0"/>
        <w:spacing w:line="360" w:lineRule="auto"/>
        <w:ind w:firstLine="422" w:firstLineChars="200"/>
        <w:jc w:val="left"/>
        <w:rPr>
          <w:rFonts w:hint="eastAsia" w:ascii="宋体" w:hAnsi="宋体" w:eastAsia="宋体" w:cs="宋体"/>
          <w:b/>
          <w:color w:val="auto"/>
          <w:sz w:val="21"/>
          <w:szCs w:val="21"/>
          <w:highlight w:val="none"/>
        </w:rPr>
      </w:pPr>
      <w:bookmarkStart w:id="55" w:name="_Toc460857928"/>
      <w:bookmarkStart w:id="56" w:name="_Toc17884844"/>
      <w:r>
        <w:rPr>
          <w:rFonts w:hint="eastAsia" w:ascii="宋体" w:hAnsi="宋体" w:eastAsia="宋体" w:cs="宋体"/>
          <w:b/>
          <w:color w:val="auto"/>
          <w:sz w:val="21"/>
          <w:szCs w:val="21"/>
          <w:highlight w:val="none"/>
        </w:rPr>
        <w:t>（四）澄清问题的形式</w:t>
      </w:r>
      <w:bookmarkEnd w:id="55"/>
      <w:bookmarkEnd w:id="56"/>
    </w:p>
    <w:p>
      <w:pPr>
        <w:widowControl/>
        <w:spacing w:line="360" w:lineRule="auto"/>
        <w:ind w:firstLine="420" w:firstLineChars="200"/>
        <w:jc w:val="left"/>
        <w:outlineLvl w:val="1"/>
        <w:rPr>
          <w:rFonts w:hint="eastAsia" w:ascii="宋体" w:hAnsi="宋体" w:eastAsia="宋体" w:cs="宋体"/>
          <w:color w:val="auto"/>
          <w:sz w:val="21"/>
          <w:szCs w:val="21"/>
          <w:highlight w:val="none"/>
        </w:rPr>
      </w:pPr>
      <w:bookmarkStart w:id="57" w:name="_Toc497898868"/>
      <w:bookmarkStart w:id="58" w:name="_Toc460857930"/>
      <w:bookmarkStart w:id="59" w:name="_Toc17884845"/>
      <w:r>
        <w:rPr>
          <w:rFonts w:hint="eastAsia" w:ascii="宋体" w:hAnsi="宋体" w:eastAsia="宋体" w:cs="宋体"/>
          <w:color w:val="auto"/>
          <w:sz w:val="21"/>
          <w:szCs w:val="21"/>
          <w:highlight w:val="none"/>
        </w:rPr>
        <w:t>对于投标文件中含义不明确、同类问题表述不一致或者有明显文字和计算错误的内容，评标委员会可要求投标人以书面形式作出必要的澄清、说明或者补正。</w:t>
      </w:r>
      <w:bookmarkEnd w:id="57"/>
    </w:p>
    <w:p>
      <w:pPr>
        <w:widowControl/>
        <w:spacing w:line="360" w:lineRule="auto"/>
        <w:ind w:firstLine="420" w:firstLineChars="200"/>
        <w:jc w:val="left"/>
        <w:outlineLvl w:val="1"/>
        <w:rPr>
          <w:rFonts w:hint="eastAsia" w:ascii="宋体" w:hAnsi="宋体" w:eastAsia="宋体" w:cs="宋体"/>
          <w:color w:val="auto"/>
          <w:sz w:val="21"/>
          <w:szCs w:val="21"/>
          <w:highlight w:val="none"/>
        </w:rPr>
      </w:pPr>
      <w:bookmarkStart w:id="60" w:name="_Toc497898869"/>
      <w:r>
        <w:rPr>
          <w:rFonts w:hint="eastAsia" w:ascii="宋体" w:hAnsi="宋体" w:eastAsia="宋体" w:cs="宋体"/>
          <w:color w:val="auto"/>
          <w:sz w:val="21"/>
          <w:szCs w:val="21"/>
          <w:highlight w:val="none"/>
        </w:rPr>
        <w:t>投标人的澄清、说明或者补正应当采用书面形式，并加盖公章，或者由法定代表人或其授权代表签字确认，投标人的澄清、说明或者补正不得超出投标文件的范围或者改变投标文件的实质性内容。</w:t>
      </w:r>
      <w:bookmarkEnd w:id="60"/>
    </w:p>
    <w:p>
      <w:pPr>
        <w:wordWrap w:val="0"/>
        <w:spacing w:line="360" w:lineRule="auto"/>
        <w:ind w:firstLine="422" w:firstLineChars="200"/>
        <w:jc w:val="left"/>
        <w:rPr>
          <w:rFonts w:hint="eastAsia" w:ascii="宋体" w:hAnsi="宋体" w:eastAsia="宋体" w:cs="宋体"/>
          <w:b/>
          <w:color w:val="auto"/>
          <w:sz w:val="21"/>
          <w:szCs w:val="21"/>
          <w:highlight w:val="none"/>
        </w:rPr>
      </w:pPr>
      <w:bookmarkStart w:id="61" w:name="_Toc497898870"/>
      <w:r>
        <w:rPr>
          <w:rFonts w:hint="eastAsia" w:ascii="宋体" w:hAnsi="宋体" w:eastAsia="宋体" w:cs="宋体"/>
          <w:b/>
          <w:color w:val="auto"/>
          <w:sz w:val="21"/>
          <w:szCs w:val="21"/>
          <w:highlight w:val="none"/>
        </w:rPr>
        <w:t>（五）错误修正</w:t>
      </w:r>
      <w:bookmarkEnd w:id="61"/>
    </w:p>
    <w:p>
      <w:pPr>
        <w:pStyle w:val="171"/>
        <w:widowControl/>
        <w:spacing w:line="360" w:lineRule="auto"/>
        <w:ind w:left="757" w:leftChars="228" w:hanging="210" w:hangingChars="1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投标文件报价出现前后不一致的，除采购文件另有规定外，按照下列规定修正：</w:t>
      </w:r>
    </w:p>
    <w:p>
      <w:pPr>
        <w:pStyle w:val="171"/>
        <w:widowControl/>
        <w:spacing w:line="360" w:lineRule="auto"/>
        <w:ind w:firstLine="525" w:firstLineChars="25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（1）投标文件中开标一览表内容与政采云系统“开标一览表”中录入的内容不一致的，以投标文件中开标一览表为准；</w:t>
      </w:r>
    </w:p>
    <w:p>
      <w:pPr>
        <w:pStyle w:val="171"/>
        <w:widowControl/>
        <w:spacing w:line="360" w:lineRule="auto"/>
        <w:ind w:left="757" w:leftChars="228" w:hanging="210" w:hangingChars="1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（2）投标文件中开标一览表内容与投标文件中分项报价表内容不一致的，以开标一览表为准；</w:t>
      </w:r>
    </w:p>
    <w:p>
      <w:pPr>
        <w:pStyle w:val="171"/>
        <w:widowControl/>
        <w:spacing w:line="360" w:lineRule="auto"/>
        <w:ind w:left="757" w:leftChars="228" w:hanging="210" w:hangingChars="1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（3）大写金额和小写金额不一致的，以大写金额为准；</w:t>
      </w:r>
    </w:p>
    <w:p>
      <w:pPr>
        <w:pStyle w:val="171"/>
        <w:widowControl/>
        <w:spacing w:line="360" w:lineRule="auto"/>
        <w:ind w:left="757" w:leftChars="228" w:hanging="210" w:hangingChars="1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（4）单价金额小数点或者百分比有明显错位的，以开标一览表的总价为准，并修改单价；</w:t>
      </w:r>
    </w:p>
    <w:p>
      <w:pPr>
        <w:pStyle w:val="171"/>
        <w:widowControl/>
        <w:spacing w:line="360" w:lineRule="auto"/>
        <w:ind w:left="757" w:leftChars="228" w:hanging="210" w:hangingChars="1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（5）总价金额与按单价汇总金额不一致的，以单价金额计算结果为准；</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同时出现两种以上不一致的，按照前款规定的顺序修正。修正后的报价经投标人确认后具有约束</w:t>
      </w:r>
      <w:r>
        <w:rPr>
          <w:rFonts w:hint="eastAsia" w:ascii="宋体" w:hAnsi="宋体" w:eastAsia="宋体" w:cs="宋体"/>
          <w:b/>
          <w:color w:val="auto"/>
          <w:sz w:val="21"/>
          <w:szCs w:val="21"/>
          <w:highlight w:val="none"/>
        </w:rPr>
        <w:t>力，若投标人不确认的，则其投标无效。</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（六）评标原则和评标办法</w:t>
      </w:r>
      <w:bookmarkEnd w:id="58"/>
      <w:bookmarkEnd w:id="59"/>
    </w:p>
    <w:p>
      <w:pPr>
        <w:pStyle w:val="22"/>
        <w:snapToGrid w:val="0"/>
        <w:spacing w:before="0" w:beforeAutospacing="0" w:after="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22"/>
        <w:snapToGrid w:val="0"/>
        <w:spacing w:before="0" w:beforeAutospacing="0" w:after="0" w:afterAutospacing="0" w:line="360" w:lineRule="auto"/>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2、评标办法。本项目评标办法是</w:t>
      </w:r>
      <w:r>
        <w:rPr>
          <w:rFonts w:hint="eastAsia" w:ascii="宋体" w:hAnsi="宋体" w:eastAsia="宋体" w:cs="宋体"/>
          <w:b/>
          <w:color w:val="auto"/>
          <w:sz w:val="21"/>
          <w:szCs w:val="21"/>
          <w:highlight w:val="none"/>
          <w:u w:val="single"/>
        </w:rPr>
        <w:t xml:space="preserve"> 综合评分法 </w:t>
      </w:r>
      <w:r>
        <w:rPr>
          <w:rFonts w:hint="eastAsia" w:ascii="宋体" w:hAnsi="宋体" w:eastAsia="宋体" w:cs="宋体"/>
          <w:b/>
          <w:color w:val="auto"/>
          <w:sz w:val="21"/>
          <w:szCs w:val="21"/>
          <w:highlight w:val="none"/>
        </w:rPr>
        <w:t>，具体评标内容及评分标准等详见评分标准。</w:t>
      </w:r>
    </w:p>
    <w:p>
      <w:pPr>
        <w:spacing w:line="360" w:lineRule="auto"/>
        <w:ind w:firstLine="422" w:firstLineChars="200"/>
        <w:rPr>
          <w:rFonts w:hint="eastAsia" w:ascii="宋体" w:hAnsi="宋体" w:eastAsia="宋体" w:cs="宋体"/>
          <w:b/>
          <w:color w:val="auto"/>
          <w:sz w:val="21"/>
          <w:szCs w:val="21"/>
          <w:highlight w:val="none"/>
        </w:rPr>
      </w:pPr>
      <w:bookmarkStart w:id="62" w:name="_Toc460857931"/>
      <w:bookmarkStart w:id="63" w:name="_Toc17884846"/>
      <w:r>
        <w:rPr>
          <w:rFonts w:hint="eastAsia" w:ascii="宋体" w:hAnsi="宋体" w:eastAsia="宋体" w:cs="宋体"/>
          <w:b/>
          <w:color w:val="auto"/>
          <w:sz w:val="21"/>
          <w:szCs w:val="21"/>
          <w:highlight w:val="none"/>
        </w:rPr>
        <w:t>十四、</w:t>
      </w:r>
      <w:bookmarkEnd w:id="62"/>
      <w:bookmarkEnd w:id="63"/>
      <w:r>
        <w:rPr>
          <w:rFonts w:hint="eastAsia" w:ascii="宋体" w:hAnsi="宋体" w:eastAsia="宋体" w:cs="宋体"/>
          <w:b/>
          <w:color w:val="auto"/>
          <w:sz w:val="21"/>
          <w:szCs w:val="21"/>
          <w:highlight w:val="none"/>
        </w:rPr>
        <w:t>项目终止</w:t>
      </w:r>
    </w:p>
    <w:p>
      <w:pPr>
        <w:snapToGrid w:val="0"/>
        <w:spacing w:line="360" w:lineRule="auto"/>
        <w:ind w:firstLine="420" w:firstLineChars="200"/>
        <w:jc w:val="left"/>
        <w:rPr>
          <w:rFonts w:hint="eastAsia" w:ascii="宋体" w:hAnsi="宋体" w:eastAsia="宋体" w:cs="宋体"/>
          <w:color w:val="auto"/>
          <w:sz w:val="21"/>
          <w:szCs w:val="21"/>
          <w:highlight w:val="none"/>
        </w:rPr>
      </w:pPr>
      <w:bookmarkStart w:id="64" w:name="_Toc460857932"/>
      <w:r>
        <w:rPr>
          <w:rFonts w:hint="eastAsia" w:ascii="宋体" w:hAnsi="宋体" w:eastAsia="宋体" w:cs="宋体"/>
          <w:color w:val="auto"/>
          <w:sz w:val="21"/>
          <w:szCs w:val="21"/>
          <w:highlight w:val="none"/>
        </w:rPr>
        <w:t>政府采购的国内公开招标，采购响应截止时间或评审期间，出现参与采购响应或者对采购文件作出实质性响应的供应商不足3家的情况，本项目终止招标。</w:t>
      </w:r>
    </w:p>
    <w:p>
      <w:pPr>
        <w:spacing w:line="360" w:lineRule="auto"/>
        <w:ind w:firstLine="422" w:firstLineChars="200"/>
        <w:rPr>
          <w:rFonts w:hint="eastAsia" w:ascii="宋体" w:hAnsi="宋体" w:eastAsia="宋体" w:cs="宋体"/>
          <w:b/>
          <w:color w:val="auto"/>
          <w:sz w:val="21"/>
          <w:szCs w:val="21"/>
          <w:highlight w:val="none"/>
        </w:rPr>
      </w:pPr>
      <w:bookmarkStart w:id="65" w:name="_Toc17884847"/>
      <w:r>
        <w:rPr>
          <w:rFonts w:hint="eastAsia" w:ascii="宋体" w:hAnsi="宋体" w:eastAsia="宋体" w:cs="宋体"/>
          <w:b/>
          <w:color w:val="auto"/>
          <w:sz w:val="21"/>
          <w:szCs w:val="21"/>
          <w:highlight w:val="none"/>
        </w:rPr>
        <w:t>十五、定标</w:t>
      </w:r>
      <w:bookmarkEnd w:id="64"/>
      <w:bookmarkEnd w:id="65"/>
    </w:p>
    <w:p>
      <w:pPr>
        <w:spacing w:line="360" w:lineRule="auto"/>
        <w:ind w:firstLine="422" w:firstLineChars="200"/>
        <w:rPr>
          <w:rFonts w:hint="eastAsia" w:ascii="宋体" w:hAnsi="宋体" w:eastAsia="宋体" w:cs="宋体"/>
          <w:b/>
          <w:color w:val="auto"/>
          <w:sz w:val="21"/>
          <w:szCs w:val="21"/>
          <w:highlight w:val="none"/>
        </w:rPr>
      </w:pPr>
      <w:bookmarkStart w:id="66" w:name="_Toc17884848"/>
      <w:bookmarkStart w:id="67" w:name="_Toc460857933"/>
      <w:r>
        <w:rPr>
          <w:rFonts w:hint="eastAsia" w:ascii="宋体" w:hAnsi="宋体" w:eastAsia="宋体" w:cs="宋体"/>
          <w:b/>
          <w:color w:val="auto"/>
          <w:sz w:val="21"/>
          <w:szCs w:val="21"/>
          <w:highlight w:val="none"/>
        </w:rPr>
        <w:t>（一）确定中标人</w:t>
      </w:r>
      <w:bookmarkEnd w:id="66"/>
      <w:bookmarkEnd w:id="67"/>
    </w:p>
    <w:p>
      <w:pPr>
        <w:pStyle w:val="22"/>
        <w:spacing w:before="0" w:beforeAutospacing="0" w:after="0" w:afterAutospacing="0" w:line="360" w:lineRule="auto"/>
        <w:ind w:firstLine="420" w:firstLineChars="200"/>
        <w:rPr>
          <w:rFonts w:hint="eastAsia" w:ascii="宋体" w:hAnsi="宋体" w:eastAsia="宋体" w:cs="宋体"/>
          <w:color w:val="auto"/>
          <w:sz w:val="21"/>
          <w:szCs w:val="21"/>
          <w:highlight w:val="none"/>
        </w:rPr>
      </w:pPr>
      <w:bookmarkStart w:id="68" w:name="_Toc17884849"/>
      <w:bookmarkStart w:id="69" w:name="_Toc460416359"/>
      <w:bookmarkStart w:id="70" w:name="_Toc460416664"/>
      <w:bookmarkStart w:id="71" w:name="_Toc460857934"/>
      <w:r>
        <w:rPr>
          <w:rFonts w:hint="eastAsia" w:ascii="宋体" w:hAnsi="宋体" w:eastAsia="宋体" w:cs="宋体"/>
          <w:color w:val="auto"/>
          <w:sz w:val="21"/>
          <w:szCs w:val="21"/>
          <w:highlight w:val="none"/>
        </w:rPr>
        <w:t>1、确定中标人。本项目由评标委员会推荐中标候选人，采购人不得在评标委员会推荐的中标候选人以外确定中标人。</w:t>
      </w:r>
    </w:p>
    <w:p>
      <w:pPr>
        <w:pStyle w:val="22"/>
        <w:spacing w:before="0" w:beforeAutospacing="0" w:after="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代理机构在评标结束后2个工作日内将评标报告交采购人确认，采购人在收到评标报告之日起5个工作日内在评标报告确定的中标候选人中按顺序确定中标人，采购人在收到评标报告之日起5个工作日内未按评标报告推荐的中标候选人排序确定中标人，又不能说明合法理由的，视同按评标报告推荐的顺序确定排名第一的中标候选人为中标人。</w:t>
      </w:r>
    </w:p>
    <w:p>
      <w:pPr>
        <w:pStyle w:val="22"/>
        <w:spacing w:before="0" w:beforeAutospacing="0" w:after="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3、采购代理机构自中标人确定之日起2个工作日内，在发布招标公告的网站上对中标结果进行公示，中标结果公告期限为1个工作日。</w:t>
      </w:r>
    </w:p>
    <w:p>
      <w:pPr>
        <w:pStyle w:val="22"/>
        <w:spacing w:before="0" w:beforeAutospacing="0" w:after="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4、凡发现中标人有下列行为之一的，将移交政府采购监督管理部门依法处理：</w:t>
      </w:r>
    </w:p>
    <w:p>
      <w:pPr>
        <w:numPr>
          <w:ilvl w:val="0"/>
          <w:numId w:val="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提供虚假材料谋取中标的；</w:t>
      </w:r>
    </w:p>
    <w:p>
      <w:pPr>
        <w:numPr>
          <w:ilvl w:val="0"/>
          <w:numId w:val="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采取不正当手段诋毁、排挤其他投标人的；</w:t>
      </w:r>
    </w:p>
    <w:p>
      <w:pPr>
        <w:numPr>
          <w:ilvl w:val="0"/>
          <w:numId w:val="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与采购人、其他投标人或者采购代理机构工作人员恶意串通的；</w:t>
      </w:r>
    </w:p>
    <w:p>
      <w:pPr>
        <w:numPr>
          <w:ilvl w:val="0"/>
          <w:numId w:val="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向采购人或采购代理机构人员行贿或者提供其他不正当利益的；</w:t>
      </w:r>
    </w:p>
    <w:p>
      <w:pPr>
        <w:numPr>
          <w:ilvl w:val="0"/>
          <w:numId w:val="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拒绝有关部门监督检查或者提供虚假情况的；</w:t>
      </w:r>
    </w:p>
    <w:p>
      <w:pPr>
        <w:numPr>
          <w:ilvl w:val="0"/>
          <w:numId w:val="4"/>
        </w:num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有法律、法规规定的其他损害采购人利益和社会公共利益情形的。</w:t>
      </w:r>
    </w:p>
    <w:p>
      <w:pPr>
        <w:widowControl/>
        <w:spacing w:line="360" w:lineRule="auto"/>
        <w:ind w:firstLine="422" w:firstLineChars="200"/>
        <w:jc w:val="left"/>
        <w:outlineLvl w:val="1"/>
        <w:rPr>
          <w:rFonts w:hint="eastAsia" w:ascii="宋体" w:hAnsi="宋体" w:eastAsia="宋体" w:cs="宋体"/>
          <w:b/>
          <w:color w:val="auto"/>
          <w:sz w:val="21"/>
          <w:szCs w:val="21"/>
          <w:highlight w:val="none"/>
        </w:rPr>
      </w:pPr>
      <w:bookmarkStart w:id="72" w:name="_Toc497898872"/>
      <w:r>
        <w:rPr>
          <w:rFonts w:hint="eastAsia" w:ascii="宋体" w:hAnsi="宋体" w:eastAsia="宋体" w:cs="宋体"/>
          <w:b/>
          <w:color w:val="auto"/>
          <w:sz w:val="21"/>
          <w:szCs w:val="21"/>
          <w:highlight w:val="none"/>
        </w:rPr>
        <w:t>十六、评标过程的监控</w:t>
      </w:r>
      <w:bookmarkEnd w:id="72"/>
    </w:p>
    <w:p>
      <w:pPr>
        <w:snapToGrid w:val="0"/>
        <w:spacing w:line="360" w:lineRule="auto"/>
        <w:ind w:firstLine="420" w:firstLineChars="200"/>
        <w:jc w:val="left"/>
        <w:rPr>
          <w:rFonts w:hint="eastAsia" w:ascii="宋体" w:hAnsi="宋体" w:eastAsia="宋体" w:cs="宋体"/>
          <w:bCs/>
          <w:color w:val="auto"/>
          <w:sz w:val="21"/>
          <w:szCs w:val="21"/>
          <w:highlight w:val="none"/>
        </w:rPr>
      </w:pPr>
      <w:bookmarkStart w:id="73" w:name="_Toc497898873"/>
      <w:r>
        <w:rPr>
          <w:rFonts w:hint="eastAsia" w:ascii="宋体" w:hAnsi="宋体" w:eastAsia="宋体" w:cs="宋体"/>
          <w:color w:val="auto"/>
          <w:sz w:val="21"/>
          <w:szCs w:val="21"/>
          <w:highlight w:val="none"/>
        </w:rPr>
        <w:t>本项目评标过程实行全程录音</w:t>
      </w:r>
      <w:r>
        <w:rPr>
          <w:rFonts w:hint="eastAsia" w:ascii="宋体" w:hAnsi="宋体" w:eastAsia="宋体" w:cs="宋体"/>
          <w:bCs/>
          <w:color w:val="auto"/>
          <w:sz w:val="21"/>
          <w:szCs w:val="21"/>
          <w:highlight w:val="none"/>
        </w:rPr>
        <w:t>、录像监控，投标人在评标过程中所进行的试图影响评标结果的不公正活动，可能导致其投标被拒绝。</w:t>
      </w:r>
      <w:bookmarkEnd w:id="73"/>
    </w:p>
    <w:bookmarkEnd w:id="68"/>
    <w:bookmarkEnd w:id="69"/>
    <w:bookmarkEnd w:id="70"/>
    <w:bookmarkEnd w:id="71"/>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十七、采购文件的澄清和修改</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b/>
          <w:color w:val="auto"/>
          <w:sz w:val="21"/>
          <w:szCs w:val="21"/>
          <w:highlight w:val="none"/>
        </w:rPr>
        <w:t>采购人可以对已发出的采购文件进行必要的澄清或者修改，将以“更正公告”的形式发布在政采云平台，供应商应及时登录政采云平台，进行浏览并下载，未及时浏览下载的责任自负。</w:t>
      </w:r>
      <w:r>
        <w:rPr>
          <w:rFonts w:hint="eastAsia" w:ascii="宋体" w:hAnsi="宋体" w:eastAsia="宋体" w:cs="宋体"/>
          <w:color w:val="auto"/>
          <w:sz w:val="21"/>
          <w:szCs w:val="21"/>
          <w:highlight w:val="none"/>
        </w:rPr>
        <w:t>澄清或者修改的内容可能影响投标文件编制的，采购人应当在投标截止时间至少15日前，不足15日的，采购人应当顺延提交投标文件的截止时间；澄清或者修改的内容不影响投标文件编制的，则不受15日的期限限制。澄清或者修改的内容为采购文件的组成部分，对所有供应商具有约束力。</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十八、质疑与投诉</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认为采购文件、采购过程、中标或者成交结果使自己的权益受到损害的，可以在知道或者应知其权益受到损害之日起7个工作日内，以书面形式向采购人、代理机构提出质疑。供应商应当在法定质疑期内一次性提出针对采购公告、采购文件、开标评标、采购结果等同一采购程序环节的质疑，第二次提出的质疑视为质疑无效，采购人、代理机构将不予受理（对于采购人、代理机构作出的澄清或者修改的内容提出质疑的除外）。</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应商提出质疑应当提交质疑函和必要的证明材料，质疑函应当以书面形式提出，质疑函格式和内容须符合财政部《质疑函范本》、《投诉书范本》要求，供应商可到中国政府采购网自行下载财政部《质疑函范本》、《投诉书范本》。</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供应商质疑实行实名制，质疑函应当署名，供应商为自然人的，应当由本人签字；供应商为法人或者其他组织的，应当由法定代表人、主要负责人，或者其授权代表（指代理人）签字或者盖章，并加盖供应商公章；代理人提出质疑的，应当提交供应商签署的授权委托书；以联合体形式参加政府采购活动的，其质疑应当由组成联合体的所有供应商共同提出。</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5、采购人、代理机构接收质疑函的方式：只接收供应商以当面递交、邮寄、传真或电子邮件方式提出的质疑函，以其他方式提出的质疑不予接收。</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采取邮寄方式的，提出质疑的时间为质疑函原件交邮的时间（以邮戳时间或快递收件时间为准）。</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采取传真、电子邮件方式的，供应商应当在传真、电子邮件发出后将质疑函原件邮寄给被质疑人，提出质疑的时间为质疑函原件交邮的时间（以邮戳时间或快递收件时间为准）。</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6、采购人、代理机构以实际收到质疑函原件之日作为收到质疑函的日期，将在收到质疑函后7个工作日内作出答复。</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7、采购人、代理机构接收质疑函的联系人、联系电话和通讯地址等信息详见采购公告。</w:t>
      </w:r>
    </w:p>
    <w:p>
      <w:pPr>
        <w:wordWrap w:val="0"/>
        <w:spacing w:line="360" w:lineRule="auto"/>
        <w:ind w:firstLine="422" w:firstLineChars="200"/>
        <w:jc w:val="left"/>
        <w:rPr>
          <w:rFonts w:hint="eastAsia" w:ascii="宋体" w:hAnsi="宋体" w:eastAsia="宋体" w:cs="宋体"/>
          <w:color w:val="auto"/>
          <w:sz w:val="21"/>
          <w:szCs w:val="21"/>
          <w:highlight w:val="none"/>
        </w:rPr>
      </w:pPr>
      <w:r>
        <w:rPr>
          <w:rFonts w:hint="eastAsia" w:ascii="宋体" w:hAnsi="宋体" w:cs="宋体"/>
          <w:b/>
          <w:color w:val="auto"/>
          <w:sz w:val="21"/>
          <w:szCs w:val="21"/>
          <w:highlight w:val="none"/>
          <w:lang w:val="en-US" w:eastAsia="zh-CN"/>
        </w:rPr>
        <w:t>*</w:t>
      </w:r>
      <w:r>
        <w:rPr>
          <w:rFonts w:hint="eastAsia" w:ascii="宋体" w:hAnsi="宋体" w:eastAsia="宋体" w:cs="宋体"/>
          <w:b/>
          <w:color w:val="auto"/>
          <w:sz w:val="21"/>
          <w:szCs w:val="21"/>
          <w:highlight w:val="none"/>
        </w:rPr>
        <w:t>十九、最高限价</w:t>
      </w:r>
    </w:p>
    <w:p>
      <w:pPr>
        <w:wordWrap w:val="0"/>
        <w:spacing w:line="360" w:lineRule="auto"/>
        <w:ind w:firstLine="420" w:firstLineChars="200"/>
        <w:jc w:val="left"/>
        <w:rPr>
          <w:rFonts w:hint="eastAsia" w:ascii="宋体" w:hAnsi="宋体" w:eastAsia="宋体" w:cs="宋体"/>
          <w:color w:val="auto"/>
          <w:sz w:val="21"/>
          <w:szCs w:val="21"/>
          <w:highlight w:val="none"/>
        </w:rPr>
      </w:pPr>
      <w:bookmarkStart w:id="74" w:name="_Hlk37142004"/>
      <w:r>
        <w:rPr>
          <w:rFonts w:hint="eastAsia" w:ascii="宋体" w:hAnsi="宋体" w:eastAsia="宋体" w:cs="宋体"/>
          <w:color w:val="auto"/>
          <w:sz w:val="21"/>
          <w:szCs w:val="21"/>
          <w:highlight w:val="none"/>
        </w:rPr>
        <w:t>1、本次公开招标设有最高限价详见第一章招标公告，投标价超出最高限价作无效标处理。</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二十、招标代理服务费</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1、向中标人收取招标服务费：本招标公司参照国家发改委发改办价格[2003]857号通知和国家计委计价格[2002]1980号文件规定的收费费率标准，按照中标通知书确定的中标总金额向中标人收取招标服务费。</w:t>
      </w:r>
    </w:p>
    <w:p>
      <w:pPr>
        <w:wordWrap w:val="0"/>
        <w:snapToGrid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2、中标供应商应在代理机构发出中标通知书5个工作日内向本代理机构支付招标代理服务费。</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3、招标代理服务费收取银行票汇款、电汇款。</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账户名称：宁波市国际招标有限公司</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开户银行：上海浦东发展银行宁波分行江北支行</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银行账号：94090154800000191</w:t>
      </w:r>
    </w:p>
    <w:p>
      <w:pPr>
        <w:wordWrap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4、邮箱：nbitc@126.com</w:t>
      </w:r>
    </w:p>
    <w:bookmarkEnd w:id="74"/>
    <w:p>
      <w:pPr>
        <w:spacing w:line="360" w:lineRule="auto"/>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二十一、合同授予</w:t>
      </w:r>
    </w:p>
    <w:p>
      <w:pPr>
        <w:spacing w:line="360" w:lineRule="auto"/>
        <w:ind w:firstLine="422" w:firstLineChars="200"/>
        <w:rPr>
          <w:rFonts w:hint="eastAsia" w:ascii="宋体" w:hAnsi="宋体" w:eastAsia="宋体" w:cs="宋体"/>
          <w:b/>
          <w:color w:val="auto"/>
          <w:sz w:val="21"/>
          <w:szCs w:val="21"/>
          <w:highlight w:val="none"/>
        </w:rPr>
      </w:pPr>
      <w:bookmarkStart w:id="75" w:name="_Toc17884850"/>
      <w:bookmarkStart w:id="76" w:name="_Toc460857935"/>
      <w:r>
        <w:rPr>
          <w:rFonts w:hint="eastAsia" w:ascii="宋体" w:hAnsi="宋体" w:eastAsia="宋体" w:cs="宋体"/>
          <w:b/>
          <w:color w:val="auto"/>
          <w:sz w:val="21"/>
          <w:szCs w:val="21"/>
          <w:highlight w:val="none"/>
        </w:rPr>
        <w:t>（一）签订合同</w:t>
      </w:r>
      <w:bookmarkEnd w:id="75"/>
      <w:bookmarkEnd w:id="76"/>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1、采购人与中标人应当在中标通知书发出之日起</w:t>
      </w:r>
      <w:r>
        <w:rPr>
          <w:rFonts w:hint="eastAsia" w:ascii="宋体" w:hAnsi="宋体" w:eastAsia="宋体" w:cs="宋体"/>
          <w:b/>
          <w:color w:val="auto"/>
          <w:sz w:val="21"/>
          <w:szCs w:val="21"/>
          <w:highlight w:val="none"/>
          <w:u w:val="single"/>
        </w:rPr>
        <w:t>30</w:t>
      </w:r>
      <w:r>
        <w:rPr>
          <w:rFonts w:hint="eastAsia" w:ascii="宋体" w:hAnsi="宋体" w:eastAsia="宋体" w:cs="宋体"/>
          <w:color w:val="auto"/>
          <w:sz w:val="21"/>
          <w:szCs w:val="21"/>
          <w:highlight w:val="none"/>
        </w:rPr>
        <w:t>日内签订政府采购合同。</w:t>
      </w:r>
    </w:p>
    <w:p>
      <w:pPr>
        <w:snapToGrid w:val="0"/>
        <w:spacing w:line="360" w:lineRule="auto"/>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2、中标人拖延、拒签合同的,将取消中标资格。</w:t>
      </w:r>
    </w:p>
    <w:p>
      <w:pPr>
        <w:spacing w:line="360" w:lineRule="auto"/>
        <w:ind w:firstLine="422" w:firstLineChars="200"/>
        <w:rPr>
          <w:rFonts w:hint="eastAsia" w:ascii="宋体" w:hAnsi="宋体" w:eastAsia="宋体" w:cs="宋体"/>
          <w:b/>
          <w:color w:val="auto"/>
          <w:sz w:val="21"/>
          <w:szCs w:val="21"/>
          <w:highlight w:val="none"/>
        </w:rPr>
      </w:pPr>
      <w:bookmarkStart w:id="77" w:name="_Toc460857936"/>
      <w:bookmarkStart w:id="78" w:name="_Toc17884851"/>
      <w:r>
        <w:rPr>
          <w:rFonts w:hint="eastAsia" w:ascii="宋体" w:hAnsi="宋体" w:eastAsia="宋体" w:cs="宋体"/>
          <w:b/>
          <w:color w:val="auto"/>
          <w:sz w:val="21"/>
          <w:szCs w:val="21"/>
          <w:highlight w:val="none"/>
        </w:rPr>
        <w:t>（二）履约保证金</w:t>
      </w:r>
      <w:bookmarkEnd w:id="77"/>
      <w:bookmarkEnd w:id="78"/>
    </w:p>
    <w:p>
      <w:pPr>
        <w:pStyle w:val="22"/>
        <w:snapToGrid w:val="0"/>
        <w:spacing w:before="0" w:beforeAutospacing="0" w:after="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中标供应商须按合同金额的</w:t>
      </w:r>
      <w:r>
        <w:rPr>
          <w:rFonts w:hint="eastAsia" w:hAnsi="宋体" w:cs="宋体"/>
          <w:color w:val="auto"/>
          <w:sz w:val="21"/>
          <w:szCs w:val="21"/>
          <w:highlight w:val="none"/>
          <w:lang w:val="en-US" w:eastAsia="zh-CN"/>
        </w:rPr>
        <w:t>1</w:t>
      </w:r>
      <w:r>
        <w:rPr>
          <w:rFonts w:hint="eastAsia" w:ascii="宋体" w:hAnsi="宋体" w:eastAsia="宋体" w:cs="宋体"/>
          <w:color w:val="auto"/>
          <w:sz w:val="21"/>
          <w:szCs w:val="21"/>
          <w:highlight w:val="none"/>
        </w:rPr>
        <w:t>%以支票、银行转账或银行保函、保险保函等非现金方式向采购人交纳履约保证金；履约保证金在供应商履行完采购合同约定义务事项后15天内无息退还。</w:t>
      </w:r>
    </w:p>
    <w:p>
      <w:pPr>
        <w:wordWrap w:val="0"/>
        <w:spacing w:line="360" w:lineRule="auto"/>
        <w:ind w:firstLine="422" w:firstLineChars="200"/>
        <w:jc w:val="lef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二十二、特别说明</w:t>
      </w:r>
    </w:p>
    <w:p>
      <w:pPr>
        <w:wordWrap w:val="0"/>
        <w:spacing w:line="360" w:lineRule="auto"/>
        <w:ind w:firstLine="424" w:firstLineChars="202"/>
        <w:rPr>
          <w:rFonts w:hint="eastAsia" w:ascii="宋体" w:hAnsi="宋体" w:eastAsia="宋体" w:cs="宋体"/>
          <w:color w:val="auto"/>
          <w:sz w:val="21"/>
          <w:szCs w:val="21"/>
          <w:highlight w:val="none"/>
        </w:rPr>
      </w:pPr>
      <w:bookmarkStart w:id="79" w:name="_Toc21541015"/>
      <w:bookmarkStart w:id="80" w:name="_Toc495244277"/>
      <w:r>
        <w:rPr>
          <w:rFonts w:hint="eastAsia" w:ascii="宋体" w:hAnsi="宋体" w:eastAsia="宋体" w:cs="宋体"/>
          <w:color w:val="auto"/>
          <w:sz w:val="21"/>
          <w:szCs w:val="21"/>
          <w:highlight w:val="none"/>
        </w:rPr>
        <w:t>1、执行财政部、工业和信息化部《政府采购促进中小企业发展管理办法》（财库〔2020〕46号）。政府采购活动中有关中小企业的相关规定如下：</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1.2在政府采购活动中，供应商提供的货物、工程或者服务符合下列情形的，享受《政府采购促进中小企业发展管理办法》规定的中小企业扶持政策：</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（1）、在货物采购项目中，货物由中小企业制造，即货物由中小企业生产且使用该中小企业商号或者注册商标；</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（2）、在工程采购项目中，工程由中小企业承建，即工程施工单位为中小企业；</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（3）、在服务采购项目中，服务由中小企业承接，即提供服务的人员为中小企业依照《中华人民共和国劳动合同法》订立劳动合同的从业人员。</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在货物采购项目中，供应商提供的货物既有中小企业制造货物，也有大型企业制造货物的，不享受《政府采购促进中小企业发展管理办法》规定的中小企业扶持政策。</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以联合体形式参加政府采购活动，联合体各方均为中小企业的，联合体视同中小企业。其中，联合体各方均为小微企业的，联合体视同小微企业。</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1.3中小企业参加政府采购活动，应当出具《政府采购促进中小企业发展管理办法》规定的《中小企业声明函》（格式见本采购文件附件），否则不得享受相关中小企业扶持政策。</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供应商提供声明函内容不实的，属于提供虚假材料谋取中标、成交，依照《中华人民共和国政府采购法》等国家有关规定追究相应责任。</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适用招标投标法的政府采购工程建设项目，投标人提供声明函内容不实的，属于弄虚作假骗取中标，依照《中华人民共和国招标投标法》等国家有关规定追究相应责任。</w:t>
      </w:r>
    </w:p>
    <w:p>
      <w:pPr>
        <w:wordWrap w:val="0"/>
        <w:spacing w:line="360" w:lineRule="auto"/>
        <w:ind w:firstLine="424" w:firstLineChars="202"/>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1.5《中小企业声明函》由参加投标的供应商提交，如供应商为代理商，须自行采集制造商的中小企业划分类型信息填入相应栏目并对其真实性负责。</w:t>
      </w:r>
    </w:p>
    <w:bookmarkEnd w:id="79"/>
    <w:bookmarkEnd w:id="80"/>
    <w:p>
      <w:pPr>
        <w:wordWrap w:val="0"/>
        <w:spacing w:line="360" w:lineRule="auto"/>
        <w:ind w:firstLine="420" w:firstLineChars="200"/>
        <w:rPr>
          <w:rFonts w:hint="eastAsia" w:ascii="宋体" w:hAnsi="宋体" w:eastAsia="宋体" w:cs="宋体"/>
          <w:color w:val="auto"/>
          <w:sz w:val="21"/>
          <w:szCs w:val="21"/>
          <w:highlight w:val="none"/>
        </w:rPr>
      </w:pPr>
      <w:bookmarkStart w:id="81" w:name="_Toc21541016"/>
      <w:r>
        <w:rPr>
          <w:rFonts w:hint="eastAsia" w:ascii="宋体" w:hAnsi="宋体" w:eastAsia="宋体" w:cs="宋体"/>
          <w:color w:val="auto"/>
          <w:sz w:val="21"/>
          <w:szCs w:val="21"/>
          <w:highlight w:val="none"/>
        </w:rPr>
        <w:t>2、执行财政部、司法部《关于政府采购支持监狱企业发展有关问题的通知》。监狱企业（监狱和戒毒企业）提供自己企业的产品（服务）参加投标视同小型、微型企业，享受政府采购促进中小企业发展的政府采购政策，监狱企业参加政府采购活动时，必须提供由省级以上监狱管理局、戒毒管理局（含新疆生产建设兵团）出具的属于监狱企业的证明文件，未能提供上述证明文件的不予认可。</w:t>
      </w:r>
    </w:p>
    <w:p>
      <w:pPr>
        <w:wordWrap w:val="0"/>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执行《三部门联合发布关于促进残疾人就业政府采购政策的通知》，在政府采购活动中，残疾人福利性单位视同小型、微型企业，残疾人福利性单位参加政府采购活动时，应当提供《残疾人福利性单位声明函》（格式见第</w:t>
      </w:r>
      <w:r>
        <w:rPr>
          <w:rFonts w:hint="eastAsia" w:ascii="宋体" w:hAnsi="宋体" w:cs="宋体"/>
          <w:color w:val="auto"/>
          <w:sz w:val="21"/>
          <w:szCs w:val="21"/>
          <w:highlight w:val="none"/>
          <w:lang w:val="en-US" w:eastAsia="zh-CN"/>
        </w:rPr>
        <w:t>六</w:t>
      </w:r>
      <w:r>
        <w:rPr>
          <w:rFonts w:hint="eastAsia" w:ascii="宋体" w:hAnsi="宋体" w:eastAsia="宋体" w:cs="宋体"/>
          <w:color w:val="auto"/>
          <w:sz w:val="21"/>
          <w:szCs w:val="21"/>
          <w:highlight w:val="none"/>
        </w:rPr>
        <w:t>章附件），并对声明的真实性负责，未能提供的不予认可。</w:t>
      </w:r>
      <w:bookmarkEnd w:id="81"/>
    </w:p>
    <w:p>
      <w:pPr>
        <w:wordWrap w:val="0"/>
        <w:spacing w:line="360" w:lineRule="auto"/>
        <w:ind w:firstLine="420" w:firstLineChars="200"/>
        <w:rPr>
          <w:rFonts w:hint="eastAsia" w:ascii="宋体" w:hAnsi="宋体" w:eastAsia="宋体" w:cs="宋体"/>
          <w:color w:val="auto"/>
          <w:sz w:val="21"/>
          <w:szCs w:val="21"/>
          <w:highlight w:val="none"/>
        </w:rPr>
      </w:pPr>
      <w:bookmarkStart w:id="82" w:name="_Toc21541017"/>
      <w:bookmarkStart w:id="83" w:name="_Toc419729158"/>
      <w:r>
        <w:rPr>
          <w:rFonts w:hint="eastAsia" w:ascii="宋体" w:hAnsi="宋体" w:eastAsia="宋体" w:cs="宋体"/>
          <w:color w:val="auto"/>
          <w:sz w:val="21"/>
          <w:szCs w:val="21"/>
          <w:highlight w:val="none"/>
        </w:rPr>
        <w:t>4、本项目不组织潜在供应商现场考察或者召开开标前答疑。</w:t>
      </w:r>
      <w:bookmarkEnd w:id="82"/>
    </w:p>
    <w:p>
      <w:pPr>
        <w:wordWrap w:val="0"/>
        <w:spacing w:line="360" w:lineRule="auto"/>
        <w:ind w:firstLine="420" w:firstLineChars="200"/>
        <w:rPr>
          <w:rFonts w:hint="eastAsia" w:ascii="宋体" w:hAnsi="宋体" w:eastAsia="宋体" w:cs="宋体"/>
          <w:color w:val="auto"/>
          <w:sz w:val="21"/>
          <w:szCs w:val="21"/>
          <w:highlight w:val="none"/>
        </w:rPr>
      </w:pPr>
      <w:bookmarkStart w:id="84" w:name="_Toc21541018"/>
      <w:r>
        <w:rPr>
          <w:rFonts w:hint="eastAsia" w:ascii="宋体" w:hAnsi="宋体" w:eastAsia="宋体" w:cs="宋体"/>
          <w:color w:val="auto"/>
          <w:sz w:val="21"/>
          <w:szCs w:val="21"/>
          <w:highlight w:val="none"/>
        </w:rPr>
        <w:t>5、本文件未及事项，在签订合同时供需及使用方友好商定。</w:t>
      </w:r>
      <w:bookmarkEnd w:id="83"/>
      <w:bookmarkEnd w:id="84"/>
    </w:p>
    <w:p>
      <w:pPr>
        <w:wordWrap w:val="0"/>
        <w:spacing w:line="360" w:lineRule="auto"/>
        <w:ind w:firstLine="422" w:firstLineChars="200"/>
        <w:rPr>
          <w:rFonts w:hint="eastAsia" w:ascii="宋体" w:hAnsi="宋体" w:eastAsia="宋体" w:cs="宋体"/>
          <w:color w:val="auto"/>
          <w:sz w:val="21"/>
          <w:szCs w:val="21"/>
          <w:highlight w:val="none"/>
        </w:rPr>
      </w:pPr>
      <w:r>
        <w:rPr>
          <w:rFonts w:hint="eastAsia" w:ascii="宋体" w:hAnsi="宋体" w:cs="宋体"/>
          <w:b/>
          <w:color w:val="auto"/>
          <w:sz w:val="21"/>
          <w:szCs w:val="21"/>
          <w:highlight w:val="none"/>
          <w:lang w:val="en-US" w:eastAsia="zh-CN"/>
        </w:rPr>
        <w:t>*</w:t>
      </w:r>
      <w:r>
        <w:rPr>
          <w:rFonts w:hint="eastAsia" w:ascii="宋体" w:hAnsi="宋体" w:eastAsia="宋体" w:cs="宋体"/>
          <w:color w:val="auto"/>
          <w:sz w:val="21"/>
          <w:szCs w:val="21"/>
          <w:highlight w:val="none"/>
        </w:rPr>
        <w:t>6、不同投标人的投标文件出自同一终端设备或在相同Internet主机分配地址（相同IP地址）网上报名投标的作无效标处理。</w:t>
      </w:r>
    </w:p>
    <w:p>
      <w:pPr>
        <w:spacing w:line="360" w:lineRule="auto"/>
        <w:ind w:firstLine="420" w:firstLineChars="200"/>
        <w:rPr>
          <w:rFonts w:hint="eastAsia" w:ascii="宋体" w:hAnsi="宋体" w:eastAsia="宋体" w:cs="宋体"/>
          <w:color w:val="auto"/>
          <w:sz w:val="21"/>
          <w:szCs w:val="21"/>
          <w:highlight w:val="none"/>
        </w:rPr>
      </w:pPr>
      <w:bookmarkStart w:id="85" w:name="_Toc419729159"/>
      <w:r>
        <w:rPr>
          <w:rFonts w:hint="eastAsia" w:ascii="宋体" w:hAnsi="宋体" w:eastAsia="宋体" w:cs="宋体"/>
          <w:color w:val="auto"/>
          <w:sz w:val="21"/>
          <w:szCs w:val="21"/>
          <w:highlight w:val="none"/>
        </w:rPr>
        <w:t>7、本采购文件解释权归采购人。</w:t>
      </w:r>
      <w:bookmarkEnd w:id="85"/>
    </w:p>
    <w:p>
      <w:pPr>
        <w:pStyle w:val="2"/>
        <w:rPr>
          <w:color w:val="auto"/>
          <w:highlight w:val="none"/>
        </w:rPr>
      </w:pPr>
    </w:p>
    <w:p>
      <w:pPr>
        <w:spacing w:line="276" w:lineRule="auto"/>
        <w:jc w:val="center"/>
        <w:rPr>
          <w:rFonts w:ascii="宋体"/>
          <w:b/>
          <w:color w:val="auto"/>
          <w:sz w:val="32"/>
          <w:szCs w:val="32"/>
          <w:highlight w:val="none"/>
        </w:rPr>
      </w:pPr>
    </w:p>
    <w:bookmarkEnd w:id="6"/>
    <w:bookmarkEnd w:id="7"/>
    <w:bookmarkEnd w:id="8"/>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p>
      <w:pPr>
        <w:rPr>
          <w:rFonts w:hint="eastAsia"/>
          <w:color w:val="auto"/>
          <w:highlight w:val="none"/>
        </w:rPr>
      </w:pPr>
      <w:bookmarkStart w:id="86" w:name="_Toc201632872"/>
      <w:bookmarkStart w:id="87" w:name="_Toc241827247"/>
      <w:bookmarkStart w:id="88" w:name="_Toc22713"/>
      <w:r>
        <w:rPr>
          <w:rFonts w:hint="eastAsia"/>
          <w:color w:val="auto"/>
          <w:highlight w:val="none"/>
        </w:rPr>
        <w:br w:type="page"/>
      </w:r>
    </w:p>
    <w:p>
      <w:pPr>
        <w:pStyle w:val="4"/>
        <w:jc w:val="center"/>
        <w:rPr>
          <w:color w:val="auto"/>
          <w:highlight w:val="none"/>
        </w:rPr>
      </w:pPr>
      <w:r>
        <w:rPr>
          <w:rFonts w:hint="eastAsia"/>
          <w:color w:val="auto"/>
          <w:highlight w:val="none"/>
        </w:rPr>
        <w:t xml:space="preserve">第三部分  </w:t>
      </w:r>
      <w:bookmarkEnd w:id="86"/>
      <w:bookmarkEnd w:id="87"/>
      <w:bookmarkStart w:id="89" w:name="_Toc241827248"/>
      <w:r>
        <w:rPr>
          <w:rFonts w:hint="eastAsia"/>
          <w:color w:val="auto"/>
          <w:highlight w:val="none"/>
        </w:rPr>
        <w:t xml:space="preserve"> 合同主要条款（参考）</w:t>
      </w:r>
      <w:bookmarkEnd w:id="88"/>
    </w:p>
    <w:p>
      <w:pPr>
        <w:spacing w:line="460" w:lineRule="exact"/>
        <w:jc w:val="center"/>
        <w:rPr>
          <w:rFonts w:hint="eastAsia" w:ascii="宋体"/>
          <w:b/>
          <w:color w:val="auto"/>
          <w:sz w:val="36"/>
          <w:highlight w:val="none"/>
        </w:rPr>
      </w:pPr>
      <w:r>
        <w:rPr>
          <w:rFonts w:hint="eastAsia" w:ascii="宋体"/>
          <w:b/>
          <w:color w:val="auto"/>
          <w:sz w:val="36"/>
          <w:highlight w:val="none"/>
        </w:rPr>
        <w:t>宁波市政府采购合同（参考格式）</w:t>
      </w:r>
    </w:p>
    <w:p>
      <w:pPr>
        <w:spacing w:line="460" w:lineRule="exact"/>
        <w:jc w:val="center"/>
        <w:rPr>
          <w:rFonts w:hint="eastAsia" w:ascii="宋体"/>
          <w:bCs/>
          <w:i/>
          <w:iCs/>
          <w:color w:val="auto"/>
          <w:sz w:val="28"/>
          <w:highlight w:val="none"/>
        </w:rPr>
      </w:pP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采购编号：</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xml:space="preserve">                          签订日期：</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合同地点：                                 完工日期：</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采购人（甲方）：</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供应商（乙方）：</w:t>
      </w:r>
    </w:p>
    <w:p>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甲、乙双方根据《中华人民共和国</w:t>
      </w:r>
      <w:r>
        <w:rPr>
          <w:rFonts w:hint="eastAsia" w:ascii="宋体" w:hAnsi="宋体" w:eastAsia="宋体" w:cs="宋体"/>
          <w:color w:val="auto"/>
          <w:sz w:val="21"/>
          <w:szCs w:val="21"/>
          <w:highlight w:val="none"/>
          <w:lang w:val="en-US" w:eastAsia="zh-CN"/>
        </w:rPr>
        <w:t>民法典</w:t>
      </w:r>
      <w:r>
        <w:rPr>
          <w:rFonts w:hint="eastAsia" w:ascii="宋体" w:hAnsi="宋体" w:eastAsia="宋体" w:cs="宋体"/>
          <w:color w:val="auto"/>
          <w:sz w:val="21"/>
          <w:szCs w:val="21"/>
          <w:highlight w:val="none"/>
        </w:rPr>
        <w:t>》、《中华人民共和国政府采购法》和宁波市政府采购有关办法，同意按照下述的条款和条件，签署本合同。</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一、合同标的</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标的清单：</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二、合同金额</w:t>
      </w:r>
    </w:p>
    <w:p>
      <w:pPr>
        <w:pStyle w:val="22"/>
        <w:snapToGrid w:val="0"/>
        <w:spacing w:line="360" w:lineRule="auto"/>
        <w:ind w:left="410" w:hanging="359" w:hangingChars="171"/>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本合同金额为（大写）：____________________________________元（￥_______________元）人民币。</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三、技术资料</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1.乙方应按招标文件规定的时间向甲方提供使用标的有关技术资料。</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2"/>
        <w:snapToGrid w:val="0"/>
        <w:spacing w:line="360" w:lineRule="auto"/>
        <w:ind w:left="412" w:hanging="361" w:hangingChars="171"/>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四、知识产权</w:t>
      </w:r>
    </w:p>
    <w:p>
      <w:pPr>
        <w:pStyle w:val="22"/>
        <w:snapToGrid w:val="0"/>
        <w:spacing w:line="360" w:lineRule="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乙方应保证所提供的标的或其任何一部分均不会侵犯任何第三方的知识产权</w:t>
      </w:r>
      <w:r>
        <w:rPr>
          <w:rFonts w:hint="eastAsia" w:ascii="宋体" w:hAnsi="宋体" w:eastAsia="宋体" w:cs="宋体"/>
          <w:bCs/>
          <w:color w:val="auto"/>
          <w:sz w:val="21"/>
          <w:szCs w:val="21"/>
          <w:highlight w:val="none"/>
        </w:rPr>
        <w:t>。</w:t>
      </w:r>
    </w:p>
    <w:p>
      <w:pPr>
        <w:pStyle w:val="22"/>
        <w:snapToGrid w:val="0"/>
        <w:spacing w:line="360" w:lineRule="auto"/>
        <w:rPr>
          <w:rFonts w:hint="eastAsia" w:ascii="宋体" w:hAnsi="宋体" w:eastAsia="宋体" w:cs="宋体"/>
          <w:color w:val="auto"/>
          <w:sz w:val="21"/>
          <w:szCs w:val="21"/>
          <w:highlight w:val="none"/>
          <w:u w:val="single"/>
        </w:rPr>
      </w:pPr>
      <w:r>
        <w:rPr>
          <w:rFonts w:hint="eastAsia" w:ascii="宋体" w:hAnsi="宋体" w:eastAsia="宋体" w:cs="宋体"/>
          <w:b/>
          <w:color w:val="auto"/>
          <w:sz w:val="21"/>
          <w:szCs w:val="21"/>
          <w:highlight w:val="none"/>
        </w:rPr>
        <w:t>五、产权担保</w:t>
      </w:r>
    </w:p>
    <w:p>
      <w:pPr>
        <w:pStyle w:val="22"/>
        <w:snapToGrid w:val="0"/>
        <w:spacing w:line="360" w:lineRule="auto"/>
        <w:ind w:left="408" w:hanging="357" w:hangingChars="17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乙方保证所交付的标的的所有权完全属于乙方且无任何抵押、查封等产权瑕疵。</w:t>
      </w:r>
    </w:p>
    <w:p>
      <w:pPr>
        <w:pStyle w:val="22"/>
        <w:snapToGrid w:val="0"/>
        <w:spacing w:line="360" w:lineRule="auto"/>
        <w:ind w:left="410" w:hanging="358" w:hangingChars="17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六、履约保证金</w:t>
      </w:r>
    </w:p>
    <w:p>
      <w:pPr>
        <w:pStyle w:val="22"/>
        <w:snapToGrid w:val="0"/>
        <w:spacing w:line="360" w:lineRule="auto"/>
        <w:ind w:left="408" w:hanging="357" w:hangingChars="17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乙方交纳人民币</w:t>
      </w:r>
      <w:r>
        <w:rPr>
          <w:rFonts w:hint="eastAsia" w:ascii="宋体" w:hAnsi="宋体" w:eastAsia="宋体" w:cs="宋体"/>
          <w:b/>
          <w:color w:val="auto"/>
          <w:sz w:val="21"/>
          <w:szCs w:val="21"/>
          <w:highlight w:val="none"/>
          <w:u w:val="single"/>
        </w:rPr>
        <w:t xml:space="preserve">          </w:t>
      </w:r>
      <w:r>
        <w:rPr>
          <w:rFonts w:hint="eastAsia" w:ascii="宋体" w:hAnsi="宋体" w:eastAsia="宋体" w:cs="宋体"/>
          <w:color w:val="auto"/>
          <w:sz w:val="21"/>
          <w:szCs w:val="21"/>
          <w:highlight w:val="none"/>
        </w:rPr>
        <w:t>元作为本合同的履约保证金。</w:t>
      </w:r>
    </w:p>
    <w:p>
      <w:pPr>
        <w:pStyle w:val="22"/>
        <w:snapToGrid w:val="0"/>
        <w:spacing w:line="360" w:lineRule="auto"/>
        <w:ind w:left="410" w:hanging="358" w:hangingChars="17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七、转包或分包</w:t>
      </w:r>
    </w:p>
    <w:p>
      <w:pPr>
        <w:snapToGrid w:val="0"/>
        <w:spacing w:before="156" w:beforeLines="50" w:after="156" w:after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1.本合同范围的标的，应由乙方直接供应，不得转让他人供应；</w:t>
      </w:r>
    </w:p>
    <w:p>
      <w:pPr>
        <w:snapToGrid w:val="0"/>
        <w:spacing w:before="156" w:beforeLines="50" w:after="156" w:after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2.除非得到甲方的书面同意，乙方不得将本合同范围的标的全部或部分分包给他人供应；</w:t>
      </w:r>
    </w:p>
    <w:p>
      <w:pPr>
        <w:snapToGrid w:val="0"/>
        <w:spacing w:before="156" w:beforeLines="50" w:after="156" w:after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3.如有转让和未经甲方同意的分包行为，甲方有权解除合同，没收履约保证金并追究乙方的违约责任。</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八、质保期和质保金</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质保期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年。（自验收合格之日起计）</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质保金</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九、标的履约时间、履约方式及履约地点</w:t>
      </w:r>
    </w:p>
    <w:p>
      <w:pPr>
        <w:pStyle w:val="22"/>
        <w:snapToGrid w:val="0"/>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 履约时间：</w:t>
      </w:r>
    </w:p>
    <w:p>
      <w:pPr>
        <w:pStyle w:val="22"/>
        <w:snapToGrid w:val="0"/>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 履约方式：</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rPr>
        <w:t>3. 履约地点：</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十、合同款支付</w:t>
      </w:r>
    </w:p>
    <w:p>
      <w:pPr>
        <w:pStyle w:val="22"/>
        <w:snapToGrid w:val="0"/>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 付款方式：</w:t>
      </w:r>
    </w:p>
    <w:p>
      <w:pPr>
        <w:pStyle w:val="22"/>
        <w:snapToGrid w:val="0"/>
        <w:spacing w:line="360" w:lineRule="auto"/>
        <w:ind w:left="480" w:hanging="420" w:hanging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w:t>
      </w:r>
      <w:r>
        <w:rPr>
          <w:rFonts w:hint="eastAsia" w:ascii="宋体" w:hAnsi="宋体" w:eastAsia="宋体" w:cs="宋体"/>
          <w:color w:val="auto"/>
          <w:sz w:val="21"/>
          <w:szCs w:val="21"/>
          <w:highlight w:val="none"/>
        </w:rPr>
        <w:t>当采购数量与实际使用数量不一致时，乙方应根据实际使用量提供，合同的最终结算金额按实际使用量乘以成交单价进行计算。</w:t>
      </w:r>
    </w:p>
    <w:p>
      <w:pPr>
        <w:snapToGrid w:val="0"/>
        <w:spacing w:before="156" w:beforeLines="50" w:after="156" w:afterLines="50"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十一、税费</w:t>
      </w:r>
    </w:p>
    <w:p>
      <w:pPr>
        <w:snapToGrid w:val="0"/>
        <w:spacing w:before="156" w:beforeLines="50" w:after="156" w:afterLines="5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本合同执行中相关的一切税费均由乙方负担。</w:t>
      </w:r>
    </w:p>
    <w:p>
      <w:pPr>
        <w:pStyle w:val="22"/>
        <w:snapToGrid w:val="0"/>
        <w:spacing w:line="360" w:lineRule="auto"/>
        <w:ind w:left="412" w:hanging="361" w:hangingChars="171"/>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十二、质量保证及售后服务</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乙方应按招标文件规定的标的性能、技术要求、质量标准向甲方提供未经使用的全新产品。</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乙方提供的标的在质保期内因货物本身的质量问题发生故障，乙方应负责免费更换。对达不到技术要求者，根据实际情况，经双方协商，可按以下办法处理：</w:t>
      </w:r>
    </w:p>
    <w:p>
      <w:pPr>
        <w:pStyle w:val="22"/>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⑴更换：由乙方承担所发生的全部费用。</w:t>
      </w:r>
    </w:p>
    <w:p>
      <w:pPr>
        <w:pStyle w:val="22"/>
        <w:snapToGrid w:val="0"/>
        <w:spacing w:line="360" w:lineRule="auto"/>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⑵贬值处理：由甲乙双方合议定价。</w:t>
      </w:r>
    </w:p>
    <w:p>
      <w:pPr>
        <w:pStyle w:val="22"/>
        <w:snapToGrid w:val="0"/>
        <w:spacing w:line="360" w:lineRule="auto"/>
        <w:ind w:left="480" w:left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⑶退货处理：乙方应退还甲方支付的合同款，同时应承担该标的的直接费用（运输、保险、检验、货款利息及银行手续费等）。</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 如在使用过程中发生质量问题，乙方在接到甲方通知后在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小时内到达甲方现场。</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 在质保期内，乙方应对标的出现的质量及安全问题负责处理解决并承担一切费用。</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5.上述的标的免费保修期为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年，因人为因素出现的故障不在免费保修范围内。超过保修期的产品，终生维修，维修时只收部件成本费。</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十三、调试和验收</w:t>
      </w:r>
    </w:p>
    <w:p>
      <w:pPr>
        <w:pStyle w:val="22"/>
        <w:snapToGrid w:val="0"/>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甲方对乙方提交的标的依据招标文件上的技术规格要求和国家有关质量标准进行现场初步验收，外观、说明书符合招标文件技术要求的，给予签收，初步验收不合格的不予签收，甲方需在五个工作日内验收。</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乙方交付前应对产品作出全面检查和对验收文件进行整理，并列出清单，作为甲方验收和使用的技术条件依据，检验的结果应随标的交甲方。</w:t>
      </w:r>
    </w:p>
    <w:p>
      <w:pPr>
        <w:pStyle w:val="22"/>
        <w:snapToGrid w:val="0"/>
        <w:spacing w:line="360" w:lineRule="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3. 甲方对乙方提供的标的在使用前进行调试时，乙方需负责安装并培训甲方的使用操作人员，并协助甲方一起调试，直到符合技术要求，甲方才做最终验收。</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 对技术复杂的标的，甲方应请国家认可的专业检测机构参与初步验收及最终验收，并由其出具质量检测报告。</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 验收时乙方必须在现场，验收完毕后作出验收结果报告；验收费用由乙方负责。</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十四、包装、发运及运输</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乙方应在发运前对其进行满足运输距离、防潮、防震、防锈和防破损装卸等要求包装，以保证安全运达甲方指定地点。</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使用说明书、质量检验证明书、随配附件和工具以及清单一并附于标的内。</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 乙方在发运手续办理完毕后24小时内或到甲方48小时前通知甲方，以准备接收。</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 标的在交付甲方前发生的风险均由乙方负责。</w:t>
      </w:r>
    </w:p>
    <w:p>
      <w:pPr>
        <w:pStyle w:val="22"/>
        <w:snapToGrid w:val="0"/>
        <w:spacing w:beforeLines="0" w:afterLines="0" w:line="360" w:lineRule="auto"/>
        <w:ind w:left="480" w:right="26"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 标的在规定的交付期限内由乙方送达甲方指定的地点视为交付，乙方同时需通知甲方标的已送达。</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十五、违约责任</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甲方无正当理由拒收的，甲方向乙方偿付拒收合同款总值的5%违约金。</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甲方无故逾期验收和办理款项支付手续的,甲方应按逾期付款总额每日万分之五向乙方支付违约金。</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 乙方逾期交付的，乙方应按逾期交付总额每日万分之五向甲方支付违约金，由甲方从待付货款中扣除。逾期超过约定日期20个工作日不能交付的，甲方可解除本合同。乙方因逾期交付或因其他违约行为导致甲方解除合同的，乙方应向甲方支付合同总值5%的违约金，如造成甲方损失超过违约金的，超出部分由乙方继续承担赔偿责任。 </w:t>
      </w:r>
    </w:p>
    <w:p>
      <w:pPr>
        <w:pStyle w:val="22"/>
        <w:snapToGrid w:val="0"/>
        <w:spacing w:line="360" w:lineRule="auto"/>
        <w:ind w:left="410" w:hanging="359" w:hangingChars="171"/>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 乙方所交的标的品种、型号、规格、技术参数、质量不符合合同规定及招标文件规定标准的，甲方有权拒收，乙方愿意更换但逾期交付的，按乙方逾期交付处理。乙方拒绝更换的，甲方可单方面解除合同。</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十六、不可抗力事件处理</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在合同有效期内，任何一方因不可抗力事件导致不能履行合同，则合同履行期可延长，其延长期与不可抗力影响期相同。</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不可抗力事件发生后，应立即通知对方，并寄送有关权威机构出具的证明。</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 不可抗力事件延续120天以上，双方应通过友好协商，确定是否继续履行合同。</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十七、诉讼</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双方在执行合同中所发生的一切争议，应通过协商解决。如协商不成，可向甲方所在地提起仲裁或法院起诉。</w:t>
      </w:r>
    </w:p>
    <w:p>
      <w:pPr>
        <w:pStyle w:val="22"/>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十八、合同生效及其它</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 合同经双方法定代表人或授权代表签字并盖章后生效。</w:t>
      </w:r>
    </w:p>
    <w:p>
      <w:pPr>
        <w:tabs>
          <w:tab w:val="left" w:pos="2310"/>
        </w:tabs>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 根据《中华人民共和国政府采购法实施条例》第50条之规定，本合同自签订之日起2个工作日内，由甲方在浙江政府采购网(www.zjzfcg.gov.cn)上公告。</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3.本合同未尽事宜，遵照《</w:t>
      </w:r>
      <w:r>
        <w:rPr>
          <w:rFonts w:hint="eastAsia" w:hAnsi="宋体" w:cs="宋体"/>
          <w:color w:val="auto"/>
          <w:sz w:val="21"/>
          <w:szCs w:val="21"/>
          <w:highlight w:val="none"/>
          <w:lang w:val="en-US" w:eastAsia="zh-CN"/>
        </w:rPr>
        <w:t>民法典</w:t>
      </w:r>
      <w:r>
        <w:rPr>
          <w:rFonts w:hint="eastAsia" w:ascii="宋体" w:hAnsi="宋体" w:eastAsia="宋体" w:cs="宋体"/>
          <w:color w:val="auto"/>
          <w:sz w:val="21"/>
          <w:szCs w:val="21"/>
          <w:highlight w:val="none"/>
        </w:rPr>
        <w:t>》有关条文执行。</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4.本合同正本一式两份，具有同等法律效力，甲乙双方各执一份；副本</w:t>
      </w:r>
      <w:r>
        <w:rPr>
          <w:rFonts w:hint="eastAsia" w:ascii="宋体" w:hAnsi="宋体" w:eastAsia="宋体" w:cs="宋体"/>
          <w:b/>
          <w:color w:val="auto"/>
          <w:sz w:val="21"/>
          <w:szCs w:val="21"/>
          <w:highlight w:val="none"/>
          <w:u w:val="single"/>
        </w:rPr>
        <w:t xml:space="preserve">   </w:t>
      </w:r>
      <w:r>
        <w:rPr>
          <w:rFonts w:hint="eastAsia" w:ascii="宋体" w:hAnsi="宋体" w:eastAsia="宋体" w:cs="宋体"/>
          <w:color w:val="auto"/>
          <w:sz w:val="21"/>
          <w:szCs w:val="21"/>
          <w:highlight w:val="none"/>
        </w:rPr>
        <w:t>份，(用途)。</w:t>
      </w:r>
    </w:p>
    <w:p>
      <w:pPr>
        <w:pStyle w:val="22"/>
        <w:snapToGrid w:val="0"/>
        <w:spacing w:line="360" w:lineRule="auto"/>
        <w:ind w:left="480" w:hanging="420" w:hanging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甲方：                                   乙方： </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地址：                                   地址： </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法定（授权）代表人：                     法定（授权）代表人：</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pPr>
        <w:pStyle w:val="22"/>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签字日期：      年  月  日           签字日期：      年  月  日</w:t>
      </w:r>
    </w:p>
    <w:p>
      <w:pPr>
        <w:pStyle w:val="3"/>
        <w:spacing w:before="0" w:after="0" w:line="276" w:lineRule="auto"/>
        <w:jc w:val="center"/>
        <w:rPr>
          <w:rFonts w:ascii="宋体"/>
          <w:color w:val="auto"/>
          <w:sz w:val="28"/>
          <w:szCs w:val="28"/>
          <w:highlight w:val="none"/>
        </w:rPr>
        <w:sectPr>
          <w:headerReference r:id="rId8" w:type="default"/>
          <w:footerReference r:id="rId9" w:type="default"/>
          <w:pgSz w:w="11906" w:h="16838"/>
          <w:pgMar w:top="1418" w:right="1418" w:bottom="1418" w:left="1588" w:header="851" w:footer="851"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p>
    <w:bookmarkEnd w:id="89"/>
    <w:p>
      <w:pPr>
        <w:pStyle w:val="4"/>
        <w:jc w:val="center"/>
        <w:rPr>
          <w:rFonts w:hint="eastAsia"/>
          <w:color w:val="auto"/>
          <w:highlight w:val="none"/>
        </w:rPr>
      </w:pPr>
      <w:bookmarkStart w:id="90" w:name="_Toc1899"/>
      <w:bookmarkStart w:id="91" w:name="_Toc241827249"/>
      <w:r>
        <w:rPr>
          <w:rFonts w:hint="eastAsia"/>
          <w:color w:val="auto"/>
          <w:highlight w:val="none"/>
        </w:rPr>
        <w:t>第四部分  技术要求</w:t>
      </w:r>
      <w:bookmarkEnd w:id="90"/>
    </w:p>
    <w:p>
      <w:pPr>
        <w:spacing w:line="360" w:lineRule="auto"/>
        <w:jc w:val="left"/>
        <w:rPr>
          <w:rFonts w:hint="default" w:eastAsia="宋体"/>
          <w:b/>
          <w:color w:val="auto"/>
          <w:sz w:val="21"/>
          <w:szCs w:val="21"/>
          <w:highlight w:val="none"/>
          <w:lang w:val="en-US" w:eastAsia="zh-CN"/>
        </w:rPr>
      </w:pPr>
      <w:r>
        <w:rPr>
          <w:rFonts w:hint="eastAsia"/>
          <w:b/>
          <w:color w:val="auto"/>
          <w:sz w:val="21"/>
          <w:szCs w:val="21"/>
          <w:highlight w:val="none"/>
          <w:lang w:val="en-US" w:eastAsia="zh-CN"/>
        </w:rPr>
        <w:t>一、招标内容</w:t>
      </w:r>
    </w:p>
    <w:tbl>
      <w:tblPr>
        <w:tblStyle w:val="39"/>
        <w:tblW w:w="9151" w:type="dxa"/>
        <w:tblInd w:w="-255"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840"/>
        <w:gridCol w:w="1755"/>
        <w:gridCol w:w="5564"/>
        <w:gridCol w:w="141"/>
        <w:gridCol w:w="851"/>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0" w:hRule="atLeast"/>
          <w:tblHeader/>
        </w:trPr>
        <w:tc>
          <w:tcPr>
            <w:tcW w:w="840" w:type="dxa"/>
            <w:noWrap w:val="0"/>
            <w:vAlign w:val="center"/>
          </w:tcPr>
          <w:p>
            <w:pPr>
              <w:widowControl/>
              <w:snapToGrid w:val="0"/>
              <w:spacing w:line="400" w:lineRule="exact"/>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序号</w:t>
            </w:r>
          </w:p>
        </w:tc>
        <w:tc>
          <w:tcPr>
            <w:tcW w:w="1755" w:type="dxa"/>
            <w:noWrap w:val="0"/>
            <w:vAlign w:val="center"/>
          </w:tcPr>
          <w:p>
            <w:pPr>
              <w:widowControl/>
              <w:snapToGrid w:val="0"/>
              <w:spacing w:line="400" w:lineRule="exact"/>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服务名称</w:t>
            </w:r>
          </w:p>
        </w:tc>
        <w:tc>
          <w:tcPr>
            <w:tcW w:w="5564" w:type="dxa"/>
            <w:noWrap w:val="0"/>
            <w:vAlign w:val="center"/>
          </w:tcPr>
          <w:p>
            <w:pPr>
              <w:widowControl/>
              <w:snapToGrid w:val="0"/>
              <w:spacing w:line="400" w:lineRule="exact"/>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技术说明</w:t>
            </w:r>
          </w:p>
        </w:tc>
        <w:tc>
          <w:tcPr>
            <w:tcW w:w="992" w:type="dxa"/>
            <w:gridSpan w:val="2"/>
            <w:noWrap w:val="0"/>
            <w:vAlign w:val="center"/>
          </w:tcPr>
          <w:p>
            <w:pPr>
              <w:widowControl/>
              <w:snapToGrid w:val="0"/>
              <w:spacing w:line="400" w:lineRule="exact"/>
              <w:jc w:val="center"/>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数量</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0" w:hRule="atLeast"/>
        </w:trPr>
        <w:tc>
          <w:tcPr>
            <w:tcW w:w="9151" w:type="dxa"/>
            <w:gridSpan w:val="5"/>
            <w:noWrap w:val="0"/>
            <w:vAlign w:val="center"/>
          </w:tcPr>
          <w:p>
            <w:pPr>
              <w:widowControl/>
              <w:snapToGrid w:val="0"/>
              <w:spacing w:line="400" w:lineRule="exac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硬件维保技术服务</w:t>
            </w:r>
            <w:r>
              <w:rPr>
                <w:rFonts w:hint="eastAsia" w:ascii="宋体" w:hAnsi="宋体" w:eastAsia="宋体" w:cs="宋体"/>
                <w:b/>
                <w:color w:val="auto"/>
                <w:kern w:val="0"/>
                <w:sz w:val="21"/>
                <w:szCs w:val="21"/>
                <w:highlight w:val="none"/>
                <w:shd w:val="clear" w:color="auto" w:fill="auto"/>
              </w:rPr>
              <w:t>（全包模式）</w:t>
            </w:r>
            <w:r>
              <w:rPr>
                <w:rFonts w:hint="eastAsia" w:ascii="宋体" w:hAnsi="宋体" w:eastAsia="宋体" w:cs="宋体"/>
                <w:b/>
                <w:color w:val="auto"/>
                <w:kern w:val="0"/>
                <w:sz w:val="21"/>
                <w:szCs w:val="21"/>
                <w:highlight w:val="none"/>
              </w:rPr>
              <w:t>：</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0" w:hRule="atLeast"/>
        </w:trPr>
        <w:tc>
          <w:tcPr>
            <w:tcW w:w="840"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c>
          <w:tcPr>
            <w:tcW w:w="1755"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存储系统</w:t>
            </w:r>
          </w:p>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维保服务</w:t>
            </w:r>
          </w:p>
        </w:tc>
        <w:tc>
          <w:tcPr>
            <w:tcW w:w="5564" w:type="dxa"/>
            <w:noWrap w:val="0"/>
            <w:vAlign w:val="center"/>
          </w:tcPr>
          <w:p>
            <w:pPr>
              <w:widowControl/>
              <w:snapToGri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提供</w:t>
            </w:r>
            <w:r>
              <w:rPr>
                <w:rFonts w:hint="eastAsia" w:ascii="宋体" w:hAnsi="宋体" w:eastAsia="宋体" w:cs="宋体"/>
                <w:color w:val="auto"/>
                <w:sz w:val="21"/>
                <w:szCs w:val="21"/>
                <w:highlight w:val="none"/>
                <w:lang w:val="en-US" w:eastAsia="zh-CN"/>
              </w:rPr>
              <w:t>51</w:t>
            </w:r>
            <w:r>
              <w:rPr>
                <w:rFonts w:hint="eastAsia" w:ascii="宋体" w:hAnsi="宋体" w:eastAsia="宋体" w:cs="宋体"/>
                <w:color w:val="auto"/>
                <w:sz w:val="21"/>
                <w:szCs w:val="21"/>
                <w:highlight w:val="none"/>
              </w:rPr>
              <w:t>台存储</w:t>
            </w:r>
            <w:r>
              <w:rPr>
                <w:rFonts w:hint="eastAsia" w:ascii="宋体" w:hAnsi="宋体" w:eastAsia="宋体" w:cs="宋体"/>
                <w:color w:val="auto"/>
                <w:sz w:val="21"/>
                <w:szCs w:val="21"/>
                <w:highlight w:val="none"/>
                <w:lang w:val="en-US" w:eastAsia="zh-CN"/>
              </w:rPr>
              <w:t>设备</w:t>
            </w:r>
            <w:r>
              <w:rPr>
                <w:rFonts w:hint="eastAsia" w:ascii="宋体" w:hAnsi="宋体" w:eastAsia="宋体" w:cs="宋体"/>
                <w:color w:val="auto"/>
                <w:sz w:val="21"/>
                <w:szCs w:val="21"/>
                <w:highlight w:val="none"/>
              </w:rPr>
              <w:t>（包括华为、IBM、浪潮、</w:t>
            </w:r>
            <w:r>
              <w:rPr>
                <w:rFonts w:hint="eastAsia" w:ascii="宋体" w:hAnsi="宋体" w:eastAsia="宋体" w:cs="宋体"/>
                <w:color w:val="auto"/>
                <w:sz w:val="21"/>
                <w:szCs w:val="21"/>
                <w:highlight w:val="none"/>
                <w:lang w:val="en-US" w:eastAsia="zh-CN"/>
              </w:rPr>
              <w:t>海康</w:t>
            </w:r>
            <w:r>
              <w:rPr>
                <w:rFonts w:hint="eastAsia" w:ascii="宋体" w:hAnsi="宋体" w:eastAsia="宋体" w:cs="宋体"/>
                <w:color w:val="auto"/>
                <w:sz w:val="21"/>
                <w:szCs w:val="21"/>
                <w:highlight w:val="none"/>
              </w:rPr>
              <w:t>等存储主机和扩展柜，最终机器配置、型号和数量以机房实际勘查为准）硬件维保服务，</w:t>
            </w:r>
            <w:r>
              <w:rPr>
                <w:rFonts w:hint="eastAsia" w:ascii="宋体" w:hAnsi="宋体" w:eastAsia="宋体" w:cs="宋体"/>
                <w:color w:val="auto"/>
                <w:kern w:val="0"/>
                <w:sz w:val="21"/>
                <w:szCs w:val="21"/>
                <w:highlight w:val="none"/>
              </w:rPr>
              <w:t>要求巡检工程师</w:t>
            </w:r>
            <w:r>
              <w:rPr>
                <w:rFonts w:hint="eastAsia" w:ascii="宋体" w:hAnsi="宋体" w:eastAsia="宋体" w:cs="宋体"/>
                <w:color w:val="auto"/>
                <w:kern w:val="0"/>
                <w:sz w:val="21"/>
                <w:szCs w:val="21"/>
                <w:highlight w:val="none"/>
                <w:lang w:val="en-US" w:eastAsia="zh-CN"/>
              </w:rPr>
              <w:t>在</w:t>
            </w:r>
            <w:r>
              <w:rPr>
                <w:rFonts w:hint="eastAsia" w:ascii="宋体" w:hAnsi="宋体" w:eastAsia="宋体" w:cs="宋体"/>
                <w:color w:val="auto"/>
                <w:kern w:val="0"/>
                <w:sz w:val="21"/>
                <w:szCs w:val="21"/>
                <w:highlight w:val="none"/>
              </w:rPr>
              <w:t>每</w:t>
            </w:r>
            <w:r>
              <w:rPr>
                <w:rFonts w:hint="eastAsia" w:ascii="宋体" w:hAnsi="宋体" w:eastAsia="宋体" w:cs="宋体"/>
                <w:color w:val="auto"/>
                <w:kern w:val="0"/>
                <w:sz w:val="21"/>
                <w:szCs w:val="21"/>
                <w:highlight w:val="none"/>
                <w:lang w:val="en-US" w:eastAsia="zh-CN"/>
              </w:rPr>
              <w:t>个工作日</w:t>
            </w:r>
            <w:r>
              <w:rPr>
                <w:rFonts w:hint="eastAsia" w:ascii="宋体" w:hAnsi="宋体" w:eastAsia="宋体" w:cs="宋体"/>
                <w:color w:val="auto"/>
                <w:kern w:val="0"/>
                <w:sz w:val="21"/>
                <w:szCs w:val="21"/>
                <w:highlight w:val="none"/>
              </w:rPr>
              <w:t>巡检一次</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常规部件维保更换时间4小时内，非常规部件维保更换时间24小时内。</w:t>
            </w:r>
          </w:p>
        </w:tc>
        <w:tc>
          <w:tcPr>
            <w:tcW w:w="992" w:type="dxa"/>
            <w:gridSpan w:val="2"/>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1批</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0" w:hRule="atLeast"/>
        </w:trPr>
        <w:tc>
          <w:tcPr>
            <w:tcW w:w="840"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1755"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PC服务器</w:t>
            </w:r>
          </w:p>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硬件维保服务</w:t>
            </w:r>
          </w:p>
        </w:tc>
        <w:tc>
          <w:tcPr>
            <w:tcW w:w="5564" w:type="dxa"/>
            <w:noWrap w:val="0"/>
            <w:vAlign w:val="center"/>
          </w:tcPr>
          <w:p>
            <w:pPr>
              <w:widowControl/>
              <w:snapToGrid w:val="0"/>
              <w:spacing w:line="400" w:lineRule="exact"/>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提供</w:t>
            </w:r>
            <w:r>
              <w:rPr>
                <w:rFonts w:hint="eastAsia" w:ascii="宋体" w:hAnsi="宋体" w:eastAsia="宋体" w:cs="宋体"/>
                <w:color w:val="auto"/>
                <w:sz w:val="21"/>
                <w:szCs w:val="21"/>
                <w:highlight w:val="none"/>
                <w:lang w:val="en-US" w:eastAsia="zh-CN"/>
              </w:rPr>
              <w:t>195</w:t>
            </w:r>
            <w:r>
              <w:rPr>
                <w:rFonts w:hint="eastAsia" w:ascii="宋体" w:hAnsi="宋体" w:eastAsia="宋体" w:cs="宋体"/>
                <w:color w:val="auto"/>
                <w:sz w:val="21"/>
                <w:szCs w:val="21"/>
                <w:highlight w:val="none"/>
              </w:rPr>
              <w:t>台PC服务器（包括四路高性能处理器、两路服务器、刀片服务器等，最终机器配置、型号和数量以机房实际勘查为准）及配套</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KVM硬件维保服务，</w:t>
            </w:r>
            <w:r>
              <w:rPr>
                <w:rFonts w:hint="eastAsia" w:ascii="宋体" w:hAnsi="宋体" w:eastAsia="宋体" w:cs="宋体"/>
                <w:color w:val="auto"/>
                <w:kern w:val="0"/>
                <w:sz w:val="21"/>
                <w:szCs w:val="21"/>
                <w:highlight w:val="none"/>
              </w:rPr>
              <w:t>要求巡检工程师每天巡检一次</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常规部件维保更换时间4小时内，非常规部件维保更换时间24小时内。</w:t>
            </w:r>
          </w:p>
        </w:tc>
        <w:tc>
          <w:tcPr>
            <w:tcW w:w="992" w:type="dxa"/>
            <w:gridSpan w:val="2"/>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1批</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5" w:hRule="atLeast"/>
        </w:trPr>
        <w:tc>
          <w:tcPr>
            <w:tcW w:w="840" w:type="dxa"/>
            <w:tcBorders>
              <w:bottom w:val="single" w:color="auto" w:sz="4" w:space="0"/>
            </w:tcBorders>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p>
        </w:tc>
        <w:tc>
          <w:tcPr>
            <w:tcW w:w="1755" w:type="dxa"/>
            <w:tcBorders>
              <w:bottom w:val="single" w:color="auto" w:sz="4" w:space="0"/>
            </w:tcBorders>
            <w:noWrap w:val="0"/>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负载均衡</w:t>
            </w:r>
          </w:p>
          <w:p>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维保服务</w:t>
            </w:r>
          </w:p>
        </w:tc>
        <w:tc>
          <w:tcPr>
            <w:tcW w:w="5564" w:type="dxa"/>
            <w:tcBorders>
              <w:bottom w:val="single" w:color="auto" w:sz="4" w:space="0"/>
            </w:tcBorders>
            <w:noWrap w:val="0"/>
            <w:vAlign w:val="center"/>
          </w:tcPr>
          <w:p>
            <w:pPr>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提供2台F5负载均衡设备维保服务，包括一台F5 BIG-IP 2000、一台BIG-IP 3900。</w:t>
            </w:r>
            <w:r>
              <w:rPr>
                <w:rFonts w:hint="eastAsia" w:ascii="宋体" w:hAnsi="宋体" w:eastAsia="宋体" w:cs="宋体"/>
                <w:color w:val="auto"/>
                <w:kern w:val="0"/>
                <w:sz w:val="21"/>
                <w:szCs w:val="21"/>
                <w:highlight w:val="none"/>
              </w:rPr>
              <w:t>要求巡检工程师每天巡检一次</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常规部件维保更换时间4小时内，非常规部件维保更换时间24小时内。</w:t>
            </w:r>
          </w:p>
        </w:tc>
        <w:tc>
          <w:tcPr>
            <w:tcW w:w="992" w:type="dxa"/>
            <w:gridSpan w:val="2"/>
            <w:tcBorders>
              <w:bottom w:val="single" w:color="auto" w:sz="4" w:space="0"/>
            </w:tcBorders>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1批</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866" w:hRule="atLeast"/>
        </w:trPr>
        <w:tc>
          <w:tcPr>
            <w:tcW w:w="840" w:type="dxa"/>
            <w:tcBorders>
              <w:bottom w:val="single" w:color="auto" w:sz="4" w:space="0"/>
            </w:tcBorders>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1755" w:type="dxa"/>
            <w:tcBorders>
              <w:bottom w:val="single" w:color="auto" w:sz="4" w:space="0"/>
            </w:tcBorders>
            <w:noWrap w:val="0"/>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网络设备</w:t>
            </w:r>
          </w:p>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维保服务</w:t>
            </w:r>
          </w:p>
        </w:tc>
        <w:tc>
          <w:tcPr>
            <w:tcW w:w="5564" w:type="dxa"/>
            <w:tcBorders>
              <w:bottom w:val="single" w:color="auto" w:sz="4" w:space="0"/>
            </w:tcBorders>
            <w:noWrap w:val="0"/>
            <w:vAlign w:val="center"/>
          </w:tcPr>
          <w:p>
            <w:pPr>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w:t>
            </w:r>
            <w:r>
              <w:rPr>
                <w:rFonts w:hint="eastAsia" w:ascii="宋体" w:hAnsi="宋体" w:eastAsia="宋体" w:cs="宋体"/>
                <w:color w:val="auto"/>
                <w:sz w:val="21"/>
                <w:szCs w:val="21"/>
                <w:highlight w:val="none"/>
                <w:lang w:val="en-US" w:eastAsia="zh-CN"/>
              </w:rPr>
              <w:t>44</w:t>
            </w:r>
            <w:r>
              <w:rPr>
                <w:rFonts w:hint="eastAsia" w:ascii="宋体" w:hAnsi="宋体" w:eastAsia="宋体" w:cs="宋体"/>
                <w:color w:val="auto"/>
                <w:sz w:val="21"/>
                <w:szCs w:val="21"/>
                <w:highlight w:val="none"/>
              </w:rPr>
              <w:t>台网络设备（包括交换机、SAN交换机、光交换机</w:t>
            </w:r>
            <w:r>
              <w:rPr>
                <w:rFonts w:hint="eastAsia" w:ascii="宋体" w:hAnsi="宋体" w:eastAsia="宋体" w:cs="宋体"/>
                <w:color w:val="auto"/>
                <w:sz w:val="21"/>
                <w:szCs w:val="21"/>
                <w:highlight w:val="none"/>
                <w:lang w:eastAsia="zh-CN"/>
              </w:rPr>
              <w:t>、光端机</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sz w:val="21"/>
                <w:szCs w:val="21"/>
                <w:highlight w:val="none"/>
              </w:rPr>
              <w:t>最终机器配置、型号和数量以机房实际勘查为准）硬件维保服务。</w:t>
            </w:r>
            <w:r>
              <w:rPr>
                <w:rFonts w:hint="eastAsia" w:ascii="宋体" w:hAnsi="宋体" w:eastAsia="宋体" w:cs="宋体"/>
                <w:color w:val="auto"/>
                <w:kern w:val="0"/>
                <w:sz w:val="21"/>
                <w:szCs w:val="21"/>
                <w:highlight w:val="none"/>
              </w:rPr>
              <w:t>要求巡检工程师每天巡检一次</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常规部件维保更换时间4小时内，非常规部件维保更换时间24小时内。</w:t>
            </w:r>
          </w:p>
        </w:tc>
        <w:tc>
          <w:tcPr>
            <w:tcW w:w="992" w:type="dxa"/>
            <w:gridSpan w:val="2"/>
            <w:tcBorders>
              <w:bottom w:val="single" w:color="auto" w:sz="4" w:space="0"/>
            </w:tcBorders>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1批</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0" w:hRule="atLeast"/>
        </w:trPr>
        <w:tc>
          <w:tcPr>
            <w:tcW w:w="840" w:type="dxa"/>
            <w:tcBorders>
              <w:top w:val="single" w:color="auto" w:sz="4" w:space="0"/>
              <w:bottom w:val="single" w:color="auto" w:sz="4" w:space="0"/>
            </w:tcBorders>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w:t>
            </w:r>
          </w:p>
        </w:tc>
        <w:tc>
          <w:tcPr>
            <w:tcW w:w="1755" w:type="dxa"/>
            <w:tcBorders>
              <w:top w:val="single" w:color="auto" w:sz="4" w:space="0"/>
              <w:bottom w:val="single" w:color="auto" w:sz="4" w:space="0"/>
            </w:tcBorders>
            <w:noWrap w:val="0"/>
            <w:vAlign w:val="center"/>
          </w:tcPr>
          <w:p>
            <w:pPr>
              <w:widowControl/>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异地灾备数据库设备维保服务</w:t>
            </w:r>
          </w:p>
        </w:tc>
        <w:tc>
          <w:tcPr>
            <w:tcW w:w="5564" w:type="dxa"/>
            <w:tcBorders>
              <w:top w:val="single" w:color="auto" w:sz="4" w:space="0"/>
              <w:bottom w:val="single" w:color="auto" w:sz="4" w:space="0"/>
            </w:tcBorders>
            <w:noWrap w:val="0"/>
            <w:vAlign w:val="center"/>
          </w:tcPr>
          <w:p>
            <w:pPr>
              <w:snapToGrid w:val="0"/>
              <w:spacing w:line="400" w:lineRule="exact"/>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鄞州大队10楼1号机房-A12机柜：</w:t>
            </w:r>
            <w:r>
              <w:rPr>
                <w:rFonts w:hint="eastAsia" w:ascii="宋体" w:hAnsi="宋体" w:eastAsia="宋体" w:cs="宋体"/>
                <w:color w:val="auto"/>
                <w:kern w:val="0"/>
                <w:sz w:val="21"/>
                <w:szCs w:val="21"/>
                <w:highlight w:val="none"/>
              </w:rPr>
              <w:t>华为Dorado6000</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华为KunLun9008</w:t>
            </w:r>
            <w:r>
              <w:rPr>
                <w:rFonts w:hint="eastAsia" w:ascii="宋体" w:hAnsi="宋体" w:eastAsia="宋体" w:cs="宋体"/>
                <w:color w:val="auto"/>
                <w:kern w:val="0"/>
                <w:sz w:val="21"/>
                <w:szCs w:val="21"/>
                <w:highlight w:val="none"/>
              </w:rPr>
              <w:t>和华为OceanStor2124</w:t>
            </w:r>
            <w:r>
              <w:rPr>
                <w:rFonts w:hint="eastAsia" w:ascii="宋体" w:hAnsi="宋体" w:eastAsia="宋体" w:cs="宋体"/>
                <w:color w:val="auto"/>
                <w:kern w:val="0"/>
                <w:sz w:val="21"/>
                <w:szCs w:val="21"/>
                <w:highlight w:val="none"/>
                <w:lang w:val="en-US" w:eastAsia="zh-CN"/>
              </w:rPr>
              <w:t>一套。</w:t>
            </w:r>
          </w:p>
        </w:tc>
        <w:tc>
          <w:tcPr>
            <w:tcW w:w="992" w:type="dxa"/>
            <w:gridSpan w:val="2"/>
            <w:tcBorders>
              <w:top w:val="single" w:color="auto" w:sz="4" w:space="0"/>
              <w:bottom w:val="single" w:color="auto" w:sz="4" w:space="0"/>
            </w:tcBorders>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1批</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40" w:hRule="atLeast"/>
        </w:trPr>
        <w:tc>
          <w:tcPr>
            <w:tcW w:w="840" w:type="dxa"/>
            <w:tcBorders>
              <w:top w:val="single" w:color="auto" w:sz="4" w:space="0"/>
              <w:bottom w:val="single" w:color="auto" w:sz="4" w:space="0"/>
            </w:tcBorders>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6</w:t>
            </w:r>
          </w:p>
        </w:tc>
        <w:tc>
          <w:tcPr>
            <w:tcW w:w="1755" w:type="dxa"/>
            <w:tcBorders>
              <w:top w:val="single" w:color="auto" w:sz="4" w:space="0"/>
              <w:bottom w:val="single" w:color="auto" w:sz="4" w:space="0"/>
            </w:tcBorders>
            <w:noWrap w:val="0"/>
            <w:vAlign w:val="center"/>
          </w:tcPr>
          <w:p>
            <w:pPr>
              <w:widowControl/>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其他设备</w:t>
            </w:r>
          </w:p>
        </w:tc>
        <w:tc>
          <w:tcPr>
            <w:tcW w:w="5564" w:type="dxa"/>
            <w:tcBorders>
              <w:top w:val="single" w:color="auto" w:sz="4" w:space="0"/>
              <w:bottom w:val="single" w:color="auto" w:sz="4" w:space="0"/>
            </w:tcBorders>
            <w:noWrap w:val="0"/>
            <w:vAlign w:val="center"/>
          </w:tcPr>
          <w:p>
            <w:pPr>
              <w:snapToGrid w:val="0"/>
              <w:spacing w:line="400" w:lineRule="exact"/>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val="en-US" w:eastAsia="zh-CN"/>
              </w:rPr>
              <w:t>KVM切换器等设备和</w:t>
            </w:r>
            <w:r>
              <w:rPr>
                <w:rFonts w:hint="eastAsia" w:ascii="宋体" w:hAnsi="宋体" w:eastAsia="宋体" w:cs="宋体"/>
                <w:color w:val="auto"/>
                <w:kern w:val="0"/>
                <w:sz w:val="21"/>
                <w:szCs w:val="21"/>
                <w:highlight w:val="none"/>
              </w:rPr>
              <w:t>交警局、机动大队、鄞州大队</w:t>
            </w:r>
            <w:r>
              <w:rPr>
                <w:rFonts w:hint="eastAsia" w:ascii="宋体" w:hAnsi="宋体" w:eastAsia="宋体" w:cs="宋体"/>
                <w:color w:val="auto"/>
                <w:kern w:val="0"/>
                <w:sz w:val="21"/>
                <w:szCs w:val="21"/>
                <w:highlight w:val="none"/>
                <w:lang w:val="en-US" w:eastAsia="zh-CN"/>
              </w:rPr>
              <w:t>等三个地方的机房内，</w:t>
            </w:r>
            <w:r>
              <w:rPr>
                <w:rFonts w:hint="eastAsia" w:ascii="宋体" w:hAnsi="宋体" w:eastAsia="宋体" w:cs="宋体"/>
                <w:color w:val="auto"/>
                <w:sz w:val="21"/>
                <w:szCs w:val="21"/>
                <w:highlight w:val="none"/>
                <w:lang w:val="en-US" w:eastAsia="zh-CN"/>
              </w:rPr>
              <w:t>本次维保期间脱保的公安网和督察专网内其他设备（</w:t>
            </w:r>
            <w:r>
              <w:rPr>
                <w:rFonts w:hint="eastAsia" w:ascii="宋体" w:hAnsi="宋体" w:eastAsia="宋体" w:cs="宋体"/>
                <w:color w:val="auto"/>
                <w:sz w:val="21"/>
                <w:szCs w:val="21"/>
                <w:highlight w:val="none"/>
              </w:rPr>
              <w:t>最终机器配置、型号和数量以机房实际勘查为准</w:t>
            </w:r>
            <w:r>
              <w:rPr>
                <w:rFonts w:hint="eastAsia" w:ascii="宋体" w:hAnsi="宋体" w:eastAsia="宋体" w:cs="宋体"/>
                <w:color w:val="auto"/>
                <w:sz w:val="21"/>
                <w:szCs w:val="21"/>
                <w:highlight w:val="none"/>
                <w:lang w:val="en-US" w:eastAsia="zh-CN"/>
              </w:rPr>
              <w:t>）。</w:t>
            </w:r>
          </w:p>
        </w:tc>
        <w:tc>
          <w:tcPr>
            <w:tcW w:w="992" w:type="dxa"/>
            <w:gridSpan w:val="2"/>
            <w:tcBorders>
              <w:top w:val="single" w:color="auto" w:sz="4" w:space="0"/>
              <w:bottom w:val="single" w:color="auto" w:sz="4" w:space="0"/>
            </w:tcBorders>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1批</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0" w:hRule="atLeast"/>
        </w:trPr>
        <w:tc>
          <w:tcPr>
            <w:tcW w:w="9151" w:type="dxa"/>
            <w:gridSpan w:val="5"/>
            <w:noWrap w:val="0"/>
            <w:vAlign w:val="center"/>
          </w:tcPr>
          <w:p>
            <w:pPr>
              <w:widowControl/>
              <w:snapToGrid w:val="0"/>
              <w:spacing w:line="400" w:lineRule="exac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人工技术运维服务：</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0" w:hRule="atLeast"/>
        </w:trPr>
        <w:tc>
          <w:tcPr>
            <w:tcW w:w="840"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c>
          <w:tcPr>
            <w:tcW w:w="1755" w:type="dxa"/>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网络技术运维服务</w:t>
            </w:r>
          </w:p>
        </w:tc>
        <w:tc>
          <w:tcPr>
            <w:tcW w:w="5705" w:type="dxa"/>
            <w:gridSpan w:val="2"/>
            <w:noWrap w:val="0"/>
            <w:vAlign w:val="center"/>
          </w:tcPr>
          <w:p>
            <w:pP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巡检人员需具备计算机相关专业。每个工作日3个机房（交警局机房、机动大队、鄞州大队机房）巡检一次，7X24小时故障现场响应，提供网络状态监控、网络配置变更、网络故障定位和应急处理、网络优化等多种服务。</w:t>
            </w:r>
          </w:p>
        </w:tc>
        <w:tc>
          <w:tcPr>
            <w:tcW w:w="851"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0" w:hRule="atLeast"/>
        </w:trPr>
        <w:tc>
          <w:tcPr>
            <w:tcW w:w="840"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1755" w:type="dxa"/>
            <w:noWrap w:val="0"/>
            <w:vAlign w:val="center"/>
          </w:tcPr>
          <w:p>
            <w:pP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操作系统运维服务</w:t>
            </w:r>
          </w:p>
        </w:tc>
        <w:tc>
          <w:tcPr>
            <w:tcW w:w="5705" w:type="dxa"/>
            <w:gridSpan w:val="2"/>
            <w:noWrap w:val="0"/>
            <w:vAlign w:val="center"/>
          </w:tcPr>
          <w:p>
            <w:pP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提供操作系统（WINDOWS、AIX、LINUX等）技术运维服务，7X24小时故障现场响应，操作系统安装、日志分析、服务器状态检查、系统补丁更新、系统故障应急和故障处理等多种服务。</w:t>
            </w:r>
          </w:p>
        </w:tc>
        <w:tc>
          <w:tcPr>
            <w:tcW w:w="851"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00" w:hRule="atLeast"/>
        </w:trPr>
        <w:tc>
          <w:tcPr>
            <w:tcW w:w="840"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p>
        </w:tc>
        <w:tc>
          <w:tcPr>
            <w:tcW w:w="1755" w:type="dxa"/>
            <w:noWrap w:val="0"/>
            <w:vAlign w:val="center"/>
          </w:tcPr>
          <w:p>
            <w:pP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应急支撑服务</w:t>
            </w:r>
          </w:p>
        </w:tc>
        <w:tc>
          <w:tcPr>
            <w:tcW w:w="5705" w:type="dxa"/>
            <w:gridSpan w:val="2"/>
            <w:noWrap w:val="0"/>
            <w:vAlign w:val="center"/>
          </w:tcPr>
          <w:p>
            <w:pP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针对突发重大事故，配合交警局数据库维护商、软件开发商进行故障综合会诊，针对复杂问题进行故障快速处理和修复。</w:t>
            </w:r>
          </w:p>
        </w:tc>
        <w:tc>
          <w:tcPr>
            <w:tcW w:w="851" w:type="dxa"/>
            <w:noWrap w:val="0"/>
            <w:vAlign w:val="center"/>
          </w:tcPr>
          <w:p>
            <w:pPr>
              <w:widowControl/>
              <w:snapToGrid w:val="0"/>
              <w:spacing w:line="400" w:lineRule="exact"/>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r>
    </w:tbl>
    <w:p>
      <w:pPr>
        <w:numPr>
          <w:ilvl w:val="0"/>
          <w:numId w:val="0"/>
        </w:numPr>
        <w:spacing w:line="360" w:lineRule="auto"/>
        <w:jc w:val="left"/>
        <w:rPr>
          <w:rFonts w:hint="eastAsia"/>
          <w:b/>
          <w:color w:val="auto"/>
          <w:sz w:val="21"/>
          <w:szCs w:val="21"/>
          <w:highlight w:val="none"/>
          <w:lang w:val="en-US" w:eastAsia="zh-CN"/>
        </w:rPr>
      </w:pPr>
    </w:p>
    <w:p>
      <w:pPr>
        <w:spacing w:line="360" w:lineRule="auto"/>
        <w:outlineLvl w:val="0"/>
        <w:rPr>
          <w:rFonts w:hint="eastAsia" w:ascii="宋体" w:hAnsi="宋体" w:eastAsia="宋体" w:cs="宋体"/>
          <w:b/>
          <w:bCs/>
          <w:color w:val="auto"/>
          <w:sz w:val="21"/>
          <w:szCs w:val="21"/>
          <w:highlight w:val="none"/>
        </w:rPr>
      </w:pPr>
      <w:r>
        <w:rPr>
          <w:rFonts w:hint="eastAsia" w:ascii="宋体" w:hAnsi="宋体" w:eastAsia="宋体" w:cs="宋体"/>
          <w:b/>
          <w:color w:val="auto"/>
          <w:sz w:val="21"/>
          <w:szCs w:val="21"/>
          <w:highlight w:val="none"/>
          <w:lang w:val="en-US" w:eastAsia="zh-CN"/>
        </w:rPr>
        <w:t>二、</w:t>
      </w:r>
      <w:r>
        <w:rPr>
          <w:rFonts w:hint="eastAsia" w:ascii="宋体" w:hAnsi="宋体" w:eastAsia="宋体" w:cs="宋体"/>
          <w:b/>
          <w:bCs/>
          <w:color w:val="auto"/>
          <w:sz w:val="21"/>
          <w:szCs w:val="21"/>
          <w:highlight w:val="none"/>
        </w:rPr>
        <w:t>技术服务要求</w:t>
      </w:r>
    </w:p>
    <w:p>
      <w:pPr>
        <w:numPr>
          <w:ilvl w:val="0"/>
          <w:numId w:val="0"/>
        </w:num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总体要求</w:t>
      </w:r>
    </w:p>
    <w:p>
      <w:pPr>
        <w:spacing w:line="360" w:lineRule="auto"/>
        <w:ind w:left="-240" w:leftChars="-100" w:firstLine="478" w:firstLineChars="22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（1）本维保项目为全包模式；</w:t>
      </w:r>
      <w:r>
        <w:rPr>
          <w:rFonts w:hint="eastAsia" w:ascii="宋体" w:hAnsi="宋体" w:eastAsia="宋体" w:cs="宋体"/>
          <w:color w:val="auto"/>
          <w:sz w:val="21"/>
          <w:szCs w:val="21"/>
          <w:highlight w:val="none"/>
          <w:lang w:val="en-US" w:eastAsia="zh-CN"/>
        </w:rPr>
        <w:t>对于故障的解决</w:t>
      </w:r>
      <w:r>
        <w:rPr>
          <w:rFonts w:hint="eastAsia" w:ascii="宋体" w:hAnsi="宋体" w:eastAsia="宋体" w:cs="宋体"/>
          <w:color w:val="auto"/>
          <w:sz w:val="21"/>
          <w:szCs w:val="21"/>
          <w:highlight w:val="none"/>
        </w:rPr>
        <w:t>需出具详细报告。</w:t>
      </w:r>
    </w:p>
    <w:p>
      <w:pPr>
        <w:spacing w:line="360" w:lineRule="auto"/>
        <w:ind w:left="-240" w:leftChars="-100" w:firstLine="478" w:firstLineChars="22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（2）中标方将负责所有设备故障的解决，包括但不限于设备更换、维修、软硬件系统故障处理。</w:t>
      </w:r>
    </w:p>
    <w:p>
      <w:pPr>
        <w:spacing w:line="360" w:lineRule="auto"/>
        <w:ind w:left="-240" w:leftChars="-100" w:firstLine="478" w:firstLineChars="22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应急响应速度：</w:t>
      </w:r>
      <w:r>
        <w:rPr>
          <w:rFonts w:hint="eastAsia" w:ascii="宋体" w:hAnsi="宋体" w:eastAsia="宋体" w:cs="宋体"/>
          <w:color w:val="auto"/>
          <w:sz w:val="21"/>
          <w:szCs w:val="21"/>
          <w:highlight w:val="none"/>
        </w:rPr>
        <w:t>接到用户通知后10分钟响应，</w:t>
      </w:r>
      <w:r>
        <w:rPr>
          <w:rFonts w:hint="eastAsia" w:ascii="宋体" w:hAnsi="宋体" w:eastAsia="宋体" w:cs="宋体"/>
          <w:color w:val="auto"/>
          <w:sz w:val="21"/>
          <w:szCs w:val="21"/>
          <w:highlight w:val="none"/>
          <w:lang w:val="en-US" w:eastAsia="zh-CN"/>
        </w:rPr>
        <w:t>45分钟内</w:t>
      </w:r>
      <w:r>
        <w:rPr>
          <w:rFonts w:hint="eastAsia" w:ascii="宋体" w:hAnsi="宋体" w:eastAsia="宋体" w:cs="宋体"/>
          <w:color w:val="auto"/>
          <w:sz w:val="21"/>
          <w:szCs w:val="21"/>
          <w:highlight w:val="none"/>
        </w:rPr>
        <w:t>到达用户现场，常规故障4小时解决，非常规故障24小时解决</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在</w:t>
      </w:r>
      <w:r>
        <w:rPr>
          <w:rFonts w:hint="eastAsia" w:ascii="宋体" w:hAnsi="宋体" w:eastAsia="宋体" w:cs="宋体"/>
          <w:color w:val="auto"/>
          <w:sz w:val="21"/>
          <w:szCs w:val="21"/>
          <w:highlight w:val="none"/>
          <w:lang w:val="en-US" w:eastAsia="zh-CN"/>
        </w:rPr>
        <w:t>24</w:t>
      </w:r>
      <w:r>
        <w:rPr>
          <w:rFonts w:hint="eastAsia" w:ascii="宋体" w:hAnsi="宋体" w:eastAsia="宋体" w:cs="宋体"/>
          <w:color w:val="auto"/>
          <w:sz w:val="21"/>
          <w:szCs w:val="21"/>
          <w:highlight w:val="none"/>
        </w:rPr>
        <w:t>小时之内无法解决的，中标单位提供相应的备品备件，避免影响业务工作的正常开展。</w:t>
      </w:r>
    </w:p>
    <w:p>
      <w:pPr>
        <w:pStyle w:val="174"/>
        <w:numPr>
          <w:ilvl w:val="0"/>
          <w:numId w:val="0"/>
        </w:numPr>
        <w:ind w:leftChars="0"/>
        <w:rPr>
          <w:rFonts w:hint="eastAsia" w:ascii="宋体" w:hAnsi="宋体" w:eastAsia="宋体" w:cs="宋体"/>
          <w:b/>
          <w:color w:val="auto"/>
          <w:sz w:val="21"/>
          <w:szCs w:val="21"/>
          <w:highlight w:val="none"/>
        </w:rPr>
      </w:pPr>
      <w:r>
        <w:rPr>
          <w:rFonts w:hint="eastAsia" w:ascii="宋体" w:hAnsi="宋体" w:cs="宋体"/>
          <w:color w:val="auto"/>
          <w:kern w:val="2"/>
          <w:sz w:val="21"/>
          <w:szCs w:val="21"/>
          <w:highlight w:val="none"/>
        </w:rPr>
        <w:t>▲</w:t>
      </w:r>
      <w:r>
        <w:rPr>
          <w:rFonts w:hint="eastAsia" w:ascii="宋体" w:hAnsi="宋体" w:eastAsia="宋体" w:cs="宋体"/>
          <w:b/>
          <w:color w:val="auto"/>
          <w:sz w:val="21"/>
          <w:szCs w:val="21"/>
          <w:highlight w:val="none"/>
          <w:lang w:val="en-US" w:eastAsia="zh-CN"/>
        </w:rPr>
        <w:t>2、</w:t>
      </w:r>
      <w:r>
        <w:rPr>
          <w:rFonts w:hint="eastAsia" w:ascii="宋体" w:hAnsi="宋体" w:eastAsia="宋体" w:cs="宋体"/>
          <w:b/>
          <w:color w:val="auto"/>
          <w:sz w:val="21"/>
          <w:szCs w:val="21"/>
          <w:highlight w:val="none"/>
        </w:rPr>
        <w:t>投标文件要求</w:t>
      </w:r>
    </w:p>
    <w:p>
      <w:pPr>
        <w:pStyle w:val="175"/>
        <w:widowControl/>
        <w:tabs>
          <w:tab w:val="left" w:pos="425"/>
        </w:tabs>
        <w:spacing w:line="360" w:lineRule="auto"/>
        <w:ind w:left="-240" w:leftChars="-100" w:firstLine="478" w:firstLineChars="228"/>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投标人必须充分了解市交警局本次项目的设备系统维护需求，充分考虑硬件设备特点、物理环境和信息系统等多方面因素，针对交警业务特点及运维实际需求，提供一套全面详细并切实可行的服务方案，该方案至少包括以下几方面：</w:t>
      </w:r>
    </w:p>
    <w:p>
      <w:pPr>
        <w:pStyle w:val="175"/>
        <w:widowControl/>
        <w:numPr>
          <w:ilvl w:val="0"/>
          <w:numId w:val="5"/>
        </w:numPr>
        <w:tabs>
          <w:tab w:val="left" w:pos="425"/>
        </w:tabs>
        <w:spacing w:line="360" w:lineRule="auto"/>
        <w:ind w:left="-240" w:leftChars="-100" w:firstLine="481" w:firstLineChars="228"/>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对设备及系统现状详细的描述及对需求的理解；</w:t>
      </w:r>
    </w:p>
    <w:p>
      <w:pPr>
        <w:pStyle w:val="175"/>
        <w:widowControl/>
        <w:numPr>
          <w:ilvl w:val="0"/>
          <w:numId w:val="5"/>
        </w:numPr>
        <w:tabs>
          <w:tab w:val="left" w:pos="425"/>
        </w:tabs>
        <w:spacing w:line="360" w:lineRule="auto"/>
        <w:ind w:left="-240" w:leftChars="-100" w:firstLine="481" w:firstLineChars="228"/>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运维服务方案的完整性、合理性；</w:t>
      </w:r>
    </w:p>
    <w:p>
      <w:pPr>
        <w:pStyle w:val="175"/>
        <w:widowControl/>
        <w:numPr>
          <w:ilvl w:val="0"/>
          <w:numId w:val="5"/>
        </w:numPr>
        <w:tabs>
          <w:tab w:val="left" w:pos="425"/>
        </w:tabs>
        <w:spacing w:line="360" w:lineRule="auto"/>
        <w:ind w:left="-240" w:leftChars="-100" w:firstLine="481" w:firstLineChars="228"/>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例行巡检和保养措施、服务质量保障的合理性说明；</w:t>
      </w:r>
    </w:p>
    <w:p>
      <w:pPr>
        <w:pStyle w:val="175"/>
        <w:widowControl/>
        <w:numPr>
          <w:ilvl w:val="0"/>
          <w:numId w:val="5"/>
        </w:numPr>
        <w:tabs>
          <w:tab w:val="left" w:pos="425"/>
        </w:tabs>
        <w:spacing w:line="360" w:lineRule="auto"/>
        <w:ind w:left="-240" w:leftChars="-100" w:firstLine="481" w:firstLineChars="228"/>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针对本项目的重点难点分析；</w:t>
      </w:r>
    </w:p>
    <w:p>
      <w:pPr>
        <w:pStyle w:val="175"/>
        <w:widowControl/>
        <w:numPr>
          <w:ilvl w:val="0"/>
          <w:numId w:val="5"/>
        </w:numPr>
        <w:tabs>
          <w:tab w:val="left" w:pos="425"/>
        </w:tabs>
        <w:spacing w:line="360" w:lineRule="auto"/>
        <w:ind w:left="-240" w:leftChars="-100" w:firstLine="481" w:firstLineChars="228"/>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协助用户进行系统性能优化与调整、重大活动现场保障、突发应急方案和措施的详细说明；</w:t>
      </w:r>
    </w:p>
    <w:p>
      <w:pPr>
        <w:pStyle w:val="175"/>
        <w:widowControl/>
        <w:numPr>
          <w:ilvl w:val="0"/>
          <w:numId w:val="0"/>
        </w:numPr>
        <w:tabs>
          <w:tab w:val="left" w:pos="425"/>
        </w:tabs>
        <w:spacing w:line="360" w:lineRule="auto"/>
        <w:ind w:leftChars="128"/>
        <w:rPr>
          <w:rFonts w:hint="eastAsia" w:ascii="宋体" w:hAnsi="宋体" w:eastAsia="宋体" w:cs="宋体"/>
          <w:color w:val="auto"/>
          <w:kern w:val="2"/>
          <w:sz w:val="21"/>
          <w:szCs w:val="21"/>
          <w:highlight w:val="none"/>
        </w:rPr>
      </w:pPr>
      <w:r>
        <w:rPr>
          <w:rFonts w:hint="eastAsia" w:ascii="宋体" w:hAnsi="宋体" w:eastAsia="宋体" w:cs="宋体"/>
          <w:b/>
          <w:color w:val="auto"/>
          <w:kern w:val="2"/>
          <w:sz w:val="21"/>
          <w:szCs w:val="21"/>
          <w:highlight w:val="none"/>
        </w:rPr>
        <w:t>（6）处理涉密信息的能力</w:t>
      </w:r>
      <w:r>
        <w:rPr>
          <w:rFonts w:hint="eastAsia" w:ascii="宋体" w:hAnsi="宋体" w:eastAsia="宋体" w:cs="宋体"/>
          <w:color w:val="auto"/>
          <w:kern w:val="2"/>
          <w:sz w:val="21"/>
          <w:szCs w:val="21"/>
          <w:highlight w:val="none"/>
        </w:rPr>
        <w:t>。</w:t>
      </w:r>
    </w:p>
    <w:p>
      <w:pPr>
        <w:numPr>
          <w:ilvl w:val="0"/>
          <w:numId w:val="0"/>
        </w:numPr>
        <w:spacing w:line="360" w:lineRule="auto"/>
        <w:ind w:lef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硬件维保技术要求</w:t>
      </w:r>
    </w:p>
    <w:p>
      <w:pPr>
        <w:spacing w:line="360" w:lineRule="auto"/>
        <w:ind w:left="-240" w:leftChars="-100" w:firstLine="478" w:firstLineChars="22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（1）系统软件维护与疑难问题处理：补丁软件安装支持服务、操作系统安装版本、操作系统安装与版本升级调试、高可用性集群软件安装与维护、性能诊断与调试。</w:t>
      </w:r>
    </w:p>
    <w:p>
      <w:pPr>
        <w:spacing w:line="360" w:lineRule="auto"/>
        <w:ind w:left="-240" w:leftChars="-100" w:firstLine="478" w:firstLineChars="22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（2）延伸技术维护：设备扩容服务支持、特殊情况支持服务、设备部件调整服务。</w:t>
      </w:r>
    </w:p>
    <w:p>
      <w:pPr>
        <w:spacing w:line="360" w:lineRule="auto"/>
        <w:ind w:left="-240" w:leftChars="-100" w:firstLine="478" w:firstLineChars="22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（3）技术培训与交流：维护现场技术培训、专业课程培训、技术咨询与交流。</w:t>
      </w:r>
    </w:p>
    <w:p>
      <w:pPr>
        <w:spacing w:line="360" w:lineRule="auto"/>
        <w:ind w:left="-240" w:leftChars="-100" w:firstLine="478" w:firstLineChars="228"/>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（4）现场硬件测试诊断和备件更换服务。</w:t>
      </w:r>
    </w:p>
    <w:p>
      <w:pPr>
        <w:numPr>
          <w:ilvl w:val="0"/>
          <w:numId w:val="0"/>
        </w:numPr>
        <w:spacing w:line="360" w:lineRule="auto"/>
        <w:ind w:leftChars="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实施运维和售后服务人员要求</w:t>
      </w:r>
    </w:p>
    <w:p>
      <w:pPr>
        <w:pStyle w:val="175"/>
        <w:widowControl/>
        <w:spacing w:line="360" w:lineRule="auto"/>
        <w:ind w:left="-240" w:leftChars="-100" w:firstLine="478" w:firstLineChars="228"/>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投标方应具有本地化快速服务提供能力，有固定办公场所和本地化技术服务团队，本地化技术服务团队要求有20人以上技术工程师（包括oracle认证工程师、高级项目经理、itss认证IT服务项目经理、itss认证IT服务工程师、信息安全工程师等，相关人员必须为投标人公司人员），投标时需提技术工程师相关证书、近</w:t>
      </w:r>
      <w:r>
        <w:rPr>
          <w:rFonts w:hint="eastAsia" w:ascii="宋体" w:hAnsi="宋体" w:eastAsia="宋体" w:cs="宋体"/>
          <w:color w:val="auto"/>
          <w:kern w:val="2"/>
          <w:sz w:val="21"/>
          <w:szCs w:val="21"/>
          <w:highlight w:val="none"/>
          <w:lang w:val="en-US" w:eastAsia="zh-CN"/>
        </w:rPr>
        <w:t>3</w:t>
      </w:r>
      <w:r>
        <w:rPr>
          <w:rFonts w:hint="eastAsia" w:ascii="宋体" w:hAnsi="宋体" w:eastAsia="宋体" w:cs="宋体"/>
          <w:color w:val="auto"/>
          <w:kern w:val="2"/>
          <w:sz w:val="21"/>
          <w:szCs w:val="21"/>
          <w:highlight w:val="none"/>
        </w:rPr>
        <w:t>个月社保缴纳证明和技术维护案例说明。</w:t>
      </w:r>
    </w:p>
    <w:p>
      <w:pPr>
        <w:pStyle w:val="175"/>
        <w:widowControl/>
        <w:spacing w:line="360" w:lineRule="auto"/>
        <w:ind w:left="-240" w:leftChars="-100" w:firstLine="478" w:firstLineChars="228"/>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rPr>
        <w:t>▲（2）巡检工程师要求：</w:t>
      </w:r>
      <w:r>
        <w:rPr>
          <w:rFonts w:hint="eastAsia" w:ascii="宋体" w:hAnsi="宋体" w:eastAsia="宋体" w:cs="宋体"/>
          <w:color w:val="auto"/>
          <w:kern w:val="2"/>
          <w:sz w:val="21"/>
          <w:szCs w:val="21"/>
          <w:highlight w:val="none"/>
          <w:lang w:val="en-US" w:eastAsia="zh-CN"/>
        </w:rPr>
        <w:t>要求巡检工程师具有计算机相关专业专科或以上学历，具备对数据中心设备与系统的运维技术能力，提供7x24小时1年技术支持服务。技术及经验能力如不符合实际要求，用户有权更换或拒绝。</w:t>
      </w:r>
    </w:p>
    <w:p>
      <w:pPr>
        <w:pStyle w:val="175"/>
        <w:widowControl/>
        <w:spacing w:line="360" w:lineRule="auto"/>
        <w:ind w:left="-240" w:leftChars="-100" w:firstLine="478" w:firstLineChars="228"/>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（3）如确因故调换巡检工程师，中标商在实施调换前</w:t>
      </w:r>
      <w:r>
        <w:rPr>
          <w:rFonts w:hint="eastAsia" w:ascii="宋体" w:hAnsi="宋体" w:eastAsia="宋体" w:cs="宋体"/>
          <w:color w:val="auto"/>
          <w:kern w:val="2"/>
          <w:sz w:val="21"/>
          <w:szCs w:val="21"/>
          <w:highlight w:val="none"/>
          <w:lang w:val="en-US" w:eastAsia="zh-CN"/>
        </w:rPr>
        <w:t>须至少提前</w:t>
      </w:r>
      <w:r>
        <w:rPr>
          <w:rFonts w:hint="eastAsia" w:ascii="宋体" w:hAnsi="宋体" w:eastAsia="宋体" w:cs="宋体"/>
          <w:color w:val="auto"/>
          <w:kern w:val="2"/>
          <w:sz w:val="21"/>
          <w:szCs w:val="21"/>
          <w:highlight w:val="none"/>
        </w:rPr>
        <w:t>5个工作日</w:t>
      </w:r>
      <w:r>
        <w:rPr>
          <w:rFonts w:hint="eastAsia" w:ascii="宋体" w:hAnsi="宋体" w:eastAsia="宋体" w:cs="宋体"/>
          <w:color w:val="auto"/>
          <w:kern w:val="2"/>
          <w:sz w:val="21"/>
          <w:szCs w:val="21"/>
          <w:highlight w:val="none"/>
          <w:lang w:val="en-US" w:eastAsia="zh-CN"/>
        </w:rPr>
        <w:t>以上向用户</w:t>
      </w:r>
      <w:r>
        <w:rPr>
          <w:rFonts w:hint="eastAsia" w:ascii="宋体" w:hAnsi="宋体" w:eastAsia="宋体" w:cs="宋体"/>
          <w:color w:val="auto"/>
          <w:kern w:val="2"/>
          <w:sz w:val="21"/>
          <w:szCs w:val="21"/>
          <w:highlight w:val="none"/>
        </w:rPr>
        <w:t>提供有效书面申请，在征得用户同意的情况下方可进行调换，调换</w:t>
      </w:r>
      <w:r>
        <w:rPr>
          <w:rFonts w:hint="eastAsia" w:ascii="宋体" w:hAnsi="宋体" w:eastAsia="宋体" w:cs="宋体"/>
          <w:color w:val="auto"/>
          <w:kern w:val="2"/>
          <w:sz w:val="21"/>
          <w:szCs w:val="21"/>
          <w:highlight w:val="none"/>
          <w:lang w:val="en-US" w:eastAsia="zh-CN"/>
        </w:rPr>
        <w:t>后</w:t>
      </w:r>
      <w:r>
        <w:rPr>
          <w:rFonts w:hint="eastAsia" w:ascii="宋体" w:hAnsi="宋体" w:eastAsia="宋体" w:cs="宋体"/>
          <w:color w:val="auto"/>
          <w:kern w:val="2"/>
          <w:sz w:val="21"/>
          <w:szCs w:val="21"/>
          <w:highlight w:val="none"/>
        </w:rPr>
        <w:t>的巡检工程师技术水平不得降低</w:t>
      </w:r>
      <w:r>
        <w:rPr>
          <w:rFonts w:hint="eastAsia" w:ascii="宋体" w:hAnsi="宋体" w:eastAsia="宋体" w:cs="宋体"/>
          <w:color w:val="auto"/>
          <w:kern w:val="2"/>
          <w:sz w:val="21"/>
          <w:szCs w:val="21"/>
          <w:highlight w:val="none"/>
          <w:lang w:eastAsia="zh-CN"/>
        </w:rPr>
        <w:t>。</w:t>
      </w:r>
    </w:p>
    <w:p>
      <w:pPr>
        <w:pStyle w:val="46"/>
        <w:numPr>
          <w:ilvl w:val="0"/>
          <w:numId w:val="0"/>
        </w:numPr>
        <w:ind w:left="-240" w:leftChars="-100" w:firstLine="478" w:firstLineChars="228"/>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w:t>
      </w:r>
      <w:r>
        <w:rPr>
          <w:rFonts w:hint="eastAsia" w:ascii="宋体" w:hAnsi="宋体" w:eastAsia="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rPr>
        <w:t>）</w:t>
      </w:r>
      <w:r>
        <w:rPr>
          <w:rFonts w:hint="eastAsia" w:ascii="宋体" w:hAnsi="宋体" w:eastAsia="宋体" w:cs="宋体"/>
          <w:color w:val="auto"/>
          <w:sz w:val="21"/>
          <w:szCs w:val="21"/>
          <w:highlight w:val="none"/>
        </w:rPr>
        <w:t>在执行合同之前，中标商须与我方签署保密协议。中标商未经我方同意，不得将所接触到的技术或业务资料、数据用作其他用途或以任何形式泄露，否则中标商将承担由此引起的法律责任和我方损失。</w:t>
      </w:r>
    </w:p>
    <w:p>
      <w:pPr>
        <w:pStyle w:val="46"/>
        <w:numPr>
          <w:ilvl w:val="0"/>
          <w:numId w:val="0"/>
        </w:numPr>
        <w:ind w:left="-240" w:leftChars="-100" w:firstLine="240" w:firstLineChars="114"/>
        <w:rPr>
          <w:rFonts w:hint="default" w:ascii="宋体" w:hAnsi="宋体" w:eastAsia="宋体" w:cs="宋体"/>
          <w:b/>
          <w:bCs/>
          <w:color w:val="auto"/>
          <w:sz w:val="21"/>
          <w:szCs w:val="21"/>
          <w:highlight w:val="none"/>
          <w:lang w:val="en-US" w:eastAsia="zh-CN"/>
        </w:rPr>
      </w:pPr>
      <w:r>
        <w:rPr>
          <w:rFonts w:hint="eastAsia" w:hAnsi="宋体" w:cs="宋体"/>
          <w:b/>
          <w:bCs/>
          <w:color w:val="auto"/>
          <w:sz w:val="21"/>
          <w:szCs w:val="21"/>
          <w:highlight w:val="none"/>
          <w:lang w:val="en-US" w:eastAsia="zh-CN"/>
        </w:rPr>
        <w:t>5</w:t>
      </w:r>
      <w:r>
        <w:rPr>
          <w:rFonts w:hint="eastAsia" w:ascii="宋体" w:hAnsi="宋体" w:cs="宋体"/>
          <w:b/>
          <w:bCs/>
          <w:color w:val="auto"/>
          <w:sz w:val="21"/>
          <w:szCs w:val="21"/>
          <w:highlight w:val="none"/>
          <w:lang w:val="en-US" w:eastAsia="zh-CN"/>
        </w:rPr>
        <w:t>、其它要求：</w:t>
      </w:r>
    </w:p>
    <w:p>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5.1</w:t>
      </w:r>
      <w:r>
        <w:rPr>
          <w:rFonts w:hint="eastAsia" w:ascii="宋体" w:hAnsi="宋体" w:eastAsia="宋体" w:cs="宋体"/>
          <w:color w:val="auto"/>
          <w:sz w:val="21"/>
          <w:szCs w:val="21"/>
          <w:highlight w:val="none"/>
        </w:rPr>
        <w:t>、在项目实施过程中应做好人员、设施的防护、保护工作，凡造成施工人员或其它人员伤亡，设施、设备及装璜损坏的，一律由施工单位承担所有责任，投标文件内应作出相应的承诺。</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5.2、人员其它要求：</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3.2.1、人员工资不得低于宁波市最低标准，招标人有权审核服务团队的薪酬标准。</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5.2.2、投标人应承担其参加本招标活动自身所发生的费用。</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5.2.3、投标人必须做出书面承诺：保证能满足招标人提出的针对本项目的具体要求。</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5.2.4、投标人要制订用工计划和加强劳动用工管理，必须符合劳动法等法律法规的要求，与员工签订正规的劳动合同，负责支付上岗人员的工资、津贴、社会保险及根据国家规定应支付的各项费用。承担体检、培训费用，并负责办理上岗人员的暂住证、计划生育证明等有关证件。</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5.2.5、所有配置人员的劳动关系、工作安排、工伤事故和一切意外伤害都与招标人无涉。</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5.2.6、所有岗位作业人员所需要的用具等均由投标人负责，使用和发放管理由投标人自行管理。</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5.2.7、本次项目不组织集中现场踏勘，投标人可自行对项目现场及周围环境进行踏勘，以便获取须自己负责的有关编制投标文件和签署合同所需的所有资料。投标人应对由此次踏勘现场而造成的死亡、人身伤害、财产损失、损害以及任何其它损失、损害和引起的费用和开支承担责任。</w:t>
      </w:r>
    </w:p>
    <w:p>
      <w:pPr>
        <w:pStyle w:val="2"/>
        <w:spacing w:line="360" w:lineRule="auto"/>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3.2.8、招标人向投标人提供的有关现场的资料和数据，是招标人现有的能使投标人利用的资料。招标人对投标人由此而做出的推论、理解和结论概不负责。</w:t>
      </w:r>
    </w:p>
    <w:p>
      <w:pPr>
        <w:widowControl/>
        <w:spacing w:line="360" w:lineRule="auto"/>
        <w:rPr>
          <w:b/>
          <w:color w:val="auto"/>
          <w:sz w:val="21"/>
          <w:szCs w:val="21"/>
          <w:highlight w:val="none"/>
        </w:rPr>
      </w:pPr>
    </w:p>
    <w:p>
      <w:pPr>
        <w:spacing w:line="360" w:lineRule="auto"/>
        <w:rPr>
          <w:rFonts w:ascii="宋体" w:hAnsi="宋体"/>
          <w:b/>
          <w:color w:val="auto"/>
          <w:sz w:val="21"/>
          <w:szCs w:val="21"/>
          <w:highlight w:val="none"/>
        </w:rPr>
      </w:pPr>
      <w:r>
        <w:rPr>
          <w:rFonts w:hint="eastAsia" w:ascii="宋体" w:hAnsi="宋体"/>
          <w:b/>
          <w:color w:val="auto"/>
          <w:sz w:val="21"/>
          <w:szCs w:val="21"/>
          <w:highlight w:val="none"/>
        </w:rPr>
        <w:t>特别申明：</w:t>
      </w:r>
    </w:p>
    <w:p>
      <w:pPr>
        <w:spacing w:line="360" w:lineRule="auto"/>
        <w:ind w:left="0" w:leftChars="0" w:firstLine="240" w:firstLineChars="114"/>
        <w:rPr>
          <w:rFonts w:ascii="宋体" w:hAnsi="宋体"/>
          <w:b/>
          <w:color w:val="auto"/>
          <w:sz w:val="21"/>
          <w:szCs w:val="21"/>
          <w:highlight w:val="none"/>
        </w:rPr>
      </w:pPr>
      <w:r>
        <w:rPr>
          <w:rFonts w:hint="eastAsia" w:ascii="宋体" w:hAnsi="宋体"/>
          <w:b/>
          <w:color w:val="auto"/>
          <w:sz w:val="21"/>
          <w:szCs w:val="21"/>
          <w:highlight w:val="none"/>
        </w:rPr>
        <w:t>1、</w:t>
      </w:r>
      <w:r>
        <w:rPr>
          <w:rFonts w:hint="eastAsia" w:ascii="宋体" w:hAnsi="宋体" w:cs="宋体"/>
          <w:b/>
          <w:color w:val="auto"/>
          <w:sz w:val="21"/>
          <w:szCs w:val="21"/>
          <w:highlight w:val="none"/>
        </w:rPr>
        <w:t>本技术规格书中</w:t>
      </w:r>
      <w:r>
        <w:rPr>
          <w:rFonts w:hint="eastAsia" w:ascii="宋体" w:hAnsi="宋体" w:cs="宋体"/>
          <w:b/>
          <w:color w:val="auto"/>
          <w:sz w:val="21"/>
          <w:szCs w:val="21"/>
          <w:highlight w:val="none"/>
          <w:lang w:val="en-US" w:eastAsia="zh-CN"/>
        </w:rPr>
        <w:t>招标内容</w:t>
      </w:r>
      <w:r>
        <w:rPr>
          <w:rFonts w:hint="eastAsia" w:ascii="宋体" w:hAnsi="宋体" w:cs="宋体"/>
          <w:b/>
          <w:color w:val="auto"/>
          <w:sz w:val="21"/>
          <w:szCs w:val="21"/>
          <w:highlight w:val="none"/>
        </w:rPr>
        <w:t>仅供参考，具体以现场勘测为准。</w:t>
      </w:r>
    </w:p>
    <w:p>
      <w:pPr>
        <w:spacing w:line="360" w:lineRule="auto"/>
        <w:ind w:left="0" w:leftChars="0" w:firstLine="240" w:firstLineChars="114"/>
        <w:rPr>
          <w:rFonts w:hint="eastAsia" w:ascii="宋体" w:hAnsi="宋体"/>
          <w:b/>
          <w:color w:val="auto"/>
          <w:sz w:val="21"/>
          <w:szCs w:val="21"/>
          <w:highlight w:val="none"/>
        </w:rPr>
      </w:pPr>
      <w:r>
        <w:rPr>
          <w:rFonts w:hint="eastAsia" w:ascii="宋体" w:hAnsi="宋体"/>
          <w:b/>
          <w:color w:val="auto"/>
          <w:sz w:val="21"/>
          <w:szCs w:val="21"/>
          <w:highlight w:val="none"/>
        </w:rPr>
        <w:t>2、请各投标商认真阅读特别申明中的内容，参加投标的视为完全理解其中的各项内容。</w:t>
      </w:r>
    </w:p>
    <w:p>
      <w:pPr>
        <w:pStyle w:val="2"/>
        <w:spacing w:line="360" w:lineRule="auto"/>
        <w:ind w:left="0" w:leftChars="0" w:firstLine="240" w:firstLineChars="114"/>
        <w:rPr>
          <w:rFonts w:hint="eastAsia" w:ascii="宋体" w:hAnsi="宋体"/>
          <w:b/>
          <w:color w:val="auto"/>
          <w:sz w:val="21"/>
          <w:szCs w:val="21"/>
          <w:highlight w:val="none"/>
        </w:rPr>
      </w:pPr>
      <w:r>
        <w:rPr>
          <w:rFonts w:hint="eastAsia" w:ascii="宋体" w:hAnsi="宋体"/>
          <w:b/>
          <w:color w:val="auto"/>
          <w:sz w:val="21"/>
          <w:szCs w:val="21"/>
          <w:highlight w:val="none"/>
          <w:lang w:val="en-US" w:eastAsia="zh-CN"/>
        </w:rPr>
        <w:t>4、投标人应认真阅读“招标</w:t>
      </w:r>
      <w:r>
        <w:rPr>
          <w:rFonts w:hint="eastAsia" w:ascii="宋体" w:hAnsi="宋体"/>
          <w:b/>
          <w:color w:val="auto"/>
          <w:sz w:val="21"/>
          <w:szCs w:val="21"/>
          <w:highlight w:val="none"/>
        </w:rPr>
        <w:t>需求”中的所有内容，一经投标视为完全理解其所有内容与要求。在投标时应对招标文件中各项功能需求的实现做出明确的应答和文字说明，不能只用“符合招标要求”、“满足招标要求”字样来描述，表述不清或照抄招标需求内容的或只用“符合招标要求”、“满足招标要求”字样来描述的，评审时将酌情扣分。</w:t>
      </w:r>
    </w:p>
    <w:p>
      <w:pPr>
        <w:pStyle w:val="2"/>
        <w:rPr>
          <w:color w:val="auto"/>
          <w:highlight w:val="none"/>
        </w:rPr>
        <w:sectPr>
          <w:headerReference r:id="rId10" w:type="default"/>
          <w:footerReference r:id="rId12" w:type="default"/>
          <w:headerReference r:id="rId11" w:type="even"/>
          <w:pgSz w:w="11906" w:h="16838"/>
          <w:pgMar w:top="1440" w:right="1558" w:bottom="1440" w:left="1800" w:header="851" w:footer="992" w:gutter="0"/>
          <w:pgBorders w:offsetFrom="page">
            <w:top w:val="single" w:color="000000" w:sz="12" w:space="24"/>
            <w:left w:val="single" w:color="000000" w:sz="12" w:space="24"/>
            <w:bottom w:val="single" w:color="000000" w:sz="12" w:space="24"/>
            <w:right w:val="single" w:color="000000" w:sz="12" w:space="24"/>
          </w:pgBorders>
          <w:cols w:space="720" w:num="1"/>
          <w:docGrid w:type="lines" w:linePitch="312" w:charSpace="0"/>
        </w:sectPr>
      </w:pPr>
    </w:p>
    <w:p>
      <w:pPr>
        <w:pStyle w:val="4"/>
        <w:jc w:val="center"/>
        <w:rPr>
          <w:color w:val="auto"/>
          <w:highlight w:val="none"/>
        </w:rPr>
      </w:pPr>
      <w:bookmarkStart w:id="92" w:name="_Toc19944"/>
      <w:r>
        <w:rPr>
          <w:rFonts w:hint="eastAsia"/>
          <w:color w:val="auto"/>
          <w:highlight w:val="none"/>
        </w:rPr>
        <w:t>第五部分  评分标准</w:t>
      </w:r>
      <w:bookmarkEnd w:id="92"/>
    </w:p>
    <w:p>
      <w:pPr>
        <w:wordWrap w:val="0"/>
        <w:spacing w:line="360" w:lineRule="auto"/>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一、评标办法</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1.1本项目评标采用综合评分法。</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1.2综合评分法：采用百分制，总分100分。供应商的综合得分为商务和技术得分与报价得分之和。按综合得分由高到低的排序，推荐中标候选人。若供应商的综合得分相等，则投标报价低者列前；若投标报价也相同时，采取随机抽签的方式确定排序。</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1.3本项目需要落实的政府采购政策：《关于促进残疾人就业政府采购政策的通知》（财库[2017]141号）、《政府采购促进中小企业发展管理办法》（财库〔2020〕46号）、《关于政府采购支持监狱企业发展有关问题的通知》（财库[2014]68号）、《关于环境标志产品政府采购实施的意见》（财库〔2006〕90号、《节能产品政府采购实施意见》的通知（财库〔2004〕185号）。</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1.4本次采购为专门面向中小企业，采购标的对应的中小企业划分标准所属行业为：</w:t>
      </w:r>
      <w:r>
        <w:rPr>
          <w:rFonts w:hint="eastAsia" w:ascii="宋体" w:hAnsi="宋体" w:cs="宋体"/>
          <w:b/>
          <w:bCs/>
          <w:color w:val="auto"/>
          <w:sz w:val="21"/>
          <w:szCs w:val="21"/>
          <w:highlight w:val="none"/>
          <w:u w:val="single"/>
          <w:lang w:val="en-US" w:eastAsia="zh-CN"/>
        </w:rPr>
        <w:t>其他未列明行业</w:t>
      </w:r>
      <w:r>
        <w:rPr>
          <w:rFonts w:hint="eastAsia" w:ascii="宋体" w:hAnsi="宋体" w:cs="宋体"/>
          <w:color w:val="auto"/>
          <w:sz w:val="21"/>
          <w:szCs w:val="21"/>
          <w:highlight w:val="none"/>
        </w:rPr>
        <w:t>。</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1.</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评标委员会成员对需要共同认定的事项存在争议的，应当按照少数服从多数的原则作出结论。</w:t>
      </w:r>
    </w:p>
    <w:p>
      <w:pPr>
        <w:wordWrap w:val="0"/>
        <w:spacing w:line="360" w:lineRule="auto"/>
        <w:jc w:val="left"/>
        <w:rPr>
          <w:rFonts w:hint="eastAsia" w:ascii="宋体" w:hAnsi="宋体" w:cs="宋体"/>
          <w:b/>
          <w:bCs/>
          <w:color w:val="auto"/>
          <w:sz w:val="21"/>
          <w:szCs w:val="21"/>
          <w:highlight w:val="none"/>
        </w:rPr>
      </w:pPr>
      <w:r>
        <w:rPr>
          <w:rFonts w:hint="eastAsia" w:ascii="宋体" w:hAnsi="宋体" w:cs="宋体"/>
          <w:color w:val="auto"/>
          <w:sz w:val="21"/>
          <w:szCs w:val="21"/>
          <w:highlight w:val="none"/>
        </w:rPr>
        <w:t>二、</w:t>
      </w:r>
      <w:r>
        <w:rPr>
          <w:rFonts w:hint="eastAsia" w:ascii="宋体" w:hAnsi="宋体" w:cs="宋体"/>
          <w:b/>
          <w:bCs/>
          <w:color w:val="auto"/>
          <w:sz w:val="21"/>
          <w:szCs w:val="21"/>
          <w:highlight w:val="none"/>
        </w:rPr>
        <w:t>评标程序</w:t>
      </w:r>
    </w:p>
    <w:p>
      <w:pPr>
        <w:wordWrap w:val="0"/>
        <w:spacing w:line="360" w:lineRule="auto"/>
        <w:ind w:firstLine="420" w:firstLineChars="200"/>
        <w:rPr>
          <w:rFonts w:hint="eastAsia" w:ascii="宋体" w:hAnsi="宋体" w:cs="宋体"/>
          <w:b/>
          <w:color w:val="auto"/>
          <w:sz w:val="21"/>
          <w:szCs w:val="21"/>
          <w:highlight w:val="none"/>
        </w:rPr>
      </w:pPr>
      <w:r>
        <w:rPr>
          <w:rFonts w:hint="eastAsia" w:ascii="宋体" w:hAnsi="宋体" w:cs="宋体"/>
          <w:color w:val="auto"/>
          <w:sz w:val="21"/>
          <w:szCs w:val="21"/>
          <w:highlight w:val="none"/>
        </w:rPr>
        <w:t>2.1初步审查：包含资格性审查和符合性审查。资格性审查是指采购人或代理机构根据“附表1资格性审查表”的要求对投标文件逐一进行评审。符合性审查是指评标委员会根据“附表2符合性审查表”的要求对投标文件逐一进行评审。</w:t>
      </w:r>
      <w:r>
        <w:rPr>
          <w:rFonts w:hint="eastAsia" w:ascii="宋体" w:hAnsi="宋体" w:cs="宋体"/>
          <w:b/>
          <w:color w:val="auto"/>
          <w:sz w:val="21"/>
          <w:szCs w:val="21"/>
          <w:highlight w:val="none"/>
        </w:rPr>
        <w:t>资格性审查和符合性审查中，有任意一项审查结论不合格的，作无效标处理。</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2.2</w:t>
      </w:r>
      <w:r>
        <w:rPr>
          <w:rFonts w:hint="eastAsia" w:ascii="宋体" w:hAnsi="宋体" w:cs="宋体"/>
          <w:color w:val="auto"/>
          <w:sz w:val="21"/>
          <w:szCs w:val="21"/>
          <w:highlight w:val="none"/>
          <w:lang w:val="zh-CN"/>
        </w:rPr>
        <w:t>比较与评价：</w:t>
      </w:r>
      <w:r>
        <w:rPr>
          <w:rFonts w:hint="eastAsia" w:ascii="宋体" w:hAnsi="宋体" w:cs="宋体"/>
          <w:color w:val="auto"/>
          <w:sz w:val="21"/>
          <w:szCs w:val="21"/>
          <w:highlight w:val="none"/>
        </w:rPr>
        <w:t>评标委员会根据“附表3商务和技术评分表”的要求，</w:t>
      </w:r>
      <w:r>
        <w:rPr>
          <w:rFonts w:hint="eastAsia" w:ascii="宋体" w:hAnsi="宋体" w:cs="宋体"/>
          <w:color w:val="auto"/>
          <w:sz w:val="21"/>
          <w:szCs w:val="21"/>
          <w:highlight w:val="none"/>
          <w:lang w:val="zh-CN"/>
        </w:rPr>
        <w:t>对照投标文件的应答进行比较，判定其偏差性质和程度，</w:t>
      </w:r>
      <w:r>
        <w:rPr>
          <w:rFonts w:hint="eastAsia" w:ascii="宋体" w:hAnsi="宋体" w:cs="宋体"/>
          <w:color w:val="auto"/>
          <w:sz w:val="21"/>
          <w:szCs w:val="21"/>
          <w:highlight w:val="none"/>
        </w:rPr>
        <w:t>由评标委员会成员在分值范围内自行评分。供应商商务和技术得分为各评标委员会成员有效评分的算术平均值（小数点后保留二位数）。</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2.3在评标过程中，发现的价格计算错误按下述原则修正：</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（1）投标文件中开标一览表内容与政采云系统“开标一览表”中录入的内容不一致的，以投标文件中开标一览表为准；</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（2）投标文件中开标一览表内容与投标文件中分项报价表内容不一致的，以开标一览表为准；</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（3）大写金额和小写金额不一致的，以大写金额为准；</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（4）单价金额小数点或者百分比有明显错位的，以开标一览表的总价为准，并修改单价；</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（5）总价金额与按单价汇总金额不一致的，以单价金额计算结果为准；</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同时出现两种以上不一致的，按照前款规定的顺序修正。修正后的报价经投标人确认后具有约束力，若投标人不确认的，则其投标无效。</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2.2.3提供相同品牌产品且通过资格性审查、符合性审查的不同供应商参加同一标项投标的，按一家供应商计算，评审后综合得分最高的同品牌供应商获得中标候选人推荐资格；综合得分相同的，由评标委员会采取随机抽取方式确定，其他同品牌供应商不作为中标候选人。</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非单一产品采购项目，多家供应商提供的核心产品品牌相同的，按上述规定处理。</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2.2.4评标委员会根据“附表4价格评分表”的规定，计算供应商报价得分（小数点后保留二位数）。</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2.2.5综合评估：供应商的综合得分为商务和技术得分与报价得分之和。</w:t>
      </w:r>
    </w:p>
    <w:p>
      <w:pPr>
        <w:wordWrap w:val="0"/>
        <w:spacing w:line="360" w:lineRule="auto"/>
        <w:ind w:firstLine="422" w:firstLineChars="200"/>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2.2.6推荐中标候选人：</w:t>
      </w:r>
      <w:r>
        <w:rPr>
          <w:rFonts w:hint="eastAsia" w:ascii="宋体" w:hAnsi="宋体" w:cs="宋体"/>
          <w:b/>
          <w:color w:val="auto"/>
          <w:sz w:val="21"/>
          <w:szCs w:val="21"/>
          <w:highlight w:val="none"/>
          <w:lang w:val="en-US" w:eastAsia="zh-CN"/>
        </w:rPr>
        <w:t>每标项</w:t>
      </w:r>
      <w:r>
        <w:rPr>
          <w:rFonts w:hint="eastAsia" w:ascii="宋体" w:hAnsi="宋体" w:cs="宋体"/>
          <w:b/>
          <w:color w:val="auto"/>
          <w:sz w:val="21"/>
          <w:szCs w:val="21"/>
          <w:highlight w:val="none"/>
        </w:rPr>
        <w:t>根据供应商综合得分由高到低进行排序，推荐综合得分排序第一名的供应商为中标候选人。若供应商的综合得分相等，则投标报价低者列前。若投标报价也相同时，则采取随机抽签的方式确定排序。</w:t>
      </w:r>
    </w:p>
    <w:p>
      <w:pPr>
        <w:wordWrap w:val="0"/>
        <w:spacing w:line="360" w:lineRule="auto"/>
        <w:ind w:firstLine="422" w:firstLineChars="200"/>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2.3确定中标供应商</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评标委员会按综合得分由高到低的排序，向采购人推荐排序第一名、第二名的供应商为中标候选人。代理机构应当自评审结束之日起2个工作日内将评审报告送交采购人。采购人应当自收到评审报告之日起5个工作日内在评审报告推荐的中标候选人中按顺序确定1名中标供应商。中标供应商因不可抗力或者自身原因不能履行政府采购合同的，采购人可以按照</w:t>
      </w:r>
      <w:r>
        <w:rPr>
          <w:rFonts w:hint="eastAsia" w:ascii="宋体" w:hAnsi="宋体" w:cs="宋体"/>
          <w:bCs/>
          <w:color w:val="auto"/>
          <w:kern w:val="0"/>
          <w:sz w:val="21"/>
          <w:szCs w:val="21"/>
          <w:highlight w:val="none"/>
        </w:rPr>
        <w:t>评审结果排名先后替补，确定</w:t>
      </w:r>
      <w:r>
        <w:rPr>
          <w:rFonts w:hint="eastAsia" w:ascii="宋体" w:hAnsi="宋体" w:cs="宋体"/>
          <w:color w:val="auto"/>
          <w:sz w:val="21"/>
          <w:szCs w:val="21"/>
          <w:highlight w:val="none"/>
        </w:rPr>
        <w:t>下一个供应商为中标供应商或重新招标。</w:t>
      </w:r>
    </w:p>
    <w:p>
      <w:pPr>
        <w:wordWrap w:val="0"/>
        <w:spacing w:line="360" w:lineRule="auto"/>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三、投标的澄清</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3.1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3.2政采云具体操作如下：</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在评审过程中，如评标委员会对投标文件有疑问，由评标委员会组长将问题汇总后发函，或由采购代理机构代替发起。供应商在截止时间前，予以回复。此回复将作为投标文件内容的一部分，具有相应的法律效力。</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路径：用户中心—项目采购—询标澄清</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（1）政采云平台通过待办事项和短信提醒供应商在截止时间前完成澄清。</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（2）供应商在“询标澄清-待办理”标签页下选择状态为“待澄清”的项目，点击操作栏【澄清】。</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（3）查看函内容，在澄清截止时间前上传澄清文件并对澄清文件进行签章。（注：澄清文件必须以PDF格式上传，文件大小：50M）</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（4）签章完成，文件名称处显示“已签章”，供应商可“撤回签章”修改澄清函和“查看文件”。</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（6）完成状态：供应商澄清文件提交成功后，在“询标澄清-全部”标签页下显示状态为“已澄清”。</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3.3开标现场，供应商安排法定代表人或授权代表到场的，则由评标委员会组长将问题汇总后向供应商发出书面“采购响应文件问题澄清通知”，供应商应对需要澄清的问题作书面回答，该书面澄清应当由供应商的法定代表人或授权代表签字或者加盖供应商公章。书面澄清将作为投标文件内容的一部分，具有相应的法律效力。</w:t>
      </w:r>
    </w:p>
    <w:p>
      <w:pPr>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3.4供应商未在截止时间前完成澄清，将被视作自动放弃。</w:t>
      </w:r>
    </w:p>
    <w:p>
      <w:pPr>
        <w:wordWrap w:val="0"/>
        <w:spacing w:line="360" w:lineRule="auto"/>
        <w:jc w:val="left"/>
        <w:rPr>
          <w:rFonts w:hint="eastAsia" w:ascii="宋体" w:hAnsi="宋体" w:cs="宋体"/>
          <w:color w:val="auto"/>
          <w:sz w:val="21"/>
          <w:szCs w:val="21"/>
          <w:highlight w:val="none"/>
        </w:rPr>
      </w:pPr>
      <w:r>
        <w:rPr>
          <w:rFonts w:hint="eastAsia" w:ascii="宋体" w:hAnsi="宋体" w:cs="宋体"/>
          <w:b/>
          <w:color w:val="auto"/>
          <w:sz w:val="21"/>
          <w:szCs w:val="21"/>
          <w:highlight w:val="none"/>
        </w:rPr>
        <w:t>四、特别声明：价格是评标的重要因素之一，但最低价不是中标的唯一依据。</w:t>
      </w:r>
    </w:p>
    <w:p>
      <w:pPr>
        <w:wordWrap w:val="0"/>
        <w:spacing w:line="360" w:lineRule="auto"/>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五、重新招标</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有下列情形之一的，采购人将重新招标：</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5.1投标截止时间止，供应商少于3个的；</w:t>
      </w:r>
    </w:p>
    <w:p>
      <w:pPr>
        <w:wordWrap w:val="0"/>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5.2评标委员会评标过程中，有效供应商少于3个的；</w:t>
      </w:r>
    </w:p>
    <w:p>
      <w:pPr>
        <w:widowControl/>
        <w:wordWrap w:val="0"/>
        <w:spacing w:line="360" w:lineRule="auto"/>
        <w:ind w:firstLine="420" w:firstLineChars="200"/>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5.3评标委员会发现采购文件存在歧义、重大缺陷导致评标工作无法进行，或者采购文件内容违反国家有关强制性规定的，应当停止评标工作，与采购人或者代理机构沟通并作书面记录。采购人或者代理机构确认后，应当修改采购文件，重新组织招标活动。</w:t>
      </w:r>
    </w:p>
    <w:p>
      <w:pPr>
        <w:spacing w:line="360" w:lineRule="auto"/>
        <w:ind w:firstLine="420" w:firstLineChars="200"/>
        <w:rPr>
          <w:color w:val="auto"/>
          <w:sz w:val="21"/>
          <w:szCs w:val="21"/>
          <w:highlight w:val="none"/>
        </w:rPr>
      </w:pPr>
    </w:p>
    <w:p>
      <w:pPr>
        <w:spacing w:line="400" w:lineRule="exact"/>
        <w:rPr>
          <w:rFonts w:ascii="宋体" w:hAnsi="宋体"/>
          <w:color w:val="auto"/>
          <w:sz w:val="21"/>
          <w:szCs w:val="21"/>
          <w:highlight w:val="none"/>
        </w:rPr>
      </w:pPr>
      <w:r>
        <w:rPr>
          <w:color w:val="auto"/>
          <w:sz w:val="21"/>
          <w:szCs w:val="21"/>
          <w:highlight w:val="none"/>
        </w:rPr>
        <w:br w:type="page"/>
      </w:r>
      <w:r>
        <w:rPr>
          <w:rFonts w:hint="eastAsia" w:ascii="宋体" w:hAnsi="宋体"/>
          <w:color w:val="auto"/>
          <w:sz w:val="21"/>
          <w:szCs w:val="21"/>
          <w:highlight w:val="none"/>
        </w:rPr>
        <w:t>附表</w:t>
      </w:r>
      <w:r>
        <w:rPr>
          <w:rFonts w:ascii="宋体" w:hAnsi="宋体"/>
          <w:color w:val="auto"/>
          <w:sz w:val="21"/>
          <w:szCs w:val="21"/>
          <w:highlight w:val="none"/>
        </w:rPr>
        <w:t>1</w:t>
      </w:r>
      <w:r>
        <w:rPr>
          <w:rFonts w:hint="eastAsia" w:ascii="宋体" w:hAnsi="宋体"/>
          <w:color w:val="auto"/>
          <w:sz w:val="21"/>
          <w:szCs w:val="21"/>
          <w:highlight w:val="none"/>
        </w:rPr>
        <w:t xml:space="preserve">：                           </w:t>
      </w:r>
    </w:p>
    <w:p>
      <w:pPr>
        <w:spacing w:line="340" w:lineRule="exact"/>
        <w:jc w:val="center"/>
        <w:rPr>
          <w:rFonts w:hint="eastAsia" w:ascii="宋体" w:hAnsi="宋体"/>
          <w:color w:val="auto"/>
          <w:sz w:val="21"/>
          <w:szCs w:val="21"/>
          <w:highlight w:val="none"/>
        </w:rPr>
      </w:pPr>
      <w:r>
        <w:rPr>
          <w:rFonts w:hint="eastAsia" w:ascii="宋体" w:hAnsi="宋体"/>
          <w:b/>
          <w:color w:val="auto"/>
          <w:sz w:val="21"/>
          <w:szCs w:val="21"/>
          <w:highlight w:val="none"/>
        </w:rPr>
        <w:t>资格性审查表</w:t>
      </w:r>
    </w:p>
    <w:tbl>
      <w:tblPr>
        <w:tblStyle w:val="39"/>
        <w:tblW w:w="1008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041"/>
        <w:gridCol w:w="532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wordWrap w:val="0"/>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4041" w:type="dxa"/>
            <w:vAlign w:val="center"/>
          </w:tcPr>
          <w:p>
            <w:pPr>
              <w:wordWrap w:val="0"/>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要求说明</w:t>
            </w:r>
          </w:p>
        </w:tc>
        <w:tc>
          <w:tcPr>
            <w:tcW w:w="5327" w:type="dxa"/>
            <w:vAlign w:val="center"/>
          </w:tcPr>
          <w:p>
            <w:pPr>
              <w:wordWrap w:val="0"/>
              <w:spacing w:line="360" w:lineRule="auto"/>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审查要求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wordWrap w:val="0"/>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w:t>
            </w:r>
          </w:p>
        </w:tc>
        <w:tc>
          <w:tcPr>
            <w:tcW w:w="4041" w:type="dxa"/>
            <w:vAlign w:val="center"/>
          </w:tcPr>
          <w:p>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满足《中华人民共和国政府采购法》第二十二条规定；</w:t>
            </w:r>
          </w:p>
        </w:tc>
        <w:tc>
          <w:tcPr>
            <w:tcW w:w="5327" w:type="dxa"/>
            <w:vAlign w:val="center"/>
          </w:tcPr>
          <w:p>
            <w:pPr>
              <w:spacing w:line="360" w:lineRule="auto"/>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1、关于资格的承诺函；</w:t>
            </w:r>
          </w:p>
          <w:p>
            <w:pPr>
              <w:spacing w:line="360" w:lineRule="auto"/>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2、营业执照副本（或事业法人登记证副本或其他登记证明材料）扫描件加盖投标人公章（投标人如果有名称变更的，应提供由行政主管部门出具的变更证明文件扫描件加盖投标人公章）；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wordWrap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4041" w:type="dxa"/>
            <w:vAlign w:val="center"/>
          </w:tcPr>
          <w:p>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本项目属于专门面向中小企业采购的项目，投标人应为符合《政府采购促进中小企业发展管理办法》（财库﹝2020﹞46 号）规定的中小企业（其中，小微企业包括视同为小型、微型企业的监狱企业、残疾人福利性单位。）</w:t>
            </w:r>
          </w:p>
        </w:tc>
        <w:tc>
          <w:tcPr>
            <w:tcW w:w="5327" w:type="dxa"/>
            <w:vAlign w:val="center"/>
          </w:tcPr>
          <w:p>
            <w:pPr>
              <w:wordWrap w:val="0"/>
              <w:spacing w:line="360" w:lineRule="auto"/>
              <w:jc w:val="left"/>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、中小企业声明函；</w:t>
            </w:r>
          </w:p>
          <w:p>
            <w:pPr>
              <w:wordWrap w:val="0"/>
              <w:spacing w:line="360" w:lineRule="auto"/>
              <w:jc w:val="left"/>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、残疾人福利性单位声明函（如有需提供）；</w:t>
            </w:r>
          </w:p>
          <w:p>
            <w:pPr>
              <w:spacing w:line="360" w:lineRule="auto"/>
              <w:jc w:val="left"/>
              <w:rPr>
                <w:rFonts w:hint="eastAsia" w:ascii="宋体" w:hAnsi="宋体" w:cs="宋体"/>
                <w:color w:val="auto"/>
                <w:sz w:val="21"/>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wordWrap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4041" w:type="dxa"/>
            <w:vAlign w:val="center"/>
          </w:tcPr>
          <w:p>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未被“信用中国”（www.creditchina.gov.cn)中国政府采购网（www.ccgp.gov.cn）列入失信被执行人、</w:t>
            </w:r>
            <w:r>
              <w:rPr>
                <w:rFonts w:hint="eastAsia" w:ascii="宋体" w:hAnsi="宋体" w:cs="宋体"/>
                <w:color w:val="auto"/>
                <w:sz w:val="21"/>
                <w:szCs w:val="21"/>
                <w:highlight w:val="none"/>
                <w:lang w:eastAsia="zh-CN"/>
              </w:rPr>
              <w:t>重大税收违法案件当事人名单(税收违法黑名单）</w:t>
            </w:r>
            <w:r>
              <w:rPr>
                <w:rFonts w:hint="eastAsia" w:ascii="宋体" w:hAnsi="宋体" w:cs="宋体"/>
                <w:color w:val="auto"/>
                <w:sz w:val="21"/>
                <w:szCs w:val="21"/>
                <w:highlight w:val="none"/>
              </w:rPr>
              <w:t>、政府采购严重违法失信行为记录名单。</w:t>
            </w:r>
          </w:p>
        </w:tc>
        <w:tc>
          <w:tcPr>
            <w:tcW w:w="5327" w:type="dxa"/>
            <w:vAlign w:val="center"/>
          </w:tcPr>
          <w:p>
            <w:pPr>
              <w:spacing w:line="360" w:lineRule="auto"/>
              <w:jc w:val="left"/>
              <w:rPr>
                <w:rFonts w:hint="eastAsia" w:ascii="宋体" w:hAnsi="宋体" w:cs="宋体"/>
                <w:color w:val="auto"/>
                <w:sz w:val="21"/>
                <w:szCs w:val="21"/>
                <w:highlight w:val="none"/>
              </w:rPr>
            </w:pPr>
            <w:r>
              <w:rPr>
                <w:rFonts w:hint="eastAsia" w:ascii="宋体" w:hAnsi="宋体" w:cs="宋体"/>
                <w:color w:val="auto"/>
                <w:sz w:val="21"/>
                <w:szCs w:val="21"/>
                <w:highlight w:val="none"/>
              </w:rPr>
              <w:t>未被“信用中国”（www.creditchina.gov.cn)、中国政府采购网（www.ccgp.gov.cn）列入失信被执行人、</w:t>
            </w:r>
            <w:r>
              <w:rPr>
                <w:rFonts w:hint="eastAsia" w:ascii="宋体" w:hAnsi="宋体" w:cs="宋体"/>
                <w:color w:val="auto"/>
                <w:sz w:val="21"/>
                <w:szCs w:val="21"/>
                <w:highlight w:val="none"/>
                <w:lang w:eastAsia="zh-CN"/>
              </w:rPr>
              <w:t>重大税收违法案件当事人名单(税收违法黑名单）</w:t>
            </w:r>
            <w:r>
              <w:rPr>
                <w:rFonts w:hint="eastAsia" w:ascii="宋体" w:hAnsi="宋体" w:cs="宋体"/>
                <w:color w:val="auto"/>
                <w:sz w:val="21"/>
                <w:szCs w:val="21"/>
                <w:highlight w:val="none"/>
              </w:rPr>
              <w:t>、政府采购严重违法失信行为记录名单。</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wordWrap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4041" w:type="dxa"/>
            <w:vAlign w:val="center"/>
          </w:tcPr>
          <w:p>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是否允许联合体投标</w:t>
            </w:r>
          </w:p>
        </w:tc>
        <w:tc>
          <w:tcPr>
            <w:tcW w:w="5327" w:type="dxa"/>
            <w:vAlign w:val="center"/>
          </w:tcPr>
          <w:p>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本项目不允许联合体。</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61" w:type="dxa"/>
            <w:gridSpan w:val="2"/>
            <w:vAlign w:val="center"/>
          </w:tcPr>
          <w:p>
            <w:pPr>
              <w:wordWrap w:val="0"/>
              <w:spacing w:line="360" w:lineRule="auto"/>
              <w:jc w:val="center"/>
              <w:rPr>
                <w:rFonts w:hint="eastAsia" w:ascii="宋体" w:hAnsi="宋体" w:cs="宋体"/>
                <w:color w:val="auto"/>
                <w:sz w:val="21"/>
                <w:szCs w:val="21"/>
                <w:highlight w:val="none"/>
              </w:rPr>
            </w:pPr>
            <w:r>
              <w:rPr>
                <w:rFonts w:hint="eastAsia" w:ascii="宋体" w:hAnsi="宋体" w:cs="宋体"/>
                <w:b/>
                <w:color w:val="auto"/>
                <w:sz w:val="21"/>
                <w:szCs w:val="21"/>
                <w:highlight w:val="none"/>
              </w:rPr>
              <w:t>资格性审查结论</w:t>
            </w:r>
          </w:p>
        </w:tc>
        <w:tc>
          <w:tcPr>
            <w:tcW w:w="5327" w:type="dxa"/>
            <w:vAlign w:val="center"/>
          </w:tcPr>
          <w:p>
            <w:pPr>
              <w:wordWrap w:val="0"/>
              <w:spacing w:line="360" w:lineRule="auto"/>
              <w:jc w:val="center"/>
              <w:rPr>
                <w:rFonts w:hint="eastAsia" w:ascii="宋体" w:hAnsi="宋体" w:cs="宋体"/>
                <w:color w:val="auto"/>
                <w:sz w:val="21"/>
                <w:szCs w:val="21"/>
                <w:highlight w:val="none"/>
              </w:rPr>
            </w:pPr>
          </w:p>
        </w:tc>
      </w:tr>
    </w:tbl>
    <w:p>
      <w:pPr>
        <w:spacing w:line="340" w:lineRule="exact"/>
        <w:rPr>
          <w:rFonts w:ascii="宋体" w:hAnsi="宋体"/>
          <w:color w:val="auto"/>
          <w:sz w:val="21"/>
          <w:szCs w:val="21"/>
          <w:highlight w:val="none"/>
        </w:rPr>
      </w:pPr>
      <w:r>
        <w:rPr>
          <w:rFonts w:hint="eastAsia" w:ascii="宋体" w:hAnsi="宋体"/>
          <w:color w:val="auto"/>
          <w:sz w:val="21"/>
          <w:szCs w:val="21"/>
          <w:highlight w:val="none"/>
        </w:rPr>
        <w:t>注：</w:t>
      </w:r>
      <w:r>
        <w:rPr>
          <w:rFonts w:ascii="宋体" w:hAnsi="宋体"/>
          <w:color w:val="auto"/>
          <w:sz w:val="21"/>
          <w:szCs w:val="21"/>
          <w:highlight w:val="none"/>
        </w:rPr>
        <w:t>1</w:t>
      </w:r>
      <w:r>
        <w:rPr>
          <w:rFonts w:hint="eastAsia" w:ascii="宋体" w:hAnsi="宋体"/>
          <w:color w:val="auto"/>
          <w:sz w:val="21"/>
          <w:szCs w:val="21"/>
          <w:highlight w:val="none"/>
        </w:rPr>
        <w:t>、上述资格证明文件未按招标文件要求附入投标文件中的，资格性审查不合格。</w:t>
      </w:r>
    </w:p>
    <w:p>
      <w:pPr>
        <w:spacing w:line="340" w:lineRule="exact"/>
        <w:ind w:firstLine="514" w:firstLineChars="245"/>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、上述审查项目中，任意一项不符合的，资格性审查不合格。</w:t>
      </w:r>
    </w:p>
    <w:p>
      <w:pPr>
        <w:spacing w:line="340" w:lineRule="exact"/>
        <w:ind w:firstLine="514" w:firstLineChars="245"/>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、依法免税或不需要缴纳社保的供应商，应提供相应文件证明其依法免税或不需要缴纳社保。</w:t>
      </w:r>
    </w:p>
    <w:p>
      <w:pPr>
        <w:spacing w:line="340" w:lineRule="exact"/>
        <w:ind w:firstLine="514" w:firstLineChars="245"/>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采购人、代理机构将于开标当天通过“信用中国”网站查询供应商失信被执行人、重大税收违法案件当事人信用记录，通过中国政府采购网查询供应商政府采购严重违法失信行为信用记录。若供应商被列入失信被执行人、</w:t>
      </w:r>
      <w:r>
        <w:rPr>
          <w:rFonts w:hint="eastAsia" w:ascii="宋体" w:hAnsi="宋体"/>
          <w:color w:val="auto"/>
          <w:sz w:val="21"/>
          <w:szCs w:val="21"/>
          <w:highlight w:val="none"/>
          <w:lang w:eastAsia="zh-CN"/>
        </w:rPr>
        <w:t>重大税收违法案件当事人名单(税收违法黑名单）</w:t>
      </w:r>
      <w:r>
        <w:rPr>
          <w:rFonts w:hint="eastAsia" w:ascii="宋体" w:hAnsi="宋体"/>
          <w:color w:val="auto"/>
          <w:sz w:val="21"/>
          <w:szCs w:val="21"/>
          <w:highlight w:val="none"/>
        </w:rPr>
        <w:t>、政府采购严重违法失信行为记录名单，其资格审查为不合格，其投标将被认定为无效投标。</w:t>
      </w:r>
    </w:p>
    <w:p>
      <w:pPr>
        <w:spacing w:line="340" w:lineRule="exact"/>
        <w:ind w:firstLine="514" w:firstLineChars="245"/>
        <w:rPr>
          <w:rFonts w:ascii="宋体" w:hAnsi="宋体"/>
          <w:color w:val="auto"/>
          <w:sz w:val="21"/>
          <w:szCs w:val="21"/>
          <w:highlight w:val="none"/>
        </w:rPr>
      </w:pPr>
      <w:r>
        <w:rPr>
          <w:rFonts w:hint="eastAsia" w:ascii="宋体" w:hAnsi="宋体"/>
          <w:color w:val="auto"/>
          <w:sz w:val="21"/>
          <w:szCs w:val="21"/>
          <w:highlight w:val="none"/>
        </w:rPr>
        <w:t>若在开标当天因不可抗力事件导致无法查询且一时无法恢复查询的，可在中标公示期间对中标候选人进行事后查询。中标候选人被列入失信被执行人、</w:t>
      </w:r>
      <w:r>
        <w:rPr>
          <w:rFonts w:hint="eastAsia" w:ascii="宋体" w:hAnsi="宋体"/>
          <w:color w:val="auto"/>
          <w:sz w:val="21"/>
          <w:szCs w:val="21"/>
          <w:highlight w:val="none"/>
          <w:lang w:eastAsia="zh-CN"/>
        </w:rPr>
        <w:t>重大税收违法案件当事人名单(税收违法黑名单）</w:t>
      </w:r>
      <w:r>
        <w:rPr>
          <w:rFonts w:hint="eastAsia" w:ascii="宋体" w:hAnsi="宋体"/>
          <w:color w:val="auto"/>
          <w:sz w:val="21"/>
          <w:szCs w:val="21"/>
          <w:highlight w:val="none"/>
        </w:rPr>
        <w:t>、政府采购严重违法失信行为记录名单的，采购人将依法取消其中标资格。</w:t>
      </w:r>
    </w:p>
    <w:p>
      <w:pPr>
        <w:spacing w:line="400" w:lineRule="exact"/>
        <w:rPr>
          <w:rFonts w:ascii="宋体" w:hAnsi="宋体"/>
          <w:color w:val="auto"/>
          <w:sz w:val="21"/>
          <w:szCs w:val="21"/>
          <w:highlight w:val="none"/>
        </w:rPr>
      </w:pPr>
      <w:r>
        <w:rPr>
          <w:rFonts w:ascii="宋体" w:hAnsi="宋体"/>
          <w:color w:val="auto"/>
          <w:sz w:val="21"/>
          <w:szCs w:val="21"/>
          <w:highlight w:val="none"/>
        </w:rPr>
        <w:br w:type="page"/>
      </w:r>
      <w:r>
        <w:rPr>
          <w:rFonts w:hint="eastAsia" w:ascii="宋体" w:hAnsi="宋体"/>
          <w:color w:val="auto"/>
          <w:sz w:val="21"/>
          <w:szCs w:val="21"/>
          <w:highlight w:val="none"/>
        </w:rPr>
        <w:t>附表</w:t>
      </w:r>
      <w:r>
        <w:rPr>
          <w:rFonts w:ascii="宋体" w:hAnsi="宋体"/>
          <w:color w:val="auto"/>
          <w:sz w:val="21"/>
          <w:szCs w:val="21"/>
          <w:highlight w:val="none"/>
        </w:rPr>
        <w:t>2</w:t>
      </w:r>
      <w:r>
        <w:rPr>
          <w:rFonts w:hint="eastAsia" w:ascii="宋体" w:hAnsi="宋体"/>
          <w:color w:val="auto"/>
          <w:sz w:val="21"/>
          <w:szCs w:val="21"/>
          <w:highlight w:val="none"/>
        </w:rPr>
        <w:t>：</w:t>
      </w:r>
    </w:p>
    <w:p>
      <w:pPr>
        <w:widowControl/>
        <w:snapToGrid w:val="0"/>
        <w:spacing w:line="560" w:lineRule="exact"/>
        <w:jc w:val="center"/>
        <w:rPr>
          <w:rFonts w:ascii="宋体" w:hAnsi="宋体"/>
          <w:b/>
          <w:color w:val="auto"/>
          <w:sz w:val="21"/>
          <w:szCs w:val="21"/>
          <w:highlight w:val="none"/>
        </w:rPr>
      </w:pPr>
      <w:r>
        <w:rPr>
          <w:rFonts w:hint="eastAsia" w:ascii="宋体" w:hAnsi="宋体"/>
          <w:b/>
          <w:color w:val="auto"/>
          <w:sz w:val="21"/>
          <w:szCs w:val="21"/>
          <w:highlight w:val="none"/>
        </w:rPr>
        <w:t>符合性审查表</w:t>
      </w:r>
    </w:p>
    <w:tbl>
      <w:tblPr>
        <w:tblStyle w:val="39"/>
        <w:tblW w:w="9415"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272"/>
        <w:gridCol w:w="4423"/>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trHeight w:val="454" w:hRule="atLeast"/>
          <w:jc w:val="center"/>
        </w:trPr>
        <w:tc>
          <w:tcPr>
            <w:tcW w:w="720" w:type="dxa"/>
            <w:vAlign w:val="top"/>
          </w:tcPr>
          <w:p>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序号</w:t>
            </w:r>
          </w:p>
        </w:tc>
        <w:tc>
          <w:tcPr>
            <w:tcW w:w="4272" w:type="dxa"/>
            <w:vAlign w:val="center"/>
          </w:tcPr>
          <w:p>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要求说明</w:t>
            </w:r>
          </w:p>
        </w:tc>
        <w:tc>
          <w:tcPr>
            <w:tcW w:w="4423" w:type="dxa"/>
            <w:vAlign w:val="center"/>
          </w:tcPr>
          <w:p>
            <w:pPr>
              <w:snapToGrid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审查要求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ascii="宋体" w:hAnsi="宋体"/>
                <w:color w:val="auto"/>
                <w:sz w:val="21"/>
                <w:szCs w:val="21"/>
                <w:highlight w:val="none"/>
              </w:rPr>
              <w:t>1</w:t>
            </w:r>
          </w:p>
        </w:tc>
        <w:tc>
          <w:tcPr>
            <w:tcW w:w="4272"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投标有效期：符合第二章“投标人须知前附表”第8条的要求。</w:t>
            </w:r>
          </w:p>
        </w:tc>
        <w:tc>
          <w:tcPr>
            <w:tcW w:w="4423"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提供“投标书”</w:t>
            </w:r>
            <w:r>
              <w:rPr>
                <w:rFonts w:hint="eastAsia" w:ascii="宋体" w:hAnsi="宋体" w:cs="宋体"/>
                <w:color w:val="auto"/>
                <w:sz w:val="21"/>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ascii="宋体" w:hAnsi="宋体"/>
                <w:color w:val="auto"/>
                <w:sz w:val="21"/>
                <w:szCs w:val="21"/>
                <w:highlight w:val="none"/>
              </w:rPr>
              <w:t>2</w:t>
            </w:r>
          </w:p>
        </w:tc>
        <w:tc>
          <w:tcPr>
            <w:tcW w:w="4272"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法定代表人身份证明、法定代表人授权书。</w:t>
            </w:r>
          </w:p>
        </w:tc>
        <w:tc>
          <w:tcPr>
            <w:tcW w:w="4423" w:type="dxa"/>
            <w:vAlign w:val="center"/>
          </w:tcPr>
          <w:p>
            <w:pPr>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（1）投标文件由法定代表人签字的，提供“法定代表人身份证明”。</w:t>
            </w:r>
          </w:p>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（2）投标文件由授权代表签字的，提供“法定代表人身份证明”和“法定代表人授权书”，并提供社保部门出具的供应商单位为授权代表缴纳社保的证明资料复印件。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3</w:t>
            </w:r>
          </w:p>
        </w:tc>
        <w:tc>
          <w:tcPr>
            <w:tcW w:w="4272" w:type="dxa"/>
            <w:vAlign w:val="center"/>
          </w:tcPr>
          <w:p>
            <w:pPr>
              <w:snapToGrid w:val="0"/>
              <w:spacing w:line="400" w:lineRule="exact"/>
              <w:rPr>
                <w:rFonts w:hint="eastAsia" w:ascii="宋体" w:hAnsi="宋体"/>
                <w:color w:val="auto"/>
                <w:sz w:val="21"/>
                <w:szCs w:val="21"/>
                <w:highlight w:val="none"/>
              </w:rPr>
            </w:pPr>
            <w:r>
              <w:rPr>
                <w:rFonts w:hint="eastAsia" w:ascii="宋体" w:hAnsi="宋体"/>
                <w:color w:val="auto"/>
                <w:sz w:val="21"/>
                <w:szCs w:val="21"/>
                <w:highlight w:val="none"/>
              </w:rPr>
              <w:t>符合第二章“投标</w:t>
            </w:r>
            <w:r>
              <w:rPr>
                <w:rFonts w:hint="eastAsia" w:ascii="宋体" w:hAnsi="宋体"/>
                <w:color w:val="auto"/>
                <w:sz w:val="21"/>
                <w:szCs w:val="21"/>
                <w:highlight w:val="none"/>
                <w:lang w:val="en-US" w:eastAsia="zh-CN"/>
              </w:rPr>
              <w:t>人</w:t>
            </w:r>
            <w:r>
              <w:rPr>
                <w:rFonts w:hint="eastAsia" w:ascii="宋体" w:hAnsi="宋体"/>
                <w:color w:val="auto"/>
                <w:sz w:val="21"/>
                <w:szCs w:val="21"/>
                <w:highlight w:val="none"/>
              </w:rPr>
              <w:t>须知”第九、1条的要求。</w:t>
            </w:r>
          </w:p>
        </w:tc>
        <w:tc>
          <w:tcPr>
            <w:tcW w:w="4423"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投标文件的签署盖章。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4</w:t>
            </w:r>
          </w:p>
        </w:tc>
        <w:tc>
          <w:tcPr>
            <w:tcW w:w="4272"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对同个项目不允许提供两个投标方案。</w:t>
            </w:r>
          </w:p>
        </w:tc>
        <w:tc>
          <w:tcPr>
            <w:tcW w:w="4423"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是否有两个投标方案。</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5</w:t>
            </w:r>
          </w:p>
        </w:tc>
        <w:tc>
          <w:tcPr>
            <w:tcW w:w="4272"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供应商不得在投标活动中提供任何虚假材料或从事其他违法活动的。</w:t>
            </w:r>
          </w:p>
        </w:tc>
        <w:tc>
          <w:tcPr>
            <w:tcW w:w="4423"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不得提供任何虚假材料或从事其他违法活动。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6</w:t>
            </w:r>
          </w:p>
        </w:tc>
        <w:tc>
          <w:tcPr>
            <w:tcW w:w="4272"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评标委员会经过审查，认定供应商虚假应标、串通投标的，有下列情形之一的，视为供应商串通投标：</w:t>
            </w:r>
          </w:p>
          <w:p>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）不同供应商的投标文件由同一单位或者个人编制；</w:t>
            </w:r>
          </w:p>
          <w:p>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2</w:t>
            </w:r>
            <w:r>
              <w:rPr>
                <w:rFonts w:hint="eastAsia" w:ascii="宋体" w:hAnsi="宋体"/>
                <w:color w:val="auto"/>
                <w:sz w:val="21"/>
                <w:szCs w:val="21"/>
                <w:highlight w:val="none"/>
              </w:rPr>
              <w:t>）不同供应商委托同一单位或者个人办理投标事宜；</w:t>
            </w:r>
          </w:p>
          <w:p>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3</w:t>
            </w:r>
            <w:r>
              <w:rPr>
                <w:rFonts w:hint="eastAsia" w:ascii="宋体" w:hAnsi="宋体"/>
                <w:color w:val="auto"/>
                <w:sz w:val="21"/>
                <w:szCs w:val="21"/>
                <w:highlight w:val="none"/>
              </w:rPr>
              <w:t>）不同供应商的投标文件载明的项目管理成员或者联系人员为同一人；</w:t>
            </w:r>
          </w:p>
          <w:p>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4</w:t>
            </w:r>
            <w:r>
              <w:rPr>
                <w:rFonts w:hint="eastAsia" w:ascii="宋体" w:hAnsi="宋体"/>
                <w:color w:val="auto"/>
                <w:sz w:val="21"/>
                <w:szCs w:val="21"/>
                <w:highlight w:val="none"/>
              </w:rPr>
              <w:t>）不同供应商的投标文件异常一致或者投标报价呈规律性差异；</w:t>
            </w:r>
          </w:p>
          <w:p>
            <w:pPr>
              <w:widowControl/>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5</w:t>
            </w:r>
            <w:r>
              <w:rPr>
                <w:rFonts w:hint="eastAsia" w:ascii="宋体" w:hAnsi="宋体"/>
                <w:color w:val="auto"/>
                <w:sz w:val="21"/>
                <w:szCs w:val="21"/>
                <w:highlight w:val="none"/>
              </w:rPr>
              <w:t>）不同供应商的投标文件相互混装。</w:t>
            </w:r>
          </w:p>
        </w:tc>
        <w:tc>
          <w:tcPr>
            <w:tcW w:w="4423"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不得有所述情形。</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7</w:t>
            </w:r>
          </w:p>
        </w:tc>
        <w:tc>
          <w:tcPr>
            <w:tcW w:w="4272" w:type="dxa"/>
            <w:vAlign w:val="center"/>
          </w:tcPr>
          <w:p>
            <w:pPr>
              <w:snapToGrid w:val="0"/>
              <w:spacing w:line="400" w:lineRule="exact"/>
              <w:rPr>
                <w:rFonts w:ascii="宋体" w:hAnsi="宋体"/>
                <w:color w:val="auto"/>
                <w:sz w:val="21"/>
                <w:szCs w:val="21"/>
                <w:highlight w:val="none"/>
              </w:rPr>
            </w:pPr>
            <w:r>
              <w:rPr>
                <w:rFonts w:hint="eastAsia" w:ascii="宋体" w:hAnsi="宋体" w:cs="Times New Roman"/>
                <w:color w:val="auto"/>
                <w:sz w:val="21"/>
                <w:szCs w:val="21"/>
                <w:highlight w:val="none"/>
              </w:rPr>
              <w:t>符合法律、法规和采购文件中规定的其他实质性要求（实质性要求采购文件中“</w:t>
            </w:r>
            <w:r>
              <w:rPr>
                <w:rFonts w:hint="eastAsia" w:ascii="宋体" w:hAnsi="宋体" w:cs="Times New Roman"/>
                <w:color w:val="auto"/>
                <w:sz w:val="21"/>
                <w:szCs w:val="21"/>
                <w:highlight w:val="none"/>
                <w:lang w:val="en-US" w:eastAsia="zh-CN"/>
              </w:rPr>
              <w:t>*</w:t>
            </w:r>
            <w:r>
              <w:rPr>
                <w:rFonts w:hint="eastAsia" w:ascii="宋体" w:hAnsi="宋体" w:cs="Times New Roman"/>
                <w:color w:val="auto"/>
                <w:sz w:val="21"/>
                <w:szCs w:val="21"/>
                <w:highlight w:val="none"/>
              </w:rPr>
              <w:t>”标记）</w:t>
            </w:r>
          </w:p>
        </w:tc>
        <w:tc>
          <w:tcPr>
            <w:tcW w:w="4423" w:type="dxa"/>
            <w:vAlign w:val="center"/>
          </w:tcPr>
          <w:p>
            <w:pPr>
              <w:snapToGrid w:val="0"/>
              <w:spacing w:line="400" w:lineRule="exact"/>
              <w:rPr>
                <w:rFonts w:ascii="宋体" w:hAnsi="宋体"/>
                <w:color w:val="auto"/>
                <w:sz w:val="21"/>
                <w:szCs w:val="21"/>
                <w:highlight w:val="none"/>
              </w:rPr>
            </w:pPr>
            <w:r>
              <w:rPr>
                <w:rFonts w:hint="eastAsia" w:ascii="宋体" w:hAnsi="宋体"/>
                <w:color w:val="auto"/>
                <w:sz w:val="21"/>
                <w:szCs w:val="21"/>
                <w:highlight w:val="none"/>
              </w:rPr>
              <w:t>符合所述要求。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8</w:t>
            </w:r>
          </w:p>
        </w:tc>
        <w:tc>
          <w:tcPr>
            <w:tcW w:w="4272" w:type="dxa"/>
            <w:vAlign w:val="center"/>
          </w:tcPr>
          <w:p>
            <w:pPr>
              <w:snapToGrid w:val="0"/>
              <w:spacing w:line="400" w:lineRule="exact"/>
              <w:rPr>
                <w:rFonts w:hint="default" w:ascii="宋体" w:hAnsi="宋体" w:eastAsia="宋体" w:cs="Times New Roman"/>
                <w:color w:val="auto"/>
                <w:sz w:val="21"/>
                <w:szCs w:val="21"/>
                <w:highlight w:val="none"/>
                <w:lang w:val="en-US" w:eastAsia="zh-CN" w:bidi="ar-SA"/>
              </w:rPr>
            </w:pPr>
            <w:r>
              <w:rPr>
                <w:rFonts w:hint="eastAsia" w:ascii="宋体" w:hAnsi="宋体"/>
                <w:color w:val="auto"/>
                <w:sz w:val="21"/>
                <w:szCs w:val="21"/>
                <w:highlight w:val="none"/>
              </w:rPr>
              <w:t>本次公开招标设有</w:t>
            </w:r>
            <w:r>
              <w:rPr>
                <w:rFonts w:hint="eastAsia" w:ascii="宋体" w:hAnsi="宋体"/>
                <w:color w:val="auto"/>
                <w:sz w:val="21"/>
                <w:szCs w:val="21"/>
                <w:highlight w:val="none"/>
                <w:lang w:val="en-US" w:eastAsia="zh-CN"/>
              </w:rPr>
              <w:t>最高限价</w:t>
            </w: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人民币61.525万元。</w:t>
            </w:r>
          </w:p>
        </w:tc>
        <w:tc>
          <w:tcPr>
            <w:tcW w:w="4423" w:type="dxa"/>
            <w:vAlign w:val="center"/>
          </w:tcPr>
          <w:p>
            <w:pPr>
              <w:spacing w:line="400" w:lineRule="exact"/>
              <w:rPr>
                <w:rFonts w:ascii="宋体" w:hAnsi="宋体" w:eastAsia="宋体" w:cs="Times New Roman"/>
                <w:color w:val="auto"/>
                <w:sz w:val="21"/>
                <w:szCs w:val="21"/>
                <w:highlight w:val="none"/>
                <w:lang w:val="en-US" w:eastAsia="zh-CN" w:bidi="ar-SA"/>
              </w:rPr>
            </w:pPr>
            <w:r>
              <w:rPr>
                <w:rFonts w:hint="eastAsia" w:ascii="宋体" w:hAnsi="宋体"/>
                <w:color w:val="auto"/>
                <w:sz w:val="21"/>
                <w:szCs w:val="21"/>
                <w:highlight w:val="none"/>
              </w:rPr>
              <w:t>提供“开标一览表”</w:t>
            </w:r>
            <w:r>
              <w:rPr>
                <w:rFonts w:hint="eastAsia" w:ascii="宋体" w:hAnsi="宋体" w:cs="宋体"/>
                <w:color w:val="auto"/>
                <w:sz w:val="21"/>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Align w:val="center"/>
          </w:tcPr>
          <w:p>
            <w:pPr>
              <w:snapToGrid w:val="0"/>
              <w:spacing w:line="400" w:lineRule="exact"/>
              <w:jc w:val="center"/>
              <w:rPr>
                <w:rFonts w:ascii="宋体" w:hAnsi="宋体"/>
                <w:color w:val="auto"/>
                <w:sz w:val="21"/>
                <w:szCs w:val="21"/>
                <w:highlight w:val="none"/>
              </w:rPr>
            </w:pPr>
            <w:r>
              <w:rPr>
                <w:rFonts w:hint="eastAsia" w:ascii="宋体" w:hAnsi="宋体"/>
                <w:color w:val="auto"/>
                <w:sz w:val="21"/>
                <w:szCs w:val="21"/>
                <w:highlight w:val="none"/>
              </w:rPr>
              <w:t>9</w:t>
            </w:r>
          </w:p>
        </w:tc>
        <w:tc>
          <w:tcPr>
            <w:tcW w:w="4272" w:type="dxa"/>
            <w:vAlign w:val="center"/>
          </w:tcPr>
          <w:p>
            <w:pPr>
              <w:spacing w:line="400" w:lineRule="exact"/>
              <w:rPr>
                <w:rFonts w:hint="default" w:ascii="宋体" w:hAnsi="宋体" w:eastAsia="宋体" w:cs="Times New Roman"/>
                <w:color w:val="auto"/>
                <w:sz w:val="21"/>
                <w:szCs w:val="21"/>
                <w:highlight w:val="none"/>
                <w:lang w:val="en-US" w:eastAsia="zh-CN" w:bidi="ar-SA"/>
              </w:rPr>
            </w:pPr>
            <w:r>
              <w:rPr>
                <w:rFonts w:hint="eastAsia" w:ascii="宋体" w:hAnsi="宋体"/>
                <w:color w:val="auto"/>
                <w:sz w:val="21"/>
                <w:szCs w:val="21"/>
                <w:highlight w:val="none"/>
              </w:rPr>
              <w:t>评标委员会认为供应商的报价明显低于其他通过第一阶段评审供应商的报价，有可能影响产品质量或者不能诚信履约的，应当要求其在评标现场合理的时间内提供书面说明，必要时提交相关证明材料；供应商不能证明其报价合理性的，评标委员会应当将其作为无效投标处理。</w:t>
            </w:r>
          </w:p>
        </w:tc>
        <w:tc>
          <w:tcPr>
            <w:tcW w:w="4423" w:type="dxa"/>
            <w:vAlign w:val="center"/>
          </w:tcPr>
          <w:p>
            <w:pPr>
              <w:spacing w:line="400" w:lineRule="exact"/>
              <w:rPr>
                <w:rFonts w:ascii="宋体" w:hAnsi="宋体" w:eastAsia="宋体" w:cs="Times New Roman"/>
                <w:color w:val="auto"/>
                <w:sz w:val="21"/>
                <w:szCs w:val="21"/>
                <w:highlight w:val="none"/>
                <w:lang w:val="en-US" w:eastAsia="zh-CN" w:bidi="ar-SA"/>
              </w:rPr>
            </w:pPr>
            <w:r>
              <w:rPr>
                <w:rFonts w:hint="eastAsia" w:ascii="宋体" w:hAnsi="宋体"/>
                <w:color w:val="auto"/>
                <w:sz w:val="21"/>
                <w:szCs w:val="21"/>
                <w:highlight w:val="none"/>
              </w:rPr>
              <w:t>符合所述要求。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992" w:type="dxa"/>
            <w:gridSpan w:val="2"/>
            <w:vAlign w:val="center"/>
          </w:tcPr>
          <w:p>
            <w:pPr>
              <w:snapToGrid w:val="0"/>
              <w:spacing w:line="400" w:lineRule="exact"/>
              <w:jc w:val="center"/>
              <w:rPr>
                <w:rFonts w:ascii="宋体" w:hAnsi="宋体"/>
                <w:color w:val="auto"/>
                <w:sz w:val="21"/>
                <w:szCs w:val="21"/>
                <w:highlight w:val="none"/>
              </w:rPr>
            </w:pPr>
            <w:r>
              <w:rPr>
                <w:rFonts w:hint="eastAsia" w:ascii="宋体" w:hAnsi="宋体"/>
                <w:b/>
                <w:color w:val="auto"/>
                <w:sz w:val="21"/>
                <w:szCs w:val="21"/>
                <w:highlight w:val="none"/>
              </w:rPr>
              <w:t>符合性审查结论</w:t>
            </w:r>
          </w:p>
        </w:tc>
        <w:tc>
          <w:tcPr>
            <w:tcW w:w="4423" w:type="dxa"/>
            <w:vAlign w:val="center"/>
          </w:tcPr>
          <w:p>
            <w:pPr>
              <w:snapToGrid w:val="0"/>
              <w:spacing w:line="400" w:lineRule="exact"/>
              <w:rPr>
                <w:rFonts w:ascii="宋体" w:hAnsi="宋体"/>
                <w:color w:val="auto"/>
                <w:sz w:val="21"/>
                <w:szCs w:val="21"/>
                <w:highlight w:val="none"/>
              </w:rPr>
            </w:pPr>
          </w:p>
        </w:tc>
      </w:tr>
    </w:tbl>
    <w:p>
      <w:pPr>
        <w:spacing w:line="400" w:lineRule="exact"/>
        <w:rPr>
          <w:rFonts w:ascii="宋体" w:hAnsi="宋体"/>
          <w:b/>
          <w:color w:val="auto"/>
          <w:sz w:val="21"/>
          <w:szCs w:val="21"/>
          <w:highlight w:val="none"/>
        </w:rPr>
      </w:pPr>
      <w:r>
        <w:rPr>
          <w:rFonts w:hint="eastAsia" w:ascii="宋体" w:hAnsi="宋体"/>
          <w:b/>
          <w:color w:val="auto"/>
          <w:sz w:val="21"/>
          <w:szCs w:val="21"/>
          <w:highlight w:val="none"/>
        </w:rPr>
        <w:t>注：</w:t>
      </w:r>
      <w:r>
        <w:rPr>
          <w:rFonts w:ascii="宋体" w:hAnsi="宋体"/>
          <w:b/>
          <w:color w:val="auto"/>
          <w:sz w:val="21"/>
          <w:szCs w:val="21"/>
          <w:highlight w:val="none"/>
        </w:rPr>
        <w:t>1</w:t>
      </w:r>
      <w:r>
        <w:rPr>
          <w:rFonts w:hint="eastAsia" w:ascii="宋体" w:hAnsi="宋体"/>
          <w:b/>
          <w:color w:val="auto"/>
          <w:sz w:val="21"/>
          <w:szCs w:val="21"/>
          <w:highlight w:val="none"/>
        </w:rPr>
        <w:t>、上述审查项目中，任意一项不符合的，符合性审查不合格。</w:t>
      </w:r>
    </w:p>
    <w:p>
      <w:pPr>
        <w:spacing w:line="360" w:lineRule="auto"/>
        <w:ind w:firstLine="422" w:firstLineChars="200"/>
        <w:rPr>
          <w:color w:val="auto"/>
          <w:szCs w:val="24"/>
          <w:highlight w:val="none"/>
        </w:rPr>
      </w:pPr>
      <w:r>
        <w:rPr>
          <w:rFonts w:hint="eastAsia" w:ascii="宋体" w:hAnsi="宋体"/>
          <w:b/>
          <w:color w:val="auto"/>
          <w:sz w:val="21"/>
          <w:szCs w:val="21"/>
          <w:highlight w:val="none"/>
        </w:rPr>
        <w:t>2、序号3-序号</w:t>
      </w:r>
      <w:r>
        <w:rPr>
          <w:rFonts w:hint="eastAsia" w:ascii="宋体" w:hAnsi="宋体"/>
          <w:b/>
          <w:color w:val="auto"/>
          <w:sz w:val="21"/>
          <w:szCs w:val="21"/>
          <w:highlight w:val="none"/>
          <w:lang w:val="en-US" w:eastAsia="zh-CN"/>
        </w:rPr>
        <w:t>9</w:t>
      </w:r>
      <w:r>
        <w:rPr>
          <w:rFonts w:hint="eastAsia" w:ascii="宋体" w:hAnsi="宋体"/>
          <w:b/>
          <w:color w:val="auto"/>
          <w:sz w:val="21"/>
          <w:szCs w:val="21"/>
          <w:highlight w:val="none"/>
        </w:rPr>
        <w:t>在政采云上无须添加关联点。</w:t>
      </w:r>
    </w:p>
    <w:p>
      <w:pPr>
        <w:pStyle w:val="22"/>
        <w:widowControl/>
        <w:spacing w:line="360" w:lineRule="auto"/>
        <w:ind w:firstLine="420" w:firstLineChars="200"/>
        <w:jc w:val="left"/>
        <w:rPr>
          <w:rFonts w:hAnsi="宋体"/>
          <w:color w:val="auto"/>
          <w:highlight w:val="none"/>
        </w:rPr>
      </w:pPr>
    </w:p>
    <w:p>
      <w:pPr>
        <w:adjustRightInd/>
        <w:spacing w:line="480" w:lineRule="auto"/>
        <w:ind w:firstLine="422" w:firstLineChars="200"/>
        <w:jc w:val="center"/>
        <w:textAlignment w:val="auto"/>
        <w:rPr>
          <w:rFonts w:ascii="宋体" w:hAnsi="宋体"/>
          <w:b/>
          <w:color w:val="auto"/>
          <w:sz w:val="21"/>
          <w:szCs w:val="21"/>
          <w:highlight w:val="none"/>
        </w:rPr>
      </w:pPr>
      <w:r>
        <w:rPr>
          <w:rFonts w:ascii="宋体" w:hAnsi="宋体"/>
          <w:b/>
          <w:color w:val="auto"/>
          <w:sz w:val="21"/>
          <w:szCs w:val="21"/>
          <w:highlight w:val="none"/>
        </w:rPr>
        <w:br w:type="page"/>
      </w:r>
    </w:p>
    <w:p>
      <w:pPr>
        <w:pStyle w:val="2"/>
        <w:jc w:val="both"/>
        <w:rPr>
          <w:rFonts w:hint="default" w:ascii="宋体" w:hAnsi="宋体" w:eastAsia="宋体"/>
          <w:b/>
          <w:color w:val="auto"/>
          <w:sz w:val="21"/>
          <w:szCs w:val="21"/>
          <w:highlight w:val="none"/>
          <w:lang w:val="en-US" w:eastAsia="zh-CN"/>
        </w:rPr>
      </w:pPr>
      <w:r>
        <w:rPr>
          <w:rFonts w:hint="eastAsia" w:ascii="宋体" w:hAnsi="宋体"/>
          <w:b/>
          <w:color w:val="auto"/>
          <w:sz w:val="21"/>
          <w:szCs w:val="21"/>
          <w:highlight w:val="none"/>
          <w:lang w:val="en-US" w:eastAsia="zh-CN"/>
        </w:rPr>
        <w:t>附表3：</w:t>
      </w:r>
    </w:p>
    <w:p>
      <w:pPr>
        <w:pStyle w:val="2"/>
        <w:jc w:val="center"/>
        <w:rPr>
          <w:rFonts w:hint="eastAsia" w:ascii="宋体" w:hAnsi="宋体"/>
          <w:b/>
          <w:color w:val="auto"/>
          <w:sz w:val="21"/>
          <w:szCs w:val="21"/>
          <w:highlight w:val="none"/>
        </w:rPr>
      </w:pPr>
      <w:r>
        <w:rPr>
          <w:rFonts w:hint="eastAsia" w:ascii="宋体" w:hAnsi="宋体"/>
          <w:b/>
          <w:color w:val="auto"/>
          <w:sz w:val="21"/>
          <w:szCs w:val="21"/>
          <w:highlight w:val="none"/>
        </w:rPr>
        <w:t>评分细则</w:t>
      </w:r>
    </w:p>
    <w:tbl>
      <w:tblPr>
        <w:tblStyle w:val="39"/>
        <w:tblW w:w="9785" w:type="dxa"/>
        <w:jc w:val="center"/>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6"/>
        <w:gridCol w:w="1120"/>
        <w:gridCol w:w="700"/>
        <w:gridCol w:w="7179"/>
      </w:tblGrid>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tblHeader/>
          <w:jc w:val="center"/>
        </w:trPr>
        <w:tc>
          <w:tcPr>
            <w:tcW w:w="786" w:type="dxa"/>
            <w:tcBorders>
              <w:top w:val="single" w:color="auto" w:sz="12" w:space="0"/>
              <w:left w:val="single" w:color="auto" w:sz="12"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序号</w:t>
            </w:r>
          </w:p>
        </w:tc>
        <w:tc>
          <w:tcPr>
            <w:tcW w:w="1120" w:type="dxa"/>
            <w:tcBorders>
              <w:top w:val="single" w:color="auto" w:sz="12" w:space="0"/>
              <w:left w:val="single" w:color="auto" w:sz="12"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zh-CN"/>
              </w:rPr>
            </w:pPr>
            <w:r>
              <w:rPr>
                <w:rFonts w:hint="eastAsia" w:ascii="宋体" w:hAnsi="宋体" w:eastAsia="宋体" w:cs="宋体"/>
                <w:b/>
                <w:bCs/>
                <w:color w:val="auto"/>
                <w:sz w:val="21"/>
                <w:szCs w:val="21"/>
                <w:highlight w:val="none"/>
              </w:rPr>
              <w:t>评审因素</w:t>
            </w:r>
          </w:p>
        </w:tc>
        <w:tc>
          <w:tcPr>
            <w:tcW w:w="700" w:type="dxa"/>
            <w:tcBorders>
              <w:top w:val="single" w:color="auto" w:sz="12"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zh-CN"/>
              </w:rPr>
            </w:pPr>
            <w:r>
              <w:rPr>
                <w:rFonts w:hint="eastAsia" w:ascii="宋体" w:hAnsi="宋体" w:eastAsia="宋体" w:cs="宋体"/>
                <w:b/>
                <w:bCs/>
                <w:color w:val="auto"/>
                <w:sz w:val="21"/>
                <w:szCs w:val="21"/>
                <w:highlight w:val="none"/>
              </w:rPr>
              <w:t>分值</w:t>
            </w:r>
          </w:p>
        </w:tc>
        <w:tc>
          <w:tcPr>
            <w:tcW w:w="7179" w:type="dxa"/>
            <w:tcBorders>
              <w:top w:val="single" w:color="auto" w:sz="12" w:space="0"/>
              <w:left w:val="single" w:color="auto" w:sz="4" w:space="0"/>
              <w:bottom w:val="single" w:color="auto" w:sz="4" w:space="0"/>
              <w:right w:val="single" w:color="auto" w:sz="12"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zh-CN"/>
              </w:rPr>
            </w:pPr>
            <w:r>
              <w:rPr>
                <w:rFonts w:hint="eastAsia" w:ascii="宋体" w:hAnsi="宋体" w:eastAsia="宋体" w:cs="宋体"/>
                <w:b/>
                <w:bCs/>
                <w:color w:val="auto"/>
                <w:sz w:val="21"/>
                <w:szCs w:val="21"/>
                <w:highlight w:val="none"/>
              </w:rPr>
              <w:t>评审标准及说明</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restart"/>
            <w:tcBorders>
              <w:top w:val="single" w:color="auto" w:sz="4" w:space="0"/>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p>
        </w:tc>
        <w:tc>
          <w:tcPr>
            <w:tcW w:w="1120" w:type="dxa"/>
            <w:vMerge w:val="restart"/>
            <w:tcBorders>
              <w:top w:val="single" w:color="auto" w:sz="4" w:space="0"/>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eastAsia="zh-CN"/>
              </w:rPr>
              <w:t>技术</w:t>
            </w:r>
            <w:r>
              <w:rPr>
                <w:rFonts w:hint="eastAsia" w:ascii="宋体" w:hAnsi="宋体" w:eastAsia="宋体" w:cs="宋体"/>
                <w:color w:val="auto"/>
                <w:sz w:val="21"/>
                <w:szCs w:val="21"/>
                <w:highlight w:val="none"/>
                <w:lang w:val="zh-CN"/>
              </w:rPr>
              <w:t>服务（</w:t>
            </w:r>
            <w:r>
              <w:rPr>
                <w:rFonts w:hint="eastAsia" w:ascii="宋体" w:hAnsi="宋体" w:eastAsia="宋体" w:cs="宋体"/>
                <w:color w:val="auto"/>
                <w:sz w:val="21"/>
                <w:szCs w:val="21"/>
                <w:highlight w:val="none"/>
                <w:lang w:val="en-US" w:eastAsia="zh-CN"/>
              </w:rPr>
              <w:t>60</w:t>
            </w:r>
            <w:r>
              <w:rPr>
                <w:rFonts w:hint="eastAsia" w:ascii="宋体" w:hAnsi="宋体" w:cs="宋体"/>
                <w:color w:val="auto"/>
                <w:sz w:val="21"/>
                <w:szCs w:val="21"/>
                <w:highlight w:val="none"/>
                <w:lang w:val="en-US" w:eastAsia="zh-CN"/>
              </w:rPr>
              <w:t>分）</w:t>
            </w: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对现有系统软硬件环境现状、设备布局的了解程度、统计的维护设备详细清单、网络拓朴图等系统结构描述内容进行评比并酌情给分：</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①对现有系统维护状态及需求非常熟悉、维护设备清单详细、网络拓补图等系统结构描述清晰易懂的得11-16分；</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②对现有系统维护状态及需求比较了解，还需进一步沟通了解，维护设备清单较完善、网络拓扑图等系统结构描述比较清楚的得6-11分；</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③对现有系统维护状态及需求不清楚、维护清单缺漏项严重、网络拓扑图等系统结构描述不清晰的得1-6分；</w:t>
            </w:r>
          </w:p>
          <w:p>
            <w:pPr>
              <w:keepNext w:val="0"/>
              <w:keepLines w:val="0"/>
              <w:pageBreakBefore w:val="0"/>
              <w:widowControl w:val="0"/>
              <w:kinsoku/>
              <w:wordWrap/>
              <w:overflowPunct/>
              <w:topLinePunct w:val="0"/>
              <w:autoSpaceDE/>
              <w:autoSpaceDN/>
              <w:bidi w:val="0"/>
              <w:snapToGrid/>
              <w:spacing w:line="312"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④未提供的不得分。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rPr>
              <w:t>根据公安系统信息安全相关条例结合</w:t>
            </w:r>
            <w:r>
              <w:rPr>
                <w:rFonts w:hint="eastAsia" w:ascii="宋体" w:hAnsi="宋体" w:eastAsia="宋体" w:cs="宋体"/>
                <w:color w:val="auto"/>
                <w:sz w:val="21"/>
                <w:szCs w:val="21"/>
                <w:highlight w:val="none"/>
                <w:lang w:val="en-US" w:eastAsia="zh-CN"/>
              </w:rPr>
              <w:t>交警局</w:t>
            </w:r>
            <w:r>
              <w:rPr>
                <w:rFonts w:hint="eastAsia" w:ascii="宋体" w:hAnsi="宋体" w:eastAsia="宋体" w:cs="宋体"/>
                <w:color w:val="auto"/>
                <w:sz w:val="21"/>
                <w:szCs w:val="21"/>
                <w:highlight w:val="none"/>
                <w:lang w:val="zh-CN"/>
              </w:rPr>
              <w:t>的实际情况，针对运维服务方案的先进性、合理性、完整性进行评比并酌情给分</w:t>
            </w:r>
            <w:r>
              <w:rPr>
                <w:rFonts w:hint="eastAsia" w:ascii="宋体" w:hAnsi="宋体" w:eastAsia="宋体" w:cs="宋体"/>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①描述内容完备、详尽、清楚、符合程度高的得3-4分；</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②描述内容比较详尽、符合程度一般的得2-3分； </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③描述内容有欠缺或不到位得1-2分； </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④未提供的不得分。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7"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numPr>
                <w:ilvl w:val="0"/>
                <w:numId w:val="6"/>
              </w:numPr>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协助用户进行系统性能优化与调整，重大活动现场保障、突发应急方案和措施的合理性进行评比并酌情给分</w:t>
            </w:r>
            <w:r>
              <w:rPr>
                <w:rFonts w:hint="eastAsia" w:ascii="宋体" w:hAnsi="宋体" w:cs="宋体"/>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①能有效协助用户进行系统性能优化俞调整，重大活动保障及突发应急方案完整，方案内容详细，措施得力，可行性强的得3-4分； </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②重大活动保障及突发应急方案一般，措施一般的得2-3分； </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③重大活动保障及突发应急方案认识不够充分，方案笼统，措施不足的得1-2分； </w:t>
            </w:r>
          </w:p>
          <w:p>
            <w:pPr>
              <w:keepNext w:val="0"/>
              <w:keepLines w:val="0"/>
              <w:pageBreakBefore w:val="0"/>
              <w:widowControl w:val="0"/>
              <w:numPr>
                <w:ilvl w:val="0"/>
                <w:numId w:val="0"/>
              </w:numPr>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④未提供的不得分。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179" w:type="dxa"/>
            <w:tcBorders>
              <w:top w:val="single" w:color="auto" w:sz="4" w:space="0"/>
              <w:left w:val="single" w:color="auto" w:sz="4" w:space="0"/>
              <w:bottom w:val="single" w:color="auto" w:sz="4" w:space="0"/>
              <w:right w:val="single" w:color="auto" w:sz="12" w:space="0"/>
            </w:tcBorders>
            <w:noWrap w:val="0"/>
            <w:vAlign w:val="top"/>
          </w:tcPr>
          <w:p>
            <w:pPr>
              <w:pStyle w:val="2"/>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en-US" w:eastAsia="zh-CN" w:bidi="ar-SA"/>
              </w:rPr>
            </w:pPr>
            <w:r>
              <w:rPr>
                <w:rFonts w:hint="eastAsia" w:ascii="宋体" w:hAnsi="宋体" w:eastAsia="宋体" w:cs="宋体"/>
                <w:color w:val="auto"/>
                <w:sz w:val="21"/>
                <w:szCs w:val="21"/>
                <w:highlight w:val="none"/>
                <w:lang w:val="zh-CN"/>
              </w:rPr>
              <w:t>4、</w:t>
            </w:r>
            <w:r>
              <w:rPr>
                <w:rFonts w:hint="eastAsia" w:ascii="Times New Roman" w:hAnsi="Times New Roman" w:eastAsia="宋体" w:cs="Times New Roman"/>
                <w:color w:val="auto"/>
                <w:kern w:val="2"/>
                <w:sz w:val="21"/>
                <w:szCs w:val="21"/>
                <w:highlight w:val="none"/>
                <w:lang w:val="en-US" w:eastAsia="zh-CN" w:bidi="ar-SA"/>
              </w:rPr>
              <w:t>供应商须对</w:t>
            </w:r>
            <w:r>
              <w:rPr>
                <w:rFonts w:hint="eastAsia" w:eastAsia="宋体" w:cs="Times New Roman"/>
                <w:color w:val="auto"/>
                <w:kern w:val="2"/>
                <w:sz w:val="21"/>
                <w:szCs w:val="21"/>
                <w:highlight w:val="none"/>
                <w:lang w:val="en-US" w:eastAsia="zh-CN" w:bidi="ar-SA"/>
              </w:rPr>
              <w:t>维护</w:t>
            </w:r>
            <w:r>
              <w:rPr>
                <w:rFonts w:hint="eastAsia" w:ascii="Times New Roman" w:hAnsi="Times New Roman" w:eastAsia="宋体" w:cs="Times New Roman"/>
                <w:color w:val="auto"/>
                <w:kern w:val="2"/>
                <w:sz w:val="21"/>
                <w:szCs w:val="21"/>
                <w:highlight w:val="none"/>
                <w:lang w:val="en-US" w:eastAsia="zh-CN" w:bidi="ar-SA"/>
              </w:rPr>
              <w:t>过程中的重点、难点进行分析，解决方案是否完整、经济、安全、切实可行，措施得力</w:t>
            </w:r>
            <w:r>
              <w:rPr>
                <w:rFonts w:hint="eastAsia" w:eastAsia="宋体" w:cs="Times New Roman"/>
                <w:color w:val="auto"/>
                <w:kern w:val="2"/>
                <w:sz w:val="21"/>
                <w:szCs w:val="21"/>
                <w:highlight w:val="none"/>
                <w:lang w:val="en-US" w:eastAsia="zh-CN" w:bidi="ar-SA"/>
              </w:rPr>
              <w:t>：</w:t>
            </w:r>
          </w:p>
          <w:p>
            <w:pPr>
              <w:pStyle w:val="2"/>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①重点、难点分析透彻，解决方案内容详实、措施有力，可行性强的得</w:t>
            </w:r>
            <w:r>
              <w:rPr>
                <w:rFonts w:hint="eastAsia" w:cs="Times New Roman"/>
                <w:color w:val="auto"/>
                <w:kern w:val="2"/>
                <w:sz w:val="21"/>
                <w:szCs w:val="21"/>
                <w:highlight w:val="none"/>
                <w:lang w:val="en-US" w:eastAsia="zh-CN" w:bidi="ar-SA"/>
              </w:rPr>
              <w:t>3-4</w:t>
            </w:r>
            <w:r>
              <w:rPr>
                <w:rFonts w:hint="eastAsia" w:ascii="Times New Roman" w:hAnsi="Times New Roman" w:eastAsia="宋体" w:cs="Times New Roman"/>
                <w:color w:val="auto"/>
                <w:kern w:val="2"/>
                <w:sz w:val="21"/>
                <w:szCs w:val="21"/>
                <w:highlight w:val="none"/>
                <w:lang w:val="en-US" w:eastAsia="zh-CN" w:bidi="ar-SA"/>
              </w:rPr>
              <w:t xml:space="preserve">分； </w:t>
            </w:r>
          </w:p>
          <w:p>
            <w:pPr>
              <w:pStyle w:val="2"/>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②重点、难点分析一般，方案内容比较详细，措施一般的得</w:t>
            </w:r>
            <w:r>
              <w:rPr>
                <w:rFonts w:hint="eastAsia" w:eastAsia="宋体" w:cs="Times New Roman"/>
                <w:color w:val="auto"/>
                <w:kern w:val="2"/>
                <w:sz w:val="21"/>
                <w:szCs w:val="21"/>
                <w:highlight w:val="none"/>
                <w:lang w:val="en-US" w:eastAsia="zh-CN" w:bidi="ar-SA"/>
              </w:rPr>
              <w:t>2-</w:t>
            </w:r>
            <w:r>
              <w:rPr>
                <w:rFonts w:hint="eastAsia" w:cs="Times New Roman"/>
                <w:color w:val="auto"/>
                <w:kern w:val="2"/>
                <w:sz w:val="21"/>
                <w:szCs w:val="21"/>
                <w:highlight w:val="none"/>
                <w:lang w:val="en-US" w:eastAsia="zh-CN" w:bidi="ar-SA"/>
              </w:rPr>
              <w:t>3</w:t>
            </w:r>
            <w:r>
              <w:rPr>
                <w:rFonts w:hint="eastAsia" w:ascii="Times New Roman" w:hAnsi="Times New Roman" w:eastAsia="宋体" w:cs="Times New Roman"/>
                <w:color w:val="auto"/>
                <w:kern w:val="2"/>
                <w:sz w:val="21"/>
                <w:szCs w:val="21"/>
                <w:highlight w:val="none"/>
                <w:lang w:val="en-US" w:eastAsia="zh-CN" w:bidi="ar-SA"/>
              </w:rPr>
              <w:t xml:space="preserve">分； </w:t>
            </w:r>
          </w:p>
          <w:p>
            <w:pPr>
              <w:pStyle w:val="2"/>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③重点、难点认识不够充分，方案笼统，措施不足的得</w:t>
            </w:r>
            <w:r>
              <w:rPr>
                <w:rFonts w:hint="eastAsia" w:eastAsia="宋体" w:cs="Times New Roman"/>
                <w:color w:val="auto"/>
                <w:kern w:val="2"/>
                <w:sz w:val="21"/>
                <w:szCs w:val="21"/>
                <w:highlight w:val="none"/>
                <w:lang w:val="en-US" w:eastAsia="zh-CN" w:bidi="ar-SA"/>
              </w:rPr>
              <w:t>1-2</w:t>
            </w:r>
            <w:r>
              <w:rPr>
                <w:rFonts w:hint="eastAsia" w:ascii="Times New Roman" w:hAnsi="Times New Roman" w:eastAsia="宋体" w:cs="Times New Roman"/>
                <w:color w:val="auto"/>
                <w:kern w:val="2"/>
                <w:sz w:val="21"/>
                <w:szCs w:val="21"/>
                <w:highlight w:val="none"/>
                <w:lang w:val="en-US" w:eastAsia="zh-CN" w:bidi="ar-SA"/>
              </w:rPr>
              <w:t xml:space="preserve">分； </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eastAsia="zh-CN"/>
              </w:rPr>
            </w:pPr>
            <w:r>
              <w:rPr>
                <w:rFonts w:hint="eastAsia" w:ascii="Times New Roman" w:hAnsi="Times New Roman" w:eastAsia="宋体" w:cs="Times New Roman"/>
                <w:color w:val="auto"/>
                <w:kern w:val="2"/>
                <w:sz w:val="21"/>
                <w:szCs w:val="21"/>
                <w:highlight w:val="none"/>
                <w:lang w:val="en-US" w:eastAsia="zh-CN" w:bidi="ar-SA"/>
              </w:rPr>
              <w:t xml:space="preserve">④未提供的不得分。 </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宋体" w:hAnsi="宋体" w:eastAsia="宋体" w:cs="宋体"/>
                <w:color w:val="auto"/>
                <w:sz w:val="21"/>
                <w:szCs w:val="21"/>
                <w:highlight w:val="none"/>
                <w:lang w:val="zh-CN"/>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rPr>
              <w:t>根据投标人对处理涉密信息的能力进行评比并酌情给分</w:t>
            </w:r>
            <w:r>
              <w:rPr>
                <w:rFonts w:hint="eastAsia" w:ascii="宋体" w:hAnsi="宋体" w:cs="宋体"/>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①处理涉密信息能力迅速、时效性高、处理结果好的得3-4分；</w:t>
            </w:r>
          </w:p>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②处理涉密信息能力较慢、处理结果一般的得2-3分；</w:t>
            </w:r>
          </w:p>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③处理涉密信息能力差、处理结果不理想的得1-2分；</w:t>
            </w:r>
          </w:p>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④未提供的不得分。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zh-CN" w:eastAsia="zh-CN" w:bidi="ar-SA"/>
              </w:rPr>
            </w:pPr>
            <w:r>
              <w:rPr>
                <w:rFonts w:hint="eastAsia" w:ascii="Times New Roman" w:hAnsi="Times New Roman" w:eastAsia="宋体" w:cs="Times New Roman"/>
                <w:color w:val="auto"/>
                <w:kern w:val="2"/>
                <w:sz w:val="21"/>
                <w:szCs w:val="21"/>
                <w:highlight w:val="none"/>
                <w:lang w:val="en-US" w:eastAsia="zh-CN" w:bidi="ar-SA"/>
              </w:rPr>
              <w:t>6、</w:t>
            </w:r>
            <w:r>
              <w:rPr>
                <w:rFonts w:hint="eastAsia" w:ascii="Times New Roman" w:hAnsi="Times New Roman" w:eastAsia="宋体" w:cs="Times New Roman"/>
                <w:color w:val="auto"/>
                <w:kern w:val="2"/>
                <w:sz w:val="21"/>
                <w:szCs w:val="21"/>
                <w:highlight w:val="none"/>
                <w:lang w:val="zh-CN" w:eastAsia="zh-CN" w:bidi="ar-SA"/>
              </w:rPr>
              <w:t>例行巡检和保养措施、服务质量保障的合理性进行评比并酌情给分：</w:t>
            </w:r>
          </w:p>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①</w:t>
            </w:r>
            <w:r>
              <w:rPr>
                <w:rFonts w:hint="eastAsia" w:ascii="Times New Roman" w:hAnsi="Times New Roman" w:eastAsia="宋体" w:cs="Times New Roman"/>
                <w:color w:val="auto"/>
                <w:kern w:val="2"/>
                <w:sz w:val="21"/>
                <w:szCs w:val="21"/>
                <w:highlight w:val="none"/>
                <w:lang w:val="zh-CN" w:eastAsia="zh-CN" w:bidi="ar-SA"/>
              </w:rPr>
              <w:t>例行巡检和保养措施、服务质量保障</w:t>
            </w:r>
            <w:r>
              <w:rPr>
                <w:rFonts w:hint="eastAsia" w:ascii="Times New Roman" w:hAnsi="Times New Roman" w:eastAsia="宋体" w:cs="Times New Roman"/>
                <w:color w:val="auto"/>
                <w:kern w:val="2"/>
                <w:sz w:val="21"/>
                <w:szCs w:val="21"/>
                <w:highlight w:val="none"/>
                <w:lang w:val="en-US" w:eastAsia="zh-CN" w:bidi="ar-SA"/>
              </w:rPr>
              <w:t>方案完整、及时、</w:t>
            </w:r>
            <w:r>
              <w:rPr>
                <w:rFonts w:hint="eastAsia" w:ascii="宋体" w:hAnsi="宋体" w:eastAsia="宋体" w:cs="宋体"/>
                <w:color w:val="auto"/>
                <w:sz w:val="21"/>
                <w:szCs w:val="21"/>
                <w:highlight w:val="none"/>
                <w:lang w:val="en-US" w:eastAsia="zh-CN"/>
              </w:rPr>
              <w:t>详尽、清楚、符合程度高的得</w:t>
            </w:r>
            <w:r>
              <w:rPr>
                <w:rFonts w:hint="eastAsia" w:ascii="宋体" w:hAnsi="宋体" w:cs="宋体"/>
                <w:color w:val="auto"/>
                <w:sz w:val="21"/>
                <w:szCs w:val="21"/>
                <w:highlight w:val="none"/>
                <w:lang w:val="en-US" w:eastAsia="zh-CN"/>
              </w:rPr>
              <w:t>4-6</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②</w:t>
            </w:r>
            <w:r>
              <w:rPr>
                <w:rFonts w:hint="eastAsia" w:ascii="Times New Roman" w:hAnsi="Times New Roman" w:eastAsia="宋体" w:cs="Times New Roman"/>
                <w:color w:val="auto"/>
                <w:kern w:val="2"/>
                <w:sz w:val="21"/>
                <w:szCs w:val="21"/>
                <w:highlight w:val="none"/>
                <w:lang w:val="zh-CN" w:eastAsia="zh-CN" w:bidi="ar-SA"/>
              </w:rPr>
              <w:t>例行巡检和保养措施、服务质量保障</w:t>
            </w:r>
            <w:r>
              <w:rPr>
                <w:rFonts w:hint="eastAsia" w:ascii="Times New Roman" w:hAnsi="Times New Roman" w:eastAsia="宋体" w:cs="Times New Roman"/>
                <w:color w:val="auto"/>
                <w:kern w:val="2"/>
                <w:sz w:val="21"/>
                <w:szCs w:val="21"/>
                <w:highlight w:val="none"/>
                <w:lang w:val="en-US" w:eastAsia="zh-CN" w:bidi="ar-SA"/>
              </w:rPr>
              <w:t>方案</w:t>
            </w:r>
            <w:r>
              <w:rPr>
                <w:rFonts w:hint="eastAsia" w:ascii="宋体" w:hAnsi="宋体" w:eastAsia="宋体" w:cs="宋体"/>
                <w:color w:val="auto"/>
                <w:sz w:val="21"/>
                <w:szCs w:val="21"/>
                <w:highlight w:val="none"/>
                <w:lang w:val="en-US" w:eastAsia="zh-CN"/>
              </w:rPr>
              <w:t>内容比较详尽、符合程度一般的得</w:t>
            </w:r>
            <w:r>
              <w:rPr>
                <w:rFonts w:hint="eastAsia" w:ascii="宋体" w:hAnsi="宋体" w:cs="宋体"/>
                <w:color w:val="auto"/>
                <w:sz w:val="21"/>
                <w:szCs w:val="21"/>
                <w:highlight w:val="none"/>
                <w:lang w:val="en-US" w:eastAsia="zh-CN"/>
              </w:rPr>
              <w:t>2-4</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③</w:t>
            </w:r>
            <w:r>
              <w:rPr>
                <w:rFonts w:hint="eastAsia" w:ascii="宋体" w:hAnsi="宋体" w:eastAsia="宋体" w:cs="宋体"/>
                <w:color w:val="auto"/>
                <w:sz w:val="21"/>
                <w:szCs w:val="21"/>
                <w:highlight w:val="none"/>
                <w:lang w:val="en-US" w:eastAsia="zh-CN"/>
              </w:rPr>
              <w:t>内容有欠缺或不到位得</w:t>
            </w:r>
            <w:r>
              <w:rPr>
                <w:rFonts w:hint="eastAsia" w:ascii="宋体" w:hAnsi="宋体" w:cs="宋体"/>
                <w:color w:val="auto"/>
                <w:sz w:val="21"/>
                <w:szCs w:val="21"/>
                <w:highlight w:val="none"/>
                <w:lang w:val="en-US" w:eastAsia="zh-CN"/>
              </w:rPr>
              <w:t>1-2</w:t>
            </w:r>
            <w:r>
              <w:rPr>
                <w:rFonts w:hint="eastAsia" w:ascii="宋体" w:hAnsi="宋体" w:eastAsia="宋体" w:cs="宋体"/>
                <w:color w:val="auto"/>
                <w:sz w:val="21"/>
                <w:szCs w:val="21"/>
                <w:highlight w:val="none"/>
                <w:lang w:val="en-US" w:eastAsia="zh-CN"/>
              </w:rPr>
              <w:t>分；</w:t>
            </w:r>
          </w:p>
          <w:p>
            <w:pPr>
              <w:keepNext w:val="0"/>
              <w:keepLines w:val="0"/>
              <w:pageBreakBefore w:val="0"/>
              <w:widowControl w:val="0"/>
              <w:numPr>
                <w:ilvl w:val="0"/>
                <w:numId w:val="0"/>
              </w:numPr>
              <w:kinsoku/>
              <w:wordWrap/>
              <w:overflowPunct/>
              <w:topLinePunct w:val="0"/>
              <w:autoSpaceDE/>
              <w:autoSpaceDN/>
              <w:bidi w:val="0"/>
              <w:snapToGrid/>
              <w:spacing w:line="312" w:lineRule="auto"/>
              <w:ind w:leftChars="0"/>
              <w:rPr>
                <w:rFonts w:hint="eastAsia" w:ascii="Times New Roman" w:hAnsi="Times New Roman" w:eastAsia="宋体" w:cs="Times New Roman"/>
                <w:color w:val="auto"/>
                <w:kern w:val="2"/>
                <w:sz w:val="21"/>
                <w:szCs w:val="21"/>
                <w:highlight w:val="none"/>
                <w:lang w:val="zh-CN" w:eastAsia="zh-CN" w:bidi="ar-SA"/>
              </w:rPr>
            </w:pPr>
            <w:r>
              <w:rPr>
                <w:rFonts w:hint="eastAsia" w:ascii="Times New Roman" w:hAnsi="Times New Roman" w:eastAsia="宋体" w:cs="Times New Roman"/>
                <w:color w:val="auto"/>
                <w:kern w:val="2"/>
                <w:sz w:val="21"/>
                <w:szCs w:val="21"/>
                <w:highlight w:val="none"/>
                <w:lang w:val="en-US" w:eastAsia="zh-CN" w:bidi="ar-SA"/>
              </w:rPr>
              <w:t>④未提供的不得分。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numPr>
                <w:ilvl w:val="0"/>
                <w:numId w:val="0"/>
              </w:numPr>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派遣至</w:t>
            </w:r>
            <w:r>
              <w:rPr>
                <w:rFonts w:hint="eastAsia" w:ascii="宋体" w:hAnsi="宋体" w:eastAsia="宋体" w:cs="宋体"/>
                <w:color w:val="auto"/>
                <w:sz w:val="21"/>
                <w:szCs w:val="21"/>
                <w:highlight w:val="none"/>
                <w:lang w:val="zh-CN"/>
              </w:rPr>
              <w:t>本项目的</w:t>
            </w:r>
            <w:r>
              <w:rPr>
                <w:rFonts w:hint="eastAsia" w:ascii="宋体" w:hAnsi="宋体" w:eastAsia="宋体" w:cs="宋体"/>
                <w:color w:val="auto"/>
                <w:kern w:val="2"/>
                <w:sz w:val="21"/>
                <w:szCs w:val="21"/>
                <w:highlight w:val="none"/>
              </w:rPr>
              <w:t>巡检工程师</w:t>
            </w:r>
            <w:r>
              <w:rPr>
                <w:rFonts w:hint="eastAsia" w:ascii="宋体" w:hAnsi="宋体" w:eastAsia="宋体" w:cs="宋体"/>
                <w:color w:val="auto"/>
                <w:sz w:val="21"/>
                <w:szCs w:val="21"/>
                <w:highlight w:val="none"/>
                <w:lang w:val="zh-CN"/>
              </w:rPr>
              <w:t>：根据人员的</w:t>
            </w:r>
            <w:r>
              <w:rPr>
                <w:rFonts w:hint="eastAsia" w:ascii="宋体" w:hAnsi="宋体" w:eastAsia="宋体" w:cs="宋体"/>
                <w:color w:val="auto"/>
                <w:sz w:val="21"/>
                <w:szCs w:val="21"/>
                <w:highlight w:val="none"/>
                <w:lang w:val="en-US" w:eastAsia="zh-CN"/>
              </w:rPr>
              <w:t>工作简历、</w:t>
            </w:r>
            <w:r>
              <w:rPr>
                <w:rFonts w:hint="eastAsia" w:ascii="宋体" w:hAnsi="宋体" w:eastAsia="宋体" w:cs="宋体"/>
                <w:color w:val="auto"/>
                <w:sz w:val="21"/>
                <w:szCs w:val="21"/>
                <w:highlight w:val="none"/>
                <w:lang w:val="zh-CN"/>
              </w:rPr>
              <w:t>资质、能力、项目经验综合评价进行评比并酌情给分</w:t>
            </w:r>
            <w:r>
              <w:rPr>
                <w:rFonts w:hint="eastAsia" w:ascii="宋体" w:hAnsi="宋体" w:cs="宋体"/>
                <w:color w:val="auto"/>
                <w:sz w:val="21"/>
                <w:szCs w:val="21"/>
                <w:highlight w:val="none"/>
                <w:lang w:val="zh-CN"/>
              </w:rPr>
              <w:t>：</w:t>
            </w:r>
          </w:p>
          <w:p>
            <w:pPr>
              <w:keepNext w:val="0"/>
              <w:keepLines w:val="0"/>
              <w:pageBreakBefore w:val="0"/>
              <w:widowControl w:val="0"/>
              <w:numPr>
                <w:ilvl w:val="0"/>
                <w:numId w:val="0"/>
              </w:numPr>
              <w:kinsoku/>
              <w:wordWrap/>
              <w:overflowPunct/>
              <w:topLinePunct w:val="0"/>
              <w:autoSpaceDE/>
              <w:autoSpaceDN/>
              <w:bidi w:val="0"/>
              <w:snapToGrid/>
              <w:spacing w:line="312" w:lineRule="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①拟派本项目巡检工程师资历优秀、类似项目经验丰富的得3-4分；</w:t>
            </w:r>
          </w:p>
          <w:p>
            <w:pPr>
              <w:keepNext w:val="0"/>
              <w:keepLines w:val="0"/>
              <w:pageBreakBefore w:val="0"/>
              <w:widowControl w:val="0"/>
              <w:numPr>
                <w:ilvl w:val="0"/>
                <w:numId w:val="0"/>
              </w:numPr>
              <w:kinsoku/>
              <w:wordWrap/>
              <w:overflowPunct/>
              <w:topLinePunct w:val="0"/>
              <w:autoSpaceDE/>
              <w:autoSpaceDN/>
              <w:bidi w:val="0"/>
              <w:snapToGrid/>
              <w:spacing w:line="312" w:lineRule="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②拟派本项目巡检工程师资历一般、项目经验一般的得2-3分；</w:t>
            </w:r>
          </w:p>
          <w:p>
            <w:pPr>
              <w:keepNext w:val="0"/>
              <w:keepLines w:val="0"/>
              <w:pageBreakBefore w:val="0"/>
              <w:widowControl w:val="0"/>
              <w:numPr>
                <w:ilvl w:val="0"/>
                <w:numId w:val="0"/>
              </w:numPr>
              <w:kinsoku/>
              <w:wordWrap/>
              <w:overflowPunct/>
              <w:topLinePunct w:val="0"/>
              <w:autoSpaceDE/>
              <w:autoSpaceDN/>
              <w:bidi w:val="0"/>
              <w:snapToGrid/>
              <w:spacing w:line="312" w:lineRule="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③拟派本项目巡检工程资料差、无项目经验的得1-2分；</w:t>
            </w:r>
          </w:p>
          <w:p>
            <w:pPr>
              <w:keepNext w:val="0"/>
              <w:keepLines w:val="0"/>
              <w:pageBreakBefore w:val="0"/>
              <w:widowControl w:val="0"/>
              <w:numPr>
                <w:ilvl w:val="0"/>
                <w:numId w:val="0"/>
              </w:numPr>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eastAsia="zh-CN"/>
              </w:rPr>
            </w:pPr>
            <w:r>
              <w:rPr>
                <w:rFonts w:hint="eastAsia" w:ascii="Times New Roman" w:hAnsi="Times New Roman" w:eastAsia="宋体" w:cs="Times New Roman"/>
                <w:color w:val="auto"/>
                <w:kern w:val="2"/>
                <w:sz w:val="21"/>
                <w:szCs w:val="21"/>
                <w:highlight w:val="none"/>
                <w:lang w:val="en-US" w:eastAsia="zh-CN" w:bidi="ar-SA"/>
              </w:rPr>
              <w:t>④未提供的不得分</w:t>
            </w:r>
            <w:r>
              <w:rPr>
                <w:rFonts w:hint="eastAsia" w:ascii="宋体" w:hAnsi="宋体" w:eastAsia="宋体" w:cs="宋体"/>
                <w:color w:val="auto"/>
                <w:sz w:val="21"/>
                <w:szCs w:val="21"/>
                <w:highlight w:val="none"/>
                <w:lang w:val="zh-CN"/>
              </w:rPr>
              <w:t>。</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18</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8、根据投标人提供本地化服务的能力综合评价进行评比并酌情给分（</w:t>
            </w:r>
            <w:r>
              <w:rPr>
                <w:rFonts w:hint="eastAsia" w:ascii="宋体" w:hAnsi="宋体" w:eastAsia="宋体" w:cs="宋体"/>
                <w:color w:val="auto"/>
                <w:sz w:val="21"/>
                <w:szCs w:val="21"/>
                <w:highlight w:val="none"/>
                <w:lang w:val="en-US" w:eastAsia="zh-CN"/>
              </w:rPr>
              <w:t>14</w:t>
            </w:r>
            <w:r>
              <w:rPr>
                <w:rFonts w:hint="eastAsia" w:ascii="宋体" w:hAnsi="宋体" w:eastAsia="宋体" w:cs="宋体"/>
                <w:color w:val="auto"/>
                <w:sz w:val="21"/>
                <w:szCs w:val="21"/>
                <w:highlight w:val="none"/>
                <w:lang w:val="zh-CN"/>
              </w:rPr>
              <w:t>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8.1、</w:t>
            </w:r>
            <w:r>
              <w:rPr>
                <w:rFonts w:hint="eastAsia" w:ascii="宋体" w:hAnsi="宋体" w:eastAsia="宋体" w:cs="宋体"/>
                <w:color w:val="auto"/>
                <w:sz w:val="21"/>
                <w:szCs w:val="21"/>
                <w:highlight w:val="none"/>
                <w:lang w:val="zh-CN"/>
              </w:rPr>
              <w:t>技术服务团队</w:t>
            </w:r>
            <w:r>
              <w:rPr>
                <w:rFonts w:hint="eastAsia" w:ascii="宋体" w:hAnsi="宋体" w:eastAsia="宋体" w:cs="宋体"/>
                <w:color w:val="auto"/>
                <w:sz w:val="21"/>
                <w:szCs w:val="21"/>
                <w:highlight w:val="none"/>
                <w:lang w:val="en-US" w:eastAsia="zh-CN"/>
              </w:rPr>
              <w:t>中</w:t>
            </w:r>
            <w:r>
              <w:rPr>
                <w:rFonts w:hint="eastAsia" w:ascii="宋体" w:hAnsi="宋体" w:eastAsia="宋体" w:cs="宋体"/>
                <w:color w:val="auto"/>
                <w:sz w:val="21"/>
                <w:szCs w:val="21"/>
                <w:highlight w:val="none"/>
                <w:lang w:val="zh-CN"/>
              </w:rPr>
              <w:t>技术工程师包括人员数量、人员素质（包括oracle认证工程师、高级项目经理、itss认证IT服务项目经理、itss认证IT服务工程师、信息安全工程师等，相关人员必须为投标人公司人员</w:t>
            </w: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val="zh-CN"/>
              </w:rPr>
              <w:t>投标时需提技术工程师相关证书</w:t>
            </w:r>
            <w:r>
              <w:rPr>
                <w:rFonts w:hint="eastAsia" w:ascii="宋体" w:hAnsi="宋体" w:eastAsia="宋体" w:cs="宋体"/>
                <w:color w:val="auto"/>
                <w:sz w:val="21"/>
                <w:szCs w:val="21"/>
                <w:highlight w:val="none"/>
                <w:lang w:val="en-US" w:eastAsia="zh-CN"/>
              </w:rPr>
              <w:t>和</w:t>
            </w:r>
            <w:r>
              <w:rPr>
                <w:rFonts w:hint="eastAsia" w:ascii="宋体" w:hAnsi="宋体" w:eastAsia="宋体" w:cs="宋体"/>
                <w:color w:val="auto"/>
                <w:sz w:val="21"/>
                <w:szCs w:val="21"/>
                <w:highlight w:val="none"/>
                <w:lang w:val="zh-CN"/>
              </w:rPr>
              <w:t>近</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个月社保缴纳证明）等综合评价进行评比并酌情给分（</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lang w:val="zh-CN"/>
              </w:rPr>
              <w:t>分)</w:t>
            </w:r>
            <w:r>
              <w:rPr>
                <w:rFonts w:hint="eastAsia" w:ascii="宋体" w:hAnsi="宋体" w:eastAsia="宋体" w:cs="宋体"/>
                <w:color w:val="auto"/>
                <w:sz w:val="21"/>
                <w:szCs w:val="21"/>
                <w:highlight w:val="none"/>
                <w:lang w:val="en-US" w:eastAsia="zh-CN"/>
              </w:rPr>
              <w:t>。</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①拟派本项目的服务团队人员维护能力强、经验丰富、所配人员证书齐全、综合能力高的得8-10分；</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②拟派本项目的服务团队人员欠缺，维修能力一般、经验略欠缺、所配人员证书欠缺的得4-8分；</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③其它情况得0-4分。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vMerge w:val="continue"/>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8.2</w:t>
            </w:r>
            <w:r>
              <w:rPr>
                <w:rFonts w:hint="eastAsia" w:ascii="宋体" w:hAnsi="宋体" w:eastAsia="宋体" w:cs="宋体"/>
                <w:color w:val="auto"/>
                <w:sz w:val="21"/>
                <w:szCs w:val="21"/>
                <w:highlight w:val="none"/>
                <w:lang w:val="zh-CN"/>
              </w:rPr>
              <w:t>本地化服务</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包含但不仅限于</w:t>
            </w:r>
            <w:r>
              <w:rPr>
                <w:rFonts w:hint="eastAsia" w:ascii="宋体" w:hAnsi="宋体" w:eastAsia="宋体" w:cs="宋体"/>
                <w:color w:val="auto"/>
                <w:sz w:val="21"/>
                <w:szCs w:val="21"/>
                <w:highlight w:val="none"/>
                <w:lang w:val="zh-CN"/>
              </w:rPr>
              <w:t>服务场所面积、服务设施和服务人员的数量、经验、资质等综合评价）：</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①提供的售后服务</w:t>
            </w:r>
            <w:r>
              <w:rPr>
                <w:rFonts w:hint="eastAsia" w:ascii="宋体" w:hAnsi="宋体" w:eastAsia="宋体" w:cs="宋体"/>
                <w:color w:val="auto"/>
                <w:sz w:val="21"/>
                <w:szCs w:val="21"/>
                <w:highlight w:val="none"/>
                <w:lang w:val="en-US" w:eastAsia="zh-CN"/>
              </w:rPr>
              <w:t>及本地化服务</w:t>
            </w:r>
            <w:r>
              <w:rPr>
                <w:rFonts w:hint="eastAsia" w:ascii="宋体" w:hAnsi="宋体" w:eastAsia="宋体" w:cs="宋体"/>
                <w:color w:val="auto"/>
                <w:sz w:val="21"/>
                <w:szCs w:val="21"/>
                <w:highlight w:val="none"/>
              </w:rPr>
              <w:t>方案完整，针对性、可行性、合理性、可靠性强</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服务人员充足、经验丰富</w:t>
            </w:r>
            <w:r>
              <w:rPr>
                <w:rFonts w:hint="eastAsia" w:ascii="宋体" w:hAnsi="宋体" w:eastAsia="宋体" w:cs="宋体"/>
                <w:color w:val="auto"/>
                <w:sz w:val="21"/>
                <w:szCs w:val="21"/>
                <w:highlight w:val="none"/>
              </w:rPr>
              <w:t>，完全满足采购人需求的得</w:t>
            </w:r>
            <w:r>
              <w:rPr>
                <w:rFonts w:hint="eastAsia" w:ascii="宋体" w:hAnsi="宋体" w:eastAsia="宋体" w:cs="宋体"/>
                <w:color w:val="auto"/>
                <w:sz w:val="21"/>
                <w:szCs w:val="21"/>
                <w:highlight w:val="none"/>
                <w:lang w:val="en-US" w:eastAsia="zh-CN"/>
              </w:rPr>
              <w:t>3-4</w:t>
            </w:r>
            <w:r>
              <w:rPr>
                <w:rFonts w:hint="eastAsia" w:ascii="宋体" w:hAnsi="宋体" w:eastAsia="宋体" w:cs="宋体"/>
                <w:color w:val="auto"/>
                <w:sz w:val="21"/>
                <w:szCs w:val="21"/>
                <w:highlight w:val="none"/>
              </w:rPr>
              <w:t>分；</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②提供的售后服务</w:t>
            </w:r>
            <w:r>
              <w:rPr>
                <w:rFonts w:hint="eastAsia" w:ascii="宋体" w:hAnsi="宋体" w:eastAsia="宋体" w:cs="宋体"/>
                <w:color w:val="auto"/>
                <w:sz w:val="21"/>
                <w:szCs w:val="21"/>
                <w:highlight w:val="none"/>
                <w:lang w:val="en-US" w:eastAsia="zh-CN"/>
              </w:rPr>
              <w:t>及本地化服务</w:t>
            </w:r>
            <w:r>
              <w:rPr>
                <w:rFonts w:hint="eastAsia" w:ascii="宋体" w:hAnsi="宋体" w:eastAsia="宋体" w:cs="宋体"/>
                <w:color w:val="auto"/>
                <w:sz w:val="21"/>
                <w:szCs w:val="21"/>
                <w:highlight w:val="none"/>
              </w:rPr>
              <w:t>方案较完整，针对性、可行性、合理性、可靠性较强</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服务人员数量一般、经验一般</w:t>
            </w:r>
            <w:r>
              <w:rPr>
                <w:rFonts w:hint="eastAsia" w:ascii="宋体" w:hAnsi="宋体" w:eastAsia="宋体" w:cs="宋体"/>
                <w:color w:val="auto"/>
                <w:sz w:val="21"/>
                <w:szCs w:val="21"/>
                <w:highlight w:val="none"/>
              </w:rPr>
              <w:t>，较好的满足采购人需求的得</w:t>
            </w:r>
            <w:r>
              <w:rPr>
                <w:rFonts w:hint="eastAsia" w:ascii="宋体" w:hAnsi="宋体" w:eastAsia="宋体" w:cs="宋体"/>
                <w:color w:val="auto"/>
                <w:sz w:val="21"/>
                <w:szCs w:val="21"/>
                <w:highlight w:val="none"/>
                <w:lang w:val="en-US" w:eastAsia="zh-CN"/>
              </w:rPr>
              <w:t>2-3</w:t>
            </w:r>
            <w:r>
              <w:rPr>
                <w:rFonts w:hint="eastAsia" w:ascii="宋体" w:hAnsi="宋体" w:eastAsia="宋体" w:cs="宋体"/>
                <w:color w:val="auto"/>
                <w:sz w:val="21"/>
                <w:szCs w:val="21"/>
                <w:highlight w:val="none"/>
              </w:rPr>
              <w:t>分；</w:t>
            </w:r>
          </w:p>
          <w:p>
            <w:pPr>
              <w:keepNext w:val="0"/>
              <w:keepLines w:val="0"/>
              <w:pageBreakBefore w:val="0"/>
              <w:widowControl w:val="0"/>
              <w:kinsoku/>
              <w:wordWrap/>
              <w:overflowPunct/>
              <w:topLinePunct w:val="0"/>
              <w:autoSpaceDE/>
              <w:autoSpaceDN/>
              <w:bidi w:val="0"/>
              <w:snapToGrid/>
              <w:spacing w:line="312"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③提供基本的售后服务</w:t>
            </w:r>
            <w:r>
              <w:rPr>
                <w:rFonts w:hint="eastAsia" w:ascii="宋体" w:hAnsi="宋体" w:eastAsia="宋体" w:cs="宋体"/>
                <w:color w:val="auto"/>
                <w:sz w:val="21"/>
                <w:szCs w:val="21"/>
                <w:highlight w:val="none"/>
                <w:lang w:val="en-US" w:eastAsia="zh-CN"/>
              </w:rPr>
              <w:t>及本地化服务</w:t>
            </w:r>
            <w:r>
              <w:rPr>
                <w:rFonts w:hint="eastAsia" w:ascii="宋体" w:hAnsi="宋体" w:eastAsia="宋体" w:cs="宋体"/>
                <w:color w:val="auto"/>
                <w:sz w:val="21"/>
                <w:szCs w:val="21"/>
                <w:highlight w:val="none"/>
              </w:rPr>
              <w:t>方案内容有部分疏漏，针对性、可行性、合理性、可靠性较弱</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服务人员欠缺或未提供本项内容</w:t>
            </w:r>
            <w:r>
              <w:rPr>
                <w:rFonts w:hint="eastAsia" w:ascii="宋体" w:hAnsi="宋体" w:eastAsia="宋体" w:cs="宋体"/>
                <w:color w:val="auto"/>
                <w:sz w:val="21"/>
                <w:szCs w:val="21"/>
                <w:highlight w:val="none"/>
              </w:rPr>
              <w:t>的得</w:t>
            </w:r>
            <w:r>
              <w:rPr>
                <w:rFonts w:hint="eastAsia" w:ascii="宋体" w:hAnsi="宋体" w:eastAsia="宋体" w:cs="宋体"/>
                <w:color w:val="auto"/>
                <w:sz w:val="21"/>
                <w:szCs w:val="21"/>
                <w:highlight w:val="none"/>
                <w:lang w:val="en-US" w:eastAsia="zh-CN"/>
              </w:rPr>
              <w:t>0-2</w:t>
            </w:r>
            <w:r>
              <w:rPr>
                <w:rFonts w:hint="eastAsia" w:ascii="宋体" w:hAnsi="宋体" w:eastAsia="宋体" w:cs="宋体"/>
                <w:color w:val="auto"/>
                <w:sz w:val="21"/>
                <w:szCs w:val="21"/>
                <w:highlight w:val="none"/>
              </w:rPr>
              <w:t>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6" w:hRule="atLeast"/>
          <w:jc w:val="center"/>
        </w:trPr>
        <w:tc>
          <w:tcPr>
            <w:tcW w:w="786" w:type="dxa"/>
            <w:vMerge w:val="continue"/>
            <w:tcBorders>
              <w:left w:val="single" w:color="auto" w:sz="12"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p>
        </w:tc>
        <w:tc>
          <w:tcPr>
            <w:tcW w:w="1120" w:type="dxa"/>
            <w:vMerge w:val="continue"/>
            <w:tcBorders>
              <w:left w:val="single" w:color="auto" w:sz="12"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00"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8.3根据针对本项目设备的备品备件情况</w:t>
            </w:r>
            <w:r>
              <w:rPr>
                <w:rFonts w:hint="eastAsia" w:ascii="宋体" w:hAnsi="宋体" w:eastAsia="宋体" w:cs="宋体"/>
                <w:color w:val="auto"/>
                <w:sz w:val="21"/>
                <w:szCs w:val="21"/>
                <w:highlight w:val="none"/>
                <w:lang w:val="zh-CN"/>
              </w:rPr>
              <w:t>综合评价进行评比并酌情给分：</w:t>
            </w:r>
          </w:p>
          <w:p>
            <w:pPr>
              <w:keepNext w:val="0"/>
              <w:keepLines w:val="0"/>
              <w:pageBreakBefore w:val="0"/>
              <w:widowControl w:val="0"/>
              <w:kinsoku/>
              <w:wordWrap/>
              <w:overflowPunct/>
              <w:topLinePunct w:val="0"/>
              <w:autoSpaceDE/>
              <w:autoSpaceDN/>
              <w:bidi w:val="0"/>
              <w:snapToGrid/>
              <w:spacing w:line="312"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color w:val="auto"/>
                <w:sz w:val="21"/>
                <w:szCs w:val="21"/>
                <w:highlight w:val="none"/>
                <w:lang w:val="en-US" w:eastAsia="zh-CN"/>
              </w:rPr>
              <w:t>备品备件充分、清单详细、价格合理的得3-4分；</w:t>
            </w:r>
          </w:p>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②备品备件数量一般、价格较高的得2-3分；</w:t>
            </w:r>
          </w:p>
          <w:p>
            <w:pPr>
              <w:keepNext w:val="0"/>
              <w:keepLines w:val="0"/>
              <w:pageBreakBefore w:val="0"/>
              <w:widowControl w:val="0"/>
              <w:kinsoku/>
              <w:wordWrap/>
              <w:overflowPunct/>
              <w:topLinePunct w:val="0"/>
              <w:autoSpaceDE/>
              <w:autoSpaceDN/>
              <w:bidi w:val="0"/>
              <w:snapToGrid/>
              <w:spacing w:line="312"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color w:val="auto"/>
                <w:sz w:val="21"/>
                <w:szCs w:val="21"/>
                <w:highlight w:val="none"/>
                <w:lang w:val="en-US" w:eastAsia="zh-CN"/>
              </w:rPr>
              <w:t>备品备件不充足或未提供本项内容的得0-2分。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jc w:val="center"/>
        </w:trPr>
        <w:tc>
          <w:tcPr>
            <w:tcW w:w="786" w:type="dxa"/>
            <w:vMerge w:val="restart"/>
            <w:tcBorders>
              <w:top w:val="single" w:color="auto" w:sz="4" w:space="0"/>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1120" w:type="dxa"/>
            <w:vMerge w:val="restart"/>
            <w:tcBorders>
              <w:top w:val="single" w:color="auto" w:sz="4" w:space="0"/>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rPr>
              <w:t>商务</w:t>
            </w:r>
            <w:r>
              <w:rPr>
                <w:rFonts w:hint="eastAsia" w:ascii="宋体" w:hAnsi="宋体" w:eastAsia="宋体" w:cs="宋体"/>
                <w:color w:val="auto"/>
                <w:sz w:val="21"/>
                <w:szCs w:val="21"/>
                <w:highlight w:val="none"/>
                <w:lang w:val="en-US" w:eastAsia="zh-CN"/>
              </w:rPr>
              <w:t>资信（9分）</w:t>
            </w: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tabs>
                <w:tab w:val="left" w:pos="2040"/>
              </w:tabs>
              <w:kinsoku/>
              <w:wordWrap/>
              <w:overflowPunct/>
              <w:topLinePunct w:val="0"/>
              <w:autoSpaceDE/>
              <w:autoSpaceDN/>
              <w:bidi w:val="0"/>
              <w:snapToGrid/>
              <w:spacing w:line="312" w:lineRule="auto"/>
              <w:ind w:left="-34"/>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3</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同类业绩3分：自2019年以来根据投标人完成运维案例的类似度等综合评价（以合同复印件为准，原件在开标时随带备查）。每个案例得1分，最多得3分；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jc w:val="center"/>
        </w:trPr>
        <w:tc>
          <w:tcPr>
            <w:tcW w:w="786"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rPr>
            </w:pPr>
          </w:p>
        </w:tc>
        <w:tc>
          <w:tcPr>
            <w:tcW w:w="1120" w:type="dxa"/>
            <w:vMerge w:val="continue"/>
            <w:tcBorders>
              <w:left w:val="single" w:color="auto" w:sz="12"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zh-CN"/>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tabs>
                <w:tab w:val="left" w:pos="2040"/>
              </w:tabs>
              <w:kinsoku/>
              <w:wordWrap/>
              <w:overflowPunct/>
              <w:topLinePunct w:val="0"/>
              <w:autoSpaceDE/>
              <w:autoSpaceDN/>
              <w:bidi w:val="0"/>
              <w:snapToGrid/>
              <w:spacing w:line="312" w:lineRule="auto"/>
              <w:ind w:left="-34"/>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2、经营状况</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综合实力</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分；根据投标人</w:t>
            </w:r>
            <w:r>
              <w:rPr>
                <w:rFonts w:hint="eastAsia" w:ascii="宋体" w:hAnsi="宋体" w:eastAsia="宋体" w:cs="宋体"/>
                <w:color w:val="auto"/>
                <w:sz w:val="21"/>
                <w:szCs w:val="21"/>
                <w:highlight w:val="none"/>
                <w:lang w:val="zh-CN"/>
              </w:rPr>
              <w:t>企业认证、</w:t>
            </w:r>
            <w:r>
              <w:rPr>
                <w:rFonts w:hint="eastAsia" w:ascii="宋体" w:hAnsi="宋体" w:eastAsia="宋体" w:cs="宋体"/>
                <w:color w:val="auto"/>
                <w:sz w:val="21"/>
                <w:szCs w:val="21"/>
                <w:highlight w:val="none"/>
              </w:rPr>
              <w:t>运维类隐私信息管理体系</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涉密信息系统集成资质综合评价</w:t>
            </w:r>
            <w:r>
              <w:rPr>
                <w:rFonts w:hint="eastAsia" w:ascii="宋体" w:hAnsi="宋体" w:eastAsia="宋体" w:cs="宋体"/>
                <w:color w:val="auto"/>
                <w:sz w:val="21"/>
                <w:szCs w:val="21"/>
                <w:highlight w:val="none"/>
                <w:lang w:val="zh-CN"/>
              </w:rPr>
              <w:t>进行评比并酌情给分。</w:t>
            </w:r>
            <w:r>
              <w:rPr>
                <w:rFonts w:hint="eastAsia" w:ascii="宋体" w:hAnsi="宋体" w:eastAsia="宋体" w:cs="宋体"/>
                <w:color w:val="auto"/>
                <w:sz w:val="21"/>
                <w:szCs w:val="21"/>
                <w:highlight w:val="none"/>
                <w:lang w:val="en-US" w:eastAsia="zh-CN"/>
              </w:rPr>
              <w:t>优得4分，良得3分，一般得2分，差得0-1分。</w:t>
            </w:r>
            <w:r>
              <w:rPr>
                <w:rFonts w:hint="eastAsia" w:ascii="宋体" w:hAnsi="宋体" w:eastAsia="宋体" w:cs="宋体"/>
                <w:color w:val="auto"/>
                <w:sz w:val="21"/>
                <w:szCs w:val="21"/>
                <w:highlight w:val="none"/>
              </w:rPr>
              <w:t>。</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jc w:val="center"/>
        </w:trPr>
        <w:tc>
          <w:tcPr>
            <w:tcW w:w="786" w:type="dxa"/>
            <w:vMerge w:val="continue"/>
            <w:tcBorders>
              <w:left w:val="single" w:color="auto" w:sz="12"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rPr>
            </w:pPr>
          </w:p>
        </w:tc>
        <w:tc>
          <w:tcPr>
            <w:tcW w:w="1120" w:type="dxa"/>
            <w:vMerge w:val="continue"/>
            <w:tcBorders>
              <w:left w:val="single" w:color="auto" w:sz="12"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zh-CN"/>
              </w:rPr>
            </w:pP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tabs>
                <w:tab w:val="left" w:pos="2040"/>
              </w:tabs>
              <w:kinsoku/>
              <w:wordWrap/>
              <w:overflowPunct/>
              <w:topLinePunct w:val="0"/>
              <w:autoSpaceDE/>
              <w:autoSpaceDN/>
              <w:bidi w:val="0"/>
              <w:snapToGrid/>
              <w:spacing w:line="312" w:lineRule="auto"/>
              <w:ind w:left="-34"/>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7179" w:type="dxa"/>
            <w:tcBorders>
              <w:top w:val="single" w:color="auto" w:sz="4" w:space="0"/>
              <w:left w:val="single" w:color="auto" w:sz="4" w:space="0"/>
              <w:bottom w:val="single" w:color="auto" w:sz="4" w:space="0"/>
              <w:right w:val="single" w:color="auto" w:sz="12" w:space="0"/>
            </w:tcBorders>
            <w:noWrap w:val="0"/>
            <w:vAlign w:val="top"/>
          </w:tcPr>
          <w:p>
            <w:pPr>
              <w:keepNext w:val="0"/>
              <w:keepLines w:val="0"/>
              <w:pageBreakBefore w:val="0"/>
              <w:widowControl w:val="0"/>
              <w:kinsoku/>
              <w:wordWrap/>
              <w:overflowPunct/>
              <w:topLinePunct w:val="0"/>
              <w:autoSpaceDE/>
              <w:autoSpaceDN/>
              <w:bidi w:val="0"/>
              <w:snapToGrid/>
              <w:spacing w:line="312"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、投标人拥有自有的IT服务维护系统得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分（提供软件著作权证书复印件）没有不得分。</w:t>
            </w:r>
          </w:p>
        </w:tc>
      </w:tr>
      <w:tr>
        <w:tblPrEx>
          <w:tblBorders>
            <w:top w:val="single" w:color="auto" w:sz="12" w:space="0"/>
            <w:left w:val="single" w:color="auto" w:sz="12" w:space="0"/>
            <w:bottom w:val="single" w:color="auto" w:sz="12"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8" w:hRule="atLeast"/>
          <w:jc w:val="center"/>
        </w:trPr>
        <w:tc>
          <w:tcPr>
            <w:tcW w:w="786" w:type="dxa"/>
            <w:tcBorders>
              <w:top w:val="single" w:color="auto" w:sz="4" w:space="0"/>
              <w:left w:val="single" w:color="auto" w:sz="12"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120" w:type="dxa"/>
            <w:tcBorders>
              <w:top w:val="single" w:color="auto" w:sz="4" w:space="0"/>
              <w:left w:val="single" w:color="auto" w:sz="12"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政策性加分（1分）</w:t>
            </w:r>
          </w:p>
        </w:tc>
        <w:tc>
          <w:tcPr>
            <w:tcW w:w="7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tabs>
                <w:tab w:val="left" w:pos="2040"/>
              </w:tabs>
              <w:kinsoku/>
              <w:wordWrap/>
              <w:overflowPunct/>
              <w:topLinePunct w:val="0"/>
              <w:autoSpaceDE/>
              <w:autoSpaceDN/>
              <w:bidi w:val="0"/>
              <w:snapToGrid/>
              <w:spacing w:line="312" w:lineRule="auto"/>
              <w:ind w:left="-34"/>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7179" w:type="dxa"/>
            <w:tcBorders>
              <w:top w:val="single" w:color="auto" w:sz="4" w:space="0"/>
              <w:left w:val="single" w:color="auto" w:sz="4" w:space="0"/>
              <w:bottom w:val="single" w:color="auto" w:sz="4" w:space="0"/>
              <w:right w:val="single" w:color="auto" w:sz="12" w:space="0"/>
            </w:tcBorders>
            <w:noWrap w:val="0"/>
            <w:vAlign w:val="center"/>
          </w:tcPr>
          <w:p>
            <w:pPr>
              <w:keepNext w:val="0"/>
              <w:keepLines w:val="0"/>
              <w:pageBreakBefore w:val="0"/>
              <w:widowControl w:val="0"/>
              <w:kinsoku/>
              <w:wordWrap/>
              <w:overflowPunct/>
              <w:topLinePunct w:val="0"/>
              <w:autoSpaceDE/>
              <w:autoSpaceDN/>
              <w:bidi w:val="0"/>
              <w:snapToGrid/>
              <w:spacing w:line="312"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投标人是国家认定的不发达地区或少数民族地区企业的1分</w:t>
            </w:r>
          </w:p>
        </w:tc>
      </w:tr>
    </w:tbl>
    <w:p>
      <w:pPr>
        <w:pStyle w:val="38"/>
        <w:rPr>
          <w:rFonts w:hint="eastAsia" w:ascii="宋体" w:hAnsi="宋体"/>
          <w:b/>
          <w:color w:val="auto"/>
          <w:sz w:val="21"/>
          <w:szCs w:val="21"/>
          <w:highlight w:val="none"/>
        </w:rPr>
      </w:pPr>
    </w:p>
    <w:p>
      <w:pPr>
        <w:rPr>
          <w:rFonts w:hint="eastAsia" w:ascii="宋体" w:hAnsi="宋体"/>
          <w:b/>
          <w:color w:val="auto"/>
          <w:sz w:val="21"/>
          <w:szCs w:val="21"/>
          <w:highlight w:val="none"/>
        </w:rPr>
      </w:pPr>
    </w:p>
    <w:p>
      <w:pPr>
        <w:rPr>
          <w:rFonts w:hint="eastAsia" w:ascii="宋体" w:hAnsi="宋体"/>
          <w:color w:val="auto"/>
          <w:sz w:val="21"/>
          <w:szCs w:val="21"/>
          <w:highlight w:val="none"/>
        </w:rPr>
      </w:pPr>
    </w:p>
    <w:p>
      <w:pPr>
        <w:wordWrap w:val="0"/>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附表</w:t>
      </w:r>
      <w:r>
        <w:rPr>
          <w:rFonts w:ascii="宋体" w:hAnsi="宋体"/>
          <w:color w:val="auto"/>
          <w:sz w:val="21"/>
          <w:szCs w:val="21"/>
          <w:highlight w:val="none"/>
        </w:rPr>
        <w:t>4</w:t>
      </w:r>
    </w:p>
    <w:p>
      <w:pPr>
        <w:widowControl/>
        <w:wordWrap w:val="0"/>
        <w:snapToGrid w:val="0"/>
        <w:spacing w:line="560" w:lineRule="exact"/>
        <w:jc w:val="center"/>
        <w:rPr>
          <w:rFonts w:ascii="宋体" w:hAnsi="宋体"/>
          <w:b/>
          <w:color w:val="auto"/>
          <w:sz w:val="21"/>
          <w:szCs w:val="21"/>
          <w:highlight w:val="none"/>
        </w:rPr>
      </w:pPr>
      <w:r>
        <w:rPr>
          <w:rFonts w:hint="eastAsia" w:ascii="宋体" w:hAnsi="宋体"/>
          <w:b/>
          <w:color w:val="auto"/>
          <w:sz w:val="21"/>
          <w:szCs w:val="21"/>
          <w:highlight w:val="none"/>
        </w:rPr>
        <w:t>价格评分表</w:t>
      </w:r>
    </w:p>
    <w:tbl>
      <w:tblPr>
        <w:tblStyle w:val="39"/>
        <w:tblW w:w="98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7604"/>
        <w:gridCol w:w="13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jc w:val="center"/>
        </w:trPr>
        <w:tc>
          <w:tcPr>
            <w:tcW w:w="8507" w:type="dxa"/>
            <w:gridSpan w:val="2"/>
            <w:tcBorders>
              <w:top w:val="double" w:color="auto" w:sz="4" w:space="0"/>
              <w:left w:val="double" w:color="auto" w:sz="4" w:space="0"/>
              <w:tl2br w:val="single" w:color="000000" w:sz="4" w:space="0"/>
            </w:tcBorders>
            <w:noWrap w:val="0"/>
            <w:vAlign w:val="top"/>
          </w:tcPr>
          <w:p>
            <w:pPr>
              <w:wordWrap w:val="0"/>
              <w:spacing w:line="320" w:lineRule="exact"/>
              <w:ind w:right="420" w:firstLine="4410" w:firstLineChars="2100"/>
              <w:rPr>
                <w:rFonts w:ascii="宋体" w:hAnsi="宋体"/>
                <w:color w:val="auto"/>
                <w:sz w:val="21"/>
                <w:szCs w:val="21"/>
                <w:highlight w:val="none"/>
              </w:rPr>
            </w:pPr>
            <w:r>
              <w:rPr>
                <w:rFonts w:ascii="宋体" w:hAnsi="宋体"/>
                <w:color w:val="auto"/>
                <w:sz w:val="21"/>
                <w:szCs w:val="21"/>
                <w:highlight w:val="none"/>
              </w:rPr>
              <w:t xml:space="preserve">                        </w:t>
            </w:r>
            <w:r>
              <w:rPr>
                <w:rFonts w:hint="eastAsia" w:ascii="宋体" w:hAnsi="宋体"/>
                <w:color w:val="auto"/>
                <w:sz w:val="21"/>
                <w:szCs w:val="21"/>
                <w:highlight w:val="none"/>
              </w:rPr>
              <w:t>供应商</w:t>
            </w:r>
          </w:p>
          <w:p>
            <w:pPr>
              <w:wordWrap w:val="0"/>
              <w:spacing w:line="320" w:lineRule="exact"/>
              <w:ind w:firstLine="945" w:firstLineChars="450"/>
              <w:rPr>
                <w:rFonts w:ascii="宋体" w:hAnsi="宋体"/>
                <w:color w:val="auto"/>
                <w:sz w:val="21"/>
                <w:szCs w:val="21"/>
                <w:highlight w:val="none"/>
                <w:lang w:val="ru-RU"/>
              </w:rPr>
            </w:pPr>
            <w:r>
              <w:rPr>
                <w:rFonts w:hint="eastAsia" w:ascii="宋体" w:hAnsi="宋体"/>
                <w:color w:val="auto"/>
                <w:sz w:val="21"/>
                <w:szCs w:val="21"/>
                <w:highlight w:val="none"/>
              </w:rPr>
              <w:t>分值</w:t>
            </w:r>
          </w:p>
        </w:tc>
        <w:tc>
          <w:tcPr>
            <w:tcW w:w="1339" w:type="dxa"/>
            <w:tcBorders>
              <w:top w:val="double" w:color="auto" w:sz="4" w:space="0"/>
              <w:right w:val="double" w:color="auto" w:sz="4" w:space="0"/>
            </w:tcBorders>
            <w:noWrap w:val="0"/>
            <w:vAlign w:val="center"/>
          </w:tcPr>
          <w:p>
            <w:pPr>
              <w:wordWrap w:val="0"/>
              <w:spacing w:line="320" w:lineRule="exact"/>
              <w:jc w:val="center"/>
              <w:rPr>
                <w:rFonts w:ascii="宋体" w:hAnsi="宋体"/>
                <w:color w:val="auto"/>
                <w:sz w:val="21"/>
                <w:szCs w:val="21"/>
                <w:highlight w:val="none"/>
                <w:lang w:val="ru-RU"/>
              </w:rPr>
            </w:pPr>
            <w:r>
              <w:rPr>
                <w:rFonts w:hint="eastAsia" w:ascii="宋体" w:hAnsi="宋体"/>
                <w:color w:val="auto"/>
                <w:sz w:val="21"/>
                <w:szCs w:val="21"/>
                <w:highlight w:val="none"/>
                <w:lang w:val="ru-RU"/>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903" w:type="dxa"/>
            <w:tcBorders>
              <w:left w:val="double" w:color="auto" w:sz="4" w:space="0"/>
            </w:tcBorders>
            <w:noWrap w:val="0"/>
            <w:vAlign w:val="center"/>
          </w:tcPr>
          <w:p>
            <w:pPr>
              <w:wordWrap w:val="0"/>
              <w:spacing w:line="360" w:lineRule="auto"/>
              <w:jc w:val="center"/>
              <w:rPr>
                <w:rFonts w:ascii="宋体" w:hAnsi="宋体"/>
                <w:color w:val="auto"/>
                <w:sz w:val="21"/>
                <w:szCs w:val="21"/>
                <w:highlight w:val="none"/>
              </w:rPr>
            </w:pPr>
            <w:r>
              <w:rPr>
                <w:rFonts w:hint="eastAsia" w:ascii="宋体" w:hAnsi="宋体"/>
                <w:color w:val="auto"/>
                <w:sz w:val="21"/>
                <w:szCs w:val="21"/>
                <w:highlight w:val="none"/>
              </w:rPr>
              <w:t>价格分</w:t>
            </w:r>
            <w:r>
              <w:rPr>
                <w:rFonts w:hint="eastAsia" w:ascii="宋体" w:hAnsi="宋体"/>
                <w:color w:val="auto"/>
                <w:sz w:val="21"/>
                <w:szCs w:val="21"/>
                <w:highlight w:val="none"/>
                <w:lang w:val="en-US" w:eastAsia="zh-CN"/>
              </w:rPr>
              <w:t>30</w:t>
            </w:r>
            <w:r>
              <w:rPr>
                <w:rFonts w:hint="eastAsia" w:ascii="宋体" w:hAnsi="宋体"/>
                <w:color w:val="auto"/>
                <w:sz w:val="21"/>
                <w:szCs w:val="21"/>
                <w:highlight w:val="none"/>
              </w:rPr>
              <w:t>分</w:t>
            </w:r>
          </w:p>
        </w:tc>
        <w:tc>
          <w:tcPr>
            <w:tcW w:w="7604" w:type="dxa"/>
            <w:noWrap w:val="0"/>
            <w:vAlign w:val="center"/>
          </w:tcPr>
          <w:p>
            <w:pPr>
              <w:adjustRightInd w:val="0"/>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参与评审的价格=投标报价</w:t>
            </w:r>
          </w:p>
          <w:p>
            <w:pPr>
              <w:adjustRightInd w:val="0"/>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满足招标文件要求且最低的参与评审的价格为评标基准价，其价格分为满分。其他投标供应商的价格分统一按照下列公式计算：</w:t>
            </w:r>
          </w:p>
          <w:p>
            <w:pPr>
              <w:pStyle w:val="13"/>
              <w:wordWrap w:val="0"/>
              <w:spacing w:line="360" w:lineRule="auto"/>
              <w:ind w:firstLine="0" w:firstLineChars="0"/>
              <w:rPr>
                <w:color w:val="auto"/>
                <w:spacing w:val="0"/>
                <w:kern w:val="2"/>
                <w:sz w:val="21"/>
                <w:szCs w:val="21"/>
                <w:highlight w:val="none"/>
              </w:rPr>
            </w:pPr>
            <w:r>
              <w:rPr>
                <w:rFonts w:hint="eastAsia" w:ascii="宋体" w:hAnsi="宋体" w:eastAsia="宋体" w:cs="宋体"/>
                <w:color w:val="auto"/>
                <w:sz w:val="21"/>
                <w:szCs w:val="21"/>
                <w:highlight w:val="none"/>
              </w:rPr>
              <w:t>投标报价得分=(评标基准价／参与评审的价格)×</w:t>
            </w:r>
            <w:r>
              <w:rPr>
                <w:rFonts w:hint="eastAsia" w:ascii="宋体" w:hAnsi="宋体" w:cs="宋体"/>
                <w:color w:val="auto"/>
                <w:sz w:val="21"/>
                <w:szCs w:val="21"/>
                <w:highlight w:val="none"/>
                <w:lang w:val="en-US" w:eastAsia="zh-CN"/>
              </w:rPr>
              <w:t>30</w:t>
            </w:r>
            <w:r>
              <w:rPr>
                <w:rFonts w:hint="eastAsia" w:ascii="宋体" w:hAnsi="宋体" w:eastAsia="宋体" w:cs="宋体"/>
                <w:color w:val="auto"/>
                <w:sz w:val="21"/>
                <w:szCs w:val="21"/>
                <w:highlight w:val="none"/>
              </w:rPr>
              <w:t>%×100</w:t>
            </w:r>
          </w:p>
        </w:tc>
        <w:tc>
          <w:tcPr>
            <w:tcW w:w="1339" w:type="dxa"/>
            <w:tcBorders>
              <w:right w:val="double" w:color="auto" w:sz="4" w:space="0"/>
            </w:tcBorders>
            <w:noWrap w:val="0"/>
            <w:vAlign w:val="center"/>
          </w:tcPr>
          <w:p>
            <w:pPr>
              <w:wordWrap w:val="0"/>
              <w:spacing w:line="360" w:lineRule="auto"/>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507" w:type="dxa"/>
            <w:gridSpan w:val="2"/>
            <w:tcBorders>
              <w:left w:val="double" w:color="auto" w:sz="4" w:space="0"/>
              <w:bottom w:val="double" w:color="auto" w:sz="4" w:space="0"/>
            </w:tcBorders>
            <w:noWrap w:val="0"/>
            <w:vAlign w:val="center"/>
          </w:tcPr>
          <w:p>
            <w:pPr>
              <w:wordWrap w:val="0"/>
              <w:spacing w:line="320" w:lineRule="exact"/>
              <w:jc w:val="center"/>
              <w:rPr>
                <w:rFonts w:ascii="宋体" w:hAnsi="宋体"/>
                <w:color w:val="auto"/>
                <w:sz w:val="21"/>
                <w:szCs w:val="21"/>
                <w:highlight w:val="none"/>
              </w:rPr>
            </w:pPr>
            <w:r>
              <w:rPr>
                <w:rFonts w:hint="eastAsia" w:ascii="宋体" w:hAnsi="宋体"/>
                <w:b/>
                <w:color w:val="auto"/>
                <w:sz w:val="21"/>
                <w:szCs w:val="21"/>
                <w:highlight w:val="none"/>
              </w:rPr>
              <w:t>报价得分（</w:t>
            </w:r>
            <w:r>
              <w:rPr>
                <w:rFonts w:hint="eastAsia" w:ascii="宋体" w:hAnsi="宋体"/>
                <w:b/>
                <w:color w:val="auto"/>
                <w:sz w:val="21"/>
                <w:szCs w:val="21"/>
                <w:highlight w:val="none"/>
                <w:lang w:val="en-US" w:eastAsia="zh-CN"/>
              </w:rPr>
              <w:t>30</w:t>
            </w:r>
            <w:r>
              <w:rPr>
                <w:rFonts w:hint="eastAsia" w:ascii="宋体" w:hAnsi="宋体"/>
                <w:b/>
                <w:color w:val="auto"/>
                <w:sz w:val="21"/>
                <w:szCs w:val="21"/>
                <w:highlight w:val="none"/>
              </w:rPr>
              <w:t>分）</w:t>
            </w:r>
          </w:p>
        </w:tc>
        <w:tc>
          <w:tcPr>
            <w:tcW w:w="1339" w:type="dxa"/>
            <w:tcBorders>
              <w:bottom w:val="double" w:color="auto" w:sz="4" w:space="0"/>
              <w:right w:val="double" w:color="auto" w:sz="4" w:space="0"/>
            </w:tcBorders>
            <w:noWrap w:val="0"/>
            <w:vAlign w:val="center"/>
          </w:tcPr>
          <w:p>
            <w:pPr>
              <w:wordWrap w:val="0"/>
              <w:spacing w:line="32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30</w:t>
            </w:r>
          </w:p>
        </w:tc>
      </w:tr>
    </w:tbl>
    <w:p>
      <w:pPr>
        <w:rPr>
          <w:rFonts w:ascii="宋体" w:hAnsi="宋体"/>
          <w:color w:val="auto"/>
          <w:sz w:val="21"/>
          <w:szCs w:val="21"/>
          <w:highlight w:val="none"/>
        </w:rPr>
      </w:pPr>
      <w:r>
        <w:rPr>
          <w:rFonts w:hint="eastAsia" w:ascii="宋体" w:hAnsi="宋体"/>
          <w:color w:val="auto"/>
          <w:sz w:val="21"/>
          <w:szCs w:val="21"/>
          <w:highlight w:val="none"/>
        </w:rPr>
        <w:br w:type="page"/>
      </w:r>
    </w:p>
    <w:bookmarkEnd w:id="91"/>
    <w:p>
      <w:pPr>
        <w:spacing w:line="480" w:lineRule="auto"/>
        <w:jc w:val="center"/>
        <w:rPr>
          <w:rFonts w:ascii="宋体"/>
          <w:color w:val="auto"/>
          <w:sz w:val="32"/>
          <w:szCs w:val="32"/>
          <w:highlight w:val="none"/>
        </w:rPr>
      </w:pPr>
      <w:bookmarkStart w:id="93" w:name="_Toc2749"/>
      <w:bookmarkStart w:id="94" w:name="_Toc241827252"/>
      <w:bookmarkStart w:id="95" w:name="_Toc86202637"/>
      <w:bookmarkStart w:id="96" w:name="_Toc241827256"/>
      <w:r>
        <w:rPr>
          <w:rStyle w:val="130"/>
          <w:rFonts w:hint="eastAsia"/>
          <w:color w:val="auto"/>
          <w:highlight w:val="none"/>
        </w:rPr>
        <w:t xml:space="preserve">第六部分  </w:t>
      </w:r>
      <w:bookmarkStart w:id="97" w:name="_Toc86202632"/>
      <w:r>
        <w:rPr>
          <w:rStyle w:val="130"/>
          <w:rFonts w:hint="eastAsia"/>
          <w:color w:val="auto"/>
          <w:highlight w:val="none"/>
        </w:rPr>
        <w:t>投标文件格式</w:t>
      </w:r>
      <w:bookmarkEnd w:id="93"/>
      <w:bookmarkEnd w:id="94"/>
      <w:bookmarkEnd w:id="97"/>
      <w:bookmarkStart w:id="98" w:name="_Toc86202633"/>
    </w:p>
    <w:p>
      <w:pPr>
        <w:spacing w:line="276" w:lineRule="auto"/>
        <w:rPr>
          <w:rFonts w:ascii="宋体"/>
          <w:color w:val="auto"/>
          <w:szCs w:val="24"/>
          <w:highlight w:val="none"/>
        </w:rPr>
      </w:pPr>
    </w:p>
    <w:p>
      <w:pPr>
        <w:spacing w:line="360" w:lineRule="auto"/>
        <w:rPr>
          <w:rFonts w:ascii="宋体"/>
          <w:color w:val="auto"/>
          <w:sz w:val="21"/>
          <w:szCs w:val="21"/>
          <w:highlight w:val="none"/>
        </w:rPr>
      </w:pPr>
      <w:bookmarkStart w:id="99" w:name="_Toc241827253"/>
      <w:r>
        <w:rPr>
          <w:rFonts w:hint="eastAsia" w:ascii="宋体"/>
          <w:color w:val="auto"/>
          <w:sz w:val="21"/>
          <w:szCs w:val="21"/>
          <w:highlight w:val="none"/>
        </w:rPr>
        <w:t>投标人提交文件须知</w:t>
      </w:r>
      <w:bookmarkEnd w:id="98"/>
      <w:bookmarkEnd w:id="99"/>
      <w:r>
        <w:rPr>
          <w:rFonts w:hint="eastAsia" w:ascii="宋体"/>
          <w:color w:val="auto"/>
          <w:sz w:val="21"/>
          <w:szCs w:val="21"/>
          <w:highlight w:val="none"/>
        </w:rPr>
        <w:t>：</w:t>
      </w:r>
    </w:p>
    <w:p>
      <w:pPr>
        <w:spacing w:line="360" w:lineRule="auto"/>
        <w:rPr>
          <w:rFonts w:ascii="宋体"/>
          <w:color w:val="auto"/>
          <w:sz w:val="21"/>
          <w:szCs w:val="21"/>
          <w:highlight w:val="none"/>
        </w:rPr>
      </w:pPr>
    </w:p>
    <w:p>
      <w:pPr>
        <w:spacing w:line="360" w:lineRule="auto"/>
        <w:ind w:left="348" w:leftChars="145"/>
        <w:rPr>
          <w:rFonts w:ascii="宋体"/>
          <w:color w:val="auto"/>
          <w:sz w:val="21"/>
          <w:szCs w:val="21"/>
          <w:highlight w:val="none"/>
        </w:rPr>
      </w:pPr>
      <w:r>
        <w:rPr>
          <w:rFonts w:hint="eastAsia" w:ascii="宋体"/>
          <w:color w:val="auto"/>
          <w:sz w:val="21"/>
          <w:szCs w:val="21"/>
          <w:highlight w:val="none"/>
        </w:rPr>
        <w:t>1、混乱的编排导致投标文件被误读或查找不到，后果由投标人承担。</w:t>
      </w:r>
    </w:p>
    <w:p>
      <w:pPr>
        <w:spacing w:line="360" w:lineRule="auto"/>
        <w:ind w:left="348" w:leftChars="145"/>
        <w:rPr>
          <w:rFonts w:ascii="宋体"/>
          <w:color w:val="auto"/>
          <w:sz w:val="21"/>
          <w:szCs w:val="21"/>
          <w:highlight w:val="none"/>
        </w:rPr>
      </w:pPr>
      <w:r>
        <w:rPr>
          <w:rFonts w:hint="eastAsia" w:ascii="宋体"/>
          <w:color w:val="auto"/>
          <w:sz w:val="21"/>
          <w:szCs w:val="21"/>
          <w:highlight w:val="none"/>
        </w:rPr>
        <w:t>2、所附表格中要求回答的全部问题和信息都必须正面回答。</w:t>
      </w:r>
    </w:p>
    <w:p>
      <w:pPr>
        <w:spacing w:line="360" w:lineRule="auto"/>
        <w:ind w:left="348" w:leftChars="145"/>
        <w:rPr>
          <w:rFonts w:ascii="宋体"/>
          <w:color w:val="auto"/>
          <w:sz w:val="21"/>
          <w:szCs w:val="21"/>
          <w:highlight w:val="none"/>
        </w:rPr>
      </w:pPr>
      <w:r>
        <w:rPr>
          <w:rFonts w:hint="eastAsia" w:ascii="宋体"/>
          <w:color w:val="auto"/>
          <w:sz w:val="21"/>
          <w:szCs w:val="21"/>
          <w:highlight w:val="none"/>
        </w:rPr>
        <w:t>3、本资格声明的签字人应保证全部声明和问题的回答是真实的和准确的。</w:t>
      </w:r>
    </w:p>
    <w:p>
      <w:pPr>
        <w:spacing w:line="360" w:lineRule="auto"/>
        <w:ind w:left="348" w:leftChars="145"/>
        <w:rPr>
          <w:rFonts w:ascii="宋体"/>
          <w:color w:val="auto"/>
          <w:sz w:val="21"/>
          <w:szCs w:val="21"/>
          <w:highlight w:val="none"/>
        </w:rPr>
      </w:pPr>
      <w:r>
        <w:rPr>
          <w:rFonts w:hint="eastAsia" w:ascii="宋体"/>
          <w:color w:val="auto"/>
          <w:sz w:val="21"/>
          <w:szCs w:val="21"/>
          <w:highlight w:val="none"/>
        </w:rPr>
        <w:t>4、评标委员会将应用投标人提交的资料并根据自己的判断，决定投标人履行合同的合格性及能力。</w:t>
      </w:r>
    </w:p>
    <w:p>
      <w:pPr>
        <w:spacing w:line="360" w:lineRule="auto"/>
        <w:ind w:left="348" w:leftChars="145"/>
        <w:rPr>
          <w:rFonts w:ascii="宋体"/>
          <w:color w:val="auto"/>
          <w:sz w:val="21"/>
          <w:szCs w:val="21"/>
          <w:highlight w:val="none"/>
        </w:rPr>
      </w:pPr>
      <w:r>
        <w:rPr>
          <w:rFonts w:hint="eastAsia" w:ascii="宋体"/>
          <w:color w:val="auto"/>
          <w:sz w:val="21"/>
          <w:szCs w:val="21"/>
          <w:highlight w:val="none"/>
        </w:rPr>
        <w:t>5、投标人提交的材料将被保密保存，但不退还。</w:t>
      </w:r>
    </w:p>
    <w:p>
      <w:pPr>
        <w:spacing w:line="360" w:lineRule="auto"/>
        <w:ind w:left="348" w:leftChars="145"/>
        <w:rPr>
          <w:rFonts w:hint="eastAsia" w:ascii="宋体"/>
          <w:color w:val="auto"/>
          <w:sz w:val="21"/>
          <w:szCs w:val="21"/>
          <w:highlight w:val="none"/>
        </w:rPr>
      </w:pPr>
      <w:r>
        <w:rPr>
          <w:rFonts w:hint="eastAsia" w:ascii="宋体"/>
          <w:color w:val="auto"/>
          <w:sz w:val="21"/>
          <w:szCs w:val="21"/>
          <w:highlight w:val="none"/>
        </w:rPr>
        <w:t>6、全部文件应按投标人须知中规定的语言和份数提交。</w:t>
      </w:r>
    </w:p>
    <w:p>
      <w:pPr>
        <w:rPr>
          <w:rFonts w:hint="eastAsia" w:ascii="宋体"/>
          <w:color w:val="auto"/>
          <w:sz w:val="21"/>
          <w:szCs w:val="21"/>
          <w:highlight w:val="none"/>
        </w:rPr>
      </w:pPr>
      <w:r>
        <w:rPr>
          <w:rFonts w:hint="eastAsia" w:ascii="宋体"/>
          <w:color w:val="auto"/>
          <w:sz w:val="21"/>
          <w:szCs w:val="21"/>
          <w:highlight w:val="none"/>
        </w:rPr>
        <w:br w:type="page"/>
      </w:r>
    </w:p>
    <w:p>
      <w:pPr>
        <w:wordWrap w:val="0"/>
        <w:autoSpaceDE w:val="0"/>
        <w:autoSpaceDN w:val="0"/>
        <w:adjustRightInd w:val="0"/>
        <w:spacing w:line="420" w:lineRule="exact"/>
        <w:rPr>
          <w:rStyle w:val="172"/>
          <w:rFonts w:ascii="宋体" w:hAnsi="宋体"/>
          <w:b w:val="0"/>
          <w:color w:val="auto"/>
          <w:highlight w:val="none"/>
          <w:lang w:val="zh-CN"/>
        </w:rPr>
      </w:pPr>
      <w:r>
        <w:rPr>
          <w:rStyle w:val="172"/>
          <w:rFonts w:hint="eastAsia" w:ascii="宋体" w:hAnsi="宋体"/>
          <w:color w:val="auto"/>
          <w:szCs w:val="21"/>
          <w:highlight w:val="none"/>
        </w:rPr>
        <w:t>封面</w:t>
      </w:r>
    </w:p>
    <w:p>
      <w:pPr>
        <w:wordWrap w:val="0"/>
        <w:spacing w:line="360" w:lineRule="auto"/>
        <w:ind w:firstLine="1285" w:firstLineChars="400"/>
        <w:jc w:val="right"/>
        <w:rPr>
          <w:rFonts w:ascii="宋体" w:hAnsi="宋体"/>
          <w:b/>
          <w:color w:val="auto"/>
          <w:sz w:val="32"/>
          <w:szCs w:val="32"/>
          <w:highlight w:val="none"/>
        </w:rPr>
      </w:pPr>
      <w:r>
        <w:rPr>
          <w:rFonts w:hint="eastAsia" w:ascii="宋体" w:hAnsi="宋体"/>
          <w:b/>
          <w:color w:val="auto"/>
          <w:sz w:val="32"/>
          <w:szCs w:val="32"/>
          <w:highlight w:val="none"/>
        </w:rPr>
        <w:t>正本</w:t>
      </w:r>
    </w:p>
    <w:p>
      <w:pPr>
        <w:wordWrap w:val="0"/>
        <w:spacing w:line="360" w:lineRule="auto"/>
        <w:rPr>
          <w:rFonts w:ascii="宋体" w:hAnsi="宋体"/>
          <w:color w:val="auto"/>
          <w:sz w:val="28"/>
          <w:szCs w:val="28"/>
          <w:highlight w:val="none"/>
        </w:rPr>
      </w:pPr>
    </w:p>
    <w:p>
      <w:pPr>
        <w:wordWrap w:val="0"/>
        <w:spacing w:after="120" w:line="900" w:lineRule="exact"/>
        <w:jc w:val="center"/>
        <w:rPr>
          <w:rFonts w:hint="eastAsia" w:ascii="宋体" w:hAnsi="宋体" w:eastAsia="宋体"/>
          <w:b/>
          <w:color w:val="auto"/>
          <w:sz w:val="36"/>
          <w:szCs w:val="36"/>
          <w:highlight w:val="none"/>
          <w:lang w:eastAsia="zh-CN"/>
        </w:rPr>
      </w:pPr>
      <w:r>
        <w:rPr>
          <w:rFonts w:hint="eastAsia" w:ascii="宋体" w:hAnsi="宋体"/>
          <w:b/>
          <w:color w:val="auto"/>
          <w:sz w:val="36"/>
          <w:szCs w:val="36"/>
          <w:highlight w:val="none"/>
          <w:lang w:eastAsia="zh-CN"/>
        </w:rPr>
        <w:t>2022年交警局机房内（公安网）硬件设备维修保养项目</w:t>
      </w:r>
    </w:p>
    <w:p>
      <w:pPr>
        <w:wordWrap w:val="0"/>
        <w:spacing w:line="360" w:lineRule="auto"/>
        <w:jc w:val="center"/>
        <w:rPr>
          <w:rFonts w:hint="eastAsia" w:ascii="宋体" w:hAnsi="宋体" w:eastAsia="宋体"/>
          <w:color w:val="auto"/>
          <w:sz w:val="36"/>
          <w:szCs w:val="36"/>
          <w:highlight w:val="none"/>
          <w:u w:val="single"/>
          <w:lang w:eastAsia="zh-CN"/>
        </w:rPr>
      </w:pPr>
      <w:r>
        <w:rPr>
          <w:rFonts w:hint="eastAsia" w:ascii="宋体" w:hAnsi="宋体"/>
          <w:color w:val="auto"/>
          <w:sz w:val="36"/>
          <w:szCs w:val="36"/>
          <w:highlight w:val="none"/>
          <w:u w:val="single"/>
        </w:rPr>
        <w:t>采购编号：</w:t>
      </w:r>
      <w:r>
        <w:rPr>
          <w:rFonts w:hint="eastAsia" w:ascii="宋体" w:hAnsi="宋体"/>
          <w:color w:val="auto"/>
          <w:sz w:val="36"/>
          <w:szCs w:val="36"/>
          <w:highlight w:val="none"/>
          <w:u w:val="single"/>
          <w:lang w:eastAsia="zh-CN"/>
        </w:rPr>
        <w:t>NBITC-202230642G</w:t>
      </w:r>
    </w:p>
    <w:p>
      <w:pPr>
        <w:wordWrap w:val="0"/>
        <w:spacing w:line="360" w:lineRule="auto"/>
        <w:ind w:firstLine="2340" w:firstLineChars="650"/>
        <w:rPr>
          <w:rFonts w:ascii="宋体" w:hAnsi="宋体"/>
          <w:color w:val="auto"/>
          <w:sz w:val="36"/>
          <w:szCs w:val="36"/>
          <w:highlight w:val="none"/>
        </w:rPr>
      </w:pPr>
      <w:r>
        <w:rPr>
          <w:rFonts w:hint="eastAsia" w:ascii="宋体" w:hAnsi="宋体"/>
          <w:color w:val="auto"/>
          <w:sz w:val="36"/>
          <w:szCs w:val="36"/>
          <w:highlight w:val="none"/>
          <w:u w:val="single"/>
        </w:rPr>
        <w:t>标</w:t>
      </w:r>
      <w:r>
        <w:rPr>
          <w:rFonts w:ascii="宋体" w:hAnsi="宋体"/>
          <w:color w:val="auto"/>
          <w:sz w:val="36"/>
          <w:szCs w:val="36"/>
          <w:highlight w:val="none"/>
          <w:u w:val="single"/>
        </w:rPr>
        <w:t xml:space="preserve">    </w:t>
      </w:r>
      <w:r>
        <w:rPr>
          <w:rFonts w:hint="eastAsia" w:ascii="宋体" w:hAnsi="宋体"/>
          <w:color w:val="auto"/>
          <w:sz w:val="36"/>
          <w:szCs w:val="36"/>
          <w:highlight w:val="none"/>
          <w:u w:val="single"/>
        </w:rPr>
        <w:t>项：（如有多个标项）</w:t>
      </w:r>
    </w:p>
    <w:p>
      <w:pPr>
        <w:wordWrap w:val="0"/>
        <w:rPr>
          <w:rFonts w:ascii="宋体" w:hAnsi="宋体"/>
          <w:color w:val="auto"/>
          <w:sz w:val="28"/>
          <w:szCs w:val="28"/>
          <w:highlight w:val="none"/>
        </w:rPr>
      </w:pPr>
    </w:p>
    <w:p>
      <w:pPr>
        <w:wordWrap w:val="0"/>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（商务和技术文件）</w:t>
      </w:r>
    </w:p>
    <w:p>
      <w:pPr>
        <w:wordWrap w:val="0"/>
        <w:jc w:val="center"/>
        <w:rPr>
          <w:rFonts w:ascii="宋体" w:hAnsi="宋体"/>
          <w:color w:val="auto"/>
          <w:sz w:val="28"/>
          <w:szCs w:val="28"/>
          <w:highlight w:val="none"/>
        </w:rPr>
      </w:pPr>
    </w:p>
    <w:p>
      <w:pPr>
        <w:wordWrap w:val="0"/>
        <w:spacing w:line="360" w:lineRule="auto"/>
        <w:jc w:val="center"/>
        <w:rPr>
          <w:rFonts w:ascii="宋体" w:hAnsi="宋体"/>
          <w:b/>
          <w:color w:val="auto"/>
          <w:sz w:val="72"/>
          <w:szCs w:val="72"/>
          <w:highlight w:val="none"/>
        </w:rPr>
      </w:pPr>
    </w:p>
    <w:p>
      <w:pPr>
        <w:wordWrap w:val="0"/>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投标文件</w:t>
      </w:r>
    </w:p>
    <w:p>
      <w:pPr>
        <w:wordWrap w:val="0"/>
        <w:spacing w:line="360" w:lineRule="auto"/>
        <w:jc w:val="center"/>
        <w:rPr>
          <w:rFonts w:ascii="宋体" w:hAnsi="宋体"/>
          <w:color w:val="auto"/>
          <w:sz w:val="36"/>
          <w:szCs w:val="36"/>
          <w:highlight w:val="none"/>
        </w:rPr>
      </w:pPr>
    </w:p>
    <w:p>
      <w:pPr>
        <w:wordWrap w:val="0"/>
        <w:spacing w:line="360" w:lineRule="auto"/>
        <w:jc w:val="center"/>
        <w:rPr>
          <w:rFonts w:ascii="宋体" w:hAnsi="宋体"/>
          <w:color w:val="auto"/>
          <w:sz w:val="36"/>
          <w:szCs w:val="36"/>
          <w:highlight w:val="none"/>
        </w:rPr>
      </w:pPr>
    </w:p>
    <w:p>
      <w:pPr>
        <w:wordWrap w:val="0"/>
        <w:spacing w:line="360" w:lineRule="auto"/>
        <w:jc w:val="center"/>
        <w:rPr>
          <w:rFonts w:ascii="宋体" w:hAnsi="宋体"/>
          <w:color w:val="auto"/>
          <w:sz w:val="36"/>
          <w:szCs w:val="36"/>
          <w:highlight w:val="none"/>
        </w:rPr>
      </w:pPr>
    </w:p>
    <w:p>
      <w:pPr>
        <w:wordWrap w:val="0"/>
        <w:spacing w:line="360" w:lineRule="auto"/>
        <w:jc w:val="center"/>
        <w:rPr>
          <w:rFonts w:ascii="宋体" w:hAnsi="宋体"/>
          <w:color w:val="auto"/>
          <w:sz w:val="36"/>
          <w:szCs w:val="36"/>
          <w:highlight w:val="none"/>
          <w:u w:val="single"/>
        </w:rPr>
      </w:pPr>
      <w:r>
        <w:rPr>
          <w:rFonts w:hint="eastAsia" w:ascii="宋体" w:hAnsi="宋体"/>
          <w:color w:val="auto"/>
          <w:sz w:val="36"/>
          <w:szCs w:val="36"/>
          <w:highlight w:val="none"/>
        </w:rPr>
        <w:t>供应商全称：</w:t>
      </w:r>
      <w:r>
        <w:rPr>
          <w:rFonts w:hint="eastAsia" w:ascii="宋体" w:hAnsi="宋体"/>
          <w:color w:val="auto"/>
          <w:sz w:val="36"/>
          <w:szCs w:val="36"/>
          <w:highlight w:val="none"/>
          <w:u w:val="single"/>
        </w:rPr>
        <w:t>（加盖单位公章）</w:t>
      </w:r>
    </w:p>
    <w:p>
      <w:pPr>
        <w:pStyle w:val="24"/>
        <w:wordWrap w:val="0"/>
        <w:ind w:left="115" w:leftChars="48" w:firstLine="1680" w:firstLineChars="800"/>
        <w:jc w:val="left"/>
        <w:rPr>
          <w:rFonts w:hAnsi="宋体"/>
          <w:color w:val="auto"/>
          <w:kern w:val="2"/>
          <w:szCs w:val="28"/>
          <w:highlight w:val="none"/>
          <w:u w:val="single"/>
        </w:rPr>
      </w:pPr>
    </w:p>
    <w:p>
      <w:pPr>
        <w:wordWrap w:val="0"/>
        <w:spacing w:line="360" w:lineRule="auto"/>
        <w:jc w:val="center"/>
        <w:rPr>
          <w:rStyle w:val="172"/>
          <w:rFonts w:ascii="宋体" w:hAnsi="宋体"/>
          <w:color w:val="auto"/>
          <w:sz w:val="28"/>
          <w:szCs w:val="28"/>
          <w:highlight w:val="none"/>
        </w:rPr>
      </w:pPr>
      <w:bookmarkStart w:id="100" w:name="_Toc44162158"/>
      <w:bookmarkStart w:id="101" w:name="_Toc12534"/>
      <w:bookmarkStart w:id="102" w:name="_Toc21541027"/>
      <w:r>
        <w:rPr>
          <w:rFonts w:hint="eastAsia" w:ascii="宋体" w:hAnsi="宋体"/>
          <w:color w:val="auto"/>
          <w:sz w:val="36"/>
          <w:szCs w:val="36"/>
          <w:highlight w:val="none"/>
        </w:rPr>
        <w:t>年</w:t>
      </w:r>
      <w:r>
        <w:rPr>
          <w:rFonts w:ascii="宋体" w:hAnsi="宋体"/>
          <w:color w:val="auto"/>
          <w:sz w:val="36"/>
          <w:szCs w:val="36"/>
          <w:highlight w:val="none"/>
        </w:rPr>
        <w:t xml:space="preserve">  </w:t>
      </w:r>
      <w:r>
        <w:rPr>
          <w:rFonts w:hint="eastAsia" w:ascii="宋体" w:hAnsi="宋体"/>
          <w:color w:val="auto"/>
          <w:sz w:val="36"/>
          <w:szCs w:val="36"/>
          <w:highlight w:val="none"/>
        </w:rPr>
        <w:t>月</w:t>
      </w:r>
      <w:r>
        <w:rPr>
          <w:rFonts w:ascii="宋体" w:hAnsi="宋体"/>
          <w:color w:val="auto"/>
          <w:sz w:val="36"/>
          <w:szCs w:val="36"/>
          <w:highlight w:val="none"/>
        </w:rPr>
        <w:t xml:space="preserve">  </w:t>
      </w:r>
      <w:r>
        <w:rPr>
          <w:rFonts w:hint="eastAsia" w:ascii="宋体" w:hAnsi="宋体"/>
          <w:color w:val="auto"/>
          <w:sz w:val="36"/>
          <w:szCs w:val="36"/>
          <w:highlight w:val="none"/>
        </w:rPr>
        <w:t>日</w:t>
      </w:r>
      <w:bookmarkEnd w:id="100"/>
      <w:bookmarkEnd w:id="101"/>
      <w:bookmarkEnd w:id="102"/>
    </w:p>
    <w:p>
      <w:pPr>
        <w:wordWrap w:val="0"/>
        <w:spacing w:line="360" w:lineRule="auto"/>
        <w:ind w:firstLine="4800" w:firstLineChars="2000"/>
        <w:jc w:val="left"/>
        <w:rPr>
          <w:rFonts w:ascii="宋体" w:hAnsi="宋体"/>
          <w:color w:val="auto"/>
          <w:szCs w:val="21"/>
          <w:highlight w:val="none"/>
        </w:rPr>
      </w:pPr>
    </w:p>
    <w:p>
      <w:pPr>
        <w:wordWrap w:val="0"/>
        <w:spacing w:line="360" w:lineRule="auto"/>
        <w:jc w:val="center"/>
        <w:rPr>
          <w:rFonts w:ascii="宋体" w:hAnsi="宋体"/>
          <w:b/>
          <w:color w:val="auto"/>
          <w:szCs w:val="21"/>
          <w:highlight w:val="none"/>
        </w:rPr>
      </w:pPr>
      <w:r>
        <w:rPr>
          <w:rStyle w:val="172"/>
          <w:rFonts w:ascii="宋体" w:hAnsi="宋体"/>
          <w:color w:val="auto"/>
          <w:szCs w:val="21"/>
          <w:highlight w:val="none"/>
        </w:rPr>
        <w:br w:type="page"/>
      </w:r>
      <w:r>
        <w:rPr>
          <w:rFonts w:hint="eastAsia" w:ascii="宋体" w:hAnsi="宋体"/>
          <w:b/>
          <w:color w:val="auto"/>
          <w:szCs w:val="21"/>
          <w:highlight w:val="none"/>
        </w:rPr>
        <w:t>自评分表</w:t>
      </w:r>
    </w:p>
    <w:p>
      <w:pPr>
        <w:wordWrap w:val="0"/>
        <w:spacing w:line="400" w:lineRule="exact"/>
        <w:jc w:val="center"/>
        <w:rPr>
          <w:rFonts w:ascii="宋体" w:hAnsi="宋体"/>
          <w:b/>
          <w:color w:val="auto"/>
          <w:sz w:val="21"/>
          <w:szCs w:val="21"/>
          <w:highlight w:val="none"/>
        </w:rPr>
      </w:pPr>
      <w:r>
        <w:rPr>
          <w:rFonts w:hint="eastAsia" w:ascii="宋体" w:hAnsi="宋体"/>
          <w:b/>
          <w:color w:val="auto"/>
          <w:sz w:val="21"/>
          <w:szCs w:val="21"/>
          <w:highlight w:val="none"/>
        </w:rPr>
        <w:t>商务和技术评分表</w:t>
      </w:r>
    </w:p>
    <w:tbl>
      <w:tblPr>
        <w:tblStyle w:val="39"/>
        <w:tblW w:w="9513" w:type="dxa"/>
        <w:tblInd w:w="93"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23"/>
        <w:gridCol w:w="6096"/>
        <w:gridCol w:w="851"/>
        <w:gridCol w:w="992"/>
        <w:gridCol w:w="85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723" w:type="dxa"/>
            <w:tcBorders>
              <w:right w:val="single" w:color="auto" w:sz="4" w:space="0"/>
            </w:tcBorders>
            <w:noWrap w:val="0"/>
            <w:vAlign w:val="center"/>
          </w:tcPr>
          <w:p>
            <w:pPr>
              <w:rPr>
                <w:rFonts w:ascii="宋体" w:hAnsi="宋体"/>
                <w:b/>
                <w:color w:val="auto"/>
                <w:sz w:val="21"/>
                <w:szCs w:val="21"/>
                <w:highlight w:val="none"/>
              </w:rPr>
            </w:pPr>
            <w:r>
              <w:rPr>
                <w:rFonts w:hint="eastAsia" w:ascii="宋体" w:hAnsi="宋体"/>
                <w:b/>
                <w:color w:val="auto"/>
                <w:sz w:val="21"/>
                <w:szCs w:val="21"/>
                <w:highlight w:val="none"/>
              </w:rPr>
              <w:t>评标项目</w:t>
            </w:r>
          </w:p>
        </w:tc>
        <w:tc>
          <w:tcPr>
            <w:tcW w:w="6096" w:type="dxa"/>
            <w:tcBorders>
              <w:right w:val="single" w:color="auto" w:sz="4" w:space="0"/>
            </w:tcBorders>
            <w:noWrap w:val="0"/>
            <w:vAlign w:val="center"/>
          </w:tcPr>
          <w:p>
            <w:pPr>
              <w:rPr>
                <w:rFonts w:ascii="宋体" w:hAnsi="宋体"/>
                <w:b/>
                <w:color w:val="auto"/>
                <w:sz w:val="21"/>
                <w:szCs w:val="21"/>
                <w:highlight w:val="none"/>
              </w:rPr>
            </w:pPr>
            <w:r>
              <w:rPr>
                <w:rFonts w:hint="eastAsia" w:ascii="宋体" w:hAnsi="宋体"/>
                <w:b/>
                <w:color w:val="auto"/>
                <w:sz w:val="21"/>
                <w:szCs w:val="21"/>
                <w:highlight w:val="none"/>
              </w:rPr>
              <w:t>评分内容</w:t>
            </w:r>
          </w:p>
        </w:tc>
        <w:tc>
          <w:tcPr>
            <w:tcW w:w="851" w:type="dxa"/>
            <w:tcBorders>
              <w:left w:val="single" w:color="auto" w:sz="4" w:space="0"/>
              <w:right w:val="single" w:color="auto" w:sz="4" w:space="0"/>
            </w:tcBorders>
            <w:noWrap w:val="0"/>
            <w:vAlign w:val="center"/>
          </w:tcPr>
          <w:p>
            <w:pPr>
              <w:rPr>
                <w:rFonts w:ascii="宋体" w:hAnsi="宋体"/>
                <w:b/>
                <w:color w:val="auto"/>
                <w:sz w:val="21"/>
                <w:szCs w:val="21"/>
                <w:highlight w:val="none"/>
              </w:rPr>
            </w:pPr>
            <w:r>
              <w:rPr>
                <w:rFonts w:hint="eastAsia" w:ascii="宋体" w:hAnsi="宋体"/>
                <w:b/>
                <w:color w:val="auto"/>
                <w:sz w:val="21"/>
                <w:szCs w:val="21"/>
                <w:highlight w:val="none"/>
              </w:rPr>
              <w:t>分值</w:t>
            </w:r>
          </w:p>
        </w:tc>
        <w:tc>
          <w:tcPr>
            <w:tcW w:w="992" w:type="dxa"/>
            <w:tcBorders>
              <w:left w:val="single" w:color="auto" w:sz="4" w:space="0"/>
              <w:right w:val="single" w:color="auto" w:sz="4" w:space="0"/>
            </w:tcBorders>
            <w:noWrap w:val="0"/>
            <w:vAlign w:val="center"/>
          </w:tcPr>
          <w:p>
            <w:pPr>
              <w:rPr>
                <w:rFonts w:ascii="宋体" w:hAnsi="宋体"/>
                <w:b/>
                <w:color w:val="auto"/>
                <w:sz w:val="21"/>
                <w:szCs w:val="21"/>
                <w:highlight w:val="none"/>
              </w:rPr>
            </w:pPr>
            <w:r>
              <w:rPr>
                <w:rFonts w:hint="eastAsia" w:ascii="宋体" w:hAnsi="宋体"/>
                <w:b/>
                <w:color w:val="auto"/>
                <w:sz w:val="21"/>
                <w:szCs w:val="21"/>
                <w:highlight w:val="none"/>
              </w:rPr>
              <w:t>自评分</w:t>
            </w:r>
          </w:p>
        </w:tc>
        <w:tc>
          <w:tcPr>
            <w:tcW w:w="851" w:type="dxa"/>
            <w:tcBorders>
              <w:left w:val="single" w:color="auto" w:sz="4" w:space="0"/>
            </w:tcBorders>
            <w:noWrap w:val="0"/>
            <w:vAlign w:val="center"/>
          </w:tcPr>
          <w:p>
            <w:pPr>
              <w:rPr>
                <w:rFonts w:ascii="宋体" w:hAnsi="宋体"/>
                <w:b/>
                <w:color w:val="auto"/>
                <w:sz w:val="21"/>
                <w:szCs w:val="21"/>
                <w:highlight w:val="none"/>
              </w:rPr>
            </w:pPr>
            <w:r>
              <w:rPr>
                <w:rFonts w:hint="eastAsia" w:ascii="宋体" w:hAnsi="宋体"/>
                <w:b/>
                <w:color w:val="auto"/>
                <w:sz w:val="21"/>
                <w:szCs w:val="21"/>
                <w:highlight w:val="none"/>
              </w:rPr>
              <w:t>页码</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723" w:type="dxa"/>
            <w:vMerge w:val="restart"/>
            <w:tcBorders>
              <w:right w:val="single" w:color="auto" w:sz="4" w:space="0"/>
            </w:tcBorders>
            <w:noWrap w:val="0"/>
            <w:vAlign w:val="center"/>
          </w:tcPr>
          <w:p>
            <w:pPr>
              <w:rPr>
                <w:rFonts w:ascii="宋体" w:hAnsi="宋体"/>
                <w:b/>
                <w:color w:val="auto"/>
                <w:sz w:val="21"/>
                <w:szCs w:val="21"/>
                <w:highlight w:val="none"/>
              </w:rPr>
            </w:pPr>
            <w:r>
              <w:rPr>
                <w:rFonts w:ascii="宋体" w:hAnsi="宋体"/>
                <w:b/>
                <w:color w:val="auto"/>
                <w:sz w:val="21"/>
                <w:szCs w:val="21"/>
                <w:highlight w:val="none"/>
              </w:rPr>
              <w:t>商务技术分</w:t>
            </w:r>
          </w:p>
        </w:tc>
        <w:tc>
          <w:tcPr>
            <w:tcW w:w="6096" w:type="dxa"/>
            <w:tcBorders>
              <w:right w:val="single" w:color="auto" w:sz="4" w:space="0"/>
            </w:tcBorders>
            <w:noWrap w:val="0"/>
            <w:vAlign w:val="center"/>
          </w:tcPr>
          <w:p>
            <w:pPr>
              <w:widowControl/>
              <w:jc w:val="left"/>
              <w:rPr>
                <w:rFonts w:ascii="宋体" w:hAnsi="宋体"/>
                <w:color w:val="auto"/>
                <w:sz w:val="21"/>
                <w:szCs w:val="21"/>
                <w:highlight w:val="none"/>
              </w:rPr>
            </w:pPr>
          </w:p>
        </w:tc>
        <w:tc>
          <w:tcPr>
            <w:tcW w:w="851"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992"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851" w:type="dxa"/>
            <w:tcBorders>
              <w:left w:val="single" w:color="auto" w:sz="4" w:space="0"/>
            </w:tcBorders>
            <w:noWrap w:val="0"/>
            <w:vAlign w:val="center"/>
          </w:tcPr>
          <w:p>
            <w:pPr>
              <w:widowControl/>
              <w:jc w:val="center"/>
              <w:rPr>
                <w:rFonts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723" w:type="dxa"/>
            <w:vMerge w:val="continue"/>
            <w:tcBorders>
              <w:right w:val="single" w:color="auto" w:sz="4" w:space="0"/>
            </w:tcBorders>
            <w:noWrap w:val="0"/>
            <w:vAlign w:val="center"/>
          </w:tcPr>
          <w:p>
            <w:pPr>
              <w:rPr>
                <w:rFonts w:ascii="宋体" w:hAnsi="宋体"/>
                <w:b/>
                <w:color w:val="auto"/>
                <w:sz w:val="21"/>
                <w:szCs w:val="21"/>
                <w:highlight w:val="none"/>
              </w:rPr>
            </w:pPr>
          </w:p>
        </w:tc>
        <w:tc>
          <w:tcPr>
            <w:tcW w:w="6096" w:type="dxa"/>
            <w:tcBorders>
              <w:right w:val="single" w:color="auto" w:sz="4" w:space="0"/>
            </w:tcBorders>
            <w:noWrap w:val="0"/>
            <w:vAlign w:val="center"/>
          </w:tcPr>
          <w:p>
            <w:pPr>
              <w:widowControl/>
              <w:jc w:val="left"/>
              <w:rPr>
                <w:rFonts w:ascii="宋体" w:hAnsi="宋体"/>
                <w:color w:val="auto"/>
                <w:sz w:val="21"/>
                <w:szCs w:val="21"/>
                <w:highlight w:val="none"/>
              </w:rPr>
            </w:pPr>
          </w:p>
        </w:tc>
        <w:tc>
          <w:tcPr>
            <w:tcW w:w="851"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992"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851" w:type="dxa"/>
            <w:tcBorders>
              <w:left w:val="single" w:color="auto" w:sz="4" w:space="0"/>
            </w:tcBorders>
            <w:noWrap w:val="0"/>
            <w:vAlign w:val="center"/>
          </w:tcPr>
          <w:p>
            <w:pPr>
              <w:widowControl/>
              <w:jc w:val="center"/>
              <w:rPr>
                <w:rFonts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723" w:type="dxa"/>
            <w:vMerge w:val="continue"/>
            <w:tcBorders>
              <w:right w:val="single" w:color="auto" w:sz="4" w:space="0"/>
            </w:tcBorders>
            <w:noWrap w:val="0"/>
            <w:vAlign w:val="center"/>
          </w:tcPr>
          <w:p>
            <w:pPr>
              <w:rPr>
                <w:rFonts w:ascii="宋体" w:hAnsi="宋体"/>
                <w:b/>
                <w:color w:val="auto"/>
                <w:sz w:val="21"/>
                <w:szCs w:val="21"/>
                <w:highlight w:val="none"/>
              </w:rPr>
            </w:pPr>
          </w:p>
        </w:tc>
        <w:tc>
          <w:tcPr>
            <w:tcW w:w="6096" w:type="dxa"/>
            <w:tcBorders>
              <w:right w:val="single" w:color="auto" w:sz="4" w:space="0"/>
            </w:tcBorders>
            <w:noWrap w:val="0"/>
            <w:vAlign w:val="center"/>
          </w:tcPr>
          <w:p>
            <w:pPr>
              <w:widowControl/>
              <w:jc w:val="left"/>
              <w:rPr>
                <w:rFonts w:ascii="宋体" w:hAnsi="宋体"/>
                <w:color w:val="auto"/>
                <w:sz w:val="21"/>
                <w:szCs w:val="21"/>
                <w:highlight w:val="none"/>
              </w:rPr>
            </w:pPr>
          </w:p>
        </w:tc>
        <w:tc>
          <w:tcPr>
            <w:tcW w:w="851"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992"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851" w:type="dxa"/>
            <w:tcBorders>
              <w:left w:val="single" w:color="auto" w:sz="4" w:space="0"/>
            </w:tcBorders>
            <w:noWrap w:val="0"/>
            <w:vAlign w:val="center"/>
          </w:tcPr>
          <w:p>
            <w:pPr>
              <w:widowControl/>
              <w:jc w:val="center"/>
              <w:rPr>
                <w:rFonts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723" w:type="dxa"/>
            <w:vMerge w:val="continue"/>
            <w:tcBorders>
              <w:right w:val="single" w:color="auto" w:sz="4" w:space="0"/>
            </w:tcBorders>
            <w:noWrap w:val="0"/>
            <w:vAlign w:val="center"/>
          </w:tcPr>
          <w:p>
            <w:pPr>
              <w:rPr>
                <w:rFonts w:ascii="宋体" w:hAnsi="宋体"/>
                <w:b/>
                <w:color w:val="auto"/>
                <w:sz w:val="21"/>
                <w:szCs w:val="21"/>
                <w:highlight w:val="none"/>
              </w:rPr>
            </w:pPr>
          </w:p>
        </w:tc>
        <w:tc>
          <w:tcPr>
            <w:tcW w:w="6096" w:type="dxa"/>
            <w:tcBorders>
              <w:right w:val="single" w:color="auto" w:sz="4" w:space="0"/>
            </w:tcBorders>
            <w:noWrap w:val="0"/>
            <w:vAlign w:val="center"/>
          </w:tcPr>
          <w:p>
            <w:pPr>
              <w:widowControl/>
              <w:jc w:val="left"/>
              <w:rPr>
                <w:rFonts w:ascii="宋体" w:hAnsi="宋体"/>
                <w:color w:val="auto"/>
                <w:sz w:val="21"/>
                <w:szCs w:val="21"/>
                <w:highlight w:val="none"/>
              </w:rPr>
            </w:pPr>
          </w:p>
        </w:tc>
        <w:tc>
          <w:tcPr>
            <w:tcW w:w="851"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992"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851" w:type="dxa"/>
            <w:tcBorders>
              <w:left w:val="single" w:color="auto" w:sz="4" w:space="0"/>
            </w:tcBorders>
            <w:noWrap w:val="0"/>
            <w:vAlign w:val="center"/>
          </w:tcPr>
          <w:p>
            <w:pPr>
              <w:widowControl/>
              <w:jc w:val="center"/>
              <w:rPr>
                <w:rFonts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723" w:type="dxa"/>
            <w:vMerge w:val="continue"/>
            <w:tcBorders>
              <w:right w:val="single" w:color="auto" w:sz="4" w:space="0"/>
            </w:tcBorders>
            <w:noWrap w:val="0"/>
            <w:vAlign w:val="center"/>
          </w:tcPr>
          <w:p>
            <w:pPr>
              <w:rPr>
                <w:rFonts w:ascii="宋体" w:hAnsi="宋体"/>
                <w:b/>
                <w:color w:val="auto"/>
                <w:sz w:val="21"/>
                <w:szCs w:val="21"/>
                <w:highlight w:val="none"/>
              </w:rPr>
            </w:pPr>
          </w:p>
        </w:tc>
        <w:tc>
          <w:tcPr>
            <w:tcW w:w="6096" w:type="dxa"/>
            <w:tcBorders>
              <w:right w:val="single" w:color="auto" w:sz="4" w:space="0"/>
            </w:tcBorders>
            <w:noWrap w:val="0"/>
            <w:vAlign w:val="center"/>
          </w:tcPr>
          <w:p>
            <w:pPr>
              <w:widowControl/>
              <w:jc w:val="left"/>
              <w:rPr>
                <w:rFonts w:ascii="宋体" w:hAnsi="宋体"/>
                <w:color w:val="auto"/>
                <w:sz w:val="21"/>
                <w:szCs w:val="21"/>
                <w:highlight w:val="none"/>
              </w:rPr>
            </w:pPr>
          </w:p>
        </w:tc>
        <w:tc>
          <w:tcPr>
            <w:tcW w:w="851"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992"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851" w:type="dxa"/>
            <w:tcBorders>
              <w:left w:val="single" w:color="auto" w:sz="4" w:space="0"/>
            </w:tcBorders>
            <w:noWrap w:val="0"/>
            <w:vAlign w:val="center"/>
          </w:tcPr>
          <w:p>
            <w:pPr>
              <w:widowControl/>
              <w:jc w:val="center"/>
              <w:rPr>
                <w:rFonts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723" w:type="dxa"/>
            <w:vMerge w:val="continue"/>
            <w:tcBorders>
              <w:right w:val="single" w:color="auto" w:sz="4" w:space="0"/>
            </w:tcBorders>
            <w:noWrap w:val="0"/>
            <w:vAlign w:val="center"/>
          </w:tcPr>
          <w:p>
            <w:pPr>
              <w:rPr>
                <w:rFonts w:ascii="宋体" w:hAnsi="宋体"/>
                <w:b/>
                <w:color w:val="auto"/>
                <w:sz w:val="21"/>
                <w:szCs w:val="21"/>
                <w:highlight w:val="none"/>
              </w:rPr>
            </w:pPr>
          </w:p>
        </w:tc>
        <w:tc>
          <w:tcPr>
            <w:tcW w:w="6096" w:type="dxa"/>
            <w:tcBorders>
              <w:right w:val="single" w:color="auto" w:sz="4" w:space="0"/>
            </w:tcBorders>
            <w:noWrap w:val="0"/>
            <w:vAlign w:val="center"/>
          </w:tcPr>
          <w:p>
            <w:pPr>
              <w:widowControl/>
              <w:jc w:val="left"/>
              <w:rPr>
                <w:rFonts w:ascii="宋体" w:hAnsi="宋体"/>
                <w:color w:val="auto"/>
                <w:sz w:val="21"/>
                <w:szCs w:val="21"/>
                <w:highlight w:val="none"/>
              </w:rPr>
            </w:pPr>
          </w:p>
        </w:tc>
        <w:tc>
          <w:tcPr>
            <w:tcW w:w="851"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992"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851" w:type="dxa"/>
            <w:tcBorders>
              <w:left w:val="single" w:color="auto" w:sz="4" w:space="0"/>
            </w:tcBorders>
            <w:noWrap w:val="0"/>
            <w:vAlign w:val="center"/>
          </w:tcPr>
          <w:p>
            <w:pPr>
              <w:widowControl/>
              <w:jc w:val="center"/>
              <w:rPr>
                <w:rFonts w:ascii="宋体" w:hAnsi="宋体"/>
                <w:color w:val="auto"/>
                <w:kern w:val="0"/>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723" w:type="dxa"/>
            <w:vMerge w:val="continue"/>
            <w:tcBorders>
              <w:right w:val="single" w:color="auto" w:sz="4" w:space="0"/>
            </w:tcBorders>
            <w:noWrap w:val="0"/>
            <w:vAlign w:val="center"/>
          </w:tcPr>
          <w:p>
            <w:pPr>
              <w:rPr>
                <w:rFonts w:ascii="宋体" w:hAnsi="宋体"/>
                <w:b/>
                <w:color w:val="auto"/>
                <w:sz w:val="21"/>
                <w:szCs w:val="21"/>
                <w:highlight w:val="none"/>
              </w:rPr>
            </w:pPr>
          </w:p>
        </w:tc>
        <w:tc>
          <w:tcPr>
            <w:tcW w:w="6096" w:type="dxa"/>
            <w:tcBorders>
              <w:right w:val="single" w:color="auto" w:sz="4" w:space="0"/>
            </w:tcBorders>
            <w:noWrap w:val="0"/>
            <w:vAlign w:val="center"/>
          </w:tcPr>
          <w:p>
            <w:pPr>
              <w:widowControl/>
              <w:jc w:val="left"/>
              <w:rPr>
                <w:rFonts w:ascii="宋体" w:hAnsi="宋体"/>
                <w:color w:val="auto"/>
                <w:sz w:val="21"/>
                <w:szCs w:val="21"/>
                <w:highlight w:val="none"/>
              </w:rPr>
            </w:pPr>
          </w:p>
        </w:tc>
        <w:tc>
          <w:tcPr>
            <w:tcW w:w="851"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992" w:type="dxa"/>
            <w:tcBorders>
              <w:left w:val="single" w:color="auto" w:sz="4" w:space="0"/>
              <w:right w:val="single" w:color="auto" w:sz="4" w:space="0"/>
            </w:tcBorders>
            <w:noWrap w:val="0"/>
            <w:vAlign w:val="center"/>
          </w:tcPr>
          <w:p>
            <w:pPr>
              <w:widowControl/>
              <w:jc w:val="center"/>
              <w:rPr>
                <w:rFonts w:ascii="宋体" w:hAnsi="宋体"/>
                <w:color w:val="auto"/>
                <w:kern w:val="0"/>
                <w:sz w:val="21"/>
                <w:szCs w:val="21"/>
                <w:highlight w:val="none"/>
              </w:rPr>
            </w:pPr>
          </w:p>
        </w:tc>
        <w:tc>
          <w:tcPr>
            <w:tcW w:w="851" w:type="dxa"/>
            <w:tcBorders>
              <w:left w:val="single" w:color="auto" w:sz="4" w:space="0"/>
            </w:tcBorders>
            <w:noWrap w:val="0"/>
            <w:vAlign w:val="center"/>
          </w:tcPr>
          <w:p>
            <w:pPr>
              <w:widowControl/>
              <w:jc w:val="center"/>
              <w:rPr>
                <w:rFonts w:ascii="宋体" w:hAnsi="宋体"/>
                <w:color w:val="auto"/>
                <w:kern w:val="0"/>
                <w:sz w:val="21"/>
                <w:szCs w:val="21"/>
                <w:highlight w:val="none"/>
              </w:rPr>
            </w:pPr>
          </w:p>
        </w:tc>
      </w:tr>
    </w:tbl>
    <w:p>
      <w:pPr>
        <w:pStyle w:val="2"/>
        <w:rPr>
          <w:rFonts w:hint="default" w:eastAsia="宋体"/>
          <w:color w:val="auto"/>
          <w:sz w:val="21"/>
          <w:szCs w:val="21"/>
          <w:highlight w:val="none"/>
          <w:lang w:val="en-US" w:eastAsia="zh-CN"/>
        </w:rPr>
      </w:pPr>
      <w:r>
        <w:rPr>
          <w:rFonts w:hint="eastAsia"/>
          <w:color w:val="auto"/>
          <w:sz w:val="21"/>
          <w:szCs w:val="21"/>
          <w:highlight w:val="none"/>
        </w:rPr>
        <w:t>具体评分内容详见第</w:t>
      </w:r>
      <w:r>
        <w:rPr>
          <w:rFonts w:hint="eastAsia"/>
          <w:color w:val="auto"/>
          <w:sz w:val="21"/>
          <w:szCs w:val="21"/>
          <w:highlight w:val="none"/>
          <w:lang w:val="en-US" w:eastAsia="zh-CN"/>
        </w:rPr>
        <w:t>五部分评分标准</w:t>
      </w:r>
    </w:p>
    <w:p>
      <w:pPr>
        <w:pStyle w:val="2"/>
        <w:rPr>
          <w:color w:val="auto"/>
          <w:sz w:val="21"/>
          <w:szCs w:val="21"/>
          <w:highlight w:val="none"/>
        </w:rPr>
      </w:pPr>
    </w:p>
    <w:p>
      <w:pPr>
        <w:spacing w:line="360" w:lineRule="auto"/>
        <w:jc w:val="center"/>
        <w:outlineLvl w:val="1"/>
        <w:rPr>
          <w:b/>
          <w:color w:val="auto"/>
          <w:highlight w:val="none"/>
        </w:rPr>
      </w:pPr>
      <w:r>
        <w:rPr>
          <w:rFonts w:hint="eastAsia"/>
          <w:color w:val="auto"/>
          <w:highlight w:val="none"/>
        </w:rPr>
        <w:br w:type="page"/>
      </w:r>
      <w:bookmarkStart w:id="103" w:name="_Toc209"/>
      <w:bookmarkStart w:id="104" w:name="_Toc86202634"/>
      <w:bookmarkStart w:id="105" w:name="_Toc387317147"/>
      <w:bookmarkStart w:id="106" w:name="_Toc241827254"/>
      <w:bookmarkStart w:id="107" w:name="_Toc389139109"/>
      <w:r>
        <w:rPr>
          <w:rFonts w:hint="eastAsia"/>
          <w:b/>
          <w:color w:val="auto"/>
          <w:highlight w:val="none"/>
        </w:rPr>
        <w:t>附件一、投标函</w:t>
      </w:r>
      <w:bookmarkEnd w:id="103"/>
      <w:bookmarkEnd w:id="104"/>
      <w:bookmarkEnd w:id="105"/>
      <w:bookmarkEnd w:id="106"/>
      <w:bookmarkEnd w:id="107"/>
    </w:p>
    <w:p>
      <w:pPr>
        <w:wordWrap w:val="0"/>
        <w:spacing w:line="360" w:lineRule="auto"/>
        <w:rPr>
          <w:rFonts w:ascii="宋体" w:hAnsi="宋体"/>
          <w:color w:val="auto"/>
          <w:sz w:val="21"/>
          <w:szCs w:val="21"/>
          <w:highlight w:val="none"/>
        </w:rPr>
      </w:pPr>
      <w:r>
        <w:rPr>
          <w:rFonts w:hint="eastAsia" w:ascii="宋体" w:hAnsi="宋体"/>
          <w:color w:val="auto"/>
          <w:sz w:val="21"/>
          <w:szCs w:val="21"/>
          <w:highlight w:val="none"/>
        </w:rPr>
        <w:t>致：宁波市国际招标有限公司</w:t>
      </w:r>
    </w:p>
    <w:p>
      <w:pPr>
        <w:wordWrap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u w:val="single"/>
        </w:rPr>
        <w:t>（供应商全称）</w:t>
      </w:r>
      <w:r>
        <w:rPr>
          <w:rFonts w:hint="eastAsia" w:ascii="宋体" w:hAnsi="宋体"/>
          <w:color w:val="auto"/>
          <w:sz w:val="21"/>
          <w:szCs w:val="21"/>
          <w:highlight w:val="none"/>
        </w:rPr>
        <w:t>授权</w:t>
      </w:r>
      <w:r>
        <w:rPr>
          <w:rFonts w:ascii="宋体" w:hAnsi="宋体"/>
          <w:color w:val="auto"/>
          <w:sz w:val="21"/>
          <w:szCs w:val="21"/>
          <w:highlight w:val="none"/>
          <w:u w:val="single"/>
        </w:rPr>
        <w:t xml:space="preserve">  </w:t>
      </w:r>
      <w:r>
        <w:rPr>
          <w:rFonts w:hint="eastAsia" w:ascii="宋体" w:hAnsi="宋体"/>
          <w:color w:val="auto"/>
          <w:sz w:val="21"/>
          <w:szCs w:val="21"/>
          <w:highlight w:val="none"/>
          <w:u w:val="single"/>
        </w:rPr>
        <w:t>（全名、职务）</w:t>
      </w:r>
      <w:r>
        <w:rPr>
          <w:rFonts w:ascii="宋体" w:hAnsi="宋体"/>
          <w:color w:val="auto"/>
          <w:sz w:val="21"/>
          <w:szCs w:val="21"/>
          <w:highlight w:val="none"/>
          <w:u w:val="single"/>
        </w:rPr>
        <w:t xml:space="preserve">  </w:t>
      </w:r>
      <w:r>
        <w:rPr>
          <w:rFonts w:hint="eastAsia" w:ascii="宋体" w:hAnsi="宋体"/>
          <w:color w:val="auto"/>
          <w:sz w:val="21"/>
          <w:szCs w:val="21"/>
          <w:highlight w:val="none"/>
        </w:rPr>
        <w:t>为全权代表，参加贵方组织的</w:t>
      </w:r>
      <w:r>
        <w:rPr>
          <w:rFonts w:hint="eastAsia" w:ascii="宋体" w:hAnsi="宋体"/>
          <w:color w:val="auto"/>
          <w:sz w:val="21"/>
          <w:szCs w:val="21"/>
          <w:highlight w:val="none"/>
          <w:u w:val="single"/>
          <w:lang w:val="en-US" w:eastAsia="zh-CN"/>
        </w:rPr>
        <w:t xml:space="preserve">      </w:t>
      </w:r>
      <w:r>
        <w:rPr>
          <w:rFonts w:hint="eastAsia" w:ascii="宋体" w:hAnsi="宋体"/>
          <w:color w:val="auto"/>
          <w:sz w:val="21"/>
          <w:szCs w:val="21"/>
          <w:highlight w:val="none"/>
          <w:u w:val="single"/>
        </w:rPr>
        <w:t>项目</w:t>
      </w:r>
      <w:r>
        <w:rPr>
          <w:rFonts w:hint="eastAsia" w:ascii="宋体" w:hAnsi="宋体"/>
          <w:color w:val="auto"/>
          <w:sz w:val="21"/>
          <w:szCs w:val="21"/>
          <w:highlight w:val="none"/>
        </w:rPr>
        <w:t>（采购编号：</w:t>
      </w:r>
      <w:r>
        <w:rPr>
          <w:rFonts w:hint="eastAsia" w:ascii="宋体" w:hAnsi="宋体"/>
          <w:color w:val="auto"/>
          <w:sz w:val="21"/>
          <w:szCs w:val="21"/>
          <w:highlight w:val="none"/>
          <w:u w:val="single"/>
          <w:lang w:eastAsia="zh-CN"/>
        </w:rPr>
        <w:t>NBITC-202230642G，</w:t>
      </w:r>
      <w:r>
        <w:rPr>
          <w:rFonts w:hint="eastAsia" w:ascii="宋体" w:hAnsi="宋体"/>
          <w:color w:val="auto"/>
          <w:sz w:val="21"/>
          <w:szCs w:val="21"/>
          <w:highlight w:val="none"/>
          <w:u w:val="single"/>
          <w:lang w:val="en-US" w:eastAsia="zh-CN"/>
        </w:rPr>
        <w:t xml:space="preserve">标项   </w:t>
      </w:r>
      <w:r>
        <w:rPr>
          <w:rFonts w:hint="eastAsia" w:ascii="宋体" w:hAnsi="宋体"/>
          <w:color w:val="auto"/>
          <w:sz w:val="21"/>
          <w:szCs w:val="21"/>
          <w:highlight w:val="none"/>
        </w:rPr>
        <w:t>）招标活动并投标，为便于采购人公正、择优地确定中标供应商及其服务，我方就本次投标有关事项郑重声明如下：</w:t>
      </w:r>
    </w:p>
    <w:p>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、我方提交的所有投标文件、资料都是准确的和真实的。如有虚假或隐瞒，我方愿意承担一切后果，并不再寻求任何旨在减轻或免除法律责任的辩解。</w:t>
      </w:r>
    </w:p>
    <w:p>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、我方不是为本项目提供整体设计、规范编制或者项目管理、监理、检测等服务的供应商。</w:t>
      </w:r>
    </w:p>
    <w:p>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、我们已详细审查全部采购文件及有关的澄清</w:t>
      </w:r>
      <w:r>
        <w:rPr>
          <w:rFonts w:ascii="宋体" w:hAnsi="宋体"/>
          <w:color w:val="auto"/>
          <w:sz w:val="21"/>
          <w:szCs w:val="21"/>
          <w:highlight w:val="none"/>
        </w:rPr>
        <w:t>/</w:t>
      </w:r>
      <w:r>
        <w:rPr>
          <w:rFonts w:hint="eastAsia" w:ascii="宋体" w:hAnsi="宋体"/>
          <w:color w:val="auto"/>
          <w:sz w:val="21"/>
          <w:szCs w:val="21"/>
          <w:highlight w:val="none"/>
        </w:rPr>
        <w:t>修改文件（若有），我们完全理解并同意放弃对这方面提出任何异议的权利。</w:t>
      </w:r>
    </w:p>
    <w:p>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、保证遵守采购文件有关条款规定。</w:t>
      </w:r>
    </w:p>
    <w:p>
      <w:pPr>
        <w:wordWrap w:val="0"/>
        <w:snapToGrid w:val="0"/>
        <w:spacing w:line="360" w:lineRule="auto"/>
        <w:ind w:firstLine="420" w:firstLineChars="200"/>
        <w:rPr>
          <w:rFonts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、本项目的投标报价详见“开标一览表”。</w:t>
      </w:r>
    </w:p>
    <w:p>
      <w:pPr>
        <w:wordWrap w:val="0"/>
        <w:spacing w:line="360" w:lineRule="auto"/>
        <w:ind w:firstLine="420" w:firstLineChars="200"/>
        <w:jc w:val="left"/>
        <w:rPr>
          <w:rFonts w:ascii="宋体" w:hAnsi="宋体"/>
          <w:color w:val="auto"/>
          <w:sz w:val="21"/>
          <w:szCs w:val="21"/>
          <w:highlight w:val="none"/>
        </w:rPr>
      </w:pPr>
      <w:r>
        <w:rPr>
          <w:rFonts w:ascii="宋体" w:hAnsi="宋体"/>
          <w:color w:val="auto"/>
          <w:sz w:val="21"/>
          <w:szCs w:val="21"/>
          <w:highlight w:val="none"/>
        </w:rPr>
        <w:t>6</w:t>
      </w:r>
      <w:r>
        <w:rPr>
          <w:rFonts w:hint="eastAsia" w:ascii="宋体" w:hAnsi="宋体"/>
          <w:color w:val="auto"/>
          <w:sz w:val="21"/>
          <w:szCs w:val="21"/>
          <w:highlight w:val="none"/>
        </w:rPr>
        <w:t>、投标文件有效期为自开标之日起</w:t>
      </w:r>
      <w:r>
        <w:rPr>
          <w:rFonts w:ascii="宋体" w:hAnsi="宋体"/>
          <w:color w:val="auto"/>
          <w:sz w:val="21"/>
          <w:szCs w:val="21"/>
          <w:highlight w:val="none"/>
          <w:u w:val="single"/>
        </w:rPr>
        <w:t xml:space="preserve"> 90 </w:t>
      </w:r>
      <w:r>
        <w:rPr>
          <w:rFonts w:hint="eastAsia" w:ascii="宋体" w:hAnsi="宋体"/>
          <w:color w:val="auto"/>
          <w:sz w:val="21"/>
          <w:szCs w:val="21"/>
          <w:highlight w:val="none"/>
        </w:rPr>
        <w:t>个日历日。</w:t>
      </w:r>
    </w:p>
    <w:p>
      <w:pPr>
        <w:wordWrap w:val="0"/>
        <w:spacing w:line="360" w:lineRule="auto"/>
        <w:ind w:firstLine="420" w:firstLineChars="200"/>
        <w:jc w:val="left"/>
        <w:rPr>
          <w:rFonts w:ascii="宋体" w:hAnsi="宋体"/>
          <w:color w:val="auto"/>
          <w:sz w:val="21"/>
          <w:szCs w:val="21"/>
          <w:highlight w:val="none"/>
        </w:rPr>
      </w:pPr>
      <w:r>
        <w:rPr>
          <w:rFonts w:ascii="宋体" w:hAnsi="宋体"/>
          <w:color w:val="auto"/>
          <w:sz w:val="21"/>
          <w:szCs w:val="21"/>
          <w:highlight w:val="none"/>
        </w:rPr>
        <w:t>7</w:t>
      </w:r>
      <w:r>
        <w:rPr>
          <w:rFonts w:hint="eastAsia" w:ascii="宋体" w:hAnsi="宋体"/>
          <w:color w:val="auto"/>
          <w:sz w:val="21"/>
          <w:szCs w:val="21"/>
          <w:highlight w:val="none"/>
        </w:rPr>
        <w:t>、保证在中标后忠实地执行与采购人所签署的合同，并承担合同规定的责任义务。</w:t>
      </w:r>
    </w:p>
    <w:p>
      <w:pPr>
        <w:wordWrap w:val="0"/>
        <w:spacing w:line="360" w:lineRule="auto"/>
        <w:ind w:firstLine="420" w:firstLineChars="200"/>
        <w:jc w:val="left"/>
        <w:rPr>
          <w:rFonts w:ascii="宋体" w:hAnsi="宋体"/>
          <w:color w:val="auto"/>
          <w:sz w:val="21"/>
          <w:szCs w:val="21"/>
          <w:highlight w:val="none"/>
        </w:rPr>
      </w:pPr>
      <w:r>
        <w:rPr>
          <w:rFonts w:ascii="宋体" w:hAnsi="宋体"/>
          <w:color w:val="auto"/>
          <w:sz w:val="21"/>
          <w:szCs w:val="21"/>
          <w:highlight w:val="none"/>
        </w:rPr>
        <w:t>8</w:t>
      </w:r>
      <w:r>
        <w:rPr>
          <w:rFonts w:hint="eastAsia" w:ascii="宋体" w:hAnsi="宋体"/>
          <w:color w:val="auto"/>
          <w:sz w:val="21"/>
          <w:szCs w:val="21"/>
          <w:highlight w:val="none"/>
        </w:rPr>
        <w:t>、完全同意采购文件中有关招标代理服务费的条款，保证在中标后按照采购文件规定的金额、时间和方式，向贵方一次性交纳招标代理服务费。我方如逾期未交纳（含未足额）的，愿凭贵方开出的违约通知，按上述规定应交纳金额（含欠交纳）的</w:t>
      </w:r>
      <w:r>
        <w:rPr>
          <w:rFonts w:ascii="宋体" w:hAnsi="宋体"/>
          <w:color w:val="auto"/>
          <w:sz w:val="21"/>
          <w:szCs w:val="21"/>
          <w:highlight w:val="none"/>
        </w:rPr>
        <w:t>200%</w:t>
      </w:r>
      <w:r>
        <w:rPr>
          <w:rFonts w:hint="eastAsia" w:ascii="宋体" w:hAnsi="宋体"/>
          <w:color w:val="auto"/>
          <w:sz w:val="21"/>
          <w:szCs w:val="21"/>
          <w:highlight w:val="none"/>
        </w:rPr>
        <w:t>交纳违约金和滞纳的银行利息。承诺在未交足上述违约金和利息前，同意不再参加贵方代理的其他项目，如果贵方不接受我们的投标，我们自愿放弃任何方式进行抗辩的权力。</w:t>
      </w:r>
    </w:p>
    <w:p>
      <w:pPr>
        <w:wordWrap w:val="0"/>
        <w:spacing w:line="360" w:lineRule="auto"/>
        <w:ind w:firstLine="420" w:firstLineChars="200"/>
        <w:jc w:val="left"/>
        <w:rPr>
          <w:rFonts w:ascii="宋体" w:hAnsi="宋体"/>
          <w:color w:val="auto"/>
          <w:sz w:val="21"/>
          <w:szCs w:val="21"/>
          <w:highlight w:val="none"/>
        </w:rPr>
      </w:pPr>
      <w:r>
        <w:rPr>
          <w:rFonts w:ascii="宋体" w:hAnsi="宋体"/>
          <w:color w:val="auto"/>
          <w:sz w:val="21"/>
          <w:szCs w:val="21"/>
          <w:highlight w:val="none"/>
        </w:rPr>
        <w:t>9</w:t>
      </w:r>
      <w:r>
        <w:rPr>
          <w:rFonts w:hint="eastAsia" w:ascii="宋体" w:hAnsi="宋体"/>
          <w:color w:val="auto"/>
          <w:sz w:val="21"/>
          <w:szCs w:val="21"/>
          <w:highlight w:val="none"/>
        </w:rPr>
        <w:t>、与本投标有关的一切正式来往通讯请寄：</w:t>
      </w:r>
    </w:p>
    <w:p>
      <w:pPr>
        <w:wordWrap w:val="0"/>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地址：</w:t>
      </w:r>
      <w:r>
        <w:rPr>
          <w:rFonts w:ascii="宋体" w:hAnsi="宋体"/>
          <w:color w:val="auto"/>
          <w:sz w:val="21"/>
          <w:szCs w:val="21"/>
          <w:highlight w:val="none"/>
          <w:u w:val="single"/>
        </w:rPr>
        <w:t xml:space="preserve">                    </w:t>
      </w:r>
      <w:r>
        <w:rPr>
          <w:rFonts w:hint="eastAsia" w:ascii="宋体" w:hAnsi="宋体"/>
          <w:color w:val="auto"/>
          <w:sz w:val="21"/>
          <w:szCs w:val="21"/>
          <w:highlight w:val="none"/>
        </w:rPr>
        <w:t>邮编：</w:t>
      </w:r>
      <w:r>
        <w:rPr>
          <w:rFonts w:ascii="宋体" w:hAnsi="宋体"/>
          <w:color w:val="auto"/>
          <w:sz w:val="21"/>
          <w:szCs w:val="21"/>
          <w:highlight w:val="none"/>
          <w:u w:val="single"/>
        </w:rPr>
        <w:t xml:space="preserve">                 </w:t>
      </w:r>
      <w:r>
        <w:rPr>
          <w:rFonts w:hint="eastAsia" w:ascii="宋体" w:hAnsi="宋体"/>
          <w:color w:val="auto"/>
          <w:sz w:val="21"/>
          <w:szCs w:val="21"/>
          <w:highlight w:val="none"/>
        </w:rPr>
        <w:t>。</w:t>
      </w:r>
    </w:p>
    <w:p>
      <w:pPr>
        <w:wordWrap w:val="0"/>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电话：</w:t>
      </w:r>
      <w:r>
        <w:rPr>
          <w:rFonts w:ascii="宋体" w:hAnsi="宋体"/>
          <w:color w:val="auto"/>
          <w:sz w:val="21"/>
          <w:szCs w:val="21"/>
          <w:highlight w:val="none"/>
          <w:u w:val="single"/>
        </w:rPr>
        <w:t xml:space="preserve">                    </w:t>
      </w:r>
      <w:r>
        <w:rPr>
          <w:rFonts w:hint="eastAsia" w:ascii="宋体" w:hAnsi="宋体"/>
          <w:color w:val="auto"/>
          <w:sz w:val="21"/>
          <w:szCs w:val="21"/>
          <w:highlight w:val="none"/>
        </w:rPr>
        <w:t>传真：</w:t>
      </w:r>
      <w:r>
        <w:rPr>
          <w:rFonts w:ascii="宋体" w:hAnsi="宋体"/>
          <w:color w:val="auto"/>
          <w:sz w:val="21"/>
          <w:szCs w:val="21"/>
          <w:highlight w:val="none"/>
          <w:u w:val="single"/>
        </w:rPr>
        <w:t xml:space="preserve">                 </w:t>
      </w:r>
      <w:r>
        <w:rPr>
          <w:rFonts w:hint="eastAsia" w:ascii="宋体" w:hAnsi="宋体"/>
          <w:color w:val="auto"/>
          <w:sz w:val="21"/>
          <w:szCs w:val="21"/>
          <w:highlight w:val="none"/>
        </w:rPr>
        <w:t>。</w:t>
      </w:r>
    </w:p>
    <w:p>
      <w:pPr>
        <w:wordWrap w:val="0"/>
        <w:spacing w:line="360" w:lineRule="auto"/>
        <w:ind w:left="540" w:firstLine="30"/>
        <w:jc w:val="left"/>
        <w:rPr>
          <w:rFonts w:ascii="宋体" w:hAnsi="宋体"/>
          <w:color w:val="auto"/>
          <w:sz w:val="21"/>
          <w:szCs w:val="21"/>
          <w:highlight w:val="none"/>
        </w:rPr>
      </w:pPr>
    </w:p>
    <w:p>
      <w:pPr>
        <w:wordWrap w:val="0"/>
        <w:spacing w:line="360" w:lineRule="auto"/>
        <w:jc w:val="left"/>
        <w:rPr>
          <w:rFonts w:ascii="宋体" w:hAnsi="宋体"/>
          <w:color w:val="auto"/>
          <w:sz w:val="21"/>
          <w:szCs w:val="21"/>
          <w:highlight w:val="none"/>
        </w:rPr>
      </w:pPr>
    </w:p>
    <w:p>
      <w:pPr>
        <w:wordWrap w:val="0"/>
        <w:spacing w:line="360" w:lineRule="auto"/>
        <w:jc w:val="left"/>
        <w:rPr>
          <w:rFonts w:ascii="宋体" w:hAnsi="宋体"/>
          <w:color w:val="auto"/>
          <w:sz w:val="21"/>
          <w:szCs w:val="21"/>
          <w:highlight w:val="none"/>
        </w:rPr>
      </w:pPr>
      <w:r>
        <w:rPr>
          <w:rFonts w:hint="eastAsia" w:ascii="宋体" w:hAnsi="宋体"/>
          <w:color w:val="auto"/>
          <w:sz w:val="21"/>
          <w:szCs w:val="21"/>
          <w:highlight w:val="none"/>
        </w:rPr>
        <w:t>供应商（盖章）：</w:t>
      </w:r>
      <w:r>
        <w:rPr>
          <w:rFonts w:ascii="宋体" w:hAnsi="宋体"/>
          <w:color w:val="auto"/>
          <w:sz w:val="21"/>
          <w:szCs w:val="21"/>
          <w:highlight w:val="none"/>
          <w:u w:val="single"/>
        </w:rPr>
        <w:t xml:space="preserve">                                </w:t>
      </w:r>
      <w:r>
        <w:rPr>
          <w:rFonts w:ascii="宋体" w:hAnsi="宋体"/>
          <w:color w:val="auto"/>
          <w:sz w:val="21"/>
          <w:szCs w:val="21"/>
          <w:highlight w:val="none"/>
        </w:rPr>
        <w:t xml:space="preserve">          </w:t>
      </w:r>
    </w:p>
    <w:p>
      <w:pPr>
        <w:spacing w:line="360" w:lineRule="auto"/>
        <w:ind w:left="420" w:hanging="420" w:hangingChars="200"/>
        <w:rPr>
          <w:rFonts w:ascii="宋体"/>
          <w:color w:val="auto"/>
          <w:sz w:val="21"/>
          <w:szCs w:val="21"/>
          <w:highlight w:val="none"/>
        </w:rPr>
      </w:pP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r>
        <w:rPr>
          <w:rFonts w:ascii="宋体" w:hAnsi="宋体"/>
          <w:color w:val="auto"/>
          <w:sz w:val="21"/>
          <w:szCs w:val="21"/>
          <w:highlight w:val="none"/>
          <w:u w:val="single"/>
        </w:rPr>
        <w:t xml:space="preserve">                             </w:t>
      </w:r>
    </w:p>
    <w:p>
      <w:pPr>
        <w:spacing w:line="276" w:lineRule="auto"/>
        <w:jc w:val="center"/>
        <w:outlineLvl w:val="1"/>
        <w:rPr>
          <w:b/>
          <w:color w:val="auto"/>
          <w:highlight w:val="none"/>
        </w:rPr>
      </w:pPr>
      <w:bookmarkStart w:id="108" w:name="_Toc389139110"/>
      <w:bookmarkStart w:id="109" w:name="_Toc241827255"/>
      <w:bookmarkStart w:id="110" w:name="_Toc387317148"/>
      <w:r>
        <w:rPr>
          <w:b/>
          <w:color w:val="auto"/>
          <w:highlight w:val="none"/>
        </w:rPr>
        <w:br w:type="page"/>
      </w:r>
      <w:bookmarkStart w:id="111" w:name="_Toc1420"/>
      <w:r>
        <w:rPr>
          <w:rFonts w:hint="eastAsia"/>
          <w:b/>
          <w:color w:val="auto"/>
          <w:highlight w:val="none"/>
        </w:rPr>
        <w:t>附件二、开标一览表</w:t>
      </w:r>
      <w:bookmarkEnd w:id="108"/>
      <w:bookmarkEnd w:id="109"/>
      <w:bookmarkEnd w:id="110"/>
      <w:bookmarkEnd w:id="111"/>
    </w:p>
    <w:p>
      <w:pPr>
        <w:pStyle w:val="22"/>
        <w:adjustRightInd w:val="0"/>
        <w:snapToGrid w:val="0"/>
        <w:spacing w:line="360" w:lineRule="auto"/>
        <w:rPr>
          <w:color w:val="auto"/>
          <w:highlight w:val="none"/>
          <w:u w:val="single"/>
        </w:rPr>
      </w:pPr>
      <w:bookmarkStart w:id="112" w:name="_Toc387317149"/>
      <w:bookmarkStart w:id="113" w:name="_Toc389139111"/>
      <w:r>
        <w:rPr>
          <w:rFonts w:hint="eastAsia"/>
          <w:color w:val="auto"/>
          <w:highlight w:val="none"/>
        </w:rPr>
        <w:t>招标编号：</w:t>
      </w:r>
    </w:p>
    <w:p>
      <w:pPr>
        <w:pStyle w:val="22"/>
        <w:snapToGrid w:val="0"/>
        <w:spacing w:line="360" w:lineRule="auto"/>
        <w:rPr>
          <w:rFonts w:hAnsi="宋体"/>
          <w:color w:val="auto"/>
          <w:highlight w:val="none"/>
        </w:rPr>
      </w:pPr>
      <w:r>
        <w:rPr>
          <w:rFonts w:hint="eastAsia"/>
          <w:color w:val="auto"/>
          <w:highlight w:val="none"/>
        </w:rPr>
        <w:t>项目名称：</w:t>
      </w:r>
    </w:p>
    <w:p>
      <w:pPr>
        <w:pStyle w:val="22"/>
        <w:snapToGrid w:val="0"/>
        <w:spacing w:line="360" w:lineRule="auto"/>
        <w:rPr>
          <w:rFonts w:hAnsi="宋体"/>
          <w:color w:val="auto"/>
          <w:highlight w:val="none"/>
        </w:rPr>
      </w:pPr>
      <w:r>
        <w:rPr>
          <w:rFonts w:hint="eastAsia" w:hAnsi="宋体"/>
          <w:color w:val="auto"/>
          <w:highlight w:val="none"/>
          <w:lang w:val="en-US" w:eastAsia="zh-CN"/>
        </w:rPr>
        <w:t>标项</w:t>
      </w:r>
      <w:r>
        <w:rPr>
          <w:rFonts w:hint="eastAsia" w:hAnsi="宋体"/>
          <w:color w:val="auto"/>
          <w:highlight w:val="none"/>
        </w:rPr>
        <w:t>：</w:t>
      </w:r>
    </w:p>
    <w:tbl>
      <w:tblPr>
        <w:tblStyle w:val="39"/>
        <w:tblW w:w="8647"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290"/>
        <w:gridCol w:w="2268"/>
        <w:gridCol w:w="23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708" w:type="dxa"/>
            <w:vAlign w:val="center"/>
          </w:tcPr>
          <w:p>
            <w:pPr>
              <w:widowControl/>
              <w:jc w:val="center"/>
              <w:rPr>
                <w:rFonts w:hint="eastAsia" w:ascii="宋体" w:hAnsi="宋体" w:eastAsia="宋体" w:cs="宋体"/>
                <w:b/>
                <w:color w:val="auto"/>
                <w:sz w:val="21"/>
                <w:szCs w:val="21"/>
                <w:highlight w:val="none"/>
                <w:lang w:eastAsia="zh-CN"/>
              </w:rPr>
            </w:pPr>
            <w:r>
              <w:rPr>
                <w:rFonts w:hint="eastAsia" w:ascii="宋体" w:hAnsi="宋体" w:cs="宋体"/>
                <w:b/>
                <w:color w:val="auto"/>
                <w:sz w:val="21"/>
                <w:szCs w:val="21"/>
                <w:highlight w:val="none"/>
                <w:lang w:val="en-US" w:eastAsia="zh-CN"/>
              </w:rPr>
              <w:t>标项</w:t>
            </w:r>
          </w:p>
        </w:tc>
        <w:tc>
          <w:tcPr>
            <w:tcW w:w="3290" w:type="dxa"/>
            <w:vAlign w:val="center"/>
          </w:tcPr>
          <w:p>
            <w:pPr>
              <w:widowControl/>
              <w:jc w:val="center"/>
              <w:rPr>
                <w:rFonts w:ascii="宋体" w:hAnsi="宋体" w:cs="宋体"/>
                <w:b/>
                <w:color w:val="auto"/>
                <w:sz w:val="21"/>
                <w:szCs w:val="21"/>
                <w:highlight w:val="none"/>
              </w:rPr>
            </w:pPr>
            <w:r>
              <w:rPr>
                <w:rFonts w:hint="eastAsia" w:ascii="宋体" w:hAnsi="宋体" w:cs="宋体"/>
                <w:b/>
                <w:color w:val="auto"/>
                <w:sz w:val="21"/>
                <w:szCs w:val="21"/>
                <w:highlight w:val="none"/>
              </w:rPr>
              <w:t>名称</w:t>
            </w:r>
          </w:p>
        </w:tc>
        <w:tc>
          <w:tcPr>
            <w:tcW w:w="2268" w:type="dxa"/>
            <w:vAlign w:val="center"/>
          </w:tcPr>
          <w:p>
            <w:pPr>
              <w:widowControl/>
              <w:jc w:val="center"/>
              <w:rPr>
                <w:rFonts w:ascii="宋体" w:hAnsi="宋体" w:cs="宋体"/>
                <w:b/>
                <w:color w:val="auto"/>
                <w:sz w:val="21"/>
                <w:szCs w:val="21"/>
                <w:highlight w:val="none"/>
              </w:rPr>
            </w:pPr>
            <w:r>
              <w:rPr>
                <w:rFonts w:hint="eastAsia" w:ascii="宋体" w:hAnsi="宋体" w:cs="宋体"/>
                <w:b/>
                <w:color w:val="auto"/>
                <w:sz w:val="21"/>
                <w:szCs w:val="21"/>
                <w:highlight w:val="none"/>
              </w:rPr>
              <w:t>投标</w:t>
            </w:r>
            <w:r>
              <w:rPr>
                <w:rFonts w:hint="eastAsia" w:ascii="宋体" w:hAnsi="宋体" w:cs="宋体"/>
                <w:b/>
                <w:color w:val="auto"/>
                <w:sz w:val="21"/>
                <w:szCs w:val="21"/>
                <w:highlight w:val="none"/>
                <w:lang w:val="en-US" w:eastAsia="zh-CN"/>
              </w:rPr>
              <w:t>总</w:t>
            </w:r>
            <w:r>
              <w:rPr>
                <w:rFonts w:hint="eastAsia" w:ascii="宋体" w:hAnsi="宋体" w:cs="宋体"/>
                <w:b/>
                <w:color w:val="auto"/>
                <w:sz w:val="21"/>
                <w:szCs w:val="21"/>
                <w:highlight w:val="none"/>
              </w:rPr>
              <w:t>价（元）</w:t>
            </w:r>
          </w:p>
        </w:tc>
        <w:tc>
          <w:tcPr>
            <w:tcW w:w="2381" w:type="dxa"/>
            <w:vAlign w:val="center"/>
          </w:tcPr>
          <w:p>
            <w:pPr>
              <w:widowControl/>
              <w:jc w:val="center"/>
              <w:rPr>
                <w:rFonts w:ascii="宋体" w:hAnsi="宋体" w:cs="宋体"/>
                <w:b/>
                <w:color w:val="auto"/>
                <w:sz w:val="21"/>
                <w:szCs w:val="21"/>
                <w:highlight w:val="none"/>
              </w:rPr>
            </w:pPr>
            <w:r>
              <w:rPr>
                <w:rFonts w:hint="eastAsia" w:ascii="宋体" w:hAnsi="宋体" w:cs="宋体"/>
                <w:b/>
                <w:color w:val="auto"/>
                <w:sz w:val="21"/>
                <w:szCs w:val="21"/>
                <w:highlight w:val="none"/>
              </w:rPr>
              <w:t>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08" w:type="dxa"/>
            <w:vAlign w:val="center"/>
          </w:tcPr>
          <w:p>
            <w:pPr>
              <w:widowControl/>
              <w:jc w:val="center"/>
              <w:rPr>
                <w:rFonts w:ascii="宋体" w:hAnsi="宋体" w:cs="宋体"/>
                <w:color w:val="auto"/>
                <w:sz w:val="21"/>
                <w:szCs w:val="21"/>
                <w:highlight w:val="none"/>
              </w:rPr>
            </w:pPr>
          </w:p>
        </w:tc>
        <w:tc>
          <w:tcPr>
            <w:tcW w:w="3290" w:type="dxa"/>
            <w:vAlign w:val="center"/>
          </w:tcPr>
          <w:p>
            <w:pPr>
              <w:widowControl/>
              <w:jc w:val="center"/>
              <w:rPr>
                <w:rFonts w:ascii="宋体" w:hAnsi="宋体"/>
                <w:color w:val="auto"/>
                <w:sz w:val="21"/>
                <w:szCs w:val="21"/>
                <w:highlight w:val="none"/>
              </w:rPr>
            </w:pPr>
          </w:p>
        </w:tc>
        <w:tc>
          <w:tcPr>
            <w:tcW w:w="2268" w:type="dxa"/>
            <w:vAlign w:val="center"/>
          </w:tcPr>
          <w:p>
            <w:pPr>
              <w:widowControl/>
              <w:jc w:val="both"/>
              <w:rPr>
                <w:rFonts w:hint="eastAsia"/>
                <w:lang w:val="en-US" w:eastAsia="zh-CN"/>
              </w:rPr>
            </w:pPr>
            <w:bookmarkStart w:id="166" w:name="_GoBack"/>
            <w:bookmarkEnd w:id="166"/>
            <w:r>
              <w:rPr>
                <w:rFonts w:hint="eastAsia"/>
                <w:lang w:val="en-US" w:eastAsia="zh-CN"/>
              </w:rPr>
              <w:t>小写：</w:t>
            </w:r>
          </w:p>
          <w:p>
            <w:pPr>
              <w:pStyle w:val="2"/>
              <w:rPr>
                <w:rFonts w:hint="default"/>
                <w:lang w:val="en-US" w:eastAsia="zh-CN"/>
              </w:rPr>
            </w:pPr>
            <w:r>
              <w:rPr>
                <w:rFonts w:hint="eastAsia"/>
                <w:lang w:val="en-US" w:eastAsia="zh-CN"/>
              </w:rPr>
              <w:t>大写：</w:t>
            </w:r>
          </w:p>
        </w:tc>
        <w:tc>
          <w:tcPr>
            <w:tcW w:w="2381" w:type="dxa"/>
            <w:vAlign w:val="top"/>
          </w:tcPr>
          <w:p>
            <w:pPr>
              <w:widowControl/>
              <w:jc w:val="right"/>
              <w:rPr>
                <w:rFonts w:ascii="宋体" w:hAnsi="宋体" w:cs="宋体"/>
                <w:color w:val="auto"/>
                <w:sz w:val="21"/>
                <w:szCs w:val="21"/>
                <w:highlight w:val="none"/>
              </w:rPr>
            </w:pPr>
          </w:p>
        </w:tc>
      </w:tr>
    </w:tbl>
    <w:p>
      <w:pPr>
        <w:pStyle w:val="18"/>
        <w:spacing w:line="360" w:lineRule="auto"/>
        <w:ind w:left="1104"/>
        <w:rPr>
          <w:rFonts w:hAnsi="宋体"/>
          <w:color w:val="auto"/>
          <w:sz w:val="21"/>
          <w:highlight w:val="none"/>
        </w:rPr>
      </w:pPr>
    </w:p>
    <w:p>
      <w:pPr>
        <w:pStyle w:val="18"/>
        <w:spacing w:line="360" w:lineRule="auto"/>
        <w:ind w:left="1104"/>
        <w:rPr>
          <w:rFonts w:hAnsi="宋体"/>
          <w:color w:val="auto"/>
          <w:sz w:val="21"/>
          <w:highlight w:val="none"/>
        </w:rPr>
      </w:pPr>
      <w:r>
        <w:rPr>
          <w:rFonts w:hint="eastAsia" w:hAnsi="宋体"/>
          <w:color w:val="auto"/>
          <w:sz w:val="21"/>
          <w:highlight w:val="none"/>
        </w:rPr>
        <w:t>投 标 人  （盖章）：</w:t>
      </w:r>
    </w:p>
    <w:p>
      <w:pPr>
        <w:pStyle w:val="18"/>
        <w:spacing w:line="360" w:lineRule="auto"/>
        <w:ind w:left="1104"/>
        <w:rPr>
          <w:rFonts w:hAnsi="宋体"/>
          <w:color w:val="auto"/>
          <w:sz w:val="21"/>
          <w:highlight w:val="none"/>
        </w:rPr>
      </w:pPr>
      <w:r>
        <w:rPr>
          <w:rFonts w:hint="eastAsia" w:hAnsi="宋体"/>
          <w:color w:val="auto"/>
          <w:sz w:val="21"/>
          <w:highlight w:val="none"/>
        </w:rPr>
        <w:t>投标人代表（签字）：</w:t>
      </w:r>
    </w:p>
    <w:p>
      <w:pPr>
        <w:pStyle w:val="18"/>
        <w:spacing w:line="360" w:lineRule="auto"/>
        <w:ind w:left="1104"/>
        <w:rPr>
          <w:rFonts w:hAnsi="宋体"/>
          <w:color w:val="auto"/>
          <w:sz w:val="21"/>
          <w:highlight w:val="none"/>
        </w:rPr>
      </w:pPr>
      <w:r>
        <w:rPr>
          <w:rFonts w:hint="eastAsia" w:hAnsi="宋体"/>
          <w:color w:val="auto"/>
          <w:sz w:val="21"/>
          <w:highlight w:val="none"/>
        </w:rPr>
        <w:t>日             期：</w:t>
      </w:r>
    </w:p>
    <w:p>
      <w:pPr>
        <w:spacing w:line="276" w:lineRule="auto"/>
        <w:jc w:val="center"/>
        <w:outlineLvl w:val="1"/>
        <w:rPr>
          <w:b/>
          <w:color w:val="auto"/>
          <w:highlight w:val="none"/>
        </w:rPr>
        <w:sectPr>
          <w:headerReference r:id="rId13" w:type="default"/>
          <w:footerReference r:id="rId14" w:type="default"/>
          <w:pgSz w:w="11906" w:h="16838"/>
          <w:pgMar w:top="1418" w:right="1134" w:bottom="1418" w:left="1588" w:header="851" w:footer="851"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p>
    <w:p>
      <w:pPr>
        <w:spacing w:line="276" w:lineRule="auto"/>
        <w:jc w:val="center"/>
        <w:outlineLvl w:val="1"/>
        <w:rPr>
          <w:b/>
          <w:color w:val="auto"/>
          <w:highlight w:val="none"/>
        </w:rPr>
      </w:pPr>
      <w:bookmarkStart w:id="114" w:name="_Toc15464"/>
      <w:r>
        <w:rPr>
          <w:rFonts w:hint="eastAsia"/>
          <w:b/>
          <w:color w:val="auto"/>
          <w:highlight w:val="none"/>
        </w:rPr>
        <w:t>附件三、</w:t>
      </w:r>
      <w:bookmarkEnd w:id="95"/>
      <w:bookmarkEnd w:id="96"/>
      <w:r>
        <w:rPr>
          <w:rFonts w:hint="eastAsia"/>
          <w:b/>
          <w:color w:val="auto"/>
          <w:highlight w:val="none"/>
        </w:rPr>
        <w:t>投标分项报价表</w:t>
      </w:r>
      <w:bookmarkEnd w:id="112"/>
      <w:bookmarkEnd w:id="113"/>
      <w:bookmarkEnd w:id="114"/>
    </w:p>
    <w:p>
      <w:pPr>
        <w:spacing w:line="276" w:lineRule="auto"/>
        <w:jc w:val="both"/>
        <w:rPr>
          <w:rFonts w:ascii="宋体"/>
          <w:b/>
          <w:color w:val="auto"/>
          <w:szCs w:val="24"/>
          <w:highlight w:val="none"/>
        </w:rPr>
      </w:pPr>
    </w:p>
    <w:p>
      <w:pPr>
        <w:pStyle w:val="22"/>
        <w:adjustRightInd w:val="0"/>
        <w:snapToGrid w:val="0"/>
        <w:spacing w:line="360" w:lineRule="auto"/>
        <w:rPr>
          <w:color w:val="auto"/>
          <w:highlight w:val="none"/>
          <w:u w:val="single"/>
        </w:rPr>
      </w:pPr>
      <w:r>
        <w:rPr>
          <w:rFonts w:hint="eastAsia"/>
          <w:color w:val="auto"/>
          <w:highlight w:val="none"/>
        </w:rPr>
        <w:t>招标编号：</w:t>
      </w:r>
    </w:p>
    <w:p>
      <w:pPr>
        <w:pStyle w:val="22"/>
        <w:snapToGrid w:val="0"/>
        <w:spacing w:line="360" w:lineRule="auto"/>
        <w:rPr>
          <w:rFonts w:hAnsi="宋体"/>
          <w:color w:val="auto"/>
          <w:highlight w:val="none"/>
        </w:rPr>
      </w:pPr>
      <w:r>
        <w:rPr>
          <w:rFonts w:hint="eastAsia"/>
          <w:color w:val="auto"/>
          <w:highlight w:val="none"/>
        </w:rPr>
        <w:t>项目名称：</w:t>
      </w:r>
    </w:p>
    <w:p>
      <w:pPr>
        <w:spacing w:line="240" w:lineRule="auto"/>
        <w:rPr>
          <w:rFonts w:ascii="宋体" w:hAnsi="宋体"/>
          <w:b/>
          <w:color w:val="auto"/>
          <w:sz w:val="21"/>
          <w:szCs w:val="21"/>
          <w:highlight w:val="none"/>
        </w:rPr>
      </w:pPr>
      <w:r>
        <w:rPr>
          <w:rFonts w:hint="eastAsia" w:ascii="宋体" w:hAnsi="宋体"/>
          <w:b w:val="0"/>
          <w:bCs/>
          <w:color w:val="auto"/>
          <w:sz w:val="21"/>
          <w:szCs w:val="21"/>
          <w:highlight w:val="none"/>
          <w:lang w:val="en-US" w:eastAsia="zh-CN"/>
        </w:rPr>
        <w:t>标    项：</w:t>
      </w:r>
    </w:p>
    <w:tbl>
      <w:tblPr>
        <w:tblStyle w:val="39"/>
        <w:tblW w:w="9639"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701"/>
        <w:gridCol w:w="1701"/>
        <w:gridCol w:w="709"/>
        <w:gridCol w:w="851"/>
        <w:gridCol w:w="1417"/>
        <w:gridCol w:w="1417"/>
        <w:gridCol w:w="992"/>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51" w:type="dxa"/>
            <w:noWrap w:val="0"/>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序号</w:t>
            </w:r>
          </w:p>
        </w:tc>
        <w:tc>
          <w:tcPr>
            <w:tcW w:w="1701" w:type="dxa"/>
            <w:noWrap w:val="0"/>
            <w:vAlign w:val="center"/>
          </w:tcPr>
          <w:p>
            <w:pPr>
              <w:wordWrap w:val="0"/>
              <w:jc w:val="center"/>
              <w:rPr>
                <w:rFonts w:ascii="宋体" w:hAnsi="宋体"/>
                <w:b/>
                <w:color w:val="auto"/>
                <w:sz w:val="21"/>
                <w:szCs w:val="21"/>
                <w:highlight w:val="none"/>
              </w:rPr>
            </w:pPr>
            <w:r>
              <w:rPr>
                <w:rFonts w:hint="eastAsia" w:ascii="宋体" w:hAnsi="宋体"/>
                <w:b/>
                <w:color w:val="auto"/>
                <w:sz w:val="21"/>
                <w:szCs w:val="21"/>
                <w:highlight w:val="none"/>
              </w:rPr>
              <w:t>产品名称</w:t>
            </w:r>
          </w:p>
        </w:tc>
        <w:tc>
          <w:tcPr>
            <w:tcW w:w="1701" w:type="dxa"/>
            <w:noWrap w:val="0"/>
            <w:vAlign w:val="center"/>
          </w:tcPr>
          <w:p>
            <w:pPr>
              <w:wordWrap w:val="0"/>
              <w:jc w:val="center"/>
              <w:rPr>
                <w:rFonts w:ascii="宋体" w:hAnsi="宋体" w:cs="宋体"/>
                <w:bCs/>
                <w:color w:val="auto"/>
                <w:spacing w:val="-6"/>
                <w:kern w:val="0"/>
                <w:sz w:val="21"/>
                <w:szCs w:val="21"/>
                <w:highlight w:val="none"/>
                <w:lang w:val="zh-CN"/>
              </w:rPr>
            </w:pPr>
            <w:r>
              <w:rPr>
                <w:rFonts w:hint="eastAsia" w:ascii="宋体" w:hAnsi="宋体"/>
                <w:b/>
                <w:color w:val="auto"/>
                <w:sz w:val="21"/>
                <w:szCs w:val="21"/>
                <w:highlight w:val="none"/>
              </w:rPr>
              <w:t>规格、型号</w:t>
            </w:r>
          </w:p>
        </w:tc>
        <w:tc>
          <w:tcPr>
            <w:tcW w:w="709" w:type="dxa"/>
            <w:noWrap w:val="0"/>
            <w:vAlign w:val="center"/>
          </w:tcPr>
          <w:p>
            <w:pPr>
              <w:wordWrap w:val="0"/>
              <w:jc w:val="center"/>
              <w:rPr>
                <w:rFonts w:ascii="宋体" w:hAnsi="宋体"/>
                <w:b/>
                <w:color w:val="auto"/>
                <w:sz w:val="21"/>
                <w:szCs w:val="21"/>
                <w:highlight w:val="none"/>
              </w:rPr>
            </w:pPr>
            <w:r>
              <w:rPr>
                <w:rFonts w:hint="eastAsia" w:ascii="宋体" w:hAnsi="宋体"/>
                <w:b/>
                <w:color w:val="auto"/>
                <w:sz w:val="21"/>
                <w:szCs w:val="21"/>
                <w:highlight w:val="none"/>
              </w:rPr>
              <w:t>数量</w:t>
            </w:r>
          </w:p>
        </w:tc>
        <w:tc>
          <w:tcPr>
            <w:tcW w:w="851" w:type="dxa"/>
            <w:noWrap w:val="0"/>
            <w:vAlign w:val="center"/>
          </w:tcPr>
          <w:p>
            <w:pPr>
              <w:wordWrap w:val="0"/>
              <w:jc w:val="center"/>
              <w:rPr>
                <w:rFonts w:ascii="宋体" w:hAnsi="宋体"/>
                <w:b/>
                <w:color w:val="auto"/>
                <w:sz w:val="21"/>
                <w:szCs w:val="21"/>
                <w:highlight w:val="none"/>
              </w:rPr>
            </w:pPr>
            <w:r>
              <w:rPr>
                <w:rFonts w:hint="eastAsia" w:ascii="宋体" w:hAnsi="宋体"/>
                <w:b/>
                <w:color w:val="auto"/>
                <w:sz w:val="21"/>
                <w:szCs w:val="21"/>
                <w:highlight w:val="none"/>
              </w:rPr>
              <w:t>单位</w:t>
            </w:r>
          </w:p>
        </w:tc>
        <w:tc>
          <w:tcPr>
            <w:tcW w:w="1417" w:type="dxa"/>
            <w:noWrap w:val="0"/>
            <w:vAlign w:val="center"/>
          </w:tcPr>
          <w:p>
            <w:pPr>
              <w:wordWrap w:val="0"/>
              <w:jc w:val="center"/>
              <w:rPr>
                <w:rFonts w:ascii="宋体" w:hAnsi="宋体"/>
                <w:b/>
                <w:color w:val="auto"/>
                <w:sz w:val="21"/>
                <w:szCs w:val="21"/>
                <w:highlight w:val="none"/>
              </w:rPr>
            </w:pPr>
            <w:r>
              <w:rPr>
                <w:rFonts w:hint="eastAsia" w:ascii="宋体" w:hAnsi="宋体"/>
                <w:b/>
                <w:color w:val="auto"/>
                <w:sz w:val="21"/>
                <w:szCs w:val="21"/>
                <w:highlight w:val="none"/>
              </w:rPr>
              <w:t>产地品牌</w:t>
            </w:r>
          </w:p>
        </w:tc>
        <w:tc>
          <w:tcPr>
            <w:tcW w:w="1417" w:type="dxa"/>
            <w:noWrap w:val="0"/>
            <w:vAlign w:val="center"/>
          </w:tcPr>
          <w:p>
            <w:pPr>
              <w:wordWrap w:val="0"/>
              <w:jc w:val="center"/>
              <w:rPr>
                <w:rFonts w:ascii="宋体" w:hAnsi="宋体"/>
                <w:b/>
                <w:color w:val="auto"/>
                <w:sz w:val="21"/>
                <w:szCs w:val="21"/>
                <w:highlight w:val="none"/>
              </w:rPr>
            </w:pPr>
            <w:r>
              <w:rPr>
                <w:rFonts w:hint="eastAsia" w:ascii="宋体" w:hAnsi="宋体"/>
                <w:b/>
                <w:color w:val="auto"/>
                <w:sz w:val="21"/>
                <w:szCs w:val="21"/>
                <w:highlight w:val="none"/>
              </w:rPr>
              <w:t>综合单价</w:t>
            </w:r>
          </w:p>
        </w:tc>
        <w:tc>
          <w:tcPr>
            <w:tcW w:w="992" w:type="dxa"/>
            <w:noWrap w:val="0"/>
            <w:vAlign w:val="center"/>
          </w:tcPr>
          <w:p>
            <w:pPr>
              <w:wordWrap w:val="0"/>
              <w:jc w:val="center"/>
              <w:rPr>
                <w:rFonts w:ascii="宋体" w:hAnsi="宋体"/>
                <w:b/>
                <w:color w:val="auto"/>
                <w:sz w:val="21"/>
                <w:szCs w:val="21"/>
                <w:highlight w:val="none"/>
              </w:rPr>
            </w:pPr>
            <w:r>
              <w:rPr>
                <w:rFonts w:hint="eastAsia" w:ascii="宋体" w:hAnsi="宋体"/>
                <w:b/>
                <w:color w:val="auto"/>
                <w:sz w:val="21"/>
                <w:szCs w:val="21"/>
                <w:highlight w:val="none"/>
              </w:rPr>
              <w:t>合价</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51" w:type="dxa"/>
            <w:noWrap w:val="0"/>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一</w:t>
            </w:r>
          </w:p>
        </w:tc>
        <w:tc>
          <w:tcPr>
            <w:tcW w:w="1701" w:type="dxa"/>
            <w:noWrap w:val="0"/>
            <w:vAlign w:val="center"/>
          </w:tcPr>
          <w:p>
            <w:pPr>
              <w:wordWrap w:val="0"/>
              <w:jc w:val="center"/>
              <w:rPr>
                <w:rFonts w:ascii="宋体" w:hAnsi="宋体"/>
                <w:b/>
                <w:color w:val="auto"/>
                <w:sz w:val="21"/>
                <w:szCs w:val="21"/>
                <w:highlight w:val="none"/>
              </w:rPr>
            </w:pPr>
          </w:p>
        </w:tc>
        <w:tc>
          <w:tcPr>
            <w:tcW w:w="1701" w:type="dxa"/>
            <w:noWrap w:val="0"/>
            <w:vAlign w:val="center"/>
          </w:tcPr>
          <w:p>
            <w:pPr>
              <w:wordWrap w:val="0"/>
              <w:jc w:val="center"/>
              <w:rPr>
                <w:rFonts w:ascii="宋体" w:hAnsi="宋体"/>
                <w:b/>
                <w:color w:val="auto"/>
                <w:sz w:val="21"/>
                <w:szCs w:val="21"/>
                <w:highlight w:val="none"/>
              </w:rPr>
            </w:pPr>
          </w:p>
        </w:tc>
        <w:tc>
          <w:tcPr>
            <w:tcW w:w="709" w:type="dxa"/>
            <w:noWrap w:val="0"/>
            <w:vAlign w:val="center"/>
          </w:tcPr>
          <w:p>
            <w:pPr>
              <w:wordWrap w:val="0"/>
              <w:jc w:val="center"/>
              <w:rPr>
                <w:rFonts w:ascii="宋体" w:hAnsi="宋体"/>
                <w:b/>
                <w:color w:val="auto"/>
                <w:sz w:val="21"/>
                <w:szCs w:val="21"/>
                <w:highlight w:val="none"/>
              </w:rPr>
            </w:pPr>
          </w:p>
        </w:tc>
        <w:tc>
          <w:tcPr>
            <w:tcW w:w="851" w:type="dxa"/>
            <w:noWrap w:val="0"/>
            <w:vAlign w:val="center"/>
          </w:tcPr>
          <w:p>
            <w:pPr>
              <w:wordWrap w:val="0"/>
              <w:jc w:val="center"/>
              <w:rPr>
                <w:rFonts w:ascii="宋体" w:hAnsi="宋体"/>
                <w:b/>
                <w:color w:val="auto"/>
                <w:sz w:val="21"/>
                <w:szCs w:val="21"/>
                <w:highlight w:val="none"/>
              </w:rPr>
            </w:pPr>
          </w:p>
        </w:tc>
        <w:tc>
          <w:tcPr>
            <w:tcW w:w="1417" w:type="dxa"/>
            <w:noWrap w:val="0"/>
            <w:vAlign w:val="center"/>
          </w:tcPr>
          <w:p>
            <w:pPr>
              <w:wordWrap w:val="0"/>
              <w:jc w:val="center"/>
              <w:rPr>
                <w:rFonts w:ascii="宋体" w:hAnsi="宋体"/>
                <w:b/>
                <w:color w:val="auto"/>
                <w:sz w:val="21"/>
                <w:szCs w:val="21"/>
                <w:highlight w:val="none"/>
              </w:rPr>
            </w:pPr>
          </w:p>
        </w:tc>
        <w:tc>
          <w:tcPr>
            <w:tcW w:w="1417" w:type="dxa"/>
            <w:noWrap w:val="0"/>
            <w:vAlign w:val="center"/>
          </w:tcPr>
          <w:p>
            <w:pPr>
              <w:wordWrap w:val="0"/>
              <w:jc w:val="center"/>
              <w:rPr>
                <w:rFonts w:ascii="宋体" w:hAnsi="宋体"/>
                <w:b/>
                <w:color w:val="auto"/>
                <w:sz w:val="21"/>
                <w:szCs w:val="21"/>
                <w:highlight w:val="none"/>
              </w:rPr>
            </w:pPr>
          </w:p>
        </w:tc>
        <w:tc>
          <w:tcPr>
            <w:tcW w:w="992" w:type="dxa"/>
            <w:noWrap w:val="0"/>
            <w:vAlign w:val="center"/>
          </w:tcPr>
          <w:p>
            <w:pPr>
              <w:wordWrap w:val="0"/>
              <w:jc w:val="center"/>
              <w:rPr>
                <w:rFonts w:ascii="宋体" w:hAnsi="宋体"/>
                <w:b/>
                <w:color w:val="auto"/>
                <w:sz w:val="21"/>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ascii="宋体" w:hAnsi="宋体" w:cs="宋体"/>
                <w:bCs/>
                <w:color w:val="auto"/>
                <w:spacing w:val="-6"/>
                <w:kern w:val="0"/>
                <w:sz w:val="21"/>
                <w:szCs w:val="21"/>
                <w:highlight w:val="none"/>
                <w:lang w:val="zh-CN"/>
              </w:rPr>
              <w:t>1</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ascii="宋体" w:hAnsi="宋体" w:cs="宋体"/>
                <w:bCs/>
                <w:color w:val="auto"/>
                <w:spacing w:val="-6"/>
                <w:kern w:val="0"/>
                <w:sz w:val="21"/>
                <w:szCs w:val="21"/>
                <w:highlight w:val="none"/>
                <w:lang w:val="zh-CN"/>
              </w:rPr>
              <w:t>2</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ascii="宋体" w:hAnsi="宋体" w:cs="宋体"/>
                <w:bCs/>
                <w:color w:val="auto"/>
                <w:spacing w:val="-6"/>
                <w:kern w:val="0"/>
                <w:sz w:val="21"/>
                <w:szCs w:val="21"/>
                <w:highlight w:val="none"/>
                <w:lang w:val="zh-CN"/>
              </w:rPr>
              <w:t>3</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ascii="宋体" w:hAnsi="宋体" w:cs="宋体"/>
                <w:bCs/>
                <w:color w:val="auto"/>
                <w:spacing w:val="-6"/>
                <w:kern w:val="0"/>
                <w:sz w:val="21"/>
                <w:szCs w:val="21"/>
                <w:highlight w:val="none"/>
                <w:lang w:val="zh-CN"/>
              </w:rPr>
              <w:t>…</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hint="eastAsia" w:ascii="宋体" w:hAnsi="宋体" w:cs="宋体"/>
                <w:bCs/>
                <w:color w:val="auto"/>
                <w:spacing w:val="-6"/>
                <w:kern w:val="0"/>
                <w:sz w:val="21"/>
                <w:szCs w:val="21"/>
                <w:highlight w:val="none"/>
                <w:lang w:val="zh-CN"/>
              </w:rPr>
              <w:t>二</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ascii="宋体" w:hAnsi="宋体" w:cs="宋体"/>
                <w:bCs/>
                <w:color w:val="auto"/>
                <w:spacing w:val="-6"/>
                <w:kern w:val="0"/>
                <w:sz w:val="21"/>
                <w:szCs w:val="21"/>
                <w:highlight w:val="none"/>
                <w:lang w:val="zh-CN"/>
              </w:rPr>
              <w:t>1</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ascii="宋体" w:hAnsi="宋体" w:cs="宋体"/>
                <w:bCs/>
                <w:color w:val="auto"/>
                <w:spacing w:val="-6"/>
                <w:kern w:val="0"/>
                <w:sz w:val="21"/>
                <w:szCs w:val="21"/>
                <w:highlight w:val="none"/>
                <w:lang w:val="zh-CN"/>
              </w:rPr>
              <w:t>2</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ascii="宋体" w:hAnsi="宋体" w:cs="宋体"/>
                <w:bCs/>
                <w:color w:val="auto"/>
                <w:spacing w:val="-6"/>
                <w:kern w:val="0"/>
                <w:sz w:val="21"/>
                <w:szCs w:val="21"/>
                <w:highlight w:val="none"/>
                <w:lang w:val="zh-CN"/>
              </w:rPr>
              <w:t>3</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r>
              <w:rPr>
                <w:rFonts w:ascii="宋体" w:hAnsi="宋体" w:cs="宋体"/>
                <w:bCs/>
                <w:color w:val="auto"/>
                <w:spacing w:val="-6"/>
                <w:kern w:val="0"/>
                <w:sz w:val="21"/>
                <w:szCs w:val="21"/>
                <w:highlight w:val="none"/>
                <w:lang w:val="zh-CN"/>
              </w:rPr>
              <w:t>…</w:t>
            </w: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70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709"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851"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1417"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c>
          <w:tcPr>
            <w:tcW w:w="992" w:type="dxa"/>
            <w:noWrap w:val="0"/>
            <w:vAlign w:val="center"/>
          </w:tcPr>
          <w:p>
            <w:pPr>
              <w:widowControl/>
              <w:wordWrap w:val="0"/>
              <w:spacing w:line="360" w:lineRule="auto"/>
              <w:jc w:val="center"/>
              <w:textAlignment w:val="center"/>
              <w:rPr>
                <w:rFonts w:ascii="宋体" w:hAnsi="宋体" w:cs="宋体"/>
                <w:bCs/>
                <w:color w:val="auto"/>
                <w:spacing w:val="-6"/>
                <w:kern w:val="0"/>
                <w:sz w:val="21"/>
                <w:szCs w:val="21"/>
                <w:highlight w:val="none"/>
                <w:lang w:val="zh-CN"/>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9639" w:type="dxa"/>
            <w:gridSpan w:val="8"/>
            <w:noWrap w:val="0"/>
            <w:vAlign w:val="center"/>
          </w:tcPr>
          <w:p>
            <w:pPr>
              <w:widowControl/>
              <w:wordWrap w:val="0"/>
              <w:spacing w:line="360" w:lineRule="auto"/>
              <w:jc w:val="left"/>
              <w:textAlignment w:val="center"/>
              <w:rPr>
                <w:rFonts w:ascii="宋体" w:hAnsi="宋体" w:cs="宋体"/>
                <w:bCs/>
                <w:color w:val="auto"/>
                <w:spacing w:val="-6"/>
                <w:kern w:val="0"/>
                <w:sz w:val="21"/>
                <w:szCs w:val="21"/>
                <w:highlight w:val="none"/>
                <w:lang w:val="zh-CN"/>
              </w:rPr>
            </w:pPr>
            <w:r>
              <w:rPr>
                <w:rFonts w:hint="eastAsia" w:ascii="宋体" w:hAnsi="宋体"/>
                <w:color w:val="auto"/>
                <w:sz w:val="21"/>
                <w:szCs w:val="21"/>
                <w:highlight w:val="none"/>
                <w:lang w:val="en-US" w:eastAsia="zh-CN"/>
              </w:rPr>
              <w:t>投标总价</w:t>
            </w:r>
            <w:r>
              <w:rPr>
                <w:rFonts w:hint="eastAsia" w:ascii="宋体" w:hAnsi="宋体"/>
                <w:color w:val="auto"/>
                <w:sz w:val="21"/>
                <w:szCs w:val="21"/>
                <w:highlight w:val="none"/>
              </w:rPr>
              <w:t>（大写</w:t>
            </w:r>
            <w:r>
              <w:rPr>
                <w:rFonts w:ascii="宋体" w:hAnsi="宋体"/>
                <w:color w:val="auto"/>
                <w:sz w:val="21"/>
                <w:szCs w:val="21"/>
                <w:highlight w:val="none"/>
              </w:rPr>
              <w:t xml:space="preserve"> </w:t>
            </w:r>
            <w:r>
              <w:rPr>
                <w:rFonts w:hint="eastAsia" w:ascii="宋体" w:hAnsi="宋体"/>
                <w:color w:val="auto"/>
                <w:sz w:val="21"/>
                <w:szCs w:val="21"/>
                <w:highlight w:val="none"/>
              </w:rPr>
              <w:t>人民币</w:t>
            </w:r>
            <w:r>
              <w:rPr>
                <w:rFonts w:ascii="宋体" w:hAnsi="宋体"/>
                <w:color w:val="auto"/>
                <w:sz w:val="21"/>
                <w:szCs w:val="21"/>
                <w:highlight w:val="none"/>
              </w:rPr>
              <w:t xml:space="preserve">          </w:t>
            </w:r>
            <w:r>
              <w:rPr>
                <w:rFonts w:hint="eastAsia" w:ascii="宋体" w:hAnsi="宋体"/>
                <w:color w:val="auto"/>
                <w:sz w:val="21"/>
                <w:szCs w:val="21"/>
                <w:highlight w:val="none"/>
              </w:rPr>
              <w:t>元</w:t>
            </w:r>
            <w:r>
              <w:rPr>
                <w:rFonts w:ascii="宋体" w:hAnsi="宋体"/>
                <w:color w:val="auto"/>
                <w:sz w:val="21"/>
                <w:szCs w:val="21"/>
                <w:highlight w:val="none"/>
              </w:rPr>
              <w:t>，</w:t>
            </w:r>
            <w:r>
              <w:rPr>
                <w:rFonts w:hint="eastAsia" w:ascii="宋体" w:hAnsi="宋体"/>
                <w:color w:val="auto"/>
                <w:sz w:val="21"/>
                <w:szCs w:val="21"/>
                <w:highlight w:val="none"/>
              </w:rPr>
              <w:t>小写：人民币</w:t>
            </w:r>
            <w:r>
              <w:rPr>
                <w:rFonts w:ascii="宋体" w:hAnsi="宋体"/>
                <w:color w:val="auto"/>
                <w:sz w:val="21"/>
                <w:szCs w:val="21"/>
                <w:highlight w:val="none"/>
              </w:rPr>
              <w:t xml:space="preserve">        </w:t>
            </w:r>
            <w:r>
              <w:rPr>
                <w:rFonts w:hint="eastAsia" w:ascii="宋体" w:hAnsi="宋体"/>
                <w:color w:val="auto"/>
                <w:sz w:val="21"/>
                <w:szCs w:val="21"/>
                <w:highlight w:val="none"/>
              </w:rPr>
              <w:t>元）：</w:t>
            </w:r>
          </w:p>
        </w:tc>
      </w:tr>
    </w:tbl>
    <w:p>
      <w:pPr>
        <w:spacing w:line="240" w:lineRule="auto"/>
        <w:rPr>
          <w:rFonts w:ascii="宋体" w:hAnsi="宋体"/>
          <w:b/>
          <w:color w:val="auto"/>
          <w:sz w:val="21"/>
          <w:szCs w:val="21"/>
          <w:highlight w:val="none"/>
        </w:rPr>
      </w:pPr>
    </w:p>
    <w:p>
      <w:pPr>
        <w:snapToGrid w:val="0"/>
        <w:spacing w:line="360" w:lineRule="auto"/>
        <w:rPr>
          <w:rFonts w:hAnsi="宋体"/>
          <w:color w:val="auto"/>
          <w:sz w:val="21"/>
          <w:szCs w:val="21"/>
          <w:highlight w:val="none"/>
        </w:rPr>
      </w:pPr>
    </w:p>
    <w:p>
      <w:pPr>
        <w:snapToGrid w:val="0"/>
        <w:spacing w:line="360" w:lineRule="auto"/>
        <w:rPr>
          <w:rFonts w:ascii="宋体" w:hAnsi="宋体"/>
          <w:color w:val="auto"/>
          <w:sz w:val="21"/>
          <w:szCs w:val="21"/>
          <w:highlight w:val="none"/>
        </w:rPr>
      </w:pPr>
    </w:p>
    <w:p>
      <w:pPr>
        <w:snapToGrid w:val="0"/>
        <w:spacing w:line="360" w:lineRule="auto"/>
        <w:rPr>
          <w:rFonts w:ascii="宋体" w:hAnsi="宋体"/>
          <w:color w:val="auto"/>
          <w:sz w:val="21"/>
          <w:szCs w:val="21"/>
          <w:highlight w:val="none"/>
        </w:rPr>
      </w:pPr>
      <w:r>
        <w:rPr>
          <w:rFonts w:hint="eastAsia" w:ascii="宋体" w:hAnsi="宋体"/>
          <w:color w:val="auto"/>
          <w:sz w:val="21"/>
          <w:szCs w:val="21"/>
          <w:highlight w:val="none"/>
        </w:rPr>
        <w:t xml:space="preserve">投 标 人：(盖章) </w:t>
      </w:r>
    </w:p>
    <w:p>
      <w:pPr>
        <w:snapToGrid w:val="0"/>
        <w:spacing w:line="360" w:lineRule="auto"/>
        <w:rPr>
          <w:rFonts w:ascii="宋体" w:hAnsi="宋体"/>
          <w:color w:val="auto"/>
          <w:sz w:val="21"/>
          <w:szCs w:val="21"/>
          <w:highlight w:val="none"/>
        </w:rPr>
      </w:pPr>
      <w:r>
        <w:rPr>
          <w:rFonts w:hint="eastAsia" w:ascii="宋体" w:hAnsi="宋体"/>
          <w:color w:val="auto"/>
          <w:sz w:val="21"/>
          <w:szCs w:val="21"/>
          <w:highlight w:val="none"/>
        </w:rPr>
        <w:t>授权代表：(签字)</w:t>
      </w:r>
    </w:p>
    <w:p>
      <w:pPr>
        <w:spacing w:line="276" w:lineRule="auto"/>
        <w:rPr>
          <w:rFonts w:ascii="宋体"/>
          <w:color w:val="auto"/>
          <w:szCs w:val="24"/>
          <w:highlight w:val="none"/>
        </w:rPr>
      </w:pPr>
    </w:p>
    <w:p>
      <w:pPr>
        <w:spacing w:line="276" w:lineRule="auto"/>
        <w:rPr>
          <w:color w:val="auto"/>
          <w:highlight w:val="none"/>
        </w:rPr>
      </w:pPr>
      <w:r>
        <w:rPr>
          <w:b/>
          <w:color w:val="auto"/>
          <w:highlight w:val="none"/>
        </w:rPr>
        <w:br w:type="page"/>
      </w:r>
    </w:p>
    <w:p>
      <w:pPr>
        <w:spacing w:line="480" w:lineRule="exact"/>
        <w:jc w:val="center"/>
        <w:rPr>
          <w:b/>
          <w:color w:val="auto"/>
          <w:sz w:val="30"/>
          <w:highlight w:val="none"/>
        </w:rPr>
      </w:pPr>
      <w:bookmarkStart w:id="115" w:name="_Toc389139112"/>
      <w:bookmarkStart w:id="116" w:name="_Toc387317150"/>
      <w:bookmarkStart w:id="117" w:name="_Toc241827257"/>
      <w:bookmarkStart w:id="118" w:name="_Toc86202651"/>
      <w:r>
        <w:rPr>
          <w:rFonts w:hint="eastAsia"/>
          <w:b/>
          <w:color w:val="auto"/>
          <w:highlight w:val="none"/>
        </w:rPr>
        <w:t>附件四、</w:t>
      </w:r>
      <w:r>
        <w:rPr>
          <w:rFonts w:hint="eastAsia"/>
          <w:b/>
          <w:color w:val="auto"/>
          <w:sz w:val="30"/>
          <w:highlight w:val="none"/>
        </w:rPr>
        <w:t>法定代表人身份证明书</w:t>
      </w:r>
    </w:p>
    <w:p>
      <w:pPr>
        <w:spacing w:line="480" w:lineRule="exact"/>
        <w:jc w:val="center"/>
        <w:rPr>
          <w:b/>
          <w:color w:val="auto"/>
          <w:sz w:val="28"/>
          <w:highlight w:val="none"/>
        </w:rPr>
      </w:pPr>
    </w:p>
    <w:p>
      <w:pPr>
        <w:spacing w:line="960" w:lineRule="exact"/>
        <w:rPr>
          <w:color w:val="auto"/>
          <w:sz w:val="21"/>
          <w:szCs w:val="21"/>
          <w:highlight w:val="none"/>
          <w:u w:val="single"/>
        </w:rPr>
      </w:pPr>
      <w:r>
        <w:rPr>
          <w:rFonts w:hint="eastAsia"/>
          <w:color w:val="auto"/>
          <w:sz w:val="21"/>
          <w:szCs w:val="21"/>
          <w:highlight w:val="none"/>
        </w:rPr>
        <w:t>单位名称：</w:t>
      </w:r>
    </w:p>
    <w:p>
      <w:pPr>
        <w:spacing w:line="960" w:lineRule="exact"/>
        <w:rPr>
          <w:color w:val="auto"/>
          <w:sz w:val="21"/>
          <w:szCs w:val="21"/>
          <w:highlight w:val="none"/>
          <w:u w:val="single"/>
        </w:rPr>
      </w:pPr>
      <w:r>
        <w:rPr>
          <w:rFonts w:hint="eastAsia"/>
          <w:color w:val="auto"/>
          <w:sz w:val="21"/>
          <w:szCs w:val="21"/>
          <w:highlight w:val="none"/>
        </w:rPr>
        <w:t>单位性质：</w:t>
      </w:r>
    </w:p>
    <w:p>
      <w:pPr>
        <w:spacing w:line="960" w:lineRule="exact"/>
        <w:rPr>
          <w:color w:val="auto"/>
          <w:sz w:val="21"/>
          <w:szCs w:val="21"/>
          <w:highlight w:val="none"/>
          <w:u w:val="single"/>
        </w:rPr>
      </w:pPr>
      <w:r>
        <w:rPr>
          <w:rFonts w:hint="eastAsia"/>
          <w:color w:val="auto"/>
          <w:sz w:val="21"/>
          <w:szCs w:val="21"/>
          <w:highlight w:val="none"/>
        </w:rPr>
        <w:t>地    址：</w:t>
      </w:r>
    </w:p>
    <w:p>
      <w:pPr>
        <w:spacing w:line="960" w:lineRule="exact"/>
        <w:rPr>
          <w:color w:val="auto"/>
          <w:sz w:val="21"/>
          <w:szCs w:val="21"/>
          <w:highlight w:val="none"/>
        </w:rPr>
      </w:pPr>
      <w:r>
        <w:rPr>
          <w:rFonts w:hint="eastAsia"/>
          <w:color w:val="auto"/>
          <w:sz w:val="21"/>
          <w:szCs w:val="21"/>
          <w:highlight w:val="none"/>
        </w:rPr>
        <w:t>成立时间：年月日</w:t>
      </w:r>
    </w:p>
    <w:p>
      <w:pPr>
        <w:spacing w:line="960" w:lineRule="exact"/>
        <w:rPr>
          <w:color w:val="auto"/>
          <w:sz w:val="21"/>
          <w:szCs w:val="21"/>
          <w:highlight w:val="none"/>
          <w:u w:val="single"/>
        </w:rPr>
      </w:pPr>
      <w:r>
        <w:rPr>
          <w:rFonts w:hint="eastAsia"/>
          <w:color w:val="auto"/>
          <w:sz w:val="21"/>
          <w:szCs w:val="21"/>
          <w:highlight w:val="none"/>
        </w:rPr>
        <w:t>经营期限：</w:t>
      </w:r>
    </w:p>
    <w:p>
      <w:pPr>
        <w:spacing w:line="960" w:lineRule="exact"/>
        <w:rPr>
          <w:color w:val="auto"/>
          <w:sz w:val="21"/>
          <w:szCs w:val="21"/>
          <w:highlight w:val="none"/>
          <w:u w:val="single"/>
        </w:rPr>
      </w:pPr>
      <w:r>
        <w:rPr>
          <w:rFonts w:hint="eastAsia"/>
          <w:color w:val="auto"/>
          <w:sz w:val="21"/>
          <w:szCs w:val="21"/>
          <w:highlight w:val="none"/>
        </w:rPr>
        <w:t>姓    名：  性别： 年龄： 职务：</w:t>
      </w:r>
    </w:p>
    <w:p>
      <w:pPr>
        <w:spacing w:line="960" w:lineRule="exact"/>
        <w:rPr>
          <w:color w:val="auto"/>
          <w:sz w:val="21"/>
          <w:szCs w:val="21"/>
          <w:highlight w:val="none"/>
        </w:rPr>
      </w:pPr>
      <w:r>
        <w:rPr>
          <w:rFonts w:hint="eastAsia"/>
          <w:color w:val="auto"/>
          <w:sz w:val="21"/>
          <w:szCs w:val="21"/>
          <w:highlight w:val="none"/>
        </w:rPr>
        <w:t xml:space="preserve">系 </w:t>
      </w:r>
      <w:r>
        <w:rPr>
          <w:rFonts w:hint="eastAsia"/>
          <w:color w:val="auto"/>
          <w:sz w:val="21"/>
          <w:szCs w:val="21"/>
          <w:highlight w:val="none"/>
          <w:u w:val="single"/>
        </w:rPr>
        <w:t xml:space="preserve">           (投标人名称)                     </w:t>
      </w:r>
      <w:r>
        <w:rPr>
          <w:rFonts w:hint="eastAsia"/>
          <w:color w:val="auto"/>
          <w:sz w:val="21"/>
          <w:szCs w:val="21"/>
          <w:highlight w:val="none"/>
        </w:rPr>
        <w:t>的法定代表人。</w:t>
      </w:r>
    </w:p>
    <w:p>
      <w:pPr>
        <w:spacing w:line="960" w:lineRule="exact"/>
        <w:rPr>
          <w:color w:val="auto"/>
          <w:sz w:val="21"/>
          <w:szCs w:val="21"/>
          <w:highlight w:val="none"/>
        </w:rPr>
      </w:pPr>
      <w:r>
        <w:rPr>
          <w:rFonts w:hint="eastAsia"/>
          <w:color w:val="auto"/>
          <w:sz w:val="21"/>
          <w:szCs w:val="21"/>
          <w:highlight w:val="none"/>
        </w:rPr>
        <w:t>特此证明。</w:t>
      </w:r>
    </w:p>
    <w:p>
      <w:pPr>
        <w:spacing w:line="960" w:lineRule="exact"/>
        <w:rPr>
          <w:color w:val="auto"/>
          <w:sz w:val="21"/>
          <w:szCs w:val="21"/>
          <w:highlight w:val="none"/>
          <w:u w:val="single"/>
        </w:rPr>
      </w:pPr>
      <w:r>
        <w:rPr>
          <w:rFonts w:hint="eastAsia"/>
          <w:color w:val="auto"/>
          <w:sz w:val="21"/>
          <w:szCs w:val="21"/>
          <w:highlight w:val="none"/>
        </w:rPr>
        <w:t xml:space="preserve">                               投标人：</w:t>
      </w:r>
      <w:r>
        <w:rPr>
          <w:rFonts w:hint="eastAsia"/>
          <w:color w:val="auto"/>
          <w:sz w:val="21"/>
          <w:szCs w:val="21"/>
          <w:highlight w:val="none"/>
          <w:u w:val="single"/>
        </w:rPr>
        <w:t xml:space="preserve">               (盖章)             </w:t>
      </w:r>
    </w:p>
    <w:p>
      <w:pPr>
        <w:spacing w:line="960" w:lineRule="exact"/>
        <w:rPr>
          <w:color w:val="auto"/>
          <w:sz w:val="21"/>
          <w:szCs w:val="21"/>
          <w:highlight w:val="none"/>
        </w:rPr>
      </w:pPr>
      <w:r>
        <w:rPr>
          <w:rFonts w:hint="eastAsia"/>
          <w:color w:val="auto"/>
          <w:sz w:val="21"/>
          <w:szCs w:val="21"/>
          <w:highlight w:val="none"/>
        </w:rPr>
        <w:t xml:space="preserve">                               日  期：年月日</w:t>
      </w:r>
    </w:p>
    <w:p>
      <w:pPr>
        <w:rPr>
          <w:color w:val="auto"/>
          <w:sz w:val="21"/>
          <w:szCs w:val="21"/>
          <w:highlight w:val="none"/>
        </w:rPr>
      </w:pPr>
    </w:p>
    <w:p>
      <w:pPr>
        <w:rPr>
          <w:color w:val="auto"/>
          <w:sz w:val="21"/>
          <w:szCs w:val="21"/>
          <w:highlight w:val="none"/>
        </w:rPr>
      </w:pPr>
    </w:p>
    <w:p>
      <w:pPr>
        <w:spacing w:line="276" w:lineRule="auto"/>
        <w:ind w:firstLine="1054" w:firstLineChars="500"/>
        <w:jc w:val="center"/>
        <w:outlineLvl w:val="1"/>
        <w:rPr>
          <w:b/>
          <w:color w:val="auto"/>
          <w:highlight w:val="none"/>
        </w:rPr>
      </w:pPr>
      <w:bookmarkStart w:id="119" w:name="_Toc6871"/>
      <w:r>
        <w:rPr>
          <w:rFonts w:hint="eastAsia" w:ascii="宋体" w:hAnsi="宋体"/>
          <w:b/>
          <w:color w:val="auto"/>
          <w:sz w:val="21"/>
          <w:szCs w:val="21"/>
          <w:highlight w:val="none"/>
          <w:u w:val="single"/>
        </w:rPr>
        <w:t>附：法定代表人身份证复印件。</w:t>
      </w:r>
      <w:r>
        <w:rPr>
          <w:b/>
          <w:color w:val="auto"/>
          <w:highlight w:val="none"/>
        </w:rPr>
        <w:br w:type="page"/>
      </w:r>
      <w:r>
        <w:rPr>
          <w:rFonts w:hint="eastAsia"/>
          <w:b/>
          <w:color w:val="auto"/>
          <w:highlight w:val="none"/>
        </w:rPr>
        <w:t>法定代表人授权委托书</w:t>
      </w:r>
      <w:bookmarkEnd w:id="115"/>
      <w:bookmarkEnd w:id="116"/>
      <w:bookmarkEnd w:id="117"/>
      <w:bookmarkEnd w:id="119"/>
    </w:p>
    <w:p>
      <w:pPr>
        <w:spacing w:line="276" w:lineRule="auto"/>
        <w:rPr>
          <w:rFonts w:ascii="宋体"/>
          <w:color w:val="auto"/>
          <w:szCs w:val="24"/>
          <w:highlight w:val="none"/>
          <w:u w:val="single"/>
        </w:rPr>
      </w:pPr>
    </w:p>
    <w:p>
      <w:pPr>
        <w:spacing w:line="276" w:lineRule="auto"/>
        <w:rPr>
          <w:rFonts w:ascii="宋体"/>
          <w:color w:val="auto"/>
          <w:szCs w:val="24"/>
          <w:highlight w:val="none"/>
          <w:u w:val="single"/>
        </w:rPr>
      </w:pPr>
    </w:p>
    <w:p>
      <w:pPr>
        <w:spacing w:line="360" w:lineRule="auto"/>
        <w:rPr>
          <w:rFonts w:ascii="宋体"/>
          <w:color w:val="auto"/>
          <w:sz w:val="21"/>
          <w:szCs w:val="21"/>
          <w:highlight w:val="none"/>
        </w:rPr>
      </w:pPr>
      <w:r>
        <w:rPr>
          <w:rFonts w:hint="eastAsia" w:ascii="宋体"/>
          <w:color w:val="auto"/>
          <w:sz w:val="21"/>
          <w:szCs w:val="21"/>
          <w:highlight w:val="none"/>
          <w:u w:val="single"/>
        </w:rPr>
        <w:t>（招标人）名称</w:t>
      </w:r>
      <w:r>
        <w:rPr>
          <w:rFonts w:hint="eastAsia" w:ascii="宋体"/>
          <w:color w:val="auto"/>
          <w:sz w:val="21"/>
          <w:szCs w:val="21"/>
          <w:highlight w:val="none"/>
        </w:rPr>
        <w:t>：</w:t>
      </w:r>
    </w:p>
    <w:p>
      <w:pPr>
        <w:spacing w:line="360" w:lineRule="auto"/>
        <w:rPr>
          <w:rFonts w:ascii="宋体"/>
          <w:color w:val="auto"/>
          <w:sz w:val="21"/>
          <w:szCs w:val="21"/>
          <w:highlight w:val="none"/>
        </w:rPr>
      </w:pPr>
    </w:p>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本授权书声明：注册于（投标人住址）的（投标人名称）法定代表人（法定代表人姓名、职务）代表本公司授权在下面签字的（投标人代表姓名、职务）为本公司的合法代理人，就贵方组织的项目，招标编号：，以本公司名义处理一切与之有关的事务。</w:t>
      </w:r>
    </w:p>
    <w:p>
      <w:pPr>
        <w:spacing w:line="360" w:lineRule="auto"/>
        <w:rPr>
          <w:rFonts w:ascii="宋体"/>
          <w:color w:val="auto"/>
          <w:sz w:val="21"/>
          <w:szCs w:val="21"/>
          <w:highlight w:val="none"/>
        </w:rPr>
      </w:pPr>
    </w:p>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本授权书于年月日签字生效，特此声明。</w:t>
      </w:r>
    </w:p>
    <w:p>
      <w:pPr>
        <w:spacing w:line="360" w:lineRule="auto"/>
        <w:rPr>
          <w:rFonts w:ascii="宋体"/>
          <w:color w:val="auto"/>
          <w:sz w:val="21"/>
          <w:szCs w:val="21"/>
          <w:highlight w:val="none"/>
        </w:rPr>
      </w:pPr>
    </w:p>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 xml:space="preserve">法定代表人姓名（印刷体）：签字（或盖人名章）： </w:t>
      </w:r>
    </w:p>
    <w:p>
      <w:pPr>
        <w:spacing w:line="360" w:lineRule="auto"/>
        <w:rPr>
          <w:rFonts w:ascii="宋体"/>
          <w:color w:val="auto"/>
          <w:sz w:val="21"/>
          <w:szCs w:val="21"/>
          <w:highlight w:val="none"/>
        </w:rPr>
      </w:pPr>
    </w:p>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 xml:space="preserve">投标人代表姓名（印刷体）：签字： </w:t>
      </w:r>
    </w:p>
    <w:p>
      <w:pPr>
        <w:spacing w:line="360" w:lineRule="auto"/>
        <w:rPr>
          <w:rFonts w:ascii="宋体"/>
          <w:color w:val="auto"/>
          <w:sz w:val="21"/>
          <w:szCs w:val="21"/>
          <w:highlight w:val="none"/>
        </w:rPr>
      </w:pPr>
      <w:r>
        <w:rPr>
          <w:rFonts w:hint="eastAsia" w:ascii="宋体"/>
          <w:color w:val="auto"/>
          <w:sz w:val="21"/>
          <w:szCs w:val="21"/>
          <w:highlight w:val="none"/>
        </w:rPr>
        <w:tab/>
      </w:r>
    </w:p>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投标人全称并加盖投标人公章：</w:t>
      </w:r>
    </w:p>
    <w:p>
      <w:pPr>
        <w:snapToGrid w:val="0"/>
        <w:ind w:firstLine="527" w:firstLineChars="250"/>
        <w:rPr>
          <w:rFonts w:ascii="宋体" w:hAnsi="宋体"/>
          <w:b/>
          <w:color w:val="auto"/>
          <w:sz w:val="21"/>
          <w:szCs w:val="21"/>
          <w:highlight w:val="none"/>
          <w:u w:val="single"/>
        </w:rPr>
      </w:pPr>
      <w:r>
        <w:rPr>
          <w:rFonts w:hint="eastAsia" w:ascii="宋体" w:hAnsi="宋体"/>
          <w:b/>
          <w:color w:val="auto"/>
          <w:sz w:val="21"/>
          <w:szCs w:val="21"/>
          <w:highlight w:val="none"/>
          <w:u w:val="single"/>
        </w:rPr>
        <w:t>附：被授权人身份证复印件。</w:t>
      </w:r>
    </w:p>
    <w:p>
      <w:pPr>
        <w:snapToGrid w:val="0"/>
        <w:spacing w:line="400" w:lineRule="exact"/>
        <w:rPr>
          <w:rFonts w:ascii="宋体" w:hAnsi="宋体" w:cs="宋体"/>
          <w:color w:val="auto"/>
          <w:sz w:val="21"/>
          <w:szCs w:val="21"/>
          <w:highlight w:val="none"/>
        </w:rPr>
      </w:pPr>
    </w:p>
    <w:p>
      <w:pPr>
        <w:pStyle w:val="18"/>
        <w:spacing w:line="300" w:lineRule="auto"/>
        <w:ind w:left="0" w:leftChars="0"/>
        <w:rPr>
          <w:b/>
          <w:color w:val="auto"/>
          <w:sz w:val="21"/>
          <w:highlight w:val="none"/>
        </w:rPr>
      </w:pPr>
      <w:r>
        <w:rPr>
          <w:rFonts w:hint="eastAsia"/>
          <w:b/>
          <w:color w:val="auto"/>
          <w:sz w:val="21"/>
          <w:highlight w:val="none"/>
        </w:rPr>
        <w:t>注:</w:t>
      </w:r>
      <w:r>
        <w:rPr>
          <w:rFonts w:hAnsi="Courier New"/>
          <w:b/>
          <w:color w:val="auto"/>
          <w:spacing w:val="-4"/>
          <w:sz w:val="21"/>
          <w:highlight w:val="none"/>
        </w:rPr>
        <w:t>如果投标人的法定代表人亲自签署投标文件，则不需提交</w:t>
      </w:r>
      <w:r>
        <w:rPr>
          <w:rFonts w:hint="eastAsia" w:hAnsi="Courier New"/>
          <w:b/>
          <w:color w:val="auto"/>
          <w:spacing w:val="-4"/>
          <w:sz w:val="21"/>
          <w:highlight w:val="none"/>
        </w:rPr>
        <w:t>此</w:t>
      </w:r>
      <w:r>
        <w:rPr>
          <w:rFonts w:hAnsi="Courier New"/>
          <w:b/>
          <w:color w:val="auto"/>
          <w:spacing w:val="-4"/>
          <w:sz w:val="21"/>
          <w:highlight w:val="none"/>
        </w:rPr>
        <w:t>授权书。</w:t>
      </w:r>
    </w:p>
    <w:p>
      <w:pPr>
        <w:spacing w:line="360" w:lineRule="auto"/>
        <w:ind w:firstLine="420" w:firstLineChars="200"/>
        <w:rPr>
          <w:rFonts w:ascii="宋体"/>
          <w:color w:val="auto"/>
          <w:sz w:val="21"/>
          <w:szCs w:val="21"/>
          <w:highlight w:val="none"/>
        </w:rPr>
      </w:pPr>
    </w:p>
    <w:p>
      <w:pPr>
        <w:spacing w:line="276" w:lineRule="auto"/>
        <w:ind w:firstLine="480" w:firstLineChars="200"/>
        <w:rPr>
          <w:rFonts w:ascii="宋体"/>
          <w:color w:val="auto"/>
          <w:szCs w:val="24"/>
          <w:highlight w:val="none"/>
        </w:rPr>
      </w:pPr>
    </w:p>
    <w:p>
      <w:pPr>
        <w:spacing w:line="276" w:lineRule="auto"/>
        <w:ind w:firstLine="480" w:firstLineChars="200"/>
        <w:rPr>
          <w:rFonts w:ascii="宋体"/>
          <w:color w:val="auto"/>
          <w:szCs w:val="24"/>
          <w:highlight w:val="none"/>
        </w:rPr>
        <w:sectPr>
          <w:pgSz w:w="11906" w:h="16838"/>
          <w:pgMar w:top="1418" w:right="1134" w:bottom="1418" w:left="1588" w:header="851" w:footer="851"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p>
    <w:bookmarkEnd w:id="118"/>
    <w:p>
      <w:pPr>
        <w:spacing w:line="276" w:lineRule="auto"/>
        <w:jc w:val="center"/>
        <w:outlineLvl w:val="1"/>
        <w:rPr>
          <w:b/>
          <w:color w:val="auto"/>
          <w:highlight w:val="none"/>
        </w:rPr>
      </w:pPr>
      <w:bookmarkStart w:id="120" w:name="_Toc241827260"/>
      <w:bookmarkStart w:id="121" w:name="_Toc16368"/>
      <w:bookmarkStart w:id="122" w:name="_Toc387317151"/>
      <w:bookmarkStart w:id="123" w:name="_Toc389139113"/>
      <w:bookmarkStart w:id="124" w:name="_Toc86202636"/>
      <w:r>
        <w:rPr>
          <w:rFonts w:hint="eastAsia"/>
          <w:b/>
          <w:color w:val="auto"/>
          <w:highlight w:val="none"/>
        </w:rPr>
        <w:t>附件五、</w:t>
      </w:r>
      <w:bookmarkEnd w:id="120"/>
      <w:r>
        <w:rPr>
          <w:rFonts w:hint="eastAsia"/>
          <w:b/>
          <w:color w:val="auto"/>
          <w:highlight w:val="none"/>
        </w:rPr>
        <w:t>技术应答（偏离）表</w:t>
      </w:r>
      <w:bookmarkEnd w:id="121"/>
      <w:bookmarkEnd w:id="122"/>
      <w:bookmarkEnd w:id="123"/>
    </w:p>
    <w:tbl>
      <w:tblPr>
        <w:tblStyle w:val="39"/>
        <w:tblW w:w="8843"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304"/>
        <w:gridCol w:w="2268"/>
        <w:gridCol w:w="2410"/>
        <w:gridCol w:w="1966"/>
        <w:gridCol w:w="89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center"/>
          </w:tcPr>
          <w:p>
            <w:pPr>
              <w:spacing w:before="120" w:line="360" w:lineRule="auto"/>
              <w:jc w:val="center"/>
              <w:rPr>
                <w:rFonts w:ascii="宋体"/>
                <w:color w:val="auto"/>
                <w:sz w:val="21"/>
                <w:szCs w:val="21"/>
                <w:highlight w:val="none"/>
              </w:rPr>
            </w:pPr>
            <w:r>
              <w:rPr>
                <w:rFonts w:hint="eastAsia" w:ascii="宋体"/>
                <w:color w:val="auto"/>
                <w:sz w:val="21"/>
                <w:szCs w:val="21"/>
                <w:highlight w:val="none"/>
              </w:rPr>
              <w:t>序号</w:t>
            </w:r>
          </w:p>
        </w:tc>
        <w:tc>
          <w:tcPr>
            <w:tcW w:w="2268" w:type="dxa"/>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招标文件</w:t>
            </w:r>
          </w:p>
          <w:p>
            <w:pPr>
              <w:spacing w:line="360" w:lineRule="auto"/>
              <w:jc w:val="center"/>
              <w:rPr>
                <w:rFonts w:ascii="宋体"/>
                <w:color w:val="auto"/>
                <w:sz w:val="21"/>
                <w:szCs w:val="21"/>
                <w:highlight w:val="none"/>
              </w:rPr>
            </w:pPr>
            <w:r>
              <w:rPr>
                <w:rFonts w:hint="eastAsia" w:ascii="宋体"/>
                <w:color w:val="auto"/>
                <w:sz w:val="21"/>
                <w:szCs w:val="21"/>
                <w:highlight w:val="none"/>
              </w:rPr>
              <w:t>技术要求</w:t>
            </w:r>
          </w:p>
        </w:tc>
        <w:tc>
          <w:tcPr>
            <w:tcW w:w="2410" w:type="dxa"/>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对应技术应答</w:t>
            </w:r>
          </w:p>
        </w:tc>
        <w:tc>
          <w:tcPr>
            <w:tcW w:w="1966" w:type="dxa"/>
            <w:vAlign w:val="center"/>
          </w:tcPr>
          <w:p>
            <w:pPr>
              <w:spacing w:before="120" w:line="360" w:lineRule="auto"/>
              <w:jc w:val="center"/>
              <w:rPr>
                <w:rFonts w:ascii="宋体"/>
                <w:color w:val="auto"/>
                <w:sz w:val="21"/>
                <w:szCs w:val="21"/>
                <w:highlight w:val="none"/>
              </w:rPr>
            </w:pPr>
            <w:r>
              <w:rPr>
                <w:rFonts w:hint="eastAsia" w:ascii="宋体"/>
                <w:color w:val="auto"/>
                <w:sz w:val="21"/>
                <w:szCs w:val="21"/>
                <w:highlight w:val="none"/>
              </w:rPr>
              <w:t>偏差</w:t>
            </w:r>
          </w:p>
        </w:tc>
        <w:tc>
          <w:tcPr>
            <w:tcW w:w="895" w:type="dxa"/>
            <w:vAlign w:val="center"/>
          </w:tcPr>
          <w:p>
            <w:pPr>
              <w:spacing w:before="120" w:line="360" w:lineRule="auto"/>
              <w:jc w:val="center"/>
              <w:rPr>
                <w:rFonts w:ascii="宋体"/>
                <w:color w:val="auto"/>
                <w:sz w:val="21"/>
                <w:szCs w:val="21"/>
                <w:highlight w:val="none"/>
              </w:rPr>
            </w:pPr>
            <w:r>
              <w:rPr>
                <w:rFonts w:hint="eastAsia" w:ascii="宋体"/>
                <w:color w:val="auto"/>
                <w:sz w:val="21"/>
                <w:szCs w:val="21"/>
                <w:highlight w:val="none"/>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rPr>
                <w:rFonts w:ascii="宋体"/>
                <w:color w:val="auto"/>
                <w:sz w:val="21"/>
                <w:szCs w:val="21"/>
                <w:highlight w:val="none"/>
              </w:rPr>
            </w:pPr>
          </w:p>
        </w:tc>
        <w:tc>
          <w:tcPr>
            <w:tcW w:w="2268" w:type="dxa"/>
            <w:vAlign w:val="top"/>
          </w:tcPr>
          <w:p>
            <w:pPr>
              <w:spacing w:line="360" w:lineRule="auto"/>
              <w:ind w:left="58" w:leftChars="24" w:right="62" w:rightChars="26"/>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ind w:firstLine="420" w:firstLineChars="200"/>
              <w:rPr>
                <w:rFonts w:ascii="宋体"/>
                <w:color w:val="auto"/>
                <w:sz w:val="21"/>
                <w:szCs w:val="21"/>
                <w:highlight w:val="none"/>
              </w:rPr>
            </w:pPr>
          </w:p>
        </w:tc>
        <w:tc>
          <w:tcPr>
            <w:tcW w:w="2268" w:type="dxa"/>
            <w:vAlign w:val="top"/>
          </w:tcPr>
          <w:p>
            <w:pPr>
              <w:spacing w:line="360" w:lineRule="auto"/>
              <w:ind w:left="58" w:leftChars="24" w:right="62" w:rightChars="26"/>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ind w:firstLine="420" w:firstLineChars="200"/>
              <w:rPr>
                <w:rFonts w:ascii="宋体"/>
                <w:color w:val="auto"/>
                <w:sz w:val="21"/>
                <w:szCs w:val="21"/>
                <w:highlight w:val="none"/>
              </w:rPr>
            </w:pPr>
          </w:p>
        </w:tc>
        <w:tc>
          <w:tcPr>
            <w:tcW w:w="2268" w:type="dxa"/>
            <w:vAlign w:val="top"/>
          </w:tcPr>
          <w:p>
            <w:pPr>
              <w:spacing w:line="360" w:lineRule="auto"/>
              <w:ind w:left="58" w:leftChars="24" w:right="62" w:rightChars="26"/>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ind w:firstLine="420" w:firstLineChars="200"/>
              <w:rPr>
                <w:rFonts w:ascii="宋体"/>
                <w:color w:val="auto"/>
                <w:sz w:val="21"/>
                <w:szCs w:val="21"/>
                <w:highlight w:val="none"/>
              </w:rPr>
            </w:pPr>
          </w:p>
        </w:tc>
        <w:tc>
          <w:tcPr>
            <w:tcW w:w="2268" w:type="dxa"/>
            <w:vAlign w:val="top"/>
          </w:tcPr>
          <w:p>
            <w:pPr>
              <w:spacing w:line="360" w:lineRule="auto"/>
              <w:ind w:left="58" w:leftChars="24" w:right="62" w:rightChars="26"/>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rPr>
                <w:rFonts w:ascii="宋体"/>
                <w:color w:val="auto"/>
                <w:sz w:val="21"/>
                <w:szCs w:val="21"/>
                <w:highlight w:val="none"/>
              </w:rPr>
            </w:pPr>
          </w:p>
        </w:tc>
        <w:tc>
          <w:tcPr>
            <w:tcW w:w="2268" w:type="dxa"/>
            <w:vAlign w:val="top"/>
          </w:tcPr>
          <w:p>
            <w:pPr>
              <w:spacing w:line="360" w:lineRule="auto"/>
              <w:ind w:left="58" w:leftChars="24" w:right="62" w:rightChars="26"/>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ind w:firstLine="420" w:firstLineChars="200"/>
              <w:rPr>
                <w:rFonts w:ascii="宋体"/>
                <w:color w:val="auto"/>
                <w:sz w:val="21"/>
                <w:szCs w:val="21"/>
                <w:highlight w:val="none"/>
              </w:rPr>
            </w:pPr>
          </w:p>
        </w:tc>
        <w:tc>
          <w:tcPr>
            <w:tcW w:w="2268" w:type="dxa"/>
            <w:vAlign w:val="top"/>
          </w:tcPr>
          <w:p>
            <w:pPr>
              <w:spacing w:line="360" w:lineRule="auto"/>
              <w:ind w:left="58" w:leftChars="24" w:right="62" w:rightChars="26"/>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ind w:firstLine="420" w:firstLineChars="200"/>
              <w:rPr>
                <w:rFonts w:ascii="宋体"/>
                <w:color w:val="auto"/>
                <w:sz w:val="21"/>
                <w:szCs w:val="21"/>
                <w:highlight w:val="none"/>
              </w:rPr>
            </w:pPr>
          </w:p>
        </w:tc>
        <w:tc>
          <w:tcPr>
            <w:tcW w:w="2268" w:type="dxa"/>
            <w:vAlign w:val="top"/>
          </w:tcPr>
          <w:p>
            <w:pPr>
              <w:spacing w:line="360" w:lineRule="auto"/>
              <w:ind w:left="58" w:leftChars="24" w:right="62" w:rightChars="26"/>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rPr>
                <w:rFonts w:ascii="宋体"/>
                <w:color w:val="auto"/>
                <w:sz w:val="21"/>
                <w:szCs w:val="21"/>
                <w:highlight w:val="none"/>
              </w:rPr>
            </w:pPr>
          </w:p>
        </w:tc>
        <w:tc>
          <w:tcPr>
            <w:tcW w:w="2268" w:type="dxa"/>
            <w:vAlign w:val="top"/>
          </w:tcPr>
          <w:p>
            <w:pPr>
              <w:spacing w:line="360" w:lineRule="auto"/>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rPr>
                <w:rFonts w:ascii="宋体"/>
                <w:color w:val="auto"/>
                <w:sz w:val="21"/>
                <w:szCs w:val="21"/>
                <w:highlight w:val="none"/>
              </w:rPr>
            </w:pPr>
          </w:p>
        </w:tc>
        <w:tc>
          <w:tcPr>
            <w:tcW w:w="2268" w:type="dxa"/>
            <w:vAlign w:val="top"/>
          </w:tcPr>
          <w:p>
            <w:pPr>
              <w:spacing w:line="360" w:lineRule="auto"/>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1304" w:type="dxa"/>
            <w:vAlign w:val="top"/>
          </w:tcPr>
          <w:p>
            <w:pPr>
              <w:spacing w:line="360" w:lineRule="auto"/>
              <w:rPr>
                <w:rFonts w:ascii="宋体"/>
                <w:color w:val="auto"/>
                <w:sz w:val="21"/>
                <w:szCs w:val="21"/>
                <w:highlight w:val="none"/>
              </w:rPr>
            </w:pPr>
          </w:p>
        </w:tc>
        <w:tc>
          <w:tcPr>
            <w:tcW w:w="2268" w:type="dxa"/>
            <w:vAlign w:val="top"/>
          </w:tcPr>
          <w:p>
            <w:pPr>
              <w:spacing w:line="360" w:lineRule="auto"/>
              <w:rPr>
                <w:rFonts w:ascii="宋体"/>
                <w:color w:val="auto"/>
                <w:sz w:val="21"/>
                <w:szCs w:val="21"/>
                <w:highlight w:val="none"/>
              </w:rPr>
            </w:pPr>
          </w:p>
        </w:tc>
        <w:tc>
          <w:tcPr>
            <w:tcW w:w="2410" w:type="dxa"/>
            <w:vAlign w:val="top"/>
          </w:tcPr>
          <w:p>
            <w:pPr>
              <w:spacing w:line="360" w:lineRule="auto"/>
              <w:rPr>
                <w:rFonts w:ascii="宋体"/>
                <w:color w:val="auto"/>
                <w:sz w:val="21"/>
                <w:szCs w:val="21"/>
                <w:highlight w:val="none"/>
              </w:rPr>
            </w:pPr>
          </w:p>
        </w:tc>
        <w:tc>
          <w:tcPr>
            <w:tcW w:w="1966" w:type="dxa"/>
            <w:vAlign w:val="top"/>
          </w:tcPr>
          <w:p>
            <w:pPr>
              <w:spacing w:line="360" w:lineRule="auto"/>
              <w:rPr>
                <w:rFonts w:ascii="宋体"/>
                <w:color w:val="auto"/>
                <w:sz w:val="21"/>
                <w:szCs w:val="21"/>
                <w:highlight w:val="none"/>
              </w:rPr>
            </w:pPr>
          </w:p>
        </w:tc>
        <w:tc>
          <w:tcPr>
            <w:tcW w:w="895" w:type="dxa"/>
            <w:vAlign w:val="top"/>
          </w:tcPr>
          <w:p>
            <w:pPr>
              <w:spacing w:line="360" w:lineRule="auto"/>
              <w:rPr>
                <w:rFonts w:ascii="宋体"/>
                <w:color w:val="auto"/>
                <w:sz w:val="21"/>
                <w:szCs w:val="21"/>
                <w:highlight w:val="none"/>
              </w:rPr>
            </w:pPr>
          </w:p>
        </w:tc>
      </w:tr>
    </w:tbl>
    <w:p>
      <w:pPr>
        <w:spacing w:line="360" w:lineRule="auto"/>
        <w:rPr>
          <w:rFonts w:ascii="宋体"/>
          <w:color w:val="auto"/>
          <w:sz w:val="21"/>
          <w:szCs w:val="21"/>
          <w:highlight w:val="none"/>
        </w:rPr>
      </w:pPr>
    </w:p>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投标人名称(加盖公章)：</w:t>
      </w:r>
    </w:p>
    <w:p>
      <w:pPr>
        <w:tabs>
          <w:tab w:val="left" w:pos="1440"/>
        </w:tabs>
        <w:spacing w:line="360" w:lineRule="auto"/>
        <w:ind w:firstLine="420" w:firstLineChars="200"/>
        <w:rPr>
          <w:rFonts w:ascii="宋体"/>
          <w:color w:val="auto"/>
          <w:sz w:val="21"/>
          <w:szCs w:val="21"/>
          <w:highlight w:val="none"/>
        </w:rPr>
      </w:pPr>
    </w:p>
    <w:p>
      <w:pPr>
        <w:tabs>
          <w:tab w:val="left" w:pos="1440"/>
        </w:tabs>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投标人代表(签字)：</w:t>
      </w:r>
    </w:p>
    <w:p>
      <w:pPr>
        <w:tabs>
          <w:tab w:val="left" w:pos="1440"/>
        </w:tabs>
        <w:spacing w:line="360" w:lineRule="auto"/>
        <w:ind w:firstLine="420" w:firstLineChars="200"/>
        <w:rPr>
          <w:rFonts w:ascii="宋体"/>
          <w:color w:val="auto"/>
          <w:sz w:val="21"/>
          <w:szCs w:val="21"/>
          <w:highlight w:val="none"/>
        </w:rPr>
      </w:pPr>
    </w:p>
    <w:p>
      <w:pPr>
        <w:tabs>
          <w:tab w:val="left" w:pos="1440"/>
        </w:tabs>
        <w:spacing w:line="360" w:lineRule="auto"/>
        <w:ind w:firstLine="420" w:firstLineChars="200"/>
        <w:rPr>
          <w:rFonts w:ascii="宋体"/>
          <w:color w:val="auto"/>
          <w:sz w:val="21"/>
          <w:szCs w:val="21"/>
          <w:highlight w:val="none"/>
        </w:rPr>
      </w:pPr>
      <w:r>
        <w:rPr>
          <w:rFonts w:hint="eastAsia" w:ascii="宋体"/>
          <w:color w:val="auto"/>
          <w:sz w:val="21"/>
          <w:szCs w:val="21"/>
          <w:highlight w:val="none"/>
        </w:rPr>
        <w:t>日期：</w:t>
      </w:r>
    </w:p>
    <w:p>
      <w:pPr>
        <w:tabs>
          <w:tab w:val="left" w:pos="1440"/>
        </w:tabs>
        <w:spacing w:line="360" w:lineRule="auto"/>
        <w:ind w:firstLine="420" w:firstLineChars="200"/>
        <w:rPr>
          <w:rFonts w:ascii="宋体"/>
          <w:color w:val="auto"/>
          <w:sz w:val="21"/>
          <w:szCs w:val="21"/>
          <w:highlight w:val="none"/>
        </w:rPr>
      </w:pPr>
    </w:p>
    <w:p>
      <w:pPr>
        <w:spacing w:line="360" w:lineRule="auto"/>
        <w:ind w:left="269" w:hanging="268" w:hangingChars="128"/>
        <w:rPr>
          <w:rFonts w:ascii="宋体"/>
          <w:color w:val="auto"/>
          <w:sz w:val="21"/>
          <w:szCs w:val="21"/>
          <w:highlight w:val="none"/>
        </w:rPr>
      </w:pPr>
      <w:r>
        <w:rPr>
          <w:rFonts w:hint="eastAsia" w:ascii="宋体"/>
          <w:color w:val="auto"/>
          <w:sz w:val="21"/>
          <w:szCs w:val="21"/>
          <w:highlight w:val="none"/>
        </w:rPr>
        <w:t>注：</w:t>
      </w:r>
    </w:p>
    <w:p>
      <w:pPr>
        <w:spacing w:line="360" w:lineRule="auto"/>
        <w:ind w:left="269" w:hanging="268" w:hangingChars="128"/>
        <w:rPr>
          <w:rFonts w:ascii="宋体"/>
          <w:color w:val="auto"/>
          <w:sz w:val="21"/>
          <w:szCs w:val="21"/>
          <w:highlight w:val="none"/>
        </w:rPr>
      </w:pPr>
      <w:r>
        <w:rPr>
          <w:rFonts w:hint="eastAsia" w:ascii="宋体"/>
          <w:color w:val="auto"/>
          <w:sz w:val="21"/>
          <w:szCs w:val="21"/>
          <w:highlight w:val="none"/>
        </w:rPr>
        <w:t>1、填写此表时，应做到用文字一一对应的描述报价货物技术规范与投标文件技术规范序号、技术规范要求的响应与偏离。</w:t>
      </w:r>
    </w:p>
    <w:p>
      <w:pPr>
        <w:spacing w:line="360" w:lineRule="auto"/>
        <w:rPr>
          <w:rFonts w:ascii="宋体"/>
          <w:color w:val="auto"/>
          <w:sz w:val="21"/>
          <w:szCs w:val="21"/>
          <w:highlight w:val="none"/>
        </w:rPr>
      </w:pPr>
      <w:r>
        <w:rPr>
          <w:rFonts w:hint="eastAsia" w:ascii="宋体"/>
          <w:color w:val="auto"/>
          <w:sz w:val="21"/>
          <w:szCs w:val="21"/>
          <w:highlight w:val="none"/>
        </w:rPr>
        <w:t>2、不能只简单写为“满足”或“无偏差”，否则视为无效应答。</w:t>
      </w:r>
    </w:p>
    <w:p>
      <w:pPr>
        <w:spacing w:line="360" w:lineRule="auto"/>
        <w:rPr>
          <w:rFonts w:ascii="宋体"/>
          <w:b/>
          <w:color w:val="auto"/>
          <w:sz w:val="21"/>
          <w:szCs w:val="21"/>
          <w:highlight w:val="none"/>
        </w:rPr>
      </w:pPr>
      <w:r>
        <w:rPr>
          <w:rFonts w:hint="eastAsia" w:ascii="宋体"/>
          <w:b/>
          <w:color w:val="auto"/>
          <w:sz w:val="21"/>
          <w:szCs w:val="21"/>
          <w:highlight w:val="none"/>
        </w:rPr>
        <w:t>3、投标的供应商应认真阅读“招标需求”中的所有内容，一经投标视为完全理解标书所有内容与要求。在投标时应对招标文件中各项技术要求作出明确的应答和文字说明，不能只用“符合招标要求”、“满足招标要求”字样来描述，表述不清或照抄招标文件中技术要求内容的或只用“符合招标要求”、“满足招标要求”字样来描述的,评审时将酌情扣分。</w:t>
      </w:r>
    </w:p>
    <w:p>
      <w:pPr>
        <w:numPr>
          <w:ilvl w:val="0"/>
          <w:numId w:val="7"/>
        </w:numPr>
        <w:tabs>
          <w:tab w:val="left" w:pos="360"/>
        </w:tabs>
        <w:spacing w:line="276" w:lineRule="auto"/>
        <w:ind w:left="360"/>
        <w:rPr>
          <w:rFonts w:ascii="宋体"/>
          <w:b/>
          <w:color w:val="auto"/>
          <w:szCs w:val="24"/>
          <w:highlight w:val="none"/>
        </w:rPr>
        <w:sectPr>
          <w:pgSz w:w="11906" w:h="16838"/>
          <w:pgMar w:top="1418" w:right="1134" w:bottom="1418" w:left="1588" w:header="851" w:footer="992"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p>
    <w:p>
      <w:pPr>
        <w:spacing w:line="276" w:lineRule="auto"/>
        <w:jc w:val="center"/>
        <w:outlineLvl w:val="1"/>
        <w:rPr>
          <w:b/>
          <w:color w:val="auto"/>
          <w:highlight w:val="none"/>
        </w:rPr>
      </w:pPr>
      <w:bookmarkStart w:id="125" w:name="_Toc241827261"/>
      <w:bookmarkStart w:id="126" w:name="_Toc387317152"/>
      <w:bookmarkStart w:id="127" w:name="_Toc29477"/>
      <w:bookmarkStart w:id="128" w:name="_Toc389139114"/>
      <w:r>
        <w:rPr>
          <w:rFonts w:hint="eastAsia"/>
          <w:b/>
          <w:color w:val="auto"/>
          <w:highlight w:val="none"/>
        </w:rPr>
        <w:t>附件六、</w:t>
      </w:r>
      <w:bookmarkEnd w:id="125"/>
      <w:r>
        <w:rPr>
          <w:rFonts w:hint="eastAsia"/>
          <w:b/>
          <w:color w:val="auto"/>
          <w:highlight w:val="none"/>
        </w:rPr>
        <w:t>商务偏离表</w:t>
      </w:r>
      <w:bookmarkEnd w:id="126"/>
      <w:bookmarkEnd w:id="127"/>
      <w:bookmarkEnd w:id="128"/>
    </w:p>
    <w:tbl>
      <w:tblPr>
        <w:tblStyle w:val="39"/>
        <w:tblW w:w="9781" w:type="dxa"/>
        <w:tblInd w:w="-57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709"/>
        <w:gridCol w:w="1422"/>
        <w:gridCol w:w="5240"/>
        <w:gridCol w:w="1418"/>
        <w:gridCol w:w="99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jc w:val="center"/>
              <w:rPr>
                <w:rFonts w:ascii="宋体"/>
                <w:color w:val="auto"/>
                <w:sz w:val="21"/>
                <w:szCs w:val="21"/>
                <w:highlight w:val="none"/>
              </w:rPr>
            </w:pPr>
            <w:r>
              <w:rPr>
                <w:rFonts w:hint="eastAsia" w:ascii="宋体"/>
                <w:color w:val="auto"/>
                <w:sz w:val="21"/>
                <w:szCs w:val="21"/>
                <w:highlight w:val="none"/>
              </w:rPr>
              <w:t>序号</w:t>
            </w:r>
          </w:p>
        </w:tc>
        <w:tc>
          <w:tcPr>
            <w:tcW w:w="1422" w:type="dxa"/>
            <w:vAlign w:val="center"/>
          </w:tcPr>
          <w:p>
            <w:pPr>
              <w:spacing w:line="240" w:lineRule="auto"/>
              <w:jc w:val="center"/>
              <w:rPr>
                <w:rFonts w:ascii="宋体"/>
                <w:color w:val="auto"/>
                <w:sz w:val="21"/>
                <w:szCs w:val="21"/>
                <w:highlight w:val="none"/>
              </w:rPr>
            </w:pPr>
            <w:r>
              <w:rPr>
                <w:rFonts w:hint="eastAsia" w:ascii="宋体"/>
                <w:color w:val="auto"/>
                <w:sz w:val="21"/>
                <w:szCs w:val="21"/>
                <w:highlight w:val="none"/>
              </w:rPr>
              <w:t>招标文件条目</w:t>
            </w:r>
          </w:p>
        </w:tc>
        <w:tc>
          <w:tcPr>
            <w:tcW w:w="5240" w:type="dxa"/>
            <w:vAlign w:val="center"/>
          </w:tcPr>
          <w:p>
            <w:pPr>
              <w:spacing w:line="240" w:lineRule="auto"/>
              <w:jc w:val="center"/>
              <w:rPr>
                <w:rFonts w:ascii="宋体"/>
                <w:color w:val="auto"/>
                <w:sz w:val="21"/>
                <w:szCs w:val="21"/>
                <w:highlight w:val="none"/>
              </w:rPr>
            </w:pPr>
            <w:r>
              <w:rPr>
                <w:rFonts w:hint="eastAsia" w:ascii="宋体"/>
                <w:color w:val="auto"/>
                <w:sz w:val="21"/>
                <w:szCs w:val="21"/>
                <w:highlight w:val="none"/>
              </w:rPr>
              <w:t>招标文件的商务条款</w:t>
            </w:r>
          </w:p>
        </w:tc>
        <w:tc>
          <w:tcPr>
            <w:tcW w:w="1418" w:type="dxa"/>
            <w:vAlign w:val="center"/>
          </w:tcPr>
          <w:p>
            <w:pPr>
              <w:spacing w:line="240" w:lineRule="auto"/>
              <w:jc w:val="center"/>
              <w:rPr>
                <w:rFonts w:ascii="宋体"/>
                <w:color w:val="auto"/>
                <w:sz w:val="21"/>
                <w:szCs w:val="21"/>
                <w:highlight w:val="none"/>
              </w:rPr>
            </w:pPr>
            <w:r>
              <w:rPr>
                <w:rFonts w:hint="eastAsia" w:ascii="宋体"/>
                <w:color w:val="auto"/>
                <w:sz w:val="21"/>
                <w:szCs w:val="21"/>
                <w:highlight w:val="none"/>
              </w:rPr>
              <w:t>投标文件的应答与偏离</w:t>
            </w:r>
          </w:p>
        </w:tc>
        <w:tc>
          <w:tcPr>
            <w:tcW w:w="992" w:type="dxa"/>
            <w:vAlign w:val="center"/>
          </w:tcPr>
          <w:p>
            <w:pPr>
              <w:spacing w:line="240" w:lineRule="auto"/>
              <w:jc w:val="center"/>
              <w:rPr>
                <w:rFonts w:ascii="宋体"/>
                <w:color w:val="auto"/>
                <w:sz w:val="21"/>
                <w:szCs w:val="21"/>
                <w:highlight w:val="none"/>
              </w:rPr>
            </w:pPr>
            <w:r>
              <w:rPr>
                <w:rFonts w:hint="eastAsia" w:ascii="宋体"/>
                <w:color w:val="auto"/>
                <w:sz w:val="21"/>
                <w:szCs w:val="21"/>
                <w:highlight w:val="none"/>
              </w:rPr>
              <w:t>说明</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jc w:val="center"/>
              <w:rPr>
                <w:rFonts w:ascii="宋体"/>
                <w:color w:val="auto"/>
                <w:sz w:val="21"/>
                <w:szCs w:val="21"/>
                <w:highlight w:val="none"/>
              </w:rPr>
            </w:pPr>
            <w:r>
              <w:rPr>
                <w:rFonts w:ascii="宋体"/>
                <w:color w:val="auto"/>
                <w:sz w:val="21"/>
                <w:szCs w:val="21"/>
                <w:highlight w:val="none"/>
              </w:rPr>
              <w:t>1</w:t>
            </w:r>
          </w:p>
        </w:tc>
        <w:tc>
          <w:tcPr>
            <w:tcW w:w="1422" w:type="dxa"/>
            <w:vAlign w:val="center"/>
          </w:tcPr>
          <w:p>
            <w:pPr>
              <w:snapToGrid w:val="0"/>
              <w:spacing w:line="400" w:lineRule="exact"/>
              <w:jc w:val="center"/>
              <w:rPr>
                <w:rFonts w:ascii="宋体"/>
                <w:color w:val="auto"/>
                <w:sz w:val="21"/>
                <w:szCs w:val="21"/>
                <w:highlight w:val="none"/>
              </w:rPr>
            </w:pPr>
          </w:p>
        </w:tc>
        <w:tc>
          <w:tcPr>
            <w:tcW w:w="5240" w:type="dxa"/>
            <w:vAlign w:val="center"/>
          </w:tcPr>
          <w:p>
            <w:pPr>
              <w:spacing w:line="400" w:lineRule="exact"/>
              <w:rPr>
                <w:rFonts w:ascii="宋体"/>
                <w:color w:val="auto"/>
                <w:sz w:val="21"/>
                <w:szCs w:val="21"/>
                <w:highlight w:val="none"/>
              </w:rPr>
            </w:pPr>
          </w:p>
        </w:tc>
        <w:tc>
          <w:tcPr>
            <w:tcW w:w="1418" w:type="dxa"/>
            <w:vAlign w:val="center"/>
          </w:tcPr>
          <w:p>
            <w:pPr>
              <w:spacing w:line="240" w:lineRule="auto"/>
              <w:jc w:val="center"/>
              <w:rPr>
                <w:rFonts w:ascii="宋体"/>
                <w:color w:val="auto"/>
                <w:sz w:val="21"/>
                <w:szCs w:val="21"/>
                <w:highlight w:val="none"/>
              </w:rPr>
            </w:pPr>
          </w:p>
        </w:tc>
        <w:tc>
          <w:tcPr>
            <w:tcW w:w="992" w:type="dxa"/>
            <w:vAlign w:val="center"/>
          </w:tcPr>
          <w:p>
            <w:pPr>
              <w:spacing w:line="240" w:lineRule="auto"/>
              <w:jc w:val="center"/>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jc w:val="center"/>
              <w:rPr>
                <w:rFonts w:ascii="宋体"/>
                <w:color w:val="auto"/>
                <w:sz w:val="21"/>
                <w:szCs w:val="21"/>
                <w:highlight w:val="none"/>
              </w:rPr>
            </w:pPr>
            <w:r>
              <w:rPr>
                <w:rFonts w:ascii="宋体"/>
                <w:color w:val="auto"/>
                <w:sz w:val="21"/>
                <w:szCs w:val="21"/>
                <w:highlight w:val="none"/>
              </w:rPr>
              <w:t>2</w:t>
            </w:r>
          </w:p>
        </w:tc>
        <w:tc>
          <w:tcPr>
            <w:tcW w:w="1422" w:type="dxa"/>
            <w:vAlign w:val="center"/>
          </w:tcPr>
          <w:p>
            <w:pPr>
              <w:snapToGrid w:val="0"/>
              <w:spacing w:line="400" w:lineRule="exact"/>
              <w:jc w:val="center"/>
              <w:rPr>
                <w:rFonts w:ascii="宋体"/>
                <w:color w:val="auto"/>
                <w:kern w:val="2"/>
                <w:sz w:val="21"/>
                <w:szCs w:val="21"/>
                <w:highlight w:val="none"/>
              </w:rPr>
            </w:pPr>
          </w:p>
        </w:tc>
        <w:tc>
          <w:tcPr>
            <w:tcW w:w="5240" w:type="dxa"/>
            <w:vAlign w:val="center"/>
          </w:tcPr>
          <w:p>
            <w:pPr>
              <w:pStyle w:val="2"/>
              <w:spacing w:line="360" w:lineRule="auto"/>
              <w:rPr>
                <w:rFonts w:ascii="宋体" w:hAnsi="宋体"/>
                <w:color w:val="auto"/>
                <w:sz w:val="21"/>
                <w:szCs w:val="21"/>
                <w:highlight w:val="none"/>
              </w:rPr>
            </w:pPr>
          </w:p>
        </w:tc>
        <w:tc>
          <w:tcPr>
            <w:tcW w:w="1418" w:type="dxa"/>
            <w:vAlign w:val="center"/>
          </w:tcPr>
          <w:p>
            <w:pPr>
              <w:spacing w:line="240" w:lineRule="auto"/>
              <w:jc w:val="center"/>
              <w:rPr>
                <w:rFonts w:ascii="宋体"/>
                <w:color w:val="auto"/>
                <w:sz w:val="21"/>
                <w:szCs w:val="21"/>
                <w:highlight w:val="none"/>
              </w:rPr>
            </w:pPr>
          </w:p>
        </w:tc>
        <w:tc>
          <w:tcPr>
            <w:tcW w:w="992" w:type="dxa"/>
            <w:vAlign w:val="center"/>
          </w:tcPr>
          <w:p>
            <w:pPr>
              <w:spacing w:line="240" w:lineRule="auto"/>
              <w:jc w:val="center"/>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jc w:val="center"/>
              <w:rPr>
                <w:rFonts w:ascii="宋体"/>
                <w:color w:val="auto"/>
                <w:sz w:val="21"/>
                <w:szCs w:val="21"/>
                <w:highlight w:val="none"/>
              </w:rPr>
            </w:pPr>
            <w:r>
              <w:rPr>
                <w:rFonts w:hint="eastAsia" w:ascii="宋体"/>
                <w:color w:val="auto"/>
                <w:sz w:val="21"/>
                <w:szCs w:val="21"/>
                <w:highlight w:val="none"/>
              </w:rPr>
              <w:t>3</w:t>
            </w:r>
          </w:p>
        </w:tc>
        <w:tc>
          <w:tcPr>
            <w:tcW w:w="1422" w:type="dxa"/>
            <w:vAlign w:val="center"/>
          </w:tcPr>
          <w:p>
            <w:pPr>
              <w:snapToGrid w:val="0"/>
              <w:spacing w:line="400" w:lineRule="exact"/>
              <w:jc w:val="center"/>
              <w:rPr>
                <w:rFonts w:ascii="宋体"/>
                <w:color w:val="auto"/>
                <w:sz w:val="21"/>
                <w:szCs w:val="21"/>
                <w:highlight w:val="none"/>
              </w:rPr>
            </w:pPr>
          </w:p>
        </w:tc>
        <w:tc>
          <w:tcPr>
            <w:tcW w:w="5240" w:type="dxa"/>
            <w:vAlign w:val="center"/>
          </w:tcPr>
          <w:p>
            <w:pPr>
              <w:spacing w:line="360" w:lineRule="auto"/>
              <w:rPr>
                <w:rFonts w:ascii="宋体"/>
                <w:color w:val="auto"/>
                <w:sz w:val="21"/>
                <w:szCs w:val="21"/>
                <w:highlight w:val="none"/>
              </w:rPr>
            </w:pPr>
          </w:p>
        </w:tc>
        <w:tc>
          <w:tcPr>
            <w:tcW w:w="1418" w:type="dxa"/>
            <w:vAlign w:val="center"/>
          </w:tcPr>
          <w:p>
            <w:pPr>
              <w:spacing w:line="240" w:lineRule="auto"/>
              <w:jc w:val="center"/>
              <w:rPr>
                <w:rFonts w:ascii="宋体"/>
                <w:color w:val="auto"/>
                <w:sz w:val="21"/>
                <w:szCs w:val="21"/>
                <w:highlight w:val="none"/>
              </w:rPr>
            </w:pPr>
          </w:p>
        </w:tc>
        <w:tc>
          <w:tcPr>
            <w:tcW w:w="992" w:type="dxa"/>
            <w:vAlign w:val="center"/>
          </w:tcPr>
          <w:p>
            <w:pPr>
              <w:spacing w:line="240" w:lineRule="auto"/>
              <w:jc w:val="center"/>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4</w:t>
            </w:r>
          </w:p>
        </w:tc>
        <w:tc>
          <w:tcPr>
            <w:tcW w:w="1422" w:type="dxa"/>
            <w:vAlign w:val="center"/>
          </w:tcPr>
          <w:p>
            <w:pPr>
              <w:snapToGrid w:val="0"/>
              <w:spacing w:line="400" w:lineRule="exact"/>
              <w:jc w:val="center"/>
              <w:rPr>
                <w:rFonts w:ascii="宋体"/>
                <w:color w:val="auto"/>
                <w:sz w:val="21"/>
                <w:szCs w:val="21"/>
                <w:highlight w:val="none"/>
              </w:rPr>
            </w:pPr>
          </w:p>
        </w:tc>
        <w:tc>
          <w:tcPr>
            <w:tcW w:w="5240" w:type="dxa"/>
            <w:vAlign w:val="center"/>
          </w:tcPr>
          <w:p>
            <w:pPr>
              <w:pStyle w:val="2"/>
              <w:spacing w:line="400" w:lineRule="exact"/>
              <w:rPr>
                <w:rFonts w:ascii="宋体"/>
                <w:color w:val="auto"/>
                <w:sz w:val="21"/>
                <w:szCs w:val="21"/>
                <w:highlight w:val="none"/>
              </w:rPr>
            </w:pPr>
          </w:p>
        </w:tc>
        <w:tc>
          <w:tcPr>
            <w:tcW w:w="1418" w:type="dxa"/>
            <w:vAlign w:val="center"/>
          </w:tcPr>
          <w:p>
            <w:pPr>
              <w:spacing w:line="240" w:lineRule="auto"/>
              <w:jc w:val="center"/>
              <w:rPr>
                <w:rFonts w:ascii="宋体"/>
                <w:color w:val="auto"/>
                <w:sz w:val="21"/>
                <w:szCs w:val="21"/>
                <w:highlight w:val="none"/>
              </w:rPr>
            </w:pPr>
          </w:p>
        </w:tc>
        <w:tc>
          <w:tcPr>
            <w:tcW w:w="992" w:type="dxa"/>
            <w:vAlign w:val="center"/>
          </w:tcPr>
          <w:p>
            <w:pPr>
              <w:spacing w:line="240" w:lineRule="auto"/>
              <w:jc w:val="center"/>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5</w:t>
            </w:r>
          </w:p>
        </w:tc>
        <w:tc>
          <w:tcPr>
            <w:tcW w:w="1422" w:type="dxa"/>
            <w:vAlign w:val="center"/>
          </w:tcPr>
          <w:p>
            <w:pPr>
              <w:snapToGrid w:val="0"/>
              <w:spacing w:line="400" w:lineRule="exact"/>
              <w:jc w:val="center"/>
              <w:rPr>
                <w:rFonts w:ascii="宋体"/>
                <w:color w:val="auto"/>
                <w:sz w:val="21"/>
                <w:szCs w:val="21"/>
                <w:highlight w:val="none"/>
              </w:rPr>
            </w:pPr>
          </w:p>
        </w:tc>
        <w:tc>
          <w:tcPr>
            <w:tcW w:w="5240" w:type="dxa"/>
            <w:vAlign w:val="center"/>
          </w:tcPr>
          <w:p>
            <w:pPr>
              <w:spacing w:line="400" w:lineRule="exact"/>
              <w:jc w:val="both"/>
              <w:rPr>
                <w:rFonts w:ascii="宋体"/>
                <w:color w:val="auto"/>
                <w:sz w:val="21"/>
                <w:szCs w:val="21"/>
                <w:highlight w:val="none"/>
              </w:rPr>
            </w:pPr>
          </w:p>
        </w:tc>
        <w:tc>
          <w:tcPr>
            <w:tcW w:w="1418" w:type="dxa"/>
            <w:vAlign w:val="center"/>
          </w:tcPr>
          <w:p>
            <w:pPr>
              <w:spacing w:line="240" w:lineRule="auto"/>
              <w:jc w:val="center"/>
              <w:rPr>
                <w:rFonts w:ascii="宋体"/>
                <w:color w:val="auto"/>
                <w:sz w:val="21"/>
                <w:szCs w:val="21"/>
                <w:highlight w:val="none"/>
              </w:rPr>
            </w:pPr>
          </w:p>
        </w:tc>
        <w:tc>
          <w:tcPr>
            <w:tcW w:w="992" w:type="dxa"/>
            <w:vAlign w:val="center"/>
          </w:tcPr>
          <w:p>
            <w:pPr>
              <w:spacing w:line="240" w:lineRule="auto"/>
              <w:jc w:val="center"/>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6</w:t>
            </w:r>
          </w:p>
        </w:tc>
        <w:tc>
          <w:tcPr>
            <w:tcW w:w="1422" w:type="dxa"/>
            <w:vAlign w:val="center"/>
          </w:tcPr>
          <w:p>
            <w:pPr>
              <w:snapToGrid w:val="0"/>
              <w:spacing w:line="400" w:lineRule="exact"/>
              <w:jc w:val="center"/>
              <w:rPr>
                <w:rFonts w:ascii="宋体"/>
                <w:color w:val="auto"/>
                <w:kern w:val="2"/>
                <w:sz w:val="21"/>
                <w:szCs w:val="21"/>
                <w:highlight w:val="none"/>
              </w:rPr>
            </w:pPr>
          </w:p>
        </w:tc>
        <w:tc>
          <w:tcPr>
            <w:tcW w:w="5240" w:type="dxa"/>
            <w:vAlign w:val="center"/>
          </w:tcPr>
          <w:p>
            <w:pPr>
              <w:spacing w:line="400" w:lineRule="exact"/>
              <w:jc w:val="both"/>
              <w:rPr>
                <w:rFonts w:ascii="宋体"/>
                <w:color w:val="auto"/>
                <w:sz w:val="21"/>
                <w:szCs w:val="21"/>
                <w:highlight w:val="none"/>
              </w:rPr>
            </w:pPr>
          </w:p>
        </w:tc>
        <w:tc>
          <w:tcPr>
            <w:tcW w:w="1418" w:type="dxa"/>
            <w:vAlign w:val="center"/>
          </w:tcPr>
          <w:p>
            <w:pPr>
              <w:spacing w:line="240" w:lineRule="auto"/>
              <w:jc w:val="center"/>
              <w:rPr>
                <w:rFonts w:ascii="宋体"/>
                <w:color w:val="auto"/>
                <w:sz w:val="21"/>
                <w:szCs w:val="21"/>
                <w:highlight w:val="none"/>
              </w:rPr>
            </w:pPr>
          </w:p>
        </w:tc>
        <w:tc>
          <w:tcPr>
            <w:tcW w:w="992" w:type="dxa"/>
            <w:vAlign w:val="center"/>
          </w:tcPr>
          <w:p>
            <w:pPr>
              <w:spacing w:line="240" w:lineRule="auto"/>
              <w:jc w:val="center"/>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7</w:t>
            </w:r>
          </w:p>
        </w:tc>
        <w:tc>
          <w:tcPr>
            <w:tcW w:w="1422" w:type="dxa"/>
            <w:vAlign w:val="center"/>
          </w:tcPr>
          <w:p>
            <w:pPr>
              <w:snapToGrid w:val="0"/>
              <w:spacing w:line="400" w:lineRule="exact"/>
              <w:jc w:val="center"/>
              <w:rPr>
                <w:rFonts w:ascii="宋体"/>
                <w:color w:val="auto"/>
                <w:kern w:val="2"/>
                <w:sz w:val="21"/>
                <w:szCs w:val="21"/>
                <w:highlight w:val="none"/>
              </w:rPr>
            </w:pPr>
          </w:p>
        </w:tc>
        <w:tc>
          <w:tcPr>
            <w:tcW w:w="5240" w:type="dxa"/>
            <w:vAlign w:val="center"/>
          </w:tcPr>
          <w:p>
            <w:pPr>
              <w:spacing w:line="400" w:lineRule="exact"/>
              <w:jc w:val="both"/>
              <w:rPr>
                <w:rFonts w:ascii="宋体"/>
                <w:color w:val="auto"/>
                <w:sz w:val="21"/>
                <w:szCs w:val="21"/>
                <w:highlight w:val="none"/>
              </w:rPr>
            </w:pPr>
          </w:p>
        </w:tc>
        <w:tc>
          <w:tcPr>
            <w:tcW w:w="1418" w:type="dxa"/>
            <w:vAlign w:val="center"/>
          </w:tcPr>
          <w:p>
            <w:pPr>
              <w:spacing w:line="240" w:lineRule="auto"/>
              <w:jc w:val="center"/>
              <w:rPr>
                <w:rFonts w:ascii="宋体"/>
                <w:color w:val="auto"/>
                <w:sz w:val="21"/>
                <w:szCs w:val="21"/>
                <w:highlight w:val="none"/>
              </w:rPr>
            </w:pPr>
          </w:p>
        </w:tc>
        <w:tc>
          <w:tcPr>
            <w:tcW w:w="992" w:type="dxa"/>
            <w:vAlign w:val="center"/>
          </w:tcPr>
          <w:p>
            <w:pPr>
              <w:spacing w:line="240" w:lineRule="auto"/>
              <w:jc w:val="center"/>
              <w:rPr>
                <w:rFonts w:ascii="宋体"/>
                <w:color w:val="auto"/>
                <w:sz w:val="21"/>
                <w:szCs w:val="21"/>
                <w:highlight w:val="none"/>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567" w:hRule="atLeast"/>
        </w:trPr>
        <w:tc>
          <w:tcPr>
            <w:tcW w:w="709" w:type="dxa"/>
            <w:vAlign w:val="center"/>
          </w:tcPr>
          <w:p>
            <w:pPr>
              <w:spacing w:line="240" w:lineRule="auto"/>
              <w:ind w:left="-36" w:leftChars="-15" w:firstLine="6" w:firstLineChars="3"/>
              <w:jc w:val="center"/>
              <w:rPr>
                <w:rFonts w:ascii="宋体"/>
                <w:color w:val="auto"/>
                <w:sz w:val="21"/>
                <w:szCs w:val="21"/>
                <w:highlight w:val="none"/>
              </w:rPr>
            </w:pPr>
            <w:r>
              <w:rPr>
                <w:rFonts w:ascii="宋体"/>
                <w:color w:val="auto"/>
                <w:sz w:val="21"/>
                <w:szCs w:val="21"/>
                <w:highlight w:val="none"/>
              </w:rPr>
              <w:t>8</w:t>
            </w:r>
          </w:p>
        </w:tc>
        <w:tc>
          <w:tcPr>
            <w:tcW w:w="1422" w:type="dxa"/>
            <w:vAlign w:val="center"/>
          </w:tcPr>
          <w:p>
            <w:pPr>
              <w:snapToGrid w:val="0"/>
              <w:spacing w:line="240" w:lineRule="auto"/>
              <w:jc w:val="center"/>
              <w:rPr>
                <w:rFonts w:ascii="宋体"/>
                <w:color w:val="auto"/>
                <w:kern w:val="2"/>
                <w:sz w:val="21"/>
                <w:szCs w:val="21"/>
                <w:highlight w:val="none"/>
              </w:rPr>
            </w:pPr>
          </w:p>
        </w:tc>
        <w:tc>
          <w:tcPr>
            <w:tcW w:w="5240" w:type="dxa"/>
            <w:vAlign w:val="center"/>
          </w:tcPr>
          <w:p>
            <w:pPr>
              <w:tabs>
                <w:tab w:val="left" w:pos="105"/>
                <w:tab w:val="left" w:pos="735"/>
                <w:tab w:val="left" w:pos="945"/>
                <w:tab w:val="left" w:pos="3360"/>
              </w:tabs>
              <w:spacing w:line="240" w:lineRule="auto"/>
              <w:jc w:val="both"/>
              <w:rPr>
                <w:rFonts w:ascii="宋体"/>
                <w:color w:val="auto"/>
                <w:sz w:val="21"/>
                <w:szCs w:val="21"/>
                <w:highlight w:val="none"/>
              </w:rPr>
            </w:pPr>
          </w:p>
        </w:tc>
        <w:tc>
          <w:tcPr>
            <w:tcW w:w="1418" w:type="dxa"/>
            <w:vAlign w:val="center"/>
          </w:tcPr>
          <w:p>
            <w:pPr>
              <w:spacing w:line="240" w:lineRule="auto"/>
              <w:jc w:val="center"/>
              <w:rPr>
                <w:rFonts w:ascii="宋体"/>
                <w:color w:val="auto"/>
                <w:sz w:val="21"/>
                <w:szCs w:val="21"/>
                <w:highlight w:val="none"/>
              </w:rPr>
            </w:pPr>
          </w:p>
        </w:tc>
        <w:tc>
          <w:tcPr>
            <w:tcW w:w="992" w:type="dxa"/>
            <w:vAlign w:val="center"/>
          </w:tcPr>
          <w:p>
            <w:pPr>
              <w:spacing w:line="240" w:lineRule="auto"/>
              <w:jc w:val="center"/>
              <w:rPr>
                <w:rFonts w:ascii="宋体"/>
                <w:color w:val="auto"/>
                <w:sz w:val="21"/>
                <w:szCs w:val="21"/>
                <w:highlight w:val="none"/>
              </w:rPr>
            </w:pPr>
          </w:p>
        </w:tc>
      </w:tr>
    </w:tbl>
    <w:p>
      <w:pPr>
        <w:spacing w:line="360" w:lineRule="auto"/>
        <w:rPr>
          <w:rFonts w:ascii="宋体"/>
          <w:color w:val="auto"/>
          <w:sz w:val="21"/>
          <w:szCs w:val="21"/>
          <w:highlight w:val="none"/>
        </w:rPr>
      </w:pPr>
      <w:r>
        <w:rPr>
          <w:rFonts w:hint="eastAsia" w:ascii="宋体"/>
          <w:color w:val="auto"/>
          <w:sz w:val="21"/>
          <w:szCs w:val="21"/>
          <w:highlight w:val="none"/>
        </w:rPr>
        <w:t>投标人名称(加盖公章)：</w:t>
      </w:r>
    </w:p>
    <w:p>
      <w:pPr>
        <w:tabs>
          <w:tab w:val="left" w:pos="1440"/>
        </w:tabs>
        <w:spacing w:line="360" w:lineRule="auto"/>
        <w:ind w:firstLine="420" w:firstLineChars="200"/>
        <w:rPr>
          <w:rFonts w:ascii="宋体"/>
          <w:color w:val="auto"/>
          <w:sz w:val="21"/>
          <w:szCs w:val="21"/>
          <w:highlight w:val="none"/>
        </w:rPr>
      </w:pPr>
    </w:p>
    <w:p>
      <w:pPr>
        <w:tabs>
          <w:tab w:val="left" w:pos="1440"/>
        </w:tabs>
        <w:spacing w:line="360" w:lineRule="auto"/>
        <w:ind w:firstLine="420" w:firstLineChars="200"/>
        <w:rPr>
          <w:rFonts w:ascii="宋体"/>
          <w:color w:val="auto"/>
          <w:sz w:val="21"/>
          <w:szCs w:val="21"/>
          <w:highlight w:val="none"/>
        </w:rPr>
      </w:pPr>
      <w:r>
        <w:rPr>
          <w:rFonts w:hint="eastAsia" w:ascii="宋体"/>
          <w:color w:val="auto"/>
          <w:sz w:val="21"/>
          <w:szCs w:val="21"/>
          <w:highlight w:val="none"/>
        </w:rPr>
        <w:t>投标人代表(签字)：</w:t>
      </w:r>
    </w:p>
    <w:p>
      <w:pPr>
        <w:tabs>
          <w:tab w:val="left" w:pos="1440"/>
        </w:tabs>
        <w:spacing w:line="360" w:lineRule="auto"/>
        <w:ind w:firstLine="420" w:firstLineChars="200"/>
        <w:rPr>
          <w:rFonts w:ascii="宋体"/>
          <w:color w:val="auto"/>
          <w:sz w:val="21"/>
          <w:szCs w:val="21"/>
          <w:highlight w:val="none"/>
        </w:rPr>
      </w:pPr>
      <w:r>
        <w:rPr>
          <w:rFonts w:hint="eastAsia" w:ascii="宋体"/>
          <w:color w:val="auto"/>
          <w:sz w:val="21"/>
          <w:szCs w:val="21"/>
          <w:highlight w:val="none"/>
        </w:rPr>
        <w:t>日期：</w:t>
      </w:r>
    </w:p>
    <w:p>
      <w:pPr>
        <w:spacing w:line="360" w:lineRule="auto"/>
        <w:rPr>
          <w:rFonts w:ascii="宋体"/>
          <w:color w:val="auto"/>
          <w:sz w:val="21"/>
          <w:szCs w:val="21"/>
          <w:highlight w:val="none"/>
        </w:rPr>
      </w:pPr>
      <w:r>
        <w:rPr>
          <w:rFonts w:hint="eastAsia" w:ascii="宋体"/>
          <w:color w:val="auto"/>
          <w:sz w:val="21"/>
          <w:szCs w:val="21"/>
          <w:highlight w:val="none"/>
        </w:rPr>
        <w:t>注：</w:t>
      </w:r>
    </w:p>
    <w:p>
      <w:pPr>
        <w:spacing w:line="360" w:lineRule="auto"/>
        <w:ind w:left="281" w:hanging="281" w:hangingChars="134"/>
        <w:rPr>
          <w:rFonts w:ascii="宋体"/>
          <w:color w:val="auto"/>
          <w:sz w:val="21"/>
          <w:szCs w:val="21"/>
          <w:highlight w:val="none"/>
        </w:rPr>
      </w:pPr>
      <w:r>
        <w:rPr>
          <w:rFonts w:hint="eastAsia" w:ascii="宋体"/>
          <w:color w:val="auto"/>
          <w:sz w:val="21"/>
          <w:szCs w:val="21"/>
          <w:highlight w:val="none"/>
        </w:rPr>
        <w:t>1、如有商务偏离，在填写此表时，应做到投标商务应答与招标文件的商务条款一一对应。</w:t>
      </w:r>
    </w:p>
    <w:p>
      <w:pPr>
        <w:spacing w:line="360" w:lineRule="auto"/>
        <w:rPr>
          <w:rFonts w:ascii="宋体"/>
          <w:color w:val="auto"/>
          <w:sz w:val="21"/>
          <w:szCs w:val="21"/>
          <w:highlight w:val="none"/>
        </w:rPr>
      </w:pPr>
      <w:r>
        <w:rPr>
          <w:rFonts w:hint="eastAsia" w:ascii="宋体"/>
          <w:color w:val="auto"/>
          <w:sz w:val="21"/>
          <w:szCs w:val="21"/>
          <w:highlight w:val="none"/>
        </w:rPr>
        <w:t>2、如全部响应招标文件商务条款，则在本表中注明“商务无偏离”。</w:t>
      </w:r>
    </w:p>
    <w:p>
      <w:pPr>
        <w:spacing w:line="276" w:lineRule="auto"/>
        <w:jc w:val="center"/>
        <w:outlineLvl w:val="1"/>
        <w:rPr>
          <w:rFonts w:ascii="宋体"/>
          <w:color w:val="auto"/>
          <w:szCs w:val="24"/>
          <w:highlight w:val="none"/>
        </w:rPr>
      </w:pPr>
      <w:r>
        <w:rPr>
          <w:rFonts w:hint="eastAsia" w:ascii="宋体"/>
          <w:color w:val="auto"/>
          <w:szCs w:val="24"/>
          <w:highlight w:val="none"/>
        </w:rPr>
        <w:br w:type="page"/>
      </w:r>
      <w:bookmarkEnd w:id="124"/>
      <w:bookmarkStart w:id="129" w:name="_Toc387317153"/>
      <w:bookmarkStart w:id="130" w:name="_Toc241827262"/>
      <w:bookmarkStart w:id="131" w:name="_Toc1782"/>
      <w:bookmarkStart w:id="132" w:name="_Toc110331671"/>
      <w:bookmarkStart w:id="133" w:name="_Toc389139115"/>
      <w:bookmarkStart w:id="134" w:name="_Toc86202638"/>
      <w:r>
        <w:rPr>
          <w:rFonts w:hint="eastAsia"/>
          <w:b/>
          <w:color w:val="auto"/>
          <w:highlight w:val="none"/>
        </w:rPr>
        <w:t>附件七、投标人概况表</w:t>
      </w:r>
      <w:bookmarkEnd w:id="129"/>
      <w:bookmarkEnd w:id="130"/>
      <w:bookmarkEnd w:id="131"/>
      <w:bookmarkEnd w:id="132"/>
      <w:bookmarkEnd w:id="133"/>
    </w:p>
    <w:p>
      <w:pPr>
        <w:spacing w:after="240" w:line="360" w:lineRule="auto"/>
        <w:ind w:hanging="119"/>
        <w:rPr>
          <w:rFonts w:ascii="宋体"/>
          <w:color w:val="auto"/>
          <w:sz w:val="21"/>
          <w:szCs w:val="21"/>
          <w:highlight w:val="none"/>
        </w:rPr>
      </w:pPr>
      <w:r>
        <w:rPr>
          <w:rFonts w:hint="eastAsia" w:ascii="宋体"/>
          <w:color w:val="auto"/>
          <w:sz w:val="21"/>
          <w:szCs w:val="21"/>
          <w:highlight w:val="none"/>
        </w:rPr>
        <w:t>投标人名称：招标编号：</w:t>
      </w:r>
    </w:p>
    <w:tbl>
      <w:tblPr>
        <w:tblStyle w:val="39"/>
        <w:tblW w:w="9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155"/>
        <w:gridCol w:w="1065"/>
        <w:gridCol w:w="990"/>
        <w:gridCol w:w="465"/>
        <w:gridCol w:w="420"/>
        <w:gridCol w:w="945"/>
        <w:gridCol w:w="840"/>
        <w:gridCol w:w="870"/>
        <w:gridCol w:w="13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企业名称</w:t>
            </w:r>
          </w:p>
        </w:tc>
        <w:tc>
          <w:tcPr>
            <w:tcW w:w="3675" w:type="dxa"/>
            <w:gridSpan w:val="4"/>
            <w:tcBorders>
              <w:top w:val="single" w:color="auto" w:sz="4" w:space="0"/>
              <w:left w:val="single" w:color="auto" w:sz="4" w:space="0"/>
              <w:bottom w:val="single" w:color="auto" w:sz="4" w:space="0"/>
              <w:right w:val="single" w:color="auto" w:sz="4" w:space="0"/>
            </w:tcBorders>
            <w:vAlign w:val="bottom"/>
          </w:tcPr>
          <w:p>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成立时间</w:t>
            </w:r>
          </w:p>
        </w:tc>
        <w:tc>
          <w:tcPr>
            <w:tcW w:w="3085" w:type="dxa"/>
            <w:gridSpan w:val="3"/>
            <w:tcBorders>
              <w:top w:val="single" w:color="auto" w:sz="4" w:space="0"/>
              <w:left w:val="single" w:color="auto" w:sz="4" w:space="0"/>
              <w:bottom w:val="single" w:color="auto" w:sz="4" w:space="0"/>
              <w:right w:val="single" w:color="auto" w:sz="4" w:space="0"/>
            </w:tcBorders>
            <w:vAlign w:val="bottom"/>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企业性质</w:t>
            </w:r>
          </w:p>
        </w:tc>
        <w:tc>
          <w:tcPr>
            <w:tcW w:w="3675"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单位地址</w:t>
            </w:r>
          </w:p>
        </w:tc>
        <w:tc>
          <w:tcPr>
            <w:tcW w:w="3085"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经营范围</w:t>
            </w:r>
          </w:p>
        </w:tc>
        <w:tc>
          <w:tcPr>
            <w:tcW w:w="3675"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36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经营方式</w:t>
            </w:r>
          </w:p>
        </w:tc>
        <w:tc>
          <w:tcPr>
            <w:tcW w:w="3085"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企  业</w:t>
            </w:r>
          </w:p>
          <w:p>
            <w:pPr>
              <w:spacing w:line="360" w:lineRule="auto"/>
              <w:jc w:val="center"/>
              <w:rPr>
                <w:rFonts w:ascii="宋体"/>
                <w:color w:val="auto"/>
                <w:sz w:val="21"/>
                <w:szCs w:val="21"/>
                <w:highlight w:val="none"/>
              </w:rPr>
            </w:pPr>
            <w:r>
              <w:rPr>
                <w:rFonts w:hint="eastAsia" w:ascii="宋体"/>
                <w:color w:val="auto"/>
                <w:sz w:val="21"/>
                <w:szCs w:val="21"/>
                <w:highlight w:val="none"/>
              </w:rPr>
              <w:t>职  工</w:t>
            </w:r>
          </w:p>
          <w:p>
            <w:pPr>
              <w:spacing w:line="360" w:lineRule="auto"/>
              <w:jc w:val="center"/>
              <w:rPr>
                <w:rFonts w:ascii="宋体"/>
                <w:color w:val="auto"/>
                <w:sz w:val="21"/>
                <w:szCs w:val="21"/>
                <w:highlight w:val="none"/>
              </w:rPr>
            </w:pPr>
            <w:r>
              <w:rPr>
                <w:rFonts w:hint="eastAsia" w:ascii="宋体"/>
                <w:color w:val="auto"/>
                <w:sz w:val="21"/>
                <w:szCs w:val="21"/>
                <w:highlight w:val="none"/>
              </w:rPr>
              <w:t>总  数</w:t>
            </w:r>
          </w:p>
        </w:tc>
        <w:tc>
          <w:tcPr>
            <w:tcW w:w="1155" w:type="dxa"/>
            <w:vMerge w:val="restart"/>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p>
            <w:pPr>
              <w:spacing w:line="360" w:lineRule="auto"/>
              <w:jc w:val="center"/>
              <w:rPr>
                <w:rFonts w:ascii="宋体"/>
                <w:color w:val="auto"/>
                <w:sz w:val="21"/>
                <w:szCs w:val="21"/>
                <w:highlight w:val="none"/>
              </w:rPr>
            </w:pPr>
            <w:r>
              <w:rPr>
                <w:rFonts w:hint="eastAsia" w:ascii="宋体"/>
                <w:color w:val="auto"/>
                <w:sz w:val="21"/>
                <w:szCs w:val="21"/>
                <w:highlight w:val="none"/>
              </w:rPr>
              <w:t xml:space="preserve">     人</w:t>
            </w:r>
          </w:p>
        </w:tc>
        <w:tc>
          <w:tcPr>
            <w:tcW w:w="3885" w:type="dxa"/>
            <w:gridSpan w:val="5"/>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有职称管理人员</w:t>
            </w:r>
          </w:p>
        </w:tc>
        <w:tc>
          <w:tcPr>
            <w:tcW w:w="3085"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工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10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高 工</w:t>
            </w: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工程师</w:t>
            </w:r>
          </w:p>
        </w:tc>
        <w:tc>
          <w:tcPr>
            <w:tcW w:w="88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助 工</w:t>
            </w:r>
          </w:p>
        </w:tc>
        <w:tc>
          <w:tcPr>
            <w:tcW w:w="9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技术员</w:t>
            </w:r>
          </w:p>
        </w:tc>
        <w:tc>
          <w:tcPr>
            <w:tcW w:w="84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color w:val="auto"/>
                <w:sz w:val="21"/>
                <w:szCs w:val="21"/>
                <w:highlight w:val="none"/>
              </w:rPr>
            </w:pPr>
            <w:r>
              <w:rPr>
                <w:rFonts w:hint="eastAsia" w:ascii="宋体"/>
                <w:color w:val="auto"/>
                <w:sz w:val="21"/>
                <w:szCs w:val="21"/>
                <w:highlight w:val="none"/>
              </w:rPr>
              <w:t>4-8级</w:t>
            </w:r>
          </w:p>
        </w:tc>
        <w:tc>
          <w:tcPr>
            <w:tcW w:w="8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1-3级</w:t>
            </w:r>
          </w:p>
        </w:tc>
        <w:tc>
          <w:tcPr>
            <w:tcW w:w="1375" w:type="dxa"/>
            <w:tcBorders>
              <w:top w:val="nil"/>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无级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106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4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7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p>
            <w:pPr>
              <w:spacing w:line="360" w:lineRule="auto"/>
              <w:jc w:val="center"/>
              <w:rPr>
                <w:rFonts w:ascii="宋体"/>
                <w:color w:val="auto"/>
                <w:sz w:val="21"/>
                <w:szCs w:val="21"/>
                <w:highlight w:val="none"/>
              </w:rPr>
            </w:pPr>
            <w:r>
              <w:rPr>
                <w:rFonts w:hint="eastAsia" w:ascii="宋体"/>
                <w:color w:val="auto"/>
                <w:sz w:val="21"/>
                <w:szCs w:val="21"/>
                <w:highlight w:val="none"/>
              </w:rPr>
              <w:t>主</w:t>
            </w:r>
          </w:p>
          <w:p>
            <w:pPr>
              <w:spacing w:line="360" w:lineRule="auto"/>
              <w:jc w:val="center"/>
              <w:rPr>
                <w:rFonts w:ascii="宋体"/>
                <w:color w:val="auto"/>
                <w:sz w:val="21"/>
                <w:szCs w:val="21"/>
                <w:highlight w:val="none"/>
              </w:rPr>
            </w:pPr>
            <w:r>
              <w:rPr>
                <w:rFonts w:hint="eastAsia" w:ascii="宋体"/>
                <w:color w:val="auto"/>
                <w:sz w:val="21"/>
                <w:szCs w:val="21"/>
                <w:highlight w:val="none"/>
              </w:rPr>
              <w:t>要</w:t>
            </w:r>
          </w:p>
          <w:p>
            <w:pPr>
              <w:spacing w:line="360" w:lineRule="auto"/>
              <w:jc w:val="center"/>
              <w:rPr>
                <w:rFonts w:ascii="宋体"/>
                <w:color w:val="auto"/>
                <w:sz w:val="21"/>
                <w:szCs w:val="21"/>
                <w:highlight w:val="none"/>
              </w:rPr>
            </w:pPr>
            <w:r>
              <w:rPr>
                <w:rFonts w:hint="eastAsia" w:ascii="宋体"/>
                <w:color w:val="auto"/>
                <w:sz w:val="21"/>
                <w:szCs w:val="21"/>
                <w:highlight w:val="none"/>
              </w:rPr>
              <w:t>施</w:t>
            </w:r>
          </w:p>
          <w:p>
            <w:pPr>
              <w:spacing w:line="360" w:lineRule="auto"/>
              <w:jc w:val="center"/>
              <w:rPr>
                <w:rFonts w:ascii="宋体"/>
                <w:color w:val="auto"/>
                <w:sz w:val="21"/>
                <w:szCs w:val="21"/>
                <w:highlight w:val="none"/>
              </w:rPr>
            </w:pPr>
            <w:r>
              <w:rPr>
                <w:rFonts w:hint="eastAsia" w:ascii="宋体"/>
                <w:color w:val="auto"/>
                <w:sz w:val="21"/>
                <w:szCs w:val="21"/>
                <w:highlight w:val="none"/>
              </w:rPr>
              <w:t>工</w:t>
            </w:r>
          </w:p>
          <w:p>
            <w:pPr>
              <w:spacing w:line="360" w:lineRule="auto"/>
              <w:jc w:val="center"/>
              <w:rPr>
                <w:rFonts w:ascii="宋体"/>
                <w:color w:val="auto"/>
                <w:sz w:val="21"/>
                <w:szCs w:val="21"/>
                <w:highlight w:val="none"/>
              </w:rPr>
            </w:pPr>
            <w:r>
              <w:rPr>
                <w:rFonts w:hint="eastAsia" w:ascii="宋体"/>
                <w:color w:val="auto"/>
                <w:sz w:val="21"/>
                <w:szCs w:val="21"/>
                <w:highlight w:val="none"/>
              </w:rPr>
              <w:t>机</w:t>
            </w:r>
          </w:p>
          <w:p>
            <w:pPr>
              <w:spacing w:line="360" w:lineRule="auto"/>
              <w:jc w:val="center"/>
              <w:rPr>
                <w:rFonts w:ascii="宋体"/>
                <w:color w:val="auto"/>
                <w:sz w:val="21"/>
                <w:szCs w:val="21"/>
                <w:highlight w:val="none"/>
              </w:rPr>
            </w:pPr>
            <w:r>
              <w:rPr>
                <w:rFonts w:hint="eastAsia" w:ascii="宋体"/>
                <w:color w:val="auto"/>
                <w:sz w:val="21"/>
                <w:szCs w:val="21"/>
                <w:highlight w:val="none"/>
              </w:rPr>
              <w:t>械</w:t>
            </w:r>
          </w:p>
          <w:p>
            <w:pPr>
              <w:spacing w:line="360" w:lineRule="auto"/>
              <w:jc w:val="center"/>
              <w:rPr>
                <w:rFonts w:ascii="宋体"/>
                <w:color w:val="auto"/>
                <w:sz w:val="21"/>
                <w:szCs w:val="21"/>
                <w:highlight w:val="none"/>
              </w:rPr>
            </w:pPr>
            <w:r>
              <w:rPr>
                <w:rFonts w:hint="eastAsia" w:ascii="宋体"/>
                <w:color w:val="auto"/>
                <w:sz w:val="21"/>
                <w:szCs w:val="21"/>
                <w:highlight w:val="none"/>
              </w:rPr>
              <w:t>设</w:t>
            </w:r>
          </w:p>
          <w:p>
            <w:pPr>
              <w:spacing w:line="360" w:lineRule="auto"/>
              <w:jc w:val="center"/>
              <w:rPr>
                <w:rFonts w:ascii="宋体"/>
                <w:color w:val="auto"/>
                <w:sz w:val="21"/>
                <w:szCs w:val="21"/>
                <w:highlight w:val="none"/>
              </w:rPr>
            </w:pPr>
            <w:r>
              <w:rPr>
                <w:rFonts w:hint="eastAsia" w:ascii="宋体"/>
                <w:color w:val="auto"/>
                <w:sz w:val="21"/>
                <w:szCs w:val="21"/>
                <w:highlight w:val="none"/>
              </w:rPr>
              <w:t>备</w:t>
            </w:r>
          </w:p>
        </w:tc>
        <w:tc>
          <w:tcPr>
            <w:tcW w:w="2220" w:type="dxa"/>
            <w:gridSpan w:val="2"/>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宋体"/>
                <w:color w:val="auto"/>
                <w:sz w:val="21"/>
                <w:szCs w:val="21"/>
                <w:highlight w:val="none"/>
              </w:rPr>
            </w:pPr>
            <w:r>
              <w:rPr>
                <w:rFonts w:hint="eastAsia" w:ascii="宋体"/>
                <w:color w:val="auto"/>
                <w:sz w:val="21"/>
                <w:szCs w:val="21"/>
                <w:highlight w:val="none"/>
              </w:rPr>
              <w:t>名  称</w:t>
            </w:r>
          </w:p>
        </w:tc>
        <w:tc>
          <w:tcPr>
            <w:tcW w:w="990"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宋体"/>
                <w:color w:val="auto"/>
                <w:sz w:val="21"/>
                <w:szCs w:val="21"/>
                <w:highlight w:val="none"/>
              </w:rPr>
            </w:pPr>
            <w:r>
              <w:rPr>
                <w:rFonts w:hint="eastAsia" w:ascii="宋体"/>
                <w:color w:val="auto"/>
                <w:sz w:val="21"/>
                <w:szCs w:val="21"/>
                <w:highlight w:val="none"/>
              </w:rPr>
              <w:t>型号</w:t>
            </w:r>
          </w:p>
        </w:tc>
        <w:tc>
          <w:tcPr>
            <w:tcW w:w="885" w:type="dxa"/>
            <w:gridSpan w:val="2"/>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宋体"/>
                <w:color w:val="auto"/>
                <w:sz w:val="21"/>
                <w:szCs w:val="21"/>
                <w:highlight w:val="none"/>
              </w:rPr>
            </w:pPr>
            <w:r>
              <w:rPr>
                <w:rFonts w:hint="eastAsia" w:ascii="宋体"/>
                <w:color w:val="auto"/>
                <w:sz w:val="21"/>
                <w:szCs w:val="21"/>
                <w:highlight w:val="none"/>
              </w:rPr>
              <w:t>数量</w:t>
            </w:r>
          </w:p>
          <w:p>
            <w:pPr>
              <w:spacing w:line="0" w:lineRule="atLeast"/>
              <w:jc w:val="center"/>
              <w:rPr>
                <w:rFonts w:ascii="宋体"/>
                <w:color w:val="auto"/>
                <w:sz w:val="21"/>
                <w:szCs w:val="21"/>
                <w:highlight w:val="none"/>
              </w:rPr>
            </w:pPr>
            <w:r>
              <w:rPr>
                <w:rFonts w:hint="eastAsia" w:ascii="宋体"/>
                <w:color w:val="auto"/>
                <w:sz w:val="21"/>
                <w:szCs w:val="21"/>
                <w:highlight w:val="none"/>
              </w:rPr>
              <w:t>（台）</w:t>
            </w:r>
          </w:p>
        </w:tc>
        <w:tc>
          <w:tcPr>
            <w:tcW w:w="945"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宋体"/>
                <w:color w:val="auto"/>
                <w:sz w:val="21"/>
                <w:szCs w:val="21"/>
                <w:highlight w:val="none"/>
              </w:rPr>
            </w:pPr>
            <w:r>
              <w:rPr>
                <w:rFonts w:hint="eastAsia" w:ascii="宋体"/>
                <w:color w:val="auto"/>
                <w:sz w:val="21"/>
                <w:szCs w:val="21"/>
                <w:highlight w:val="none"/>
              </w:rPr>
              <w:t>总功率</w:t>
            </w:r>
          </w:p>
        </w:tc>
        <w:tc>
          <w:tcPr>
            <w:tcW w:w="1710" w:type="dxa"/>
            <w:gridSpan w:val="2"/>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宋体"/>
                <w:color w:val="auto"/>
                <w:sz w:val="21"/>
                <w:szCs w:val="21"/>
                <w:highlight w:val="none"/>
              </w:rPr>
            </w:pPr>
            <w:r>
              <w:rPr>
                <w:rFonts w:hint="eastAsia" w:ascii="宋体"/>
                <w:color w:val="auto"/>
                <w:sz w:val="21"/>
                <w:szCs w:val="21"/>
                <w:highlight w:val="none"/>
              </w:rPr>
              <w:t>制造国或产地</w:t>
            </w:r>
          </w:p>
        </w:tc>
        <w:tc>
          <w:tcPr>
            <w:tcW w:w="1375"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ascii="宋体"/>
                <w:color w:val="auto"/>
                <w:sz w:val="21"/>
                <w:szCs w:val="21"/>
                <w:highlight w:val="none"/>
              </w:rPr>
            </w:pPr>
            <w:r>
              <w:rPr>
                <w:rFonts w:hint="eastAsia" w:ascii="宋体"/>
                <w:color w:val="auto"/>
                <w:sz w:val="21"/>
                <w:szCs w:val="21"/>
                <w:highlight w:val="none"/>
              </w:rPr>
              <w:t>制造日期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color w:val="auto"/>
                <w:sz w:val="21"/>
                <w:szCs w:val="21"/>
                <w:highlight w:val="none"/>
              </w:rPr>
            </w:pPr>
          </w:p>
        </w:tc>
        <w:tc>
          <w:tcPr>
            <w:tcW w:w="222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90"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885"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94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710" w:type="dxa"/>
            <w:gridSpan w:val="2"/>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c>
          <w:tcPr>
            <w:tcW w:w="1375"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color w:val="auto"/>
                <w:sz w:val="21"/>
                <w:szCs w:val="21"/>
                <w:highlight w:val="none"/>
              </w:rPr>
            </w:pPr>
          </w:p>
        </w:tc>
      </w:tr>
    </w:tbl>
    <w:p>
      <w:pPr>
        <w:spacing w:after="240" w:line="360" w:lineRule="auto"/>
        <w:ind w:hanging="119"/>
        <w:rPr>
          <w:rFonts w:ascii="宋体"/>
          <w:color w:val="auto"/>
          <w:sz w:val="21"/>
          <w:szCs w:val="21"/>
          <w:highlight w:val="none"/>
          <w:u w:val="single"/>
        </w:rPr>
      </w:pPr>
      <w:r>
        <w:rPr>
          <w:rFonts w:hint="eastAsia" w:ascii="宋体"/>
          <w:color w:val="auto"/>
          <w:sz w:val="21"/>
          <w:szCs w:val="21"/>
          <w:highlight w:val="none"/>
        </w:rPr>
        <w:t>投标人名称（公章）：</w:t>
      </w:r>
    </w:p>
    <w:p>
      <w:pPr>
        <w:spacing w:line="360" w:lineRule="auto"/>
        <w:rPr>
          <w:rFonts w:ascii="宋体"/>
          <w:color w:val="auto"/>
          <w:sz w:val="21"/>
          <w:szCs w:val="21"/>
          <w:highlight w:val="none"/>
          <w:u w:val="single"/>
        </w:rPr>
      </w:pPr>
      <w:r>
        <w:rPr>
          <w:rFonts w:hint="eastAsia" w:ascii="宋体"/>
          <w:color w:val="auto"/>
          <w:sz w:val="21"/>
          <w:szCs w:val="21"/>
          <w:highlight w:val="none"/>
        </w:rPr>
        <w:t>投标人代表签字</w:t>
      </w:r>
      <w:r>
        <w:rPr>
          <w:rFonts w:hint="eastAsia" w:ascii="宋体"/>
          <w:color w:val="auto"/>
          <w:sz w:val="21"/>
          <w:szCs w:val="21"/>
          <w:highlight w:val="none"/>
          <w:u w:val="single"/>
        </w:rPr>
        <w:t xml:space="preserve">：                        </w:t>
      </w:r>
      <w:bookmarkStart w:id="135" w:name="_Toc207435645"/>
      <w:bookmarkStart w:id="136" w:name="_Toc262811153"/>
    </w:p>
    <w:p>
      <w:pPr>
        <w:spacing w:line="276" w:lineRule="auto"/>
        <w:rPr>
          <w:color w:val="auto"/>
          <w:szCs w:val="24"/>
          <w:highlight w:val="none"/>
        </w:rPr>
      </w:pPr>
    </w:p>
    <w:p>
      <w:pPr>
        <w:outlineLvl w:val="1"/>
        <w:rPr>
          <w:rFonts w:ascii="宋体"/>
          <w:color w:val="auto"/>
          <w:szCs w:val="24"/>
          <w:highlight w:val="none"/>
          <w:u w:val="single"/>
        </w:rPr>
        <w:sectPr>
          <w:pgSz w:w="11906" w:h="16838"/>
          <w:pgMar w:top="1418" w:right="1134" w:bottom="1418" w:left="1588" w:header="851" w:footer="851"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p>
    <w:p>
      <w:pPr>
        <w:pStyle w:val="4"/>
        <w:adjustRightInd/>
        <w:spacing w:line="276" w:lineRule="auto"/>
        <w:ind w:left="567"/>
        <w:jc w:val="both"/>
        <w:textAlignment w:val="auto"/>
        <w:rPr>
          <w:rStyle w:val="159"/>
          <w:rFonts w:ascii="宋体" w:eastAsia="宋体"/>
          <w:b w:val="0"/>
          <w:bCs w:val="0"/>
          <w:color w:val="auto"/>
          <w:sz w:val="36"/>
          <w:szCs w:val="36"/>
          <w:highlight w:val="none"/>
        </w:rPr>
      </w:pPr>
      <w:bookmarkStart w:id="137" w:name="_Toc387317154"/>
      <w:bookmarkStart w:id="138" w:name="_Toc389139116"/>
      <w:bookmarkStart w:id="139" w:name="_Toc17512"/>
      <w:r>
        <w:rPr>
          <w:rFonts w:hint="eastAsia" w:ascii="宋体" w:eastAsia="宋体"/>
          <w:bCs w:val="0"/>
          <w:color w:val="auto"/>
          <w:sz w:val="24"/>
          <w:szCs w:val="24"/>
          <w:highlight w:val="none"/>
        </w:rPr>
        <w:t>附件八、</w:t>
      </w:r>
      <w:r>
        <w:rPr>
          <w:rFonts w:hint="eastAsia"/>
          <w:bCs w:val="0"/>
          <w:color w:val="auto"/>
          <w:sz w:val="24"/>
          <w:szCs w:val="24"/>
          <w:highlight w:val="none"/>
        </w:rPr>
        <w:t>拟派往本项目的团队人员一览表</w:t>
      </w:r>
      <w:bookmarkEnd w:id="135"/>
      <w:bookmarkEnd w:id="136"/>
      <w:bookmarkEnd w:id="137"/>
      <w:bookmarkEnd w:id="138"/>
      <w:bookmarkEnd w:id="139"/>
    </w:p>
    <w:tbl>
      <w:tblPr>
        <w:tblStyle w:val="39"/>
        <w:tblW w:w="90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720"/>
        <w:gridCol w:w="180"/>
        <w:gridCol w:w="900"/>
        <w:gridCol w:w="540"/>
        <w:gridCol w:w="720"/>
        <w:gridCol w:w="900"/>
        <w:gridCol w:w="180"/>
        <w:gridCol w:w="1620"/>
        <w:gridCol w:w="231"/>
        <w:gridCol w:w="506"/>
        <w:gridCol w:w="1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9051" w:type="dxa"/>
            <w:gridSpan w:val="1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b/>
                <w:bCs/>
                <w:color w:val="auto"/>
                <w:sz w:val="21"/>
                <w:szCs w:val="21"/>
                <w:highlight w:val="none"/>
              </w:rPr>
            </w:pPr>
            <w:r>
              <w:rPr>
                <w:rFonts w:hint="eastAsia" w:ascii="宋体"/>
                <w:b/>
                <w:bCs/>
                <w:color w:val="auto"/>
                <w:sz w:val="21"/>
                <w:szCs w:val="21"/>
                <w:highlight w:val="none"/>
              </w:rPr>
              <w:t>拟派人员及构成情况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项目管理部</w:t>
            </w:r>
          </w:p>
          <w:p>
            <w:pPr>
              <w:spacing w:line="360" w:lineRule="auto"/>
              <w:jc w:val="center"/>
              <w:rPr>
                <w:rFonts w:ascii="宋体"/>
                <w:color w:val="auto"/>
                <w:sz w:val="21"/>
                <w:szCs w:val="21"/>
                <w:highlight w:val="none"/>
              </w:rPr>
            </w:pPr>
            <w:r>
              <w:rPr>
                <w:rFonts w:hint="eastAsia" w:ascii="宋体"/>
                <w:color w:val="auto"/>
                <w:sz w:val="21"/>
                <w:szCs w:val="21"/>
                <w:highlight w:val="none"/>
              </w:rPr>
              <w:t>管理人员</w:t>
            </w:r>
          </w:p>
        </w:tc>
        <w:tc>
          <w:tcPr>
            <w:tcW w:w="1620" w:type="dxa"/>
            <w:gridSpan w:val="3"/>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（人）</w:t>
            </w:r>
          </w:p>
        </w:tc>
        <w:tc>
          <w:tcPr>
            <w:tcW w:w="5631" w:type="dxa"/>
            <w:gridSpan w:val="7"/>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有职称管理人员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 w:val="21"/>
                <w:szCs w:val="21"/>
                <w:highlight w:val="none"/>
              </w:rPr>
            </w:pPr>
          </w:p>
        </w:tc>
        <w:tc>
          <w:tcPr>
            <w:tcW w:w="1620"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 w:val="21"/>
                <w:szCs w:val="21"/>
                <w:highlight w:val="none"/>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高级</w:t>
            </w:r>
          </w:p>
        </w:tc>
        <w:tc>
          <w:tcPr>
            <w:tcW w:w="1851"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中级</w:t>
            </w:r>
          </w:p>
        </w:tc>
        <w:tc>
          <w:tcPr>
            <w:tcW w:w="19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初级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800"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 w:val="21"/>
                <w:szCs w:val="21"/>
                <w:highlight w:val="none"/>
              </w:rPr>
            </w:pPr>
          </w:p>
        </w:tc>
        <w:tc>
          <w:tcPr>
            <w:tcW w:w="1620"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sz w:val="21"/>
                <w:szCs w:val="21"/>
                <w:highlight w:val="none"/>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51"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9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姓名</w:t>
            </w: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年龄</w:t>
            </w: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专业</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学历</w:t>
            </w: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职称</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在本项目</w:t>
            </w:r>
          </w:p>
          <w:p>
            <w:pPr>
              <w:spacing w:line="360" w:lineRule="auto"/>
              <w:jc w:val="center"/>
              <w:rPr>
                <w:rFonts w:ascii="宋体"/>
                <w:color w:val="auto"/>
                <w:sz w:val="21"/>
                <w:szCs w:val="21"/>
                <w:highlight w:val="none"/>
              </w:rPr>
            </w:pPr>
            <w:r>
              <w:rPr>
                <w:rFonts w:hint="eastAsia" w:ascii="宋体"/>
                <w:color w:val="auto"/>
                <w:sz w:val="21"/>
                <w:szCs w:val="21"/>
                <w:highlight w:val="none"/>
              </w:rPr>
              <w:t>拟担任职务</w:t>
            </w:r>
          </w:p>
        </w:tc>
        <w:tc>
          <w:tcPr>
            <w:tcW w:w="73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工作年限</w:t>
            </w:r>
          </w:p>
        </w:tc>
        <w:tc>
          <w:tcPr>
            <w:tcW w:w="14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ind w:left="420"/>
              <w:jc w:val="center"/>
              <w:rPr>
                <w:rFonts w:ascii="宋体"/>
                <w:color w:val="auto"/>
                <w:sz w:val="21"/>
                <w:szCs w:val="21"/>
                <w:highlight w:val="none"/>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73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c>
          <w:tcPr>
            <w:tcW w:w="1474"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9051" w:type="dxa"/>
            <w:gridSpan w:val="1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color w:val="auto"/>
                <w:sz w:val="21"/>
                <w:szCs w:val="21"/>
                <w:highlight w:val="none"/>
              </w:rPr>
            </w:pPr>
            <w:r>
              <w:rPr>
                <w:rFonts w:hint="eastAsia" w:ascii="宋体"/>
                <w:color w:val="auto"/>
                <w:sz w:val="21"/>
                <w:szCs w:val="21"/>
                <w:highlight w:val="none"/>
              </w:rPr>
              <w:t>上述拟派现场组织机构各主要岗位的职责概述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051" w:type="dxa"/>
            <w:gridSpan w:val="12"/>
            <w:tcBorders>
              <w:top w:val="single" w:color="auto" w:sz="4" w:space="0"/>
              <w:left w:val="single" w:color="auto" w:sz="4" w:space="0"/>
              <w:right w:val="single" w:color="auto" w:sz="4" w:space="0"/>
            </w:tcBorders>
            <w:vAlign w:val="center"/>
          </w:tcPr>
          <w:p>
            <w:pPr>
              <w:spacing w:line="360" w:lineRule="auto"/>
              <w:jc w:val="center"/>
              <w:rPr>
                <w:rFonts w:ascii="宋体"/>
                <w:color w:val="auto"/>
                <w:sz w:val="21"/>
                <w:szCs w:val="21"/>
                <w:highlight w:val="none"/>
              </w:rPr>
            </w:pPr>
          </w:p>
        </w:tc>
      </w:tr>
    </w:tbl>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我方承诺项目经理，主要技术人员，将在</w:t>
      </w:r>
      <w:r>
        <w:rPr>
          <w:rFonts w:hint="eastAsia" w:ascii="宋体" w:cs="Arial Unicode MS"/>
          <w:color w:val="auto"/>
          <w:sz w:val="21"/>
          <w:szCs w:val="21"/>
          <w:highlight w:val="none"/>
        </w:rPr>
        <w:t>项目实施周期内全职承担本项目工作，未得到招标人许可不能更换项目经理和主要技术人员，同时承诺保证服务期限内实施人员的稳定。</w:t>
      </w:r>
    </w:p>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注：投标人须随本表附拟派往本项目的主要人员资格证书复印件，主要技术人员须为投标人正式在职员工、且实际参加本合同实施工作中涉及到的主要专业负责人。</w:t>
      </w:r>
    </w:p>
    <w:p>
      <w:pPr>
        <w:spacing w:line="360" w:lineRule="auto"/>
        <w:rPr>
          <w:rFonts w:ascii="宋体"/>
          <w:color w:val="auto"/>
          <w:sz w:val="21"/>
          <w:szCs w:val="21"/>
          <w:highlight w:val="none"/>
        </w:rPr>
      </w:pPr>
    </w:p>
    <w:p>
      <w:pPr>
        <w:spacing w:line="360" w:lineRule="auto"/>
        <w:rPr>
          <w:rFonts w:ascii="宋体"/>
          <w:color w:val="auto"/>
          <w:sz w:val="21"/>
          <w:szCs w:val="21"/>
          <w:highlight w:val="none"/>
          <w:u w:val="single"/>
        </w:rPr>
      </w:pPr>
      <w:r>
        <w:rPr>
          <w:rFonts w:hint="eastAsia" w:ascii="宋体"/>
          <w:color w:val="auto"/>
          <w:sz w:val="21"/>
          <w:szCs w:val="21"/>
          <w:highlight w:val="none"/>
        </w:rPr>
        <w:t>投标人名称（公章）：</w:t>
      </w:r>
    </w:p>
    <w:p>
      <w:pPr>
        <w:spacing w:line="360" w:lineRule="auto"/>
        <w:rPr>
          <w:rFonts w:ascii="宋体"/>
          <w:color w:val="auto"/>
          <w:sz w:val="21"/>
          <w:szCs w:val="21"/>
          <w:highlight w:val="none"/>
          <w:u w:val="single"/>
        </w:rPr>
      </w:pPr>
      <w:r>
        <w:rPr>
          <w:rFonts w:hint="eastAsia" w:ascii="宋体"/>
          <w:color w:val="auto"/>
          <w:sz w:val="21"/>
          <w:szCs w:val="21"/>
          <w:highlight w:val="none"/>
        </w:rPr>
        <w:t>投标人代表签字</w:t>
      </w:r>
      <w:r>
        <w:rPr>
          <w:rFonts w:hint="eastAsia" w:ascii="宋体"/>
          <w:color w:val="auto"/>
          <w:sz w:val="21"/>
          <w:szCs w:val="21"/>
          <w:highlight w:val="none"/>
          <w:u w:val="single"/>
        </w:rPr>
        <w:t xml:space="preserve">：                        </w:t>
      </w:r>
    </w:p>
    <w:p>
      <w:pPr>
        <w:pStyle w:val="4"/>
        <w:adjustRightInd/>
        <w:spacing w:line="276" w:lineRule="auto"/>
        <w:ind w:left="567"/>
        <w:jc w:val="both"/>
        <w:textAlignment w:val="auto"/>
        <w:rPr>
          <w:color w:val="auto"/>
          <w:highlight w:val="none"/>
        </w:rPr>
      </w:pPr>
      <w:bookmarkStart w:id="140" w:name="_Toc57897624"/>
      <w:bookmarkStart w:id="141" w:name="_Toc57896870"/>
      <w:bookmarkStart w:id="142" w:name="_Toc57897664"/>
      <w:bookmarkStart w:id="143" w:name="_Toc57897520"/>
      <w:bookmarkStart w:id="144" w:name="_Toc57897730"/>
      <w:r>
        <w:rPr>
          <w:color w:val="auto"/>
          <w:highlight w:val="none"/>
        </w:rPr>
        <w:br w:type="page"/>
      </w:r>
      <w:bookmarkStart w:id="145" w:name="_Toc179866636"/>
      <w:bookmarkStart w:id="146" w:name="_Toc389139117"/>
      <w:bookmarkStart w:id="147" w:name="_Toc262811154"/>
      <w:bookmarkStart w:id="148" w:name="_Toc387317155"/>
      <w:bookmarkStart w:id="149" w:name="_Toc24021"/>
      <w:r>
        <w:rPr>
          <w:rFonts w:hint="eastAsia" w:ascii="宋体" w:eastAsia="宋体"/>
          <w:bCs w:val="0"/>
          <w:color w:val="auto"/>
          <w:sz w:val="24"/>
          <w:szCs w:val="24"/>
          <w:highlight w:val="none"/>
        </w:rPr>
        <w:t>附件九、</w:t>
      </w:r>
      <w:r>
        <w:rPr>
          <w:rFonts w:hint="eastAsia"/>
          <w:bCs w:val="0"/>
          <w:color w:val="auto"/>
          <w:sz w:val="24"/>
          <w:szCs w:val="24"/>
          <w:highlight w:val="none"/>
        </w:rPr>
        <w:t>主要技术负责人简历表</w:t>
      </w:r>
      <w:bookmarkEnd w:id="140"/>
      <w:bookmarkEnd w:id="141"/>
      <w:bookmarkEnd w:id="142"/>
      <w:bookmarkEnd w:id="143"/>
      <w:bookmarkEnd w:id="144"/>
      <w:bookmarkEnd w:id="145"/>
      <w:bookmarkEnd w:id="146"/>
      <w:bookmarkEnd w:id="147"/>
      <w:bookmarkEnd w:id="148"/>
      <w:bookmarkEnd w:id="149"/>
    </w:p>
    <w:p>
      <w:pPr>
        <w:spacing w:line="276" w:lineRule="auto"/>
        <w:rPr>
          <w:rFonts w:ascii="宋体"/>
          <w:color w:val="auto"/>
          <w:highlight w:val="none"/>
        </w:rPr>
      </w:pPr>
    </w:p>
    <w:tbl>
      <w:tblPr>
        <w:tblStyle w:val="39"/>
        <w:tblW w:w="95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0"/>
        <w:gridCol w:w="425"/>
        <w:gridCol w:w="1275"/>
        <w:gridCol w:w="212"/>
        <w:gridCol w:w="1275"/>
        <w:gridCol w:w="212"/>
        <w:gridCol w:w="1275"/>
        <w:gridCol w:w="216"/>
        <w:gridCol w:w="1483"/>
        <w:gridCol w:w="645"/>
        <w:gridCol w:w="170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姓  名</w:t>
            </w: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性   别</w:t>
            </w:r>
          </w:p>
        </w:tc>
        <w:tc>
          <w:tcPr>
            <w:tcW w:w="1491"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年   龄</w:t>
            </w:r>
          </w:p>
        </w:tc>
        <w:tc>
          <w:tcPr>
            <w:tcW w:w="170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职  务</w:t>
            </w: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职   称</w:t>
            </w:r>
          </w:p>
        </w:tc>
        <w:tc>
          <w:tcPr>
            <w:tcW w:w="1491"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学   历</w:t>
            </w:r>
          </w:p>
        </w:tc>
        <w:tc>
          <w:tcPr>
            <w:tcW w:w="170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2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专  业</w:t>
            </w:r>
          </w:p>
        </w:tc>
        <w:tc>
          <w:tcPr>
            <w:tcW w:w="4465" w:type="dxa"/>
            <w:gridSpan w:val="6"/>
            <w:tcBorders>
              <w:top w:val="single" w:color="auto" w:sz="4" w:space="0"/>
              <w:left w:val="single" w:color="auto" w:sz="4" w:space="0"/>
              <w:bottom w:val="single" w:color="auto" w:sz="4" w:space="0"/>
              <w:right w:val="single" w:color="auto" w:sz="4" w:space="0"/>
            </w:tcBorders>
            <w:vAlign w:val="center"/>
          </w:tcPr>
          <w:p>
            <w:pPr>
              <w:spacing w:line="360" w:lineRule="auto"/>
              <w:ind w:left="72"/>
              <w:jc w:val="center"/>
              <w:rPr>
                <w:rFonts w:ascii="宋体"/>
                <w:color w:val="auto"/>
                <w:sz w:val="21"/>
                <w:szCs w:val="21"/>
                <w:highlight w:val="none"/>
              </w:rPr>
            </w:pPr>
          </w:p>
        </w:tc>
        <w:tc>
          <w:tcPr>
            <w:tcW w:w="2128"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ind w:left="72"/>
              <w:jc w:val="center"/>
              <w:rPr>
                <w:rFonts w:ascii="宋体"/>
                <w:color w:val="auto"/>
                <w:sz w:val="21"/>
                <w:szCs w:val="21"/>
                <w:highlight w:val="none"/>
              </w:rPr>
            </w:pPr>
            <w:r>
              <w:rPr>
                <w:rFonts w:hint="eastAsia" w:ascii="宋体"/>
                <w:color w:val="auto"/>
                <w:sz w:val="21"/>
                <w:szCs w:val="21"/>
                <w:highlight w:val="none"/>
              </w:rPr>
              <w:t>工作年限</w:t>
            </w:r>
          </w:p>
        </w:tc>
        <w:tc>
          <w:tcPr>
            <w:tcW w:w="1702" w:type="dxa"/>
            <w:tcBorders>
              <w:top w:val="single" w:color="auto" w:sz="4" w:space="0"/>
              <w:left w:val="single" w:color="auto" w:sz="4" w:space="0"/>
              <w:bottom w:val="single" w:color="auto" w:sz="4" w:space="0"/>
              <w:right w:val="single" w:color="auto" w:sz="4" w:space="0"/>
            </w:tcBorders>
            <w:vAlign w:val="center"/>
          </w:tcPr>
          <w:p>
            <w:pPr>
              <w:spacing w:line="360" w:lineRule="auto"/>
              <w:ind w:left="72"/>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70" w:type="dxa"/>
            <w:gridSpan w:val="11"/>
            <w:tcBorders>
              <w:top w:val="single" w:color="auto" w:sz="4" w:space="0"/>
              <w:left w:val="single" w:color="auto" w:sz="4" w:space="0"/>
              <w:bottom w:val="single" w:color="auto" w:sz="4" w:space="0"/>
              <w:right w:val="single" w:color="auto" w:sz="4" w:space="0"/>
            </w:tcBorders>
            <w:vAlign w:val="center"/>
          </w:tcPr>
          <w:p>
            <w:pPr>
              <w:spacing w:line="360" w:lineRule="auto"/>
              <w:ind w:left="72"/>
              <w:jc w:val="center"/>
              <w:rPr>
                <w:rFonts w:ascii="宋体"/>
                <w:color w:val="auto"/>
                <w:sz w:val="21"/>
                <w:szCs w:val="21"/>
                <w:highlight w:val="none"/>
              </w:rPr>
            </w:pPr>
            <w:r>
              <w:rPr>
                <w:rFonts w:hint="eastAsia" w:ascii="宋体"/>
                <w:color w:val="auto"/>
                <w:sz w:val="21"/>
                <w:szCs w:val="21"/>
                <w:highlight w:val="none"/>
              </w:rPr>
              <w:t>在本项目中拟任职务：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570" w:type="dxa"/>
            <w:gridSpan w:val="11"/>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承担过的项目情况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序号</w:t>
            </w:r>
          </w:p>
        </w:tc>
        <w:tc>
          <w:tcPr>
            <w:tcW w:w="17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项目名称</w:t>
            </w: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业主单位</w:t>
            </w: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建设规模</w:t>
            </w:r>
          </w:p>
        </w:tc>
        <w:tc>
          <w:tcPr>
            <w:tcW w:w="169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工作范围</w:t>
            </w:r>
          </w:p>
        </w:tc>
        <w:tc>
          <w:tcPr>
            <w:tcW w:w="234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担任职务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7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48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169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c>
          <w:tcPr>
            <w:tcW w:w="2347"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color w:val="auto"/>
                <w:sz w:val="21"/>
                <w:szCs w:val="21"/>
                <w:highlight w:val="none"/>
              </w:rPr>
            </w:pPr>
          </w:p>
        </w:tc>
      </w:tr>
    </w:tbl>
    <w:p>
      <w:pPr>
        <w:spacing w:after="240" w:line="360" w:lineRule="auto"/>
        <w:rPr>
          <w:rFonts w:ascii="宋体"/>
          <w:color w:val="auto"/>
          <w:sz w:val="21"/>
          <w:szCs w:val="21"/>
          <w:highlight w:val="none"/>
        </w:rPr>
      </w:pPr>
      <w:r>
        <w:rPr>
          <w:rFonts w:hint="eastAsia"/>
          <w:color w:val="auto"/>
          <w:sz w:val="21"/>
          <w:szCs w:val="21"/>
          <w:highlight w:val="none"/>
        </w:rPr>
        <w:t>注： 拟参加本项目建设的项目经理和主要技术人员均须填写本表，一人一表。</w:t>
      </w:r>
    </w:p>
    <w:p>
      <w:pPr>
        <w:spacing w:line="360" w:lineRule="auto"/>
        <w:rPr>
          <w:rFonts w:ascii="宋体"/>
          <w:color w:val="auto"/>
          <w:sz w:val="21"/>
          <w:szCs w:val="21"/>
          <w:highlight w:val="none"/>
        </w:rPr>
      </w:pPr>
    </w:p>
    <w:p>
      <w:pPr>
        <w:spacing w:line="360" w:lineRule="auto"/>
        <w:rPr>
          <w:rFonts w:ascii="宋体"/>
          <w:color w:val="auto"/>
          <w:sz w:val="21"/>
          <w:szCs w:val="21"/>
          <w:highlight w:val="none"/>
        </w:rPr>
      </w:pPr>
    </w:p>
    <w:p>
      <w:pPr>
        <w:spacing w:line="360" w:lineRule="auto"/>
        <w:rPr>
          <w:rFonts w:ascii="宋体"/>
          <w:color w:val="auto"/>
          <w:sz w:val="21"/>
          <w:szCs w:val="21"/>
          <w:highlight w:val="none"/>
          <w:u w:val="single"/>
        </w:rPr>
      </w:pPr>
      <w:r>
        <w:rPr>
          <w:rFonts w:hint="eastAsia" w:ascii="宋体"/>
          <w:color w:val="auto"/>
          <w:sz w:val="21"/>
          <w:szCs w:val="21"/>
          <w:highlight w:val="none"/>
        </w:rPr>
        <w:t>投标人名称（公章）：</w:t>
      </w:r>
    </w:p>
    <w:p>
      <w:pPr>
        <w:spacing w:line="360" w:lineRule="auto"/>
        <w:rPr>
          <w:rFonts w:ascii="宋体"/>
          <w:color w:val="auto"/>
          <w:sz w:val="21"/>
          <w:szCs w:val="21"/>
          <w:highlight w:val="none"/>
          <w:u w:val="single"/>
        </w:rPr>
      </w:pPr>
      <w:r>
        <w:rPr>
          <w:rFonts w:hint="eastAsia" w:ascii="宋体"/>
          <w:color w:val="auto"/>
          <w:sz w:val="21"/>
          <w:szCs w:val="21"/>
          <w:highlight w:val="none"/>
        </w:rPr>
        <w:t>投标人代表签字</w:t>
      </w:r>
      <w:r>
        <w:rPr>
          <w:rFonts w:hint="eastAsia" w:ascii="宋体"/>
          <w:color w:val="auto"/>
          <w:sz w:val="21"/>
          <w:szCs w:val="21"/>
          <w:highlight w:val="none"/>
          <w:u w:val="single"/>
        </w:rPr>
        <w:t xml:space="preserve">：                        </w:t>
      </w:r>
    </w:p>
    <w:p>
      <w:pPr>
        <w:spacing w:line="276" w:lineRule="auto"/>
        <w:rPr>
          <w:rFonts w:ascii="宋体"/>
          <w:color w:val="auto"/>
          <w:highlight w:val="none"/>
        </w:rPr>
      </w:pPr>
    </w:p>
    <w:p>
      <w:pPr>
        <w:spacing w:line="276" w:lineRule="auto"/>
        <w:ind w:firstLine="435"/>
        <w:rPr>
          <w:rFonts w:ascii="宋体"/>
          <w:color w:val="auto"/>
          <w:highlight w:val="none"/>
          <w:u w:val="single"/>
        </w:rPr>
        <w:sectPr>
          <w:pgSz w:w="11906" w:h="16838"/>
          <w:pgMar w:top="1418" w:right="1134" w:bottom="1418" w:left="1588" w:header="851" w:footer="851"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p>
    <w:p>
      <w:pPr>
        <w:pStyle w:val="4"/>
        <w:adjustRightInd/>
        <w:spacing w:line="276" w:lineRule="auto"/>
        <w:jc w:val="both"/>
        <w:textAlignment w:val="auto"/>
        <w:rPr>
          <w:bCs w:val="0"/>
          <w:color w:val="auto"/>
          <w:sz w:val="24"/>
          <w:szCs w:val="24"/>
          <w:highlight w:val="none"/>
        </w:rPr>
      </w:pPr>
      <w:bookmarkStart w:id="150" w:name="_Toc207435652"/>
      <w:bookmarkStart w:id="151" w:name="_Toc262811156"/>
      <w:bookmarkStart w:id="152" w:name="_Toc387317157"/>
      <w:bookmarkStart w:id="153" w:name="_Toc9972"/>
      <w:bookmarkStart w:id="154" w:name="_Toc389139119"/>
      <w:r>
        <w:rPr>
          <w:rFonts w:hint="eastAsia" w:ascii="宋体" w:eastAsia="宋体"/>
          <w:bCs w:val="0"/>
          <w:color w:val="auto"/>
          <w:sz w:val="24"/>
          <w:szCs w:val="24"/>
          <w:highlight w:val="none"/>
        </w:rPr>
        <w:t>附件十、</w:t>
      </w:r>
      <w:r>
        <w:rPr>
          <w:rFonts w:hint="eastAsia"/>
          <w:bCs w:val="0"/>
          <w:color w:val="auto"/>
          <w:sz w:val="24"/>
          <w:szCs w:val="24"/>
          <w:highlight w:val="none"/>
        </w:rPr>
        <w:t>投标人同类项目业绩</w:t>
      </w:r>
      <w:bookmarkEnd w:id="150"/>
      <w:bookmarkEnd w:id="151"/>
      <w:bookmarkEnd w:id="152"/>
      <w:bookmarkEnd w:id="153"/>
      <w:bookmarkEnd w:id="154"/>
    </w:p>
    <w:tbl>
      <w:tblPr>
        <w:tblStyle w:val="39"/>
        <w:tblW w:w="91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67"/>
        <w:gridCol w:w="1377"/>
        <w:gridCol w:w="1128"/>
        <w:gridCol w:w="1833"/>
        <w:gridCol w:w="1540"/>
        <w:gridCol w:w="1183"/>
        <w:gridCol w:w="148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spacing w:line="360" w:lineRule="auto"/>
              <w:jc w:val="center"/>
              <w:rPr>
                <w:rFonts w:ascii="宋体"/>
                <w:color w:val="auto"/>
                <w:sz w:val="21"/>
                <w:szCs w:val="21"/>
                <w:highlight w:val="none"/>
              </w:rPr>
            </w:pPr>
            <w:r>
              <w:rPr>
                <w:rFonts w:hint="eastAsia" w:ascii="宋体" w:cs="宋体"/>
                <w:color w:val="auto"/>
                <w:sz w:val="21"/>
                <w:szCs w:val="21"/>
                <w:highlight w:val="none"/>
              </w:rPr>
              <w:t>编号</w:t>
            </w:r>
          </w:p>
        </w:tc>
        <w:tc>
          <w:tcPr>
            <w:tcW w:w="1377" w:type="dxa"/>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项目</w:t>
            </w:r>
          </w:p>
          <w:p>
            <w:pPr>
              <w:spacing w:line="360" w:lineRule="auto"/>
              <w:jc w:val="center"/>
              <w:rPr>
                <w:rFonts w:ascii="宋体"/>
                <w:color w:val="auto"/>
                <w:sz w:val="21"/>
                <w:szCs w:val="21"/>
                <w:highlight w:val="none"/>
              </w:rPr>
            </w:pPr>
            <w:r>
              <w:rPr>
                <w:rFonts w:hint="eastAsia" w:ascii="宋体"/>
                <w:color w:val="auto"/>
                <w:sz w:val="21"/>
                <w:szCs w:val="21"/>
                <w:highlight w:val="none"/>
              </w:rPr>
              <w:t>名称</w:t>
            </w:r>
          </w:p>
        </w:tc>
        <w:tc>
          <w:tcPr>
            <w:tcW w:w="1128" w:type="dxa"/>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建设单位</w:t>
            </w:r>
          </w:p>
        </w:tc>
        <w:tc>
          <w:tcPr>
            <w:tcW w:w="1833" w:type="dxa"/>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简要描述</w:t>
            </w:r>
          </w:p>
        </w:tc>
        <w:tc>
          <w:tcPr>
            <w:tcW w:w="1540" w:type="dxa"/>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合同金额</w:t>
            </w:r>
          </w:p>
          <w:p>
            <w:pPr>
              <w:spacing w:line="360" w:lineRule="auto"/>
              <w:jc w:val="center"/>
              <w:rPr>
                <w:rFonts w:ascii="宋体"/>
                <w:color w:val="auto"/>
                <w:sz w:val="21"/>
                <w:szCs w:val="21"/>
                <w:highlight w:val="none"/>
              </w:rPr>
            </w:pPr>
            <w:r>
              <w:rPr>
                <w:rFonts w:hint="eastAsia" w:ascii="宋体"/>
                <w:color w:val="auto"/>
                <w:sz w:val="21"/>
                <w:szCs w:val="21"/>
                <w:highlight w:val="none"/>
              </w:rPr>
              <w:t>（万元）</w:t>
            </w:r>
          </w:p>
        </w:tc>
        <w:tc>
          <w:tcPr>
            <w:tcW w:w="1183" w:type="dxa"/>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上线或验收日期</w:t>
            </w:r>
          </w:p>
        </w:tc>
        <w:tc>
          <w:tcPr>
            <w:tcW w:w="1488" w:type="dxa"/>
            <w:vAlign w:val="center"/>
          </w:tcPr>
          <w:p>
            <w:pPr>
              <w:spacing w:line="360" w:lineRule="auto"/>
              <w:jc w:val="center"/>
              <w:rPr>
                <w:rFonts w:ascii="宋体"/>
                <w:color w:val="auto"/>
                <w:sz w:val="21"/>
                <w:szCs w:val="21"/>
                <w:highlight w:val="none"/>
              </w:rPr>
            </w:pPr>
            <w:r>
              <w:rPr>
                <w:rFonts w:hint="eastAsia" w:ascii="宋体"/>
                <w:color w:val="auto"/>
                <w:sz w:val="21"/>
                <w:szCs w:val="21"/>
                <w:highlight w:val="none"/>
              </w:rPr>
              <w:t>业主单位联系电话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widowControl/>
              <w:spacing w:line="360" w:lineRule="auto"/>
              <w:jc w:val="center"/>
              <w:rPr>
                <w:rFonts w:ascii="宋体" w:cs="宋体"/>
                <w:color w:val="auto"/>
                <w:sz w:val="21"/>
                <w:szCs w:val="21"/>
                <w:highlight w:val="none"/>
              </w:rPr>
            </w:pPr>
            <w:r>
              <w:rPr>
                <w:rFonts w:hint="eastAsia" w:ascii="宋体" w:cs="宋体"/>
                <w:color w:val="auto"/>
                <w:sz w:val="21"/>
                <w:szCs w:val="21"/>
                <w:highlight w:val="none"/>
              </w:rPr>
              <w:t>1</w:t>
            </w:r>
          </w:p>
        </w:tc>
        <w:tc>
          <w:tcPr>
            <w:tcW w:w="1377" w:type="dxa"/>
            <w:vAlign w:val="center"/>
          </w:tcPr>
          <w:p>
            <w:pPr>
              <w:spacing w:line="360" w:lineRule="auto"/>
              <w:jc w:val="center"/>
              <w:rPr>
                <w:rFonts w:ascii="宋体"/>
                <w:color w:val="auto"/>
                <w:sz w:val="21"/>
                <w:szCs w:val="21"/>
                <w:highlight w:val="none"/>
              </w:rPr>
            </w:pPr>
          </w:p>
        </w:tc>
        <w:tc>
          <w:tcPr>
            <w:tcW w:w="1128" w:type="dxa"/>
            <w:vAlign w:val="center"/>
          </w:tcPr>
          <w:p>
            <w:pPr>
              <w:spacing w:line="360" w:lineRule="auto"/>
              <w:jc w:val="center"/>
              <w:rPr>
                <w:rFonts w:ascii="宋体"/>
                <w:color w:val="auto"/>
                <w:sz w:val="21"/>
                <w:szCs w:val="21"/>
                <w:highlight w:val="none"/>
              </w:rPr>
            </w:pPr>
          </w:p>
        </w:tc>
        <w:tc>
          <w:tcPr>
            <w:tcW w:w="1833" w:type="dxa"/>
            <w:vAlign w:val="center"/>
          </w:tcPr>
          <w:p>
            <w:pPr>
              <w:spacing w:line="360" w:lineRule="auto"/>
              <w:jc w:val="center"/>
              <w:rPr>
                <w:rFonts w:ascii="宋体"/>
                <w:color w:val="auto"/>
                <w:sz w:val="21"/>
                <w:szCs w:val="21"/>
                <w:highlight w:val="none"/>
              </w:rPr>
            </w:pPr>
          </w:p>
        </w:tc>
        <w:tc>
          <w:tcPr>
            <w:tcW w:w="1540" w:type="dxa"/>
            <w:vAlign w:val="center"/>
          </w:tcPr>
          <w:p>
            <w:pPr>
              <w:spacing w:line="360" w:lineRule="auto"/>
              <w:jc w:val="center"/>
              <w:rPr>
                <w:rFonts w:ascii="宋体"/>
                <w:color w:val="auto"/>
                <w:sz w:val="21"/>
                <w:szCs w:val="21"/>
                <w:highlight w:val="none"/>
              </w:rPr>
            </w:pPr>
          </w:p>
        </w:tc>
        <w:tc>
          <w:tcPr>
            <w:tcW w:w="1183" w:type="dxa"/>
            <w:vAlign w:val="center"/>
          </w:tcPr>
          <w:p>
            <w:pPr>
              <w:spacing w:line="360" w:lineRule="auto"/>
              <w:jc w:val="center"/>
              <w:rPr>
                <w:rFonts w:ascii="宋体"/>
                <w:color w:val="auto"/>
                <w:sz w:val="21"/>
                <w:szCs w:val="21"/>
                <w:highlight w:val="none"/>
              </w:rPr>
            </w:pPr>
          </w:p>
        </w:tc>
        <w:tc>
          <w:tcPr>
            <w:tcW w:w="1488" w:type="dxa"/>
            <w:vAlign w:val="center"/>
          </w:tcPr>
          <w:p>
            <w:pPr>
              <w:spacing w:line="360" w:lineRule="auto"/>
              <w:jc w:val="center"/>
              <w:rPr>
                <w:rFonts w:ascii="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widowControl/>
              <w:spacing w:line="360" w:lineRule="auto"/>
              <w:jc w:val="center"/>
              <w:rPr>
                <w:rFonts w:ascii="宋体" w:cs="宋体"/>
                <w:color w:val="auto"/>
                <w:sz w:val="21"/>
                <w:szCs w:val="21"/>
                <w:highlight w:val="none"/>
              </w:rPr>
            </w:pPr>
            <w:r>
              <w:rPr>
                <w:rFonts w:hint="eastAsia" w:ascii="宋体"/>
                <w:color w:val="auto"/>
                <w:sz w:val="21"/>
                <w:szCs w:val="21"/>
                <w:highlight w:val="none"/>
              </w:rPr>
              <w:t>2</w:t>
            </w:r>
          </w:p>
        </w:tc>
        <w:tc>
          <w:tcPr>
            <w:tcW w:w="1377" w:type="dxa"/>
            <w:vAlign w:val="center"/>
          </w:tcPr>
          <w:p>
            <w:pPr>
              <w:spacing w:line="360" w:lineRule="auto"/>
              <w:jc w:val="center"/>
              <w:rPr>
                <w:rFonts w:ascii="宋体"/>
                <w:color w:val="auto"/>
                <w:sz w:val="21"/>
                <w:szCs w:val="21"/>
                <w:highlight w:val="none"/>
              </w:rPr>
            </w:pPr>
          </w:p>
        </w:tc>
        <w:tc>
          <w:tcPr>
            <w:tcW w:w="1128" w:type="dxa"/>
            <w:vAlign w:val="center"/>
          </w:tcPr>
          <w:p>
            <w:pPr>
              <w:spacing w:line="360" w:lineRule="auto"/>
              <w:jc w:val="center"/>
              <w:rPr>
                <w:rFonts w:ascii="宋体"/>
                <w:color w:val="auto"/>
                <w:sz w:val="21"/>
                <w:szCs w:val="21"/>
                <w:highlight w:val="none"/>
              </w:rPr>
            </w:pPr>
          </w:p>
        </w:tc>
        <w:tc>
          <w:tcPr>
            <w:tcW w:w="1833" w:type="dxa"/>
            <w:vAlign w:val="center"/>
          </w:tcPr>
          <w:p>
            <w:pPr>
              <w:spacing w:line="360" w:lineRule="auto"/>
              <w:jc w:val="center"/>
              <w:rPr>
                <w:rFonts w:ascii="宋体"/>
                <w:color w:val="auto"/>
                <w:sz w:val="21"/>
                <w:szCs w:val="21"/>
                <w:highlight w:val="none"/>
              </w:rPr>
            </w:pPr>
          </w:p>
        </w:tc>
        <w:tc>
          <w:tcPr>
            <w:tcW w:w="1540" w:type="dxa"/>
            <w:vAlign w:val="center"/>
          </w:tcPr>
          <w:p>
            <w:pPr>
              <w:spacing w:line="360" w:lineRule="auto"/>
              <w:jc w:val="center"/>
              <w:rPr>
                <w:rFonts w:ascii="宋体"/>
                <w:color w:val="auto"/>
                <w:sz w:val="21"/>
                <w:szCs w:val="21"/>
                <w:highlight w:val="none"/>
              </w:rPr>
            </w:pPr>
          </w:p>
        </w:tc>
        <w:tc>
          <w:tcPr>
            <w:tcW w:w="1183" w:type="dxa"/>
            <w:vAlign w:val="center"/>
          </w:tcPr>
          <w:p>
            <w:pPr>
              <w:spacing w:line="360" w:lineRule="auto"/>
              <w:jc w:val="center"/>
              <w:rPr>
                <w:rFonts w:ascii="宋体"/>
                <w:color w:val="auto"/>
                <w:sz w:val="21"/>
                <w:szCs w:val="21"/>
                <w:highlight w:val="none"/>
              </w:rPr>
            </w:pPr>
          </w:p>
        </w:tc>
        <w:tc>
          <w:tcPr>
            <w:tcW w:w="1488" w:type="dxa"/>
            <w:vAlign w:val="center"/>
          </w:tcPr>
          <w:p>
            <w:pPr>
              <w:spacing w:line="360" w:lineRule="auto"/>
              <w:jc w:val="center"/>
              <w:rPr>
                <w:rFonts w:ascii="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widowControl/>
              <w:spacing w:line="360" w:lineRule="auto"/>
              <w:jc w:val="center"/>
              <w:rPr>
                <w:rFonts w:ascii="宋体" w:cs="宋体"/>
                <w:color w:val="auto"/>
                <w:sz w:val="21"/>
                <w:szCs w:val="21"/>
                <w:highlight w:val="none"/>
              </w:rPr>
            </w:pPr>
            <w:r>
              <w:rPr>
                <w:rFonts w:hint="eastAsia" w:ascii="宋体" w:cs="宋体"/>
                <w:color w:val="auto"/>
                <w:sz w:val="21"/>
                <w:szCs w:val="21"/>
                <w:highlight w:val="none"/>
              </w:rPr>
              <w:t>3</w:t>
            </w:r>
          </w:p>
        </w:tc>
        <w:tc>
          <w:tcPr>
            <w:tcW w:w="1377" w:type="dxa"/>
            <w:vAlign w:val="center"/>
          </w:tcPr>
          <w:p>
            <w:pPr>
              <w:spacing w:line="360" w:lineRule="auto"/>
              <w:jc w:val="center"/>
              <w:rPr>
                <w:rFonts w:ascii="宋体"/>
                <w:color w:val="auto"/>
                <w:sz w:val="21"/>
                <w:szCs w:val="21"/>
                <w:highlight w:val="none"/>
              </w:rPr>
            </w:pPr>
          </w:p>
        </w:tc>
        <w:tc>
          <w:tcPr>
            <w:tcW w:w="1128" w:type="dxa"/>
            <w:vAlign w:val="center"/>
          </w:tcPr>
          <w:p>
            <w:pPr>
              <w:spacing w:line="360" w:lineRule="auto"/>
              <w:jc w:val="center"/>
              <w:rPr>
                <w:rFonts w:ascii="宋体"/>
                <w:color w:val="auto"/>
                <w:sz w:val="21"/>
                <w:szCs w:val="21"/>
                <w:highlight w:val="none"/>
              </w:rPr>
            </w:pPr>
          </w:p>
        </w:tc>
        <w:tc>
          <w:tcPr>
            <w:tcW w:w="1833" w:type="dxa"/>
            <w:vAlign w:val="center"/>
          </w:tcPr>
          <w:p>
            <w:pPr>
              <w:spacing w:line="360" w:lineRule="auto"/>
              <w:jc w:val="center"/>
              <w:rPr>
                <w:rFonts w:ascii="宋体"/>
                <w:color w:val="auto"/>
                <w:sz w:val="21"/>
                <w:szCs w:val="21"/>
                <w:highlight w:val="none"/>
              </w:rPr>
            </w:pPr>
          </w:p>
        </w:tc>
        <w:tc>
          <w:tcPr>
            <w:tcW w:w="1540" w:type="dxa"/>
            <w:vAlign w:val="center"/>
          </w:tcPr>
          <w:p>
            <w:pPr>
              <w:spacing w:line="360" w:lineRule="auto"/>
              <w:jc w:val="center"/>
              <w:rPr>
                <w:rFonts w:ascii="宋体"/>
                <w:color w:val="auto"/>
                <w:sz w:val="21"/>
                <w:szCs w:val="21"/>
                <w:highlight w:val="none"/>
              </w:rPr>
            </w:pPr>
          </w:p>
        </w:tc>
        <w:tc>
          <w:tcPr>
            <w:tcW w:w="1183" w:type="dxa"/>
            <w:vAlign w:val="center"/>
          </w:tcPr>
          <w:p>
            <w:pPr>
              <w:spacing w:line="360" w:lineRule="auto"/>
              <w:jc w:val="center"/>
              <w:rPr>
                <w:rFonts w:ascii="宋体"/>
                <w:color w:val="auto"/>
                <w:sz w:val="21"/>
                <w:szCs w:val="21"/>
                <w:highlight w:val="none"/>
              </w:rPr>
            </w:pPr>
          </w:p>
        </w:tc>
        <w:tc>
          <w:tcPr>
            <w:tcW w:w="1488" w:type="dxa"/>
            <w:vAlign w:val="center"/>
          </w:tcPr>
          <w:p>
            <w:pPr>
              <w:spacing w:line="360" w:lineRule="auto"/>
              <w:jc w:val="center"/>
              <w:rPr>
                <w:rFonts w:ascii="宋体"/>
                <w:color w:val="auto"/>
                <w:sz w:val="21"/>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67" w:type="dxa"/>
            <w:vAlign w:val="center"/>
          </w:tcPr>
          <w:p>
            <w:pPr>
              <w:widowControl/>
              <w:spacing w:line="360" w:lineRule="auto"/>
              <w:jc w:val="center"/>
              <w:rPr>
                <w:rFonts w:ascii="宋体" w:cs="宋体"/>
                <w:color w:val="auto"/>
                <w:sz w:val="21"/>
                <w:szCs w:val="21"/>
                <w:highlight w:val="none"/>
              </w:rPr>
            </w:pPr>
            <w:r>
              <w:rPr>
                <w:rFonts w:hint="eastAsia" w:ascii="宋体"/>
                <w:color w:val="auto"/>
                <w:sz w:val="21"/>
                <w:szCs w:val="21"/>
                <w:highlight w:val="none"/>
              </w:rPr>
              <w:t>…</w:t>
            </w:r>
          </w:p>
        </w:tc>
        <w:tc>
          <w:tcPr>
            <w:tcW w:w="1377" w:type="dxa"/>
            <w:vAlign w:val="center"/>
          </w:tcPr>
          <w:p>
            <w:pPr>
              <w:spacing w:line="360" w:lineRule="auto"/>
              <w:jc w:val="center"/>
              <w:rPr>
                <w:rFonts w:ascii="宋体"/>
                <w:color w:val="auto"/>
                <w:sz w:val="21"/>
                <w:szCs w:val="21"/>
                <w:highlight w:val="none"/>
              </w:rPr>
            </w:pPr>
          </w:p>
        </w:tc>
        <w:tc>
          <w:tcPr>
            <w:tcW w:w="1128" w:type="dxa"/>
            <w:vAlign w:val="center"/>
          </w:tcPr>
          <w:p>
            <w:pPr>
              <w:spacing w:line="360" w:lineRule="auto"/>
              <w:jc w:val="center"/>
              <w:rPr>
                <w:rFonts w:ascii="宋体"/>
                <w:color w:val="auto"/>
                <w:sz w:val="21"/>
                <w:szCs w:val="21"/>
                <w:highlight w:val="none"/>
              </w:rPr>
            </w:pPr>
          </w:p>
        </w:tc>
        <w:tc>
          <w:tcPr>
            <w:tcW w:w="1833" w:type="dxa"/>
            <w:vAlign w:val="center"/>
          </w:tcPr>
          <w:p>
            <w:pPr>
              <w:spacing w:line="360" w:lineRule="auto"/>
              <w:jc w:val="center"/>
              <w:rPr>
                <w:rFonts w:ascii="宋体"/>
                <w:color w:val="auto"/>
                <w:sz w:val="21"/>
                <w:szCs w:val="21"/>
                <w:highlight w:val="none"/>
              </w:rPr>
            </w:pPr>
          </w:p>
        </w:tc>
        <w:tc>
          <w:tcPr>
            <w:tcW w:w="1540" w:type="dxa"/>
            <w:vAlign w:val="center"/>
          </w:tcPr>
          <w:p>
            <w:pPr>
              <w:spacing w:line="360" w:lineRule="auto"/>
              <w:jc w:val="center"/>
              <w:rPr>
                <w:rFonts w:ascii="宋体"/>
                <w:color w:val="auto"/>
                <w:sz w:val="21"/>
                <w:szCs w:val="21"/>
                <w:highlight w:val="none"/>
              </w:rPr>
            </w:pPr>
          </w:p>
        </w:tc>
        <w:tc>
          <w:tcPr>
            <w:tcW w:w="1183" w:type="dxa"/>
            <w:vAlign w:val="center"/>
          </w:tcPr>
          <w:p>
            <w:pPr>
              <w:spacing w:line="360" w:lineRule="auto"/>
              <w:jc w:val="center"/>
              <w:rPr>
                <w:rFonts w:ascii="宋体"/>
                <w:color w:val="auto"/>
                <w:sz w:val="21"/>
                <w:szCs w:val="21"/>
                <w:highlight w:val="none"/>
              </w:rPr>
            </w:pPr>
          </w:p>
        </w:tc>
        <w:tc>
          <w:tcPr>
            <w:tcW w:w="1488" w:type="dxa"/>
            <w:vAlign w:val="center"/>
          </w:tcPr>
          <w:p>
            <w:pPr>
              <w:spacing w:line="360" w:lineRule="auto"/>
              <w:jc w:val="center"/>
              <w:rPr>
                <w:rFonts w:ascii="宋体"/>
                <w:color w:val="auto"/>
                <w:sz w:val="21"/>
                <w:szCs w:val="21"/>
                <w:highlight w:val="none"/>
              </w:rPr>
            </w:pPr>
          </w:p>
        </w:tc>
      </w:tr>
    </w:tbl>
    <w:p>
      <w:pPr>
        <w:spacing w:line="360" w:lineRule="auto"/>
        <w:rPr>
          <w:rFonts w:ascii="宋体"/>
          <w:color w:val="auto"/>
          <w:sz w:val="21"/>
          <w:szCs w:val="21"/>
          <w:highlight w:val="none"/>
        </w:rPr>
      </w:pPr>
      <w:r>
        <w:rPr>
          <w:rFonts w:hint="eastAsia" w:ascii="宋体"/>
          <w:color w:val="auto"/>
          <w:sz w:val="21"/>
          <w:szCs w:val="21"/>
          <w:highlight w:val="none"/>
        </w:rPr>
        <w:t>注：１、同类项目指与本项目同类型的项目。</w:t>
      </w:r>
    </w:p>
    <w:p>
      <w:pPr>
        <w:spacing w:line="360" w:lineRule="auto"/>
        <w:ind w:firstLine="420" w:firstLineChars="200"/>
        <w:rPr>
          <w:rFonts w:ascii="宋体"/>
          <w:color w:val="auto"/>
          <w:sz w:val="21"/>
          <w:szCs w:val="21"/>
          <w:highlight w:val="none"/>
        </w:rPr>
      </w:pPr>
      <w:r>
        <w:rPr>
          <w:rFonts w:hint="eastAsia" w:ascii="宋体"/>
          <w:color w:val="auto"/>
          <w:sz w:val="21"/>
          <w:szCs w:val="21"/>
          <w:highlight w:val="none"/>
        </w:rPr>
        <w:t>2、投标人应随本表提供合同或其他有效证明材料（彩色扫描件或复印件，并加盖投标人公章），证明材料须清晰显示：项目名称、项目内容及服务时间、甲乙双方单位名称和单位公章等。</w:t>
      </w:r>
      <w:r>
        <w:rPr>
          <w:rFonts w:hint="eastAsia" w:ascii="宋体"/>
          <w:bCs/>
          <w:color w:val="auto"/>
          <w:sz w:val="21"/>
          <w:szCs w:val="21"/>
          <w:highlight w:val="none"/>
        </w:rPr>
        <w:t>申请人须将相关证明材料按本表方式进行编号并按顺序装订提交。未提供有效证明材料的业绩在评标时将不予认可。</w:t>
      </w:r>
    </w:p>
    <w:p>
      <w:pPr>
        <w:spacing w:line="360" w:lineRule="auto"/>
        <w:ind w:firstLine="420" w:firstLineChars="200"/>
        <w:rPr>
          <w:rFonts w:ascii="宋体"/>
          <w:color w:val="auto"/>
          <w:sz w:val="21"/>
          <w:szCs w:val="21"/>
          <w:highlight w:val="none"/>
        </w:rPr>
      </w:pPr>
    </w:p>
    <w:p>
      <w:pPr>
        <w:spacing w:line="360" w:lineRule="auto"/>
        <w:rPr>
          <w:rFonts w:ascii="宋体"/>
          <w:color w:val="auto"/>
          <w:sz w:val="21"/>
          <w:szCs w:val="21"/>
          <w:highlight w:val="none"/>
          <w:u w:val="single"/>
        </w:rPr>
      </w:pPr>
      <w:r>
        <w:rPr>
          <w:rFonts w:hint="eastAsia" w:ascii="宋体"/>
          <w:color w:val="auto"/>
          <w:sz w:val="21"/>
          <w:szCs w:val="21"/>
          <w:highlight w:val="none"/>
        </w:rPr>
        <w:t>投标人名称（公章）：</w:t>
      </w:r>
    </w:p>
    <w:p>
      <w:pPr>
        <w:spacing w:line="360" w:lineRule="auto"/>
        <w:rPr>
          <w:rFonts w:ascii="宋体"/>
          <w:color w:val="auto"/>
          <w:sz w:val="21"/>
          <w:szCs w:val="21"/>
          <w:highlight w:val="none"/>
          <w:u w:val="single"/>
        </w:rPr>
      </w:pPr>
      <w:r>
        <w:rPr>
          <w:rFonts w:hint="eastAsia" w:ascii="宋体"/>
          <w:color w:val="auto"/>
          <w:sz w:val="21"/>
          <w:szCs w:val="21"/>
          <w:highlight w:val="none"/>
        </w:rPr>
        <w:t>投标人代表签字</w:t>
      </w:r>
      <w:r>
        <w:rPr>
          <w:rFonts w:hint="eastAsia" w:ascii="宋体"/>
          <w:color w:val="auto"/>
          <w:sz w:val="21"/>
          <w:szCs w:val="21"/>
          <w:highlight w:val="none"/>
          <w:u w:val="single"/>
        </w:rPr>
        <w:t xml:space="preserve">：                        </w:t>
      </w:r>
      <w:bookmarkStart w:id="155" w:name="_Toc389139120"/>
      <w:bookmarkStart w:id="156" w:name="_Toc387317158"/>
    </w:p>
    <w:p>
      <w:pPr>
        <w:spacing w:line="276" w:lineRule="auto"/>
        <w:rPr>
          <w:rFonts w:ascii="宋体"/>
          <w:color w:val="auto"/>
          <w:szCs w:val="24"/>
          <w:highlight w:val="none"/>
          <w:u w:val="single"/>
        </w:rPr>
      </w:pPr>
    </w:p>
    <w:p>
      <w:pPr>
        <w:wordWrap w:val="0"/>
        <w:spacing w:line="440" w:lineRule="exact"/>
        <w:jc w:val="both"/>
        <w:rPr>
          <w:rFonts w:hint="eastAsia" w:ascii="宋体" w:hAnsi="宋体" w:eastAsia="宋体"/>
          <w:color w:val="auto"/>
          <w:sz w:val="21"/>
          <w:szCs w:val="21"/>
          <w:highlight w:val="none"/>
        </w:rPr>
      </w:pPr>
      <w:r>
        <w:rPr>
          <w:rFonts w:ascii="宋体"/>
          <w:color w:val="auto"/>
          <w:szCs w:val="24"/>
          <w:highlight w:val="none"/>
          <w:u w:val="single"/>
        </w:rPr>
        <w:br w:type="page"/>
      </w:r>
      <w:bookmarkEnd w:id="155"/>
      <w:bookmarkEnd w:id="156"/>
      <w:bookmarkStart w:id="157" w:name="_Toc241827265"/>
      <w:bookmarkStart w:id="158" w:name="_Toc389139122"/>
      <w:bookmarkStart w:id="159" w:name="_Toc11089"/>
      <w:bookmarkStart w:id="160" w:name="_Toc387317160"/>
      <w:r>
        <w:rPr>
          <w:rFonts w:hint="eastAsia" w:ascii="宋体" w:hAnsi="宋体" w:eastAsia="宋体"/>
          <w:color w:val="auto"/>
          <w:sz w:val="21"/>
          <w:szCs w:val="21"/>
          <w:highlight w:val="none"/>
        </w:rPr>
        <w:t>附件十一、</w:t>
      </w:r>
      <w:bookmarkEnd w:id="134"/>
      <w:bookmarkEnd w:id="157"/>
      <w:bookmarkEnd w:id="158"/>
      <w:bookmarkEnd w:id="159"/>
      <w:bookmarkEnd w:id="160"/>
      <w:bookmarkStart w:id="161" w:name="_Toc241827266"/>
    </w:p>
    <w:p>
      <w:pPr>
        <w:wordWrap w:val="0"/>
        <w:spacing w:line="440" w:lineRule="exact"/>
        <w:jc w:val="center"/>
        <w:rPr>
          <w:rFonts w:ascii="宋体" w:hAnsi="宋体"/>
          <w:b/>
          <w:color w:val="auto"/>
          <w:sz w:val="21"/>
          <w:szCs w:val="21"/>
          <w:highlight w:val="none"/>
        </w:rPr>
      </w:pPr>
      <w:r>
        <w:rPr>
          <w:rFonts w:hint="eastAsia" w:ascii="宋体" w:hAnsi="宋体"/>
          <w:b/>
          <w:color w:val="auto"/>
          <w:sz w:val="21"/>
          <w:szCs w:val="21"/>
          <w:highlight w:val="none"/>
        </w:rPr>
        <w:t>供应商一般情况表</w:t>
      </w:r>
    </w:p>
    <w:tbl>
      <w:tblPr>
        <w:tblStyle w:val="39"/>
        <w:tblW w:w="8777"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4305"/>
        <w:gridCol w:w="9"/>
        <w:gridCol w:w="3833"/>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w:t>
            </w:r>
          </w:p>
        </w:tc>
        <w:tc>
          <w:tcPr>
            <w:tcW w:w="8147" w:type="dxa"/>
            <w:gridSpan w:val="3"/>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单位名称：</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2</w:t>
            </w:r>
          </w:p>
        </w:tc>
        <w:tc>
          <w:tcPr>
            <w:tcW w:w="8147" w:type="dxa"/>
            <w:gridSpan w:val="3"/>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总部地址：</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3</w:t>
            </w:r>
          </w:p>
        </w:tc>
        <w:tc>
          <w:tcPr>
            <w:tcW w:w="8147" w:type="dxa"/>
            <w:gridSpan w:val="3"/>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当地代表处地址：</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4</w:t>
            </w:r>
          </w:p>
        </w:tc>
        <w:tc>
          <w:tcPr>
            <w:tcW w:w="4305" w:type="dxa"/>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电</w:t>
            </w:r>
            <w:r>
              <w:rPr>
                <w:rFonts w:ascii="宋体" w:hAnsi="宋体"/>
                <w:color w:val="auto"/>
                <w:sz w:val="21"/>
                <w:szCs w:val="21"/>
                <w:highlight w:val="none"/>
              </w:rPr>
              <w:t xml:space="preserve">  </w:t>
            </w:r>
            <w:r>
              <w:rPr>
                <w:rFonts w:hint="eastAsia" w:ascii="宋体" w:hAnsi="宋体"/>
                <w:color w:val="auto"/>
                <w:sz w:val="21"/>
                <w:szCs w:val="21"/>
                <w:highlight w:val="none"/>
              </w:rPr>
              <w:t>话：</w:t>
            </w:r>
          </w:p>
        </w:tc>
        <w:tc>
          <w:tcPr>
            <w:tcW w:w="3842" w:type="dxa"/>
            <w:gridSpan w:val="2"/>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联</w:t>
            </w:r>
            <w:r>
              <w:rPr>
                <w:rFonts w:ascii="宋体" w:hAnsi="宋体"/>
                <w:color w:val="auto"/>
                <w:sz w:val="21"/>
                <w:szCs w:val="21"/>
                <w:highlight w:val="none"/>
              </w:rPr>
              <w:t xml:space="preserve"> </w:t>
            </w:r>
            <w:r>
              <w:rPr>
                <w:rFonts w:hint="eastAsia" w:ascii="宋体" w:hAnsi="宋体"/>
                <w:color w:val="auto"/>
                <w:sz w:val="21"/>
                <w:szCs w:val="21"/>
                <w:highlight w:val="none"/>
              </w:rPr>
              <w:t>系</w:t>
            </w:r>
            <w:r>
              <w:rPr>
                <w:rFonts w:ascii="宋体" w:hAnsi="宋体"/>
                <w:color w:val="auto"/>
                <w:sz w:val="21"/>
                <w:szCs w:val="21"/>
                <w:highlight w:val="none"/>
              </w:rPr>
              <w:t xml:space="preserve"> </w:t>
            </w:r>
            <w:r>
              <w:rPr>
                <w:rFonts w:hint="eastAsia" w:ascii="宋体" w:hAnsi="宋体"/>
                <w:color w:val="auto"/>
                <w:sz w:val="21"/>
                <w:szCs w:val="21"/>
                <w:highlight w:val="none"/>
              </w:rPr>
              <w:t>人：</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5</w:t>
            </w:r>
          </w:p>
        </w:tc>
        <w:tc>
          <w:tcPr>
            <w:tcW w:w="4305" w:type="dxa"/>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传</w:t>
            </w:r>
            <w:r>
              <w:rPr>
                <w:rFonts w:ascii="宋体" w:hAnsi="宋体"/>
                <w:color w:val="auto"/>
                <w:sz w:val="21"/>
                <w:szCs w:val="21"/>
                <w:highlight w:val="none"/>
              </w:rPr>
              <w:t xml:space="preserve">  </w:t>
            </w:r>
            <w:r>
              <w:rPr>
                <w:rFonts w:hint="eastAsia" w:ascii="宋体" w:hAnsi="宋体"/>
                <w:color w:val="auto"/>
                <w:sz w:val="21"/>
                <w:szCs w:val="21"/>
                <w:highlight w:val="none"/>
              </w:rPr>
              <w:t>真：</w:t>
            </w:r>
          </w:p>
        </w:tc>
        <w:tc>
          <w:tcPr>
            <w:tcW w:w="3842" w:type="dxa"/>
            <w:gridSpan w:val="2"/>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电子信箱：</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6</w:t>
            </w:r>
          </w:p>
        </w:tc>
        <w:tc>
          <w:tcPr>
            <w:tcW w:w="4305" w:type="dxa"/>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注册地：</w:t>
            </w:r>
          </w:p>
        </w:tc>
        <w:tc>
          <w:tcPr>
            <w:tcW w:w="3842" w:type="dxa"/>
            <w:gridSpan w:val="2"/>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注册年份：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7</w:t>
            </w:r>
          </w:p>
        </w:tc>
        <w:tc>
          <w:tcPr>
            <w:tcW w:w="8147" w:type="dxa"/>
            <w:gridSpan w:val="3"/>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公司的资质等级（请附上有关证书的复印件）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8</w:t>
            </w:r>
          </w:p>
        </w:tc>
        <w:tc>
          <w:tcPr>
            <w:tcW w:w="8147" w:type="dxa"/>
            <w:gridSpan w:val="3"/>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公司（是否通过，何种）质量保证体系认证（如通过请附相关证书复印件，提供认证机构年审监督报告）</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9</w:t>
            </w:r>
          </w:p>
        </w:tc>
        <w:tc>
          <w:tcPr>
            <w:tcW w:w="4314" w:type="dxa"/>
            <w:gridSpan w:val="2"/>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从业人员数量</w:t>
            </w:r>
          </w:p>
        </w:tc>
        <w:tc>
          <w:tcPr>
            <w:tcW w:w="3833" w:type="dxa"/>
            <w:noWrap w:val="0"/>
            <w:vAlign w:val="center"/>
          </w:tcPr>
          <w:p>
            <w:pPr>
              <w:wordWrap w:val="0"/>
              <w:spacing w:line="400" w:lineRule="exact"/>
              <w:rPr>
                <w:rFonts w:ascii="宋体" w:hAnsi="宋体"/>
                <w:color w:val="auto"/>
                <w:sz w:val="21"/>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10</w:t>
            </w:r>
          </w:p>
        </w:tc>
        <w:tc>
          <w:tcPr>
            <w:tcW w:w="4314" w:type="dxa"/>
            <w:gridSpan w:val="2"/>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营业收入</w:t>
            </w:r>
          </w:p>
        </w:tc>
        <w:tc>
          <w:tcPr>
            <w:tcW w:w="3833" w:type="dxa"/>
            <w:noWrap w:val="0"/>
            <w:vAlign w:val="center"/>
          </w:tcPr>
          <w:p>
            <w:pPr>
              <w:wordWrap w:val="0"/>
              <w:spacing w:line="400" w:lineRule="exact"/>
              <w:rPr>
                <w:rFonts w:ascii="宋体" w:hAnsi="宋体"/>
                <w:color w:val="auto"/>
                <w:sz w:val="21"/>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30" w:type="dxa"/>
            <w:noWrap w:val="0"/>
            <w:vAlign w:val="center"/>
          </w:tcPr>
          <w:p>
            <w:pPr>
              <w:wordWrap w:val="0"/>
              <w:spacing w:line="400" w:lineRule="exact"/>
              <w:jc w:val="center"/>
              <w:rPr>
                <w:rFonts w:ascii="宋体" w:hAnsi="宋体"/>
                <w:color w:val="auto"/>
                <w:sz w:val="21"/>
                <w:szCs w:val="21"/>
                <w:highlight w:val="none"/>
              </w:rPr>
            </w:pPr>
            <w:r>
              <w:rPr>
                <w:rFonts w:ascii="宋体" w:hAnsi="宋体"/>
                <w:color w:val="auto"/>
                <w:sz w:val="21"/>
                <w:szCs w:val="21"/>
                <w:highlight w:val="none"/>
              </w:rPr>
              <w:t>11</w:t>
            </w:r>
          </w:p>
        </w:tc>
        <w:tc>
          <w:tcPr>
            <w:tcW w:w="4314" w:type="dxa"/>
            <w:gridSpan w:val="2"/>
            <w:noWrap w:val="0"/>
            <w:vAlign w:val="center"/>
          </w:tcPr>
          <w:p>
            <w:pPr>
              <w:wordWrap w:val="0"/>
              <w:spacing w:line="400" w:lineRule="exact"/>
              <w:rPr>
                <w:rFonts w:ascii="宋体" w:hAnsi="宋体"/>
                <w:color w:val="auto"/>
                <w:sz w:val="21"/>
                <w:szCs w:val="21"/>
                <w:highlight w:val="none"/>
              </w:rPr>
            </w:pPr>
            <w:r>
              <w:rPr>
                <w:rFonts w:hint="eastAsia" w:ascii="宋体" w:hAnsi="宋体"/>
                <w:color w:val="auto"/>
                <w:sz w:val="21"/>
                <w:szCs w:val="21"/>
                <w:highlight w:val="none"/>
              </w:rPr>
              <w:t>其他需要说明的情况</w:t>
            </w:r>
          </w:p>
        </w:tc>
        <w:tc>
          <w:tcPr>
            <w:tcW w:w="3833" w:type="dxa"/>
            <w:noWrap w:val="0"/>
            <w:vAlign w:val="center"/>
          </w:tcPr>
          <w:p>
            <w:pPr>
              <w:wordWrap w:val="0"/>
              <w:spacing w:line="400" w:lineRule="exact"/>
              <w:rPr>
                <w:rFonts w:ascii="宋体" w:hAnsi="宋体"/>
                <w:color w:val="auto"/>
                <w:sz w:val="21"/>
                <w:szCs w:val="21"/>
                <w:highlight w:val="none"/>
              </w:rPr>
            </w:pPr>
          </w:p>
        </w:tc>
      </w:tr>
    </w:tbl>
    <w:p>
      <w:pPr>
        <w:wordWrap w:val="0"/>
        <w:spacing w:line="400" w:lineRule="atLeast"/>
        <w:jc w:val="left"/>
        <w:rPr>
          <w:rFonts w:ascii="宋体" w:hAnsi="宋体"/>
          <w:color w:val="auto"/>
          <w:sz w:val="21"/>
          <w:szCs w:val="21"/>
          <w:highlight w:val="none"/>
        </w:rPr>
      </w:pPr>
    </w:p>
    <w:p>
      <w:pPr>
        <w:wordWrap w:val="0"/>
        <w:spacing w:line="400" w:lineRule="atLeast"/>
        <w:jc w:val="left"/>
        <w:rPr>
          <w:rFonts w:ascii="宋体" w:hAnsi="宋体"/>
          <w:color w:val="auto"/>
          <w:sz w:val="21"/>
          <w:szCs w:val="21"/>
          <w:highlight w:val="none"/>
        </w:rPr>
      </w:pPr>
    </w:p>
    <w:p>
      <w:pPr>
        <w:wordWrap w:val="0"/>
        <w:spacing w:line="400" w:lineRule="atLeast"/>
        <w:jc w:val="left"/>
        <w:rPr>
          <w:rFonts w:ascii="宋体" w:hAnsi="宋体"/>
          <w:color w:val="auto"/>
          <w:sz w:val="21"/>
          <w:szCs w:val="21"/>
          <w:highlight w:val="none"/>
        </w:rPr>
      </w:pPr>
      <w:r>
        <w:rPr>
          <w:rFonts w:hint="eastAsia" w:ascii="宋体" w:hAnsi="宋体"/>
          <w:color w:val="auto"/>
          <w:sz w:val="21"/>
          <w:szCs w:val="21"/>
          <w:highlight w:val="none"/>
        </w:rPr>
        <w:t>供应商（盖章）：</w:t>
      </w:r>
    </w:p>
    <w:p>
      <w:pPr>
        <w:spacing w:before="100" w:after="100" w:line="276" w:lineRule="auto"/>
        <w:ind w:firstLine="5040" w:firstLineChars="2400"/>
        <w:jc w:val="both"/>
        <w:rPr>
          <w:color w:val="auto"/>
          <w:sz w:val="21"/>
          <w:szCs w:val="21"/>
          <w:highlight w:val="none"/>
        </w:rPr>
      </w:pP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p>
    <w:p>
      <w:pPr>
        <w:pStyle w:val="3"/>
        <w:spacing w:line="276" w:lineRule="auto"/>
        <w:rPr>
          <w:b w:val="0"/>
          <w:color w:val="auto"/>
          <w:sz w:val="24"/>
          <w:szCs w:val="20"/>
          <w:highlight w:val="none"/>
        </w:rPr>
        <w:sectPr>
          <w:pgSz w:w="11906" w:h="16838"/>
          <w:pgMar w:top="1418" w:right="1134" w:bottom="1418" w:left="1588" w:header="851" w:footer="992"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p>
    <w:bookmarkEnd w:id="161"/>
    <w:p>
      <w:pPr>
        <w:pStyle w:val="4"/>
        <w:tabs>
          <w:tab w:val="left" w:pos="420"/>
          <w:tab w:val="clear" w:pos="0"/>
        </w:tabs>
        <w:spacing w:line="276" w:lineRule="auto"/>
        <w:rPr>
          <w:rFonts w:ascii="宋体" w:eastAsia="宋体"/>
          <w:color w:val="auto"/>
          <w:sz w:val="24"/>
          <w:szCs w:val="24"/>
          <w:highlight w:val="none"/>
        </w:rPr>
      </w:pPr>
      <w:bookmarkStart w:id="162" w:name="_Toc389139123"/>
      <w:bookmarkStart w:id="163" w:name="_Toc387317161"/>
      <w:bookmarkStart w:id="164" w:name="_Toc8168"/>
      <w:bookmarkStart w:id="165" w:name="_Toc425251522"/>
      <w:r>
        <w:rPr>
          <w:rFonts w:hint="eastAsia" w:ascii="宋体" w:eastAsia="宋体"/>
          <w:color w:val="auto"/>
          <w:sz w:val="24"/>
          <w:szCs w:val="24"/>
          <w:highlight w:val="none"/>
        </w:rPr>
        <w:t>附件十</w:t>
      </w:r>
      <w:r>
        <w:rPr>
          <w:rFonts w:hint="eastAsia" w:ascii="宋体" w:eastAsia="宋体"/>
          <w:color w:val="auto"/>
          <w:sz w:val="24"/>
          <w:szCs w:val="24"/>
          <w:highlight w:val="none"/>
          <w:lang w:val="en-US" w:eastAsia="zh-CN"/>
        </w:rPr>
        <w:t>二</w:t>
      </w:r>
      <w:r>
        <w:rPr>
          <w:rFonts w:hint="eastAsia" w:ascii="宋体" w:eastAsia="宋体"/>
          <w:color w:val="auto"/>
          <w:sz w:val="24"/>
          <w:szCs w:val="24"/>
          <w:highlight w:val="none"/>
        </w:rPr>
        <w:t>、中小企业声明函</w:t>
      </w:r>
      <w:bookmarkEnd w:id="162"/>
      <w:bookmarkEnd w:id="163"/>
      <w:bookmarkEnd w:id="164"/>
      <w:bookmarkEnd w:id="165"/>
    </w:p>
    <w:p>
      <w:pPr>
        <w:widowControl/>
        <w:spacing w:before="100" w:beforeAutospacing="1" w:after="100" w:afterAutospacing="1" w:line="276" w:lineRule="auto"/>
        <w:jc w:val="center"/>
        <w:rPr>
          <w:rFonts w:ascii="方正书宋_GBK" w:eastAsia="方正书宋_GBK" w:cs="Arial"/>
          <w:color w:val="auto"/>
          <w:szCs w:val="24"/>
          <w:highlight w:val="none"/>
        </w:rPr>
      </w:pPr>
      <w:r>
        <w:rPr>
          <w:rFonts w:hint="eastAsia" w:ascii="方正书宋_GBK" w:eastAsia="方正书宋_GBK" w:cs="Arial"/>
          <w:b/>
          <w:bCs/>
          <w:color w:val="auto"/>
          <w:szCs w:val="24"/>
          <w:highlight w:val="none"/>
        </w:rPr>
        <w:t>中小企业声明函</w:t>
      </w:r>
    </w:p>
    <w:p>
      <w:pPr>
        <w:pStyle w:val="2"/>
        <w:keepLines w:val="0"/>
        <w:pageBreakBefore w:val="0"/>
        <w:widowControl w:val="0"/>
        <w:kinsoku/>
        <w:wordWrap/>
        <w:overflowPunct/>
        <w:topLinePunct w:val="0"/>
        <w:autoSpaceDE/>
        <w:autoSpaceDN/>
        <w:bidi w:val="0"/>
        <w:adjustRightInd/>
        <w:snapToGrid/>
        <w:spacing w:before="0" w:line="360" w:lineRule="auto"/>
        <w:ind w:left="0" w:right="0" w:firstLine="456"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w w:val="95"/>
          <w:sz w:val="24"/>
          <w:szCs w:val="24"/>
          <w:highlight w:val="none"/>
        </w:rPr>
        <w:t>本公司郑重声明，根据《政府采购促进中小</w:t>
      </w:r>
      <w:r>
        <w:rPr>
          <w:rFonts w:hint="eastAsia" w:ascii="宋体" w:hAnsi="宋体" w:eastAsia="宋体" w:cs="宋体"/>
          <w:i w:val="0"/>
          <w:iCs w:val="0"/>
          <w:color w:val="auto"/>
          <w:spacing w:val="-6"/>
          <w:sz w:val="24"/>
          <w:szCs w:val="24"/>
          <w:highlight w:val="none"/>
        </w:rPr>
        <w:t>企业发展管理办法》（财库﹝2020﹞46</w:t>
      </w:r>
      <w:r>
        <w:rPr>
          <w:rFonts w:hint="eastAsia" w:ascii="宋体" w:hAnsi="宋体" w:eastAsia="宋体" w:cs="宋体"/>
          <w:i w:val="0"/>
          <w:iCs w:val="0"/>
          <w:color w:val="auto"/>
          <w:spacing w:val="-92"/>
          <w:sz w:val="24"/>
          <w:szCs w:val="24"/>
          <w:highlight w:val="none"/>
        </w:rPr>
        <w:t xml:space="preserve"> </w:t>
      </w:r>
      <w:r>
        <w:rPr>
          <w:rFonts w:hint="eastAsia" w:ascii="宋体" w:hAnsi="宋体" w:eastAsia="宋体" w:cs="宋体"/>
          <w:i w:val="0"/>
          <w:iCs w:val="0"/>
          <w:color w:val="auto"/>
          <w:spacing w:val="3"/>
          <w:sz w:val="24"/>
          <w:szCs w:val="24"/>
          <w:highlight w:val="none"/>
        </w:rPr>
        <w:t>号）的规定，本公司</w:t>
      </w:r>
      <w:r>
        <w:rPr>
          <w:rFonts w:hint="eastAsia" w:ascii="宋体" w:hAnsi="宋体" w:eastAsia="宋体" w:cs="宋体"/>
          <w:i w:val="0"/>
          <w:iCs w:val="0"/>
          <w:color w:val="auto"/>
          <w:w w:val="95"/>
          <w:sz w:val="24"/>
          <w:szCs w:val="24"/>
          <w:highlight w:val="none"/>
        </w:rPr>
        <w:t>参加</w:t>
      </w:r>
      <w:r>
        <w:rPr>
          <w:rFonts w:hint="eastAsia" w:ascii="宋体" w:hAnsi="宋体" w:eastAsia="宋体" w:cs="宋体"/>
          <w:i w:val="0"/>
          <w:iCs w:val="0"/>
          <w:color w:val="auto"/>
          <w:w w:val="95"/>
          <w:sz w:val="24"/>
          <w:szCs w:val="24"/>
          <w:highlight w:val="none"/>
          <w:u w:val="single"/>
        </w:rPr>
        <w:t>（单位名称）</w:t>
      </w:r>
      <w:r>
        <w:rPr>
          <w:rFonts w:hint="eastAsia" w:ascii="宋体" w:hAnsi="宋体" w:eastAsia="宋体" w:cs="宋体"/>
          <w:i w:val="0"/>
          <w:iCs w:val="0"/>
          <w:color w:val="auto"/>
          <w:w w:val="95"/>
          <w:sz w:val="24"/>
          <w:szCs w:val="24"/>
          <w:highlight w:val="none"/>
        </w:rPr>
        <w:t>的</w:t>
      </w:r>
      <w:r>
        <w:rPr>
          <w:rFonts w:hint="eastAsia" w:ascii="宋体" w:hAnsi="宋体" w:eastAsia="宋体" w:cs="宋体"/>
          <w:i w:val="0"/>
          <w:iCs w:val="0"/>
          <w:color w:val="auto"/>
          <w:w w:val="95"/>
          <w:sz w:val="24"/>
          <w:szCs w:val="24"/>
          <w:highlight w:val="none"/>
          <w:u w:val="single"/>
        </w:rPr>
        <w:t>（项目名称）</w:t>
      </w:r>
      <w:r>
        <w:rPr>
          <w:rFonts w:hint="eastAsia" w:ascii="宋体" w:hAnsi="宋体" w:eastAsia="宋体" w:cs="宋体"/>
          <w:i w:val="0"/>
          <w:iCs w:val="0"/>
          <w:color w:val="auto"/>
          <w:w w:val="95"/>
          <w:sz w:val="24"/>
          <w:szCs w:val="24"/>
          <w:highlight w:val="none"/>
        </w:rPr>
        <w:t>采购活动</w:t>
      </w:r>
      <w:r>
        <w:rPr>
          <w:rFonts w:hint="eastAsia" w:ascii="宋体" w:hAnsi="宋体" w:eastAsia="宋体" w:cs="宋体"/>
          <w:i w:val="0"/>
          <w:iCs w:val="0"/>
          <w:color w:val="auto"/>
          <w:spacing w:val="-49"/>
          <w:sz w:val="24"/>
          <w:szCs w:val="24"/>
          <w:highlight w:val="none"/>
        </w:rPr>
        <w:t>，</w:t>
      </w:r>
      <w:r>
        <w:rPr>
          <w:rFonts w:hint="eastAsia" w:ascii="宋体" w:hAnsi="宋体" w:eastAsia="宋体" w:cs="宋体"/>
          <w:i w:val="0"/>
          <w:iCs w:val="0"/>
          <w:color w:val="auto"/>
          <w:w w:val="95"/>
          <w:sz w:val="24"/>
          <w:szCs w:val="24"/>
          <w:highlight w:val="none"/>
        </w:rPr>
        <w:t>服务全部由符合政策要求的中小企业承接。相关企业（含联合体中的中小企业、签订分包意向协议的中小企业）的具体情</w:t>
      </w:r>
      <w:r>
        <w:rPr>
          <w:rFonts w:hint="eastAsia" w:ascii="宋体" w:hAnsi="宋体" w:eastAsia="宋体" w:cs="宋体"/>
          <w:i w:val="0"/>
          <w:iCs w:val="0"/>
          <w:color w:val="auto"/>
          <w:sz w:val="24"/>
          <w:szCs w:val="24"/>
          <w:highlight w:val="none"/>
        </w:rPr>
        <w:t>况如下：</w:t>
      </w:r>
    </w:p>
    <w:p>
      <w:pPr>
        <w:pStyle w:val="2"/>
        <w:keepLines w:val="0"/>
        <w:pageBreakBefore w:val="0"/>
        <w:widowControl w:val="0"/>
        <w:kinsoku/>
        <w:wordWrap/>
        <w:overflowPunct/>
        <w:topLinePunct w:val="0"/>
        <w:autoSpaceDE/>
        <w:autoSpaceDN/>
        <w:bidi w:val="0"/>
        <w:adjustRightInd/>
        <w:snapToGrid/>
        <w:spacing w:before="0" w:line="360" w:lineRule="auto"/>
        <w:ind w:left="0" w:right="0" w:firstLine="456" w:firstLineChars="200"/>
        <w:jc w:val="both"/>
        <w:textAlignment w:val="auto"/>
        <w:rPr>
          <w:rFonts w:hint="eastAsia" w:ascii="宋体" w:hAnsi="宋体" w:eastAsia="宋体" w:cs="宋体"/>
          <w:i w:val="0"/>
          <w:iCs w:val="0"/>
          <w:color w:val="auto"/>
          <w:w w:val="95"/>
          <w:sz w:val="24"/>
          <w:szCs w:val="24"/>
          <w:highlight w:val="none"/>
          <w:lang w:eastAsia="zh-CN"/>
        </w:rPr>
      </w:pPr>
      <w:r>
        <w:rPr>
          <w:rFonts w:hint="eastAsia" w:ascii="宋体" w:hAnsi="宋体" w:eastAsia="宋体" w:cs="宋体"/>
          <w:i w:val="0"/>
          <w:iCs w:val="0"/>
          <w:color w:val="auto"/>
          <w:w w:val="95"/>
          <w:sz w:val="24"/>
          <w:szCs w:val="24"/>
          <w:highlight w:val="none"/>
        </w:rPr>
        <w:t>1.</w:t>
      </w:r>
      <w:r>
        <w:rPr>
          <w:rFonts w:hint="eastAsia" w:ascii="宋体" w:hAnsi="宋体" w:eastAsia="宋体" w:cs="宋体"/>
          <w:i w:val="0"/>
          <w:iCs w:val="0"/>
          <w:color w:val="auto"/>
          <w:w w:val="95"/>
          <w:sz w:val="24"/>
          <w:szCs w:val="24"/>
          <w:highlight w:val="none"/>
          <w:u w:val="single"/>
        </w:rPr>
        <w:t>（标的名称）</w:t>
      </w:r>
      <w:r>
        <w:rPr>
          <w:rFonts w:hint="eastAsia" w:ascii="宋体" w:hAnsi="宋体" w:eastAsia="宋体" w:cs="宋体"/>
          <w:i w:val="0"/>
          <w:iCs w:val="0"/>
          <w:color w:val="auto"/>
          <w:w w:val="95"/>
          <w:sz w:val="24"/>
          <w:szCs w:val="24"/>
          <w:highlight w:val="none"/>
        </w:rPr>
        <w:t>，属于</w:t>
      </w:r>
      <w:r>
        <w:rPr>
          <w:rFonts w:hint="eastAsia" w:ascii="宋体" w:hAnsi="宋体" w:cs="宋体"/>
          <w:i w:val="0"/>
          <w:iCs w:val="0"/>
          <w:color w:val="auto"/>
          <w:w w:val="95"/>
          <w:sz w:val="24"/>
          <w:szCs w:val="24"/>
          <w:highlight w:val="none"/>
          <w:u w:val="single"/>
          <w:lang w:val="en-US" w:eastAsia="zh-CN"/>
        </w:rPr>
        <w:t>其他未列明行业</w:t>
      </w:r>
      <w:r>
        <w:rPr>
          <w:rFonts w:hint="eastAsia" w:ascii="宋体" w:hAnsi="宋体" w:eastAsia="宋体" w:cs="宋体"/>
          <w:i w:val="0"/>
          <w:iCs w:val="0"/>
          <w:color w:val="auto"/>
          <w:w w:val="95"/>
          <w:sz w:val="24"/>
          <w:szCs w:val="24"/>
          <w:highlight w:val="none"/>
        </w:rPr>
        <w:t>；承建（承接）企业为</w:t>
      </w:r>
      <w:r>
        <w:rPr>
          <w:rFonts w:hint="eastAsia" w:ascii="宋体" w:hAnsi="宋体" w:eastAsia="宋体" w:cs="宋体"/>
          <w:i w:val="0"/>
          <w:iCs w:val="0"/>
          <w:color w:val="auto"/>
          <w:w w:val="95"/>
          <w:sz w:val="24"/>
          <w:szCs w:val="24"/>
          <w:highlight w:val="none"/>
          <w:u w:val="single"/>
        </w:rPr>
        <w:t>（企业名称）</w:t>
      </w:r>
      <w:r>
        <w:rPr>
          <w:rFonts w:hint="eastAsia" w:ascii="宋体" w:hAnsi="宋体" w:eastAsia="宋体" w:cs="宋体"/>
          <w:i w:val="0"/>
          <w:iCs w:val="0"/>
          <w:color w:val="auto"/>
          <w:w w:val="95"/>
          <w:sz w:val="24"/>
          <w:szCs w:val="24"/>
          <w:highlight w:val="none"/>
        </w:rPr>
        <w:t>，从业人员</w:t>
      </w:r>
      <w:r>
        <w:rPr>
          <w:rFonts w:hint="eastAsia" w:ascii="宋体" w:hAnsi="宋体" w:eastAsia="宋体" w:cs="宋体"/>
          <w:i w:val="0"/>
          <w:iCs w:val="0"/>
          <w:color w:val="auto"/>
          <w:w w:val="95"/>
          <w:sz w:val="24"/>
          <w:szCs w:val="24"/>
          <w:highlight w:val="none"/>
          <w:u w:val="single"/>
          <w:lang w:val="en-US" w:eastAsia="zh-CN"/>
        </w:rPr>
        <w:t xml:space="preserve">   </w:t>
      </w:r>
      <w:r>
        <w:rPr>
          <w:rFonts w:hint="eastAsia" w:ascii="宋体" w:hAnsi="宋体" w:eastAsia="宋体" w:cs="宋体"/>
          <w:i w:val="0"/>
          <w:iCs w:val="0"/>
          <w:color w:val="auto"/>
          <w:w w:val="95"/>
          <w:sz w:val="24"/>
          <w:szCs w:val="24"/>
          <w:highlight w:val="none"/>
        </w:rPr>
        <w:t>人，营业收入为</w:t>
      </w:r>
      <w:r>
        <w:rPr>
          <w:rFonts w:hint="eastAsia" w:ascii="宋体" w:hAnsi="宋体" w:eastAsia="宋体" w:cs="宋体"/>
          <w:i w:val="0"/>
          <w:iCs w:val="0"/>
          <w:color w:val="auto"/>
          <w:w w:val="95"/>
          <w:sz w:val="24"/>
          <w:szCs w:val="24"/>
          <w:highlight w:val="none"/>
          <w:u w:val="single"/>
          <w:lang w:val="en-US" w:eastAsia="zh-CN"/>
        </w:rPr>
        <w:t xml:space="preserve">   </w:t>
      </w:r>
      <w:r>
        <w:rPr>
          <w:rFonts w:hint="eastAsia" w:ascii="宋体" w:hAnsi="宋体" w:eastAsia="宋体" w:cs="宋体"/>
          <w:i w:val="0"/>
          <w:iCs w:val="0"/>
          <w:color w:val="auto"/>
          <w:w w:val="95"/>
          <w:sz w:val="24"/>
          <w:szCs w:val="24"/>
          <w:highlight w:val="none"/>
        </w:rPr>
        <w:t>万元，资产总额为</w:t>
      </w:r>
      <w:r>
        <w:rPr>
          <w:rFonts w:hint="eastAsia" w:ascii="宋体" w:hAnsi="宋体" w:eastAsia="宋体" w:cs="宋体"/>
          <w:i w:val="0"/>
          <w:iCs w:val="0"/>
          <w:color w:val="auto"/>
          <w:w w:val="95"/>
          <w:sz w:val="24"/>
          <w:szCs w:val="24"/>
          <w:highlight w:val="none"/>
          <w:u w:val="single"/>
          <w:lang w:val="en-US" w:eastAsia="zh-CN"/>
        </w:rPr>
        <w:t xml:space="preserve">   </w:t>
      </w:r>
      <w:r>
        <w:rPr>
          <w:rFonts w:hint="eastAsia" w:ascii="宋体" w:hAnsi="宋体" w:eastAsia="宋体" w:cs="宋体"/>
          <w:i w:val="0"/>
          <w:iCs w:val="0"/>
          <w:color w:val="auto"/>
          <w:w w:val="95"/>
          <w:sz w:val="24"/>
          <w:szCs w:val="24"/>
          <w:highlight w:val="none"/>
        </w:rPr>
        <w:t>万元，属于</w:t>
      </w:r>
      <w:r>
        <w:rPr>
          <w:rFonts w:hint="eastAsia" w:ascii="宋体" w:hAnsi="宋体" w:eastAsia="宋体" w:cs="宋体"/>
          <w:i w:val="0"/>
          <w:iCs w:val="0"/>
          <w:color w:val="auto"/>
          <w:w w:val="95"/>
          <w:sz w:val="24"/>
          <w:szCs w:val="24"/>
          <w:highlight w:val="none"/>
          <w:u w:val="single"/>
        </w:rPr>
        <w:t>（中型企业、小型企业、微型企业）</w:t>
      </w:r>
      <w:r>
        <w:rPr>
          <w:rFonts w:hint="eastAsia" w:ascii="宋体" w:hAnsi="宋体" w:eastAsia="宋体" w:cs="宋体"/>
          <w:i w:val="0"/>
          <w:iCs w:val="0"/>
          <w:color w:val="auto"/>
          <w:w w:val="95"/>
          <w:sz w:val="24"/>
          <w:szCs w:val="24"/>
          <w:highlight w:val="none"/>
          <w:lang w:eastAsia="zh-CN"/>
        </w:rPr>
        <w:t>；</w:t>
      </w:r>
    </w:p>
    <w:p>
      <w:pPr>
        <w:pStyle w:val="2"/>
        <w:keepLines w:val="0"/>
        <w:pageBreakBefore w:val="0"/>
        <w:widowControl w:val="0"/>
        <w:kinsoku/>
        <w:wordWrap/>
        <w:overflowPunct/>
        <w:topLinePunct w:val="0"/>
        <w:autoSpaceDE/>
        <w:autoSpaceDN/>
        <w:bidi w:val="0"/>
        <w:adjustRightInd/>
        <w:snapToGrid/>
        <w:spacing w:before="0" w:line="360" w:lineRule="auto"/>
        <w:ind w:left="0" w:right="0" w:firstLine="456" w:firstLineChars="200"/>
        <w:jc w:val="left"/>
        <w:textAlignment w:val="auto"/>
        <w:rPr>
          <w:rFonts w:hint="default" w:ascii="宋体" w:hAnsi="宋体" w:eastAsia="宋体" w:cs="宋体"/>
          <w:i w:val="0"/>
          <w:iCs w:val="0"/>
          <w:color w:val="auto"/>
          <w:w w:val="95"/>
          <w:sz w:val="24"/>
          <w:szCs w:val="24"/>
          <w:highlight w:val="none"/>
          <w:lang w:val="en-US" w:eastAsia="zh-CN"/>
        </w:rPr>
      </w:pPr>
      <w:r>
        <w:rPr>
          <w:rFonts w:hint="eastAsia" w:ascii="宋体" w:hAnsi="宋体" w:cs="宋体"/>
          <w:i w:val="0"/>
          <w:iCs w:val="0"/>
          <w:color w:val="auto"/>
          <w:w w:val="95"/>
          <w:sz w:val="24"/>
          <w:szCs w:val="24"/>
          <w:highlight w:val="none"/>
          <w:lang w:val="en-US" w:eastAsia="zh-CN"/>
        </w:rPr>
        <w:t>...</w:t>
      </w:r>
    </w:p>
    <w:p>
      <w:pPr>
        <w:pStyle w:val="2"/>
        <w:keepLines w:val="0"/>
        <w:pageBreakBefore w:val="0"/>
        <w:widowControl w:val="0"/>
        <w:kinsoku/>
        <w:wordWrap/>
        <w:overflowPunct/>
        <w:topLinePunct w:val="0"/>
        <w:autoSpaceDE/>
        <w:autoSpaceDN/>
        <w:bidi w:val="0"/>
        <w:adjustRightInd/>
        <w:snapToGrid/>
        <w:spacing w:before="0" w:line="360" w:lineRule="auto"/>
        <w:ind w:left="0" w:right="0" w:firstLine="456" w:firstLineChars="200"/>
        <w:jc w:val="left"/>
        <w:textAlignment w:val="auto"/>
        <w:rPr>
          <w:rFonts w:hint="eastAsia" w:ascii="宋体" w:hAnsi="宋体" w:eastAsia="宋体" w:cs="宋体"/>
          <w:i w:val="0"/>
          <w:iCs w:val="0"/>
          <w:color w:val="auto"/>
          <w:w w:val="95"/>
          <w:sz w:val="24"/>
          <w:szCs w:val="24"/>
          <w:highlight w:val="none"/>
        </w:rPr>
      </w:pPr>
      <w:r>
        <w:rPr>
          <w:rFonts w:hint="eastAsia" w:ascii="宋体" w:hAnsi="宋体" w:eastAsia="宋体" w:cs="宋体"/>
          <w:i w:val="0"/>
          <w:iCs w:val="0"/>
          <w:color w:val="auto"/>
          <w:w w:val="95"/>
          <w:sz w:val="24"/>
          <w:szCs w:val="24"/>
          <w:highlight w:val="none"/>
        </w:rPr>
        <w:t>以上企业，不属于大企业的分支机构，不存在控股股东为大企业的情形，也不存在与大企业的负责人为同一人的情形。</w:t>
      </w:r>
    </w:p>
    <w:p>
      <w:pPr>
        <w:pStyle w:val="2"/>
        <w:keepLines w:val="0"/>
        <w:pageBreakBefore w:val="0"/>
        <w:widowControl w:val="0"/>
        <w:kinsoku/>
        <w:wordWrap/>
        <w:overflowPunct/>
        <w:topLinePunct w:val="0"/>
        <w:autoSpaceDE/>
        <w:autoSpaceDN/>
        <w:bidi w:val="0"/>
        <w:adjustRightInd/>
        <w:snapToGrid/>
        <w:spacing w:before="0" w:line="360" w:lineRule="auto"/>
        <w:ind w:left="0" w:right="0" w:firstLine="456"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w w:val="95"/>
          <w:sz w:val="24"/>
          <w:szCs w:val="24"/>
          <w:highlight w:val="none"/>
        </w:rPr>
        <w:t>本企业对上述声明内容的真实性负责。如有虚假，将依</w:t>
      </w:r>
      <w:r>
        <w:rPr>
          <w:rFonts w:hint="eastAsia" w:ascii="宋体" w:hAnsi="宋体" w:eastAsia="宋体" w:cs="宋体"/>
          <w:i w:val="0"/>
          <w:iCs w:val="0"/>
          <w:color w:val="auto"/>
          <w:sz w:val="24"/>
          <w:szCs w:val="24"/>
          <w:highlight w:val="none"/>
        </w:rPr>
        <w:t>法承担相应责任。</w:t>
      </w:r>
    </w:p>
    <w:p>
      <w:pPr>
        <w:pStyle w:val="2"/>
        <w:keepLines w:val="0"/>
        <w:pageBreakBefore w:val="0"/>
        <w:widowControl w:val="0"/>
        <w:kinsoku/>
        <w:wordWrap/>
        <w:overflowPunct/>
        <w:topLinePunct w:val="0"/>
        <w:autoSpaceDE/>
        <w:autoSpaceDN/>
        <w:bidi w:val="0"/>
        <w:adjustRightInd/>
        <w:snapToGrid/>
        <w:spacing w:before="0" w:line="360" w:lineRule="auto"/>
        <w:ind w:right="0" w:firstLine="408" w:firstLineChars="200"/>
        <w:jc w:val="left"/>
        <w:textAlignment w:val="auto"/>
        <w:rPr>
          <w:rFonts w:hint="eastAsia" w:ascii="宋体" w:hAnsi="宋体" w:eastAsia="宋体" w:cs="宋体"/>
          <w:i w:val="0"/>
          <w:iCs w:val="0"/>
          <w:color w:val="auto"/>
          <w:spacing w:val="-18"/>
          <w:sz w:val="24"/>
          <w:szCs w:val="24"/>
          <w:highlight w:val="none"/>
        </w:rPr>
      </w:pPr>
    </w:p>
    <w:p>
      <w:pPr>
        <w:pStyle w:val="2"/>
        <w:keepLines w:val="0"/>
        <w:pageBreakBefore w:val="0"/>
        <w:widowControl w:val="0"/>
        <w:kinsoku/>
        <w:wordWrap/>
        <w:overflowPunct/>
        <w:topLinePunct w:val="0"/>
        <w:autoSpaceDE/>
        <w:autoSpaceDN/>
        <w:bidi w:val="0"/>
        <w:adjustRightInd/>
        <w:snapToGrid/>
        <w:spacing w:before="0" w:line="360" w:lineRule="auto"/>
        <w:ind w:right="0" w:firstLine="408" w:firstLineChars="200"/>
        <w:jc w:val="left"/>
        <w:textAlignment w:val="auto"/>
        <w:rPr>
          <w:rFonts w:hint="eastAsia" w:ascii="宋体" w:hAnsi="宋体" w:eastAsia="宋体" w:cs="宋体"/>
          <w:i w:val="0"/>
          <w:iCs w:val="0"/>
          <w:color w:val="auto"/>
          <w:spacing w:val="-18"/>
          <w:sz w:val="24"/>
          <w:szCs w:val="24"/>
          <w:highlight w:val="none"/>
        </w:rPr>
      </w:pPr>
    </w:p>
    <w:p>
      <w:pPr>
        <w:pStyle w:val="2"/>
        <w:keepLines w:val="0"/>
        <w:pageBreakBefore w:val="0"/>
        <w:widowControl w:val="0"/>
        <w:kinsoku/>
        <w:wordWrap/>
        <w:overflowPunct/>
        <w:topLinePunct w:val="0"/>
        <w:autoSpaceDE/>
        <w:autoSpaceDN/>
        <w:bidi w:val="0"/>
        <w:adjustRightInd/>
        <w:snapToGrid/>
        <w:spacing w:before="0" w:line="360" w:lineRule="auto"/>
        <w:ind w:right="0" w:firstLine="408" w:firstLineChars="200"/>
        <w:jc w:val="left"/>
        <w:textAlignment w:val="auto"/>
        <w:rPr>
          <w:rFonts w:hint="eastAsia" w:ascii="宋体" w:hAnsi="宋体" w:eastAsia="宋体" w:cs="宋体"/>
          <w:i w:val="0"/>
          <w:iCs w:val="0"/>
          <w:color w:val="auto"/>
          <w:spacing w:val="-18"/>
          <w:sz w:val="24"/>
          <w:szCs w:val="24"/>
          <w:highlight w:val="none"/>
        </w:rPr>
      </w:pPr>
      <w:r>
        <w:rPr>
          <w:rFonts w:hint="eastAsia" w:ascii="宋体" w:hAnsi="宋体" w:eastAsia="宋体" w:cs="宋体"/>
          <w:i w:val="0"/>
          <w:iCs w:val="0"/>
          <w:color w:val="auto"/>
          <w:spacing w:val="-18"/>
          <w:sz w:val="24"/>
          <w:szCs w:val="24"/>
          <w:highlight w:val="none"/>
        </w:rPr>
        <w:t>企业名称（盖章）：</w:t>
      </w:r>
    </w:p>
    <w:p>
      <w:pPr>
        <w:widowControl/>
        <w:adjustRightInd/>
        <w:spacing w:line="360" w:lineRule="auto"/>
        <w:ind w:firstLine="480" w:firstLineChars="2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日</w:t>
      </w:r>
      <w:r>
        <w:rPr>
          <w:rFonts w:hint="eastAsia" w:ascii="宋体" w:hAnsi="宋体" w:eastAsia="宋体" w:cs="宋体"/>
          <w:i w:val="0"/>
          <w:iCs w:val="0"/>
          <w:color w:val="auto"/>
          <w:spacing w:val="-91"/>
          <w:sz w:val="24"/>
          <w:szCs w:val="24"/>
          <w:highlight w:val="none"/>
        </w:rPr>
        <w:t xml:space="preserve"> </w:t>
      </w:r>
      <w:r>
        <w:rPr>
          <w:rFonts w:hint="eastAsia" w:ascii="宋体" w:hAnsi="宋体" w:eastAsia="宋体" w:cs="宋体"/>
          <w:i w:val="0"/>
          <w:iCs w:val="0"/>
          <w:color w:val="auto"/>
          <w:sz w:val="24"/>
          <w:szCs w:val="24"/>
          <w:highlight w:val="none"/>
        </w:rPr>
        <w:t>期</w:t>
      </w:r>
      <w:r>
        <w:rPr>
          <w:rFonts w:hint="eastAsia" w:ascii="宋体" w:hAnsi="宋体" w:eastAsia="宋体" w:cs="宋体"/>
          <w:i w:val="0"/>
          <w:iCs w:val="0"/>
          <w:color w:val="auto"/>
          <w:sz w:val="24"/>
          <w:szCs w:val="24"/>
          <w:highlight w:val="none"/>
          <w:lang w:eastAsia="zh-CN"/>
        </w:rPr>
        <w:t>：</w:t>
      </w:r>
    </w:p>
    <w:p>
      <w:pPr>
        <w:widowControl/>
        <w:adjustRightInd/>
        <w:spacing w:line="360" w:lineRule="auto"/>
        <w:ind w:firstLine="480" w:firstLineChars="200"/>
        <w:textAlignment w:val="auto"/>
        <w:rPr>
          <w:rFonts w:hint="eastAsia" w:ascii="宋体" w:hAnsi="宋体" w:eastAsia="宋体" w:cs="宋体"/>
          <w:i w:val="0"/>
          <w:iCs w:val="0"/>
          <w:color w:val="auto"/>
          <w:sz w:val="24"/>
          <w:szCs w:val="24"/>
          <w:highlight w:val="none"/>
          <w:lang w:eastAsia="zh-CN"/>
        </w:rPr>
      </w:pPr>
    </w:p>
    <w:p>
      <w:pPr>
        <w:widowControl/>
        <w:adjustRightInd/>
        <w:spacing w:line="360" w:lineRule="auto"/>
        <w:ind w:firstLine="360" w:firstLineChars="200"/>
        <w:textAlignment w:val="auto"/>
        <w:rPr>
          <w:color w:val="auto"/>
          <w:sz w:val="21"/>
          <w:szCs w:val="21"/>
          <w:highlight w:val="none"/>
        </w:rPr>
      </w:pPr>
      <w:r>
        <w:rPr>
          <w:rFonts w:hint="eastAsia" w:ascii="宋体" w:hAnsi="宋体" w:eastAsia="宋体" w:cs="宋体"/>
          <w:color w:val="auto"/>
          <w:sz w:val="18"/>
          <w:szCs w:val="18"/>
          <w:highlight w:val="none"/>
          <w:lang w:val="en-US" w:eastAsia="zh-CN"/>
        </w:rPr>
        <w:t>注：</w:t>
      </w:r>
      <w:r>
        <w:rPr>
          <w:rFonts w:ascii="宋体" w:hAnsi="宋体" w:eastAsia="宋体" w:cs="宋体"/>
          <w:color w:val="auto"/>
          <w:sz w:val="18"/>
          <w:szCs w:val="18"/>
          <w:highlight w:val="none"/>
        </w:rPr>
        <w:t>从业人员、营业收入、资产总额填报上一年度数据，无上一年度数据的新成立企业可不填报。</w:t>
      </w:r>
      <w:r>
        <w:rPr>
          <w:color w:val="auto"/>
          <w:sz w:val="21"/>
          <w:szCs w:val="21"/>
          <w:highlight w:val="none"/>
        </w:rPr>
        <w:br w:type="page"/>
      </w:r>
    </w:p>
    <w:p>
      <w:pPr>
        <w:spacing w:line="360" w:lineRule="auto"/>
        <w:jc w:val="center"/>
        <w:rPr>
          <w:rFonts w:ascii="宋体" w:hAnsi="宋体"/>
          <w:b/>
          <w:color w:val="auto"/>
          <w:sz w:val="21"/>
          <w:szCs w:val="21"/>
          <w:highlight w:val="none"/>
        </w:rPr>
      </w:pPr>
      <w:r>
        <w:rPr>
          <w:rFonts w:ascii="宋体" w:hAnsi="宋体"/>
          <w:b/>
          <w:color w:val="auto"/>
          <w:sz w:val="21"/>
          <w:szCs w:val="21"/>
          <w:highlight w:val="none"/>
        </w:rPr>
        <w:t>C</w:t>
      </w:r>
      <w:r>
        <w:rPr>
          <w:rFonts w:hint="eastAsia" w:ascii="宋体" w:hAnsi="宋体"/>
          <w:b/>
          <w:color w:val="auto"/>
          <w:sz w:val="21"/>
          <w:szCs w:val="21"/>
          <w:highlight w:val="none"/>
        </w:rPr>
        <w:t>4残疾人福利性单位声明函（如有需提供）</w:t>
      </w:r>
    </w:p>
    <w:p>
      <w:pPr>
        <w:wordWrap w:val="0"/>
        <w:spacing w:line="588"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本单位郑重声明，根据《财政部</w:t>
      </w:r>
      <w:r>
        <w:rPr>
          <w:rFonts w:ascii="宋体" w:hAnsi="宋体"/>
          <w:color w:val="auto"/>
          <w:sz w:val="21"/>
          <w:szCs w:val="21"/>
          <w:highlight w:val="none"/>
        </w:rPr>
        <w:t xml:space="preserve"> </w:t>
      </w:r>
      <w:r>
        <w:rPr>
          <w:rFonts w:hint="eastAsia" w:ascii="宋体" w:hAnsi="宋体"/>
          <w:color w:val="auto"/>
          <w:sz w:val="21"/>
          <w:szCs w:val="21"/>
          <w:highlight w:val="none"/>
        </w:rPr>
        <w:t>民政部</w:t>
      </w:r>
      <w:r>
        <w:rPr>
          <w:rFonts w:ascii="宋体" w:hAnsi="宋体"/>
          <w:color w:val="auto"/>
          <w:sz w:val="21"/>
          <w:szCs w:val="21"/>
          <w:highlight w:val="none"/>
        </w:rPr>
        <w:t xml:space="preserve"> </w:t>
      </w:r>
      <w:r>
        <w:rPr>
          <w:rFonts w:hint="eastAsia" w:ascii="宋体" w:hAnsi="宋体"/>
          <w:color w:val="auto"/>
          <w:sz w:val="21"/>
          <w:szCs w:val="21"/>
          <w:highlight w:val="none"/>
        </w:rPr>
        <w:t>中国残疾人联合会关于促进残疾人就业政府采购政策的通知》（财库〔</w:t>
      </w:r>
      <w:r>
        <w:rPr>
          <w:rFonts w:ascii="宋体" w:hAnsi="宋体"/>
          <w:color w:val="auto"/>
          <w:sz w:val="21"/>
          <w:szCs w:val="21"/>
          <w:highlight w:val="none"/>
        </w:rPr>
        <w:t>2017</w:t>
      </w:r>
      <w:r>
        <w:rPr>
          <w:rFonts w:hint="eastAsia" w:ascii="宋体" w:hAnsi="宋体"/>
          <w:color w:val="auto"/>
          <w:sz w:val="21"/>
          <w:szCs w:val="21"/>
          <w:highlight w:val="none"/>
        </w:rPr>
        <w:t>〕</w:t>
      </w:r>
      <w:r>
        <w:rPr>
          <w:rFonts w:ascii="宋体" w:hAnsi="宋体"/>
          <w:color w:val="auto"/>
          <w:sz w:val="21"/>
          <w:szCs w:val="21"/>
          <w:highlight w:val="none"/>
        </w:rPr>
        <w:t>141</w:t>
      </w:r>
      <w:r>
        <w:rPr>
          <w:rFonts w:hint="eastAsia" w:ascii="宋体" w:hAnsi="宋体"/>
          <w:color w:val="auto"/>
          <w:sz w:val="21"/>
          <w:szCs w:val="21"/>
          <w:highlight w:val="none"/>
        </w:rPr>
        <w:t>号）的规定，本单位为符合条件的残疾人福利性单位，且本单位参加</w:t>
      </w:r>
      <w:r>
        <w:rPr>
          <w:rFonts w:ascii="宋体" w:hAnsi="宋体"/>
          <w:color w:val="auto"/>
          <w:sz w:val="21"/>
          <w:szCs w:val="21"/>
          <w:highlight w:val="none"/>
        </w:rPr>
        <w:t>______</w:t>
      </w:r>
      <w:r>
        <w:rPr>
          <w:rFonts w:hint="eastAsia" w:ascii="宋体" w:hAnsi="宋体"/>
          <w:color w:val="auto"/>
          <w:sz w:val="21"/>
          <w:szCs w:val="21"/>
          <w:highlight w:val="none"/>
        </w:rPr>
        <w:t>单位的</w:t>
      </w:r>
      <w:r>
        <w:rPr>
          <w:rFonts w:ascii="宋体" w:hAnsi="宋体"/>
          <w:color w:val="auto"/>
          <w:sz w:val="21"/>
          <w:szCs w:val="21"/>
          <w:highlight w:val="none"/>
        </w:rPr>
        <w:t>______</w:t>
      </w:r>
      <w:r>
        <w:rPr>
          <w:rFonts w:hint="eastAsia" w:ascii="宋体" w:hAnsi="宋体"/>
          <w:color w:val="auto"/>
          <w:sz w:val="21"/>
          <w:szCs w:val="21"/>
          <w:highlight w:val="none"/>
        </w:rPr>
        <w:t>项目采购活动提供本单位制造的货物（由本单位承担工程</w:t>
      </w:r>
      <w:r>
        <w:rPr>
          <w:rFonts w:ascii="宋体" w:hAnsi="宋体"/>
          <w:color w:val="auto"/>
          <w:sz w:val="21"/>
          <w:szCs w:val="21"/>
          <w:highlight w:val="none"/>
        </w:rPr>
        <w:t>/</w:t>
      </w:r>
      <w:r>
        <w:rPr>
          <w:rFonts w:hint="eastAsia" w:ascii="宋体" w:hAnsi="宋体"/>
          <w:color w:val="auto"/>
          <w:sz w:val="21"/>
          <w:szCs w:val="21"/>
          <w:highlight w:val="none"/>
        </w:rPr>
        <w:t>提供服务），或者提供其他残疾人福利性单位制造的货物（不包括使用非残疾人福利性单位注册商标的货物）。</w:t>
      </w:r>
    </w:p>
    <w:p>
      <w:pPr>
        <w:wordWrap w:val="0"/>
        <w:spacing w:line="588"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本单位对上述声明的真实性负责。如有虚假，将依法承担相应责任。</w:t>
      </w:r>
    </w:p>
    <w:p>
      <w:pPr>
        <w:wordWrap w:val="0"/>
        <w:spacing w:line="588" w:lineRule="exact"/>
        <w:ind w:firstLine="420" w:firstLineChars="200"/>
        <w:rPr>
          <w:rFonts w:ascii="宋体" w:hAnsi="宋体"/>
          <w:color w:val="auto"/>
          <w:sz w:val="21"/>
          <w:szCs w:val="21"/>
          <w:highlight w:val="none"/>
        </w:rPr>
      </w:pPr>
    </w:p>
    <w:p>
      <w:pPr>
        <w:wordWrap w:val="0"/>
        <w:spacing w:line="588" w:lineRule="exact"/>
        <w:ind w:firstLine="420" w:firstLineChars="200"/>
        <w:rPr>
          <w:rFonts w:ascii="宋体" w:hAnsi="宋体"/>
          <w:color w:val="auto"/>
          <w:sz w:val="21"/>
          <w:szCs w:val="21"/>
          <w:highlight w:val="none"/>
        </w:rPr>
      </w:pPr>
    </w:p>
    <w:p>
      <w:pPr>
        <w:tabs>
          <w:tab w:val="left" w:pos="4860"/>
        </w:tabs>
        <w:wordWrap w:val="0"/>
        <w:spacing w:line="588" w:lineRule="exact"/>
        <w:ind w:right="1560" w:firstLine="840" w:firstLineChars="400"/>
        <w:jc w:val="both"/>
        <w:rPr>
          <w:rFonts w:ascii="宋体" w:hAnsi="宋体"/>
          <w:color w:val="auto"/>
          <w:sz w:val="21"/>
          <w:szCs w:val="21"/>
          <w:highlight w:val="none"/>
        </w:rPr>
      </w:pPr>
      <w:r>
        <w:rPr>
          <w:rFonts w:hint="eastAsia" w:ascii="宋体" w:hAnsi="宋体"/>
          <w:color w:val="auto"/>
          <w:sz w:val="21"/>
          <w:szCs w:val="21"/>
          <w:highlight w:val="none"/>
        </w:rPr>
        <w:t>单位名称（盖章）：</w:t>
      </w:r>
    </w:p>
    <w:p>
      <w:pPr>
        <w:spacing w:line="400" w:lineRule="exact"/>
        <w:rPr>
          <w:rFonts w:ascii="宋体" w:hAnsi="宋体"/>
          <w:color w:val="auto"/>
          <w:sz w:val="21"/>
          <w:szCs w:val="21"/>
          <w:highlight w:val="none"/>
        </w:rPr>
      </w:pPr>
      <w:r>
        <w:rPr>
          <w:rFonts w:ascii="宋体" w:hAnsi="宋体"/>
          <w:color w:val="auto"/>
          <w:sz w:val="21"/>
          <w:szCs w:val="21"/>
          <w:highlight w:val="none"/>
        </w:rPr>
        <w:t xml:space="preserve">       </w:t>
      </w:r>
      <w:r>
        <w:rPr>
          <w:rFonts w:hint="eastAsia" w:ascii="宋体" w:hAnsi="宋体"/>
          <w:color w:val="auto"/>
          <w:sz w:val="21"/>
          <w:szCs w:val="21"/>
          <w:highlight w:val="none"/>
        </w:rPr>
        <w:t>日</w:t>
      </w:r>
      <w:r>
        <w:rPr>
          <w:rFonts w:ascii="宋体" w:hAnsi="宋体"/>
          <w:color w:val="auto"/>
          <w:sz w:val="21"/>
          <w:szCs w:val="21"/>
          <w:highlight w:val="none"/>
        </w:rPr>
        <w:t xml:space="preserve">  </w:t>
      </w:r>
      <w:r>
        <w:rPr>
          <w:rFonts w:hint="eastAsia" w:ascii="宋体" w:hAnsi="宋体"/>
          <w:color w:val="auto"/>
          <w:sz w:val="21"/>
          <w:szCs w:val="21"/>
          <w:highlight w:val="none"/>
        </w:rPr>
        <w:t>期：</w:t>
      </w:r>
    </w:p>
    <w:p>
      <w:pPr>
        <w:rPr>
          <w:rFonts w:ascii="宋体" w:hAnsi="宋体"/>
          <w:color w:val="auto"/>
          <w:sz w:val="21"/>
          <w:szCs w:val="21"/>
          <w:highlight w:val="none"/>
        </w:rPr>
      </w:pPr>
      <w:r>
        <w:rPr>
          <w:rFonts w:hint="eastAsia" w:ascii="宋体" w:hAnsi="宋体"/>
          <w:color w:val="auto"/>
          <w:sz w:val="21"/>
          <w:szCs w:val="21"/>
          <w:highlight w:val="none"/>
        </w:rPr>
        <w:br w:type="page"/>
      </w:r>
    </w:p>
    <w:p>
      <w:pPr>
        <w:widowControl/>
        <w:wordWrap w:val="0"/>
        <w:jc w:val="center"/>
        <w:rPr>
          <w:rFonts w:hint="eastAsia" w:ascii="宋体" w:hAnsi="宋体" w:cs="宋体"/>
          <w:b/>
          <w:bCs/>
          <w:color w:val="auto"/>
          <w:kern w:val="0"/>
          <w:sz w:val="24"/>
          <w:highlight w:val="none"/>
        </w:rPr>
        <w:sectPr>
          <w:pgSz w:w="11906" w:h="16838"/>
          <w:pgMar w:top="1418" w:right="1134" w:bottom="1418" w:left="1588" w:header="851" w:footer="992" w:gutter="0"/>
          <w:pgBorders w:offsetFrom="page">
            <w:top w:val="single" w:color="000000" w:sz="12" w:space="24"/>
            <w:left w:val="single" w:color="000000" w:sz="12" w:space="24"/>
            <w:bottom w:val="single" w:color="000000" w:sz="12" w:space="24"/>
            <w:right w:val="single" w:color="000000" w:sz="12" w:space="24"/>
          </w:pgBorders>
          <w:cols w:space="720" w:num="1"/>
          <w:docGrid w:linePitch="312" w:charSpace="0"/>
        </w:sectPr>
      </w:pPr>
    </w:p>
    <w:tbl>
      <w:tblPr>
        <w:tblStyle w:val="39"/>
        <w:tblW w:w="15077" w:type="dxa"/>
        <w:tblInd w:w="-176" w:type="dxa"/>
        <w:tblLayout w:type="fixed"/>
        <w:tblCellMar>
          <w:top w:w="0" w:type="dxa"/>
          <w:left w:w="108" w:type="dxa"/>
          <w:bottom w:w="0" w:type="dxa"/>
          <w:right w:w="108" w:type="dxa"/>
        </w:tblCellMar>
      </w:tblPr>
      <w:tblGrid>
        <w:gridCol w:w="2003"/>
        <w:gridCol w:w="1512"/>
        <w:gridCol w:w="1779"/>
        <w:gridCol w:w="1677"/>
        <w:gridCol w:w="1252"/>
        <w:gridCol w:w="1494"/>
        <w:gridCol w:w="1536"/>
        <w:gridCol w:w="1297"/>
        <w:gridCol w:w="1287"/>
        <w:gridCol w:w="1234"/>
        <w:gridCol w:w="6"/>
      </w:tblGrid>
      <w:tr>
        <w:tblPrEx>
          <w:tblCellMar>
            <w:top w:w="0" w:type="dxa"/>
            <w:left w:w="108" w:type="dxa"/>
            <w:bottom w:w="0" w:type="dxa"/>
            <w:right w:w="108" w:type="dxa"/>
          </w:tblCellMar>
        </w:tblPrEx>
        <w:trPr>
          <w:trHeight w:val="148" w:hRule="atLeast"/>
        </w:trPr>
        <w:tc>
          <w:tcPr>
            <w:tcW w:w="15077" w:type="dxa"/>
            <w:gridSpan w:val="11"/>
            <w:tcBorders>
              <w:top w:val="nil"/>
              <w:left w:val="nil"/>
              <w:bottom w:val="nil"/>
              <w:right w:val="nil"/>
            </w:tcBorders>
            <w:noWrap w:val="0"/>
            <w:vAlign w:val="bottom"/>
          </w:tcPr>
          <w:p>
            <w:pPr>
              <w:widowControl/>
              <w:wordWrap w:val="0"/>
              <w:jc w:val="center"/>
              <w:rPr>
                <w:rFonts w:ascii="宋体" w:hAnsi="宋体" w:cs="宋体"/>
                <w:b/>
                <w:bCs/>
                <w:color w:val="auto"/>
                <w:kern w:val="0"/>
                <w:sz w:val="32"/>
                <w:szCs w:val="32"/>
                <w:highlight w:val="none"/>
              </w:rPr>
            </w:pPr>
            <w:r>
              <w:rPr>
                <w:rFonts w:hint="eastAsia" w:ascii="宋体" w:hAnsi="宋体" w:cs="宋体"/>
                <w:b/>
                <w:bCs/>
                <w:color w:val="auto"/>
                <w:kern w:val="0"/>
                <w:sz w:val="24"/>
                <w:highlight w:val="none"/>
              </w:rPr>
              <w:t>中小微行业划型标准规定（根据工信部联企业〔</w:t>
            </w:r>
            <w:r>
              <w:rPr>
                <w:rFonts w:ascii="宋体" w:hAnsi="宋体" w:cs="宋体"/>
                <w:b/>
                <w:bCs/>
                <w:color w:val="auto"/>
                <w:kern w:val="0"/>
                <w:sz w:val="24"/>
                <w:highlight w:val="none"/>
              </w:rPr>
              <w:t>2011</w:t>
            </w:r>
            <w:r>
              <w:rPr>
                <w:rFonts w:hint="eastAsia" w:ascii="宋体" w:hAnsi="宋体" w:cs="宋体"/>
                <w:b/>
                <w:bCs/>
                <w:color w:val="auto"/>
                <w:kern w:val="0"/>
                <w:sz w:val="24"/>
                <w:highlight w:val="none"/>
              </w:rPr>
              <w:t>〕</w:t>
            </w:r>
            <w:r>
              <w:rPr>
                <w:rFonts w:ascii="宋体" w:hAnsi="宋体" w:cs="宋体"/>
                <w:b/>
                <w:bCs/>
                <w:color w:val="auto"/>
                <w:kern w:val="0"/>
                <w:sz w:val="24"/>
                <w:highlight w:val="none"/>
              </w:rPr>
              <w:t>300</w:t>
            </w:r>
            <w:r>
              <w:rPr>
                <w:rFonts w:hint="eastAsia" w:ascii="宋体" w:hAnsi="宋体" w:cs="宋体"/>
                <w:b/>
                <w:bCs/>
                <w:color w:val="auto"/>
                <w:kern w:val="0"/>
                <w:sz w:val="24"/>
                <w:highlight w:val="none"/>
              </w:rPr>
              <w:t>号制定）</w:t>
            </w:r>
          </w:p>
        </w:tc>
      </w:tr>
      <w:tr>
        <w:tblPrEx>
          <w:tblCellMar>
            <w:top w:w="0" w:type="dxa"/>
            <w:left w:w="108" w:type="dxa"/>
            <w:bottom w:w="0" w:type="dxa"/>
            <w:right w:w="108" w:type="dxa"/>
          </w:tblCellMar>
        </w:tblPrEx>
        <w:trPr>
          <w:gridAfter w:val="1"/>
          <w:wAfter w:w="6" w:type="dxa"/>
          <w:trHeight w:val="459" w:hRule="atLeast"/>
        </w:trPr>
        <w:tc>
          <w:tcPr>
            <w:tcW w:w="2003" w:type="dxa"/>
            <w:vMerge w:val="restart"/>
            <w:tcBorders>
              <w:top w:val="single" w:color="auto" w:sz="8" w:space="0"/>
              <w:left w:val="single" w:color="auto" w:sz="8" w:space="0"/>
              <w:bottom w:val="single" w:color="000000" w:sz="4" w:space="0"/>
              <w:right w:val="single" w:color="auto" w:sz="8" w:space="0"/>
            </w:tcBorders>
            <w:noWrap w:val="0"/>
            <w:vAlign w:val="center"/>
          </w:tcPr>
          <w:p>
            <w:pPr>
              <w:widowControl/>
              <w:wordWrap w:val="0"/>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行业</w:t>
            </w:r>
          </w:p>
        </w:tc>
        <w:tc>
          <w:tcPr>
            <w:tcW w:w="4968" w:type="dxa"/>
            <w:gridSpan w:val="3"/>
            <w:tcBorders>
              <w:top w:val="single" w:color="auto" w:sz="8" w:space="0"/>
              <w:left w:val="nil"/>
              <w:bottom w:val="single" w:color="auto" w:sz="4" w:space="0"/>
              <w:right w:val="single" w:color="000000" w:sz="8" w:space="0"/>
            </w:tcBorders>
            <w:noWrap w:val="0"/>
            <w:vAlign w:val="bottom"/>
          </w:tcPr>
          <w:p>
            <w:pPr>
              <w:widowControl/>
              <w:wordWrap w:val="0"/>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中型企业</w:t>
            </w:r>
          </w:p>
        </w:tc>
        <w:tc>
          <w:tcPr>
            <w:tcW w:w="4282" w:type="dxa"/>
            <w:gridSpan w:val="3"/>
            <w:tcBorders>
              <w:top w:val="single" w:color="auto" w:sz="8" w:space="0"/>
              <w:left w:val="nil"/>
              <w:bottom w:val="single" w:color="auto" w:sz="4" w:space="0"/>
              <w:right w:val="single" w:color="000000" w:sz="8" w:space="0"/>
            </w:tcBorders>
            <w:noWrap w:val="0"/>
            <w:vAlign w:val="bottom"/>
          </w:tcPr>
          <w:p>
            <w:pPr>
              <w:widowControl/>
              <w:wordWrap w:val="0"/>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小型企业</w:t>
            </w:r>
          </w:p>
        </w:tc>
        <w:tc>
          <w:tcPr>
            <w:tcW w:w="3818" w:type="dxa"/>
            <w:gridSpan w:val="3"/>
            <w:tcBorders>
              <w:top w:val="single" w:color="auto" w:sz="8" w:space="0"/>
              <w:left w:val="nil"/>
              <w:bottom w:val="single" w:color="auto" w:sz="4" w:space="0"/>
              <w:right w:val="single" w:color="000000" w:sz="8" w:space="0"/>
            </w:tcBorders>
            <w:noWrap w:val="0"/>
            <w:vAlign w:val="bottom"/>
          </w:tcPr>
          <w:p>
            <w:pPr>
              <w:widowControl/>
              <w:wordWrap w:val="0"/>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微型企业</w:t>
            </w:r>
          </w:p>
        </w:tc>
      </w:tr>
      <w:tr>
        <w:tblPrEx>
          <w:tblCellMar>
            <w:top w:w="0" w:type="dxa"/>
            <w:left w:w="108" w:type="dxa"/>
            <w:bottom w:w="0" w:type="dxa"/>
            <w:right w:w="108" w:type="dxa"/>
          </w:tblCellMar>
        </w:tblPrEx>
        <w:trPr>
          <w:gridAfter w:val="1"/>
          <w:wAfter w:w="6" w:type="dxa"/>
          <w:trHeight w:val="518" w:hRule="atLeast"/>
        </w:trPr>
        <w:tc>
          <w:tcPr>
            <w:tcW w:w="2003" w:type="dxa"/>
            <w:vMerge w:val="continue"/>
            <w:tcBorders>
              <w:top w:val="single" w:color="auto" w:sz="8" w:space="0"/>
              <w:left w:val="single" w:color="auto" w:sz="8" w:space="0"/>
              <w:bottom w:val="single" w:color="000000" w:sz="4" w:space="0"/>
              <w:right w:val="single" w:color="auto" w:sz="8" w:space="0"/>
            </w:tcBorders>
            <w:noWrap w:val="0"/>
            <w:vAlign w:val="center"/>
          </w:tcPr>
          <w:p>
            <w:pPr>
              <w:widowControl/>
              <w:wordWrap w:val="0"/>
              <w:jc w:val="left"/>
              <w:rPr>
                <w:rFonts w:ascii="宋体" w:hAnsi="宋体" w:cs="宋体"/>
                <w:b/>
                <w:bCs/>
                <w:color w:val="auto"/>
                <w:kern w:val="0"/>
                <w:sz w:val="24"/>
                <w:highlight w:val="none"/>
              </w:rPr>
            </w:pPr>
          </w:p>
        </w:tc>
        <w:tc>
          <w:tcPr>
            <w:tcW w:w="1512" w:type="dxa"/>
            <w:tcBorders>
              <w:top w:val="nil"/>
              <w:left w:val="nil"/>
              <w:bottom w:val="single" w:color="auto" w:sz="4" w:space="0"/>
              <w:right w:val="single" w:color="auto" w:sz="4"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779" w:type="dxa"/>
            <w:tcBorders>
              <w:top w:val="nil"/>
              <w:left w:val="nil"/>
              <w:bottom w:val="single" w:color="auto" w:sz="4" w:space="0"/>
              <w:right w:val="single" w:color="auto" w:sz="4"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p>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677" w:type="dxa"/>
            <w:tcBorders>
              <w:top w:val="nil"/>
              <w:left w:val="nil"/>
              <w:bottom w:val="single" w:color="auto" w:sz="4" w:space="0"/>
              <w:right w:val="single" w:color="auto" w:sz="8"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p>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252" w:type="dxa"/>
            <w:tcBorders>
              <w:top w:val="nil"/>
              <w:left w:val="nil"/>
              <w:bottom w:val="single" w:color="auto" w:sz="4" w:space="0"/>
              <w:right w:val="single" w:color="auto" w:sz="4"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494" w:type="dxa"/>
            <w:tcBorders>
              <w:top w:val="nil"/>
              <w:left w:val="nil"/>
              <w:bottom w:val="single" w:color="auto" w:sz="4" w:space="0"/>
              <w:right w:val="single" w:color="auto" w:sz="4"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p>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536" w:type="dxa"/>
            <w:tcBorders>
              <w:top w:val="nil"/>
              <w:left w:val="nil"/>
              <w:bottom w:val="single" w:color="auto" w:sz="4" w:space="0"/>
              <w:right w:val="single" w:color="auto" w:sz="8"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p>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（万元）</w:t>
            </w:r>
          </w:p>
        </w:tc>
        <w:tc>
          <w:tcPr>
            <w:tcW w:w="1297" w:type="dxa"/>
            <w:tcBorders>
              <w:top w:val="nil"/>
              <w:left w:val="nil"/>
              <w:bottom w:val="single" w:color="auto" w:sz="4" w:space="0"/>
              <w:right w:val="single" w:color="auto" w:sz="4"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从业人员</w:t>
            </w:r>
            <w:r>
              <w:rPr>
                <w:rFonts w:ascii="宋体" w:hAnsi="宋体" w:cs="宋体"/>
                <w:color w:val="auto"/>
                <w:kern w:val="0"/>
                <w:sz w:val="20"/>
                <w:highlight w:val="none"/>
              </w:rPr>
              <w:t>X</w:t>
            </w:r>
            <w:r>
              <w:rPr>
                <w:rFonts w:hint="eastAsia" w:ascii="宋体" w:hAnsi="宋体" w:cs="宋体"/>
                <w:color w:val="auto"/>
                <w:kern w:val="0"/>
                <w:sz w:val="20"/>
                <w:highlight w:val="none"/>
              </w:rPr>
              <w:t>（人）</w:t>
            </w:r>
          </w:p>
        </w:tc>
        <w:tc>
          <w:tcPr>
            <w:tcW w:w="1287" w:type="dxa"/>
            <w:tcBorders>
              <w:top w:val="nil"/>
              <w:left w:val="nil"/>
              <w:bottom w:val="single" w:color="auto" w:sz="4" w:space="0"/>
              <w:right w:val="single" w:color="auto" w:sz="4"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营业收入</w:t>
            </w:r>
            <w:r>
              <w:rPr>
                <w:rFonts w:ascii="宋体" w:hAnsi="宋体" w:cs="宋体"/>
                <w:color w:val="auto"/>
                <w:kern w:val="0"/>
                <w:sz w:val="20"/>
                <w:highlight w:val="none"/>
              </w:rPr>
              <w:t>Y</w:t>
            </w:r>
            <w:r>
              <w:rPr>
                <w:rFonts w:hint="eastAsia" w:ascii="宋体" w:hAnsi="宋体" w:cs="宋体"/>
                <w:color w:val="auto"/>
                <w:kern w:val="0"/>
                <w:sz w:val="20"/>
                <w:highlight w:val="none"/>
              </w:rPr>
              <w:t>（万元）</w:t>
            </w:r>
          </w:p>
        </w:tc>
        <w:tc>
          <w:tcPr>
            <w:tcW w:w="1234" w:type="dxa"/>
            <w:tcBorders>
              <w:top w:val="nil"/>
              <w:left w:val="nil"/>
              <w:bottom w:val="single" w:color="auto" w:sz="4" w:space="0"/>
              <w:right w:val="single" w:color="auto" w:sz="8" w:space="0"/>
            </w:tcBorders>
            <w:noWrap w:val="0"/>
            <w:vAlign w:val="bottom"/>
          </w:tcPr>
          <w:p>
            <w:pPr>
              <w:widowControl/>
              <w:wordWrap w:val="0"/>
              <w:jc w:val="center"/>
              <w:rPr>
                <w:rFonts w:ascii="宋体" w:hAnsi="宋体" w:cs="宋体"/>
                <w:color w:val="auto"/>
                <w:kern w:val="0"/>
                <w:sz w:val="20"/>
                <w:highlight w:val="none"/>
              </w:rPr>
            </w:pPr>
            <w:r>
              <w:rPr>
                <w:rFonts w:hint="eastAsia" w:ascii="宋体" w:hAnsi="宋体" w:cs="宋体"/>
                <w:color w:val="auto"/>
                <w:kern w:val="0"/>
                <w:sz w:val="20"/>
                <w:highlight w:val="none"/>
              </w:rPr>
              <w:t>资产总额</w:t>
            </w:r>
            <w:r>
              <w:rPr>
                <w:rFonts w:ascii="宋体" w:hAnsi="宋体" w:cs="宋体"/>
                <w:color w:val="auto"/>
                <w:kern w:val="0"/>
                <w:sz w:val="20"/>
                <w:highlight w:val="none"/>
              </w:rPr>
              <w:t>Z</w:t>
            </w:r>
            <w:r>
              <w:rPr>
                <w:rFonts w:hint="eastAsia" w:ascii="宋体" w:hAnsi="宋体" w:cs="宋体"/>
                <w:color w:val="auto"/>
                <w:kern w:val="0"/>
                <w:sz w:val="20"/>
                <w:highlight w:val="none"/>
              </w:rPr>
              <w:t>（万元）</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1</w:t>
            </w:r>
            <w:r>
              <w:rPr>
                <w:rFonts w:hint="eastAsia" w:ascii="宋体" w:hAnsi="宋体" w:cs="宋体"/>
                <w:color w:val="auto"/>
                <w:kern w:val="0"/>
                <w:sz w:val="20"/>
                <w:highlight w:val="none"/>
              </w:rPr>
              <w:t>、农林牧渔业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50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2</w:t>
            </w:r>
            <w:r>
              <w:rPr>
                <w:rFonts w:hint="eastAsia" w:ascii="宋体" w:hAnsi="宋体" w:cs="宋体"/>
                <w:color w:val="auto"/>
                <w:kern w:val="0"/>
                <w:sz w:val="20"/>
                <w:highlight w:val="none"/>
              </w:rPr>
              <w:t>、工业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40000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3</w:t>
            </w:r>
            <w:r>
              <w:rPr>
                <w:rFonts w:hint="eastAsia" w:ascii="宋体" w:hAnsi="宋体" w:cs="宋体"/>
                <w:color w:val="auto"/>
                <w:kern w:val="0"/>
                <w:sz w:val="20"/>
                <w:highlight w:val="none"/>
              </w:rPr>
              <w:t>、建筑业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6000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80000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80000</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6000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4</w:t>
            </w:r>
            <w:r>
              <w:rPr>
                <w:rFonts w:hint="eastAsia" w:ascii="宋体" w:hAnsi="宋体" w:cs="宋体"/>
                <w:color w:val="auto"/>
                <w:kern w:val="0"/>
                <w:sz w:val="20"/>
                <w:highlight w:val="none"/>
              </w:rPr>
              <w:t>、批发业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40000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5</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5</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5</w:t>
            </w:r>
            <w:r>
              <w:rPr>
                <w:rFonts w:hint="eastAsia" w:ascii="宋体" w:hAnsi="宋体" w:cs="宋体"/>
                <w:color w:val="auto"/>
                <w:kern w:val="0"/>
                <w:sz w:val="20"/>
                <w:highlight w:val="none"/>
              </w:rPr>
              <w:t>、零售业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50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 xml:space="preserve"> 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6</w:t>
            </w:r>
            <w:r>
              <w:rPr>
                <w:rFonts w:hint="eastAsia" w:ascii="宋体" w:hAnsi="宋体" w:cs="宋体"/>
                <w:color w:val="auto"/>
                <w:kern w:val="0"/>
                <w:sz w:val="20"/>
                <w:highlight w:val="none"/>
              </w:rPr>
              <w:t>、交通运输业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3000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V</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7</w:t>
            </w:r>
            <w:r>
              <w:rPr>
                <w:rFonts w:hint="eastAsia" w:ascii="宋体" w:hAnsi="宋体" w:cs="宋体"/>
                <w:color w:val="auto"/>
                <w:kern w:val="0"/>
                <w:sz w:val="20"/>
                <w:highlight w:val="none"/>
              </w:rPr>
              <w:t>、仓储业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8</w:t>
            </w:r>
            <w:r>
              <w:rPr>
                <w:rFonts w:hint="eastAsia" w:ascii="宋体" w:hAnsi="宋体" w:cs="宋体"/>
                <w:color w:val="auto"/>
                <w:kern w:val="0"/>
                <w:sz w:val="20"/>
                <w:highlight w:val="none"/>
              </w:rPr>
              <w:t>、邮政业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30000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 xml:space="preserve"> 9</w:t>
            </w:r>
            <w:r>
              <w:rPr>
                <w:rFonts w:hint="eastAsia" w:ascii="宋体" w:hAnsi="宋体" w:cs="宋体"/>
                <w:color w:val="auto"/>
                <w:kern w:val="0"/>
                <w:sz w:val="20"/>
                <w:highlight w:val="none"/>
              </w:rPr>
              <w:t>、住宿业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、餐饮业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V</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11</w:t>
            </w:r>
            <w:r>
              <w:rPr>
                <w:rFonts w:hint="eastAsia" w:ascii="宋体" w:hAnsi="宋体" w:cs="宋体"/>
                <w:color w:val="auto"/>
                <w:kern w:val="0"/>
                <w:sz w:val="20"/>
                <w:highlight w:val="none"/>
              </w:rPr>
              <w:t>、信息传输业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12</w:t>
            </w:r>
            <w:r>
              <w:rPr>
                <w:rFonts w:hint="eastAsia" w:ascii="宋体" w:hAnsi="宋体" w:cs="宋体"/>
                <w:color w:val="auto"/>
                <w:kern w:val="0"/>
                <w:sz w:val="20"/>
                <w:highlight w:val="none"/>
              </w:rPr>
              <w:t>、软件和信息技术服务业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 xml:space="preserve"> 50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13</w:t>
            </w:r>
            <w:r>
              <w:rPr>
                <w:rFonts w:hint="eastAsia" w:ascii="宋体" w:hAnsi="宋体" w:cs="宋体"/>
                <w:color w:val="auto"/>
                <w:kern w:val="0"/>
                <w:sz w:val="20"/>
                <w:highlight w:val="none"/>
              </w:rPr>
              <w:t>、房地产开发经营</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200000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5000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10000</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2000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2000</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14</w:t>
            </w:r>
            <w:r>
              <w:rPr>
                <w:rFonts w:hint="eastAsia" w:ascii="宋体" w:hAnsi="宋体" w:cs="宋体"/>
                <w:color w:val="auto"/>
                <w:kern w:val="0"/>
                <w:sz w:val="20"/>
                <w:highlight w:val="none"/>
              </w:rPr>
              <w:t>、物业管理</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300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5000</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500</w:t>
            </w:r>
            <w:r>
              <w:rPr>
                <w:rFonts w:hint="eastAsia" w:ascii="宋体" w:hAnsi="宋体" w:cs="宋体"/>
                <w:color w:val="auto"/>
                <w:kern w:val="0"/>
                <w:sz w:val="20"/>
                <w:highlight w:val="none"/>
              </w:rPr>
              <w:t>≤</w:t>
            </w: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1000</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Y</w:t>
            </w:r>
            <w:r>
              <w:rPr>
                <w:rFonts w:hint="eastAsia" w:ascii="宋体" w:hAnsi="宋体" w:cs="宋体"/>
                <w:color w:val="auto"/>
                <w:kern w:val="0"/>
                <w:sz w:val="20"/>
                <w:highlight w:val="none"/>
              </w:rPr>
              <w:t>＜</w:t>
            </w:r>
            <w:r>
              <w:rPr>
                <w:rFonts w:ascii="宋体" w:hAnsi="宋体" w:cs="宋体"/>
                <w:color w:val="auto"/>
                <w:kern w:val="0"/>
                <w:sz w:val="20"/>
                <w:highlight w:val="none"/>
              </w:rPr>
              <w:t>500</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4"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15</w:t>
            </w:r>
            <w:r>
              <w:rPr>
                <w:rFonts w:hint="eastAsia" w:ascii="宋体" w:hAnsi="宋体" w:cs="宋体"/>
                <w:color w:val="auto"/>
                <w:kern w:val="0"/>
                <w:sz w:val="20"/>
                <w:highlight w:val="none"/>
              </w:rPr>
              <w:t>、租赁和商务服务业</w:t>
            </w:r>
          </w:p>
        </w:tc>
        <w:tc>
          <w:tcPr>
            <w:tcW w:w="151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79"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77"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8000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120000</w:t>
            </w:r>
          </w:p>
        </w:tc>
        <w:tc>
          <w:tcPr>
            <w:tcW w:w="1252"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4"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536"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 xml:space="preserve"> 100</w:t>
            </w:r>
            <w:r>
              <w:rPr>
                <w:rFonts w:hint="eastAsia" w:ascii="宋体" w:hAnsi="宋体" w:cs="宋体"/>
                <w:color w:val="auto"/>
                <w:kern w:val="0"/>
                <w:sz w:val="20"/>
                <w:highlight w:val="none"/>
              </w:rPr>
              <w:t>≤</w:t>
            </w: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8000</w:t>
            </w:r>
          </w:p>
        </w:tc>
        <w:tc>
          <w:tcPr>
            <w:tcW w:w="129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7" w:type="dxa"/>
            <w:tcBorders>
              <w:top w:val="nil"/>
              <w:left w:val="nil"/>
              <w:bottom w:val="single" w:color="auto" w:sz="4"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34" w:type="dxa"/>
            <w:tcBorders>
              <w:top w:val="nil"/>
              <w:left w:val="nil"/>
              <w:bottom w:val="single" w:color="auto" w:sz="4" w:space="0"/>
              <w:right w:val="single" w:color="auto" w:sz="8"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Z</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r>
      <w:tr>
        <w:tblPrEx>
          <w:tblCellMar>
            <w:top w:w="0" w:type="dxa"/>
            <w:left w:w="108" w:type="dxa"/>
            <w:bottom w:w="0" w:type="dxa"/>
            <w:right w:w="108" w:type="dxa"/>
          </w:tblCellMar>
        </w:tblPrEx>
        <w:trPr>
          <w:gridAfter w:val="1"/>
          <w:wAfter w:w="6" w:type="dxa"/>
          <w:trHeight w:val="355" w:hRule="atLeast"/>
        </w:trPr>
        <w:tc>
          <w:tcPr>
            <w:tcW w:w="2003" w:type="dxa"/>
            <w:tcBorders>
              <w:top w:val="nil"/>
              <w:left w:val="single" w:color="auto" w:sz="8" w:space="0"/>
              <w:bottom w:val="single" w:color="auto" w:sz="8" w:space="0"/>
              <w:right w:val="single" w:color="auto" w:sz="8" w:space="0"/>
            </w:tcBorders>
            <w:noWrap w:val="0"/>
            <w:vAlign w:val="bottom"/>
          </w:tcPr>
          <w:p>
            <w:pPr>
              <w:widowControl/>
              <w:wordWrap w:val="0"/>
              <w:jc w:val="left"/>
              <w:rPr>
                <w:rFonts w:ascii="宋体" w:hAnsi="宋体" w:cs="宋体"/>
                <w:color w:val="auto"/>
                <w:kern w:val="0"/>
                <w:sz w:val="20"/>
                <w:highlight w:val="none"/>
              </w:rPr>
            </w:pPr>
            <w:r>
              <w:rPr>
                <w:rFonts w:ascii="宋体" w:hAnsi="宋体" w:cs="宋体"/>
                <w:color w:val="auto"/>
                <w:kern w:val="0"/>
                <w:sz w:val="20"/>
                <w:highlight w:val="none"/>
              </w:rPr>
              <w:t>16</w:t>
            </w:r>
            <w:r>
              <w:rPr>
                <w:rFonts w:hint="eastAsia" w:ascii="宋体" w:hAnsi="宋体" w:cs="宋体"/>
                <w:color w:val="auto"/>
                <w:kern w:val="0"/>
                <w:sz w:val="20"/>
                <w:highlight w:val="none"/>
              </w:rPr>
              <w:t>、其他未列明行业</w:t>
            </w:r>
          </w:p>
        </w:tc>
        <w:tc>
          <w:tcPr>
            <w:tcW w:w="1512" w:type="dxa"/>
            <w:tcBorders>
              <w:top w:val="nil"/>
              <w:left w:val="nil"/>
              <w:bottom w:val="single" w:color="auto" w:sz="8"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300</w:t>
            </w:r>
          </w:p>
        </w:tc>
        <w:tc>
          <w:tcPr>
            <w:tcW w:w="1779" w:type="dxa"/>
            <w:tcBorders>
              <w:top w:val="nil"/>
              <w:left w:val="nil"/>
              <w:bottom w:val="single" w:color="auto" w:sz="8"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677" w:type="dxa"/>
            <w:tcBorders>
              <w:top w:val="nil"/>
              <w:left w:val="nil"/>
              <w:bottom w:val="single" w:color="auto" w:sz="8"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52" w:type="dxa"/>
            <w:tcBorders>
              <w:top w:val="nil"/>
              <w:left w:val="nil"/>
              <w:bottom w:val="single" w:color="auto" w:sz="8"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10</w:t>
            </w:r>
            <w:r>
              <w:rPr>
                <w:rFonts w:hint="eastAsia" w:ascii="宋体" w:hAnsi="宋体" w:cs="宋体"/>
                <w:color w:val="auto"/>
                <w:kern w:val="0"/>
                <w:sz w:val="20"/>
                <w:highlight w:val="none"/>
              </w:rPr>
              <w:t>≤</w:t>
            </w: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100</w:t>
            </w:r>
          </w:p>
        </w:tc>
        <w:tc>
          <w:tcPr>
            <w:tcW w:w="1494" w:type="dxa"/>
            <w:tcBorders>
              <w:top w:val="nil"/>
              <w:left w:val="nil"/>
              <w:bottom w:val="single" w:color="auto" w:sz="8"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536" w:type="dxa"/>
            <w:tcBorders>
              <w:top w:val="nil"/>
              <w:left w:val="nil"/>
              <w:bottom w:val="single" w:color="auto" w:sz="8"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97" w:type="dxa"/>
            <w:tcBorders>
              <w:top w:val="nil"/>
              <w:left w:val="nil"/>
              <w:bottom w:val="single" w:color="auto" w:sz="8" w:space="0"/>
              <w:right w:val="single" w:color="auto" w:sz="4" w:space="0"/>
            </w:tcBorders>
            <w:noWrap w:val="0"/>
            <w:vAlign w:val="center"/>
          </w:tcPr>
          <w:p>
            <w:pPr>
              <w:widowControl/>
              <w:wordWrap w:val="0"/>
              <w:rPr>
                <w:rFonts w:ascii="宋体" w:hAnsi="宋体" w:cs="宋体"/>
                <w:color w:val="auto"/>
                <w:kern w:val="0"/>
                <w:sz w:val="20"/>
                <w:highlight w:val="none"/>
              </w:rPr>
            </w:pPr>
            <w:r>
              <w:rPr>
                <w:rFonts w:ascii="宋体" w:hAnsi="宋体" w:cs="宋体"/>
                <w:color w:val="auto"/>
                <w:kern w:val="0"/>
                <w:sz w:val="20"/>
                <w:highlight w:val="none"/>
              </w:rPr>
              <w:t>X</w:t>
            </w:r>
            <w:r>
              <w:rPr>
                <w:rFonts w:hint="eastAsia" w:ascii="宋体" w:hAnsi="宋体" w:cs="宋体"/>
                <w:color w:val="auto"/>
                <w:kern w:val="0"/>
                <w:sz w:val="20"/>
                <w:highlight w:val="none"/>
              </w:rPr>
              <w:t>＜</w:t>
            </w:r>
            <w:r>
              <w:rPr>
                <w:rFonts w:ascii="宋体" w:hAnsi="宋体" w:cs="宋体"/>
                <w:color w:val="auto"/>
                <w:kern w:val="0"/>
                <w:sz w:val="20"/>
                <w:highlight w:val="none"/>
              </w:rPr>
              <w:t>10</w:t>
            </w:r>
          </w:p>
        </w:tc>
        <w:tc>
          <w:tcPr>
            <w:tcW w:w="1287" w:type="dxa"/>
            <w:tcBorders>
              <w:top w:val="nil"/>
              <w:left w:val="nil"/>
              <w:bottom w:val="single" w:color="auto" w:sz="8" w:space="0"/>
              <w:right w:val="single" w:color="auto" w:sz="4"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c>
          <w:tcPr>
            <w:tcW w:w="1234" w:type="dxa"/>
            <w:tcBorders>
              <w:top w:val="nil"/>
              <w:left w:val="nil"/>
              <w:bottom w:val="single" w:color="auto" w:sz="8" w:space="0"/>
              <w:right w:val="single" w:color="auto" w:sz="8" w:space="0"/>
            </w:tcBorders>
            <w:noWrap w:val="0"/>
            <w:vAlign w:val="center"/>
          </w:tcPr>
          <w:p>
            <w:pPr>
              <w:widowControl/>
              <w:wordWrap w:val="0"/>
              <w:rPr>
                <w:rFonts w:ascii="宋体" w:hAnsi="宋体" w:cs="宋体"/>
                <w:color w:val="auto"/>
                <w:kern w:val="0"/>
                <w:sz w:val="20"/>
                <w:highlight w:val="none"/>
              </w:rPr>
            </w:pPr>
            <w:r>
              <w:rPr>
                <w:rFonts w:hint="eastAsia" w:ascii="宋体" w:hAnsi="宋体" w:cs="宋体"/>
                <w:color w:val="auto"/>
                <w:kern w:val="0"/>
                <w:sz w:val="20"/>
                <w:highlight w:val="none"/>
              </w:rPr>
              <w:t>　</w:t>
            </w:r>
          </w:p>
        </w:tc>
      </w:tr>
      <w:tr>
        <w:tblPrEx>
          <w:tblCellMar>
            <w:top w:w="0" w:type="dxa"/>
            <w:left w:w="108" w:type="dxa"/>
            <w:bottom w:w="0" w:type="dxa"/>
            <w:right w:w="108" w:type="dxa"/>
          </w:tblCellMar>
        </w:tblPrEx>
        <w:trPr>
          <w:trHeight w:val="1124" w:hRule="atLeast"/>
        </w:trPr>
        <w:tc>
          <w:tcPr>
            <w:tcW w:w="15077" w:type="dxa"/>
            <w:gridSpan w:val="11"/>
            <w:tcBorders>
              <w:top w:val="nil"/>
              <w:left w:val="nil"/>
              <w:bottom w:val="nil"/>
              <w:right w:val="nil"/>
            </w:tcBorders>
            <w:noWrap w:val="0"/>
            <w:vAlign w:val="bottom"/>
          </w:tcPr>
          <w:p>
            <w:pPr>
              <w:widowControl/>
              <w:wordWrap w:val="0"/>
              <w:jc w:val="left"/>
              <w:rPr>
                <w:rFonts w:ascii="宋体" w:hAnsi="宋体" w:cs="宋体"/>
                <w:color w:val="auto"/>
                <w:kern w:val="0"/>
                <w:sz w:val="20"/>
                <w:highlight w:val="none"/>
              </w:rPr>
            </w:pPr>
            <w:r>
              <w:rPr>
                <w:rFonts w:hint="eastAsia" w:ascii="宋体" w:hAnsi="宋体" w:cs="宋体"/>
                <w:color w:val="auto"/>
                <w:kern w:val="0"/>
                <w:sz w:val="20"/>
                <w:highlight w:val="none"/>
              </w:rPr>
              <w:t>说明　</w:t>
            </w:r>
            <w:r>
              <w:rPr>
                <w:rFonts w:ascii="宋体" w:hAnsi="宋体" w:cs="宋体"/>
                <w:color w:val="auto"/>
                <w:kern w:val="0"/>
                <w:sz w:val="20"/>
                <w:highlight w:val="none"/>
              </w:rPr>
              <w:t>1</w:t>
            </w:r>
            <w:r>
              <w:rPr>
                <w:rFonts w:hint="eastAsia" w:ascii="宋体" w:hAnsi="宋体" w:cs="宋体"/>
                <w:color w:val="auto"/>
                <w:kern w:val="0"/>
                <w:sz w:val="20"/>
                <w:highlight w:val="none"/>
              </w:rPr>
              <w:t>、企业类型的划分以统计部门的统计数据为依据。</w:t>
            </w:r>
          </w:p>
          <w:p>
            <w:pPr>
              <w:widowControl/>
              <w:wordWrap w:val="0"/>
              <w:ind w:firstLine="600" w:firstLineChars="300"/>
              <w:jc w:val="left"/>
              <w:rPr>
                <w:rFonts w:ascii="宋体" w:hAnsi="宋体" w:cs="宋体"/>
                <w:color w:val="auto"/>
                <w:kern w:val="0"/>
                <w:sz w:val="20"/>
                <w:highlight w:val="none"/>
              </w:rPr>
            </w:pPr>
            <w:r>
              <w:rPr>
                <w:rFonts w:ascii="宋体" w:hAnsi="宋体" w:cs="宋体"/>
                <w:color w:val="auto"/>
                <w:kern w:val="0"/>
                <w:sz w:val="20"/>
                <w:highlight w:val="none"/>
              </w:rPr>
              <w:t>2</w:t>
            </w:r>
            <w:r>
              <w:rPr>
                <w:rFonts w:hint="eastAsia" w:ascii="宋体" w:hAnsi="宋体" w:cs="宋体"/>
                <w:color w:val="auto"/>
                <w:kern w:val="0"/>
                <w:sz w:val="20"/>
                <w:highlight w:val="none"/>
              </w:rPr>
              <w:t>、个体工商户和本规定以外的行业，参照本规定进行划型。</w:t>
            </w:r>
          </w:p>
          <w:p>
            <w:pPr>
              <w:widowControl/>
              <w:wordWrap w:val="0"/>
              <w:ind w:firstLine="600" w:firstLineChars="300"/>
              <w:jc w:val="left"/>
              <w:rPr>
                <w:rFonts w:ascii="宋体" w:hAnsi="宋体" w:cs="宋体"/>
                <w:color w:val="auto"/>
                <w:kern w:val="0"/>
                <w:sz w:val="20"/>
                <w:highlight w:val="none"/>
              </w:rPr>
            </w:pPr>
            <w:r>
              <w:rPr>
                <w:rFonts w:ascii="宋体" w:hAnsi="宋体" w:cs="宋体"/>
                <w:color w:val="auto"/>
                <w:kern w:val="0"/>
                <w:sz w:val="20"/>
                <w:highlight w:val="none"/>
              </w:rPr>
              <w:t>3</w:t>
            </w:r>
            <w:r>
              <w:rPr>
                <w:rFonts w:hint="eastAsia" w:ascii="宋体" w:hAnsi="宋体" w:cs="宋体"/>
                <w:color w:val="auto"/>
                <w:kern w:val="0"/>
                <w:sz w:val="20"/>
                <w:highlight w:val="none"/>
              </w:rPr>
              <w:t>、本规定的中型企业标准上限即为大型企业标准的下限。</w:t>
            </w:r>
          </w:p>
        </w:tc>
      </w:tr>
    </w:tbl>
    <w:p>
      <w:pPr>
        <w:pStyle w:val="18"/>
        <w:spacing w:line="460" w:lineRule="exact"/>
        <w:ind w:left="0" w:leftChars="0"/>
        <w:jc w:val="center"/>
        <w:rPr>
          <w:color w:val="auto"/>
          <w:sz w:val="21"/>
          <w:highlight w:val="none"/>
        </w:rPr>
      </w:pPr>
    </w:p>
    <w:sectPr>
      <w:pgSz w:w="16838" w:h="11906" w:orient="landscape"/>
      <w:pgMar w:top="1587" w:right="1418" w:bottom="1134" w:left="1418" w:header="851" w:footer="992" w:gutter="0"/>
      <w:pgBorders w:offsetFrom="page">
        <w:top w:val="single" w:color="000000" w:sz="12" w:space="24"/>
        <w:left w:val="single" w:color="000000" w:sz="12" w:space="24"/>
        <w:bottom w:val="single" w:color="000000" w:sz="12" w:space="24"/>
        <w:right w:val="single" w:color="000000" w:sz="12" w:space="24"/>
      </w:pgBorders>
      <w:cols w:space="0" w:num="1"/>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方正仿宋_GBK">
    <w:altName w:val="宋体"/>
    <w:panose1 w:val="00000000000000000000"/>
    <w:charset w:val="86"/>
    <w:family w:val="auto"/>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auto"/>
    <w:pitch w:val="default"/>
    <w:sig w:usb0="E1002EFF" w:usb1="C000605B" w:usb2="00000029" w:usb3="00000000" w:csb0="200101FF" w:csb1="20280000"/>
  </w:font>
  <w:font w:name="Arial Unicode MS">
    <w:panose1 w:val="020B0604020202020204"/>
    <w:charset w:val="86"/>
    <w:family w:val="auto"/>
    <w:pitch w:val="default"/>
    <w:sig w:usb0="FFFFFFFF" w:usb1="E9FFFFFF" w:usb2="0000003F" w:usb3="00000000" w:csb0="603F01FF" w:csb1="FFFF0000"/>
  </w:font>
  <w:font w:name="Cambria">
    <w:panose1 w:val="02040503050406030204"/>
    <w:charset w:val="00"/>
    <w:family w:val="auto"/>
    <w:pitch w:val="default"/>
    <w:sig w:usb0="E00006FF" w:usb1="420024FF" w:usb2="02000000" w:usb3="00000000" w:csb0="2000019F" w:csb1="00000000"/>
  </w:font>
  <w:font w:name="Verdana">
    <w:panose1 w:val="020B0604030504040204"/>
    <w:charset w:val="00"/>
    <w:family w:val="auto"/>
    <w:pitch w:val="default"/>
    <w:sig w:usb0="A00006FF" w:usb1="4000205B" w:usb2="00000010" w:usb3="00000000" w:csb0="2000019F" w:csb1="0000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Times">
    <w:altName w:val="Times New Roman"/>
    <w:panose1 w:val="02020603050405020304"/>
    <w:charset w:val="00"/>
    <w:family w:val="auto"/>
    <w:pitch w:val="default"/>
    <w:sig w:usb0="00000000" w:usb1="00000000" w:usb2="00000009" w:usb3="00000000" w:csb0="000001FF" w:csb1="00000000"/>
  </w:font>
  <w:font w:name="长城仿宋">
    <w:altName w:val="仿宋"/>
    <w:panose1 w:val="00000000000000000000"/>
    <w:charset w:val="86"/>
    <w:family w:val="auto"/>
    <w:pitch w:val="default"/>
    <w:sig w:usb0="00000000" w:usb1="00000000" w:usb2="00000010" w:usb3="00000000" w:csb0="00040000" w:csb1="00000000"/>
  </w:font>
  <w:font w:name="方正黑体_GBK">
    <w:altName w:val="黑体"/>
    <w:panose1 w:val="00000000000000000000"/>
    <w:charset w:val="86"/>
    <w:family w:val="auto"/>
    <w:pitch w:val="default"/>
    <w:sig w:usb0="00000000" w:usb1="00000000" w:usb2="00000010" w:usb3="00000000" w:csb0="00040000" w:csb1="00000000"/>
  </w:font>
  <w:font w:name="方正小标宋_GBK">
    <w:altName w:val="黑体"/>
    <w:panose1 w:val="00000000000000000000"/>
    <w:charset w:val="86"/>
    <w:family w:val="auto"/>
    <w:pitch w:val="default"/>
    <w:sig w:usb0="00000000" w:usb1="00000000" w:usb2="00000010" w:usb3="00000000" w:csb0="00040000" w:csb1="00000000"/>
  </w:font>
  <w:font w:name="方正书宋_GBK">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fldChar w:fldCharType="begin"/>
    </w:r>
    <w:r>
      <w:rPr>
        <w:rStyle w:val="43"/>
      </w:rPr>
      <w:instrText xml:space="preserve"> PAGE </w:instrText>
    </w:r>
    <w:r>
      <w:fldChar w:fldCharType="separate"/>
    </w:r>
    <w:r>
      <w:rPr>
        <w:rStyle w:val="43"/>
      </w:rPr>
      <w:t>23</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fldChar w:fldCharType="begin"/>
    </w:r>
    <w:r>
      <w:instrText xml:space="preserve"> PAGE   \* MERGEFORMAT </w:instrText>
    </w:r>
    <w:r>
      <w:fldChar w:fldCharType="separate"/>
    </w:r>
    <w:r>
      <w:rPr>
        <w:lang w:val="zh-CN"/>
      </w:rPr>
      <w:t>14</w:t>
    </w:r>
    <w:r>
      <w:rPr>
        <w:lang w:val="zh-CN"/>
      </w:rPr>
      <w:fldChar w:fldCharType="end"/>
    </w:r>
  </w:p>
  <w:p>
    <w:pPr>
      <w:pStyle w:val="2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w:fldChar w:fldCharType="begin"/>
    </w:r>
    <w:r>
      <w:instrText xml:space="preserve"> PAGE   \* MERGEFORMAT </w:instrText>
    </w:r>
    <w:r>
      <w:fldChar w:fldCharType="separate"/>
    </w:r>
    <w:r>
      <w:rPr>
        <w:lang w:val="zh-CN"/>
      </w:rPr>
      <w:t>44</w:t>
    </w:r>
    <w:r>
      <w:rPr>
        <w:lang w:val="zh-CN"/>
      </w:rPr>
      <w:fldChar w:fldCharType="end"/>
    </w:r>
  </w:p>
  <w:p>
    <w:pPr>
      <w:pStyle w:val="2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7FE3E5"/>
    <w:multiLevelType w:val="singleLevel"/>
    <w:tmpl w:val="907FE3E5"/>
    <w:lvl w:ilvl="0" w:tentative="0">
      <w:start w:val="1"/>
      <w:numFmt w:val="decimal"/>
      <w:suff w:val="nothing"/>
      <w:lvlText w:val="（%1）"/>
      <w:lvlJc w:val="left"/>
    </w:lvl>
  </w:abstractNum>
  <w:abstractNum w:abstractNumId="1">
    <w:nsid w:val="A3327847"/>
    <w:multiLevelType w:val="singleLevel"/>
    <w:tmpl w:val="A3327847"/>
    <w:lvl w:ilvl="0" w:tentative="0">
      <w:start w:val="3"/>
      <w:numFmt w:val="decimal"/>
      <w:suff w:val="nothing"/>
      <w:lvlText w:val="%1、"/>
      <w:lvlJc w:val="left"/>
    </w:lvl>
  </w:abstractNum>
  <w:abstractNum w:abstractNumId="2">
    <w:nsid w:val="00000002"/>
    <w:multiLevelType w:val="multilevel"/>
    <w:tmpl w:val="00000002"/>
    <w:lvl w:ilvl="0" w:tentative="0">
      <w:start w:val="0"/>
      <w:numFmt w:val="decimal"/>
      <w:lvlText w:val=""/>
      <w:lvlJc w:val="left"/>
      <w:pPr>
        <w:tabs>
          <w:tab w:val="left" w:pos="0"/>
        </w:tabs>
        <w:ind w:left="0" w:firstLine="0"/>
      </w:pPr>
    </w:lvl>
    <w:lvl w:ilvl="1" w:tentative="0">
      <w:start w:val="0"/>
      <w:numFmt w:val="decimal"/>
      <w:lvlText w:val=""/>
      <w:lvlJc w:val="left"/>
      <w:pPr>
        <w:tabs>
          <w:tab w:val="left" w:pos="0"/>
        </w:tabs>
        <w:ind w:left="0" w:firstLine="0"/>
      </w:pPr>
    </w:lvl>
    <w:lvl w:ilvl="2" w:tentative="0">
      <w:start w:val="0"/>
      <w:numFmt w:val="decimal"/>
      <w:lvlText w:val=""/>
      <w:lvlJc w:val="left"/>
      <w:pPr>
        <w:tabs>
          <w:tab w:val="left" w:pos="0"/>
        </w:tabs>
        <w:ind w:left="0" w:firstLine="0"/>
      </w:pPr>
    </w:lvl>
    <w:lvl w:ilvl="3" w:tentative="0">
      <w:start w:val="0"/>
      <w:numFmt w:val="decimal"/>
      <w:lvlText w:val=""/>
      <w:lvlJc w:val="left"/>
      <w:pPr>
        <w:tabs>
          <w:tab w:val="left" w:pos="0"/>
        </w:tabs>
        <w:ind w:left="0" w:firstLine="0"/>
      </w:pPr>
    </w:lvl>
    <w:lvl w:ilvl="4" w:tentative="0">
      <w:start w:val="0"/>
      <w:numFmt w:val="decimal"/>
      <w:lvlText w:val=""/>
      <w:lvlJc w:val="left"/>
      <w:pPr>
        <w:tabs>
          <w:tab w:val="left" w:pos="0"/>
        </w:tabs>
        <w:ind w:left="0" w:firstLine="0"/>
      </w:pPr>
    </w:lvl>
    <w:lvl w:ilvl="5" w:tentative="0">
      <w:start w:val="0"/>
      <w:numFmt w:val="decimal"/>
      <w:lvlText w:val=""/>
      <w:lvlJc w:val="left"/>
      <w:pPr>
        <w:tabs>
          <w:tab w:val="left" w:pos="0"/>
        </w:tabs>
        <w:ind w:left="0" w:firstLine="0"/>
      </w:pPr>
    </w:lvl>
    <w:lvl w:ilvl="6" w:tentative="0">
      <w:start w:val="0"/>
      <w:numFmt w:val="decimal"/>
      <w:lvlText w:val=""/>
      <w:lvlJc w:val="left"/>
      <w:pPr>
        <w:tabs>
          <w:tab w:val="left" w:pos="0"/>
        </w:tabs>
        <w:ind w:left="0" w:firstLine="0"/>
      </w:pPr>
    </w:lvl>
    <w:lvl w:ilvl="7" w:tentative="0">
      <w:start w:val="0"/>
      <w:numFmt w:val="decimal"/>
      <w:lvlText w:val=""/>
      <w:lvlJc w:val="left"/>
      <w:pPr>
        <w:tabs>
          <w:tab w:val="left" w:pos="0"/>
        </w:tabs>
        <w:ind w:left="0" w:firstLine="0"/>
      </w:pPr>
    </w:lvl>
    <w:lvl w:ilvl="8" w:tentative="0">
      <w:start w:val="0"/>
      <w:numFmt w:val="decimal"/>
      <w:lvlText w:val=""/>
      <w:lvlJc w:val="left"/>
      <w:pPr>
        <w:tabs>
          <w:tab w:val="left" w:pos="0"/>
        </w:tabs>
        <w:ind w:left="0" w:firstLine="0"/>
      </w:pPr>
    </w:lvl>
  </w:abstractNum>
  <w:abstractNum w:abstractNumId="3">
    <w:nsid w:val="00000005"/>
    <w:multiLevelType w:val="multilevel"/>
    <w:tmpl w:val="00000005"/>
    <w:lvl w:ilvl="0" w:tentative="0">
      <w:start w:val="1"/>
      <w:numFmt w:val="decimal"/>
      <w:pStyle w:val="19"/>
      <w:lvlText w:val="%1、"/>
      <w:lvlJc w:val="left"/>
      <w:pPr>
        <w:tabs>
          <w:tab w:val="left" w:pos="0"/>
        </w:tabs>
        <w:ind w:left="420" w:hanging="420"/>
      </w:pPr>
      <w:rPr>
        <w:rFonts w:hint="default"/>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4">
    <w:nsid w:val="00000007"/>
    <w:multiLevelType w:val="multilevel"/>
    <w:tmpl w:val="00000007"/>
    <w:lvl w:ilvl="0" w:tentative="0">
      <w:start w:val="1"/>
      <w:numFmt w:val="bullet"/>
      <w:pStyle w:val="46"/>
      <w:lvlText w:val=""/>
      <w:lvlJc w:val="left"/>
      <w:pPr>
        <w:tabs>
          <w:tab w:val="left" w:pos="0"/>
        </w:tabs>
        <w:ind w:left="2520" w:hanging="420"/>
      </w:pPr>
      <w:rPr>
        <w:rFonts w:hint="default" w:ascii="Wingdings" w:hAnsi="Wingdings"/>
      </w:rPr>
    </w:lvl>
    <w:lvl w:ilvl="1" w:tentative="0">
      <w:start w:val="1"/>
      <w:numFmt w:val="bullet"/>
      <w:lvlText w:val=""/>
      <w:lvlJc w:val="left"/>
      <w:pPr>
        <w:tabs>
          <w:tab w:val="left" w:pos="0"/>
        </w:tabs>
        <w:ind w:left="2940" w:hanging="420"/>
      </w:pPr>
      <w:rPr>
        <w:rFonts w:hint="default" w:ascii="Wingdings" w:hAnsi="Wingdings"/>
      </w:rPr>
    </w:lvl>
    <w:lvl w:ilvl="2" w:tentative="0">
      <w:start w:val="1"/>
      <w:numFmt w:val="bullet"/>
      <w:lvlText w:val=""/>
      <w:lvlJc w:val="left"/>
      <w:pPr>
        <w:tabs>
          <w:tab w:val="left" w:pos="0"/>
        </w:tabs>
        <w:ind w:left="3360" w:hanging="420"/>
      </w:pPr>
      <w:rPr>
        <w:rFonts w:hint="default" w:ascii="Wingdings" w:hAnsi="Wingdings"/>
      </w:rPr>
    </w:lvl>
    <w:lvl w:ilvl="3" w:tentative="0">
      <w:start w:val="1"/>
      <w:numFmt w:val="bullet"/>
      <w:lvlText w:val=""/>
      <w:lvlJc w:val="left"/>
      <w:pPr>
        <w:tabs>
          <w:tab w:val="left" w:pos="0"/>
        </w:tabs>
        <w:ind w:left="3780" w:hanging="420"/>
      </w:pPr>
      <w:rPr>
        <w:rFonts w:hint="default" w:ascii="Wingdings" w:hAnsi="Wingdings"/>
      </w:rPr>
    </w:lvl>
    <w:lvl w:ilvl="4" w:tentative="0">
      <w:start w:val="1"/>
      <w:numFmt w:val="bullet"/>
      <w:lvlText w:val=""/>
      <w:lvlJc w:val="left"/>
      <w:pPr>
        <w:tabs>
          <w:tab w:val="left" w:pos="0"/>
        </w:tabs>
        <w:ind w:left="4200" w:hanging="420"/>
      </w:pPr>
      <w:rPr>
        <w:rFonts w:hint="default" w:ascii="Wingdings" w:hAnsi="Wingdings"/>
      </w:rPr>
    </w:lvl>
    <w:lvl w:ilvl="5" w:tentative="0">
      <w:start w:val="1"/>
      <w:numFmt w:val="bullet"/>
      <w:lvlText w:val=""/>
      <w:lvlJc w:val="left"/>
      <w:pPr>
        <w:tabs>
          <w:tab w:val="left" w:pos="0"/>
        </w:tabs>
        <w:ind w:left="4620" w:hanging="420"/>
      </w:pPr>
      <w:rPr>
        <w:rFonts w:hint="default" w:ascii="Wingdings" w:hAnsi="Wingdings"/>
      </w:rPr>
    </w:lvl>
    <w:lvl w:ilvl="6" w:tentative="0">
      <w:start w:val="1"/>
      <w:numFmt w:val="bullet"/>
      <w:lvlText w:val=""/>
      <w:lvlJc w:val="left"/>
      <w:pPr>
        <w:tabs>
          <w:tab w:val="left" w:pos="0"/>
        </w:tabs>
        <w:ind w:left="5040" w:hanging="420"/>
      </w:pPr>
      <w:rPr>
        <w:rFonts w:hint="default" w:ascii="Wingdings" w:hAnsi="Wingdings"/>
      </w:rPr>
    </w:lvl>
    <w:lvl w:ilvl="7" w:tentative="0">
      <w:start w:val="1"/>
      <w:numFmt w:val="bullet"/>
      <w:lvlText w:val=""/>
      <w:lvlJc w:val="left"/>
      <w:pPr>
        <w:tabs>
          <w:tab w:val="left" w:pos="0"/>
        </w:tabs>
        <w:ind w:left="5460" w:hanging="420"/>
      </w:pPr>
      <w:rPr>
        <w:rFonts w:hint="default" w:ascii="Wingdings" w:hAnsi="Wingdings"/>
      </w:rPr>
    </w:lvl>
    <w:lvl w:ilvl="8" w:tentative="0">
      <w:start w:val="1"/>
      <w:numFmt w:val="bullet"/>
      <w:lvlText w:val=""/>
      <w:lvlJc w:val="left"/>
      <w:pPr>
        <w:tabs>
          <w:tab w:val="left" w:pos="0"/>
        </w:tabs>
        <w:ind w:left="5880" w:hanging="420"/>
      </w:pPr>
      <w:rPr>
        <w:rFonts w:hint="default" w:ascii="Wingdings" w:hAnsi="Wingdings"/>
      </w:rPr>
    </w:lvl>
  </w:abstractNum>
  <w:abstractNum w:abstractNumId="5">
    <w:nsid w:val="00000009"/>
    <w:multiLevelType w:val="multilevel"/>
    <w:tmpl w:val="00000009"/>
    <w:lvl w:ilvl="0" w:tentative="0">
      <w:start w:val="1"/>
      <w:numFmt w:val="chineseCountingThousand"/>
      <w:pStyle w:val="65"/>
      <w:lvlText w:val="(%1)"/>
      <w:lvlJc w:val="left"/>
      <w:pPr>
        <w:tabs>
          <w:tab w:val="left" w:pos="0"/>
        </w:tabs>
        <w:ind w:left="1680" w:hanging="420"/>
      </w:pPr>
    </w:lvl>
    <w:lvl w:ilvl="1" w:tentative="0">
      <w:start w:val="1"/>
      <w:numFmt w:val="lowerLetter"/>
      <w:pStyle w:val="121"/>
      <w:lvlText w:val="%2)"/>
      <w:lvlJc w:val="left"/>
      <w:pPr>
        <w:tabs>
          <w:tab w:val="left" w:pos="0"/>
        </w:tabs>
        <w:ind w:left="2100" w:hanging="420"/>
      </w:pPr>
    </w:lvl>
    <w:lvl w:ilvl="2" w:tentative="0">
      <w:start w:val="1"/>
      <w:numFmt w:val="lowerRoman"/>
      <w:lvlText w:val="%3."/>
      <w:lvlJc w:val="right"/>
      <w:pPr>
        <w:tabs>
          <w:tab w:val="left" w:pos="0"/>
        </w:tabs>
        <w:ind w:left="2520" w:hanging="420"/>
      </w:pPr>
    </w:lvl>
    <w:lvl w:ilvl="3" w:tentative="0">
      <w:start w:val="1"/>
      <w:numFmt w:val="decimal"/>
      <w:lvlText w:val="%4."/>
      <w:lvlJc w:val="left"/>
      <w:pPr>
        <w:tabs>
          <w:tab w:val="left" w:pos="0"/>
        </w:tabs>
        <w:ind w:left="2940" w:hanging="420"/>
      </w:pPr>
    </w:lvl>
    <w:lvl w:ilvl="4" w:tentative="0">
      <w:start w:val="1"/>
      <w:numFmt w:val="lowerLetter"/>
      <w:lvlText w:val="%5)"/>
      <w:lvlJc w:val="left"/>
      <w:pPr>
        <w:tabs>
          <w:tab w:val="left" w:pos="0"/>
        </w:tabs>
        <w:ind w:left="3360" w:hanging="420"/>
      </w:pPr>
    </w:lvl>
    <w:lvl w:ilvl="5" w:tentative="0">
      <w:start w:val="1"/>
      <w:numFmt w:val="lowerRoman"/>
      <w:lvlText w:val="%6."/>
      <w:lvlJc w:val="right"/>
      <w:pPr>
        <w:tabs>
          <w:tab w:val="left" w:pos="0"/>
        </w:tabs>
        <w:ind w:left="3780" w:hanging="420"/>
      </w:pPr>
    </w:lvl>
    <w:lvl w:ilvl="6" w:tentative="0">
      <w:start w:val="1"/>
      <w:numFmt w:val="decimal"/>
      <w:lvlText w:val="%7."/>
      <w:lvlJc w:val="left"/>
      <w:pPr>
        <w:tabs>
          <w:tab w:val="left" w:pos="0"/>
        </w:tabs>
        <w:ind w:left="4200" w:hanging="420"/>
      </w:pPr>
    </w:lvl>
    <w:lvl w:ilvl="7" w:tentative="0">
      <w:start w:val="1"/>
      <w:numFmt w:val="lowerLetter"/>
      <w:lvlText w:val="%8)"/>
      <w:lvlJc w:val="left"/>
      <w:pPr>
        <w:tabs>
          <w:tab w:val="left" w:pos="0"/>
        </w:tabs>
        <w:ind w:left="4620" w:hanging="420"/>
      </w:pPr>
    </w:lvl>
    <w:lvl w:ilvl="8" w:tentative="0">
      <w:start w:val="1"/>
      <w:numFmt w:val="lowerRoman"/>
      <w:lvlText w:val="%9."/>
      <w:lvlJc w:val="right"/>
      <w:pPr>
        <w:tabs>
          <w:tab w:val="left" w:pos="0"/>
        </w:tabs>
        <w:ind w:left="5040" w:hanging="420"/>
      </w:pPr>
    </w:lvl>
  </w:abstractNum>
  <w:abstractNum w:abstractNumId="6">
    <w:nsid w:val="00000013"/>
    <w:multiLevelType w:val="singleLevel"/>
    <w:tmpl w:val="00000013"/>
    <w:lvl w:ilvl="0" w:tentative="0">
      <w:start w:val="1"/>
      <w:numFmt w:val="decimal"/>
      <w:suff w:val="nothing"/>
      <w:lvlText w:val="（%1）"/>
      <w:lvlJc w:val="left"/>
      <w:pPr>
        <w:ind w:left="0" w:firstLine="400"/>
      </w:pPr>
      <w:rPr>
        <w:rFonts w:hint="default"/>
      </w:rPr>
    </w:lvl>
  </w:abstractNum>
  <w:num w:numId="1">
    <w:abstractNumId w:val="3"/>
  </w:num>
  <w:num w:numId="2">
    <w:abstractNumId w:val="4"/>
  </w:num>
  <w:num w:numId="3">
    <w:abstractNumId w:val="5"/>
  </w:num>
  <w:num w:numId="4">
    <w:abstractNumId w:val="6"/>
  </w:num>
  <w:num w:numId="5">
    <w:abstractNumId w:val="0"/>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0MWZhZmUxNTc5Y2U5NDlmMjg0ZTg5NWFhMzJhYjgifQ=="/>
  </w:docVars>
  <w:rsids>
    <w:rsidRoot w:val="00172A27"/>
    <w:rsid w:val="00001E90"/>
    <w:rsid w:val="00004105"/>
    <w:rsid w:val="00004EC8"/>
    <w:rsid w:val="00006F70"/>
    <w:rsid w:val="000148A7"/>
    <w:rsid w:val="00014F6D"/>
    <w:rsid w:val="0002120A"/>
    <w:rsid w:val="000218F8"/>
    <w:rsid w:val="000244CB"/>
    <w:rsid w:val="00024831"/>
    <w:rsid w:val="000265F1"/>
    <w:rsid w:val="000311D6"/>
    <w:rsid w:val="000340FF"/>
    <w:rsid w:val="00034C82"/>
    <w:rsid w:val="000360DC"/>
    <w:rsid w:val="0003655C"/>
    <w:rsid w:val="00040FF3"/>
    <w:rsid w:val="00043C14"/>
    <w:rsid w:val="000450E4"/>
    <w:rsid w:val="0004707A"/>
    <w:rsid w:val="00050823"/>
    <w:rsid w:val="00051090"/>
    <w:rsid w:val="000516C4"/>
    <w:rsid w:val="00056045"/>
    <w:rsid w:val="00056C4E"/>
    <w:rsid w:val="000611D1"/>
    <w:rsid w:val="0006312C"/>
    <w:rsid w:val="00063D96"/>
    <w:rsid w:val="00064446"/>
    <w:rsid w:val="00065476"/>
    <w:rsid w:val="00065ADA"/>
    <w:rsid w:val="0006607F"/>
    <w:rsid w:val="00066EC8"/>
    <w:rsid w:val="00067510"/>
    <w:rsid w:val="00067F45"/>
    <w:rsid w:val="0008040D"/>
    <w:rsid w:val="0008193C"/>
    <w:rsid w:val="00081F9A"/>
    <w:rsid w:val="000845B8"/>
    <w:rsid w:val="00085C29"/>
    <w:rsid w:val="00087702"/>
    <w:rsid w:val="00087AA2"/>
    <w:rsid w:val="00096C90"/>
    <w:rsid w:val="0009775A"/>
    <w:rsid w:val="000977DA"/>
    <w:rsid w:val="000A0252"/>
    <w:rsid w:val="000A2388"/>
    <w:rsid w:val="000A5B81"/>
    <w:rsid w:val="000A6F06"/>
    <w:rsid w:val="000B0650"/>
    <w:rsid w:val="000B36E8"/>
    <w:rsid w:val="000B37BB"/>
    <w:rsid w:val="000B4450"/>
    <w:rsid w:val="000B68C4"/>
    <w:rsid w:val="000B7B3A"/>
    <w:rsid w:val="000B7F9D"/>
    <w:rsid w:val="000C115B"/>
    <w:rsid w:val="000C3AA3"/>
    <w:rsid w:val="000C4186"/>
    <w:rsid w:val="000D0D18"/>
    <w:rsid w:val="000D35B6"/>
    <w:rsid w:val="000D3D1A"/>
    <w:rsid w:val="000D5EAE"/>
    <w:rsid w:val="000D7267"/>
    <w:rsid w:val="000D73E8"/>
    <w:rsid w:val="000D7BCB"/>
    <w:rsid w:val="000E475B"/>
    <w:rsid w:val="000E4FE3"/>
    <w:rsid w:val="000E5CD9"/>
    <w:rsid w:val="000E7E7C"/>
    <w:rsid w:val="000F2382"/>
    <w:rsid w:val="000F6F99"/>
    <w:rsid w:val="00104E27"/>
    <w:rsid w:val="0010742B"/>
    <w:rsid w:val="00107B11"/>
    <w:rsid w:val="00110BEB"/>
    <w:rsid w:val="001142FF"/>
    <w:rsid w:val="0011506A"/>
    <w:rsid w:val="001151E8"/>
    <w:rsid w:val="00115A2F"/>
    <w:rsid w:val="00116039"/>
    <w:rsid w:val="001170CA"/>
    <w:rsid w:val="0012342A"/>
    <w:rsid w:val="00125713"/>
    <w:rsid w:val="00126457"/>
    <w:rsid w:val="00127640"/>
    <w:rsid w:val="001312F4"/>
    <w:rsid w:val="00132693"/>
    <w:rsid w:val="001334A3"/>
    <w:rsid w:val="00133B15"/>
    <w:rsid w:val="001414A3"/>
    <w:rsid w:val="0014179D"/>
    <w:rsid w:val="00143C01"/>
    <w:rsid w:val="00146C32"/>
    <w:rsid w:val="00147043"/>
    <w:rsid w:val="00151B56"/>
    <w:rsid w:val="00152CD5"/>
    <w:rsid w:val="00153D76"/>
    <w:rsid w:val="0015707E"/>
    <w:rsid w:val="001608E3"/>
    <w:rsid w:val="00160B7C"/>
    <w:rsid w:val="00161ED3"/>
    <w:rsid w:val="00162919"/>
    <w:rsid w:val="00164BB1"/>
    <w:rsid w:val="001659DC"/>
    <w:rsid w:val="00172A27"/>
    <w:rsid w:val="0017553E"/>
    <w:rsid w:val="00177329"/>
    <w:rsid w:val="00180097"/>
    <w:rsid w:val="001807C5"/>
    <w:rsid w:val="00180E0B"/>
    <w:rsid w:val="00180EBB"/>
    <w:rsid w:val="001818F7"/>
    <w:rsid w:val="00181C6A"/>
    <w:rsid w:val="00183838"/>
    <w:rsid w:val="001858A7"/>
    <w:rsid w:val="00190470"/>
    <w:rsid w:val="00192D91"/>
    <w:rsid w:val="00197F8F"/>
    <w:rsid w:val="001A4245"/>
    <w:rsid w:val="001A45A1"/>
    <w:rsid w:val="001B5EC7"/>
    <w:rsid w:val="001C7E6F"/>
    <w:rsid w:val="001D107E"/>
    <w:rsid w:val="001D22A3"/>
    <w:rsid w:val="001D2526"/>
    <w:rsid w:val="001D4829"/>
    <w:rsid w:val="001E10A1"/>
    <w:rsid w:val="001E2581"/>
    <w:rsid w:val="001E3C0A"/>
    <w:rsid w:val="001E4256"/>
    <w:rsid w:val="001E465D"/>
    <w:rsid w:val="001E4EFF"/>
    <w:rsid w:val="001E52AE"/>
    <w:rsid w:val="001E5764"/>
    <w:rsid w:val="001E6384"/>
    <w:rsid w:val="001E67FC"/>
    <w:rsid w:val="001F1B72"/>
    <w:rsid w:val="001F351C"/>
    <w:rsid w:val="001F43BB"/>
    <w:rsid w:val="00206FE0"/>
    <w:rsid w:val="00210037"/>
    <w:rsid w:val="002136D7"/>
    <w:rsid w:val="00215D93"/>
    <w:rsid w:val="00221A10"/>
    <w:rsid w:val="00222BFD"/>
    <w:rsid w:val="00225688"/>
    <w:rsid w:val="002302F7"/>
    <w:rsid w:val="00231EEA"/>
    <w:rsid w:val="00233B4D"/>
    <w:rsid w:val="002340CA"/>
    <w:rsid w:val="00234475"/>
    <w:rsid w:val="00236502"/>
    <w:rsid w:val="00244230"/>
    <w:rsid w:val="0024615F"/>
    <w:rsid w:val="002507FD"/>
    <w:rsid w:val="002622FA"/>
    <w:rsid w:val="00263828"/>
    <w:rsid w:val="00264B52"/>
    <w:rsid w:val="002701B6"/>
    <w:rsid w:val="00270BF2"/>
    <w:rsid w:val="0027437F"/>
    <w:rsid w:val="00274AC7"/>
    <w:rsid w:val="00275DC1"/>
    <w:rsid w:val="00275F7D"/>
    <w:rsid w:val="002767FE"/>
    <w:rsid w:val="00281164"/>
    <w:rsid w:val="002822DF"/>
    <w:rsid w:val="002862B3"/>
    <w:rsid w:val="00286C72"/>
    <w:rsid w:val="00290409"/>
    <w:rsid w:val="00290D9B"/>
    <w:rsid w:val="0029209B"/>
    <w:rsid w:val="00292466"/>
    <w:rsid w:val="00295778"/>
    <w:rsid w:val="0029694F"/>
    <w:rsid w:val="002A0157"/>
    <w:rsid w:val="002A0F69"/>
    <w:rsid w:val="002A2221"/>
    <w:rsid w:val="002A2871"/>
    <w:rsid w:val="002A5A6C"/>
    <w:rsid w:val="002A5C91"/>
    <w:rsid w:val="002A5CFF"/>
    <w:rsid w:val="002A786E"/>
    <w:rsid w:val="002B183C"/>
    <w:rsid w:val="002B2770"/>
    <w:rsid w:val="002B4204"/>
    <w:rsid w:val="002C0EDA"/>
    <w:rsid w:val="002C32C0"/>
    <w:rsid w:val="002C3A31"/>
    <w:rsid w:val="002C51E8"/>
    <w:rsid w:val="002C5311"/>
    <w:rsid w:val="002C558B"/>
    <w:rsid w:val="002D2AE2"/>
    <w:rsid w:val="002D6979"/>
    <w:rsid w:val="002D6B00"/>
    <w:rsid w:val="002D72E1"/>
    <w:rsid w:val="002E1227"/>
    <w:rsid w:val="002E2A5C"/>
    <w:rsid w:val="002E2F23"/>
    <w:rsid w:val="002E4EE2"/>
    <w:rsid w:val="002E7597"/>
    <w:rsid w:val="002F1029"/>
    <w:rsid w:val="002F658F"/>
    <w:rsid w:val="002F79C3"/>
    <w:rsid w:val="002F7B49"/>
    <w:rsid w:val="00300FB3"/>
    <w:rsid w:val="00301C69"/>
    <w:rsid w:val="0030407B"/>
    <w:rsid w:val="0030582A"/>
    <w:rsid w:val="00312A94"/>
    <w:rsid w:val="00313F92"/>
    <w:rsid w:val="00321251"/>
    <w:rsid w:val="003221C6"/>
    <w:rsid w:val="0032292A"/>
    <w:rsid w:val="00322BE5"/>
    <w:rsid w:val="003300CA"/>
    <w:rsid w:val="003332EF"/>
    <w:rsid w:val="00334984"/>
    <w:rsid w:val="00337392"/>
    <w:rsid w:val="003403AB"/>
    <w:rsid w:val="00341213"/>
    <w:rsid w:val="0034373C"/>
    <w:rsid w:val="003439B2"/>
    <w:rsid w:val="00344CBF"/>
    <w:rsid w:val="003507F6"/>
    <w:rsid w:val="00353D53"/>
    <w:rsid w:val="0035580C"/>
    <w:rsid w:val="00355AE7"/>
    <w:rsid w:val="00361653"/>
    <w:rsid w:val="003624EB"/>
    <w:rsid w:val="003638AD"/>
    <w:rsid w:val="00364870"/>
    <w:rsid w:val="00366E40"/>
    <w:rsid w:val="00367878"/>
    <w:rsid w:val="00372B55"/>
    <w:rsid w:val="00372C22"/>
    <w:rsid w:val="003735D9"/>
    <w:rsid w:val="00373E06"/>
    <w:rsid w:val="00374AE4"/>
    <w:rsid w:val="003763B9"/>
    <w:rsid w:val="0038029E"/>
    <w:rsid w:val="003804B2"/>
    <w:rsid w:val="00380898"/>
    <w:rsid w:val="00380E64"/>
    <w:rsid w:val="00382D4D"/>
    <w:rsid w:val="00386D11"/>
    <w:rsid w:val="00390339"/>
    <w:rsid w:val="00393DE7"/>
    <w:rsid w:val="00393EAF"/>
    <w:rsid w:val="0039425B"/>
    <w:rsid w:val="00395D05"/>
    <w:rsid w:val="003A1FC3"/>
    <w:rsid w:val="003A409D"/>
    <w:rsid w:val="003B23F7"/>
    <w:rsid w:val="003B4B84"/>
    <w:rsid w:val="003B684B"/>
    <w:rsid w:val="003B68EC"/>
    <w:rsid w:val="003B7160"/>
    <w:rsid w:val="003C27E4"/>
    <w:rsid w:val="003C5D4A"/>
    <w:rsid w:val="003D5143"/>
    <w:rsid w:val="003D71C6"/>
    <w:rsid w:val="003D7DE6"/>
    <w:rsid w:val="003E104E"/>
    <w:rsid w:val="003E1A4F"/>
    <w:rsid w:val="003E5178"/>
    <w:rsid w:val="003E6419"/>
    <w:rsid w:val="003F2892"/>
    <w:rsid w:val="003F5DBD"/>
    <w:rsid w:val="00400A2D"/>
    <w:rsid w:val="00402C21"/>
    <w:rsid w:val="004062F2"/>
    <w:rsid w:val="0040643D"/>
    <w:rsid w:val="00406702"/>
    <w:rsid w:val="0041232F"/>
    <w:rsid w:val="00414EAD"/>
    <w:rsid w:val="004238C2"/>
    <w:rsid w:val="00423ECF"/>
    <w:rsid w:val="0042783F"/>
    <w:rsid w:val="004356D5"/>
    <w:rsid w:val="0043606D"/>
    <w:rsid w:val="0044041F"/>
    <w:rsid w:val="00447483"/>
    <w:rsid w:val="00450F5E"/>
    <w:rsid w:val="00451254"/>
    <w:rsid w:val="0045279D"/>
    <w:rsid w:val="00455F42"/>
    <w:rsid w:val="00456CED"/>
    <w:rsid w:val="004624B6"/>
    <w:rsid w:val="004647BD"/>
    <w:rsid w:val="00465128"/>
    <w:rsid w:val="00466ABA"/>
    <w:rsid w:val="0047061D"/>
    <w:rsid w:val="00474AEB"/>
    <w:rsid w:val="00475209"/>
    <w:rsid w:val="00475BAB"/>
    <w:rsid w:val="00477CEA"/>
    <w:rsid w:val="004901B8"/>
    <w:rsid w:val="0049034D"/>
    <w:rsid w:val="00490C74"/>
    <w:rsid w:val="00490F58"/>
    <w:rsid w:val="00491DD0"/>
    <w:rsid w:val="00493E02"/>
    <w:rsid w:val="004949AA"/>
    <w:rsid w:val="004A0348"/>
    <w:rsid w:val="004A03C5"/>
    <w:rsid w:val="004A54AE"/>
    <w:rsid w:val="004A6592"/>
    <w:rsid w:val="004B1EAE"/>
    <w:rsid w:val="004B391D"/>
    <w:rsid w:val="004C3206"/>
    <w:rsid w:val="004C52E1"/>
    <w:rsid w:val="004D0400"/>
    <w:rsid w:val="004D0DFB"/>
    <w:rsid w:val="004D0E89"/>
    <w:rsid w:val="004D68E2"/>
    <w:rsid w:val="004D700E"/>
    <w:rsid w:val="004E0899"/>
    <w:rsid w:val="004E2865"/>
    <w:rsid w:val="004E2C31"/>
    <w:rsid w:val="004E38B7"/>
    <w:rsid w:val="004E57B3"/>
    <w:rsid w:val="004E69E4"/>
    <w:rsid w:val="004F17DC"/>
    <w:rsid w:val="004F35D4"/>
    <w:rsid w:val="004F4993"/>
    <w:rsid w:val="004F4E77"/>
    <w:rsid w:val="004F58EA"/>
    <w:rsid w:val="004F64E5"/>
    <w:rsid w:val="004F6FB5"/>
    <w:rsid w:val="00501927"/>
    <w:rsid w:val="00505FE8"/>
    <w:rsid w:val="00506A8F"/>
    <w:rsid w:val="00511ABC"/>
    <w:rsid w:val="00513B1B"/>
    <w:rsid w:val="00514A9D"/>
    <w:rsid w:val="0051549D"/>
    <w:rsid w:val="005156ED"/>
    <w:rsid w:val="00515FD9"/>
    <w:rsid w:val="00517938"/>
    <w:rsid w:val="00520884"/>
    <w:rsid w:val="00522FFA"/>
    <w:rsid w:val="00523913"/>
    <w:rsid w:val="00525165"/>
    <w:rsid w:val="00526874"/>
    <w:rsid w:val="00527220"/>
    <w:rsid w:val="00530B4F"/>
    <w:rsid w:val="005354F4"/>
    <w:rsid w:val="0054117A"/>
    <w:rsid w:val="00541466"/>
    <w:rsid w:val="005426C2"/>
    <w:rsid w:val="005427B0"/>
    <w:rsid w:val="00542EC3"/>
    <w:rsid w:val="00547B0F"/>
    <w:rsid w:val="005506D7"/>
    <w:rsid w:val="00552CDB"/>
    <w:rsid w:val="00553B6E"/>
    <w:rsid w:val="005576F4"/>
    <w:rsid w:val="0056097A"/>
    <w:rsid w:val="00561B17"/>
    <w:rsid w:val="00562DC9"/>
    <w:rsid w:val="00562E21"/>
    <w:rsid w:val="00565B7F"/>
    <w:rsid w:val="00570A36"/>
    <w:rsid w:val="00580347"/>
    <w:rsid w:val="0058255B"/>
    <w:rsid w:val="00585DEB"/>
    <w:rsid w:val="00586BA8"/>
    <w:rsid w:val="00587CA1"/>
    <w:rsid w:val="00590423"/>
    <w:rsid w:val="00594907"/>
    <w:rsid w:val="00596B45"/>
    <w:rsid w:val="00597C2A"/>
    <w:rsid w:val="00597D6C"/>
    <w:rsid w:val="005A367A"/>
    <w:rsid w:val="005B33B6"/>
    <w:rsid w:val="005B5580"/>
    <w:rsid w:val="005B558F"/>
    <w:rsid w:val="005B62EB"/>
    <w:rsid w:val="005B79F2"/>
    <w:rsid w:val="005C01D0"/>
    <w:rsid w:val="005C158A"/>
    <w:rsid w:val="005C6F72"/>
    <w:rsid w:val="005C70B9"/>
    <w:rsid w:val="005D2556"/>
    <w:rsid w:val="005D381D"/>
    <w:rsid w:val="005D3F71"/>
    <w:rsid w:val="005D5F9F"/>
    <w:rsid w:val="005D6ABF"/>
    <w:rsid w:val="005D7BD2"/>
    <w:rsid w:val="005E7C2E"/>
    <w:rsid w:val="005F0C18"/>
    <w:rsid w:val="005F0F37"/>
    <w:rsid w:val="005F1ADE"/>
    <w:rsid w:val="005F31EE"/>
    <w:rsid w:val="005F3850"/>
    <w:rsid w:val="005F3C71"/>
    <w:rsid w:val="005F5AC9"/>
    <w:rsid w:val="005F6B07"/>
    <w:rsid w:val="00604B11"/>
    <w:rsid w:val="006068FE"/>
    <w:rsid w:val="00611691"/>
    <w:rsid w:val="006125C1"/>
    <w:rsid w:val="00613EA4"/>
    <w:rsid w:val="006158DC"/>
    <w:rsid w:val="00617352"/>
    <w:rsid w:val="0062290F"/>
    <w:rsid w:val="006255F3"/>
    <w:rsid w:val="00625A1E"/>
    <w:rsid w:val="0062775E"/>
    <w:rsid w:val="00627B7E"/>
    <w:rsid w:val="006330A9"/>
    <w:rsid w:val="006344F0"/>
    <w:rsid w:val="006351D4"/>
    <w:rsid w:val="00635D16"/>
    <w:rsid w:val="00637D8B"/>
    <w:rsid w:val="006405CA"/>
    <w:rsid w:val="00640DDD"/>
    <w:rsid w:val="006440B6"/>
    <w:rsid w:val="00644852"/>
    <w:rsid w:val="00645AD7"/>
    <w:rsid w:val="00646B8D"/>
    <w:rsid w:val="00653672"/>
    <w:rsid w:val="00654F03"/>
    <w:rsid w:val="00654F46"/>
    <w:rsid w:val="00655105"/>
    <w:rsid w:val="006557D1"/>
    <w:rsid w:val="0065768C"/>
    <w:rsid w:val="00665230"/>
    <w:rsid w:val="00667925"/>
    <w:rsid w:val="00675812"/>
    <w:rsid w:val="006773E7"/>
    <w:rsid w:val="00681038"/>
    <w:rsid w:val="00681B6F"/>
    <w:rsid w:val="006937E9"/>
    <w:rsid w:val="00693B53"/>
    <w:rsid w:val="00694399"/>
    <w:rsid w:val="00695A0A"/>
    <w:rsid w:val="00695F94"/>
    <w:rsid w:val="006A1B02"/>
    <w:rsid w:val="006A255B"/>
    <w:rsid w:val="006A418E"/>
    <w:rsid w:val="006A590C"/>
    <w:rsid w:val="006B27F8"/>
    <w:rsid w:val="006B41E5"/>
    <w:rsid w:val="006B47A5"/>
    <w:rsid w:val="006B5D47"/>
    <w:rsid w:val="006B60D1"/>
    <w:rsid w:val="006B66B4"/>
    <w:rsid w:val="006B7213"/>
    <w:rsid w:val="006C10C2"/>
    <w:rsid w:val="006C303B"/>
    <w:rsid w:val="006C54CC"/>
    <w:rsid w:val="006C6DB3"/>
    <w:rsid w:val="006D099C"/>
    <w:rsid w:val="006D1643"/>
    <w:rsid w:val="006D367E"/>
    <w:rsid w:val="006D3D6D"/>
    <w:rsid w:val="006E3A31"/>
    <w:rsid w:val="006E7E41"/>
    <w:rsid w:val="006F0C7F"/>
    <w:rsid w:val="006F13E4"/>
    <w:rsid w:val="006F142E"/>
    <w:rsid w:val="006F2CA1"/>
    <w:rsid w:val="006F2F6A"/>
    <w:rsid w:val="006F62B4"/>
    <w:rsid w:val="007032B0"/>
    <w:rsid w:val="00705B5C"/>
    <w:rsid w:val="007100E3"/>
    <w:rsid w:val="00710B68"/>
    <w:rsid w:val="0071154E"/>
    <w:rsid w:val="00712BAC"/>
    <w:rsid w:val="00715074"/>
    <w:rsid w:val="007152F2"/>
    <w:rsid w:val="007152F5"/>
    <w:rsid w:val="00715922"/>
    <w:rsid w:val="0071665F"/>
    <w:rsid w:val="0072082E"/>
    <w:rsid w:val="00720E58"/>
    <w:rsid w:val="00720E70"/>
    <w:rsid w:val="00723B21"/>
    <w:rsid w:val="0073122D"/>
    <w:rsid w:val="0073382B"/>
    <w:rsid w:val="0073518F"/>
    <w:rsid w:val="00735749"/>
    <w:rsid w:val="00735EBA"/>
    <w:rsid w:val="00741FF1"/>
    <w:rsid w:val="00743912"/>
    <w:rsid w:val="00743FEB"/>
    <w:rsid w:val="00744456"/>
    <w:rsid w:val="00746BF0"/>
    <w:rsid w:val="00750219"/>
    <w:rsid w:val="00753218"/>
    <w:rsid w:val="00757186"/>
    <w:rsid w:val="007578CF"/>
    <w:rsid w:val="0076010C"/>
    <w:rsid w:val="0076077A"/>
    <w:rsid w:val="00764B0C"/>
    <w:rsid w:val="00766B9E"/>
    <w:rsid w:val="007670FD"/>
    <w:rsid w:val="00767CD6"/>
    <w:rsid w:val="00770556"/>
    <w:rsid w:val="00770758"/>
    <w:rsid w:val="007752E5"/>
    <w:rsid w:val="00775372"/>
    <w:rsid w:val="00775657"/>
    <w:rsid w:val="00776E23"/>
    <w:rsid w:val="0077759C"/>
    <w:rsid w:val="0078068F"/>
    <w:rsid w:val="0078322A"/>
    <w:rsid w:val="0078395A"/>
    <w:rsid w:val="00783B42"/>
    <w:rsid w:val="00787FBB"/>
    <w:rsid w:val="00793C6A"/>
    <w:rsid w:val="007947F9"/>
    <w:rsid w:val="0079719E"/>
    <w:rsid w:val="00797CB2"/>
    <w:rsid w:val="007A03A2"/>
    <w:rsid w:val="007A5167"/>
    <w:rsid w:val="007A5228"/>
    <w:rsid w:val="007B1415"/>
    <w:rsid w:val="007B195D"/>
    <w:rsid w:val="007B1A5A"/>
    <w:rsid w:val="007B25EB"/>
    <w:rsid w:val="007B4391"/>
    <w:rsid w:val="007B4801"/>
    <w:rsid w:val="007C6D49"/>
    <w:rsid w:val="007D037B"/>
    <w:rsid w:val="007D7DE4"/>
    <w:rsid w:val="007E17DC"/>
    <w:rsid w:val="007E3965"/>
    <w:rsid w:val="007F03FA"/>
    <w:rsid w:val="007F2C5A"/>
    <w:rsid w:val="007F2D9C"/>
    <w:rsid w:val="007F606A"/>
    <w:rsid w:val="0080083F"/>
    <w:rsid w:val="008015D1"/>
    <w:rsid w:val="00802A4C"/>
    <w:rsid w:val="00802E5C"/>
    <w:rsid w:val="00805197"/>
    <w:rsid w:val="00806023"/>
    <w:rsid w:val="00806E61"/>
    <w:rsid w:val="00810656"/>
    <w:rsid w:val="00813D13"/>
    <w:rsid w:val="0081423D"/>
    <w:rsid w:val="0082125C"/>
    <w:rsid w:val="00821BEF"/>
    <w:rsid w:val="00821FCB"/>
    <w:rsid w:val="0082632D"/>
    <w:rsid w:val="00837A4C"/>
    <w:rsid w:val="00841EF3"/>
    <w:rsid w:val="00843404"/>
    <w:rsid w:val="00847B6B"/>
    <w:rsid w:val="0085641F"/>
    <w:rsid w:val="00856FBA"/>
    <w:rsid w:val="00860CE5"/>
    <w:rsid w:val="00861495"/>
    <w:rsid w:val="00861BB9"/>
    <w:rsid w:val="00863DCD"/>
    <w:rsid w:val="00865162"/>
    <w:rsid w:val="0087254B"/>
    <w:rsid w:val="00872D54"/>
    <w:rsid w:val="00883F78"/>
    <w:rsid w:val="00884879"/>
    <w:rsid w:val="008914A4"/>
    <w:rsid w:val="008914CC"/>
    <w:rsid w:val="0089204E"/>
    <w:rsid w:val="00893C51"/>
    <w:rsid w:val="0089486F"/>
    <w:rsid w:val="00897C18"/>
    <w:rsid w:val="008A04DE"/>
    <w:rsid w:val="008A0C4D"/>
    <w:rsid w:val="008A1DAC"/>
    <w:rsid w:val="008A310E"/>
    <w:rsid w:val="008B0575"/>
    <w:rsid w:val="008B0B79"/>
    <w:rsid w:val="008B1DD5"/>
    <w:rsid w:val="008B2872"/>
    <w:rsid w:val="008B443F"/>
    <w:rsid w:val="008C38C6"/>
    <w:rsid w:val="008C6055"/>
    <w:rsid w:val="008D660E"/>
    <w:rsid w:val="008D7667"/>
    <w:rsid w:val="008E28EC"/>
    <w:rsid w:val="008E77F1"/>
    <w:rsid w:val="008F0C14"/>
    <w:rsid w:val="008F0CB8"/>
    <w:rsid w:val="008F195C"/>
    <w:rsid w:val="008F3F6B"/>
    <w:rsid w:val="008F4188"/>
    <w:rsid w:val="008F5E29"/>
    <w:rsid w:val="008F60C6"/>
    <w:rsid w:val="0090189C"/>
    <w:rsid w:val="00903BAF"/>
    <w:rsid w:val="00903CD5"/>
    <w:rsid w:val="009066CE"/>
    <w:rsid w:val="00911FBF"/>
    <w:rsid w:val="00917038"/>
    <w:rsid w:val="0092057F"/>
    <w:rsid w:val="00922F73"/>
    <w:rsid w:val="00923909"/>
    <w:rsid w:val="00924D16"/>
    <w:rsid w:val="00927CFC"/>
    <w:rsid w:val="00931C2D"/>
    <w:rsid w:val="00931EEC"/>
    <w:rsid w:val="009328CF"/>
    <w:rsid w:val="009359FC"/>
    <w:rsid w:val="00941C14"/>
    <w:rsid w:val="00941F6D"/>
    <w:rsid w:val="00941F8C"/>
    <w:rsid w:val="00944768"/>
    <w:rsid w:val="00944C39"/>
    <w:rsid w:val="00944FB6"/>
    <w:rsid w:val="009477FA"/>
    <w:rsid w:val="00951595"/>
    <w:rsid w:val="00951B28"/>
    <w:rsid w:val="00952C55"/>
    <w:rsid w:val="009602DB"/>
    <w:rsid w:val="00961A73"/>
    <w:rsid w:val="0096261E"/>
    <w:rsid w:val="0096549C"/>
    <w:rsid w:val="009719E6"/>
    <w:rsid w:val="00975176"/>
    <w:rsid w:val="0097651B"/>
    <w:rsid w:val="00976C2E"/>
    <w:rsid w:val="00980912"/>
    <w:rsid w:val="00982F3D"/>
    <w:rsid w:val="0098305C"/>
    <w:rsid w:val="0098394B"/>
    <w:rsid w:val="0098607E"/>
    <w:rsid w:val="00987AE0"/>
    <w:rsid w:val="00992F77"/>
    <w:rsid w:val="00995E9E"/>
    <w:rsid w:val="009A1642"/>
    <w:rsid w:val="009A2380"/>
    <w:rsid w:val="009A3187"/>
    <w:rsid w:val="009A4645"/>
    <w:rsid w:val="009A4E90"/>
    <w:rsid w:val="009B13CE"/>
    <w:rsid w:val="009B2227"/>
    <w:rsid w:val="009B38DF"/>
    <w:rsid w:val="009B654C"/>
    <w:rsid w:val="009B6616"/>
    <w:rsid w:val="009C1646"/>
    <w:rsid w:val="009C2073"/>
    <w:rsid w:val="009C2589"/>
    <w:rsid w:val="009D0D53"/>
    <w:rsid w:val="009D313A"/>
    <w:rsid w:val="009E3FD5"/>
    <w:rsid w:val="009E607D"/>
    <w:rsid w:val="009E60BB"/>
    <w:rsid w:val="009F1587"/>
    <w:rsid w:val="009F2834"/>
    <w:rsid w:val="009F3DFD"/>
    <w:rsid w:val="009F716D"/>
    <w:rsid w:val="00A0241D"/>
    <w:rsid w:val="00A1071E"/>
    <w:rsid w:val="00A1090F"/>
    <w:rsid w:val="00A10D2D"/>
    <w:rsid w:val="00A120C5"/>
    <w:rsid w:val="00A1257C"/>
    <w:rsid w:val="00A17177"/>
    <w:rsid w:val="00A21761"/>
    <w:rsid w:val="00A22268"/>
    <w:rsid w:val="00A2397A"/>
    <w:rsid w:val="00A349AD"/>
    <w:rsid w:val="00A35789"/>
    <w:rsid w:val="00A35A6F"/>
    <w:rsid w:val="00A412B6"/>
    <w:rsid w:val="00A41E30"/>
    <w:rsid w:val="00A436C8"/>
    <w:rsid w:val="00A470C2"/>
    <w:rsid w:val="00A50C32"/>
    <w:rsid w:val="00A52097"/>
    <w:rsid w:val="00A539CE"/>
    <w:rsid w:val="00A53A5C"/>
    <w:rsid w:val="00A54DAB"/>
    <w:rsid w:val="00A56487"/>
    <w:rsid w:val="00A56EC2"/>
    <w:rsid w:val="00A57E76"/>
    <w:rsid w:val="00A634FF"/>
    <w:rsid w:val="00A6538C"/>
    <w:rsid w:val="00A667C3"/>
    <w:rsid w:val="00A70223"/>
    <w:rsid w:val="00A718F3"/>
    <w:rsid w:val="00A72789"/>
    <w:rsid w:val="00A729D2"/>
    <w:rsid w:val="00A742FD"/>
    <w:rsid w:val="00A75F0B"/>
    <w:rsid w:val="00A77B6D"/>
    <w:rsid w:val="00A83353"/>
    <w:rsid w:val="00A866C9"/>
    <w:rsid w:val="00A90FF7"/>
    <w:rsid w:val="00A94218"/>
    <w:rsid w:val="00A97DDF"/>
    <w:rsid w:val="00AA185E"/>
    <w:rsid w:val="00AA29C9"/>
    <w:rsid w:val="00AA557C"/>
    <w:rsid w:val="00AA58CD"/>
    <w:rsid w:val="00AA5924"/>
    <w:rsid w:val="00AA73F6"/>
    <w:rsid w:val="00AA760E"/>
    <w:rsid w:val="00AB0CD3"/>
    <w:rsid w:val="00AB152D"/>
    <w:rsid w:val="00AB24EE"/>
    <w:rsid w:val="00AB3170"/>
    <w:rsid w:val="00AB54D8"/>
    <w:rsid w:val="00AB69D3"/>
    <w:rsid w:val="00AC1E74"/>
    <w:rsid w:val="00AC7595"/>
    <w:rsid w:val="00AD2E7A"/>
    <w:rsid w:val="00AD311D"/>
    <w:rsid w:val="00AD3778"/>
    <w:rsid w:val="00AD4C64"/>
    <w:rsid w:val="00AD5DCC"/>
    <w:rsid w:val="00AD5FB8"/>
    <w:rsid w:val="00AE34E9"/>
    <w:rsid w:val="00AE4F67"/>
    <w:rsid w:val="00AE5270"/>
    <w:rsid w:val="00AE6C16"/>
    <w:rsid w:val="00AE761C"/>
    <w:rsid w:val="00AF1F25"/>
    <w:rsid w:val="00AF224E"/>
    <w:rsid w:val="00AF2AB4"/>
    <w:rsid w:val="00AF5A54"/>
    <w:rsid w:val="00AF6D04"/>
    <w:rsid w:val="00AF74BF"/>
    <w:rsid w:val="00B04ADB"/>
    <w:rsid w:val="00B0581A"/>
    <w:rsid w:val="00B21C1F"/>
    <w:rsid w:val="00B3726A"/>
    <w:rsid w:val="00B42BF1"/>
    <w:rsid w:val="00B43CAE"/>
    <w:rsid w:val="00B43F0E"/>
    <w:rsid w:val="00B4566A"/>
    <w:rsid w:val="00B50C90"/>
    <w:rsid w:val="00B515D2"/>
    <w:rsid w:val="00B5679E"/>
    <w:rsid w:val="00B56C09"/>
    <w:rsid w:val="00B622A3"/>
    <w:rsid w:val="00B63AF0"/>
    <w:rsid w:val="00B64979"/>
    <w:rsid w:val="00B65F6A"/>
    <w:rsid w:val="00B679DF"/>
    <w:rsid w:val="00B7244D"/>
    <w:rsid w:val="00B72DD1"/>
    <w:rsid w:val="00B7663E"/>
    <w:rsid w:val="00B77DF7"/>
    <w:rsid w:val="00B77FD2"/>
    <w:rsid w:val="00B820D7"/>
    <w:rsid w:val="00B823DB"/>
    <w:rsid w:val="00B8314E"/>
    <w:rsid w:val="00B87415"/>
    <w:rsid w:val="00B87EE1"/>
    <w:rsid w:val="00B91650"/>
    <w:rsid w:val="00B9492A"/>
    <w:rsid w:val="00B963D2"/>
    <w:rsid w:val="00BA11A5"/>
    <w:rsid w:val="00BA39C0"/>
    <w:rsid w:val="00BB0916"/>
    <w:rsid w:val="00BB1A71"/>
    <w:rsid w:val="00BB26C1"/>
    <w:rsid w:val="00BB4547"/>
    <w:rsid w:val="00BB5443"/>
    <w:rsid w:val="00BB685A"/>
    <w:rsid w:val="00BC0D60"/>
    <w:rsid w:val="00BC20F1"/>
    <w:rsid w:val="00BC3236"/>
    <w:rsid w:val="00BC6121"/>
    <w:rsid w:val="00BD232F"/>
    <w:rsid w:val="00BD2EB6"/>
    <w:rsid w:val="00BD33D6"/>
    <w:rsid w:val="00BD5BB0"/>
    <w:rsid w:val="00BD79D1"/>
    <w:rsid w:val="00BD79E0"/>
    <w:rsid w:val="00BE4B41"/>
    <w:rsid w:val="00BE5607"/>
    <w:rsid w:val="00BE67E8"/>
    <w:rsid w:val="00BF05A8"/>
    <w:rsid w:val="00BF4D29"/>
    <w:rsid w:val="00BF5DC2"/>
    <w:rsid w:val="00BF76D3"/>
    <w:rsid w:val="00BF7959"/>
    <w:rsid w:val="00C03986"/>
    <w:rsid w:val="00C049B1"/>
    <w:rsid w:val="00C07FEF"/>
    <w:rsid w:val="00C14582"/>
    <w:rsid w:val="00C15642"/>
    <w:rsid w:val="00C216A5"/>
    <w:rsid w:val="00C231C3"/>
    <w:rsid w:val="00C25390"/>
    <w:rsid w:val="00C26DFF"/>
    <w:rsid w:val="00C275D0"/>
    <w:rsid w:val="00C27A9E"/>
    <w:rsid w:val="00C32100"/>
    <w:rsid w:val="00C3621E"/>
    <w:rsid w:val="00C44F65"/>
    <w:rsid w:val="00C46808"/>
    <w:rsid w:val="00C47C80"/>
    <w:rsid w:val="00C52744"/>
    <w:rsid w:val="00C55A2F"/>
    <w:rsid w:val="00C56873"/>
    <w:rsid w:val="00C60A6D"/>
    <w:rsid w:val="00C636C0"/>
    <w:rsid w:val="00C66CEA"/>
    <w:rsid w:val="00C7067E"/>
    <w:rsid w:val="00C746BF"/>
    <w:rsid w:val="00C80C64"/>
    <w:rsid w:val="00C829CC"/>
    <w:rsid w:val="00C8491E"/>
    <w:rsid w:val="00C87FED"/>
    <w:rsid w:val="00C91A43"/>
    <w:rsid w:val="00C91D19"/>
    <w:rsid w:val="00C95C6C"/>
    <w:rsid w:val="00CA1F5B"/>
    <w:rsid w:val="00CA23B5"/>
    <w:rsid w:val="00CA327F"/>
    <w:rsid w:val="00CB6334"/>
    <w:rsid w:val="00CB67CC"/>
    <w:rsid w:val="00CB6B8A"/>
    <w:rsid w:val="00CC0EFC"/>
    <w:rsid w:val="00CC220E"/>
    <w:rsid w:val="00CC35F2"/>
    <w:rsid w:val="00CC39F3"/>
    <w:rsid w:val="00CC46FA"/>
    <w:rsid w:val="00CC4A89"/>
    <w:rsid w:val="00CD2C66"/>
    <w:rsid w:val="00CD5FBE"/>
    <w:rsid w:val="00CD7D8F"/>
    <w:rsid w:val="00CF056A"/>
    <w:rsid w:val="00CF2AFD"/>
    <w:rsid w:val="00CF2B0D"/>
    <w:rsid w:val="00CF562B"/>
    <w:rsid w:val="00CF5F27"/>
    <w:rsid w:val="00D00686"/>
    <w:rsid w:val="00D02264"/>
    <w:rsid w:val="00D076AE"/>
    <w:rsid w:val="00D10C3A"/>
    <w:rsid w:val="00D118EC"/>
    <w:rsid w:val="00D11AC9"/>
    <w:rsid w:val="00D142C4"/>
    <w:rsid w:val="00D17001"/>
    <w:rsid w:val="00D175A2"/>
    <w:rsid w:val="00D2157D"/>
    <w:rsid w:val="00D2212F"/>
    <w:rsid w:val="00D3059B"/>
    <w:rsid w:val="00D3719C"/>
    <w:rsid w:val="00D42DA9"/>
    <w:rsid w:val="00D45388"/>
    <w:rsid w:val="00D459ED"/>
    <w:rsid w:val="00D46728"/>
    <w:rsid w:val="00D4672D"/>
    <w:rsid w:val="00D47F55"/>
    <w:rsid w:val="00D50240"/>
    <w:rsid w:val="00D513B9"/>
    <w:rsid w:val="00D519C3"/>
    <w:rsid w:val="00D52561"/>
    <w:rsid w:val="00D54725"/>
    <w:rsid w:val="00D54C8C"/>
    <w:rsid w:val="00D5631A"/>
    <w:rsid w:val="00D566B1"/>
    <w:rsid w:val="00D63567"/>
    <w:rsid w:val="00D6789A"/>
    <w:rsid w:val="00D7135A"/>
    <w:rsid w:val="00D733EA"/>
    <w:rsid w:val="00D74C6F"/>
    <w:rsid w:val="00D77700"/>
    <w:rsid w:val="00D82257"/>
    <w:rsid w:val="00D82FD3"/>
    <w:rsid w:val="00D840C0"/>
    <w:rsid w:val="00D84667"/>
    <w:rsid w:val="00D846CC"/>
    <w:rsid w:val="00D86D80"/>
    <w:rsid w:val="00D8746C"/>
    <w:rsid w:val="00D878CE"/>
    <w:rsid w:val="00D945FC"/>
    <w:rsid w:val="00DB1BBB"/>
    <w:rsid w:val="00DB48C1"/>
    <w:rsid w:val="00DB7538"/>
    <w:rsid w:val="00DD2009"/>
    <w:rsid w:val="00DD2704"/>
    <w:rsid w:val="00DD304B"/>
    <w:rsid w:val="00DD3262"/>
    <w:rsid w:val="00DD3AFF"/>
    <w:rsid w:val="00DE0DFC"/>
    <w:rsid w:val="00DE1BDA"/>
    <w:rsid w:val="00DE1BDC"/>
    <w:rsid w:val="00DE3904"/>
    <w:rsid w:val="00DE3BCE"/>
    <w:rsid w:val="00DE48FF"/>
    <w:rsid w:val="00DE568F"/>
    <w:rsid w:val="00DF2BD4"/>
    <w:rsid w:val="00DF4174"/>
    <w:rsid w:val="00DF431B"/>
    <w:rsid w:val="00DF6A4C"/>
    <w:rsid w:val="00E02DEE"/>
    <w:rsid w:val="00E0579C"/>
    <w:rsid w:val="00E06551"/>
    <w:rsid w:val="00E072AF"/>
    <w:rsid w:val="00E13291"/>
    <w:rsid w:val="00E1566F"/>
    <w:rsid w:val="00E16D14"/>
    <w:rsid w:val="00E17A16"/>
    <w:rsid w:val="00E17CB9"/>
    <w:rsid w:val="00E225BA"/>
    <w:rsid w:val="00E257BD"/>
    <w:rsid w:val="00E27C65"/>
    <w:rsid w:val="00E32F5B"/>
    <w:rsid w:val="00E33F63"/>
    <w:rsid w:val="00E340D0"/>
    <w:rsid w:val="00E35BB8"/>
    <w:rsid w:val="00E37A4F"/>
    <w:rsid w:val="00E43F28"/>
    <w:rsid w:val="00E45BD1"/>
    <w:rsid w:val="00E476AA"/>
    <w:rsid w:val="00E53277"/>
    <w:rsid w:val="00E5361F"/>
    <w:rsid w:val="00E5649A"/>
    <w:rsid w:val="00E570AB"/>
    <w:rsid w:val="00E60DEF"/>
    <w:rsid w:val="00E64D8D"/>
    <w:rsid w:val="00E64E0B"/>
    <w:rsid w:val="00E7312F"/>
    <w:rsid w:val="00E7413F"/>
    <w:rsid w:val="00E7679E"/>
    <w:rsid w:val="00E769E7"/>
    <w:rsid w:val="00E8056F"/>
    <w:rsid w:val="00E90365"/>
    <w:rsid w:val="00E93585"/>
    <w:rsid w:val="00E94557"/>
    <w:rsid w:val="00E96CC1"/>
    <w:rsid w:val="00EA0766"/>
    <w:rsid w:val="00EA0B53"/>
    <w:rsid w:val="00EA293B"/>
    <w:rsid w:val="00EA2A98"/>
    <w:rsid w:val="00EB0A2F"/>
    <w:rsid w:val="00EB684B"/>
    <w:rsid w:val="00EB69C2"/>
    <w:rsid w:val="00EC079A"/>
    <w:rsid w:val="00EC0EF0"/>
    <w:rsid w:val="00EC2757"/>
    <w:rsid w:val="00EC7B89"/>
    <w:rsid w:val="00ED1B90"/>
    <w:rsid w:val="00ED5C15"/>
    <w:rsid w:val="00ED75B8"/>
    <w:rsid w:val="00ED786E"/>
    <w:rsid w:val="00EE1E35"/>
    <w:rsid w:val="00EE3CB2"/>
    <w:rsid w:val="00EF3D88"/>
    <w:rsid w:val="00EF592A"/>
    <w:rsid w:val="00F006AC"/>
    <w:rsid w:val="00F0166F"/>
    <w:rsid w:val="00F0485B"/>
    <w:rsid w:val="00F06199"/>
    <w:rsid w:val="00F06889"/>
    <w:rsid w:val="00F06CFE"/>
    <w:rsid w:val="00F115A1"/>
    <w:rsid w:val="00F14283"/>
    <w:rsid w:val="00F14859"/>
    <w:rsid w:val="00F14998"/>
    <w:rsid w:val="00F175B7"/>
    <w:rsid w:val="00F17809"/>
    <w:rsid w:val="00F242A2"/>
    <w:rsid w:val="00F2658C"/>
    <w:rsid w:val="00F27736"/>
    <w:rsid w:val="00F30A55"/>
    <w:rsid w:val="00F46E16"/>
    <w:rsid w:val="00F50AE1"/>
    <w:rsid w:val="00F52925"/>
    <w:rsid w:val="00F549FF"/>
    <w:rsid w:val="00F54E40"/>
    <w:rsid w:val="00F55EB3"/>
    <w:rsid w:val="00F5661E"/>
    <w:rsid w:val="00F6415E"/>
    <w:rsid w:val="00F67136"/>
    <w:rsid w:val="00F700B0"/>
    <w:rsid w:val="00F7072A"/>
    <w:rsid w:val="00F70DFF"/>
    <w:rsid w:val="00F72D0E"/>
    <w:rsid w:val="00F74269"/>
    <w:rsid w:val="00F744EA"/>
    <w:rsid w:val="00F74674"/>
    <w:rsid w:val="00F8413E"/>
    <w:rsid w:val="00F85665"/>
    <w:rsid w:val="00F8693D"/>
    <w:rsid w:val="00F86E40"/>
    <w:rsid w:val="00F87990"/>
    <w:rsid w:val="00F91FC9"/>
    <w:rsid w:val="00F920D2"/>
    <w:rsid w:val="00F96D8F"/>
    <w:rsid w:val="00FA176E"/>
    <w:rsid w:val="00FA240F"/>
    <w:rsid w:val="00FA2584"/>
    <w:rsid w:val="00FA2B2F"/>
    <w:rsid w:val="00FA7989"/>
    <w:rsid w:val="00FB0A5F"/>
    <w:rsid w:val="00FB1E1C"/>
    <w:rsid w:val="00FB7999"/>
    <w:rsid w:val="00FB7D4E"/>
    <w:rsid w:val="00FB7F4F"/>
    <w:rsid w:val="00FC0FA9"/>
    <w:rsid w:val="00FC4AA8"/>
    <w:rsid w:val="00FD26E3"/>
    <w:rsid w:val="00FD410F"/>
    <w:rsid w:val="00FD55EC"/>
    <w:rsid w:val="00FD5DF1"/>
    <w:rsid w:val="00FD5FE0"/>
    <w:rsid w:val="00FE01A8"/>
    <w:rsid w:val="00FE568C"/>
    <w:rsid w:val="00FE699D"/>
    <w:rsid w:val="00FE70BB"/>
    <w:rsid w:val="00FF0094"/>
    <w:rsid w:val="00FF16E2"/>
    <w:rsid w:val="00FF681C"/>
    <w:rsid w:val="015F6184"/>
    <w:rsid w:val="03480A3A"/>
    <w:rsid w:val="03910922"/>
    <w:rsid w:val="04790B48"/>
    <w:rsid w:val="07191689"/>
    <w:rsid w:val="07900DD6"/>
    <w:rsid w:val="07A96E08"/>
    <w:rsid w:val="0A720951"/>
    <w:rsid w:val="0B014935"/>
    <w:rsid w:val="0B0E0C05"/>
    <w:rsid w:val="0C874956"/>
    <w:rsid w:val="0CF531F5"/>
    <w:rsid w:val="0D707A33"/>
    <w:rsid w:val="0DFA4114"/>
    <w:rsid w:val="128A37C9"/>
    <w:rsid w:val="131D6FF7"/>
    <w:rsid w:val="135F6956"/>
    <w:rsid w:val="178D4E46"/>
    <w:rsid w:val="18EF138C"/>
    <w:rsid w:val="18F15D4D"/>
    <w:rsid w:val="1E9623BB"/>
    <w:rsid w:val="20B40A1C"/>
    <w:rsid w:val="21477C75"/>
    <w:rsid w:val="217E3A7B"/>
    <w:rsid w:val="22014FA9"/>
    <w:rsid w:val="2A3F2BD5"/>
    <w:rsid w:val="2AE73386"/>
    <w:rsid w:val="2AEC1D54"/>
    <w:rsid w:val="2AFB2851"/>
    <w:rsid w:val="2C004309"/>
    <w:rsid w:val="2CC42325"/>
    <w:rsid w:val="2E87787C"/>
    <w:rsid w:val="31953E54"/>
    <w:rsid w:val="33096330"/>
    <w:rsid w:val="331E10D8"/>
    <w:rsid w:val="36D819D5"/>
    <w:rsid w:val="39950D9A"/>
    <w:rsid w:val="3AAA4898"/>
    <w:rsid w:val="3AD0194F"/>
    <w:rsid w:val="3C7F796D"/>
    <w:rsid w:val="3D6176E6"/>
    <w:rsid w:val="3D961015"/>
    <w:rsid w:val="3E0F6C59"/>
    <w:rsid w:val="3E8B3679"/>
    <w:rsid w:val="3FE96445"/>
    <w:rsid w:val="409F5E6C"/>
    <w:rsid w:val="40CD35C3"/>
    <w:rsid w:val="429C58EE"/>
    <w:rsid w:val="430F4676"/>
    <w:rsid w:val="43155CD3"/>
    <w:rsid w:val="440F013F"/>
    <w:rsid w:val="453A4D31"/>
    <w:rsid w:val="45C86B07"/>
    <w:rsid w:val="4E5A63AA"/>
    <w:rsid w:val="502F3701"/>
    <w:rsid w:val="50EB46E2"/>
    <w:rsid w:val="511F7A80"/>
    <w:rsid w:val="542C4745"/>
    <w:rsid w:val="54DA7F8F"/>
    <w:rsid w:val="55CF52C2"/>
    <w:rsid w:val="56024291"/>
    <w:rsid w:val="577640C2"/>
    <w:rsid w:val="599154FE"/>
    <w:rsid w:val="5B39348F"/>
    <w:rsid w:val="5C0A5678"/>
    <w:rsid w:val="5D012795"/>
    <w:rsid w:val="5E5030FF"/>
    <w:rsid w:val="5E542828"/>
    <w:rsid w:val="5E631844"/>
    <w:rsid w:val="5EC4664F"/>
    <w:rsid w:val="63413E16"/>
    <w:rsid w:val="63804532"/>
    <w:rsid w:val="642C60EE"/>
    <w:rsid w:val="64A52A2C"/>
    <w:rsid w:val="65E25482"/>
    <w:rsid w:val="667C2D67"/>
    <w:rsid w:val="67726C21"/>
    <w:rsid w:val="678364F9"/>
    <w:rsid w:val="6B83603D"/>
    <w:rsid w:val="6C8261E1"/>
    <w:rsid w:val="6DA373BD"/>
    <w:rsid w:val="6DAE450C"/>
    <w:rsid w:val="6DFB0B9A"/>
    <w:rsid w:val="6E0334DC"/>
    <w:rsid w:val="6F9A4902"/>
    <w:rsid w:val="70A93A25"/>
    <w:rsid w:val="71E36359"/>
    <w:rsid w:val="73AD4A88"/>
    <w:rsid w:val="73AE3EC0"/>
    <w:rsid w:val="73B62661"/>
    <w:rsid w:val="74D37BE3"/>
    <w:rsid w:val="76EF258C"/>
    <w:rsid w:val="792E1024"/>
    <w:rsid w:val="7BD75745"/>
    <w:rsid w:val="7CD120D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pacing w:line="360" w:lineRule="atLeast"/>
      <w:textAlignment w:val="baseline"/>
    </w:pPr>
    <w:rPr>
      <w:rFonts w:ascii="Times New Roman" w:hAnsi="Times New Roman" w:eastAsia="宋体" w:cs="Times New Roman"/>
      <w:sz w:val="24"/>
      <w:lang w:val="en-US" w:eastAsia="zh-CN" w:bidi="ar-SA"/>
    </w:rPr>
  </w:style>
  <w:style w:type="paragraph" w:styleId="3">
    <w:name w:val="heading 1"/>
    <w:basedOn w:val="1"/>
    <w:next w:val="1"/>
    <w:link w:val="129"/>
    <w:qFormat/>
    <w:uiPriority w:val="0"/>
    <w:pPr>
      <w:keepNext/>
      <w:keepLines/>
      <w:tabs>
        <w:tab w:val="left" w:pos="0"/>
      </w:tabs>
      <w:spacing w:before="340" w:after="330" w:line="578" w:lineRule="atLeast"/>
      <w:outlineLvl w:val="0"/>
    </w:pPr>
    <w:rPr>
      <w:b/>
      <w:bCs/>
      <w:kern w:val="44"/>
      <w:sz w:val="44"/>
      <w:szCs w:val="44"/>
    </w:rPr>
  </w:style>
  <w:style w:type="paragraph" w:styleId="4">
    <w:name w:val="heading 2"/>
    <w:basedOn w:val="1"/>
    <w:next w:val="1"/>
    <w:link w:val="130"/>
    <w:qFormat/>
    <w:uiPriority w:val="0"/>
    <w:pPr>
      <w:keepNext/>
      <w:keepLines/>
      <w:tabs>
        <w:tab w:val="left" w:pos="0"/>
      </w:tabs>
      <w:spacing w:before="260" w:after="260" w:line="416" w:lineRule="atLeast"/>
      <w:outlineLvl w:val="1"/>
    </w:pPr>
    <w:rPr>
      <w:rFonts w:ascii="Arial" w:hAnsi="Arial" w:eastAsia="黑体"/>
      <w:b/>
      <w:bCs/>
      <w:sz w:val="32"/>
      <w:szCs w:val="32"/>
    </w:rPr>
  </w:style>
  <w:style w:type="paragraph" w:styleId="5">
    <w:name w:val="heading 3"/>
    <w:basedOn w:val="1"/>
    <w:next w:val="1"/>
    <w:link w:val="131"/>
    <w:qFormat/>
    <w:uiPriority w:val="9"/>
    <w:pPr>
      <w:keepNext/>
      <w:keepLines/>
      <w:tabs>
        <w:tab w:val="left" w:pos="0"/>
      </w:tabs>
      <w:spacing w:before="260" w:after="260" w:line="416" w:lineRule="atLeast"/>
      <w:outlineLvl w:val="2"/>
    </w:pPr>
    <w:rPr>
      <w:b/>
      <w:bCs/>
      <w:sz w:val="32"/>
      <w:szCs w:val="32"/>
    </w:rPr>
  </w:style>
  <w:style w:type="paragraph" w:styleId="6">
    <w:name w:val="heading 4"/>
    <w:basedOn w:val="1"/>
    <w:next w:val="1"/>
    <w:link w:val="132"/>
    <w:qFormat/>
    <w:uiPriority w:val="9"/>
    <w:pPr>
      <w:keepNext/>
      <w:keepLines/>
      <w:tabs>
        <w:tab w:val="left" w:pos="0"/>
      </w:tabs>
      <w:spacing w:before="280" w:after="290" w:line="376" w:lineRule="atLeast"/>
      <w:outlineLvl w:val="3"/>
    </w:pPr>
    <w:rPr>
      <w:rFonts w:ascii="Arial" w:hAnsi="Arial" w:eastAsia="黑体"/>
      <w:b/>
      <w:bCs/>
      <w:sz w:val="28"/>
      <w:szCs w:val="28"/>
    </w:rPr>
  </w:style>
  <w:style w:type="paragraph" w:styleId="7">
    <w:name w:val="heading 5"/>
    <w:basedOn w:val="1"/>
    <w:next w:val="1"/>
    <w:link w:val="133"/>
    <w:qFormat/>
    <w:uiPriority w:val="0"/>
    <w:pPr>
      <w:keepNext/>
      <w:keepLines/>
      <w:tabs>
        <w:tab w:val="left" w:pos="0"/>
      </w:tabs>
      <w:spacing w:before="280" w:after="290" w:line="376" w:lineRule="atLeast"/>
      <w:outlineLvl w:val="4"/>
    </w:pPr>
    <w:rPr>
      <w:b/>
      <w:bCs/>
      <w:sz w:val="28"/>
      <w:szCs w:val="28"/>
    </w:rPr>
  </w:style>
  <w:style w:type="paragraph" w:styleId="8">
    <w:name w:val="heading 6"/>
    <w:basedOn w:val="1"/>
    <w:next w:val="1"/>
    <w:link w:val="134"/>
    <w:qFormat/>
    <w:uiPriority w:val="0"/>
    <w:pPr>
      <w:keepNext/>
      <w:keepLines/>
      <w:tabs>
        <w:tab w:val="left" w:pos="0"/>
      </w:tabs>
      <w:spacing w:before="240" w:after="64" w:line="320" w:lineRule="atLeast"/>
      <w:outlineLvl w:val="5"/>
    </w:pPr>
    <w:rPr>
      <w:rFonts w:ascii="Arial" w:hAnsi="Arial" w:eastAsia="黑体"/>
      <w:b/>
      <w:bCs/>
      <w:szCs w:val="24"/>
    </w:rPr>
  </w:style>
  <w:style w:type="paragraph" w:styleId="9">
    <w:name w:val="heading 7"/>
    <w:basedOn w:val="1"/>
    <w:next w:val="1"/>
    <w:link w:val="135"/>
    <w:qFormat/>
    <w:uiPriority w:val="0"/>
    <w:pPr>
      <w:keepNext/>
      <w:keepLines/>
      <w:tabs>
        <w:tab w:val="left" w:pos="0"/>
      </w:tabs>
      <w:spacing w:before="240" w:after="64" w:line="320" w:lineRule="atLeast"/>
      <w:outlineLvl w:val="6"/>
    </w:pPr>
    <w:rPr>
      <w:b/>
      <w:bCs/>
      <w:szCs w:val="24"/>
    </w:rPr>
  </w:style>
  <w:style w:type="paragraph" w:styleId="10">
    <w:name w:val="heading 8"/>
    <w:basedOn w:val="1"/>
    <w:next w:val="1"/>
    <w:link w:val="136"/>
    <w:qFormat/>
    <w:uiPriority w:val="0"/>
    <w:pPr>
      <w:keepNext/>
      <w:keepLines/>
      <w:tabs>
        <w:tab w:val="left" w:pos="0"/>
      </w:tabs>
      <w:spacing w:before="240" w:after="64" w:line="320" w:lineRule="atLeast"/>
      <w:outlineLvl w:val="7"/>
    </w:pPr>
    <w:rPr>
      <w:rFonts w:ascii="Arial" w:hAnsi="Arial" w:eastAsia="黑体"/>
      <w:szCs w:val="24"/>
    </w:rPr>
  </w:style>
  <w:style w:type="paragraph" w:styleId="11">
    <w:name w:val="heading 9"/>
    <w:basedOn w:val="1"/>
    <w:next w:val="1"/>
    <w:link w:val="137"/>
    <w:qFormat/>
    <w:uiPriority w:val="0"/>
    <w:pPr>
      <w:keepNext/>
      <w:keepLines/>
      <w:tabs>
        <w:tab w:val="left" w:pos="0"/>
      </w:tabs>
      <w:spacing w:before="240" w:after="64" w:line="320" w:lineRule="atLeast"/>
      <w:outlineLvl w:val="8"/>
    </w:pPr>
    <w:rPr>
      <w:rFonts w:ascii="Arial" w:hAnsi="Arial" w:eastAsia="黑体"/>
      <w:sz w:val="21"/>
      <w:szCs w:val="21"/>
    </w:rPr>
  </w:style>
  <w:style w:type="character" w:default="1" w:styleId="41">
    <w:name w:val="Default Paragraph Font"/>
    <w:unhideWhenUsed/>
    <w:qFormat/>
    <w:uiPriority w:val="1"/>
  </w:style>
  <w:style w:type="table" w:default="1" w:styleId="39">
    <w:name w:val="Normal Table"/>
    <w:unhideWhenUsed/>
    <w:qFormat/>
    <w:uiPriority w:val="99"/>
    <w:tblPr>
      <w:tblCellMar>
        <w:top w:w="0" w:type="dxa"/>
        <w:left w:w="108" w:type="dxa"/>
        <w:bottom w:w="0" w:type="dxa"/>
        <w:right w:w="108" w:type="dxa"/>
      </w:tblCellMar>
    </w:tblPr>
  </w:style>
  <w:style w:type="paragraph" w:styleId="2">
    <w:name w:val="Body Text"/>
    <w:basedOn w:val="1"/>
    <w:next w:val="1"/>
    <w:link w:val="140"/>
    <w:qFormat/>
    <w:uiPriority w:val="0"/>
    <w:pPr>
      <w:adjustRightInd/>
      <w:spacing w:line="240" w:lineRule="auto"/>
      <w:jc w:val="both"/>
      <w:textAlignment w:val="auto"/>
    </w:pPr>
    <w:rPr>
      <w:kern w:val="2"/>
      <w:sz w:val="28"/>
    </w:rPr>
  </w:style>
  <w:style w:type="paragraph" w:styleId="12">
    <w:name w:val="toc 7"/>
    <w:basedOn w:val="1"/>
    <w:next w:val="1"/>
    <w:qFormat/>
    <w:uiPriority w:val="0"/>
    <w:pPr>
      <w:ind w:left="1200"/>
    </w:pPr>
    <w:rPr>
      <w:sz w:val="20"/>
    </w:rPr>
  </w:style>
  <w:style w:type="paragraph" w:styleId="13">
    <w:name w:val="Normal Indent"/>
    <w:basedOn w:val="1"/>
    <w:next w:val="1"/>
    <w:link w:val="142"/>
    <w:qFormat/>
    <w:uiPriority w:val="0"/>
    <w:pPr>
      <w:ind w:firstLine="200" w:firstLineChars="200"/>
    </w:pPr>
  </w:style>
  <w:style w:type="paragraph" w:styleId="14">
    <w:name w:val="caption"/>
    <w:basedOn w:val="1"/>
    <w:next w:val="1"/>
    <w:qFormat/>
    <w:uiPriority w:val="0"/>
    <w:pPr>
      <w:spacing w:line="480" w:lineRule="auto"/>
    </w:pPr>
    <w:rPr>
      <w:rFonts w:ascii="华文中宋" w:eastAsia="华文中宋"/>
      <w:kern w:val="2"/>
      <w:sz w:val="36"/>
    </w:rPr>
  </w:style>
  <w:style w:type="paragraph" w:styleId="15">
    <w:name w:val="Document Map"/>
    <w:basedOn w:val="1"/>
    <w:link w:val="143"/>
    <w:qFormat/>
    <w:uiPriority w:val="99"/>
    <w:pPr>
      <w:shd w:val="clear" w:color="auto" w:fill="000080"/>
    </w:pPr>
  </w:style>
  <w:style w:type="paragraph" w:styleId="16">
    <w:name w:val="annotation text"/>
    <w:basedOn w:val="1"/>
    <w:link w:val="138"/>
    <w:qFormat/>
    <w:uiPriority w:val="0"/>
  </w:style>
  <w:style w:type="paragraph" w:styleId="17">
    <w:name w:val="Salutation"/>
    <w:next w:val="1"/>
    <w:link w:val="144"/>
    <w:qFormat/>
    <w:uiPriority w:val="0"/>
    <w:pPr>
      <w:widowControl w:val="0"/>
      <w:adjustRightInd w:val="0"/>
      <w:snapToGrid w:val="0"/>
      <w:spacing w:line="360" w:lineRule="auto"/>
      <w:jc w:val="both"/>
    </w:pPr>
    <w:rPr>
      <w:rFonts w:ascii="方正仿宋_GBK" w:hAnsi="Times New Roman" w:eastAsia="方正仿宋_GBK" w:cs="方正仿宋_GBK"/>
      <w:sz w:val="32"/>
      <w:szCs w:val="32"/>
      <w:lang w:val="en-US" w:eastAsia="zh-CN" w:bidi="ar-SA"/>
    </w:rPr>
  </w:style>
  <w:style w:type="paragraph" w:styleId="18">
    <w:name w:val="Body Text Indent"/>
    <w:basedOn w:val="1"/>
    <w:link w:val="145"/>
    <w:qFormat/>
    <w:uiPriority w:val="0"/>
    <w:pPr>
      <w:spacing w:line="240" w:lineRule="auto"/>
      <w:ind w:left="460" w:leftChars="460"/>
    </w:pPr>
    <w:rPr>
      <w:rFonts w:ascii="宋体"/>
      <w:szCs w:val="21"/>
    </w:rPr>
  </w:style>
  <w:style w:type="paragraph" w:styleId="19">
    <w:name w:val="List Bullet 2"/>
    <w:basedOn w:val="1"/>
    <w:qFormat/>
    <w:uiPriority w:val="0"/>
    <w:pPr>
      <w:numPr>
        <w:ilvl w:val="0"/>
        <w:numId w:val="1"/>
      </w:numPr>
    </w:pPr>
  </w:style>
  <w:style w:type="paragraph" w:styleId="20">
    <w:name w:val="toc 5"/>
    <w:basedOn w:val="1"/>
    <w:next w:val="1"/>
    <w:qFormat/>
    <w:uiPriority w:val="39"/>
    <w:pPr>
      <w:ind w:left="720"/>
    </w:pPr>
    <w:rPr>
      <w:sz w:val="20"/>
    </w:rPr>
  </w:style>
  <w:style w:type="paragraph" w:styleId="21">
    <w:name w:val="toc 3"/>
    <w:basedOn w:val="1"/>
    <w:next w:val="1"/>
    <w:qFormat/>
    <w:uiPriority w:val="39"/>
    <w:pPr>
      <w:ind w:left="240"/>
    </w:pPr>
    <w:rPr>
      <w:sz w:val="20"/>
    </w:rPr>
  </w:style>
  <w:style w:type="paragraph" w:styleId="22">
    <w:name w:val="Plain Text"/>
    <w:basedOn w:val="1"/>
    <w:link w:val="146"/>
    <w:qFormat/>
    <w:uiPriority w:val="0"/>
    <w:pPr>
      <w:adjustRightInd/>
      <w:spacing w:line="240" w:lineRule="auto"/>
      <w:jc w:val="both"/>
      <w:textAlignment w:val="auto"/>
    </w:pPr>
    <w:rPr>
      <w:rFonts w:ascii="宋体"/>
      <w:kern w:val="2"/>
      <w:sz w:val="21"/>
      <w:szCs w:val="21"/>
    </w:rPr>
  </w:style>
  <w:style w:type="paragraph" w:styleId="23">
    <w:name w:val="toc 8"/>
    <w:basedOn w:val="1"/>
    <w:next w:val="1"/>
    <w:qFormat/>
    <w:uiPriority w:val="0"/>
    <w:pPr>
      <w:ind w:left="1440"/>
    </w:pPr>
    <w:rPr>
      <w:sz w:val="20"/>
    </w:rPr>
  </w:style>
  <w:style w:type="paragraph" w:styleId="24">
    <w:name w:val="Date"/>
    <w:basedOn w:val="1"/>
    <w:next w:val="1"/>
    <w:link w:val="147"/>
    <w:qFormat/>
    <w:uiPriority w:val="0"/>
    <w:pPr>
      <w:adjustRightInd/>
      <w:spacing w:line="240" w:lineRule="auto"/>
      <w:ind w:left="2500" w:leftChars="2500"/>
      <w:jc w:val="both"/>
      <w:textAlignment w:val="auto"/>
    </w:pPr>
    <w:rPr>
      <w:kern w:val="2"/>
      <w:sz w:val="21"/>
    </w:rPr>
  </w:style>
  <w:style w:type="paragraph" w:styleId="25">
    <w:name w:val="Body Text Indent 2"/>
    <w:basedOn w:val="1"/>
    <w:link w:val="148"/>
    <w:qFormat/>
    <w:uiPriority w:val="0"/>
    <w:pPr>
      <w:spacing w:line="240" w:lineRule="auto"/>
      <w:ind w:firstLine="244" w:firstLineChars="244"/>
    </w:pPr>
    <w:rPr>
      <w:rFonts w:ascii="宋体"/>
      <w:szCs w:val="21"/>
    </w:rPr>
  </w:style>
  <w:style w:type="paragraph" w:styleId="26">
    <w:name w:val="Balloon Text"/>
    <w:basedOn w:val="1"/>
    <w:link w:val="149"/>
    <w:qFormat/>
    <w:uiPriority w:val="0"/>
    <w:rPr>
      <w:sz w:val="18"/>
      <w:szCs w:val="18"/>
    </w:rPr>
  </w:style>
  <w:style w:type="paragraph" w:styleId="27">
    <w:name w:val="footer"/>
    <w:basedOn w:val="1"/>
    <w:link w:val="150"/>
    <w:qFormat/>
    <w:uiPriority w:val="99"/>
    <w:pPr>
      <w:tabs>
        <w:tab w:val="center" w:pos="4153"/>
        <w:tab w:val="right" w:pos="8306"/>
      </w:tabs>
      <w:spacing w:line="240" w:lineRule="atLeast"/>
    </w:pPr>
    <w:rPr>
      <w:sz w:val="18"/>
    </w:rPr>
  </w:style>
  <w:style w:type="paragraph" w:styleId="28">
    <w:name w:val="header"/>
    <w:basedOn w:val="1"/>
    <w:link w:val="151"/>
    <w:qFormat/>
    <w:uiPriority w:val="99"/>
    <w:pPr>
      <w:pBdr>
        <w:bottom w:val="single" w:color="auto" w:sz="6" w:space="1"/>
      </w:pBdr>
      <w:tabs>
        <w:tab w:val="center" w:pos="4153"/>
        <w:tab w:val="right" w:pos="8306"/>
      </w:tabs>
      <w:spacing w:line="240" w:lineRule="atLeast"/>
      <w:jc w:val="center"/>
    </w:pPr>
    <w:rPr>
      <w:sz w:val="18"/>
    </w:rPr>
  </w:style>
  <w:style w:type="paragraph" w:styleId="29">
    <w:name w:val="toc 1"/>
    <w:basedOn w:val="1"/>
    <w:next w:val="1"/>
    <w:qFormat/>
    <w:uiPriority w:val="39"/>
    <w:pPr>
      <w:spacing w:before="360"/>
    </w:pPr>
    <w:rPr>
      <w:rFonts w:ascii="Arial" w:hAnsi="Arial" w:cs="Arial"/>
      <w:b/>
      <w:bCs/>
      <w:caps/>
      <w:szCs w:val="24"/>
    </w:rPr>
  </w:style>
  <w:style w:type="paragraph" w:styleId="30">
    <w:name w:val="toc 4"/>
    <w:basedOn w:val="1"/>
    <w:next w:val="1"/>
    <w:qFormat/>
    <w:uiPriority w:val="39"/>
    <w:pPr>
      <w:ind w:left="480"/>
    </w:pPr>
    <w:rPr>
      <w:sz w:val="20"/>
    </w:rPr>
  </w:style>
  <w:style w:type="paragraph" w:styleId="31">
    <w:name w:val="toc 6"/>
    <w:basedOn w:val="1"/>
    <w:next w:val="1"/>
    <w:qFormat/>
    <w:uiPriority w:val="0"/>
    <w:pPr>
      <w:ind w:left="960"/>
    </w:pPr>
    <w:rPr>
      <w:sz w:val="20"/>
    </w:rPr>
  </w:style>
  <w:style w:type="paragraph" w:styleId="32">
    <w:name w:val="Body Text Indent 3"/>
    <w:basedOn w:val="1"/>
    <w:link w:val="152"/>
    <w:qFormat/>
    <w:uiPriority w:val="0"/>
    <w:pPr>
      <w:ind w:firstLine="570"/>
    </w:pPr>
    <w:rPr>
      <w:sz w:val="28"/>
    </w:rPr>
  </w:style>
  <w:style w:type="paragraph" w:styleId="33">
    <w:name w:val="toc 2"/>
    <w:basedOn w:val="1"/>
    <w:next w:val="1"/>
    <w:qFormat/>
    <w:uiPriority w:val="39"/>
    <w:pPr>
      <w:spacing w:before="240"/>
    </w:pPr>
    <w:rPr>
      <w:b/>
      <w:bCs/>
      <w:sz w:val="20"/>
    </w:rPr>
  </w:style>
  <w:style w:type="paragraph" w:styleId="34">
    <w:name w:val="toc 9"/>
    <w:basedOn w:val="1"/>
    <w:next w:val="1"/>
    <w:qFormat/>
    <w:uiPriority w:val="0"/>
    <w:pPr>
      <w:ind w:left="1680"/>
    </w:pPr>
    <w:rPr>
      <w:sz w:val="20"/>
    </w:rPr>
  </w:style>
  <w:style w:type="paragraph" w:styleId="35">
    <w:name w:val="Body Text 2"/>
    <w:basedOn w:val="1"/>
    <w:link w:val="153"/>
    <w:qFormat/>
    <w:uiPriority w:val="0"/>
    <w:pPr>
      <w:spacing w:after="120" w:line="480" w:lineRule="auto"/>
    </w:pPr>
  </w:style>
  <w:style w:type="paragraph" w:styleId="36">
    <w:name w:val="Normal (Web)"/>
    <w:basedOn w:val="1"/>
    <w:qFormat/>
    <w:uiPriority w:val="0"/>
    <w:pPr>
      <w:widowControl/>
      <w:adjustRightInd/>
      <w:spacing w:before="100" w:beforeAutospacing="1" w:after="100" w:afterAutospacing="1" w:line="240" w:lineRule="auto"/>
      <w:textAlignment w:val="auto"/>
    </w:pPr>
    <w:rPr>
      <w:rFonts w:ascii="宋体"/>
      <w:szCs w:val="24"/>
      <w:lang w:eastAsia="en-US"/>
    </w:rPr>
  </w:style>
  <w:style w:type="paragraph" w:styleId="37">
    <w:name w:val="annotation subject"/>
    <w:basedOn w:val="16"/>
    <w:next w:val="16"/>
    <w:link w:val="139"/>
    <w:qFormat/>
    <w:uiPriority w:val="0"/>
    <w:rPr>
      <w:b/>
      <w:bCs/>
      <w:kern w:val="2"/>
    </w:rPr>
  </w:style>
  <w:style w:type="paragraph" w:styleId="38">
    <w:name w:val="Body Text First Indent"/>
    <w:basedOn w:val="2"/>
    <w:next w:val="1"/>
    <w:link w:val="141"/>
    <w:qFormat/>
    <w:uiPriority w:val="0"/>
    <w:pPr>
      <w:spacing w:after="120"/>
      <w:ind w:firstLine="420" w:firstLineChars="100"/>
    </w:pPr>
    <w:rPr>
      <w:sz w:val="21"/>
      <w:szCs w:val="24"/>
    </w:rPr>
  </w:style>
  <w:style w:type="table" w:styleId="40">
    <w:name w:val="Table Grid"/>
    <w:basedOn w:val="39"/>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42">
    <w:name w:val="Strong"/>
    <w:qFormat/>
    <w:uiPriority w:val="0"/>
    <w:rPr>
      <w:b/>
      <w:bCs/>
    </w:rPr>
  </w:style>
  <w:style w:type="character" w:styleId="43">
    <w:name w:val="page number"/>
    <w:basedOn w:val="41"/>
    <w:qFormat/>
    <w:uiPriority w:val="0"/>
  </w:style>
  <w:style w:type="character" w:styleId="44">
    <w:name w:val="Hyperlink"/>
    <w:qFormat/>
    <w:uiPriority w:val="99"/>
    <w:rPr>
      <w:color w:val="0000FF"/>
      <w:u w:val="single"/>
    </w:rPr>
  </w:style>
  <w:style w:type="character" w:styleId="45">
    <w:name w:val="annotation reference"/>
    <w:qFormat/>
    <w:uiPriority w:val="0"/>
    <w:rPr>
      <w:sz w:val="21"/>
      <w:szCs w:val="21"/>
    </w:rPr>
  </w:style>
  <w:style w:type="paragraph" w:customStyle="1" w:styleId="46">
    <w:name w:val="正文1"/>
    <w:basedOn w:val="1"/>
    <w:qFormat/>
    <w:uiPriority w:val="0"/>
    <w:pPr>
      <w:numPr>
        <w:ilvl w:val="0"/>
        <w:numId w:val="2"/>
      </w:numPr>
      <w:adjustRightInd/>
      <w:spacing w:line="360" w:lineRule="auto"/>
      <w:textAlignment w:val="auto"/>
    </w:pPr>
    <w:rPr>
      <w:rFonts w:ascii="宋体" w:hAnsi="Calibri"/>
      <w:color w:val="000000"/>
      <w:kern w:val="2"/>
      <w:szCs w:val="28"/>
    </w:rPr>
  </w:style>
  <w:style w:type="paragraph" w:customStyle="1" w:styleId="47">
    <w:name w:val="No Spacing"/>
    <w:link w:val="160"/>
    <w:qFormat/>
    <w:uiPriority w:val="1"/>
    <w:rPr>
      <w:rFonts w:ascii="Times New Roman" w:hAnsi="Times New Roman" w:eastAsia="等线" w:cs="Times New Roman"/>
      <w:sz w:val="22"/>
      <w:szCs w:val="22"/>
      <w:lang w:val="en-US" w:eastAsia="zh-CN" w:bidi="ar-SA"/>
    </w:rPr>
  </w:style>
  <w:style w:type="paragraph" w:customStyle="1" w:styleId="48">
    <w:name w:val="样式 首行缩进:  0.85 厘米"/>
    <w:basedOn w:val="1"/>
    <w:qFormat/>
    <w:uiPriority w:val="0"/>
    <w:pPr>
      <w:adjustRightInd/>
      <w:spacing w:line="240" w:lineRule="auto"/>
      <w:ind w:firstLine="851"/>
      <w:jc w:val="both"/>
      <w:textAlignment w:val="auto"/>
    </w:pPr>
    <w:rPr>
      <w:rFonts w:cs="宋体"/>
      <w:kern w:val="2"/>
      <w:szCs w:val="24"/>
    </w:rPr>
  </w:style>
  <w:style w:type="paragraph" w:customStyle="1" w:styleId="49">
    <w:name w:val="xl23"/>
    <w:basedOn w:val="1"/>
    <w:qFormat/>
    <w:uiPriority w:val="0"/>
    <w:pPr>
      <w:widowControl/>
      <w:adjustRightInd/>
      <w:spacing w:before="100" w:beforeAutospacing="1" w:after="100" w:afterAutospacing="1" w:line="360" w:lineRule="auto"/>
      <w:jc w:val="both"/>
      <w:textAlignment w:val="top"/>
    </w:pPr>
    <w:rPr>
      <w:szCs w:val="24"/>
    </w:rPr>
  </w:style>
  <w:style w:type="paragraph" w:customStyle="1" w:styleId="50">
    <w:name w:val="彩色列表1"/>
    <w:basedOn w:val="1"/>
    <w:qFormat/>
    <w:uiPriority w:val="0"/>
    <w:pPr>
      <w:adjustRightInd/>
      <w:spacing w:line="240" w:lineRule="auto"/>
      <w:ind w:firstLine="200" w:firstLineChars="200"/>
      <w:jc w:val="both"/>
      <w:textAlignment w:val="auto"/>
    </w:pPr>
    <w:rPr>
      <w:kern w:val="2"/>
      <w:szCs w:val="24"/>
    </w:rPr>
  </w:style>
  <w:style w:type="paragraph" w:customStyle="1" w:styleId="51">
    <w:name w:val="样式 样式 标题 1 + 黑体 三号 + 段前: 1 行 段后: 1 行"/>
    <w:basedOn w:val="1"/>
    <w:qFormat/>
    <w:uiPriority w:val="0"/>
    <w:pPr>
      <w:keepNext/>
      <w:keepLines/>
      <w:tabs>
        <w:tab w:val="left" w:pos="425"/>
      </w:tabs>
      <w:adjustRightInd/>
      <w:spacing w:beforeLines="100" w:afterLines="100" w:line="360" w:lineRule="auto"/>
      <w:ind w:left="425" w:hanging="425"/>
      <w:jc w:val="both"/>
      <w:textAlignment w:val="auto"/>
      <w:outlineLvl w:val="0"/>
    </w:pPr>
    <w:rPr>
      <w:rFonts w:ascii="Arial" w:hAnsi="Arial" w:eastAsia="黑体" w:cs="宋体"/>
      <w:b/>
      <w:bCs/>
      <w:spacing w:val="10"/>
      <w:kern w:val="44"/>
      <w:sz w:val="32"/>
      <w:szCs w:val="32"/>
    </w:rPr>
  </w:style>
  <w:style w:type="paragraph" w:customStyle="1" w:styleId="52">
    <w:name w:val="正文2"/>
    <w:basedOn w:val="1"/>
    <w:qFormat/>
    <w:uiPriority w:val="0"/>
    <w:pPr>
      <w:tabs>
        <w:tab w:val="left" w:pos="3360"/>
      </w:tabs>
      <w:adjustRightInd/>
      <w:spacing w:before="60" w:after="60" w:line="360" w:lineRule="auto"/>
      <w:ind w:left="3360" w:hanging="420"/>
      <w:jc w:val="both"/>
      <w:textAlignment w:val="auto"/>
      <w:outlineLvl w:val="7"/>
    </w:pPr>
    <w:rPr>
      <w:kern w:val="2"/>
      <w:szCs w:val="24"/>
    </w:rPr>
  </w:style>
  <w:style w:type="paragraph" w:customStyle="1" w:styleId="53">
    <w:name w:val="默认段落字体 Para Char Char Char Char"/>
    <w:basedOn w:val="1"/>
    <w:qFormat/>
    <w:uiPriority w:val="0"/>
    <w:pPr>
      <w:adjustRightInd/>
      <w:spacing w:line="240" w:lineRule="auto"/>
      <w:jc w:val="both"/>
      <w:textAlignment w:val="auto"/>
    </w:pPr>
    <w:rPr>
      <w:rFonts w:ascii="Arial" w:hAnsi="Arial" w:cs="Arial"/>
      <w:kern w:val="2"/>
      <w:sz w:val="21"/>
      <w:szCs w:val="21"/>
    </w:rPr>
  </w:style>
  <w:style w:type="paragraph" w:customStyle="1" w:styleId="54">
    <w:name w:val="样式1"/>
    <w:basedOn w:val="1"/>
    <w:qFormat/>
    <w:uiPriority w:val="0"/>
    <w:pPr>
      <w:tabs>
        <w:tab w:val="left" w:pos="0"/>
      </w:tabs>
      <w:spacing w:line="240" w:lineRule="auto"/>
      <w:jc w:val="both"/>
    </w:pPr>
    <w:rPr>
      <w:rFonts w:ascii="宋体"/>
      <w:sz w:val="21"/>
      <w:szCs w:val="21"/>
    </w:rPr>
  </w:style>
  <w:style w:type="paragraph" w:customStyle="1" w:styleId="55">
    <w:name w:val="Char2"/>
    <w:basedOn w:val="1"/>
    <w:qFormat/>
    <w:uiPriority w:val="0"/>
    <w:pPr>
      <w:widowControl/>
      <w:adjustRightInd/>
      <w:spacing w:after="160" w:line="240" w:lineRule="exact"/>
      <w:textAlignment w:val="auto"/>
    </w:pPr>
    <w:rPr>
      <w:kern w:val="2"/>
      <w:sz w:val="21"/>
      <w:szCs w:val="24"/>
    </w:rPr>
  </w:style>
  <w:style w:type="paragraph" w:customStyle="1" w:styleId="56">
    <w:name w:val="样式 标题 5 + 段前: 5 磅 段后: 5 磅 行距: 单倍行距"/>
    <w:basedOn w:val="7"/>
    <w:qFormat/>
    <w:uiPriority w:val="0"/>
    <w:pPr>
      <w:tabs>
        <w:tab w:val="left" w:pos="2100"/>
        <w:tab w:val="clear" w:pos="0"/>
      </w:tabs>
      <w:spacing w:before="100" w:after="100" w:line="240" w:lineRule="auto"/>
      <w:ind w:left="2100" w:hanging="420"/>
    </w:pPr>
    <w:rPr>
      <w:szCs w:val="20"/>
    </w:rPr>
  </w:style>
  <w:style w:type="paragraph" w:customStyle="1" w:styleId="57">
    <w:name w:val="样式 样式 样式 样式 标题 2 + 宋体 五号 非加粗 黑色 + 段前: 6 磅 段后: 0 磅 行距: 单倍行距 + 段前:..."/>
    <w:basedOn w:val="58"/>
    <w:qFormat/>
    <w:uiPriority w:val="0"/>
    <w:pPr>
      <w:tabs>
        <w:tab w:val="left" w:pos="1140"/>
      </w:tabs>
    </w:pPr>
    <w:rPr>
      <w:b/>
      <w:bCs/>
    </w:rPr>
  </w:style>
  <w:style w:type="paragraph" w:customStyle="1" w:styleId="58">
    <w:name w:val="样式 样式 样式 标题 2 + 宋体 五号 非加粗 黑色 + 段前: 6 磅 段后: 0 磅 行距: 单倍行距 + 段前: 12..."/>
    <w:basedOn w:val="59"/>
    <w:qFormat/>
    <w:uiPriority w:val="0"/>
    <w:pPr>
      <w:tabs>
        <w:tab w:val="left" w:pos="1140"/>
      </w:tabs>
      <w:spacing w:before="240"/>
    </w:pPr>
  </w:style>
  <w:style w:type="paragraph" w:customStyle="1" w:styleId="59">
    <w:name w:val="样式 样式 标题 2 + 宋体 五号 非加粗 黑色 + 段前: 6 磅 段后: 0 磅 行距: 单倍行距"/>
    <w:basedOn w:val="60"/>
    <w:qFormat/>
    <w:uiPriority w:val="0"/>
    <w:pPr>
      <w:tabs>
        <w:tab w:val="left" w:pos="1140"/>
      </w:tabs>
      <w:spacing w:before="120" w:after="0" w:line="240" w:lineRule="auto"/>
    </w:pPr>
    <w:rPr>
      <w:szCs w:val="20"/>
    </w:rPr>
  </w:style>
  <w:style w:type="paragraph" w:customStyle="1" w:styleId="60">
    <w:name w:val="样式 标题 2 + 宋体 五号 非加粗 黑色"/>
    <w:basedOn w:val="4"/>
    <w:qFormat/>
    <w:uiPriority w:val="0"/>
    <w:pPr>
      <w:tabs>
        <w:tab w:val="left" w:pos="1140"/>
        <w:tab w:val="clear" w:pos="0"/>
      </w:tabs>
      <w:ind w:left="1140" w:hanging="720"/>
    </w:pPr>
    <w:rPr>
      <w:rFonts w:ascii="宋体" w:eastAsia="宋体"/>
      <w:b w:val="0"/>
      <w:bCs w:val="0"/>
      <w:color w:val="000000"/>
      <w:sz w:val="21"/>
    </w:rPr>
  </w:style>
  <w:style w:type="paragraph" w:customStyle="1" w:styleId="61">
    <w:name w:val="标书正文"/>
    <w:basedOn w:val="1"/>
    <w:next w:val="1"/>
    <w:qFormat/>
    <w:uiPriority w:val="0"/>
    <w:pPr>
      <w:widowControl/>
      <w:adjustRightInd/>
      <w:spacing w:beforeLines="50" w:line="400" w:lineRule="exact"/>
      <w:ind w:firstLine="200" w:firstLineChars="200"/>
      <w:jc w:val="both"/>
      <w:textAlignment w:val="auto"/>
    </w:pPr>
    <w:rPr>
      <w:rFonts w:ascii="黑体"/>
    </w:rPr>
  </w:style>
  <w:style w:type="paragraph" w:customStyle="1" w:styleId="62">
    <w:name w:val="Char Char Char Char"/>
    <w:basedOn w:val="1"/>
    <w:qFormat/>
    <w:uiPriority w:val="0"/>
    <w:pPr>
      <w:adjustRightInd/>
      <w:spacing w:line="240" w:lineRule="auto"/>
      <w:jc w:val="both"/>
      <w:textAlignment w:val="auto"/>
    </w:pPr>
    <w:rPr>
      <w:rFonts w:ascii="Tahoma" w:hAnsi="Tahoma"/>
      <w:kern w:val="2"/>
    </w:rPr>
  </w:style>
  <w:style w:type="paragraph" w:customStyle="1" w:styleId="63">
    <w:name w:val="xl27"/>
    <w:basedOn w:val="1"/>
    <w:qFormat/>
    <w:uiPriority w:val="0"/>
    <w:pPr>
      <w:widowControl/>
      <w:adjustRightInd/>
      <w:spacing w:before="100" w:beforeAutospacing="1" w:after="100" w:afterAutospacing="1" w:line="240" w:lineRule="auto"/>
      <w:jc w:val="center"/>
      <w:textAlignment w:val="auto"/>
    </w:pPr>
    <w:rPr>
      <w:rFonts w:ascii="Arial Unicode MS" w:eastAsia="Arial Unicode MS" w:cs="Arial Unicode MS"/>
      <w:szCs w:val="24"/>
    </w:rPr>
  </w:style>
  <w:style w:type="paragraph" w:customStyle="1" w:styleId="64">
    <w:name w:val="blockquote"/>
    <w:next w:val="32"/>
    <w:qFormat/>
    <w:uiPriority w:val="0"/>
    <w:pPr>
      <w:autoSpaceDE w:val="0"/>
      <w:autoSpaceDN w:val="0"/>
      <w:spacing w:before="100" w:after="100"/>
      <w:ind w:left="360" w:right="360"/>
    </w:pPr>
    <w:rPr>
      <w:rFonts w:ascii="Times New Roman" w:hAnsi="Times New Roman" w:eastAsia="宋体" w:cs="Times New Roman"/>
      <w:sz w:val="24"/>
      <w:szCs w:val="24"/>
      <w:lang w:val="en-US" w:eastAsia="zh-CN" w:bidi="ar-SA"/>
    </w:rPr>
  </w:style>
  <w:style w:type="paragraph" w:customStyle="1" w:styleId="65">
    <w:name w:val="L33"/>
    <w:basedOn w:val="1"/>
    <w:qFormat/>
    <w:uiPriority w:val="0"/>
    <w:pPr>
      <w:numPr>
        <w:ilvl w:val="0"/>
        <w:numId w:val="3"/>
      </w:numPr>
      <w:tabs>
        <w:tab w:val="left" w:pos="1680"/>
        <w:tab w:val="clear" w:pos="0"/>
      </w:tabs>
      <w:adjustRightInd/>
      <w:spacing w:line="240" w:lineRule="auto"/>
      <w:ind w:left="0" w:firstLine="228" w:firstLineChars="228"/>
      <w:jc w:val="both"/>
      <w:textAlignment w:val="auto"/>
    </w:pPr>
    <w:rPr>
      <w:rFonts w:ascii="Calibri" w:hAnsi="Calibri"/>
      <w:bCs/>
      <w:kern w:val="2"/>
      <w:sz w:val="21"/>
    </w:rPr>
  </w:style>
  <w:style w:type="paragraph" w:customStyle="1" w:styleId="66">
    <w:name w:val="样式 标题 4 + 段前: 5 磅 段后: 5 磅 行距: 单倍行距"/>
    <w:basedOn w:val="6"/>
    <w:qFormat/>
    <w:uiPriority w:val="0"/>
    <w:pPr>
      <w:tabs>
        <w:tab w:val="left" w:pos="1680"/>
        <w:tab w:val="clear" w:pos="0"/>
      </w:tabs>
      <w:spacing w:before="100" w:after="100" w:line="240" w:lineRule="auto"/>
      <w:ind w:left="1680" w:hanging="420"/>
    </w:pPr>
    <w:rPr>
      <w:szCs w:val="20"/>
    </w:rPr>
  </w:style>
  <w:style w:type="paragraph" w:customStyle="1" w:styleId="67">
    <w:name w:val="样式2"/>
    <w:basedOn w:val="1"/>
    <w:qFormat/>
    <w:uiPriority w:val="0"/>
    <w:pPr>
      <w:tabs>
        <w:tab w:val="left" w:pos="567"/>
      </w:tabs>
      <w:spacing w:line="240" w:lineRule="auto"/>
      <w:ind w:left="567" w:hanging="567"/>
      <w:jc w:val="both"/>
    </w:pPr>
    <w:rPr>
      <w:rFonts w:ascii="宋体"/>
      <w:sz w:val="21"/>
      <w:szCs w:val="21"/>
    </w:rPr>
  </w:style>
  <w:style w:type="paragraph" w:customStyle="1" w:styleId="68">
    <w:name w:val="Char Char Char Char Char Char Char Char Char Char Char Char Char Char Char Char Char Char Char Char Char Char Char Char Char"/>
    <w:basedOn w:val="1"/>
    <w:qFormat/>
    <w:uiPriority w:val="0"/>
    <w:pPr>
      <w:adjustRightInd/>
      <w:spacing w:line="240" w:lineRule="auto"/>
      <w:jc w:val="both"/>
      <w:textAlignment w:val="auto"/>
    </w:pPr>
    <w:rPr>
      <w:rFonts w:ascii="Tahoma" w:hAnsi="Tahoma"/>
      <w:kern w:val="2"/>
    </w:rPr>
  </w:style>
  <w:style w:type="paragraph" w:customStyle="1" w:styleId="69">
    <w:name w:val="Body Text Indent 21"/>
    <w:basedOn w:val="1"/>
    <w:qFormat/>
    <w:uiPriority w:val="0"/>
    <w:pPr>
      <w:spacing w:line="240" w:lineRule="auto"/>
      <w:ind w:left="720" w:hanging="720"/>
      <w:jc w:val="both"/>
    </w:pPr>
    <w:rPr>
      <w:b/>
      <w:kern w:val="2"/>
      <w:sz w:val="28"/>
    </w:rPr>
  </w:style>
  <w:style w:type="paragraph" w:customStyle="1" w:styleId="70">
    <w:name w:val="样式6"/>
    <w:basedOn w:val="4"/>
    <w:qFormat/>
    <w:uiPriority w:val="0"/>
    <w:pPr>
      <w:adjustRightInd/>
      <w:spacing w:before="0" w:after="0" w:line="560" w:lineRule="exact"/>
      <w:jc w:val="both"/>
      <w:textAlignment w:val="auto"/>
    </w:pPr>
    <w:rPr>
      <w:rFonts w:eastAsia="宋体"/>
      <w:b w:val="0"/>
      <w:kern w:val="2"/>
      <w:sz w:val="28"/>
    </w:rPr>
  </w:style>
  <w:style w:type="paragraph" w:customStyle="1" w:styleId="71">
    <w:name w:val="PMletterTextBullet"/>
    <w:basedOn w:val="72"/>
    <w:qFormat/>
    <w:uiPriority w:val="0"/>
    <w:pPr>
      <w:tabs>
        <w:tab w:val="left" w:pos="840"/>
        <w:tab w:val="left" w:pos="1800"/>
      </w:tabs>
      <w:ind w:left="1800" w:hanging="360"/>
    </w:pPr>
  </w:style>
  <w:style w:type="paragraph" w:customStyle="1" w:styleId="72">
    <w:name w:val="PMletterText"/>
    <w:basedOn w:val="73"/>
    <w:qFormat/>
    <w:uiPriority w:val="0"/>
    <w:pPr>
      <w:spacing w:before="240"/>
      <w:ind w:left="720"/>
    </w:pPr>
  </w:style>
  <w:style w:type="paragraph" w:customStyle="1" w:styleId="73">
    <w:name w:val="PMstyle"/>
    <w:qFormat/>
    <w:uiPriority w:val="0"/>
    <w:rPr>
      <w:rFonts w:ascii="Tahoma" w:hAnsi="Tahoma" w:eastAsia="宋体" w:cs="Times New Roman"/>
      <w:sz w:val="22"/>
      <w:lang w:val="en-US" w:eastAsia="zh-CN" w:bidi="ar-SA"/>
    </w:rPr>
  </w:style>
  <w:style w:type="paragraph" w:customStyle="1" w:styleId="74">
    <w:name w:val="List Paragraph"/>
    <w:basedOn w:val="1"/>
    <w:qFormat/>
    <w:uiPriority w:val="34"/>
    <w:pPr>
      <w:adjustRightInd/>
      <w:spacing w:line="240" w:lineRule="auto"/>
      <w:ind w:firstLine="200" w:firstLineChars="200"/>
      <w:jc w:val="both"/>
      <w:textAlignment w:val="auto"/>
    </w:pPr>
    <w:rPr>
      <w:kern w:val="2"/>
      <w:sz w:val="21"/>
      <w:szCs w:val="24"/>
    </w:rPr>
  </w:style>
  <w:style w:type="paragraph" w:customStyle="1" w:styleId="75">
    <w:name w:val="TOC 标题1"/>
    <w:basedOn w:val="3"/>
    <w:next w:val="1"/>
    <w:qFormat/>
    <w:uiPriority w:val="39"/>
    <w:pPr>
      <w:widowControl/>
      <w:tabs>
        <w:tab w:val="clear" w:pos="0"/>
      </w:tabs>
      <w:adjustRightInd/>
      <w:spacing w:before="480" w:after="0" w:line="276" w:lineRule="auto"/>
      <w:textAlignment w:val="auto"/>
      <w:outlineLvl w:val="9"/>
    </w:pPr>
    <w:rPr>
      <w:rFonts w:ascii="Cambria" w:hAnsi="Cambria"/>
      <w:color w:val="365F91"/>
      <w:kern w:val="0"/>
      <w:sz w:val="28"/>
      <w:szCs w:val="28"/>
    </w:rPr>
  </w:style>
  <w:style w:type="paragraph" w:customStyle="1" w:styleId="76">
    <w:name w:val="Char Char Char Char Char Char Char Char Char Char Char Char Char"/>
    <w:basedOn w:val="1"/>
    <w:qFormat/>
    <w:uiPriority w:val="0"/>
    <w:pPr>
      <w:widowControl/>
      <w:adjustRightInd/>
      <w:spacing w:after="160" w:line="240" w:lineRule="exact"/>
      <w:textAlignment w:val="auto"/>
    </w:pPr>
    <w:rPr>
      <w:rFonts w:ascii="Verdana" w:hAnsi="Verdana"/>
      <w:sz w:val="20"/>
      <w:lang w:eastAsia="en-US"/>
    </w:rPr>
  </w:style>
  <w:style w:type="paragraph" w:customStyle="1" w:styleId="77">
    <w:name w:val="样式 标题 5 + 段前: 1 行 段后: 1 行"/>
    <w:basedOn w:val="7"/>
    <w:qFormat/>
    <w:uiPriority w:val="0"/>
    <w:pPr>
      <w:tabs>
        <w:tab w:val="left" w:pos="992"/>
        <w:tab w:val="clear" w:pos="0"/>
      </w:tabs>
      <w:adjustRightInd/>
      <w:spacing w:beforeLines="100" w:afterLines="100" w:line="360" w:lineRule="auto"/>
      <w:ind w:left="992" w:hanging="992"/>
      <w:jc w:val="both"/>
      <w:textAlignment w:val="auto"/>
    </w:pPr>
    <w:rPr>
      <w:rFonts w:ascii="Arial" w:hAnsi="Arial" w:eastAsia="黑体" w:cs="宋体"/>
      <w:b w:val="0"/>
      <w:bCs w:val="0"/>
      <w:spacing w:val="10"/>
      <w:kern w:val="2"/>
      <w:sz w:val="24"/>
      <w:szCs w:val="24"/>
    </w:rPr>
  </w:style>
  <w:style w:type="paragraph" w:customStyle="1" w:styleId="78">
    <w:name w:val="样式 标题 3h3H3sect1.2.3 + 五号 段前: 6 磅 段后: 6 磅 行距: 单倍行距"/>
    <w:basedOn w:val="5"/>
    <w:qFormat/>
    <w:uiPriority w:val="0"/>
    <w:pPr>
      <w:tabs>
        <w:tab w:val="left" w:pos="1260"/>
        <w:tab w:val="clear" w:pos="0"/>
      </w:tabs>
      <w:spacing w:before="120" w:after="120" w:line="240" w:lineRule="auto"/>
      <w:ind w:left="1260" w:hanging="420"/>
    </w:pPr>
    <w:rPr>
      <w:sz w:val="21"/>
      <w:szCs w:val="20"/>
    </w:rPr>
  </w:style>
  <w:style w:type="paragraph" w:customStyle="1" w:styleId="79">
    <w:name w:val="Body Text 21"/>
    <w:basedOn w:val="1"/>
    <w:qFormat/>
    <w:uiPriority w:val="0"/>
    <w:pPr>
      <w:spacing w:before="240" w:line="400" w:lineRule="exact"/>
      <w:ind w:firstLine="357"/>
      <w:jc w:val="both"/>
    </w:pPr>
    <w:rPr>
      <w:kern w:val="2"/>
      <w:sz w:val="28"/>
    </w:rPr>
  </w:style>
  <w:style w:type="paragraph" w:customStyle="1" w:styleId="80">
    <w:name w:val="样式 宋体 五号 行距: 单倍行距"/>
    <w:basedOn w:val="1"/>
    <w:qFormat/>
    <w:uiPriority w:val="0"/>
    <w:pPr>
      <w:spacing w:line="240" w:lineRule="auto"/>
    </w:pPr>
    <w:rPr>
      <w:rFonts w:ascii="宋体"/>
      <w:sz w:val="21"/>
    </w:rPr>
  </w:style>
  <w:style w:type="paragraph" w:customStyle="1" w:styleId="81">
    <w:name w:val="样式4"/>
    <w:basedOn w:val="33"/>
    <w:qFormat/>
    <w:uiPriority w:val="0"/>
    <w:pPr>
      <w:adjustRightInd/>
      <w:spacing w:line="240" w:lineRule="auto"/>
      <w:ind w:left="420"/>
      <w:jc w:val="both"/>
      <w:textAlignment w:val="auto"/>
    </w:pPr>
    <w:rPr>
      <w:kern w:val="2"/>
      <w:sz w:val="28"/>
    </w:rPr>
  </w:style>
  <w:style w:type="paragraph" w:customStyle="1" w:styleId="82">
    <w:name w:val="正文缩进 1 五号字"/>
    <w:basedOn w:val="1"/>
    <w:qFormat/>
    <w:uiPriority w:val="0"/>
    <w:pPr>
      <w:adjustRightInd/>
      <w:spacing w:line="360" w:lineRule="auto"/>
      <w:ind w:firstLine="200" w:firstLineChars="200"/>
      <w:textAlignment w:val="auto"/>
    </w:pPr>
    <w:rPr>
      <w:rFonts w:ascii="宋体"/>
      <w:kern w:val="2"/>
      <w:sz w:val="21"/>
      <w:szCs w:val="21"/>
    </w:rPr>
  </w:style>
  <w:style w:type="paragraph" w:customStyle="1" w:styleId="83">
    <w:name w:val="Indent Normal"/>
    <w:basedOn w:val="1"/>
    <w:qFormat/>
    <w:uiPriority w:val="0"/>
    <w:pPr>
      <w:adjustRightInd/>
      <w:spacing w:line="240" w:lineRule="auto"/>
      <w:ind w:firstLine="420"/>
      <w:jc w:val="both"/>
      <w:textAlignment w:val="auto"/>
    </w:pPr>
    <w:rPr>
      <w:kern w:val="2"/>
      <w:sz w:val="21"/>
      <w:szCs w:val="24"/>
    </w:rPr>
  </w:style>
  <w:style w:type="paragraph" w:customStyle="1" w:styleId="84">
    <w:name w:val="FA正文"/>
    <w:basedOn w:val="1"/>
    <w:qFormat/>
    <w:uiPriority w:val="0"/>
    <w:pPr>
      <w:tabs>
        <w:tab w:val="left" w:pos="3375"/>
      </w:tabs>
      <w:adjustRightInd/>
      <w:spacing w:after="60" w:line="360" w:lineRule="auto"/>
      <w:ind w:firstLine="200" w:firstLineChars="200"/>
      <w:jc w:val="both"/>
      <w:textAlignment w:val="auto"/>
    </w:pPr>
    <w:rPr>
      <w:rFonts w:ascii="宋体"/>
      <w:spacing w:val="10"/>
      <w:kern w:val="2"/>
      <w:sz w:val="21"/>
      <w:szCs w:val="21"/>
    </w:rPr>
  </w:style>
  <w:style w:type="paragraph" w:customStyle="1" w:styleId="85">
    <w:name w:val="样式 标题 4 + (西文) 方正黑体_GBK (中文) 方正黑体_GBK (符号) 宋体 三号 非加粗 段前: 0 ...1"/>
    <w:basedOn w:val="4"/>
    <w:next w:val="1"/>
    <w:qFormat/>
    <w:uiPriority w:val="0"/>
    <w:pPr>
      <w:tabs>
        <w:tab w:val="clear" w:pos="0"/>
      </w:tabs>
      <w:adjustRightInd/>
      <w:spacing w:beforeLines="50" w:after="0" w:line="360" w:lineRule="auto"/>
      <w:ind w:left="432" w:leftChars="355" w:hanging="77" w:hangingChars="77"/>
      <w:textAlignment w:val="auto"/>
    </w:pPr>
    <w:rPr>
      <w:rFonts w:ascii="宋体" w:eastAsia="宋体" w:cs="宋体"/>
      <w:kern w:val="2"/>
    </w:rPr>
  </w:style>
  <w:style w:type="paragraph" w:customStyle="1" w:styleId="86">
    <w:name w:val="Char Char Char Char Char Char1 Char Char Char Char Char Char Char Char Char Char Char"/>
    <w:basedOn w:val="1"/>
    <w:qFormat/>
    <w:uiPriority w:val="0"/>
    <w:pPr>
      <w:widowControl/>
      <w:adjustRightInd/>
      <w:spacing w:after="160" w:line="240" w:lineRule="exact"/>
      <w:textAlignment w:val="auto"/>
    </w:pPr>
    <w:rPr>
      <w:rFonts w:ascii="Verdana" w:hAnsi="Verdana" w:eastAsia="仿宋_GB2312"/>
      <w:kern w:val="2"/>
      <w:szCs w:val="24"/>
      <w:lang w:eastAsia="en-US"/>
    </w:rPr>
  </w:style>
  <w:style w:type="paragraph" w:customStyle="1" w:styleId="87">
    <w:name w:val="样式 样式 标题 4 + 段前: 5 磅 段后: 5 磅 行距: 单倍行距 + 五号"/>
    <w:basedOn w:val="66"/>
    <w:qFormat/>
    <w:uiPriority w:val="0"/>
    <w:rPr>
      <w:sz w:val="21"/>
    </w:rPr>
  </w:style>
  <w:style w:type="paragraph" w:customStyle="1" w:styleId="88">
    <w:name w:val="列出段落1"/>
    <w:basedOn w:val="1"/>
    <w:qFormat/>
    <w:uiPriority w:val="0"/>
    <w:pPr>
      <w:adjustRightInd/>
      <w:spacing w:line="360" w:lineRule="auto"/>
      <w:ind w:firstLine="200" w:firstLineChars="200"/>
      <w:jc w:val="both"/>
      <w:textAlignment w:val="auto"/>
    </w:pPr>
    <w:rPr>
      <w:kern w:val="2"/>
      <w:szCs w:val="21"/>
    </w:rPr>
  </w:style>
  <w:style w:type="paragraph" w:customStyle="1" w:styleId="89">
    <w:name w:val="样式 宋体 小四 行距: 1.5 倍行距"/>
    <w:basedOn w:val="1"/>
    <w:qFormat/>
    <w:uiPriority w:val="0"/>
    <w:pPr>
      <w:adjustRightInd/>
      <w:spacing w:line="240" w:lineRule="auto"/>
      <w:ind w:firstLine="200" w:firstLineChars="200"/>
      <w:jc w:val="both"/>
      <w:textAlignment w:val="auto"/>
    </w:pPr>
    <w:rPr>
      <w:rFonts w:ascii="宋体" w:cs="宋体"/>
      <w:kern w:val="2"/>
    </w:rPr>
  </w:style>
  <w:style w:type="paragraph" w:customStyle="1" w:styleId="90">
    <w:name w:val="修订1"/>
    <w:qFormat/>
    <w:uiPriority w:val="0"/>
    <w:rPr>
      <w:rFonts w:ascii="Times New Roman" w:hAnsi="Times New Roman" w:eastAsia="宋体" w:cs="Times New Roman"/>
      <w:sz w:val="24"/>
      <w:lang w:val="en-US" w:eastAsia="zh-CN" w:bidi="ar-SA"/>
    </w:rPr>
  </w:style>
  <w:style w:type="paragraph" w:customStyle="1" w:styleId="91">
    <w:name w:val="模板正文"/>
    <w:basedOn w:val="1"/>
    <w:qFormat/>
    <w:uiPriority w:val="0"/>
    <w:pPr>
      <w:adjustRightInd/>
      <w:spacing w:beforeLines="50" w:line="400" w:lineRule="exact"/>
      <w:ind w:firstLine="200" w:firstLineChars="200"/>
      <w:jc w:val="both"/>
      <w:textAlignment w:val="auto"/>
    </w:pPr>
    <w:rPr>
      <w:rFonts w:ascii="宋体" w:hAnsi="宋体"/>
      <w:kern w:val="2"/>
      <w:szCs w:val="24"/>
    </w:rPr>
  </w:style>
  <w:style w:type="paragraph" w:customStyle="1" w:styleId="92">
    <w:name w:val="样式 宋体 小四"/>
    <w:basedOn w:val="1"/>
    <w:qFormat/>
    <w:uiPriority w:val="0"/>
    <w:pPr>
      <w:adjustRightInd/>
      <w:spacing w:line="240" w:lineRule="auto"/>
      <w:ind w:firstLine="200" w:firstLineChars="200"/>
      <w:jc w:val="both"/>
      <w:textAlignment w:val="auto"/>
    </w:pPr>
    <w:rPr>
      <w:rFonts w:ascii="宋体" w:cs="宋体"/>
      <w:kern w:val="2"/>
    </w:rPr>
  </w:style>
  <w:style w:type="paragraph" w:customStyle="1" w:styleId="93">
    <w:name w:val="样式 左侧:  2 字符"/>
    <w:basedOn w:val="1"/>
    <w:qFormat/>
    <w:uiPriority w:val="0"/>
    <w:pPr>
      <w:adjustRightInd/>
      <w:spacing w:line="520" w:lineRule="exact"/>
      <w:ind w:firstLine="200" w:firstLineChars="200"/>
      <w:jc w:val="both"/>
      <w:textAlignment w:val="auto"/>
    </w:pPr>
    <w:rPr>
      <w:rFonts w:cs="宋体"/>
      <w:kern w:val="2"/>
      <w:sz w:val="28"/>
    </w:rPr>
  </w:style>
  <w:style w:type="paragraph" w:customStyle="1" w:styleId="94">
    <w:name w:val="样式 样式 标题 5 + 段前: 5 磅 段后: 5 磅 行距: 单倍行距 + 五号"/>
    <w:basedOn w:val="56"/>
    <w:qFormat/>
    <w:uiPriority w:val="0"/>
    <w:rPr>
      <w:sz w:val="21"/>
    </w:rPr>
  </w:style>
  <w:style w:type="paragraph" w:customStyle="1" w:styleId="95">
    <w:name w:val="Char"/>
    <w:basedOn w:val="1"/>
    <w:qFormat/>
    <w:uiPriority w:val="0"/>
    <w:pPr>
      <w:widowControl/>
      <w:adjustRightInd/>
      <w:spacing w:after="160" w:line="240" w:lineRule="exact"/>
      <w:textAlignment w:val="auto"/>
    </w:pPr>
    <w:rPr>
      <w:rFonts w:ascii="Verdana" w:hAnsi="Verdana"/>
      <w:sz w:val="20"/>
      <w:lang w:eastAsia="en-US"/>
    </w:rPr>
  </w:style>
  <w:style w:type="paragraph" w:customStyle="1" w:styleId="96">
    <w:name w:val="Char1 Char Char Char"/>
    <w:basedOn w:val="1"/>
    <w:qFormat/>
    <w:uiPriority w:val="0"/>
    <w:pPr>
      <w:adjustRightInd/>
      <w:spacing w:line="240" w:lineRule="auto"/>
      <w:jc w:val="both"/>
      <w:textAlignment w:val="auto"/>
    </w:pPr>
    <w:rPr>
      <w:rFonts w:ascii="Tahoma" w:hAnsi="Tahoma"/>
      <w:kern w:val="2"/>
    </w:rPr>
  </w:style>
  <w:style w:type="paragraph" w:customStyle="1" w:styleId="97">
    <w:name w:val="标题4"/>
    <w:basedOn w:val="4"/>
    <w:qFormat/>
    <w:uiPriority w:val="0"/>
    <w:pPr>
      <w:spacing w:beforeLines="50" w:afterLines="50" w:line="240" w:lineRule="auto"/>
      <w:jc w:val="center"/>
    </w:pPr>
    <w:rPr>
      <w:rFonts w:ascii="Times New Roman" w:hAnsi="Times New Roman" w:eastAsia="宋体"/>
      <w:color w:val="000000"/>
      <w:sz w:val="24"/>
    </w:rPr>
  </w:style>
  <w:style w:type="paragraph" w:customStyle="1" w:styleId="98">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9">
    <w:name w:val="样式 标题 2 + 宋体 五号 行距: 单倍行距"/>
    <w:basedOn w:val="4"/>
    <w:qFormat/>
    <w:uiPriority w:val="0"/>
    <w:pPr>
      <w:tabs>
        <w:tab w:val="left" w:pos="1140"/>
        <w:tab w:val="clear" w:pos="0"/>
      </w:tabs>
      <w:spacing w:line="240" w:lineRule="auto"/>
      <w:ind w:left="1140" w:hanging="720"/>
    </w:pPr>
    <w:rPr>
      <w:rFonts w:ascii="宋体" w:eastAsia="宋体"/>
      <w:sz w:val="21"/>
      <w:szCs w:val="20"/>
    </w:rPr>
  </w:style>
  <w:style w:type="paragraph" w:customStyle="1" w:styleId="10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01">
    <w:name w:val="Cap_正文"/>
    <w:qFormat/>
    <w:uiPriority w:val="0"/>
    <w:pPr>
      <w:spacing w:after="160"/>
      <w:ind w:firstLine="200" w:firstLineChars="200"/>
    </w:pPr>
    <w:rPr>
      <w:rFonts w:ascii="Times New Roman" w:hAnsi="Times New Roman" w:eastAsia="宋体" w:cs="Times New Roman"/>
      <w:sz w:val="22"/>
      <w:szCs w:val="24"/>
      <w:lang w:val="en-US" w:eastAsia="zh-CN" w:bidi="ar-SA"/>
    </w:rPr>
  </w:style>
  <w:style w:type="paragraph" w:customStyle="1" w:styleId="102">
    <w:name w:val="C1"/>
    <w:basedOn w:val="1"/>
    <w:qFormat/>
    <w:uiPriority w:val="0"/>
    <w:pPr>
      <w:adjustRightInd/>
      <w:spacing w:after="120" w:line="360" w:lineRule="auto"/>
      <w:ind w:firstLine="175" w:firstLineChars="175"/>
      <w:jc w:val="both"/>
      <w:textAlignment w:val="auto"/>
    </w:pPr>
    <w:rPr>
      <w:rFonts w:ascii="Calibri" w:hAnsi="Calibri" w:cs="Arial"/>
      <w:bCs/>
      <w:kern w:val="44"/>
      <w:sz w:val="21"/>
      <w:szCs w:val="24"/>
    </w:rPr>
  </w:style>
  <w:style w:type="paragraph" w:customStyle="1" w:styleId="103">
    <w:name w:val="样式 宋体 五号 两端对齐 行距: 单倍行距"/>
    <w:basedOn w:val="1"/>
    <w:qFormat/>
    <w:uiPriority w:val="0"/>
    <w:pPr>
      <w:spacing w:line="240" w:lineRule="auto"/>
      <w:jc w:val="both"/>
    </w:pPr>
    <w:rPr>
      <w:rFonts w:ascii="宋体"/>
      <w:sz w:val="21"/>
    </w:rPr>
  </w:style>
  <w:style w:type="paragraph" w:customStyle="1" w:styleId="104">
    <w:name w:val="L4"/>
    <w:basedOn w:val="19"/>
    <w:qFormat/>
    <w:uiPriority w:val="0"/>
    <w:pPr>
      <w:tabs>
        <w:tab w:val="left" w:pos="420"/>
        <w:tab w:val="clear" w:pos="0"/>
      </w:tabs>
      <w:adjustRightInd/>
      <w:spacing w:line="240" w:lineRule="auto"/>
      <w:jc w:val="both"/>
      <w:textAlignment w:val="auto"/>
    </w:pPr>
    <w:rPr>
      <w:rFonts w:ascii="Calibri" w:hAnsi="Calibri"/>
      <w:kern w:val="2"/>
      <w:sz w:val="21"/>
    </w:rPr>
  </w:style>
  <w:style w:type="paragraph" w:customStyle="1" w:styleId="105">
    <w:name w:val="Char Char Char Char Char Char Char Char Char Char"/>
    <w:basedOn w:val="1"/>
    <w:qFormat/>
    <w:uiPriority w:val="0"/>
    <w:pPr>
      <w:widowControl/>
      <w:adjustRightInd/>
      <w:spacing w:after="160" w:line="240" w:lineRule="exact"/>
      <w:textAlignment w:val="auto"/>
    </w:pPr>
  </w:style>
  <w:style w:type="paragraph" w:customStyle="1" w:styleId="106">
    <w:name w:val="样式5"/>
    <w:basedOn w:val="3"/>
    <w:qFormat/>
    <w:uiPriority w:val="0"/>
    <w:pPr>
      <w:adjustRightInd/>
      <w:spacing w:line="576" w:lineRule="auto"/>
      <w:jc w:val="both"/>
      <w:textAlignment w:val="auto"/>
    </w:pPr>
    <w:rPr>
      <w:sz w:val="28"/>
    </w:rPr>
  </w:style>
  <w:style w:type="paragraph" w:customStyle="1" w:styleId="107">
    <w:name w:val="PMtextBullet"/>
    <w:basedOn w:val="73"/>
    <w:qFormat/>
    <w:uiPriority w:val="0"/>
    <w:pPr>
      <w:tabs>
        <w:tab w:val="left" w:pos="2520"/>
      </w:tabs>
      <w:spacing w:after="200"/>
      <w:ind w:left="2520" w:firstLine="288"/>
    </w:pPr>
  </w:style>
  <w:style w:type="paragraph" w:customStyle="1" w:styleId="108">
    <w:name w:val="样式 宋体 五号 两端对齐 行距: 单倍行距1"/>
    <w:basedOn w:val="1"/>
    <w:qFormat/>
    <w:uiPriority w:val="0"/>
    <w:pPr>
      <w:spacing w:line="240" w:lineRule="auto"/>
      <w:jc w:val="both"/>
    </w:pPr>
    <w:rPr>
      <w:rFonts w:ascii="宋体"/>
      <w:sz w:val="21"/>
    </w:rPr>
  </w:style>
  <w:style w:type="paragraph" w:customStyle="1" w:styleId="109">
    <w:name w:val="样式 标题 1 + 四号 居中 段前: 12 磅 段后: 12 磅 行距: 单倍行距"/>
    <w:basedOn w:val="3"/>
    <w:qFormat/>
    <w:uiPriority w:val="0"/>
    <w:pPr>
      <w:spacing w:before="240" w:after="240" w:line="240" w:lineRule="auto"/>
      <w:jc w:val="center"/>
    </w:pPr>
    <w:rPr>
      <w:sz w:val="28"/>
      <w:szCs w:val="20"/>
    </w:rPr>
  </w:style>
  <w:style w:type="paragraph" w:customStyle="1" w:styleId="110">
    <w:name w:val="xl4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240" w:lineRule="auto"/>
      <w:textAlignment w:val="top"/>
    </w:pPr>
    <w:rPr>
      <w:rFonts w:ascii="宋体" w:hAnsi="宋体" w:cs="宋体"/>
      <w:szCs w:val="24"/>
    </w:rPr>
  </w:style>
  <w:style w:type="paragraph" w:customStyle="1" w:styleId="111">
    <w:name w:val="正文空格"/>
    <w:basedOn w:val="1"/>
    <w:next w:val="1"/>
    <w:qFormat/>
    <w:uiPriority w:val="0"/>
    <w:pPr>
      <w:adjustRightInd/>
      <w:spacing w:line="400" w:lineRule="exact"/>
      <w:ind w:firstLine="200" w:firstLineChars="200"/>
      <w:jc w:val="both"/>
      <w:textAlignment w:val="auto"/>
    </w:pPr>
    <w:rPr>
      <w:kern w:val="2"/>
      <w:szCs w:val="22"/>
    </w:rPr>
  </w:style>
  <w:style w:type="paragraph" w:customStyle="1" w:styleId="112">
    <w:name w:val="一级"/>
    <w:basedOn w:val="1"/>
    <w:next w:val="1"/>
    <w:qFormat/>
    <w:uiPriority w:val="0"/>
    <w:pPr>
      <w:adjustRightInd/>
      <w:spacing w:before="360" w:after="360" w:line="400" w:lineRule="exact"/>
      <w:jc w:val="both"/>
      <w:textAlignment w:val="auto"/>
      <w:outlineLvl w:val="1"/>
    </w:pPr>
    <w:rPr>
      <w:rFonts w:eastAsia="黑体"/>
      <w:kern w:val="2"/>
      <w:sz w:val="28"/>
      <w:szCs w:val="22"/>
    </w:rPr>
  </w:style>
  <w:style w:type="paragraph" w:customStyle="1" w:styleId="113">
    <w:name w:val="表格文字"/>
    <w:basedOn w:val="52"/>
    <w:qFormat/>
    <w:uiPriority w:val="0"/>
    <w:pPr>
      <w:adjustRightInd/>
      <w:spacing w:line="240" w:lineRule="auto"/>
      <w:textAlignment w:val="auto"/>
    </w:pPr>
    <w:rPr>
      <w:kern w:val="2"/>
      <w:sz w:val="21"/>
      <w:szCs w:val="22"/>
    </w:rPr>
  </w:style>
  <w:style w:type="paragraph" w:customStyle="1" w:styleId="114">
    <w:name w:val="三级"/>
    <w:basedOn w:val="1"/>
    <w:next w:val="1"/>
    <w:qFormat/>
    <w:uiPriority w:val="0"/>
    <w:pPr>
      <w:adjustRightInd/>
      <w:spacing w:before="120" w:after="120" w:line="400" w:lineRule="exact"/>
      <w:jc w:val="both"/>
      <w:textAlignment w:val="auto"/>
      <w:outlineLvl w:val="3"/>
    </w:pPr>
    <w:rPr>
      <w:rFonts w:eastAsia="黑体"/>
      <w:kern w:val="2"/>
      <w:szCs w:val="22"/>
    </w:rPr>
  </w:style>
  <w:style w:type="paragraph" w:customStyle="1" w:styleId="115">
    <w:name w:val="章节"/>
    <w:basedOn w:val="1"/>
    <w:next w:val="1"/>
    <w:qFormat/>
    <w:uiPriority w:val="0"/>
    <w:pPr>
      <w:adjustRightInd/>
      <w:spacing w:before="600" w:after="600" w:line="400" w:lineRule="exact"/>
      <w:jc w:val="center"/>
      <w:textAlignment w:val="auto"/>
      <w:outlineLvl w:val="0"/>
    </w:pPr>
    <w:rPr>
      <w:rFonts w:eastAsia="黑体"/>
      <w:kern w:val="2"/>
      <w:sz w:val="30"/>
      <w:szCs w:val="22"/>
    </w:rPr>
  </w:style>
  <w:style w:type="paragraph" w:customStyle="1" w:styleId="116">
    <w:name w:val="二级"/>
    <w:basedOn w:val="1"/>
    <w:next w:val="1"/>
    <w:qFormat/>
    <w:uiPriority w:val="0"/>
    <w:pPr>
      <w:adjustRightInd/>
      <w:spacing w:before="240" w:after="240" w:line="400" w:lineRule="exact"/>
      <w:jc w:val="both"/>
      <w:textAlignment w:val="auto"/>
      <w:outlineLvl w:val="2"/>
    </w:pPr>
    <w:rPr>
      <w:rFonts w:eastAsia="黑体"/>
      <w:kern w:val="2"/>
      <w:sz w:val="28"/>
      <w:szCs w:val="22"/>
    </w:rPr>
  </w:style>
  <w:style w:type="paragraph" w:customStyle="1" w:styleId="117">
    <w:name w:val="图文"/>
    <w:basedOn w:val="1"/>
    <w:qFormat/>
    <w:uiPriority w:val="0"/>
    <w:pPr>
      <w:adjustRightInd/>
      <w:spacing w:before="120" w:line="400" w:lineRule="exact"/>
      <w:jc w:val="both"/>
      <w:textAlignment w:val="auto"/>
    </w:pPr>
    <w:rPr>
      <w:kern w:val="2"/>
      <w:sz w:val="21"/>
      <w:szCs w:val="22"/>
    </w:rPr>
  </w:style>
  <w:style w:type="paragraph" w:customStyle="1" w:styleId="118">
    <w:name w:val="表前正文"/>
    <w:basedOn w:val="111"/>
    <w:next w:val="1"/>
    <w:qFormat/>
    <w:uiPriority w:val="0"/>
    <w:pPr>
      <w:spacing w:after="100"/>
    </w:pPr>
  </w:style>
  <w:style w:type="paragraph" w:customStyle="1" w:styleId="119">
    <w:name w:val="四级"/>
    <w:basedOn w:val="114"/>
    <w:next w:val="1"/>
    <w:qFormat/>
    <w:uiPriority w:val="0"/>
    <w:pPr>
      <w:outlineLvl w:val="4"/>
    </w:pPr>
  </w:style>
  <w:style w:type="paragraph" w:customStyle="1" w:styleId="120">
    <w:name w:val="Char1"/>
    <w:basedOn w:val="1"/>
    <w:qFormat/>
    <w:uiPriority w:val="0"/>
    <w:pPr>
      <w:adjustRightInd/>
      <w:spacing w:line="240" w:lineRule="auto"/>
      <w:jc w:val="both"/>
      <w:textAlignment w:val="auto"/>
    </w:pPr>
    <w:rPr>
      <w:rFonts w:ascii="宋体" w:hAnsi="宋体"/>
      <w:i/>
      <w:kern w:val="2"/>
      <w:szCs w:val="24"/>
    </w:rPr>
  </w:style>
  <w:style w:type="paragraph" w:customStyle="1" w:styleId="121">
    <w:name w:val="样式 标题 2 + 段前: 0.3 行 + 段前: 0.4 行 段后: 0.4 行 + 段前: 0.4 行 段后:... + 段..."/>
    <w:basedOn w:val="1"/>
    <w:qFormat/>
    <w:uiPriority w:val="0"/>
    <w:pPr>
      <w:keepNext/>
      <w:keepLines/>
      <w:numPr>
        <w:ilvl w:val="1"/>
        <w:numId w:val="3"/>
      </w:numPr>
      <w:tabs>
        <w:tab w:val="left" w:pos="532"/>
      </w:tabs>
      <w:spacing w:beforeLines="40" w:afterLines="40" w:line="360" w:lineRule="auto"/>
      <w:jc w:val="both"/>
      <w:textAlignment w:val="auto"/>
      <w:outlineLvl w:val="1"/>
    </w:pPr>
    <w:rPr>
      <w:rFonts w:ascii="Arial" w:hAnsi="Arial" w:eastAsia="黑体" w:cs="宋体"/>
      <w:b/>
      <w:bCs/>
      <w:kern w:val="2"/>
      <w:sz w:val="30"/>
    </w:rPr>
  </w:style>
  <w:style w:type="paragraph" w:customStyle="1" w:styleId="122">
    <w:name w:val="样式 标题 1 + 段前: 0.3 行 + 段前: 0.5 行 段后: 0.5 行 + 段前: 0.5 行 段后: 0.3 行"/>
    <w:basedOn w:val="1"/>
    <w:qFormat/>
    <w:uiPriority w:val="0"/>
    <w:pPr>
      <w:keepNext/>
      <w:keepLines/>
      <w:tabs>
        <w:tab w:val="left" w:pos="0"/>
        <w:tab w:val="left" w:pos="252"/>
      </w:tabs>
      <w:adjustRightInd/>
      <w:spacing w:beforeLines="50" w:afterLines="30" w:line="360" w:lineRule="auto"/>
      <w:ind w:left="1680" w:hanging="420"/>
      <w:jc w:val="both"/>
      <w:textAlignment w:val="auto"/>
      <w:outlineLvl w:val="0"/>
    </w:pPr>
    <w:rPr>
      <w:rFonts w:cs="宋体"/>
      <w:b/>
      <w:bCs/>
      <w:kern w:val="44"/>
      <w:sz w:val="32"/>
    </w:rPr>
  </w:style>
  <w:style w:type="paragraph" w:customStyle="1" w:styleId="123">
    <w:name w:val="hc正文1.5"/>
    <w:basedOn w:val="1"/>
    <w:qFormat/>
    <w:uiPriority w:val="0"/>
    <w:pPr>
      <w:tabs>
        <w:tab w:val="left" w:pos="3265"/>
      </w:tabs>
      <w:adjustRightInd/>
      <w:spacing w:beforeLines="20" w:afterLines="20" w:line="460" w:lineRule="exact"/>
      <w:ind w:firstLine="480" w:firstLineChars="200"/>
      <w:jc w:val="both"/>
      <w:textAlignment w:val="auto"/>
    </w:pPr>
    <w:rPr>
      <w:rFonts w:ascii="宋体" w:hAnsi="宋体" w:cs="仿宋_GB2312"/>
      <w:szCs w:val="24"/>
    </w:rPr>
  </w:style>
  <w:style w:type="paragraph" w:customStyle="1" w:styleId="124">
    <w:name w:val="Table Paragraph"/>
    <w:basedOn w:val="1"/>
    <w:qFormat/>
    <w:uiPriority w:val="1"/>
    <w:pPr>
      <w:autoSpaceDE w:val="0"/>
      <w:autoSpaceDN w:val="0"/>
    </w:pPr>
    <w:rPr>
      <w:rFonts w:ascii="Times" w:hAnsi="Times"/>
    </w:rPr>
  </w:style>
  <w:style w:type="paragraph" w:customStyle="1" w:styleId="125">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DEEAF6"/>
      <w:adjustRightInd/>
      <w:spacing w:before="100" w:beforeAutospacing="1" w:after="100" w:afterAutospacing="1" w:line="240" w:lineRule="auto"/>
      <w:jc w:val="center"/>
      <w:textAlignment w:val="center"/>
    </w:pPr>
    <w:rPr>
      <w:rFonts w:ascii="宋体" w:hAnsi="宋体" w:cs="宋体"/>
      <w:b/>
      <w:bCs/>
      <w:color w:val="000000"/>
      <w:sz w:val="21"/>
      <w:szCs w:val="21"/>
    </w:rPr>
  </w:style>
  <w:style w:type="paragraph" w:customStyle="1" w:styleId="126">
    <w:name w:val="论文"/>
    <w:basedOn w:val="1"/>
    <w:qFormat/>
    <w:uiPriority w:val="0"/>
    <w:pPr>
      <w:adjustRightInd/>
      <w:spacing w:line="400" w:lineRule="exact"/>
      <w:jc w:val="both"/>
      <w:textAlignment w:val="auto"/>
    </w:pPr>
    <w:rPr>
      <w:kern w:val="2"/>
      <w:szCs w:val="22"/>
    </w:rPr>
  </w:style>
  <w:style w:type="paragraph" w:customStyle="1" w:styleId="127">
    <w:name w:val="文档正文"/>
    <w:basedOn w:val="1"/>
    <w:qFormat/>
    <w:uiPriority w:val="0"/>
    <w:pPr>
      <w:spacing w:line="312" w:lineRule="atLeast"/>
      <w:ind w:firstLine="567"/>
    </w:pPr>
    <w:rPr>
      <w:rFonts w:ascii="长城仿宋" w:eastAsia="长城仿宋"/>
      <w:sz w:val="28"/>
    </w:rPr>
  </w:style>
  <w:style w:type="paragraph" w:customStyle="1" w:styleId="128">
    <w:name w:val="正文2b"/>
    <w:basedOn w:val="1"/>
    <w:next w:val="1"/>
    <w:qFormat/>
    <w:uiPriority w:val="0"/>
    <w:pPr>
      <w:spacing w:line="360" w:lineRule="auto"/>
      <w:ind w:firstLine="200" w:firstLineChars="200"/>
    </w:pPr>
    <w:rPr>
      <w:rFonts w:ascii="仿宋_GB2312" w:hAnsi="Calibri" w:eastAsia="仿宋_GB2312"/>
      <w:szCs w:val="22"/>
    </w:rPr>
  </w:style>
  <w:style w:type="character" w:customStyle="1" w:styleId="129">
    <w:name w:val="标题 1 Char"/>
    <w:link w:val="3"/>
    <w:qFormat/>
    <w:uiPriority w:val="0"/>
    <w:rPr>
      <w:rFonts w:eastAsia="宋体"/>
      <w:b/>
      <w:bCs/>
      <w:kern w:val="44"/>
      <w:sz w:val="44"/>
      <w:szCs w:val="44"/>
    </w:rPr>
  </w:style>
  <w:style w:type="character" w:customStyle="1" w:styleId="130">
    <w:name w:val="标题 2 Char"/>
    <w:link w:val="4"/>
    <w:qFormat/>
    <w:uiPriority w:val="0"/>
    <w:rPr>
      <w:rFonts w:ascii="Arial" w:hAnsi="Arial" w:eastAsia="黑体"/>
      <w:b/>
      <w:bCs/>
      <w:sz w:val="32"/>
      <w:szCs w:val="32"/>
    </w:rPr>
  </w:style>
  <w:style w:type="character" w:customStyle="1" w:styleId="131">
    <w:name w:val="标题 3 Char"/>
    <w:link w:val="5"/>
    <w:qFormat/>
    <w:uiPriority w:val="9"/>
    <w:rPr>
      <w:rFonts w:eastAsia="宋体"/>
      <w:b/>
      <w:bCs/>
      <w:sz w:val="32"/>
      <w:szCs w:val="32"/>
    </w:rPr>
  </w:style>
  <w:style w:type="character" w:customStyle="1" w:styleId="132">
    <w:name w:val="标题 4 Char"/>
    <w:link w:val="6"/>
    <w:qFormat/>
    <w:uiPriority w:val="9"/>
    <w:rPr>
      <w:rFonts w:ascii="Arial" w:hAnsi="Arial" w:eastAsia="黑体"/>
      <w:b/>
      <w:bCs/>
      <w:sz w:val="28"/>
      <w:szCs w:val="28"/>
    </w:rPr>
  </w:style>
  <w:style w:type="character" w:customStyle="1" w:styleId="133">
    <w:name w:val="标题 5 Char"/>
    <w:link w:val="7"/>
    <w:qFormat/>
    <w:uiPriority w:val="0"/>
    <w:rPr>
      <w:rFonts w:eastAsia="宋体"/>
      <w:b/>
      <w:bCs/>
      <w:sz w:val="28"/>
      <w:szCs w:val="28"/>
    </w:rPr>
  </w:style>
  <w:style w:type="character" w:customStyle="1" w:styleId="134">
    <w:name w:val="标题 6 Char"/>
    <w:link w:val="8"/>
    <w:qFormat/>
    <w:uiPriority w:val="0"/>
    <w:rPr>
      <w:rFonts w:ascii="Arial" w:hAnsi="Arial" w:eastAsia="黑体"/>
      <w:b/>
      <w:bCs/>
      <w:sz w:val="24"/>
      <w:szCs w:val="24"/>
    </w:rPr>
  </w:style>
  <w:style w:type="character" w:customStyle="1" w:styleId="135">
    <w:name w:val="标题 7 Char"/>
    <w:link w:val="9"/>
    <w:qFormat/>
    <w:uiPriority w:val="0"/>
    <w:rPr>
      <w:rFonts w:eastAsia="宋体"/>
      <w:b/>
      <w:bCs/>
      <w:sz w:val="24"/>
      <w:szCs w:val="24"/>
    </w:rPr>
  </w:style>
  <w:style w:type="character" w:customStyle="1" w:styleId="136">
    <w:name w:val="标题 8 Char"/>
    <w:link w:val="10"/>
    <w:qFormat/>
    <w:uiPriority w:val="0"/>
    <w:rPr>
      <w:rFonts w:ascii="Arial" w:hAnsi="Arial" w:eastAsia="黑体"/>
      <w:sz w:val="24"/>
      <w:szCs w:val="24"/>
    </w:rPr>
  </w:style>
  <w:style w:type="character" w:customStyle="1" w:styleId="137">
    <w:name w:val="标题 9 Char"/>
    <w:link w:val="11"/>
    <w:qFormat/>
    <w:uiPriority w:val="0"/>
    <w:rPr>
      <w:rFonts w:ascii="Arial" w:hAnsi="Arial" w:eastAsia="黑体"/>
      <w:sz w:val="21"/>
      <w:szCs w:val="21"/>
    </w:rPr>
  </w:style>
  <w:style w:type="character" w:customStyle="1" w:styleId="138">
    <w:name w:val="批注文字 Char"/>
    <w:link w:val="16"/>
    <w:qFormat/>
    <w:uiPriority w:val="0"/>
    <w:rPr>
      <w:rFonts w:eastAsia="宋体"/>
      <w:sz w:val="24"/>
    </w:rPr>
  </w:style>
  <w:style w:type="character" w:customStyle="1" w:styleId="139">
    <w:name w:val="批注主题 Char"/>
    <w:link w:val="37"/>
    <w:qFormat/>
    <w:uiPriority w:val="0"/>
    <w:rPr>
      <w:rFonts w:eastAsia="宋体"/>
      <w:b/>
      <w:bCs/>
      <w:kern w:val="2"/>
      <w:sz w:val="24"/>
    </w:rPr>
  </w:style>
  <w:style w:type="character" w:customStyle="1" w:styleId="140">
    <w:name w:val="正文文本 Char"/>
    <w:link w:val="2"/>
    <w:qFormat/>
    <w:uiPriority w:val="0"/>
    <w:rPr>
      <w:rFonts w:eastAsia="宋体"/>
      <w:kern w:val="2"/>
      <w:sz w:val="28"/>
    </w:rPr>
  </w:style>
  <w:style w:type="character" w:customStyle="1" w:styleId="141">
    <w:name w:val="正文首行缩进 Char"/>
    <w:link w:val="38"/>
    <w:qFormat/>
    <w:uiPriority w:val="0"/>
    <w:rPr>
      <w:rFonts w:eastAsia="宋体"/>
      <w:kern w:val="2"/>
      <w:sz w:val="21"/>
      <w:szCs w:val="24"/>
    </w:rPr>
  </w:style>
  <w:style w:type="character" w:customStyle="1" w:styleId="142">
    <w:name w:val="正文缩进 Char"/>
    <w:link w:val="13"/>
    <w:qFormat/>
    <w:uiPriority w:val="0"/>
    <w:rPr>
      <w:rFonts w:eastAsia="宋体"/>
      <w:sz w:val="24"/>
    </w:rPr>
  </w:style>
  <w:style w:type="character" w:customStyle="1" w:styleId="143">
    <w:name w:val="文档结构图 Char"/>
    <w:link w:val="15"/>
    <w:qFormat/>
    <w:uiPriority w:val="99"/>
    <w:rPr>
      <w:rFonts w:eastAsia="宋体"/>
      <w:sz w:val="24"/>
      <w:shd w:val="clear" w:color="auto" w:fill="000080"/>
    </w:rPr>
  </w:style>
  <w:style w:type="character" w:customStyle="1" w:styleId="144">
    <w:name w:val="称呼 Char"/>
    <w:link w:val="17"/>
    <w:qFormat/>
    <w:uiPriority w:val="0"/>
    <w:rPr>
      <w:rFonts w:ascii="方正仿宋_GBK" w:eastAsia="方正仿宋_GBK" w:cs="方正仿宋_GBK"/>
      <w:sz w:val="32"/>
      <w:szCs w:val="32"/>
      <w:lang w:val="en-US" w:eastAsia="zh-CN" w:bidi="ar-SA"/>
    </w:rPr>
  </w:style>
  <w:style w:type="character" w:customStyle="1" w:styleId="145">
    <w:name w:val="正文文本缩进 Char"/>
    <w:link w:val="18"/>
    <w:qFormat/>
    <w:uiPriority w:val="0"/>
    <w:rPr>
      <w:rFonts w:ascii="宋体" w:eastAsia="宋体"/>
      <w:sz w:val="24"/>
      <w:szCs w:val="21"/>
    </w:rPr>
  </w:style>
  <w:style w:type="character" w:customStyle="1" w:styleId="146">
    <w:name w:val="纯文本 Char"/>
    <w:link w:val="22"/>
    <w:qFormat/>
    <w:uiPriority w:val="0"/>
    <w:rPr>
      <w:rFonts w:ascii="宋体" w:eastAsia="宋体"/>
      <w:kern w:val="2"/>
      <w:sz w:val="21"/>
      <w:szCs w:val="21"/>
    </w:rPr>
  </w:style>
  <w:style w:type="character" w:customStyle="1" w:styleId="147">
    <w:name w:val="日期 Char"/>
    <w:link w:val="24"/>
    <w:qFormat/>
    <w:uiPriority w:val="0"/>
    <w:rPr>
      <w:rFonts w:eastAsia="宋体"/>
      <w:kern w:val="2"/>
      <w:sz w:val="21"/>
    </w:rPr>
  </w:style>
  <w:style w:type="character" w:customStyle="1" w:styleId="148">
    <w:name w:val="正文文本缩进 2 Char"/>
    <w:link w:val="25"/>
    <w:qFormat/>
    <w:uiPriority w:val="0"/>
    <w:rPr>
      <w:rFonts w:ascii="宋体" w:eastAsia="宋体"/>
      <w:sz w:val="24"/>
      <w:szCs w:val="21"/>
    </w:rPr>
  </w:style>
  <w:style w:type="character" w:customStyle="1" w:styleId="149">
    <w:name w:val="批注框文本 Char"/>
    <w:link w:val="26"/>
    <w:qFormat/>
    <w:uiPriority w:val="0"/>
    <w:rPr>
      <w:rFonts w:eastAsia="宋体"/>
      <w:sz w:val="18"/>
      <w:szCs w:val="18"/>
    </w:rPr>
  </w:style>
  <w:style w:type="character" w:customStyle="1" w:styleId="150">
    <w:name w:val="页脚 Char"/>
    <w:link w:val="27"/>
    <w:qFormat/>
    <w:uiPriority w:val="99"/>
    <w:rPr>
      <w:rFonts w:eastAsia="宋体"/>
      <w:sz w:val="18"/>
      <w:lang w:val="en-US" w:eastAsia="zh-CN" w:bidi="ar-SA"/>
    </w:rPr>
  </w:style>
  <w:style w:type="character" w:customStyle="1" w:styleId="151">
    <w:name w:val="页眉 Char"/>
    <w:link w:val="28"/>
    <w:qFormat/>
    <w:uiPriority w:val="99"/>
    <w:rPr>
      <w:rFonts w:eastAsia="宋体"/>
      <w:sz w:val="18"/>
    </w:rPr>
  </w:style>
  <w:style w:type="character" w:customStyle="1" w:styleId="152">
    <w:name w:val="正文文本缩进 3 Char"/>
    <w:link w:val="32"/>
    <w:qFormat/>
    <w:uiPriority w:val="0"/>
    <w:rPr>
      <w:rFonts w:eastAsia="宋体"/>
      <w:sz w:val="28"/>
    </w:rPr>
  </w:style>
  <w:style w:type="character" w:customStyle="1" w:styleId="153">
    <w:name w:val="正文文本 2 Char"/>
    <w:link w:val="35"/>
    <w:qFormat/>
    <w:uiPriority w:val="0"/>
    <w:rPr>
      <w:rFonts w:eastAsia="宋体"/>
      <w:sz w:val="24"/>
    </w:rPr>
  </w:style>
  <w:style w:type="character" w:customStyle="1" w:styleId="154">
    <w:name w:val="已访问的超链接1"/>
    <w:qFormat/>
    <w:uiPriority w:val="0"/>
    <w:rPr>
      <w:color w:val="800080"/>
      <w:u w:val="single"/>
    </w:rPr>
  </w:style>
  <w:style w:type="character" w:customStyle="1" w:styleId="155">
    <w:name w:val="批注文字 Char1"/>
    <w:qFormat/>
    <w:uiPriority w:val="0"/>
    <w:rPr>
      <w:rFonts w:eastAsia="宋体"/>
      <w:kern w:val="2"/>
      <w:sz w:val="21"/>
    </w:rPr>
  </w:style>
  <w:style w:type="character" w:customStyle="1" w:styleId="156">
    <w:name w:val="样式 标题 1 + (西文) 方正黑体_GBK (中文) 方正黑体_GBK (符号) 宋体 三号 非加粗 黑色"/>
    <w:qFormat/>
    <w:uiPriority w:val="0"/>
    <w:rPr>
      <w:rFonts w:ascii="方正黑体_GBK" w:eastAsia="方正黑体_GBK" w:cs="宋体"/>
      <w:color w:val="000000"/>
      <w:sz w:val="32"/>
      <w:szCs w:val="32"/>
      <w:lang w:val="zh-CN" w:eastAsia="zh-CN" w:bidi="ar-SA"/>
    </w:rPr>
  </w:style>
  <w:style w:type="character" w:customStyle="1" w:styleId="157">
    <w:name w:val="批注文字 Char2"/>
    <w:semiHidden/>
    <w:qFormat/>
    <w:uiPriority w:val="99"/>
    <w:rPr>
      <w:kern w:val="2"/>
      <w:sz w:val="21"/>
    </w:rPr>
  </w:style>
  <w:style w:type="character" w:customStyle="1" w:styleId="158">
    <w:name w:val="样式1 Char Char"/>
    <w:qFormat/>
    <w:uiPriority w:val="0"/>
    <w:rPr>
      <w:rFonts w:ascii="宋体" w:eastAsia="宋体"/>
      <w:sz w:val="21"/>
      <w:szCs w:val="21"/>
      <w:lang w:val="en-US" w:eastAsia="zh-CN" w:bidi="ar-SA"/>
    </w:rPr>
  </w:style>
  <w:style w:type="character" w:customStyle="1" w:styleId="159">
    <w:name w:val="标题 2 Char Char Char"/>
    <w:qFormat/>
    <w:uiPriority w:val="0"/>
    <w:rPr>
      <w:rFonts w:ascii="Arial" w:hAnsi="Arial" w:eastAsia="黑体"/>
      <w:b/>
      <w:bCs/>
      <w:kern w:val="2"/>
      <w:sz w:val="32"/>
      <w:szCs w:val="32"/>
      <w:lang w:val="en-US" w:eastAsia="zh-CN" w:bidi="ar-SA"/>
    </w:rPr>
  </w:style>
  <w:style w:type="character" w:customStyle="1" w:styleId="160">
    <w:name w:val="无间隔 Char"/>
    <w:link w:val="47"/>
    <w:qFormat/>
    <w:locked/>
    <w:uiPriority w:val="1"/>
    <w:rPr>
      <w:sz w:val="22"/>
      <w:szCs w:val="22"/>
      <w:lang w:val="en-US" w:eastAsia="zh-CN" w:bidi="ar-SA"/>
    </w:rPr>
  </w:style>
  <w:style w:type="character" w:customStyle="1" w:styleId="161">
    <w:name w:val="h3 Char"/>
    <w:qFormat/>
    <w:uiPriority w:val="0"/>
    <w:rPr>
      <w:rFonts w:eastAsia="宋体"/>
      <w:b/>
      <w:bCs/>
      <w:sz w:val="32"/>
      <w:szCs w:val="32"/>
      <w:lang w:val="en-US" w:eastAsia="zh-CN" w:bidi="ar-SA"/>
    </w:rPr>
  </w:style>
  <w:style w:type="character" w:customStyle="1" w:styleId="162">
    <w:name w:val="font01"/>
    <w:basedOn w:val="41"/>
    <w:qFormat/>
    <w:uiPriority w:val="0"/>
    <w:rPr>
      <w:rFonts w:hint="eastAsia" w:ascii="宋体" w:hAnsi="宋体" w:eastAsia="宋体" w:cs="宋体"/>
      <w:color w:val="000000"/>
      <w:sz w:val="22"/>
      <w:szCs w:val="22"/>
      <w:u w:val="none"/>
    </w:rPr>
  </w:style>
  <w:style w:type="character" w:customStyle="1" w:styleId="163">
    <w:name w:val="font101"/>
    <w:basedOn w:val="41"/>
    <w:qFormat/>
    <w:uiPriority w:val="0"/>
    <w:rPr>
      <w:rFonts w:hint="eastAsia" w:ascii="宋体" w:hAnsi="宋体" w:eastAsia="宋体" w:cs="宋体"/>
      <w:color w:val="000000"/>
      <w:sz w:val="22"/>
      <w:szCs w:val="22"/>
      <w:u w:val="none"/>
      <w:vertAlign w:val="superscript"/>
    </w:rPr>
  </w:style>
  <w:style w:type="character" w:customStyle="1" w:styleId="164">
    <w:name w:val="font31"/>
    <w:basedOn w:val="41"/>
    <w:qFormat/>
    <w:uiPriority w:val="0"/>
    <w:rPr>
      <w:rFonts w:hint="eastAsia" w:ascii="宋体" w:hAnsi="宋体" w:eastAsia="宋体" w:cs="宋体"/>
      <w:color w:val="000000"/>
      <w:sz w:val="22"/>
      <w:szCs w:val="22"/>
      <w:u w:val="none"/>
    </w:rPr>
  </w:style>
  <w:style w:type="character" w:customStyle="1" w:styleId="165">
    <w:name w:val="font21"/>
    <w:basedOn w:val="41"/>
    <w:qFormat/>
    <w:uiPriority w:val="0"/>
    <w:rPr>
      <w:rFonts w:hint="eastAsia" w:ascii="宋体" w:hAnsi="宋体" w:eastAsia="宋体" w:cs="宋体"/>
      <w:color w:val="000000"/>
      <w:sz w:val="22"/>
      <w:szCs w:val="22"/>
      <w:u w:val="none"/>
      <w:vertAlign w:val="superscript"/>
    </w:rPr>
  </w:style>
  <w:style w:type="character" w:customStyle="1" w:styleId="166">
    <w:name w:val="font91"/>
    <w:basedOn w:val="41"/>
    <w:qFormat/>
    <w:uiPriority w:val="0"/>
    <w:rPr>
      <w:rFonts w:hint="eastAsia" w:ascii="宋体" w:hAnsi="宋体" w:eastAsia="宋体" w:cs="宋体"/>
      <w:color w:val="000000"/>
      <w:sz w:val="22"/>
      <w:szCs w:val="22"/>
      <w:u w:val="none"/>
      <w:vertAlign w:val="superscript"/>
    </w:rPr>
  </w:style>
  <w:style w:type="character" w:customStyle="1" w:styleId="167">
    <w:name w:val="font81"/>
    <w:basedOn w:val="41"/>
    <w:qFormat/>
    <w:uiPriority w:val="0"/>
    <w:rPr>
      <w:rFonts w:hint="eastAsia" w:ascii="宋体" w:hAnsi="宋体" w:eastAsia="宋体" w:cs="宋体"/>
      <w:color w:val="000000"/>
      <w:sz w:val="20"/>
      <w:szCs w:val="20"/>
      <w:u w:val="none"/>
    </w:rPr>
  </w:style>
  <w:style w:type="character" w:customStyle="1" w:styleId="168">
    <w:name w:val="font11"/>
    <w:basedOn w:val="41"/>
    <w:qFormat/>
    <w:uiPriority w:val="0"/>
    <w:rPr>
      <w:rFonts w:hint="eastAsia" w:ascii="宋体" w:hAnsi="宋体" w:eastAsia="宋体" w:cs="宋体"/>
      <w:color w:val="000000"/>
      <w:sz w:val="20"/>
      <w:szCs w:val="20"/>
      <w:u w:val="none"/>
      <w:vertAlign w:val="superscript"/>
    </w:rPr>
  </w:style>
  <w:style w:type="character" w:customStyle="1" w:styleId="169">
    <w:name w:val="font13"/>
    <w:basedOn w:val="41"/>
    <w:qFormat/>
    <w:uiPriority w:val="0"/>
    <w:rPr>
      <w:rFonts w:hint="eastAsia" w:ascii="宋体" w:hAnsi="宋体" w:eastAsia="宋体" w:cs="宋体"/>
      <w:color w:val="000000"/>
      <w:sz w:val="20"/>
      <w:szCs w:val="20"/>
      <w:u w:val="none"/>
      <w:vertAlign w:val="superscript"/>
    </w:rPr>
  </w:style>
  <w:style w:type="character" w:customStyle="1" w:styleId="170">
    <w:name w:val="批注主题 Char1"/>
    <w:qFormat/>
    <w:uiPriority w:val="0"/>
    <w:rPr>
      <w:rFonts w:ascii="Times New Roman" w:hAnsi="Times New Roman" w:eastAsia="宋体" w:cs="Times New Roman"/>
      <w:szCs w:val="20"/>
    </w:rPr>
  </w:style>
  <w:style w:type="paragraph" w:customStyle="1" w:styleId="171">
    <w:name w:val="纯文本1"/>
    <w:basedOn w:val="1"/>
    <w:qFormat/>
    <w:uiPriority w:val="0"/>
    <w:rPr>
      <w:rFonts w:ascii="宋体" w:hAnsi="Courier New"/>
    </w:rPr>
  </w:style>
  <w:style w:type="character" w:customStyle="1" w:styleId="172">
    <w:name w:val="标题 1 Char Char"/>
    <w:qFormat/>
    <w:uiPriority w:val="0"/>
    <w:rPr>
      <w:rFonts w:eastAsia="宋体"/>
      <w:b/>
      <w:spacing w:val="-2"/>
      <w:sz w:val="24"/>
      <w:lang w:val="en-US" w:eastAsia="zh-CN"/>
    </w:rPr>
  </w:style>
  <w:style w:type="paragraph" w:customStyle="1" w:styleId="173">
    <w:name w:val="p0"/>
    <w:basedOn w:val="1"/>
    <w:qFormat/>
    <w:uiPriority w:val="0"/>
    <w:pPr>
      <w:widowControl/>
    </w:pPr>
    <w:rPr>
      <w:kern w:val="0"/>
      <w:szCs w:val="21"/>
    </w:rPr>
  </w:style>
  <w:style w:type="paragraph" w:customStyle="1" w:styleId="174">
    <w:name w:val="此正文"/>
    <w:basedOn w:val="1"/>
    <w:qFormat/>
    <w:uiPriority w:val="0"/>
    <w:pPr>
      <w:spacing w:line="360" w:lineRule="auto"/>
      <w:ind w:firstLine="200" w:firstLineChars="200"/>
    </w:pPr>
    <w:rPr>
      <w:sz w:val="24"/>
      <w:szCs w:val="24"/>
    </w:rPr>
  </w:style>
  <w:style w:type="paragraph" w:customStyle="1" w:styleId="175">
    <w:name w:val="msolistparagraph"/>
    <w:basedOn w:val="1"/>
    <w:qFormat/>
    <w:uiPriority w:val="0"/>
    <w:pPr>
      <w:ind w:firstLine="420" w:firstLineChars="200"/>
    </w:pPr>
    <w:rPr>
      <w:kern w:val="0"/>
      <w:sz w:val="20"/>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theme" Target="theme/theme1.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footer" Target="footer3.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56</Pages>
  <Words>29343</Words>
  <Characters>31364</Characters>
  <Lines>308</Lines>
  <Paragraphs>86</Paragraphs>
  <TotalTime>19</TotalTime>
  <ScaleCrop>false</ScaleCrop>
  <LinksUpToDate>false</LinksUpToDate>
  <CharactersWithSpaces>32497</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2019-05-24T08:01:00Z</dcterms:created>
  <dc:creator>dell</dc:creator>
  <cp:lastModifiedBy>聪聪</cp:lastModifiedBy>
  <cp:lastPrinted>2021-05-20T03:19:00Z</cp:lastPrinted>
  <dcterms:modified xsi:type="dcterms:W3CDTF">2022-06-24T10:56:14Z</dcterms:modified>
  <dc:title>海关总署网络设备采购招标项目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9A973EF64A39408B9A96AB0AC5FE9F1A</vt:lpwstr>
  </property>
</Properties>
</file>