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ind w:firstLine="1807" w:firstLineChars="500"/>
        <w:jc w:val="center"/>
        <w:rPr>
          <w:rFonts w:hint="eastAsia" w:ascii="宋体" w:hAnsi="宋体" w:eastAsia="宋体" w:cs="宋体"/>
          <w:b/>
          <w:bCs/>
          <w:sz w:val="36"/>
          <w:szCs w:val="36"/>
          <w:lang w:eastAsia="zh-CN"/>
        </w:rPr>
      </w:pPr>
      <w:r>
        <w:rPr>
          <w:rFonts w:hint="eastAsia" w:ascii="宋体" w:hAnsi="宋体" w:eastAsia="宋体" w:cs="宋体"/>
          <w:b/>
          <w:bCs/>
          <w:sz w:val="36"/>
          <w:szCs w:val="36"/>
          <w:lang w:eastAsia="zh-CN"/>
        </w:rPr>
        <w:drawing>
          <wp:anchor distT="0" distB="0" distL="114300" distR="114300" simplePos="0" relativeHeight="251658240" behindDoc="0" locked="0" layoutInCell="1" allowOverlap="1">
            <wp:simplePos x="0" y="0"/>
            <wp:positionH relativeFrom="column">
              <wp:posOffset>-65405</wp:posOffset>
            </wp:positionH>
            <wp:positionV relativeFrom="paragraph">
              <wp:posOffset>133350</wp:posOffset>
            </wp:positionV>
            <wp:extent cx="7560310" cy="10691495"/>
            <wp:effectExtent l="0" t="0" r="2540" b="14605"/>
            <wp:wrapSquare wrapText="bothSides"/>
            <wp:docPr id="3" name="图片 3" descr="招标文件盖章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招标文件盖章页"/>
                    <pic:cNvPicPr>
                      <a:picLocks noChangeAspect="1"/>
                    </pic:cNvPicPr>
                  </pic:nvPicPr>
                  <pic:blipFill>
                    <a:blip r:embed="rId5"/>
                    <a:stretch>
                      <a:fillRect/>
                    </a:stretch>
                  </pic:blipFill>
                  <pic:spPr>
                    <a:xfrm>
                      <a:off x="0" y="0"/>
                      <a:ext cx="7560310" cy="10691495"/>
                    </a:xfrm>
                    <a:prstGeom prst="rect">
                      <a:avLst/>
                    </a:prstGeom>
                  </pic:spPr>
                </pic:pic>
              </a:graphicData>
            </a:graphic>
          </wp:anchor>
        </w:drawing>
      </w:r>
    </w:p>
    <w:p>
      <w:pPr>
        <w:spacing w:beforeLines="50"/>
        <w:ind w:firstLine="1807" w:firstLineChars="500"/>
        <w:jc w:val="center"/>
        <w:rPr>
          <w:rFonts w:ascii="宋体" w:hAnsi="宋体" w:cs="宋体"/>
          <w:b/>
          <w:bCs/>
          <w:sz w:val="36"/>
          <w:szCs w:val="36"/>
        </w:rPr>
      </w:pPr>
    </w:p>
    <w:p>
      <w:pPr>
        <w:pStyle w:val="18"/>
        <w:spacing w:beforeLines="0" w:after="120" w:line="240" w:lineRule="auto"/>
        <w:jc w:val="center"/>
        <w:rPr>
          <w:rFonts w:hAnsi="宋体"/>
          <w:sz w:val="44"/>
          <w:szCs w:val="44"/>
        </w:rPr>
      </w:pPr>
      <w:r>
        <w:rPr>
          <w:rFonts w:hAnsi="宋体"/>
          <w:sz w:val="44"/>
          <w:szCs w:val="44"/>
        </w:rPr>
        <w:t>目    录</w:t>
      </w:r>
    </w:p>
    <w:p>
      <w:pPr>
        <w:numPr>
          <w:ilvl w:val="0"/>
          <w:numId w:val="3"/>
        </w:numPr>
        <w:tabs>
          <w:tab w:val="left" w:pos="284"/>
        </w:tabs>
        <w:spacing w:beforeLines="50" w:line="480" w:lineRule="exact"/>
        <w:ind w:hanging="1298"/>
        <w:rPr>
          <w:rFonts w:ascii="宋体" w:hAnsi="宋体"/>
          <w:sz w:val="30"/>
          <w:szCs w:val="20"/>
        </w:rPr>
      </w:pPr>
      <w:r>
        <w:rPr>
          <w:rFonts w:hint="eastAsia" w:ascii="宋体" w:hAnsi="宋体"/>
          <w:sz w:val="30"/>
        </w:rPr>
        <w:t>公开招标采购公告</w:t>
      </w:r>
    </w:p>
    <w:p>
      <w:pPr>
        <w:numPr>
          <w:ilvl w:val="0"/>
          <w:numId w:val="3"/>
        </w:numPr>
        <w:spacing w:beforeLines="50" w:line="480" w:lineRule="exact"/>
        <w:rPr>
          <w:rFonts w:ascii="宋体" w:hAnsi="宋体"/>
          <w:sz w:val="30"/>
          <w:szCs w:val="20"/>
        </w:rPr>
      </w:pPr>
      <w:r>
        <w:rPr>
          <w:rFonts w:hint="eastAsia" w:ascii="宋体" w:hAnsi="宋体"/>
          <w:sz w:val="30"/>
        </w:rPr>
        <w:t>招标需求</w:t>
      </w:r>
    </w:p>
    <w:p>
      <w:pPr>
        <w:numPr>
          <w:ilvl w:val="0"/>
          <w:numId w:val="3"/>
        </w:numPr>
        <w:spacing w:beforeLines="50" w:line="480" w:lineRule="exact"/>
        <w:rPr>
          <w:rFonts w:ascii="宋体" w:hAnsi="宋体"/>
          <w:sz w:val="30"/>
          <w:szCs w:val="20"/>
        </w:rPr>
      </w:pPr>
      <w:r>
        <w:rPr>
          <w:rFonts w:hint="eastAsia" w:ascii="宋体" w:hAnsi="宋体"/>
          <w:sz w:val="30"/>
        </w:rPr>
        <w:t>投标人须知</w:t>
      </w:r>
    </w:p>
    <w:p>
      <w:pPr>
        <w:numPr>
          <w:ilvl w:val="0"/>
          <w:numId w:val="3"/>
        </w:numPr>
        <w:spacing w:beforeLines="50" w:line="480" w:lineRule="exact"/>
        <w:rPr>
          <w:rFonts w:ascii="宋体" w:hAnsi="宋体"/>
          <w:sz w:val="30"/>
          <w:szCs w:val="20"/>
        </w:rPr>
      </w:pPr>
      <w:r>
        <w:rPr>
          <w:rFonts w:hint="eastAsia" w:ascii="宋体" w:hAnsi="宋体"/>
          <w:sz w:val="30"/>
        </w:rPr>
        <w:t>评标办法及评分标准</w:t>
      </w:r>
    </w:p>
    <w:p>
      <w:pPr>
        <w:numPr>
          <w:ilvl w:val="0"/>
          <w:numId w:val="3"/>
        </w:numPr>
        <w:spacing w:beforeLines="50" w:line="480" w:lineRule="exact"/>
        <w:rPr>
          <w:rFonts w:ascii="宋体" w:hAnsi="宋体"/>
          <w:sz w:val="30"/>
          <w:szCs w:val="20"/>
        </w:rPr>
      </w:pPr>
      <w:r>
        <w:rPr>
          <w:rFonts w:hint="eastAsia" w:ascii="宋体" w:hAnsi="宋体"/>
          <w:sz w:val="30"/>
        </w:rPr>
        <w:t>政府采购合同主要条款</w:t>
      </w:r>
    </w:p>
    <w:p>
      <w:pPr>
        <w:numPr>
          <w:ilvl w:val="0"/>
          <w:numId w:val="3"/>
        </w:numPr>
        <w:spacing w:beforeLines="50" w:line="480" w:lineRule="exact"/>
        <w:ind w:hanging="1298"/>
        <w:rPr>
          <w:rFonts w:ascii="宋体" w:hAnsi="宋体"/>
          <w:sz w:val="30"/>
          <w:szCs w:val="20"/>
        </w:rPr>
      </w:pPr>
      <w:r>
        <w:rPr>
          <w:rFonts w:hint="eastAsia" w:ascii="宋体" w:hAnsi="宋体"/>
          <w:sz w:val="30"/>
        </w:rPr>
        <w:t>投标文件格式</w:t>
      </w:r>
    </w:p>
    <w:p>
      <w:pPr>
        <w:pStyle w:val="3"/>
        <w:spacing w:before="0" w:after="0" w:line="240" w:lineRule="auto"/>
        <w:jc w:val="center"/>
        <w:rPr>
          <w:rFonts w:ascii="宋体" w:hAnsi="宋体"/>
          <w:sz w:val="32"/>
          <w:szCs w:val="32"/>
        </w:rPr>
      </w:pPr>
      <w:r>
        <w:rPr>
          <w:rFonts w:ascii="宋体" w:hAnsi="宋体"/>
        </w:rPr>
        <w:br w:type="page"/>
      </w:r>
      <w:bookmarkStart w:id="0" w:name="_Toc485712485"/>
      <w:r>
        <w:rPr>
          <w:rFonts w:ascii="宋体" w:hAnsi="宋体"/>
          <w:sz w:val="30"/>
          <w:szCs w:val="30"/>
        </w:rPr>
        <w:t>第一章  公开招标采购公告</w:t>
      </w:r>
      <w:bookmarkEnd w:id="0"/>
    </w:p>
    <w:p>
      <w:pPr>
        <w:pStyle w:val="71"/>
        <w:widowControl w:val="0"/>
        <w:spacing w:before="60" w:afterLines="0" w:line="360" w:lineRule="auto"/>
        <w:ind w:firstLine="600" w:firstLineChars="286"/>
        <w:rPr>
          <w:rFonts w:ascii="宋体" w:hAnsi="宋体"/>
          <w:sz w:val="21"/>
          <w:szCs w:val="21"/>
        </w:rPr>
      </w:pPr>
    </w:p>
    <w:p>
      <w:pPr>
        <w:pStyle w:val="71"/>
        <w:widowControl w:val="0"/>
        <w:spacing w:before="60" w:afterLines="0" w:line="360" w:lineRule="auto"/>
        <w:ind w:firstLine="600" w:firstLineChars="286"/>
        <w:rPr>
          <w:rFonts w:ascii="宋体" w:hAnsi="宋体"/>
          <w:bCs/>
          <w:kern w:val="2"/>
          <w:sz w:val="21"/>
          <w:szCs w:val="21"/>
        </w:rPr>
      </w:pPr>
      <w:r>
        <w:rPr>
          <w:rFonts w:ascii="宋体" w:hAnsi="宋体"/>
          <w:sz w:val="21"/>
          <w:szCs w:val="21"/>
        </w:rPr>
        <w:t>根据《中华人民共和国政府采购法》、《政府采购货物和服务招标投标管理办法》等规定，经江北区采购办批准，现就</w:t>
      </w:r>
      <w:r>
        <w:rPr>
          <w:rFonts w:hint="eastAsia" w:ascii="宋体" w:hAnsi="宋体"/>
          <w:sz w:val="21"/>
          <w:szCs w:val="21"/>
        </w:rPr>
        <w:t>人民广场与地下通道工程第三方监测项目</w:t>
      </w:r>
      <w:r>
        <w:rPr>
          <w:rFonts w:ascii="宋体" w:hAnsi="宋体"/>
          <w:sz w:val="21"/>
          <w:szCs w:val="21"/>
        </w:rPr>
        <w:t>进行公开招标采购，欢迎符合资格要求的供应商前来投标。</w:t>
      </w:r>
    </w:p>
    <w:p>
      <w:pPr>
        <w:snapToGrid w:val="0"/>
        <w:spacing w:before="60" w:after="60" w:line="360" w:lineRule="auto"/>
        <w:ind w:firstLine="14" w:firstLineChars="7"/>
        <w:rPr>
          <w:rFonts w:ascii="宋体" w:hAnsi="宋体"/>
          <w:bCs/>
          <w:szCs w:val="21"/>
        </w:rPr>
      </w:pPr>
      <w:r>
        <w:rPr>
          <w:rFonts w:ascii="宋体" w:hAnsi="宋体"/>
          <w:bCs/>
          <w:szCs w:val="21"/>
        </w:rPr>
        <w:t>一、项目编号：</w:t>
      </w:r>
      <w:r>
        <w:rPr>
          <w:rFonts w:hint="eastAsia" w:ascii="宋体" w:hAnsi="宋体"/>
          <w:bCs/>
          <w:szCs w:val="21"/>
        </w:rPr>
        <w:t>XDZB-2020-006 （交易登记号：FSCG2020005）</w:t>
      </w:r>
    </w:p>
    <w:p>
      <w:pPr>
        <w:snapToGrid w:val="0"/>
        <w:spacing w:before="60" w:after="60" w:line="360" w:lineRule="auto"/>
        <w:ind w:firstLine="14" w:firstLineChars="7"/>
        <w:rPr>
          <w:rFonts w:ascii="宋体" w:hAnsi="宋体"/>
          <w:bCs/>
          <w:szCs w:val="21"/>
        </w:rPr>
      </w:pPr>
      <w:r>
        <w:rPr>
          <w:rFonts w:ascii="宋体" w:hAnsi="宋体"/>
          <w:szCs w:val="21"/>
        </w:rPr>
        <w:t>二、</w:t>
      </w:r>
      <w:r>
        <w:rPr>
          <w:rFonts w:ascii="宋体" w:hAnsi="宋体"/>
          <w:bCs/>
          <w:szCs w:val="21"/>
        </w:rPr>
        <w:t>项目概况</w:t>
      </w:r>
    </w:p>
    <w:tbl>
      <w:tblPr>
        <w:tblStyle w:val="38"/>
        <w:tblW w:w="9238" w:type="dxa"/>
        <w:tblInd w:w="-34" w:type="dxa"/>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
      <w:tblGrid>
        <w:gridCol w:w="710"/>
        <w:gridCol w:w="4244"/>
        <w:gridCol w:w="2579"/>
        <w:gridCol w:w="1705"/>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76" w:hRule="atLeast"/>
        </w:trPr>
        <w:tc>
          <w:tcPr>
            <w:tcW w:w="710" w:type="dxa"/>
            <w:vAlign w:val="center"/>
          </w:tcPr>
          <w:p>
            <w:pPr>
              <w:snapToGrid w:val="0"/>
              <w:spacing w:before="60" w:after="60" w:line="360" w:lineRule="auto"/>
              <w:jc w:val="center"/>
              <w:rPr>
                <w:rFonts w:ascii="宋体" w:hAnsi="宋体"/>
                <w:bCs/>
                <w:szCs w:val="21"/>
              </w:rPr>
            </w:pPr>
            <w:r>
              <w:rPr>
                <w:rFonts w:ascii="宋体" w:hAnsi="宋体"/>
                <w:bCs/>
                <w:szCs w:val="21"/>
              </w:rPr>
              <w:t>子包</w:t>
            </w:r>
          </w:p>
        </w:tc>
        <w:tc>
          <w:tcPr>
            <w:tcW w:w="4244" w:type="dxa"/>
            <w:vAlign w:val="center"/>
          </w:tcPr>
          <w:p>
            <w:pPr>
              <w:snapToGrid w:val="0"/>
              <w:spacing w:before="60" w:after="60" w:line="360" w:lineRule="auto"/>
              <w:jc w:val="center"/>
              <w:rPr>
                <w:rFonts w:ascii="宋体" w:hAnsi="宋体"/>
                <w:kern w:val="0"/>
                <w:szCs w:val="21"/>
              </w:rPr>
            </w:pPr>
            <w:r>
              <w:rPr>
                <w:rFonts w:hint="eastAsia" w:ascii="宋体" w:hAnsi="宋体"/>
                <w:kern w:val="0"/>
                <w:szCs w:val="21"/>
              </w:rPr>
              <w:t>服务内容</w:t>
            </w:r>
          </w:p>
        </w:tc>
        <w:tc>
          <w:tcPr>
            <w:tcW w:w="2579" w:type="dxa"/>
            <w:vAlign w:val="center"/>
          </w:tcPr>
          <w:p>
            <w:pPr>
              <w:snapToGrid w:val="0"/>
              <w:spacing w:before="60" w:after="60" w:line="360" w:lineRule="auto"/>
              <w:jc w:val="center"/>
              <w:rPr>
                <w:rFonts w:ascii="宋体" w:hAnsi="宋体"/>
                <w:kern w:val="0"/>
                <w:szCs w:val="21"/>
              </w:rPr>
            </w:pPr>
            <w:r>
              <w:rPr>
                <w:rFonts w:hint="eastAsia" w:ascii="宋体" w:hAnsi="宋体"/>
                <w:kern w:val="0"/>
                <w:szCs w:val="21"/>
              </w:rPr>
              <w:t>服务期限</w:t>
            </w:r>
          </w:p>
        </w:tc>
        <w:tc>
          <w:tcPr>
            <w:tcW w:w="1705" w:type="dxa"/>
          </w:tcPr>
          <w:p>
            <w:pPr>
              <w:snapToGrid w:val="0"/>
              <w:spacing w:before="60" w:after="60" w:line="360" w:lineRule="auto"/>
              <w:jc w:val="center"/>
              <w:rPr>
                <w:rFonts w:ascii="宋体" w:hAnsi="宋体"/>
                <w:kern w:val="0"/>
                <w:szCs w:val="21"/>
              </w:rPr>
            </w:pPr>
            <w:r>
              <w:rPr>
                <w:rFonts w:hint="eastAsia" w:ascii="宋体" w:hAnsi="宋体"/>
                <w:kern w:val="0"/>
                <w:szCs w:val="21"/>
              </w:rPr>
              <w:t>最高限价</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183" w:hRule="atLeast"/>
        </w:trPr>
        <w:tc>
          <w:tcPr>
            <w:tcW w:w="710" w:type="dxa"/>
            <w:vAlign w:val="center"/>
          </w:tcPr>
          <w:p>
            <w:pPr>
              <w:snapToGrid w:val="0"/>
              <w:spacing w:before="60" w:after="60" w:line="360" w:lineRule="auto"/>
              <w:jc w:val="center"/>
              <w:rPr>
                <w:rFonts w:ascii="宋体" w:hAnsi="宋体"/>
                <w:bCs/>
                <w:szCs w:val="21"/>
              </w:rPr>
            </w:pPr>
            <w:r>
              <w:rPr>
                <w:rFonts w:hint="eastAsia" w:ascii="宋体" w:hAnsi="宋体"/>
                <w:bCs/>
                <w:szCs w:val="21"/>
              </w:rPr>
              <w:t>1</w:t>
            </w:r>
          </w:p>
        </w:tc>
        <w:tc>
          <w:tcPr>
            <w:tcW w:w="4244" w:type="dxa"/>
            <w:vAlign w:val="center"/>
          </w:tcPr>
          <w:p>
            <w:pPr>
              <w:snapToGrid w:val="0"/>
              <w:spacing w:before="60" w:after="60" w:line="360" w:lineRule="auto"/>
              <w:jc w:val="center"/>
              <w:rPr>
                <w:rFonts w:ascii="宋体" w:hAnsi="宋体"/>
                <w:szCs w:val="21"/>
              </w:rPr>
            </w:pPr>
            <w:r>
              <w:rPr>
                <w:rFonts w:hint="eastAsia" w:ascii="宋体" w:hAnsi="宋体"/>
                <w:szCs w:val="21"/>
              </w:rPr>
              <w:t>人民广场与地下通道工程的基坑监测</w:t>
            </w:r>
          </w:p>
        </w:tc>
        <w:tc>
          <w:tcPr>
            <w:tcW w:w="2579" w:type="dxa"/>
            <w:vAlign w:val="center"/>
          </w:tcPr>
          <w:p>
            <w:pPr>
              <w:snapToGrid w:val="0"/>
              <w:spacing w:before="60" w:after="60" w:line="360" w:lineRule="auto"/>
              <w:jc w:val="center"/>
              <w:rPr>
                <w:rFonts w:ascii="宋体" w:hAnsi="宋体"/>
                <w:szCs w:val="21"/>
              </w:rPr>
            </w:pPr>
            <w:r>
              <w:rPr>
                <w:rFonts w:hint="eastAsia" w:ascii="宋体" w:hAnsi="宋体"/>
                <w:szCs w:val="21"/>
              </w:rPr>
              <w:t>自合同签订之日起至项目通过甲方验收完成止。</w:t>
            </w:r>
          </w:p>
        </w:tc>
        <w:tc>
          <w:tcPr>
            <w:tcW w:w="1705" w:type="dxa"/>
            <w:vAlign w:val="center"/>
          </w:tcPr>
          <w:p>
            <w:pPr>
              <w:snapToGrid w:val="0"/>
              <w:spacing w:before="60" w:after="60" w:line="360" w:lineRule="auto"/>
              <w:jc w:val="center"/>
              <w:rPr>
                <w:rFonts w:ascii="宋体" w:hAnsi="宋体"/>
                <w:szCs w:val="21"/>
              </w:rPr>
            </w:pPr>
            <w:r>
              <w:rPr>
                <w:rFonts w:hint="eastAsia"/>
              </w:rPr>
              <w:t>368520元</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971" w:hRule="atLeast"/>
        </w:trPr>
        <w:tc>
          <w:tcPr>
            <w:tcW w:w="710" w:type="dxa"/>
            <w:vAlign w:val="center"/>
          </w:tcPr>
          <w:p>
            <w:pPr>
              <w:snapToGrid w:val="0"/>
              <w:spacing w:before="60" w:after="60" w:line="360" w:lineRule="auto"/>
              <w:jc w:val="center"/>
              <w:rPr>
                <w:rFonts w:ascii="宋体" w:hAnsi="宋体"/>
                <w:bCs/>
                <w:szCs w:val="21"/>
              </w:rPr>
            </w:pPr>
            <w:r>
              <w:rPr>
                <w:rFonts w:hint="eastAsia" w:ascii="宋体" w:hAnsi="宋体"/>
                <w:bCs/>
                <w:szCs w:val="21"/>
              </w:rPr>
              <w:t>2</w:t>
            </w:r>
          </w:p>
        </w:tc>
        <w:tc>
          <w:tcPr>
            <w:tcW w:w="4244" w:type="dxa"/>
            <w:vAlign w:val="center"/>
          </w:tcPr>
          <w:p>
            <w:pPr>
              <w:snapToGrid w:val="0"/>
              <w:spacing w:before="60" w:after="60" w:line="360" w:lineRule="auto"/>
              <w:jc w:val="center"/>
              <w:rPr>
                <w:rFonts w:ascii="宋体" w:hAnsi="宋体"/>
                <w:szCs w:val="21"/>
              </w:rPr>
            </w:pPr>
            <w:r>
              <w:rPr>
                <w:rFonts w:hint="eastAsia" w:ascii="宋体" w:hAnsi="宋体"/>
                <w:szCs w:val="21"/>
                <w:lang w:val="en-US" w:eastAsia="zh-CN"/>
              </w:rPr>
              <w:t>针对</w:t>
            </w:r>
            <w:r>
              <w:rPr>
                <w:rFonts w:hint="eastAsia" w:ascii="宋体" w:hAnsi="宋体"/>
                <w:szCs w:val="21"/>
              </w:rPr>
              <w:t>人民广场周边房屋进行结构安全跟踪影响监测和对比鉴定</w:t>
            </w:r>
          </w:p>
        </w:tc>
        <w:tc>
          <w:tcPr>
            <w:tcW w:w="2579" w:type="dxa"/>
            <w:vAlign w:val="center"/>
          </w:tcPr>
          <w:p>
            <w:pPr>
              <w:snapToGrid w:val="0"/>
              <w:spacing w:before="60" w:after="60" w:line="360" w:lineRule="auto"/>
              <w:jc w:val="center"/>
              <w:rPr>
                <w:rFonts w:ascii="宋体" w:hAnsi="宋体"/>
                <w:szCs w:val="21"/>
              </w:rPr>
            </w:pPr>
            <w:r>
              <w:rPr>
                <w:rFonts w:hint="eastAsia" w:ascii="宋体" w:hAnsi="宋体"/>
                <w:szCs w:val="21"/>
              </w:rPr>
              <w:t>自合同签订之日起至项目通过甲方验收完成止。</w:t>
            </w:r>
          </w:p>
        </w:tc>
        <w:tc>
          <w:tcPr>
            <w:tcW w:w="1705" w:type="dxa"/>
            <w:vAlign w:val="center"/>
          </w:tcPr>
          <w:p>
            <w:pPr>
              <w:snapToGrid w:val="0"/>
              <w:spacing w:before="60" w:after="60" w:line="360" w:lineRule="auto"/>
              <w:jc w:val="center"/>
              <w:rPr>
                <w:rFonts w:ascii="宋体" w:hAnsi="宋体"/>
                <w:szCs w:val="21"/>
              </w:rPr>
            </w:pPr>
            <w:r>
              <w:rPr>
                <w:rFonts w:hint="eastAsia"/>
              </w:rPr>
              <w:t>299600</w:t>
            </w:r>
            <w:r>
              <w:rPr>
                <w:rFonts w:hint="eastAsia" w:ascii="宋体" w:hAnsi="宋体"/>
                <w:szCs w:val="21"/>
              </w:rPr>
              <w:t>元</w:t>
            </w:r>
          </w:p>
        </w:tc>
      </w:tr>
    </w:tbl>
    <w:p>
      <w:pPr>
        <w:snapToGrid w:val="0"/>
        <w:spacing w:before="60" w:after="60" w:line="360" w:lineRule="auto"/>
        <w:ind w:firstLine="14" w:firstLineChars="7"/>
        <w:rPr>
          <w:rFonts w:ascii="宋体" w:hAnsi="宋体"/>
          <w:bCs/>
          <w:szCs w:val="21"/>
        </w:rPr>
      </w:pPr>
      <w:r>
        <w:rPr>
          <w:rFonts w:ascii="宋体" w:hAnsi="宋体"/>
          <w:szCs w:val="21"/>
        </w:rPr>
        <w:t>三、供应商资格要求：</w:t>
      </w:r>
    </w:p>
    <w:p>
      <w:pPr>
        <w:snapToGrid w:val="0"/>
        <w:spacing w:before="60" w:after="60" w:line="360" w:lineRule="auto"/>
        <w:ind w:firstLine="394" w:firstLineChars="188"/>
        <w:rPr>
          <w:rFonts w:ascii="宋体" w:hAnsi="宋体"/>
          <w:szCs w:val="21"/>
        </w:rPr>
      </w:pPr>
      <w:r>
        <w:rPr>
          <w:rFonts w:ascii="宋体" w:hAnsi="宋体"/>
          <w:szCs w:val="21"/>
        </w:rPr>
        <w:t>1、符合《中华人民共和国政府采购法》第二十二条的资格条件的规定</w:t>
      </w:r>
      <w:r>
        <w:rPr>
          <w:rFonts w:hint="eastAsia" w:ascii="宋体" w:hAnsi="宋体"/>
          <w:szCs w:val="21"/>
        </w:rPr>
        <w:t>,</w:t>
      </w:r>
      <w:r>
        <w:rPr>
          <w:rFonts w:ascii="宋体" w:hAnsi="宋体"/>
          <w:szCs w:val="21"/>
        </w:rPr>
        <w:t>且必须为未被列入信用中国网站(</w:t>
      </w:r>
      <w:r>
        <w:fldChar w:fldCharType="begin"/>
      </w:r>
      <w:r>
        <w:instrText xml:space="preserve"> HYPERLINK "http://www.creditchina.gov.cn/" </w:instrText>
      </w:r>
      <w:r>
        <w:fldChar w:fldCharType="separate"/>
      </w:r>
      <w:r>
        <w:rPr>
          <w:rFonts w:ascii="宋体" w:hAnsi="宋体"/>
          <w:szCs w:val="21"/>
        </w:rPr>
        <w:t>www.creditchina.gov.cn</w:t>
      </w:r>
      <w:r>
        <w:rPr>
          <w:rFonts w:ascii="宋体" w:hAnsi="宋体"/>
          <w:szCs w:val="21"/>
        </w:rPr>
        <w:fldChar w:fldCharType="end"/>
      </w:r>
      <w:r>
        <w:rPr>
          <w:rFonts w:ascii="宋体" w:hAnsi="宋体"/>
          <w:szCs w:val="21"/>
        </w:rPr>
        <w:t>)、中国政府采购网(</w:t>
      </w:r>
      <w:r>
        <w:fldChar w:fldCharType="begin"/>
      </w:r>
      <w:r>
        <w:instrText xml:space="preserve"> HYPERLINK "http://www.ccgp.gov.cn/" </w:instrText>
      </w:r>
      <w:r>
        <w:fldChar w:fldCharType="separate"/>
      </w:r>
      <w:r>
        <w:rPr>
          <w:rFonts w:ascii="宋体" w:hAnsi="宋体"/>
          <w:szCs w:val="21"/>
        </w:rPr>
        <w:t>www.ccgp.go</w:t>
      </w:r>
      <w:r>
        <w:rPr>
          <w:rFonts w:hint="eastAsia" w:ascii="宋体" w:hAnsi="宋体"/>
          <w:szCs w:val="21"/>
        </w:rPr>
        <w:t>0.</w:t>
      </w:r>
      <w:r>
        <w:rPr>
          <w:rFonts w:ascii="宋体" w:hAnsi="宋体"/>
          <w:szCs w:val="21"/>
        </w:rPr>
        <w:t>v.cn</w:t>
      </w:r>
      <w:r>
        <w:rPr>
          <w:rFonts w:ascii="宋体" w:hAnsi="宋体"/>
          <w:szCs w:val="21"/>
        </w:rPr>
        <w:fldChar w:fldCharType="end"/>
      </w:r>
      <w:r>
        <w:rPr>
          <w:rFonts w:ascii="宋体" w:hAnsi="宋体"/>
          <w:szCs w:val="21"/>
        </w:rPr>
        <w:t>)渠道信用记录失信被执行人、重大税收违法案件当事人名单、政府采购严重违法失信行为记录名单的投标人。</w:t>
      </w:r>
    </w:p>
    <w:p>
      <w:pPr>
        <w:snapToGrid w:val="0"/>
        <w:spacing w:before="60" w:after="60" w:line="360" w:lineRule="auto"/>
        <w:ind w:firstLine="394" w:firstLineChars="188"/>
        <w:rPr>
          <w:rFonts w:ascii="宋体" w:hAnsi="宋体"/>
          <w:szCs w:val="21"/>
        </w:rPr>
      </w:pPr>
      <w:r>
        <w:rPr>
          <w:rFonts w:ascii="宋体" w:hAnsi="宋体"/>
          <w:szCs w:val="21"/>
        </w:rPr>
        <w:t>2、</w:t>
      </w:r>
      <w:r>
        <w:rPr>
          <w:rFonts w:hint="eastAsia" w:ascii="宋体" w:hAnsi="宋体"/>
          <w:szCs w:val="21"/>
        </w:rPr>
        <w:t>特定条件：</w:t>
      </w:r>
    </w:p>
    <w:p>
      <w:pPr>
        <w:snapToGrid w:val="0"/>
        <w:spacing w:before="60" w:after="60" w:line="360" w:lineRule="auto"/>
        <w:ind w:firstLine="394" w:firstLineChars="188"/>
        <w:rPr>
          <w:rFonts w:ascii="宋体" w:hAnsi="宋体"/>
          <w:szCs w:val="21"/>
        </w:rPr>
      </w:pPr>
      <w:r>
        <w:rPr>
          <w:rFonts w:hint="eastAsia" w:ascii="宋体" w:hAnsi="宋体"/>
          <w:szCs w:val="21"/>
        </w:rPr>
        <w:t>2.1本次招标要求供应商须具有下列条件：</w:t>
      </w:r>
    </w:p>
    <w:p>
      <w:pPr>
        <w:snapToGrid w:val="0"/>
        <w:spacing w:before="60" w:after="60" w:line="360" w:lineRule="auto"/>
        <w:ind w:firstLine="394" w:firstLineChars="188"/>
        <w:rPr>
          <w:rFonts w:ascii="宋体" w:hAnsi="宋体"/>
          <w:szCs w:val="21"/>
        </w:rPr>
      </w:pPr>
      <w:r>
        <w:rPr>
          <w:rFonts w:hint="eastAsia" w:ascii="宋体" w:hAnsi="宋体"/>
          <w:szCs w:val="21"/>
        </w:rPr>
        <w:t>子包1、投标人具备工程勘察专业类（岩土工程）甲级资质或工程勘察综合类甲级资质；</w:t>
      </w:r>
    </w:p>
    <w:p>
      <w:pPr>
        <w:snapToGrid w:val="0"/>
        <w:spacing w:before="60" w:after="60" w:line="360" w:lineRule="auto"/>
        <w:ind w:firstLine="394" w:firstLineChars="188"/>
        <w:rPr>
          <w:rFonts w:hint="eastAsia"/>
          <w:highlight w:val="none"/>
        </w:rPr>
      </w:pPr>
      <w:r>
        <w:rPr>
          <w:rFonts w:hint="eastAsia" w:ascii="宋体" w:hAnsi="宋体"/>
          <w:szCs w:val="21"/>
          <w:highlight w:val="none"/>
        </w:rPr>
        <w:t>子包2 、</w:t>
      </w:r>
      <w:r>
        <w:rPr>
          <w:highlight w:val="none"/>
        </w:rPr>
        <w:t>根据甬建发【2015】234号文件规定，参与本项目投标的供应商，必须为经宁波市住建委备案的房屋鉴定机构，并取得备案证明【宁波市住建委网站（</w:t>
      </w:r>
      <w:r>
        <w:rPr>
          <w:highlight w:val="none"/>
        </w:rPr>
        <w:drawing>
          <wp:inline distT="0" distB="0" distL="0" distR="0">
            <wp:extent cx="190500" cy="142875"/>
            <wp:effectExtent l="19050" t="0" r="0" b="0"/>
            <wp:docPr id="1" name="图片 1" descr="C:\Users\531HP01\AppData\Roaming\Tencent\QQTempSys\%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531HP01\AppData\Roaming\Tencent\QQTempSys\%W@GJ$ACOF(TYDYECOKVDYB.png"/>
                    <pic:cNvPicPr>
                      <a:picLocks noChangeAspect="1" noChangeArrowheads="1"/>
                    </pic:cNvPicPr>
                  </pic:nvPicPr>
                  <pic:blipFill>
                    <a:blip r:embed="rId6" cstate="print"/>
                    <a:srcRect/>
                    <a:stretch>
                      <a:fillRect/>
                    </a:stretch>
                  </pic:blipFill>
                  <pic:spPr>
                    <a:xfrm>
                      <a:off x="0" y="0"/>
                      <a:ext cx="190500" cy="142875"/>
                    </a:xfrm>
                    <a:prstGeom prst="rect">
                      <a:avLst/>
                    </a:prstGeom>
                    <a:noFill/>
                    <a:ln w="9525">
                      <a:noFill/>
                      <a:miter lim="800000"/>
                      <a:headEnd/>
                      <a:tailEnd/>
                    </a:ln>
                  </pic:spPr>
                </pic:pic>
              </a:graphicData>
            </a:graphic>
          </wp:inline>
        </w:drawing>
      </w:r>
      <w:r>
        <w:rPr>
          <w:highlight w:val="none"/>
        </w:rPr>
        <w:t>http://www.nbjs.gov.cn/）安全鉴定机构备案名录】。</w:t>
      </w:r>
    </w:p>
    <w:p>
      <w:pPr>
        <w:snapToGrid w:val="0"/>
        <w:spacing w:before="60" w:after="60" w:line="360" w:lineRule="auto"/>
        <w:ind w:firstLine="394" w:firstLineChars="188"/>
        <w:rPr>
          <w:rFonts w:ascii="宋体" w:hAnsi="宋体"/>
          <w:szCs w:val="21"/>
        </w:rPr>
      </w:pPr>
      <w:r>
        <w:rPr>
          <w:rFonts w:hint="eastAsia" w:ascii="宋体" w:hAnsi="宋体"/>
          <w:szCs w:val="21"/>
        </w:rPr>
        <w:t>2.2供应商拟派项目负责人资格要求：</w:t>
      </w:r>
    </w:p>
    <w:p>
      <w:pPr>
        <w:snapToGrid w:val="0"/>
        <w:spacing w:before="60" w:after="60" w:line="360" w:lineRule="auto"/>
        <w:ind w:firstLine="499" w:firstLineChars="238"/>
        <w:rPr>
          <w:rFonts w:ascii="宋体" w:hAnsi="宋体"/>
          <w:szCs w:val="21"/>
        </w:rPr>
      </w:pPr>
      <w:r>
        <w:rPr>
          <w:rFonts w:hint="eastAsia" w:ascii="宋体" w:hAnsi="宋体"/>
          <w:szCs w:val="21"/>
        </w:rPr>
        <w:t>子包一：投标人须委派项目负责人一名，拟派项目负责人具有中华人民共和国注册土木工程师(岩土)执业资格注册证书；并提供近三个月（2019年10月、11月，12月）社保缴纳证明。</w:t>
      </w:r>
    </w:p>
    <w:p>
      <w:pPr>
        <w:snapToGrid w:val="0"/>
        <w:spacing w:before="60" w:after="60" w:line="360" w:lineRule="auto"/>
        <w:ind w:firstLine="499" w:firstLineChars="238"/>
        <w:rPr>
          <w:rFonts w:ascii="宋体" w:hAnsi="宋体"/>
          <w:szCs w:val="21"/>
        </w:rPr>
      </w:pPr>
      <w:r>
        <w:rPr>
          <w:rFonts w:hint="eastAsia" w:ascii="宋体" w:hAnsi="宋体"/>
          <w:szCs w:val="21"/>
        </w:rPr>
        <w:t>子包二：投标人须委派项目负责人一名，项目负责人须具有建筑工程类工程师及以上技术职称，并提供近三个月（2019年10月、11月，12月）社保缴纳证明。</w:t>
      </w:r>
    </w:p>
    <w:p>
      <w:pPr>
        <w:snapToGrid w:val="0"/>
        <w:spacing w:before="60" w:after="60" w:line="360" w:lineRule="auto"/>
        <w:ind w:firstLine="394" w:firstLineChars="188"/>
        <w:rPr>
          <w:rFonts w:ascii="宋体" w:hAnsi="宋体"/>
          <w:szCs w:val="21"/>
        </w:rPr>
      </w:pPr>
      <w:r>
        <w:rPr>
          <w:rFonts w:hint="eastAsia" w:ascii="宋体" w:hAnsi="宋体"/>
          <w:szCs w:val="21"/>
        </w:rPr>
        <w:t>3、</w:t>
      </w:r>
      <w:r>
        <w:rPr>
          <w:rFonts w:hint="eastAsia" w:ascii="宋体" w:hAnsi="宋体"/>
          <w:b/>
          <w:bCs/>
          <w:szCs w:val="21"/>
        </w:rPr>
        <w:t>本项目不接受联合体投标；</w:t>
      </w:r>
    </w:p>
    <w:p>
      <w:pPr>
        <w:snapToGrid w:val="0"/>
        <w:spacing w:before="60" w:after="60" w:line="360" w:lineRule="auto"/>
        <w:ind w:firstLine="394" w:firstLineChars="188"/>
        <w:rPr>
          <w:rFonts w:ascii="宋体" w:hAnsi="宋体"/>
          <w:szCs w:val="21"/>
        </w:rPr>
      </w:pPr>
      <w:r>
        <w:rPr>
          <w:rFonts w:hint="eastAsia" w:ascii="宋体" w:hAnsi="宋体"/>
          <w:szCs w:val="21"/>
        </w:rPr>
        <w:t>四、招标文件发售日期：2020年</w:t>
      </w:r>
      <w:r>
        <w:rPr>
          <w:rFonts w:hint="eastAsia" w:ascii="宋体" w:hAnsi="宋体"/>
          <w:szCs w:val="21"/>
          <w:lang w:val="en-US" w:eastAsia="zh-CN"/>
        </w:rPr>
        <w:t>1</w:t>
      </w:r>
      <w:r>
        <w:rPr>
          <w:rFonts w:hint="eastAsia" w:ascii="宋体" w:hAnsi="宋体"/>
          <w:szCs w:val="21"/>
        </w:rPr>
        <w:t>月</w:t>
      </w:r>
      <w:r>
        <w:rPr>
          <w:rFonts w:hint="eastAsia" w:ascii="宋体" w:hAnsi="宋体"/>
          <w:szCs w:val="21"/>
          <w:lang w:val="en-US" w:eastAsia="zh-CN"/>
        </w:rPr>
        <w:t>19</w:t>
      </w:r>
      <w:r>
        <w:rPr>
          <w:rFonts w:hint="eastAsia" w:ascii="宋体" w:hAnsi="宋体"/>
          <w:szCs w:val="21"/>
        </w:rPr>
        <w:t>日至2020年</w:t>
      </w:r>
      <w:r>
        <w:rPr>
          <w:rFonts w:hint="eastAsia" w:ascii="宋体" w:hAnsi="宋体"/>
          <w:szCs w:val="21"/>
          <w:lang w:val="en-US" w:eastAsia="zh-CN"/>
        </w:rPr>
        <w:t>1</w:t>
      </w:r>
      <w:r>
        <w:rPr>
          <w:rFonts w:hint="eastAsia" w:ascii="宋体" w:hAnsi="宋体"/>
          <w:szCs w:val="21"/>
        </w:rPr>
        <w:t>月</w:t>
      </w:r>
      <w:r>
        <w:rPr>
          <w:rFonts w:hint="eastAsia" w:ascii="宋体" w:hAnsi="宋体"/>
          <w:szCs w:val="21"/>
          <w:lang w:val="en-US" w:eastAsia="zh-CN"/>
        </w:rPr>
        <w:t>23</w:t>
      </w:r>
      <w:r>
        <w:rPr>
          <w:rFonts w:hint="eastAsia" w:ascii="宋体" w:hAnsi="宋体"/>
          <w:szCs w:val="21"/>
        </w:rPr>
        <w:t>日，上午08:30-11:00；下午13:00-16:30（双休日及法定节假日除外）。</w:t>
      </w:r>
    </w:p>
    <w:p>
      <w:pPr>
        <w:spacing w:line="360" w:lineRule="auto"/>
        <w:ind w:left="420" w:leftChars="200" w:right="-483" w:rightChars="-230"/>
        <w:jc w:val="left"/>
        <w:rPr>
          <w:rFonts w:ascii="宋体" w:hAnsi="宋体" w:cs="Arial"/>
          <w:kern w:val="1"/>
          <w:sz w:val="24"/>
        </w:rPr>
      </w:pPr>
      <w:r>
        <w:rPr>
          <w:rFonts w:hint="eastAsia" w:ascii="宋体"/>
          <w:b/>
          <w:szCs w:val="21"/>
        </w:rPr>
        <w:t>采购文件发售截止时间后至投标截止时间前允许潜在供应商前来认购采购文件。</w:t>
      </w:r>
    </w:p>
    <w:p>
      <w:pPr>
        <w:snapToGrid w:val="0"/>
        <w:spacing w:before="60" w:after="60" w:line="360" w:lineRule="auto"/>
        <w:ind w:left="435" w:leftChars="7" w:hanging="420" w:hangingChars="200"/>
        <w:rPr>
          <w:rFonts w:ascii="宋体" w:hAnsi="宋体"/>
          <w:szCs w:val="21"/>
        </w:rPr>
      </w:pPr>
      <w:r>
        <w:rPr>
          <w:rFonts w:ascii="宋体" w:hAnsi="宋体"/>
          <w:szCs w:val="21"/>
        </w:rPr>
        <w:t>五、招标文件售价、地点及方式：</w:t>
      </w:r>
    </w:p>
    <w:p>
      <w:pPr>
        <w:tabs>
          <w:tab w:val="left" w:pos="1134"/>
        </w:tabs>
        <w:snapToGrid w:val="0"/>
        <w:spacing w:before="60" w:after="60" w:line="360" w:lineRule="auto"/>
        <w:ind w:left="562" w:leftChars="191" w:hanging="161" w:hangingChars="77"/>
        <w:rPr>
          <w:rFonts w:ascii="宋体" w:hAnsi="宋体"/>
          <w:szCs w:val="21"/>
        </w:rPr>
      </w:pPr>
      <w:r>
        <w:rPr>
          <w:rFonts w:ascii="宋体" w:hAnsi="宋体"/>
          <w:szCs w:val="21"/>
        </w:rPr>
        <w:t>1.</w:t>
      </w:r>
      <w:r>
        <w:rPr>
          <w:rFonts w:hint="eastAsia" w:ascii="宋体" w:hAnsi="宋体"/>
          <w:szCs w:val="21"/>
        </w:rPr>
        <w:t>采购</w:t>
      </w:r>
      <w:r>
        <w:rPr>
          <w:rFonts w:ascii="宋体" w:hAnsi="宋体"/>
          <w:szCs w:val="21"/>
        </w:rPr>
        <w:t>文件售价：每份300元人民币，</w:t>
      </w:r>
      <w:r>
        <w:rPr>
          <w:rFonts w:hint="eastAsia" w:ascii="宋体" w:hAnsi="宋体"/>
          <w:szCs w:val="21"/>
        </w:rPr>
        <w:t>采购</w:t>
      </w:r>
      <w:r>
        <w:rPr>
          <w:rFonts w:ascii="宋体" w:hAnsi="宋体"/>
          <w:szCs w:val="21"/>
        </w:rPr>
        <w:t>文件售后不退。本公告附件中具有可供潜在供应商阅读的</w:t>
      </w:r>
      <w:r>
        <w:rPr>
          <w:rFonts w:hint="eastAsia" w:ascii="宋体" w:hAnsi="宋体"/>
          <w:szCs w:val="21"/>
        </w:rPr>
        <w:t>采购</w:t>
      </w:r>
      <w:r>
        <w:rPr>
          <w:rFonts w:ascii="宋体" w:hAnsi="宋体"/>
          <w:szCs w:val="21"/>
        </w:rPr>
        <w:t>文件电子版，凡有意参加投标者，应在招标文件发售期内</w:t>
      </w:r>
      <w:r>
        <w:rPr>
          <w:rFonts w:hint="eastAsia" w:ascii="宋体" w:hAnsi="宋体"/>
          <w:szCs w:val="21"/>
        </w:rPr>
        <w:t>携带：</w:t>
      </w:r>
    </w:p>
    <w:p>
      <w:pPr>
        <w:numPr>
          <w:ilvl w:val="0"/>
          <w:numId w:val="4"/>
        </w:numPr>
        <w:tabs>
          <w:tab w:val="left" w:pos="1134"/>
        </w:tabs>
        <w:snapToGrid w:val="0"/>
        <w:spacing w:before="60" w:after="60" w:line="360" w:lineRule="auto"/>
        <w:rPr>
          <w:rFonts w:ascii="宋体" w:hAnsi="宋体"/>
          <w:szCs w:val="21"/>
        </w:rPr>
      </w:pPr>
      <w:r>
        <w:rPr>
          <w:rFonts w:hint="eastAsia" w:ascii="宋体" w:hAnsi="宋体"/>
          <w:szCs w:val="21"/>
        </w:rPr>
        <w:t>营业执照复印件；</w:t>
      </w:r>
    </w:p>
    <w:p>
      <w:pPr>
        <w:tabs>
          <w:tab w:val="left" w:pos="1134"/>
        </w:tabs>
        <w:snapToGrid w:val="0"/>
        <w:spacing w:before="60" w:after="60" w:line="360" w:lineRule="auto"/>
        <w:ind w:left="611"/>
        <w:rPr>
          <w:rFonts w:ascii="宋体" w:hAnsi="宋体"/>
          <w:szCs w:val="21"/>
        </w:rPr>
      </w:pPr>
      <w:r>
        <w:rPr>
          <w:rFonts w:hint="eastAsia" w:ascii="宋体" w:hAnsi="宋体"/>
          <w:szCs w:val="21"/>
        </w:rPr>
        <w:t>至</w:t>
      </w:r>
      <w:r>
        <w:rPr>
          <w:rFonts w:ascii="宋体" w:hAnsi="宋体"/>
          <w:szCs w:val="21"/>
        </w:rPr>
        <w:t>采购代理机构购买招标文件书面文本，若供阅读的招标文件电子版与书面文本不一致的，最终以书面文本为准，未购买招标文件的投标将被拒绝。</w:t>
      </w:r>
    </w:p>
    <w:p>
      <w:pPr>
        <w:tabs>
          <w:tab w:val="left" w:pos="1134"/>
        </w:tabs>
        <w:snapToGrid w:val="0"/>
        <w:spacing w:before="60" w:after="60" w:line="360" w:lineRule="auto"/>
        <w:ind w:left="562" w:leftChars="191" w:hanging="161" w:hangingChars="77"/>
        <w:rPr>
          <w:rFonts w:ascii="宋体" w:hAnsi="宋体"/>
          <w:szCs w:val="21"/>
        </w:rPr>
      </w:pPr>
      <w:r>
        <w:rPr>
          <w:rFonts w:hint="eastAsia" w:ascii="宋体" w:hAnsi="宋体"/>
          <w:szCs w:val="21"/>
        </w:rPr>
        <w:t>2</w:t>
      </w:r>
      <w:r>
        <w:rPr>
          <w:rFonts w:ascii="宋体" w:hAnsi="宋体"/>
          <w:szCs w:val="21"/>
        </w:rPr>
        <w:t>.购买招标文件地点：</w:t>
      </w:r>
      <w:r>
        <w:rPr>
          <w:rFonts w:hint="eastAsia" w:ascii="宋体" w:hAnsi="宋体"/>
          <w:szCs w:val="21"/>
        </w:rPr>
        <w:t>宁波欣达建设项目管理有限公司（宁波市高新区星海南路8号涌金大厦6楼招标代理部）</w:t>
      </w:r>
      <w:r>
        <w:rPr>
          <w:rFonts w:ascii="宋体" w:hAnsi="宋体"/>
          <w:szCs w:val="21"/>
        </w:rPr>
        <w:t>。</w:t>
      </w:r>
    </w:p>
    <w:p>
      <w:pPr>
        <w:snapToGrid w:val="0"/>
        <w:spacing w:before="60" w:after="60" w:line="360" w:lineRule="auto"/>
        <w:ind w:left="435" w:leftChars="7" w:hanging="420" w:hangingChars="200"/>
        <w:rPr>
          <w:rFonts w:ascii="宋体" w:hAnsi="宋体"/>
          <w:szCs w:val="21"/>
        </w:rPr>
      </w:pPr>
      <w:r>
        <w:rPr>
          <w:rFonts w:ascii="宋体" w:hAnsi="宋体"/>
          <w:szCs w:val="21"/>
        </w:rPr>
        <w:t>六、投标截止时间：</w:t>
      </w:r>
      <w:r>
        <w:rPr>
          <w:rFonts w:hint="eastAsia" w:ascii="宋体" w:hAnsi="宋体"/>
          <w:szCs w:val="21"/>
          <w:u w:val="single"/>
        </w:rPr>
        <w:t>2020</w:t>
      </w:r>
      <w:r>
        <w:rPr>
          <w:rFonts w:ascii="宋体" w:hAnsi="宋体"/>
          <w:szCs w:val="21"/>
        </w:rPr>
        <w:t>年</w:t>
      </w:r>
      <w:r>
        <w:rPr>
          <w:rFonts w:hint="eastAsia" w:ascii="宋体" w:hAnsi="宋体"/>
          <w:szCs w:val="21"/>
          <w:u w:val="single"/>
          <w:lang w:val="en-US" w:eastAsia="zh-CN"/>
        </w:rPr>
        <w:t>2</w:t>
      </w:r>
      <w:r>
        <w:rPr>
          <w:rFonts w:ascii="宋体" w:hAnsi="宋体"/>
          <w:szCs w:val="21"/>
        </w:rPr>
        <w:t>月</w:t>
      </w:r>
      <w:r>
        <w:rPr>
          <w:rFonts w:hint="eastAsia" w:ascii="宋体" w:hAnsi="宋体"/>
          <w:szCs w:val="21"/>
          <w:u w:val="single"/>
          <w:lang w:val="en-US" w:eastAsia="zh-CN"/>
        </w:rPr>
        <w:t>12</w:t>
      </w:r>
      <w:r>
        <w:rPr>
          <w:rFonts w:ascii="宋体" w:hAnsi="宋体"/>
          <w:szCs w:val="21"/>
        </w:rPr>
        <w:t>日</w:t>
      </w:r>
      <w:r>
        <w:rPr>
          <w:rFonts w:hint="eastAsia" w:ascii="宋体" w:hAnsi="宋体"/>
          <w:szCs w:val="21"/>
          <w:u w:val="single"/>
        </w:rPr>
        <w:t>9</w:t>
      </w:r>
      <w:r>
        <w:rPr>
          <w:rFonts w:hint="eastAsia" w:ascii="宋体" w:hAnsi="宋体"/>
          <w:szCs w:val="21"/>
        </w:rPr>
        <w:t>时</w:t>
      </w:r>
      <w:r>
        <w:rPr>
          <w:rFonts w:hint="eastAsia" w:ascii="宋体" w:hAnsi="宋体"/>
          <w:szCs w:val="21"/>
          <w:u w:val="single"/>
        </w:rPr>
        <w:t>00</w:t>
      </w:r>
      <w:r>
        <w:rPr>
          <w:rFonts w:hint="eastAsia" w:ascii="宋体" w:hAnsi="宋体"/>
          <w:szCs w:val="21"/>
        </w:rPr>
        <w:t>分</w:t>
      </w:r>
      <w:r>
        <w:rPr>
          <w:rFonts w:hint="eastAsia" w:ascii="宋体" w:hAnsi="宋体"/>
          <w:szCs w:val="21"/>
          <w:u w:val="single"/>
        </w:rPr>
        <w:t xml:space="preserve"> 00 </w:t>
      </w:r>
      <w:r>
        <w:rPr>
          <w:rFonts w:hint="eastAsia" w:ascii="宋体" w:hAnsi="宋体"/>
          <w:szCs w:val="21"/>
        </w:rPr>
        <w:t>秒。</w:t>
      </w:r>
      <w:r>
        <w:rPr>
          <w:rFonts w:ascii="宋体" w:hAnsi="宋体"/>
          <w:szCs w:val="21"/>
        </w:rPr>
        <w:t>（北京时间）</w:t>
      </w:r>
    </w:p>
    <w:p>
      <w:pPr>
        <w:snapToGrid w:val="0"/>
        <w:spacing w:before="60" w:after="60" w:line="360" w:lineRule="auto"/>
        <w:ind w:left="435" w:leftChars="7" w:hanging="420" w:hangingChars="200"/>
        <w:rPr>
          <w:rFonts w:ascii="宋体" w:hAnsi="宋体"/>
          <w:szCs w:val="21"/>
        </w:rPr>
      </w:pPr>
      <w:r>
        <w:rPr>
          <w:rFonts w:ascii="宋体" w:hAnsi="宋体"/>
          <w:szCs w:val="21"/>
        </w:rPr>
        <w:t>七、投标地点：</w:t>
      </w:r>
      <w:r>
        <w:rPr>
          <w:rFonts w:hint="eastAsia" w:ascii="宋体" w:hAnsi="宋体"/>
          <w:szCs w:val="21"/>
        </w:rPr>
        <w:t>江北区公共资源交易中心</w:t>
      </w:r>
      <w:r>
        <w:rPr>
          <w:rFonts w:ascii="宋体" w:hAnsi="宋体"/>
          <w:szCs w:val="21"/>
        </w:rPr>
        <w:t>开标室</w:t>
      </w:r>
      <w:r>
        <w:rPr>
          <w:rFonts w:hint="eastAsia" w:ascii="宋体" w:hAnsi="宋体"/>
          <w:szCs w:val="21"/>
        </w:rPr>
        <w:t>（具体详见当日电子公告栏）</w:t>
      </w:r>
      <w:r>
        <w:rPr>
          <w:rFonts w:ascii="宋体" w:hAnsi="宋体"/>
          <w:szCs w:val="21"/>
        </w:rPr>
        <w:t xml:space="preserve"> [江北区</w:t>
      </w:r>
      <w:r>
        <w:rPr>
          <w:rFonts w:hint="eastAsia" w:ascii="宋体" w:hAnsi="宋体"/>
          <w:szCs w:val="21"/>
        </w:rPr>
        <w:t>育才路138号北投大厦南楼7楼</w:t>
      </w:r>
      <w:r>
        <w:rPr>
          <w:rFonts w:ascii="宋体" w:hAnsi="宋体"/>
          <w:szCs w:val="21"/>
        </w:rPr>
        <w:t>]</w:t>
      </w:r>
    </w:p>
    <w:p>
      <w:pPr>
        <w:snapToGrid w:val="0"/>
        <w:spacing w:before="60" w:after="60" w:line="360" w:lineRule="auto"/>
        <w:ind w:firstLine="14" w:firstLineChars="7"/>
        <w:rPr>
          <w:rFonts w:ascii="宋体" w:hAnsi="宋体"/>
          <w:szCs w:val="21"/>
        </w:rPr>
      </w:pPr>
      <w:r>
        <w:rPr>
          <w:rFonts w:ascii="宋体" w:hAnsi="宋体"/>
          <w:szCs w:val="21"/>
        </w:rPr>
        <w:t>八、开标时间：</w:t>
      </w:r>
      <w:r>
        <w:rPr>
          <w:rFonts w:hint="eastAsia" w:ascii="宋体" w:hAnsi="宋体"/>
          <w:szCs w:val="21"/>
          <w:u w:val="single"/>
        </w:rPr>
        <w:t>2020</w:t>
      </w:r>
      <w:r>
        <w:rPr>
          <w:rFonts w:ascii="宋体" w:hAnsi="宋体"/>
          <w:szCs w:val="21"/>
        </w:rPr>
        <w:t>年</w:t>
      </w:r>
      <w:r>
        <w:rPr>
          <w:rFonts w:hint="eastAsia" w:ascii="宋体" w:hAnsi="宋体"/>
          <w:szCs w:val="21"/>
          <w:u w:val="single"/>
          <w:lang w:val="en-US" w:eastAsia="zh-CN"/>
        </w:rPr>
        <w:t>2</w:t>
      </w:r>
      <w:r>
        <w:rPr>
          <w:rFonts w:ascii="宋体" w:hAnsi="宋体"/>
          <w:szCs w:val="21"/>
        </w:rPr>
        <w:t>月</w:t>
      </w:r>
      <w:r>
        <w:rPr>
          <w:rFonts w:hint="eastAsia" w:ascii="宋体" w:hAnsi="宋体"/>
          <w:szCs w:val="21"/>
          <w:u w:val="single"/>
          <w:lang w:val="en-US" w:eastAsia="zh-CN"/>
        </w:rPr>
        <w:t>12</w:t>
      </w:r>
      <w:r>
        <w:rPr>
          <w:rFonts w:ascii="宋体" w:hAnsi="宋体"/>
          <w:szCs w:val="21"/>
        </w:rPr>
        <w:t>日</w:t>
      </w:r>
      <w:r>
        <w:rPr>
          <w:rFonts w:hint="eastAsia" w:ascii="宋体" w:hAnsi="宋体"/>
          <w:szCs w:val="21"/>
          <w:u w:val="single"/>
        </w:rPr>
        <w:t>9</w:t>
      </w:r>
      <w:r>
        <w:rPr>
          <w:rFonts w:hint="eastAsia" w:ascii="宋体" w:hAnsi="宋体"/>
          <w:szCs w:val="21"/>
        </w:rPr>
        <w:t>时</w:t>
      </w:r>
      <w:r>
        <w:rPr>
          <w:rFonts w:hint="eastAsia" w:ascii="宋体" w:hAnsi="宋体"/>
          <w:szCs w:val="21"/>
          <w:u w:val="single"/>
        </w:rPr>
        <w:t xml:space="preserve"> 00</w:t>
      </w:r>
      <w:r>
        <w:rPr>
          <w:rFonts w:hint="eastAsia" w:ascii="宋体" w:hAnsi="宋体"/>
          <w:szCs w:val="21"/>
        </w:rPr>
        <w:t>分</w:t>
      </w:r>
      <w:r>
        <w:rPr>
          <w:rFonts w:hint="eastAsia" w:ascii="宋体" w:hAnsi="宋体"/>
          <w:szCs w:val="21"/>
          <w:u w:val="single"/>
        </w:rPr>
        <w:t xml:space="preserve"> 00 </w:t>
      </w:r>
      <w:r>
        <w:rPr>
          <w:rFonts w:hint="eastAsia" w:ascii="宋体" w:hAnsi="宋体"/>
          <w:szCs w:val="21"/>
        </w:rPr>
        <w:t>秒</w:t>
      </w:r>
      <w:r>
        <w:rPr>
          <w:rFonts w:ascii="宋体" w:hAnsi="宋体"/>
          <w:szCs w:val="21"/>
        </w:rPr>
        <w:t>（北京时间）</w:t>
      </w:r>
    </w:p>
    <w:p>
      <w:pPr>
        <w:snapToGrid w:val="0"/>
        <w:spacing w:before="60" w:after="60" w:line="360" w:lineRule="auto"/>
        <w:ind w:left="435" w:leftChars="7" w:hanging="420" w:hangingChars="200"/>
        <w:rPr>
          <w:rFonts w:ascii="宋体" w:hAnsi="宋体"/>
          <w:szCs w:val="21"/>
        </w:rPr>
      </w:pPr>
      <w:r>
        <w:rPr>
          <w:rFonts w:ascii="宋体" w:hAnsi="宋体"/>
          <w:szCs w:val="21"/>
        </w:rPr>
        <w:t>九、开标地点：宁</w:t>
      </w:r>
      <w:r>
        <w:rPr>
          <w:rFonts w:hint="eastAsia" w:ascii="宋体" w:hAnsi="宋体"/>
          <w:szCs w:val="21"/>
        </w:rPr>
        <w:t>江北区公共资源交易中心</w:t>
      </w:r>
      <w:r>
        <w:rPr>
          <w:rFonts w:ascii="宋体" w:hAnsi="宋体"/>
          <w:szCs w:val="21"/>
        </w:rPr>
        <w:t>开标室</w:t>
      </w:r>
      <w:r>
        <w:rPr>
          <w:rFonts w:hint="eastAsia" w:ascii="宋体" w:hAnsi="宋体"/>
          <w:szCs w:val="21"/>
        </w:rPr>
        <w:t>（具体详见当日电子公告栏）</w:t>
      </w:r>
      <w:r>
        <w:rPr>
          <w:rFonts w:ascii="宋体" w:hAnsi="宋体"/>
          <w:szCs w:val="21"/>
        </w:rPr>
        <w:t xml:space="preserve"> [江北区</w:t>
      </w:r>
      <w:r>
        <w:rPr>
          <w:rFonts w:hint="eastAsia" w:ascii="宋体" w:hAnsi="宋体"/>
          <w:szCs w:val="21"/>
        </w:rPr>
        <w:t>育才路138号北投大厦南楼7楼</w:t>
      </w:r>
      <w:r>
        <w:rPr>
          <w:rFonts w:ascii="宋体" w:hAnsi="宋体"/>
          <w:szCs w:val="21"/>
        </w:rPr>
        <w:t>]</w:t>
      </w:r>
    </w:p>
    <w:p>
      <w:pPr>
        <w:snapToGrid w:val="0"/>
        <w:spacing w:line="360" w:lineRule="auto"/>
        <w:ind w:firstLine="14" w:firstLineChars="7"/>
        <w:rPr>
          <w:rFonts w:ascii="宋体" w:hAnsi="宋体"/>
          <w:szCs w:val="21"/>
        </w:rPr>
      </w:pPr>
      <w:r>
        <w:rPr>
          <w:rFonts w:ascii="宋体" w:hAnsi="宋体"/>
          <w:szCs w:val="21"/>
        </w:rPr>
        <w:t>十、其他事项</w:t>
      </w:r>
    </w:p>
    <w:p>
      <w:pPr>
        <w:snapToGrid w:val="0"/>
        <w:spacing w:line="360" w:lineRule="auto"/>
        <w:ind w:firstLine="434" w:firstLineChars="207"/>
        <w:rPr>
          <w:rFonts w:ascii="宋体" w:hAnsi="宋体"/>
          <w:szCs w:val="21"/>
        </w:rPr>
      </w:pPr>
      <w:r>
        <w:rPr>
          <w:rFonts w:hint="eastAsia" w:ascii="宋体" w:hAnsi="宋体"/>
          <w:szCs w:val="21"/>
        </w:rPr>
        <w:t>1、参加投标的供应商应于投标前到“浙江政府采购网(www.zjzfcg.gov.cn)”上进行供应商注册申请，并通过财政部门的终审后登记加入到“浙江省政府采购供应商库”。 中标或成交供应商必须注册并登记加入“浙江省政府采购供应商库”。具体要求及注册申请流程详见《浙江省政府采购供应商注册及诚信管理暂行办法》(浙财采监字{2009}28号)和浙江政府采购网“网上办事指南”的“供应商注册申请”。</w:t>
      </w:r>
    </w:p>
    <w:p>
      <w:pPr>
        <w:snapToGrid w:val="0"/>
        <w:spacing w:line="360" w:lineRule="auto"/>
        <w:ind w:firstLine="434" w:firstLineChars="207"/>
        <w:rPr>
          <w:rFonts w:ascii="宋体" w:hAnsi="宋体"/>
          <w:szCs w:val="21"/>
        </w:rPr>
      </w:pPr>
      <w:r>
        <w:rPr>
          <w:rFonts w:hint="eastAsia" w:ascii="宋体" w:hAnsi="宋体"/>
          <w:szCs w:val="21"/>
        </w:rPr>
        <w:t>2、本次政府采购活动有关信息在“浙江政府采购网”、“宁波市公共资源交易网江北区分网”上公布，公布信息视同送达所有潜在供应商。</w:t>
      </w:r>
    </w:p>
    <w:p>
      <w:pPr>
        <w:snapToGrid w:val="0"/>
        <w:spacing w:line="360" w:lineRule="auto"/>
        <w:ind w:firstLine="434" w:firstLineChars="207"/>
        <w:rPr>
          <w:rFonts w:ascii="宋体" w:hAnsi="宋体"/>
          <w:szCs w:val="21"/>
        </w:rPr>
      </w:pPr>
      <w:r>
        <w:rPr>
          <w:rFonts w:hint="eastAsia" w:ascii="宋体" w:hAnsi="宋体"/>
          <w:szCs w:val="21"/>
        </w:rPr>
        <w:t>3、单位负责人为同一人或者存在直接控股、管理关系的不同供应商，不得参加同一子包号的投标。</w:t>
      </w:r>
    </w:p>
    <w:p>
      <w:pPr>
        <w:snapToGrid w:val="0"/>
        <w:spacing w:line="360" w:lineRule="auto"/>
        <w:ind w:firstLine="434" w:firstLineChars="207"/>
        <w:rPr>
          <w:rFonts w:ascii="宋体" w:hAnsi="宋体"/>
          <w:szCs w:val="21"/>
        </w:rPr>
      </w:pPr>
      <w:r>
        <w:rPr>
          <w:rFonts w:hint="eastAsia" w:ascii="宋体" w:hAnsi="宋体"/>
          <w:szCs w:val="21"/>
        </w:rPr>
        <w:t>4、为本项目提供整体设计、规范编制或者项目管理、监理、检测等服务的供应商，不得再参加本项目的投标。</w:t>
      </w:r>
    </w:p>
    <w:p>
      <w:pPr>
        <w:snapToGrid w:val="0"/>
        <w:spacing w:line="360" w:lineRule="auto"/>
        <w:ind w:firstLine="434" w:firstLineChars="207"/>
        <w:rPr>
          <w:rFonts w:ascii="宋体" w:hAnsi="宋体"/>
          <w:szCs w:val="21"/>
        </w:rPr>
      </w:pPr>
      <w:r>
        <w:rPr>
          <w:rFonts w:hint="eastAsia" w:ascii="宋体" w:hAnsi="宋体"/>
          <w:szCs w:val="21"/>
        </w:rPr>
        <w:t>5、本项目需要落实的政府采购政策：促进中小企业发展、残疾人福利性单位等。</w:t>
      </w:r>
    </w:p>
    <w:p>
      <w:pPr>
        <w:snapToGrid w:val="0"/>
        <w:spacing w:line="360" w:lineRule="auto"/>
        <w:ind w:firstLine="434" w:firstLineChars="207"/>
        <w:rPr>
          <w:rFonts w:ascii="宋体" w:hAnsi="宋体"/>
          <w:szCs w:val="21"/>
        </w:rPr>
      </w:pPr>
    </w:p>
    <w:p>
      <w:pPr>
        <w:snapToGrid w:val="0"/>
        <w:spacing w:line="360" w:lineRule="auto"/>
        <w:ind w:firstLine="14" w:firstLineChars="7"/>
        <w:rPr>
          <w:rFonts w:ascii="宋体" w:hAnsi="宋体"/>
          <w:szCs w:val="21"/>
        </w:rPr>
      </w:pPr>
      <w:r>
        <w:rPr>
          <w:rFonts w:ascii="宋体" w:hAnsi="宋体"/>
          <w:szCs w:val="21"/>
        </w:rPr>
        <w:t>采购代理机构：宁波欣达建设项目管理有限公司</w:t>
      </w:r>
    </w:p>
    <w:p>
      <w:pPr>
        <w:tabs>
          <w:tab w:val="left" w:pos="2835"/>
          <w:tab w:val="left" w:pos="6237"/>
        </w:tabs>
        <w:snapToGrid w:val="0"/>
        <w:spacing w:line="360" w:lineRule="auto"/>
        <w:rPr>
          <w:rFonts w:ascii="宋体" w:hAnsi="宋体"/>
          <w:szCs w:val="21"/>
        </w:rPr>
      </w:pPr>
      <w:r>
        <w:rPr>
          <w:rFonts w:ascii="宋体" w:hAnsi="宋体"/>
          <w:szCs w:val="21"/>
        </w:rPr>
        <w:t>联系人：</w:t>
      </w:r>
      <w:r>
        <w:rPr>
          <w:rFonts w:hint="eastAsia" w:ascii="宋体" w:hAnsi="宋体"/>
          <w:szCs w:val="21"/>
        </w:rPr>
        <w:t>陈康伟</w:t>
      </w:r>
      <w:r>
        <w:rPr>
          <w:rFonts w:hint="eastAsia" w:ascii="宋体" w:hAnsi="宋体"/>
          <w:szCs w:val="21"/>
          <w:lang w:val="en-US" w:eastAsia="zh-CN"/>
        </w:rPr>
        <w:t xml:space="preserve">     </w:t>
      </w:r>
      <w:r>
        <w:rPr>
          <w:rFonts w:ascii="宋体" w:hAnsi="宋体"/>
          <w:szCs w:val="21"/>
        </w:rPr>
        <w:t>联系电话：0574-</w:t>
      </w:r>
      <w:r>
        <w:rPr>
          <w:rFonts w:hint="eastAsia" w:ascii="宋体" w:hAnsi="宋体"/>
          <w:szCs w:val="21"/>
        </w:rPr>
        <w:t>87375708</w:t>
      </w:r>
      <w:r>
        <w:rPr>
          <w:rFonts w:hint="eastAsia" w:ascii="宋体" w:hAnsi="宋体"/>
          <w:szCs w:val="21"/>
          <w:lang w:eastAsia="zh-CN"/>
        </w:rPr>
        <w:t>、</w:t>
      </w:r>
      <w:r>
        <w:rPr>
          <w:rFonts w:hint="eastAsia" w:ascii="宋体" w:hAnsi="宋体"/>
          <w:szCs w:val="21"/>
          <w:lang w:val="en-US" w:eastAsia="zh-CN"/>
        </w:rPr>
        <w:t xml:space="preserve">13362848840 </w:t>
      </w:r>
      <w:r>
        <w:rPr>
          <w:rFonts w:ascii="宋体" w:hAnsi="宋体"/>
          <w:szCs w:val="21"/>
        </w:rPr>
        <w:t>传真：0574-</w:t>
      </w:r>
      <w:r>
        <w:rPr>
          <w:rFonts w:hint="eastAsia" w:ascii="宋体" w:hAnsi="宋体"/>
          <w:szCs w:val="21"/>
        </w:rPr>
        <w:t>89077720</w:t>
      </w:r>
    </w:p>
    <w:p>
      <w:pPr>
        <w:snapToGrid w:val="0"/>
        <w:spacing w:line="360" w:lineRule="auto"/>
        <w:rPr>
          <w:rFonts w:ascii="宋体" w:hAnsi="宋体"/>
          <w:szCs w:val="21"/>
        </w:rPr>
      </w:pPr>
      <w:r>
        <w:rPr>
          <w:rFonts w:ascii="宋体" w:hAnsi="宋体"/>
          <w:szCs w:val="21"/>
        </w:rPr>
        <w:t>联系地址：</w:t>
      </w:r>
      <w:r>
        <w:rPr>
          <w:rFonts w:hint="eastAsia" w:ascii="宋体" w:hAnsi="宋体"/>
          <w:szCs w:val="21"/>
        </w:rPr>
        <w:t>宁波市高新区星海南路8号涌金大厦6楼</w:t>
      </w:r>
    </w:p>
    <w:p>
      <w:pPr>
        <w:snapToGrid w:val="0"/>
        <w:spacing w:line="360" w:lineRule="auto"/>
        <w:rPr>
          <w:rFonts w:ascii="宋体" w:hAnsi="宋体"/>
          <w:szCs w:val="21"/>
        </w:rPr>
      </w:pPr>
      <w:r>
        <w:rPr>
          <w:rFonts w:ascii="宋体" w:hAnsi="宋体"/>
          <w:szCs w:val="21"/>
        </w:rPr>
        <w:t>采购单位：</w:t>
      </w:r>
      <w:r>
        <w:rPr>
          <w:rFonts w:hint="eastAsia" w:ascii="宋体" w:hAnsi="宋体"/>
          <w:szCs w:val="21"/>
        </w:rPr>
        <w:t>宁波市江北区工程建设管理有限公司</w:t>
      </w:r>
    </w:p>
    <w:p>
      <w:pPr>
        <w:tabs>
          <w:tab w:val="left" w:pos="2835"/>
        </w:tabs>
        <w:snapToGrid w:val="0"/>
        <w:spacing w:line="360" w:lineRule="auto"/>
        <w:rPr>
          <w:rFonts w:ascii="宋体" w:hAnsi="宋体"/>
          <w:szCs w:val="21"/>
        </w:rPr>
      </w:pPr>
      <w:r>
        <w:rPr>
          <w:rFonts w:ascii="宋体" w:hAnsi="宋体"/>
          <w:szCs w:val="21"/>
        </w:rPr>
        <w:t>联系人：</w:t>
      </w:r>
      <w:r>
        <w:rPr>
          <w:rFonts w:hint="eastAsia" w:ascii="宋体" w:hAnsi="宋体"/>
          <w:szCs w:val="21"/>
        </w:rPr>
        <w:t>合同造价科</w:t>
      </w:r>
    </w:p>
    <w:p>
      <w:pPr>
        <w:snapToGrid w:val="0"/>
        <w:spacing w:line="360" w:lineRule="auto"/>
        <w:rPr>
          <w:rFonts w:ascii="宋体" w:hAnsi="宋体"/>
          <w:szCs w:val="21"/>
        </w:rPr>
      </w:pPr>
      <w:r>
        <w:rPr>
          <w:rFonts w:ascii="宋体" w:hAnsi="宋体"/>
          <w:szCs w:val="21"/>
        </w:rPr>
        <w:t>联系电话：</w:t>
      </w:r>
      <w:r>
        <w:rPr>
          <w:rFonts w:hint="eastAsia" w:ascii="宋体" w:hAnsi="宋体"/>
          <w:szCs w:val="21"/>
        </w:rPr>
        <w:t xml:space="preserve"> 0574-87169103</w:t>
      </w:r>
    </w:p>
    <w:p>
      <w:pPr>
        <w:tabs>
          <w:tab w:val="left" w:pos="5103"/>
        </w:tabs>
        <w:snapToGrid w:val="0"/>
        <w:spacing w:line="360" w:lineRule="auto"/>
        <w:rPr>
          <w:rFonts w:ascii="宋体" w:hAnsi="宋体"/>
          <w:szCs w:val="21"/>
        </w:rPr>
      </w:pPr>
      <w:r>
        <w:rPr>
          <w:rFonts w:ascii="宋体" w:hAnsi="宋体"/>
          <w:szCs w:val="21"/>
        </w:rPr>
        <w:t>监管及投诉受理单位：宁波市江北区政府采购办公室</w:t>
      </w:r>
      <w:r>
        <w:rPr>
          <w:rFonts w:ascii="宋体" w:hAnsi="宋体"/>
          <w:szCs w:val="21"/>
        </w:rPr>
        <w:tab/>
      </w:r>
      <w:r>
        <w:rPr>
          <w:rFonts w:ascii="宋体" w:hAnsi="宋体"/>
          <w:szCs w:val="21"/>
        </w:rPr>
        <w:t>电话：</w:t>
      </w:r>
      <w:r>
        <w:rPr>
          <w:rFonts w:ascii="宋体" w:hAnsi="宋体" w:cs="宋体"/>
        </w:rPr>
        <w:t>0574-87388097</w:t>
      </w:r>
    </w:p>
    <w:p>
      <w:pPr>
        <w:pStyle w:val="3"/>
        <w:spacing w:before="0" w:afterLines="100" w:line="360" w:lineRule="auto"/>
        <w:jc w:val="center"/>
        <w:rPr>
          <w:rFonts w:ascii="宋体" w:hAnsi="宋体"/>
          <w:sz w:val="30"/>
          <w:szCs w:val="30"/>
        </w:rPr>
      </w:pPr>
      <w:r>
        <w:rPr>
          <w:rFonts w:ascii="宋体" w:hAnsi="宋体"/>
        </w:rPr>
        <w:br w:type="page"/>
      </w:r>
      <w:bookmarkStart w:id="1" w:name="_Toc485712486"/>
      <w:r>
        <w:rPr>
          <w:rFonts w:ascii="宋体" w:hAnsi="宋体"/>
          <w:sz w:val="30"/>
          <w:szCs w:val="30"/>
        </w:rPr>
        <w:t>第二章  招标需求</w:t>
      </w:r>
      <w:bookmarkEnd w:id="1"/>
    </w:p>
    <w:p>
      <w:pPr>
        <w:widowControl/>
        <w:autoSpaceDE w:val="0"/>
        <w:autoSpaceDN w:val="0"/>
        <w:spacing w:line="400" w:lineRule="exact"/>
        <w:textAlignment w:val="bottom"/>
        <w:rPr>
          <w:rFonts w:ascii="宋体" w:hAnsi="宋体"/>
          <w:sz w:val="24"/>
        </w:rPr>
      </w:pPr>
      <w:bookmarkStart w:id="2" w:name="_Toc485712528"/>
      <w:r>
        <w:rPr>
          <w:rFonts w:hint="eastAsia" w:ascii="宋体" w:hAnsi="宋体"/>
          <w:sz w:val="24"/>
        </w:rPr>
        <w:t>子包一：</w:t>
      </w:r>
    </w:p>
    <w:p>
      <w:pPr>
        <w:widowControl/>
        <w:autoSpaceDE w:val="0"/>
        <w:autoSpaceDN w:val="0"/>
        <w:spacing w:line="400" w:lineRule="exact"/>
        <w:textAlignment w:val="bottom"/>
        <w:rPr>
          <w:rFonts w:ascii="Arial" w:hAnsi="Arial"/>
          <w:b/>
          <w:bCs/>
          <w:szCs w:val="21"/>
        </w:rPr>
      </w:pPr>
      <w:r>
        <w:rPr>
          <w:rFonts w:hint="eastAsia" w:ascii="Arial" w:hAnsi="Arial"/>
          <w:b/>
          <w:bCs/>
          <w:szCs w:val="21"/>
        </w:rPr>
        <w:t xml:space="preserve">一、采购内容 </w:t>
      </w:r>
    </w:p>
    <w:p>
      <w:pPr>
        <w:pStyle w:val="7"/>
        <w:widowControl w:val="0"/>
        <w:numPr>
          <w:ilvl w:val="0"/>
          <w:numId w:val="0"/>
        </w:numPr>
        <w:tabs>
          <w:tab w:val="clear" w:pos="454"/>
        </w:tabs>
        <w:snapToGrid w:val="0"/>
        <w:spacing w:afterLines="0" w:line="400" w:lineRule="exact"/>
        <w:rPr>
          <w:rFonts w:ascii="宋体" w:hAnsi="宋体" w:cs="宋体"/>
          <w:sz w:val="21"/>
          <w:szCs w:val="21"/>
        </w:rPr>
      </w:pPr>
      <w:r>
        <w:rPr>
          <w:rFonts w:ascii="宋体" w:hAnsi="宋体" w:cs="宋体"/>
          <w:sz w:val="21"/>
          <w:szCs w:val="21"/>
        </w:rPr>
        <w:t>1.1</w:t>
      </w:r>
      <w:r>
        <w:rPr>
          <w:rFonts w:hint="eastAsia" w:ascii="宋体" w:hAnsi="宋体" w:cs="宋体"/>
          <w:sz w:val="21"/>
          <w:szCs w:val="21"/>
        </w:rPr>
        <w:t xml:space="preserve">项目名称：人民广场与地下通道工程基坑监测项目 </w:t>
      </w:r>
    </w:p>
    <w:p>
      <w:pPr>
        <w:pStyle w:val="7"/>
        <w:widowControl w:val="0"/>
        <w:numPr>
          <w:ilvl w:val="0"/>
          <w:numId w:val="0"/>
        </w:numPr>
        <w:tabs>
          <w:tab w:val="clear" w:pos="454"/>
        </w:tabs>
        <w:snapToGrid w:val="0"/>
        <w:spacing w:afterLines="0" w:line="400" w:lineRule="exact"/>
        <w:rPr>
          <w:rFonts w:ascii="宋体" w:hAnsi="宋体" w:cs="宋体"/>
          <w:sz w:val="21"/>
          <w:szCs w:val="21"/>
        </w:rPr>
      </w:pPr>
      <w:r>
        <w:rPr>
          <w:rFonts w:ascii="宋体" w:hAnsi="宋体" w:cs="宋体"/>
          <w:sz w:val="21"/>
          <w:szCs w:val="21"/>
        </w:rPr>
        <w:t>1.2</w:t>
      </w:r>
      <w:r>
        <w:rPr>
          <w:rFonts w:hint="eastAsia" w:ascii="宋体" w:hAnsi="宋体" w:cs="宋体"/>
          <w:sz w:val="21"/>
          <w:szCs w:val="21"/>
        </w:rPr>
        <w:t xml:space="preserve">采购标的内容及实施地点： </w:t>
      </w:r>
    </w:p>
    <w:p>
      <w:pPr>
        <w:pStyle w:val="7"/>
        <w:widowControl w:val="0"/>
        <w:numPr>
          <w:ilvl w:val="0"/>
          <w:numId w:val="0"/>
        </w:numPr>
        <w:tabs>
          <w:tab w:val="clear" w:pos="454"/>
        </w:tabs>
        <w:snapToGrid w:val="0"/>
        <w:spacing w:afterLines="0" w:line="400" w:lineRule="exact"/>
        <w:rPr>
          <w:rFonts w:ascii="宋体" w:hAnsi="宋体" w:cs="宋体"/>
          <w:sz w:val="21"/>
          <w:szCs w:val="21"/>
        </w:rPr>
      </w:pPr>
      <w:r>
        <w:rPr>
          <w:rFonts w:ascii="宋体" w:hAnsi="宋体" w:cs="宋体"/>
          <w:sz w:val="21"/>
          <w:szCs w:val="21"/>
        </w:rPr>
        <w:t>1.2.1</w:t>
      </w:r>
      <w:r>
        <w:rPr>
          <w:rFonts w:hint="eastAsia" w:ascii="宋体" w:hAnsi="宋体" w:cs="宋体"/>
          <w:sz w:val="21"/>
          <w:szCs w:val="21"/>
        </w:rPr>
        <w:t xml:space="preserve">采购标的内容：人民广场与地下通道工程基坑监测，具体服务内容详见本章二、监 </w:t>
      </w:r>
    </w:p>
    <w:p>
      <w:pPr>
        <w:pStyle w:val="7"/>
        <w:widowControl w:val="0"/>
        <w:numPr>
          <w:ilvl w:val="0"/>
          <w:numId w:val="0"/>
        </w:numPr>
        <w:tabs>
          <w:tab w:val="clear" w:pos="454"/>
        </w:tabs>
        <w:snapToGrid w:val="0"/>
        <w:spacing w:afterLines="0" w:line="400" w:lineRule="exact"/>
        <w:rPr>
          <w:rFonts w:ascii="宋体" w:hAnsi="宋体" w:cs="宋体"/>
          <w:sz w:val="21"/>
          <w:szCs w:val="21"/>
        </w:rPr>
      </w:pPr>
      <w:r>
        <w:rPr>
          <w:rFonts w:hint="eastAsia" w:ascii="宋体" w:hAnsi="宋体" w:cs="宋体"/>
          <w:sz w:val="21"/>
          <w:szCs w:val="21"/>
        </w:rPr>
        <w:t xml:space="preserve">测内容。 </w:t>
      </w:r>
    </w:p>
    <w:p>
      <w:pPr>
        <w:pStyle w:val="7"/>
        <w:widowControl w:val="0"/>
        <w:numPr>
          <w:ilvl w:val="0"/>
          <w:numId w:val="0"/>
        </w:numPr>
        <w:tabs>
          <w:tab w:val="clear" w:pos="454"/>
        </w:tabs>
        <w:snapToGrid w:val="0"/>
        <w:spacing w:afterLines="0" w:line="400" w:lineRule="exact"/>
        <w:rPr>
          <w:rFonts w:ascii="宋体" w:hAnsi="宋体" w:cs="宋体"/>
          <w:sz w:val="21"/>
          <w:szCs w:val="21"/>
        </w:rPr>
      </w:pPr>
      <w:r>
        <w:rPr>
          <w:rFonts w:ascii="宋体" w:hAnsi="宋体" w:cs="宋体"/>
          <w:sz w:val="21"/>
          <w:szCs w:val="21"/>
        </w:rPr>
        <w:t>1.2.2</w:t>
      </w:r>
      <w:r>
        <w:rPr>
          <w:rFonts w:hint="eastAsia" w:ascii="宋体" w:hAnsi="宋体" w:cs="宋体"/>
          <w:sz w:val="21"/>
          <w:szCs w:val="21"/>
        </w:rPr>
        <w:t>实施地点：位于江北核心区，东至人民路，西至玛瑙路，南至车站路，北至板桥街</w:t>
      </w:r>
    </w:p>
    <w:p>
      <w:pPr>
        <w:pStyle w:val="7"/>
        <w:widowControl w:val="0"/>
        <w:numPr>
          <w:ilvl w:val="0"/>
          <w:numId w:val="0"/>
        </w:numPr>
        <w:tabs>
          <w:tab w:val="clear" w:pos="454"/>
        </w:tabs>
        <w:snapToGrid w:val="0"/>
        <w:spacing w:afterLines="0" w:line="400" w:lineRule="exact"/>
        <w:rPr>
          <w:rFonts w:ascii="宋体" w:hAnsi="宋体" w:cs="宋体"/>
          <w:sz w:val="21"/>
          <w:szCs w:val="21"/>
        </w:rPr>
      </w:pPr>
      <w:r>
        <w:rPr>
          <w:rFonts w:ascii="宋体" w:hAnsi="宋体" w:cs="宋体"/>
          <w:sz w:val="21"/>
          <w:szCs w:val="21"/>
        </w:rPr>
        <w:t>1.2.3</w:t>
      </w:r>
      <w:r>
        <w:rPr>
          <w:rFonts w:hint="eastAsia" w:ascii="宋体" w:hAnsi="宋体" w:cs="宋体"/>
          <w:sz w:val="21"/>
          <w:szCs w:val="21"/>
        </w:rPr>
        <w:t>项目规模：新建：10#地块总建筑面积约17406平方米，其中地上建筑面积约250平方米，地下建筑面积约17156平方米；玛瑙路地下商业总建筑面积约1375平方米，其中地上建筑面积约100平方米，地下建筑面积约1275平方米；人民路地下通道面积约620平方米，其中地上建筑面积约70平方米，地下建筑面积约550平方米。改造：9#地块总建筑面积约1780平方米，其中地上建筑面积约120平方米，地下室建筑面积约1660平方米。</w:t>
      </w:r>
    </w:p>
    <w:p>
      <w:pPr>
        <w:pStyle w:val="7"/>
        <w:widowControl w:val="0"/>
        <w:numPr>
          <w:ilvl w:val="0"/>
          <w:numId w:val="0"/>
        </w:numPr>
        <w:tabs>
          <w:tab w:val="clear" w:pos="454"/>
        </w:tabs>
        <w:snapToGrid w:val="0"/>
        <w:spacing w:afterLines="0" w:line="400" w:lineRule="exact"/>
        <w:rPr>
          <w:rFonts w:ascii="宋体" w:hAnsi="宋体" w:cs="宋体"/>
          <w:sz w:val="21"/>
          <w:szCs w:val="21"/>
        </w:rPr>
      </w:pPr>
      <w:r>
        <w:rPr>
          <w:rFonts w:ascii="宋体" w:hAnsi="宋体" w:cs="宋体"/>
          <w:sz w:val="21"/>
          <w:szCs w:val="21"/>
        </w:rPr>
        <w:t>1.3</w:t>
      </w:r>
      <w:r>
        <w:rPr>
          <w:rFonts w:hint="eastAsia" w:ascii="宋体" w:hAnsi="宋体" w:cs="宋体"/>
          <w:sz w:val="21"/>
          <w:szCs w:val="21"/>
        </w:rPr>
        <w:t xml:space="preserve">工期：接采购单位通知后3天内到场进行监测，按设计图纸及相关规范要求安排监测工期， </w:t>
      </w:r>
    </w:p>
    <w:p>
      <w:pPr>
        <w:pStyle w:val="7"/>
        <w:widowControl w:val="0"/>
        <w:numPr>
          <w:ilvl w:val="0"/>
          <w:numId w:val="0"/>
        </w:numPr>
        <w:tabs>
          <w:tab w:val="clear" w:pos="454"/>
        </w:tabs>
        <w:snapToGrid w:val="0"/>
        <w:spacing w:afterLines="0" w:line="400" w:lineRule="exact"/>
        <w:rPr>
          <w:rFonts w:ascii="宋体" w:hAnsi="宋体" w:cs="宋体"/>
          <w:sz w:val="21"/>
          <w:szCs w:val="21"/>
        </w:rPr>
      </w:pPr>
      <w:r>
        <w:rPr>
          <w:rFonts w:hint="eastAsia" w:ascii="宋体" w:hAnsi="宋体" w:cs="宋体"/>
          <w:sz w:val="21"/>
          <w:szCs w:val="21"/>
        </w:rPr>
        <w:t xml:space="preserve">监测工作满足本项目施工进度要求。 </w:t>
      </w:r>
    </w:p>
    <w:p>
      <w:pPr>
        <w:pStyle w:val="7"/>
        <w:widowControl w:val="0"/>
        <w:numPr>
          <w:ilvl w:val="0"/>
          <w:numId w:val="0"/>
        </w:numPr>
        <w:tabs>
          <w:tab w:val="clear" w:pos="454"/>
        </w:tabs>
        <w:snapToGrid w:val="0"/>
        <w:spacing w:afterLines="0" w:line="400" w:lineRule="exact"/>
        <w:rPr>
          <w:rFonts w:ascii="宋体" w:hAnsi="宋体" w:cs="宋体"/>
          <w:sz w:val="21"/>
          <w:szCs w:val="21"/>
        </w:rPr>
      </w:pPr>
      <w:r>
        <w:rPr>
          <w:rFonts w:ascii="宋体" w:hAnsi="宋体" w:cs="宋体"/>
          <w:sz w:val="21"/>
          <w:szCs w:val="21"/>
        </w:rPr>
        <w:t>1.4</w:t>
      </w:r>
      <w:r>
        <w:rPr>
          <w:rFonts w:hint="eastAsia" w:ascii="宋体" w:hAnsi="宋体" w:cs="宋体"/>
          <w:sz w:val="21"/>
          <w:szCs w:val="21"/>
        </w:rPr>
        <w:t xml:space="preserve">采购标的需实现的功能或目标： </w:t>
      </w:r>
    </w:p>
    <w:p>
      <w:pPr>
        <w:pStyle w:val="7"/>
        <w:widowControl w:val="0"/>
        <w:numPr>
          <w:ilvl w:val="0"/>
          <w:numId w:val="0"/>
        </w:numPr>
        <w:tabs>
          <w:tab w:val="clear" w:pos="454"/>
        </w:tabs>
        <w:snapToGrid w:val="0"/>
        <w:spacing w:afterLines="0" w:line="400" w:lineRule="exact"/>
        <w:rPr>
          <w:rFonts w:ascii="宋体" w:hAnsi="宋体" w:cs="宋体"/>
          <w:sz w:val="21"/>
          <w:szCs w:val="21"/>
        </w:rPr>
      </w:pPr>
      <w:r>
        <w:rPr>
          <w:rFonts w:ascii="宋体" w:hAnsi="宋体" w:cs="宋体"/>
          <w:sz w:val="21"/>
          <w:szCs w:val="21"/>
        </w:rPr>
        <w:t>1.4.1</w:t>
      </w:r>
      <w:r>
        <w:rPr>
          <w:rFonts w:hint="eastAsia" w:ascii="宋体" w:hAnsi="宋体" w:cs="宋体"/>
          <w:sz w:val="21"/>
          <w:szCs w:val="21"/>
        </w:rPr>
        <w:t xml:space="preserve">成果要求：按时完成并提交完整的监测报告，报告书内容包括：1）监测项目和各测点 </w:t>
      </w:r>
    </w:p>
    <w:p>
      <w:pPr>
        <w:pStyle w:val="7"/>
        <w:widowControl w:val="0"/>
        <w:numPr>
          <w:ilvl w:val="0"/>
          <w:numId w:val="0"/>
        </w:numPr>
        <w:tabs>
          <w:tab w:val="clear" w:pos="454"/>
        </w:tabs>
        <w:snapToGrid w:val="0"/>
        <w:spacing w:afterLines="0" w:line="400" w:lineRule="exact"/>
        <w:rPr>
          <w:rFonts w:ascii="宋体" w:hAnsi="宋体" w:cs="宋体"/>
          <w:sz w:val="21"/>
          <w:szCs w:val="21"/>
        </w:rPr>
      </w:pPr>
      <w:r>
        <w:rPr>
          <w:rFonts w:hint="eastAsia" w:ascii="宋体" w:hAnsi="宋体" w:cs="宋体"/>
          <w:sz w:val="21"/>
          <w:szCs w:val="21"/>
        </w:rPr>
        <w:t xml:space="preserve">的布置图；2）采用仪器的型号、规格；3）测试资料的整理方法；4）监测值过程变化曲线； </w:t>
      </w:r>
    </w:p>
    <w:p>
      <w:pPr>
        <w:pStyle w:val="7"/>
        <w:widowControl w:val="0"/>
        <w:numPr>
          <w:ilvl w:val="0"/>
          <w:numId w:val="0"/>
        </w:numPr>
        <w:tabs>
          <w:tab w:val="clear" w:pos="454"/>
        </w:tabs>
        <w:snapToGrid w:val="0"/>
        <w:spacing w:afterLines="0" w:line="400" w:lineRule="exact"/>
        <w:rPr>
          <w:rFonts w:ascii="宋体" w:hAnsi="宋体" w:cs="宋体"/>
          <w:sz w:val="21"/>
          <w:szCs w:val="21"/>
        </w:rPr>
      </w:pPr>
      <w:r>
        <w:rPr>
          <w:rFonts w:hint="eastAsia" w:ascii="宋体" w:hAnsi="宋体" w:cs="宋体"/>
          <w:sz w:val="21"/>
          <w:szCs w:val="21"/>
        </w:rPr>
        <w:t xml:space="preserve">5）监测最终成果及评述。 </w:t>
      </w:r>
    </w:p>
    <w:p>
      <w:pPr>
        <w:pStyle w:val="7"/>
        <w:widowControl w:val="0"/>
        <w:numPr>
          <w:ilvl w:val="0"/>
          <w:numId w:val="0"/>
        </w:numPr>
        <w:tabs>
          <w:tab w:val="clear" w:pos="454"/>
        </w:tabs>
        <w:snapToGrid w:val="0"/>
        <w:spacing w:afterLines="0" w:line="400" w:lineRule="exact"/>
        <w:rPr>
          <w:rFonts w:ascii="宋体" w:hAnsi="宋体" w:cs="宋体"/>
          <w:sz w:val="21"/>
          <w:szCs w:val="21"/>
        </w:rPr>
      </w:pPr>
      <w:r>
        <w:rPr>
          <w:rFonts w:ascii="宋体" w:hAnsi="宋体" w:cs="宋体"/>
          <w:sz w:val="21"/>
          <w:szCs w:val="21"/>
        </w:rPr>
        <w:t>1.4.2</w:t>
      </w:r>
      <w:r>
        <w:rPr>
          <w:rFonts w:hint="eastAsia" w:ascii="宋体" w:hAnsi="宋体" w:cs="宋体"/>
          <w:sz w:val="21"/>
          <w:szCs w:val="21"/>
        </w:rPr>
        <w:t xml:space="preserve">质量要求：满足相关规范要求，采购单位如要求分批提交监测报告的，必须满足采购单位 </w:t>
      </w:r>
    </w:p>
    <w:p>
      <w:pPr>
        <w:pStyle w:val="7"/>
        <w:widowControl w:val="0"/>
        <w:numPr>
          <w:ilvl w:val="0"/>
          <w:numId w:val="0"/>
        </w:numPr>
        <w:tabs>
          <w:tab w:val="clear" w:pos="454"/>
        </w:tabs>
        <w:snapToGrid w:val="0"/>
        <w:spacing w:afterLines="0" w:line="400" w:lineRule="exact"/>
        <w:rPr>
          <w:rFonts w:ascii="宋体" w:hAnsi="宋体" w:cs="宋体"/>
          <w:sz w:val="21"/>
          <w:szCs w:val="21"/>
        </w:rPr>
      </w:pPr>
      <w:r>
        <w:rPr>
          <w:rFonts w:hint="eastAsia" w:ascii="宋体" w:hAnsi="宋体" w:cs="宋体"/>
          <w:sz w:val="21"/>
          <w:szCs w:val="21"/>
        </w:rPr>
        <w:t xml:space="preserve">的时间。 </w:t>
      </w:r>
    </w:p>
    <w:p>
      <w:pPr>
        <w:pStyle w:val="7"/>
        <w:widowControl w:val="0"/>
        <w:numPr>
          <w:ilvl w:val="0"/>
          <w:numId w:val="0"/>
        </w:numPr>
        <w:tabs>
          <w:tab w:val="clear" w:pos="454"/>
        </w:tabs>
        <w:snapToGrid w:val="0"/>
        <w:spacing w:afterLines="0" w:line="400" w:lineRule="exact"/>
        <w:rPr>
          <w:rFonts w:ascii="宋体" w:hAnsi="宋体" w:cs="宋体"/>
          <w:sz w:val="21"/>
          <w:szCs w:val="21"/>
        </w:rPr>
      </w:pPr>
      <w:r>
        <w:rPr>
          <w:rFonts w:ascii="宋体" w:hAnsi="宋体" w:cs="宋体"/>
          <w:sz w:val="21"/>
          <w:szCs w:val="21"/>
        </w:rPr>
        <w:t>1.4.3</w:t>
      </w:r>
      <w:r>
        <w:rPr>
          <w:rFonts w:hint="eastAsia" w:ascii="宋体" w:hAnsi="宋体" w:cs="宋体"/>
          <w:sz w:val="21"/>
          <w:szCs w:val="21"/>
        </w:rPr>
        <w:t xml:space="preserve">安全要求：无安全事故。 </w:t>
      </w:r>
    </w:p>
    <w:p>
      <w:pPr>
        <w:pStyle w:val="7"/>
        <w:widowControl w:val="0"/>
        <w:numPr>
          <w:ilvl w:val="0"/>
          <w:numId w:val="0"/>
        </w:numPr>
        <w:tabs>
          <w:tab w:val="clear" w:pos="454"/>
        </w:tabs>
        <w:snapToGrid w:val="0"/>
        <w:spacing w:afterLines="0" w:line="400" w:lineRule="exact"/>
        <w:rPr>
          <w:rFonts w:ascii="宋体" w:hAnsi="宋体" w:cs="宋体"/>
          <w:sz w:val="21"/>
          <w:szCs w:val="21"/>
        </w:rPr>
      </w:pPr>
      <w:r>
        <w:rPr>
          <w:rFonts w:ascii="宋体" w:hAnsi="宋体" w:cs="宋体"/>
          <w:sz w:val="21"/>
          <w:szCs w:val="21"/>
        </w:rPr>
        <w:t>1.5</w:t>
      </w:r>
      <w:r>
        <w:rPr>
          <w:rFonts w:hint="eastAsia" w:ascii="宋体" w:hAnsi="宋体" w:cs="宋体"/>
          <w:sz w:val="21"/>
          <w:szCs w:val="21"/>
        </w:rPr>
        <w:t xml:space="preserve">现场踏勘：投标人如有需要自行组织现场踏勘。 </w:t>
      </w:r>
    </w:p>
    <w:p>
      <w:pPr>
        <w:pStyle w:val="7"/>
        <w:widowControl w:val="0"/>
        <w:numPr>
          <w:ilvl w:val="0"/>
          <w:numId w:val="0"/>
        </w:numPr>
        <w:tabs>
          <w:tab w:val="clear" w:pos="454"/>
        </w:tabs>
        <w:snapToGrid w:val="0"/>
        <w:spacing w:afterLines="0" w:line="400" w:lineRule="exact"/>
        <w:rPr>
          <w:rFonts w:ascii="宋体" w:hAnsi="宋体" w:cs="宋体"/>
          <w:sz w:val="21"/>
          <w:szCs w:val="21"/>
        </w:rPr>
      </w:pPr>
      <w:r>
        <w:rPr>
          <w:rFonts w:ascii="宋体" w:hAnsi="宋体" w:cs="宋体"/>
          <w:sz w:val="21"/>
          <w:szCs w:val="21"/>
        </w:rPr>
        <w:t>1.6</w:t>
      </w:r>
      <w:r>
        <w:rPr>
          <w:rFonts w:hint="eastAsia" w:ascii="宋体" w:hAnsi="宋体" w:cs="宋体"/>
          <w:sz w:val="21"/>
          <w:szCs w:val="21"/>
        </w:rPr>
        <w:t xml:space="preserve">采购标的的验收标准：按照中标人提供的投标文件、中标人和采购单位签订的政府采购合 </w:t>
      </w:r>
    </w:p>
    <w:p>
      <w:pPr>
        <w:pStyle w:val="7"/>
        <w:widowControl w:val="0"/>
        <w:numPr>
          <w:ilvl w:val="0"/>
          <w:numId w:val="0"/>
        </w:numPr>
        <w:tabs>
          <w:tab w:val="clear" w:pos="454"/>
        </w:tabs>
        <w:snapToGrid w:val="0"/>
        <w:spacing w:afterLines="0" w:line="400" w:lineRule="exact"/>
        <w:rPr>
          <w:rFonts w:ascii="宋体" w:hAnsi="宋体" w:cs="宋体"/>
          <w:sz w:val="21"/>
          <w:szCs w:val="21"/>
        </w:rPr>
      </w:pPr>
      <w:r>
        <w:rPr>
          <w:rFonts w:hint="eastAsia" w:ascii="宋体" w:hAnsi="宋体" w:cs="宋体"/>
          <w:sz w:val="21"/>
          <w:szCs w:val="21"/>
        </w:rPr>
        <w:t>同为标准进行验收。</w:t>
      </w:r>
    </w:p>
    <w:p>
      <w:pPr>
        <w:widowControl/>
        <w:autoSpaceDE w:val="0"/>
        <w:autoSpaceDN w:val="0"/>
        <w:spacing w:line="400" w:lineRule="exact"/>
        <w:textAlignment w:val="bottom"/>
        <w:rPr>
          <w:rFonts w:ascii="Arial" w:hAnsi="Arial"/>
          <w:b/>
          <w:bCs/>
          <w:szCs w:val="21"/>
        </w:rPr>
      </w:pPr>
      <w:r>
        <w:rPr>
          <w:rFonts w:hint="eastAsia" w:ascii="Arial" w:hAnsi="Arial"/>
          <w:b/>
          <w:bCs/>
          <w:szCs w:val="21"/>
        </w:rPr>
        <w:t>二、监测内容</w:t>
      </w:r>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4250"/>
        <w:gridCol w:w="1816"/>
        <w:gridCol w:w="1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4897" w:type="dxa"/>
            <w:gridSpan w:val="2"/>
            <w:vAlign w:val="center"/>
          </w:tcPr>
          <w:p>
            <w:pPr>
              <w:widowControl/>
              <w:spacing w:line="400" w:lineRule="exact"/>
              <w:jc w:val="center"/>
              <w:rPr>
                <w:rFonts w:ascii="宋体" w:hAnsi="宋体" w:cs="宋体"/>
                <w:kern w:val="0"/>
                <w:szCs w:val="21"/>
              </w:rPr>
            </w:pPr>
            <w:r>
              <w:rPr>
                <w:rFonts w:hint="eastAsia" w:ascii="宋体" w:hAnsi="宋体" w:cs="宋体"/>
                <w:kern w:val="0"/>
                <w:szCs w:val="21"/>
              </w:rPr>
              <w:t>监测内容</w:t>
            </w:r>
          </w:p>
        </w:tc>
        <w:tc>
          <w:tcPr>
            <w:tcW w:w="1816"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工程量（个）</w:t>
            </w:r>
          </w:p>
        </w:tc>
        <w:tc>
          <w:tcPr>
            <w:tcW w:w="1815" w:type="dxa"/>
            <w:vAlign w:val="center"/>
          </w:tcPr>
          <w:p>
            <w:pPr>
              <w:spacing w:line="400" w:lineRule="exact"/>
              <w:jc w:val="center"/>
              <w:rPr>
                <w:rFonts w:ascii="宋体" w:hAnsi="宋体" w:cs="宋体"/>
                <w:sz w:val="24"/>
              </w:rPr>
            </w:pPr>
            <w:r>
              <w:rPr>
                <w:rFonts w:hint="eastAsia"/>
              </w:rPr>
              <w:t>投标综合单价最高限价（元）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47" w:type="dxa"/>
            <w:vAlign w:val="center"/>
          </w:tcPr>
          <w:p>
            <w:pPr>
              <w:widowControl/>
              <w:spacing w:line="400" w:lineRule="exact"/>
              <w:jc w:val="center"/>
              <w:rPr>
                <w:rFonts w:ascii="宋体" w:hAnsi="宋体"/>
                <w:kern w:val="0"/>
                <w:szCs w:val="21"/>
              </w:rPr>
            </w:pPr>
            <w:r>
              <w:rPr>
                <w:rFonts w:ascii="宋体" w:hAnsi="宋体"/>
                <w:kern w:val="0"/>
                <w:szCs w:val="21"/>
              </w:rPr>
              <w:t>1</w:t>
            </w:r>
          </w:p>
        </w:tc>
        <w:tc>
          <w:tcPr>
            <w:tcW w:w="4250"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深层土体位移观测</w:t>
            </w:r>
          </w:p>
        </w:tc>
        <w:tc>
          <w:tcPr>
            <w:tcW w:w="1816" w:type="dxa"/>
            <w:vAlign w:val="center"/>
          </w:tcPr>
          <w:p>
            <w:pPr>
              <w:spacing w:line="400" w:lineRule="exact"/>
              <w:jc w:val="center"/>
              <w:rPr>
                <w:sz w:val="24"/>
              </w:rPr>
            </w:pPr>
            <w:r>
              <w:rPr>
                <w:rFonts w:hint="eastAsia"/>
                <w:sz w:val="24"/>
              </w:rPr>
              <w:t>25</w:t>
            </w:r>
          </w:p>
        </w:tc>
        <w:tc>
          <w:tcPr>
            <w:tcW w:w="1815" w:type="dxa"/>
            <w:vAlign w:val="center"/>
          </w:tcPr>
          <w:p>
            <w:pPr>
              <w:widowControl/>
              <w:jc w:val="center"/>
              <w:textAlignment w:val="center"/>
            </w:pPr>
            <w:r>
              <w:rPr>
                <w:rFonts w:hint="eastAsia" w:ascii="宋体" w:hAnsi="宋体" w:cs="宋体"/>
                <w:kern w:val="0"/>
                <w:sz w:val="24"/>
              </w:rPr>
              <w:t>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47" w:type="dxa"/>
            <w:vAlign w:val="center"/>
          </w:tcPr>
          <w:p>
            <w:pPr>
              <w:widowControl/>
              <w:spacing w:line="400" w:lineRule="exact"/>
              <w:jc w:val="center"/>
              <w:rPr>
                <w:rFonts w:ascii="宋体" w:hAnsi="宋体"/>
                <w:kern w:val="0"/>
                <w:szCs w:val="21"/>
              </w:rPr>
            </w:pPr>
            <w:r>
              <w:rPr>
                <w:rFonts w:ascii="宋体" w:hAnsi="宋体"/>
                <w:kern w:val="0"/>
                <w:szCs w:val="21"/>
              </w:rPr>
              <w:t>2</w:t>
            </w:r>
          </w:p>
        </w:tc>
        <w:tc>
          <w:tcPr>
            <w:tcW w:w="4250"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围护结构水平位移监测</w:t>
            </w:r>
          </w:p>
        </w:tc>
        <w:tc>
          <w:tcPr>
            <w:tcW w:w="1816" w:type="dxa"/>
            <w:vAlign w:val="center"/>
          </w:tcPr>
          <w:p>
            <w:pPr>
              <w:spacing w:line="400" w:lineRule="exact"/>
              <w:jc w:val="center"/>
              <w:rPr>
                <w:sz w:val="24"/>
              </w:rPr>
            </w:pPr>
            <w:r>
              <w:rPr>
                <w:rFonts w:hint="eastAsia"/>
                <w:sz w:val="24"/>
              </w:rPr>
              <w:t>46</w:t>
            </w:r>
          </w:p>
        </w:tc>
        <w:tc>
          <w:tcPr>
            <w:tcW w:w="1815" w:type="dxa"/>
            <w:vAlign w:val="center"/>
          </w:tcPr>
          <w:p>
            <w:pPr>
              <w:widowControl/>
              <w:jc w:val="center"/>
              <w:textAlignment w:val="center"/>
            </w:pPr>
            <w:r>
              <w:rPr>
                <w:rFonts w:hint="eastAsia" w:ascii="宋体" w:hAnsi="宋体" w:cs="宋体"/>
                <w:kern w:val="0"/>
                <w:sz w:val="24"/>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47" w:type="dxa"/>
            <w:vAlign w:val="center"/>
          </w:tcPr>
          <w:p>
            <w:pPr>
              <w:widowControl/>
              <w:spacing w:line="400" w:lineRule="exact"/>
              <w:jc w:val="center"/>
              <w:rPr>
                <w:rFonts w:ascii="宋体" w:hAnsi="宋体"/>
                <w:kern w:val="0"/>
                <w:szCs w:val="21"/>
              </w:rPr>
            </w:pPr>
            <w:r>
              <w:rPr>
                <w:rFonts w:ascii="宋体" w:hAnsi="宋体"/>
                <w:kern w:val="0"/>
                <w:szCs w:val="21"/>
              </w:rPr>
              <w:t>3</w:t>
            </w:r>
          </w:p>
        </w:tc>
        <w:tc>
          <w:tcPr>
            <w:tcW w:w="4250"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围护结构沉降监测</w:t>
            </w:r>
          </w:p>
        </w:tc>
        <w:tc>
          <w:tcPr>
            <w:tcW w:w="1816" w:type="dxa"/>
            <w:vAlign w:val="center"/>
          </w:tcPr>
          <w:p>
            <w:pPr>
              <w:spacing w:line="400" w:lineRule="exact"/>
              <w:jc w:val="center"/>
              <w:rPr>
                <w:sz w:val="24"/>
              </w:rPr>
            </w:pPr>
            <w:r>
              <w:rPr>
                <w:rFonts w:hint="eastAsia"/>
                <w:sz w:val="24"/>
              </w:rPr>
              <w:t>46</w:t>
            </w:r>
          </w:p>
        </w:tc>
        <w:tc>
          <w:tcPr>
            <w:tcW w:w="1815" w:type="dxa"/>
            <w:vAlign w:val="center"/>
          </w:tcPr>
          <w:p>
            <w:pPr>
              <w:widowControl/>
              <w:jc w:val="center"/>
              <w:textAlignment w:val="center"/>
            </w:pPr>
            <w:r>
              <w:rPr>
                <w:rFonts w:hint="eastAsia" w:ascii="宋体" w:hAnsi="宋体" w:cs="宋体"/>
                <w:kern w:val="0"/>
                <w:sz w:val="24"/>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47" w:type="dxa"/>
            <w:vAlign w:val="center"/>
          </w:tcPr>
          <w:p>
            <w:pPr>
              <w:widowControl/>
              <w:spacing w:line="400" w:lineRule="exact"/>
              <w:jc w:val="center"/>
              <w:rPr>
                <w:rFonts w:ascii="宋体" w:hAnsi="宋体"/>
                <w:kern w:val="0"/>
                <w:szCs w:val="21"/>
              </w:rPr>
            </w:pPr>
            <w:r>
              <w:rPr>
                <w:rFonts w:ascii="宋体" w:hAnsi="宋体"/>
                <w:kern w:val="0"/>
                <w:szCs w:val="21"/>
              </w:rPr>
              <w:t>4</w:t>
            </w:r>
          </w:p>
        </w:tc>
        <w:tc>
          <w:tcPr>
            <w:tcW w:w="4250"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支撑轴力监测</w:t>
            </w:r>
          </w:p>
        </w:tc>
        <w:tc>
          <w:tcPr>
            <w:tcW w:w="1816" w:type="dxa"/>
            <w:vAlign w:val="center"/>
          </w:tcPr>
          <w:p>
            <w:pPr>
              <w:spacing w:line="400" w:lineRule="exact"/>
              <w:jc w:val="center"/>
              <w:rPr>
                <w:sz w:val="24"/>
              </w:rPr>
            </w:pPr>
            <w:r>
              <w:rPr>
                <w:rFonts w:hint="eastAsia"/>
                <w:sz w:val="24"/>
              </w:rPr>
              <w:t>44</w:t>
            </w:r>
          </w:p>
        </w:tc>
        <w:tc>
          <w:tcPr>
            <w:tcW w:w="1815" w:type="dxa"/>
            <w:vAlign w:val="center"/>
          </w:tcPr>
          <w:p>
            <w:pPr>
              <w:widowControl/>
              <w:jc w:val="center"/>
              <w:textAlignment w:val="center"/>
            </w:pPr>
            <w:r>
              <w:rPr>
                <w:rFonts w:hint="eastAsia" w:ascii="宋体" w:hAnsi="宋体" w:cs="宋体"/>
                <w:kern w:val="0"/>
                <w:sz w:val="24"/>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47" w:type="dxa"/>
            <w:vAlign w:val="center"/>
          </w:tcPr>
          <w:p>
            <w:pPr>
              <w:widowControl/>
              <w:spacing w:line="400" w:lineRule="exact"/>
              <w:jc w:val="center"/>
              <w:rPr>
                <w:rFonts w:ascii="宋体" w:hAnsi="宋体"/>
                <w:kern w:val="0"/>
                <w:szCs w:val="21"/>
              </w:rPr>
            </w:pPr>
            <w:r>
              <w:rPr>
                <w:rFonts w:ascii="宋体" w:hAnsi="宋体"/>
                <w:kern w:val="0"/>
                <w:szCs w:val="21"/>
              </w:rPr>
              <w:t>5</w:t>
            </w:r>
          </w:p>
        </w:tc>
        <w:tc>
          <w:tcPr>
            <w:tcW w:w="4250"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立柱沉降监测</w:t>
            </w:r>
          </w:p>
        </w:tc>
        <w:tc>
          <w:tcPr>
            <w:tcW w:w="1816" w:type="dxa"/>
            <w:vAlign w:val="center"/>
          </w:tcPr>
          <w:p>
            <w:pPr>
              <w:spacing w:line="400" w:lineRule="exact"/>
              <w:jc w:val="center"/>
              <w:rPr>
                <w:sz w:val="24"/>
              </w:rPr>
            </w:pPr>
            <w:r>
              <w:rPr>
                <w:rFonts w:hint="eastAsia"/>
                <w:sz w:val="24"/>
              </w:rPr>
              <w:t>4</w:t>
            </w:r>
          </w:p>
        </w:tc>
        <w:tc>
          <w:tcPr>
            <w:tcW w:w="1815" w:type="dxa"/>
            <w:vAlign w:val="center"/>
          </w:tcPr>
          <w:p>
            <w:pPr>
              <w:widowControl/>
              <w:jc w:val="center"/>
              <w:textAlignment w:val="center"/>
            </w:pPr>
            <w:r>
              <w:rPr>
                <w:rFonts w:hint="eastAsia" w:ascii="宋体" w:hAnsi="宋体" w:cs="宋体"/>
                <w:kern w:val="0"/>
                <w:sz w:val="24"/>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47" w:type="dxa"/>
            <w:vAlign w:val="center"/>
          </w:tcPr>
          <w:p>
            <w:pPr>
              <w:widowControl/>
              <w:spacing w:line="400" w:lineRule="exact"/>
              <w:jc w:val="center"/>
              <w:rPr>
                <w:rFonts w:ascii="宋体" w:hAnsi="宋体"/>
                <w:kern w:val="0"/>
                <w:szCs w:val="21"/>
              </w:rPr>
            </w:pPr>
            <w:r>
              <w:rPr>
                <w:rFonts w:ascii="宋体" w:hAnsi="宋体"/>
                <w:kern w:val="0"/>
                <w:szCs w:val="21"/>
              </w:rPr>
              <w:t>6</w:t>
            </w:r>
          </w:p>
        </w:tc>
        <w:tc>
          <w:tcPr>
            <w:tcW w:w="4250"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水位监测</w:t>
            </w:r>
          </w:p>
        </w:tc>
        <w:tc>
          <w:tcPr>
            <w:tcW w:w="1816" w:type="dxa"/>
            <w:vAlign w:val="center"/>
          </w:tcPr>
          <w:p>
            <w:pPr>
              <w:spacing w:line="400" w:lineRule="exact"/>
              <w:jc w:val="center"/>
              <w:rPr>
                <w:sz w:val="24"/>
              </w:rPr>
            </w:pPr>
            <w:r>
              <w:rPr>
                <w:rFonts w:hint="eastAsia"/>
                <w:sz w:val="24"/>
              </w:rPr>
              <w:t>8</w:t>
            </w:r>
          </w:p>
        </w:tc>
        <w:tc>
          <w:tcPr>
            <w:tcW w:w="1815" w:type="dxa"/>
            <w:vAlign w:val="center"/>
          </w:tcPr>
          <w:p>
            <w:pPr>
              <w:widowControl/>
              <w:jc w:val="center"/>
              <w:textAlignment w:val="center"/>
            </w:pPr>
            <w:r>
              <w:rPr>
                <w:rFonts w:hint="eastAsia" w:ascii="宋体" w:hAnsi="宋体" w:cs="宋体"/>
                <w:kern w:val="0"/>
                <w:sz w:val="24"/>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47" w:type="dxa"/>
            <w:vAlign w:val="center"/>
          </w:tcPr>
          <w:p>
            <w:pPr>
              <w:widowControl/>
              <w:spacing w:line="400" w:lineRule="exact"/>
              <w:jc w:val="center"/>
              <w:rPr>
                <w:rFonts w:ascii="宋体" w:hAnsi="宋体"/>
                <w:kern w:val="0"/>
                <w:szCs w:val="21"/>
              </w:rPr>
            </w:pPr>
            <w:r>
              <w:rPr>
                <w:rFonts w:ascii="宋体" w:hAnsi="宋体"/>
                <w:kern w:val="0"/>
                <w:szCs w:val="21"/>
              </w:rPr>
              <w:t>7</w:t>
            </w:r>
          </w:p>
        </w:tc>
        <w:tc>
          <w:tcPr>
            <w:tcW w:w="4250"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地表沉降监测</w:t>
            </w:r>
          </w:p>
        </w:tc>
        <w:tc>
          <w:tcPr>
            <w:tcW w:w="1816" w:type="dxa"/>
            <w:vAlign w:val="center"/>
          </w:tcPr>
          <w:p>
            <w:pPr>
              <w:spacing w:line="400" w:lineRule="exact"/>
              <w:jc w:val="center"/>
              <w:rPr>
                <w:sz w:val="24"/>
              </w:rPr>
            </w:pPr>
            <w:r>
              <w:rPr>
                <w:rFonts w:hint="eastAsia"/>
                <w:sz w:val="24"/>
              </w:rPr>
              <w:t>41</w:t>
            </w:r>
          </w:p>
        </w:tc>
        <w:tc>
          <w:tcPr>
            <w:tcW w:w="1815" w:type="dxa"/>
            <w:vAlign w:val="center"/>
          </w:tcPr>
          <w:p>
            <w:pPr>
              <w:widowControl/>
              <w:jc w:val="center"/>
              <w:textAlignment w:val="center"/>
            </w:pPr>
            <w:r>
              <w:rPr>
                <w:rFonts w:hint="eastAsia" w:ascii="宋体" w:hAnsi="宋体" w:cs="宋体"/>
                <w:kern w:val="0"/>
                <w:sz w:val="24"/>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47" w:type="dxa"/>
            <w:vAlign w:val="center"/>
          </w:tcPr>
          <w:p>
            <w:pPr>
              <w:widowControl/>
              <w:spacing w:line="400" w:lineRule="exact"/>
              <w:jc w:val="center"/>
              <w:rPr>
                <w:rFonts w:ascii="宋体" w:hAnsi="宋体"/>
                <w:kern w:val="0"/>
                <w:szCs w:val="21"/>
              </w:rPr>
            </w:pPr>
            <w:r>
              <w:rPr>
                <w:rFonts w:hint="eastAsia" w:ascii="宋体" w:hAnsi="宋体"/>
                <w:kern w:val="0"/>
                <w:szCs w:val="21"/>
              </w:rPr>
              <w:t>8</w:t>
            </w:r>
          </w:p>
        </w:tc>
        <w:tc>
          <w:tcPr>
            <w:tcW w:w="4250"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建筑物监测</w:t>
            </w:r>
          </w:p>
        </w:tc>
        <w:tc>
          <w:tcPr>
            <w:tcW w:w="1816" w:type="dxa"/>
            <w:vAlign w:val="center"/>
          </w:tcPr>
          <w:p>
            <w:pPr>
              <w:spacing w:line="400" w:lineRule="exact"/>
              <w:jc w:val="center"/>
              <w:rPr>
                <w:sz w:val="24"/>
              </w:rPr>
            </w:pPr>
            <w:r>
              <w:rPr>
                <w:rFonts w:hint="eastAsia"/>
                <w:sz w:val="24"/>
              </w:rPr>
              <w:t>96</w:t>
            </w:r>
          </w:p>
        </w:tc>
        <w:tc>
          <w:tcPr>
            <w:tcW w:w="1815" w:type="dxa"/>
            <w:vAlign w:val="center"/>
          </w:tcPr>
          <w:p>
            <w:pPr>
              <w:widowControl/>
              <w:jc w:val="center"/>
              <w:textAlignment w:val="center"/>
            </w:pPr>
            <w:r>
              <w:rPr>
                <w:rFonts w:hint="eastAsia" w:ascii="宋体" w:hAnsi="宋体" w:cs="宋体"/>
                <w:kern w:val="0"/>
                <w:sz w:val="24"/>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47" w:type="dxa"/>
            <w:vAlign w:val="center"/>
          </w:tcPr>
          <w:p>
            <w:pPr>
              <w:widowControl/>
              <w:spacing w:line="400" w:lineRule="exact"/>
              <w:jc w:val="center"/>
              <w:rPr>
                <w:rFonts w:ascii="宋体" w:hAnsi="宋体"/>
                <w:kern w:val="0"/>
                <w:szCs w:val="21"/>
              </w:rPr>
            </w:pPr>
            <w:r>
              <w:rPr>
                <w:rFonts w:hint="eastAsia" w:ascii="宋体" w:hAnsi="宋体"/>
                <w:kern w:val="0"/>
                <w:szCs w:val="21"/>
              </w:rPr>
              <w:t>9</w:t>
            </w:r>
          </w:p>
        </w:tc>
        <w:tc>
          <w:tcPr>
            <w:tcW w:w="4250"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周边管线沉降</w:t>
            </w:r>
          </w:p>
        </w:tc>
        <w:tc>
          <w:tcPr>
            <w:tcW w:w="1816" w:type="dxa"/>
            <w:vAlign w:val="center"/>
          </w:tcPr>
          <w:p>
            <w:pPr>
              <w:spacing w:line="400" w:lineRule="exact"/>
              <w:jc w:val="center"/>
              <w:rPr>
                <w:sz w:val="24"/>
              </w:rPr>
            </w:pPr>
            <w:r>
              <w:rPr>
                <w:rFonts w:hint="eastAsia"/>
                <w:sz w:val="24"/>
              </w:rPr>
              <w:t>0</w:t>
            </w:r>
          </w:p>
        </w:tc>
        <w:tc>
          <w:tcPr>
            <w:tcW w:w="1815" w:type="dxa"/>
            <w:vAlign w:val="center"/>
          </w:tcPr>
          <w:p>
            <w:pPr>
              <w:widowControl/>
              <w:jc w:val="center"/>
              <w:textAlignment w:val="center"/>
            </w:pPr>
            <w:r>
              <w:rPr>
                <w:rFonts w:hint="eastAsia" w:ascii="宋体" w:hAnsi="宋体" w:cs="宋体"/>
                <w:kern w:val="0"/>
                <w:sz w:val="24"/>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897" w:type="dxa"/>
            <w:gridSpan w:val="2"/>
            <w:vAlign w:val="center"/>
          </w:tcPr>
          <w:p>
            <w:pPr>
              <w:widowControl/>
              <w:spacing w:line="400" w:lineRule="exact"/>
              <w:jc w:val="center"/>
              <w:rPr>
                <w:rFonts w:ascii="宋体" w:hAnsi="宋体" w:cs="宋体"/>
                <w:kern w:val="0"/>
                <w:szCs w:val="21"/>
              </w:rPr>
            </w:pPr>
            <w:r>
              <w:rPr>
                <w:rFonts w:hint="eastAsia" w:ascii="宋体" w:hAnsi="宋体" w:cs="宋体"/>
                <w:kern w:val="0"/>
                <w:szCs w:val="21"/>
              </w:rPr>
              <w:t xml:space="preserve">投标总价最高限价 </w:t>
            </w:r>
          </w:p>
        </w:tc>
        <w:tc>
          <w:tcPr>
            <w:tcW w:w="3631" w:type="dxa"/>
            <w:gridSpan w:val="2"/>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368520元</w:t>
            </w:r>
          </w:p>
        </w:tc>
      </w:tr>
    </w:tbl>
    <w:p>
      <w:pPr>
        <w:pStyle w:val="7"/>
        <w:widowControl w:val="0"/>
        <w:numPr>
          <w:ilvl w:val="0"/>
          <w:numId w:val="0"/>
        </w:numPr>
        <w:tabs>
          <w:tab w:val="clear" w:pos="454"/>
        </w:tabs>
        <w:snapToGrid w:val="0"/>
        <w:spacing w:afterLines="0" w:line="400" w:lineRule="exact"/>
        <w:rPr>
          <w:rFonts w:ascii="宋体" w:hAnsi="宋体"/>
          <w:sz w:val="21"/>
          <w:szCs w:val="21"/>
        </w:rPr>
      </w:pPr>
      <w:r>
        <w:rPr>
          <w:rFonts w:hint="eastAsia" w:ascii="宋体" w:hAnsi="宋体"/>
          <w:sz w:val="21"/>
          <w:szCs w:val="21"/>
        </w:rPr>
        <w:t>注：1、各投标人所报综合单价均不得高于投标综合单价最高限价，不得擅自改变数量，否则其投标做否决投标处理。2、上表实际监测项目及数量如有变化的，则按相应中标分项报价按实增加或扣减。</w:t>
      </w:r>
    </w:p>
    <w:p>
      <w:pPr>
        <w:widowControl/>
        <w:autoSpaceDE w:val="0"/>
        <w:autoSpaceDN w:val="0"/>
        <w:spacing w:line="400" w:lineRule="exact"/>
        <w:textAlignment w:val="bottom"/>
        <w:rPr>
          <w:rFonts w:ascii="Arial" w:hAnsi="Arial"/>
          <w:b/>
          <w:bCs/>
          <w:szCs w:val="21"/>
        </w:rPr>
      </w:pPr>
      <w:r>
        <w:rPr>
          <w:rFonts w:hint="eastAsia" w:ascii="Arial" w:hAnsi="Arial"/>
          <w:b/>
          <w:bCs/>
          <w:szCs w:val="21"/>
        </w:rPr>
        <w:t>三、采购单位要求</w:t>
      </w:r>
    </w:p>
    <w:p>
      <w:pPr>
        <w:pStyle w:val="7"/>
        <w:widowControl w:val="0"/>
        <w:numPr>
          <w:ilvl w:val="0"/>
          <w:numId w:val="0"/>
        </w:numPr>
        <w:tabs>
          <w:tab w:val="clear" w:pos="454"/>
        </w:tabs>
        <w:snapToGrid w:val="0"/>
        <w:spacing w:afterLines="0" w:line="400" w:lineRule="exact"/>
        <w:rPr>
          <w:rFonts w:ascii="宋体" w:hAnsi="宋体" w:cs="宋体"/>
          <w:sz w:val="21"/>
          <w:szCs w:val="21"/>
        </w:rPr>
      </w:pPr>
      <w:r>
        <w:rPr>
          <w:rFonts w:ascii="宋体" w:hAnsi="宋体" w:cs="宋体"/>
          <w:sz w:val="21"/>
          <w:szCs w:val="21"/>
        </w:rPr>
        <w:t>（1）首次观测成果是各周期观测的初始值，应具有比各周期观测成果更准确可靠的观测精度，宜采取适当增加测回数的措施。</w:t>
      </w:r>
      <w:r>
        <w:rPr>
          <w:rFonts w:hint="eastAsia" w:ascii="宋体" w:hAnsi="宋体" w:cs="宋体"/>
          <w:sz w:val="21"/>
          <w:szCs w:val="21"/>
        </w:rPr>
        <w:t>初始值不少于2次。</w:t>
      </w:r>
    </w:p>
    <w:p>
      <w:pPr>
        <w:pStyle w:val="7"/>
        <w:widowControl w:val="0"/>
        <w:numPr>
          <w:ilvl w:val="0"/>
          <w:numId w:val="0"/>
        </w:numPr>
        <w:tabs>
          <w:tab w:val="clear" w:pos="454"/>
        </w:tabs>
        <w:snapToGrid w:val="0"/>
        <w:spacing w:afterLines="0" w:line="400" w:lineRule="exact"/>
        <w:rPr>
          <w:rFonts w:ascii="宋体" w:hAnsi="宋体" w:cs="宋体"/>
          <w:b/>
          <w:sz w:val="21"/>
          <w:szCs w:val="21"/>
        </w:rPr>
      </w:pPr>
      <w:r>
        <w:rPr>
          <w:rFonts w:hint="eastAsia" w:ascii="宋体" w:hAnsi="宋体" w:cs="宋体"/>
          <w:sz w:val="21"/>
          <w:szCs w:val="21"/>
        </w:rPr>
        <w:t>（2）</w:t>
      </w:r>
      <w:r>
        <w:rPr>
          <w:rFonts w:ascii="宋体" w:hAnsi="宋体" w:cs="宋体"/>
          <w:sz w:val="21"/>
          <w:szCs w:val="21"/>
        </w:rPr>
        <w:t>开挖至监测结束：监测频率严格按照图纸和相关规范要求进行，当监测值超过警戒值时，适当加密监测次数。</w:t>
      </w:r>
    </w:p>
    <w:p>
      <w:pPr>
        <w:pStyle w:val="7"/>
        <w:widowControl w:val="0"/>
        <w:numPr>
          <w:ilvl w:val="0"/>
          <w:numId w:val="0"/>
        </w:numPr>
        <w:tabs>
          <w:tab w:val="clear" w:pos="454"/>
        </w:tabs>
        <w:snapToGrid w:val="0"/>
        <w:spacing w:afterLines="0" w:line="400" w:lineRule="exact"/>
        <w:rPr>
          <w:rFonts w:ascii="宋体" w:hAnsi="宋体" w:cs="宋体"/>
          <w:sz w:val="21"/>
          <w:szCs w:val="21"/>
        </w:rPr>
      </w:pPr>
      <w:r>
        <w:rPr>
          <w:rFonts w:ascii="宋体" w:hAnsi="宋体" w:cs="宋体"/>
          <w:sz w:val="21"/>
          <w:szCs w:val="21"/>
        </w:rPr>
        <w:t>（</w:t>
      </w:r>
      <w:r>
        <w:rPr>
          <w:rFonts w:hint="eastAsia" w:ascii="宋体" w:hAnsi="宋体" w:cs="宋体"/>
          <w:sz w:val="21"/>
          <w:szCs w:val="21"/>
        </w:rPr>
        <w:t>3</w:t>
      </w:r>
      <w:r>
        <w:rPr>
          <w:rFonts w:ascii="宋体" w:hAnsi="宋体" w:cs="宋体"/>
          <w:sz w:val="21"/>
          <w:szCs w:val="21"/>
        </w:rPr>
        <w:t>）应定期对使用的基准点或工作基点进行稳定性检测，点位稳定后，检测周期可适当延长，当对变形成果发生怀疑时，应随时进行检核。</w:t>
      </w:r>
    </w:p>
    <w:p>
      <w:pPr>
        <w:pStyle w:val="7"/>
        <w:widowControl w:val="0"/>
        <w:numPr>
          <w:ilvl w:val="0"/>
          <w:numId w:val="0"/>
        </w:numPr>
        <w:tabs>
          <w:tab w:val="clear" w:pos="454"/>
        </w:tabs>
        <w:snapToGrid w:val="0"/>
        <w:spacing w:afterLines="0" w:line="400" w:lineRule="exact"/>
        <w:rPr>
          <w:rFonts w:ascii="宋体" w:hAnsi="宋体" w:cs="宋体"/>
          <w:sz w:val="21"/>
          <w:szCs w:val="21"/>
        </w:rPr>
      </w:pPr>
      <w:r>
        <w:rPr>
          <w:rFonts w:ascii="宋体" w:hAnsi="宋体" w:cs="宋体"/>
          <w:sz w:val="21"/>
          <w:szCs w:val="21"/>
        </w:rPr>
        <w:t>（</w:t>
      </w:r>
      <w:r>
        <w:rPr>
          <w:rFonts w:hint="eastAsia" w:ascii="宋体" w:hAnsi="宋体" w:cs="宋体"/>
          <w:sz w:val="21"/>
          <w:szCs w:val="21"/>
        </w:rPr>
        <w:t>4</w:t>
      </w:r>
      <w:r>
        <w:rPr>
          <w:rFonts w:ascii="宋体" w:hAnsi="宋体" w:cs="宋体"/>
          <w:sz w:val="21"/>
          <w:szCs w:val="21"/>
        </w:rPr>
        <w:t>）观测前，对所有的仪器设备必须按有关规定进行检校，并做好记录。</w:t>
      </w:r>
    </w:p>
    <w:p>
      <w:pPr>
        <w:pStyle w:val="7"/>
        <w:widowControl w:val="0"/>
        <w:numPr>
          <w:ilvl w:val="0"/>
          <w:numId w:val="0"/>
        </w:numPr>
        <w:tabs>
          <w:tab w:val="clear" w:pos="454"/>
        </w:tabs>
        <w:snapToGrid w:val="0"/>
        <w:spacing w:afterLines="0" w:line="400" w:lineRule="exact"/>
        <w:rPr>
          <w:rFonts w:ascii="宋体" w:hAnsi="宋体" w:cs="宋体"/>
          <w:sz w:val="21"/>
          <w:szCs w:val="21"/>
        </w:rPr>
      </w:pPr>
      <w:r>
        <w:rPr>
          <w:rFonts w:ascii="宋体" w:hAnsi="宋体" w:cs="宋体"/>
          <w:sz w:val="21"/>
          <w:szCs w:val="21"/>
        </w:rPr>
        <w:t>（</w:t>
      </w:r>
      <w:r>
        <w:rPr>
          <w:rFonts w:hint="eastAsia" w:ascii="宋体" w:hAnsi="宋体" w:cs="宋体"/>
          <w:sz w:val="21"/>
          <w:szCs w:val="21"/>
        </w:rPr>
        <w:t>5</w:t>
      </w:r>
      <w:r>
        <w:rPr>
          <w:rFonts w:ascii="宋体" w:hAnsi="宋体" w:cs="宋体"/>
          <w:sz w:val="21"/>
          <w:szCs w:val="21"/>
        </w:rPr>
        <w:t>）使用同一仪器和设备，固定观测人员，采用相同的观测路线和观测方法。</w:t>
      </w:r>
    </w:p>
    <w:p>
      <w:pPr>
        <w:pStyle w:val="7"/>
        <w:widowControl w:val="0"/>
        <w:numPr>
          <w:ilvl w:val="0"/>
          <w:numId w:val="0"/>
        </w:numPr>
        <w:tabs>
          <w:tab w:val="clear" w:pos="454"/>
        </w:tabs>
        <w:snapToGrid w:val="0"/>
        <w:spacing w:afterLines="0" w:line="400" w:lineRule="exact"/>
        <w:rPr>
          <w:rFonts w:ascii="宋体" w:hAnsi="宋体" w:cs="宋体"/>
          <w:sz w:val="21"/>
          <w:szCs w:val="21"/>
        </w:rPr>
      </w:pPr>
      <w:r>
        <w:rPr>
          <w:rFonts w:ascii="宋体" w:hAnsi="宋体" w:cs="宋体"/>
          <w:sz w:val="21"/>
          <w:szCs w:val="21"/>
        </w:rPr>
        <w:t>（</w:t>
      </w:r>
      <w:r>
        <w:rPr>
          <w:rFonts w:hint="eastAsia" w:ascii="宋体" w:hAnsi="宋体" w:cs="宋体"/>
          <w:sz w:val="21"/>
          <w:szCs w:val="21"/>
        </w:rPr>
        <w:t>6</w:t>
      </w:r>
      <w:r>
        <w:rPr>
          <w:rFonts w:ascii="宋体" w:hAnsi="宋体" w:cs="宋体"/>
          <w:sz w:val="21"/>
          <w:szCs w:val="21"/>
        </w:rPr>
        <w:t>）尽可能在基本相同的环境和条件下工作。</w:t>
      </w:r>
    </w:p>
    <w:p>
      <w:pPr>
        <w:pStyle w:val="7"/>
        <w:widowControl w:val="0"/>
        <w:numPr>
          <w:ilvl w:val="0"/>
          <w:numId w:val="0"/>
        </w:numPr>
        <w:tabs>
          <w:tab w:val="clear" w:pos="454"/>
        </w:tabs>
        <w:snapToGrid w:val="0"/>
        <w:spacing w:afterLines="0" w:line="400" w:lineRule="exact"/>
        <w:rPr>
          <w:rFonts w:ascii="宋体" w:hAnsi="宋体" w:cs="宋体"/>
          <w:sz w:val="21"/>
          <w:szCs w:val="21"/>
        </w:rPr>
      </w:pPr>
      <w:r>
        <w:rPr>
          <w:rFonts w:ascii="宋体" w:hAnsi="宋体" w:cs="宋体"/>
          <w:sz w:val="21"/>
          <w:szCs w:val="21"/>
        </w:rPr>
        <w:t>（</w:t>
      </w:r>
      <w:r>
        <w:rPr>
          <w:rFonts w:hint="eastAsia" w:ascii="宋体" w:hAnsi="宋体" w:cs="宋体"/>
          <w:sz w:val="21"/>
          <w:szCs w:val="21"/>
        </w:rPr>
        <w:t>7</w:t>
      </w:r>
      <w:r>
        <w:rPr>
          <w:rFonts w:ascii="宋体" w:hAnsi="宋体" w:cs="宋体"/>
          <w:sz w:val="21"/>
          <w:szCs w:val="21"/>
        </w:rPr>
        <w:t>）紧急状态的连续监测和及时通报，并协助业主制定应急方案。</w:t>
      </w:r>
    </w:p>
    <w:p>
      <w:pPr>
        <w:pStyle w:val="7"/>
        <w:widowControl w:val="0"/>
        <w:numPr>
          <w:ilvl w:val="0"/>
          <w:numId w:val="0"/>
        </w:numPr>
        <w:tabs>
          <w:tab w:val="clear" w:pos="454"/>
        </w:tabs>
        <w:snapToGrid w:val="0"/>
        <w:spacing w:afterLines="0" w:line="400" w:lineRule="exact"/>
        <w:rPr>
          <w:rFonts w:ascii="宋体" w:hAnsi="宋体" w:cs="宋体"/>
          <w:sz w:val="21"/>
          <w:szCs w:val="21"/>
        </w:rPr>
      </w:pPr>
      <w:r>
        <w:rPr>
          <w:rFonts w:ascii="宋体" w:hAnsi="宋体" w:cs="宋体"/>
          <w:sz w:val="21"/>
          <w:szCs w:val="21"/>
        </w:rPr>
        <w:t>（</w:t>
      </w:r>
      <w:r>
        <w:rPr>
          <w:rFonts w:hint="eastAsia" w:ascii="宋体" w:hAnsi="宋体" w:cs="宋体"/>
          <w:sz w:val="21"/>
          <w:szCs w:val="21"/>
        </w:rPr>
        <w:t>8</w:t>
      </w:r>
      <w:r>
        <w:rPr>
          <w:rFonts w:ascii="宋体" w:hAnsi="宋体" w:cs="宋体"/>
          <w:sz w:val="21"/>
          <w:szCs w:val="21"/>
        </w:rPr>
        <w:t>）按设计图纸及相关规范要求设置监测警戒值。</w:t>
      </w:r>
    </w:p>
    <w:p>
      <w:pPr>
        <w:pStyle w:val="7"/>
        <w:widowControl w:val="0"/>
        <w:numPr>
          <w:ilvl w:val="0"/>
          <w:numId w:val="0"/>
        </w:numPr>
        <w:tabs>
          <w:tab w:val="clear" w:pos="454"/>
        </w:tabs>
        <w:snapToGrid w:val="0"/>
        <w:spacing w:afterLines="0" w:line="400" w:lineRule="exact"/>
        <w:rPr>
          <w:rFonts w:ascii="宋体" w:hAnsi="宋体" w:cs="宋体"/>
          <w:sz w:val="21"/>
          <w:szCs w:val="21"/>
        </w:rPr>
      </w:pPr>
      <w:r>
        <w:rPr>
          <w:rFonts w:ascii="宋体" w:hAnsi="宋体" w:cs="宋体"/>
          <w:sz w:val="21"/>
          <w:szCs w:val="21"/>
        </w:rPr>
        <w:t>（</w:t>
      </w:r>
      <w:r>
        <w:rPr>
          <w:rFonts w:hint="eastAsia" w:ascii="宋体" w:hAnsi="宋体" w:cs="宋体"/>
          <w:sz w:val="21"/>
          <w:szCs w:val="21"/>
        </w:rPr>
        <w:t>9</w:t>
      </w:r>
      <w:r>
        <w:rPr>
          <w:rFonts w:ascii="宋体" w:hAnsi="宋体" w:cs="宋体"/>
          <w:sz w:val="21"/>
          <w:szCs w:val="21"/>
        </w:rPr>
        <w:t>）根据所定的监测计划进行现场监测，发现各监测对象的变化接近或超过警戒值时或其他异常现象，要及时通知招标人及有关部门，若发生不及时告知情形，中标人应对此负相应责任，包括法律责任。</w:t>
      </w:r>
    </w:p>
    <w:p>
      <w:pPr>
        <w:pStyle w:val="7"/>
        <w:widowControl w:val="0"/>
        <w:numPr>
          <w:ilvl w:val="0"/>
          <w:numId w:val="0"/>
        </w:numPr>
        <w:tabs>
          <w:tab w:val="clear" w:pos="454"/>
        </w:tabs>
        <w:snapToGrid w:val="0"/>
        <w:spacing w:afterLines="0" w:line="400" w:lineRule="exact"/>
        <w:rPr>
          <w:rFonts w:ascii="宋体" w:hAnsi="宋体" w:cs="宋体"/>
          <w:sz w:val="21"/>
          <w:szCs w:val="21"/>
        </w:rPr>
      </w:pPr>
      <w:r>
        <w:rPr>
          <w:rFonts w:ascii="宋体" w:hAnsi="宋体" w:cs="宋体"/>
          <w:sz w:val="21"/>
          <w:szCs w:val="21"/>
        </w:rPr>
        <w:t>（</w:t>
      </w:r>
      <w:r>
        <w:rPr>
          <w:rFonts w:hint="eastAsia" w:ascii="宋体" w:hAnsi="宋体" w:cs="宋体"/>
          <w:sz w:val="21"/>
          <w:szCs w:val="21"/>
        </w:rPr>
        <w:t>10</w:t>
      </w:r>
      <w:r>
        <w:rPr>
          <w:rFonts w:ascii="宋体" w:hAnsi="宋体" w:cs="宋体"/>
          <w:sz w:val="21"/>
          <w:szCs w:val="21"/>
        </w:rPr>
        <w:t>）在监测点（孔）埋设及监测过程中，应按规范要求操作，注意人身安全，如发生工伤事故，由承包人自行负责和承担相应责任。当天的监测结果及时上报有关单位，如发现异常，应进行分析并及时通知有关各方进行处理。</w:t>
      </w:r>
    </w:p>
    <w:p>
      <w:pPr>
        <w:pStyle w:val="7"/>
        <w:widowControl w:val="0"/>
        <w:numPr>
          <w:ilvl w:val="0"/>
          <w:numId w:val="0"/>
        </w:numPr>
        <w:tabs>
          <w:tab w:val="clear" w:pos="454"/>
        </w:tabs>
        <w:snapToGrid w:val="0"/>
        <w:spacing w:afterLines="0" w:line="400" w:lineRule="exact"/>
        <w:rPr>
          <w:rFonts w:ascii="宋体" w:hAnsi="宋体" w:cs="宋体"/>
          <w:sz w:val="21"/>
          <w:szCs w:val="21"/>
        </w:rPr>
      </w:pPr>
      <w:r>
        <w:rPr>
          <w:rFonts w:ascii="宋体" w:hAnsi="宋体" w:cs="宋体"/>
          <w:sz w:val="21"/>
          <w:szCs w:val="21"/>
        </w:rPr>
        <w:t>（1</w:t>
      </w:r>
      <w:r>
        <w:rPr>
          <w:rFonts w:hint="eastAsia" w:ascii="宋体" w:hAnsi="宋体" w:cs="宋体"/>
          <w:sz w:val="21"/>
          <w:szCs w:val="21"/>
        </w:rPr>
        <w:t>1</w:t>
      </w:r>
      <w:r>
        <w:rPr>
          <w:rFonts w:ascii="宋体" w:hAnsi="宋体" w:cs="宋体"/>
          <w:sz w:val="21"/>
          <w:szCs w:val="21"/>
        </w:rPr>
        <w:t>）要求监测单位申报基坑监测方案报监理及设计审核批准后方可执行。</w:t>
      </w:r>
    </w:p>
    <w:p>
      <w:pPr>
        <w:pStyle w:val="7"/>
        <w:widowControl w:val="0"/>
        <w:numPr>
          <w:ilvl w:val="0"/>
          <w:numId w:val="0"/>
        </w:numPr>
        <w:tabs>
          <w:tab w:val="clear" w:pos="454"/>
        </w:tabs>
        <w:snapToGrid w:val="0"/>
        <w:spacing w:afterLines="0" w:line="400" w:lineRule="exact"/>
        <w:rPr>
          <w:rFonts w:ascii="宋体" w:hAnsi="宋体" w:cs="宋体"/>
          <w:sz w:val="21"/>
          <w:szCs w:val="21"/>
        </w:rPr>
      </w:pPr>
      <w:r>
        <w:rPr>
          <w:rFonts w:ascii="宋体" w:hAnsi="宋体" w:cs="宋体"/>
          <w:sz w:val="21"/>
          <w:szCs w:val="21"/>
        </w:rPr>
        <w:t>（1</w:t>
      </w:r>
      <w:r>
        <w:rPr>
          <w:rFonts w:hint="eastAsia" w:ascii="宋体" w:hAnsi="宋体" w:cs="宋体"/>
          <w:sz w:val="21"/>
          <w:szCs w:val="21"/>
        </w:rPr>
        <w:t>2</w:t>
      </w:r>
      <w:r>
        <w:rPr>
          <w:rFonts w:ascii="宋体" w:hAnsi="宋体" w:cs="宋体"/>
          <w:sz w:val="21"/>
          <w:szCs w:val="21"/>
        </w:rPr>
        <w:t>）本项目的水电及相关费用由中标人自行解决和承担。</w:t>
      </w:r>
    </w:p>
    <w:p>
      <w:pPr>
        <w:pStyle w:val="7"/>
        <w:widowControl w:val="0"/>
        <w:numPr>
          <w:ilvl w:val="0"/>
          <w:numId w:val="0"/>
        </w:numPr>
        <w:tabs>
          <w:tab w:val="clear" w:pos="454"/>
        </w:tabs>
        <w:snapToGrid w:val="0"/>
        <w:spacing w:afterLines="0" w:line="400" w:lineRule="exact"/>
        <w:rPr>
          <w:rFonts w:ascii="宋体" w:hAnsi="宋体" w:cs="宋体"/>
          <w:sz w:val="21"/>
          <w:szCs w:val="21"/>
        </w:rPr>
      </w:pPr>
      <w:r>
        <w:rPr>
          <w:rFonts w:hint="eastAsia" w:ascii="宋体" w:hAnsi="宋体" w:cs="宋体"/>
          <w:sz w:val="21"/>
          <w:szCs w:val="21"/>
        </w:rPr>
        <w:t>（13）具体监测点及频率要求</w:t>
      </w:r>
    </w:p>
    <w:p>
      <w:pPr>
        <w:pStyle w:val="7"/>
        <w:widowControl w:val="0"/>
        <w:numPr>
          <w:ilvl w:val="0"/>
          <w:numId w:val="0"/>
        </w:numPr>
        <w:tabs>
          <w:tab w:val="clear" w:pos="454"/>
        </w:tabs>
        <w:snapToGrid w:val="0"/>
        <w:spacing w:afterLines="0" w:line="400" w:lineRule="exact"/>
        <w:ind w:left="704" w:leftChars="200"/>
        <w:rPr>
          <w:rFonts w:ascii="宋体" w:hAnsi="宋体" w:cs="宋体"/>
          <w:sz w:val="21"/>
          <w:szCs w:val="21"/>
        </w:rPr>
      </w:pPr>
      <w:r>
        <w:rPr>
          <w:rFonts w:hint="eastAsia" w:ascii="宋体" w:hAnsi="宋体" w:cs="宋体"/>
          <w:sz w:val="21"/>
          <w:szCs w:val="21"/>
        </w:rPr>
        <w:t>1）支撑立柱沉降观测点：在支护结构立柱顶设点对其进行竖向位移观测，随时掌握监测对象的轴向变化情况。且在监测周期内，每天不少于</w:t>
      </w:r>
      <w:r>
        <w:rPr>
          <w:rFonts w:ascii="宋体" w:hAnsi="宋体" w:cs="宋体"/>
          <w:sz w:val="21"/>
          <w:szCs w:val="21"/>
        </w:rPr>
        <w:t>1</w:t>
      </w:r>
      <w:r>
        <w:rPr>
          <w:rFonts w:hint="eastAsia" w:ascii="宋体" w:hAnsi="宋体" w:cs="宋体"/>
          <w:sz w:val="21"/>
          <w:szCs w:val="21"/>
        </w:rPr>
        <w:t>次。</w:t>
      </w:r>
    </w:p>
    <w:p>
      <w:pPr>
        <w:pStyle w:val="7"/>
        <w:widowControl w:val="0"/>
        <w:numPr>
          <w:ilvl w:val="0"/>
          <w:numId w:val="0"/>
        </w:numPr>
        <w:tabs>
          <w:tab w:val="clear" w:pos="454"/>
        </w:tabs>
        <w:snapToGrid w:val="0"/>
        <w:spacing w:afterLines="0" w:line="400" w:lineRule="exact"/>
        <w:ind w:left="704" w:leftChars="200"/>
        <w:rPr>
          <w:rFonts w:ascii="宋体" w:hAnsi="宋体" w:cs="宋体"/>
          <w:sz w:val="21"/>
          <w:szCs w:val="21"/>
        </w:rPr>
      </w:pPr>
      <w:r>
        <w:rPr>
          <w:rFonts w:hint="eastAsia" w:ascii="宋体" w:hAnsi="宋体" w:cs="宋体"/>
          <w:sz w:val="21"/>
          <w:szCs w:val="21"/>
        </w:rPr>
        <w:t>2）水平和垂直位移监测频率要求：基坑土体开始开挖时，每三天至少监测一次；当监测值超过警戒值时，及时报警，每天监测至少二次；在垫层施工完成后，位移及沉降比较稳定可以减少监测次数，每五天至少一次；浇好底板后每七天至少一次。</w:t>
      </w:r>
    </w:p>
    <w:p>
      <w:pPr>
        <w:pStyle w:val="7"/>
        <w:widowControl w:val="0"/>
        <w:numPr>
          <w:ilvl w:val="0"/>
          <w:numId w:val="0"/>
        </w:numPr>
        <w:tabs>
          <w:tab w:val="clear" w:pos="454"/>
        </w:tabs>
        <w:snapToGrid w:val="0"/>
        <w:spacing w:afterLines="0" w:line="400" w:lineRule="exact"/>
        <w:ind w:left="704" w:leftChars="200"/>
        <w:rPr>
          <w:rFonts w:ascii="宋体" w:hAnsi="宋体" w:cs="宋体"/>
          <w:sz w:val="21"/>
          <w:szCs w:val="21"/>
        </w:rPr>
      </w:pPr>
      <w:r>
        <w:rPr>
          <w:rFonts w:hint="eastAsia" w:ascii="宋体" w:hAnsi="宋体" w:cs="宋体"/>
          <w:sz w:val="21"/>
          <w:szCs w:val="21"/>
        </w:rPr>
        <w:t>3）深层土体位移监测频率要求：基坑土体开始开挖时，每天观测至少一次；当监测值超过警戒值时，及时报警，每天监测至少二次；在垫层施工完成后如深层土体位移比较稳定可以减少监测次数，每五天至少一次；浇好底板后每七天至少一次。</w:t>
      </w:r>
    </w:p>
    <w:p>
      <w:pPr>
        <w:widowControl/>
        <w:autoSpaceDE w:val="0"/>
        <w:autoSpaceDN w:val="0"/>
        <w:spacing w:line="400" w:lineRule="exact"/>
        <w:textAlignment w:val="bottom"/>
        <w:rPr>
          <w:rFonts w:ascii="Arial" w:hAnsi="Arial"/>
          <w:b/>
          <w:bCs/>
          <w:szCs w:val="21"/>
        </w:rPr>
      </w:pPr>
      <w:r>
        <w:rPr>
          <w:rFonts w:hint="eastAsia" w:ascii="Arial" w:hAnsi="Arial"/>
          <w:b/>
          <w:bCs/>
          <w:szCs w:val="21"/>
        </w:rPr>
        <w:t>四、</w:t>
      </w:r>
      <w:r>
        <w:rPr>
          <w:rStyle w:val="53"/>
          <w:rFonts w:hint="default"/>
          <w:b/>
        </w:rPr>
        <w:t>验收标准和方式（按服务内容选择）</w:t>
      </w:r>
    </w:p>
    <w:p>
      <w:pPr>
        <w:widowControl/>
        <w:autoSpaceDE w:val="0"/>
        <w:autoSpaceDN w:val="0"/>
        <w:spacing w:line="400" w:lineRule="exact"/>
        <w:ind w:firstLine="420" w:firstLineChars="200"/>
        <w:textAlignment w:val="bottom"/>
        <w:rPr>
          <w:rFonts w:ascii="宋体" w:hAnsi="宋体"/>
          <w:szCs w:val="21"/>
        </w:rPr>
      </w:pPr>
      <w:r>
        <w:rPr>
          <w:rFonts w:hint="eastAsia" w:ascii="宋体" w:hAnsi="宋体"/>
          <w:szCs w:val="21"/>
        </w:rPr>
        <w:t>1、《建筑基坑工程监测技术规范》GB 50497-2009；</w:t>
      </w:r>
    </w:p>
    <w:p>
      <w:pPr>
        <w:widowControl/>
        <w:autoSpaceDE w:val="0"/>
        <w:autoSpaceDN w:val="0"/>
        <w:spacing w:line="400" w:lineRule="exact"/>
        <w:ind w:firstLine="420" w:firstLineChars="200"/>
        <w:textAlignment w:val="bottom"/>
        <w:rPr>
          <w:rFonts w:ascii="宋体" w:hAnsi="宋体"/>
          <w:szCs w:val="21"/>
        </w:rPr>
      </w:pPr>
      <w:r>
        <w:rPr>
          <w:rFonts w:hint="eastAsia" w:ascii="宋体" w:hAnsi="宋体"/>
          <w:szCs w:val="21"/>
        </w:rPr>
        <w:t>2、《岩土工程勘察规范》GBJ50021-2001；</w:t>
      </w:r>
    </w:p>
    <w:p>
      <w:pPr>
        <w:widowControl/>
        <w:autoSpaceDE w:val="0"/>
        <w:autoSpaceDN w:val="0"/>
        <w:spacing w:line="400" w:lineRule="exact"/>
        <w:ind w:firstLine="420" w:firstLineChars="200"/>
        <w:textAlignment w:val="bottom"/>
        <w:rPr>
          <w:rFonts w:ascii="宋体" w:hAnsi="宋体"/>
          <w:szCs w:val="21"/>
        </w:rPr>
      </w:pPr>
      <w:r>
        <w:rPr>
          <w:rFonts w:hint="eastAsia" w:ascii="宋体" w:hAnsi="宋体"/>
          <w:szCs w:val="21"/>
        </w:rPr>
        <w:t>3、宁波市行业标准：《宁波市软土深基坑支护设计与施工暂行技术规定》；</w:t>
      </w:r>
    </w:p>
    <w:p>
      <w:pPr>
        <w:widowControl/>
        <w:autoSpaceDE w:val="0"/>
        <w:autoSpaceDN w:val="0"/>
        <w:spacing w:line="400" w:lineRule="exact"/>
        <w:ind w:firstLine="420" w:firstLineChars="200"/>
        <w:textAlignment w:val="bottom"/>
        <w:rPr>
          <w:rFonts w:ascii="宋体" w:hAnsi="宋体"/>
          <w:szCs w:val="21"/>
        </w:rPr>
      </w:pPr>
      <w:r>
        <w:rPr>
          <w:rFonts w:hint="eastAsia" w:ascii="宋体" w:hAnsi="宋体"/>
          <w:szCs w:val="21"/>
        </w:rPr>
        <w:t>4、中华人民共和国行业标准：《建筑基坑支护技术规程》JGJ120-99；</w:t>
      </w:r>
    </w:p>
    <w:p>
      <w:pPr>
        <w:widowControl/>
        <w:autoSpaceDE w:val="0"/>
        <w:autoSpaceDN w:val="0"/>
        <w:spacing w:line="400" w:lineRule="exact"/>
        <w:ind w:firstLine="420" w:firstLineChars="200"/>
        <w:textAlignment w:val="bottom"/>
        <w:rPr>
          <w:rFonts w:ascii="宋体" w:hAnsi="宋体"/>
          <w:szCs w:val="21"/>
        </w:rPr>
      </w:pPr>
      <w:r>
        <w:rPr>
          <w:rFonts w:hint="eastAsia" w:ascii="宋体" w:hAnsi="宋体"/>
          <w:szCs w:val="21"/>
        </w:rPr>
        <w:t>5、《建筑基坑工程技术规程》浙江省标准DB33/T1008-2000；</w:t>
      </w:r>
    </w:p>
    <w:p>
      <w:pPr>
        <w:widowControl/>
        <w:autoSpaceDE w:val="0"/>
        <w:autoSpaceDN w:val="0"/>
        <w:spacing w:line="400" w:lineRule="exact"/>
        <w:ind w:firstLine="420" w:firstLineChars="200"/>
        <w:textAlignment w:val="bottom"/>
        <w:rPr>
          <w:rFonts w:ascii="宋体" w:hAnsi="宋体"/>
          <w:szCs w:val="21"/>
        </w:rPr>
      </w:pPr>
      <w:r>
        <w:rPr>
          <w:rFonts w:hint="eastAsia" w:ascii="宋体" w:hAnsi="宋体"/>
          <w:szCs w:val="21"/>
        </w:rPr>
        <w:t>6、《工程测量规范》GB 50026-2007；</w:t>
      </w:r>
    </w:p>
    <w:p>
      <w:pPr>
        <w:widowControl/>
        <w:autoSpaceDE w:val="0"/>
        <w:autoSpaceDN w:val="0"/>
        <w:spacing w:line="400" w:lineRule="exact"/>
        <w:ind w:firstLine="420" w:firstLineChars="200"/>
        <w:textAlignment w:val="bottom"/>
        <w:rPr>
          <w:rFonts w:ascii="宋体" w:hAnsi="宋体"/>
          <w:szCs w:val="21"/>
        </w:rPr>
      </w:pPr>
      <w:r>
        <w:rPr>
          <w:rFonts w:hint="eastAsia" w:ascii="宋体" w:hAnsi="宋体"/>
          <w:szCs w:val="21"/>
        </w:rPr>
        <w:t>7、《建筑变形测量规范》JGJ8-2007；</w:t>
      </w:r>
    </w:p>
    <w:p>
      <w:pPr>
        <w:widowControl/>
        <w:autoSpaceDE w:val="0"/>
        <w:autoSpaceDN w:val="0"/>
        <w:spacing w:line="400" w:lineRule="exact"/>
        <w:ind w:firstLine="420" w:firstLineChars="200"/>
        <w:textAlignment w:val="bottom"/>
        <w:rPr>
          <w:rFonts w:ascii="宋体" w:hAnsi="宋体"/>
          <w:szCs w:val="21"/>
        </w:rPr>
      </w:pPr>
      <w:r>
        <w:rPr>
          <w:rFonts w:hint="eastAsia" w:ascii="宋体" w:hAnsi="宋体"/>
          <w:szCs w:val="21"/>
        </w:rPr>
        <w:t>8、基坑围护设计方案及现场监测需依据的设计文件及其他技术要求。</w:t>
      </w:r>
    </w:p>
    <w:p>
      <w:pPr>
        <w:widowControl/>
        <w:autoSpaceDE w:val="0"/>
        <w:autoSpaceDN w:val="0"/>
        <w:spacing w:line="400" w:lineRule="exact"/>
        <w:ind w:firstLine="420" w:firstLineChars="200"/>
        <w:textAlignment w:val="bottom"/>
        <w:rPr>
          <w:rFonts w:ascii="宋体" w:hAnsi="宋体"/>
          <w:szCs w:val="21"/>
        </w:rPr>
      </w:pPr>
      <w:r>
        <w:rPr>
          <w:rFonts w:hint="eastAsia" w:ascii="宋体" w:hAnsi="宋体"/>
          <w:szCs w:val="21"/>
        </w:rPr>
        <w:t>9、现行的有关国家、地方、行业技术规范、规程和规定。</w:t>
      </w:r>
    </w:p>
    <w:p>
      <w:pPr>
        <w:widowControl/>
        <w:autoSpaceDE w:val="0"/>
        <w:autoSpaceDN w:val="0"/>
        <w:spacing w:line="400" w:lineRule="exact"/>
        <w:ind w:firstLine="420" w:firstLineChars="200"/>
        <w:textAlignment w:val="bottom"/>
        <w:rPr>
          <w:rFonts w:ascii="宋体" w:hAnsi="宋体"/>
          <w:szCs w:val="21"/>
        </w:rPr>
      </w:pPr>
      <w:r>
        <w:rPr>
          <w:rFonts w:hint="eastAsia" w:ascii="宋体" w:hAnsi="宋体"/>
          <w:szCs w:val="21"/>
        </w:rPr>
        <w:t>注：本技术要求所列的规范、标准不意味着全部的或最新的，投标人必须执行国家、地方、有关机构所有相关的技术规范与标准，且确保所采用的技术规范、标准必须是国家或有关机构发布的最新版本，无论此版本在此有无提及。</w:t>
      </w:r>
    </w:p>
    <w:p>
      <w:pPr>
        <w:pStyle w:val="7"/>
        <w:widowControl w:val="0"/>
        <w:numPr>
          <w:ilvl w:val="0"/>
          <w:numId w:val="0"/>
        </w:numPr>
        <w:tabs>
          <w:tab w:val="clear" w:pos="454"/>
        </w:tabs>
        <w:snapToGrid w:val="0"/>
        <w:spacing w:afterLines="0" w:line="400" w:lineRule="exact"/>
        <w:rPr>
          <w:rFonts w:ascii="宋体" w:hAnsi="宋体" w:cs="宋体"/>
          <w:b/>
          <w:sz w:val="21"/>
          <w:szCs w:val="21"/>
        </w:rPr>
      </w:pPr>
      <w:r>
        <w:rPr>
          <w:rFonts w:hint="eastAsia" w:ascii="宋体" w:hAnsi="宋体" w:cs="宋体"/>
          <w:b/>
          <w:sz w:val="21"/>
          <w:szCs w:val="21"/>
        </w:rPr>
        <w:t>五、施工图纸：见附件，另册</w:t>
      </w:r>
    </w:p>
    <w:p>
      <w:pPr>
        <w:pStyle w:val="7"/>
        <w:widowControl w:val="0"/>
        <w:numPr>
          <w:ilvl w:val="0"/>
          <w:numId w:val="0"/>
        </w:numPr>
        <w:tabs>
          <w:tab w:val="clear" w:pos="454"/>
        </w:tabs>
        <w:snapToGrid w:val="0"/>
        <w:spacing w:afterLines="0" w:line="400" w:lineRule="exact"/>
        <w:ind w:left="696" w:leftChars="196"/>
        <w:rPr>
          <w:rFonts w:ascii="宋体" w:hAnsi="宋体" w:cs="宋体"/>
          <w:b/>
          <w:sz w:val="21"/>
          <w:szCs w:val="21"/>
        </w:rPr>
      </w:pPr>
      <w:r>
        <w:rPr>
          <w:rFonts w:hint="eastAsia" w:ascii="宋体" w:hAnsi="宋体" w:cs="宋体"/>
          <w:b/>
          <w:sz w:val="21"/>
          <w:szCs w:val="21"/>
        </w:rPr>
        <w:t>作业内容及数量与图纸不一致的，以施工图纸为准。</w:t>
      </w:r>
    </w:p>
    <w:p>
      <w:pPr>
        <w:pStyle w:val="7"/>
        <w:widowControl w:val="0"/>
        <w:numPr>
          <w:ilvl w:val="0"/>
          <w:numId w:val="0"/>
        </w:numPr>
        <w:tabs>
          <w:tab w:val="clear" w:pos="454"/>
        </w:tabs>
        <w:snapToGrid w:val="0"/>
        <w:spacing w:afterLines="0" w:line="400" w:lineRule="exact"/>
        <w:ind w:left="696" w:leftChars="196"/>
        <w:rPr>
          <w:rFonts w:ascii="宋体" w:hAnsi="宋体" w:cs="宋体"/>
          <w:b/>
          <w:sz w:val="21"/>
          <w:szCs w:val="21"/>
        </w:rPr>
      </w:pPr>
      <w:r>
        <w:rPr>
          <w:rFonts w:hint="eastAsia" w:ascii="宋体" w:hAnsi="宋体" w:cs="宋体"/>
          <w:b/>
          <w:sz w:val="21"/>
          <w:szCs w:val="21"/>
        </w:rPr>
        <w:br w:type="page"/>
      </w:r>
      <w:r>
        <w:rPr>
          <w:rFonts w:hint="eastAsia" w:ascii="宋体" w:hAnsi="宋体" w:cs="宋体"/>
          <w:b/>
          <w:sz w:val="21"/>
          <w:szCs w:val="21"/>
        </w:rPr>
        <w:t>子包二</w:t>
      </w:r>
    </w:p>
    <w:p>
      <w:pPr>
        <w:rPr>
          <w:rFonts w:ascii="宋体" w:hAnsi="宋体"/>
          <w:b/>
          <w:szCs w:val="21"/>
        </w:rPr>
      </w:pPr>
      <w:r>
        <w:rPr>
          <w:rFonts w:hint="eastAsia" w:ascii="宋体" w:hAnsi="宋体"/>
          <w:b/>
          <w:szCs w:val="21"/>
        </w:rPr>
        <w:t>一</w:t>
      </w:r>
      <w:r>
        <w:rPr>
          <w:rFonts w:ascii="宋体" w:hAnsi="宋体"/>
          <w:b/>
          <w:szCs w:val="21"/>
        </w:rPr>
        <w:t>、</w:t>
      </w:r>
      <w:r>
        <w:rPr>
          <w:rFonts w:hint="eastAsia" w:ascii="宋体" w:hAnsi="宋体"/>
          <w:b/>
          <w:szCs w:val="21"/>
        </w:rPr>
        <w:t>项目概况</w:t>
      </w:r>
    </w:p>
    <w:p>
      <w:pPr>
        <w:spacing w:line="400" w:lineRule="exact"/>
        <w:ind w:firstLine="420" w:firstLineChars="200"/>
        <w:rPr>
          <w:rFonts w:ascii="宋体" w:hAnsi="宋体"/>
          <w:kern w:val="10"/>
          <w:szCs w:val="21"/>
        </w:rPr>
      </w:pPr>
      <w:r>
        <w:rPr>
          <w:rFonts w:hint="eastAsia" w:ascii="宋体" w:hAnsi="宋体"/>
          <w:kern w:val="10"/>
          <w:szCs w:val="21"/>
        </w:rPr>
        <w:t>宁波市江北区人民广场与地下通道基坑开挖工程可能对周边房屋产生影响，根据《宁波市城市房屋使用安全管理条例》、《浙江省房屋使用安全管理条例》，施工过程中需对影响范围内的房屋进行安全动态监测，3倍基坑开挖深度范围附近的所有建筑物的安全动态监测。</w:t>
      </w:r>
    </w:p>
    <w:p>
      <w:pPr>
        <w:spacing w:line="360" w:lineRule="auto"/>
        <w:rPr>
          <w:rFonts w:ascii="宋体" w:hAnsi="宋体"/>
          <w:b/>
          <w:szCs w:val="21"/>
        </w:rPr>
      </w:pPr>
      <w:r>
        <w:rPr>
          <w:rFonts w:hint="eastAsia" w:ascii="宋体" w:hAnsi="宋体"/>
          <w:b/>
          <w:szCs w:val="21"/>
        </w:rPr>
        <w:t>二、监测依据</w:t>
      </w:r>
    </w:p>
    <w:p>
      <w:pPr>
        <w:spacing w:line="400" w:lineRule="exact"/>
        <w:ind w:firstLine="420" w:firstLineChars="200"/>
        <w:rPr>
          <w:rFonts w:ascii="宋体" w:hAnsi="宋体"/>
          <w:kern w:val="10"/>
          <w:szCs w:val="21"/>
        </w:rPr>
      </w:pPr>
      <w:r>
        <w:rPr>
          <w:rFonts w:ascii="宋体" w:hAnsi="宋体"/>
          <w:kern w:val="10"/>
          <w:szCs w:val="21"/>
        </w:rPr>
        <w:t>［1］《建筑结构检测技术标准》（GB/T50344-2004）；</w:t>
      </w:r>
    </w:p>
    <w:p>
      <w:pPr>
        <w:spacing w:line="400" w:lineRule="exact"/>
        <w:ind w:firstLine="420" w:firstLineChars="200"/>
        <w:rPr>
          <w:rFonts w:ascii="宋体" w:hAnsi="宋体"/>
          <w:kern w:val="10"/>
          <w:szCs w:val="21"/>
        </w:rPr>
      </w:pPr>
      <w:r>
        <w:rPr>
          <w:rFonts w:ascii="宋体" w:hAnsi="宋体"/>
          <w:kern w:val="10"/>
          <w:szCs w:val="21"/>
        </w:rPr>
        <w:t>［2］《建筑地基基础设计规范》（GB50007-2011）；</w:t>
      </w:r>
    </w:p>
    <w:p>
      <w:pPr>
        <w:spacing w:line="400" w:lineRule="exact"/>
        <w:ind w:firstLine="420" w:firstLineChars="200"/>
        <w:rPr>
          <w:rFonts w:ascii="宋体" w:hAnsi="宋体"/>
          <w:kern w:val="10"/>
          <w:szCs w:val="21"/>
        </w:rPr>
      </w:pPr>
      <w:r>
        <w:rPr>
          <w:rFonts w:ascii="宋体" w:hAnsi="宋体"/>
          <w:kern w:val="10"/>
          <w:szCs w:val="21"/>
        </w:rPr>
        <w:t>［3］《混凝土结构设计规范》（GB50010-2010）；</w:t>
      </w:r>
    </w:p>
    <w:p>
      <w:pPr>
        <w:spacing w:line="400" w:lineRule="exact"/>
        <w:ind w:firstLine="420" w:firstLineChars="200"/>
        <w:rPr>
          <w:rFonts w:ascii="宋体" w:hAnsi="宋体"/>
          <w:kern w:val="10"/>
          <w:szCs w:val="21"/>
        </w:rPr>
      </w:pPr>
      <w:r>
        <w:rPr>
          <w:rFonts w:ascii="宋体" w:hAnsi="宋体"/>
          <w:kern w:val="10"/>
          <w:szCs w:val="21"/>
        </w:rPr>
        <w:t>［4］《砌体结构设计规范》（GB50003-2011）；</w:t>
      </w:r>
    </w:p>
    <w:p>
      <w:pPr>
        <w:spacing w:line="400" w:lineRule="exact"/>
        <w:ind w:firstLine="420" w:firstLineChars="200"/>
        <w:rPr>
          <w:rFonts w:ascii="宋体" w:hAnsi="宋体"/>
          <w:kern w:val="10"/>
          <w:szCs w:val="21"/>
        </w:rPr>
      </w:pPr>
      <w:r>
        <w:rPr>
          <w:rFonts w:ascii="宋体" w:hAnsi="宋体"/>
          <w:kern w:val="10"/>
          <w:szCs w:val="21"/>
        </w:rPr>
        <w:t>［5］《民用建筑可靠性鉴定标准》（GB50292-2015）；</w:t>
      </w:r>
    </w:p>
    <w:p>
      <w:pPr>
        <w:spacing w:line="400" w:lineRule="exact"/>
        <w:ind w:firstLine="420" w:firstLineChars="200"/>
        <w:rPr>
          <w:rFonts w:ascii="宋体" w:hAnsi="宋体"/>
          <w:kern w:val="10"/>
          <w:szCs w:val="21"/>
        </w:rPr>
      </w:pPr>
      <w:r>
        <w:rPr>
          <w:rFonts w:ascii="宋体" w:hAnsi="宋体"/>
          <w:kern w:val="10"/>
          <w:szCs w:val="21"/>
        </w:rPr>
        <w:t>［6］《工程测量规范》（GB50026-2007)；</w:t>
      </w:r>
    </w:p>
    <w:p>
      <w:pPr>
        <w:spacing w:line="400" w:lineRule="exact"/>
        <w:ind w:firstLine="420" w:firstLineChars="200"/>
        <w:rPr>
          <w:rFonts w:ascii="宋体" w:hAnsi="宋体"/>
          <w:kern w:val="10"/>
          <w:szCs w:val="21"/>
        </w:rPr>
      </w:pPr>
      <w:r>
        <w:rPr>
          <w:rFonts w:ascii="宋体" w:hAnsi="宋体"/>
          <w:kern w:val="10"/>
          <w:szCs w:val="21"/>
        </w:rPr>
        <w:t>［7］《建筑变形测量规范》（JGJ8-2007）；</w:t>
      </w:r>
    </w:p>
    <w:p>
      <w:pPr>
        <w:spacing w:line="400" w:lineRule="exact"/>
        <w:ind w:firstLine="420" w:firstLineChars="200"/>
        <w:rPr>
          <w:rFonts w:ascii="宋体" w:hAnsi="宋体"/>
          <w:kern w:val="10"/>
          <w:szCs w:val="21"/>
        </w:rPr>
      </w:pPr>
      <w:r>
        <w:rPr>
          <w:rFonts w:ascii="宋体" w:hAnsi="宋体"/>
          <w:kern w:val="10"/>
          <w:szCs w:val="21"/>
        </w:rPr>
        <w:t>［8］委托书和建设方提供的工程设计、施工等相关资料；</w:t>
      </w:r>
    </w:p>
    <w:p>
      <w:pPr>
        <w:spacing w:line="400" w:lineRule="exact"/>
        <w:ind w:firstLine="420" w:firstLineChars="200"/>
        <w:rPr>
          <w:rFonts w:ascii="宋体" w:hAnsi="宋体"/>
          <w:kern w:val="10"/>
          <w:szCs w:val="21"/>
        </w:rPr>
      </w:pPr>
      <w:r>
        <w:rPr>
          <w:rFonts w:ascii="宋体" w:hAnsi="宋体"/>
          <w:kern w:val="10"/>
          <w:szCs w:val="21"/>
        </w:rPr>
        <w:t>［9］其他相关国家规范、规程。</w:t>
      </w:r>
    </w:p>
    <w:p>
      <w:pPr>
        <w:autoSpaceDE w:val="0"/>
        <w:autoSpaceDN w:val="0"/>
        <w:adjustRightInd w:val="0"/>
        <w:spacing w:line="400" w:lineRule="exact"/>
        <w:rPr>
          <w:rFonts w:ascii="宋体" w:hAnsi="宋体"/>
          <w:b/>
          <w:bCs/>
          <w:kern w:val="10"/>
          <w:szCs w:val="21"/>
        </w:rPr>
      </w:pPr>
      <w:r>
        <w:rPr>
          <w:rFonts w:hint="eastAsia" w:ascii="宋体" w:hAnsi="宋体"/>
          <w:b/>
          <w:szCs w:val="21"/>
        </w:rPr>
        <w:t>三</w:t>
      </w:r>
      <w:r>
        <w:rPr>
          <w:rFonts w:ascii="宋体" w:hAnsi="宋体"/>
          <w:b/>
          <w:szCs w:val="21"/>
        </w:rPr>
        <w:t>、</w:t>
      </w:r>
      <w:r>
        <w:rPr>
          <w:rFonts w:hint="eastAsia" w:ascii="宋体" w:hAnsi="宋体"/>
          <w:b/>
          <w:szCs w:val="21"/>
        </w:rPr>
        <w:t>项目要求</w:t>
      </w:r>
    </w:p>
    <w:p>
      <w:pPr>
        <w:spacing w:line="400" w:lineRule="exact"/>
        <w:ind w:firstLine="420" w:firstLineChars="200"/>
        <w:rPr>
          <w:rFonts w:ascii="宋体" w:hAnsi="宋体"/>
          <w:kern w:val="10"/>
          <w:szCs w:val="21"/>
        </w:rPr>
      </w:pPr>
      <w:r>
        <w:rPr>
          <w:rFonts w:hint="eastAsia" w:ascii="宋体" w:hAnsi="宋体"/>
          <w:kern w:val="10"/>
          <w:szCs w:val="21"/>
        </w:rPr>
        <w:t>在云管理平台统一管理下，通过实时物联网传感器及人工巡检的方式开展房屋安全结构监测，包括人工隐患巡查、沉降监测、倾斜监测、裂缝监测等工作具体要求如下：</w:t>
      </w:r>
    </w:p>
    <w:p>
      <w:pPr>
        <w:spacing w:line="400" w:lineRule="exact"/>
        <w:ind w:firstLine="420" w:firstLineChars="200"/>
        <w:rPr>
          <w:rFonts w:ascii="宋体" w:hAnsi="宋体"/>
          <w:kern w:val="10"/>
          <w:szCs w:val="21"/>
        </w:rPr>
      </w:pPr>
      <w:r>
        <w:rPr>
          <w:rFonts w:hint="eastAsia" w:ascii="宋体" w:hAnsi="宋体"/>
          <w:kern w:val="10"/>
          <w:szCs w:val="21"/>
        </w:rPr>
        <w:t>1、对每幢监测房屋安装实时监测设备并开展人工巡检，提供实时动态监测技术服务并，每次巡查完成输出监测报告。</w:t>
      </w:r>
    </w:p>
    <w:p>
      <w:pPr>
        <w:spacing w:line="400" w:lineRule="exact"/>
        <w:ind w:firstLine="420" w:firstLineChars="200"/>
        <w:rPr>
          <w:rFonts w:ascii="宋体" w:hAnsi="宋体"/>
          <w:kern w:val="10"/>
          <w:szCs w:val="21"/>
        </w:rPr>
      </w:pPr>
      <w:r>
        <w:rPr>
          <w:rFonts w:hint="eastAsia" w:ascii="宋体" w:hAnsi="宋体"/>
          <w:kern w:val="10"/>
          <w:szCs w:val="21"/>
        </w:rPr>
        <w:t>2、开工前，围护桩施工完成、基坑开挖至设计标高、地下室地板施工完成、项目竣工后3个月至少巡查一次。细则按照《浙江省危险房屋结构监测技术导则》。</w:t>
      </w:r>
    </w:p>
    <w:p>
      <w:pPr>
        <w:spacing w:line="400" w:lineRule="exact"/>
        <w:ind w:firstLine="420" w:firstLineChars="200"/>
        <w:rPr>
          <w:rFonts w:ascii="宋体" w:hAnsi="宋体"/>
          <w:kern w:val="10"/>
          <w:szCs w:val="21"/>
        </w:rPr>
      </w:pPr>
      <w:r>
        <w:rPr>
          <w:rFonts w:hint="eastAsia" w:ascii="宋体" w:hAnsi="宋体"/>
          <w:kern w:val="10"/>
          <w:szCs w:val="21"/>
        </w:rPr>
        <w:t>3、如遇台风、暴雨等特殊天气应提供应急巡检，人工应急巡检技术人员30分钟内到场，每次应急巡检后，提供单项巡检报告。</w:t>
      </w:r>
    </w:p>
    <w:p>
      <w:pPr>
        <w:spacing w:line="400" w:lineRule="exact"/>
        <w:ind w:firstLine="420" w:firstLineChars="200"/>
        <w:rPr>
          <w:rFonts w:ascii="宋体" w:hAnsi="宋体"/>
          <w:kern w:val="10"/>
          <w:szCs w:val="21"/>
        </w:rPr>
      </w:pPr>
      <w:r>
        <w:rPr>
          <w:rFonts w:hint="eastAsia" w:ascii="宋体" w:hAnsi="宋体"/>
          <w:kern w:val="10"/>
          <w:szCs w:val="21"/>
        </w:rPr>
        <w:t>4、云管理平台可以展示房屋位置，房屋基本信息，监测任务统计、应急巡检记录、隐患查询等功能。</w:t>
      </w:r>
    </w:p>
    <w:p>
      <w:pPr>
        <w:spacing w:line="400" w:lineRule="exact"/>
        <w:ind w:firstLine="420" w:firstLineChars="200"/>
        <w:rPr>
          <w:rFonts w:ascii="宋体" w:hAnsi="宋体"/>
          <w:kern w:val="10"/>
          <w:szCs w:val="21"/>
        </w:rPr>
      </w:pPr>
      <w:r>
        <w:rPr>
          <w:rFonts w:hint="eastAsia" w:ascii="宋体" w:hAnsi="宋体"/>
          <w:kern w:val="10"/>
          <w:szCs w:val="21"/>
        </w:rPr>
        <w:t>5、管理平台结合作业APP、业主手机端展示，形成一整套人工+互联+物联巡查管理流程，如任务派发、巡查管理、险情上报及处理等。</w:t>
      </w:r>
    </w:p>
    <w:p>
      <w:pPr>
        <w:spacing w:line="400" w:lineRule="exact"/>
        <w:ind w:firstLine="420" w:firstLineChars="200"/>
        <w:rPr>
          <w:rFonts w:ascii="宋体" w:hAnsi="宋体"/>
          <w:kern w:val="10"/>
          <w:szCs w:val="21"/>
        </w:rPr>
      </w:pPr>
      <w:r>
        <w:rPr>
          <w:rFonts w:hint="eastAsia" w:ascii="宋体" w:hAnsi="宋体"/>
          <w:kern w:val="10"/>
          <w:szCs w:val="21"/>
        </w:rPr>
        <w:t>6、每幢房屋设置一台倾斜传感器、一台裂缝传感器。对被监测房屋开展24小时不间断远程动态监测，通过手机短信等方式提供多方异常状态告警，监测传感系统自备电源。</w:t>
      </w:r>
    </w:p>
    <w:p>
      <w:pPr>
        <w:spacing w:line="400" w:lineRule="exact"/>
        <w:ind w:firstLine="420" w:firstLineChars="200"/>
        <w:rPr>
          <w:rFonts w:ascii="宋体" w:hAnsi="宋体"/>
          <w:kern w:val="10"/>
          <w:szCs w:val="21"/>
        </w:rPr>
      </w:pPr>
      <w:r>
        <w:rPr>
          <w:rFonts w:hint="eastAsia" w:ascii="宋体" w:hAnsi="宋体"/>
          <w:kern w:val="10"/>
          <w:szCs w:val="21"/>
        </w:rPr>
        <w:t>7、结构监测项目结束后出具结构安全影响性鉴定报告。</w:t>
      </w:r>
    </w:p>
    <w:p>
      <w:pPr>
        <w:spacing w:line="400" w:lineRule="exact"/>
        <w:ind w:firstLine="420" w:firstLineChars="200"/>
        <w:rPr>
          <w:rFonts w:ascii="宋体" w:hAnsi="宋体"/>
          <w:kern w:val="10"/>
          <w:szCs w:val="21"/>
        </w:rPr>
      </w:pPr>
      <w:r>
        <w:rPr>
          <w:rFonts w:hint="eastAsia" w:ascii="宋体" w:hAnsi="宋体"/>
          <w:kern w:val="10"/>
          <w:szCs w:val="21"/>
        </w:rPr>
        <w:t>8、远程监测待结构安全影响性鉴定报告出具后结束。</w:t>
      </w:r>
    </w:p>
    <w:p>
      <w:pPr>
        <w:spacing w:line="400" w:lineRule="exact"/>
        <w:ind w:firstLine="420" w:firstLineChars="200"/>
        <w:rPr>
          <w:rFonts w:ascii="宋体" w:hAnsi="宋体"/>
          <w:kern w:val="10"/>
          <w:szCs w:val="21"/>
        </w:rPr>
      </w:pPr>
      <w:r>
        <w:rPr>
          <w:rFonts w:hint="eastAsia" w:ascii="宋体" w:hAnsi="宋体"/>
          <w:kern w:val="10"/>
          <w:szCs w:val="21"/>
        </w:rPr>
        <w:t>9、项目巡查人员需为土木工程专业人员。</w:t>
      </w:r>
    </w:p>
    <w:p>
      <w:pPr>
        <w:spacing w:line="400" w:lineRule="exact"/>
        <w:ind w:firstLine="420" w:firstLineChars="200"/>
        <w:rPr>
          <w:rFonts w:ascii="宋体" w:hAnsi="宋体"/>
          <w:kern w:val="10"/>
          <w:szCs w:val="21"/>
        </w:rPr>
      </w:pPr>
      <w:r>
        <w:rPr>
          <w:rFonts w:hint="eastAsia" w:ascii="宋体" w:hAnsi="宋体"/>
          <w:kern w:val="10"/>
          <w:szCs w:val="21"/>
        </w:rPr>
        <w:br w:type="page"/>
      </w:r>
    </w:p>
    <w:p>
      <w:pPr>
        <w:spacing w:line="360" w:lineRule="auto"/>
        <w:rPr>
          <w:rFonts w:ascii="宋体" w:hAnsi="宋体"/>
          <w:b/>
          <w:bCs/>
          <w:kern w:val="10"/>
          <w:szCs w:val="21"/>
        </w:rPr>
      </w:pPr>
      <w:r>
        <w:rPr>
          <w:rFonts w:hint="eastAsia" w:ascii="宋体" w:hAnsi="宋体"/>
          <w:b/>
          <w:bCs/>
          <w:kern w:val="10"/>
          <w:szCs w:val="21"/>
        </w:rPr>
        <w:t>四</w:t>
      </w:r>
      <w:r>
        <w:rPr>
          <w:rFonts w:ascii="宋体" w:hAnsi="宋体"/>
          <w:b/>
          <w:bCs/>
          <w:kern w:val="10"/>
          <w:szCs w:val="21"/>
        </w:rPr>
        <w:t>、</w:t>
      </w:r>
      <w:r>
        <w:rPr>
          <w:rFonts w:hint="eastAsia" w:ascii="宋体" w:hAnsi="宋体"/>
          <w:b/>
          <w:bCs/>
          <w:kern w:val="10"/>
          <w:szCs w:val="21"/>
        </w:rPr>
        <w:t>相关费用</w:t>
      </w:r>
    </w:p>
    <w:p>
      <w:pPr>
        <w:spacing w:line="400" w:lineRule="exact"/>
        <w:ind w:firstLine="210" w:firstLineChars="100"/>
        <w:rPr>
          <w:rFonts w:ascii="宋体" w:hAnsi="宋体" w:cs="宋体"/>
          <w:kern w:val="0"/>
          <w:szCs w:val="21"/>
          <w:vertAlign w:val="superscript"/>
        </w:rPr>
      </w:pPr>
      <w:r>
        <w:rPr>
          <w:rFonts w:ascii="宋体" w:hAnsi="宋体"/>
          <w:szCs w:val="21"/>
        </w:rPr>
        <w:t>▲</w:t>
      </w:r>
      <w:r>
        <w:rPr>
          <w:rFonts w:ascii="宋体" w:hAnsi="宋体"/>
          <w:b/>
          <w:kern w:val="10"/>
          <w:szCs w:val="21"/>
        </w:rPr>
        <w:t>1.</w:t>
      </w:r>
      <w:r>
        <w:rPr>
          <w:rFonts w:hint="eastAsia" w:ascii="宋体" w:hAnsi="宋体"/>
          <w:b/>
          <w:kern w:val="10"/>
          <w:szCs w:val="21"/>
        </w:rPr>
        <w:t>子包二总价最高限价为: 299600元，总价超过最高限价的投标报价作废标处理。此费用</w:t>
      </w:r>
      <w:r>
        <w:rPr>
          <w:rFonts w:ascii="宋体" w:hAnsi="宋体"/>
          <w:b/>
          <w:kern w:val="10"/>
          <w:szCs w:val="21"/>
        </w:rPr>
        <w:t>包括人</w:t>
      </w:r>
      <w:r>
        <w:rPr>
          <w:rFonts w:hint="eastAsia" w:ascii="宋体" w:hAnsi="宋体"/>
          <w:b/>
          <w:kern w:val="10"/>
          <w:szCs w:val="21"/>
        </w:rPr>
        <w:t>员基本工资、各类福利和补贴（如加班补贴等）、社保（五金）、各种保险，作业工具等各类耗材费，设施设备管理维护费用管理费，出具对比鉴定报告，税金，利润及其他与本次采购相关的一切费用。</w:t>
      </w:r>
    </w:p>
    <w:p>
      <w:pPr>
        <w:spacing w:line="400" w:lineRule="exact"/>
        <w:ind w:firstLine="210" w:firstLineChars="100"/>
        <w:rPr>
          <w:rFonts w:ascii="宋体" w:hAnsi="宋体"/>
          <w:b/>
          <w:kern w:val="10"/>
          <w:szCs w:val="21"/>
        </w:rPr>
      </w:pPr>
      <w:r>
        <w:rPr>
          <w:rFonts w:ascii="宋体" w:hAnsi="宋体"/>
          <w:szCs w:val="21"/>
        </w:rPr>
        <w:t>▲</w:t>
      </w:r>
      <w:r>
        <w:rPr>
          <w:rFonts w:hint="eastAsia" w:ascii="宋体" w:hAnsi="宋体"/>
          <w:b/>
          <w:kern w:val="0"/>
        </w:rPr>
        <w:t>2.本项目为固定综合单价合同，不</w:t>
      </w:r>
      <w:r>
        <w:rPr>
          <w:rFonts w:hint="eastAsia" w:ascii="宋体" w:hAnsi="宋体"/>
          <w:b/>
          <w:kern w:val="10"/>
          <w:szCs w:val="21"/>
        </w:rPr>
        <w:t>因市场和政策等因素的变动而调整。</w:t>
      </w:r>
    </w:p>
    <w:p>
      <w:pPr>
        <w:pStyle w:val="2"/>
      </w:pPr>
    </w:p>
    <w:p>
      <w:pPr>
        <w:spacing w:line="360" w:lineRule="auto"/>
        <w:rPr>
          <w:rFonts w:ascii="宋体" w:hAnsi="宋体"/>
          <w:b/>
          <w:bCs/>
          <w:kern w:val="10"/>
          <w:szCs w:val="21"/>
        </w:rPr>
      </w:pPr>
      <w:r>
        <w:rPr>
          <w:rFonts w:hint="eastAsia" w:ascii="宋体" w:hAnsi="宋体"/>
          <w:b/>
          <w:bCs/>
          <w:kern w:val="10"/>
          <w:szCs w:val="21"/>
        </w:rPr>
        <w:t>五、监测内容</w:t>
      </w:r>
    </w:p>
    <w:tbl>
      <w:tblPr>
        <w:tblStyle w:val="38"/>
        <w:tblW w:w="9377" w:type="dxa"/>
        <w:tblInd w:w="15" w:type="dxa"/>
        <w:tblLayout w:type="fixed"/>
        <w:tblCellMar>
          <w:top w:w="0" w:type="dxa"/>
          <w:left w:w="0" w:type="dxa"/>
          <w:bottom w:w="0" w:type="dxa"/>
          <w:right w:w="0" w:type="dxa"/>
        </w:tblCellMar>
      </w:tblPr>
      <w:tblGrid>
        <w:gridCol w:w="2591"/>
        <w:gridCol w:w="901"/>
        <w:gridCol w:w="1791"/>
        <w:gridCol w:w="1194"/>
        <w:gridCol w:w="2900"/>
      </w:tblGrid>
      <w:tr>
        <w:tblPrEx>
          <w:tblCellMar>
            <w:top w:w="0" w:type="dxa"/>
            <w:left w:w="0" w:type="dxa"/>
            <w:bottom w:w="0" w:type="dxa"/>
            <w:right w:w="0" w:type="dxa"/>
          </w:tblCellMar>
        </w:tblPrEx>
        <w:trPr>
          <w:trHeight w:val="695" w:hRule="atLeast"/>
        </w:trPr>
        <w:tc>
          <w:tcPr>
            <w:tcW w:w="25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firstLine="480"/>
              <w:jc w:val="center"/>
              <w:rPr>
                <w:rFonts w:ascii="宋体" w:hAnsi="宋体" w:cs="宋体"/>
              </w:rPr>
            </w:pPr>
          </w:p>
        </w:tc>
        <w:tc>
          <w:tcPr>
            <w:tcW w:w="9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rPr>
            </w:pPr>
            <w:r>
              <w:rPr>
                <w:rFonts w:hint="eastAsia" w:ascii="宋体" w:hAnsi="宋体" w:cs="宋体"/>
                <w:kern w:val="0"/>
              </w:rPr>
              <w:t>点数</w:t>
            </w:r>
          </w:p>
        </w:tc>
        <w:tc>
          <w:tcPr>
            <w:tcW w:w="1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rPr>
            </w:pPr>
            <w:r>
              <w:rPr>
                <w:rFonts w:hint="eastAsia" w:ascii="宋体" w:hAnsi="宋体" w:cs="宋体"/>
                <w:kern w:val="0"/>
              </w:rPr>
              <w:t>综合单价</w:t>
            </w:r>
            <w:r>
              <w:rPr>
                <w:rFonts w:ascii="宋体" w:hAnsi="宋体" w:cs="宋体"/>
                <w:kern w:val="0"/>
              </w:rPr>
              <w:t>/</w:t>
            </w:r>
            <w:r>
              <w:rPr>
                <w:rFonts w:hint="eastAsia" w:ascii="宋体" w:hAnsi="宋体" w:cs="宋体"/>
                <w:kern w:val="0"/>
              </w:rPr>
              <w:t>点（次）</w:t>
            </w:r>
          </w:p>
        </w:tc>
        <w:tc>
          <w:tcPr>
            <w:tcW w:w="11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rPr>
            </w:pPr>
            <w:r>
              <w:rPr>
                <w:rFonts w:hint="eastAsia" w:ascii="宋体" w:hAnsi="宋体" w:cs="宋体"/>
                <w:kern w:val="0"/>
              </w:rPr>
              <w:t>次数</w:t>
            </w:r>
          </w:p>
        </w:tc>
        <w:tc>
          <w:tcPr>
            <w:tcW w:w="2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rPr>
            </w:pPr>
            <w:r>
              <w:rPr>
                <w:rFonts w:hint="eastAsia" w:ascii="宋体" w:hAnsi="宋体" w:cs="宋体"/>
                <w:kern w:val="0"/>
              </w:rPr>
              <w:t>小计（元）</w:t>
            </w:r>
          </w:p>
        </w:tc>
      </w:tr>
      <w:tr>
        <w:tblPrEx>
          <w:tblCellMar>
            <w:top w:w="0" w:type="dxa"/>
            <w:left w:w="0" w:type="dxa"/>
            <w:bottom w:w="0" w:type="dxa"/>
            <w:right w:w="0" w:type="dxa"/>
          </w:tblCellMar>
        </w:tblPrEx>
        <w:trPr>
          <w:trHeight w:val="695" w:hRule="atLeast"/>
        </w:trPr>
        <w:tc>
          <w:tcPr>
            <w:tcW w:w="25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rPr>
            </w:pPr>
            <w:r>
              <w:rPr>
                <w:rFonts w:hint="eastAsia" w:ascii="宋体" w:hAnsi="宋体" w:cs="宋体"/>
                <w:kern w:val="0"/>
              </w:rPr>
              <w:t>外观及内部检查</w:t>
            </w:r>
          </w:p>
        </w:tc>
        <w:tc>
          <w:tcPr>
            <w:tcW w:w="9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rPr>
            </w:pPr>
            <w:r>
              <w:rPr>
                <w:rFonts w:ascii="宋体" w:hAnsi="宋体" w:cs="宋体"/>
                <w:kern w:val="0"/>
              </w:rPr>
              <w:t>/</w:t>
            </w:r>
          </w:p>
        </w:tc>
        <w:tc>
          <w:tcPr>
            <w:tcW w:w="1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rPr>
            </w:pPr>
            <w:r>
              <w:rPr>
                <w:rFonts w:hint="eastAsia" w:ascii="宋体" w:hAnsi="宋体" w:cs="宋体"/>
                <w:kern w:val="0"/>
              </w:rPr>
              <w:t>4400元</w:t>
            </w:r>
          </w:p>
        </w:tc>
        <w:tc>
          <w:tcPr>
            <w:tcW w:w="11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rPr>
            </w:pPr>
            <w:r>
              <w:rPr>
                <w:rFonts w:hint="eastAsia" w:ascii="宋体" w:hAnsi="宋体" w:cs="宋体"/>
                <w:kern w:val="0"/>
              </w:rPr>
              <w:t>5</w:t>
            </w:r>
          </w:p>
        </w:tc>
        <w:tc>
          <w:tcPr>
            <w:tcW w:w="2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pPr>
            <w:r>
              <w:rPr>
                <w:rFonts w:hint="eastAsia" w:ascii="宋体" w:hAnsi="宋体" w:cs="宋体"/>
                <w:color w:val="000000"/>
                <w:kern w:val="0"/>
                <w:sz w:val="24"/>
              </w:rPr>
              <w:t>22000</w:t>
            </w:r>
          </w:p>
        </w:tc>
      </w:tr>
      <w:tr>
        <w:tblPrEx>
          <w:tblCellMar>
            <w:top w:w="0" w:type="dxa"/>
            <w:left w:w="0" w:type="dxa"/>
            <w:bottom w:w="0" w:type="dxa"/>
            <w:right w:w="0" w:type="dxa"/>
          </w:tblCellMar>
        </w:tblPrEx>
        <w:trPr>
          <w:trHeight w:val="695" w:hRule="atLeast"/>
        </w:trPr>
        <w:tc>
          <w:tcPr>
            <w:tcW w:w="25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rPr>
            </w:pPr>
            <w:r>
              <w:rPr>
                <w:rFonts w:hint="eastAsia" w:ascii="宋体" w:hAnsi="宋体" w:cs="宋体"/>
                <w:kern w:val="0"/>
              </w:rPr>
              <w:t>房屋沉降监测</w:t>
            </w:r>
          </w:p>
        </w:tc>
        <w:tc>
          <w:tcPr>
            <w:tcW w:w="9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rPr>
            </w:pPr>
            <w:r>
              <w:rPr>
                <w:rFonts w:ascii="宋体" w:hAnsi="宋体" w:cs="宋体"/>
                <w:kern w:val="0"/>
              </w:rPr>
              <w:t>4</w:t>
            </w:r>
          </w:p>
        </w:tc>
        <w:tc>
          <w:tcPr>
            <w:tcW w:w="1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rPr>
            </w:pPr>
            <w:r>
              <w:rPr>
                <w:rFonts w:hint="eastAsia" w:ascii="宋体" w:hAnsi="宋体" w:cs="宋体"/>
                <w:kern w:val="0"/>
              </w:rPr>
              <w:t>4400元</w:t>
            </w:r>
          </w:p>
        </w:tc>
        <w:tc>
          <w:tcPr>
            <w:tcW w:w="11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rPr>
            </w:pPr>
            <w:r>
              <w:rPr>
                <w:rFonts w:ascii="宋体" w:hAnsi="宋体" w:cs="宋体"/>
                <w:kern w:val="0"/>
              </w:rPr>
              <w:t>5</w:t>
            </w:r>
          </w:p>
        </w:tc>
        <w:tc>
          <w:tcPr>
            <w:tcW w:w="2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rPr>
            </w:pPr>
            <w:r>
              <w:rPr>
                <w:rFonts w:hint="eastAsia" w:ascii="宋体" w:hAnsi="宋体" w:cs="宋体"/>
                <w:color w:val="000000"/>
                <w:kern w:val="0"/>
                <w:sz w:val="24"/>
              </w:rPr>
              <w:t>88000</w:t>
            </w:r>
          </w:p>
        </w:tc>
      </w:tr>
      <w:tr>
        <w:tblPrEx>
          <w:tblCellMar>
            <w:top w:w="0" w:type="dxa"/>
            <w:left w:w="0" w:type="dxa"/>
            <w:bottom w:w="0" w:type="dxa"/>
            <w:right w:w="0" w:type="dxa"/>
          </w:tblCellMar>
        </w:tblPrEx>
        <w:trPr>
          <w:trHeight w:val="695" w:hRule="atLeast"/>
        </w:trPr>
        <w:tc>
          <w:tcPr>
            <w:tcW w:w="25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rPr>
            </w:pPr>
            <w:r>
              <w:rPr>
                <w:rFonts w:hint="eastAsia" w:ascii="宋体" w:hAnsi="宋体" w:cs="宋体"/>
                <w:kern w:val="0"/>
              </w:rPr>
              <w:t>房屋倾斜监测</w:t>
            </w:r>
          </w:p>
        </w:tc>
        <w:tc>
          <w:tcPr>
            <w:tcW w:w="9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rPr>
            </w:pPr>
            <w:r>
              <w:rPr>
                <w:rFonts w:ascii="宋体" w:hAnsi="宋体" w:cs="宋体"/>
                <w:kern w:val="0"/>
              </w:rPr>
              <w:t>4</w:t>
            </w:r>
          </w:p>
        </w:tc>
        <w:tc>
          <w:tcPr>
            <w:tcW w:w="17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rPr>
            </w:pPr>
            <w:r>
              <w:rPr>
                <w:rFonts w:hint="eastAsia" w:ascii="宋体" w:hAnsi="宋体" w:cs="宋体"/>
                <w:kern w:val="0"/>
              </w:rPr>
              <w:t>4400元</w:t>
            </w:r>
          </w:p>
        </w:tc>
        <w:tc>
          <w:tcPr>
            <w:tcW w:w="11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rPr>
            </w:pPr>
            <w:r>
              <w:rPr>
                <w:rFonts w:ascii="宋体" w:hAnsi="宋体" w:cs="宋体"/>
                <w:kern w:val="0"/>
              </w:rPr>
              <w:t>5</w:t>
            </w:r>
          </w:p>
        </w:tc>
        <w:tc>
          <w:tcPr>
            <w:tcW w:w="2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rPr>
            </w:pPr>
            <w:r>
              <w:rPr>
                <w:rFonts w:hint="eastAsia" w:ascii="宋体" w:hAnsi="宋体" w:cs="宋体"/>
                <w:color w:val="000000"/>
                <w:kern w:val="0"/>
                <w:sz w:val="24"/>
              </w:rPr>
              <w:t>88000</w:t>
            </w:r>
          </w:p>
        </w:tc>
      </w:tr>
      <w:tr>
        <w:tblPrEx>
          <w:tblCellMar>
            <w:top w:w="0" w:type="dxa"/>
            <w:left w:w="0" w:type="dxa"/>
            <w:bottom w:w="0" w:type="dxa"/>
            <w:right w:w="0" w:type="dxa"/>
          </w:tblCellMar>
        </w:tblPrEx>
        <w:trPr>
          <w:trHeight w:val="695" w:hRule="atLeast"/>
        </w:trPr>
        <w:tc>
          <w:tcPr>
            <w:tcW w:w="25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rPr>
            </w:pPr>
            <w:r>
              <w:rPr>
                <w:rFonts w:hint="eastAsia" w:ascii="宋体" w:hAnsi="宋体" w:cs="宋体"/>
                <w:kern w:val="0"/>
              </w:rPr>
              <w:t>远程监测</w:t>
            </w:r>
          </w:p>
        </w:tc>
        <w:tc>
          <w:tcPr>
            <w:tcW w:w="388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rPr>
            </w:pPr>
            <w:r>
              <w:rPr>
                <w:rFonts w:hint="eastAsia" w:ascii="宋体" w:hAnsi="宋体" w:cs="宋体"/>
              </w:rPr>
              <w:t>一项</w:t>
            </w:r>
          </w:p>
        </w:tc>
        <w:tc>
          <w:tcPr>
            <w:tcW w:w="2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rPr>
            </w:pPr>
            <w:r>
              <w:rPr>
                <w:rFonts w:hint="eastAsia" w:ascii="宋体" w:hAnsi="宋体" w:cs="宋体"/>
                <w:color w:val="000000"/>
                <w:kern w:val="0"/>
                <w:sz w:val="24"/>
              </w:rPr>
              <w:t>101600</w:t>
            </w:r>
          </w:p>
        </w:tc>
      </w:tr>
      <w:tr>
        <w:tblPrEx>
          <w:tblCellMar>
            <w:top w:w="0" w:type="dxa"/>
            <w:left w:w="0" w:type="dxa"/>
            <w:bottom w:w="0" w:type="dxa"/>
            <w:right w:w="0" w:type="dxa"/>
          </w:tblCellMar>
        </w:tblPrEx>
        <w:trPr>
          <w:trHeight w:val="695" w:hRule="atLeast"/>
        </w:trPr>
        <w:tc>
          <w:tcPr>
            <w:tcW w:w="647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rPr>
            </w:pPr>
            <w:r>
              <w:rPr>
                <w:rFonts w:hint="eastAsia" w:ascii="宋体" w:hAnsi="宋体" w:cs="宋体"/>
                <w:kern w:val="0"/>
              </w:rPr>
              <w:t>合计</w:t>
            </w:r>
          </w:p>
        </w:tc>
        <w:tc>
          <w:tcPr>
            <w:tcW w:w="2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rPr>
            </w:pPr>
            <w:r>
              <w:rPr>
                <w:rFonts w:hint="eastAsia" w:ascii="宋体" w:hAnsi="宋体" w:cs="宋体"/>
                <w:color w:val="000000"/>
                <w:kern w:val="0"/>
                <w:sz w:val="24"/>
              </w:rPr>
              <w:t>299600</w:t>
            </w:r>
          </w:p>
        </w:tc>
      </w:tr>
      <w:tr>
        <w:tblPrEx>
          <w:tblCellMar>
            <w:top w:w="0" w:type="dxa"/>
            <w:left w:w="0" w:type="dxa"/>
            <w:bottom w:w="0" w:type="dxa"/>
            <w:right w:w="0" w:type="dxa"/>
          </w:tblCellMar>
        </w:tblPrEx>
        <w:trPr>
          <w:trHeight w:val="753" w:hRule="atLeast"/>
        </w:trPr>
        <w:tc>
          <w:tcPr>
            <w:tcW w:w="9377"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rPr>
            </w:pPr>
            <w:r>
              <w:rPr>
                <w:rFonts w:hint="eastAsia" w:ascii="宋体" w:hAnsi="宋体" w:cs="宋体"/>
                <w:kern w:val="0"/>
                <w:szCs w:val="21"/>
              </w:rPr>
              <w:t>人工监测、实时监测，每幢房屋一台裂缝、一台倾斜传感器</w:t>
            </w:r>
          </w:p>
        </w:tc>
      </w:tr>
    </w:tbl>
    <w:p>
      <w:pPr>
        <w:spacing w:line="400" w:lineRule="exact"/>
        <w:rPr>
          <w:rFonts w:ascii="宋体" w:hAnsi="宋体"/>
          <w:kern w:val="10"/>
          <w:szCs w:val="21"/>
        </w:rPr>
      </w:pPr>
      <w:r>
        <w:rPr>
          <w:rFonts w:hint="eastAsia" w:ascii="宋体" w:hAnsi="宋体"/>
          <w:kern w:val="10"/>
          <w:szCs w:val="21"/>
        </w:rPr>
        <w:t>注：1次数指的是3倍基坑开挖深度范围附近的所有建筑物检查（监测）一遍。</w:t>
      </w:r>
    </w:p>
    <w:p>
      <w:pPr>
        <w:spacing w:line="400" w:lineRule="exact"/>
        <w:rPr>
          <w:rFonts w:ascii="宋体" w:hAnsi="宋体"/>
          <w:kern w:val="10"/>
          <w:szCs w:val="21"/>
        </w:rPr>
      </w:pPr>
      <w:r>
        <w:rPr>
          <w:rFonts w:hint="eastAsia" w:ascii="宋体" w:hAnsi="宋体"/>
          <w:kern w:val="10"/>
          <w:szCs w:val="21"/>
        </w:rPr>
        <w:t xml:space="preserve">    </w:t>
      </w:r>
      <w:r>
        <w:rPr>
          <w:rFonts w:hint="eastAsia" w:ascii="宋体" w:hAnsi="宋体" w:cs="宋体"/>
          <w:kern w:val="0"/>
        </w:rPr>
        <w:t>房屋沉降监测和房屋倾斜监测点数是指每幢楼4个点。</w:t>
      </w:r>
    </w:p>
    <w:p>
      <w:pPr>
        <w:spacing w:line="400" w:lineRule="exact"/>
        <w:rPr>
          <w:rFonts w:ascii="宋体" w:hAnsi="宋体"/>
          <w:kern w:val="10"/>
          <w:szCs w:val="21"/>
        </w:rPr>
      </w:pPr>
    </w:p>
    <w:p>
      <w:pPr>
        <w:spacing w:line="400" w:lineRule="exact"/>
        <w:rPr>
          <w:rFonts w:ascii="宋体" w:hAnsi="宋体"/>
          <w:kern w:val="10"/>
          <w:szCs w:val="21"/>
        </w:rPr>
      </w:pPr>
    </w:p>
    <w:p>
      <w:pPr>
        <w:spacing w:line="400" w:lineRule="exact"/>
        <w:rPr>
          <w:rFonts w:ascii="宋体" w:hAnsi="宋体"/>
          <w:kern w:val="10"/>
          <w:szCs w:val="21"/>
        </w:rPr>
      </w:pPr>
    </w:p>
    <w:p>
      <w:pPr>
        <w:spacing w:line="400" w:lineRule="exact"/>
        <w:rPr>
          <w:rFonts w:ascii="宋体" w:hAnsi="宋体"/>
          <w:kern w:val="10"/>
          <w:szCs w:val="21"/>
        </w:rPr>
      </w:pPr>
    </w:p>
    <w:p>
      <w:pPr>
        <w:spacing w:line="400" w:lineRule="exact"/>
        <w:rPr>
          <w:rFonts w:ascii="宋体" w:hAnsi="宋体"/>
          <w:kern w:val="10"/>
          <w:szCs w:val="21"/>
        </w:rPr>
      </w:pPr>
    </w:p>
    <w:p>
      <w:pPr>
        <w:spacing w:line="400" w:lineRule="exact"/>
        <w:rPr>
          <w:rFonts w:ascii="宋体" w:hAnsi="宋体"/>
          <w:kern w:val="10"/>
          <w:szCs w:val="21"/>
        </w:rPr>
      </w:pPr>
    </w:p>
    <w:p>
      <w:pPr>
        <w:spacing w:line="400" w:lineRule="exact"/>
        <w:rPr>
          <w:rFonts w:ascii="宋体" w:hAnsi="宋体"/>
          <w:kern w:val="10"/>
          <w:szCs w:val="21"/>
        </w:rPr>
      </w:pPr>
    </w:p>
    <w:p>
      <w:pPr>
        <w:spacing w:line="400" w:lineRule="exact"/>
        <w:rPr>
          <w:rFonts w:ascii="宋体" w:hAnsi="宋体"/>
          <w:kern w:val="10"/>
          <w:szCs w:val="21"/>
        </w:rPr>
      </w:pPr>
    </w:p>
    <w:p>
      <w:pPr>
        <w:spacing w:line="400" w:lineRule="exact"/>
        <w:rPr>
          <w:rFonts w:ascii="宋体" w:hAnsi="宋体"/>
          <w:kern w:val="10"/>
          <w:szCs w:val="21"/>
        </w:rPr>
      </w:pPr>
    </w:p>
    <w:p>
      <w:pPr>
        <w:spacing w:line="400" w:lineRule="exact"/>
        <w:rPr>
          <w:rFonts w:ascii="宋体" w:hAnsi="宋体"/>
          <w:kern w:val="10"/>
          <w:szCs w:val="21"/>
        </w:rPr>
      </w:pPr>
    </w:p>
    <w:p>
      <w:pPr>
        <w:spacing w:line="400" w:lineRule="exact"/>
        <w:rPr>
          <w:rFonts w:ascii="宋体" w:hAnsi="宋体"/>
          <w:kern w:val="10"/>
          <w:szCs w:val="21"/>
        </w:rPr>
      </w:pPr>
    </w:p>
    <w:p>
      <w:pPr>
        <w:pStyle w:val="3"/>
        <w:spacing w:before="0" w:after="0" w:line="240" w:lineRule="auto"/>
        <w:jc w:val="center"/>
        <w:rPr>
          <w:rFonts w:ascii="宋体" w:hAnsi="宋体"/>
          <w:sz w:val="30"/>
          <w:szCs w:val="30"/>
        </w:rPr>
      </w:pPr>
      <w:r>
        <w:rPr>
          <w:rFonts w:ascii="宋体" w:hAnsi="宋体"/>
          <w:sz w:val="30"/>
          <w:szCs w:val="30"/>
        </w:rPr>
        <w:br w:type="page"/>
      </w:r>
      <w:r>
        <w:rPr>
          <w:rFonts w:ascii="宋体" w:hAnsi="宋体"/>
          <w:sz w:val="30"/>
          <w:szCs w:val="30"/>
        </w:rPr>
        <w:t>第三章  投标人须知前附表</w:t>
      </w:r>
      <w:bookmarkEnd w:id="2"/>
    </w:p>
    <w:tbl>
      <w:tblPr>
        <w:tblStyle w:val="38"/>
        <w:tblW w:w="0" w:type="auto"/>
        <w:tblInd w:w="108"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759"/>
        <w:gridCol w:w="8101"/>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577" w:hRule="atLeast"/>
        </w:trPr>
        <w:tc>
          <w:tcPr>
            <w:tcW w:w="759" w:type="dxa"/>
            <w:vAlign w:val="center"/>
          </w:tcPr>
          <w:p>
            <w:pPr>
              <w:snapToGrid w:val="0"/>
              <w:spacing w:line="360" w:lineRule="auto"/>
              <w:rPr>
                <w:rFonts w:ascii="宋体" w:hAnsi="宋体"/>
                <w:szCs w:val="21"/>
              </w:rPr>
            </w:pPr>
            <w:r>
              <w:rPr>
                <w:rFonts w:ascii="宋体" w:hAnsi="宋体"/>
                <w:szCs w:val="21"/>
              </w:rPr>
              <w:t>序号</w:t>
            </w:r>
          </w:p>
        </w:tc>
        <w:tc>
          <w:tcPr>
            <w:tcW w:w="8101" w:type="dxa"/>
            <w:vAlign w:val="center"/>
          </w:tcPr>
          <w:p>
            <w:pPr>
              <w:snapToGrid w:val="0"/>
              <w:spacing w:line="360" w:lineRule="auto"/>
              <w:jc w:val="center"/>
              <w:rPr>
                <w:rFonts w:ascii="宋体" w:hAnsi="宋体"/>
                <w:szCs w:val="21"/>
              </w:rPr>
            </w:pPr>
            <w:r>
              <w:rPr>
                <w:rFonts w:ascii="宋体" w:hAnsi="宋体"/>
                <w:szCs w:val="21"/>
              </w:rPr>
              <w:t>内容、要求</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38" w:hRule="atLeast"/>
        </w:trPr>
        <w:tc>
          <w:tcPr>
            <w:tcW w:w="759" w:type="dxa"/>
            <w:vAlign w:val="center"/>
          </w:tcPr>
          <w:p>
            <w:pPr>
              <w:snapToGrid w:val="0"/>
              <w:spacing w:line="360" w:lineRule="auto"/>
              <w:jc w:val="center"/>
              <w:rPr>
                <w:rFonts w:ascii="宋体" w:hAnsi="宋体"/>
                <w:szCs w:val="21"/>
              </w:rPr>
            </w:pPr>
            <w:r>
              <w:rPr>
                <w:rFonts w:ascii="宋体" w:hAnsi="宋体"/>
                <w:szCs w:val="21"/>
              </w:rPr>
              <w:t>1</w:t>
            </w:r>
          </w:p>
        </w:tc>
        <w:tc>
          <w:tcPr>
            <w:tcW w:w="8101" w:type="dxa"/>
            <w:vAlign w:val="center"/>
          </w:tcPr>
          <w:p>
            <w:pPr>
              <w:snapToGrid w:val="0"/>
              <w:spacing w:line="360" w:lineRule="auto"/>
              <w:rPr>
                <w:rFonts w:ascii="宋体" w:hAnsi="宋体"/>
                <w:szCs w:val="21"/>
              </w:rPr>
            </w:pPr>
            <w:r>
              <w:rPr>
                <w:rFonts w:ascii="宋体" w:hAnsi="宋体"/>
                <w:szCs w:val="21"/>
              </w:rPr>
              <w:t>项目名称：</w:t>
            </w:r>
            <w:r>
              <w:rPr>
                <w:rFonts w:hint="eastAsia" w:ascii="宋体" w:hAnsi="宋体"/>
                <w:szCs w:val="21"/>
              </w:rPr>
              <w:t>人民广场与地下通道工程第三方监测项目</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546" w:hRule="atLeast"/>
        </w:trPr>
        <w:tc>
          <w:tcPr>
            <w:tcW w:w="759" w:type="dxa"/>
            <w:vAlign w:val="center"/>
          </w:tcPr>
          <w:p>
            <w:pPr>
              <w:snapToGrid w:val="0"/>
              <w:spacing w:line="360" w:lineRule="auto"/>
              <w:jc w:val="center"/>
              <w:rPr>
                <w:rFonts w:ascii="宋体" w:hAnsi="宋体"/>
                <w:szCs w:val="21"/>
              </w:rPr>
            </w:pPr>
            <w:r>
              <w:rPr>
                <w:rFonts w:ascii="宋体" w:hAnsi="宋体"/>
                <w:szCs w:val="21"/>
              </w:rPr>
              <w:t>2</w:t>
            </w:r>
          </w:p>
        </w:tc>
        <w:tc>
          <w:tcPr>
            <w:tcW w:w="8101" w:type="dxa"/>
            <w:vAlign w:val="center"/>
          </w:tcPr>
          <w:p>
            <w:pPr>
              <w:snapToGrid w:val="0"/>
              <w:spacing w:line="360" w:lineRule="auto"/>
              <w:rPr>
                <w:rFonts w:ascii="宋体" w:hAnsi="宋体"/>
                <w:szCs w:val="21"/>
              </w:rPr>
            </w:pPr>
            <w:r>
              <w:rPr>
                <w:rFonts w:hint="eastAsia" w:ascii="宋体" w:hAnsi="宋体"/>
                <w:szCs w:val="21"/>
              </w:rPr>
              <w:t>采购数量及单位：监测，1项。</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1697" w:hRule="atLeast"/>
        </w:trPr>
        <w:tc>
          <w:tcPr>
            <w:tcW w:w="759" w:type="dxa"/>
            <w:vAlign w:val="center"/>
          </w:tcPr>
          <w:p>
            <w:pPr>
              <w:snapToGrid w:val="0"/>
              <w:spacing w:line="360" w:lineRule="auto"/>
              <w:jc w:val="center"/>
              <w:rPr>
                <w:rFonts w:ascii="宋体" w:hAnsi="宋体"/>
                <w:szCs w:val="21"/>
              </w:rPr>
            </w:pPr>
            <w:r>
              <w:rPr>
                <w:rFonts w:ascii="宋体" w:hAnsi="宋体"/>
                <w:szCs w:val="21"/>
              </w:rPr>
              <w:t>3</w:t>
            </w:r>
          </w:p>
        </w:tc>
        <w:tc>
          <w:tcPr>
            <w:tcW w:w="8101" w:type="dxa"/>
            <w:vAlign w:val="center"/>
          </w:tcPr>
          <w:p>
            <w:pPr>
              <w:snapToGrid w:val="0"/>
              <w:spacing w:line="360" w:lineRule="auto"/>
            </w:pPr>
            <w:r>
              <w:t>投标报价及费用：1、本项目投标应以人民币报价；2、不论投标结果如何，投标人均应自行承担所有与投标有关的全部费用。</w:t>
            </w:r>
          </w:p>
          <w:p>
            <w:pPr>
              <w:snapToGrid w:val="0"/>
              <w:spacing w:line="360" w:lineRule="auto"/>
            </w:pPr>
            <w:r>
              <w:rPr>
                <w:rFonts w:hint="eastAsia"/>
              </w:rPr>
              <w:t>本项目最高限价为：子包一总价最高限价为: 368520元，子包二总价最高限价为: 299600元。</w:t>
            </w:r>
          </w:p>
          <w:p>
            <w:pPr>
              <w:pStyle w:val="2"/>
            </w:pPr>
            <w:r>
              <w:rPr>
                <w:rFonts w:hint="eastAsia"/>
                <w:sz w:val="21"/>
              </w:rPr>
              <w:t>注：投标综合单价不得超过综合单价最高限价，投标总价不得超过最高限价，否则作无效标处理。</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106" w:hRule="atLeast"/>
        </w:trPr>
        <w:tc>
          <w:tcPr>
            <w:tcW w:w="759" w:type="dxa"/>
            <w:vAlign w:val="center"/>
          </w:tcPr>
          <w:p>
            <w:pPr>
              <w:snapToGrid w:val="0"/>
              <w:spacing w:line="360" w:lineRule="auto"/>
              <w:jc w:val="center"/>
              <w:rPr>
                <w:rFonts w:ascii="宋体" w:hAnsi="宋体"/>
                <w:szCs w:val="21"/>
              </w:rPr>
            </w:pPr>
            <w:r>
              <w:rPr>
                <w:rFonts w:ascii="宋体" w:hAnsi="宋体"/>
                <w:szCs w:val="21"/>
              </w:rPr>
              <w:t>4</w:t>
            </w:r>
          </w:p>
        </w:tc>
        <w:tc>
          <w:tcPr>
            <w:tcW w:w="8101" w:type="dxa"/>
            <w:vAlign w:val="center"/>
          </w:tcPr>
          <w:p>
            <w:pPr>
              <w:spacing w:line="360" w:lineRule="exact"/>
              <w:rPr>
                <w:rFonts w:ascii="宋体" w:hAnsi="宋体"/>
                <w:szCs w:val="21"/>
              </w:rPr>
            </w:pPr>
            <w:r>
              <w:rPr>
                <w:rFonts w:hint="eastAsia" w:ascii="宋体" w:hAnsi="宋体"/>
                <w:szCs w:val="21"/>
              </w:rPr>
              <w:t>投标保证金：人民币</w:t>
            </w:r>
            <w:r>
              <w:rPr>
                <w:rFonts w:hint="eastAsia" w:ascii="宋体" w:hAnsi="宋体"/>
                <w:szCs w:val="21"/>
                <w:u w:val="single"/>
              </w:rPr>
              <w:t>伍仟</w:t>
            </w:r>
            <w:r>
              <w:rPr>
                <w:rFonts w:hint="eastAsia" w:ascii="宋体" w:hAnsi="宋体"/>
                <w:szCs w:val="21"/>
              </w:rPr>
              <w:t>元。（分子包缴纳）</w:t>
            </w:r>
          </w:p>
          <w:p>
            <w:pPr>
              <w:spacing w:line="360" w:lineRule="exact"/>
              <w:rPr>
                <w:rFonts w:ascii="宋体" w:hAnsi="宋体"/>
                <w:szCs w:val="21"/>
              </w:rPr>
            </w:pPr>
            <w:r>
              <w:rPr>
                <w:rFonts w:hint="eastAsia" w:ascii="宋体" w:hAnsi="宋体"/>
                <w:szCs w:val="21"/>
              </w:rPr>
              <w:t>投标人应于</w:t>
            </w:r>
            <w:r>
              <w:rPr>
                <w:rFonts w:hint="eastAsia" w:ascii="宋体" w:hAnsi="宋体"/>
                <w:szCs w:val="21"/>
                <w:u w:val="single"/>
              </w:rPr>
              <w:t>2019</w:t>
            </w:r>
            <w:r>
              <w:rPr>
                <w:rFonts w:hint="eastAsia" w:ascii="宋体" w:hAnsi="宋体"/>
                <w:szCs w:val="21"/>
              </w:rPr>
              <w:t>年</w:t>
            </w:r>
            <w:r>
              <w:rPr>
                <w:rFonts w:hint="eastAsia" w:ascii="宋体" w:hAnsi="宋体"/>
                <w:szCs w:val="21"/>
                <w:u w:val="single"/>
                <w:lang w:val="en-US" w:eastAsia="zh-CN"/>
              </w:rPr>
              <w:t>2</w:t>
            </w:r>
            <w:r>
              <w:rPr>
                <w:rFonts w:hint="eastAsia" w:ascii="宋体" w:hAnsi="宋体"/>
                <w:szCs w:val="21"/>
              </w:rPr>
              <w:t>月</w:t>
            </w:r>
            <w:r>
              <w:rPr>
                <w:rFonts w:hint="eastAsia" w:ascii="宋体" w:hAnsi="宋体"/>
                <w:szCs w:val="21"/>
                <w:u w:val="single"/>
                <w:lang w:val="en-US" w:eastAsia="zh-CN"/>
              </w:rPr>
              <w:t>10</w:t>
            </w:r>
            <w:r>
              <w:rPr>
                <w:rFonts w:hint="eastAsia" w:ascii="宋体" w:hAnsi="宋体"/>
                <w:szCs w:val="21"/>
              </w:rPr>
              <w:t>日</w:t>
            </w:r>
            <w:r>
              <w:rPr>
                <w:rFonts w:hint="eastAsia" w:ascii="宋体" w:hAnsi="宋体"/>
                <w:szCs w:val="21"/>
                <w:u w:val="single"/>
              </w:rPr>
              <w:t>16：00</w:t>
            </w:r>
            <w:r>
              <w:rPr>
                <w:rFonts w:hint="eastAsia" w:ascii="宋体" w:hAnsi="宋体"/>
                <w:szCs w:val="21"/>
              </w:rPr>
              <w:t>前将投标保证金交付到以下账号：</w:t>
            </w:r>
          </w:p>
          <w:p>
            <w:pPr>
              <w:spacing w:line="360" w:lineRule="exact"/>
              <w:rPr>
                <w:rFonts w:ascii="宋体" w:hAnsi="宋体"/>
                <w:szCs w:val="21"/>
              </w:rPr>
            </w:pPr>
            <w:r>
              <w:rPr>
                <w:rFonts w:hint="eastAsia" w:ascii="宋体" w:hAnsi="宋体"/>
                <w:szCs w:val="21"/>
              </w:rPr>
              <w:t xml:space="preserve">开户银行：上海浦东发展银行宁波中兴支行            </w:t>
            </w:r>
          </w:p>
          <w:p>
            <w:pPr>
              <w:spacing w:line="360" w:lineRule="exact"/>
              <w:rPr>
                <w:rFonts w:ascii="宋体" w:hAnsi="宋体"/>
                <w:szCs w:val="21"/>
              </w:rPr>
            </w:pPr>
            <w:r>
              <w:rPr>
                <w:rFonts w:hint="eastAsia" w:ascii="宋体" w:hAnsi="宋体"/>
                <w:szCs w:val="21"/>
              </w:rPr>
              <w:t xml:space="preserve">账    号：94160154740001955                     </w:t>
            </w:r>
          </w:p>
          <w:p>
            <w:pPr>
              <w:spacing w:line="360" w:lineRule="exact"/>
              <w:rPr>
                <w:rFonts w:ascii="宋体" w:hAnsi="宋体"/>
                <w:szCs w:val="21"/>
              </w:rPr>
            </w:pPr>
            <w:r>
              <w:rPr>
                <w:rFonts w:hint="eastAsia" w:ascii="宋体" w:hAnsi="宋体"/>
                <w:szCs w:val="21"/>
              </w:rPr>
              <w:t>户    名：宁波欣达建设项目管理有限公司</w:t>
            </w:r>
          </w:p>
          <w:p>
            <w:pPr>
              <w:spacing w:line="360" w:lineRule="exact"/>
              <w:rPr>
                <w:rFonts w:ascii="宋体" w:hAnsi="宋体"/>
                <w:szCs w:val="21"/>
              </w:rPr>
            </w:pPr>
            <w:r>
              <w:rPr>
                <w:rFonts w:hint="eastAsia" w:ascii="宋体" w:hAnsi="宋体"/>
                <w:szCs w:val="21"/>
              </w:rPr>
              <w:t>交纳形式：采用网银汇款</w:t>
            </w:r>
          </w:p>
          <w:p>
            <w:pPr>
              <w:spacing w:line="360" w:lineRule="exact"/>
              <w:rPr>
                <w:rFonts w:ascii="宋体" w:hAnsi="宋体"/>
                <w:szCs w:val="21"/>
              </w:rPr>
            </w:pPr>
            <w:r>
              <w:rPr>
                <w:rFonts w:hint="eastAsia" w:ascii="宋体" w:hAnsi="宋体"/>
                <w:szCs w:val="21"/>
              </w:rPr>
              <w:t>（投标人的保证金缴纳必须从企业工商注册所在地的基本账户中划转，不得缴纳现金。从他人帐户、投标人企业的其他账户缴纳的投标保证金无效。）</w:t>
            </w:r>
          </w:p>
          <w:p>
            <w:pPr>
              <w:snapToGrid w:val="0"/>
              <w:spacing w:line="360" w:lineRule="exact"/>
              <w:rPr>
                <w:rFonts w:ascii="宋体" w:hAnsi="宋体"/>
                <w:b/>
                <w:bCs/>
              </w:rPr>
            </w:pPr>
            <w:r>
              <w:rPr>
                <w:rFonts w:hint="eastAsia" w:ascii="宋体" w:hAnsi="宋体" w:cs="宋体"/>
                <w:b/>
                <w:bCs/>
              </w:rPr>
              <w:t>特别提醒：投标人在缴纳投标保证金时，务必在用途栏中注明投标项目交易登记号（详见采购公告），未注明项目交易登记号或备注错误的或未注明子包号，造成投标保证金到账无法确认，后果自负。</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1697" w:hRule="atLeast"/>
        </w:trPr>
        <w:tc>
          <w:tcPr>
            <w:tcW w:w="759" w:type="dxa"/>
            <w:vAlign w:val="center"/>
          </w:tcPr>
          <w:p>
            <w:pPr>
              <w:snapToGrid w:val="0"/>
              <w:spacing w:line="360" w:lineRule="auto"/>
              <w:jc w:val="center"/>
              <w:rPr>
                <w:rFonts w:ascii="宋体" w:hAnsi="宋体"/>
                <w:szCs w:val="21"/>
              </w:rPr>
            </w:pPr>
            <w:r>
              <w:rPr>
                <w:rFonts w:ascii="宋体" w:hAnsi="宋体"/>
                <w:szCs w:val="21"/>
              </w:rPr>
              <w:t>5</w:t>
            </w:r>
          </w:p>
        </w:tc>
        <w:tc>
          <w:tcPr>
            <w:tcW w:w="8101" w:type="dxa"/>
            <w:vAlign w:val="center"/>
          </w:tcPr>
          <w:p>
            <w:pPr>
              <w:snapToGrid w:val="0"/>
              <w:spacing w:line="360" w:lineRule="auto"/>
              <w:rPr>
                <w:rFonts w:ascii="宋体" w:hAnsi="宋体"/>
                <w:szCs w:val="21"/>
              </w:rPr>
            </w:pPr>
            <w:r>
              <w:rPr>
                <w:rFonts w:ascii="宋体" w:hAnsi="宋体"/>
                <w:szCs w:val="21"/>
              </w:rPr>
              <w:t>现场踏勘：本项目不统一组织现场勘察，投标人可自行对本项目现场和周围环境进行勘察。勘察现场所发生的费用由投标人自己承担。不论何种原因所造成，在勘察过程中，投标人自行对由此次踏勘现场而造成的死亡、人身伤害、财产损失、损害以及任何其它损失、损害和引起的费用和开支承担责任。</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519" w:hRule="atLeast"/>
        </w:trPr>
        <w:tc>
          <w:tcPr>
            <w:tcW w:w="759" w:type="dxa"/>
            <w:vAlign w:val="center"/>
          </w:tcPr>
          <w:p>
            <w:pPr>
              <w:snapToGrid w:val="0"/>
              <w:spacing w:line="360" w:lineRule="auto"/>
              <w:jc w:val="center"/>
              <w:rPr>
                <w:rFonts w:ascii="宋体" w:hAnsi="宋体"/>
                <w:szCs w:val="21"/>
              </w:rPr>
            </w:pPr>
            <w:r>
              <w:rPr>
                <w:rFonts w:ascii="宋体" w:hAnsi="宋体"/>
                <w:szCs w:val="21"/>
              </w:rPr>
              <w:t>6</w:t>
            </w:r>
          </w:p>
        </w:tc>
        <w:tc>
          <w:tcPr>
            <w:tcW w:w="8101" w:type="dxa"/>
            <w:vAlign w:val="center"/>
          </w:tcPr>
          <w:p>
            <w:pPr>
              <w:snapToGrid w:val="0"/>
              <w:spacing w:line="360" w:lineRule="auto"/>
              <w:rPr>
                <w:rFonts w:ascii="宋体" w:hAnsi="宋体"/>
                <w:szCs w:val="21"/>
              </w:rPr>
            </w:pPr>
            <w:r>
              <w:rPr>
                <w:rFonts w:ascii="宋体" w:hAnsi="宋体"/>
                <w:szCs w:val="21"/>
              </w:rPr>
              <w:t>演示时间及地点：不适用</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2453" w:hRule="atLeast"/>
        </w:trPr>
        <w:tc>
          <w:tcPr>
            <w:tcW w:w="759" w:type="dxa"/>
            <w:vAlign w:val="center"/>
          </w:tcPr>
          <w:p>
            <w:pPr>
              <w:snapToGrid w:val="0"/>
              <w:spacing w:line="360" w:lineRule="auto"/>
              <w:jc w:val="center"/>
              <w:rPr>
                <w:rFonts w:ascii="宋体" w:hAnsi="宋体"/>
                <w:szCs w:val="21"/>
              </w:rPr>
            </w:pPr>
            <w:r>
              <w:rPr>
                <w:rFonts w:ascii="宋体" w:hAnsi="宋体"/>
                <w:szCs w:val="21"/>
              </w:rPr>
              <w:t>7</w:t>
            </w:r>
          </w:p>
        </w:tc>
        <w:tc>
          <w:tcPr>
            <w:tcW w:w="8101" w:type="dxa"/>
            <w:vAlign w:val="center"/>
          </w:tcPr>
          <w:p>
            <w:pPr>
              <w:spacing w:line="360" w:lineRule="auto"/>
              <w:rPr>
                <w:rFonts w:ascii="宋体" w:hAnsi="宋体"/>
                <w:szCs w:val="21"/>
              </w:rPr>
            </w:pPr>
            <w:r>
              <w:rPr>
                <w:rFonts w:ascii="宋体" w:hAnsi="宋体"/>
                <w:szCs w:val="21"/>
              </w:rPr>
              <w:t>答疑与澄清：投标人如认为招标文件表述不清晰、存在歧视性、排他性或者其他违法内容的，应当于</w:t>
            </w:r>
            <w:r>
              <w:rPr>
                <w:rFonts w:hint="eastAsia" w:ascii="宋体" w:hAnsi="宋体"/>
                <w:szCs w:val="21"/>
              </w:rPr>
              <w:t>投标文件截止时间7日</w:t>
            </w:r>
            <w:r>
              <w:rPr>
                <w:rFonts w:ascii="宋体" w:hAnsi="宋体"/>
                <w:szCs w:val="21"/>
              </w:rPr>
              <w:t>前，以书面形式要求招标采购单位作出书面解释、澄清或者向招标采购单位提出书面质疑；招标采购单位将组织答疑；答疑内容是招标文件的组成部份，并将以书面形式送达所有已报名的投标人；因其他紧急情况影响本项目正常招标活动的，招标采购单位将于投标截止日期三日前书面通知所有已报名的投标人。</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553" w:hRule="atLeast"/>
        </w:trPr>
        <w:tc>
          <w:tcPr>
            <w:tcW w:w="759" w:type="dxa"/>
            <w:vAlign w:val="center"/>
          </w:tcPr>
          <w:p>
            <w:pPr>
              <w:snapToGrid w:val="0"/>
              <w:spacing w:line="360" w:lineRule="auto"/>
              <w:jc w:val="center"/>
              <w:rPr>
                <w:rFonts w:ascii="宋体" w:hAnsi="宋体"/>
                <w:szCs w:val="21"/>
              </w:rPr>
            </w:pPr>
            <w:r>
              <w:rPr>
                <w:rFonts w:ascii="宋体" w:hAnsi="宋体"/>
                <w:szCs w:val="21"/>
              </w:rPr>
              <w:t>8</w:t>
            </w:r>
          </w:p>
        </w:tc>
        <w:tc>
          <w:tcPr>
            <w:tcW w:w="8101" w:type="dxa"/>
            <w:vAlign w:val="center"/>
          </w:tcPr>
          <w:p>
            <w:pPr>
              <w:autoSpaceDE w:val="0"/>
              <w:autoSpaceDN w:val="0"/>
              <w:snapToGrid w:val="0"/>
              <w:spacing w:line="360" w:lineRule="auto"/>
              <w:textAlignment w:val="bottom"/>
              <w:rPr>
                <w:rFonts w:ascii="宋体" w:hAnsi="宋体"/>
                <w:szCs w:val="21"/>
              </w:rPr>
            </w:pPr>
            <w:r>
              <w:rPr>
                <w:rFonts w:ascii="宋体" w:hAnsi="宋体"/>
                <w:szCs w:val="21"/>
              </w:rPr>
              <w:t>投标文件组成：正本1份、副本</w:t>
            </w:r>
            <w:r>
              <w:rPr>
                <w:rFonts w:hint="eastAsia" w:ascii="宋体" w:hAnsi="宋体"/>
                <w:szCs w:val="21"/>
              </w:rPr>
              <w:t>4</w:t>
            </w:r>
            <w:r>
              <w:rPr>
                <w:rFonts w:ascii="宋体" w:hAnsi="宋体"/>
                <w:szCs w:val="21"/>
              </w:rPr>
              <w:t>份。</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851" w:hRule="atLeast"/>
        </w:trPr>
        <w:tc>
          <w:tcPr>
            <w:tcW w:w="759" w:type="dxa"/>
            <w:vAlign w:val="center"/>
          </w:tcPr>
          <w:p>
            <w:pPr>
              <w:snapToGrid w:val="0"/>
              <w:spacing w:line="360" w:lineRule="auto"/>
              <w:jc w:val="center"/>
              <w:rPr>
                <w:rFonts w:ascii="宋体" w:hAnsi="宋体"/>
                <w:szCs w:val="21"/>
              </w:rPr>
            </w:pPr>
            <w:r>
              <w:rPr>
                <w:rFonts w:ascii="宋体" w:hAnsi="宋体"/>
                <w:szCs w:val="21"/>
              </w:rPr>
              <w:t>9</w:t>
            </w:r>
          </w:p>
        </w:tc>
        <w:tc>
          <w:tcPr>
            <w:tcW w:w="8101" w:type="dxa"/>
            <w:vAlign w:val="center"/>
          </w:tcPr>
          <w:p>
            <w:pPr>
              <w:snapToGrid w:val="0"/>
              <w:spacing w:line="360" w:lineRule="auto"/>
              <w:rPr>
                <w:rFonts w:ascii="宋体" w:hAnsi="宋体"/>
                <w:szCs w:val="21"/>
              </w:rPr>
            </w:pPr>
            <w:r>
              <w:rPr>
                <w:rFonts w:ascii="宋体" w:hAnsi="宋体"/>
                <w:szCs w:val="21"/>
              </w:rPr>
              <w:t>投标截止时间及地点：</w:t>
            </w:r>
            <w:r>
              <w:rPr>
                <w:rFonts w:hint="eastAsia" w:ascii="宋体" w:hAnsi="宋体"/>
                <w:szCs w:val="21"/>
                <w:u w:val="single"/>
              </w:rPr>
              <w:t>2020</w:t>
            </w:r>
            <w:r>
              <w:rPr>
                <w:rFonts w:ascii="宋体" w:hAnsi="宋体"/>
                <w:szCs w:val="21"/>
              </w:rPr>
              <w:t>年</w:t>
            </w:r>
            <w:r>
              <w:rPr>
                <w:rFonts w:hint="eastAsia" w:ascii="宋体" w:hAnsi="宋体"/>
                <w:szCs w:val="21"/>
                <w:u w:val="single"/>
                <w:lang w:val="en-US" w:eastAsia="zh-CN"/>
              </w:rPr>
              <w:t>2</w:t>
            </w:r>
            <w:r>
              <w:rPr>
                <w:rFonts w:ascii="宋体" w:hAnsi="宋体"/>
                <w:szCs w:val="21"/>
              </w:rPr>
              <w:t>月</w:t>
            </w:r>
            <w:r>
              <w:rPr>
                <w:rFonts w:hint="eastAsia" w:ascii="宋体" w:hAnsi="宋体"/>
                <w:szCs w:val="21"/>
                <w:u w:val="single"/>
                <w:lang w:val="en-US" w:eastAsia="zh-CN"/>
              </w:rPr>
              <w:t>12</w:t>
            </w:r>
            <w:r>
              <w:rPr>
                <w:rFonts w:ascii="宋体" w:hAnsi="宋体"/>
                <w:szCs w:val="21"/>
              </w:rPr>
              <w:t>日</w:t>
            </w:r>
            <w:r>
              <w:rPr>
                <w:rFonts w:hint="eastAsia" w:ascii="宋体" w:hAnsi="宋体"/>
                <w:szCs w:val="21"/>
                <w:u w:val="single"/>
              </w:rPr>
              <w:t>9：00</w:t>
            </w:r>
            <w:r>
              <w:rPr>
                <w:rFonts w:ascii="宋体" w:hAnsi="宋体"/>
                <w:szCs w:val="21"/>
              </w:rPr>
              <w:t>（北京时间），宁波市江北区行政服务中心2楼开标室</w:t>
            </w:r>
            <w:r>
              <w:rPr>
                <w:rFonts w:hint="eastAsia" w:ascii="宋体" w:hAnsi="宋体"/>
                <w:szCs w:val="21"/>
              </w:rPr>
              <w:t>（具体详见当日电子公告栏）</w:t>
            </w:r>
            <w:r>
              <w:rPr>
                <w:rFonts w:ascii="宋体" w:hAnsi="宋体"/>
                <w:szCs w:val="21"/>
              </w:rPr>
              <w:t xml:space="preserve"> [</w:t>
            </w:r>
            <w:r>
              <w:rPr>
                <w:rFonts w:hint="eastAsia" w:ascii="宋体" w:hAnsi="宋体"/>
                <w:szCs w:val="21"/>
              </w:rPr>
              <w:t>育才路138号北投大厦南楼7楼</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851" w:hRule="atLeast"/>
        </w:trPr>
        <w:tc>
          <w:tcPr>
            <w:tcW w:w="759" w:type="dxa"/>
            <w:vAlign w:val="center"/>
          </w:tcPr>
          <w:p>
            <w:pPr>
              <w:snapToGrid w:val="0"/>
              <w:spacing w:line="360" w:lineRule="auto"/>
              <w:jc w:val="center"/>
              <w:rPr>
                <w:rFonts w:ascii="宋体" w:hAnsi="宋体"/>
                <w:szCs w:val="21"/>
              </w:rPr>
            </w:pPr>
            <w:r>
              <w:rPr>
                <w:rFonts w:ascii="宋体" w:hAnsi="宋体"/>
                <w:szCs w:val="21"/>
              </w:rPr>
              <w:t>10</w:t>
            </w:r>
          </w:p>
        </w:tc>
        <w:tc>
          <w:tcPr>
            <w:tcW w:w="8101" w:type="dxa"/>
            <w:vAlign w:val="center"/>
          </w:tcPr>
          <w:p>
            <w:pPr>
              <w:snapToGrid w:val="0"/>
              <w:spacing w:line="360" w:lineRule="auto"/>
              <w:rPr>
                <w:rFonts w:ascii="宋体" w:hAnsi="宋体"/>
                <w:szCs w:val="21"/>
              </w:rPr>
            </w:pPr>
            <w:r>
              <w:rPr>
                <w:rFonts w:ascii="宋体" w:hAnsi="宋体"/>
                <w:szCs w:val="21"/>
              </w:rPr>
              <w:t>开标时间及地点：</w:t>
            </w:r>
            <w:r>
              <w:rPr>
                <w:rFonts w:hint="eastAsia" w:ascii="宋体" w:hAnsi="宋体"/>
                <w:szCs w:val="21"/>
                <w:u w:val="single"/>
              </w:rPr>
              <w:t>2020</w:t>
            </w:r>
            <w:r>
              <w:rPr>
                <w:rFonts w:ascii="宋体" w:hAnsi="宋体"/>
                <w:szCs w:val="21"/>
              </w:rPr>
              <w:t>年</w:t>
            </w:r>
            <w:r>
              <w:rPr>
                <w:rFonts w:hint="eastAsia" w:ascii="宋体" w:hAnsi="宋体"/>
                <w:szCs w:val="21"/>
                <w:u w:val="single"/>
                <w:lang w:val="en-US" w:eastAsia="zh-CN"/>
              </w:rPr>
              <w:t>2</w:t>
            </w:r>
            <w:r>
              <w:rPr>
                <w:rFonts w:ascii="宋体" w:hAnsi="宋体"/>
                <w:szCs w:val="21"/>
              </w:rPr>
              <w:t>月</w:t>
            </w:r>
            <w:r>
              <w:rPr>
                <w:rFonts w:hint="eastAsia" w:ascii="宋体" w:hAnsi="宋体"/>
                <w:szCs w:val="21"/>
                <w:u w:val="single"/>
                <w:lang w:val="en-US" w:eastAsia="zh-CN"/>
              </w:rPr>
              <w:t>12</w:t>
            </w:r>
            <w:r>
              <w:rPr>
                <w:rFonts w:ascii="宋体" w:hAnsi="宋体"/>
                <w:szCs w:val="21"/>
              </w:rPr>
              <w:t>日</w:t>
            </w:r>
            <w:r>
              <w:rPr>
                <w:rFonts w:hint="eastAsia" w:ascii="宋体" w:hAnsi="宋体"/>
                <w:szCs w:val="21"/>
                <w:u w:val="single"/>
              </w:rPr>
              <w:t>9：00</w:t>
            </w:r>
            <w:r>
              <w:rPr>
                <w:rFonts w:ascii="宋体" w:hAnsi="宋体"/>
                <w:szCs w:val="21"/>
              </w:rPr>
              <w:t>（北京时间），宁波市江北区行政服务中心2楼开标室</w:t>
            </w:r>
            <w:r>
              <w:rPr>
                <w:rFonts w:hint="eastAsia" w:ascii="宋体" w:hAnsi="宋体"/>
                <w:szCs w:val="21"/>
              </w:rPr>
              <w:t>（具体详见当日电子公告栏）</w:t>
            </w:r>
            <w:r>
              <w:rPr>
                <w:rFonts w:ascii="宋体" w:hAnsi="宋体"/>
                <w:szCs w:val="21"/>
              </w:rPr>
              <w:t xml:space="preserve"> [</w:t>
            </w:r>
            <w:r>
              <w:rPr>
                <w:rFonts w:hint="eastAsia" w:ascii="宋体" w:hAnsi="宋体"/>
                <w:szCs w:val="21"/>
              </w:rPr>
              <w:t>育才路138号北投大厦南楼7楼</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37" w:hRule="atLeast"/>
        </w:trPr>
        <w:tc>
          <w:tcPr>
            <w:tcW w:w="759" w:type="dxa"/>
            <w:vAlign w:val="center"/>
          </w:tcPr>
          <w:p>
            <w:pPr>
              <w:snapToGrid w:val="0"/>
              <w:spacing w:line="360" w:lineRule="auto"/>
              <w:jc w:val="center"/>
              <w:rPr>
                <w:rFonts w:ascii="宋体" w:hAnsi="宋体"/>
                <w:szCs w:val="21"/>
              </w:rPr>
            </w:pPr>
            <w:r>
              <w:rPr>
                <w:rFonts w:ascii="宋体" w:hAnsi="宋体"/>
                <w:szCs w:val="21"/>
              </w:rPr>
              <w:t>11</w:t>
            </w:r>
          </w:p>
        </w:tc>
        <w:tc>
          <w:tcPr>
            <w:tcW w:w="8101" w:type="dxa"/>
            <w:vAlign w:val="center"/>
          </w:tcPr>
          <w:p>
            <w:pPr>
              <w:autoSpaceDE w:val="0"/>
              <w:autoSpaceDN w:val="0"/>
              <w:snapToGrid w:val="0"/>
              <w:spacing w:line="360" w:lineRule="auto"/>
              <w:textAlignment w:val="bottom"/>
              <w:rPr>
                <w:rFonts w:ascii="宋体" w:hAnsi="宋体"/>
                <w:szCs w:val="21"/>
              </w:rPr>
            </w:pPr>
            <w:r>
              <w:rPr>
                <w:rFonts w:ascii="宋体" w:hAnsi="宋体"/>
                <w:szCs w:val="21"/>
              </w:rPr>
              <w:t>评标办法及评分标准：详见第四章 评标办法及评分标准</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26" w:hRule="atLeast"/>
        </w:trPr>
        <w:tc>
          <w:tcPr>
            <w:tcW w:w="759" w:type="dxa"/>
            <w:vAlign w:val="center"/>
          </w:tcPr>
          <w:p>
            <w:pPr>
              <w:snapToGrid w:val="0"/>
              <w:spacing w:line="360" w:lineRule="auto"/>
              <w:jc w:val="center"/>
              <w:rPr>
                <w:rFonts w:ascii="宋体" w:hAnsi="宋体"/>
                <w:szCs w:val="21"/>
              </w:rPr>
            </w:pPr>
            <w:r>
              <w:rPr>
                <w:rFonts w:ascii="宋体" w:hAnsi="宋体"/>
                <w:szCs w:val="21"/>
              </w:rPr>
              <w:t>12</w:t>
            </w:r>
          </w:p>
        </w:tc>
        <w:tc>
          <w:tcPr>
            <w:tcW w:w="8101" w:type="dxa"/>
            <w:vAlign w:val="center"/>
          </w:tcPr>
          <w:p>
            <w:pPr>
              <w:autoSpaceDE w:val="0"/>
              <w:autoSpaceDN w:val="0"/>
              <w:snapToGrid w:val="0"/>
              <w:spacing w:line="360" w:lineRule="auto"/>
              <w:textAlignment w:val="bottom"/>
              <w:rPr>
                <w:rFonts w:ascii="宋体" w:hAnsi="宋体"/>
                <w:szCs w:val="21"/>
              </w:rPr>
            </w:pPr>
            <w:r>
              <w:rPr>
                <w:rFonts w:ascii="宋体" w:hAnsi="宋体"/>
                <w:szCs w:val="21"/>
              </w:rPr>
              <w:t>评标结果公告：评标结果公告于</w:t>
            </w:r>
            <w:r>
              <w:rPr>
                <w:rFonts w:hint="eastAsia" w:ascii="宋体" w:hAnsi="宋体"/>
                <w:szCs w:val="21"/>
              </w:rPr>
              <w:t>浙江政府采购网</w:t>
            </w:r>
            <w:r>
              <w:rPr>
                <w:rFonts w:ascii="宋体" w:hAnsi="宋体"/>
                <w:szCs w:val="21"/>
              </w:rPr>
              <w:t>及</w:t>
            </w:r>
            <w:r>
              <w:rPr>
                <w:rFonts w:hint="eastAsia" w:ascii="宋体" w:hAnsi="宋体"/>
                <w:szCs w:val="21"/>
              </w:rPr>
              <w:t>宁波公共资源交易网江北区分网</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1697" w:hRule="atLeast"/>
        </w:trPr>
        <w:tc>
          <w:tcPr>
            <w:tcW w:w="759" w:type="dxa"/>
            <w:vAlign w:val="center"/>
          </w:tcPr>
          <w:p>
            <w:pPr>
              <w:snapToGrid w:val="0"/>
              <w:spacing w:line="360" w:lineRule="auto"/>
              <w:jc w:val="center"/>
              <w:rPr>
                <w:rFonts w:ascii="宋体" w:hAnsi="宋体"/>
                <w:szCs w:val="21"/>
              </w:rPr>
            </w:pPr>
            <w:r>
              <w:rPr>
                <w:rFonts w:ascii="宋体" w:hAnsi="宋体"/>
                <w:szCs w:val="21"/>
              </w:rPr>
              <w:t>13</w:t>
            </w:r>
          </w:p>
        </w:tc>
        <w:tc>
          <w:tcPr>
            <w:tcW w:w="8101" w:type="dxa"/>
            <w:vAlign w:val="center"/>
          </w:tcPr>
          <w:p>
            <w:pPr>
              <w:spacing w:line="360" w:lineRule="auto"/>
              <w:jc w:val="left"/>
              <w:rPr>
                <w:rFonts w:ascii="宋体" w:hAnsi="宋体"/>
                <w:szCs w:val="21"/>
              </w:rPr>
            </w:pPr>
            <w:r>
              <w:rPr>
                <w:rFonts w:ascii="宋体" w:hAnsi="宋体"/>
                <w:szCs w:val="21"/>
              </w:rPr>
              <w:t>投标保证金退还（不计息）：除招标文件规定不予退还保证金的情形外，未中标人的投标保证金在中标通知书发出后5个工作日内，中标人的投标保证金在合同签订后5个工作内，提供保证金收据和本单位开户银行及账号后，采购代理机构以电汇或转账方式退还投标保证金。</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68" w:hRule="atLeast"/>
        </w:trPr>
        <w:tc>
          <w:tcPr>
            <w:tcW w:w="759" w:type="dxa"/>
            <w:vAlign w:val="center"/>
          </w:tcPr>
          <w:p>
            <w:pPr>
              <w:snapToGrid w:val="0"/>
              <w:spacing w:line="360" w:lineRule="auto"/>
              <w:jc w:val="center"/>
              <w:rPr>
                <w:rFonts w:ascii="宋体" w:hAnsi="宋体"/>
                <w:szCs w:val="21"/>
              </w:rPr>
            </w:pPr>
            <w:r>
              <w:rPr>
                <w:rFonts w:ascii="宋体" w:hAnsi="宋体"/>
                <w:szCs w:val="21"/>
              </w:rPr>
              <w:t>14</w:t>
            </w:r>
          </w:p>
        </w:tc>
        <w:tc>
          <w:tcPr>
            <w:tcW w:w="8101" w:type="dxa"/>
            <w:vAlign w:val="center"/>
          </w:tcPr>
          <w:p>
            <w:pPr>
              <w:autoSpaceDE w:val="0"/>
              <w:autoSpaceDN w:val="0"/>
              <w:snapToGrid w:val="0"/>
              <w:spacing w:line="360" w:lineRule="auto"/>
              <w:jc w:val="left"/>
              <w:textAlignment w:val="bottom"/>
              <w:rPr>
                <w:rFonts w:ascii="宋体" w:hAnsi="宋体"/>
                <w:szCs w:val="21"/>
              </w:rPr>
            </w:pPr>
            <w:r>
              <w:rPr>
                <w:rFonts w:ascii="宋体" w:hAnsi="宋体"/>
                <w:szCs w:val="21"/>
              </w:rPr>
              <w:t>签订合同时间：中标通知书发出后</w:t>
            </w:r>
            <w:r>
              <w:rPr>
                <w:rFonts w:hint="eastAsia" w:ascii="宋体" w:hAnsi="宋体"/>
                <w:szCs w:val="21"/>
              </w:rPr>
              <w:t>7</w:t>
            </w:r>
            <w:r>
              <w:rPr>
                <w:rFonts w:ascii="宋体" w:hAnsi="宋体"/>
                <w:szCs w:val="21"/>
              </w:rPr>
              <w:t>日内。</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851" w:hRule="atLeast"/>
        </w:trPr>
        <w:tc>
          <w:tcPr>
            <w:tcW w:w="759" w:type="dxa"/>
            <w:vAlign w:val="center"/>
          </w:tcPr>
          <w:p>
            <w:pPr>
              <w:snapToGrid w:val="0"/>
              <w:spacing w:line="360" w:lineRule="auto"/>
              <w:jc w:val="center"/>
              <w:rPr>
                <w:rFonts w:ascii="宋体" w:hAnsi="宋体"/>
                <w:szCs w:val="21"/>
              </w:rPr>
            </w:pPr>
            <w:r>
              <w:rPr>
                <w:rFonts w:ascii="宋体" w:hAnsi="宋体"/>
                <w:szCs w:val="21"/>
              </w:rPr>
              <w:t>1</w:t>
            </w:r>
            <w:r>
              <w:rPr>
                <w:rFonts w:hint="eastAsia" w:ascii="宋体" w:hAnsi="宋体"/>
                <w:szCs w:val="21"/>
              </w:rPr>
              <w:t>5</w:t>
            </w:r>
          </w:p>
        </w:tc>
        <w:tc>
          <w:tcPr>
            <w:tcW w:w="8101" w:type="dxa"/>
            <w:vAlign w:val="center"/>
          </w:tcPr>
          <w:p>
            <w:pPr>
              <w:spacing w:line="360" w:lineRule="auto"/>
              <w:jc w:val="left"/>
              <w:rPr>
                <w:rFonts w:ascii="宋体" w:hAnsi="宋体"/>
                <w:szCs w:val="21"/>
              </w:rPr>
            </w:pPr>
            <w:r>
              <w:rPr>
                <w:rFonts w:hint="eastAsia" w:ascii="宋体" w:hAnsi="宋体"/>
                <w:szCs w:val="21"/>
              </w:rPr>
              <w:t>履约担保</w:t>
            </w:r>
            <w:r>
              <w:rPr>
                <w:rFonts w:ascii="宋体" w:hAnsi="宋体"/>
                <w:szCs w:val="21"/>
              </w:rPr>
              <w:t>的</w:t>
            </w:r>
            <w:r>
              <w:rPr>
                <w:rFonts w:hint="eastAsia" w:ascii="宋体" w:hAnsi="宋体"/>
                <w:szCs w:val="21"/>
              </w:rPr>
              <w:t>形式、</w:t>
            </w:r>
            <w:r>
              <w:rPr>
                <w:rFonts w:ascii="宋体" w:hAnsi="宋体"/>
                <w:szCs w:val="21"/>
              </w:rPr>
              <w:t>收取及退还：</w:t>
            </w:r>
            <w:r>
              <w:rPr>
                <w:rFonts w:hint="eastAsia" w:ascii="宋体" w:hAnsi="宋体"/>
                <w:szCs w:val="21"/>
              </w:rPr>
              <w:t>履约担保采用履约保证金形式，金额为合同价款的5%</w:t>
            </w:r>
            <w:r>
              <w:rPr>
                <w:rFonts w:ascii="宋体" w:hAnsi="宋体"/>
                <w:szCs w:val="21"/>
              </w:rPr>
              <w:t>。</w:t>
            </w:r>
            <w:r>
              <w:rPr>
                <w:rFonts w:hint="eastAsia" w:ascii="宋体" w:hAnsi="宋体"/>
                <w:szCs w:val="21"/>
              </w:rPr>
              <w:t>合同签订之前10日内向采购单位提交履约保证金，合同履行完毕后10日内退还。</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09" w:hRule="atLeast"/>
        </w:trPr>
        <w:tc>
          <w:tcPr>
            <w:tcW w:w="759" w:type="dxa"/>
            <w:vAlign w:val="center"/>
          </w:tcPr>
          <w:p>
            <w:pPr>
              <w:snapToGrid w:val="0"/>
              <w:spacing w:line="360" w:lineRule="auto"/>
              <w:jc w:val="center"/>
              <w:rPr>
                <w:rFonts w:ascii="宋体" w:hAnsi="宋体"/>
                <w:szCs w:val="21"/>
              </w:rPr>
            </w:pPr>
            <w:r>
              <w:rPr>
                <w:rFonts w:ascii="宋体" w:hAnsi="宋体"/>
                <w:szCs w:val="21"/>
              </w:rPr>
              <w:t>1</w:t>
            </w:r>
            <w:r>
              <w:rPr>
                <w:rFonts w:hint="eastAsia" w:ascii="宋体" w:hAnsi="宋体"/>
                <w:szCs w:val="21"/>
              </w:rPr>
              <w:t>6</w:t>
            </w:r>
          </w:p>
        </w:tc>
        <w:tc>
          <w:tcPr>
            <w:tcW w:w="8101" w:type="dxa"/>
            <w:vAlign w:val="center"/>
          </w:tcPr>
          <w:p>
            <w:pPr>
              <w:autoSpaceDE w:val="0"/>
              <w:autoSpaceDN w:val="0"/>
              <w:snapToGrid w:val="0"/>
              <w:spacing w:line="360" w:lineRule="auto"/>
              <w:jc w:val="left"/>
              <w:textAlignment w:val="bottom"/>
              <w:rPr>
                <w:rFonts w:ascii="宋体" w:hAnsi="宋体"/>
                <w:szCs w:val="21"/>
              </w:rPr>
            </w:pPr>
            <w:r>
              <w:rPr>
                <w:rFonts w:ascii="宋体" w:hAnsi="宋体"/>
                <w:szCs w:val="21"/>
              </w:rPr>
              <w:t>采购资金来源：单位自筹资金</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851" w:hRule="atLeast"/>
        </w:trPr>
        <w:tc>
          <w:tcPr>
            <w:tcW w:w="759" w:type="dxa"/>
            <w:vAlign w:val="center"/>
          </w:tcPr>
          <w:p>
            <w:pPr>
              <w:snapToGrid w:val="0"/>
              <w:spacing w:line="360" w:lineRule="auto"/>
              <w:jc w:val="center"/>
              <w:rPr>
                <w:rFonts w:ascii="宋体" w:hAnsi="宋体"/>
                <w:szCs w:val="21"/>
              </w:rPr>
            </w:pPr>
            <w:r>
              <w:rPr>
                <w:rFonts w:ascii="宋体" w:hAnsi="宋体"/>
                <w:szCs w:val="21"/>
              </w:rPr>
              <w:t>1</w:t>
            </w:r>
            <w:r>
              <w:rPr>
                <w:rFonts w:hint="eastAsia" w:ascii="宋体" w:hAnsi="宋体"/>
                <w:szCs w:val="21"/>
              </w:rPr>
              <w:t>7</w:t>
            </w:r>
          </w:p>
        </w:tc>
        <w:tc>
          <w:tcPr>
            <w:tcW w:w="8101" w:type="dxa"/>
            <w:vAlign w:val="center"/>
          </w:tcPr>
          <w:p>
            <w:pPr>
              <w:autoSpaceDE w:val="0"/>
              <w:autoSpaceDN w:val="0"/>
              <w:snapToGrid w:val="0"/>
              <w:jc w:val="left"/>
              <w:textAlignment w:val="bottom"/>
              <w:rPr>
                <w:rFonts w:ascii="宋体" w:hAnsi="宋体"/>
                <w:b/>
                <w:szCs w:val="21"/>
              </w:rPr>
            </w:pPr>
            <w:r>
              <w:rPr>
                <w:rFonts w:hint="eastAsia" w:ascii="宋体" w:hAnsi="宋体"/>
                <w:b/>
                <w:szCs w:val="21"/>
              </w:rPr>
              <w:t xml:space="preserve">子包一付款方式：1、本子包不支付预付款及进度款。2、所有基坑监测完成并提供《基坑监测报告》满足甲方要求，经验收合格通过后一次性支付。 </w:t>
            </w:r>
          </w:p>
          <w:p>
            <w:pPr>
              <w:autoSpaceDE w:val="0"/>
              <w:autoSpaceDN w:val="0"/>
              <w:snapToGrid w:val="0"/>
              <w:jc w:val="left"/>
              <w:textAlignment w:val="bottom"/>
              <w:rPr>
                <w:rFonts w:ascii="宋体" w:hAnsi="宋体"/>
                <w:b/>
                <w:szCs w:val="21"/>
              </w:rPr>
            </w:pPr>
            <w:r>
              <w:rPr>
                <w:rFonts w:hint="eastAsia" w:ascii="宋体" w:hAnsi="宋体"/>
                <w:b/>
                <w:szCs w:val="21"/>
              </w:rPr>
              <w:t>子包二</w:t>
            </w:r>
            <w:r>
              <w:rPr>
                <w:rFonts w:ascii="宋体" w:hAnsi="宋体"/>
                <w:b/>
                <w:szCs w:val="21"/>
              </w:rPr>
              <w:t>付款方式：</w:t>
            </w:r>
            <w:r>
              <w:rPr>
                <w:rFonts w:hint="eastAsia" w:ascii="宋体" w:hAnsi="宋体"/>
                <w:b/>
                <w:szCs w:val="21"/>
              </w:rPr>
              <w:t>1、合同签订后，支付签约合同价的20%；2、全部主体结构完成后，支付签约合同价的55%；3、工程综合验收合格后，支付签约合同价的90%；4、结算完成后，结清余款。</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520" w:hRule="atLeast"/>
        </w:trPr>
        <w:tc>
          <w:tcPr>
            <w:tcW w:w="759" w:type="dxa"/>
            <w:vAlign w:val="center"/>
          </w:tcPr>
          <w:p>
            <w:pPr>
              <w:snapToGrid w:val="0"/>
              <w:spacing w:line="360" w:lineRule="auto"/>
              <w:jc w:val="center"/>
              <w:rPr>
                <w:rFonts w:ascii="宋体" w:hAnsi="宋体"/>
                <w:szCs w:val="21"/>
              </w:rPr>
            </w:pPr>
            <w:r>
              <w:rPr>
                <w:rFonts w:ascii="宋体" w:hAnsi="宋体"/>
                <w:szCs w:val="21"/>
              </w:rPr>
              <w:t>1</w:t>
            </w:r>
            <w:r>
              <w:rPr>
                <w:rFonts w:hint="eastAsia" w:ascii="宋体" w:hAnsi="宋体"/>
                <w:szCs w:val="21"/>
              </w:rPr>
              <w:t>8</w:t>
            </w:r>
          </w:p>
        </w:tc>
        <w:tc>
          <w:tcPr>
            <w:tcW w:w="8101" w:type="dxa"/>
            <w:vAlign w:val="center"/>
          </w:tcPr>
          <w:p>
            <w:pPr>
              <w:spacing w:line="360" w:lineRule="auto"/>
              <w:rPr>
                <w:rFonts w:ascii="宋体" w:hAnsi="宋体"/>
                <w:b/>
                <w:szCs w:val="21"/>
              </w:rPr>
            </w:pPr>
            <w:r>
              <w:rPr>
                <w:rFonts w:ascii="宋体" w:hAnsi="宋体"/>
                <w:b/>
                <w:szCs w:val="21"/>
              </w:rPr>
              <w:t>投标文件有效期：</w:t>
            </w:r>
            <w:r>
              <w:rPr>
                <w:rFonts w:ascii="宋体" w:hAnsi="宋体"/>
                <w:b/>
                <w:szCs w:val="21"/>
                <w:u w:val="single"/>
              </w:rPr>
              <w:t>60</w:t>
            </w:r>
            <w:r>
              <w:rPr>
                <w:rFonts w:ascii="宋体" w:hAnsi="宋体"/>
                <w:b/>
                <w:szCs w:val="21"/>
              </w:rPr>
              <w:t>天</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84" w:hRule="atLeast"/>
        </w:trPr>
        <w:tc>
          <w:tcPr>
            <w:tcW w:w="759" w:type="dxa"/>
            <w:vAlign w:val="center"/>
          </w:tcPr>
          <w:p>
            <w:pPr>
              <w:snapToGrid w:val="0"/>
              <w:spacing w:line="360" w:lineRule="auto"/>
              <w:jc w:val="center"/>
              <w:rPr>
                <w:rFonts w:ascii="宋体" w:hAnsi="宋体"/>
                <w:szCs w:val="21"/>
              </w:rPr>
            </w:pPr>
            <w:r>
              <w:rPr>
                <w:rFonts w:hint="eastAsia" w:ascii="宋体" w:hAnsi="宋体"/>
                <w:szCs w:val="21"/>
              </w:rPr>
              <w:t>19</w:t>
            </w:r>
          </w:p>
        </w:tc>
        <w:tc>
          <w:tcPr>
            <w:tcW w:w="8101" w:type="dxa"/>
            <w:vAlign w:val="center"/>
          </w:tcPr>
          <w:p>
            <w:pPr>
              <w:snapToGrid w:val="0"/>
              <w:spacing w:line="360" w:lineRule="auto"/>
              <w:rPr>
                <w:rFonts w:ascii="宋体" w:hAnsi="宋体"/>
                <w:szCs w:val="21"/>
              </w:rPr>
            </w:pPr>
            <w:r>
              <w:rPr>
                <w:rFonts w:ascii="宋体" w:hAnsi="宋体"/>
                <w:szCs w:val="21"/>
              </w:rPr>
              <w:t>解释：</w:t>
            </w:r>
            <w:r>
              <w:rPr>
                <w:rFonts w:hint="eastAsia" w:ascii="宋体" w:hAnsi="宋体"/>
                <w:szCs w:val="21"/>
              </w:rPr>
              <w:t>1、</w:t>
            </w:r>
            <w:r>
              <w:rPr>
                <w:rFonts w:ascii="宋体" w:hAnsi="宋体"/>
                <w:szCs w:val="21"/>
              </w:rPr>
              <w:t>本招标文件的解释权属于标采购单位</w:t>
            </w:r>
            <w:r>
              <w:rPr>
                <w:rFonts w:hint="eastAsia" w:ascii="宋体" w:hAnsi="宋体"/>
                <w:szCs w:val="21"/>
              </w:rPr>
              <w:t>；</w:t>
            </w:r>
            <w:bookmarkStart w:id="72" w:name="_GoBack"/>
            <w:bookmarkEnd w:id="72"/>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839" w:hRule="atLeast"/>
        </w:trPr>
        <w:tc>
          <w:tcPr>
            <w:tcW w:w="759" w:type="dxa"/>
            <w:vAlign w:val="center"/>
          </w:tcPr>
          <w:p>
            <w:pPr>
              <w:snapToGrid w:val="0"/>
              <w:spacing w:line="360" w:lineRule="auto"/>
              <w:jc w:val="center"/>
              <w:rPr>
                <w:rFonts w:ascii="宋体" w:hAnsi="宋体"/>
                <w:szCs w:val="21"/>
              </w:rPr>
            </w:pPr>
            <w:r>
              <w:rPr>
                <w:rFonts w:hint="eastAsia" w:ascii="宋体" w:hAnsi="宋体"/>
                <w:szCs w:val="21"/>
              </w:rPr>
              <w:t>20</w:t>
            </w:r>
          </w:p>
        </w:tc>
        <w:tc>
          <w:tcPr>
            <w:tcW w:w="8101" w:type="dxa"/>
            <w:vAlign w:val="center"/>
          </w:tcPr>
          <w:p>
            <w:pPr>
              <w:snapToGrid w:val="0"/>
              <w:spacing w:line="360" w:lineRule="auto"/>
              <w:rPr>
                <w:rFonts w:ascii="宋体" w:hAnsi="宋体"/>
                <w:szCs w:val="21"/>
              </w:rPr>
            </w:pPr>
            <w:r>
              <w:rPr>
                <w:rFonts w:hint="eastAsia" w:ascii="宋体" w:hAnsi="宋体"/>
                <w:szCs w:val="21"/>
              </w:rPr>
              <w:t>其他要求：基坑监测方案及房屋安全监测方案报监理及设计审核，经采购单位书面批准后方可执行。</w:t>
            </w:r>
          </w:p>
        </w:tc>
      </w:tr>
    </w:tbl>
    <w:p>
      <w:pPr>
        <w:pStyle w:val="18"/>
        <w:snapToGrid w:val="0"/>
        <w:spacing w:before="120" w:after="120" w:line="360" w:lineRule="auto"/>
        <w:ind w:firstLine="480" w:firstLineChars="200"/>
        <w:rPr>
          <w:rFonts w:hAnsi="宋体"/>
          <w:b/>
          <w:sz w:val="21"/>
          <w:szCs w:val="21"/>
        </w:rPr>
      </w:pPr>
      <w:r>
        <w:rPr>
          <w:rFonts w:hAnsi="宋体"/>
        </w:rPr>
        <w:br w:type="page"/>
      </w:r>
      <w:r>
        <w:rPr>
          <w:rFonts w:hint="eastAsia" w:hAnsi="宋体"/>
          <w:b/>
          <w:sz w:val="21"/>
          <w:szCs w:val="21"/>
        </w:rPr>
        <w:t>一   总  则</w:t>
      </w:r>
    </w:p>
    <w:p>
      <w:pPr>
        <w:snapToGrid w:val="0"/>
        <w:spacing w:line="360" w:lineRule="auto"/>
        <w:ind w:firstLine="413" w:firstLineChars="196"/>
        <w:jc w:val="left"/>
        <w:outlineLvl w:val="1"/>
        <w:rPr>
          <w:rFonts w:ascii="宋体" w:hAnsi="宋体"/>
          <w:szCs w:val="21"/>
        </w:rPr>
      </w:pPr>
      <w:bookmarkStart w:id="3" w:name="_Toc485712529"/>
      <w:r>
        <w:rPr>
          <w:rFonts w:hint="eastAsia" w:ascii="宋体" w:hAnsi="宋体"/>
          <w:b/>
          <w:szCs w:val="21"/>
        </w:rPr>
        <w:t>（一）</w:t>
      </w:r>
      <w:r>
        <w:rPr>
          <w:rFonts w:ascii="宋体" w:hAnsi="宋体"/>
          <w:b/>
          <w:szCs w:val="21"/>
        </w:rPr>
        <w:t xml:space="preserve"> 适用范围</w:t>
      </w:r>
      <w:bookmarkEnd w:id="3"/>
    </w:p>
    <w:p>
      <w:pPr>
        <w:snapToGrid w:val="0"/>
        <w:spacing w:line="360" w:lineRule="auto"/>
        <w:ind w:firstLine="420" w:firstLineChars="200"/>
        <w:jc w:val="left"/>
        <w:rPr>
          <w:rFonts w:ascii="宋体" w:hAnsi="宋体"/>
          <w:szCs w:val="21"/>
        </w:rPr>
      </w:pPr>
      <w:r>
        <w:rPr>
          <w:rFonts w:hint="eastAsia" w:ascii="宋体" w:hAnsi="宋体"/>
          <w:szCs w:val="21"/>
        </w:rPr>
        <w:t>本招标文件适用于宁波市江北区工程建设管理有限公司“人民广场与地下通道工程第三方监测项目”项目的招标、投标、评标、定标、验收、合同履约、付款等行为（法律、法规另有规定的，从其规定）。</w:t>
      </w:r>
    </w:p>
    <w:p>
      <w:pPr>
        <w:snapToGrid w:val="0"/>
        <w:spacing w:beforeLines="50" w:line="360" w:lineRule="auto"/>
        <w:ind w:firstLine="413" w:firstLineChars="196"/>
        <w:jc w:val="left"/>
        <w:outlineLvl w:val="1"/>
        <w:rPr>
          <w:rFonts w:ascii="宋体" w:hAnsi="宋体"/>
          <w:b/>
          <w:szCs w:val="21"/>
        </w:rPr>
      </w:pPr>
      <w:bookmarkStart w:id="4" w:name="_Toc485712530"/>
      <w:r>
        <w:rPr>
          <w:rFonts w:hint="eastAsia" w:ascii="宋体" w:hAnsi="宋体"/>
          <w:b/>
          <w:szCs w:val="21"/>
        </w:rPr>
        <w:t>（二）定义</w:t>
      </w:r>
      <w:bookmarkEnd w:id="4"/>
    </w:p>
    <w:p>
      <w:pPr>
        <w:snapToGrid w:val="0"/>
        <w:spacing w:line="360" w:lineRule="auto"/>
        <w:ind w:firstLine="420" w:firstLineChars="200"/>
        <w:jc w:val="left"/>
        <w:rPr>
          <w:rFonts w:ascii="宋体" w:hAnsi="宋体"/>
          <w:szCs w:val="21"/>
        </w:rPr>
      </w:pPr>
      <w:r>
        <w:rPr>
          <w:rFonts w:ascii="宋体" w:hAnsi="宋体"/>
          <w:szCs w:val="21"/>
        </w:rPr>
        <w:t>1</w:t>
      </w:r>
      <w:r>
        <w:rPr>
          <w:rFonts w:hint="eastAsia" w:ascii="宋体" w:hAnsi="宋体"/>
          <w:szCs w:val="21"/>
        </w:rPr>
        <w:t>、</w:t>
      </w:r>
      <w:r>
        <w:rPr>
          <w:rFonts w:ascii="宋体" w:hAnsi="宋体"/>
          <w:szCs w:val="21"/>
        </w:rPr>
        <w:t>招标采购单位系指组织本次招标的代理机构和采购单位。</w:t>
      </w:r>
    </w:p>
    <w:p>
      <w:pPr>
        <w:snapToGrid w:val="0"/>
        <w:spacing w:line="360" w:lineRule="auto"/>
        <w:ind w:firstLine="420" w:firstLineChars="200"/>
        <w:jc w:val="left"/>
        <w:rPr>
          <w:rFonts w:ascii="宋体" w:hAnsi="宋体"/>
          <w:szCs w:val="21"/>
        </w:rPr>
      </w:pPr>
      <w:r>
        <w:rPr>
          <w:rFonts w:ascii="宋体" w:hAnsi="宋体"/>
          <w:szCs w:val="21"/>
        </w:rPr>
        <w:t>2</w:t>
      </w:r>
      <w:r>
        <w:rPr>
          <w:rFonts w:hint="eastAsia" w:ascii="宋体" w:hAnsi="宋体"/>
          <w:szCs w:val="21"/>
        </w:rPr>
        <w:t>、“</w:t>
      </w:r>
      <w:r>
        <w:rPr>
          <w:rFonts w:ascii="宋体" w:hAnsi="宋体"/>
          <w:szCs w:val="21"/>
        </w:rPr>
        <w:t>投标人”系指向招标方提交投标文件的单位或个人。</w:t>
      </w:r>
    </w:p>
    <w:p>
      <w:pPr>
        <w:snapToGrid w:val="0"/>
        <w:spacing w:line="360" w:lineRule="auto"/>
        <w:ind w:firstLine="420" w:firstLineChars="200"/>
        <w:jc w:val="left"/>
        <w:rPr>
          <w:rFonts w:ascii="宋体" w:hAnsi="宋体"/>
          <w:szCs w:val="21"/>
        </w:rPr>
      </w:pPr>
      <w:r>
        <w:rPr>
          <w:rFonts w:ascii="宋体" w:hAnsi="宋体"/>
          <w:szCs w:val="21"/>
        </w:rPr>
        <w:t>3</w:t>
      </w:r>
      <w:r>
        <w:rPr>
          <w:rFonts w:hint="eastAsia" w:ascii="宋体" w:hAnsi="宋体"/>
          <w:szCs w:val="21"/>
        </w:rPr>
        <w:t>、</w:t>
      </w:r>
      <w:r>
        <w:rPr>
          <w:rFonts w:ascii="宋体" w:hAnsi="宋体"/>
          <w:szCs w:val="21"/>
        </w:rPr>
        <w:t>“产品”系指供方按招标文件规定，须向采购单位提供的一切设备、保险、税金、备品备件、工具、手册及其它有关技术资料和材料。</w:t>
      </w:r>
    </w:p>
    <w:p>
      <w:pPr>
        <w:snapToGrid w:val="0"/>
        <w:spacing w:line="360" w:lineRule="auto"/>
        <w:ind w:firstLine="420" w:firstLineChars="200"/>
        <w:jc w:val="left"/>
        <w:rPr>
          <w:rFonts w:ascii="宋体" w:hAnsi="宋体"/>
          <w:szCs w:val="21"/>
        </w:rPr>
      </w:pPr>
      <w:r>
        <w:rPr>
          <w:rFonts w:ascii="宋体" w:hAnsi="宋体"/>
          <w:szCs w:val="21"/>
        </w:rPr>
        <w:t>4</w:t>
      </w:r>
      <w:r>
        <w:rPr>
          <w:rFonts w:hint="eastAsia" w:ascii="宋体" w:hAnsi="宋体"/>
          <w:szCs w:val="21"/>
        </w:rPr>
        <w:t>、</w:t>
      </w:r>
      <w:r>
        <w:rPr>
          <w:rFonts w:ascii="宋体" w:hAnsi="宋体"/>
          <w:szCs w:val="21"/>
        </w:rPr>
        <w:t>“服务”系指招标文件规定投标人须承担的安装、调试、技术协助、校准、培训、技术指导以及其他类似的义务。</w:t>
      </w:r>
    </w:p>
    <w:p>
      <w:pPr>
        <w:snapToGrid w:val="0"/>
        <w:spacing w:line="360" w:lineRule="auto"/>
        <w:ind w:firstLine="420" w:firstLineChars="200"/>
        <w:jc w:val="left"/>
        <w:rPr>
          <w:rFonts w:ascii="宋体" w:hAnsi="宋体"/>
          <w:szCs w:val="21"/>
        </w:rPr>
      </w:pPr>
      <w:r>
        <w:rPr>
          <w:rFonts w:ascii="宋体" w:hAnsi="宋体"/>
          <w:szCs w:val="21"/>
        </w:rPr>
        <w:t>5</w:t>
      </w:r>
      <w:r>
        <w:rPr>
          <w:rFonts w:hint="eastAsia" w:ascii="宋体" w:hAnsi="宋体"/>
          <w:szCs w:val="21"/>
        </w:rPr>
        <w:t>、</w:t>
      </w:r>
      <w:r>
        <w:rPr>
          <w:rFonts w:ascii="宋体" w:hAnsi="宋体"/>
          <w:szCs w:val="21"/>
        </w:rPr>
        <w:t>“项目”系指投标人按招标文件规定向采购单位提供的产品和服务。</w:t>
      </w:r>
    </w:p>
    <w:p>
      <w:pPr>
        <w:snapToGrid w:val="0"/>
        <w:spacing w:line="360" w:lineRule="auto"/>
        <w:ind w:firstLine="420" w:firstLineChars="200"/>
        <w:jc w:val="left"/>
        <w:rPr>
          <w:rFonts w:ascii="宋体" w:hAnsi="宋体"/>
          <w:szCs w:val="21"/>
        </w:rPr>
      </w:pPr>
      <w:r>
        <w:rPr>
          <w:rFonts w:ascii="宋体" w:hAnsi="宋体"/>
          <w:szCs w:val="21"/>
        </w:rPr>
        <w:t>6</w:t>
      </w:r>
      <w:r>
        <w:rPr>
          <w:rFonts w:hint="eastAsia" w:ascii="宋体" w:hAnsi="宋体"/>
          <w:szCs w:val="21"/>
        </w:rPr>
        <w:t>、</w:t>
      </w:r>
      <w:r>
        <w:rPr>
          <w:rFonts w:ascii="宋体" w:hAnsi="宋体"/>
          <w:szCs w:val="21"/>
        </w:rPr>
        <w:t>“书面形式”包括信函、传真、电报等。</w:t>
      </w:r>
    </w:p>
    <w:p>
      <w:pPr>
        <w:snapToGrid w:val="0"/>
        <w:spacing w:line="360" w:lineRule="auto"/>
        <w:ind w:firstLine="420" w:firstLineChars="200"/>
        <w:jc w:val="left"/>
        <w:rPr>
          <w:rFonts w:ascii="宋体" w:hAnsi="宋体"/>
          <w:szCs w:val="21"/>
        </w:rPr>
      </w:pPr>
      <w:r>
        <w:rPr>
          <w:rFonts w:ascii="宋体" w:hAnsi="宋体"/>
          <w:szCs w:val="21"/>
        </w:rPr>
        <w:t>7</w:t>
      </w:r>
      <w:r>
        <w:rPr>
          <w:rFonts w:hint="eastAsia" w:ascii="宋体" w:hAnsi="宋体"/>
          <w:szCs w:val="21"/>
        </w:rPr>
        <w:t>、</w:t>
      </w:r>
      <w:r>
        <w:rPr>
          <w:rFonts w:ascii="宋体" w:hAnsi="宋体"/>
          <w:szCs w:val="21"/>
        </w:rPr>
        <w:t>“▲”系指实质性要求条款。</w:t>
      </w:r>
    </w:p>
    <w:p>
      <w:pPr>
        <w:snapToGrid w:val="0"/>
        <w:spacing w:beforeLines="50" w:line="360" w:lineRule="auto"/>
        <w:ind w:firstLine="413" w:firstLineChars="196"/>
        <w:jc w:val="left"/>
        <w:outlineLvl w:val="1"/>
        <w:rPr>
          <w:rFonts w:ascii="宋体" w:hAnsi="宋体"/>
          <w:b/>
          <w:szCs w:val="21"/>
        </w:rPr>
      </w:pPr>
      <w:bookmarkStart w:id="5" w:name="_Toc485712531"/>
      <w:r>
        <w:rPr>
          <w:rFonts w:hint="eastAsia" w:ascii="宋体" w:hAnsi="宋体"/>
          <w:b/>
          <w:szCs w:val="21"/>
        </w:rPr>
        <w:t>（三）招标方式</w:t>
      </w:r>
      <w:bookmarkEnd w:id="5"/>
    </w:p>
    <w:p>
      <w:pPr>
        <w:snapToGrid w:val="0"/>
        <w:spacing w:line="360" w:lineRule="auto"/>
        <w:ind w:firstLine="420" w:firstLineChars="200"/>
        <w:jc w:val="left"/>
        <w:rPr>
          <w:rFonts w:ascii="宋体" w:hAnsi="宋体"/>
          <w:szCs w:val="21"/>
        </w:rPr>
      </w:pPr>
      <w:r>
        <w:rPr>
          <w:rFonts w:ascii="宋体" w:hAnsi="宋体"/>
          <w:szCs w:val="21"/>
        </w:rPr>
        <w:t>本次招标采用公开招标方式进行。</w:t>
      </w:r>
    </w:p>
    <w:p>
      <w:pPr>
        <w:snapToGrid w:val="0"/>
        <w:spacing w:beforeLines="50" w:line="360" w:lineRule="auto"/>
        <w:ind w:firstLine="413" w:firstLineChars="196"/>
        <w:jc w:val="left"/>
        <w:outlineLvl w:val="1"/>
        <w:rPr>
          <w:rFonts w:ascii="宋体" w:hAnsi="宋体"/>
          <w:b/>
          <w:szCs w:val="21"/>
        </w:rPr>
      </w:pPr>
      <w:bookmarkStart w:id="6" w:name="_Toc485712532"/>
      <w:r>
        <w:rPr>
          <w:rFonts w:hint="eastAsia" w:ascii="宋体" w:hAnsi="宋体"/>
          <w:b/>
          <w:szCs w:val="21"/>
        </w:rPr>
        <w:t>（四）投标委托</w:t>
      </w:r>
      <w:bookmarkEnd w:id="6"/>
    </w:p>
    <w:p>
      <w:pPr>
        <w:pStyle w:val="13"/>
        <w:snapToGrid w:val="0"/>
        <w:spacing w:line="360" w:lineRule="auto"/>
        <w:ind w:firstLine="420" w:firstLineChars="200"/>
        <w:jc w:val="left"/>
        <w:rPr>
          <w:rFonts w:hAnsi="宋体"/>
          <w:sz w:val="21"/>
          <w:szCs w:val="21"/>
        </w:rPr>
      </w:pPr>
      <w:r>
        <w:rPr>
          <w:rFonts w:hint="eastAsia" w:ascii="Times New Roman" w:hAnsi="宋体"/>
          <w:spacing w:val="0"/>
          <w:sz w:val="21"/>
          <w:szCs w:val="21"/>
        </w:rPr>
        <w:t>投标人代表须携带有效身份证件及授权委托书。如投标人代表不是法定代表人，须有法定代表人出具的授权委托书；否则其投标，将被拒绝。</w:t>
      </w:r>
    </w:p>
    <w:p>
      <w:pPr>
        <w:snapToGrid w:val="0"/>
        <w:spacing w:beforeLines="50" w:line="360" w:lineRule="auto"/>
        <w:ind w:firstLine="413" w:firstLineChars="196"/>
        <w:jc w:val="left"/>
        <w:outlineLvl w:val="1"/>
        <w:rPr>
          <w:rFonts w:ascii="宋体" w:hAnsi="宋体"/>
          <w:b/>
          <w:szCs w:val="21"/>
        </w:rPr>
      </w:pPr>
      <w:bookmarkStart w:id="7" w:name="_Toc485712533"/>
      <w:r>
        <w:rPr>
          <w:rFonts w:hint="eastAsia" w:ascii="宋体" w:hAnsi="宋体"/>
          <w:b/>
          <w:szCs w:val="21"/>
        </w:rPr>
        <w:t>（五）投标费用</w:t>
      </w:r>
      <w:bookmarkEnd w:id="7"/>
    </w:p>
    <w:p>
      <w:pPr>
        <w:snapToGrid w:val="0"/>
        <w:spacing w:line="360" w:lineRule="auto"/>
        <w:ind w:firstLine="420" w:firstLineChars="200"/>
        <w:jc w:val="left"/>
        <w:rPr>
          <w:rFonts w:ascii="宋体" w:hAnsi="宋体"/>
          <w:szCs w:val="21"/>
        </w:rPr>
      </w:pPr>
      <w:r>
        <w:rPr>
          <w:rFonts w:hint="eastAsia" w:ascii="宋体" w:hAnsi="宋体"/>
          <w:szCs w:val="21"/>
        </w:rPr>
        <w:t>不论投标结果如何，投标人均应自行承担所有与投标有关的全部费用（招标文件有相反规定除外）。</w:t>
      </w:r>
    </w:p>
    <w:p>
      <w:pPr>
        <w:snapToGrid w:val="0"/>
        <w:spacing w:beforeLines="50" w:line="360" w:lineRule="auto"/>
        <w:ind w:firstLine="413" w:firstLineChars="196"/>
        <w:jc w:val="left"/>
        <w:rPr>
          <w:rFonts w:ascii="宋体" w:hAnsi="宋体"/>
          <w:b/>
          <w:szCs w:val="21"/>
        </w:rPr>
      </w:pPr>
      <w:r>
        <w:rPr>
          <w:rFonts w:hint="eastAsia" w:ascii="宋体" w:hAnsi="宋体"/>
          <w:b/>
          <w:szCs w:val="21"/>
        </w:rPr>
        <w:t>（六）联合体投标</w:t>
      </w:r>
    </w:p>
    <w:p>
      <w:pPr>
        <w:snapToGrid w:val="0"/>
        <w:spacing w:line="360" w:lineRule="auto"/>
        <w:ind w:firstLine="630" w:firstLineChars="300"/>
        <w:jc w:val="left"/>
        <w:rPr>
          <w:rFonts w:ascii="宋体" w:hAnsi="宋体" w:cs="Arial"/>
          <w:szCs w:val="21"/>
        </w:rPr>
      </w:pPr>
      <w:r>
        <w:rPr>
          <w:rFonts w:hint="eastAsia" w:ascii="宋体" w:hAnsi="宋体" w:cs="Arial"/>
          <w:szCs w:val="21"/>
        </w:rPr>
        <w:t>本项目不接受联合体投标。</w:t>
      </w:r>
    </w:p>
    <w:p>
      <w:pPr>
        <w:snapToGrid w:val="0"/>
        <w:spacing w:beforeLines="50" w:line="360" w:lineRule="auto"/>
        <w:ind w:firstLine="413" w:firstLineChars="196"/>
        <w:rPr>
          <w:rFonts w:ascii="宋体" w:hAnsi="宋体" w:cs="宋体"/>
          <w:b/>
          <w:kern w:val="0"/>
          <w:szCs w:val="21"/>
        </w:rPr>
      </w:pPr>
      <w:r>
        <w:rPr>
          <w:rFonts w:hint="eastAsia" w:ascii="宋体" w:hAnsi="宋体"/>
          <w:b/>
          <w:szCs w:val="21"/>
        </w:rPr>
        <w:t>（七）</w:t>
      </w:r>
      <w:r>
        <w:rPr>
          <w:rFonts w:hint="eastAsia" w:ascii="宋体" w:hAnsi="宋体" w:cs="宋体"/>
          <w:b/>
          <w:kern w:val="0"/>
          <w:szCs w:val="21"/>
        </w:rPr>
        <w:t>转包与分包</w:t>
      </w:r>
    </w:p>
    <w:p>
      <w:pPr>
        <w:snapToGrid w:val="0"/>
        <w:spacing w:line="360" w:lineRule="auto"/>
        <w:ind w:firstLine="420" w:firstLineChars="200"/>
        <w:rPr>
          <w:rFonts w:ascii="宋体" w:hAnsi="宋体" w:cs="宋体"/>
          <w:kern w:val="0"/>
          <w:szCs w:val="21"/>
        </w:rPr>
      </w:pPr>
      <w:r>
        <w:rPr>
          <w:rFonts w:ascii="宋体" w:hAnsi="宋体" w:cs="宋体"/>
          <w:kern w:val="0"/>
          <w:szCs w:val="21"/>
        </w:rPr>
        <w:t>1</w:t>
      </w:r>
      <w:r>
        <w:rPr>
          <w:rFonts w:hint="eastAsia" w:ascii="宋体" w:hAnsi="宋体" w:cs="宋体"/>
          <w:kern w:val="0"/>
          <w:szCs w:val="21"/>
        </w:rPr>
        <w:t>、</w:t>
      </w:r>
      <w:r>
        <w:rPr>
          <w:rFonts w:ascii="宋体" w:hAnsi="宋体" w:cs="宋体"/>
          <w:kern w:val="0"/>
          <w:szCs w:val="21"/>
        </w:rPr>
        <w:t>本项目不允许转包。</w:t>
      </w:r>
    </w:p>
    <w:p>
      <w:pPr>
        <w:snapToGrid w:val="0"/>
        <w:spacing w:line="360" w:lineRule="auto"/>
        <w:ind w:firstLine="420" w:firstLineChars="200"/>
        <w:rPr>
          <w:rFonts w:ascii="宋体" w:hAnsi="宋体"/>
          <w:szCs w:val="21"/>
        </w:rPr>
      </w:pPr>
      <w:r>
        <w:rPr>
          <w:rFonts w:ascii="宋体" w:hAnsi="宋体" w:cs="宋体"/>
          <w:kern w:val="0"/>
          <w:szCs w:val="21"/>
        </w:rPr>
        <w:t>2</w:t>
      </w:r>
      <w:r>
        <w:rPr>
          <w:rFonts w:hint="eastAsia" w:ascii="宋体" w:hAnsi="宋体" w:cs="宋体"/>
          <w:kern w:val="0"/>
          <w:szCs w:val="21"/>
        </w:rPr>
        <w:t>、</w:t>
      </w:r>
      <w:r>
        <w:rPr>
          <w:rFonts w:ascii="宋体" w:hAnsi="宋体" w:cs="宋体"/>
          <w:kern w:val="0"/>
          <w:szCs w:val="21"/>
        </w:rPr>
        <w:t>本项目不可以分包</w:t>
      </w:r>
      <w:r>
        <w:rPr>
          <w:rFonts w:hint="eastAsia" w:ascii="宋体" w:hAnsi="宋体" w:cs="宋体"/>
          <w:kern w:val="0"/>
          <w:szCs w:val="21"/>
        </w:rPr>
        <w:t>。</w:t>
      </w:r>
    </w:p>
    <w:p>
      <w:pPr>
        <w:snapToGrid w:val="0"/>
        <w:spacing w:beforeLines="50" w:line="360" w:lineRule="auto"/>
        <w:ind w:firstLine="413" w:firstLineChars="196"/>
        <w:jc w:val="left"/>
        <w:outlineLvl w:val="1"/>
        <w:rPr>
          <w:rFonts w:ascii="宋体" w:hAnsi="宋体"/>
          <w:b/>
          <w:szCs w:val="21"/>
        </w:rPr>
      </w:pPr>
      <w:bookmarkStart w:id="8" w:name="_Toc485712534"/>
      <w:r>
        <w:rPr>
          <w:rFonts w:hint="eastAsia" w:ascii="宋体" w:hAnsi="宋体"/>
          <w:b/>
          <w:szCs w:val="21"/>
        </w:rPr>
        <w:t>（八）特别说明：</w:t>
      </w:r>
      <w:bookmarkEnd w:id="8"/>
    </w:p>
    <w:p>
      <w:pPr>
        <w:pStyle w:val="18"/>
        <w:snapToGrid w:val="0"/>
        <w:spacing w:beforeLines="0" w:afterLines="0" w:line="360" w:lineRule="auto"/>
        <w:ind w:left="2" w:leftChars="1" w:firstLine="420" w:firstLineChars="200"/>
        <w:rPr>
          <w:rFonts w:hAnsi="宋体"/>
          <w:sz w:val="21"/>
          <w:szCs w:val="21"/>
        </w:rPr>
      </w:pPr>
      <w:r>
        <w:rPr>
          <w:rFonts w:hAnsi="宋体"/>
          <w:sz w:val="21"/>
          <w:szCs w:val="21"/>
        </w:rPr>
        <w:t>▲</w:t>
      </w:r>
      <w:r>
        <w:rPr>
          <w:rFonts w:hint="eastAsia" w:hAnsi="宋体"/>
          <w:sz w:val="21"/>
          <w:szCs w:val="21"/>
        </w:rPr>
        <w:t>1、</w:t>
      </w:r>
      <w:r>
        <w:rPr>
          <w:rFonts w:hAnsi="宋体"/>
          <w:sz w:val="21"/>
          <w:szCs w:val="21"/>
        </w:rPr>
        <w:t>投标人投标所使用的资格、信誉、荣誉、业绩与企业认证必须为本法人所拥有。投标人投标所使用的采购项目实施人员必须为本法人员工。</w:t>
      </w:r>
    </w:p>
    <w:p>
      <w:pPr>
        <w:pStyle w:val="18"/>
        <w:snapToGrid w:val="0"/>
        <w:spacing w:beforeLines="0" w:afterLines="0" w:line="360" w:lineRule="auto"/>
        <w:ind w:left="2" w:leftChars="1" w:firstLine="420" w:firstLineChars="200"/>
        <w:rPr>
          <w:rFonts w:hAnsi="宋体"/>
          <w:sz w:val="21"/>
          <w:szCs w:val="21"/>
        </w:rPr>
      </w:pPr>
      <w:r>
        <w:rPr>
          <w:rFonts w:hAnsi="宋体"/>
          <w:sz w:val="21"/>
          <w:szCs w:val="21"/>
        </w:rPr>
        <w:t>▲</w:t>
      </w:r>
      <w:r>
        <w:rPr>
          <w:rFonts w:hint="eastAsia" w:hAnsi="宋体"/>
          <w:sz w:val="21"/>
          <w:szCs w:val="21"/>
        </w:rPr>
        <w:t>2、</w:t>
      </w:r>
      <w:r>
        <w:rPr>
          <w:rFonts w:hAnsi="宋体"/>
          <w:sz w:val="21"/>
          <w:szCs w:val="21"/>
        </w:rPr>
        <w:t>投标人应仔细阅读招标文件的所有内容，按照招标文件的要求提交投标文件，并对所提供的全部资料的真实性承担法律责任。</w:t>
      </w:r>
    </w:p>
    <w:p>
      <w:pPr>
        <w:pStyle w:val="18"/>
        <w:snapToGrid w:val="0"/>
        <w:spacing w:beforeLines="0" w:afterLines="0" w:line="360" w:lineRule="auto"/>
        <w:ind w:left="2" w:leftChars="1" w:firstLine="420" w:firstLineChars="200"/>
        <w:rPr>
          <w:rFonts w:hAnsi="宋体"/>
          <w:b/>
          <w:sz w:val="21"/>
          <w:szCs w:val="21"/>
        </w:rPr>
      </w:pPr>
      <w:r>
        <w:rPr>
          <w:rFonts w:hAnsi="宋体"/>
          <w:sz w:val="21"/>
          <w:szCs w:val="21"/>
        </w:rPr>
        <w:t>▲</w:t>
      </w:r>
      <w:r>
        <w:rPr>
          <w:rFonts w:hint="eastAsia" w:hAnsi="宋体"/>
          <w:sz w:val="21"/>
          <w:szCs w:val="21"/>
        </w:rPr>
        <w:t>3、</w:t>
      </w:r>
      <w:r>
        <w:rPr>
          <w:rFonts w:hAnsi="宋体"/>
          <w:sz w:val="21"/>
          <w:szCs w:val="21"/>
        </w:rPr>
        <w:t>投标人在投标活动中提供任何虚假材料,其投标无效，并报监管部门查处；中标后发现的,中标人须依照《中华人民共和国消费者权益保护法》第49条之规定双倍赔偿采购单位</w:t>
      </w:r>
      <w:r>
        <w:rPr>
          <w:rFonts w:hint="eastAsia" w:hAnsi="宋体"/>
          <w:sz w:val="21"/>
          <w:szCs w:val="21"/>
        </w:rPr>
        <w:t>，</w:t>
      </w:r>
      <w:r>
        <w:rPr>
          <w:rFonts w:hAnsi="宋体"/>
          <w:sz w:val="21"/>
          <w:szCs w:val="21"/>
        </w:rPr>
        <w:t>且民事赔偿并不免除违法投标人的行政与刑事责任。</w:t>
      </w:r>
    </w:p>
    <w:p>
      <w:pPr>
        <w:pStyle w:val="18"/>
        <w:snapToGrid w:val="0"/>
        <w:spacing w:beforeLines="0" w:afterLines="0" w:line="360" w:lineRule="auto"/>
        <w:ind w:firstLine="413" w:firstLineChars="196"/>
        <w:outlineLvl w:val="1"/>
        <w:rPr>
          <w:rFonts w:hAnsi="宋体"/>
          <w:b/>
          <w:bCs/>
          <w:sz w:val="21"/>
          <w:szCs w:val="21"/>
        </w:rPr>
      </w:pPr>
      <w:bookmarkStart w:id="9" w:name="_Toc485712535"/>
      <w:r>
        <w:rPr>
          <w:rFonts w:hAnsi="宋体"/>
          <w:b/>
          <w:bCs/>
          <w:sz w:val="21"/>
          <w:szCs w:val="21"/>
        </w:rPr>
        <w:t>（九）质疑和投诉</w:t>
      </w:r>
      <w:bookmarkEnd w:id="9"/>
    </w:p>
    <w:p>
      <w:pPr>
        <w:pStyle w:val="18"/>
        <w:snapToGrid w:val="0"/>
        <w:spacing w:beforeLines="0" w:afterLines="0" w:line="360" w:lineRule="auto"/>
        <w:ind w:firstLine="420" w:firstLineChars="200"/>
        <w:rPr>
          <w:rFonts w:hAnsi="宋体"/>
          <w:bCs/>
          <w:sz w:val="21"/>
          <w:szCs w:val="21"/>
        </w:rPr>
      </w:pPr>
      <w:r>
        <w:rPr>
          <w:rFonts w:hAnsi="宋体"/>
          <w:bCs/>
          <w:sz w:val="21"/>
          <w:szCs w:val="21"/>
        </w:rPr>
        <w:t>1</w:t>
      </w:r>
      <w:r>
        <w:rPr>
          <w:rFonts w:hint="eastAsia" w:hAnsi="宋体"/>
          <w:bCs/>
          <w:sz w:val="21"/>
          <w:szCs w:val="21"/>
        </w:rPr>
        <w:t>、</w:t>
      </w:r>
      <w:r>
        <w:rPr>
          <w:rFonts w:hAnsi="宋体"/>
          <w:bCs/>
          <w:sz w:val="21"/>
          <w:szCs w:val="21"/>
        </w:rPr>
        <w:t>投标人认为招标过程</w:t>
      </w:r>
      <w:r>
        <w:rPr>
          <w:rFonts w:hint="eastAsia" w:hAnsi="宋体"/>
          <w:bCs/>
          <w:sz w:val="21"/>
          <w:szCs w:val="21"/>
        </w:rPr>
        <w:t>或</w:t>
      </w:r>
      <w:r>
        <w:rPr>
          <w:rFonts w:hAnsi="宋体"/>
          <w:bCs/>
          <w:sz w:val="21"/>
          <w:szCs w:val="21"/>
        </w:rPr>
        <w:t>中标结果使自己的合法权益受到损害的，应当在知道或者应知其权益受到损害之日起七个工作日内，以书面形式向采购单位、采购代理机构提出质疑。</w:t>
      </w:r>
      <w:r>
        <w:rPr>
          <w:rFonts w:hAnsi="宋体"/>
          <w:sz w:val="21"/>
          <w:szCs w:val="21"/>
        </w:rPr>
        <w:t>投标人对招标采购单位的质疑答复不满意或者招标采购单位未在规定时间内作出答复的，可以在答复期满后十五个工作日内向同级采购监管部门投诉。</w:t>
      </w:r>
    </w:p>
    <w:p>
      <w:pPr>
        <w:pStyle w:val="18"/>
        <w:snapToGrid w:val="0"/>
        <w:spacing w:beforeLines="0" w:afterLines="0" w:line="360" w:lineRule="auto"/>
        <w:ind w:firstLine="420" w:firstLineChars="200"/>
        <w:rPr>
          <w:rFonts w:hAnsi="宋体"/>
          <w:bCs/>
          <w:sz w:val="21"/>
          <w:szCs w:val="21"/>
        </w:rPr>
      </w:pPr>
      <w:r>
        <w:rPr>
          <w:rFonts w:hAnsi="宋体"/>
          <w:bCs/>
          <w:sz w:val="21"/>
          <w:szCs w:val="21"/>
        </w:rPr>
        <w:t>2</w:t>
      </w:r>
      <w:r>
        <w:rPr>
          <w:rFonts w:hint="eastAsia" w:hAnsi="宋体"/>
          <w:bCs/>
          <w:sz w:val="21"/>
          <w:szCs w:val="21"/>
        </w:rPr>
        <w:t>、</w:t>
      </w:r>
      <w:r>
        <w:rPr>
          <w:rFonts w:hAnsi="宋体"/>
          <w:bCs/>
          <w:sz w:val="21"/>
          <w:szCs w:val="21"/>
        </w:rPr>
        <w:t>质疑、投诉应当采用书面形式，质疑书、投诉书均应明确阐述招标文件、招标过程</w:t>
      </w:r>
      <w:r>
        <w:rPr>
          <w:rFonts w:hint="eastAsia" w:hAnsi="宋体"/>
          <w:bCs/>
          <w:sz w:val="21"/>
          <w:szCs w:val="21"/>
        </w:rPr>
        <w:t>或</w:t>
      </w:r>
      <w:r>
        <w:rPr>
          <w:rFonts w:hAnsi="宋体"/>
          <w:bCs/>
          <w:sz w:val="21"/>
          <w:szCs w:val="21"/>
        </w:rPr>
        <w:t>中标结果中使自己合法权益受到损害的实质性内容，提供相关事实、依据和证据及其来源或线索，便于有关单位调查、答复和处理</w:t>
      </w:r>
      <w:r>
        <w:rPr>
          <w:rFonts w:hint="eastAsia" w:hAnsi="宋体"/>
          <w:bCs/>
          <w:sz w:val="21"/>
          <w:szCs w:val="21"/>
        </w:rPr>
        <w:t>。</w:t>
      </w:r>
    </w:p>
    <w:p>
      <w:pPr>
        <w:pStyle w:val="18"/>
        <w:snapToGrid w:val="0"/>
        <w:spacing w:beforeLines="0" w:afterLines="0" w:line="360" w:lineRule="auto"/>
        <w:ind w:firstLine="413" w:firstLineChars="196"/>
        <w:outlineLvl w:val="0"/>
        <w:rPr>
          <w:rFonts w:hAnsi="宋体"/>
          <w:b/>
          <w:sz w:val="21"/>
          <w:szCs w:val="21"/>
        </w:rPr>
      </w:pPr>
      <w:bookmarkStart w:id="10" w:name="_Toc485712536"/>
      <w:r>
        <w:rPr>
          <w:rFonts w:hAnsi="宋体"/>
          <w:b/>
          <w:sz w:val="21"/>
          <w:szCs w:val="21"/>
        </w:rPr>
        <w:t>二  招标文件</w:t>
      </w:r>
      <w:bookmarkEnd w:id="10"/>
    </w:p>
    <w:p>
      <w:pPr>
        <w:snapToGrid w:val="0"/>
        <w:spacing w:line="360" w:lineRule="auto"/>
        <w:ind w:firstLine="413" w:firstLineChars="196"/>
        <w:jc w:val="left"/>
        <w:rPr>
          <w:rFonts w:ascii="宋体" w:hAnsi="宋体"/>
          <w:b/>
          <w:szCs w:val="21"/>
        </w:rPr>
      </w:pPr>
      <w:r>
        <w:rPr>
          <w:rFonts w:hint="eastAsia" w:ascii="宋体" w:hAnsi="宋体"/>
          <w:b/>
          <w:szCs w:val="21"/>
        </w:rPr>
        <w:t>（一）招标文件的构成。本招标文件由以下部份组成：</w:t>
      </w:r>
    </w:p>
    <w:p>
      <w:pPr>
        <w:snapToGrid w:val="0"/>
        <w:spacing w:line="360" w:lineRule="auto"/>
        <w:ind w:firstLine="420" w:firstLineChars="200"/>
        <w:jc w:val="left"/>
        <w:rPr>
          <w:rFonts w:ascii="宋体" w:hAnsi="宋体"/>
          <w:szCs w:val="21"/>
        </w:rPr>
      </w:pPr>
      <w:r>
        <w:rPr>
          <w:rFonts w:ascii="宋体" w:hAnsi="宋体"/>
          <w:szCs w:val="21"/>
        </w:rPr>
        <w:t>1</w:t>
      </w:r>
      <w:r>
        <w:rPr>
          <w:rFonts w:hint="eastAsia" w:ascii="宋体" w:hAnsi="宋体"/>
          <w:szCs w:val="21"/>
        </w:rPr>
        <w:t>、</w:t>
      </w:r>
      <w:r>
        <w:rPr>
          <w:rFonts w:ascii="宋体" w:hAnsi="宋体"/>
          <w:szCs w:val="21"/>
        </w:rPr>
        <w:t>招标公告</w:t>
      </w:r>
    </w:p>
    <w:p>
      <w:pPr>
        <w:snapToGrid w:val="0"/>
        <w:spacing w:line="360" w:lineRule="auto"/>
        <w:ind w:firstLine="420" w:firstLineChars="200"/>
        <w:jc w:val="left"/>
        <w:rPr>
          <w:rFonts w:ascii="宋体" w:hAnsi="宋体"/>
          <w:szCs w:val="21"/>
        </w:rPr>
      </w:pPr>
      <w:r>
        <w:rPr>
          <w:rFonts w:ascii="宋体" w:hAnsi="宋体"/>
          <w:szCs w:val="21"/>
        </w:rPr>
        <w:t>2</w:t>
      </w:r>
      <w:r>
        <w:rPr>
          <w:rFonts w:hint="eastAsia" w:ascii="宋体" w:hAnsi="宋体"/>
          <w:szCs w:val="21"/>
        </w:rPr>
        <w:t>、</w:t>
      </w:r>
      <w:r>
        <w:rPr>
          <w:rFonts w:ascii="宋体" w:hAnsi="宋体"/>
          <w:szCs w:val="21"/>
        </w:rPr>
        <w:t>招标需求</w:t>
      </w:r>
    </w:p>
    <w:p>
      <w:pPr>
        <w:snapToGrid w:val="0"/>
        <w:spacing w:line="360" w:lineRule="auto"/>
        <w:ind w:firstLine="420" w:firstLineChars="200"/>
        <w:jc w:val="left"/>
        <w:rPr>
          <w:rFonts w:ascii="宋体" w:hAnsi="宋体"/>
          <w:szCs w:val="21"/>
        </w:rPr>
      </w:pPr>
      <w:r>
        <w:rPr>
          <w:rFonts w:ascii="宋体" w:hAnsi="宋体"/>
          <w:szCs w:val="21"/>
        </w:rPr>
        <w:t>3</w:t>
      </w:r>
      <w:r>
        <w:rPr>
          <w:rFonts w:hint="eastAsia" w:ascii="宋体" w:hAnsi="宋体"/>
          <w:szCs w:val="21"/>
        </w:rPr>
        <w:t>、</w:t>
      </w:r>
      <w:r>
        <w:rPr>
          <w:rFonts w:ascii="宋体" w:hAnsi="宋体"/>
          <w:szCs w:val="21"/>
        </w:rPr>
        <w:t>投标人须知</w:t>
      </w:r>
    </w:p>
    <w:p>
      <w:pPr>
        <w:snapToGrid w:val="0"/>
        <w:spacing w:line="360" w:lineRule="auto"/>
        <w:ind w:firstLine="420" w:firstLineChars="200"/>
        <w:jc w:val="left"/>
        <w:rPr>
          <w:rFonts w:ascii="宋体" w:hAnsi="宋体"/>
          <w:szCs w:val="21"/>
        </w:rPr>
      </w:pPr>
      <w:r>
        <w:rPr>
          <w:rFonts w:ascii="宋体" w:hAnsi="宋体"/>
          <w:szCs w:val="21"/>
        </w:rPr>
        <w:t>4</w:t>
      </w:r>
      <w:r>
        <w:rPr>
          <w:rFonts w:hint="eastAsia" w:ascii="宋体" w:hAnsi="宋体"/>
          <w:szCs w:val="21"/>
        </w:rPr>
        <w:t>、</w:t>
      </w:r>
      <w:r>
        <w:rPr>
          <w:rFonts w:ascii="宋体" w:hAnsi="宋体"/>
          <w:szCs w:val="21"/>
        </w:rPr>
        <w:t>评标办法及标准</w:t>
      </w:r>
    </w:p>
    <w:p>
      <w:pPr>
        <w:snapToGrid w:val="0"/>
        <w:spacing w:line="360" w:lineRule="auto"/>
        <w:ind w:firstLine="420" w:firstLineChars="200"/>
        <w:jc w:val="left"/>
        <w:rPr>
          <w:rFonts w:ascii="宋体" w:hAnsi="宋体"/>
          <w:szCs w:val="21"/>
        </w:rPr>
      </w:pPr>
      <w:r>
        <w:rPr>
          <w:rFonts w:ascii="宋体" w:hAnsi="宋体"/>
          <w:szCs w:val="21"/>
        </w:rPr>
        <w:t>5</w:t>
      </w:r>
      <w:r>
        <w:rPr>
          <w:rFonts w:hint="eastAsia" w:ascii="宋体" w:hAnsi="宋体"/>
          <w:szCs w:val="21"/>
        </w:rPr>
        <w:t>、</w:t>
      </w:r>
      <w:r>
        <w:rPr>
          <w:rFonts w:ascii="宋体" w:hAnsi="宋体"/>
          <w:szCs w:val="21"/>
        </w:rPr>
        <w:t>合同主要条款</w:t>
      </w:r>
    </w:p>
    <w:p>
      <w:pPr>
        <w:snapToGrid w:val="0"/>
        <w:spacing w:line="360" w:lineRule="auto"/>
        <w:ind w:firstLine="420" w:firstLineChars="200"/>
        <w:jc w:val="left"/>
        <w:rPr>
          <w:rFonts w:ascii="宋体" w:hAnsi="宋体"/>
          <w:szCs w:val="21"/>
        </w:rPr>
      </w:pPr>
      <w:r>
        <w:rPr>
          <w:rFonts w:ascii="宋体" w:hAnsi="宋体"/>
          <w:szCs w:val="21"/>
        </w:rPr>
        <w:t>6</w:t>
      </w:r>
      <w:r>
        <w:rPr>
          <w:rFonts w:hint="eastAsia" w:ascii="宋体" w:hAnsi="宋体"/>
          <w:szCs w:val="21"/>
        </w:rPr>
        <w:t>、</w:t>
      </w:r>
      <w:r>
        <w:rPr>
          <w:rFonts w:ascii="宋体" w:hAnsi="宋体"/>
          <w:szCs w:val="21"/>
        </w:rPr>
        <w:t>投标文件格式</w:t>
      </w:r>
    </w:p>
    <w:p>
      <w:pPr>
        <w:snapToGrid w:val="0"/>
        <w:spacing w:line="360" w:lineRule="auto"/>
        <w:ind w:firstLine="420" w:firstLineChars="200"/>
        <w:jc w:val="left"/>
        <w:rPr>
          <w:rFonts w:ascii="宋体" w:hAnsi="宋体"/>
          <w:szCs w:val="21"/>
        </w:rPr>
      </w:pPr>
      <w:r>
        <w:rPr>
          <w:rFonts w:hint="eastAsia" w:ascii="宋体" w:hAnsi="宋体"/>
          <w:szCs w:val="21"/>
        </w:rPr>
        <w:t>7、本项目</w:t>
      </w:r>
      <w:r>
        <w:rPr>
          <w:rFonts w:ascii="宋体" w:hAnsi="宋体"/>
          <w:szCs w:val="21"/>
        </w:rPr>
        <w:t>招标文件</w:t>
      </w:r>
      <w:r>
        <w:rPr>
          <w:rFonts w:hint="eastAsia" w:ascii="宋体" w:hAnsi="宋体"/>
          <w:szCs w:val="21"/>
        </w:rPr>
        <w:t>的</w:t>
      </w:r>
      <w:r>
        <w:rPr>
          <w:rFonts w:ascii="宋体" w:hAnsi="宋体"/>
          <w:szCs w:val="21"/>
        </w:rPr>
        <w:t>澄清、答复、修改、补充的内容</w:t>
      </w:r>
    </w:p>
    <w:p>
      <w:pPr>
        <w:snapToGrid w:val="0"/>
        <w:spacing w:beforeLines="50" w:line="360" w:lineRule="auto"/>
        <w:ind w:firstLine="413" w:firstLineChars="196"/>
        <w:jc w:val="left"/>
        <w:rPr>
          <w:rFonts w:ascii="宋体" w:hAnsi="宋体"/>
          <w:b/>
          <w:szCs w:val="21"/>
        </w:rPr>
      </w:pPr>
      <w:r>
        <w:rPr>
          <w:rFonts w:hint="eastAsia" w:ascii="宋体" w:hAnsi="宋体"/>
          <w:b/>
          <w:szCs w:val="21"/>
        </w:rPr>
        <w:t>（二）投标人的风险</w:t>
      </w:r>
    </w:p>
    <w:p>
      <w:pPr>
        <w:pStyle w:val="30"/>
        <w:spacing w:line="360" w:lineRule="auto"/>
        <w:ind w:firstLine="420"/>
        <w:rPr>
          <w:rFonts w:ascii="宋体" w:eastAsia="宋体"/>
          <w:color w:val="auto"/>
          <w:sz w:val="21"/>
          <w:szCs w:val="21"/>
        </w:rPr>
      </w:pPr>
      <w:r>
        <w:rPr>
          <w:rFonts w:hint="eastAsia" w:ascii="宋体" w:eastAsia="宋体"/>
          <w:color w:val="auto"/>
          <w:sz w:val="21"/>
          <w:szCs w:val="21"/>
        </w:rPr>
        <w:t>投标人没有按照招标文件要求提供全部资料，或者投标人没有对招标文件在各方面作出实质性响应是投标人的风险，并可能导致其投标被拒绝。</w:t>
      </w:r>
    </w:p>
    <w:p>
      <w:pPr>
        <w:pStyle w:val="7"/>
        <w:widowControl w:val="0"/>
        <w:numPr>
          <w:ilvl w:val="0"/>
          <w:numId w:val="0"/>
        </w:numPr>
        <w:snapToGrid w:val="0"/>
        <w:spacing w:beforeLines="50" w:afterLines="0" w:line="360" w:lineRule="auto"/>
        <w:ind w:firstLine="413" w:firstLineChars="196"/>
        <w:rPr>
          <w:rFonts w:ascii="宋体" w:hAnsi="宋体"/>
          <w:b/>
          <w:sz w:val="21"/>
          <w:szCs w:val="21"/>
        </w:rPr>
      </w:pPr>
      <w:r>
        <w:rPr>
          <w:rFonts w:hint="eastAsia" w:ascii="宋体" w:hAnsi="宋体"/>
          <w:b/>
          <w:sz w:val="21"/>
          <w:szCs w:val="21"/>
        </w:rPr>
        <w:t>（三）招标文件的澄清与修改</w:t>
      </w:r>
      <w:r>
        <w:rPr>
          <w:rFonts w:ascii="宋体" w:hAnsi="宋体"/>
          <w:b/>
          <w:sz w:val="21"/>
          <w:szCs w:val="21"/>
        </w:rPr>
        <w:t xml:space="preserve"> </w:t>
      </w:r>
    </w:p>
    <w:p>
      <w:pPr>
        <w:pStyle w:val="18"/>
        <w:snapToGrid w:val="0"/>
        <w:spacing w:beforeLines="0" w:afterLines="0" w:line="360" w:lineRule="auto"/>
        <w:ind w:firstLine="420" w:firstLineChars="200"/>
        <w:rPr>
          <w:rFonts w:hAnsi="宋体"/>
          <w:b/>
          <w:sz w:val="21"/>
          <w:szCs w:val="21"/>
        </w:rPr>
      </w:pPr>
      <w:r>
        <w:rPr>
          <w:rFonts w:hAnsi="宋体"/>
          <w:sz w:val="21"/>
          <w:szCs w:val="21"/>
        </w:rPr>
        <w:t>1</w:t>
      </w:r>
      <w:r>
        <w:rPr>
          <w:rFonts w:hint="eastAsia" w:hAnsi="宋体"/>
          <w:sz w:val="21"/>
          <w:szCs w:val="21"/>
        </w:rPr>
        <w:t>、</w:t>
      </w:r>
      <w:r>
        <w:rPr>
          <w:rFonts w:hAnsi="宋体"/>
          <w:b/>
          <w:bCs/>
          <w:sz w:val="21"/>
          <w:szCs w:val="21"/>
        </w:rPr>
        <w:t>投标人应认真阅读本招标文件，发现其中有误或有不合理要求的，</w:t>
      </w:r>
      <w:r>
        <w:rPr>
          <w:rFonts w:hint="eastAsia" w:hAnsi="宋体"/>
          <w:b/>
          <w:sz w:val="21"/>
          <w:szCs w:val="21"/>
        </w:rPr>
        <w:t>应当于招标文件要求提交投标文件截止时间五日前，以书面形式向招标采购单位提出，逾期不予受理。</w:t>
      </w:r>
      <w:r>
        <w:rPr>
          <w:rFonts w:hAnsi="宋体"/>
          <w:b/>
          <w:sz w:val="21"/>
          <w:szCs w:val="21"/>
        </w:rPr>
        <w:t>采购代理机构对已发出的招标文件进行必要澄清、答复、修改或补充的，应当在招标文件要求提交投标文件截止时间</w:t>
      </w:r>
      <w:r>
        <w:rPr>
          <w:rFonts w:hint="eastAsia" w:hAnsi="宋体"/>
          <w:b/>
          <w:sz w:val="21"/>
          <w:szCs w:val="21"/>
        </w:rPr>
        <w:t>三</w:t>
      </w:r>
      <w:r>
        <w:rPr>
          <w:rFonts w:hAnsi="宋体"/>
          <w:b/>
          <w:sz w:val="21"/>
          <w:szCs w:val="21"/>
        </w:rPr>
        <w:t>日</w:t>
      </w:r>
      <w:r>
        <w:rPr>
          <w:rFonts w:hint="eastAsia" w:hAnsi="宋体"/>
          <w:b/>
          <w:sz w:val="21"/>
          <w:szCs w:val="21"/>
        </w:rPr>
        <w:t>（实质性内容有大的修改，需十五日）</w:t>
      </w:r>
      <w:r>
        <w:rPr>
          <w:rFonts w:hAnsi="宋体"/>
          <w:b/>
          <w:sz w:val="21"/>
          <w:szCs w:val="21"/>
        </w:rPr>
        <w:t>前，在财政部门指定的政府采购信息发布媒体上发布更正公告，并以书面形式通知所有招标文件收受人。</w:t>
      </w:r>
    </w:p>
    <w:p>
      <w:pPr>
        <w:pStyle w:val="18"/>
        <w:snapToGrid w:val="0"/>
        <w:spacing w:beforeLines="0" w:afterLines="0" w:line="360" w:lineRule="auto"/>
        <w:ind w:firstLine="420" w:firstLineChars="200"/>
        <w:rPr>
          <w:rFonts w:hAnsi="宋体"/>
          <w:sz w:val="21"/>
          <w:szCs w:val="21"/>
        </w:rPr>
      </w:pPr>
      <w:r>
        <w:rPr>
          <w:rFonts w:hAnsi="宋体"/>
          <w:sz w:val="21"/>
          <w:szCs w:val="21"/>
        </w:rPr>
        <w:t>2</w:t>
      </w:r>
      <w:r>
        <w:rPr>
          <w:rFonts w:hint="eastAsia" w:hAnsi="宋体"/>
          <w:sz w:val="21"/>
          <w:szCs w:val="21"/>
        </w:rPr>
        <w:t>、</w:t>
      </w:r>
      <w:r>
        <w:rPr>
          <w:rFonts w:hAnsi="宋体"/>
          <w:sz w:val="21"/>
          <w:szCs w:val="21"/>
        </w:rPr>
        <w:t>采购代理机构必须以书面形式答复投标人要求澄清的问题，并将不包含问题来源的答复书面通知所有购买招标文件的投标人；除书面答复以外的其他澄清方式及澄清内容均无效。</w:t>
      </w:r>
    </w:p>
    <w:p>
      <w:pPr>
        <w:pStyle w:val="18"/>
        <w:snapToGrid w:val="0"/>
        <w:spacing w:beforeLines="0" w:afterLines="0" w:line="360" w:lineRule="auto"/>
        <w:ind w:firstLine="420" w:firstLineChars="200"/>
        <w:rPr>
          <w:rFonts w:hAnsi="宋体"/>
          <w:sz w:val="21"/>
          <w:szCs w:val="21"/>
        </w:rPr>
      </w:pPr>
      <w:r>
        <w:rPr>
          <w:rFonts w:hint="eastAsia" w:hAnsi="宋体"/>
          <w:sz w:val="21"/>
          <w:szCs w:val="21"/>
        </w:rPr>
        <w:t>3、</w:t>
      </w:r>
      <w:r>
        <w:rPr>
          <w:rFonts w:hAnsi="宋体"/>
          <w:sz w:val="21"/>
          <w:szCs w:val="21"/>
        </w:rPr>
        <w:t>招标文件澄清、答复、修改、补充的内容为招标文件的组成部分。当招标文件与招标文件的答复、澄清、修改、补充通知就同一内容的表述不一致时，以最后发出的书面文件为准。</w:t>
      </w:r>
    </w:p>
    <w:p>
      <w:pPr>
        <w:pStyle w:val="18"/>
        <w:snapToGrid w:val="0"/>
        <w:spacing w:beforeLines="0" w:afterLines="0" w:line="360" w:lineRule="auto"/>
        <w:ind w:firstLine="420" w:firstLineChars="200"/>
        <w:rPr>
          <w:rFonts w:hAnsi="宋体"/>
          <w:sz w:val="21"/>
          <w:szCs w:val="21"/>
        </w:rPr>
      </w:pPr>
      <w:r>
        <w:rPr>
          <w:rFonts w:hint="eastAsia" w:hAnsi="宋体"/>
          <w:sz w:val="21"/>
          <w:szCs w:val="21"/>
        </w:rPr>
        <w:t>4、</w:t>
      </w:r>
      <w:r>
        <w:rPr>
          <w:rFonts w:hAnsi="宋体"/>
          <w:sz w:val="21"/>
          <w:szCs w:val="21"/>
        </w:rPr>
        <w:t>招标文件的澄清、答复、修改或补充都应该通过本代理机构以法定形式发布，采购单位非通过本机构，不得擅自澄清、答复、修改或补充招标文件。</w:t>
      </w:r>
    </w:p>
    <w:p>
      <w:pPr>
        <w:pStyle w:val="18"/>
        <w:snapToGrid w:val="0"/>
        <w:spacing w:beforeLines="0" w:afterLines="0" w:line="360" w:lineRule="auto"/>
        <w:ind w:firstLine="413" w:firstLineChars="196"/>
        <w:outlineLvl w:val="1"/>
        <w:rPr>
          <w:rFonts w:hAnsi="宋体"/>
          <w:b/>
          <w:sz w:val="21"/>
          <w:szCs w:val="21"/>
        </w:rPr>
      </w:pPr>
      <w:bookmarkStart w:id="11" w:name="_Toc485712537"/>
      <w:r>
        <w:rPr>
          <w:rFonts w:hAnsi="宋体"/>
          <w:b/>
          <w:sz w:val="21"/>
          <w:szCs w:val="21"/>
        </w:rPr>
        <w:t>三、投标文件的编制</w:t>
      </w:r>
      <w:bookmarkEnd w:id="11"/>
    </w:p>
    <w:p>
      <w:pPr>
        <w:snapToGrid w:val="0"/>
        <w:spacing w:line="360" w:lineRule="auto"/>
        <w:ind w:firstLine="413" w:firstLineChars="196"/>
        <w:jc w:val="left"/>
        <w:outlineLvl w:val="0"/>
        <w:rPr>
          <w:rFonts w:ascii="宋体" w:hAnsi="宋体"/>
          <w:b/>
          <w:szCs w:val="21"/>
        </w:rPr>
      </w:pPr>
      <w:bookmarkStart w:id="12" w:name="_Toc485712538"/>
      <w:r>
        <w:rPr>
          <w:rFonts w:hint="eastAsia" w:ascii="宋体" w:hAnsi="宋体"/>
          <w:b/>
          <w:szCs w:val="21"/>
        </w:rPr>
        <w:t>（一）投标文件的组成</w:t>
      </w:r>
      <w:bookmarkEnd w:id="12"/>
    </w:p>
    <w:p>
      <w:pPr>
        <w:snapToGrid w:val="0"/>
        <w:spacing w:line="360" w:lineRule="auto"/>
        <w:ind w:firstLine="420" w:firstLineChars="200"/>
        <w:jc w:val="left"/>
        <w:rPr>
          <w:rFonts w:ascii="宋体" w:hAnsi="宋体"/>
          <w:szCs w:val="21"/>
        </w:rPr>
      </w:pPr>
      <w:r>
        <w:rPr>
          <w:rFonts w:hint="eastAsia" w:ascii="宋体" w:hAnsi="宋体"/>
          <w:szCs w:val="21"/>
        </w:rPr>
        <w:t>投标文件由报价文件和技术商务文件组成。</w:t>
      </w:r>
      <w:r>
        <w:rPr>
          <w:rFonts w:hint="eastAsia" w:ascii="宋体" w:hAnsi="宋体"/>
          <w:b/>
          <w:bCs/>
          <w:szCs w:val="21"/>
        </w:rPr>
        <w:t>（分子包编制）</w:t>
      </w:r>
    </w:p>
    <w:p>
      <w:pPr>
        <w:snapToGrid w:val="0"/>
        <w:spacing w:line="360" w:lineRule="auto"/>
        <w:ind w:firstLine="411" w:firstLineChars="196"/>
        <w:jc w:val="left"/>
        <w:rPr>
          <w:rFonts w:ascii="宋体" w:hAnsi="宋体"/>
          <w:szCs w:val="21"/>
        </w:rPr>
      </w:pPr>
      <w:r>
        <w:rPr>
          <w:rFonts w:ascii="宋体" w:hAnsi="宋体"/>
          <w:szCs w:val="21"/>
        </w:rPr>
        <w:t>1</w:t>
      </w:r>
      <w:r>
        <w:rPr>
          <w:rFonts w:hint="eastAsia" w:ascii="宋体" w:hAnsi="宋体"/>
          <w:szCs w:val="21"/>
        </w:rPr>
        <w:t>、 报价文件包括以下内容：</w:t>
      </w:r>
    </w:p>
    <w:p>
      <w:pPr>
        <w:tabs>
          <w:tab w:val="left" w:pos="518"/>
        </w:tabs>
        <w:adjustRightInd w:val="0"/>
        <w:snapToGrid w:val="0"/>
        <w:spacing w:line="360" w:lineRule="auto"/>
        <w:ind w:left="240"/>
        <w:rPr>
          <w:rFonts w:ascii="宋体" w:hAnsi="宋体"/>
          <w:szCs w:val="21"/>
        </w:rPr>
      </w:pPr>
      <w:r>
        <w:rPr>
          <w:rFonts w:hint="eastAsia" w:ascii="宋体" w:hAnsi="宋体"/>
          <w:szCs w:val="21"/>
        </w:rPr>
        <w:t>（1）投标函（格式见第六章 投标文件格式）；</w:t>
      </w:r>
    </w:p>
    <w:p>
      <w:pPr>
        <w:tabs>
          <w:tab w:val="left" w:pos="518"/>
        </w:tabs>
        <w:adjustRightInd w:val="0"/>
        <w:snapToGrid w:val="0"/>
        <w:spacing w:line="360" w:lineRule="auto"/>
        <w:ind w:left="238"/>
        <w:rPr>
          <w:rFonts w:ascii="宋体" w:hAnsi="宋体"/>
          <w:szCs w:val="21"/>
        </w:rPr>
      </w:pPr>
      <w:r>
        <w:rPr>
          <w:rFonts w:hint="eastAsia" w:ascii="宋体" w:hAnsi="宋体"/>
          <w:szCs w:val="21"/>
        </w:rPr>
        <w:t>（2）开标一览表（格式见第六章 投标文件格式）；</w:t>
      </w:r>
    </w:p>
    <w:p>
      <w:pPr>
        <w:tabs>
          <w:tab w:val="left" w:pos="518"/>
        </w:tabs>
        <w:adjustRightInd w:val="0"/>
        <w:snapToGrid w:val="0"/>
        <w:spacing w:line="360" w:lineRule="auto"/>
        <w:ind w:left="238"/>
        <w:rPr>
          <w:rFonts w:ascii="宋体" w:hAnsi="宋体"/>
          <w:szCs w:val="21"/>
        </w:rPr>
      </w:pPr>
      <w:r>
        <w:rPr>
          <w:rFonts w:hint="eastAsia" w:ascii="宋体" w:hAnsi="宋体"/>
          <w:szCs w:val="21"/>
        </w:rPr>
        <w:t>（3）投标报价明细表（格式见第六章 投标文件格式）。</w:t>
      </w:r>
    </w:p>
    <w:p>
      <w:pPr>
        <w:tabs>
          <w:tab w:val="left" w:pos="518"/>
        </w:tabs>
        <w:adjustRightInd w:val="0"/>
        <w:snapToGrid w:val="0"/>
        <w:spacing w:line="360" w:lineRule="auto"/>
        <w:ind w:left="238"/>
        <w:rPr>
          <w:rFonts w:ascii="宋体" w:hAnsi="宋体"/>
          <w:szCs w:val="21"/>
        </w:rPr>
      </w:pPr>
      <w:r>
        <w:rPr>
          <w:rFonts w:hint="eastAsia" w:ascii="宋体" w:hAnsi="宋体"/>
          <w:szCs w:val="21"/>
        </w:rPr>
        <w:t>（4）投标单位声明函（格式见第六章 投标文件格式）；</w:t>
      </w:r>
    </w:p>
    <w:p>
      <w:pPr>
        <w:tabs>
          <w:tab w:val="left" w:pos="518"/>
        </w:tabs>
        <w:adjustRightInd w:val="0"/>
        <w:snapToGrid w:val="0"/>
        <w:spacing w:line="360" w:lineRule="auto"/>
        <w:ind w:left="238"/>
        <w:rPr>
          <w:rFonts w:ascii="宋体" w:hAnsi="宋体"/>
          <w:szCs w:val="21"/>
        </w:rPr>
      </w:pPr>
      <w:r>
        <w:rPr>
          <w:rFonts w:hint="eastAsia" w:ascii="宋体" w:hAnsi="宋体"/>
          <w:szCs w:val="21"/>
        </w:rPr>
        <w:t>（5）</w:t>
      </w:r>
      <w:r>
        <w:rPr>
          <w:rFonts w:hint="eastAsia" w:ascii="宋体" w:hAnsi="宋体"/>
          <w:szCs w:val="21"/>
        </w:rPr>
        <w:tab/>
      </w:r>
      <w:r>
        <w:rPr>
          <w:rFonts w:hint="eastAsia" w:ascii="宋体" w:hAnsi="宋体"/>
          <w:szCs w:val="21"/>
        </w:rPr>
        <w:t>中小企业声明函（格式见第六章 投标文件格式）；</w:t>
      </w:r>
    </w:p>
    <w:p>
      <w:pPr>
        <w:tabs>
          <w:tab w:val="left" w:pos="518"/>
        </w:tabs>
        <w:adjustRightInd w:val="0"/>
        <w:snapToGrid w:val="0"/>
        <w:spacing w:line="360" w:lineRule="auto"/>
        <w:ind w:left="238"/>
        <w:rPr>
          <w:rFonts w:ascii="宋体" w:hAnsi="宋体"/>
          <w:szCs w:val="21"/>
        </w:rPr>
      </w:pPr>
      <w:r>
        <w:rPr>
          <w:rFonts w:hint="eastAsia" w:ascii="宋体" w:hAnsi="宋体"/>
          <w:szCs w:val="21"/>
        </w:rPr>
        <w:t>（6）残疾人福利性单位声明函（如有需提供）（格式见第六章 投标文件格式）</w:t>
      </w:r>
    </w:p>
    <w:p>
      <w:pPr>
        <w:snapToGrid w:val="0"/>
        <w:spacing w:line="360" w:lineRule="auto"/>
        <w:ind w:firstLine="411" w:firstLineChars="196"/>
        <w:jc w:val="left"/>
        <w:rPr>
          <w:rFonts w:ascii="宋体" w:hAnsi="宋体"/>
          <w:szCs w:val="21"/>
        </w:rPr>
      </w:pPr>
      <w:r>
        <w:rPr>
          <w:rFonts w:ascii="宋体" w:hAnsi="宋体"/>
          <w:bCs/>
          <w:szCs w:val="21"/>
        </w:rPr>
        <w:t>2</w:t>
      </w:r>
      <w:r>
        <w:rPr>
          <w:rFonts w:hint="eastAsia" w:ascii="宋体" w:hAnsi="宋体"/>
          <w:bCs/>
          <w:szCs w:val="21"/>
        </w:rPr>
        <w:t>、</w:t>
      </w:r>
      <w:r>
        <w:rPr>
          <w:rFonts w:hint="eastAsia" w:ascii="宋体" w:hAnsi="宋体"/>
          <w:szCs w:val="21"/>
        </w:rPr>
        <w:t>技术商务文件包括以下内容：</w:t>
      </w:r>
    </w:p>
    <w:p>
      <w:pPr>
        <w:snapToGrid w:val="0"/>
        <w:spacing w:line="360" w:lineRule="auto"/>
        <w:ind w:firstLine="411" w:firstLineChars="196"/>
        <w:jc w:val="left"/>
        <w:rPr>
          <w:rFonts w:ascii="宋体" w:hAnsi="宋体"/>
          <w:szCs w:val="21"/>
        </w:rPr>
      </w:pPr>
      <w:r>
        <w:rPr>
          <w:rFonts w:ascii="宋体" w:hAnsi="宋体"/>
          <w:szCs w:val="21"/>
        </w:rPr>
        <w:t>技术部分</w:t>
      </w:r>
    </w:p>
    <w:p>
      <w:pPr>
        <w:numPr>
          <w:ilvl w:val="0"/>
          <w:numId w:val="5"/>
        </w:numPr>
        <w:spacing w:line="360" w:lineRule="auto"/>
        <w:rPr>
          <w:rFonts w:ascii="宋体" w:hAnsi="宋体"/>
          <w:szCs w:val="21"/>
        </w:rPr>
      </w:pPr>
      <w:r>
        <w:rPr>
          <w:rFonts w:hint="eastAsia" w:ascii="宋体" w:hAnsi="宋体"/>
          <w:szCs w:val="21"/>
        </w:rPr>
        <w:t>服务</w:t>
      </w:r>
      <w:r>
        <w:rPr>
          <w:rFonts w:ascii="宋体" w:hAnsi="宋体"/>
          <w:szCs w:val="21"/>
        </w:rPr>
        <w:t>技术方案（格式</w:t>
      </w:r>
      <w:r>
        <w:rPr>
          <w:rFonts w:hint="eastAsia" w:ascii="宋体" w:hAnsi="宋体"/>
          <w:szCs w:val="21"/>
        </w:rPr>
        <w:t>自拟</w:t>
      </w:r>
      <w:r>
        <w:rPr>
          <w:rFonts w:ascii="宋体" w:hAnsi="宋体"/>
          <w:szCs w:val="21"/>
        </w:rPr>
        <w:t>）；</w:t>
      </w:r>
    </w:p>
    <w:p>
      <w:pPr>
        <w:numPr>
          <w:ilvl w:val="0"/>
          <w:numId w:val="5"/>
        </w:numPr>
        <w:spacing w:line="360" w:lineRule="auto"/>
        <w:rPr>
          <w:rFonts w:ascii="宋体" w:hAnsi="宋体"/>
          <w:szCs w:val="21"/>
        </w:rPr>
      </w:pPr>
      <w:r>
        <w:rPr>
          <w:rFonts w:ascii="宋体" w:hAnsi="宋体"/>
          <w:szCs w:val="21"/>
        </w:rPr>
        <w:t>投标人同类项目业绩（格式见第六章 投标文件格式）</w:t>
      </w:r>
    </w:p>
    <w:p>
      <w:pPr>
        <w:numPr>
          <w:ilvl w:val="0"/>
          <w:numId w:val="5"/>
        </w:numPr>
        <w:spacing w:line="360" w:lineRule="auto"/>
        <w:rPr>
          <w:rFonts w:ascii="宋体" w:hAnsi="宋体"/>
          <w:szCs w:val="21"/>
        </w:rPr>
      </w:pPr>
      <w:r>
        <w:rPr>
          <w:rFonts w:ascii="宋体" w:hAnsi="宋体"/>
          <w:szCs w:val="21"/>
        </w:rPr>
        <w:t>评审内容要求或投标人需要说明的其他文件和说明</w:t>
      </w:r>
    </w:p>
    <w:p>
      <w:pPr>
        <w:snapToGrid w:val="0"/>
        <w:spacing w:line="360" w:lineRule="auto"/>
        <w:ind w:firstLine="411" w:firstLineChars="196"/>
        <w:jc w:val="left"/>
        <w:rPr>
          <w:rFonts w:ascii="宋体" w:hAnsi="宋体"/>
          <w:szCs w:val="21"/>
        </w:rPr>
      </w:pPr>
      <w:r>
        <w:rPr>
          <w:rFonts w:ascii="宋体" w:hAnsi="宋体"/>
          <w:szCs w:val="21"/>
        </w:rPr>
        <w:t>商务部分</w:t>
      </w:r>
    </w:p>
    <w:p>
      <w:pPr>
        <w:numPr>
          <w:ilvl w:val="0"/>
          <w:numId w:val="6"/>
        </w:numPr>
        <w:spacing w:line="360" w:lineRule="auto"/>
        <w:rPr>
          <w:rFonts w:ascii="宋体" w:hAnsi="宋体"/>
          <w:szCs w:val="21"/>
        </w:rPr>
      </w:pPr>
      <w:r>
        <w:rPr>
          <w:rFonts w:ascii="宋体" w:hAnsi="宋体"/>
          <w:szCs w:val="21"/>
        </w:rPr>
        <w:t>投标人情况介绍；</w:t>
      </w:r>
    </w:p>
    <w:p>
      <w:pPr>
        <w:numPr>
          <w:ilvl w:val="0"/>
          <w:numId w:val="6"/>
        </w:numPr>
        <w:spacing w:line="360" w:lineRule="auto"/>
        <w:rPr>
          <w:rFonts w:ascii="宋体" w:hAnsi="宋体"/>
          <w:szCs w:val="21"/>
        </w:rPr>
      </w:pPr>
      <w:r>
        <w:rPr>
          <w:rFonts w:ascii="宋体" w:hAnsi="宋体"/>
          <w:szCs w:val="21"/>
        </w:rPr>
        <w:t>供应商基本情况表；（格式见第六章 投标文件格式）</w:t>
      </w:r>
    </w:p>
    <w:p>
      <w:pPr>
        <w:numPr>
          <w:ilvl w:val="0"/>
          <w:numId w:val="6"/>
        </w:numPr>
        <w:spacing w:line="360" w:lineRule="auto"/>
        <w:rPr>
          <w:rFonts w:ascii="宋体" w:hAnsi="宋体"/>
          <w:szCs w:val="21"/>
        </w:rPr>
      </w:pPr>
      <w:r>
        <w:rPr>
          <w:rFonts w:ascii="宋体" w:hAnsi="宋体"/>
          <w:szCs w:val="21"/>
        </w:rPr>
        <w:t>商务响应表（格式见第六章 投标文件格式）；</w:t>
      </w:r>
    </w:p>
    <w:p>
      <w:pPr>
        <w:snapToGrid w:val="0"/>
        <w:spacing w:line="360" w:lineRule="auto"/>
        <w:ind w:left="382" w:leftChars="182" w:firstLine="225" w:firstLineChars="150"/>
        <w:jc w:val="left"/>
        <w:rPr>
          <w:rFonts w:ascii="宋体" w:hAnsi="宋体"/>
          <w:szCs w:val="21"/>
        </w:rPr>
      </w:pPr>
      <w:r>
        <w:rPr>
          <w:rFonts w:ascii="宋体" w:hAnsi="宋体"/>
          <w:sz w:val="15"/>
          <w:szCs w:val="15"/>
        </w:rPr>
        <w:t>●</w:t>
      </w:r>
      <w:r>
        <w:rPr>
          <w:rFonts w:hint="eastAsia" w:ascii="宋体" w:hAnsi="宋体"/>
          <w:sz w:val="15"/>
          <w:szCs w:val="15"/>
        </w:rPr>
        <w:t xml:space="preserve">    </w:t>
      </w:r>
      <w:r>
        <w:rPr>
          <w:rFonts w:ascii="宋体" w:hAnsi="宋体"/>
          <w:szCs w:val="21"/>
        </w:rPr>
        <w:t>有效的营业执照副本的复印件加盖公章</w:t>
      </w:r>
      <w:r>
        <w:rPr>
          <w:rFonts w:hint="eastAsia" w:ascii="宋体" w:hAnsi="宋体"/>
          <w:szCs w:val="21"/>
        </w:rPr>
        <w:t>；</w:t>
      </w:r>
    </w:p>
    <w:p>
      <w:pPr>
        <w:snapToGrid w:val="0"/>
        <w:spacing w:line="360" w:lineRule="auto"/>
        <w:ind w:left="382" w:leftChars="182" w:firstLine="225" w:firstLineChars="150"/>
        <w:jc w:val="left"/>
        <w:rPr>
          <w:rFonts w:ascii="宋体" w:hAnsi="宋体"/>
          <w:szCs w:val="21"/>
        </w:rPr>
      </w:pPr>
      <w:r>
        <w:rPr>
          <w:rFonts w:ascii="宋体" w:hAnsi="宋体"/>
          <w:sz w:val="15"/>
          <w:szCs w:val="15"/>
        </w:rPr>
        <w:t>●</w:t>
      </w:r>
      <w:r>
        <w:rPr>
          <w:rFonts w:hint="eastAsia" w:ascii="宋体" w:hAnsi="宋体"/>
          <w:sz w:val="15"/>
          <w:szCs w:val="15"/>
        </w:rPr>
        <w:t xml:space="preserve">    </w:t>
      </w:r>
      <w:r>
        <w:rPr>
          <w:rFonts w:hint="eastAsia" w:ascii="宋体" w:hAnsi="宋体"/>
          <w:szCs w:val="21"/>
        </w:rPr>
        <w:t>投标人</w:t>
      </w:r>
      <w:r>
        <w:rPr>
          <w:rFonts w:ascii="宋体" w:hAnsi="宋体"/>
          <w:szCs w:val="21"/>
        </w:rPr>
        <w:t>基本账户开户许可证</w:t>
      </w:r>
      <w:r>
        <w:rPr>
          <w:rFonts w:hint="eastAsia" w:ascii="宋体" w:hAnsi="宋体"/>
          <w:szCs w:val="21"/>
        </w:rPr>
        <w:t>及投标保证金转账回单</w:t>
      </w:r>
      <w:r>
        <w:rPr>
          <w:rFonts w:ascii="宋体" w:hAnsi="宋体"/>
          <w:szCs w:val="21"/>
        </w:rPr>
        <w:t>复印件</w:t>
      </w:r>
      <w:r>
        <w:rPr>
          <w:rFonts w:hint="eastAsia" w:ascii="宋体" w:hAnsi="宋体"/>
          <w:szCs w:val="21"/>
        </w:rPr>
        <w:t>加盖公章</w:t>
      </w:r>
      <w:r>
        <w:rPr>
          <w:rFonts w:ascii="宋体" w:hAnsi="宋体"/>
          <w:szCs w:val="21"/>
        </w:rPr>
        <w:t>；</w:t>
      </w:r>
    </w:p>
    <w:p>
      <w:pPr>
        <w:snapToGrid w:val="0"/>
        <w:spacing w:line="360" w:lineRule="auto"/>
        <w:ind w:left="382" w:leftChars="182" w:firstLine="225" w:firstLineChars="150"/>
        <w:jc w:val="left"/>
        <w:rPr>
          <w:rFonts w:ascii="宋体" w:hAnsi="宋体"/>
          <w:szCs w:val="21"/>
        </w:rPr>
      </w:pPr>
      <w:r>
        <w:rPr>
          <w:rFonts w:ascii="宋体" w:hAnsi="宋体"/>
          <w:sz w:val="15"/>
          <w:szCs w:val="15"/>
        </w:rPr>
        <w:t>●</w:t>
      </w:r>
      <w:r>
        <w:rPr>
          <w:rFonts w:hint="eastAsia" w:ascii="宋体" w:hAnsi="宋体"/>
          <w:sz w:val="15"/>
          <w:szCs w:val="15"/>
        </w:rPr>
        <w:t xml:space="preserve">    </w:t>
      </w:r>
      <w:r>
        <w:rPr>
          <w:rFonts w:ascii="宋体" w:hAnsi="宋体"/>
          <w:szCs w:val="21"/>
        </w:rPr>
        <w:t>有效的税务登记证副本复印件加盖公章；（</w:t>
      </w:r>
      <w:r>
        <w:rPr>
          <w:rFonts w:hint="eastAsia" w:ascii="宋体" w:hAnsi="宋体"/>
          <w:szCs w:val="21"/>
        </w:rPr>
        <w:t>如已办理五证合一，无需提供</w:t>
      </w:r>
      <w:r>
        <w:rPr>
          <w:rFonts w:ascii="宋体" w:hAnsi="宋体"/>
          <w:szCs w:val="21"/>
        </w:rPr>
        <w:t>）</w:t>
      </w:r>
    </w:p>
    <w:p>
      <w:pPr>
        <w:numPr>
          <w:ilvl w:val="0"/>
          <w:numId w:val="6"/>
        </w:numPr>
        <w:spacing w:line="360" w:lineRule="auto"/>
        <w:rPr>
          <w:rFonts w:ascii="宋体" w:hAnsi="宋体"/>
          <w:szCs w:val="21"/>
        </w:rPr>
      </w:pPr>
      <w:r>
        <w:rPr>
          <w:rFonts w:ascii="宋体" w:hAnsi="宋体"/>
          <w:szCs w:val="21"/>
        </w:rPr>
        <w:t>法定代表人授权委托书</w:t>
      </w:r>
      <w:r>
        <w:rPr>
          <w:rFonts w:hint="eastAsia" w:ascii="宋体" w:hAnsi="宋体"/>
          <w:szCs w:val="21"/>
        </w:rPr>
        <w:t>。</w:t>
      </w:r>
      <w:r>
        <w:rPr>
          <w:rFonts w:ascii="宋体" w:hAnsi="宋体"/>
          <w:szCs w:val="21"/>
        </w:rPr>
        <w:t>（格式见第六章 投标文件格式）</w:t>
      </w:r>
    </w:p>
    <w:p>
      <w:pPr>
        <w:numPr>
          <w:ilvl w:val="0"/>
          <w:numId w:val="6"/>
        </w:numPr>
        <w:spacing w:line="360" w:lineRule="auto"/>
        <w:rPr>
          <w:rFonts w:ascii="宋体" w:hAnsi="宋体"/>
          <w:szCs w:val="21"/>
        </w:rPr>
      </w:pPr>
      <w:r>
        <w:rPr>
          <w:rFonts w:ascii="宋体" w:hAnsi="宋体"/>
          <w:szCs w:val="21"/>
        </w:rPr>
        <w:t>投标人认为有必要提供的其他文件。</w:t>
      </w:r>
    </w:p>
    <w:p>
      <w:pPr>
        <w:pStyle w:val="33"/>
        <w:widowControl w:val="0"/>
        <w:spacing w:before="0" w:afterLines="0" w:line="360" w:lineRule="auto"/>
        <w:ind w:firstLine="420" w:firstLineChars="200"/>
        <w:rPr>
          <w:bCs/>
          <w:color w:val="auto"/>
          <w:sz w:val="21"/>
          <w:szCs w:val="21"/>
        </w:rPr>
      </w:pPr>
      <w:r>
        <w:rPr>
          <w:color w:val="auto"/>
          <w:sz w:val="21"/>
          <w:szCs w:val="21"/>
        </w:rPr>
        <w:t>▲</w:t>
      </w:r>
      <w:r>
        <w:rPr>
          <w:bCs/>
          <w:color w:val="auto"/>
          <w:sz w:val="21"/>
          <w:szCs w:val="21"/>
        </w:rPr>
        <w:t>注：</w:t>
      </w:r>
      <w:r>
        <w:rPr>
          <w:rFonts w:hint="eastAsia"/>
          <w:bCs/>
          <w:color w:val="auto"/>
          <w:sz w:val="21"/>
          <w:szCs w:val="21"/>
        </w:rPr>
        <w:t>技术商务文件中不能出现报价。</w:t>
      </w:r>
    </w:p>
    <w:p>
      <w:pPr>
        <w:snapToGrid w:val="0"/>
        <w:spacing w:line="360" w:lineRule="auto"/>
        <w:ind w:firstLine="413" w:firstLineChars="196"/>
        <w:jc w:val="left"/>
        <w:outlineLvl w:val="0"/>
        <w:rPr>
          <w:rFonts w:ascii="宋体" w:hAnsi="宋体"/>
          <w:b/>
          <w:szCs w:val="21"/>
        </w:rPr>
      </w:pPr>
      <w:bookmarkStart w:id="13" w:name="_Toc485712539"/>
      <w:r>
        <w:rPr>
          <w:rFonts w:hint="eastAsia" w:ascii="宋体" w:hAnsi="宋体"/>
          <w:b/>
          <w:szCs w:val="21"/>
        </w:rPr>
        <w:t>（二）投标文件的语言及计量</w:t>
      </w:r>
      <w:bookmarkEnd w:id="13"/>
    </w:p>
    <w:p>
      <w:pPr>
        <w:snapToGrid w:val="0"/>
        <w:spacing w:line="360" w:lineRule="auto"/>
        <w:ind w:firstLine="420" w:firstLineChars="200"/>
        <w:jc w:val="left"/>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w:t>
      </w:r>
      <w:r>
        <w:rPr>
          <w:rFonts w:ascii="宋体" w:hAnsi="宋体"/>
          <w:szCs w:val="21"/>
        </w:rPr>
        <w:t>投标文件以及投标方与招标方就有关投标事宜的所有来往函电，均应以中文汉语书写。除签名、盖章、专用名称等特殊情形外，以中文汉语以外的文字表述的投标文件视同未提供。</w:t>
      </w:r>
    </w:p>
    <w:p>
      <w:pPr>
        <w:snapToGrid w:val="0"/>
        <w:spacing w:line="360" w:lineRule="auto"/>
        <w:ind w:firstLine="420" w:firstLineChars="200"/>
        <w:jc w:val="left"/>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w:t>
      </w:r>
      <w:r>
        <w:rPr>
          <w:rFonts w:ascii="宋体" w:hAnsi="宋体"/>
          <w:szCs w:val="21"/>
        </w:rPr>
        <w:t>投标计量单位，招标文件已有明确规定的，使用招标文件规定的计量单位；招标文件没有规定的，应采用中华人民共和国法定计量单位（货币单位：人民币元），否则视同未响应。</w:t>
      </w:r>
    </w:p>
    <w:p>
      <w:pPr>
        <w:snapToGrid w:val="0"/>
        <w:spacing w:beforeLines="50" w:line="360" w:lineRule="auto"/>
        <w:ind w:firstLine="413" w:firstLineChars="196"/>
        <w:jc w:val="left"/>
        <w:outlineLvl w:val="0"/>
        <w:rPr>
          <w:rFonts w:ascii="宋体" w:hAnsi="宋体"/>
          <w:b/>
          <w:szCs w:val="21"/>
        </w:rPr>
      </w:pPr>
      <w:bookmarkStart w:id="14" w:name="_Toc485712540"/>
      <w:r>
        <w:rPr>
          <w:rFonts w:hint="eastAsia" w:ascii="宋体" w:hAnsi="宋体"/>
          <w:b/>
          <w:szCs w:val="21"/>
        </w:rPr>
        <w:t>（三）投标报价</w:t>
      </w:r>
      <w:bookmarkEnd w:id="14"/>
    </w:p>
    <w:p>
      <w:pPr>
        <w:pStyle w:val="18"/>
        <w:snapToGrid w:val="0"/>
        <w:spacing w:beforeLines="0" w:afterLines="0" w:line="360" w:lineRule="auto"/>
        <w:ind w:firstLine="420" w:firstLineChars="200"/>
        <w:jc w:val="left"/>
        <w:rPr>
          <w:rFonts w:hAnsi="宋体"/>
          <w:sz w:val="21"/>
          <w:szCs w:val="21"/>
        </w:rPr>
      </w:pPr>
      <w:r>
        <w:rPr>
          <w:rFonts w:hAnsi="宋体"/>
          <w:sz w:val="21"/>
          <w:szCs w:val="21"/>
        </w:rPr>
        <w:t>1</w:t>
      </w:r>
      <w:r>
        <w:rPr>
          <w:rFonts w:hint="eastAsia" w:hAnsi="宋体"/>
          <w:sz w:val="21"/>
          <w:szCs w:val="21"/>
        </w:rPr>
        <w:t>、</w:t>
      </w:r>
      <w:r>
        <w:rPr>
          <w:rFonts w:hAnsi="宋体"/>
          <w:sz w:val="21"/>
          <w:szCs w:val="21"/>
        </w:rPr>
        <w:t>投标报价应按招标文件中相关附表格式填写。</w:t>
      </w:r>
    </w:p>
    <w:p>
      <w:pPr>
        <w:pStyle w:val="18"/>
        <w:snapToGrid w:val="0"/>
        <w:spacing w:beforeLines="0" w:afterLines="0" w:line="360" w:lineRule="auto"/>
        <w:ind w:firstLine="420" w:firstLineChars="200"/>
        <w:jc w:val="left"/>
        <w:rPr>
          <w:rFonts w:hAnsi="宋体"/>
          <w:sz w:val="21"/>
          <w:szCs w:val="21"/>
        </w:rPr>
      </w:pPr>
      <w:r>
        <w:rPr>
          <w:rFonts w:hAnsi="宋体"/>
          <w:sz w:val="21"/>
          <w:szCs w:val="21"/>
        </w:rPr>
        <w:t>▲2</w:t>
      </w:r>
      <w:r>
        <w:rPr>
          <w:rFonts w:hint="eastAsia" w:hAnsi="宋体"/>
          <w:sz w:val="21"/>
          <w:szCs w:val="21"/>
        </w:rPr>
        <w:t>、</w:t>
      </w:r>
      <w:r>
        <w:rPr>
          <w:rFonts w:hAnsi="宋体"/>
          <w:sz w:val="21"/>
          <w:szCs w:val="21"/>
        </w:rPr>
        <w:t>投标报价是履行合同的最终价格，应包括货款、标准附件、备品备件、专用工具、包装、运输、装卸、保险、税金、货到就位以及安装、调试、培训、保修等一切税金和费用。</w:t>
      </w:r>
    </w:p>
    <w:p>
      <w:pPr>
        <w:tabs>
          <w:tab w:val="left" w:pos="525"/>
        </w:tabs>
        <w:snapToGrid w:val="0"/>
        <w:spacing w:line="360" w:lineRule="auto"/>
        <w:ind w:firstLine="420" w:firstLineChars="200"/>
        <w:jc w:val="left"/>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w:t>
      </w:r>
      <w:r>
        <w:rPr>
          <w:rFonts w:ascii="宋体" w:hAnsi="宋体"/>
          <w:szCs w:val="21"/>
        </w:rPr>
        <w:t>投标文件只允许有一个报价，有选择的</w:t>
      </w:r>
      <w:r>
        <w:rPr>
          <w:rFonts w:hint="eastAsia" w:ascii="宋体" w:hAnsi="宋体"/>
          <w:szCs w:val="21"/>
        </w:rPr>
        <w:t>或有条件的</w:t>
      </w:r>
      <w:r>
        <w:rPr>
          <w:rFonts w:ascii="宋体" w:hAnsi="宋体"/>
          <w:szCs w:val="21"/>
        </w:rPr>
        <w:t>报价将不予接受。</w:t>
      </w:r>
    </w:p>
    <w:p>
      <w:pPr>
        <w:pStyle w:val="7"/>
        <w:widowControl w:val="0"/>
        <w:numPr>
          <w:ilvl w:val="0"/>
          <w:numId w:val="0"/>
        </w:numPr>
        <w:snapToGrid w:val="0"/>
        <w:spacing w:beforeLines="50" w:afterLines="0" w:line="360" w:lineRule="auto"/>
        <w:ind w:firstLine="413" w:firstLineChars="196"/>
        <w:rPr>
          <w:rFonts w:ascii="宋体" w:hAnsi="宋体"/>
          <w:b/>
          <w:sz w:val="21"/>
          <w:szCs w:val="21"/>
        </w:rPr>
      </w:pPr>
      <w:r>
        <w:rPr>
          <w:rFonts w:hint="eastAsia" w:ascii="宋体" w:hAnsi="宋体"/>
          <w:b/>
          <w:sz w:val="21"/>
          <w:szCs w:val="21"/>
        </w:rPr>
        <w:t>（四）投标文件的有效期</w:t>
      </w:r>
    </w:p>
    <w:p>
      <w:pPr>
        <w:pStyle w:val="7"/>
        <w:widowControl w:val="0"/>
        <w:numPr>
          <w:ilvl w:val="0"/>
          <w:numId w:val="0"/>
        </w:numPr>
        <w:snapToGrid w:val="0"/>
        <w:spacing w:afterLines="0" w:line="360" w:lineRule="auto"/>
        <w:ind w:firstLine="420" w:firstLineChars="200"/>
        <w:rPr>
          <w:rFonts w:ascii="宋体" w:hAnsi="宋体"/>
          <w:sz w:val="21"/>
          <w:szCs w:val="21"/>
        </w:rPr>
      </w:pPr>
      <w:r>
        <w:rPr>
          <w:rFonts w:hint="eastAsia" w:ascii="宋体" w:hAnsi="宋体"/>
          <w:sz w:val="21"/>
          <w:szCs w:val="21"/>
        </w:rPr>
        <w:t>▲</w:t>
      </w:r>
      <w:r>
        <w:rPr>
          <w:rFonts w:ascii="宋体" w:hAnsi="宋体"/>
          <w:sz w:val="21"/>
          <w:szCs w:val="21"/>
        </w:rPr>
        <w:t>1</w:t>
      </w:r>
      <w:r>
        <w:rPr>
          <w:rFonts w:hint="eastAsia" w:ascii="宋体" w:hAnsi="宋体"/>
          <w:sz w:val="21"/>
          <w:szCs w:val="21"/>
        </w:rPr>
        <w:t>、</w:t>
      </w:r>
      <w:r>
        <w:rPr>
          <w:rFonts w:ascii="宋体" w:hAnsi="宋体"/>
          <w:sz w:val="21"/>
          <w:szCs w:val="21"/>
        </w:rPr>
        <w:t>自投标截止日起</w:t>
      </w:r>
      <w:r>
        <w:rPr>
          <w:rFonts w:ascii="宋体" w:hAnsi="宋体"/>
          <w:sz w:val="21"/>
          <w:szCs w:val="21"/>
          <w:u w:val="single"/>
        </w:rPr>
        <w:t xml:space="preserve"> </w:t>
      </w:r>
      <w:r>
        <w:rPr>
          <w:rFonts w:hint="eastAsia" w:ascii="宋体" w:hAnsi="宋体"/>
          <w:sz w:val="21"/>
          <w:szCs w:val="21"/>
          <w:u w:val="single"/>
        </w:rPr>
        <w:t>60</w:t>
      </w:r>
      <w:r>
        <w:rPr>
          <w:rFonts w:ascii="宋体" w:hAnsi="宋体"/>
          <w:sz w:val="21"/>
          <w:szCs w:val="21"/>
          <w:u w:val="single"/>
        </w:rPr>
        <w:t xml:space="preserve"> </w:t>
      </w:r>
      <w:r>
        <w:rPr>
          <w:rFonts w:ascii="宋体" w:hAnsi="宋体"/>
          <w:sz w:val="21"/>
          <w:szCs w:val="21"/>
        </w:rPr>
        <w:t>天投标</w:t>
      </w:r>
      <w:r>
        <w:rPr>
          <w:rFonts w:hint="eastAsia" w:ascii="宋体" w:hAnsi="宋体"/>
          <w:sz w:val="21"/>
          <w:szCs w:val="21"/>
        </w:rPr>
        <w:t>文件</w:t>
      </w:r>
      <w:r>
        <w:rPr>
          <w:rFonts w:ascii="宋体" w:hAnsi="宋体"/>
          <w:sz w:val="21"/>
          <w:szCs w:val="21"/>
        </w:rPr>
        <w:t>应保持有效。有效期</w:t>
      </w:r>
      <w:r>
        <w:rPr>
          <w:rFonts w:hint="eastAsia" w:ascii="宋体" w:hAnsi="宋体"/>
          <w:sz w:val="21"/>
          <w:szCs w:val="21"/>
        </w:rPr>
        <w:t>不足</w:t>
      </w:r>
      <w:r>
        <w:rPr>
          <w:rFonts w:ascii="宋体" w:hAnsi="宋体"/>
          <w:sz w:val="21"/>
          <w:szCs w:val="21"/>
        </w:rPr>
        <w:t>的投标</w:t>
      </w:r>
      <w:r>
        <w:rPr>
          <w:rFonts w:hint="eastAsia" w:ascii="宋体" w:hAnsi="宋体"/>
          <w:sz w:val="21"/>
          <w:szCs w:val="21"/>
        </w:rPr>
        <w:t>文件</w:t>
      </w:r>
      <w:r>
        <w:rPr>
          <w:rFonts w:ascii="宋体" w:hAnsi="宋体"/>
          <w:sz w:val="21"/>
          <w:szCs w:val="21"/>
        </w:rPr>
        <w:t>将被拒绝。</w:t>
      </w:r>
    </w:p>
    <w:p>
      <w:pPr>
        <w:pStyle w:val="7"/>
        <w:widowControl w:val="0"/>
        <w:numPr>
          <w:ilvl w:val="0"/>
          <w:numId w:val="0"/>
        </w:numPr>
        <w:snapToGrid w:val="0"/>
        <w:spacing w:afterLines="0" w:line="360" w:lineRule="auto"/>
        <w:ind w:firstLine="420" w:firstLineChars="200"/>
        <w:rPr>
          <w:rFonts w:ascii="宋体" w:hAnsi="宋体"/>
          <w:sz w:val="21"/>
          <w:szCs w:val="21"/>
        </w:rPr>
      </w:pPr>
      <w:r>
        <w:rPr>
          <w:rFonts w:ascii="宋体" w:hAnsi="宋体"/>
          <w:sz w:val="21"/>
          <w:szCs w:val="21"/>
        </w:rPr>
        <w:t>2</w:t>
      </w:r>
      <w:r>
        <w:rPr>
          <w:rFonts w:hint="eastAsia" w:ascii="宋体" w:hAnsi="宋体"/>
          <w:sz w:val="21"/>
          <w:szCs w:val="21"/>
        </w:rPr>
        <w:t>、</w:t>
      </w:r>
      <w:r>
        <w:rPr>
          <w:rFonts w:ascii="宋体" w:hAnsi="宋体"/>
          <w:sz w:val="21"/>
          <w:szCs w:val="21"/>
        </w:rPr>
        <w:t>在特殊情况下，招标人可与投标人协商延长投标书的有效期，这种要求和答复均以书面形式进行。</w:t>
      </w:r>
    </w:p>
    <w:p>
      <w:pPr>
        <w:snapToGrid w:val="0"/>
        <w:spacing w:line="360" w:lineRule="auto"/>
        <w:ind w:firstLine="420" w:firstLineChars="200"/>
        <w:jc w:val="left"/>
        <w:outlineLvl w:val="0"/>
        <w:rPr>
          <w:rFonts w:ascii="宋体" w:hAnsi="宋体"/>
          <w:b/>
          <w:szCs w:val="21"/>
        </w:rPr>
      </w:pPr>
      <w:bookmarkStart w:id="15" w:name="_Toc485712541"/>
      <w:r>
        <w:rPr>
          <w:rFonts w:ascii="宋体" w:hAnsi="宋体"/>
          <w:szCs w:val="21"/>
        </w:rPr>
        <w:t>3</w:t>
      </w:r>
      <w:r>
        <w:rPr>
          <w:rFonts w:hint="eastAsia" w:ascii="宋体" w:hAnsi="宋体"/>
          <w:szCs w:val="21"/>
        </w:rPr>
        <w:t>、</w:t>
      </w:r>
      <w:r>
        <w:rPr>
          <w:rFonts w:ascii="宋体" w:hAnsi="宋体"/>
          <w:szCs w:val="21"/>
        </w:rPr>
        <w:t>投标人可拒绝接受延期要求而不会导致投标保证金被没收。同意延长有效期的投标人需要相应延长投标保证金的有效期，但不能修改投标文件。</w:t>
      </w:r>
      <w:bookmarkEnd w:id="15"/>
      <w:r>
        <w:rPr>
          <w:rFonts w:ascii="宋体" w:hAnsi="宋体"/>
          <w:b/>
          <w:szCs w:val="21"/>
        </w:rPr>
        <w:t xml:space="preserve"> </w:t>
      </w:r>
    </w:p>
    <w:p>
      <w:pPr>
        <w:snapToGrid w:val="0"/>
        <w:spacing w:line="360" w:lineRule="auto"/>
        <w:ind w:firstLine="420" w:firstLineChars="200"/>
        <w:jc w:val="left"/>
        <w:outlineLvl w:val="0"/>
        <w:rPr>
          <w:rFonts w:ascii="宋体" w:hAnsi="宋体"/>
          <w:b/>
          <w:szCs w:val="21"/>
        </w:rPr>
      </w:pPr>
      <w:bookmarkStart w:id="16" w:name="_Toc485712542"/>
      <w:r>
        <w:rPr>
          <w:rFonts w:ascii="宋体" w:hAnsi="宋体"/>
          <w:szCs w:val="21"/>
        </w:rPr>
        <w:t>4</w:t>
      </w:r>
      <w:r>
        <w:rPr>
          <w:rFonts w:hint="eastAsia" w:ascii="宋体" w:hAnsi="宋体"/>
          <w:szCs w:val="21"/>
        </w:rPr>
        <w:t>、</w:t>
      </w:r>
      <w:r>
        <w:rPr>
          <w:rFonts w:ascii="宋体" w:hAnsi="宋体"/>
          <w:szCs w:val="21"/>
        </w:rPr>
        <w:t>中标人的投标文件自开标之日起至合同履行完毕止均应保持有效。</w:t>
      </w:r>
      <w:bookmarkEnd w:id="16"/>
    </w:p>
    <w:p>
      <w:pPr>
        <w:snapToGrid w:val="0"/>
        <w:spacing w:beforeLines="50" w:line="360" w:lineRule="auto"/>
        <w:ind w:firstLine="413" w:firstLineChars="196"/>
        <w:jc w:val="left"/>
        <w:outlineLvl w:val="0"/>
        <w:rPr>
          <w:rFonts w:ascii="宋体" w:hAnsi="宋体"/>
          <w:b/>
          <w:szCs w:val="21"/>
        </w:rPr>
      </w:pPr>
      <w:bookmarkStart w:id="17" w:name="_Toc485712543"/>
      <w:r>
        <w:rPr>
          <w:rFonts w:hint="eastAsia" w:ascii="宋体" w:hAnsi="宋体"/>
          <w:b/>
          <w:szCs w:val="21"/>
        </w:rPr>
        <w:t>（五）投标保证金</w:t>
      </w:r>
      <w:bookmarkEnd w:id="17"/>
    </w:p>
    <w:p>
      <w:pPr>
        <w:snapToGrid w:val="0"/>
        <w:spacing w:line="360" w:lineRule="auto"/>
        <w:ind w:firstLine="420" w:firstLineChars="200"/>
        <w:jc w:val="left"/>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w:t>
      </w:r>
      <w:r>
        <w:rPr>
          <w:rFonts w:ascii="宋体" w:hAnsi="宋体"/>
          <w:szCs w:val="21"/>
        </w:rPr>
        <w:t>投标人须</w:t>
      </w:r>
      <w:r>
        <w:rPr>
          <w:rFonts w:hint="eastAsia" w:ascii="宋体" w:hAnsi="宋体"/>
          <w:szCs w:val="21"/>
        </w:rPr>
        <w:t>按规定</w:t>
      </w:r>
      <w:r>
        <w:rPr>
          <w:rFonts w:ascii="宋体" w:hAnsi="宋体"/>
          <w:szCs w:val="21"/>
        </w:rPr>
        <w:t>提交投标保证金。否则，其投标将被拒绝。</w:t>
      </w:r>
    </w:p>
    <w:p>
      <w:pPr>
        <w:snapToGrid w:val="0"/>
        <w:spacing w:line="360" w:lineRule="auto"/>
        <w:ind w:firstLine="420" w:firstLineChars="200"/>
        <w:jc w:val="left"/>
        <w:rPr>
          <w:rFonts w:ascii="宋体" w:hAnsi="宋体"/>
          <w:szCs w:val="21"/>
        </w:rPr>
      </w:pPr>
      <w:r>
        <w:rPr>
          <w:rFonts w:ascii="宋体" w:hAnsi="宋体"/>
          <w:szCs w:val="21"/>
        </w:rPr>
        <w:t>2</w:t>
      </w:r>
      <w:r>
        <w:rPr>
          <w:rFonts w:hint="eastAsia" w:ascii="宋体" w:hAnsi="宋体"/>
          <w:szCs w:val="21"/>
        </w:rPr>
        <w:t>、</w:t>
      </w:r>
      <w:r>
        <w:rPr>
          <w:rFonts w:ascii="宋体" w:hAnsi="宋体"/>
          <w:szCs w:val="21"/>
        </w:rPr>
        <w:t xml:space="preserve">保证金形式： </w:t>
      </w:r>
      <w:r>
        <w:rPr>
          <w:rFonts w:ascii="宋体" w:hAnsi="宋体"/>
          <w:szCs w:val="21"/>
          <w:u w:val="single"/>
        </w:rPr>
        <w:t xml:space="preserve"> </w:t>
      </w:r>
      <w:r>
        <w:rPr>
          <w:rFonts w:hint="eastAsia" w:ascii="宋体" w:hAnsi="宋体"/>
          <w:szCs w:val="21"/>
          <w:u w:val="single"/>
        </w:rPr>
        <w:t xml:space="preserve">网银汇款 </w:t>
      </w:r>
      <w:r>
        <w:rPr>
          <w:rFonts w:hint="eastAsia" w:ascii="宋体" w:hAnsi="宋体"/>
          <w:szCs w:val="21"/>
        </w:rPr>
        <w:t>；投标人的保证金缴纳必须从企业工商注册所在地的基本账户中划转，不得缴纳现金。从他人帐户、投标人企业的其他账户缴纳的投标保证金无效。如用电汇或汇票的，请在用途栏内注明“交易登记号”字样。</w:t>
      </w:r>
    </w:p>
    <w:p>
      <w:pPr>
        <w:snapToGrid w:val="0"/>
        <w:spacing w:line="360" w:lineRule="auto"/>
        <w:ind w:firstLine="420" w:firstLineChars="200"/>
        <w:jc w:val="left"/>
        <w:rPr>
          <w:rFonts w:ascii="宋体" w:hAnsi="宋体"/>
          <w:szCs w:val="21"/>
        </w:rPr>
      </w:pPr>
      <w:r>
        <w:rPr>
          <w:rFonts w:ascii="宋体" w:hAnsi="宋体"/>
          <w:szCs w:val="21"/>
        </w:rPr>
        <w:t>3</w:t>
      </w:r>
      <w:r>
        <w:rPr>
          <w:rFonts w:hint="eastAsia" w:ascii="宋体" w:hAnsi="宋体"/>
          <w:szCs w:val="21"/>
        </w:rPr>
        <w:t>、</w:t>
      </w:r>
      <w:r>
        <w:rPr>
          <w:rFonts w:ascii="宋体" w:hAnsi="宋体"/>
          <w:szCs w:val="21"/>
        </w:rPr>
        <w:t>未中标人</w:t>
      </w:r>
      <w:r>
        <w:rPr>
          <w:rFonts w:hint="eastAsia" w:ascii="宋体" w:hAnsi="宋体"/>
          <w:szCs w:val="21"/>
        </w:rPr>
        <w:t>的投标</w:t>
      </w:r>
      <w:r>
        <w:rPr>
          <w:rFonts w:ascii="宋体" w:hAnsi="宋体"/>
          <w:szCs w:val="21"/>
        </w:rPr>
        <w:t>保证金在</w:t>
      </w:r>
      <w:r>
        <w:rPr>
          <w:rFonts w:hint="eastAsia" w:ascii="宋体" w:hAnsi="宋体"/>
          <w:szCs w:val="21"/>
        </w:rPr>
        <w:t>中标通知书发出后5个工作日内退还</w:t>
      </w:r>
      <w:r>
        <w:rPr>
          <w:rFonts w:ascii="宋体" w:hAnsi="宋体"/>
          <w:szCs w:val="21"/>
        </w:rPr>
        <w:t>。</w:t>
      </w:r>
    </w:p>
    <w:p>
      <w:pPr>
        <w:snapToGrid w:val="0"/>
        <w:spacing w:line="360" w:lineRule="auto"/>
        <w:ind w:firstLine="420" w:firstLineChars="200"/>
        <w:jc w:val="left"/>
        <w:rPr>
          <w:rFonts w:ascii="宋体" w:hAnsi="宋体"/>
          <w:szCs w:val="21"/>
        </w:rPr>
      </w:pPr>
      <w:r>
        <w:rPr>
          <w:rFonts w:ascii="宋体" w:hAnsi="宋体"/>
          <w:szCs w:val="21"/>
        </w:rPr>
        <w:t>4</w:t>
      </w:r>
      <w:r>
        <w:rPr>
          <w:rFonts w:hint="eastAsia" w:ascii="宋体" w:hAnsi="宋体"/>
          <w:szCs w:val="21"/>
        </w:rPr>
        <w:t xml:space="preserve">、 </w:t>
      </w:r>
      <w:r>
        <w:rPr>
          <w:rFonts w:ascii="宋体" w:hAnsi="宋体"/>
          <w:szCs w:val="21"/>
        </w:rPr>
        <w:t>中标人应在中标通知书发出</w:t>
      </w:r>
      <w:r>
        <w:rPr>
          <w:rFonts w:hint="eastAsia" w:ascii="宋体" w:hAnsi="宋体"/>
          <w:szCs w:val="21"/>
        </w:rPr>
        <w:t>后</w:t>
      </w:r>
      <w:r>
        <w:rPr>
          <w:rFonts w:ascii="宋体" w:hAnsi="宋体"/>
          <w:szCs w:val="21"/>
          <w:u w:val="single"/>
        </w:rPr>
        <w:t xml:space="preserve"> </w:t>
      </w:r>
      <w:r>
        <w:rPr>
          <w:rFonts w:hint="eastAsia" w:ascii="宋体" w:hAnsi="宋体"/>
          <w:szCs w:val="21"/>
          <w:u w:val="single"/>
        </w:rPr>
        <w:t>30</w:t>
      </w:r>
      <w:r>
        <w:rPr>
          <w:rFonts w:ascii="宋体" w:hAnsi="宋体"/>
          <w:szCs w:val="21"/>
          <w:u w:val="single"/>
        </w:rPr>
        <w:t xml:space="preserve"> </w:t>
      </w:r>
      <w:r>
        <w:rPr>
          <w:rFonts w:hint="eastAsia" w:ascii="宋体" w:hAnsi="宋体"/>
          <w:szCs w:val="21"/>
        </w:rPr>
        <w:t>日内与采购单位签订合同；合同签订之前10日内向采购单位交纳</w:t>
      </w:r>
      <w:r>
        <w:rPr>
          <w:rFonts w:ascii="宋体" w:hAnsi="宋体"/>
          <w:szCs w:val="21"/>
        </w:rPr>
        <w:t>履约保证金，中标人的投标保证金在合同签订后5</w:t>
      </w:r>
      <w:r>
        <w:rPr>
          <w:rFonts w:hint="eastAsia" w:ascii="宋体" w:hAnsi="宋体"/>
          <w:szCs w:val="21"/>
        </w:rPr>
        <w:t>个工作日</w:t>
      </w:r>
      <w:r>
        <w:rPr>
          <w:rFonts w:ascii="宋体" w:hAnsi="宋体"/>
          <w:szCs w:val="21"/>
        </w:rPr>
        <w:t>内退还。</w:t>
      </w:r>
    </w:p>
    <w:p>
      <w:pPr>
        <w:snapToGrid w:val="0"/>
        <w:spacing w:line="360" w:lineRule="auto"/>
        <w:ind w:firstLine="420" w:firstLineChars="200"/>
        <w:jc w:val="left"/>
        <w:rPr>
          <w:rFonts w:ascii="宋体" w:hAnsi="宋体"/>
          <w:szCs w:val="21"/>
        </w:rPr>
      </w:pPr>
      <w:r>
        <w:rPr>
          <w:rFonts w:ascii="宋体" w:hAnsi="宋体"/>
          <w:szCs w:val="21"/>
        </w:rPr>
        <w:t>5</w:t>
      </w:r>
      <w:r>
        <w:rPr>
          <w:rFonts w:hint="eastAsia" w:ascii="宋体" w:hAnsi="宋体"/>
          <w:szCs w:val="21"/>
        </w:rPr>
        <w:t>、</w:t>
      </w:r>
      <w:r>
        <w:rPr>
          <w:rFonts w:ascii="宋体" w:hAnsi="宋体"/>
          <w:szCs w:val="21"/>
        </w:rPr>
        <w:t>保证金不计息。</w:t>
      </w:r>
    </w:p>
    <w:p>
      <w:pPr>
        <w:snapToGrid w:val="0"/>
        <w:spacing w:line="360" w:lineRule="auto"/>
        <w:ind w:firstLine="411" w:firstLineChars="196"/>
        <w:jc w:val="left"/>
        <w:rPr>
          <w:rFonts w:ascii="宋体" w:hAnsi="宋体"/>
          <w:bCs/>
          <w:szCs w:val="21"/>
        </w:rPr>
      </w:pPr>
      <w:r>
        <w:rPr>
          <w:rFonts w:ascii="宋体" w:hAnsi="宋体"/>
          <w:bCs/>
          <w:szCs w:val="21"/>
        </w:rPr>
        <w:t>6</w:t>
      </w:r>
      <w:r>
        <w:rPr>
          <w:rFonts w:hint="eastAsia" w:ascii="宋体" w:hAnsi="宋体"/>
          <w:bCs/>
          <w:szCs w:val="21"/>
        </w:rPr>
        <w:t>、投标人有</w:t>
      </w:r>
      <w:r>
        <w:rPr>
          <w:rFonts w:ascii="宋体" w:hAnsi="宋体"/>
          <w:bCs/>
          <w:szCs w:val="21"/>
        </w:rPr>
        <w:t>下列情</w:t>
      </w:r>
      <w:r>
        <w:rPr>
          <w:rFonts w:hint="eastAsia" w:ascii="宋体" w:hAnsi="宋体"/>
          <w:bCs/>
          <w:szCs w:val="21"/>
        </w:rPr>
        <w:t>形之一的</w:t>
      </w:r>
      <w:r>
        <w:rPr>
          <w:rFonts w:ascii="宋体" w:hAnsi="宋体"/>
          <w:bCs/>
          <w:szCs w:val="21"/>
        </w:rPr>
        <w:t>，投标保证金将不予退还：</w:t>
      </w:r>
    </w:p>
    <w:p>
      <w:pPr>
        <w:snapToGrid w:val="0"/>
        <w:spacing w:line="360" w:lineRule="auto"/>
        <w:ind w:firstLine="411" w:firstLineChars="196"/>
        <w:jc w:val="left"/>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投标人在投标有效期内撤回投标文件的；</w:t>
      </w:r>
    </w:p>
    <w:p>
      <w:pPr>
        <w:snapToGrid w:val="0"/>
        <w:spacing w:line="360" w:lineRule="auto"/>
        <w:ind w:firstLine="411" w:firstLineChars="196"/>
        <w:jc w:val="left"/>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未按规定提交履约保证金的；</w:t>
      </w:r>
    </w:p>
    <w:p>
      <w:pPr>
        <w:snapToGrid w:val="0"/>
        <w:spacing w:line="360" w:lineRule="auto"/>
        <w:ind w:firstLine="411" w:firstLineChars="196"/>
        <w:jc w:val="left"/>
        <w:rPr>
          <w:rFonts w:ascii="宋体" w:hAnsi="宋体"/>
          <w:szCs w:val="21"/>
        </w:rPr>
      </w:pPr>
      <w:r>
        <w:rPr>
          <w:rFonts w:ascii="宋体" w:hAnsi="宋体"/>
          <w:szCs w:val="21"/>
        </w:rPr>
        <w:t>（3）投标人在投标过程中弄虚作假，提供虚假材料</w:t>
      </w:r>
      <w:r>
        <w:rPr>
          <w:rFonts w:hint="eastAsia" w:ascii="宋体" w:hAnsi="宋体"/>
          <w:szCs w:val="21"/>
        </w:rPr>
        <w:t>的</w:t>
      </w:r>
      <w:r>
        <w:rPr>
          <w:rFonts w:ascii="宋体" w:hAnsi="宋体"/>
          <w:szCs w:val="21"/>
        </w:rPr>
        <w:t>；</w:t>
      </w:r>
    </w:p>
    <w:p>
      <w:pPr>
        <w:snapToGrid w:val="0"/>
        <w:spacing w:line="360" w:lineRule="auto"/>
        <w:ind w:firstLine="411" w:firstLineChars="196"/>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中标人无正当理由不与采购单位签订合同的；</w:t>
      </w:r>
    </w:p>
    <w:p>
      <w:pPr>
        <w:snapToGrid w:val="0"/>
        <w:spacing w:line="360" w:lineRule="auto"/>
        <w:ind w:firstLine="411" w:firstLineChars="196"/>
        <w:rPr>
          <w:rFonts w:ascii="宋体" w:hAnsi="宋体"/>
          <w:b/>
          <w:szCs w:val="21"/>
        </w:rPr>
      </w:pPr>
      <w:r>
        <w:rPr>
          <w:rFonts w:hint="eastAsia" w:ascii="宋体" w:hAnsi="宋体"/>
          <w:szCs w:val="21"/>
        </w:rPr>
        <w:t>（</w:t>
      </w:r>
      <w:r>
        <w:rPr>
          <w:rFonts w:ascii="宋体" w:hAnsi="宋体"/>
          <w:szCs w:val="21"/>
        </w:rPr>
        <w:t>5）</w:t>
      </w:r>
      <w:r>
        <w:rPr>
          <w:rFonts w:hint="eastAsia" w:ascii="宋体" w:hAnsi="宋体"/>
          <w:bCs/>
          <w:szCs w:val="21"/>
        </w:rPr>
        <w:t>将中标项目转让给他人或者在投标文件中未说明且未经招标采购单位同意，将中标项目分包给他人的；</w:t>
      </w:r>
    </w:p>
    <w:p>
      <w:pPr>
        <w:snapToGrid w:val="0"/>
        <w:spacing w:line="360" w:lineRule="auto"/>
        <w:ind w:firstLine="420" w:firstLineChars="200"/>
        <w:rPr>
          <w:rFonts w:ascii="宋体" w:hAnsi="宋体"/>
          <w:szCs w:val="21"/>
        </w:rPr>
      </w:pPr>
      <w:r>
        <w:rPr>
          <w:rFonts w:hint="eastAsia" w:ascii="宋体" w:hAnsi="宋体"/>
          <w:szCs w:val="21"/>
        </w:rPr>
        <w:t>（6）拒绝履行合同义务的；</w:t>
      </w:r>
    </w:p>
    <w:p>
      <w:pPr>
        <w:snapToGrid w:val="0"/>
        <w:spacing w:line="360" w:lineRule="auto"/>
        <w:ind w:firstLine="420" w:firstLineChars="200"/>
        <w:rPr>
          <w:rFonts w:ascii="宋体" w:hAnsi="宋体"/>
          <w:szCs w:val="21"/>
        </w:rPr>
      </w:pPr>
      <w:r>
        <w:rPr>
          <w:rFonts w:hint="eastAsia" w:ascii="宋体" w:hAnsi="宋体"/>
          <w:szCs w:val="21"/>
        </w:rPr>
        <w:t>（7）其他严重扰乱招投标程序的；</w:t>
      </w:r>
    </w:p>
    <w:p>
      <w:pPr>
        <w:snapToGrid w:val="0"/>
        <w:spacing w:beforeLines="50" w:line="360" w:lineRule="auto"/>
        <w:ind w:firstLine="413" w:firstLineChars="196"/>
        <w:jc w:val="left"/>
        <w:outlineLvl w:val="0"/>
        <w:rPr>
          <w:rFonts w:ascii="宋体" w:hAnsi="宋体"/>
          <w:b/>
          <w:szCs w:val="21"/>
        </w:rPr>
      </w:pPr>
      <w:bookmarkStart w:id="18" w:name="_Toc485712544"/>
      <w:r>
        <w:rPr>
          <w:rFonts w:hint="eastAsia" w:ascii="宋体" w:hAnsi="宋体"/>
          <w:b/>
          <w:szCs w:val="21"/>
        </w:rPr>
        <w:t>（六）投标文件的签署和份数</w:t>
      </w:r>
      <w:bookmarkEnd w:id="18"/>
    </w:p>
    <w:p>
      <w:pPr>
        <w:snapToGrid w:val="0"/>
        <w:spacing w:line="360" w:lineRule="auto"/>
        <w:ind w:firstLine="420" w:firstLineChars="200"/>
        <w:jc w:val="left"/>
        <w:rPr>
          <w:rFonts w:ascii="宋体" w:hAnsi="宋体"/>
          <w:szCs w:val="21"/>
        </w:rPr>
      </w:pPr>
      <w:r>
        <w:rPr>
          <w:rFonts w:ascii="宋体" w:hAnsi="宋体"/>
          <w:szCs w:val="21"/>
        </w:rPr>
        <w:t>1</w:t>
      </w:r>
      <w:r>
        <w:rPr>
          <w:rFonts w:hint="eastAsia" w:ascii="宋体" w:hAnsi="宋体"/>
          <w:szCs w:val="21"/>
        </w:rPr>
        <w:t>、</w:t>
      </w:r>
      <w:r>
        <w:rPr>
          <w:rFonts w:ascii="宋体" w:hAnsi="宋体"/>
          <w:szCs w:val="21"/>
        </w:rPr>
        <w:t>投标人应</w:t>
      </w:r>
      <w:r>
        <w:rPr>
          <w:rFonts w:hint="eastAsia" w:ascii="宋体" w:hAnsi="宋体"/>
          <w:szCs w:val="21"/>
        </w:rPr>
        <w:t>按</w:t>
      </w:r>
      <w:r>
        <w:rPr>
          <w:rFonts w:ascii="宋体" w:hAnsi="宋体"/>
          <w:szCs w:val="21"/>
        </w:rPr>
        <w:t>本招标文件规定的格式和顺序编制、装订投标文件</w:t>
      </w:r>
      <w:r>
        <w:rPr>
          <w:rFonts w:hint="eastAsia" w:ascii="宋体" w:hAnsi="宋体"/>
          <w:szCs w:val="21"/>
        </w:rPr>
        <w:t>并标注页码</w:t>
      </w:r>
      <w:r>
        <w:rPr>
          <w:rFonts w:ascii="宋体" w:hAnsi="宋体"/>
          <w:szCs w:val="21"/>
        </w:rPr>
        <w:t>，投标文件内容不完整、编排混乱导致投标文件被误读、漏读或者查找不到相关内容的，是投标人的责任。</w:t>
      </w:r>
    </w:p>
    <w:p>
      <w:pPr>
        <w:snapToGrid w:val="0"/>
        <w:spacing w:line="360" w:lineRule="auto"/>
        <w:ind w:firstLine="420" w:firstLineChars="200"/>
        <w:jc w:val="left"/>
        <w:rPr>
          <w:rFonts w:ascii="宋体" w:hAnsi="宋体"/>
          <w:szCs w:val="21"/>
        </w:rPr>
      </w:pPr>
      <w:r>
        <w:rPr>
          <w:rFonts w:ascii="宋体" w:hAnsi="宋体"/>
          <w:szCs w:val="21"/>
        </w:rPr>
        <w:t>2</w:t>
      </w:r>
      <w:r>
        <w:rPr>
          <w:rFonts w:hint="eastAsia" w:ascii="宋体" w:hAnsi="宋体"/>
          <w:szCs w:val="21"/>
        </w:rPr>
        <w:t>、</w:t>
      </w:r>
      <w:r>
        <w:rPr>
          <w:rFonts w:ascii="宋体" w:hAnsi="宋体"/>
          <w:b/>
          <w:szCs w:val="21"/>
        </w:rPr>
        <w:t>投标人应按</w:t>
      </w:r>
      <w:r>
        <w:rPr>
          <w:rFonts w:hint="eastAsia" w:ascii="宋体" w:hAnsi="宋体"/>
          <w:b/>
          <w:szCs w:val="21"/>
        </w:rPr>
        <w:t>技术商务文件、报价文件正本各1份，副本各</w:t>
      </w:r>
      <w:r>
        <w:rPr>
          <w:rFonts w:ascii="宋体" w:hAnsi="宋体"/>
          <w:b/>
          <w:szCs w:val="21"/>
          <w:u w:val="single"/>
        </w:rPr>
        <w:t xml:space="preserve"> </w:t>
      </w:r>
      <w:r>
        <w:rPr>
          <w:rFonts w:hint="eastAsia" w:ascii="宋体" w:hAnsi="宋体"/>
          <w:b/>
          <w:szCs w:val="21"/>
          <w:u w:val="single"/>
        </w:rPr>
        <w:t>4</w:t>
      </w:r>
      <w:r>
        <w:rPr>
          <w:rFonts w:hint="eastAsia" w:ascii="宋体" w:hAnsi="宋体"/>
          <w:b/>
          <w:szCs w:val="21"/>
        </w:rPr>
        <w:t>份分别编制并单独装订成册，投标文件的封面应注明“正本”、“副本”字样。活页装订（活页装订是指用卡条、抽杆夹、订书机等形式装订，使投标文件可以拆卸或者翻动过程中易脱落的一种装订方式）的投标文件将被拒绝。</w:t>
      </w:r>
    </w:p>
    <w:p>
      <w:pPr>
        <w:snapToGrid w:val="0"/>
        <w:spacing w:line="360" w:lineRule="auto"/>
        <w:ind w:firstLine="420" w:firstLineChars="200"/>
        <w:jc w:val="left"/>
        <w:rPr>
          <w:rFonts w:ascii="宋体" w:hAnsi="宋体"/>
          <w:szCs w:val="21"/>
        </w:rPr>
      </w:pPr>
      <w:r>
        <w:rPr>
          <w:rFonts w:ascii="宋体" w:hAnsi="宋体"/>
          <w:szCs w:val="21"/>
        </w:rPr>
        <w:t>3</w:t>
      </w:r>
      <w:r>
        <w:rPr>
          <w:rFonts w:hint="eastAsia" w:ascii="宋体" w:hAnsi="宋体"/>
          <w:szCs w:val="21"/>
        </w:rPr>
        <w:t>、</w:t>
      </w:r>
      <w:r>
        <w:rPr>
          <w:rFonts w:ascii="宋体" w:hAnsi="宋体"/>
          <w:szCs w:val="21"/>
        </w:rPr>
        <w:t>投标文件的正本需打印或用不褪色的墨水填写，投标文件正本除本</w:t>
      </w:r>
      <w:r>
        <w:rPr>
          <w:rFonts w:hint="eastAsia" w:ascii="宋体" w:hAnsi="宋体"/>
          <w:szCs w:val="21"/>
        </w:rPr>
        <w:t>《</w:t>
      </w:r>
      <w:r>
        <w:rPr>
          <w:rFonts w:ascii="宋体" w:hAnsi="宋体"/>
          <w:szCs w:val="21"/>
        </w:rPr>
        <w:t>投标人须知</w:t>
      </w:r>
      <w:r>
        <w:rPr>
          <w:rFonts w:hint="eastAsia" w:ascii="宋体" w:hAnsi="宋体"/>
          <w:szCs w:val="21"/>
        </w:rPr>
        <w:t>》</w:t>
      </w:r>
      <w:r>
        <w:rPr>
          <w:rFonts w:ascii="宋体" w:hAnsi="宋体"/>
          <w:szCs w:val="21"/>
        </w:rPr>
        <w:t>中规定的可提供复印件外均须提供原件。副本为正本的复印件。</w:t>
      </w:r>
    </w:p>
    <w:p>
      <w:pPr>
        <w:snapToGrid w:val="0"/>
        <w:spacing w:line="360" w:lineRule="auto"/>
        <w:ind w:firstLine="420" w:firstLineChars="200"/>
        <w:jc w:val="left"/>
        <w:rPr>
          <w:rFonts w:ascii="宋体" w:hAnsi="宋体"/>
          <w:szCs w:val="21"/>
        </w:rPr>
      </w:pPr>
      <w:r>
        <w:rPr>
          <w:rFonts w:ascii="宋体" w:hAnsi="宋体"/>
          <w:szCs w:val="21"/>
        </w:rPr>
        <w:t>4</w:t>
      </w:r>
      <w:r>
        <w:rPr>
          <w:rFonts w:hint="eastAsia" w:ascii="宋体" w:hAnsi="宋体"/>
          <w:szCs w:val="21"/>
        </w:rPr>
        <w:t>、</w:t>
      </w:r>
      <w:r>
        <w:rPr>
          <w:rFonts w:ascii="宋体" w:hAnsi="宋体"/>
          <w:szCs w:val="21"/>
        </w:rPr>
        <w:t>投标文件须由投标人在规定位置盖章并由法定代表人或法定代表</w:t>
      </w:r>
      <w:r>
        <w:rPr>
          <w:rFonts w:hint="eastAsia" w:ascii="宋体" w:hAnsi="宋体"/>
          <w:szCs w:val="21"/>
        </w:rPr>
        <w:t>人的</w:t>
      </w:r>
      <w:r>
        <w:rPr>
          <w:rFonts w:ascii="宋体" w:hAnsi="宋体"/>
          <w:szCs w:val="21"/>
        </w:rPr>
        <w:t>授权</w:t>
      </w:r>
      <w:r>
        <w:rPr>
          <w:rFonts w:hint="eastAsia" w:ascii="宋体" w:hAnsi="宋体"/>
          <w:szCs w:val="21"/>
        </w:rPr>
        <w:t>委托</w:t>
      </w:r>
      <w:r>
        <w:rPr>
          <w:rFonts w:ascii="宋体" w:hAnsi="宋体"/>
          <w:szCs w:val="21"/>
        </w:rPr>
        <w:t>人签署，投标人应写全称。</w:t>
      </w:r>
      <w:r>
        <w:rPr>
          <w:rFonts w:hint="eastAsia" w:ascii="宋体" w:hAnsi="宋体"/>
          <w:szCs w:val="21"/>
        </w:rPr>
        <w:t>联合体投标的，投标文件除联合体协议书须联合体双方盖章外，其余招标文件要求投标人盖章处只需联合体的牵头人盖章。</w:t>
      </w:r>
    </w:p>
    <w:p>
      <w:pPr>
        <w:snapToGrid w:val="0"/>
        <w:spacing w:line="360" w:lineRule="auto"/>
        <w:ind w:firstLine="420" w:firstLineChars="200"/>
        <w:jc w:val="left"/>
        <w:rPr>
          <w:rFonts w:ascii="宋体" w:hAnsi="宋体"/>
          <w:szCs w:val="21"/>
        </w:rPr>
      </w:pPr>
      <w:r>
        <w:rPr>
          <w:rFonts w:ascii="宋体" w:hAnsi="宋体"/>
          <w:szCs w:val="21"/>
        </w:rPr>
        <w:t>5</w:t>
      </w:r>
      <w:r>
        <w:rPr>
          <w:rFonts w:hint="eastAsia" w:ascii="宋体" w:hAnsi="宋体"/>
          <w:szCs w:val="21"/>
        </w:rPr>
        <w:t>、</w:t>
      </w:r>
      <w:r>
        <w:rPr>
          <w:rFonts w:ascii="宋体" w:hAnsi="宋体"/>
          <w:szCs w:val="21"/>
        </w:rPr>
        <w:t>投标文件不得涂改，若有修改错漏处，须加盖单位公章或者法定代表人或授权委托人签字或盖章。投标文件因字迹潦草或表达不清所引起的后果由投标人负责。</w:t>
      </w:r>
    </w:p>
    <w:p>
      <w:pPr>
        <w:snapToGrid w:val="0"/>
        <w:spacing w:beforeLines="50" w:line="360" w:lineRule="auto"/>
        <w:ind w:firstLine="310" w:firstLineChars="147"/>
        <w:jc w:val="left"/>
        <w:rPr>
          <w:rFonts w:ascii="宋体" w:hAnsi="宋体"/>
          <w:b/>
          <w:szCs w:val="21"/>
        </w:rPr>
      </w:pPr>
      <w:r>
        <w:rPr>
          <w:rFonts w:hint="eastAsia" w:ascii="宋体" w:hAnsi="宋体"/>
          <w:b/>
          <w:szCs w:val="21"/>
        </w:rPr>
        <w:t>（七）投标文件的包装、递交、修改和撤回</w:t>
      </w:r>
    </w:p>
    <w:p>
      <w:pPr>
        <w:snapToGrid w:val="0"/>
        <w:spacing w:line="360" w:lineRule="auto"/>
        <w:ind w:firstLine="420"/>
        <w:jc w:val="left"/>
        <w:rPr>
          <w:rFonts w:ascii="宋体" w:hAnsi="宋体"/>
          <w:szCs w:val="21"/>
        </w:rPr>
      </w:pPr>
      <w:r>
        <w:rPr>
          <w:rFonts w:hint="eastAsia" w:ascii="宋体" w:hAnsi="宋体"/>
          <w:szCs w:val="21"/>
        </w:rPr>
        <w:t>1、投标人应将技术商务文件、报价文件分别密封在不同的包封内，投标文件的包装封面上应注明投标人名称、投标人地址、投标文件名称（技术商务文件/报价文件）、投标项目名称、项目编号、子包及“开标时启封”字样，并加盖投标人公章。</w:t>
      </w:r>
    </w:p>
    <w:p>
      <w:pPr>
        <w:snapToGrid w:val="0"/>
        <w:spacing w:line="360" w:lineRule="auto"/>
        <w:ind w:firstLine="420"/>
        <w:jc w:val="left"/>
        <w:rPr>
          <w:rFonts w:ascii="宋体" w:hAnsi="宋体"/>
          <w:szCs w:val="21"/>
        </w:rPr>
      </w:pPr>
      <w:r>
        <w:rPr>
          <w:rFonts w:hint="eastAsia" w:ascii="宋体" w:hAnsi="宋体"/>
          <w:szCs w:val="21"/>
        </w:rPr>
        <w:t>2、未按规定密封或标记的投标文件将被拒绝，由此造成投标文件被误投或提前拆封的风险由投标人承担。</w:t>
      </w:r>
    </w:p>
    <w:p>
      <w:pPr>
        <w:snapToGrid w:val="0"/>
        <w:spacing w:line="360" w:lineRule="auto"/>
        <w:ind w:firstLine="420"/>
        <w:jc w:val="left"/>
        <w:rPr>
          <w:rFonts w:ascii="宋体" w:hAnsi="宋体"/>
          <w:szCs w:val="21"/>
        </w:rPr>
      </w:pPr>
      <w:r>
        <w:rPr>
          <w:rFonts w:hint="eastAsia" w:ascii="宋体" w:hAnsi="宋体"/>
          <w:szCs w:val="21"/>
        </w:rPr>
        <w:t>3、投标人在投标截止时间之前，可以对已提交的投标文件进行修改或撤回，并书面通知招标采购单位；投标截止时间后，投标人不得撤回、修改投标文件。修改后重新递交的投标文件应当按本招标文件的要求签署、盖章和密封。</w:t>
      </w:r>
    </w:p>
    <w:p>
      <w:pPr>
        <w:snapToGrid w:val="0"/>
        <w:spacing w:beforeLines="50" w:line="360" w:lineRule="auto"/>
        <w:ind w:firstLine="413" w:firstLineChars="196"/>
        <w:outlineLvl w:val="2"/>
        <w:rPr>
          <w:rFonts w:ascii="宋体" w:hAnsi="宋体"/>
          <w:b/>
          <w:szCs w:val="21"/>
        </w:rPr>
      </w:pPr>
      <w:bookmarkStart w:id="19" w:name="_Toc485712545"/>
      <w:r>
        <w:rPr>
          <w:rFonts w:hint="eastAsia" w:ascii="宋体" w:hAnsi="宋体"/>
          <w:b/>
          <w:szCs w:val="21"/>
        </w:rPr>
        <w:t>（八）投标无效的情形</w:t>
      </w:r>
      <w:bookmarkEnd w:id="19"/>
    </w:p>
    <w:p>
      <w:pPr>
        <w:snapToGrid w:val="0"/>
        <w:spacing w:line="360" w:lineRule="auto"/>
        <w:ind w:firstLine="420" w:firstLineChars="200"/>
        <w:rPr>
          <w:rFonts w:ascii="宋体" w:hAnsi="宋体"/>
          <w:bCs/>
          <w:szCs w:val="21"/>
        </w:rPr>
      </w:pPr>
      <w:r>
        <w:rPr>
          <w:rFonts w:hint="eastAsia" w:ascii="宋体" w:hAnsi="宋体"/>
          <w:bCs/>
          <w:szCs w:val="21"/>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修改或者补正投标文件必须以书面形式进行，限期内不补正或经补正后仍不符合招标文件要求的，应认定其投标无效。投标人修改、补正投标文件后，不影响评标委员会对其投标文件所作的评价和评分结果。</w:t>
      </w:r>
    </w:p>
    <w:p>
      <w:pPr>
        <w:snapToGrid w:val="0"/>
        <w:spacing w:line="360" w:lineRule="auto"/>
        <w:ind w:firstLine="411" w:firstLineChars="196"/>
        <w:rPr>
          <w:rFonts w:ascii="宋体" w:hAnsi="宋体"/>
          <w:bCs/>
          <w:szCs w:val="21"/>
        </w:rPr>
      </w:pPr>
      <w:r>
        <w:rPr>
          <w:rFonts w:ascii="宋体" w:hAnsi="宋体"/>
          <w:bCs/>
          <w:szCs w:val="21"/>
        </w:rPr>
        <w:t>评审时如发现下列情形之一的，投标文件将被视为无效：</w:t>
      </w:r>
    </w:p>
    <w:p>
      <w:pPr>
        <w:pStyle w:val="13"/>
        <w:numPr>
          <w:ilvl w:val="0"/>
          <w:numId w:val="7"/>
        </w:numPr>
        <w:snapToGrid w:val="0"/>
        <w:spacing w:line="360" w:lineRule="auto"/>
        <w:outlineLvl w:val="1"/>
        <w:rPr>
          <w:rFonts w:hAnsi="宋体"/>
          <w:sz w:val="21"/>
          <w:szCs w:val="21"/>
        </w:rPr>
      </w:pPr>
      <w:bookmarkStart w:id="20" w:name="_Toc485712546"/>
      <w:r>
        <w:rPr>
          <w:rFonts w:hint="eastAsia" w:hAnsi="宋体"/>
          <w:sz w:val="21"/>
          <w:szCs w:val="21"/>
        </w:rPr>
        <w:t>投标人未按照招标文件的要求提供投标保证金的；</w:t>
      </w:r>
      <w:bookmarkEnd w:id="20"/>
    </w:p>
    <w:p>
      <w:pPr>
        <w:pStyle w:val="13"/>
        <w:numPr>
          <w:ilvl w:val="0"/>
          <w:numId w:val="7"/>
        </w:numPr>
        <w:snapToGrid w:val="0"/>
        <w:spacing w:line="360" w:lineRule="auto"/>
        <w:outlineLvl w:val="1"/>
        <w:rPr>
          <w:rFonts w:hAnsi="宋体"/>
          <w:sz w:val="21"/>
          <w:szCs w:val="21"/>
        </w:rPr>
      </w:pPr>
      <w:bookmarkStart w:id="21" w:name="_Toc485712547"/>
      <w:r>
        <w:rPr>
          <w:rFonts w:hint="eastAsia" w:hAnsi="宋体"/>
          <w:sz w:val="21"/>
          <w:szCs w:val="21"/>
        </w:rPr>
        <w:t>未按照招标文件的要求密封、签署、盖章的；</w:t>
      </w:r>
      <w:bookmarkEnd w:id="21"/>
    </w:p>
    <w:p>
      <w:pPr>
        <w:pStyle w:val="13"/>
        <w:numPr>
          <w:ilvl w:val="0"/>
          <w:numId w:val="7"/>
        </w:numPr>
        <w:snapToGrid w:val="0"/>
        <w:spacing w:line="360" w:lineRule="auto"/>
        <w:outlineLvl w:val="1"/>
        <w:rPr>
          <w:rFonts w:hAnsi="宋体"/>
          <w:sz w:val="21"/>
          <w:szCs w:val="21"/>
        </w:rPr>
      </w:pPr>
      <w:bookmarkStart w:id="22" w:name="_Toc485712548"/>
      <w:r>
        <w:rPr>
          <w:rFonts w:hint="eastAsia" w:hAnsi="宋体"/>
          <w:sz w:val="21"/>
          <w:szCs w:val="21"/>
        </w:rPr>
        <w:t>不具备招标文件中规定资格要求的；</w:t>
      </w:r>
      <w:bookmarkEnd w:id="22"/>
    </w:p>
    <w:p>
      <w:pPr>
        <w:pStyle w:val="13"/>
        <w:numPr>
          <w:ilvl w:val="0"/>
          <w:numId w:val="7"/>
        </w:numPr>
        <w:snapToGrid w:val="0"/>
        <w:spacing w:line="360" w:lineRule="auto"/>
        <w:outlineLvl w:val="1"/>
        <w:rPr>
          <w:rFonts w:hAnsi="宋体"/>
          <w:sz w:val="21"/>
          <w:szCs w:val="21"/>
        </w:rPr>
      </w:pPr>
      <w:bookmarkStart w:id="23" w:name="_Toc485712549"/>
      <w:r>
        <w:rPr>
          <w:rFonts w:hint="eastAsia" w:hAnsi="宋体"/>
          <w:sz w:val="21"/>
          <w:szCs w:val="21"/>
        </w:rPr>
        <w:t>投标文件载明的招标项目完成期限超过招标文件规定的期限；</w:t>
      </w:r>
      <w:bookmarkEnd w:id="23"/>
    </w:p>
    <w:p>
      <w:pPr>
        <w:pStyle w:val="13"/>
        <w:numPr>
          <w:ilvl w:val="0"/>
          <w:numId w:val="7"/>
        </w:numPr>
        <w:snapToGrid w:val="0"/>
        <w:spacing w:line="360" w:lineRule="auto"/>
        <w:outlineLvl w:val="1"/>
        <w:rPr>
          <w:rFonts w:hAnsi="宋体"/>
          <w:sz w:val="21"/>
          <w:szCs w:val="21"/>
        </w:rPr>
      </w:pPr>
      <w:bookmarkStart w:id="24" w:name="_Toc485712550"/>
      <w:r>
        <w:rPr>
          <w:rFonts w:hint="eastAsia" w:hAnsi="宋体"/>
          <w:sz w:val="21"/>
          <w:szCs w:val="21"/>
        </w:rPr>
        <w:t>带“▲”的款项不能满足招标文件要求的；</w:t>
      </w:r>
      <w:bookmarkEnd w:id="24"/>
    </w:p>
    <w:p>
      <w:pPr>
        <w:pStyle w:val="13"/>
        <w:numPr>
          <w:ilvl w:val="0"/>
          <w:numId w:val="7"/>
        </w:numPr>
        <w:snapToGrid w:val="0"/>
        <w:spacing w:line="360" w:lineRule="auto"/>
        <w:outlineLvl w:val="1"/>
        <w:rPr>
          <w:rFonts w:hAnsi="宋体"/>
          <w:sz w:val="21"/>
          <w:szCs w:val="21"/>
        </w:rPr>
      </w:pPr>
      <w:bookmarkStart w:id="25" w:name="_Toc485712551"/>
      <w:r>
        <w:rPr>
          <w:rFonts w:hint="eastAsia" w:hAnsi="宋体"/>
          <w:sz w:val="21"/>
          <w:szCs w:val="21"/>
        </w:rPr>
        <w:t>投标文件附有招标人不能接受的条件；</w:t>
      </w:r>
      <w:bookmarkEnd w:id="25"/>
    </w:p>
    <w:p>
      <w:pPr>
        <w:pStyle w:val="13"/>
        <w:numPr>
          <w:ilvl w:val="0"/>
          <w:numId w:val="7"/>
        </w:numPr>
        <w:snapToGrid w:val="0"/>
        <w:spacing w:line="360" w:lineRule="auto"/>
        <w:outlineLvl w:val="1"/>
        <w:rPr>
          <w:rFonts w:hAnsi="宋体"/>
          <w:sz w:val="21"/>
          <w:szCs w:val="21"/>
        </w:rPr>
      </w:pPr>
      <w:bookmarkStart w:id="26" w:name="_Toc485712552"/>
      <w:r>
        <w:rPr>
          <w:rFonts w:hint="eastAsia" w:hAnsi="宋体"/>
          <w:sz w:val="21"/>
          <w:szCs w:val="21"/>
        </w:rPr>
        <w:t>经评标委员会评审技术方案不可行的；</w:t>
      </w:r>
      <w:bookmarkEnd w:id="26"/>
    </w:p>
    <w:p>
      <w:pPr>
        <w:pStyle w:val="13"/>
        <w:numPr>
          <w:ilvl w:val="0"/>
          <w:numId w:val="7"/>
        </w:numPr>
        <w:snapToGrid w:val="0"/>
        <w:spacing w:line="360" w:lineRule="auto"/>
        <w:outlineLvl w:val="1"/>
        <w:rPr>
          <w:rFonts w:hAnsi="宋体"/>
          <w:sz w:val="21"/>
          <w:szCs w:val="21"/>
        </w:rPr>
      </w:pPr>
      <w:bookmarkStart w:id="27" w:name="_Toc485712553"/>
      <w:r>
        <w:rPr>
          <w:rFonts w:hint="eastAsia" w:hAnsi="宋体"/>
          <w:sz w:val="21"/>
          <w:szCs w:val="21"/>
        </w:rPr>
        <w:t>评委会一致认为报价明显不合理的；</w:t>
      </w:r>
      <w:bookmarkEnd w:id="27"/>
    </w:p>
    <w:p>
      <w:pPr>
        <w:pStyle w:val="13"/>
        <w:numPr>
          <w:ilvl w:val="0"/>
          <w:numId w:val="7"/>
        </w:numPr>
        <w:snapToGrid w:val="0"/>
        <w:spacing w:line="360" w:lineRule="auto"/>
        <w:outlineLvl w:val="1"/>
        <w:rPr>
          <w:rFonts w:hAnsi="宋体"/>
          <w:sz w:val="21"/>
          <w:szCs w:val="21"/>
        </w:rPr>
      </w:pPr>
      <w:bookmarkStart w:id="28" w:name="_Toc485712554"/>
      <w:r>
        <w:rPr>
          <w:rFonts w:hint="eastAsia" w:hAnsi="宋体"/>
          <w:sz w:val="21"/>
          <w:szCs w:val="21"/>
        </w:rPr>
        <w:t>不符合法律、法规和招标文件中规定的其他实质性要求的。</w:t>
      </w:r>
      <w:bookmarkEnd w:id="28"/>
    </w:p>
    <w:p>
      <w:pPr>
        <w:pStyle w:val="13"/>
        <w:snapToGrid w:val="0"/>
        <w:spacing w:line="276" w:lineRule="auto"/>
        <w:ind w:firstLine="395" w:firstLineChars="196"/>
        <w:outlineLvl w:val="1"/>
        <w:rPr>
          <w:rFonts w:hAnsi="宋体"/>
          <w:snapToGrid w:val="0"/>
          <w:sz w:val="21"/>
          <w:szCs w:val="21"/>
        </w:rPr>
      </w:pPr>
      <w:bookmarkStart w:id="29" w:name="_Toc485712555"/>
      <w:r>
        <w:rPr>
          <w:rFonts w:hint="eastAsia" w:hAnsi="宋体"/>
          <w:sz w:val="21"/>
          <w:szCs w:val="21"/>
        </w:rPr>
        <w:t>四、开标</w:t>
      </w:r>
      <w:bookmarkEnd w:id="29"/>
    </w:p>
    <w:p>
      <w:pPr>
        <w:pStyle w:val="18"/>
        <w:snapToGrid w:val="0"/>
        <w:spacing w:beforeLines="0" w:afterLines="0" w:line="276" w:lineRule="auto"/>
        <w:ind w:firstLine="411" w:firstLineChars="196"/>
        <w:rPr>
          <w:rFonts w:hAnsi="宋体"/>
          <w:sz w:val="21"/>
          <w:szCs w:val="21"/>
        </w:rPr>
      </w:pPr>
      <w:r>
        <w:rPr>
          <w:rFonts w:hAnsi="宋体"/>
          <w:sz w:val="21"/>
          <w:szCs w:val="21"/>
        </w:rPr>
        <w:t>（一）开标准备</w:t>
      </w:r>
    </w:p>
    <w:p>
      <w:pPr>
        <w:pStyle w:val="18"/>
        <w:snapToGrid w:val="0"/>
        <w:spacing w:beforeLines="0" w:afterLines="0" w:line="276" w:lineRule="auto"/>
        <w:ind w:firstLine="420" w:firstLineChars="200"/>
        <w:rPr>
          <w:rFonts w:hAnsi="宋体"/>
          <w:bCs/>
          <w:sz w:val="21"/>
          <w:szCs w:val="21"/>
        </w:rPr>
      </w:pPr>
      <w:r>
        <w:rPr>
          <w:rFonts w:hAnsi="宋体"/>
          <w:bCs/>
          <w:sz w:val="21"/>
          <w:szCs w:val="21"/>
        </w:rPr>
        <w:t>采购代理机构将在规定的时间和地点进行开标，投标人的法定代表人或其授权代表应参加开标会</w:t>
      </w:r>
      <w:r>
        <w:rPr>
          <w:rFonts w:hint="eastAsia" w:hAnsi="宋体"/>
          <w:sz w:val="21"/>
          <w:szCs w:val="21"/>
        </w:rPr>
        <w:t>并接受核验、签到，无关人员不得进入开标现场</w:t>
      </w:r>
      <w:r>
        <w:rPr>
          <w:rFonts w:hAnsi="宋体"/>
          <w:bCs/>
          <w:sz w:val="21"/>
          <w:szCs w:val="21"/>
        </w:rPr>
        <w:t>。投标人的法定代表人或其授权代表未按时</w:t>
      </w:r>
      <w:r>
        <w:rPr>
          <w:rFonts w:hint="eastAsia" w:hAnsi="宋体"/>
          <w:sz w:val="21"/>
          <w:szCs w:val="21"/>
        </w:rPr>
        <w:t>核验、签到</w:t>
      </w:r>
      <w:r>
        <w:rPr>
          <w:rFonts w:hAnsi="宋体"/>
          <w:bCs/>
          <w:sz w:val="21"/>
          <w:szCs w:val="21"/>
        </w:rPr>
        <w:t>的，视同放弃开标监督权利、认可开标结果。</w:t>
      </w:r>
    </w:p>
    <w:p>
      <w:pPr>
        <w:pStyle w:val="18"/>
        <w:snapToGrid w:val="0"/>
        <w:spacing w:beforeLines="0" w:afterLines="0" w:line="276" w:lineRule="auto"/>
        <w:ind w:firstLine="411" w:firstLineChars="196"/>
        <w:rPr>
          <w:rFonts w:hAnsi="宋体"/>
          <w:sz w:val="21"/>
          <w:szCs w:val="21"/>
        </w:rPr>
      </w:pPr>
      <w:r>
        <w:rPr>
          <w:rFonts w:hAnsi="宋体"/>
          <w:sz w:val="21"/>
          <w:szCs w:val="21"/>
        </w:rPr>
        <w:t>（二） 开标程序</w:t>
      </w:r>
    </w:p>
    <w:p>
      <w:pPr>
        <w:pStyle w:val="18"/>
        <w:snapToGrid w:val="0"/>
        <w:spacing w:before="120" w:after="120" w:line="276" w:lineRule="auto"/>
        <w:ind w:firstLine="420" w:firstLineChars="200"/>
        <w:rPr>
          <w:rFonts w:hAnsi="宋体"/>
          <w:sz w:val="21"/>
          <w:szCs w:val="21"/>
        </w:rPr>
      </w:pPr>
      <w:r>
        <w:rPr>
          <w:rFonts w:hint="eastAsia" w:hAnsi="宋体"/>
          <w:sz w:val="21"/>
          <w:szCs w:val="21"/>
        </w:rPr>
        <w:t>1、开标会由采购代理机构主持，主持人介绍开标现场的人员情况，宣读递交投标文件的供应商名单、开标纪律、应当回避的情形等注意事项，组织供应商签署不存在影响公平竞争的《政府采购活动现场确认声明书》。</w:t>
      </w:r>
    </w:p>
    <w:p>
      <w:pPr>
        <w:pStyle w:val="18"/>
        <w:snapToGrid w:val="0"/>
        <w:spacing w:before="120" w:after="120" w:line="276" w:lineRule="auto"/>
        <w:ind w:firstLine="420" w:firstLineChars="200"/>
        <w:rPr>
          <w:rFonts w:hAnsi="宋体"/>
          <w:sz w:val="21"/>
          <w:szCs w:val="21"/>
        </w:rPr>
      </w:pPr>
      <w:r>
        <w:rPr>
          <w:rFonts w:hint="eastAsia" w:hAnsi="宋体"/>
          <w:sz w:val="21"/>
          <w:szCs w:val="21"/>
        </w:rPr>
        <w:t>2、对供应商保证金缴纳情况进行查验、核实，提请供应商代表或公证人员查验投标文件密封情况并签名确认；</w:t>
      </w:r>
    </w:p>
    <w:p>
      <w:pPr>
        <w:pStyle w:val="18"/>
        <w:snapToGrid w:val="0"/>
        <w:spacing w:before="120" w:after="120" w:line="276" w:lineRule="auto"/>
        <w:ind w:firstLine="420" w:firstLineChars="200"/>
        <w:rPr>
          <w:rFonts w:hAnsi="宋体"/>
          <w:sz w:val="21"/>
          <w:szCs w:val="21"/>
        </w:rPr>
      </w:pPr>
      <w:r>
        <w:rPr>
          <w:rFonts w:hint="eastAsia" w:hAnsi="宋体"/>
          <w:sz w:val="21"/>
          <w:szCs w:val="21"/>
        </w:rPr>
        <w:t>3、当众拆封、清点投标文件（包括正本、副本）数量，将其中密封的报价文件现场集中封存保管等候拆封，将拆封后的技术商务文件由现场工作人员护送至指定的评审地点，同时告知供应商代表拆封报价文件的预计时间。对不符合装订要求的投标文件，由现场工作人员退还供应商代表。</w:t>
      </w:r>
    </w:p>
    <w:p>
      <w:pPr>
        <w:pStyle w:val="18"/>
        <w:snapToGrid w:val="0"/>
        <w:spacing w:before="120" w:after="120" w:line="276" w:lineRule="auto"/>
        <w:ind w:firstLine="420" w:firstLineChars="200"/>
        <w:rPr>
          <w:rFonts w:hAnsi="宋体"/>
          <w:sz w:val="21"/>
          <w:szCs w:val="21"/>
        </w:rPr>
      </w:pPr>
      <w:r>
        <w:rPr>
          <w:rFonts w:hint="eastAsia" w:hAnsi="宋体"/>
          <w:sz w:val="21"/>
          <w:szCs w:val="21"/>
        </w:rPr>
        <w:t>4、技术商务评审结束后，主持人宣告技术商务评审无效供应商名称及理由，有效供应商的技术商务得分情况，无效供应商代表可收回未拆封的报价文件并签字确认；</w:t>
      </w:r>
    </w:p>
    <w:p>
      <w:pPr>
        <w:pStyle w:val="18"/>
        <w:snapToGrid w:val="0"/>
        <w:spacing w:before="120" w:after="120" w:line="276" w:lineRule="auto"/>
        <w:ind w:firstLine="420" w:firstLineChars="200"/>
        <w:rPr>
          <w:rFonts w:hAnsi="宋体"/>
          <w:sz w:val="21"/>
          <w:szCs w:val="21"/>
        </w:rPr>
      </w:pPr>
      <w:r>
        <w:rPr>
          <w:rFonts w:hint="eastAsia" w:hAnsi="宋体"/>
          <w:sz w:val="21"/>
          <w:szCs w:val="21"/>
        </w:rPr>
        <w:t>5、拆封供应商报价文件，宣读《开标一览表》有关内容，同时当场制作并打印开标记录表，由供应商代表、唱标人、记录人和现场监督员在开标记录表上签字确认（不予确认的应说明理由，否则视为无异议）。唱标结束后，现场工作人员将报价文件及开标记录表护送至指定评审地点，由评审小组对报价的合理性、准确性等进行审查核实。</w:t>
      </w:r>
    </w:p>
    <w:p>
      <w:pPr>
        <w:pStyle w:val="18"/>
        <w:snapToGrid w:val="0"/>
        <w:spacing w:before="120" w:after="120" w:line="276" w:lineRule="auto"/>
        <w:ind w:firstLine="420" w:firstLineChars="200"/>
        <w:rPr>
          <w:rFonts w:hAnsi="宋体"/>
          <w:sz w:val="21"/>
          <w:szCs w:val="21"/>
        </w:rPr>
      </w:pPr>
      <w:r>
        <w:rPr>
          <w:rFonts w:hint="eastAsia" w:hAnsi="宋体"/>
          <w:sz w:val="21"/>
          <w:szCs w:val="21"/>
        </w:rPr>
        <w:t>6、评审结束后，主持人公布中标候选供应商名单，及采购单位最终确定中标或成交供应商名单的时间和公告方式等。</w:t>
      </w:r>
    </w:p>
    <w:p>
      <w:pPr>
        <w:pStyle w:val="18"/>
        <w:snapToGrid w:val="0"/>
        <w:spacing w:beforeLines="0" w:afterLines="0" w:line="276" w:lineRule="auto"/>
        <w:ind w:left="771" w:leftChars="267" w:hanging="210" w:hangingChars="100"/>
        <w:outlineLvl w:val="1"/>
        <w:rPr>
          <w:rFonts w:hAnsi="宋体"/>
          <w:sz w:val="21"/>
          <w:szCs w:val="21"/>
        </w:rPr>
      </w:pPr>
      <w:bookmarkStart w:id="30" w:name="_Toc485712556"/>
      <w:r>
        <w:rPr>
          <w:rFonts w:hint="eastAsia" w:hAnsi="宋体"/>
          <w:sz w:val="21"/>
          <w:szCs w:val="21"/>
        </w:rPr>
        <w:t>五、评标</w:t>
      </w:r>
      <w:bookmarkEnd w:id="30"/>
    </w:p>
    <w:p>
      <w:pPr>
        <w:pStyle w:val="18"/>
        <w:snapToGrid w:val="0"/>
        <w:spacing w:beforeLines="0" w:afterLines="0" w:line="276" w:lineRule="auto"/>
        <w:ind w:left="689" w:leftChars="228" w:hanging="210" w:hangingChars="100"/>
        <w:rPr>
          <w:rFonts w:hAnsi="宋体"/>
          <w:sz w:val="21"/>
          <w:szCs w:val="21"/>
        </w:rPr>
      </w:pPr>
      <w:r>
        <w:rPr>
          <w:rFonts w:hAnsi="宋体"/>
          <w:sz w:val="21"/>
          <w:szCs w:val="21"/>
        </w:rPr>
        <w:t>（一）组建评标委员会</w:t>
      </w:r>
    </w:p>
    <w:p>
      <w:pPr>
        <w:pStyle w:val="18"/>
        <w:snapToGrid w:val="0"/>
        <w:spacing w:beforeLines="0" w:afterLines="0" w:line="276" w:lineRule="auto"/>
        <w:ind w:firstLine="525" w:firstLineChars="250"/>
        <w:rPr>
          <w:rFonts w:hAnsi="宋体"/>
          <w:sz w:val="21"/>
          <w:szCs w:val="21"/>
        </w:rPr>
      </w:pPr>
      <w:r>
        <w:rPr>
          <w:rFonts w:hAnsi="宋体"/>
          <w:sz w:val="21"/>
          <w:szCs w:val="21"/>
        </w:rPr>
        <w:t>本项目评标委员会由政府采购评审专家</w:t>
      </w:r>
      <w:r>
        <w:rPr>
          <w:rFonts w:hint="eastAsia" w:hAnsi="宋体"/>
          <w:sz w:val="21"/>
          <w:szCs w:val="21"/>
          <w:u w:val="single"/>
        </w:rPr>
        <w:t xml:space="preserve"> ≥4</w:t>
      </w:r>
      <w:r>
        <w:rPr>
          <w:rFonts w:hAnsi="宋体"/>
          <w:sz w:val="21"/>
          <w:szCs w:val="21"/>
          <w:u w:val="single"/>
        </w:rPr>
        <w:t xml:space="preserve"> </w:t>
      </w:r>
      <w:r>
        <w:rPr>
          <w:rFonts w:hAnsi="宋体"/>
          <w:sz w:val="21"/>
          <w:szCs w:val="21"/>
        </w:rPr>
        <w:t>人和采购单位代表</w:t>
      </w:r>
      <w:r>
        <w:rPr>
          <w:rFonts w:hAnsi="宋体"/>
          <w:sz w:val="21"/>
          <w:szCs w:val="21"/>
          <w:u w:val="single"/>
        </w:rPr>
        <w:t xml:space="preserve"> </w:t>
      </w:r>
      <w:r>
        <w:rPr>
          <w:rFonts w:hint="eastAsia" w:hAnsi="宋体"/>
          <w:sz w:val="21"/>
          <w:szCs w:val="21"/>
          <w:u w:val="single"/>
        </w:rPr>
        <w:t>1≤</w:t>
      </w:r>
      <w:r>
        <w:rPr>
          <w:rFonts w:hAnsi="宋体"/>
          <w:sz w:val="21"/>
          <w:szCs w:val="21"/>
          <w:u w:val="single"/>
        </w:rPr>
        <w:t xml:space="preserve"> </w:t>
      </w:r>
      <w:r>
        <w:rPr>
          <w:rFonts w:hAnsi="宋体"/>
          <w:sz w:val="21"/>
          <w:szCs w:val="21"/>
        </w:rPr>
        <w:t>人,共</w:t>
      </w:r>
      <w:r>
        <w:rPr>
          <w:rFonts w:hAnsi="宋体"/>
          <w:sz w:val="21"/>
          <w:szCs w:val="21"/>
          <w:u w:val="single"/>
        </w:rPr>
        <w:t xml:space="preserve">  </w:t>
      </w:r>
      <w:r>
        <w:rPr>
          <w:rFonts w:hint="eastAsia" w:hAnsi="宋体"/>
          <w:sz w:val="21"/>
          <w:szCs w:val="21"/>
          <w:u w:val="single"/>
        </w:rPr>
        <w:t>5</w:t>
      </w:r>
      <w:r>
        <w:rPr>
          <w:rFonts w:hAnsi="宋体"/>
          <w:sz w:val="21"/>
          <w:szCs w:val="21"/>
          <w:u w:val="single"/>
        </w:rPr>
        <w:t xml:space="preserve"> </w:t>
      </w:r>
      <w:r>
        <w:rPr>
          <w:rFonts w:hAnsi="宋体"/>
          <w:sz w:val="21"/>
          <w:szCs w:val="21"/>
        </w:rPr>
        <w:t>人组成。</w:t>
      </w:r>
    </w:p>
    <w:p>
      <w:pPr>
        <w:pStyle w:val="18"/>
        <w:snapToGrid w:val="0"/>
        <w:spacing w:beforeLines="0" w:afterLines="0" w:line="276" w:lineRule="auto"/>
        <w:ind w:firstLine="411" w:firstLineChars="196"/>
        <w:rPr>
          <w:rFonts w:hAnsi="宋体"/>
          <w:sz w:val="21"/>
          <w:szCs w:val="21"/>
        </w:rPr>
      </w:pPr>
      <w:r>
        <w:rPr>
          <w:rFonts w:hAnsi="宋体"/>
          <w:sz w:val="21"/>
          <w:szCs w:val="21"/>
        </w:rPr>
        <w:t>（二）评标的方式</w:t>
      </w:r>
    </w:p>
    <w:p>
      <w:pPr>
        <w:pStyle w:val="18"/>
        <w:snapToGrid w:val="0"/>
        <w:spacing w:beforeLines="0" w:afterLines="0" w:line="276" w:lineRule="auto"/>
        <w:ind w:left="689" w:leftChars="278" w:hanging="105" w:hangingChars="50"/>
        <w:rPr>
          <w:rFonts w:hAnsi="宋体"/>
          <w:sz w:val="21"/>
          <w:szCs w:val="21"/>
        </w:rPr>
      </w:pPr>
      <w:r>
        <w:rPr>
          <w:rFonts w:hAnsi="宋体"/>
          <w:sz w:val="21"/>
          <w:szCs w:val="21"/>
        </w:rPr>
        <w:t>本项目采用不公开方式评标，评标的依据为招标文件和投标文件。</w:t>
      </w:r>
    </w:p>
    <w:p>
      <w:pPr>
        <w:pStyle w:val="18"/>
        <w:snapToGrid w:val="0"/>
        <w:spacing w:before="120" w:after="120" w:line="276" w:lineRule="auto"/>
        <w:ind w:firstLine="420" w:firstLineChars="200"/>
        <w:rPr>
          <w:rFonts w:hAnsi="宋体"/>
          <w:sz w:val="21"/>
          <w:szCs w:val="21"/>
        </w:rPr>
      </w:pPr>
      <w:r>
        <w:rPr>
          <w:rFonts w:hint="eastAsia" w:hAnsi="宋体"/>
          <w:sz w:val="21"/>
          <w:szCs w:val="21"/>
        </w:rPr>
        <w:t>（三）组织评标程序</w:t>
      </w:r>
    </w:p>
    <w:p>
      <w:pPr>
        <w:pStyle w:val="18"/>
        <w:snapToGrid w:val="0"/>
        <w:spacing w:before="120" w:after="120" w:line="276" w:lineRule="auto"/>
        <w:ind w:firstLine="420" w:firstLineChars="200"/>
        <w:rPr>
          <w:rFonts w:hAnsi="宋体"/>
          <w:sz w:val="21"/>
          <w:szCs w:val="21"/>
        </w:rPr>
      </w:pPr>
      <w:r>
        <w:rPr>
          <w:rFonts w:hint="eastAsia" w:hAnsi="宋体"/>
          <w:sz w:val="21"/>
          <w:szCs w:val="21"/>
        </w:rPr>
        <w:t>采购代理机构将按照招标文件规定的时间、地点和程序组织评标，各评审专家及相关人员应参加评审活动并接受核验、签到，无关人员不得进入评审现场。</w:t>
      </w:r>
    </w:p>
    <w:p>
      <w:pPr>
        <w:pStyle w:val="18"/>
        <w:snapToGrid w:val="0"/>
        <w:spacing w:before="120" w:after="120" w:line="276" w:lineRule="auto"/>
        <w:ind w:firstLine="420" w:firstLineChars="200"/>
        <w:rPr>
          <w:rFonts w:hAnsi="宋体"/>
          <w:sz w:val="21"/>
          <w:szCs w:val="21"/>
        </w:rPr>
      </w:pPr>
      <w:r>
        <w:rPr>
          <w:rFonts w:hint="eastAsia" w:hAnsi="宋体"/>
          <w:sz w:val="21"/>
          <w:szCs w:val="21"/>
        </w:rPr>
        <w:t>1、核验出席评审活动现场的评审小组各成员和相关监督人员身份，并要求其分别登记、签到，按规定统一收缴、保存其通讯工具，无关人员一律拒绝其进入评审现场。</w:t>
      </w:r>
    </w:p>
    <w:p>
      <w:pPr>
        <w:pStyle w:val="18"/>
        <w:snapToGrid w:val="0"/>
        <w:spacing w:before="120" w:after="120" w:line="276" w:lineRule="auto"/>
        <w:ind w:firstLine="420" w:firstLineChars="200"/>
        <w:rPr>
          <w:rFonts w:hAnsi="宋体"/>
          <w:sz w:val="21"/>
          <w:szCs w:val="21"/>
        </w:rPr>
      </w:pPr>
      <w:r>
        <w:rPr>
          <w:rFonts w:hint="eastAsia" w:hAnsi="宋体"/>
          <w:sz w:val="21"/>
          <w:szCs w:val="21"/>
        </w:rPr>
        <w:t>2、介绍评审现场的人员情况，宣布评审工作纪律，告知评审人员应当回避情形；组织推选评审小组组长。</w:t>
      </w:r>
    </w:p>
    <w:p>
      <w:pPr>
        <w:pStyle w:val="18"/>
        <w:snapToGrid w:val="0"/>
        <w:spacing w:before="120" w:after="120" w:line="276" w:lineRule="auto"/>
        <w:ind w:firstLine="420" w:firstLineChars="200"/>
        <w:rPr>
          <w:rFonts w:hAnsi="宋体"/>
          <w:sz w:val="21"/>
          <w:szCs w:val="21"/>
        </w:rPr>
      </w:pPr>
      <w:r>
        <w:rPr>
          <w:rFonts w:hint="eastAsia" w:hAnsi="宋体"/>
          <w:sz w:val="21"/>
          <w:szCs w:val="21"/>
        </w:rPr>
        <w:t>3、宣读提交投标文件的供应商名单，组织评审小组各位成员签订《政府采购评审人员廉洁自律承诺书》。</w:t>
      </w:r>
    </w:p>
    <w:p>
      <w:pPr>
        <w:pStyle w:val="18"/>
        <w:snapToGrid w:val="0"/>
        <w:spacing w:before="120" w:after="120" w:line="276" w:lineRule="auto"/>
        <w:ind w:firstLine="420" w:firstLineChars="200"/>
        <w:rPr>
          <w:rFonts w:hAnsi="宋体"/>
          <w:sz w:val="21"/>
          <w:szCs w:val="21"/>
        </w:rPr>
      </w:pPr>
      <w:r>
        <w:rPr>
          <w:rFonts w:hint="eastAsia" w:hAnsi="宋体"/>
          <w:sz w:val="21"/>
          <w:szCs w:val="21"/>
        </w:rPr>
        <w:t>4、根据需要简要介绍招标文件（含补充文件）制定及质疑答复情况、按书面陈述项目基本情况及评审工作需注意事项等，让评审专家尽快知悉和了解所评审项目的采购需求、评审依据、评审标准、工作程序等；提醒评审小组对客观评审项目应统一评审依据和评审标准，对主观评审项目应确定大致的评审要求和评审尺度；对评审人员提出的有关招标文件、投标文件的问题进行必要的说明、解释或讨论。</w:t>
      </w:r>
    </w:p>
    <w:p>
      <w:pPr>
        <w:pStyle w:val="18"/>
        <w:snapToGrid w:val="0"/>
        <w:spacing w:before="120" w:after="120" w:line="276" w:lineRule="auto"/>
        <w:ind w:firstLine="420" w:firstLineChars="200"/>
        <w:rPr>
          <w:rFonts w:hAnsi="宋体"/>
          <w:sz w:val="21"/>
          <w:szCs w:val="21"/>
        </w:rPr>
      </w:pPr>
      <w:r>
        <w:rPr>
          <w:rFonts w:hint="eastAsia" w:hAnsi="宋体"/>
          <w:sz w:val="21"/>
          <w:szCs w:val="21"/>
        </w:rPr>
        <w:t>5、评审小组组长组织评审人员独立评审。评审小组对拟认定为投标文件无效、供应商资格不符合的，应组织相关供应商代表进行陈述、澄清或申辩；采购代理机构可协助评审小组组长对打分结果进行校对、核对并汇总统计；对明显畸高、畸低的评分（其总评分偏离平均分30%以上的），评审小组组长应提醒相关评审人员进行复核或书面说明理由，评审人员拒绝说明的，由现场监督员据实记录；评审人员的评审、修改记录应保留原件，随项目其他资料一并存档。</w:t>
      </w:r>
    </w:p>
    <w:p>
      <w:pPr>
        <w:pStyle w:val="18"/>
        <w:snapToGrid w:val="0"/>
        <w:spacing w:before="120" w:after="120" w:line="276" w:lineRule="auto"/>
        <w:ind w:firstLine="420" w:firstLineChars="200"/>
        <w:rPr>
          <w:rFonts w:hAnsi="宋体"/>
          <w:sz w:val="21"/>
          <w:szCs w:val="21"/>
        </w:rPr>
      </w:pPr>
      <w:r>
        <w:rPr>
          <w:rFonts w:hint="eastAsia" w:hAnsi="宋体"/>
          <w:sz w:val="21"/>
          <w:szCs w:val="21"/>
        </w:rPr>
        <w:t>6、做好评审现场相关记录，协助评审小组组长做好评审报告起草、有关内容电脑文字录入等工作，并要求评审小组各成员签字确认。</w:t>
      </w:r>
    </w:p>
    <w:p>
      <w:pPr>
        <w:pStyle w:val="18"/>
        <w:snapToGrid w:val="0"/>
        <w:spacing w:before="120" w:after="120" w:line="276" w:lineRule="auto"/>
        <w:ind w:firstLine="420" w:firstLineChars="200"/>
        <w:rPr>
          <w:rFonts w:hAnsi="宋体"/>
          <w:sz w:val="21"/>
          <w:szCs w:val="21"/>
        </w:rPr>
      </w:pPr>
      <w:r>
        <w:rPr>
          <w:rFonts w:hint="eastAsia" w:hAnsi="宋体"/>
          <w:sz w:val="21"/>
          <w:szCs w:val="21"/>
        </w:rPr>
        <w:t>7、评审结束后，采购代理机构应对评审小组各成员的专业水平、职业道德、遵纪守法等情况进行评价；同时按规定向评审专家发放评审费，并交还评审人员及其他现场相关人员的通讯工具。</w:t>
      </w:r>
    </w:p>
    <w:p>
      <w:pPr>
        <w:pStyle w:val="18"/>
        <w:snapToGrid w:val="0"/>
        <w:spacing w:before="120" w:after="120" w:line="276" w:lineRule="auto"/>
        <w:ind w:firstLine="420" w:firstLineChars="200"/>
        <w:rPr>
          <w:rFonts w:hAnsi="宋体"/>
          <w:sz w:val="21"/>
          <w:szCs w:val="21"/>
        </w:rPr>
      </w:pPr>
      <w:r>
        <w:rPr>
          <w:rFonts w:hint="eastAsia" w:hAnsi="宋体"/>
          <w:sz w:val="21"/>
          <w:szCs w:val="21"/>
        </w:rPr>
        <w:t>（四）评标委员评审程序</w:t>
      </w:r>
    </w:p>
    <w:p>
      <w:pPr>
        <w:pStyle w:val="18"/>
        <w:snapToGrid w:val="0"/>
        <w:spacing w:before="120" w:after="120" w:line="276" w:lineRule="auto"/>
        <w:ind w:firstLine="420" w:firstLineChars="200"/>
        <w:rPr>
          <w:rFonts w:hAnsi="宋体"/>
          <w:sz w:val="21"/>
          <w:szCs w:val="21"/>
        </w:rPr>
      </w:pPr>
      <w:r>
        <w:rPr>
          <w:rFonts w:hint="eastAsia" w:hAnsi="宋体"/>
          <w:sz w:val="21"/>
          <w:szCs w:val="21"/>
        </w:rPr>
        <w:t>1、在评审专家中推选评审小组组长。</w:t>
      </w:r>
    </w:p>
    <w:p>
      <w:pPr>
        <w:pStyle w:val="18"/>
        <w:snapToGrid w:val="0"/>
        <w:spacing w:before="120" w:after="120" w:line="276" w:lineRule="auto"/>
        <w:ind w:firstLine="420" w:firstLineChars="200"/>
        <w:rPr>
          <w:rFonts w:hAnsi="宋体"/>
          <w:sz w:val="21"/>
          <w:szCs w:val="21"/>
        </w:rPr>
      </w:pPr>
      <w:r>
        <w:rPr>
          <w:rFonts w:hint="eastAsia" w:hAnsi="宋体"/>
          <w:sz w:val="21"/>
          <w:szCs w:val="21"/>
        </w:rPr>
        <w:t>2、评审小组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pPr>
        <w:pStyle w:val="18"/>
        <w:snapToGrid w:val="0"/>
        <w:spacing w:before="120" w:after="120" w:line="276" w:lineRule="auto"/>
        <w:ind w:firstLine="420" w:firstLineChars="200"/>
        <w:rPr>
          <w:rFonts w:hAnsi="宋体"/>
          <w:sz w:val="21"/>
          <w:szCs w:val="21"/>
        </w:rPr>
      </w:pPr>
      <w:r>
        <w:rPr>
          <w:rFonts w:hint="eastAsia" w:hAnsi="宋体"/>
          <w:sz w:val="21"/>
          <w:szCs w:val="21"/>
        </w:rPr>
        <w:t>3、评审人员对各供应商投标文件的有效性、完整性和响应程度进行审查，确定是否对招标文件作出实质性响应。</w:t>
      </w:r>
    </w:p>
    <w:p>
      <w:pPr>
        <w:pStyle w:val="18"/>
        <w:snapToGrid w:val="0"/>
        <w:spacing w:before="120" w:after="120" w:line="276" w:lineRule="auto"/>
        <w:ind w:firstLine="420" w:firstLineChars="200"/>
        <w:rPr>
          <w:rFonts w:hAnsi="宋体"/>
          <w:sz w:val="21"/>
          <w:szCs w:val="21"/>
        </w:rPr>
      </w:pPr>
      <w:r>
        <w:rPr>
          <w:rFonts w:hint="eastAsia" w:hAnsi="宋体"/>
          <w:sz w:val="21"/>
          <w:szCs w:val="21"/>
        </w:rPr>
        <w:t>4、评审人员按招标文件规定的评审方法和评审标准，依法独立对供应商投标文件进行评估、比较，并给予评价或打分，不受任何单位和个人的干预。</w:t>
      </w:r>
    </w:p>
    <w:p>
      <w:pPr>
        <w:pStyle w:val="18"/>
        <w:snapToGrid w:val="0"/>
        <w:spacing w:before="120" w:after="120" w:line="276" w:lineRule="auto"/>
        <w:ind w:firstLine="420" w:firstLineChars="200"/>
        <w:rPr>
          <w:rFonts w:hAnsi="宋体"/>
          <w:sz w:val="21"/>
          <w:szCs w:val="21"/>
        </w:rPr>
      </w:pPr>
      <w:r>
        <w:rPr>
          <w:rFonts w:hint="eastAsia" w:hAnsi="宋体"/>
          <w:sz w:val="21"/>
          <w:szCs w:val="21"/>
        </w:rPr>
        <w:t>5、评审人员对各供应商投标文件非实质性内容有疑议或异议，或者审查发现明显的文字或计算错误等，及时向评审小组组长提出。经评审小组商议认为需要供应商作出必要澄清或说明的，应通知该供应商以书面形式作出澄清或说明。书面通知及澄清说明文件应作为政府采购项目档案归档留存。</w:t>
      </w:r>
    </w:p>
    <w:p>
      <w:pPr>
        <w:pStyle w:val="18"/>
        <w:snapToGrid w:val="0"/>
        <w:spacing w:before="120" w:after="120" w:line="276" w:lineRule="auto"/>
        <w:ind w:firstLine="420" w:firstLineChars="200"/>
        <w:rPr>
          <w:rFonts w:hAnsi="宋体"/>
          <w:sz w:val="21"/>
          <w:szCs w:val="21"/>
        </w:rPr>
      </w:pPr>
      <w:r>
        <w:rPr>
          <w:rFonts w:hint="eastAsia" w:hAnsi="宋体"/>
          <w:sz w:val="21"/>
          <w:szCs w:val="21"/>
        </w:rPr>
        <w:t>6、评审人员需对采购代理机构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pPr>
        <w:pStyle w:val="18"/>
        <w:snapToGrid w:val="0"/>
        <w:spacing w:before="120" w:after="120" w:line="276" w:lineRule="auto"/>
        <w:ind w:firstLine="420" w:firstLineChars="200"/>
        <w:rPr>
          <w:rFonts w:hAnsi="宋体"/>
          <w:sz w:val="21"/>
          <w:szCs w:val="21"/>
        </w:rPr>
      </w:pPr>
      <w:r>
        <w:rPr>
          <w:rFonts w:hint="eastAsia" w:hAnsi="宋体"/>
          <w:sz w:val="21"/>
          <w:szCs w:val="21"/>
        </w:rPr>
        <w:t>7、评审小组根据评审汇总情况和招标文件规定确定中标候选供应商排序名单。 采购单位、经其书面授权的采购单位代表或经其书面授权的评审小组按中标候选供应商排名顺序对供应商逐一进行资格审查，直至依法产生合格的中标供应商。</w:t>
      </w:r>
    </w:p>
    <w:p>
      <w:pPr>
        <w:pStyle w:val="18"/>
        <w:snapToGrid w:val="0"/>
        <w:spacing w:before="120" w:after="120" w:line="276" w:lineRule="auto"/>
        <w:ind w:firstLine="420" w:firstLineChars="200"/>
        <w:rPr>
          <w:rFonts w:hAnsi="宋体"/>
          <w:sz w:val="21"/>
          <w:szCs w:val="21"/>
        </w:rPr>
      </w:pPr>
      <w:r>
        <w:rPr>
          <w:rFonts w:hint="eastAsia" w:hAnsi="宋体"/>
          <w:sz w:val="21"/>
          <w:szCs w:val="21"/>
        </w:rPr>
        <w:t>8、起草评审报告，所有评审人员须在评审报告上签字确认。</w:t>
      </w:r>
    </w:p>
    <w:p>
      <w:pPr>
        <w:pStyle w:val="18"/>
        <w:snapToGrid w:val="0"/>
        <w:spacing w:beforeLines="0" w:afterLines="0" w:line="276" w:lineRule="auto"/>
        <w:ind w:left="689" w:leftChars="228" w:hanging="210" w:hangingChars="100"/>
        <w:rPr>
          <w:rFonts w:hAnsi="宋体"/>
          <w:sz w:val="21"/>
          <w:szCs w:val="21"/>
        </w:rPr>
      </w:pPr>
      <w:r>
        <w:rPr>
          <w:rFonts w:hAnsi="宋体"/>
          <w:sz w:val="21"/>
          <w:szCs w:val="21"/>
        </w:rPr>
        <w:t>（五）错误修正</w:t>
      </w:r>
    </w:p>
    <w:p>
      <w:pPr>
        <w:pStyle w:val="18"/>
        <w:snapToGrid w:val="0"/>
        <w:spacing w:beforeLines="0" w:afterLines="0" w:line="276" w:lineRule="auto"/>
        <w:ind w:left="689" w:leftChars="228" w:hanging="210" w:hangingChars="100"/>
        <w:rPr>
          <w:rFonts w:hAnsi="宋体"/>
          <w:sz w:val="21"/>
          <w:szCs w:val="21"/>
        </w:rPr>
      </w:pPr>
      <w:r>
        <w:rPr>
          <w:rFonts w:hAnsi="宋体"/>
          <w:sz w:val="21"/>
          <w:szCs w:val="21"/>
        </w:rPr>
        <w:t>投标文件如果出现计算或表达上的错误，修正错误的原则如下：</w:t>
      </w:r>
    </w:p>
    <w:p>
      <w:pPr>
        <w:snapToGrid w:val="0"/>
        <w:spacing w:line="276" w:lineRule="auto"/>
        <w:ind w:firstLine="420" w:firstLineChars="200"/>
        <w:rPr>
          <w:rFonts w:ascii="宋体" w:hAnsi="宋体"/>
          <w:szCs w:val="21"/>
        </w:rPr>
      </w:pPr>
      <w:r>
        <w:rPr>
          <w:rFonts w:ascii="宋体" w:hAnsi="宋体"/>
          <w:szCs w:val="21"/>
        </w:rPr>
        <w:t>1</w:t>
      </w:r>
      <w:r>
        <w:rPr>
          <w:rFonts w:hint="eastAsia" w:ascii="宋体" w:hAnsi="宋体"/>
          <w:szCs w:val="21"/>
        </w:rPr>
        <w:t>、开标一览表总价与投标报价明细表汇总数不一致的，</w:t>
      </w:r>
      <w:r>
        <w:rPr>
          <w:rFonts w:hint="eastAsia" w:ascii="宋体" w:hAnsi="宋体" w:cs="Arial"/>
          <w:kern w:val="0"/>
          <w:szCs w:val="21"/>
        </w:rPr>
        <w:t>以开标一览表为准；</w:t>
      </w:r>
    </w:p>
    <w:p>
      <w:pPr>
        <w:pStyle w:val="18"/>
        <w:snapToGrid w:val="0"/>
        <w:spacing w:beforeLines="0" w:afterLines="0" w:line="276" w:lineRule="auto"/>
        <w:ind w:firstLine="420" w:firstLineChars="200"/>
        <w:rPr>
          <w:rFonts w:hAnsi="宋体"/>
          <w:sz w:val="21"/>
          <w:szCs w:val="21"/>
        </w:rPr>
      </w:pPr>
      <w:r>
        <w:rPr>
          <w:rFonts w:hAnsi="宋体"/>
          <w:sz w:val="21"/>
          <w:szCs w:val="21"/>
        </w:rPr>
        <w:t>2</w:t>
      </w:r>
      <w:r>
        <w:rPr>
          <w:rFonts w:hint="eastAsia" w:hAnsi="宋体"/>
          <w:sz w:val="21"/>
          <w:szCs w:val="21"/>
        </w:rPr>
        <w:t>、</w:t>
      </w:r>
      <w:r>
        <w:rPr>
          <w:rFonts w:hAnsi="宋体"/>
          <w:sz w:val="21"/>
          <w:szCs w:val="21"/>
        </w:rPr>
        <w:t>投标文件的大写金额和小写金额不一致的，以大写金额为准；</w:t>
      </w:r>
    </w:p>
    <w:p>
      <w:pPr>
        <w:pStyle w:val="18"/>
        <w:snapToGrid w:val="0"/>
        <w:spacing w:beforeLines="0" w:afterLines="0" w:line="276" w:lineRule="auto"/>
        <w:ind w:firstLine="420" w:firstLineChars="200"/>
        <w:rPr>
          <w:rFonts w:hAnsi="宋体"/>
          <w:sz w:val="21"/>
          <w:szCs w:val="21"/>
        </w:rPr>
      </w:pPr>
      <w:r>
        <w:rPr>
          <w:rFonts w:hAnsi="宋体"/>
          <w:sz w:val="21"/>
          <w:szCs w:val="21"/>
        </w:rPr>
        <w:t>3</w:t>
      </w:r>
      <w:r>
        <w:rPr>
          <w:rFonts w:hint="eastAsia" w:hAnsi="宋体"/>
          <w:sz w:val="21"/>
          <w:szCs w:val="21"/>
        </w:rPr>
        <w:t>、</w:t>
      </w:r>
      <w:r>
        <w:rPr>
          <w:rFonts w:hAnsi="宋体"/>
          <w:sz w:val="21"/>
          <w:szCs w:val="21"/>
        </w:rPr>
        <w:t>总价金额与按单价汇总金额不一致的，以单价金额计算结果为准；</w:t>
      </w:r>
    </w:p>
    <w:p>
      <w:pPr>
        <w:pStyle w:val="18"/>
        <w:snapToGrid w:val="0"/>
        <w:spacing w:beforeLines="0" w:afterLines="0" w:line="276" w:lineRule="auto"/>
        <w:ind w:firstLine="420" w:firstLineChars="200"/>
        <w:rPr>
          <w:rFonts w:hAnsi="宋体"/>
          <w:sz w:val="21"/>
          <w:szCs w:val="21"/>
        </w:rPr>
      </w:pPr>
      <w:r>
        <w:rPr>
          <w:rFonts w:hAnsi="宋体"/>
          <w:sz w:val="21"/>
          <w:szCs w:val="21"/>
        </w:rPr>
        <w:t>4</w:t>
      </w:r>
      <w:r>
        <w:rPr>
          <w:rFonts w:hint="eastAsia" w:hAnsi="宋体"/>
          <w:sz w:val="21"/>
          <w:szCs w:val="21"/>
        </w:rPr>
        <w:t>、</w:t>
      </w:r>
      <w:r>
        <w:rPr>
          <w:rFonts w:hAnsi="宋体"/>
          <w:sz w:val="21"/>
          <w:szCs w:val="21"/>
        </w:rPr>
        <w:t>对不同文字文本投标文件的解释发生异议的，以中文文本为准。</w:t>
      </w:r>
    </w:p>
    <w:p>
      <w:pPr>
        <w:pStyle w:val="18"/>
        <w:snapToGrid w:val="0"/>
        <w:spacing w:beforeLines="0" w:afterLines="0" w:line="276" w:lineRule="auto"/>
        <w:ind w:firstLine="420" w:firstLineChars="200"/>
        <w:rPr>
          <w:rFonts w:hAnsi="宋体"/>
          <w:bCs/>
          <w:sz w:val="21"/>
          <w:szCs w:val="21"/>
        </w:rPr>
      </w:pPr>
      <w:r>
        <w:rPr>
          <w:rFonts w:hAnsi="宋体"/>
          <w:bCs/>
          <w:sz w:val="21"/>
          <w:szCs w:val="21"/>
        </w:rPr>
        <w:t>按上述修正错误的原则及方法调整或修正投标文件的投标报价，投标人同意</w:t>
      </w:r>
      <w:r>
        <w:rPr>
          <w:rFonts w:hint="eastAsia" w:hAnsi="宋体"/>
          <w:bCs/>
          <w:sz w:val="21"/>
          <w:szCs w:val="21"/>
        </w:rPr>
        <w:t>并签字确认</w:t>
      </w:r>
      <w:r>
        <w:rPr>
          <w:rFonts w:hAnsi="宋体"/>
          <w:bCs/>
          <w:sz w:val="21"/>
          <w:szCs w:val="21"/>
        </w:rPr>
        <w:t>后，调整后的投标报价对投标人具有约束作用。如果投标人不接受修正后的报价，则其投标将</w:t>
      </w:r>
      <w:r>
        <w:rPr>
          <w:rFonts w:hint="eastAsia" w:hAnsi="宋体"/>
          <w:bCs/>
          <w:sz w:val="21"/>
          <w:szCs w:val="21"/>
        </w:rPr>
        <w:t>作为无效投标处理</w:t>
      </w:r>
      <w:r>
        <w:rPr>
          <w:rFonts w:hAnsi="宋体"/>
          <w:bCs/>
          <w:sz w:val="21"/>
          <w:szCs w:val="21"/>
        </w:rPr>
        <w:t>。</w:t>
      </w:r>
    </w:p>
    <w:p>
      <w:pPr>
        <w:pStyle w:val="18"/>
        <w:tabs>
          <w:tab w:val="left" w:pos="630"/>
        </w:tabs>
        <w:snapToGrid w:val="0"/>
        <w:spacing w:beforeLines="0" w:afterLines="0" w:line="276" w:lineRule="auto"/>
        <w:ind w:firstLine="411" w:firstLineChars="196"/>
        <w:rPr>
          <w:rFonts w:hAnsi="宋体"/>
          <w:sz w:val="21"/>
          <w:szCs w:val="21"/>
        </w:rPr>
      </w:pPr>
      <w:r>
        <w:rPr>
          <w:rFonts w:hAnsi="宋体"/>
          <w:sz w:val="21"/>
          <w:szCs w:val="21"/>
        </w:rPr>
        <w:t>（六）评标原则和评标办法</w:t>
      </w:r>
    </w:p>
    <w:p>
      <w:pPr>
        <w:pStyle w:val="18"/>
        <w:snapToGrid w:val="0"/>
        <w:spacing w:before="120" w:after="120" w:line="276" w:lineRule="auto"/>
        <w:ind w:firstLine="420" w:firstLineChars="200"/>
        <w:rPr>
          <w:rFonts w:hAnsi="宋体"/>
          <w:sz w:val="21"/>
          <w:szCs w:val="21"/>
        </w:rPr>
      </w:pPr>
      <w:r>
        <w:rPr>
          <w:rFonts w:hint="eastAsia" w:hAnsi="宋体"/>
          <w:sz w:val="21"/>
          <w:szCs w:val="21"/>
        </w:rP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18"/>
        <w:snapToGrid w:val="0"/>
        <w:spacing w:before="120" w:after="120" w:line="276" w:lineRule="auto"/>
        <w:ind w:firstLine="420" w:firstLineChars="200"/>
        <w:rPr>
          <w:rFonts w:hAnsi="宋体"/>
          <w:sz w:val="21"/>
          <w:szCs w:val="21"/>
        </w:rPr>
      </w:pPr>
      <w:r>
        <w:rPr>
          <w:rFonts w:hint="eastAsia" w:hAnsi="宋体"/>
          <w:sz w:val="21"/>
          <w:szCs w:val="21"/>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供应商择期重新评审的时间和地点。</w:t>
      </w:r>
    </w:p>
    <w:p>
      <w:pPr>
        <w:pStyle w:val="18"/>
        <w:snapToGrid w:val="0"/>
        <w:spacing w:before="120" w:after="120" w:line="276" w:lineRule="auto"/>
        <w:ind w:firstLine="420" w:firstLineChars="200"/>
        <w:rPr>
          <w:rFonts w:hAnsi="宋体"/>
          <w:sz w:val="21"/>
          <w:szCs w:val="21"/>
        </w:rPr>
      </w:pPr>
      <w:r>
        <w:rPr>
          <w:rFonts w:hint="eastAsia" w:hAnsi="宋体"/>
          <w:sz w:val="21"/>
          <w:szCs w:val="21"/>
        </w:rPr>
        <w:t>3、评审人员对有关招标文件、投标文件、样品、现场演示（如有）的说明、解释、要求、标准存在不同意见的，持不同意见的评审人员及其意见或理由应予以完整记录，并在评审过程中按照少数服从多数的原则表决执行。对招标文件本身不明确或存在歧义、矛盾的内容，应作对供应商而非采购单位有利的解释；对因招标文件中有关产品技术参数需求表述不清导致供应商实质性响应不一致时，应终止评审，重新组织采购。评审人员拒绝在评审报告中签字又不说明其不同意见或理由的，由现场监督员记录在案后，可视为同意评审结果。</w:t>
      </w:r>
    </w:p>
    <w:p>
      <w:pPr>
        <w:pStyle w:val="18"/>
        <w:snapToGrid w:val="0"/>
        <w:spacing w:beforeLines="0" w:afterLines="0" w:line="276" w:lineRule="auto"/>
        <w:ind w:firstLine="420" w:firstLineChars="200"/>
        <w:rPr>
          <w:rFonts w:hAnsi="宋体"/>
          <w:sz w:val="21"/>
          <w:szCs w:val="21"/>
        </w:rPr>
      </w:pPr>
      <w:r>
        <w:rPr>
          <w:rFonts w:hint="eastAsia" w:hAnsi="宋体"/>
          <w:sz w:val="21"/>
          <w:szCs w:val="21"/>
        </w:rPr>
        <w:t>4、</w:t>
      </w:r>
      <w:r>
        <w:rPr>
          <w:rFonts w:hAnsi="宋体"/>
          <w:sz w:val="21"/>
          <w:szCs w:val="21"/>
        </w:rPr>
        <w:t>评标办法。本项目评标办法是</w:t>
      </w:r>
      <w:r>
        <w:rPr>
          <w:rFonts w:hAnsi="宋体"/>
          <w:sz w:val="21"/>
          <w:szCs w:val="21"/>
          <w:u w:val="single"/>
        </w:rPr>
        <w:t xml:space="preserve"> </w:t>
      </w:r>
      <w:r>
        <w:rPr>
          <w:rFonts w:hint="eastAsia" w:hAnsi="宋体"/>
          <w:sz w:val="21"/>
          <w:szCs w:val="21"/>
          <w:u w:val="single"/>
        </w:rPr>
        <w:t>综合评估法</w:t>
      </w:r>
      <w:r>
        <w:rPr>
          <w:rFonts w:hAnsi="宋体"/>
          <w:sz w:val="21"/>
          <w:szCs w:val="21"/>
          <w:u w:val="single"/>
        </w:rPr>
        <w:t xml:space="preserve">  </w:t>
      </w:r>
      <w:r>
        <w:rPr>
          <w:rFonts w:hAnsi="宋体"/>
          <w:sz w:val="21"/>
          <w:szCs w:val="21"/>
        </w:rPr>
        <w:t>，具体评标内容及评分标准等详见《第四章：评标办法及评分标准》。</w:t>
      </w:r>
    </w:p>
    <w:p>
      <w:pPr>
        <w:pStyle w:val="18"/>
        <w:snapToGrid w:val="0"/>
        <w:spacing w:beforeLines="0" w:afterLines="0" w:line="276" w:lineRule="auto"/>
        <w:ind w:firstLine="411" w:firstLineChars="196"/>
        <w:rPr>
          <w:rFonts w:hAnsi="宋体"/>
          <w:sz w:val="21"/>
          <w:szCs w:val="21"/>
        </w:rPr>
      </w:pPr>
      <w:r>
        <w:rPr>
          <w:rFonts w:hAnsi="宋体"/>
          <w:sz w:val="21"/>
          <w:szCs w:val="21"/>
        </w:rPr>
        <w:t>（七）评标过程的监控</w:t>
      </w:r>
    </w:p>
    <w:p>
      <w:pPr>
        <w:pStyle w:val="18"/>
        <w:snapToGrid w:val="0"/>
        <w:spacing w:beforeLines="0" w:afterLines="0" w:line="276" w:lineRule="auto"/>
        <w:ind w:firstLine="420" w:firstLineChars="200"/>
        <w:rPr>
          <w:rFonts w:hAnsi="宋体"/>
          <w:sz w:val="21"/>
          <w:szCs w:val="21"/>
        </w:rPr>
      </w:pPr>
      <w:r>
        <w:rPr>
          <w:rFonts w:hAnsi="宋体"/>
          <w:sz w:val="21"/>
          <w:szCs w:val="21"/>
        </w:rPr>
        <w:t>本项目评标过程实行全程录音、录像监控，投标人在评标过程中所进行的</w:t>
      </w:r>
      <w:r>
        <w:rPr>
          <w:rFonts w:hint="eastAsia" w:hAnsi="宋体"/>
          <w:sz w:val="21"/>
          <w:szCs w:val="21"/>
        </w:rPr>
        <w:t>试</w:t>
      </w:r>
      <w:r>
        <w:rPr>
          <w:rFonts w:hAnsi="宋体"/>
          <w:sz w:val="21"/>
          <w:szCs w:val="21"/>
        </w:rPr>
        <w:t>图影响评标结果的不公正活动，可能导致其投标被拒绝。</w:t>
      </w:r>
    </w:p>
    <w:p>
      <w:pPr>
        <w:pStyle w:val="18"/>
        <w:snapToGrid w:val="0"/>
        <w:spacing w:before="120" w:after="120" w:line="276" w:lineRule="auto"/>
        <w:rPr>
          <w:rFonts w:hAnsi="宋体"/>
          <w:sz w:val="21"/>
          <w:szCs w:val="21"/>
        </w:rPr>
      </w:pPr>
      <w:r>
        <w:rPr>
          <w:rFonts w:hint="eastAsia" w:hAnsi="宋体"/>
          <w:sz w:val="21"/>
          <w:szCs w:val="21"/>
        </w:rPr>
        <w:t xml:space="preserve">    六、采购方式变更</w:t>
      </w:r>
    </w:p>
    <w:p>
      <w:pPr>
        <w:pStyle w:val="18"/>
        <w:snapToGrid w:val="0"/>
        <w:spacing w:before="120" w:after="120" w:line="276" w:lineRule="auto"/>
        <w:ind w:firstLine="420" w:firstLineChars="200"/>
        <w:rPr>
          <w:rFonts w:hAnsi="宋体"/>
          <w:sz w:val="21"/>
          <w:szCs w:val="21"/>
        </w:rPr>
      </w:pPr>
      <w:r>
        <w:rPr>
          <w:rFonts w:hint="eastAsia" w:hAnsi="宋体"/>
          <w:sz w:val="21"/>
          <w:szCs w:val="21"/>
        </w:rPr>
        <w:t>至投标截止时间或在评审期间，出现参与投标或者对招标文件作出实质性响应的供应商不足3家的情况，招标采购单位有权全部或部分终止招标。经相关政府采购管理部门批准，招标采购单位可以按照原招标文件确定的采购方式进行，或者改用竞争性谈判或者单一来源方式采购。</w:t>
      </w:r>
    </w:p>
    <w:p>
      <w:pPr>
        <w:pStyle w:val="18"/>
        <w:snapToGrid w:val="0"/>
        <w:spacing w:beforeLines="0" w:afterLines="0" w:line="276" w:lineRule="auto"/>
        <w:ind w:firstLine="411" w:firstLineChars="196"/>
        <w:outlineLvl w:val="1"/>
        <w:rPr>
          <w:rFonts w:hAnsi="宋体"/>
          <w:sz w:val="21"/>
          <w:szCs w:val="21"/>
        </w:rPr>
      </w:pPr>
      <w:bookmarkStart w:id="31" w:name="_Toc485712557"/>
      <w:r>
        <w:rPr>
          <w:rFonts w:hint="eastAsia" w:hAnsi="宋体"/>
          <w:sz w:val="21"/>
          <w:szCs w:val="21"/>
        </w:rPr>
        <w:t>七、定标</w:t>
      </w:r>
      <w:bookmarkEnd w:id="31"/>
    </w:p>
    <w:p>
      <w:pPr>
        <w:pStyle w:val="18"/>
        <w:snapToGrid w:val="0"/>
        <w:spacing w:beforeLines="0" w:afterLines="0" w:line="276" w:lineRule="auto"/>
        <w:ind w:firstLine="411" w:firstLineChars="196"/>
        <w:rPr>
          <w:rFonts w:hAnsi="宋体"/>
          <w:bCs/>
          <w:sz w:val="21"/>
          <w:szCs w:val="21"/>
        </w:rPr>
      </w:pPr>
      <w:r>
        <w:rPr>
          <w:rFonts w:hint="eastAsia" w:hAnsi="宋体"/>
          <w:bCs/>
          <w:sz w:val="21"/>
          <w:szCs w:val="21"/>
        </w:rPr>
        <w:t>本项目由采购单位（或采购单位事先授权评标委员会）确定中标人。</w:t>
      </w:r>
    </w:p>
    <w:p>
      <w:pPr>
        <w:snapToGrid w:val="0"/>
        <w:spacing w:line="276" w:lineRule="auto"/>
        <w:ind w:firstLine="420" w:firstLineChars="200"/>
        <w:rPr>
          <w:rFonts w:ascii="宋体" w:hAnsi="宋体"/>
          <w:szCs w:val="21"/>
        </w:rPr>
      </w:pPr>
      <w:r>
        <w:rPr>
          <w:rFonts w:ascii="宋体" w:hAnsi="宋体"/>
          <w:szCs w:val="21"/>
        </w:rPr>
        <w:t>采购代理机构在评标结束后2个工作日内将评标报告交采购单位确认，采购单位应在收到评标报告后5个工作日内对评标结果进行确认</w:t>
      </w:r>
      <w:r>
        <w:rPr>
          <w:rFonts w:hint="eastAsia" w:ascii="宋体" w:hAnsi="宋体"/>
          <w:szCs w:val="21"/>
        </w:rPr>
        <w:t>，采购单位依法确定中标人后</w:t>
      </w:r>
      <w:r>
        <w:rPr>
          <w:rFonts w:ascii="宋体" w:hAnsi="宋体"/>
          <w:szCs w:val="21"/>
        </w:rPr>
        <w:t>2个工作日内，采购代理机构在发布招标公告的网站上</w:t>
      </w:r>
      <w:r>
        <w:rPr>
          <w:rFonts w:hint="eastAsia" w:ascii="宋体" w:hAnsi="宋体"/>
          <w:szCs w:val="21"/>
        </w:rPr>
        <w:t>发布中标公告，同时</w:t>
      </w:r>
      <w:r>
        <w:rPr>
          <w:rFonts w:ascii="宋体" w:hAnsi="宋体"/>
          <w:szCs w:val="21"/>
        </w:rPr>
        <w:t>以书面形式发出《中标通知书》。</w:t>
      </w:r>
    </w:p>
    <w:p>
      <w:pPr>
        <w:pStyle w:val="18"/>
        <w:snapToGrid w:val="0"/>
        <w:spacing w:beforeLines="0" w:afterLines="0" w:line="276" w:lineRule="auto"/>
        <w:ind w:firstLine="411" w:firstLineChars="196"/>
        <w:outlineLvl w:val="1"/>
        <w:rPr>
          <w:rFonts w:hAnsi="宋体"/>
          <w:sz w:val="21"/>
          <w:szCs w:val="21"/>
        </w:rPr>
      </w:pPr>
      <w:bookmarkStart w:id="32" w:name="_Toc485712558"/>
      <w:r>
        <w:rPr>
          <w:rFonts w:hint="eastAsia" w:hAnsi="宋体"/>
          <w:sz w:val="21"/>
          <w:szCs w:val="21"/>
        </w:rPr>
        <w:t>八、合同授予</w:t>
      </w:r>
      <w:bookmarkEnd w:id="32"/>
    </w:p>
    <w:p>
      <w:pPr>
        <w:snapToGrid w:val="0"/>
        <w:spacing w:line="276" w:lineRule="auto"/>
        <w:ind w:firstLine="411" w:firstLineChars="196"/>
        <w:rPr>
          <w:rFonts w:ascii="宋体" w:hAnsi="宋体"/>
          <w:bCs/>
          <w:szCs w:val="21"/>
        </w:rPr>
      </w:pPr>
      <w:r>
        <w:rPr>
          <w:rFonts w:hint="eastAsia" w:ascii="宋体" w:hAnsi="宋体"/>
          <w:bCs/>
          <w:szCs w:val="21"/>
        </w:rPr>
        <w:t>（一）签订合同</w:t>
      </w:r>
    </w:p>
    <w:p>
      <w:pPr>
        <w:snapToGrid w:val="0"/>
        <w:spacing w:line="276" w:lineRule="auto"/>
        <w:ind w:firstLine="420" w:firstLineChars="200"/>
        <w:rPr>
          <w:rFonts w:ascii="宋体" w:hAnsi="宋体"/>
          <w:szCs w:val="21"/>
        </w:rPr>
      </w:pPr>
      <w:r>
        <w:rPr>
          <w:rFonts w:ascii="宋体" w:hAnsi="宋体"/>
          <w:szCs w:val="21"/>
        </w:rPr>
        <w:t>1</w:t>
      </w:r>
      <w:r>
        <w:rPr>
          <w:rFonts w:hint="eastAsia" w:ascii="宋体" w:hAnsi="宋体"/>
          <w:szCs w:val="21"/>
        </w:rPr>
        <w:t>、采购单位与</w:t>
      </w:r>
      <w:r>
        <w:rPr>
          <w:rFonts w:ascii="宋体" w:hAnsi="宋体"/>
          <w:szCs w:val="21"/>
        </w:rPr>
        <w:t>中标人应</w:t>
      </w:r>
      <w:r>
        <w:rPr>
          <w:rFonts w:hint="eastAsia" w:ascii="宋体" w:hAnsi="宋体"/>
          <w:szCs w:val="21"/>
        </w:rPr>
        <w:t>当在《</w:t>
      </w:r>
      <w:r>
        <w:rPr>
          <w:rFonts w:ascii="宋体" w:hAnsi="宋体"/>
          <w:szCs w:val="21"/>
        </w:rPr>
        <w:t>中标通知书</w:t>
      </w:r>
      <w:r>
        <w:rPr>
          <w:rFonts w:hint="eastAsia" w:ascii="宋体" w:hAnsi="宋体"/>
          <w:szCs w:val="21"/>
        </w:rPr>
        <w:t>》发出之日起30日内签订政府采购合同。同时，采购代理机构对合同内容进行鉴证，如发现与采购结果和投标承诺内容不一致的，应予以纠正。</w:t>
      </w:r>
    </w:p>
    <w:p>
      <w:pPr>
        <w:snapToGrid w:val="0"/>
        <w:spacing w:line="276" w:lineRule="auto"/>
        <w:ind w:firstLine="420" w:firstLineChars="200"/>
        <w:rPr>
          <w:rFonts w:ascii="宋体" w:hAnsi="宋体"/>
          <w:szCs w:val="21"/>
        </w:rPr>
      </w:pPr>
      <w:r>
        <w:rPr>
          <w:rFonts w:ascii="宋体" w:hAnsi="宋体"/>
          <w:szCs w:val="21"/>
        </w:rPr>
        <w:t>2</w:t>
      </w:r>
      <w:r>
        <w:rPr>
          <w:rFonts w:hint="eastAsia" w:ascii="宋体" w:hAnsi="宋体"/>
          <w:szCs w:val="21"/>
        </w:rPr>
        <w:t>、</w:t>
      </w:r>
      <w:r>
        <w:rPr>
          <w:rFonts w:ascii="宋体" w:hAnsi="宋体"/>
          <w:szCs w:val="21"/>
        </w:rPr>
        <w:t>中标人拖延、拒签合同的,将被扣罚投标保证金并取消中标资格。</w:t>
      </w:r>
    </w:p>
    <w:p>
      <w:pPr>
        <w:pStyle w:val="18"/>
        <w:snapToGrid w:val="0"/>
        <w:spacing w:beforeLines="0" w:afterLines="0" w:line="276" w:lineRule="auto"/>
        <w:ind w:firstLine="411" w:firstLineChars="196"/>
        <w:rPr>
          <w:rFonts w:hAnsi="宋体"/>
          <w:sz w:val="21"/>
          <w:szCs w:val="21"/>
        </w:rPr>
      </w:pPr>
      <w:r>
        <w:rPr>
          <w:rFonts w:hAnsi="宋体"/>
          <w:sz w:val="21"/>
          <w:szCs w:val="21"/>
        </w:rPr>
        <w:t>（二）履约保证金及质量保</w:t>
      </w:r>
      <w:r>
        <w:rPr>
          <w:rFonts w:hint="eastAsia" w:hAnsi="宋体"/>
          <w:sz w:val="21"/>
          <w:szCs w:val="21"/>
        </w:rPr>
        <w:t>证</w:t>
      </w:r>
      <w:r>
        <w:rPr>
          <w:rFonts w:hAnsi="宋体"/>
          <w:sz w:val="21"/>
          <w:szCs w:val="21"/>
        </w:rPr>
        <w:t>金</w:t>
      </w:r>
    </w:p>
    <w:p>
      <w:pPr>
        <w:pStyle w:val="18"/>
        <w:snapToGrid w:val="0"/>
        <w:spacing w:beforeLines="0" w:afterLines="0" w:line="276" w:lineRule="auto"/>
        <w:ind w:firstLine="420" w:firstLineChars="200"/>
        <w:rPr>
          <w:rFonts w:hAnsi="宋体"/>
          <w:sz w:val="21"/>
          <w:szCs w:val="21"/>
        </w:rPr>
      </w:pPr>
      <w:r>
        <w:rPr>
          <w:rFonts w:hAnsi="宋体"/>
          <w:sz w:val="21"/>
          <w:szCs w:val="21"/>
        </w:rPr>
        <w:t>1</w:t>
      </w:r>
      <w:r>
        <w:rPr>
          <w:rFonts w:hint="eastAsia" w:hAnsi="宋体"/>
          <w:sz w:val="21"/>
          <w:szCs w:val="21"/>
        </w:rPr>
        <w:t>、</w:t>
      </w:r>
      <w:r>
        <w:rPr>
          <w:rFonts w:hAnsi="宋体"/>
          <w:sz w:val="21"/>
          <w:szCs w:val="21"/>
        </w:rPr>
        <w:t>签订合同前，中标人应根据招标文件确定的履约保证金的金额，向采购单位交纳履约保证金，否则，采购单位将没收中标人的全部投标保证金。</w:t>
      </w:r>
    </w:p>
    <w:p>
      <w:pPr>
        <w:pStyle w:val="18"/>
        <w:snapToGrid w:val="0"/>
        <w:spacing w:beforeLines="0" w:afterLines="0" w:line="276" w:lineRule="auto"/>
        <w:ind w:firstLine="420" w:firstLineChars="200"/>
        <w:rPr>
          <w:rFonts w:hAnsi="宋体"/>
          <w:sz w:val="21"/>
          <w:szCs w:val="21"/>
        </w:rPr>
      </w:pPr>
      <w:r>
        <w:rPr>
          <w:rFonts w:hAnsi="宋体"/>
          <w:sz w:val="21"/>
          <w:szCs w:val="21"/>
        </w:rPr>
        <w:t>2</w:t>
      </w:r>
      <w:r>
        <w:rPr>
          <w:rFonts w:hint="eastAsia" w:hAnsi="宋体"/>
          <w:sz w:val="21"/>
          <w:szCs w:val="21"/>
        </w:rPr>
        <w:t>、</w:t>
      </w:r>
      <w:r>
        <w:rPr>
          <w:rFonts w:hAnsi="宋体"/>
          <w:sz w:val="21"/>
          <w:szCs w:val="21"/>
        </w:rPr>
        <w:t>签订合同后，如中标人不按双方合同约定履约，则没收其全部履约保证金，履约保证金不足以赔偿损失的，按实际损失赔偿。</w:t>
      </w:r>
    </w:p>
    <w:p>
      <w:pPr>
        <w:pStyle w:val="18"/>
        <w:snapToGrid w:val="0"/>
        <w:spacing w:beforeLines="0" w:afterLines="0" w:line="276" w:lineRule="auto"/>
        <w:ind w:firstLine="411" w:firstLineChars="196"/>
        <w:outlineLvl w:val="1"/>
        <w:rPr>
          <w:rFonts w:hAnsi="宋体"/>
          <w:sz w:val="21"/>
          <w:szCs w:val="21"/>
        </w:rPr>
      </w:pPr>
      <w:r>
        <w:rPr>
          <w:rFonts w:hint="eastAsia" w:hAnsi="宋体"/>
          <w:sz w:val="21"/>
          <w:szCs w:val="21"/>
        </w:rPr>
        <w:t>九、特别说明</w:t>
      </w:r>
    </w:p>
    <w:p>
      <w:pPr>
        <w:pStyle w:val="18"/>
        <w:snapToGrid w:val="0"/>
        <w:spacing w:before="120" w:after="120" w:line="276" w:lineRule="auto"/>
        <w:ind w:firstLine="420" w:firstLineChars="200"/>
        <w:rPr>
          <w:rFonts w:hAnsi="宋体"/>
          <w:sz w:val="21"/>
          <w:szCs w:val="21"/>
        </w:rPr>
      </w:pPr>
      <w:r>
        <w:rPr>
          <w:rFonts w:hint="eastAsia" w:hAnsi="宋体"/>
          <w:sz w:val="21"/>
          <w:szCs w:val="21"/>
        </w:rPr>
        <w:t>1、采购单位与中标人应当在《中标通知书》发出之日起30日内签订政府采购合同。</w:t>
      </w:r>
    </w:p>
    <w:p>
      <w:pPr>
        <w:pStyle w:val="18"/>
        <w:snapToGrid w:val="0"/>
        <w:spacing w:before="120" w:after="120" w:line="276" w:lineRule="auto"/>
        <w:ind w:firstLine="420" w:firstLineChars="200"/>
        <w:rPr>
          <w:rFonts w:hAnsi="宋体"/>
          <w:sz w:val="21"/>
          <w:szCs w:val="21"/>
        </w:rPr>
      </w:pPr>
      <w:r>
        <w:rPr>
          <w:rFonts w:hint="eastAsia" w:hAnsi="宋体"/>
          <w:sz w:val="21"/>
          <w:szCs w:val="21"/>
        </w:rPr>
        <w:t>2、本文件未及事项，在签订合同时供需及使用方友好商定。</w:t>
      </w:r>
    </w:p>
    <w:p>
      <w:pPr>
        <w:pStyle w:val="18"/>
        <w:snapToGrid w:val="0"/>
        <w:spacing w:before="120" w:after="120" w:line="276" w:lineRule="auto"/>
        <w:ind w:firstLine="420" w:firstLineChars="200"/>
        <w:rPr>
          <w:rFonts w:hAnsi="宋体"/>
          <w:sz w:val="21"/>
          <w:szCs w:val="21"/>
        </w:rPr>
      </w:pPr>
      <w:r>
        <w:rPr>
          <w:rFonts w:hint="eastAsia" w:hAnsi="宋体"/>
          <w:sz w:val="21"/>
          <w:szCs w:val="21"/>
        </w:rPr>
        <w:t>3、本采购文件解释权归采购单位。</w:t>
      </w:r>
    </w:p>
    <w:p>
      <w:pPr>
        <w:pStyle w:val="18"/>
        <w:snapToGrid w:val="0"/>
        <w:spacing w:before="120" w:after="120" w:line="276" w:lineRule="auto"/>
        <w:ind w:firstLine="420" w:firstLineChars="200"/>
        <w:rPr>
          <w:rFonts w:hAnsi="宋体"/>
          <w:sz w:val="21"/>
          <w:szCs w:val="21"/>
        </w:rPr>
      </w:pPr>
      <w:r>
        <w:rPr>
          <w:rFonts w:hint="eastAsia" w:hAnsi="宋体"/>
          <w:sz w:val="21"/>
          <w:szCs w:val="21"/>
        </w:rPr>
        <w:t>4、本次招标的招标代理服务费由中标人支付。</w:t>
      </w:r>
    </w:p>
    <w:p>
      <w:pPr>
        <w:pStyle w:val="18"/>
        <w:snapToGrid w:val="0"/>
        <w:spacing w:beforeLines="0" w:afterLines="0" w:line="276" w:lineRule="auto"/>
        <w:ind w:firstLine="411" w:firstLineChars="196"/>
        <w:outlineLvl w:val="1"/>
        <w:rPr>
          <w:rFonts w:hAnsi="宋体"/>
          <w:sz w:val="21"/>
          <w:szCs w:val="21"/>
        </w:rPr>
      </w:pPr>
      <w:r>
        <w:rPr>
          <w:rFonts w:hint="eastAsia" w:hAnsi="宋体"/>
          <w:sz w:val="21"/>
          <w:szCs w:val="21"/>
        </w:rPr>
        <w:t>十、补充说明</w:t>
      </w:r>
    </w:p>
    <w:p>
      <w:pPr>
        <w:pStyle w:val="18"/>
        <w:snapToGrid w:val="0"/>
        <w:spacing w:before="120" w:after="120" w:line="276" w:lineRule="auto"/>
        <w:ind w:firstLine="420" w:firstLineChars="200"/>
        <w:rPr>
          <w:rFonts w:hAnsi="宋体"/>
          <w:sz w:val="21"/>
          <w:szCs w:val="21"/>
        </w:rPr>
      </w:pPr>
      <w:r>
        <w:rPr>
          <w:rFonts w:hint="eastAsia" w:hAnsi="宋体"/>
          <w:sz w:val="21"/>
          <w:szCs w:val="21"/>
        </w:rPr>
        <w:t>1、政府采购活动中有关中小企业的相关规定（采购进口产品的项目不适用）：</w:t>
      </w:r>
    </w:p>
    <w:p>
      <w:pPr>
        <w:pStyle w:val="18"/>
        <w:snapToGrid w:val="0"/>
        <w:spacing w:before="120" w:after="120" w:line="276" w:lineRule="auto"/>
        <w:ind w:firstLine="420" w:firstLineChars="200"/>
        <w:rPr>
          <w:rFonts w:hAnsi="宋体"/>
          <w:sz w:val="21"/>
          <w:szCs w:val="21"/>
        </w:rPr>
      </w:pPr>
      <w:r>
        <w:rPr>
          <w:rFonts w:hint="eastAsia" w:hAnsi="宋体"/>
          <w:sz w:val="21"/>
          <w:szCs w:val="21"/>
        </w:rPr>
        <w:t>（1）参加政府采购活动的中小企业（含中型、小型、微型企业，其他地方同）应当同时符合以下条件：</w:t>
      </w:r>
    </w:p>
    <w:p>
      <w:pPr>
        <w:pStyle w:val="18"/>
        <w:snapToGrid w:val="0"/>
        <w:spacing w:before="120" w:after="120" w:line="276" w:lineRule="auto"/>
        <w:ind w:firstLine="420" w:firstLineChars="200"/>
        <w:rPr>
          <w:rFonts w:hAnsi="宋体"/>
          <w:sz w:val="21"/>
          <w:szCs w:val="21"/>
        </w:rPr>
      </w:pPr>
      <w:r>
        <w:rPr>
          <w:rFonts w:hint="eastAsia" w:hAnsi="宋体"/>
          <w:sz w:val="21"/>
          <w:szCs w:val="21"/>
        </w:rPr>
        <w:t>①符合中小企业划分标准（具体见工信部联企业[2011]300号）；</w:t>
      </w:r>
    </w:p>
    <w:p>
      <w:pPr>
        <w:pStyle w:val="18"/>
        <w:snapToGrid w:val="0"/>
        <w:spacing w:before="120" w:after="120" w:line="276" w:lineRule="auto"/>
        <w:ind w:firstLine="420" w:firstLineChars="200"/>
        <w:rPr>
          <w:rFonts w:hAnsi="宋体"/>
          <w:sz w:val="21"/>
          <w:szCs w:val="21"/>
        </w:rPr>
      </w:pPr>
      <w:r>
        <w:rPr>
          <w:rFonts w:hint="eastAsia" w:hAnsi="宋体"/>
          <w:sz w:val="21"/>
          <w:szCs w:val="21"/>
        </w:rPr>
        <w:t>②提供本企业制造的货物、承担的工程或者服务，或者提供其他中小企业制造的货物。本项所称货物不包括使用大型企业注册商标的货物。小型、微型企业提供中型企业制造的货物的，视同为中型企业。</w:t>
      </w:r>
    </w:p>
    <w:p>
      <w:pPr>
        <w:pStyle w:val="18"/>
        <w:snapToGrid w:val="0"/>
        <w:spacing w:before="120" w:after="120" w:line="276" w:lineRule="auto"/>
        <w:ind w:firstLine="420" w:firstLineChars="200"/>
        <w:rPr>
          <w:rFonts w:hAnsi="宋体"/>
          <w:sz w:val="21"/>
          <w:szCs w:val="21"/>
        </w:rPr>
      </w:pPr>
      <w:r>
        <w:rPr>
          <w:rFonts w:hint="eastAsia" w:hAnsi="宋体"/>
          <w:sz w:val="21"/>
          <w:szCs w:val="21"/>
        </w:rPr>
        <w:t>（2）参加政府采购活动的中小企业应当提供《中小企业声明函》（格式见第六章）。</w:t>
      </w:r>
    </w:p>
    <w:p>
      <w:pPr>
        <w:pStyle w:val="18"/>
        <w:snapToGrid w:val="0"/>
        <w:spacing w:before="120" w:after="120" w:line="276" w:lineRule="auto"/>
        <w:ind w:firstLine="420" w:firstLineChars="200"/>
        <w:rPr>
          <w:rFonts w:hAnsi="宋体"/>
          <w:sz w:val="21"/>
          <w:szCs w:val="21"/>
        </w:rPr>
      </w:pPr>
      <w:r>
        <w:rPr>
          <w:rFonts w:hint="eastAsia" w:hAnsi="宋体"/>
          <w:sz w:val="21"/>
          <w:szCs w:val="21"/>
        </w:rPr>
        <w:t>（3）对于非专门面向中小企业的项目，对小微企业的价格应给予6%-10%的扣除，用扣除后的价格参与评审。具体扣除比例见第四章。</w:t>
      </w:r>
    </w:p>
    <w:p>
      <w:pPr>
        <w:pStyle w:val="18"/>
        <w:snapToGrid w:val="0"/>
        <w:spacing w:before="120" w:after="120" w:line="276" w:lineRule="auto"/>
        <w:ind w:firstLine="420" w:firstLineChars="200"/>
        <w:rPr>
          <w:rFonts w:hAnsi="宋体"/>
          <w:sz w:val="21"/>
          <w:szCs w:val="21"/>
        </w:rPr>
      </w:pPr>
      <w:r>
        <w:rPr>
          <w:rFonts w:hint="eastAsia" w:hAnsi="宋体"/>
          <w:sz w:val="21"/>
          <w:szCs w:val="21"/>
        </w:rPr>
        <w:t>（4）采购活动过程中，对供应商的“中小企业”资格认定，以供应商提交的《中小企业声明函》为准，供应商必须实事求是地提交声明函，如有虚假，将依法承担法律责任。如果在采购活动过程中相关采购当事人对供应商“中小企业”资格有异议的，供应商应当向招标方和采购监管部门提供由第三方机构审计确认的财务会计报告和劳动部门提供的年度社会保障基金缴纳清单，或者相关行业主管部门出具的“中小企业”资格确认证明。</w:t>
      </w:r>
    </w:p>
    <w:p>
      <w:pPr>
        <w:pStyle w:val="18"/>
        <w:snapToGrid w:val="0"/>
        <w:spacing w:beforeLines="0" w:afterLines="0" w:line="276" w:lineRule="auto"/>
        <w:ind w:firstLine="420" w:firstLineChars="200"/>
        <w:rPr>
          <w:rFonts w:hAnsi="宋体"/>
          <w:sz w:val="21"/>
          <w:szCs w:val="21"/>
        </w:rPr>
      </w:pPr>
      <w:r>
        <w:rPr>
          <w:rFonts w:hint="eastAsia" w:hAnsi="宋体"/>
          <w:sz w:val="21"/>
          <w:szCs w:val="21"/>
        </w:rPr>
        <w:t>（5）《中小企业声明函》由供应商提交，如供应商为代理商的，须自行采集制造商的中小企业划分类型信息填入相应栏目并对其真实性负责。</w:t>
      </w:r>
    </w:p>
    <w:p>
      <w:pPr>
        <w:pStyle w:val="18"/>
        <w:snapToGrid w:val="0"/>
        <w:spacing w:beforeLines="0" w:afterLines="0" w:line="276" w:lineRule="auto"/>
        <w:ind w:firstLine="420" w:firstLineChars="200"/>
        <w:jc w:val="center"/>
        <w:rPr>
          <w:rFonts w:hAnsi="宋体"/>
          <w:b/>
          <w:sz w:val="32"/>
          <w:szCs w:val="32"/>
        </w:rPr>
      </w:pPr>
      <w:r>
        <w:rPr>
          <w:rFonts w:hAnsi="宋体"/>
          <w:sz w:val="21"/>
          <w:szCs w:val="21"/>
        </w:rPr>
        <w:br w:type="page"/>
      </w:r>
      <w:bookmarkStart w:id="33" w:name="_Toc485712559"/>
      <w:r>
        <w:rPr>
          <w:rFonts w:hAnsi="宋体"/>
          <w:b/>
          <w:sz w:val="30"/>
          <w:szCs w:val="30"/>
        </w:rPr>
        <w:t>第四章  评标办法及评分标准</w:t>
      </w:r>
      <w:bookmarkEnd w:id="33"/>
    </w:p>
    <w:p>
      <w:pPr>
        <w:spacing w:line="360" w:lineRule="auto"/>
        <w:ind w:firstLine="420" w:firstLineChars="200"/>
        <w:rPr>
          <w:rFonts w:ascii="宋体" w:hAnsi="宋体"/>
          <w:szCs w:val="21"/>
        </w:rPr>
      </w:pPr>
      <w:r>
        <w:rPr>
          <w:rFonts w:ascii="宋体" w:hAnsi="宋体"/>
          <w:szCs w:val="21"/>
        </w:rPr>
        <w:t>本评标办法将严格遵照《中华人民共和国政府采购法》，并结合宁波财政局甬采购办[2007]855号《宁波市政府采购程序及实施规范（试行）》等规定和招标项目的实际情况制定。</w:t>
      </w:r>
    </w:p>
    <w:p>
      <w:pPr>
        <w:spacing w:line="360" w:lineRule="auto"/>
        <w:ind w:firstLine="411" w:firstLineChars="196"/>
        <w:rPr>
          <w:rFonts w:ascii="宋体" w:hAnsi="宋体"/>
          <w:szCs w:val="21"/>
        </w:rPr>
      </w:pPr>
      <w:r>
        <w:rPr>
          <w:rFonts w:ascii="宋体" w:hAnsi="宋体"/>
          <w:szCs w:val="21"/>
        </w:rPr>
        <w:t>一、评标原则和办法</w:t>
      </w:r>
    </w:p>
    <w:p>
      <w:pPr>
        <w:spacing w:line="360" w:lineRule="auto"/>
        <w:ind w:firstLine="420" w:firstLineChars="200"/>
        <w:rPr>
          <w:rFonts w:ascii="宋体" w:hAnsi="宋体"/>
          <w:szCs w:val="21"/>
        </w:rPr>
      </w:pPr>
      <w:r>
        <w:rPr>
          <w:rFonts w:ascii="宋体" w:hAnsi="宋体"/>
          <w:szCs w:val="21"/>
        </w:rPr>
        <w:t>1、公平、公正的对待所有投标人。</w:t>
      </w:r>
    </w:p>
    <w:p>
      <w:pPr>
        <w:spacing w:line="360" w:lineRule="auto"/>
        <w:ind w:firstLine="420" w:firstLineChars="200"/>
        <w:rPr>
          <w:rFonts w:ascii="宋体" w:hAnsi="宋体"/>
          <w:szCs w:val="21"/>
        </w:rPr>
      </w:pPr>
      <w:r>
        <w:rPr>
          <w:rFonts w:ascii="宋体" w:hAnsi="宋体"/>
          <w:szCs w:val="21"/>
        </w:rPr>
        <w:t>2、本项目评标方法为综合评分法。</w:t>
      </w:r>
    </w:p>
    <w:p>
      <w:pPr>
        <w:spacing w:line="360" w:lineRule="auto"/>
        <w:ind w:firstLine="308" w:firstLineChars="147"/>
        <w:rPr>
          <w:rFonts w:ascii="宋体" w:hAnsi="宋体"/>
          <w:szCs w:val="21"/>
        </w:rPr>
      </w:pPr>
      <w:r>
        <w:rPr>
          <w:rFonts w:ascii="宋体" w:hAnsi="宋体"/>
          <w:szCs w:val="21"/>
        </w:rPr>
        <w:t>（1）评标委员会按照“公正、科学、严谨”的原则，从价格、技术、商务等各方面按评分方法进行综合打分；</w:t>
      </w:r>
    </w:p>
    <w:p>
      <w:pPr>
        <w:spacing w:line="360" w:lineRule="auto"/>
        <w:ind w:firstLine="315" w:firstLineChars="150"/>
        <w:rPr>
          <w:rFonts w:ascii="宋体" w:hAnsi="宋体"/>
          <w:szCs w:val="21"/>
        </w:rPr>
      </w:pPr>
      <w:r>
        <w:rPr>
          <w:rFonts w:ascii="宋体" w:hAnsi="宋体"/>
          <w:szCs w:val="21"/>
        </w:rPr>
        <w:t>（2）对评标委员会的综合打分，采用记名方式，取所有评委有效评分的算术平均数作为最终评定分；</w:t>
      </w:r>
    </w:p>
    <w:p>
      <w:pPr>
        <w:spacing w:line="360" w:lineRule="auto"/>
        <w:ind w:firstLine="315" w:firstLineChars="150"/>
        <w:rPr>
          <w:rFonts w:ascii="宋体" w:hAnsi="宋体"/>
          <w:szCs w:val="21"/>
        </w:rPr>
      </w:pPr>
      <w:r>
        <w:rPr>
          <w:rFonts w:ascii="宋体" w:hAnsi="宋体"/>
          <w:szCs w:val="21"/>
        </w:rPr>
        <w:t>（3）合格投标人的评标得分为各项目汇总得分，中标候选资格按评标得分由高到低顺序排列，得分相同的，按投标报价由低到高顺序排列；得分且投标报价相同的，按技术得分由高到低顺序排列。排名第一的的投标人为中标候选人,排名第二的投标人为候补中标候选人……其他投标人中标候选资格依此类推。评分过程中采用四舍五入法，并保留小数2位。</w:t>
      </w:r>
    </w:p>
    <w:p>
      <w:pPr>
        <w:spacing w:line="360" w:lineRule="auto"/>
        <w:ind w:firstLine="411" w:firstLineChars="196"/>
        <w:rPr>
          <w:rFonts w:ascii="宋体" w:hAnsi="宋体"/>
          <w:szCs w:val="21"/>
        </w:rPr>
      </w:pPr>
      <w:r>
        <w:rPr>
          <w:rFonts w:ascii="宋体" w:hAnsi="宋体"/>
          <w:szCs w:val="21"/>
        </w:rPr>
        <w:t>投标人评标综合得分=价格分+技术商务分</w:t>
      </w:r>
    </w:p>
    <w:p>
      <w:pPr>
        <w:spacing w:line="360" w:lineRule="auto"/>
        <w:ind w:firstLine="210" w:firstLineChars="100"/>
        <w:rPr>
          <w:rFonts w:ascii="宋体" w:hAnsi="宋体"/>
          <w:szCs w:val="21"/>
        </w:rPr>
      </w:pPr>
      <w:r>
        <w:rPr>
          <w:rFonts w:ascii="宋体" w:hAnsi="宋体"/>
          <w:szCs w:val="21"/>
        </w:rPr>
        <w:t>（4）评标过程中如发现有异常情况，由评委集体讨论决定。</w:t>
      </w:r>
    </w:p>
    <w:p>
      <w:pPr>
        <w:spacing w:line="360" w:lineRule="auto"/>
        <w:ind w:firstLine="411" w:firstLineChars="196"/>
        <w:rPr>
          <w:rFonts w:ascii="宋体" w:hAnsi="宋体"/>
          <w:b/>
          <w:kern w:val="10"/>
          <w:szCs w:val="21"/>
        </w:rPr>
      </w:pPr>
      <w:r>
        <w:rPr>
          <w:rFonts w:ascii="宋体" w:hAnsi="宋体"/>
          <w:szCs w:val="21"/>
        </w:rPr>
        <w:t>二、</w:t>
      </w:r>
      <w:r>
        <w:rPr>
          <w:rFonts w:hint="eastAsia" w:ascii="宋体" w:hAnsi="宋体"/>
          <w:b/>
          <w:kern w:val="10"/>
          <w:szCs w:val="21"/>
        </w:rPr>
        <w:t>本项目子包一最高限价为：368520元，本项目子包二最高限价为：299600元，总价超过最高限价的投标报价作废标处理。</w:t>
      </w:r>
    </w:p>
    <w:p>
      <w:pPr>
        <w:spacing w:line="360" w:lineRule="auto"/>
        <w:ind w:firstLine="411" w:firstLineChars="196"/>
        <w:rPr>
          <w:rFonts w:ascii="宋体" w:hAnsi="宋体"/>
          <w:szCs w:val="21"/>
        </w:rPr>
      </w:pPr>
      <w:r>
        <w:rPr>
          <w:rFonts w:ascii="宋体" w:hAnsi="宋体"/>
          <w:szCs w:val="21"/>
        </w:rPr>
        <w:br w:type="page"/>
      </w:r>
      <w:r>
        <w:rPr>
          <w:rFonts w:ascii="宋体" w:hAnsi="宋体"/>
          <w:szCs w:val="21"/>
        </w:rPr>
        <w:t>三、</w:t>
      </w:r>
      <w:r>
        <w:rPr>
          <w:rFonts w:hint="eastAsia" w:ascii="宋体" w:hAnsi="宋体"/>
          <w:szCs w:val="21"/>
        </w:rPr>
        <w:t>子包一</w:t>
      </w:r>
      <w:r>
        <w:rPr>
          <w:rFonts w:ascii="宋体" w:hAnsi="宋体"/>
          <w:szCs w:val="21"/>
        </w:rPr>
        <w:t>评标内容及标准</w:t>
      </w:r>
    </w:p>
    <w:tbl>
      <w:tblPr>
        <w:tblStyle w:val="38"/>
        <w:tblW w:w="4803" w:type="pct"/>
        <w:tblInd w:w="0" w:type="dxa"/>
        <w:tblBorders>
          <w:top w:val="single" w:color="auto" w:sz="12"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7"/>
        <w:gridCol w:w="2138"/>
        <w:gridCol w:w="5724"/>
      </w:tblGrid>
      <w:tr>
        <w:tblPrEx>
          <w:tblBorders>
            <w:top w:val="single" w:color="auto" w:sz="12"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481" w:type="pct"/>
            <w:vAlign w:val="center"/>
          </w:tcPr>
          <w:p>
            <w:pPr>
              <w:spacing w:line="400" w:lineRule="exact"/>
              <w:jc w:val="center"/>
              <w:rPr>
                <w:rFonts w:ascii="Arial" w:hAnsi="Arial"/>
                <w:b/>
                <w:bCs/>
                <w:lang w:val="zh-CN"/>
              </w:rPr>
            </w:pPr>
            <w:r>
              <w:rPr>
                <w:rFonts w:hint="eastAsia" w:ascii="Arial" w:hAnsi="Arial"/>
                <w:b/>
                <w:bCs/>
                <w:lang w:val="zh-CN"/>
              </w:rPr>
              <w:t>报价</w:t>
            </w:r>
            <w:r>
              <w:rPr>
                <w:rFonts w:hint="eastAsia" w:ascii="Arial" w:hAnsi="Arial"/>
                <w:b/>
                <w:bCs/>
              </w:rPr>
              <w:t>得分</w:t>
            </w:r>
          </w:p>
          <w:p>
            <w:pPr>
              <w:spacing w:line="400" w:lineRule="exact"/>
              <w:jc w:val="center"/>
              <w:rPr>
                <w:rFonts w:ascii="Arial" w:hAnsi="Arial"/>
                <w:b/>
                <w:bCs/>
                <w:lang w:val="zh-CN"/>
              </w:rPr>
            </w:pPr>
            <w:r>
              <w:rPr>
                <w:rFonts w:hint="eastAsia" w:ascii="Arial" w:hAnsi="Arial"/>
                <w:b/>
                <w:bCs/>
              </w:rPr>
              <w:t>20</w:t>
            </w:r>
            <w:r>
              <w:rPr>
                <w:rFonts w:hint="eastAsia" w:ascii="Arial" w:hAnsi="Arial"/>
                <w:b/>
                <w:bCs/>
                <w:lang w:val="zh-CN"/>
              </w:rPr>
              <w:t>分</w:t>
            </w:r>
          </w:p>
        </w:tc>
        <w:tc>
          <w:tcPr>
            <w:tcW w:w="4519" w:type="pct"/>
            <w:gridSpan w:val="2"/>
            <w:vAlign w:val="center"/>
          </w:tcPr>
          <w:p>
            <w:pPr>
              <w:adjustRightInd w:val="0"/>
              <w:spacing w:line="400" w:lineRule="exact"/>
              <w:ind w:right="105" w:rightChars="50"/>
              <w:textAlignment w:val="baseline"/>
              <w:rPr>
                <w:rFonts w:ascii="Arial" w:hAnsi="Arial"/>
                <w:lang w:val="zh-CN"/>
              </w:rPr>
            </w:pPr>
            <w:r>
              <w:rPr>
                <w:rFonts w:hint="eastAsia" w:ascii="Arial" w:hAnsi="Arial"/>
                <w:lang w:val="zh-CN"/>
              </w:rPr>
              <w:t>评标基准价指的是满足招标文件要求且最低的参与评审的价格，参与评审的价格为投标报价-小微企业价格扣除优惠值6％（如有），评标基准价的得满分</w:t>
            </w:r>
            <w:r>
              <w:rPr>
                <w:rFonts w:hint="eastAsia" w:ascii="Arial" w:hAnsi="Arial"/>
              </w:rPr>
              <w:t>20</w:t>
            </w:r>
            <w:r>
              <w:rPr>
                <w:rFonts w:hint="eastAsia" w:ascii="Arial" w:hAnsi="Arial"/>
                <w:lang w:val="zh-CN"/>
              </w:rPr>
              <w:t>分。</w:t>
            </w:r>
          </w:p>
          <w:p>
            <w:pPr>
              <w:spacing w:line="400" w:lineRule="exact"/>
              <w:jc w:val="left"/>
              <w:rPr>
                <w:rFonts w:ascii="Arial" w:hAnsi="Arial"/>
                <w:lang w:val="zh-CN"/>
              </w:rPr>
            </w:pPr>
            <w:r>
              <w:rPr>
                <w:rFonts w:hint="eastAsia" w:ascii="Arial" w:hAnsi="Arial"/>
                <w:lang w:val="zh-CN"/>
              </w:rPr>
              <w:t>其他投标人的价格分按照下列公式计算：</w:t>
            </w:r>
          </w:p>
          <w:p>
            <w:pPr>
              <w:spacing w:line="400" w:lineRule="exact"/>
              <w:jc w:val="left"/>
              <w:rPr>
                <w:rFonts w:ascii="Arial" w:hAnsi="Arial"/>
                <w:lang w:val="zh-CN"/>
              </w:rPr>
            </w:pPr>
            <w:r>
              <w:rPr>
                <w:rFonts w:hint="eastAsia" w:ascii="Arial" w:hAnsi="Arial"/>
                <w:lang w:val="zh-CN"/>
              </w:rPr>
              <w:t>价格分=（评标基准价/各投标人参与评审的价格）×</w:t>
            </w:r>
            <w:r>
              <w:rPr>
                <w:rFonts w:hint="eastAsia" w:ascii="Arial" w:hAnsi="Arial"/>
              </w:rPr>
              <w:t>20</w:t>
            </w:r>
            <w:r>
              <w:rPr>
                <w:rFonts w:hint="eastAsia" w:ascii="Arial" w:hAnsi="Arial"/>
                <w:lang w:val="zh-CN"/>
              </w:rPr>
              <w:t>％×100。</w:t>
            </w:r>
          </w:p>
          <w:p>
            <w:pPr>
              <w:widowControl/>
              <w:spacing w:line="400" w:lineRule="exact"/>
              <w:jc w:val="left"/>
              <w:rPr>
                <w:rFonts w:ascii="Arial" w:hAnsi="Arial"/>
                <w:lang w:val="zh-CN"/>
              </w:rPr>
            </w:pPr>
            <w:r>
              <w:rPr>
                <w:rFonts w:hint="eastAsia" w:ascii="Arial" w:hAnsi="Arial"/>
                <w:lang w:val="zh-CN"/>
              </w:rPr>
              <w:t>注：</w:t>
            </w:r>
            <w:r>
              <w:rPr>
                <w:rFonts w:hint="eastAsia" w:ascii="Arial" w:hAnsi="Arial"/>
              </w:rPr>
              <w:t>报价</w:t>
            </w:r>
            <w:r>
              <w:rPr>
                <w:rFonts w:hint="eastAsia" w:ascii="Arial" w:hAnsi="Arial"/>
                <w:lang w:val="zh-CN"/>
              </w:rPr>
              <w:t>得分小数点后保留2位数。</w:t>
            </w:r>
          </w:p>
        </w:tc>
      </w:tr>
      <w:tr>
        <w:tblPrEx>
          <w:tblBorders>
            <w:top w:val="single" w:color="auto" w:sz="12"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1" w:type="pct"/>
            <w:vMerge w:val="restart"/>
            <w:vAlign w:val="center"/>
          </w:tcPr>
          <w:p>
            <w:pPr>
              <w:spacing w:line="400" w:lineRule="exact"/>
              <w:jc w:val="center"/>
              <w:rPr>
                <w:rFonts w:ascii="Arial" w:hAnsi="Arial"/>
                <w:b/>
                <w:bCs/>
                <w:szCs w:val="21"/>
              </w:rPr>
            </w:pPr>
            <w:r>
              <w:rPr>
                <w:rFonts w:hint="eastAsia" w:ascii="Arial" w:hAnsi="Arial"/>
                <w:b/>
                <w:bCs/>
                <w:szCs w:val="21"/>
              </w:rPr>
              <w:t>商</w:t>
            </w:r>
          </w:p>
          <w:p>
            <w:pPr>
              <w:spacing w:line="400" w:lineRule="exact"/>
              <w:jc w:val="center"/>
              <w:rPr>
                <w:rFonts w:ascii="Arial" w:hAnsi="Arial"/>
                <w:b/>
                <w:bCs/>
                <w:szCs w:val="21"/>
              </w:rPr>
            </w:pPr>
            <w:r>
              <w:rPr>
                <w:rFonts w:hint="eastAsia" w:ascii="Arial" w:hAnsi="Arial"/>
                <w:b/>
                <w:bCs/>
                <w:szCs w:val="21"/>
              </w:rPr>
              <w:t>务</w:t>
            </w:r>
          </w:p>
          <w:p>
            <w:pPr>
              <w:spacing w:line="400" w:lineRule="exact"/>
              <w:jc w:val="center"/>
              <w:rPr>
                <w:rFonts w:ascii="Arial" w:hAnsi="Arial"/>
                <w:b/>
                <w:bCs/>
                <w:szCs w:val="21"/>
              </w:rPr>
            </w:pPr>
            <w:r>
              <w:rPr>
                <w:rFonts w:hint="eastAsia" w:ascii="Arial" w:hAnsi="Arial"/>
                <w:b/>
                <w:bCs/>
                <w:szCs w:val="21"/>
              </w:rPr>
              <w:t>技</w:t>
            </w:r>
          </w:p>
          <w:p>
            <w:pPr>
              <w:spacing w:line="400" w:lineRule="exact"/>
              <w:jc w:val="center"/>
              <w:rPr>
                <w:rFonts w:ascii="Arial" w:hAnsi="Arial"/>
                <w:b/>
                <w:bCs/>
                <w:szCs w:val="21"/>
              </w:rPr>
            </w:pPr>
            <w:r>
              <w:rPr>
                <w:rFonts w:hint="eastAsia" w:ascii="Arial" w:hAnsi="Arial"/>
                <w:b/>
                <w:bCs/>
                <w:szCs w:val="21"/>
              </w:rPr>
              <w:t>术</w:t>
            </w:r>
          </w:p>
          <w:p>
            <w:pPr>
              <w:spacing w:line="400" w:lineRule="exact"/>
              <w:jc w:val="center"/>
              <w:rPr>
                <w:rFonts w:ascii="Arial" w:hAnsi="Arial"/>
                <w:b/>
                <w:bCs/>
                <w:szCs w:val="21"/>
              </w:rPr>
            </w:pPr>
            <w:r>
              <w:rPr>
                <w:rFonts w:hint="eastAsia" w:ascii="Arial" w:hAnsi="Arial"/>
                <w:b/>
                <w:bCs/>
                <w:szCs w:val="21"/>
              </w:rPr>
              <w:t>分</w:t>
            </w:r>
          </w:p>
          <w:p>
            <w:pPr>
              <w:spacing w:line="400" w:lineRule="exact"/>
              <w:rPr>
                <w:rFonts w:ascii="Arial" w:hAnsi="Arial"/>
                <w:b/>
                <w:bCs/>
                <w:szCs w:val="21"/>
              </w:rPr>
            </w:pPr>
            <w:r>
              <w:rPr>
                <w:rFonts w:hint="eastAsia" w:ascii="Arial" w:hAnsi="Arial"/>
                <w:b/>
                <w:bCs/>
              </w:rPr>
              <w:t>80分</w:t>
            </w:r>
          </w:p>
        </w:tc>
        <w:tc>
          <w:tcPr>
            <w:tcW w:w="1229" w:type="pct"/>
            <w:vAlign w:val="center"/>
          </w:tcPr>
          <w:p>
            <w:pPr>
              <w:spacing w:line="360" w:lineRule="auto"/>
              <w:jc w:val="left"/>
              <w:rPr>
                <w:rFonts w:ascii="Arial" w:hAnsi="Arial"/>
                <w:b/>
                <w:bCs/>
                <w:sz w:val="18"/>
                <w:szCs w:val="18"/>
              </w:rPr>
            </w:pPr>
            <w:r>
              <w:rPr>
                <w:rFonts w:hint="eastAsia" w:ascii="Arial" w:hAnsi="Arial" w:cs="FangSong_GB2312,Bold"/>
                <w:bCs/>
              </w:rPr>
              <w:t>基坑监测技术方案（20分）</w:t>
            </w:r>
          </w:p>
        </w:tc>
        <w:tc>
          <w:tcPr>
            <w:tcW w:w="3290" w:type="pct"/>
            <w:vAlign w:val="center"/>
          </w:tcPr>
          <w:p>
            <w:pPr>
              <w:autoSpaceDE w:val="0"/>
              <w:autoSpaceDN w:val="0"/>
              <w:adjustRightInd w:val="0"/>
              <w:snapToGrid w:val="0"/>
              <w:spacing w:line="400" w:lineRule="exact"/>
              <w:rPr>
                <w:rFonts w:ascii="Arial" w:hAnsi="Arial"/>
                <w:szCs w:val="21"/>
              </w:rPr>
            </w:pPr>
            <w:r>
              <w:rPr>
                <w:rFonts w:hint="eastAsia" w:ascii="Arial" w:hAnsi="Arial" w:cs="FangSong_GB2312,Bold"/>
                <w:bCs/>
              </w:rPr>
              <w:t>针对基坑监测不同内容的特点及优势分析：5分；</w:t>
            </w:r>
            <w:r>
              <w:rPr>
                <w:rFonts w:hint="eastAsia" w:ascii="Arial" w:hAnsi="Arial"/>
                <w:szCs w:val="21"/>
              </w:rPr>
              <w:t xml:space="preserve"> </w:t>
            </w:r>
          </w:p>
          <w:p>
            <w:pPr>
              <w:autoSpaceDE w:val="0"/>
              <w:autoSpaceDN w:val="0"/>
              <w:adjustRightInd w:val="0"/>
              <w:snapToGrid w:val="0"/>
              <w:spacing w:line="400" w:lineRule="exact"/>
              <w:rPr>
                <w:rFonts w:ascii="Arial" w:hAnsi="Arial"/>
                <w:szCs w:val="21"/>
              </w:rPr>
            </w:pPr>
            <w:r>
              <w:rPr>
                <w:rFonts w:hint="eastAsia" w:ascii="Arial" w:hAnsi="Arial"/>
                <w:szCs w:val="21"/>
              </w:rPr>
              <w:t>监测流程方案：5分；</w:t>
            </w:r>
          </w:p>
          <w:p>
            <w:pPr>
              <w:autoSpaceDE w:val="0"/>
              <w:autoSpaceDN w:val="0"/>
              <w:adjustRightInd w:val="0"/>
              <w:snapToGrid w:val="0"/>
              <w:spacing w:line="400" w:lineRule="exact"/>
              <w:rPr>
                <w:rFonts w:ascii="Arial" w:hAnsi="Arial"/>
                <w:szCs w:val="21"/>
              </w:rPr>
            </w:pPr>
            <w:r>
              <w:rPr>
                <w:rFonts w:hint="eastAsia" w:ascii="Arial" w:hAnsi="Arial"/>
                <w:szCs w:val="21"/>
              </w:rPr>
              <w:t>各工序衔接方案：5分；</w:t>
            </w:r>
          </w:p>
          <w:p>
            <w:pPr>
              <w:autoSpaceDE w:val="0"/>
              <w:autoSpaceDN w:val="0"/>
              <w:adjustRightInd w:val="0"/>
              <w:snapToGrid w:val="0"/>
              <w:spacing w:line="400" w:lineRule="exact"/>
              <w:rPr>
                <w:rFonts w:ascii="Arial" w:hAnsi="Arial"/>
                <w:szCs w:val="21"/>
              </w:rPr>
            </w:pPr>
            <w:r>
              <w:rPr>
                <w:rFonts w:hint="eastAsia" w:ascii="Arial" w:hAnsi="Arial"/>
                <w:szCs w:val="21"/>
              </w:rPr>
              <w:t>进度安排的合理性和科学性：5分。</w:t>
            </w:r>
          </w:p>
        </w:tc>
      </w:tr>
      <w:tr>
        <w:tblPrEx>
          <w:tblBorders>
            <w:top w:val="single" w:color="auto" w:sz="12"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1" w:type="pct"/>
            <w:vMerge w:val="continue"/>
            <w:vAlign w:val="center"/>
          </w:tcPr>
          <w:p>
            <w:pPr>
              <w:spacing w:line="400" w:lineRule="exact"/>
              <w:rPr>
                <w:rFonts w:ascii="Arial" w:hAnsi="Arial"/>
                <w:b/>
                <w:bCs/>
                <w:szCs w:val="21"/>
              </w:rPr>
            </w:pPr>
          </w:p>
        </w:tc>
        <w:tc>
          <w:tcPr>
            <w:tcW w:w="1229" w:type="pct"/>
            <w:vAlign w:val="center"/>
          </w:tcPr>
          <w:p>
            <w:pPr>
              <w:spacing w:line="360" w:lineRule="auto"/>
              <w:rPr>
                <w:bCs/>
                <w:szCs w:val="21"/>
              </w:rPr>
            </w:pPr>
            <w:r>
              <w:rPr>
                <w:rFonts w:hint="eastAsia"/>
                <w:bCs/>
                <w:szCs w:val="21"/>
              </w:rPr>
              <w:t>对投标人的进度安排、工作流程、投入的监测设备、与总包单位及相关单位配合情况进行综合评分（20分）</w:t>
            </w:r>
          </w:p>
        </w:tc>
        <w:tc>
          <w:tcPr>
            <w:tcW w:w="3290" w:type="pct"/>
            <w:vAlign w:val="center"/>
          </w:tcPr>
          <w:p>
            <w:pPr>
              <w:spacing w:line="360" w:lineRule="auto"/>
              <w:rPr>
                <w:bCs/>
                <w:szCs w:val="21"/>
              </w:rPr>
            </w:pPr>
            <w:r>
              <w:rPr>
                <w:rFonts w:hint="eastAsia"/>
                <w:bCs/>
                <w:szCs w:val="21"/>
              </w:rPr>
              <w:t>进度安排合理，监测流程科学、规范，各个工序衔接严密、监测设备投入充足，与总包单位及其他相关单位配合方案完善：</w:t>
            </w:r>
            <w:r>
              <w:rPr>
                <w:rFonts w:hint="eastAsia" w:ascii="Arial" w:hAnsi="Arial"/>
                <w:bCs/>
                <w:szCs w:val="21"/>
              </w:rPr>
              <w:t>14-20分；</w:t>
            </w:r>
          </w:p>
          <w:p>
            <w:pPr>
              <w:spacing w:line="360" w:lineRule="auto"/>
              <w:rPr>
                <w:rFonts w:ascii="Arial" w:hAnsi="Arial"/>
                <w:bCs/>
                <w:szCs w:val="21"/>
              </w:rPr>
            </w:pPr>
            <w:r>
              <w:rPr>
                <w:rFonts w:hint="eastAsia"/>
                <w:bCs/>
                <w:szCs w:val="21"/>
              </w:rPr>
              <w:t>进度安排基本合理，监测流程规范，各个工序衔接自然、监测设备投入满足需要，与总包单位及其他相关单位配合方案基本完善：</w:t>
            </w:r>
            <w:r>
              <w:rPr>
                <w:rFonts w:hint="eastAsia" w:ascii="Arial" w:hAnsi="Arial"/>
                <w:bCs/>
                <w:szCs w:val="21"/>
              </w:rPr>
              <w:t>7-14（不含）分；</w:t>
            </w:r>
          </w:p>
          <w:p>
            <w:pPr>
              <w:spacing w:line="360" w:lineRule="auto"/>
              <w:rPr>
                <w:bCs/>
                <w:szCs w:val="21"/>
              </w:rPr>
            </w:pPr>
            <w:r>
              <w:rPr>
                <w:rFonts w:hint="eastAsia"/>
                <w:bCs/>
                <w:szCs w:val="21"/>
              </w:rPr>
              <w:t>进度安排不够合理，监测流程不够规范，工序衔接松散、监测设备投入基本满足需要，与总包单位及其他相关单位不够完善，或其他：</w:t>
            </w:r>
            <w:r>
              <w:rPr>
                <w:rFonts w:hint="eastAsia" w:ascii="Arial" w:hAnsi="Arial"/>
                <w:bCs/>
                <w:szCs w:val="21"/>
              </w:rPr>
              <w:t>7分以下；</w:t>
            </w:r>
          </w:p>
        </w:tc>
      </w:tr>
      <w:tr>
        <w:tblPrEx>
          <w:tblBorders>
            <w:top w:val="single" w:color="auto" w:sz="12"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1" w:type="pct"/>
            <w:vMerge w:val="continue"/>
            <w:vAlign w:val="center"/>
          </w:tcPr>
          <w:p>
            <w:pPr>
              <w:spacing w:line="400" w:lineRule="exact"/>
              <w:rPr>
                <w:rFonts w:ascii="Arial" w:hAnsi="Arial"/>
                <w:b/>
                <w:bCs/>
                <w:szCs w:val="21"/>
              </w:rPr>
            </w:pPr>
          </w:p>
        </w:tc>
        <w:tc>
          <w:tcPr>
            <w:tcW w:w="1229" w:type="pct"/>
            <w:vAlign w:val="center"/>
          </w:tcPr>
          <w:p>
            <w:pPr>
              <w:spacing w:line="360" w:lineRule="auto"/>
              <w:rPr>
                <w:bCs/>
                <w:szCs w:val="21"/>
              </w:rPr>
            </w:pPr>
            <w:r>
              <w:rPr>
                <w:rFonts w:hint="eastAsia"/>
                <w:bCs/>
                <w:szCs w:val="21"/>
              </w:rPr>
              <w:t>基坑监测质量保证措施（15分）</w:t>
            </w:r>
          </w:p>
        </w:tc>
        <w:tc>
          <w:tcPr>
            <w:tcW w:w="3290" w:type="pct"/>
            <w:vAlign w:val="center"/>
          </w:tcPr>
          <w:p>
            <w:pPr>
              <w:spacing w:line="360" w:lineRule="auto"/>
              <w:rPr>
                <w:bCs/>
                <w:szCs w:val="21"/>
              </w:rPr>
            </w:pPr>
            <w:r>
              <w:rPr>
                <w:rFonts w:hint="eastAsia"/>
                <w:bCs/>
                <w:szCs w:val="21"/>
              </w:rPr>
              <w:t>拟投入本项目的专业人员数量充足、监测设备性能优越、监测成果报告的复核制度完善：</w:t>
            </w:r>
            <w:r>
              <w:rPr>
                <w:rFonts w:hint="eastAsia" w:ascii="Arial" w:hAnsi="Arial"/>
                <w:bCs/>
                <w:szCs w:val="21"/>
              </w:rPr>
              <w:t>10-15分</w:t>
            </w:r>
            <w:r>
              <w:rPr>
                <w:rFonts w:hint="eastAsia"/>
                <w:bCs/>
                <w:szCs w:val="21"/>
              </w:rPr>
              <w:t>；</w:t>
            </w:r>
          </w:p>
          <w:p>
            <w:pPr>
              <w:spacing w:line="360" w:lineRule="auto"/>
              <w:rPr>
                <w:bCs/>
                <w:szCs w:val="21"/>
              </w:rPr>
            </w:pPr>
            <w:r>
              <w:rPr>
                <w:rFonts w:hint="eastAsia"/>
                <w:bCs/>
                <w:szCs w:val="21"/>
              </w:rPr>
              <w:t>拟投入本项目的专业人员数量满足需要、监测设备性能良好、监测成果报告的复核制度基本完善：</w:t>
            </w:r>
            <w:r>
              <w:rPr>
                <w:rFonts w:hint="eastAsia" w:ascii="Arial" w:hAnsi="Arial"/>
                <w:bCs/>
                <w:szCs w:val="21"/>
              </w:rPr>
              <w:t>5-10（不含）分；</w:t>
            </w:r>
          </w:p>
          <w:p>
            <w:pPr>
              <w:spacing w:line="360" w:lineRule="auto"/>
              <w:rPr>
                <w:bCs/>
                <w:szCs w:val="21"/>
              </w:rPr>
            </w:pPr>
            <w:r>
              <w:rPr>
                <w:rFonts w:hint="eastAsia"/>
                <w:bCs/>
                <w:szCs w:val="21"/>
              </w:rPr>
              <w:t>拟投入本项目的专业人员数量基本满足需要、监测设备性能一般、监测成果报告的复核制度不够完善，或其他：</w:t>
            </w:r>
            <w:r>
              <w:rPr>
                <w:rFonts w:hint="eastAsia" w:ascii="Arial" w:hAnsi="Arial"/>
                <w:bCs/>
                <w:szCs w:val="21"/>
              </w:rPr>
              <w:t>5分以下；</w:t>
            </w:r>
          </w:p>
        </w:tc>
      </w:tr>
      <w:tr>
        <w:tblPrEx>
          <w:tblBorders>
            <w:top w:val="single" w:color="auto" w:sz="12"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1" w:type="pct"/>
            <w:vMerge w:val="continue"/>
            <w:vAlign w:val="center"/>
          </w:tcPr>
          <w:p>
            <w:pPr>
              <w:spacing w:line="400" w:lineRule="exact"/>
              <w:rPr>
                <w:rFonts w:ascii="Arial" w:hAnsi="Arial"/>
                <w:b/>
                <w:bCs/>
                <w:szCs w:val="21"/>
              </w:rPr>
            </w:pPr>
          </w:p>
        </w:tc>
        <w:tc>
          <w:tcPr>
            <w:tcW w:w="1229" w:type="pct"/>
            <w:vAlign w:val="center"/>
          </w:tcPr>
          <w:p>
            <w:pPr>
              <w:spacing w:line="360" w:lineRule="auto"/>
              <w:rPr>
                <w:bCs/>
                <w:szCs w:val="21"/>
              </w:rPr>
            </w:pPr>
            <w:r>
              <w:rPr>
                <w:rFonts w:hint="eastAsia"/>
                <w:bCs/>
                <w:szCs w:val="21"/>
              </w:rPr>
              <w:t>根据投标人提供的</w:t>
            </w:r>
            <w:r>
              <w:rPr>
                <w:rFonts w:hint="eastAsia" w:ascii="Arial" w:hAnsi="Arial"/>
                <w:kern w:val="0"/>
                <w:szCs w:val="21"/>
              </w:rPr>
              <w:t>管理人员及专业作业人员</w:t>
            </w:r>
            <w:r>
              <w:rPr>
                <w:rFonts w:hint="eastAsia"/>
                <w:bCs/>
                <w:szCs w:val="21"/>
              </w:rPr>
              <w:t>综合评议（8分）</w:t>
            </w:r>
          </w:p>
        </w:tc>
        <w:tc>
          <w:tcPr>
            <w:tcW w:w="3290" w:type="pct"/>
            <w:vAlign w:val="center"/>
          </w:tcPr>
          <w:p>
            <w:pPr>
              <w:autoSpaceDE w:val="0"/>
              <w:autoSpaceDN w:val="0"/>
              <w:adjustRightInd w:val="0"/>
              <w:snapToGrid w:val="0"/>
              <w:spacing w:line="400" w:lineRule="exact"/>
              <w:rPr>
                <w:rFonts w:ascii="Arial" w:hAnsi="Arial"/>
                <w:kern w:val="0"/>
                <w:szCs w:val="21"/>
              </w:rPr>
            </w:pPr>
            <w:r>
              <w:rPr>
                <w:rFonts w:hint="eastAsia" w:ascii="Arial" w:hAnsi="Arial"/>
                <w:kern w:val="0"/>
                <w:szCs w:val="21"/>
              </w:rPr>
              <w:t>管理人员及专业作业人员配备数量情况：2分；</w:t>
            </w:r>
          </w:p>
          <w:p>
            <w:pPr>
              <w:autoSpaceDE w:val="0"/>
              <w:autoSpaceDN w:val="0"/>
              <w:adjustRightInd w:val="0"/>
              <w:snapToGrid w:val="0"/>
              <w:spacing w:line="400" w:lineRule="exact"/>
              <w:rPr>
                <w:rFonts w:ascii="Arial" w:hAnsi="Arial"/>
                <w:kern w:val="0"/>
                <w:szCs w:val="21"/>
              </w:rPr>
            </w:pPr>
            <w:r>
              <w:rPr>
                <w:rFonts w:hint="eastAsia" w:ascii="Arial" w:hAnsi="Arial"/>
                <w:kern w:val="0"/>
                <w:szCs w:val="21"/>
              </w:rPr>
              <w:t>所有拟投入人员的总体专业技术水平、职称、上岗证及与本项目需求的匹配性等进行比较评议：5分；</w:t>
            </w:r>
          </w:p>
          <w:p>
            <w:pPr>
              <w:autoSpaceDE w:val="0"/>
              <w:autoSpaceDN w:val="0"/>
              <w:adjustRightInd w:val="0"/>
              <w:snapToGrid w:val="0"/>
              <w:spacing w:line="400" w:lineRule="exact"/>
              <w:rPr>
                <w:rFonts w:ascii="Arial" w:hAnsi="Arial"/>
                <w:kern w:val="0"/>
                <w:szCs w:val="21"/>
              </w:rPr>
            </w:pPr>
            <w:r>
              <w:rPr>
                <w:rFonts w:hint="eastAsia" w:ascii="Arial" w:hAnsi="Arial"/>
                <w:kern w:val="0"/>
                <w:szCs w:val="21"/>
              </w:rPr>
              <w:t>人员管理及培训方案：1分。</w:t>
            </w:r>
          </w:p>
          <w:p>
            <w:pPr>
              <w:autoSpaceDE w:val="0"/>
              <w:autoSpaceDN w:val="0"/>
              <w:adjustRightInd w:val="0"/>
              <w:snapToGrid w:val="0"/>
              <w:spacing w:line="400" w:lineRule="exact"/>
              <w:rPr>
                <w:rFonts w:ascii="Arial" w:hAnsi="Arial"/>
                <w:kern w:val="0"/>
                <w:szCs w:val="21"/>
              </w:rPr>
            </w:pPr>
            <w:r>
              <w:rPr>
                <w:rFonts w:hint="eastAsia" w:ascii="Arial" w:hAnsi="Arial"/>
                <w:kern w:val="0"/>
                <w:szCs w:val="21"/>
              </w:rPr>
              <w:t>注：根据实际情况在投标文件中提供上述人员的执业资格/职称证书复印件、上岗证复印件、近开标日3个月内的有效社保证明复印件等；复印件加盖公章，原件备查。</w:t>
            </w:r>
          </w:p>
        </w:tc>
      </w:tr>
      <w:tr>
        <w:tblPrEx>
          <w:tblBorders>
            <w:top w:val="single" w:color="auto" w:sz="12"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1" w:type="pct"/>
            <w:vMerge w:val="continue"/>
            <w:vAlign w:val="center"/>
          </w:tcPr>
          <w:p>
            <w:pPr>
              <w:spacing w:line="400" w:lineRule="exact"/>
              <w:rPr>
                <w:rFonts w:ascii="Arial" w:hAnsi="Arial"/>
                <w:b/>
                <w:bCs/>
                <w:szCs w:val="21"/>
              </w:rPr>
            </w:pPr>
          </w:p>
        </w:tc>
        <w:tc>
          <w:tcPr>
            <w:tcW w:w="1229" w:type="pct"/>
            <w:vAlign w:val="center"/>
          </w:tcPr>
          <w:p>
            <w:pPr>
              <w:spacing w:line="360" w:lineRule="auto"/>
              <w:rPr>
                <w:bCs/>
                <w:szCs w:val="21"/>
              </w:rPr>
            </w:pPr>
            <w:r>
              <w:rPr>
                <w:rFonts w:hint="eastAsia"/>
                <w:bCs/>
                <w:szCs w:val="21"/>
              </w:rPr>
              <w:t>根据投标人针对本项目拟定的服务响应方案进行综合评议（6分）</w:t>
            </w:r>
          </w:p>
        </w:tc>
        <w:tc>
          <w:tcPr>
            <w:tcW w:w="3290" w:type="pct"/>
            <w:vAlign w:val="center"/>
          </w:tcPr>
          <w:p>
            <w:pPr>
              <w:spacing w:line="360" w:lineRule="auto"/>
              <w:rPr>
                <w:bCs/>
                <w:szCs w:val="21"/>
              </w:rPr>
            </w:pPr>
            <w:r>
              <w:rPr>
                <w:rFonts w:hint="eastAsia"/>
                <w:bCs/>
                <w:szCs w:val="21"/>
              </w:rPr>
              <w:t>1、承诺的服务响应时间＜30分钟的得3分，30分钟≤服务响应时间≤60分钟的得1分，其他不得分。</w:t>
            </w:r>
          </w:p>
          <w:p>
            <w:pPr>
              <w:spacing w:line="360" w:lineRule="auto"/>
              <w:rPr>
                <w:bCs/>
                <w:szCs w:val="21"/>
              </w:rPr>
            </w:pPr>
            <w:r>
              <w:rPr>
                <w:rFonts w:hint="eastAsia"/>
                <w:bCs/>
                <w:szCs w:val="21"/>
              </w:rPr>
              <w:t>2、承诺的到达现场时间＜4小时的得3分，4小时≤到达现场时间≤6小时的得1分，其他不得分。</w:t>
            </w:r>
          </w:p>
        </w:tc>
      </w:tr>
      <w:tr>
        <w:tblPrEx>
          <w:tblBorders>
            <w:top w:val="single" w:color="auto" w:sz="12"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1" w:type="pct"/>
            <w:vMerge w:val="continue"/>
            <w:vAlign w:val="center"/>
          </w:tcPr>
          <w:p>
            <w:pPr>
              <w:spacing w:line="400" w:lineRule="exact"/>
              <w:rPr>
                <w:rFonts w:ascii="Arial" w:hAnsi="Arial"/>
                <w:b/>
                <w:bCs/>
                <w:szCs w:val="21"/>
              </w:rPr>
            </w:pPr>
          </w:p>
        </w:tc>
        <w:tc>
          <w:tcPr>
            <w:tcW w:w="1229" w:type="pct"/>
            <w:vAlign w:val="center"/>
          </w:tcPr>
          <w:p>
            <w:pPr>
              <w:spacing w:line="360" w:lineRule="auto"/>
              <w:rPr>
                <w:rFonts w:ascii="Arial" w:hAnsi="Arial"/>
                <w:szCs w:val="21"/>
              </w:rPr>
            </w:pPr>
            <w:r>
              <w:rPr>
                <w:rFonts w:hint="eastAsia" w:ascii="Arial" w:hAnsi="Arial"/>
                <w:szCs w:val="21"/>
              </w:rPr>
              <w:t>合理化建议或承诺（4分）</w:t>
            </w:r>
          </w:p>
        </w:tc>
        <w:tc>
          <w:tcPr>
            <w:tcW w:w="3290" w:type="pct"/>
            <w:vAlign w:val="center"/>
          </w:tcPr>
          <w:p>
            <w:pPr>
              <w:spacing w:line="360" w:lineRule="auto"/>
              <w:rPr>
                <w:rFonts w:ascii="Arial" w:hAnsi="Arial"/>
                <w:szCs w:val="21"/>
              </w:rPr>
            </w:pPr>
            <w:r>
              <w:rPr>
                <w:rFonts w:hint="eastAsia" w:ascii="Arial" w:hAnsi="Arial"/>
                <w:szCs w:val="21"/>
              </w:rPr>
              <w:t>根据投标人提出的针对本项目合理化建议或其他承诺进行评比，酌情打分，最高得4分。</w:t>
            </w:r>
          </w:p>
        </w:tc>
      </w:tr>
      <w:tr>
        <w:tblPrEx>
          <w:tblBorders>
            <w:top w:val="single" w:color="auto" w:sz="12"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481" w:type="pct"/>
            <w:vMerge w:val="continue"/>
            <w:vAlign w:val="center"/>
          </w:tcPr>
          <w:p>
            <w:pPr>
              <w:spacing w:line="400" w:lineRule="exact"/>
              <w:rPr>
                <w:rFonts w:ascii="Arial" w:hAnsi="Arial"/>
              </w:rPr>
            </w:pPr>
          </w:p>
        </w:tc>
        <w:tc>
          <w:tcPr>
            <w:tcW w:w="1229" w:type="pct"/>
            <w:vAlign w:val="center"/>
          </w:tcPr>
          <w:p>
            <w:pPr>
              <w:widowControl/>
              <w:spacing w:line="360" w:lineRule="auto"/>
              <w:contextualSpacing/>
              <w:jc w:val="left"/>
              <w:rPr>
                <w:bCs/>
                <w:szCs w:val="21"/>
              </w:rPr>
            </w:pPr>
            <w:r>
              <w:rPr>
                <w:rFonts w:hint="eastAsia" w:ascii="宋体" w:hAnsi="宋体"/>
                <w:szCs w:val="21"/>
              </w:rPr>
              <w:t>投标文件制作规范性（2分）</w:t>
            </w:r>
          </w:p>
        </w:tc>
        <w:tc>
          <w:tcPr>
            <w:tcW w:w="3290" w:type="pct"/>
            <w:vAlign w:val="center"/>
          </w:tcPr>
          <w:p>
            <w:pPr>
              <w:widowControl/>
              <w:spacing w:line="360" w:lineRule="auto"/>
              <w:contextualSpacing/>
              <w:jc w:val="left"/>
              <w:rPr>
                <w:rFonts w:ascii="宋体" w:hAnsi="宋体"/>
                <w:szCs w:val="21"/>
              </w:rPr>
            </w:pPr>
            <w:r>
              <w:rPr>
                <w:rFonts w:hint="eastAsia" w:ascii="宋体" w:hAnsi="宋体"/>
                <w:szCs w:val="21"/>
              </w:rPr>
              <w:t>投标文件制作规范、目录明确、条目清晰、逐页编码得2分；</w:t>
            </w:r>
          </w:p>
          <w:p>
            <w:pPr>
              <w:widowControl/>
              <w:spacing w:line="360" w:lineRule="auto"/>
              <w:contextualSpacing/>
              <w:jc w:val="left"/>
              <w:rPr>
                <w:bCs/>
                <w:szCs w:val="21"/>
              </w:rPr>
            </w:pPr>
            <w:r>
              <w:rPr>
                <w:rFonts w:hint="eastAsia" w:ascii="宋体" w:hAnsi="宋体"/>
                <w:szCs w:val="21"/>
              </w:rPr>
              <w:t>投标文件制作基本规范、目录基本明确、条目基本清晰、逐页编码得1分；</w:t>
            </w:r>
            <w:r>
              <w:rPr>
                <w:rFonts w:hint="eastAsia"/>
                <w:bCs/>
                <w:szCs w:val="21"/>
              </w:rPr>
              <w:t>其他不得分。</w:t>
            </w:r>
          </w:p>
        </w:tc>
      </w:tr>
      <w:tr>
        <w:tblPrEx>
          <w:tblBorders>
            <w:top w:val="single" w:color="auto" w:sz="12"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6" w:hRule="atLeast"/>
        </w:trPr>
        <w:tc>
          <w:tcPr>
            <w:tcW w:w="481" w:type="pct"/>
            <w:vMerge w:val="continue"/>
            <w:vAlign w:val="center"/>
          </w:tcPr>
          <w:p>
            <w:pPr>
              <w:spacing w:line="400" w:lineRule="exact"/>
              <w:rPr>
                <w:rFonts w:ascii="Arial" w:hAnsi="Arial"/>
              </w:rPr>
            </w:pPr>
          </w:p>
        </w:tc>
        <w:tc>
          <w:tcPr>
            <w:tcW w:w="1229" w:type="pct"/>
            <w:vAlign w:val="center"/>
          </w:tcPr>
          <w:p>
            <w:pPr>
              <w:widowControl/>
              <w:spacing w:line="360" w:lineRule="auto"/>
              <w:contextualSpacing/>
              <w:jc w:val="left"/>
              <w:rPr>
                <w:rFonts w:ascii="宋体" w:hAnsi="宋体"/>
                <w:szCs w:val="21"/>
              </w:rPr>
            </w:pPr>
            <w:r>
              <w:rPr>
                <w:rFonts w:hint="eastAsia" w:ascii="宋体" w:hAnsi="宋体"/>
                <w:szCs w:val="21"/>
              </w:rPr>
              <w:t>投标人</w:t>
            </w:r>
            <w:r>
              <w:rPr>
                <w:rFonts w:ascii="宋体" w:hAnsi="宋体"/>
                <w:szCs w:val="21"/>
              </w:rPr>
              <w:t>类似业绩（</w:t>
            </w:r>
            <w:r>
              <w:rPr>
                <w:rFonts w:hint="eastAsia" w:ascii="宋体" w:hAnsi="宋体"/>
                <w:szCs w:val="21"/>
              </w:rPr>
              <w:t>5分</w:t>
            </w:r>
            <w:r>
              <w:rPr>
                <w:rFonts w:ascii="宋体" w:hAnsi="宋体"/>
                <w:szCs w:val="21"/>
              </w:rPr>
              <w:t>）</w:t>
            </w:r>
          </w:p>
        </w:tc>
        <w:tc>
          <w:tcPr>
            <w:tcW w:w="3290" w:type="pct"/>
            <w:vAlign w:val="center"/>
          </w:tcPr>
          <w:p>
            <w:pPr>
              <w:widowControl/>
              <w:spacing w:line="360" w:lineRule="auto"/>
              <w:contextualSpacing/>
              <w:jc w:val="left"/>
              <w:rPr>
                <w:rFonts w:ascii="宋体" w:hAnsi="宋体"/>
                <w:szCs w:val="21"/>
              </w:rPr>
            </w:pPr>
            <w:r>
              <w:rPr>
                <w:rFonts w:hint="eastAsia" w:ascii="宋体" w:hAnsi="宋体"/>
                <w:szCs w:val="21"/>
              </w:rPr>
              <w:t>自2016年07月01日至今投标人完成过（以合同签订时间为准）同类项目业绩的，每提供一个项目业绩得1分；最高得5分。（合同复印件加盖公章编入技术商务文件内，开标时提供原件，未提供原件或复印件未编入技术商务文件中或原件与复印件内容不一致的，均不得分。）</w:t>
            </w:r>
          </w:p>
        </w:tc>
      </w:tr>
    </w:tbl>
    <w:p>
      <w:pPr>
        <w:pStyle w:val="2"/>
      </w:pPr>
    </w:p>
    <w:p>
      <w:pPr>
        <w:pStyle w:val="3"/>
        <w:spacing w:before="0" w:afterLines="100" w:line="360" w:lineRule="auto"/>
        <w:jc w:val="left"/>
        <w:rPr>
          <w:rFonts w:ascii="宋体" w:hAnsi="宋体"/>
          <w:bCs w:val="0"/>
          <w:kern w:val="2"/>
          <w:sz w:val="21"/>
          <w:szCs w:val="21"/>
        </w:rPr>
      </w:pPr>
      <w:r>
        <w:rPr>
          <w:rFonts w:hint="eastAsia" w:ascii="宋体" w:hAnsi="宋体"/>
          <w:bCs w:val="0"/>
          <w:kern w:val="2"/>
          <w:sz w:val="21"/>
          <w:szCs w:val="21"/>
        </w:rPr>
        <w:t>说明：评审内容涉及的相关证书、证明材料等复印件编入投标文件中，原件备查。若评审过程中评标委员会要求查看原件，投标人无法提供或提供的原件与复印件不一致，则相应的评审内容不得分。</w:t>
      </w:r>
    </w:p>
    <w:p>
      <w:pPr>
        <w:pStyle w:val="3"/>
        <w:spacing w:before="0" w:afterLines="100" w:line="360" w:lineRule="auto"/>
        <w:jc w:val="left"/>
        <w:rPr>
          <w:rFonts w:ascii="宋体" w:hAnsi="宋体"/>
          <w:b w:val="0"/>
          <w:bCs w:val="0"/>
          <w:kern w:val="2"/>
          <w:sz w:val="21"/>
          <w:szCs w:val="21"/>
        </w:rPr>
      </w:pPr>
      <w:r>
        <w:rPr>
          <w:rFonts w:hint="eastAsia" w:ascii="宋体" w:hAnsi="宋体"/>
          <w:bCs w:val="0"/>
          <w:kern w:val="2"/>
          <w:sz w:val="21"/>
          <w:szCs w:val="21"/>
        </w:rPr>
        <w:br w:type="page"/>
      </w:r>
      <w:r>
        <w:rPr>
          <w:rFonts w:hint="eastAsia" w:ascii="宋体" w:hAnsi="宋体"/>
          <w:b w:val="0"/>
          <w:bCs w:val="0"/>
          <w:kern w:val="2"/>
          <w:sz w:val="21"/>
          <w:szCs w:val="21"/>
        </w:rPr>
        <w:t>子包二评标内容及标准</w:t>
      </w:r>
    </w:p>
    <w:tbl>
      <w:tblPr>
        <w:tblStyle w:val="38"/>
        <w:tblW w:w="0" w:type="auto"/>
        <w:tblInd w:w="-31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76"/>
        <w:gridCol w:w="719"/>
        <w:gridCol w:w="1437"/>
        <w:gridCol w:w="575"/>
        <w:gridCol w:w="64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89" w:hRule="atLeast"/>
          <w:tblHeader/>
        </w:trPr>
        <w:tc>
          <w:tcPr>
            <w:tcW w:w="129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序号</w:t>
            </w:r>
          </w:p>
        </w:tc>
        <w:tc>
          <w:tcPr>
            <w:tcW w:w="143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评审项目</w:t>
            </w:r>
          </w:p>
        </w:tc>
        <w:tc>
          <w:tcPr>
            <w:tcW w:w="57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adjustRightInd w:val="0"/>
              <w:snapToGrid w:val="0"/>
              <w:jc w:val="center"/>
              <w:rPr>
                <w:rFonts w:ascii="宋体" w:hAnsi="宋体"/>
                <w:b/>
                <w:szCs w:val="21"/>
              </w:rPr>
            </w:pPr>
            <w:r>
              <w:rPr>
                <w:rFonts w:hint="eastAsia" w:ascii="宋体" w:hAnsi="宋体"/>
                <w:b/>
                <w:szCs w:val="21"/>
              </w:rPr>
              <w:t>分值(分)</w:t>
            </w:r>
          </w:p>
        </w:tc>
        <w:tc>
          <w:tcPr>
            <w:tcW w:w="646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评分内容和标准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07" w:hRule="atLeast"/>
        </w:trPr>
        <w:tc>
          <w:tcPr>
            <w:tcW w:w="576" w:type="dxa"/>
            <w:tcBorders>
              <w:top w:val="single" w:color="auto" w:sz="4" w:space="0"/>
              <w:left w:val="single" w:color="auto" w:sz="4" w:space="0"/>
              <w:right w:val="single" w:color="auto" w:sz="4" w:space="0"/>
            </w:tcBorders>
            <w:shd w:val="clear" w:color="auto" w:fill="auto"/>
            <w:tcMar>
              <w:left w:w="28" w:type="dxa"/>
              <w:right w:w="28" w:type="dxa"/>
            </w:tcMar>
            <w:vAlign w:val="center"/>
          </w:tcPr>
          <w:p>
            <w:pPr>
              <w:spacing w:line="300" w:lineRule="atLeast"/>
              <w:jc w:val="center"/>
              <w:rPr>
                <w:rFonts w:ascii="宋体" w:hAnsi="宋体"/>
                <w:szCs w:val="21"/>
              </w:rPr>
            </w:pPr>
            <w:r>
              <w:rPr>
                <w:rFonts w:hint="eastAsia" w:ascii="宋体" w:hAnsi="宋体"/>
                <w:szCs w:val="21"/>
              </w:rPr>
              <w:t>1</w:t>
            </w:r>
          </w:p>
        </w:tc>
        <w:tc>
          <w:tcPr>
            <w:tcW w:w="719" w:type="dxa"/>
            <w:tcBorders>
              <w:top w:val="single" w:color="auto" w:sz="4" w:space="0"/>
              <w:left w:val="single" w:color="auto" w:sz="4" w:space="0"/>
              <w:bottom w:val="single" w:color="auto" w:sz="4" w:space="0"/>
              <w:right w:val="single" w:color="auto" w:sz="4" w:space="0"/>
            </w:tcBorders>
            <w:shd w:val="clear" w:color="auto" w:fill="FFFFFF"/>
            <w:tcMar>
              <w:left w:w="28" w:type="dxa"/>
              <w:right w:w="28" w:type="dxa"/>
            </w:tcMar>
            <w:vAlign w:val="center"/>
          </w:tcPr>
          <w:p>
            <w:pPr>
              <w:spacing w:line="300" w:lineRule="atLeast"/>
              <w:jc w:val="center"/>
              <w:rPr>
                <w:rFonts w:ascii="宋体" w:hAnsi="宋体"/>
                <w:szCs w:val="21"/>
              </w:rPr>
            </w:pPr>
            <w:r>
              <w:rPr>
                <w:rFonts w:hint="eastAsia" w:ascii="宋体" w:hAnsi="宋体"/>
                <w:szCs w:val="21"/>
              </w:rPr>
              <w:t>报价标20分</w:t>
            </w:r>
          </w:p>
        </w:tc>
        <w:tc>
          <w:tcPr>
            <w:tcW w:w="1437" w:type="dxa"/>
            <w:tcBorders>
              <w:top w:val="single" w:color="auto" w:sz="4" w:space="0"/>
              <w:left w:val="single" w:color="auto" w:sz="4" w:space="0"/>
              <w:bottom w:val="single" w:color="auto" w:sz="4" w:space="0"/>
              <w:right w:val="single" w:color="auto" w:sz="4" w:space="0"/>
            </w:tcBorders>
            <w:shd w:val="clear" w:color="auto" w:fill="FFFFFF"/>
            <w:tcMar>
              <w:left w:w="28" w:type="dxa"/>
              <w:right w:w="28" w:type="dxa"/>
            </w:tcMar>
            <w:vAlign w:val="center"/>
          </w:tcPr>
          <w:p>
            <w:pPr>
              <w:autoSpaceDE w:val="0"/>
              <w:autoSpaceDN w:val="0"/>
              <w:adjustRightInd w:val="0"/>
              <w:jc w:val="center"/>
              <w:rPr>
                <w:rFonts w:ascii="宋体" w:hAnsi="宋体"/>
                <w:szCs w:val="21"/>
              </w:rPr>
            </w:pPr>
            <w:r>
              <w:rPr>
                <w:rFonts w:hint="eastAsia" w:ascii="宋体" w:hAnsi="宋体"/>
                <w:szCs w:val="21"/>
              </w:rPr>
              <w:t>投标报价</w:t>
            </w:r>
          </w:p>
        </w:tc>
        <w:tc>
          <w:tcPr>
            <w:tcW w:w="575" w:type="dxa"/>
            <w:tcBorders>
              <w:top w:val="single" w:color="auto" w:sz="4" w:space="0"/>
              <w:left w:val="single" w:color="auto" w:sz="4" w:space="0"/>
              <w:bottom w:val="single" w:color="auto" w:sz="4" w:space="0"/>
              <w:right w:val="single" w:color="auto" w:sz="4" w:space="0"/>
            </w:tcBorders>
            <w:shd w:val="clear" w:color="auto" w:fill="FFFFFF"/>
            <w:tcMar>
              <w:left w:w="28" w:type="dxa"/>
              <w:right w:w="28" w:type="dxa"/>
            </w:tcMar>
            <w:vAlign w:val="center"/>
          </w:tcPr>
          <w:p>
            <w:pPr>
              <w:spacing w:line="300" w:lineRule="atLeast"/>
              <w:jc w:val="center"/>
              <w:rPr>
                <w:rFonts w:ascii="宋体" w:hAnsi="宋体"/>
                <w:szCs w:val="21"/>
              </w:rPr>
            </w:pPr>
            <w:r>
              <w:rPr>
                <w:rFonts w:hint="eastAsia" w:ascii="宋体" w:hAnsi="宋体"/>
                <w:szCs w:val="21"/>
              </w:rPr>
              <w:t>20</w:t>
            </w:r>
          </w:p>
        </w:tc>
        <w:tc>
          <w:tcPr>
            <w:tcW w:w="646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00" w:lineRule="atLeast"/>
              <w:rPr>
                <w:rFonts w:ascii="宋体" w:hAnsi="宋体"/>
                <w:szCs w:val="21"/>
              </w:rPr>
            </w:pPr>
            <w:r>
              <w:rPr>
                <w:rFonts w:hint="eastAsia" w:ascii="宋体" w:hAnsi="宋体"/>
                <w:szCs w:val="21"/>
              </w:rPr>
              <w:t>参与评审的价格=评标价-小微企业价格扣除优惠值6%或残疾人价格扣除优惠值6%</w:t>
            </w:r>
          </w:p>
          <w:p>
            <w:pPr>
              <w:spacing w:line="300" w:lineRule="atLeast"/>
              <w:rPr>
                <w:rFonts w:ascii="宋体" w:hAnsi="宋体"/>
                <w:szCs w:val="21"/>
              </w:rPr>
            </w:pPr>
            <w:r>
              <w:rPr>
                <w:rFonts w:hint="eastAsia" w:ascii="宋体" w:hAnsi="宋体"/>
                <w:szCs w:val="21"/>
              </w:rPr>
              <w:t>评标基准价=满足采购文件要求且“参与评审的价格”中最低的价格为评标基准价</w:t>
            </w:r>
          </w:p>
          <w:p>
            <w:pPr>
              <w:spacing w:line="300" w:lineRule="atLeast"/>
              <w:rPr>
                <w:rFonts w:ascii="宋体" w:hAnsi="宋体"/>
                <w:szCs w:val="21"/>
              </w:rPr>
            </w:pPr>
            <w:r>
              <w:rPr>
                <w:rFonts w:hint="eastAsia" w:ascii="宋体" w:hAnsi="宋体"/>
                <w:szCs w:val="21"/>
              </w:rPr>
              <w:t>基准价得分为满分20分，其他供应商报价得分计算公式如下：</w:t>
            </w:r>
          </w:p>
          <w:p>
            <w:pPr>
              <w:spacing w:line="300" w:lineRule="atLeast"/>
              <w:rPr>
                <w:rFonts w:ascii="宋体" w:hAnsi="宋体"/>
                <w:szCs w:val="21"/>
              </w:rPr>
            </w:pPr>
            <w:r>
              <w:rPr>
                <w:rFonts w:hint="eastAsia" w:ascii="宋体" w:hAnsi="宋体"/>
                <w:szCs w:val="21"/>
              </w:rPr>
              <w:t>其他供应商报价得分=(评标基准价/参与评审的价格)×20%×100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576"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adjustRightInd w:val="0"/>
              <w:snapToGrid w:val="0"/>
              <w:jc w:val="center"/>
              <w:rPr>
                <w:rFonts w:ascii="宋体" w:hAnsi="宋体"/>
                <w:szCs w:val="21"/>
              </w:rPr>
            </w:pPr>
            <w:r>
              <w:rPr>
                <w:rFonts w:hint="eastAsia" w:ascii="宋体" w:hAnsi="宋体"/>
                <w:szCs w:val="21"/>
              </w:rPr>
              <w:t>2</w:t>
            </w:r>
          </w:p>
        </w:tc>
        <w:tc>
          <w:tcPr>
            <w:tcW w:w="719" w:type="dxa"/>
            <w:vMerge w:val="restart"/>
            <w:tcBorders>
              <w:top w:val="single" w:color="auto" w:sz="4" w:space="0"/>
              <w:left w:val="single" w:color="auto" w:sz="4" w:space="0"/>
              <w:right w:val="single" w:color="auto" w:sz="4" w:space="0"/>
            </w:tcBorders>
            <w:shd w:val="clear" w:color="auto" w:fill="FFFFFF"/>
            <w:vAlign w:val="center"/>
          </w:tcPr>
          <w:p>
            <w:pPr>
              <w:spacing w:line="300" w:lineRule="atLeast"/>
              <w:ind w:left="-107" w:leftChars="-51"/>
              <w:jc w:val="center"/>
              <w:rPr>
                <w:rFonts w:ascii="宋体" w:hAnsi="宋体"/>
                <w:szCs w:val="21"/>
              </w:rPr>
            </w:pPr>
            <w:r>
              <w:rPr>
                <w:rFonts w:hint="eastAsia" w:ascii="宋体" w:hAnsi="宋体"/>
                <w:szCs w:val="21"/>
              </w:rPr>
              <w:t>技术商务标</w:t>
            </w:r>
          </w:p>
          <w:p>
            <w:pPr>
              <w:spacing w:line="300" w:lineRule="atLeast"/>
              <w:ind w:left="-107" w:leftChars="-51"/>
              <w:jc w:val="center"/>
              <w:rPr>
                <w:rFonts w:ascii="宋体" w:hAnsi="宋体"/>
                <w:szCs w:val="21"/>
              </w:rPr>
            </w:pPr>
            <w:r>
              <w:rPr>
                <w:rFonts w:hint="eastAsia" w:ascii="宋体" w:hAnsi="宋体"/>
                <w:szCs w:val="21"/>
              </w:rPr>
              <w:t>80分</w:t>
            </w:r>
          </w:p>
        </w:tc>
        <w:tc>
          <w:tcPr>
            <w:tcW w:w="1437"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center"/>
              <w:rPr>
                <w:rFonts w:ascii="宋体" w:hAnsi="宋体"/>
                <w:szCs w:val="21"/>
              </w:rPr>
            </w:pPr>
            <w:r>
              <w:rPr>
                <w:rFonts w:hint="eastAsia" w:ascii="宋体" w:hAnsi="宋体"/>
                <w:szCs w:val="21"/>
              </w:rPr>
              <w:t>投标文件制作规范性</w:t>
            </w:r>
          </w:p>
        </w:tc>
        <w:tc>
          <w:tcPr>
            <w:tcW w:w="575" w:type="dxa"/>
            <w:tcBorders>
              <w:top w:val="single" w:color="auto" w:sz="4" w:space="0"/>
              <w:left w:val="single" w:color="auto" w:sz="4" w:space="0"/>
              <w:bottom w:val="single" w:color="auto" w:sz="4" w:space="0"/>
              <w:right w:val="single" w:color="auto" w:sz="4" w:space="0"/>
            </w:tcBorders>
            <w:shd w:val="clear" w:color="auto" w:fill="FFFFFF"/>
            <w:tcMar>
              <w:left w:w="28" w:type="dxa"/>
              <w:right w:w="28" w:type="dxa"/>
            </w:tcMar>
            <w:vAlign w:val="center"/>
          </w:tcPr>
          <w:p>
            <w:pPr>
              <w:jc w:val="center"/>
              <w:rPr>
                <w:rFonts w:ascii="宋体" w:hAnsi="宋体"/>
                <w:szCs w:val="21"/>
              </w:rPr>
            </w:pPr>
            <w:r>
              <w:rPr>
                <w:rFonts w:hint="eastAsia" w:ascii="宋体" w:hAnsi="宋体"/>
                <w:szCs w:val="21"/>
              </w:rPr>
              <w:t>2</w:t>
            </w:r>
          </w:p>
        </w:tc>
        <w:tc>
          <w:tcPr>
            <w:tcW w:w="6468"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hAnsi="宋体"/>
                <w:szCs w:val="21"/>
              </w:rPr>
            </w:pPr>
            <w:r>
              <w:rPr>
                <w:rFonts w:hint="eastAsia" w:ascii="宋体" w:hAnsi="宋体"/>
                <w:szCs w:val="21"/>
              </w:rPr>
              <w:t>根据投标文件制作规范、目录明确、条目清晰、逐页编码等评审，本项最高2分。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576"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adjustRightInd w:val="0"/>
              <w:snapToGrid w:val="0"/>
              <w:jc w:val="center"/>
              <w:rPr>
                <w:rFonts w:ascii="宋体" w:hAnsi="宋体"/>
                <w:szCs w:val="21"/>
              </w:rPr>
            </w:pPr>
            <w:r>
              <w:rPr>
                <w:rFonts w:hint="eastAsia" w:ascii="宋体" w:hAnsi="宋体"/>
                <w:szCs w:val="21"/>
              </w:rPr>
              <w:t>4</w:t>
            </w:r>
          </w:p>
        </w:tc>
        <w:tc>
          <w:tcPr>
            <w:tcW w:w="719" w:type="dxa"/>
            <w:vMerge w:val="continue"/>
            <w:tcBorders>
              <w:left w:val="single" w:color="auto" w:sz="4" w:space="0"/>
              <w:right w:val="single" w:color="auto" w:sz="4" w:space="0"/>
            </w:tcBorders>
            <w:shd w:val="clear" w:color="auto" w:fill="FFFFFF"/>
            <w:vAlign w:val="center"/>
          </w:tcPr>
          <w:p>
            <w:pPr>
              <w:adjustRightInd w:val="0"/>
              <w:snapToGrid w:val="0"/>
              <w:jc w:val="center"/>
              <w:rPr>
                <w:rFonts w:ascii="宋体" w:hAnsi="宋体"/>
                <w:szCs w:val="21"/>
              </w:rPr>
            </w:pPr>
          </w:p>
        </w:tc>
        <w:tc>
          <w:tcPr>
            <w:tcW w:w="1437"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center"/>
              <w:rPr>
                <w:rFonts w:ascii="宋体" w:hAnsi="宋体"/>
                <w:szCs w:val="21"/>
              </w:rPr>
            </w:pPr>
            <w:r>
              <w:rPr>
                <w:rFonts w:hint="eastAsia" w:ascii="宋体" w:hAnsi="宋体"/>
                <w:szCs w:val="21"/>
              </w:rPr>
              <w:t>业绩</w:t>
            </w:r>
          </w:p>
        </w:tc>
        <w:tc>
          <w:tcPr>
            <w:tcW w:w="575" w:type="dxa"/>
            <w:tcBorders>
              <w:top w:val="single" w:color="auto" w:sz="4" w:space="0"/>
              <w:left w:val="single" w:color="auto" w:sz="4" w:space="0"/>
              <w:bottom w:val="single" w:color="auto" w:sz="4" w:space="0"/>
              <w:right w:val="single" w:color="auto" w:sz="4" w:space="0"/>
            </w:tcBorders>
            <w:shd w:val="clear" w:color="auto" w:fill="FFFFFF"/>
            <w:tcMar>
              <w:left w:w="28" w:type="dxa"/>
              <w:right w:w="28" w:type="dxa"/>
            </w:tcMar>
            <w:vAlign w:val="center"/>
          </w:tcPr>
          <w:p>
            <w:pPr>
              <w:jc w:val="center"/>
              <w:rPr>
                <w:rFonts w:ascii="宋体" w:hAnsi="宋体"/>
                <w:szCs w:val="21"/>
              </w:rPr>
            </w:pPr>
            <w:r>
              <w:rPr>
                <w:rFonts w:hint="eastAsia" w:ascii="宋体" w:hAnsi="宋体"/>
                <w:szCs w:val="21"/>
              </w:rPr>
              <w:t>5</w:t>
            </w:r>
          </w:p>
        </w:tc>
        <w:tc>
          <w:tcPr>
            <w:tcW w:w="6468" w:type="dxa"/>
            <w:tcBorders>
              <w:top w:val="single" w:color="auto" w:sz="4" w:space="0"/>
              <w:left w:val="single" w:color="auto" w:sz="4" w:space="0"/>
              <w:bottom w:val="single" w:color="auto" w:sz="4" w:space="0"/>
              <w:right w:val="single" w:color="auto" w:sz="4" w:space="0"/>
            </w:tcBorders>
            <w:shd w:val="clear" w:color="auto" w:fill="FFFFFF"/>
            <w:vAlign w:val="center"/>
          </w:tcPr>
          <w:p>
            <w:pPr>
              <w:ind w:left="105" w:hanging="105" w:hangingChars="50"/>
              <w:rPr>
                <w:rFonts w:ascii="宋体" w:hAnsi="宋体"/>
                <w:szCs w:val="21"/>
              </w:rPr>
            </w:pPr>
            <w:r>
              <w:rPr>
                <w:rFonts w:hint="eastAsia"/>
                <w:szCs w:val="21"/>
              </w:rPr>
              <w:t>自2016年7月1日至今投标人完成过同类项目业绩，每提供一个项目业绩得1分；最高得5分。（以合同原件为准，复印件加盖公章编入技术商务标内；未提供原件或复印件未编入技术商务标中或原件与复印件内容不一致的，均不得分。时间以报告时间为准）（同类项目业绩中的工作内容须含安全动态监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4" w:hRule="atLeast"/>
        </w:trPr>
        <w:tc>
          <w:tcPr>
            <w:tcW w:w="576" w:type="dxa"/>
            <w:tcBorders>
              <w:top w:val="single" w:color="auto" w:sz="4" w:space="0"/>
              <w:left w:val="single" w:color="auto" w:sz="4" w:space="0"/>
              <w:right w:val="single" w:color="auto" w:sz="4" w:space="0"/>
            </w:tcBorders>
            <w:tcMar>
              <w:left w:w="28" w:type="dxa"/>
              <w:right w:w="28" w:type="dxa"/>
            </w:tcMar>
            <w:vAlign w:val="center"/>
          </w:tcPr>
          <w:p>
            <w:pPr>
              <w:adjustRightInd w:val="0"/>
              <w:snapToGrid w:val="0"/>
              <w:jc w:val="center"/>
              <w:rPr>
                <w:rFonts w:ascii="宋体" w:hAnsi="宋体"/>
                <w:szCs w:val="21"/>
              </w:rPr>
            </w:pPr>
            <w:r>
              <w:rPr>
                <w:rFonts w:hint="eastAsia" w:ascii="宋体" w:hAnsi="宋体"/>
                <w:szCs w:val="21"/>
              </w:rPr>
              <w:t>7</w:t>
            </w:r>
          </w:p>
        </w:tc>
        <w:tc>
          <w:tcPr>
            <w:tcW w:w="719" w:type="dxa"/>
            <w:vMerge w:val="continue"/>
            <w:tcBorders>
              <w:left w:val="single" w:color="auto" w:sz="4" w:space="0"/>
              <w:right w:val="single" w:color="auto" w:sz="4" w:space="0"/>
            </w:tcBorders>
            <w:vAlign w:val="center"/>
          </w:tcPr>
          <w:p>
            <w:pPr>
              <w:adjustRightInd w:val="0"/>
              <w:snapToGrid w:val="0"/>
              <w:jc w:val="center"/>
              <w:rPr>
                <w:rFonts w:ascii="宋体" w:hAnsi="宋体"/>
                <w:szCs w:val="21"/>
              </w:rPr>
            </w:pPr>
          </w:p>
        </w:tc>
        <w:tc>
          <w:tcPr>
            <w:tcW w:w="1437" w:type="dxa"/>
            <w:tcBorders>
              <w:top w:val="single" w:color="auto" w:sz="4" w:space="0"/>
              <w:left w:val="single" w:color="auto" w:sz="4" w:space="0"/>
              <w:right w:val="single" w:color="auto" w:sz="4" w:space="0"/>
            </w:tcBorders>
            <w:vAlign w:val="center"/>
          </w:tcPr>
          <w:p>
            <w:pPr>
              <w:adjustRightInd w:val="0"/>
              <w:snapToGrid w:val="0"/>
              <w:jc w:val="center"/>
              <w:rPr>
                <w:rFonts w:ascii="宋体" w:hAnsi="宋体"/>
                <w:szCs w:val="21"/>
              </w:rPr>
            </w:pPr>
            <w:r>
              <w:rPr>
                <w:rFonts w:hint="eastAsia"/>
                <w:szCs w:val="21"/>
              </w:rPr>
              <w:t>项目技术方案</w:t>
            </w:r>
          </w:p>
        </w:tc>
        <w:tc>
          <w:tcPr>
            <w:tcW w:w="575" w:type="dxa"/>
            <w:tcBorders>
              <w:top w:val="single" w:color="auto" w:sz="4" w:space="0"/>
              <w:left w:val="single" w:color="auto" w:sz="4" w:space="0"/>
              <w:right w:val="single" w:color="auto" w:sz="4" w:space="0"/>
            </w:tcBorders>
            <w:tcMar>
              <w:left w:w="28" w:type="dxa"/>
              <w:right w:w="28" w:type="dxa"/>
            </w:tcMar>
            <w:vAlign w:val="center"/>
          </w:tcPr>
          <w:p>
            <w:pPr>
              <w:jc w:val="center"/>
              <w:rPr>
                <w:rFonts w:ascii="宋体" w:hAnsi="宋体"/>
                <w:szCs w:val="21"/>
              </w:rPr>
            </w:pPr>
            <w:r>
              <w:rPr>
                <w:rFonts w:hint="eastAsia" w:ascii="宋体" w:hAnsi="宋体"/>
                <w:szCs w:val="21"/>
              </w:rPr>
              <w:t>10</w:t>
            </w:r>
          </w:p>
        </w:tc>
        <w:tc>
          <w:tcPr>
            <w:tcW w:w="6468" w:type="dxa"/>
            <w:tcBorders>
              <w:top w:val="single" w:color="auto" w:sz="4" w:space="0"/>
              <w:left w:val="single" w:color="auto" w:sz="4" w:space="0"/>
              <w:right w:val="single" w:color="auto" w:sz="4" w:space="0"/>
            </w:tcBorders>
            <w:vAlign w:val="center"/>
          </w:tcPr>
          <w:p>
            <w:pPr>
              <w:rPr>
                <w:szCs w:val="21"/>
              </w:rPr>
            </w:pPr>
            <w:r>
              <w:rPr>
                <w:rFonts w:hint="eastAsia"/>
                <w:szCs w:val="21"/>
              </w:rPr>
              <w:t>根据投标人对项目委托服务内容的技术方案的完整性、合理性、专业性等内容进行综合评议：</w:t>
            </w:r>
          </w:p>
          <w:p>
            <w:pPr>
              <w:rPr>
                <w:rFonts w:ascii="宋体" w:hAnsi="宋体"/>
                <w:szCs w:val="21"/>
              </w:rPr>
            </w:pPr>
            <w:r>
              <w:rPr>
                <w:rFonts w:hint="eastAsia" w:ascii="宋体" w:hAnsi="宋体"/>
                <w:szCs w:val="21"/>
              </w:rPr>
              <w:t>优得7-10分，良得7.9-5分，一般或差得4.9-0分。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4" w:hRule="atLeast"/>
        </w:trPr>
        <w:tc>
          <w:tcPr>
            <w:tcW w:w="576" w:type="dxa"/>
            <w:tcBorders>
              <w:top w:val="single" w:color="auto" w:sz="4" w:space="0"/>
              <w:left w:val="single" w:color="auto" w:sz="4" w:space="0"/>
              <w:right w:val="single" w:color="auto" w:sz="4" w:space="0"/>
            </w:tcBorders>
            <w:tcMar>
              <w:left w:w="28" w:type="dxa"/>
              <w:right w:w="28" w:type="dxa"/>
            </w:tcMar>
            <w:vAlign w:val="center"/>
          </w:tcPr>
          <w:p>
            <w:pPr>
              <w:adjustRightInd w:val="0"/>
              <w:snapToGrid w:val="0"/>
              <w:jc w:val="center"/>
              <w:rPr>
                <w:rFonts w:ascii="宋体" w:hAnsi="宋体"/>
                <w:szCs w:val="21"/>
              </w:rPr>
            </w:pPr>
          </w:p>
        </w:tc>
        <w:tc>
          <w:tcPr>
            <w:tcW w:w="719" w:type="dxa"/>
            <w:vMerge w:val="continue"/>
            <w:tcBorders>
              <w:left w:val="single" w:color="auto" w:sz="4" w:space="0"/>
              <w:right w:val="single" w:color="auto" w:sz="4" w:space="0"/>
            </w:tcBorders>
            <w:vAlign w:val="center"/>
          </w:tcPr>
          <w:p>
            <w:pPr>
              <w:adjustRightInd w:val="0"/>
              <w:snapToGrid w:val="0"/>
              <w:jc w:val="center"/>
              <w:rPr>
                <w:rFonts w:ascii="宋体" w:hAnsi="宋体"/>
                <w:szCs w:val="21"/>
              </w:rPr>
            </w:pPr>
          </w:p>
        </w:tc>
        <w:tc>
          <w:tcPr>
            <w:tcW w:w="1437" w:type="dxa"/>
            <w:tcBorders>
              <w:top w:val="single" w:color="auto" w:sz="4" w:space="0"/>
              <w:left w:val="single" w:color="auto" w:sz="4" w:space="0"/>
              <w:right w:val="single" w:color="auto" w:sz="4" w:space="0"/>
            </w:tcBorders>
            <w:vAlign w:val="center"/>
          </w:tcPr>
          <w:p>
            <w:pPr>
              <w:adjustRightInd w:val="0"/>
              <w:snapToGrid w:val="0"/>
              <w:jc w:val="center"/>
              <w:rPr>
                <w:szCs w:val="21"/>
              </w:rPr>
            </w:pPr>
            <w:r>
              <w:rPr>
                <w:rFonts w:hint="eastAsia" w:ascii="宋体" w:hAnsi="宋体"/>
                <w:szCs w:val="21"/>
              </w:rPr>
              <w:t>监测系统保障能力</w:t>
            </w:r>
          </w:p>
        </w:tc>
        <w:tc>
          <w:tcPr>
            <w:tcW w:w="575" w:type="dxa"/>
            <w:tcBorders>
              <w:top w:val="single" w:color="auto" w:sz="4" w:space="0"/>
              <w:left w:val="single" w:color="auto" w:sz="4" w:space="0"/>
              <w:right w:val="single" w:color="auto" w:sz="4" w:space="0"/>
            </w:tcBorders>
            <w:tcMar>
              <w:left w:w="28" w:type="dxa"/>
              <w:right w:w="28" w:type="dxa"/>
            </w:tcMar>
            <w:vAlign w:val="center"/>
          </w:tcPr>
          <w:p>
            <w:pPr>
              <w:jc w:val="center"/>
              <w:rPr>
                <w:rFonts w:ascii="宋体" w:hAnsi="宋体"/>
                <w:szCs w:val="21"/>
              </w:rPr>
            </w:pPr>
            <w:r>
              <w:rPr>
                <w:rFonts w:hint="eastAsia" w:ascii="宋体" w:hAnsi="宋体"/>
                <w:szCs w:val="21"/>
              </w:rPr>
              <w:t>20</w:t>
            </w:r>
          </w:p>
        </w:tc>
        <w:tc>
          <w:tcPr>
            <w:tcW w:w="6468" w:type="dxa"/>
            <w:tcBorders>
              <w:top w:val="single" w:color="auto" w:sz="4" w:space="0"/>
              <w:left w:val="single" w:color="auto" w:sz="4" w:space="0"/>
              <w:right w:val="single" w:color="auto" w:sz="4" w:space="0"/>
            </w:tcBorders>
            <w:vAlign w:val="center"/>
          </w:tcPr>
          <w:p>
            <w:pPr>
              <w:rPr>
                <w:rFonts w:ascii="宋体" w:hAnsi="宋体"/>
                <w:szCs w:val="21"/>
              </w:rPr>
            </w:pPr>
            <w:r>
              <w:rPr>
                <w:rFonts w:hint="eastAsia" w:ascii="宋体" w:hAnsi="宋体"/>
                <w:szCs w:val="21"/>
              </w:rPr>
              <w:t>监测采用人防及技防结合，巡查系统应具备以下功能：</w:t>
            </w:r>
          </w:p>
          <w:p>
            <w:pPr>
              <w:rPr>
                <w:rFonts w:ascii="宋体" w:hAnsi="宋体"/>
                <w:szCs w:val="21"/>
              </w:rPr>
            </w:pPr>
            <w:r>
              <w:rPr>
                <w:rFonts w:hint="eastAsia" w:ascii="宋体" w:hAnsi="宋体"/>
                <w:szCs w:val="21"/>
              </w:rPr>
              <w:t>1、PC端管理平台：任务分配、巡检日历、任务统计、月、年巡检进度，监测房屋基本信息、百度经纬度定位、户内信息、应急巡检、隐患分类查询；</w:t>
            </w:r>
          </w:p>
          <w:p>
            <w:pPr>
              <w:rPr>
                <w:rFonts w:ascii="宋体" w:hAnsi="宋体"/>
                <w:szCs w:val="21"/>
              </w:rPr>
            </w:pPr>
            <w:r>
              <w:rPr>
                <w:rFonts w:hint="eastAsia" w:ascii="宋体" w:hAnsi="宋体"/>
                <w:szCs w:val="21"/>
              </w:rPr>
              <w:t>2、PC端实时监测：系统包括倾斜监测、位移监测、应变监测、沉降监测，监测系统自带供电系统、无线传输。</w:t>
            </w:r>
          </w:p>
          <w:p>
            <w:pPr>
              <w:rPr>
                <w:rFonts w:ascii="宋体" w:hAnsi="宋体"/>
                <w:szCs w:val="21"/>
              </w:rPr>
            </w:pPr>
            <w:r>
              <w:rPr>
                <w:rFonts w:hint="eastAsia" w:ascii="宋体" w:hAnsi="宋体"/>
                <w:szCs w:val="21"/>
              </w:rPr>
              <w:t>3、应急调频APP：6分钟/次至24小时/次随时可调；</w:t>
            </w:r>
          </w:p>
          <w:p>
            <w:pPr>
              <w:rPr>
                <w:rFonts w:ascii="宋体" w:hAnsi="宋体"/>
                <w:szCs w:val="21"/>
              </w:rPr>
            </w:pPr>
            <w:r>
              <w:rPr>
                <w:rFonts w:hint="eastAsia" w:ascii="宋体" w:hAnsi="宋体"/>
                <w:szCs w:val="21"/>
              </w:rPr>
              <w:t>4、巡检员移动端APP功能：NFC打卡、隐患分类采集、一键上传、房屋位置一键导航；</w:t>
            </w:r>
          </w:p>
          <w:p>
            <w:pPr>
              <w:rPr>
                <w:rFonts w:ascii="宋体" w:hAnsi="宋体"/>
                <w:szCs w:val="21"/>
              </w:rPr>
            </w:pPr>
            <w:r>
              <w:rPr>
                <w:rFonts w:hint="eastAsia" w:ascii="宋体" w:hAnsi="宋体"/>
                <w:szCs w:val="21"/>
              </w:rPr>
              <w:t>5、业主移动端功能：地点、天气状况、巡检详情、实时监测变化率，房屋是否异常等信息展示。</w:t>
            </w:r>
          </w:p>
          <w:p>
            <w:pPr>
              <w:rPr>
                <w:rFonts w:ascii="宋体" w:hAnsi="宋体"/>
                <w:szCs w:val="21"/>
              </w:rPr>
            </w:pPr>
            <w:r>
              <w:rPr>
                <w:rFonts w:hint="eastAsia" w:ascii="宋体" w:hAnsi="宋体"/>
                <w:szCs w:val="21"/>
              </w:rPr>
              <w:t>优16-20分；一般10-15.9分；差9.9-0分。</w:t>
            </w:r>
          </w:p>
          <w:p>
            <w:pPr>
              <w:rPr>
                <w:rFonts w:ascii="宋体" w:hAnsi="宋体"/>
                <w:szCs w:val="21"/>
              </w:rPr>
            </w:pPr>
            <w:r>
              <w:rPr>
                <w:rFonts w:hint="eastAsia" w:ascii="宋体" w:hAnsi="宋体"/>
                <w:szCs w:val="21"/>
              </w:rPr>
              <w:t>上述相应资料编入投标文件、并在开标时提供系统现场展示，所有设备自带。现场无展示的，此项另扣5分。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24" w:hRule="atLeast"/>
        </w:trPr>
        <w:tc>
          <w:tcPr>
            <w:tcW w:w="576" w:type="dxa"/>
            <w:tcBorders>
              <w:top w:val="single" w:color="auto" w:sz="4" w:space="0"/>
              <w:left w:val="single" w:color="auto" w:sz="4" w:space="0"/>
              <w:right w:val="single" w:color="auto" w:sz="4" w:space="0"/>
            </w:tcBorders>
            <w:tcMar>
              <w:left w:w="28" w:type="dxa"/>
              <w:right w:w="28" w:type="dxa"/>
            </w:tcMar>
            <w:vAlign w:val="center"/>
          </w:tcPr>
          <w:p>
            <w:pPr>
              <w:adjustRightInd w:val="0"/>
              <w:snapToGrid w:val="0"/>
              <w:jc w:val="center"/>
              <w:rPr>
                <w:rFonts w:ascii="宋体" w:hAnsi="宋体"/>
                <w:szCs w:val="21"/>
              </w:rPr>
            </w:pPr>
            <w:r>
              <w:rPr>
                <w:rFonts w:hint="eastAsia" w:ascii="宋体" w:hAnsi="宋体"/>
                <w:szCs w:val="21"/>
              </w:rPr>
              <w:t>8</w:t>
            </w:r>
          </w:p>
        </w:tc>
        <w:tc>
          <w:tcPr>
            <w:tcW w:w="719" w:type="dxa"/>
            <w:vMerge w:val="continue"/>
            <w:tcBorders>
              <w:left w:val="single" w:color="auto" w:sz="4" w:space="0"/>
              <w:right w:val="single" w:color="auto" w:sz="4" w:space="0"/>
            </w:tcBorders>
            <w:vAlign w:val="center"/>
          </w:tcPr>
          <w:p>
            <w:pPr>
              <w:adjustRightInd w:val="0"/>
              <w:snapToGrid w:val="0"/>
              <w:jc w:val="center"/>
              <w:rPr>
                <w:rFonts w:ascii="宋体" w:hAnsi="宋体"/>
                <w:szCs w:val="21"/>
              </w:rPr>
            </w:pPr>
          </w:p>
        </w:tc>
        <w:tc>
          <w:tcPr>
            <w:tcW w:w="1437" w:type="dxa"/>
            <w:tcBorders>
              <w:top w:val="single" w:color="auto" w:sz="4" w:space="0"/>
              <w:left w:val="single" w:color="auto" w:sz="4" w:space="0"/>
              <w:right w:val="single" w:color="auto" w:sz="4" w:space="0"/>
            </w:tcBorders>
            <w:vAlign w:val="center"/>
          </w:tcPr>
          <w:p>
            <w:pPr>
              <w:adjustRightInd w:val="0"/>
              <w:snapToGrid w:val="0"/>
              <w:jc w:val="center"/>
              <w:rPr>
                <w:szCs w:val="21"/>
              </w:rPr>
            </w:pPr>
            <w:r>
              <w:rPr>
                <w:rFonts w:hint="eastAsia"/>
                <w:szCs w:val="21"/>
              </w:rPr>
              <w:t>监测的进度安排、工作程序及流程、投入的检测设备、与总包单位及相关单位配合</w:t>
            </w:r>
          </w:p>
        </w:tc>
        <w:tc>
          <w:tcPr>
            <w:tcW w:w="575" w:type="dxa"/>
            <w:tcBorders>
              <w:top w:val="single" w:color="auto" w:sz="4" w:space="0"/>
              <w:left w:val="single" w:color="auto" w:sz="4" w:space="0"/>
              <w:right w:val="single" w:color="auto" w:sz="4" w:space="0"/>
            </w:tcBorders>
            <w:tcMar>
              <w:left w:w="28" w:type="dxa"/>
              <w:right w:w="28" w:type="dxa"/>
            </w:tcMar>
            <w:vAlign w:val="center"/>
          </w:tcPr>
          <w:p>
            <w:pPr>
              <w:jc w:val="center"/>
              <w:rPr>
                <w:rFonts w:ascii="宋体" w:hAnsi="宋体"/>
                <w:szCs w:val="21"/>
              </w:rPr>
            </w:pPr>
            <w:r>
              <w:rPr>
                <w:rFonts w:hint="eastAsia" w:ascii="宋体" w:hAnsi="宋体"/>
                <w:szCs w:val="21"/>
              </w:rPr>
              <w:t>15</w:t>
            </w:r>
          </w:p>
        </w:tc>
        <w:tc>
          <w:tcPr>
            <w:tcW w:w="6468" w:type="dxa"/>
            <w:tcBorders>
              <w:top w:val="single" w:color="auto" w:sz="4" w:space="0"/>
              <w:left w:val="single" w:color="auto" w:sz="4" w:space="0"/>
              <w:right w:val="single" w:color="auto" w:sz="4" w:space="0"/>
            </w:tcBorders>
            <w:vAlign w:val="center"/>
          </w:tcPr>
          <w:p>
            <w:pPr>
              <w:rPr>
                <w:szCs w:val="21"/>
              </w:rPr>
            </w:pPr>
            <w:r>
              <w:rPr>
                <w:rFonts w:hint="eastAsia"/>
                <w:szCs w:val="21"/>
              </w:rPr>
              <w:t>对投标人监测进度安排的合理性；提供的工作程序及流程是否科学、规范、严密，各工序是否衔接自然；投入的检测设备的完整性；与总包单位及其他相关单位配合协调等方面进行综合评议：</w:t>
            </w:r>
          </w:p>
          <w:p>
            <w:pPr>
              <w:rPr>
                <w:szCs w:val="21"/>
              </w:rPr>
            </w:pPr>
            <w:r>
              <w:rPr>
                <w:rFonts w:hint="eastAsia" w:ascii="宋体" w:hAnsi="宋体"/>
                <w:szCs w:val="21"/>
              </w:rPr>
              <w:t>优得10-15分，良得9.9-5分，一般或差得4.9-0分。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4" w:hRule="atLeast"/>
        </w:trPr>
        <w:tc>
          <w:tcPr>
            <w:tcW w:w="576" w:type="dxa"/>
            <w:tcBorders>
              <w:top w:val="single" w:color="auto" w:sz="4" w:space="0"/>
              <w:left w:val="single" w:color="auto" w:sz="4" w:space="0"/>
              <w:right w:val="single" w:color="auto" w:sz="4" w:space="0"/>
            </w:tcBorders>
            <w:tcMar>
              <w:left w:w="28" w:type="dxa"/>
              <w:right w:w="28" w:type="dxa"/>
            </w:tcMar>
            <w:vAlign w:val="center"/>
          </w:tcPr>
          <w:p>
            <w:pPr>
              <w:adjustRightInd w:val="0"/>
              <w:snapToGrid w:val="0"/>
              <w:jc w:val="center"/>
              <w:rPr>
                <w:rFonts w:ascii="宋体" w:hAnsi="宋体"/>
                <w:szCs w:val="21"/>
              </w:rPr>
            </w:pPr>
            <w:r>
              <w:rPr>
                <w:rFonts w:hint="eastAsia" w:ascii="宋体" w:hAnsi="宋体"/>
                <w:szCs w:val="21"/>
              </w:rPr>
              <w:t>9</w:t>
            </w:r>
          </w:p>
        </w:tc>
        <w:tc>
          <w:tcPr>
            <w:tcW w:w="719" w:type="dxa"/>
            <w:vMerge w:val="continue"/>
            <w:tcBorders>
              <w:left w:val="single" w:color="auto" w:sz="4" w:space="0"/>
              <w:right w:val="single" w:color="auto" w:sz="4" w:space="0"/>
            </w:tcBorders>
            <w:vAlign w:val="center"/>
          </w:tcPr>
          <w:p>
            <w:pPr>
              <w:adjustRightInd w:val="0"/>
              <w:snapToGrid w:val="0"/>
              <w:jc w:val="center"/>
              <w:rPr>
                <w:rFonts w:ascii="宋体" w:hAnsi="宋体"/>
                <w:szCs w:val="21"/>
              </w:rPr>
            </w:pPr>
          </w:p>
        </w:tc>
        <w:tc>
          <w:tcPr>
            <w:tcW w:w="1437" w:type="dxa"/>
            <w:tcBorders>
              <w:top w:val="single" w:color="auto" w:sz="4" w:space="0"/>
              <w:left w:val="single" w:color="auto" w:sz="4"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监测成果</w:t>
            </w:r>
          </w:p>
          <w:p>
            <w:pPr>
              <w:adjustRightInd w:val="0"/>
              <w:snapToGrid w:val="0"/>
              <w:jc w:val="center"/>
              <w:rPr>
                <w:rFonts w:ascii="宋体" w:hAnsi="宋体"/>
                <w:szCs w:val="21"/>
              </w:rPr>
            </w:pPr>
            <w:r>
              <w:rPr>
                <w:rFonts w:hint="eastAsia" w:ascii="宋体" w:hAnsi="宋体"/>
                <w:szCs w:val="21"/>
              </w:rPr>
              <w:t>质量保证措施</w:t>
            </w:r>
          </w:p>
        </w:tc>
        <w:tc>
          <w:tcPr>
            <w:tcW w:w="575" w:type="dxa"/>
            <w:tcBorders>
              <w:top w:val="single" w:color="auto" w:sz="4" w:space="0"/>
              <w:left w:val="single" w:color="auto" w:sz="4" w:space="0"/>
              <w:right w:val="single" w:color="auto" w:sz="4" w:space="0"/>
            </w:tcBorders>
            <w:tcMar>
              <w:left w:w="28" w:type="dxa"/>
              <w:right w:w="28" w:type="dxa"/>
            </w:tcMar>
            <w:vAlign w:val="center"/>
          </w:tcPr>
          <w:p>
            <w:pPr>
              <w:jc w:val="center"/>
              <w:rPr>
                <w:rFonts w:ascii="宋体" w:hAnsi="宋体"/>
                <w:szCs w:val="21"/>
              </w:rPr>
            </w:pPr>
            <w:r>
              <w:rPr>
                <w:rFonts w:hint="eastAsia" w:ascii="宋体" w:hAnsi="宋体"/>
                <w:szCs w:val="21"/>
              </w:rPr>
              <w:t>10</w:t>
            </w:r>
          </w:p>
        </w:tc>
        <w:tc>
          <w:tcPr>
            <w:tcW w:w="6468" w:type="dxa"/>
            <w:tcBorders>
              <w:top w:val="single" w:color="auto" w:sz="4" w:space="0"/>
              <w:left w:val="single" w:color="auto" w:sz="4" w:space="0"/>
              <w:right w:val="single" w:color="auto" w:sz="4" w:space="0"/>
            </w:tcBorders>
            <w:vAlign w:val="center"/>
          </w:tcPr>
          <w:p>
            <w:pPr>
              <w:rPr>
                <w:szCs w:val="21"/>
              </w:rPr>
            </w:pPr>
            <w:r>
              <w:rPr>
                <w:rFonts w:hint="eastAsia"/>
                <w:szCs w:val="21"/>
              </w:rPr>
              <w:t>根据投标人提供的质量保证措施（拟投入本项目的专业人员数量、监测设备的数量及性能优劣情况、与设计和施工单位的配合方案、监测成果报告的复核制度等方面）进行综合评议：</w:t>
            </w:r>
          </w:p>
          <w:p>
            <w:pPr>
              <w:rPr>
                <w:rFonts w:ascii="宋体" w:hAnsi="宋体"/>
                <w:szCs w:val="21"/>
              </w:rPr>
            </w:pPr>
            <w:r>
              <w:rPr>
                <w:rFonts w:hint="eastAsia" w:ascii="宋体" w:hAnsi="宋体"/>
                <w:szCs w:val="21"/>
              </w:rPr>
              <w:t>优得7-10分，良得6.9-4分，一般或差得3.9-0分。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57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adjustRightInd w:val="0"/>
              <w:snapToGrid w:val="0"/>
              <w:jc w:val="center"/>
              <w:rPr>
                <w:rFonts w:ascii="宋体" w:hAnsi="宋体"/>
                <w:szCs w:val="21"/>
              </w:rPr>
            </w:pPr>
            <w:r>
              <w:rPr>
                <w:rFonts w:hint="eastAsia" w:ascii="宋体" w:hAnsi="宋体"/>
                <w:szCs w:val="21"/>
              </w:rPr>
              <w:t>10</w:t>
            </w:r>
          </w:p>
        </w:tc>
        <w:tc>
          <w:tcPr>
            <w:tcW w:w="719" w:type="dxa"/>
            <w:vMerge w:val="continue"/>
            <w:tcBorders>
              <w:left w:val="single" w:color="auto" w:sz="4" w:space="0"/>
              <w:right w:val="single" w:color="auto" w:sz="4" w:space="0"/>
            </w:tcBorders>
            <w:vAlign w:val="center"/>
          </w:tcPr>
          <w:p>
            <w:pPr>
              <w:adjustRightInd w:val="0"/>
              <w:snapToGrid w:val="0"/>
              <w:jc w:val="center"/>
              <w:rPr>
                <w:rFonts w:ascii="宋体" w:hAnsi="宋体"/>
                <w:szCs w:val="21"/>
              </w:rPr>
            </w:pPr>
          </w:p>
        </w:tc>
        <w:tc>
          <w:tcPr>
            <w:tcW w:w="143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人员实力</w:t>
            </w:r>
          </w:p>
        </w:tc>
        <w:tc>
          <w:tcPr>
            <w:tcW w:w="57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rFonts w:ascii="宋体" w:hAnsi="宋体"/>
                <w:szCs w:val="21"/>
              </w:rPr>
            </w:pPr>
            <w:r>
              <w:rPr>
                <w:rFonts w:hint="eastAsia" w:ascii="宋体" w:hAnsi="宋体"/>
                <w:szCs w:val="21"/>
              </w:rPr>
              <w:t>5</w:t>
            </w:r>
          </w:p>
        </w:tc>
        <w:tc>
          <w:tcPr>
            <w:tcW w:w="6468" w:type="dxa"/>
            <w:tcBorders>
              <w:top w:val="single" w:color="auto" w:sz="4" w:space="0"/>
              <w:left w:val="single" w:color="auto" w:sz="4" w:space="0"/>
              <w:bottom w:val="single" w:color="auto" w:sz="4" w:space="0"/>
              <w:right w:val="single" w:color="auto" w:sz="4" w:space="0"/>
            </w:tcBorders>
            <w:vAlign w:val="center"/>
          </w:tcPr>
          <w:p>
            <w:r>
              <w:rPr>
                <w:rFonts w:hint="eastAsia"/>
              </w:rPr>
              <w:t>项目负责人具有建筑工程类高级及以上工程师职称的得3分，具有建筑工程类中级工程师职称的得1分。</w:t>
            </w:r>
          </w:p>
          <w:p>
            <w:pPr>
              <w:snapToGrid w:val="0"/>
              <w:spacing w:line="260" w:lineRule="exact"/>
              <w:jc w:val="left"/>
              <w:rPr>
                <w:szCs w:val="21"/>
              </w:rPr>
            </w:pPr>
            <w:r>
              <w:rPr>
                <w:rFonts w:hint="eastAsia"/>
              </w:rPr>
              <w:t>项目组成员具有建筑工程类中级工程师职称的每个得1分，最高2分。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59" w:hRule="atLeast"/>
        </w:trPr>
        <w:tc>
          <w:tcPr>
            <w:tcW w:w="576" w:type="dxa"/>
            <w:tcBorders>
              <w:top w:val="single" w:color="auto" w:sz="4" w:space="0"/>
              <w:left w:val="single" w:color="auto" w:sz="4" w:space="0"/>
              <w:right w:val="single" w:color="auto" w:sz="4" w:space="0"/>
            </w:tcBorders>
            <w:tcMar>
              <w:left w:w="28" w:type="dxa"/>
              <w:right w:w="28" w:type="dxa"/>
            </w:tcMar>
            <w:vAlign w:val="center"/>
          </w:tcPr>
          <w:p>
            <w:pPr>
              <w:adjustRightInd w:val="0"/>
              <w:snapToGrid w:val="0"/>
              <w:jc w:val="center"/>
              <w:rPr>
                <w:rFonts w:ascii="宋体" w:hAnsi="宋体"/>
                <w:szCs w:val="21"/>
              </w:rPr>
            </w:pPr>
            <w:r>
              <w:rPr>
                <w:rFonts w:hint="eastAsia" w:ascii="宋体" w:hAnsi="宋体"/>
                <w:szCs w:val="21"/>
              </w:rPr>
              <w:t>11</w:t>
            </w:r>
          </w:p>
        </w:tc>
        <w:tc>
          <w:tcPr>
            <w:tcW w:w="719" w:type="dxa"/>
            <w:vMerge w:val="continue"/>
            <w:tcBorders>
              <w:left w:val="single" w:color="auto" w:sz="4" w:space="0"/>
              <w:right w:val="single" w:color="auto" w:sz="4" w:space="0"/>
            </w:tcBorders>
            <w:vAlign w:val="center"/>
          </w:tcPr>
          <w:p>
            <w:pPr>
              <w:adjustRightInd w:val="0"/>
              <w:snapToGrid w:val="0"/>
              <w:jc w:val="center"/>
              <w:rPr>
                <w:rFonts w:ascii="宋体" w:hAnsi="宋体"/>
                <w:szCs w:val="21"/>
              </w:rPr>
            </w:pPr>
          </w:p>
        </w:tc>
        <w:tc>
          <w:tcPr>
            <w:tcW w:w="1437" w:type="dxa"/>
            <w:tcBorders>
              <w:top w:val="single" w:color="auto" w:sz="4" w:space="0"/>
              <w:left w:val="single" w:color="auto" w:sz="4" w:space="0"/>
              <w:right w:val="single" w:color="auto" w:sz="4" w:space="0"/>
            </w:tcBorders>
            <w:vAlign w:val="center"/>
          </w:tcPr>
          <w:p>
            <w:pPr>
              <w:adjustRightInd w:val="0"/>
              <w:snapToGrid w:val="0"/>
              <w:jc w:val="center"/>
              <w:rPr>
                <w:rFonts w:ascii="宋体" w:hAnsi="宋体"/>
                <w:szCs w:val="21"/>
              </w:rPr>
            </w:pPr>
            <w:r>
              <w:rPr>
                <w:rFonts w:hint="eastAsia"/>
              </w:rPr>
              <w:t>企业能力</w:t>
            </w:r>
          </w:p>
        </w:tc>
        <w:tc>
          <w:tcPr>
            <w:tcW w:w="575" w:type="dxa"/>
            <w:tcBorders>
              <w:top w:val="single" w:color="auto" w:sz="4" w:space="0"/>
              <w:left w:val="single" w:color="auto" w:sz="4" w:space="0"/>
              <w:right w:val="single" w:color="auto" w:sz="4" w:space="0"/>
            </w:tcBorders>
            <w:tcMar>
              <w:left w:w="28" w:type="dxa"/>
              <w:right w:w="28" w:type="dxa"/>
            </w:tcMar>
            <w:vAlign w:val="center"/>
          </w:tcPr>
          <w:p>
            <w:pPr>
              <w:jc w:val="center"/>
              <w:rPr>
                <w:rFonts w:ascii="宋体" w:hAnsi="宋体"/>
                <w:szCs w:val="21"/>
              </w:rPr>
            </w:pPr>
            <w:r>
              <w:rPr>
                <w:rFonts w:hint="eastAsia"/>
              </w:rPr>
              <w:t>5</w:t>
            </w:r>
          </w:p>
        </w:tc>
        <w:tc>
          <w:tcPr>
            <w:tcW w:w="6468" w:type="dxa"/>
            <w:tcBorders>
              <w:top w:val="single" w:color="auto" w:sz="4" w:space="0"/>
              <w:left w:val="single" w:color="auto" w:sz="4" w:space="0"/>
              <w:right w:val="single" w:color="auto" w:sz="4" w:space="0"/>
            </w:tcBorders>
            <w:vAlign w:val="center"/>
          </w:tcPr>
          <w:p>
            <w:pPr>
              <w:numPr>
                <w:ilvl w:val="0"/>
                <w:numId w:val="8"/>
              </w:numPr>
              <w:jc w:val="left"/>
            </w:pPr>
            <w:r>
              <w:rPr>
                <w:rFonts w:hint="eastAsia"/>
              </w:rPr>
              <w:t>同时具有ISO9001环境管理体系认证证书、ISO14001环境管理体系认证、OHSAS18001职业健康安全管理体系认证的得2分；</w:t>
            </w:r>
          </w:p>
          <w:p>
            <w:pPr>
              <w:numPr>
                <w:ilvl w:val="0"/>
                <w:numId w:val="8"/>
              </w:numPr>
              <w:jc w:val="left"/>
            </w:pPr>
            <w:r>
              <w:rPr>
                <w:rFonts w:hint="eastAsia"/>
              </w:rPr>
              <w:t>以上三类证书认证范围均包含房屋动态监测的另加2分。</w:t>
            </w:r>
          </w:p>
          <w:p>
            <w:pPr>
              <w:jc w:val="left"/>
              <w:rPr>
                <w:szCs w:val="21"/>
              </w:rPr>
            </w:pPr>
            <w:r>
              <w:rPr>
                <w:rFonts w:hint="eastAsia"/>
              </w:rPr>
              <w:t>3、具有省级及以上质量技术监督局颁发的检验检测机构资质认定证书的得1分。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3" w:hRule="atLeast"/>
        </w:trPr>
        <w:tc>
          <w:tcPr>
            <w:tcW w:w="576" w:type="dxa"/>
            <w:tcBorders>
              <w:top w:val="single" w:color="auto" w:sz="4" w:space="0"/>
              <w:left w:val="single" w:color="auto" w:sz="4" w:space="0"/>
              <w:right w:val="single" w:color="auto" w:sz="4" w:space="0"/>
            </w:tcBorders>
            <w:tcMar>
              <w:left w:w="28" w:type="dxa"/>
              <w:right w:w="28" w:type="dxa"/>
            </w:tcMar>
            <w:vAlign w:val="center"/>
          </w:tcPr>
          <w:p>
            <w:pPr>
              <w:adjustRightInd w:val="0"/>
              <w:snapToGrid w:val="0"/>
              <w:jc w:val="center"/>
              <w:rPr>
                <w:rFonts w:ascii="宋体" w:hAnsi="宋体"/>
                <w:szCs w:val="21"/>
              </w:rPr>
            </w:pPr>
            <w:r>
              <w:rPr>
                <w:rFonts w:hint="eastAsia" w:ascii="宋体" w:hAnsi="宋体"/>
                <w:szCs w:val="21"/>
              </w:rPr>
              <w:t>12</w:t>
            </w:r>
          </w:p>
        </w:tc>
        <w:tc>
          <w:tcPr>
            <w:tcW w:w="719"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ascii="宋体" w:hAnsi="宋体"/>
                <w:szCs w:val="21"/>
              </w:rPr>
            </w:pPr>
          </w:p>
        </w:tc>
        <w:tc>
          <w:tcPr>
            <w:tcW w:w="1437" w:type="dxa"/>
            <w:tcBorders>
              <w:top w:val="single" w:color="auto" w:sz="4" w:space="0"/>
              <w:left w:val="single" w:color="auto" w:sz="4" w:space="0"/>
              <w:right w:val="single" w:color="auto" w:sz="4" w:space="0"/>
            </w:tcBorders>
            <w:vAlign w:val="center"/>
          </w:tcPr>
          <w:p>
            <w:pPr>
              <w:adjustRightInd w:val="0"/>
              <w:snapToGrid w:val="0"/>
              <w:jc w:val="center"/>
              <w:rPr>
                <w:rFonts w:ascii="宋体" w:hAnsi="宋体"/>
                <w:szCs w:val="21"/>
              </w:rPr>
            </w:pPr>
            <w:r>
              <w:rPr>
                <w:rFonts w:hint="eastAsia"/>
                <w:szCs w:val="21"/>
              </w:rPr>
              <w:t>服务响应要求</w:t>
            </w:r>
          </w:p>
        </w:tc>
        <w:tc>
          <w:tcPr>
            <w:tcW w:w="575" w:type="dxa"/>
            <w:tcBorders>
              <w:top w:val="single" w:color="auto" w:sz="4" w:space="0"/>
              <w:left w:val="single" w:color="auto" w:sz="4" w:space="0"/>
              <w:right w:val="single" w:color="auto" w:sz="4" w:space="0"/>
            </w:tcBorders>
            <w:tcMar>
              <w:left w:w="28" w:type="dxa"/>
              <w:right w:w="28" w:type="dxa"/>
            </w:tcMar>
            <w:vAlign w:val="center"/>
          </w:tcPr>
          <w:p>
            <w:pPr>
              <w:jc w:val="center"/>
              <w:rPr>
                <w:rFonts w:ascii="宋体" w:hAnsi="宋体"/>
                <w:szCs w:val="21"/>
              </w:rPr>
            </w:pPr>
            <w:r>
              <w:rPr>
                <w:rFonts w:hint="eastAsia" w:ascii="宋体" w:hAnsi="宋体"/>
                <w:szCs w:val="21"/>
              </w:rPr>
              <w:t>5</w:t>
            </w:r>
          </w:p>
        </w:tc>
        <w:tc>
          <w:tcPr>
            <w:tcW w:w="64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jc w:val="left"/>
              <w:rPr>
                <w:rFonts w:hAnsi="宋体"/>
                <w:szCs w:val="21"/>
              </w:rPr>
            </w:pPr>
            <w:r>
              <w:rPr>
                <w:rFonts w:hint="eastAsia" w:hAnsi="宋体"/>
                <w:szCs w:val="21"/>
              </w:rPr>
              <w:t>根据供应商承诺的服务响应时间、现在到位能力等综合评定（5分）</w:t>
            </w:r>
          </w:p>
          <w:p>
            <w:pPr>
              <w:adjustRightInd w:val="0"/>
              <w:snapToGrid w:val="0"/>
              <w:spacing w:line="260" w:lineRule="exact"/>
              <w:jc w:val="left"/>
              <w:rPr>
                <w:rFonts w:hAnsi="宋体"/>
                <w:szCs w:val="21"/>
              </w:rPr>
            </w:pPr>
            <w:r>
              <w:rPr>
                <w:rFonts w:hint="eastAsia" w:hAnsi="宋体"/>
                <w:szCs w:val="21"/>
              </w:rPr>
              <w:t>优：3.9-5分；良：1.1-3.9分；一般：0.5-1分；差：0.5分及以下。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57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adjustRightInd w:val="0"/>
              <w:snapToGrid w:val="0"/>
              <w:jc w:val="center"/>
              <w:rPr>
                <w:rFonts w:ascii="宋体" w:hAnsi="宋体"/>
                <w:szCs w:val="21"/>
              </w:rPr>
            </w:pPr>
            <w:r>
              <w:rPr>
                <w:rFonts w:hint="eastAsia" w:ascii="宋体" w:hAnsi="宋体"/>
                <w:szCs w:val="21"/>
              </w:rPr>
              <w:t>13</w:t>
            </w:r>
          </w:p>
        </w:tc>
        <w:tc>
          <w:tcPr>
            <w:tcW w:w="71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Cs w:val="21"/>
              </w:rPr>
            </w:pPr>
          </w:p>
        </w:tc>
        <w:tc>
          <w:tcPr>
            <w:tcW w:w="143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Cs w:val="21"/>
              </w:rPr>
            </w:pPr>
            <w:r>
              <w:rPr>
                <w:rFonts w:hAnsi="宋体"/>
                <w:szCs w:val="21"/>
              </w:rPr>
              <w:t>合理化建议</w:t>
            </w:r>
            <w:r>
              <w:rPr>
                <w:rFonts w:hint="eastAsia" w:hAnsi="宋体"/>
                <w:szCs w:val="21"/>
              </w:rPr>
              <w:t>或承诺</w:t>
            </w:r>
          </w:p>
        </w:tc>
        <w:tc>
          <w:tcPr>
            <w:tcW w:w="57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rFonts w:ascii="宋体" w:hAnsi="宋体"/>
                <w:szCs w:val="21"/>
              </w:rPr>
            </w:pPr>
            <w:r>
              <w:rPr>
                <w:rFonts w:hint="eastAsia" w:ascii="宋体" w:hAnsi="宋体"/>
                <w:szCs w:val="21"/>
              </w:rPr>
              <w:t>3</w:t>
            </w:r>
          </w:p>
        </w:tc>
        <w:tc>
          <w:tcPr>
            <w:tcW w:w="64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jc w:val="left"/>
              <w:rPr>
                <w:rFonts w:hAnsi="宋体"/>
                <w:szCs w:val="21"/>
              </w:rPr>
            </w:pPr>
            <w:r>
              <w:rPr>
                <w:rFonts w:hint="eastAsia" w:hAnsi="宋体"/>
                <w:szCs w:val="21"/>
              </w:rPr>
              <w:t>根据投标人提出的针对本项目合理化建议或其他承诺进行评比，酌情打分，最高得3分。</w:t>
            </w:r>
          </w:p>
        </w:tc>
      </w:tr>
    </w:tbl>
    <w:p/>
    <w:p>
      <w:pPr>
        <w:pStyle w:val="3"/>
        <w:spacing w:before="0" w:afterLines="100" w:line="360" w:lineRule="auto"/>
        <w:jc w:val="center"/>
        <w:rPr>
          <w:rFonts w:ascii="宋体" w:hAnsi="宋体"/>
          <w:sz w:val="30"/>
          <w:szCs w:val="30"/>
        </w:rPr>
      </w:pPr>
      <w:r>
        <w:rPr>
          <w:rFonts w:ascii="宋体" w:hAnsi="宋体"/>
          <w:b w:val="0"/>
          <w:sz w:val="32"/>
          <w:szCs w:val="32"/>
        </w:rPr>
        <w:br w:type="page"/>
      </w:r>
      <w:bookmarkStart w:id="34" w:name="_Toc485712560"/>
      <w:r>
        <w:rPr>
          <w:rFonts w:ascii="宋体" w:hAnsi="宋体"/>
          <w:sz w:val="30"/>
          <w:szCs w:val="30"/>
        </w:rPr>
        <w:t xml:space="preserve">第五章  </w:t>
      </w:r>
      <w:r>
        <w:rPr>
          <w:rFonts w:hint="eastAsia" w:ascii="宋体" w:hAnsi="宋体"/>
          <w:sz w:val="30"/>
          <w:szCs w:val="30"/>
        </w:rPr>
        <w:t>合同</w:t>
      </w:r>
      <w:r>
        <w:rPr>
          <w:rFonts w:ascii="宋体" w:hAnsi="宋体"/>
          <w:sz w:val="30"/>
          <w:szCs w:val="30"/>
        </w:rPr>
        <w:t>条款</w:t>
      </w:r>
      <w:bookmarkEnd w:id="34"/>
      <w:r>
        <w:rPr>
          <w:rFonts w:hint="eastAsia" w:ascii="宋体" w:hAnsi="宋体"/>
          <w:sz w:val="30"/>
          <w:szCs w:val="30"/>
        </w:rPr>
        <w:t>及格式</w:t>
      </w:r>
    </w:p>
    <w:p>
      <w:pPr>
        <w:widowControl/>
        <w:spacing w:line="360" w:lineRule="auto"/>
        <w:jc w:val="center"/>
        <w:rPr>
          <w:szCs w:val="21"/>
        </w:rPr>
      </w:pPr>
      <w:bookmarkStart w:id="35" w:name="_Toc485712561"/>
      <w:r>
        <w:rPr>
          <w:rFonts w:hint="eastAsia" w:ascii="宋体" w:hAnsi="宋体" w:cs="宋体"/>
          <w:b/>
          <w:kern w:val="0"/>
          <w:szCs w:val="21"/>
        </w:rPr>
        <w:t>人民广场与地下通道工程基坑监测项目政府采购合同</w:t>
      </w:r>
    </w:p>
    <w:p>
      <w:pPr>
        <w:widowControl/>
        <w:spacing w:line="360" w:lineRule="auto"/>
        <w:jc w:val="left"/>
        <w:rPr>
          <w:szCs w:val="21"/>
        </w:rPr>
      </w:pPr>
      <w:r>
        <w:rPr>
          <w:rFonts w:hint="eastAsia" w:ascii="宋体" w:hAnsi="宋体" w:cs="宋体"/>
          <w:kern w:val="0"/>
          <w:szCs w:val="21"/>
        </w:rPr>
        <w:t xml:space="preserve">甲方： </w:t>
      </w:r>
    </w:p>
    <w:p>
      <w:pPr>
        <w:widowControl/>
        <w:spacing w:line="360" w:lineRule="auto"/>
        <w:jc w:val="left"/>
        <w:rPr>
          <w:szCs w:val="21"/>
        </w:rPr>
      </w:pPr>
      <w:r>
        <w:rPr>
          <w:rFonts w:hint="eastAsia" w:ascii="宋体" w:hAnsi="宋体" w:cs="宋体"/>
          <w:kern w:val="0"/>
          <w:szCs w:val="21"/>
        </w:rPr>
        <w:t xml:space="preserve">乙方： （中标人） </w:t>
      </w:r>
    </w:p>
    <w:p>
      <w:pPr>
        <w:widowControl/>
        <w:spacing w:line="360" w:lineRule="auto"/>
        <w:jc w:val="left"/>
        <w:rPr>
          <w:szCs w:val="21"/>
        </w:rPr>
      </w:pPr>
      <w:r>
        <w:rPr>
          <w:rFonts w:hint="eastAsia" w:ascii="宋体" w:hAnsi="宋体" w:cs="宋体"/>
          <w:kern w:val="0"/>
          <w:szCs w:val="21"/>
        </w:rPr>
        <w:t>甲、乙双方根据《合同法》 人民广场与地下通道工程基坑监测项目（项目编号：</w:t>
      </w:r>
      <w:r>
        <w:rPr>
          <w:rFonts w:hint="eastAsia" w:ascii="Arial" w:hAnsi="Arial" w:cs="Arial"/>
          <w:kern w:val="0"/>
          <w:szCs w:val="21"/>
        </w:rPr>
        <w:t xml:space="preserve">    </w:t>
      </w:r>
      <w:r>
        <w:rPr>
          <w:rFonts w:hint="eastAsia" w:ascii="宋体" w:hAnsi="宋体" w:cs="宋体"/>
          <w:kern w:val="0"/>
          <w:szCs w:val="21"/>
        </w:rPr>
        <w:t xml:space="preserve">）公开招标的结果，甲、乙双方在平等的基础上经充分协商，签署本合同。 </w:t>
      </w:r>
    </w:p>
    <w:p>
      <w:pPr>
        <w:widowControl/>
        <w:spacing w:line="360" w:lineRule="auto"/>
        <w:jc w:val="left"/>
        <w:rPr>
          <w:szCs w:val="21"/>
        </w:rPr>
      </w:pPr>
      <w:r>
        <w:rPr>
          <w:rFonts w:hint="eastAsia" w:ascii="宋体" w:hAnsi="宋体" w:cs="宋体"/>
          <w:b/>
          <w:kern w:val="0"/>
          <w:szCs w:val="21"/>
        </w:rPr>
        <w:t xml:space="preserve">一、 项目概况 </w:t>
      </w:r>
    </w:p>
    <w:p>
      <w:pPr>
        <w:widowControl/>
        <w:spacing w:line="360" w:lineRule="auto"/>
        <w:jc w:val="left"/>
        <w:rPr>
          <w:szCs w:val="21"/>
        </w:rPr>
      </w:pPr>
      <w:r>
        <w:rPr>
          <w:rFonts w:ascii="Arial" w:hAnsi="Arial" w:cs="Arial"/>
          <w:kern w:val="0"/>
          <w:szCs w:val="21"/>
        </w:rPr>
        <w:t>1</w:t>
      </w:r>
      <w:r>
        <w:rPr>
          <w:rFonts w:hint="eastAsia" w:ascii="宋体" w:hAnsi="宋体" w:cs="宋体"/>
          <w:kern w:val="0"/>
          <w:szCs w:val="21"/>
        </w:rPr>
        <w:t>、项目地点：位于江北核心区，东至人民路，西至玛瑙路，南至车站路，北至板桥街。</w:t>
      </w:r>
    </w:p>
    <w:p>
      <w:pPr>
        <w:widowControl/>
        <w:spacing w:line="360" w:lineRule="auto"/>
        <w:jc w:val="left"/>
        <w:rPr>
          <w:szCs w:val="21"/>
        </w:rPr>
      </w:pPr>
      <w:r>
        <w:rPr>
          <w:rFonts w:ascii="Arial" w:hAnsi="Arial" w:cs="Arial"/>
          <w:kern w:val="0"/>
          <w:szCs w:val="21"/>
        </w:rPr>
        <w:t>2</w:t>
      </w:r>
      <w:r>
        <w:rPr>
          <w:rFonts w:hint="eastAsia" w:ascii="宋体" w:hAnsi="宋体" w:cs="宋体"/>
          <w:kern w:val="0"/>
          <w:szCs w:val="21"/>
        </w:rPr>
        <w:t xml:space="preserve">、规模：新建：10#地块总建筑面积约17406平方米，其中地上建筑面积约250平方米，地下建筑面积约17156平方米；玛瑙路地下商业总建筑面积约1375平方米，其中地上建筑面积约100平方米，地下建筑面积约1275平方米；人民路地下通道面积约620平方米，其中地上建筑面积约70平方米，地下建筑面积约550平方米。改造：9#地块总建筑面积约1780平方米，其中地上建筑面积约120平方米，地下室建筑面积约1660平方米。 </w:t>
      </w:r>
    </w:p>
    <w:p>
      <w:pPr>
        <w:widowControl/>
        <w:spacing w:line="360" w:lineRule="auto"/>
        <w:jc w:val="left"/>
        <w:rPr>
          <w:rFonts w:ascii="宋体" w:hAnsi="宋体" w:cs="宋体"/>
          <w:b/>
          <w:kern w:val="0"/>
          <w:szCs w:val="21"/>
        </w:rPr>
      </w:pPr>
      <w:r>
        <w:rPr>
          <w:rFonts w:hint="eastAsia" w:ascii="宋体" w:hAnsi="宋体" w:cs="宋体"/>
          <w:b/>
          <w:kern w:val="0"/>
          <w:szCs w:val="21"/>
        </w:rPr>
        <w:t xml:space="preserve">二、服务工程量清单 </w:t>
      </w:r>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5104"/>
        <w:gridCol w:w="2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5880" w:type="dxa"/>
            <w:gridSpan w:val="2"/>
            <w:vAlign w:val="center"/>
          </w:tcPr>
          <w:p>
            <w:pPr>
              <w:widowControl/>
              <w:spacing w:line="400" w:lineRule="exact"/>
              <w:jc w:val="center"/>
              <w:rPr>
                <w:rFonts w:ascii="宋体" w:hAnsi="宋体" w:cs="宋体"/>
                <w:kern w:val="0"/>
                <w:szCs w:val="21"/>
              </w:rPr>
            </w:pPr>
            <w:r>
              <w:rPr>
                <w:rFonts w:hint="eastAsia" w:ascii="宋体" w:hAnsi="宋体" w:cs="宋体"/>
                <w:kern w:val="0"/>
                <w:szCs w:val="21"/>
              </w:rPr>
              <w:t>监测内容</w:t>
            </w:r>
          </w:p>
        </w:tc>
        <w:tc>
          <w:tcPr>
            <w:tcW w:w="2179"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工程量（个）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776" w:type="dxa"/>
            <w:vAlign w:val="center"/>
          </w:tcPr>
          <w:p>
            <w:pPr>
              <w:widowControl/>
              <w:spacing w:line="400" w:lineRule="exact"/>
              <w:jc w:val="center"/>
              <w:rPr>
                <w:rFonts w:ascii="宋体" w:hAnsi="宋体"/>
                <w:kern w:val="0"/>
                <w:szCs w:val="21"/>
              </w:rPr>
            </w:pPr>
            <w:r>
              <w:rPr>
                <w:rFonts w:ascii="宋体" w:hAnsi="宋体"/>
                <w:kern w:val="0"/>
                <w:szCs w:val="21"/>
              </w:rPr>
              <w:t>1</w:t>
            </w:r>
          </w:p>
        </w:tc>
        <w:tc>
          <w:tcPr>
            <w:tcW w:w="5104"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深层土体位移观测</w:t>
            </w:r>
          </w:p>
        </w:tc>
        <w:tc>
          <w:tcPr>
            <w:tcW w:w="2179" w:type="dxa"/>
            <w:vAlign w:val="center"/>
          </w:tcPr>
          <w:p>
            <w:pPr>
              <w:spacing w:line="400" w:lineRule="exact"/>
              <w:jc w:val="center"/>
              <w:rPr>
                <w:sz w:val="24"/>
              </w:rPr>
            </w:pPr>
            <w:r>
              <w:rPr>
                <w:rFonts w:hint="eastAsia"/>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776" w:type="dxa"/>
            <w:vAlign w:val="center"/>
          </w:tcPr>
          <w:p>
            <w:pPr>
              <w:widowControl/>
              <w:spacing w:line="400" w:lineRule="exact"/>
              <w:jc w:val="center"/>
              <w:rPr>
                <w:rFonts w:ascii="宋体" w:hAnsi="宋体"/>
                <w:kern w:val="0"/>
                <w:szCs w:val="21"/>
              </w:rPr>
            </w:pPr>
            <w:r>
              <w:rPr>
                <w:rFonts w:ascii="宋体" w:hAnsi="宋体"/>
                <w:kern w:val="0"/>
                <w:szCs w:val="21"/>
              </w:rPr>
              <w:t>2</w:t>
            </w:r>
          </w:p>
        </w:tc>
        <w:tc>
          <w:tcPr>
            <w:tcW w:w="5104"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围护结构水平位移监测</w:t>
            </w:r>
          </w:p>
        </w:tc>
        <w:tc>
          <w:tcPr>
            <w:tcW w:w="2179" w:type="dxa"/>
            <w:vAlign w:val="center"/>
          </w:tcPr>
          <w:p>
            <w:pPr>
              <w:spacing w:line="400" w:lineRule="exact"/>
              <w:jc w:val="center"/>
              <w:rPr>
                <w:sz w:val="24"/>
              </w:rPr>
            </w:pPr>
            <w:r>
              <w:rPr>
                <w:rFonts w:hint="eastAsia"/>
                <w:sz w:val="24"/>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776" w:type="dxa"/>
            <w:vAlign w:val="center"/>
          </w:tcPr>
          <w:p>
            <w:pPr>
              <w:widowControl/>
              <w:spacing w:line="400" w:lineRule="exact"/>
              <w:jc w:val="center"/>
              <w:rPr>
                <w:rFonts w:ascii="宋体" w:hAnsi="宋体"/>
                <w:kern w:val="0"/>
                <w:szCs w:val="21"/>
              </w:rPr>
            </w:pPr>
            <w:r>
              <w:rPr>
                <w:rFonts w:ascii="宋体" w:hAnsi="宋体"/>
                <w:kern w:val="0"/>
                <w:szCs w:val="21"/>
              </w:rPr>
              <w:t>3</w:t>
            </w:r>
          </w:p>
        </w:tc>
        <w:tc>
          <w:tcPr>
            <w:tcW w:w="5104"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围护结构沉降监测</w:t>
            </w:r>
          </w:p>
        </w:tc>
        <w:tc>
          <w:tcPr>
            <w:tcW w:w="2179" w:type="dxa"/>
            <w:vAlign w:val="center"/>
          </w:tcPr>
          <w:p>
            <w:pPr>
              <w:spacing w:line="400" w:lineRule="exact"/>
              <w:jc w:val="center"/>
              <w:rPr>
                <w:sz w:val="24"/>
              </w:rPr>
            </w:pPr>
            <w:r>
              <w:rPr>
                <w:rFonts w:hint="eastAsia"/>
                <w:sz w:val="24"/>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776" w:type="dxa"/>
            <w:vAlign w:val="center"/>
          </w:tcPr>
          <w:p>
            <w:pPr>
              <w:widowControl/>
              <w:spacing w:line="400" w:lineRule="exact"/>
              <w:jc w:val="center"/>
              <w:rPr>
                <w:rFonts w:ascii="宋体" w:hAnsi="宋体"/>
                <w:kern w:val="0"/>
                <w:szCs w:val="21"/>
              </w:rPr>
            </w:pPr>
            <w:r>
              <w:rPr>
                <w:rFonts w:ascii="宋体" w:hAnsi="宋体"/>
                <w:kern w:val="0"/>
                <w:szCs w:val="21"/>
              </w:rPr>
              <w:t>4</w:t>
            </w:r>
          </w:p>
        </w:tc>
        <w:tc>
          <w:tcPr>
            <w:tcW w:w="5104"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支撑轴力监测</w:t>
            </w:r>
          </w:p>
        </w:tc>
        <w:tc>
          <w:tcPr>
            <w:tcW w:w="2179" w:type="dxa"/>
            <w:vAlign w:val="center"/>
          </w:tcPr>
          <w:p>
            <w:pPr>
              <w:spacing w:line="400" w:lineRule="exact"/>
              <w:jc w:val="center"/>
              <w:rPr>
                <w:sz w:val="24"/>
              </w:rPr>
            </w:pPr>
            <w:r>
              <w:rPr>
                <w:rFonts w:hint="eastAsia"/>
                <w:sz w:val="24"/>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776" w:type="dxa"/>
            <w:vAlign w:val="center"/>
          </w:tcPr>
          <w:p>
            <w:pPr>
              <w:widowControl/>
              <w:spacing w:line="400" w:lineRule="exact"/>
              <w:jc w:val="center"/>
              <w:rPr>
                <w:rFonts w:ascii="宋体" w:hAnsi="宋体"/>
                <w:kern w:val="0"/>
                <w:szCs w:val="21"/>
              </w:rPr>
            </w:pPr>
            <w:r>
              <w:rPr>
                <w:rFonts w:ascii="宋体" w:hAnsi="宋体"/>
                <w:kern w:val="0"/>
                <w:szCs w:val="21"/>
              </w:rPr>
              <w:t>5</w:t>
            </w:r>
          </w:p>
        </w:tc>
        <w:tc>
          <w:tcPr>
            <w:tcW w:w="5104"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立柱沉降监测</w:t>
            </w:r>
          </w:p>
        </w:tc>
        <w:tc>
          <w:tcPr>
            <w:tcW w:w="2179" w:type="dxa"/>
            <w:vAlign w:val="center"/>
          </w:tcPr>
          <w:p>
            <w:pPr>
              <w:spacing w:line="400" w:lineRule="exact"/>
              <w:jc w:val="center"/>
              <w:rPr>
                <w:sz w:val="24"/>
              </w:rPr>
            </w:pPr>
            <w:r>
              <w:rPr>
                <w:rFonts w:hint="eastAsia"/>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776" w:type="dxa"/>
            <w:vAlign w:val="center"/>
          </w:tcPr>
          <w:p>
            <w:pPr>
              <w:widowControl/>
              <w:spacing w:line="400" w:lineRule="exact"/>
              <w:jc w:val="center"/>
              <w:rPr>
                <w:rFonts w:ascii="宋体" w:hAnsi="宋体"/>
                <w:kern w:val="0"/>
                <w:szCs w:val="21"/>
              </w:rPr>
            </w:pPr>
            <w:r>
              <w:rPr>
                <w:rFonts w:ascii="宋体" w:hAnsi="宋体"/>
                <w:kern w:val="0"/>
                <w:szCs w:val="21"/>
              </w:rPr>
              <w:t>6</w:t>
            </w:r>
          </w:p>
        </w:tc>
        <w:tc>
          <w:tcPr>
            <w:tcW w:w="5104"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水位监测</w:t>
            </w:r>
          </w:p>
        </w:tc>
        <w:tc>
          <w:tcPr>
            <w:tcW w:w="2179" w:type="dxa"/>
            <w:vAlign w:val="center"/>
          </w:tcPr>
          <w:p>
            <w:pPr>
              <w:spacing w:line="400" w:lineRule="exact"/>
              <w:jc w:val="center"/>
              <w:rPr>
                <w:sz w:val="24"/>
              </w:rPr>
            </w:pPr>
            <w:r>
              <w:rPr>
                <w:rFonts w:hint="eastAsia"/>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776" w:type="dxa"/>
            <w:vAlign w:val="center"/>
          </w:tcPr>
          <w:p>
            <w:pPr>
              <w:widowControl/>
              <w:spacing w:line="400" w:lineRule="exact"/>
              <w:jc w:val="center"/>
              <w:rPr>
                <w:rFonts w:ascii="宋体" w:hAnsi="宋体"/>
                <w:kern w:val="0"/>
                <w:szCs w:val="21"/>
              </w:rPr>
            </w:pPr>
            <w:r>
              <w:rPr>
                <w:rFonts w:ascii="宋体" w:hAnsi="宋体"/>
                <w:kern w:val="0"/>
                <w:szCs w:val="21"/>
              </w:rPr>
              <w:t>7</w:t>
            </w:r>
          </w:p>
        </w:tc>
        <w:tc>
          <w:tcPr>
            <w:tcW w:w="5104"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地表沉降监测</w:t>
            </w:r>
          </w:p>
        </w:tc>
        <w:tc>
          <w:tcPr>
            <w:tcW w:w="2179" w:type="dxa"/>
            <w:vAlign w:val="center"/>
          </w:tcPr>
          <w:p>
            <w:pPr>
              <w:spacing w:line="400" w:lineRule="exact"/>
              <w:jc w:val="center"/>
              <w:rPr>
                <w:sz w:val="24"/>
              </w:rPr>
            </w:pPr>
            <w:r>
              <w:rPr>
                <w:rFonts w:hint="eastAsia"/>
                <w:sz w:val="24"/>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776" w:type="dxa"/>
            <w:vAlign w:val="center"/>
          </w:tcPr>
          <w:p>
            <w:pPr>
              <w:widowControl/>
              <w:spacing w:line="400" w:lineRule="exact"/>
              <w:jc w:val="center"/>
              <w:rPr>
                <w:rFonts w:ascii="宋体" w:hAnsi="宋体"/>
                <w:kern w:val="0"/>
                <w:szCs w:val="21"/>
              </w:rPr>
            </w:pPr>
            <w:r>
              <w:rPr>
                <w:rFonts w:hint="eastAsia" w:ascii="宋体" w:hAnsi="宋体"/>
                <w:kern w:val="0"/>
                <w:szCs w:val="21"/>
              </w:rPr>
              <w:t>8</w:t>
            </w:r>
          </w:p>
        </w:tc>
        <w:tc>
          <w:tcPr>
            <w:tcW w:w="5104"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建筑物监测</w:t>
            </w:r>
          </w:p>
        </w:tc>
        <w:tc>
          <w:tcPr>
            <w:tcW w:w="2179" w:type="dxa"/>
            <w:vAlign w:val="center"/>
          </w:tcPr>
          <w:p>
            <w:pPr>
              <w:spacing w:line="400" w:lineRule="exact"/>
              <w:jc w:val="center"/>
              <w:rPr>
                <w:sz w:val="24"/>
              </w:rPr>
            </w:pPr>
            <w:r>
              <w:rPr>
                <w:rFonts w:hint="eastAsia"/>
                <w:sz w:val="24"/>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776" w:type="dxa"/>
            <w:vAlign w:val="center"/>
          </w:tcPr>
          <w:p>
            <w:pPr>
              <w:widowControl/>
              <w:spacing w:line="400" w:lineRule="exact"/>
              <w:jc w:val="center"/>
              <w:rPr>
                <w:rFonts w:ascii="宋体" w:hAnsi="宋体"/>
                <w:kern w:val="0"/>
                <w:szCs w:val="21"/>
              </w:rPr>
            </w:pPr>
            <w:r>
              <w:rPr>
                <w:rFonts w:hint="eastAsia" w:ascii="宋体" w:hAnsi="宋体"/>
                <w:kern w:val="0"/>
                <w:szCs w:val="21"/>
              </w:rPr>
              <w:t>9</w:t>
            </w:r>
          </w:p>
        </w:tc>
        <w:tc>
          <w:tcPr>
            <w:tcW w:w="5104"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周边管线沉降</w:t>
            </w:r>
          </w:p>
        </w:tc>
        <w:tc>
          <w:tcPr>
            <w:tcW w:w="2179" w:type="dxa"/>
            <w:vAlign w:val="center"/>
          </w:tcPr>
          <w:p>
            <w:pPr>
              <w:spacing w:line="400" w:lineRule="exact"/>
              <w:jc w:val="center"/>
              <w:rPr>
                <w:sz w:val="24"/>
              </w:rPr>
            </w:pPr>
            <w:r>
              <w:rPr>
                <w:rFonts w:hint="eastAsia"/>
                <w:sz w:val="24"/>
              </w:rPr>
              <w:t>0</w:t>
            </w:r>
          </w:p>
        </w:tc>
      </w:tr>
    </w:tbl>
    <w:p>
      <w:pPr>
        <w:widowControl/>
        <w:spacing w:line="360" w:lineRule="auto"/>
        <w:jc w:val="left"/>
        <w:rPr>
          <w:szCs w:val="21"/>
        </w:rPr>
      </w:pPr>
      <w:r>
        <w:rPr>
          <w:rFonts w:hint="eastAsia" w:ascii="宋体" w:hAnsi="宋体" w:cs="宋体"/>
          <w:kern w:val="0"/>
          <w:szCs w:val="21"/>
        </w:rPr>
        <w:t xml:space="preserve">注：上表实际监测项目及数量如有变化的，则按相应中标分项报价按实增加或扣减。 </w:t>
      </w:r>
    </w:p>
    <w:p>
      <w:pPr>
        <w:widowControl/>
        <w:spacing w:line="360" w:lineRule="auto"/>
        <w:jc w:val="left"/>
        <w:rPr>
          <w:szCs w:val="21"/>
        </w:rPr>
      </w:pPr>
      <w:r>
        <w:rPr>
          <w:rFonts w:hint="eastAsia" w:ascii="宋体" w:hAnsi="宋体" w:cs="宋体"/>
          <w:kern w:val="0"/>
          <w:szCs w:val="21"/>
        </w:rPr>
        <w:t xml:space="preserve">二、双方的主要义务和责任 </w:t>
      </w:r>
    </w:p>
    <w:p>
      <w:pPr>
        <w:widowControl/>
        <w:spacing w:line="360" w:lineRule="auto"/>
        <w:jc w:val="left"/>
        <w:rPr>
          <w:szCs w:val="21"/>
        </w:rPr>
      </w:pPr>
      <w:r>
        <w:rPr>
          <w:rFonts w:hint="eastAsia" w:ascii="宋体" w:hAnsi="宋体" w:cs="宋体"/>
          <w:kern w:val="0"/>
          <w:szCs w:val="21"/>
        </w:rPr>
        <w:t>（一）甲方承担的主要义务和责任：</w:t>
      </w:r>
      <w:r>
        <w:rPr>
          <w:rFonts w:ascii="Arial" w:hAnsi="Arial" w:cs="Arial"/>
          <w:kern w:val="0"/>
          <w:szCs w:val="21"/>
        </w:rPr>
        <w:t>1</w:t>
      </w:r>
      <w:r>
        <w:rPr>
          <w:rFonts w:hint="eastAsia" w:ascii="宋体" w:hAnsi="宋体" w:cs="宋体"/>
          <w:kern w:val="0"/>
          <w:szCs w:val="21"/>
        </w:rPr>
        <w:t xml:space="preserve">、在规定时间内向乙方提供一份本工程基坑支护设计图和一份岩土工程勘察报告，并对其完整性、准确性和限时性负责。 </w:t>
      </w:r>
    </w:p>
    <w:p>
      <w:pPr>
        <w:widowControl/>
        <w:spacing w:line="360" w:lineRule="auto"/>
        <w:jc w:val="left"/>
        <w:rPr>
          <w:szCs w:val="21"/>
        </w:rPr>
      </w:pPr>
      <w:r>
        <w:rPr>
          <w:rFonts w:ascii="Arial" w:hAnsi="Arial" w:cs="Arial"/>
          <w:kern w:val="0"/>
          <w:szCs w:val="21"/>
        </w:rPr>
        <w:t>2</w:t>
      </w:r>
      <w:r>
        <w:rPr>
          <w:rFonts w:hint="eastAsia" w:ascii="宋体" w:hAnsi="宋体" w:cs="宋体"/>
          <w:kern w:val="0"/>
          <w:szCs w:val="21"/>
        </w:rPr>
        <w:t xml:space="preserve">、做好协调工作，保证监测工作顺利进行。 </w:t>
      </w:r>
    </w:p>
    <w:p>
      <w:pPr>
        <w:widowControl/>
        <w:spacing w:line="360" w:lineRule="auto"/>
        <w:jc w:val="left"/>
        <w:rPr>
          <w:szCs w:val="21"/>
        </w:rPr>
      </w:pPr>
      <w:r>
        <w:rPr>
          <w:rFonts w:ascii="Arial" w:hAnsi="Arial" w:cs="Arial"/>
          <w:kern w:val="0"/>
          <w:szCs w:val="21"/>
        </w:rPr>
        <w:t>3</w:t>
      </w:r>
      <w:r>
        <w:rPr>
          <w:rFonts w:hint="eastAsia" w:ascii="宋体" w:hAnsi="宋体" w:cs="宋体"/>
          <w:kern w:val="0"/>
          <w:szCs w:val="21"/>
        </w:rPr>
        <w:t xml:space="preserve">、协助乙方现场工作人员做好必要的生产、生活条件；配合乙方落实测斜管及水平位移等观察点埋设所需的水电。 </w:t>
      </w:r>
    </w:p>
    <w:p>
      <w:pPr>
        <w:widowControl/>
        <w:spacing w:line="360" w:lineRule="auto"/>
        <w:jc w:val="left"/>
        <w:rPr>
          <w:szCs w:val="21"/>
        </w:rPr>
      </w:pPr>
      <w:r>
        <w:rPr>
          <w:rFonts w:ascii="Arial" w:hAnsi="Arial" w:cs="Arial"/>
          <w:kern w:val="0"/>
          <w:szCs w:val="21"/>
        </w:rPr>
        <w:t>4</w:t>
      </w:r>
      <w:r>
        <w:rPr>
          <w:rFonts w:hint="eastAsia" w:ascii="宋体" w:hAnsi="宋体" w:cs="宋体"/>
          <w:kern w:val="0"/>
          <w:szCs w:val="21"/>
        </w:rPr>
        <w:t xml:space="preserve">、向乙方提供工作现场地下已有埋藏物（电力、电讯、电缆及各种管道）的资料及其具体位置分布图。 </w:t>
      </w:r>
    </w:p>
    <w:p>
      <w:pPr>
        <w:widowControl/>
        <w:spacing w:line="360" w:lineRule="auto"/>
        <w:jc w:val="left"/>
        <w:rPr>
          <w:szCs w:val="21"/>
        </w:rPr>
      </w:pPr>
      <w:r>
        <w:rPr>
          <w:rFonts w:ascii="Arial" w:hAnsi="Arial" w:cs="Arial"/>
          <w:kern w:val="0"/>
          <w:szCs w:val="21"/>
        </w:rPr>
        <w:t>5</w:t>
      </w:r>
      <w:r>
        <w:rPr>
          <w:rFonts w:hint="eastAsia" w:ascii="宋体" w:hAnsi="宋体" w:cs="宋体"/>
          <w:kern w:val="0"/>
          <w:szCs w:val="21"/>
        </w:rPr>
        <w:t xml:space="preserve">、负责提供基坑开挖施工进度、线路安排计划，协助乙方制定具体监测日程安排。 </w:t>
      </w:r>
    </w:p>
    <w:p>
      <w:pPr>
        <w:widowControl/>
        <w:spacing w:line="360" w:lineRule="auto"/>
        <w:jc w:val="left"/>
        <w:rPr>
          <w:szCs w:val="21"/>
        </w:rPr>
      </w:pPr>
      <w:r>
        <w:rPr>
          <w:rFonts w:ascii="Arial" w:hAnsi="Arial" w:cs="Arial"/>
          <w:kern w:val="0"/>
          <w:szCs w:val="21"/>
        </w:rPr>
        <w:t>6</w:t>
      </w:r>
      <w:r>
        <w:rPr>
          <w:rFonts w:hint="eastAsia" w:ascii="宋体" w:hAnsi="宋体" w:cs="宋体"/>
          <w:kern w:val="0"/>
          <w:szCs w:val="21"/>
        </w:rPr>
        <w:t xml:space="preserve">、监测期间若发生计划变更，或其他特殊情况，及时通知乙方。 </w:t>
      </w:r>
    </w:p>
    <w:p>
      <w:pPr>
        <w:widowControl/>
        <w:spacing w:line="360" w:lineRule="auto"/>
        <w:jc w:val="left"/>
        <w:rPr>
          <w:szCs w:val="21"/>
        </w:rPr>
      </w:pPr>
      <w:r>
        <w:rPr>
          <w:rFonts w:ascii="Arial" w:hAnsi="Arial" w:cs="Arial"/>
          <w:kern w:val="0"/>
          <w:szCs w:val="21"/>
        </w:rPr>
        <w:t>7</w:t>
      </w:r>
      <w:r>
        <w:rPr>
          <w:rFonts w:hint="eastAsia" w:ascii="宋体" w:hAnsi="宋体" w:cs="宋体"/>
          <w:kern w:val="0"/>
          <w:szCs w:val="21"/>
        </w:rPr>
        <w:t>、协助做好观测点保护措施，避免在监测期间因施工原因造成观测点破坏而影响监测工作。</w:t>
      </w:r>
    </w:p>
    <w:p>
      <w:pPr>
        <w:widowControl/>
        <w:spacing w:line="360" w:lineRule="auto"/>
        <w:jc w:val="left"/>
        <w:rPr>
          <w:szCs w:val="21"/>
        </w:rPr>
      </w:pPr>
      <w:r>
        <w:rPr>
          <w:rFonts w:ascii="Arial" w:hAnsi="Arial" w:cs="Arial"/>
          <w:kern w:val="0"/>
          <w:szCs w:val="21"/>
        </w:rPr>
        <w:t>8</w:t>
      </w:r>
      <w:r>
        <w:rPr>
          <w:rFonts w:hint="eastAsia" w:ascii="宋体" w:hAnsi="宋体" w:cs="宋体"/>
          <w:kern w:val="0"/>
          <w:szCs w:val="21"/>
        </w:rPr>
        <w:t xml:space="preserve">、按合同约定的期限和方式支付合同价款。 </w:t>
      </w:r>
    </w:p>
    <w:p>
      <w:pPr>
        <w:widowControl/>
        <w:spacing w:line="360" w:lineRule="auto"/>
        <w:jc w:val="left"/>
        <w:rPr>
          <w:szCs w:val="21"/>
        </w:rPr>
      </w:pPr>
      <w:r>
        <w:rPr>
          <w:rFonts w:hint="eastAsia" w:ascii="宋体" w:hAnsi="宋体" w:cs="宋体"/>
          <w:kern w:val="0"/>
          <w:szCs w:val="21"/>
        </w:rPr>
        <w:t xml:space="preserve">（二）乙方承担的主要义务和责任 </w:t>
      </w:r>
    </w:p>
    <w:p>
      <w:pPr>
        <w:widowControl/>
        <w:spacing w:line="360" w:lineRule="auto"/>
        <w:jc w:val="left"/>
        <w:rPr>
          <w:szCs w:val="21"/>
        </w:rPr>
      </w:pPr>
      <w:r>
        <w:rPr>
          <w:rFonts w:ascii="Arial" w:hAnsi="Arial" w:cs="Arial"/>
          <w:kern w:val="0"/>
          <w:szCs w:val="21"/>
        </w:rPr>
        <w:t>1</w:t>
      </w:r>
      <w:r>
        <w:rPr>
          <w:rFonts w:hint="eastAsia" w:ascii="宋体" w:hAnsi="宋体" w:cs="宋体"/>
          <w:kern w:val="0"/>
          <w:szCs w:val="21"/>
        </w:rPr>
        <w:t xml:space="preserve">、向甲方提交监测成果资料、报告文件，包括各阶段监测成果资料一份，内容要求详细、真实，交付日期为随时，二份监测完工报告，内容要求符合规范，交付日期为监测结束 </w:t>
      </w:r>
    </w:p>
    <w:p>
      <w:pPr>
        <w:widowControl/>
        <w:spacing w:line="360" w:lineRule="auto"/>
        <w:jc w:val="left"/>
        <w:rPr>
          <w:szCs w:val="21"/>
        </w:rPr>
      </w:pPr>
      <w:r>
        <w:rPr>
          <w:rFonts w:hint="eastAsia" w:ascii="宋体" w:hAnsi="宋体" w:cs="宋体"/>
          <w:kern w:val="0"/>
          <w:szCs w:val="21"/>
        </w:rPr>
        <w:t>后</w:t>
      </w:r>
      <w:r>
        <w:rPr>
          <w:rFonts w:ascii="Arial" w:hAnsi="Arial" w:cs="Arial"/>
          <w:kern w:val="0"/>
          <w:szCs w:val="21"/>
        </w:rPr>
        <w:t>10</w:t>
      </w:r>
      <w:r>
        <w:rPr>
          <w:rFonts w:hint="eastAsia" w:ascii="宋体" w:hAnsi="宋体" w:cs="宋体"/>
          <w:kern w:val="0"/>
          <w:szCs w:val="21"/>
        </w:rPr>
        <w:t xml:space="preserve">天内，并对其质量负责。 </w:t>
      </w:r>
    </w:p>
    <w:p>
      <w:pPr>
        <w:widowControl/>
        <w:spacing w:line="360" w:lineRule="auto"/>
        <w:jc w:val="left"/>
        <w:rPr>
          <w:szCs w:val="21"/>
        </w:rPr>
      </w:pPr>
      <w:r>
        <w:rPr>
          <w:rFonts w:ascii="Arial" w:hAnsi="Arial" w:cs="Arial"/>
          <w:kern w:val="0"/>
          <w:szCs w:val="21"/>
        </w:rPr>
        <w:t>2</w:t>
      </w:r>
      <w:r>
        <w:rPr>
          <w:rFonts w:hint="eastAsia" w:ascii="宋体" w:hAnsi="宋体" w:cs="宋体"/>
          <w:kern w:val="0"/>
          <w:szCs w:val="21"/>
        </w:rPr>
        <w:t xml:space="preserve">、乙方对其提供的报告、成果、文件出现的遗漏或错误负责修改补充，由于乙方的遗漏、错误造成工程质量事故，乙方负责采取补救措施，同时减收或免收直接受损部分的岩土工程量，根据受损失程度向甲方支付赔偿金，并承担相应的法律责任。 </w:t>
      </w:r>
    </w:p>
    <w:p>
      <w:pPr>
        <w:widowControl/>
        <w:spacing w:line="360" w:lineRule="auto"/>
        <w:jc w:val="left"/>
        <w:rPr>
          <w:szCs w:val="21"/>
        </w:rPr>
      </w:pPr>
      <w:r>
        <w:rPr>
          <w:rFonts w:ascii="Arial" w:hAnsi="Arial" w:cs="Arial"/>
          <w:kern w:val="0"/>
          <w:szCs w:val="21"/>
        </w:rPr>
        <w:t>3</w:t>
      </w:r>
      <w:r>
        <w:rPr>
          <w:rFonts w:hint="eastAsia" w:ascii="宋体" w:hAnsi="宋体" w:cs="宋体"/>
          <w:kern w:val="0"/>
          <w:szCs w:val="21"/>
        </w:rPr>
        <w:t xml:space="preserve">、不得向第三人扩散，转让甲方提供的技术资料、文件，若发生上述情况，乙方应负法律责任，甲方有权索赔。 </w:t>
      </w:r>
    </w:p>
    <w:p>
      <w:pPr>
        <w:widowControl/>
        <w:spacing w:line="360" w:lineRule="auto"/>
        <w:jc w:val="left"/>
        <w:rPr>
          <w:szCs w:val="21"/>
        </w:rPr>
      </w:pPr>
      <w:r>
        <w:rPr>
          <w:rFonts w:ascii="Arial" w:hAnsi="Arial" w:cs="Arial"/>
          <w:kern w:val="0"/>
          <w:szCs w:val="21"/>
        </w:rPr>
        <w:t>4</w:t>
      </w:r>
      <w:r>
        <w:rPr>
          <w:rFonts w:hint="eastAsia" w:ascii="宋体" w:hAnsi="宋体" w:cs="宋体"/>
          <w:kern w:val="0"/>
          <w:szCs w:val="21"/>
        </w:rPr>
        <w:t xml:space="preserve">、负责所有观测点的平面布置。 </w:t>
      </w:r>
    </w:p>
    <w:p>
      <w:pPr>
        <w:widowControl/>
        <w:spacing w:line="360" w:lineRule="auto"/>
        <w:jc w:val="left"/>
        <w:rPr>
          <w:szCs w:val="21"/>
        </w:rPr>
      </w:pPr>
      <w:r>
        <w:rPr>
          <w:rFonts w:ascii="Arial" w:hAnsi="Arial" w:cs="Arial"/>
          <w:kern w:val="0"/>
          <w:szCs w:val="21"/>
        </w:rPr>
        <w:t>5</w:t>
      </w:r>
      <w:r>
        <w:rPr>
          <w:rFonts w:hint="eastAsia" w:ascii="宋体" w:hAnsi="宋体" w:cs="宋体"/>
          <w:kern w:val="0"/>
          <w:szCs w:val="21"/>
        </w:rPr>
        <w:t xml:space="preserve">、负责落实监测所需的材料、设备和仪器。 </w:t>
      </w:r>
    </w:p>
    <w:p>
      <w:pPr>
        <w:widowControl/>
        <w:spacing w:line="360" w:lineRule="auto"/>
        <w:jc w:val="left"/>
        <w:rPr>
          <w:szCs w:val="21"/>
        </w:rPr>
      </w:pPr>
      <w:r>
        <w:rPr>
          <w:rFonts w:ascii="Arial" w:hAnsi="Arial" w:cs="Arial"/>
          <w:kern w:val="0"/>
          <w:szCs w:val="21"/>
        </w:rPr>
        <w:t>6</w:t>
      </w:r>
      <w:r>
        <w:rPr>
          <w:rFonts w:hint="eastAsia" w:ascii="宋体" w:hAnsi="宋体" w:cs="宋体"/>
          <w:kern w:val="0"/>
          <w:szCs w:val="21"/>
        </w:rPr>
        <w:t xml:space="preserve">、负责测斜管和水平位移等所有观测点（孔）埋设及相应保护措施。 </w:t>
      </w:r>
    </w:p>
    <w:p>
      <w:pPr>
        <w:widowControl/>
        <w:spacing w:line="360" w:lineRule="auto"/>
        <w:jc w:val="left"/>
        <w:rPr>
          <w:szCs w:val="21"/>
        </w:rPr>
      </w:pPr>
      <w:r>
        <w:rPr>
          <w:rFonts w:ascii="Arial" w:hAnsi="Arial" w:cs="Arial"/>
          <w:kern w:val="0"/>
          <w:szCs w:val="21"/>
        </w:rPr>
        <w:t>7</w:t>
      </w:r>
      <w:r>
        <w:rPr>
          <w:rFonts w:hint="eastAsia" w:ascii="宋体" w:hAnsi="宋体" w:cs="宋体"/>
          <w:kern w:val="0"/>
          <w:szCs w:val="21"/>
        </w:rPr>
        <w:t xml:space="preserve">、根据所定的监测计划进行现场监测，发现各监测对象的变化接近或超过警戒值时或其他异常现象，要及时通知甲方及有关部门，若发生不及时告知情形，乙方应对此负相应责任，包括法律责任。 </w:t>
      </w:r>
    </w:p>
    <w:p>
      <w:pPr>
        <w:widowControl/>
        <w:spacing w:line="360" w:lineRule="auto"/>
        <w:jc w:val="left"/>
        <w:rPr>
          <w:szCs w:val="21"/>
        </w:rPr>
      </w:pPr>
      <w:r>
        <w:rPr>
          <w:rFonts w:ascii="Arial" w:hAnsi="Arial" w:cs="Arial"/>
          <w:kern w:val="0"/>
          <w:szCs w:val="21"/>
        </w:rPr>
        <w:t>8</w:t>
      </w:r>
      <w:r>
        <w:rPr>
          <w:rFonts w:hint="eastAsia" w:ascii="宋体" w:hAnsi="宋体" w:cs="宋体"/>
          <w:kern w:val="0"/>
          <w:szCs w:val="21"/>
        </w:rPr>
        <w:t xml:space="preserve">、在监测点（孔）埋设及监测过程中，应按规范要求操作，注意人身安全，如发生工伤事故，由乙方自行负责。 </w:t>
      </w:r>
    </w:p>
    <w:p>
      <w:pPr>
        <w:widowControl/>
        <w:spacing w:line="360" w:lineRule="auto"/>
        <w:jc w:val="left"/>
        <w:rPr>
          <w:rFonts w:ascii="宋体" w:hAnsi="宋体" w:cs="宋体"/>
          <w:kern w:val="0"/>
          <w:szCs w:val="21"/>
        </w:rPr>
      </w:pPr>
      <w:r>
        <w:rPr>
          <w:rFonts w:hint="eastAsia" w:ascii="宋体" w:hAnsi="宋体" w:cs="宋体"/>
          <w:kern w:val="0"/>
          <w:szCs w:val="21"/>
        </w:rPr>
        <w:t xml:space="preserve">9、要求乙方申报基坑监测方案报监理及设计审核，经甲方书面批准后方可执行。 </w:t>
      </w:r>
    </w:p>
    <w:p>
      <w:pPr>
        <w:widowControl/>
        <w:spacing w:line="360" w:lineRule="auto"/>
        <w:jc w:val="left"/>
        <w:rPr>
          <w:rFonts w:ascii="宋体" w:hAnsi="宋体" w:cs="宋体"/>
          <w:kern w:val="0"/>
          <w:szCs w:val="21"/>
        </w:rPr>
      </w:pPr>
      <w:r>
        <w:rPr>
          <w:rFonts w:hint="eastAsia" w:ascii="宋体" w:hAnsi="宋体" w:cs="宋体"/>
          <w:kern w:val="0"/>
          <w:szCs w:val="21"/>
        </w:rPr>
        <w:t>10、实施时监测方案要求适用，不宜超标准计费，否则发包人按监测最低标准支付费用，最终结算价不得超过控制价。</w:t>
      </w:r>
    </w:p>
    <w:p>
      <w:pPr>
        <w:widowControl/>
        <w:spacing w:line="360" w:lineRule="auto"/>
        <w:jc w:val="left"/>
        <w:rPr>
          <w:szCs w:val="21"/>
        </w:rPr>
      </w:pPr>
      <w:r>
        <w:rPr>
          <w:rFonts w:hint="eastAsia" w:ascii="宋体" w:hAnsi="宋体" w:cs="宋体"/>
          <w:kern w:val="0"/>
          <w:szCs w:val="21"/>
        </w:rPr>
        <w:t xml:space="preserve">三、合同文件 </w:t>
      </w:r>
    </w:p>
    <w:p>
      <w:pPr>
        <w:widowControl/>
        <w:spacing w:line="360" w:lineRule="auto"/>
        <w:jc w:val="left"/>
        <w:rPr>
          <w:szCs w:val="21"/>
        </w:rPr>
      </w:pPr>
      <w:r>
        <w:rPr>
          <w:rFonts w:hint="eastAsia" w:ascii="宋体" w:hAnsi="宋体" w:cs="宋体"/>
          <w:kern w:val="0"/>
          <w:szCs w:val="21"/>
        </w:rPr>
        <w:t>合同文件组成及解释顺序：（</w:t>
      </w:r>
      <w:r>
        <w:rPr>
          <w:rFonts w:ascii="Arial" w:hAnsi="Arial" w:cs="Arial"/>
          <w:kern w:val="0"/>
          <w:szCs w:val="21"/>
        </w:rPr>
        <w:t>1</w:t>
      </w:r>
      <w:r>
        <w:rPr>
          <w:rFonts w:hint="eastAsia" w:ascii="宋体" w:hAnsi="宋体" w:cs="宋体"/>
          <w:kern w:val="0"/>
          <w:szCs w:val="21"/>
        </w:rPr>
        <w:t xml:space="preserve">）本合同书（包括补充协议、有关工程的洽商、变更等书 </w:t>
      </w:r>
    </w:p>
    <w:p>
      <w:pPr>
        <w:widowControl/>
        <w:spacing w:line="360" w:lineRule="auto"/>
        <w:jc w:val="left"/>
        <w:rPr>
          <w:szCs w:val="21"/>
        </w:rPr>
      </w:pPr>
      <w:r>
        <w:rPr>
          <w:rFonts w:hint="eastAsia" w:ascii="宋体" w:hAnsi="宋体" w:cs="宋体"/>
          <w:kern w:val="0"/>
          <w:szCs w:val="21"/>
        </w:rPr>
        <w:t>面协议或文件）；（</w:t>
      </w:r>
      <w:r>
        <w:rPr>
          <w:rFonts w:ascii="Arial" w:hAnsi="Arial" w:cs="Arial"/>
          <w:kern w:val="0"/>
          <w:szCs w:val="21"/>
        </w:rPr>
        <w:t>2</w:t>
      </w:r>
      <w:r>
        <w:rPr>
          <w:rFonts w:hint="eastAsia" w:ascii="宋体" w:hAnsi="宋体" w:cs="宋体"/>
          <w:kern w:val="0"/>
          <w:szCs w:val="21"/>
        </w:rPr>
        <w:t>）中标通知书；（</w:t>
      </w:r>
      <w:r>
        <w:rPr>
          <w:rFonts w:ascii="Arial" w:hAnsi="Arial" w:cs="Arial"/>
          <w:kern w:val="0"/>
          <w:szCs w:val="21"/>
        </w:rPr>
        <w:t>3</w:t>
      </w:r>
      <w:r>
        <w:rPr>
          <w:rFonts w:hint="eastAsia" w:ascii="宋体" w:hAnsi="宋体" w:cs="宋体"/>
          <w:kern w:val="0"/>
          <w:szCs w:val="21"/>
        </w:rPr>
        <w:t>）招标文件、附件及招标补充说明；（</w:t>
      </w:r>
      <w:r>
        <w:rPr>
          <w:rFonts w:ascii="Arial" w:hAnsi="Arial" w:cs="Arial"/>
          <w:kern w:val="0"/>
          <w:szCs w:val="21"/>
        </w:rPr>
        <w:t>4</w:t>
      </w:r>
      <w:r>
        <w:rPr>
          <w:rFonts w:hint="eastAsia" w:ascii="宋体" w:hAnsi="宋体" w:cs="宋体"/>
          <w:kern w:val="0"/>
          <w:szCs w:val="21"/>
        </w:rPr>
        <w:t xml:space="preserve">）投标文件及 </w:t>
      </w:r>
    </w:p>
    <w:p>
      <w:pPr>
        <w:widowControl/>
        <w:spacing w:line="360" w:lineRule="auto"/>
        <w:jc w:val="left"/>
        <w:rPr>
          <w:szCs w:val="21"/>
        </w:rPr>
      </w:pPr>
      <w:r>
        <w:rPr>
          <w:rFonts w:hint="eastAsia" w:ascii="宋体" w:hAnsi="宋体" w:cs="宋体"/>
          <w:kern w:val="0"/>
          <w:szCs w:val="21"/>
        </w:rPr>
        <w:t>其附件；（</w:t>
      </w:r>
      <w:r>
        <w:rPr>
          <w:rFonts w:ascii="Arial" w:hAnsi="Arial" w:cs="Arial"/>
          <w:kern w:val="0"/>
          <w:szCs w:val="21"/>
        </w:rPr>
        <w:t>5</w:t>
      </w:r>
      <w:r>
        <w:rPr>
          <w:rFonts w:hint="eastAsia" w:ascii="宋体" w:hAnsi="宋体" w:cs="宋体"/>
          <w:kern w:val="0"/>
          <w:szCs w:val="21"/>
        </w:rPr>
        <w:t>）标准、规范及有关技术文件；（</w:t>
      </w:r>
      <w:r>
        <w:rPr>
          <w:rFonts w:ascii="Arial" w:hAnsi="Arial" w:cs="Arial"/>
          <w:kern w:val="0"/>
          <w:szCs w:val="21"/>
        </w:rPr>
        <w:t>6</w:t>
      </w:r>
      <w:r>
        <w:rPr>
          <w:rFonts w:hint="eastAsia" w:ascii="宋体" w:hAnsi="宋体" w:cs="宋体"/>
          <w:kern w:val="0"/>
          <w:szCs w:val="21"/>
        </w:rPr>
        <w:t>）工程报价单或预算书；（</w:t>
      </w:r>
      <w:r>
        <w:rPr>
          <w:rFonts w:ascii="Arial" w:hAnsi="Arial" w:cs="Arial"/>
          <w:kern w:val="0"/>
          <w:szCs w:val="21"/>
        </w:rPr>
        <w:t>7</w:t>
      </w:r>
      <w:r>
        <w:rPr>
          <w:rFonts w:hint="eastAsia" w:ascii="宋体" w:hAnsi="宋体" w:cs="宋体"/>
          <w:kern w:val="0"/>
          <w:szCs w:val="21"/>
        </w:rPr>
        <w:t xml:space="preserve">）施工图纸。 </w:t>
      </w:r>
    </w:p>
    <w:p>
      <w:pPr>
        <w:widowControl/>
        <w:spacing w:line="360" w:lineRule="auto"/>
        <w:jc w:val="left"/>
        <w:rPr>
          <w:szCs w:val="21"/>
        </w:rPr>
      </w:pPr>
      <w:r>
        <w:rPr>
          <w:rFonts w:hint="eastAsia" w:ascii="宋体" w:hAnsi="宋体" w:cs="宋体"/>
          <w:kern w:val="0"/>
          <w:szCs w:val="21"/>
        </w:rPr>
        <w:t xml:space="preserve">四、合同履行的计划 </w:t>
      </w:r>
    </w:p>
    <w:p>
      <w:pPr>
        <w:widowControl/>
        <w:spacing w:line="360" w:lineRule="auto"/>
        <w:jc w:val="left"/>
        <w:rPr>
          <w:szCs w:val="21"/>
        </w:rPr>
      </w:pPr>
      <w:r>
        <w:rPr>
          <w:rFonts w:ascii="Arial" w:hAnsi="Arial" w:cs="Arial"/>
          <w:kern w:val="0"/>
          <w:szCs w:val="21"/>
        </w:rPr>
        <w:t>1</w:t>
      </w:r>
      <w:r>
        <w:rPr>
          <w:rFonts w:hint="eastAsia" w:ascii="宋体" w:hAnsi="宋体" w:cs="宋体"/>
          <w:kern w:val="0"/>
          <w:szCs w:val="21"/>
        </w:rPr>
        <w:t xml:space="preserve">、成果要求：按时完成并提交监测成果报告，监测质量符合设计文件及相关规范、标 </w:t>
      </w:r>
    </w:p>
    <w:p>
      <w:pPr>
        <w:widowControl/>
        <w:spacing w:line="360" w:lineRule="auto"/>
        <w:jc w:val="left"/>
        <w:rPr>
          <w:szCs w:val="21"/>
        </w:rPr>
      </w:pPr>
      <w:r>
        <w:rPr>
          <w:rFonts w:hint="eastAsia" w:ascii="宋体" w:hAnsi="宋体" w:cs="宋体"/>
          <w:kern w:val="0"/>
          <w:szCs w:val="21"/>
        </w:rPr>
        <w:t xml:space="preserve">准的要求，达到合格。 </w:t>
      </w:r>
    </w:p>
    <w:p>
      <w:pPr>
        <w:widowControl/>
        <w:spacing w:line="360" w:lineRule="auto"/>
        <w:jc w:val="left"/>
        <w:rPr>
          <w:szCs w:val="21"/>
        </w:rPr>
      </w:pPr>
      <w:r>
        <w:rPr>
          <w:rFonts w:ascii="Arial" w:hAnsi="Arial" w:cs="Arial"/>
          <w:kern w:val="0"/>
          <w:szCs w:val="21"/>
        </w:rPr>
        <w:t>2</w:t>
      </w:r>
      <w:r>
        <w:rPr>
          <w:rFonts w:hint="eastAsia" w:ascii="宋体" w:hAnsi="宋体" w:cs="宋体"/>
          <w:kern w:val="0"/>
          <w:szCs w:val="21"/>
        </w:rPr>
        <w:t xml:space="preserve">、质量要求：满足相关规范要求，甲方如要求分批提交监测报告的，必须满足甲方的 </w:t>
      </w:r>
    </w:p>
    <w:p>
      <w:pPr>
        <w:widowControl/>
        <w:spacing w:line="360" w:lineRule="auto"/>
        <w:jc w:val="left"/>
        <w:rPr>
          <w:szCs w:val="21"/>
        </w:rPr>
      </w:pPr>
      <w:r>
        <w:rPr>
          <w:rFonts w:hint="eastAsia" w:ascii="宋体" w:hAnsi="宋体" w:cs="宋体"/>
          <w:kern w:val="0"/>
          <w:szCs w:val="21"/>
        </w:rPr>
        <w:t>时间。</w:t>
      </w:r>
    </w:p>
    <w:p>
      <w:pPr>
        <w:widowControl/>
        <w:spacing w:line="360" w:lineRule="auto"/>
        <w:jc w:val="left"/>
        <w:rPr>
          <w:szCs w:val="21"/>
        </w:rPr>
      </w:pPr>
      <w:r>
        <w:rPr>
          <w:rFonts w:ascii="Arial" w:hAnsi="Arial" w:cs="Arial"/>
          <w:kern w:val="0"/>
          <w:szCs w:val="21"/>
        </w:rPr>
        <w:t>3</w:t>
      </w:r>
      <w:r>
        <w:rPr>
          <w:rFonts w:hint="eastAsia" w:ascii="宋体" w:hAnsi="宋体" w:cs="宋体"/>
          <w:kern w:val="0"/>
          <w:szCs w:val="21"/>
        </w:rPr>
        <w:t xml:space="preserve">、安全要求：无安全事故。 </w:t>
      </w:r>
    </w:p>
    <w:p>
      <w:pPr>
        <w:widowControl/>
        <w:spacing w:line="360" w:lineRule="auto"/>
        <w:jc w:val="left"/>
        <w:rPr>
          <w:szCs w:val="21"/>
        </w:rPr>
      </w:pPr>
      <w:r>
        <w:rPr>
          <w:rFonts w:ascii="Arial" w:hAnsi="Arial" w:cs="Arial"/>
          <w:kern w:val="0"/>
          <w:szCs w:val="21"/>
        </w:rPr>
        <w:t>4</w:t>
      </w:r>
      <w:r>
        <w:rPr>
          <w:rFonts w:hint="eastAsia" w:ascii="宋体" w:hAnsi="宋体" w:cs="宋体"/>
          <w:kern w:val="0"/>
          <w:szCs w:val="21"/>
        </w:rPr>
        <w:t>、项目须监测时提前</w:t>
      </w:r>
      <w:r>
        <w:rPr>
          <w:rFonts w:ascii="Arial" w:hAnsi="Arial" w:cs="Arial"/>
          <w:kern w:val="0"/>
          <w:szCs w:val="21"/>
        </w:rPr>
        <w:t>2</w:t>
      </w:r>
      <w:r>
        <w:rPr>
          <w:rFonts w:hint="eastAsia" w:ascii="宋体" w:hAnsi="宋体" w:cs="宋体"/>
          <w:kern w:val="0"/>
          <w:szCs w:val="21"/>
        </w:rPr>
        <w:t xml:space="preserve">天通知乙方，进行监测准备； </w:t>
      </w:r>
    </w:p>
    <w:p>
      <w:pPr>
        <w:widowControl/>
        <w:spacing w:line="360" w:lineRule="auto"/>
        <w:jc w:val="left"/>
        <w:rPr>
          <w:szCs w:val="21"/>
        </w:rPr>
      </w:pPr>
      <w:r>
        <w:rPr>
          <w:rFonts w:ascii="Arial" w:hAnsi="Arial" w:cs="Arial"/>
          <w:kern w:val="0"/>
          <w:szCs w:val="21"/>
        </w:rPr>
        <w:t>5</w:t>
      </w:r>
      <w:r>
        <w:rPr>
          <w:rFonts w:hint="eastAsia" w:ascii="宋体" w:hAnsi="宋体" w:cs="宋体"/>
          <w:kern w:val="0"/>
          <w:szCs w:val="21"/>
        </w:rPr>
        <w:t xml:space="preserve">、乙方应遵守工程建设安全生产管理规定，严格按安全标准组织监测。因乙方的原因 </w:t>
      </w:r>
    </w:p>
    <w:p>
      <w:pPr>
        <w:widowControl/>
        <w:spacing w:line="360" w:lineRule="auto"/>
        <w:jc w:val="left"/>
        <w:rPr>
          <w:szCs w:val="21"/>
        </w:rPr>
      </w:pPr>
      <w:r>
        <w:rPr>
          <w:rFonts w:hint="eastAsia" w:ascii="宋体" w:hAnsi="宋体" w:cs="宋体"/>
          <w:kern w:val="0"/>
          <w:szCs w:val="21"/>
        </w:rPr>
        <w:t xml:space="preserve">造成安全事故的一切责任和因此发生的费用由乙方承担，与甲方无涉。 </w:t>
      </w:r>
    </w:p>
    <w:p>
      <w:pPr>
        <w:widowControl/>
        <w:spacing w:line="360" w:lineRule="auto"/>
        <w:jc w:val="left"/>
        <w:rPr>
          <w:szCs w:val="21"/>
        </w:rPr>
      </w:pPr>
      <w:r>
        <w:rPr>
          <w:rFonts w:hint="eastAsia" w:ascii="宋体" w:hAnsi="宋体" w:cs="宋体"/>
          <w:b/>
          <w:kern w:val="0"/>
          <w:szCs w:val="21"/>
        </w:rPr>
        <w:t xml:space="preserve">三、合同金额 </w:t>
      </w:r>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4268"/>
        <w:gridCol w:w="1822"/>
        <w:gridCol w:w="1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4916" w:type="dxa"/>
            <w:gridSpan w:val="2"/>
            <w:vAlign w:val="center"/>
          </w:tcPr>
          <w:p>
            <w:pPr>
              <w:widowControl/>
              <w:spacing w:line="360" w:lineRule="auto"/>
              <w:jc w:val="left"/>
              <w:rPr>
                <w:rFonts w:ascii="宋体" w:hAnsi="宋体" w:cs="宋体"/>
                <w:kern w:val="0"/>
                <w:szCs w:val="21"/>
              </w:rPr>
            </w:pPr>
            <w:r>
              <w:rPr>
                <w:rFonts w:hint="eastAsia" w:ascii="宋体" w:hAnsi="宋体" w:cs="宋体"/>
                <w:kern w:val="0"/>
                <w:szCs w:val="21"/>
              </w:rPr>
              <w:t xml:space="preserve"> 监测内容</w:t>
            </w:r>
          </w:p>
        </w:tc>
        <w:tc>
          <w:tcPr>
            <w:tcW w:w="1822"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工程量（个）</w:t>
            </w:r>
          </w:p>
        </w:tc>
        <w:tc>
          <w:tcPr>
            <w:tcW w:w="1821" w:type="dxa"/>
            <w:vAlign w:val="center"/>
          </w:tcPr>
          <w:p>
            <w:pPr>
              <w:spacing w:line="400" w:lineRule="exact"/>
              <w:jc w:val="center"/>
              <w:rPr>
                <w:rFonts w:ascii="宋体" w:hAnsi="宋体" w:cs="宋体"/>
                <w:sz w:val="24"/>
              </w:rPr>
            </w:pPr>
            <w:r>
              <w:rPr>
                <w:rFonts w:hint="eastAsia"/>
              </w:rPr>
              <w:t>中标价（元）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48" w:type="dxa"/>
            <w:vAlign w:val="center"/>
          </w:tcPr>
          <w:p>
            <w:pPr>
              <w:widowControl/>
              <w:spacing w:line="400" w:lineRule="exact"/>
              <w:jc w:val="center"/>
              <w:rPr>
                <w:rFonts w:ascii="宋体" w:hAnsi="宋体"/>
                <w:kern w:val="0"/>
                <w:szCs w:val="21"/>
              </w:rPr>
            </w:pPr>
            <w:r>
              <w:rPr>
                <w:rFonts w:ascii="宋体" w:hAnsi="宋体"/>
                <w:kern w:val="0"/>
                <w:szCs w:val="21"/>
              </w:rPr>
              <w:t>1</w:t>
            </w:r>
          </w:p>
        </w:tc>
        <w:tc>
          <w:tcPr>
            <w:tcW w:w="4268"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深层土体位移观测</w:t>
            </w:r>
          </w:p>
        </w:tc>
        <w:tc>
          <w:tcPr>
            <w:tcW w:w="1822" w:type="dxa"/>
            <w:vAlign w:val="center"/>
          </w:tcPr>
          <w:p>
            <w:pPr>
              <w:spacing w:line="400" w:lineRule="exact"/>
              <w:jc w:val="center"/>
              <w:rPr>
                <w:sz w:val="24"/>
              </w:rPr>
            </w:pPr>
            <w:r>
              <w:rPr>
                <w:rFonts w:hint="eastAsia"/>
                <w:sz w:val="24"/>
              </w:rPr>
              <w:t>25</w:t>
            </w:r>
          </w:p>
        </w:tc>
        <w:tc>
          <w:tcPr>
            <w:tcW w:w="1821" w:type="dxa"/>
            <w:vAlign w:val="center"/>
          </w:tcPr>
          <w:p>
            <w:pPr>
              <w:widowControl/>
              <w:jc w:val="center"/>
              <w:textAlignment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48" w:type="dxa"/>
            <w:vAlign w:val="center"/>
          </w:tcPr>
          <w:p>
            <w:pPr>
              <w:widowControl/>
              <w:spacing w:line="400" w:lineRule="exact"/>
              <w:jc w:val="center"/>
              <w:rPr>
                <w:rFonts w:ascii="宋体" w:hAnsi="宋体"/>
                <w:kern w:val="0"/>
                <w:szCs w:val="21"/>
              </w:rPr>
            </w:pPr>
            <w:r>
              <w:rPr>
                <w:rFonts w:ascii="宋体" w:hAnsi="宋体"/>
                <w:kern w:val="0"/>
                <w:szCs w:val="21"/>
              </w:rPr>
              <w:t>2</w:t>
            </w:r>
          </w:p>
        </w:tc>
        <w:tc>
          <w:tcPr>
            <w:tcW w:w="4268"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围护结构水平位移监测</w:t>
            </w:r>
          </w:p>
        </w:tc>
        <w:tc>
          <w:tcPr>
            <w:tcW w:w="1822" w:type="dxa"/>
            <w:vAlign w:val="center"/>
          </w:tcPr>
          <w:p>
            <w:pPr>
              <w:spacing w:line="400" w:lineRule="exact"/>
              <w:jc w:val="center"/>
              <w:rPr>
                <w:sz w:val="24"/>
              </w:rPr>
            </w:pPr>
            <w:r>
              <w:rPr>
                <w:rFonts w:hint="eastAsia"/>
                <w:sz w:val="24"/>
              </w:rPr>
              <w:t>46</w:t>
            </w:r>
          </w:p>
        </w:tc>
        <w:tc>
          <w:tcPr>
            <w:tcW w:w="1821" w:type="dxa"/>
            <w:vAlign w:val="center"/>
          </w:tcPr>
          <w:p>
            <w:pPr>
              <w:widowControl/>
              <w:jc w:val="center"/>
              <w:textAlignment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48" w:type="dxa"/>
            <w:vAlign w:val="center"/>
          </w:tcPr>
          <w:p>
            <w:pPr>
              <w:widowControl/>
              <w:spacing w:line="400" w:lineRule="exact"/>
              <w:jc w:val="center"/>
              <w:rPr>
                <w:rFonts w:ascii="宋体" w:hAnsi="宋体"/>
                <w:kern w:val="0"/>
                <w:szCs w:val="21"/>
              </w:rPr>
            </w:pPr>
            <w:r>
              <w:rPr>
                <w:rFonts w:ascii="宋体" w:hAnsi="宋体"/>
                <w:kern w:val="0"/>
                <w:szCs w:val="21"/>
              </w:rPr>
              <w:t>3</w:t>
            </w:r>
          </w:p>
        </w:tc>
        <w:tc>
          <w:tcPr>
            <w:tcW w:w="4268"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围护结构沉降监测</w:t>
            </w:r>
          </w:p>
        </w:tc>
        <w:tc>
          <w:tcPr>
            <w:tcW w:w="1822" w:type="dxa"/>
            <w:vAlign w:val="center"/>
          </w:tcPr>
          <w:p>
            <w:pPr>
              <w:spacing w:line="400" w:lineRule="exact"/>
              <w:jc w:val="center"/>
              <w:rPr>
                <w:sz w:val="24"/>
              </w:rPr>
            </w:pPr>
            <w:r>
              <w:rPr>
                <w:rFonts w:hint="eastAsia"/>
                <w:sz w:val="24"/>
              </w:rPr>
              <w:t>46</w:t>
            </w:r>
          </w:p>
        </w:tc>
        <w:tc>
          <w:tcPr>
            <w:tcW w:w="1821" w:type="dxa"/>
            <w:vAlign w:val="center"/>
          </w:tcPr>
          <w:p>
            <w:pPr>
              <w:widowControl/>
              <w:jc w:val="center"/>
              <w:textAlignment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48" w:type="dxa"/>
            <w:vAlign w:val="center"/>
          </w:tcPr>
          <w:p>
            <w:pPr>
              <w:widowControl/>
              <w:spacing w:line="400" w:lineRule="exact"/>
              <w:jc w:val="center"/>
              <w:rPr>
                <w:rFonts w:ascii="宋体" w:hAnsi="宋体"/>
                <w:kern w:val="0"/>
                <w:szCs w:val="21"/>
              </w:rPr>
            </w:pPr>
            <w:r>
              <w:rPr>
                <w:rFonts w:ascii="宋体" w:hAnsi="宋体"/>
                <w:kern w:val="0"/>
                <w:szCs w:val="21"/>
              </w:rPr>
              <w:t>4</w:t>
            </w:r>
          </w:p>
        </w:tc>
        <w:tc>
          <w:tcPr>
            <w:tcW w:w="4268"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支撑轴力监测</w:t>
            </w:r>
          </w:p>
        </w:tc>
        <w:tc>
          <w:tcPr>
            <w:tcW w:w="1822" w:type="dxa"/>
            <w:vAlign w:val="center"/>
          </w:tcPr>
          <w:p>
            <w:pPr>
              <w:spacing w:line="400" w:lineRule="exact"/>
              <w:jc w:val="center"/>
              <w:rPr>
                <w:sz w:val="24"/>
              </w:rPr>
            </w:pPr>
            <w:r>
              <w:rPr>
                <w:rFonts w:hint="eastAsia"/>
                <w:sz w:val="24"/>
              </w:rPr>
              <w:t>44</w:t>
            </w:r>
          </w:p>
        </w:tc>
        <w:tc>
          <w:tcPr>
            <w:tcW w:w="1821" w:type="dxa"/>
            <w:vAlign w:val="center"/>
          </w:tcPr>
          <w:p>
            <w:pPr>
              <w:widowControl/>
              <w:jc w:val="center"/>
              <w:textAlignment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48" w:type="dxa"/>
            <w:vAlign w:val="center"/>
          </w:tcPr>
          <w:p>
            <w:pPr>
              <w:widowControl/>
              <w:spacing w:line="400" w:lineRule="exact"/>
              <w:jc w:val="center"/>
              <w:rPr>
                <w:rFonts w:ascii="宋体" w:hAnsi="宋体"/>
                <w:kern w:val="0"/>
                <w:szCs w:val="21"/>
              </w:rPr>
            </w:pPr>
            <w:r>
              <w:rPr>
                <w:rFonts w:ascii="宋体" w:hAnsi="宋体"/>
                <w:kern w:val="0"/>
                <w:szCs w:val="21"/>
              </w:rPr>
              <w:t>5</w:t>
            </w:r>
          </w:p>
        </w:tc>
        <w:tc>
          <w:tcPr>
            <w:tcW w:w="4268"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立柱沉降监测</w:t>
            </w:r>
          </w:p>
        </w:tc>
        <w:tc>
          <w:tcPr>
            <w:tcW w:w="1822" w:type="dxa"/>
            <w:vAlign w:val="center"/>
          </w:tcPr>
          <w:p>
            <w:pPr>
              <w:spacing w:line="400" w:lineRule="exact"/>
              <w:jc w:val="center"/>
              <w:rPr>
                <w:sz w:val="24"/>
              </w:rPr>
            </w:pPr>
            <w:r>
              <w:rPr>
                <w:rFonts w:hint="eastAsia"/>
                <w:sz w:val="24"/>
              </w:rPr>
              <w:t>4</w:t>
            </w:r>
          </w:p>
        </w:tc>
        <w:tc>
          <w:tcPr>
            <w:tcW w:w="1821" w:type="dxa"/>
            <w:vAlign w:val="center"/>
          </w:tcPr>
          <w:p>
            <w:pPr>
              <w:widowControl/>
              <w:jc w:val="center"/>
              <w:textAlignment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48" w:type="dxa"/>
            <w:vAlign w:val="center"/>
          </w:tcPr>
          <w:p>
            <w:pPr>
              <w:widowControl/>
              <w:spacing w:line="400" w:lineRule="exact"/>
              <w:jc w:val="center"/>
              <w:rPr>
                <w:rFonts w:ascii="宋体" w:hAnsi="宋体"/>
                <w:kern w:val="0"/>
                <w:szCs w:val="21"/>
              </w:rPr>
            </w:pPr>
            <w:r>
              <w:rPr>
                <w:rFonts w:ascii="宋体" w:hAnsi="宋体"/>
                <w:kern w:val="0"/>
                <w:szCs w:val="21"/>
              </w:rPr>
              <w:t>6</w:t>
            </w:r>
          </w:p>
        </w:tc>
        <w:tc>
          <w:tcPr>
            <w:tcW w:w="4268"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水位监测</w:t>
            </w:r>
          </w:p>
        </w:tc>
        <w:tc>
          <w:tcPr>
            <w:tcW w:w="1822" w:type="dxa"/>
            <w:vAlign w:val="center"/>
          </w:tcPr>
          <w:p>
            <w:pPr>
              <w:spacing w:line="400" w:lineRule="exact"/>
              <w:jc w:val="center"/>
              <w:rPr>
                <w:sz w:val="24"/>
              </w:rPr>
            </w:pPr>
            <w:r>
              <w:rPr>
                <w:rFonts w:hint="eastAsia"/>
                <w:sz w:val="24"/>
              </w:rPr>
              <w:t>8</w:t>
            </w:r>
          </w:p>
        </w:tc>
        <w:tc>
          <w:tcPr>
            <w:tcW w:w="1821" w:type="dxa"/>
            <w:vAlign w:val="center"/>
          </w:tcPr>
          <w:p>
            <w:pPr>
              <w:widowControl/>
              <w:jc w:val="center"/>
              <w:textAlignment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48" w:type="dxa"/>
            <w:vAlign w:val="center"/>
          </w:tcPr>
          <w:p>
            <w:pPr>
              <w:widowControl/>
              <w:spacing w:line="400" w:lineRule="exact"/>
              <w:jc w:val="center"/>
              <w:rPr>
                <w:rFonts w:ascii="宋体" w:hAnsi="宋体"/>
                <w:kern w:val="0"/>
                <w:szCs w:val="21"/>
              </w:rPr>
            </w:pPr>
            <w:r>
              <w:rPr>
                <w:rFonts w:ascii="宋体" w:hAnsi="宋体"/>
                <w:kern w:val="0"/>
                <w:szCs w:val="21"/>
              </w:rPr>
              <w:t>7</w:t>
            </w:r>
          </w:p>
        </w:tc>
        <w:tc>
          <w:tcPr>
            <w:tcW w:w="4268"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地表沉降监测</w:t>
            </w:r>
          </w:p>
        </w:tc>
        <w:tc>
          <w:tcPr>
            <w:tcW w:w="1822" w:type="dxa"/>
            <w:vAlign w:val="center"/>
          </w:tcPr>
          <w:p>
            <w:pPr>
              <w:spacing w:line="400" w:lineRule="exact"/>
              <w:jc w:val="center"/>
              <w:rPr>
                <w:sz w:val="24"/>
              </w:rPr>
            </w:pPr>
            <w:r>
              <w:rPr>
                <w:rFonts w:hint="eastAsia"/>
                <w:sz w:val="24"/>
              </w:rPr>
              <w:t>41</w:t>
            </w:r>
          </w:p>
        </w:tc>
        <w:tc>
          <w:tcPr>
            <w:tcW w:w="1821" w:type="dxa"/>
            <w:vAlign w:val="center"/>
          </w:tcPr>
          <w:p>
            <w:pPr>
              <w:widowControl/>
              <w:jc w:val="center"/>
              <w:textAlignment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48" w:type="dxa"/>
            <w:vAlign w:val="center"/>
          </w:tcPr>
          <w:p>
            <w:pPr>
              <w:widowControl/>
              <w:spacing w:line="400" w:lineRule="exact"/>
              <w:jc w:val="center"/>
              <w:rPr>
                <w:rFonts w:ascii="宋体" w:hAnsi="宋体"/>
                <w:kern w:val="0"/>
                <w:szCs w:val="21"/>
              </w:rPr>
            </w:pPr>
            <w:r>
              <w:rPr>
                <w:rFonts w:hint="eastAsia" w:ascii="宋体" w:hAnsi="宋体"/>
                <w:kern w:val="0"/>
                <w:szCs w:val="21"/>
              </w:rPr>
              <w:t>8</w:t>
            </w:r>
          </w:p>
        </w:tc>
        <w:tc>
          <w:tcPr>
            <w:tcW w:w="4268"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建筑物监测</w:t>
            </w:r>
          </w:p>
        </w:tc>
        <w:tc>
          <w:tcPr>
            <w:tcW w:w="1822" w:type="dxa"/>
            <w:vAlign w:val="center"/>
          </w:tcPr>
          <w:p>
            <w:pPr>
              <w:spacing w:line="400" w:lineRule="exact"/>
              <w:jc w:val="center"/>
              <w:rPr>
                <w:sz w:val="24"/>
              </w:rPr>
            </w:pPr>
            <w:r>
              <w:rPr>
                <w:rFonts w:hint="eastAsia"/>
                <w:sz w:val="24"/>
              </w:rPr>
              <w:t>96</w:t>
            </w:r>
          </w:p>
        </w:tc>
        <w:tc>
          <w:tcPr>
            <w:tcW w:w="1821" w:type="dxa"/>
            <w:vAlign w:val="center"/>
          </w:tcPr>
          <w:p>
            <w:pPr>
              <w:widowControl/>
              <w:jc w:val="center"/>
              <w:textAlignment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48" w:type="dxa"/>
            <w:vAlign w:val="center"/>
          </w:tcPr>
          <w:p>
            <w:pPr>
              <w:widowControl/>
              <w:spacing w:line="400" w:lineRule="exact"/>
              <w:jc w:val="center"/>
              <w:rPr>
                <w:rFonts w:ascii="宋体" w:hAnsi="宋体"/>
                <w:kern w:val="0"/>
                <w:szCs w:val="21"/>
              </w:rPr>
            </w:pPr>
            <w:r>
              <w:rPr>
                <w:rFonts w:hint="eastAsia" w:ascii="宋体" w:hAnsi="宋体"/>
                <w:kern w:val="0"/>
                <w:szCs w:val="21"/>
              </w:rPr>
              <w:t>9</w:t>
            </w:r>
          </w:p>
        </w:tc>
        <w:tc>
          <w:tcPr>
            <w:tcW w:w="4268"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周边管线沉降</w:t>
            </w:r>
          </w:p>
        </w:tc>
        <w:tc>
          <w:tcPr>
            <w:tcW w:w="1822" w:type="dxa"/>
            <w:vAlign w:val="center"/>
          </w:tcPr>
          <w:p>
            <w:pPr>
              <w:spacing w:line="400" w:lineRule="exact"/>
              <w:jc w:val="center"/>
              <w:rPr>
                <w:sz w:val="24"/>
              </w:rPr>
            </w:pPr>
            <w:r>
              <w:rPr>
                <w:rFonts w:hint="eastAsia"/>
                <w:sz w:val="24"/>
              </w:rPr>
              <w:t>0</w:t>
            </w:r>
          </w:p>
        </w:tc>
        <w:tc>
          <w:tcPr>
            <w:tcW w:w="1821" w:type="dxa"/>
            <w:vAlign w:val="center"/>
          </w:tcPr>
          <w:p>
            <w:pPr>
              <w:widowControl/>
              <w:jc w:val="center"/>
              <w:textAlignment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4916" w:type="dxa"/>
            <w:gridSpan w:val="2"/>
            <w:vAlign w:val="center"/>
          </w:tcPr>
          <w:p>
            <w:pPr>
              <w:widowControl/>
              <w:spacing w:line="400" w:lineRule="exact"/>
              <w:jc w:val="center"/>
              <w:rPr>
                <w:rFonts w:ascii="宋体" w:hAnsi="宋体" w:cs="宋体"/>
                <w:kern w:val="0"/>
                <w:szCs w:val="21"/>
              </w:rPr>
            </w:pPr>
            <w:r>
              <w:rPr>
                <w:rFonts w:hint="eastAsia" w:ascii="宋体" w:hAnsi="宋体" w:cs="宋体"/>
                <w:kern w:val="0"/>
                <w:szCs w:val="21"/>
              </w:rPr>
              <w:t>中标总价</w:t>
            </w:r>
          </w:p>
        </w:tc>
        <w:tc>
          <w:tcPr>
            <w:tcW w:w="3643" w:type="dxa"/>
            <w:gridSpan w:val="2"/>
            <w:vAlign w:val="center"/>
          </w:tcPr>
          <w:p>
            <w:pPr>
              <w:widowControl/>
              <w:jc w:val="center"/>
              <w:textAlignment w:val="center"/>
              <w:rPr>
                <w:rFonts w:ascii="宋体" w:hAnsi="宋体" w:cs="宋体"/>
                <w:sz w:val="24"/>
              </w:rPr>
            </w:pPr>
            <w:r>
              <w:rPr>
                <w:rFonts w:hint="eastAsia" w:ascii="宋体" w:hAnsi="宋体" w:cs="宋体"/>
                <w:kern w:val="0"/>
                <w:sz w:val="24"/>
              </w:rPr>
              <w:t xml:space="preserve"> </w:t>
            </w:r>
          </w:p>
        </w:tc>
      </w:tr>
    </w:tbl>
    <w:p>
      <w:pPr>
        <w:widowControl/>
        <w:spacing w:line="360" w:lineRule="auto"/>
        <w:jc w:val="left"/>
        <w:rPr>
          <w:szCs w:val="21"/>
        </w:rPr>
      </w:pPr>
      <w:r>
        <w:rPr>
          <w:rFonts w:hint="eastAsia" w:ascii="宋体" w:hAnsi="宋体" w:cs="宋体"/>
          <w:kern w:val="0"/>
          <w:szCs w:val="21"/>
        </w:rPr>
        <w:t>注：</w:t>
      </w:r>
      <w:r>
        <w:rPr>
          <w:rFonts w:ascii="Arial" w:hAnsi="Arial" w:cs="Arial"/>
          <w:kern w:val="0"/>
          <w:szCs w:val="21"/>
        </w:rPr>
        <w:t>1</w:t>
      </w:r>
      <w:r>
        <w:rPr>
          <w:rFonts w:hint="eastAsia" w:ascii="宋体" w:hAnsi="宋体" w:cs="宋体"/>
          <w:kern w:val="0"/>
          <w:szCs w:val="21"/>
        </w:rPr>
        <w:t xml:space="preserve">、以上单价为综合单价，包括但不限于监测点（固定、标识、保护等）、预埋、监测设备及配重进退场费、配重场内倒运费、机械及仪器设备费、监测费、技术工作费、报告文本费、人工、材料费、水电费、规费及税金、政策性文件规定及合同包含的所有风险、责任等各项应有的费用。 </w:t>
      </w:r>
    </w:p>
    <w:p>
      <w:pPr>
        <w:widowControl/>
        <w:spacing w:line="360" w:lineRule="auto"/>
        <w:jc w:val="left"/>
        <w:rPr>
          <w:szCs w:val="21"/>
        </w:rPr>
      </w:pPr>
      <w:r>
        <w:rPr>
          <w:rFonts w:ascii="Arial" w:hAnsi="Arial" w:cs="Arial"/>
          <w:kern w:val="0"/>
          <w:szCs w:val="21"/>
        </w:rPr>
        <w:t>2</w:t>
      </w:r>
      <w:r>
        <w:rPr>
          <w:rFonts w:hint="eastAsia" w:ascii="宋体" w:hAnsi="宋体" w:cs="宋体"/>
          <w:kern w:val="0"/>
          <w:szCs w:val="21"/>
        </w:rPr>
        <w:t xml:space="preserve">、因不可预见新情况，经专家论证须对原监测方案作调整，其增减的监测费依据本合同综合单价作相应的调整。 </w:t>
      </w:r>
    </w:p>
    <w:p>
      <w:pPr>
        <w:widowControl/>
        <w:spacing w:line="360" w:lineRule="auto"/>
        <w:jc w:val="left"/>
        <w:rPr>
          <w:szCs w:val="21"/>
        </w:rPr>
      </w:pPr>
      <w:r>
        <w:rPr>
          <w:rFonts w:ascii="Arial" w:hAnsi="Arial" w:cs="Arial"/>
          <w:kern w:val="0"/>
          <w:szCs w:val="21"/>
        </w:rPr>
        <w:t>3</w:t>
      </w:r>
      <w:r>
        <w:rPr>
          <w:rFonts w:hint="eastAsia" w:ascii="宋体" w:hAnsi="宋体" w:cs="宋体"/>
          <w:kern w:val="0"/>
          <w:szCs w:val="21"/>
        </w:rPr>
        <w:t xml:space="preserve">、因乙方原因擅自变更监测方案所发生的费用及由此导致甲方损失的，由乙方负全责，包括费用承担。 </w:t>
      </w:r>
    </w:p>
    <w:p>
      <w:pPr>
        <w:widowControl/>
        <w:spacing w:line="360" w:lineRule="auto"/>
        <w:jc w:val="left"/>
        <w:rPr>
          <w:szCs w:val="21"/>
        </w:rPr>
      </w:pPr>
      <w:r>
        <w:rPr>
          <w:rFonts w:ascii="Arial" w:hAnsi="Arial" w:cs="Arial"/>
          <w:kern w:val="0"/>
          <w:szCs w:val="21"/>
        </w:rPr>
        <w:t>4</w:t>
      </w:r>
      <w:r>
        <w:rPr>
          <w:rFonts w:hint="eastAsia" w:ascii="宋体" w:hAnsi="宋体" w:cs="宋体"/>
          <w:kern w:val="0"/>
          <w:szCs w:val="21"/>
        </w:rPr>
        <w:t xml:space="preserve">、本项目的水电及相关费用由乙方自行解决和承担。 </w:t>
      </w:r>
    </w:p>
    <w:p>
      <w:pPr>
        <w:widowControl/>
        <w:spacing w:line="360" w:lineRule="auto"/>
        <w:jc w:val="left"/>
        <w:rPr>
          <w:szCs w:val="21"/>
        </w:rPr>
      </w:pPr>
      <w:r>
        <w:rPr>
          <w:rFonts w:hint="eastAsia" w:ascii="宋体" w:hAnsi="宋体" w:cs="宋体"/>
          <w:kern w:val="0"/>
          <w:szCs w:val="21"/>
        </w:rPr>
        <w:t xml:space="preserve">六、支付方式结算方式及履约保证金 </w:t>
      </w:r>
    </w:p>
    <w:p>
      <w:pPr>
        <w:widowControl/>
        <w:spacing w:line="360" w:lineRule="auto"/>
        <w:jc w:val="left"/>
        <w:rPr>
          <w:szCs w:val="21"/>
        </w:rPr>
      </w:pPr>
      <w:r>
        <w:rPr>
          <w:rFonts w:ascii="Arial" w:hAnsi="Arial" w:cs="Arial"/>
          <w:kern w:val="0"/>
          <w:szCs w:val="21"/>
        </w:rPr>
        <w:t>1</w:t>
      </w:r>
      <w:r>
        <w:rPr>
          <w:rFonts w:hint="eastAsia" w:ascii="宋体" w:hAnsi="宋体" w:cs="宋体"/>
          <w:kern w:val="0"/>
          <w:szCs w:val="21"/>
        </w:rPr>
        <w:t xml:space="preserve">、支付方式： </w:t>
      </w:r>
    </w:p>
    <w:p>
      <w:pPr>
        <w:widowControl/>
        <w:spacing w:line="360" w:lineRule="auto"/>
        <w:jc w:val="left"/>
        <w:rPr>
          <w:szCs w:val="21"/>
        </w:rPr>
      </w:pPr>
      <w:r>
        <w:rPr>
          <w:rFonts w:ascii="Arial" w:hAnsi="Arial" w:cs="Arial"/>
          <w:kern w:val="0"/>
          <w:szCs w:val="21"/>
        </w:rPr>
        <w:t>(1)</w:t>
      </w:r>
      <w:r>
        <w:rPr>
          <w:rFonts w:hint="eastAsia" w:ascii="宋体" w:hAnsi="宋体" w:cs="宋体"/>
          <w:kern w:val="0"/>
          <w:szCs w:val="21"/>
        </w:rPr>
        <w:t>本项目不支付预付款及进度款。（</w:t>
      </w:r>
      <w:r>
        <w:rPr>
          <w:rFonts w:ascii="Arial" w:hAnsi="Arial" w:cs="Arial"/>
          <w:kern w:val="0"/>
          <w:szCs w:val="21"/>
        </w:rPr>
        <w:t>2</w:t>
      </w:r>
      <w:r>
        <w:rPr>
          <w:rFonts w:hint="eastAsia" w:ascii="宋体" w:hAnsi="宋体" w:cs="宋体"/>
          <w:kern w:val="0"/>
          <w:szCs w:val="21"/>
        </w:rPr>
        <w:t xml:space="preserve">）所有基坑监测完成并提供《基坑监测报告》满足甲方要求，经验收合格通过后一次性支付。 </w:t>
      </w:r>
    </w:p>
    <w:p>
      <w:pPr>
        <w:widowControl/>
        <w:spacing w:line="360" w:lineRule="auto"/>
        <w:jc w:val="left"/>
        <w:rPr>
          <w:szCs w:val="21"/>
        </w:rPr>
      </w:pPr>
      <w:r>
        <w:rPr>
          <w:rFonts w:ascii="Arial" w:hAnsi="Arial" w:cs="Arial"/>
          <w:kern w:val="0"/>
          <w:szCs w:val="21"/>
        </w:rPr>
        <w:t>2</w:t>
      </w:r>
      <w:r>
        <w:rPr>
          <w:rFonts w:hint="eastAsia" w:ascii="宋体" w:hAnsi="宋体" w:cs="宋体"/>
          <w:kern w:val="0"/>
          <w:szCs w:val="21"/>
        </w:rPr>
        <w:t xml:space="preserve">、合同价款形式：固定综合单价、可调总价。 </w:t>
      </w:r>
    </w:p>
    <w:p>
      <w:pPr>
        <w:widowControl/>
        <w:spacing w:line="360" w:lineRule="auto"/>
        <w:jc w:val="left"/>
        <w:rPr>
          <w:szCs w:val="21"/>
        </w:rPr>
      </w:pPr>
      <w:r>
        <w:rPr>
          <w:rFonts w:ascii="Arial" w:hAnsi="Arial" w:cs="Arial"/>
          <w:kern w:val="0"/>
          <w:szCs w:val="21"/>
        </w:rPr>
        <w:t>3</w:t>
      </w:r>
      <w:r>
        <w:rPr>
          <w:rFonts w:hint="eastAsia" w:ascii="宋体" w:hAnsi="宋体" w:cs="宋体"/>
          <w:kern w:val="0"/>
          <w:szCs w:val="21"/>
        </w:rPr>
        <w:t xml:space="preserve">、结算办法： </w:t>
      </w:r>
    </w:p>
    <w:p>
      <w:pPr>
        <w:widowControl/>
        <w:spacing w:line="360" w:lineRule="auto"/>
        <w:jc w:val="left"/>
        <w:rPr>
          <w:szCs w:val="21"/>
        </w:rPr>
      </w:pPr>
      <w:r>
        <w:rPr>
          <w:rFonts w:ascii="Arial" w:hAnsi="Arial" w:cs="Arial"/>
          <w:kern w:val="0"/>
          <w:szCs w:val="21"/>
        </w:rPr>
        <w:t>(1)</w:t>
      </w:r>
      <w:r>
        <w:rPr>
          <w:rFonts w:hint="eastAsia" w:ascii="宋体" w:hAnsi="宋体" w:cs="宋体"/>
          <w:kern w:val="0"/>
          <w:szCs w:val="21"/>
        </w:rPr>
        <w:t xml:space="preserve">监测综合单价包干，监测数量按实结算。 </w:t>
      </w:r>
    </w:p>
    <w:p>
      <w:pPr>
        <w:widowControl/>
        <w:spacing w:line="360" w:lineRule="auto"/>
        <w:jc w:val="left"/>
        <w:rPr>
          <w:szCs w:val="21"/>
        </w:rPr>
      </w:pPr>
      <w:r>
        <w:rPr>
          <w:rFonts w:ascii="Arial" w:hAnsi="Arial" w:cs="Arial"/>
          <w:kern w:val="0"/>
          <w:szCs w:val="21"/>
        </w:rPr>
        <w:t>(2)</w:t>
      </w:r>
      <w:r>
        <w:rPr>
          <w:rFonts w:hint="eastAsia" w:ascii="宋体" w:hAnsi="宋体" w:cs="宋体"/>
          <w:kern w:val="0"/>
          <w:szCs w:val="21"/>
        </w:rPr>
        <w:t xml:space="preserve">若因桩身质量问题导致监测终止，其损失费用由责任方承担。 </w:t>
      </w:r>
    </w:p>
    <w:p>
      <w:pPr>
        <w:widowControl/>
        <w:spacing w:line="360" w:lineRule="auto"/>
        <w:jc w:val="left"/>
        <w:rPr>
          <w:rFonts w:ascii="宋体" w:hAnsi="宋体" w:cs="宋体"/>
          <w:kern w:val="0"/>
          <w:szCs w:val="21"/>
        </w:rPr>
      </w:pPr>
      <w:r>
        <w:rPr>
          <w:rFonts w:hint="eastAsia" w:ascii="宋体" w:hAnsi="宋体" w:cs="宋体"/>
          <w:kern w:val="0"/>
          <w:szCs w:val="21"/>
        </w:rPr>
        <w:t>（</w:t>
      </w:r>
      <w:r>
        <w:rPr>
          <w:rFonts w:ascii="Arial" w:hAnsi="Arial" w:cs="Arial"/>
          <w:kern w:val="0"/>
          <w:szCs w:val="21"/>
        </w:rPr>
        <w:t>3</w:t>
      </w:r>
      <w:r>
        <w:rPr>
          <w:rFonts w:hint="eastAsia" w:ascii="宋体" w:hAnsi="宋体" w:cs="宋体"/>
          <w:kern w:val="0"/>
          <w:szCs w:val="21"/>
        </w:rPr>
        <w:t xml:space="preserve">）本工程最终结算价以审计出具的审计结论为准，多退少补。 </w:t>
      </w:r>
    </w:p>
    <w:p>
      <w:pPr>
        <w:pStyle w:val="2"/>
      </w:pPr>
      <w:r>
        <w:rPr>
          <w:rFonts w:hint="eastAsia" w:ascii="宋体" w:hAnsi="宋体" w:cs="宋体"/>
          <w:kern w:val="0"/>
          <w:sz w:val="21"/>
          <w:szCs w:val="21"/>
        </w:rPr>
        <w:t>（4）最终结算价不得超过控制价。</w:t>
      </w:r>
    </w:p>
    <w:p>
      <w:pPr>
        <w:widowControl/>
        <w:spacing w:line="360" w:lineRule="auto"/>
        <w:jc w:val="left"/>
        <w:rPr>
          <w:szCs w:val="21"/>
        </w:rPr>
      </w:pPr>
      <w:r>
        <w:rPr>
          <w:rFonts w:ascii="Arial" w:hAnsi="Arial" w:cs="Arial"/>
          <w:kern w:val="0"/>
          <w:szCs w:val="21"/>
        </w:rPr>
        <w:t>4</w:t>
      </w:r>
      <w:r>
        <w:rPr>
          <w:rFonts w:hint="eastAsia" w:ascii="宋体" w:hAnsi="宋体" w:cs="宋体"/>
          <w:kern w:val="0"/>
          <w:szCs w:val="21"/>
        </w:rPr>
        <w:t xml:space="preserve">、履约保证金的收取及退还： </w:t>
      </w:r>
    </w:p>
    <w:p>
      <w:pPr>
        <w:widowControl/>
        <w:spacing w:line="360" w:lineRule="auto"/>
        <w:jc w:val="left"/>
        <w:rPr>
          <w:szCs w:val="21"/>
        </w:rPr>
      </w:pPr>
      <w:r>
        <w:rPr>
          <w:rFonts w:hint="eastAsia" w:ascii="宋体" w:hAnsi="宋体" w:cs="宋体"/>
          <w:kern w:val="0"/>
          <w:szCs w:val="21"/>
        </w:rPr>
        <w:t>金额：合同金额的</w:t>
      </w:r>
      <w:r>
        <w:rPr>
          <w:rFonts w:hint="eastAsia" w:ascii="Arial" w:hAnsi="Arial" w:cs="Arial"/>
          <w:kern w:val="0"/>
          <w:szCs w:val="21"/>
        </w:rPr>
        <w:t>5</w:t>
      </w:r>
      <w:r>
        <w:rPr>
          <w:rFonts w:ascii="Arial" w:hAnsi="Arial" w:cs="Arial"/>
          <w:kern w:val="0"/>
          <w:szCs w:val="21"/>
        </w:rPr>
        <w:t>%</w:t>
      </w:r>
      <w:r>
        <w:rPr>
          <w:rFonts w:hint="eastAsia" w:ascii="宋体" w:hAnsi="宋体" w:cs="宋体"/>
          <w:kern w:val="0"/>
          <w:szCs w:val="21"/>
        </w:rPr>
        <w:t xml:space="preserve">。 </w:t>
      </w:r>
    </w:p>
    <w:p>
      <w:pPr>
        <w:widowControl/>
        <w:spacing w:line="360" w:lineRule="auto"/>
        <w:jc w:val="left"/>
        <w:rPr>
          <w:szCs w:val="21"/>
        </w:rPr>
      </w:pPr>
      <w:r>
        <w:rPr>
          <w:rFonts w:hint="eastAsia" w:ascii="宋体" w:hAnsi="宋体" w:cs="宋体"/>
          <w:kern w:val="0"/>
          <w:szCs w:val="21"/>
        </w:rPr>
        <w:t xml:space="preserve">提交时间：中标通知书发出后，签订本项目合同后提交给甲方。 </w:t>
      </w:r>
    </w:p>
    <w:p>
      <w:pPr>
        <w:widowControl/>
        <w:spacing w:line="360" w:lineRule="auto"/>
        <w:jc w:val="left"/>
        <w:rPr>
          <w:szCs w:val="21"/>
        </w:rPr>
      </w:pPr>
      <w:r>
        <w:rPr>
          <w:rFonts w:hint="eastAsia" w:ascii="宋体" w:hAnsi="宋体" w:cs="宋体"/>
          <w:kern w:val="0"/>
          <w:szCs w:val="21"/>
        </w:rPr>
        <w:t>退还：监测报告待验收合格通过后</w:t>
      </w:r>
      <w:r>
        <w:rPr>
          <w:rFonts w:ascii="Arial" w:hAnsi="Arial" w:cs="Arial"/>
          <w:kern w:val="0"/>
          <w:szCs w:val="21"/>
        </w:rPr>
        <w:t>15</w:t>
      </w:r>
      <w:r>
        <w:rPr>
          <w:rFonts w:hint="eastAsia" w:ascii="宋体" w:hAnsi="宋体" w:cs="宋体"/>
          <w:kern w:val="0"/>
          <w:szCs w:val="21"/>
        </w:rPr>
        <w:t xml:space="preserve">日内无息退还。 </w:t>
      </w:r>
    </w:p>
    <w:p>
      <w:pPr>
        <w:widowControl/>
        <w:spacing w:line="360" w:lineRule="auto"/>
        <w:jc w:val="left"/>
        <w:rPr>
          <w:szCs w:val="21"/>
        </w:rPr>
      </w:pPr>
      <w:r>
        <w:rPr>
          <w:rFonts w:hint="eastAsia" w:ascii="宋体" w:hAnsi="宋体" w:cs="宋体"/>
          <w:kern w:val="0"/>
          <w:szCs w:val="21"/>
        </w:rPr>
        <w:t xml:space="preserve">七、验收标准和方式（按服务内容选择） </w:t>
      </w:r>
    </w:p>
    <w:p>
      <w:pPr>
        <w:widowControl/>
        <w:spacing w:line="360" w:lineRule="auto"/>
        <w:jc w:val="left"/>
        <w:rPr>
          <w:szCs w:val="21"/>
        </w:rPr>
      </w:pPr>
      <w:r>
        <w:rPr>
          <w:rFonts w:ascii="Arial" w:hAnsi="Arial" w:cs="Arial"/>
          <w:kern w:val="0"/>
          <w:szCs w:val="21"/>
        </w:rPr>
        <w:t>1</w:t>
      </w:r>
      <w:r>
        <w:rPr>
          <w:rFonts w:hint="eastAsia" w:ascii="宋体" w:hAnsi="宋体" w:cs="宋体"/>
          <w:kern w:val="0"/>
          <w:szCs w:val="21"/>
        </w:rPr>
        <w:t>、《建筑基坑工程监测技术规范》</w:t>
      </w:r>
      <w:r>
        <w:rPr>
          <w:rFonts w:ascii="Arial" w:hAnsi="Arial" w:cs="Arial"/>
          <w:kern w:val="0"/>
          <w:szCs w:val="21"/>
        </w:rPr>
        <w:t>GB 50497-2009</w:t>
      </w:r>
      <w:r>
        <w:rPr>
          <w:rFonts w:hint="eastAsia" w:ascii="宋体" w:hAnsi="宋体" w:cs="宋体"/>
          <w:kern w:val="0"/>
          <w:szCs w:val="21"/>
        </w:rPr>
        <w:t xml:space="preserve">； </w:t>
      </w:r>
    </w:p>
    <w:p>
      <w:pPr>
        <w:widowControl/>
        <w:spacing w:line="360" w:lineRule="auto"/>
        <w:jc w:val="left"/>
        <w:rPr>
          <w:szCs w:val="21"/>
        </w:rPr>
      </w:pPr>
      <w:r>
        <w:rPr>
          <w:rFonts w:ascii="Arial" w:hAnsi="Arial" w:cs="Arial"/>
          <w:kern w:val="0"/>
          <w:szCs w:val="21"/>
        </w:rPr>
        <w:t>2</w:t>
      </w:r>
      <w:r>
        <w:rPr>
          <w:rFonts w:hint="eastAsia" w:ascii="宋体" w:hAnsi="宋体" w:cs="宋体"/>
          <w:kern w:val="0"/>
          <w:szCs w:val="21"/>
        </w:rPr>
        <w:t>、《岩土工程勘察规范》</w:t>
      </w:r>
      <w:r>
        <w:rPr>
          <w:rFonts w:ascii="Arial" w:hAnsi="Arial" w:cs="Arial"/>
          <w:kern w:val="0"/>
          <w:szCs w:val="21"/>
        </w:rPr>
        <w:t>GBJ50021-2001</w:t>
      </w:r>
      <w:r>
        <w:rPr>
          <w:rFonts w:hint="eastAsia" w:ascii="宋体" w:hAnsi="宋体" w:cs="宋体"/>
          <w:kern w:val="0"/>
          <w:szCs w:val="21"/>
        </w:rPr>
        <w:t xml:space="preserve">； </w:t>
      </w:r>
    </w:p>
    <w:p>
      <w:pPr>
        <w:widowControl/>
        <w:spacing w:line="360" w:lineRule="auto"/>
        <w:jc w:val="left"/>
        <w:rPr>
          <w:szCs w:val="21"/>
        </w:rPr>
      </w:pPr>
      <w:r>
        <w:rPr>
          <w:rFonts w:ascii="Arial" w:hAnsi="Arial" w:cs="Arial"/>
          <w:kern w:val="0"/>
          <w:szCs w:val="21"/>
        </w:rPr>
        <w:t>3</w:t>
      </w:r>
      <w:r>
        <w:rPr>
          <w:rFonts w:hint="eastAsia" w:ascii="宋体" w:hAnsi="宋体" w:cs="宋体"/>
          <w:kern w:val="0"/>
          <w:szCs w:val="21"/>
        </w:rPr>
        <w:t xml:space="preserve">、宁波市行业标准：《宁波市软土深基坑支护设计与施工暂行技术规定》； </w:t>
      </w:r>
    </w:p>
    <w:p>
      <w:pPr>
        <w:widowControl/>
        <w:spacing w:line="360" w:lineRule="auto"/>
        <w:jc w:val="left"/>
        <w:rPr>
          <w:szCs w:val="21"/>
        </w:rPr>
      </w:pPr>
      <w:r>
        <w:rPr>
          <w:rFonts w:ascii="Arial" w:hAnsi="Arial" w:cs="Arial"/>
          <w:kern w:val="0"/>
          <w:szCs w:val="21"/>
        </w:rPr>
        <w:t>4</w:t>
      </w:r>
      <w:r>
        <w:rPr>
          <w:rFonts w:hint="eastAsia" w:ascii="宋体" w:hAnsi="宋体" w:cs="宋体"/>
          <w:kern w:val="0"/>
          <w:szCs w:val="21"/>
        </w:rPr>
        <w:t>、中华人民共和国行业标准：《建筑基坑支护技术规程》</w:t>
      </w:r>
      <w:r>
        <w:rPr>
          <w:rFonts w:ascii="Arial" w:hAnsi="Arial" w:cs="Arial"/>
          <w:kern w:val="0"/>
          <w:szCs w:val="21"/>
        </w:rPr>
        <w:t>JGJ120-99</w:t>
      </w:r>
      <w:r>
        <w:rPr>
          <w:rFonts w:hint="eastAsia" w:ascii="宋体" w:hAnsi="宋体" w:cs="宋体"/>
          <w:kern w:val="0"/>
          <w:szCs w:val="21"/>
        </w:rPr>
        <w:t xml:space="preserve">； </w:t>
      </w:r>
    </w:p>
    <w:p>
      <w:pPr>
        <w:widowControl/>
        <w:spacing w:line="360" w:lineRule="auto"/>
        <w:jc w:val="left"/>
        <w:rPr>
          <w:szCs w:val="21"/>
        </w:rPr>
      </w:pPr>
      <w:r>
        <w:rPr>
          <w:rFonts w:ascii="Arial" w:hAnsi="Arial" w:cs="Arial"/>
          <w:kern w:val="0"/>
          <w:szCs w:val="21"/>
        </w:rPr>
        <w:t>5</w:t>
      </w:r>
      <w:r>
        <w:rPr>
          <w:rFonts w:hint="eastAsia" w:ascii="宋体" w:hAnsi="宋体" w:cs="宋体"/>
          <w:kern w:val="0"/>
          <w:szCs w:val="21"/>
        </w:rPr>
        <w:t>、《建筑基坑工程技术规程》浙江省标准</w:t>
      </w:r>
      <w:r>
        <w:rPr>
          <w:rFonts w:ascii="Arial" w:hAnsi="Arial" w:cs="Arial"/>
          <w:kern w:val="0"/>
          <w:szCs w:val="21"/>
        </w:rPr>
        <w:t>DB33/T1008-2000</w:t>
      </w:r>
      <w:r>
        <w:rPr>
          <w:rFonts w:hint="eastAsia" w:ascii="宋体" w:hAnsi="宋体" w:cs="宋体"/>
          <w:kern w:val="0"/>
          <w:szCs w:val="21"/>
        </w:rPr>
        <w:t xml:space="preserve">； </w:t>
      </w:r>
    </w:p>
    <w:p>
      <w:pPr>
        <w:widowControl/>
        <w:spacing w:line="360" w:lineRule="auto"/>
        <w:jc w:val="left"/>
        <w:rPr>
          <w:szCs w:val="21"/>
        </w:rPr>
      </w:pPr>
      <w:r>
        <w:rPr>
          <w:rFonts w:ascii="Arial" w:hAnsi="Arial" w:cs="Arial"/>
          <w:kern w:val="0"/>
          <w:szCs w:val="21"/>
        </w:rPr>
        <w:t>6</w:t>
      </w:r>
      <w:r>
        <w:rPr>
          <w:rFonts w:hint="eastAsia" w:ascii="宋体" w:hAnsi="宋体" w:cs="宋体"/>
          <w:kern w:val="0"/>
          <w:szCs w:val="21"/>
        </w:rPr>
        <w:t>、《工程测量规范》</w:t>
      </w:r>
      <w:r>
        <w:rPr>
          <w:rFonts w:ascii="Arial" w:hAnsi="Arial" w:cs="Arial"/>
          <w:kern w:val="0"/>
          <w:szCs w:val="21"/>
        </w:rPr>
        <w:t>GB 50026-2007</w:t>
      </w:r>
      <w:r>
        <w:rPr>
          <w:rFonts w:hint="eastAsia" w:ascii="宋体" w:hAnsi="宋体" w:cs="宋体"/>
          <w:kern w:val="0"/>
          <w:szCs w:val="21"/>
        </w:rPr>
        <w:t xml:space="preserve">； </w:t>
      </w:r>
    </w:p>
    <w:p>
      <w:pPr>
        <w:widowControl/>
        <w:spacing w:line="360" w:lineRule="auto"/>
        <w:jc w:val="left"/>
        <w:rPr>
          <w:szCs w:val="21"/>
        </w:rPr>
      </w:pPr>
      <w:r>
        <w:rPr>
          <w:rFonts w:ascii="Arial" w:hAnsi="Arial" w:cs="Arial"/>
          <w:kern w:val="0"/>
          <w:szCs w:val="21"/>
        </w:rPr>
        <w:t>7</w:t>
      </w:r>
      <w:r>
        <w:rPr>
          <w:rFonts w:hint="eastAsia" w:ascii="宋体" w:hAnsi="宋体" w:cs="宋体"/>
          <w:kern w:val="0"/>
          <w:szCs w:val="21"/>
        </w:rPr>
        <w:t>、《建筑变形测量规范》</w:t>
      </w:r>
      <w:r>
        <w:rPr>
          <w:rFonts w:ascii="Arial" w:hAnsi="Arial" w:cs="Arial"/>
          <w:kern w:val="0"/>
          <w:szCs w:val="21"/>
        </w:rPr>
        <w:t>JGJ8-2007</w:t>
      </w:r>
      <w:r>
        <w:rPr>
          <w:rFonts w:hint="eastAsia" w:ascii="宋体" w:hAnsi="宋体" w:cs="宋体"/>
          <w:kern w:val="0"/>
          <w:szCs w:val="21"/>
        </w:rPr>
        <w:t xml:space="preserve">； </w:t>
      </w:r>
    </w:p>
    <w:p>
      <w:pPr>
        <w:widowControl/>
        <w:spacing w:line="360" w:lineRule="auto"/>
        <w:jc w:val="left"/>
        <w:rPr>
          <w:szCs w:val="21"/>
        </w:rPr>
      </w:pPr>
      <w:r>
        <w:rPr>
          <w:rFonts w:ascii="Arial" w:hAnsi="Arial" w:cs="Arial"/>
          <w:kern w:val="0"/>
          <w:szCs w:val="21"/>
        </w:rPr>
        <w:t>8</w:t>
      </w:r>
      <w:r>
        <w:rPr>
          <w:rFonts w:hint="eastAsia" w:ascii="宋体" w:hAnsi="宋体" w:cs="宋体"/>
          <w:kern w:val="0"/>
          <w:szCs w:val="21"/>
        </w:rPr>
        <w:t xml:space="preserve">、基坑围护设计方案及现场监测需依据的设计文件及其他技术要求。 </w:t>
      </w:r>
    </w:p>
    <w:p>
      <w:pPr>
        <w:widowControl/>
        <w:spacing w:line="360" w:lineRule="auto"/>
        <w:jc w:val="left"/>
        <w:rPr>
          <w:szCs w:val="21"/>
        </w:rPr>
      </w:pPr>
      <w:r>
        <w:rPr>
          <w:rFonts w:ascii="Arial" w:hAnsi="Arial" w:cs="Arial"/>
          <w:kern w:val="0"/>
          <w:szCs w:val="21"/>
        </w:rPr>
        <w:t>9</w:t>
      </w:r>
      <w:r>
        <w:rPr>
          <w:rFonts w:hint="eastAsia" w:ascii="宋体" w:hAnsi="宋体" w:cs="宋体"/>
          <w:kern w:val="0"/>
          <w:szCs w:val="21"/>
        </w:rPr>
        <w:t xml:space="preserve">、现行的有关国家、地方、行业技术规范、规程和规定。 </w:t>
      </w:r>
    </w:p>
    <w:p>
      <w:pPr>
        <w:widowControl/>
        <w:spacing w:line="360" w:lineRule="auto"/>
        <w:jc w:val="left"/>
        <w:rPr>
          <w:szCs w:val="21"/>
        </w:rPr>
      </w:pPr>
      <w:r>
        <w:rPr>
          <w:rFonts w:hint="eastAsia" w:ascii="宋体" w:hAnsi="宋体" w:cs="宋体"/>
          <w:kern w:val="0"/>
          <w:szCs w:val="21"/>
        </w:rPr>
        <w:t xml:space="preserve">八、违约责任 </w:t>
      </w:r>
    </w:p>
    <w:p>
      <w:pPr>
        <w:widowControl/>
        <w:spacing w:line="360" w:lineRule="auto"/>
        <w:jc w:val="left"/>
        <w:rPr>
          <w:szCs w:val="21"/>
        </w:rPr>
      </w:pPr>
      <w:r>
        <w:rPr>
          <w:rFonts w:ascii="Arial" w:hAnsi="Arial" w:cs="Arial"/>
          <w:kern w:val="0"/>
          <w:szCs w:val="21"/>
        </w:rPr>
        <w:t>1</w:t>
      </w:r>
      <w:r>
        <w:rPr>
          <w:rFonts w:hint="eastAsia" w:ascii="宋体" w:hAnsi="宋体" w:cs="宋体"/>
          <w:kern w:val="0"/>
          <w:szCs w:val="21"/>
        </w:rPr>
        <w:t xml:space="preserve">、甲方未能按时提供有关项目的经过批准的设计文件和满足施工图设计要求的勘察资 </w:t>
      </w:r>
    </w:p>
    <w:p>
      <w:pPr>
        <w:widowControl/>
        <w:spacing w:line="360" w:lineRule="auto"/>
        <w:jc w:val="left"/>
        <w:rPr>
          <w:szCs w:val="21"/>
        </w:rPr>
      </w:pPr>
      <w:r>
        <w:rPr>
          <w:rFonts w:hint="eastAsia" w:ascii="宋体" w:hAnsi="宋体" w:cs="宋体"/>
          <w:kern w:val="0"/>
          <w:szCs w:val="21"/>
        </w:rPr>
        <w:t xml:space="preserve">料，以及有关的技术资料，影响乙方监测进度或造成监测成果失效，乙方可推迟交付监测报 </w:t>
      </w:r>
    </w:p>
    <w:p>
      <w:pPr>
        <w:widowControl/>
        <w:spacing w:line="360" w:lineRule="auto"/>
        <w:jc w:val="left"/>
        <w:rPr>
          <w:szCs w:val="21"/>
        </w:rPr>
      </w:pPr>
      <w:r>
        <w:rPr>
          <w:rFonts w:hint="eastAsia" w:ascii="宋体" w:hAnsi="宋体" w:cs="宋体"/>
          <w:kern w:val="0"/>
          <w:szCs w:val="21"/>
        </w:rPr>
        <w:t>告。</w:t>
      </w:r>
    </w:p>
    <w:p>
      <w:pPr>
        <w:widowControl/>
        <w:spacing w:line="360" w:lineRule="auto"/>
        <w:jc w:val="left"/>
        <w:rPr>
          <w:szCs w:val="21"/>
        </w:rPr>
      </w:pPr>
      <w:r>
        <w:rPr>
          <w:rFonts w:ascii="Arial" w:hAnsi="Arial" w:cs="Arial"/>
          <w:kern w:val="0"/>
          <w:szCs w:val="21"/>
        </w:rPr>
        <w:t>2</w:t>
      </w:r>
      <w:r>
        <w:rPr>
          <w:rFonts w:hint="eastAsia" w:ascii="宋体" w:hAnsi="宋体" w:cs="宋体"/>
          <w:kern w:val="0"/>
          <w:szCs w:val="21"/>
        </w:rPr>
        <w:t xml:space="preserve">、甲方要求变更监测要求，经乙方同意后，乙方可另行安排监测时间，并相应推迟交 </w:t>
      </w:r>
    </w:p>
    <w:p>
      <w:pPr>
        <w:widowControl/>
        <w:spacing w:line="360" w:lineRule="auto"/>
        <w:jc w:val="left"/>
        <w:rPr>
          <w:szCs w:val="21"/>
        </w:rPr>
      </w:pPr>
      <w:r>
        <w:rPr>
          <w:rFonts w:hint="eastAsia" w:ascii="宋体" w:hAnsi="宋体" w:cs="宋体"/>
          <w:kern w:val="0"/>
          <w:szCs w:val="21"/>
        </w:rPr>
        <w:t xml:space="preserve">付监测报告。 </w:t>
      </w:r>
    </w:p>
    <w:p>
      <w:pPr>
        <w:widowControl/>
        <w:spacing w:line="360" w:lineRule="auto"/>
        <w:jc w:val="left"/>
        <w:rPr>
          <w:szCs w:val="21"/>
        </w:rPr>
      </w:pPr>
      <w:r>
        <w:rPr>
          <w:rFonts w:ascii="Arial" w:hAnsi="Arial" w:cs="Arial"/>
          <w:kern w:val="0"/>
          <w:szCs w:val="21"/>
        </w:rPr>
        <w:t>3</w:t>
      </w:r>
      <w:r>
        <w:rPr>
          <w:rFonts w:hint="eastAsia" w:ascii="宋体" w:hAnsi="宋体" w:cs="宋体"/>
          <w:kern w:val="0"/>
          <w:szCs w:val="21"/>
        </w:rPr>
        <w:t xml:space="preserve">、乙方未能按时提交监测报告，或在监测报告中出现明显差错，应及时采取必要和合 </w:t>
      </w:r>
    </w:p>
    <w:p>
      <w:pPr>
        <w:widowControl/>
        <w:spacing w:line="360" w:lineRule="auto"/>
        <w:jc w:val="left"/>
        <w:rPr>
          <w:szCs w:val="21"/>
        </w:rPr>
      </w:pPr>
      <w:r>
        <w:rPr>
          <w:rFonts w:hint="eastAsia" w:ascii="宋体" w:hAnsi="宋体" w:cs="宋体"/>
          <w:kern w:val="0"/>
          <w:szCs w:val="21"/>
        </w:rPr>
        <w:t xml:space="preserve">理的技术措施，解决更正。 </w:t>
      </w:r>
    </w:p>
    <w:p>
      <w:pPr>
        <w:widowControl/>
        <w:spacing w:line="360" w:lineRule="auto"/>
        <w:jc w:val="left"/>
        <w:rPr>
          <w:szCs w:val="21"/>
        </w:rPr>
      </w:pPr>
      <w:r>
        <w:rPr>
          <w:rFonts w:ascii="Arial" w:hAnsi="Arial" w:cs="Arial"/>
          <w:kern w:val="0"/>
          <w:szCs w:val="21"/>
        </w:rPr>
        <w:t>4</w:t>
      </w:r>
      <w:r>
        <w:rPr>
          <w:rFonts w:hint="eastAsia" w:ascii="宋体" w:hAnsi="宋体" w:cs="宋体"/>
          <w:kern w:val="0"/>
          <w:szCs w:val="21"/>
        </w:rPr>
        <w:t xml:space="preserve">、关于安全、文明施工的约定，乙方应遵守安全、文明施工等有关规定，办好各种施 </w:t>
      </w:r>
    </w:p>
    <w:p>
      <w:pPr>
        <w:widowControl/>
        <w:spacing w:line="360" w:lineRule="auto"/>
        <w:jc w:val="left"/>
        <w:rPr>
          <w:szCs w:val="21"/>
        </w:rPr>
      </w:pPr>
      <w:r>
        <w:rPr>
          <w:rFonts w:hint="eastAsia" w:ascii="宋体" w:hAnsi="宋体" w:cs="宋体"/>
          <w:kern w:val="0"/>
          <w:szCs w:val="21"/>
        </w:rPr>
        <w:t xml:space="preserve">工手续。施工中若发生安全事故，责任由乙方承担，甲方不负任何责任。 </w:t>
      </w:r>
    </w:p>
    <w:p>
      <w:pPr>
        <w:widowControl/>
        <w:spacing w:line="360" w:lineRule="auto"/>
        <w:jc w:val="left"/>
        <w:rPr>
          <w:szCs w:val="21"/>
        </w:rPr>
      </w:pPr>
      <w:r>
        <w:rPr>
          <w:rFonts w:ascii="Arial" w:hAnsi="Arial" w:cs="Arial"/>
          <w:kern w:val="0"/>
          <w:szCs w:val="21"/>
        </w:rPr>
        <w:t>5</w:t>
      </w:r>
      <w:r>
        <w:rPr>
          <w:rFonts w:hint="eastAsia" w:ascii="宋体" w:hAnsi="宋体" w:cs="宋体"/>
          <w:kern w:val="0"/>
          <w:szCs w:val="21"/>
        </w:rPr>
        <w:t xml:space="preserve">、关于退场情况的约定，监测完成后，乙方自行组织退场，不得影响总包施工。 </w:t>
      </w:r>
    </w:p>
    <w:p>
      <w:pPr>
        <w:widowControl/>
        <w:spacing w:line="360" w:lineRule="auto"/>
        <w:jc w:val="left"/>
        <w:rPr>
          <w:szCs w:val="21"/>
        </w:rPr>
      </w:pPr>
      <w:r>
        <w:rPr>
          <w:rFonts w:ascii="Arial" w:hAnsi="Arial" w:cs="Arial"/>
          <w:kern w:val="0"/>
          <w:szCs w:val="21"/>
        </w:rPr>
        <w:t>6</w:t>
      </w:r>
      <w:r>
        <w:rPr>
          <w:rFonts w:hint="eastAsia" w:ascii="宋体" w:hAnsi="宋体" w:cs="宋体"/>
          <w:kern w:val="0"/>
          <w:szCs w:val="21"/>
        </w:rPr>
        <w:t>、未经甲方同意随意更换项目组的任一成员的，扣除履约保证金的</w:t>
      </w:r>
      <w:r>
        <w:rPr>
          <w:rFonts w:ascii="Arial" w:hAnsi="Arial" w:cs="Arial"/>
          <w:kern w:val="0"/>
          <w:szCs w:val="21"/>
        </w:rPr>
        <w:t>30%</w:t>
      </w:r>
      <w:r>
        <w:rPr>
          <w:rFonts w:hint="eastAsia" w:ascii="宋体" w:hAnsi="宋体" w:cs="宋体"/>
          <w:kern w:val="0"/>
          <w:szCs w:val="21"/>
        </w:rPr>
        <w:t xml:space="preserve">。 </w:t>
      </w:r>
    </w:p>
    <w:p>
      <w:pPr>
        <w:widowControl/>
        <w:spacing w:line="360" w:lineRule="auto"/>
        <w:jc w:val="left"/>
        <w:rPr>
          <w:szCs w:val="21"/>
        </w:rPr>
      </w:pPr>
      <w:r>
        <w:rPr>
          <w:rFonts w:hint="eastAsia" w:ascii="宋体" w:hAnsi="宋体" w:cs="宋体"/>
          <w:kern w:val="0"/>
          <w:szCs w:val="21"/>
        </w:rPr>
        <w:t xml:space="preserve">九、争议的解决办法 </w:t>
      </w:r>
    </w:p>
    <w:p>
      <w:pPr>
        <w:widowControl/>
        <w:spacing w:line="360" w:lineRule="auto"/>
        <w:jc w:val="left"/>
        <w:rPr>
          <w:szCs w:val="21"/>
        </w:rPr>
      </w:pPr>
      <w:r>
        <w:rPr>
          <w:rFonts w:hint="eastAsia" w:ascii="宋体" w:hAnsi="宋体" w:cs="宋体"/>
          <w:kern w:val="0"/>
          <w:szCs w:val="21"/>
        </w:rPr>
        <w:t>在合同履行过程中发生争议，双方应当协商解决，也可以请求 设计、监理单位进行调解。</w:t>
      </w:r>
    </w:p>
    <w:p>
      <w:pPr>
        <w:widowControl/>
        <w:spacing w:line="360" w:lineRule="auto"/>
        <w:jc w:val="left"/>
        <w:rPr>
          <w:szCs w:val="21"/>
        </w:rPr>
      </w:pPr>
      <w:r>
        <w:rPr>
          <w:rFonts w:hint="eastAsia" w:ascii="宋体" w:hAnsi="宋体" w:cs="宋体"/>
          <w:kern w:val="0"/>
          <w:szCs w:val="21"/>
        </w:rPr>
        <w:t>当事人不愿协商、调解，或协商、调解不成的，双方商定，采用以下第（</w:t>
      </w:r>
      <w:r>
        <w:rPr>
          <w:rFonts w:ascii="Arial" w:hAnsi="Arial" w:cs="Arial"/>
          <w:kern w:val="0"/>
          <w:szCs w:val="21"/>
        </w:rPr>
        <w:t>1</w:t>
      </w:r>
      <w:r>
        <w:rPr>
          <w:rFonts w:hint="eastAsia" w:ascii="宋体" w:hAnsi="宋体" w:cs="宋体"/>
          <w:kern w:val="0"/>
          <w:szCs w:val="21"/>
        </w:rPr>
        <w:t>）种方式解决：</w:t>
      </w:r>
    </w:p>
    <w:p>
      <w:pPr>
        <w:widowControl/>
        <w:spacing w:line="360" w:lineRule="auto"/>
        <w:jc w:val="left"/>
        <w:rPr>
          <w:szCs w:val="21"/>
        </w:rPr>
      </w:pPr>
      <w:r>
        <w:rPr>
          <w:rFonts w:hint="eastAsia" w:ascii="宋体" w:hAnsi="宋体" w:cs="宋体"/>
          <w:kern w:val="0"/>
          <w:szCs w:val="21"/>
        </w:rPr>
        <w:t>（</w:t>
      </w:r>
      <w:r>
        <w:rPr>
          <w:rFonts w:ascii="Arial" w:hAnsi="Arial" w:cs="Arial"/>
          <w:kern w:val="0"/>
          <w:szCs w:val="21"/>
        </w:rPr>
        <w:t>1</w:t>
      </w:r>
      <w:r>
        <w:rPr>
          <w:rFonts w:hint="eastAsia" w:ascii="宋体" w:hAnsi="宋体" w:cs="宋体"/>
          <w:kern w:val="0"/>
          <w:szCs w:val="21"/>
        </w:rPr>
        <w:t xml:space="preserve">） 宁波仲裁委员会仲裁。 </w:t>
      </w:r>
    </w:p>
    <w:p>
      <w:pPr>
        <w:widowControl/>
        <w:spacing w:line="360" w:lineRule="auto"/>
        <w:jc w:val="left"/>
        <w:rPr>
          <w:szCs w:val="21"/>
        </w:rPr>
      </w:pPr>
      <w:r>
        <w:rPr>
          <w:rFonts w:hint="eastAsia" w:ascii="宋体" w:hAnsi="宋体" w:cs="宋体"/>
          <w:kern w:val="0"/>
          <w:szCs w:val="21"/>
        </w:rPr>
        <w:t>（</w:t>
      </w:r>
      <w:r>
        <w:rPr>
          <w:rFonts w:ascii="Arial" w:hAnsi="Arial" w:cs="Arial"/>
          <w:kern w:val="0"/>
          <w:szCs w:val="21"/>
        </w:rPr>
        <w:t>2</w:t>
      </w:r>
      <w:r>
        <w:rPr>
          <w:rFonts w:hint="eastAsia" w:ascii="宋体" w:hAnsi="宋体" w:cs="宋体"/>
          <w:kern w:val="0"/>
          <w:szCs w:val="21"/>
        </w:rPr>
        <w:t xml:space="preserve">）按司法程序解决。 </w:t>
      </w:r>
    </w:p>
    <w:p>
      <w:pPr>
        <w:widowControl/>
        <w:spacing w:line="360" w:lineRule="auto"/>
        <w:jc w:val="left"/>
        <w:rPr>
          <w:szCs w:val="21"/>
        </w:rPr>
      </w:pPr>
      <w:r>
        <w:rPr>
          <w:rFonts w:hint="eastAsia" w:ascii="宋体" w:hAnsi="宋体" w:cs="宋体"/>
          <w:kern w:val="0"/>
          <w:szCs w:val="21"/>
        </w:rPr>
        <w:t>十、其他</w:t>
      </w:r>
    </w:p>
    <w:p>
      <w:pPr>
        <w:widowControl/>
        <w:spacing w:line="360" w:lineRule="auto"/>
        <w:jc w:val="left"/>
        <w:rPr>
          <w:szCs w:val="21"/>
        </w:rPr>
      </w:pPr>
      <w:r>
        <w:rPr>
          <w:rFonts w:ascii="Arial" w:hAnsi="Arial" w:cs="Arial"/>
          <w:kern w:val="0"/>
          <w:szCs w:val="21"/>
        </w:rPr>
        <w:t>1</w:t>
      </w:r>
      <w:r>
        <w:rPr>
          <w:rFonts w:hint="eastAsia" w:ascii="宋体" w:hAnsi="宋体" w:cs="宋体"/>
          <w:kern w:val="0"/>
          <w:szCs w:val="21"/>
        </w:rPr>
        <w:t xml:space="preserve">、合同未尽事宜，经双方协商一致，可增加补充条款，作为合同的有效部分。 </w:t>
      </w:r>
    </w:p>
    <w:p>
      <w:pPr>
        <w:widowControl/>
        <w:spacing w:line="360" w:lineRule="auto"/>
        <w:jc w:val="left"/>
        <w:rPr>
          <w:szCs w:val="21"/>
        </w:rPr>
      </w:pPr>
      <w:r>
        <w:rPr>
          <w:rFonts w:ascii="Arial" w:hAnsi="Arial" w:cs="Arial"/>
          <w:kern w:val="0"/>
          <w:szCs w:val="21"/>
        </w:rPr>
        <w:t>2</w:t>
      </w:r>
      <w:r>
        <w:rPr>
          <w:rFonts w:hint="eastAsia" w:ascii="宋体" w:hAnsi="宋体" w:cs="宋体"/>
          <w:kern w:val="0"/>
          <w:szCs w:val="21"/>
        </w:rPr>
        <w:t xml:space="preserve">、未经委托方书面许可，服务方不得将本合同约定的部分或全部义务转让给第三方。 </w:t>
      </w:r>
    </w:p>
    <w:p>
      <w:pPr>
        <w:widowControl/>
        <w:spacing w:line="360" w:lineRule="auto"/>
        <w:jc w:val="left"/>
        <w:rPr>
          <w:szCs w:val="21"/>
        </w:rPr>
      </w:pPr>
      <w:r>
        <w:rPr>
          <w:rFonts w:ascii="Arial" w:hAnsi="Arial" w:cs="Arial"/>
          <w:kern w:val="0"/>
          <w:szCs w:val="21"/>
        </w:rPr>
        <w:t>3</w:t>
      </w:r>
      <w:r>
        <w:rPr>
          <w:rFonts w:hint="eastAsia" w:ascii="宋体" w:hAnsi="宋体" w:cs="宋体"/>
          <w:kern w:val="0"/>
          <w:szCs w:val="21"/>
        </w:rPr>
        <w:t xml:space="preserve">、本合同一式 陆 份，甲、乙方各执 叁 份。经双方签字盖章且中标人提交履约担保后本合同生效。 </w:t>
      </w:r>
    </w:p>
    <w:p>
      <w:pPr>
        <w:widowControl/>
        <w:spacing w:line="360" w:lineRule="auto"/>
        <w:ind w:firstLine="420" w:firstLineChars="200"/>
        <w:jc w:val="left"/>
        <w:rPr>
          <w:rFonts w:ascii="宋体" w:hAnsi="宋体"/>
          <w:kern w:val="52"/>
          <w:szCs w:val="21"/>
        </w:rPr>
      </w:pPr>
    </w:p>
    <w:p>
      <w:pPr>
        <w:widowControl/>
        <w:spacing w:line="360" w:lineRule="auto"/>
        <w:ind w:firstLine="420" w:firstLineChars="200"/>
        <w:jc w:val="left"/>
        <w:rPr>
          <w:rFonts w:ascii="宋体" w:hAnsi="宋体"/>
          <w:kern w:val="52"/>
          <w:szCs w:val="21"/>
        </w:rPr>
      </w:pPr>
      <w:r>
        <w:rPr>
          <w:rFonts w:hint="eastAsia" w:ascii="宋体" w:hAnsi="宋体"/>
          <w:kern w:val="52"/>
          <w:szCs w:val="21"/>
        </w:rPr>
        <w:t>甲方：</w:t>
      </w:r>
      <w:r>
        <w:rPr>
          <w:rFonts w:hint="eastAsia" w:ascii="宋体" w:hAnsi="宋体"/>
          <w:kern w:val="52"/>
          <w:szCs w:val="21"/>
          <w:u w:val="single"/>
        </w:rPr>
        <w:t>宁波市江北区工程建设管理有限公司</w:t>
      </w:r>
      <w:r>
        <w:rPr>
          <w:rFonts w:ascii="宋体" w:hAnsi="宋体"/>
          <w:kern w:val="52"/>
          <w:szCs w:val="21"/>
        </w:rPr>
        <w:t xml:space="preserve">       </w:t>
      </w:r>
      <w:r>
        <w:rPr>
          <w:rFonts w:hint="eastAsia" w:ascii="宋体" w:hAnsi="宋体"/>
          <w:kern w:val="52"/>
          <w:szCs w:val="21"/>
        </w:rPr>
        <w:t xml:space="preserve">    乙方：</w:t>
      </w:r>
      <w:r>
        <w:rPr>
          <w:rFonts w:ascii="宋体" w:hAnsi="宋体"/>
          <w:kern w:val="52"/>
          <w:szCs w:val="21"/>
          <w:u w:val="single"/>
        </w:rPr>
        <w:t xml:space="preserve">     </w:t>
      </w:r>
      <w:r>
        <w:rPr>
          <w:rFonts w:hint="eastAsia" w:ascii="宋体" w:hAnsi="宋体"/>
          <w:kern w:val="52"/>
          <w:szCs w:val="21"/>
          <w:u w:val="single"/>
        </w:rPr>
        <w:t>（中标单位全称）</w:t>
      </w:r>
      <w:r>
        <w:rPr>
          <w:rFonts w:ascii="宋体" w:hAnsi="宋体"/>
          <w:kern w:val="52"/>
          <w:szCs w:val="21"/>
          <w:u w:val="single"/>
        </w:rPr>
        <w:t xml:space="preserve">      </w:t>
      </w:r>
    </w:p>
    <w:p>
      <w:pPr>
        <w:widowControl/>
        <w:spacing w:line="360" w:lineRule="auto"/>
        <w:ind w:firstLine="420" w:firstLineChars="200"/>
        <w:jc w:val="left"/>
        <w:rPr>
          <w:rFonts w:ascii="宋体" w:hAnsi="宋体"/>
          <w:kern w:val="52"/>
          <w:szCs w:val="21"/>
        </w:rPr>
      </w:pPr>
      <w:r>
        <w:rPr>
          <w:rFonts w:ascii="宋体" w:hAnsi="宋体"/>
          <w:kern w:val="52"/>
          <w:szCs w:val="21"/>
          <w:u w:val="single"/>
        </w:rPr>
        <w:t xml:space="preserve">     </w:t>
      </w:r>
      <w:r>
        <w:rPr>
          <w:rFonts w:hint="eastAsia" w:ascii="宋体" w:hAnsi="宋体"/>
          <w:kern w:val="52"/>
          <w:szCs w:val="21"/>
          <w:u w:val="single"/>
        </w:rPr>
        <w:t>（盖单位法人章或合同专用章）</w:t>
      </w:r>
      <w:r>
        <w:rPr>
          <w:rFonts w:ascii="宋体" w:hAnsi="宋体"/>
          <w:kern w:val="52"/>
          <w:szCs w:val="21"/>
        </w:rPr>
        <w:t xml:space="preserve">      </w:t>
      </w:r>
      <w:r>
        <w:rPr>
          <w:rFonts w:hint="eastAsia" w:ascii="宋体" w:hAnsi="宋体"/>
          <w:kern w:val="52"/>
          <w:szCs w:val="21"/>
        </w:rPr>
        <w:t xml:space="preserve">    </w:t>
      </w:r>
      <w:r>
        <w:rPr>
          <w:rFonts w:ascii="宋体" w:hAnsi="宋体"/>
          <w:kern w:val="52"/>
          <w:szCs w:val="21"/>
          <w:u w:val="single"/>
        </w:rPr>
        <w:t xml:space="preserve">  </w:t>
      </w:r>
      <w:r>
        <w:rPr>
          <w:rFonts w:hint="eastAsia" w:ascii="宋体" w:hAnsi="宋体"/>
          <w:kern w:val="52"/>
          <w:szCs w:val="21"/>
          <w:u w:val="single"/>
        </w:rPr>
        <w:t>（盖单位法人章或合同专用章）</w:t>
      </w:r>
      <w:r>
        <w:rPr>
          <w:rFonts w:ascii="宋体" w:hAnsi="宋体"/>
          <w:kern w:val="52"/>
          <w:szCs w:val="21"/>
          <w:u w:val="single"/>
        </w:rPr>
        <w:t xml:space="preserve"> </w:t>
      </w:r>
      <w:r>
        <w:rPr>
          <w:rFonts w:ascii="宋体" w:hAnsi="宋体"/>
          <w:kern w:val="52"/>
          <w:szCs w:val="21"/>
        </w:rPr>
        <w:t xml:space="preserve">   </w:t>
      </w:r>
    </w:p>
    <w:p>
      <w:pPr>
        <w:widowControl/>
        <w:spacing w:line="360" w:lineRule="auto"/>
        <w:ind w:firstLine="420" w:firstLineChars="200"/>
        <w:jc w:val="left"/>
        <w:rPr>
          <w:rFonts w:ascii="宋体" w:hAnsi="宋体"/>
          <w:kern w:val="52"/>
          <w:szCs w:val="21"/>
        </w:rPr>
      </w:pPr>
      <w:r>
        <w:rPr>
          <w:rFonts w:hint="eastAsia" w:ascii="宋体" w:hAnsi="宋体"/>
          <w:kern w:val="52"/>
          <w:szCs w:val="21"/>
        </w:rPr>
        <w:t>法定代表人或</w:t>
      </w:r>
      <w:r>
        <w:rPr>
          <w:rFonts w:ascii="宋体" w:hAnsi="宋体"/>
          <w:kern w:val="52"/>
          <w:szCs w:val="21"/>
        </w:rPr>
        <w:t xml:space="preserve">                         </w:t>
      </w:r>
      <w:r>
        <w:rPr>
          <w:rFonts w:hint="eastAsia" w:ascii="宋体" w:hAnsi="宋体"/>
          <w:kern w:val="52"/>
          <w:szCs w:val="21"/>
        </w:rPr>
        <w:t xml:space="preserve">      法定代表人或</w:t>
      </w:r>
    </w:p>
    <w:p>
      <w:pPr>
        <w:widowControl/>
        <w:spacing w:line="360" w:lineRule="auto"/>
        <w:ind w:firstLine="420" w:firstLineChars="200"/>
        <w:jc w:val="left"/>
        <w:rPr>
          <w:rFonts w:ascii="宋体" w:hAnsi="宋体"/>
          <w:kern w:val="52"/>
          <w:szCs w:val="21"/>
        </w:rPr>
      </w:pPr>
      <w:r>
        <w:rPr>
          <w:rFonts w:hint="eastAsia" w:ascii="宋体" w:hAnsi="宋体"/>
          <w:kern w:val="52"/>
          <w:szCs w:val="21"/>
        </w:rPr>
        <w:t>其委托代理人：</w:t>
      </w:r>
      <w:r>
        <w:rPr>
          <w:rFonts w:ascii="宋体" w:hAnsi="宋体"/>
          <w:kern w:val="52"/>
          <w:szCs w:val="21"/>
          <w:u w:val="single"/>
        </w:rPr>
        <w:t xml:space="preserve">       </w:t>
      </w:r>
      <w:r>
        <w:rPr>
          <w:rFonts w:hint="eastAsia" w:ascii="宋体" w:hAnsi="宋体"/>
          <w:kern w:val="52"/>
          <w:szCs w:val="21"/>
          <w:u w:val="single"/>
        </w:rPr>
        <w:t>（签字）</w:t>
      </w:r>
      <w:r>
        <w:rPr>
          <w:rFonts w:ascii="宋体" w:hAnsi="宋体"/>
          <w:kern w:val="52"/>
          <w:szCs w:val="21"/>
          <w:u w:val="single"/>
        </w:rPr>
        <w:t xml:space="preserve">    </w:t>
      </w:r>
      <w:r>
        <w:rPr>
          <w:rFonts w:ascii="宋体" w:hAnsi="宋体"/>
          <w:kern w:val="52"/>
          <w:szCs w:val="21"/>
        </w:rPr>
        <w:t xml:space="preserve">      </w:t>
      </w:r>
      <w:r>
        <w:rPr>
          <w:rFonts w:hint="eastAsia" w:ascii="宋体" w:hAnsi="宋体"/>
          <w:kern w:val="52"/>
          <w:szCs w:val="21"/>
        </w:rPr>
        <w:t xml:space="preserve">    其委托代理人：</w:t>
      </w:r>
      <w:r>
        <w:rPr>
          <w:rFonts w:ascii="宋体" w:hAnsi="宋体"/>
          <w:kern w:val="52"/>
          <w:szCs w:val="21"/>
          <w:u w:val="single"/>
        </w:rPr>
        <w:t xml:space="preserve">    </w:t>
      </w:r>
      <w:r>
        <w:rPr>
          <w:rFonts w:hint="eastAsia" w:ascii="宋体" w:hAnsi="宋体"/>
          <w:kern w:val="52"/>
          <w:szCs w:val="21"/>
          <w:u w:val="single"/>
        </w:rPr>
        <w:t>（签字）</w:t>
      </w:r>
      <w:r>
        <w:rPr>
          <w:rFonts w:ascii="宋体" w:hAnsi="宋体"/>
          <w:kern w:val="52"/>
          <w:szCs w:val="21"/>
          <w:u w:val="single"/>
        </w:rPr>
        <w:t xml:space="preserve">       </w:t>
      </w:r>
    </w:p>
    <w:p>
      <w:pPr>
        <w:widowControl/>
        <w:spacing w:line="360" w:lineRule="auto"/>
        <w:ind w:firstLine="420" w:firstLineChars="200"/>
        <w:jc w:val="left"/>
        <w:rPr>
          <w:rFonts w:ascii="宋体" w:hAnsi="宋体"/>
          <w:kern w:val="52"/>
          <w:szCs w:val="21"/>
        </w:rPr>
      </w:pPr>
      <w:r>
        <w:rPr>
          <w:rFonts w:hint="eastAsia" w:ascii="宋体" w:hAnsi="宋体"/>
          <w:kern w:val="52"/>
          <w:szCs w:val="21"/>
        </w:rPr>
        <w:t>日期：</w:t>
      </w:r>
      <w:r>
        <w:rPr>
          <w:rFonts w:ascii="宋体" w:hAnsi="宋体"/>
          <w:kern w:val="52"/>
          <w:szCs w:val="21"/>
        </w:rPr>
        <w:t xml:space="preserve"> </w:t>
      </w:r>
      <w:r>
        <w:rPr>
          <w:rFonts w:ascii="宋体" w:hAnsi="宋体"/>
          <w:kern w:val="52"/>
          <w:szCs w:val="21"/>
          <w:u w:val="single"/>
        </w:rPr>
        <w:t xml:space="preserve">       </w:t>
      </w:r>
      <w:r>
        <w:rPr>
          <w:rFonts w:hint="eastAsia" w:ascii="宋体" w:hAnsi="宋体"/>
          <w:kern w:val="52"/>
          <w:szCs w:val="21"/>
        </w:rPr>
        <w:t>年</w:t>
      </w:r>
      <w:r>
        <w:rPr>
          <w:rFonts w:ascii="宋体" w:hAnsi="宋体"/>
          <w:kern w:val="52"/>
          <w:szCs w:val="21"/>
          <w:u w:val="single"/>
        </w:rPr>
        <w:t xml:space="preserve">       </w:t>
      </w:r>
      <w:r>
        <w:rPr>
          <w:rFonts w:hint="eastAsia" w:ascii="宋体" w:hAnsi="宋体"/>
          <w:kern w:val="52"/>
          <w:szCs w:val="21"/>
        </w:rPr>
        <w:t>月</w:t>
      </w:r>
      <w:r>
        <w:rPr>
          <w:rFonts w:ascii="宋体" w:hAnsi="宋体"/>
          <w:kern w:val="52"/>
          <w:szCs w:val="21"/>
          <w:u w:val="single"/>
        </w:rPr>
        <w:t xml:space="preserve">       </w:t>
      </w:r>
      <w:r>
        <w:rPr>
          <w:rFonts w:hint="eastAsia" w:ascii="宋体" w:hAnsi="宋体"/>
          <w:kern w:val="52"/>
          <w:szCs w:val="21"/>
        </w:rPr>
        <w:t>日</w:t>
      </w:r>
      <w:r>
        <w:rPr>
          <w:rFonts w:ascii="宋体" w:hAnsi="宋体"/>
          <w:kern w:val="52"/>
          <w:szCs w:val="21"/>
        </w:rPr>
        <w:t xml:space="preserve">   </w:t>
      </w:r>
      <w:r>
        <w:rPr>
          <w:rFonts w:hint="eastAsia" w:ascii="宋体" w:hAnsi="宋体"/>
          <w:kern w:val="52"/>
          <w:szCs w:val="21"/>
        </w:rPr>
        <w:t xml:space="preserve">      日期：</w:t>
      </w:r>
      <w:r>
        <w:rPr>
          <w:rFonts w:ascii="宋体" w:hAnsi="宋体"/>
          <w:kern w:val="52"/>
          <w:szCs w:val="21"/>
          <w:u w:val="single"/>
        </w:rPr>
        <w:t xml:space="preserve">       </w:t>
      </w:r>
      <w:r>
        <w:rPr>
          <w:rFonts w:hint="eastAsia" w:ascii="宋体" w:hAnsi="宋体"/>
          <w:kern w:val="52"/>
          <w:szCs w:val="21"/>
        </w:rPr>
        <w:t>年</w:t>
      </w:r>
      <w:r>
        <w:rPr>
          <w:rFonts w:ascii="宋体" w:hAnsi="宋体"/>
          <w:kern w:val="52"/>
          <w:szCs w:val="21"/>
          <w:u w:val="single"/>
        </w:rPr>
        <w:t xml:space="preserve">       </w:t>
      </w:r>
      <w:r>
        <w:rPr>
          <w:rFonts w:hint="eastAsia" w:ascii="宋体" w:hAnsi="宋体"/>
          <w:kern w:val="52"/>
          <w:szCs w:val="21"/>
        </w:rPr>
        <w:t>月</w:t>
      </w:r>
      <w:r>
        <w:rPr>
          <w:rFonts w:ascii="宋体" w:hAnsi="宋体"/>
          <w:kern w:val="52"/>
          <w:szCs w:val="21"/>
          <w:u w:val="single"/>
        </w:rPr>
        <w:t xml:space="preserve">       </w:t>
      </w:r>
      <w:r>
        <w:rPr>
          <w:rFonts w:hint="eastAsia" w:ascii="宋体" w:hAnsi="宋体"/>
          <w:kern w:val="52"/>
          <w:szCs w:val="21"/>
        </w:rPr>
        <w:t>日</w:t>
      </w:r>
    </w:p>
    <w:p>
      <w:pPr>
        <w:widowControl/>
        <w:spacing w:line="360" w:lineRule="auto"/>
        <w:ind w:firstLine="420" w:firstLineChars="200"/>
        <w:jc w:val="left"/>
        <w:rPr>
          <w:rFonts w:ascii="宋体" w:hAnsi="宋体"/>
          <w:kern w:val="52"/>
          <w:szCs w:val="21"/>
        </w:rPr>
      </w:pPr>
      <w:r>
        <w:rPr>
          <w:rFonts w:hint="eastAsia" w:ascii="宋体" w:hAnsi="宋体"/>
          <w:kern w:val="52"/>
          <w:szCs w:val="21"/>
        </w:rPr>
        <w:t>地址：</w:t>
      </w:r>
      <w:r>
        <w:rPr>
          <w:rFonts w:hint="eastAsia" w:ascii="宋体" w:hAnsi="宋体"/>
          <w:kern w:val="52"/>
          <w:szCs w:val="21"/>
          <w:u w:val="single"/>
        </w:rPr>
        <w:t xml:space="preserve">                         </w:t>
      </w:r>
      <w:r>
        <w:rPr>
          <w:rFonts w:ascii="宋体" w:hAnsi="宋体"/>
          <w:kern w:val="52"/>
          <w:szCs w:val="21"/>
          <w:u w:val="single"/>
        </w:rPr>
        <w:t xml:space="preserve">  </w:t>
      </w:r>
      <w:r>
        <w:rPr>
          <w:rFonts w:ascii="宋体" w:hAnsi="宋体"/>
          <w:kern w:val="52"/>
          <w:szCs w:val="21"/>
        </w:rPr>
        <w:t xml:space="preserve">    </w:t>
      </w:r>
      <w:r>
        <w:rPr>
          <w:rFonts w:hint="eastAsia" w:ascii="宋体" w:hAnsi="宋体"/>
          <w:kern w:val="52"/>
          <w:szCs w:val="21"/>
        </w:rPr>
        <w:t xml:space="preserve">      </w:t>
      </w:r>
      <w:r>
        <w:rPr>
          <w:rFonts w:ascii="宋体" w:hAnsi="宋体"/>
          <w:kern w:val="52"/>
          <w:szCs w:val="21"/>
        </w:rPr>
        <w:t>地址：</w:t>
      </w:r>
      <w:r>
        <w:rPr>
          <w:rFonts w:ascii="宋体" w:hAnsi="宋体"/>
          <w:kern w:val="52"/>
          <w:szCs w:val="21"/>
          <w:u w:val="single"/>
        </w:rPr>
        <w:t xml:space="preserve">                          </w:t>
      </w:r>
      <w:r>
        <w:rPr>
          <w:rFonts w:ascii="宋体" w:hAnsi="宋体"/>
          <w:kern w:val="52"/>
          <w:szCs w:val="21"/>
        </w:rPr>
        <w:t xml:space="preserve"> </w:t>
      </w:r>
    </w:p>
    <w:p>
      <w:pPr>
        <w:widowControl/>
        <w:spacing w:line="360" w:lineRule="auto"/>
        <w:ind w:firstLine="420" w:firstLineChars="200"/>
        <w:jc w:val="left"/>
        <w:rPr>
          <w:rFonts w:ascii="宋体" w:hAnsi="宋体"/>
          <w:kern w:val="52"/>
          <w:szCs w:val="21"/>
        </w:rPr>
      </w:pPr>
      <w:r>
        <w:rPr>
          <w:rFonts w:hint="eastAsia" w:ascii="宋体" w:hAnsi="宋体"/>
          <w:kern w:val="52"/>
          <w:szCs w:val="21"/>
        </w:rPr>
        <w:t>邮政编码：</w:t>
      </w:r>
      <w:r>
        <w:rPr>
          <w:rFonts w:hint="eastAsia" w:ascii="宋体" w:hAnsi="宋体"/>
          <w:kern w:val="52"/>
          <w:szCs w:val="21"/>
          <w:u w:val="single"/>
        </w:rPr>
        <w:t xml:space="preserve">        </w:t>
      </w:r>
      <w:r>
        <w:rPr>
          <w:rFonts w:ascii="宋体" w:hAnsi="宋体"/>
          <w:kern w:val="52"/>
          <w:szCs w:val="21"/>
          <w:u w:val="single"/>
        </w:rPr>
        <w:t xml:space="preserve">                </w:t>
      </w:r>
      <w:r>
        <w:rPr>
          <w:rFonts w:ascii="宋体" w:hAnsi="宋体"/>
          <w:kern w:val="52"/>
          <w:szCs w:val="21"/>
        </w:rPr>
        <w:t xml:space="preserve">     </w:t>
      </w:r>
      <w:r>
        <w:rPr>
          <w:rFonts w:hint="eastAsia" w:ascii="宋体" w:hAnsi="宋体"/>
          <w:kern w:val="52"/>
          <w:szCs w:val="21"/>
        </w:rPr>
        <w:t xml:space="preserve">     </w:t>
      </w:r>
      <w:r>
        <w:rPr>
          <w:rFonts w:ascii="宋体" w:hAnsi="宋体"/>
          <w:kern w:val="52"/>
          <w:szCs w:val="21"/>
        </w:rPr>
        <w:t>邮政编码：</w:t>
      </w:r>
      <w:r>
        <w:rPr>
          <w:rFonts w:ascii="宋体" w:hAnsi="宋体"/>
          <w:kern w:val="52"/>
          <w:szCs w:val="21"/>
          <w:u w:val="single"/>
        </w:rPr>
        <w:t xml:space="preserve">                      </w:t>
      </w:r>
      <w:r>
        <w:rPr>
          <w:rFonts w:ascii="宋体" w:hAnsi="宋体"/>
          <w:kern w:val="52"/>
          <w:szCs w:val="21"/>
        </w:rPr>
        <w:t xml:space="preserve"> </w:t>
      </w:r>
    </w:p>
    <w:p>
      <w:pPr>
        <w:widowControl/>
        <w:spacing w:line="360" w:lineRule="auto"/>
        <w:ind w:firstLine="420" w:firstLineChars="200"/>
        <w:jc w:val="left"/>
        <w:rPr>
          <w:rFonts w:ascii="宋体" w:hAnsi="宋体"/>
          <w:kern w:val="52"/>
          <w:szCs w:val="21"/>
        </w:rPr>
      </w:pPr>
      <w:r>
        <w:rPr>
          <w:rFonts w:hint="eastAsia" w:ascii="宋体" w:hAnsi="宋体"/>
          <w:kern w:val="52"/>
          <w:szCs w:val="21"/>
        </w:rPr>
        <w:t>电</w:t>
      </w:r>
      <w:r>
        <w:rPr>
          <w:rFonts w:ascii="宋体" w:hAnsi="宋体"/>
          <w:kern w:val="52"/>
          <w:szCs w:val="21"/>
        </w:rPr>
        <w:t xml:space="preserve">    </w:t>
      </w:r>
      <w:r>
        <w:rPr>
          <w:rFonts w:hint="eastAsia" w:ascii="宋体" w:hAnsi="宋体"/>
          <w:kern w:val="52"/>
          <w:szCs w:val="21"/>
        </w:rPr>
        <w:t>话：</w:t>
      </w:r>
      <w:r>
        <w:rPr>
          <w:rFonts w:hint="eastAsia" w:ascii="宋体" w:hAnsi="宋体"/>
          <w:kern w:val="52"/>
          <w:szCs w:val="21"/>
          <w:u w:val="single"/>
        </w:rPr>
        <w:t xml:space="preserve">              </w:t>
      </w:r>
      <w:r>
        <w:rPr>
          <w:rFonts w:ascii="宋体" w:hAnsi="宋体"/>
          <w:kern w:val="52"/>
          <w:szCs w:val="21"/>
          <w:u w:val="single"/>
        </w:rPr>
        <w:t xml:space="preserve">         </w:t>
      </w:r>
      <w:r>
        <w:rPr>
          <w:rFonts w:ascii="宋体" w:hAnsi="宋体"/>
          <w:kern w:val="52"/>
          <w:szCs w:val="21"/>
        </w:rPr>
        <w:t xml:space="preserve">    </w:t>
      </w:r>
      <w:r>
        <w:rPr>
          <w:rFonts w:hint="eastAsia" w:ascii="宋体" w:hAnsi="宋体"/>
          <w:kern w:val="52"/>
          <w:szCs w:val="21"/>
        </w:rPr>
        <w:t xml:space="preserve">     </w:t>
      </w:r>
      <w:r>
        <w:rPr>
          <w:rFonts w:ascii="宋体" w:hAnsi="宋体"/>
          <w:kern w:val="52"/>
          <w:szCs w:val="21"/>
        </w:rPr>
        <w:t xml:space="preserve"> 电    话：</w:t>
      </w:r>
      <w:r>
        <w:rPr>
          <w:rFonts w:ascii="宋体" w:hAnsi="宋体"/>
          <w:kern w:val="52"/>
          <w:szCs w:val="21"/>
          <w:u w:val="single"/>
        </w:rPr>
        <w:t xml:space="preserve">                      </w:t>
      </w:r>
      <w:r>
        <w:rPr>
          <w:rFonts w:ascii="宋体" w:hAnsi="宋体"/>
          <w:kern w:val="52"/>
          <w:szCs w:val="21"/>
        </w:rPr>
        <w:t xml:space="preserve"> </w:t>
      </w:r>
    </w:p>
    <w:p>
      <w:pPr>
        <w:widowControl/>
        <w:spacing w:line="360" w:lineRule="auto"/>
        <w:ind w:firstLine="420" w:firstLineChars="200"/>
        <w:jc w:val="left"/>
        <w:rPr>
          <w:rFonts w:ascii="宋体" w:hAnsi="宋体"/>
          <w:kern w:val="52"/>
          <w:szCs w:val="21"/>
        </w:rPr>
      </w:pPr>
      <w:r>
        <w:rPr>
          <w:rFonts w:hint="eastAsia" w:ascii="宋体" w:hAnsi="宋体"/>
          <w:kern w:val="52"/>
          <w:szCs w:val="21"/>
        </w:rPr>
        <w:t>传</w:t>
      </w:r>
      <w:r>
        <w:rPr>
          <w:rFonts w:ascii="宋体" w:hAnsi="宋体"/>
          <w:kern w:val="52"/>
          <w:szCs w:val="21"/>
        </w:rPr>
        <w:t xml:space="preserve">    </w:t>
      </w:r>
      <w:r>
        <w:rPr>
          <w:rFonts w:hint="eastAsia" w:ascii="宋体" w:hAnsi="宋体"/>
          <w:kern w:val="52"/>
          <w:szCs w:val="21"/>
        </w:rPr>
        <w:t>真：</w:t>
      </w:r>
      <w:r>
        <w:rPr>
          <w:rFonts w:hint="eastAsia" w:ascii="宋体" w:hAnsi="宋体"/>
          <w:kern w:val="52"/>
          <w:szCs w:val="21"/>
          <w:u w:val="single"/>
        </w:rPr>
        <w:t xml:space="preserve">               </w:t>
      </w:r>
      <w:r>
        <w:rPr>
          <w:rFonts w:ascii="宋体" w:hAnsi="宋体"/>
          <w:kern w:val="52"/>
          <w:szCs w:val="21"/>
          <w:u w:val="single"/>
        </w:rPr>
        <w:t xml:space="preserve">         </w:t>
      </w:r>
      <w:r>
        <w:rPr>
          <w:rFonts w:ascii="宋体" w:hAnsi="宋体"/>
          <w:kern w:val="52"/>
          <w:szCs w:val="21"/>
        </w:rPr>
        <w:t xml:space="preserve">    </w:t>
      </w:r>
      <w:r>
        <w:rPr>
          <w:rFonts w:hint="eastAsia" w:ascii="宋体" w:hAnsi="宋体"/>
          <w:kern w:val="52"/>
          <w:szCs w:val="21"/>
        </w:rPr>
        <w:t xml:space="preserve">     </w:t>
      </w:r>
      <w:r>
        <w:rPr>
          <w:rFonts w:ascii="宋体" w:hAnsi="宋体"/>
          <w:kern w:val="52"/>
          <w:szCs w:val="21"/>
        </w:rPr>
        <w:t xml:space="preserve"> 传    真：</w:t>
      </w:r>
      <w:r>
        <w:rPr>
          <w:rFonts w:ascii="宋体" w:hAnsi="宋体"/>
          <w:kern w:val="52"/>
          <w:szCs w:val="21"/>
          <w:u w:val="single"/>
        </w:rPr>
        <w:t xml:space="preserve">                      </w:t>
      </w:r>
      <w:r>
        <w:rPr>
          <w:rFonts w:ascii="宋体" w:hAnsi="宋体"/>
          <w:kern w:val="52"/>
          <w:szCs w:val="21"/>
        </w:rPr>
        <w:t xml:space="preserve"> </w:t>
      </w:r>
    </w:p>
    <w:p>
      <w:pPr>
        <w:widowControl/>
        <w:spacing w:line="360" w:lineRule="auto"/>
        <w:ind w:firstLine="420" w:firstLineChars="200"/>
        <w:jc w:val="left"/>
        <w:rPr>
          <w:rFonts w:ascii="宋体" w:hAnsi="宋体"/>
          <w:kern w:val="52"/>
          <w:szCs w:val="21"/>
        </w:rPr>
      </w:pPr>
      <w:r>
        <w:rPr>
          <w:rFonts w:hint="eastAsia" w:ascii="宋体" w:hAnsi="宋体"/>
          <w:kern w:val="52"/>
          <w:szCs w:val="21"/>
        </w:rPr>
        <w:t>开户银行：</w:t>
      </w:r>
      <w:r>
        <w:rPr>
          <w:rFonts w:hint="eastAsia" w:ascii="宋体" w:hAnsi="宋体"/>
          <w:kern w:val="52"/>
          <w:szCs w:val="21"/>
          <w:u w:val="single"/>
        </w:rPr>
        <w:t xml:space="preserve">                      </w:t>
      </w:r>
      <w:r>
        <w:rPr>
          <w:rFonts w:ascii="宋体" w:hAnsi="宋体"/>
          <w:kern w:val="52"/>
          <w:szCs w:val="21"/>
        </w:rPr>
        <w:t xml:space="preserve">      </w:t>
      </w:r>
      <w:r>
        <w:rPr>
          <w:rFonts w:hint="eastAsia" w:ascii="宋体" w:hAnsi="宋体"/>
          <w:kern w:val="52"/>
          <w:szCs w:val="21"/>
        </w:rPr>
        <w:t xml:space="preserve">     </w:t>
      </w:r>
      <w:r>
        <w:rPr>
          <w:rFonts w:ascii="宋体" w:hAnsi="宋体"/>
          <w:kern w:val="52"/>
          <w:szCs w:val="21"/>
        </w:rPr>
        <w:t>开户银行：</w:t>
      </w:r>
      <w:r>
        <w:rPr>
          <w:rFonts w:ascii="宋体" w:hAnsi="宋体"/>
          <w:kern w:val="52"/>
          <w:szCs w:val="21"/>
          <w:u w:val="single"/>
        </w:rPr>
        <w:t xml:space="preserve">                      </w:t>
      </w:r>
      <w:r>
        <w:rPr>
          <w:rFonts w:ascii="宋体" w:hAnsi="宋体"/>
          <w:kern w:val="52"/>
          <w:szCs w:val="21"/>
        </w:rPr>
        <w:t xml:space="preserve"> </w:t>
      </w:r>
    </w:p>
    <w:p>
      <w:pPr>
        <w:widowControl/>
        <w:spacing w:line="360" w:lineRule="auto"/>
        <w:ind w:firstLine="420" w:firstLineChars="200"/>
        <w:jc w:val="left"/>
        <w:rPr>
          <w:rFonts w:ascii="宋体" w:hAnsi="宋体"/>
          <w:kern w:val="52"/>
          <w:szCs w:val="21"/>
        </w:rPr>
      </w:pPr>
      <w:r>
        <w:rPr>
          <w:rFonts w:hint="eastAsia" w:ascii="宋体" w:hAnsi="宋体"/>
          <w:kern w:val="52"/>
          <w:szCs w:val="21"/>
        </w:rPr>
        <w:t>银行账号：</w:t>
      </w:r>
      <w:r>
        <w:rPr>
          <w:rFonts w:ascii="宋体" w:hAnsi="宋体"/>
          <w:kern w:val="52"/>
          <w:szCs w:val="21"/>
          <w:u w:val="single"/>
        </w:rPr>
        <w:t xml:space="preserve"> </w:t>
      </w:r>
      <w:r>
        <w:rPr>
          <w:rFonts w:hint="eastAsia" w:ascii="宋体" w:hAnsi="宋体"/>
          <w:kern w:val="52"/>
          <w:szCs w:val="21"/>
          <w:u w:val="single"/>
        </w:rPr>
        <w:t xml:space="preserve">                  </w:t>
      </w:r>
      <w:r>
        <w:rPr>
          <w:rFonts w:ascii="宋体" w:hAnsi="宋体"/>
          <w:kern w:val="52"/>
          <w:szCs w:val="21"/>
          <w:u w:val="single"/>
        </w:rPr>
        <w:t xml:space="preserve">   </w:t>
      </w:r>
      <w:r>
        <w:rPr>
          <w:rFonts w:ascii="宋体" w:hAnsi="宋体"/>
          <w:kern w:val="52"/>
          <w:szCs w:val="21"/>
        </w:rPr>
        <w:t xml:space="preserve">      </w:t>
      </w:r>
      <w:r>
        <w:rPr>
          <w:rFonts w:hint="eastAsia" w:ascii="宋体" w:hAnsi="宋体"/>
          <w:kern w:val="52"/>
          <w:szCs w:val="21"/>
        </w:rPr>
        <w:t xml:space="preserve">     </w:t>
      </w:r>
      <w:r>
        <w:rPr>
          <w:rFonts w:ascii="宋体" w:hAnsi="宋体"/>
          <w:kern w:val="52"/>
          <w:szCs w:val="21"/>
        </w:rPr>
        <w:t>银行账号：</w:t>
      </w:r>
      <w:r>
        <w:rPr>
          <w:rFonts w:ascii="宋体" w:hAnsi="宋体"/>
          <w:kern w:val="52"/>
          <w:szCs w:val="21"/>
          <w:u w:val="single"/>
        </w:rPr>
        <w:t xml:space="preserve">                       </w:t>
      </w:r>
    </w:p>
    <w:p>
      <w:pPr>
        <w:spacing w:line="360" w:lineRule="auto"/>
        <w:ind w:firstLine="420" w:firstLineChars="200"/>
        <w:rPr>
          <w:rFonts w:ascii="宋体" w:hAnsi="宋体"/>
          <w:kern w:val="52"/>
          <w:szCs w:val="21"/>
          <w:u w:val="single"/>
        </w:rPr>
      </w:pPr>
      <w:r>
        <w:rPr>
          <w:rFonts w:hint="eastAsia" w:ascii="宋体" w:hAnsi="宋体"/>
          <w:kern w:val="52"/>
          <w:szCs w:val="21"/>
        </w:rPr>
        <w:t>税</w:t>
      </w:r>
      <w:r>
        <w:rPr>
          <w:rFonts w:ascii="宋体" w:hAnsi="宋体"/>
          <w:kern w:val="52"/>
          <w:szCs w:val="21"/>
        </w:rPr>
        <w:t xml:space="preserve">    </w:t>
      </w:r>
      <w:r>
        <w:rPr>
          <w:rFonts w:hint="eastAsia" w:ascii="宋体" w:hAnsi="宋体"/>
          <w:kern w:val="52"/>
          <w:szCs w:val="21"/>
        </w:rPr>
        <w:t>号：</w:t>
      </w:r>
      <w:r>
        <w:rPr>
          <w:rFonts w:ascii="宋体" w:hAnsi="宋体"/>
          <w:kern w:val="52"/>
          <w:szCs w:val="21"/>
          <w:u w:val="single"/>
        </w:rPr>
        <w:t xml:space="preserve">  </w:t>
      </w:r>
      <w:r>
        <w:rPr>
          <w:rFonts w:hint="eastAsia" w:ascii="宋体" w:hAnsi="宋体"/>
          <w:kern w:val="52"/>
          <w:szCs w:val="21"/>
          <w:u w:val="single"/>
        </w:rPr>
        <w:t xml:space="preserve">                   </w:t>
      </w:r>
      <w:r>
        <w:rPr>
          <w:rFonts w:ascii="宋体" w:hAnsi="宋体"/>
          <w:kern w:val="52"/>
          <w:szCs w:val="21"/>
          <w:u w:val="single"/>
        </w:rPr>
        <w:t xml:space="preserve">  </w:t>
      </w:r>
      <w:r>
        <w:rPr>
          <w:rFonts w:ascii="宋体" w:hAnsi="宋体"/>
          <w:kern w:val="52"/>
          <w:szCs w:val="21"/>
        </w:rPr>
        <w:t xml:space="preserve">      </w:t>
      </w:r>
      <w:r>
        <w:rPr>
          <w:rFonts w:hint="eastAsia" w:ascii="宋体" w:hAnsi="宋体"/>
          <w:kern w:val="52"/>
          <w:szCs w:val="21"/>
        </w:rPr>
        <w:t xml:space="preserve">     税</w:t>
      </w:r>
      <w:r>
        <w:rPr>
          <w:rFonts w:ascii="宋体" w:hAnsi="宋体"/>
          <w:kern w:val="52"/>
          <w:szCs w:val="21"/>
        </w:rPr>
        <w:t xml:space="preserve">    </w:t>
      </w:r>
      <w:r>
        <w:rPr>
          <w:rFonts w:hint="eastAsia" w:ascii="宋体" w:hAnsi="宋体"/>
          <w:kern w:val="52"/>
          <w:szCs w:val="21"/>
        </w:rPr>
        <w:t>号：</w:t>
      </w:r>
      <w:r>
        <w:rPr>
          <w:rFonts w:ascii="宋体" w:hAnsi="宋体"/>
          <w:kern w:val="52"/>
          <w:szCs w:val="21"/>
          <w:u w:val="single"/>
        </w:rPr>
        <w:t xml:space="preserve">     </w:t>
      </w:r>
      <w:r>
        <w:rPr>
          <w:rFonts w:hint="eastAsia" w:ascii="宋体" w:hAnsi="宋体"/>
          <w:kern w:val="52"/>
          <w:szCs w:val="21"/>
          <w:u w:val="single"/>
        </w:rPr>
        <w:t xml:space="preserve">             </w:t>
      </w:r>
      <w:r>
        <w:rPr>
          <w:rFonts w:ascii="宋体" w:hAnsi="宋体"/>
          <w:kern w:val="52"/>
          <w:szCs w:val="21"/>
          <w:u w:val="single"/>
        </w:rPr>
        <w:t xml:space="preserve">   </w:t>
      </w:r>
    </w:p>
    <w:p>
      <w:pPr>
        <w:spacing w:beforeLines="50" w:afterLines="50"/>
        <w:jc w:val="center"/>
        <w:rPr>
          <w:rFonts w:ascii="宋体" w:hAnsi="宋体" w:cs="宋体"/>
          <w:kern w:val="0"/>
          <w:szCs w:val="21"/>
        </w:rPr>
      </w:pPr>
      <w:bookmarkStart w:id="36" w:name="page51"/>
      <w:bookmarkEnd w:id="36"/>
      <w:bookmarkStart w:id="37" w:name="page61"/>
      <w:bookmarkEnd w:id="37"/>
      <w:bookmarkStart w:id="38" w:name="page66"/>
      <w:bookmarkEnd w:id="38"/>
      <w:bookmarkStart w:id="39" w:name="page64"/>
      <w:bookmarkEnd w:id="39"/>
      <w:bookmarkStart w:id="40" w:name="page73"/>
      <w:bookmarkEnd w:id="40"/>
      <w:bookmarkStart w:id="41" w:name="page57"/>
      <w:bookmarkEnd w:id="41"/>
      <w:bookmarkStart w:id="42" w:name="page50"/>
      <w:bookmarkEnd w:id="42"/>
      <w:bookmarkStart w:id="43" w:name="page63"/>
      <w:bookmarkEnd w:id="43"/>
      <w:bookmarkStart w:id="44" w:name="page56"/>
      <w:bookmarkEnd w:id="44"/>
      <w:bookmarkStart w:id="45" w:name="_bookmark29"/>
      <w:bookmarkEnd w:id="45"/>
      <w:bookmarkStart w:id="46" w:name="page74"/>
      <w:bookmarkEnd w:id="46"/>
      <w:bookmarkStart w:id="47" w:name="page52"/>
      <w:bookmarkEnd w:id="47"/>
      <w:bookmarkStart w:id="48" w:name="_bookmark33"/>
      <w:bookmarkEnd w:id="48"/>
      <w:bookmarkStart w:id="49" w:name="_bookmark23"/>
      <w:bookmarkEnd w:id="49"/>
      <w:bookmarkStart w:id="50" w:name="page71"/>
      <w:bookmarkEnd w:id="50"/>
      <w:bookmarkStart w:id="51" w:name="page54"/>
      <w:bookmarkEnd w:id="51"/>
      <w:bookmarkStart w:id="52" w:name="page53"/>
      <w:bookmarkEnd w:id="52"/>
      <w:bookmarkStart w:id="53" w:name="page67"/>
      <w:bookmarkEnd w:id="53"/>
      <w:bookmarkStart w:id="54" w:name="page58"/>
      <w:bookmarkEnd w:id="54"/>
      <w:bookmarkStart w:id="55" w:name="page70"/>
      <w:bookmarkEnd w:id="55"/>
      <w:bookmarkStart w:id="56" w:name="page48"/>
      <w:bookmarkEnd w:id="56"/>
      <w:bookmarkStart w:id="57" w:name="page76"/>
      <w:bookmarkEnd w:id="57"/>
      <w:bookmarkStart w:id="58" w:name="page72"/>
      <w:bookmarkEnd w:id="58"/>
      <w:bookmarkStart w:id="59" w:name="_bookmark22"/>
      <w:bookmarkEnd w:id="59"/>
      <w:bookmarkStart w:id="60" w:name="_Toc213036229"/>
      <w:bookmarkStart w:id="61" w:name="_Toc209158505"/>
      <w:r>
        <w:rPr>
          <w:rFonts w:ascii="宋体" w:hAnsi="宋体"/>
          <w:b/>
          <w:szCs w:val="21"/>
        </w:rPr>
        <w:br w:type="page"/>
      </w:r>
      <w:bookmarkEnd w:id="60"/>
      <w:bookmarkEnd w:id="61"/>
      <w:r>
        <w:rPr>
          <w:rFonts w:hint="eastAsia" w:ascii="仿宋" w:hAnsi="仿宋" w:eastAsia="仿宋" w:cs="宋体"/>
          <w:kern w:val="0"/>
          <w:szCs w:val="21"/>
        </w:rPr>
        <w:t>人</w:t>
      </w:r>
      <w:r>
        <w:rPr>
          <w:rFonts w:hint="eastAsia" w:ascii="宋体" w:hAnsi="宋体" w:cs="宋体"/>
          <w:kern w:val="0"/>
          <w:szCs w:val="21"/>
        </w:rPr>
        <w:t>民广场周边房屋结构安全跟踪影响监测和对比鉴定项目合同</w:t>
      </w:r>
    </w:p>
    <w:p>
      <w:pPr>
        <w:spacing w:beforeLines="50" w:afterLines="50"/>
        <w:jc w:val="left"/>
        <w:rPr>
          <w:rFonts w:ascii="宋体" w:hAnsi="宋体" w:cs="宋体"/>
          <w:kern w:val="0"/>
          <w:szCs w:val="21"/>
        </w:rPr>
      </w:pPr>
      <w:r>
        <w:rPr>
          <w:rFonts w:hint="eastAsia" w:ascii="宋体" w:hAnsi="宋体" w:cs="宋体"/>
          <w:kern w:val="0"/>
          <w:szCs w:val="21"/>
        </w:rPr>
        <w:t xml:space="preserve">甲方： </w:t>
      </w:r>
    </w:p>
    <w:p>
      <w:pPr>
        <w:spacing w:beforeLines="50" w:afterLines="50"/>
        <w:rPr>
          <w:rFonts w:ascii="宋体" w:hAnsi="宋体" w:cs="宋体"/>
          <w:kern w:val="0"/>
          <w:szCs w:val="21"/>
        </w:rPr>
      </w:pPr>
      <w:r>
        <w:rPr>
          <w:rFonts w:hint="eastAsia" w:ascii="宋体" w:hAnsi="宋体" w:cs="宋体"/>
          <w:kern w:val="0"/>
          <w:szCs w:val="21"/>
        </w:rPr>
        <w:t xml:space="preserve">乙方： </w:t>
      </w:r>
    </w:p>
    <w:p>
      <w:pPr>
        <w:spacing w:beforeLines="50" w:afterLines="50"/>
        <w:rPr>
          <w:rFonts w:ascii="宋体" w:hAnsi="宋体" w:cs="宋体"/>
          <w:kern w:val="0"/>
          <w:szCs w:val="21"/>
        </w:rPr>
      </w:pPr>
      <w:r>
        <w:rPr>
          <w:rFonts w:hint="eastAsia" w:ascii="宋体" w:hAnsi="宋体" w:cs="宋体"/>
          <w:kern w:val="0"/>
          <w:szCs w:val="21"/>
        </w:rPr>
        <w:t xml:space="preserve">甲、乙双方根据《合同法》 人民广场周边房屋结构安全跟踪影响监测和对比鉴定项目（项目编号：   ）    公开招标的结果，甲、乙双方在平等的基础上经充分协商，签署本合同。 </w:t>
      </w:r>
    </w:p>
    <w:p>
      <w:pPr>
        <w:spacing w:beforeLines="50" w:afterLines="50"/>
        <w:rPr>
          <w:rFonts w:ascii="宋体" w:hAnsi="宋体" w:cs="宋体"/>
          <w:kern w:val="0"/>
          <w:szCs w:val="21"/>
        </w:rPr>
      </w:pPr>
      <w:r>
        <w:rPr>
          <w:rFonts w:hint="eastAsia" w:ascii="宋体" w:hAnsi="宋体" w:cs="宋体"/>
          <w:kern w:val="0"/>
          <w:szCs w:val="21"/>
        </w:rPr>
        <w:t>一、项目概况</w:t>
      </w:r>
    </w:p>
    <w:p>
      <w:pPr>
        <w:numPr>
          <w:ilvl w:val="0"/>
          <w:numId w:val="9"/>
        </w:numPr>
        <w:spacing w:beforeLines="50" w:afterLines="50"/>
        <w:rPr>
          <w:rFonts w:ascii="宋体" w:hAnsi="宋体" w:cs="宋体"/>
          <w:kern w:val="0"/>
          <w:szCs w:val="21"/>
        </w:rPr>
      </w:pPr>
      <w:r>
        <w:rPr>
          <w:rFonts w:hint="eastAsia" w:ascii="宋体" w:hAnsi="宋体" w:cs="宋体"/>
          <w:kern w:val="0"/>
          <w:szCs w:val="21"/>
        </w:rPr>
        <w:t xml:space="preserve">项目名称：  </w:t>
      </w:r>
    </w:p>
    <w:p>
      <w:pPr>
        <w:numPr>
          <w:ilvl w:val="0"/>
          <w:numId w:val="9"/>
        </w:numPr>
        <w:spacing w:beforeLines="50" w:afterLines="50"/>
        <w:rPr>
          <w:rFonts w:ascii="宋体" w:hAnsi="宋体" w:cs="宋体"/>
          <w:kern w:val="0"/>
          <w:szCs w:val="21"/>
        </w:rPr>
      </w:pPr>
      <w:r>
        <w:rPr>
          <w:rFonts w:hint="eastAsia" w:ascii="宋体" w:hAnsi="宋体" w:cs="宋体"/>
          <w:kern w:val="0"/>
          <w:szCs w:val="21"/>
        </w:rPr>
        <w:t xml:space="preserve">监测时间： </w:t>
      </w:r>
    </w:p>
    <w:p>
      <w:pPr>
        <w:spacing w:beforeLines="50" w:afterLines="50"/>
        <w:rPr>
          <w:rFonts w:ascii="宋体" w:hAnsi="宋体" w:cs="宋体"/>
          <w:kern w:val="0"/>
          <w:szCs w:val="21"/>
        </w:rPr>
      </w:pPr>
      <w:r>
        <w:rPr>
          <w:rFonts w:hint="eastAsia" w:ascii="宋体" w:hAnsi="宋体" w:cs="宋体"/>
          <w:kern w:val="0"/>
          <w:szCs w:val="21"/>
        </w:rPr>
        <w:t>3、监测内容：</w:t>
      </w:r>
    </w:p>
    <w:p>
      <w:pPr>
        <w:spacing w:beforeLines="50" w:afterLines="50"/>
        <w:ind w:firstLine="420"/>
        <w:rPr>
          <w:rFonts w:ascii="宋体" w:hAnsi="宋体" w:cs="宋体"/>
          <w:kern w:val="0"/>
          <w:szCs w:val="21"/>
        </w:rPr>
      </w:pPr>
      <w:r>
        <w:rPr>
          <w:rFonts w:hint="eastAsia" w:ascii="宋体" w:hAnsi="宋体" w:cs="宋体"/>
          <w:kern w:val="0"/>
          <w:szCs w:val="21"/>
        </w:rPr>
        <w:t>根据《宁波市城市房屋使用安全管理条例》、《浙江省房屋使用安全管理条例》， 施工过程中需对影响范围内的房屋进行安全动态监测，出具监测报告、提出处理建议。通过安全排查动态监测工作，掌握房屋使用安全状况变化、科学指导应急处置、防范出现严重事故，主要内容如下:</w:t>
      </w:r>
    </w:p>
    <w:p>
      <w:pPr>
        <w:spacing w:beforeLines="50" w:afterLines="50"/>
        <w:ind w:firstLine="420"/>
        <w:rPr>
          <w:rFonts w:ascii="宋体" w:hAnsi="宋体" w:cs="宋体"/>
          <w:kern w:val="0"/>
          <w:szCs w:val="21"/>
        </w:rPr>
      </w:pPr>
      <w:r>
        <w:rPr>
          <w:rFonts w:hint="eastAsia" w:ascii="宋体" w:hAnsi="宋体" w:cs="宋体"/>
          <w:kern w:val="0"/>
          <w:szCs w:val="21"/>
        </w:rPr>
        <w:t>4.1房屋户外检查</w:t>
      </w:r>
    </w:p>
    <w:p>
      <w:pPr>
        <w:spacing w:beforeLines="50" w:afterLines="50"/>
        <w:ind w:firstLine="420"/>
        <w:rPr>
          <w:rFonts w:ascii="宋体" w:hAnsi="宋体" w:cs="宋体"/>
          <w:kern w:val="0"/>
          <w:szCs w:val="21"/>
        </w:rPr>
      </w:pPr>
      <w:r>
        <w:rPr>
          <w:rFonts w:hint="eastAsia" w:ascii="宋体" w:hAnsi="宋体" w:cs="宋体"/>
          <w:kern w:val="0"/>
          <w:szCs w:val="21"/>
        </w:rPr>
        <w:fldChar w:fldCharType="begin"/>
      </w:r>
      <w:r>
        <w:rPr>
          <w:rFonts w:hint="eastAsia" w:ascii="宋体" w:hAnsi="宋体" w:cs="宋体"/>
          <w:kern w:val="0"/>
          <w:szCs w:val="21"/>
        </w:rPr>
        <w:instrText xml:space="preserve"> = 1 \* GB3 </w:instrText>
      </w:r>
      <w:r>
        <w:rPr>
          <w:rFonts w:hint="eastAsia" w:ascii="宋体" w:hAnsi="宋体" w:cs="宋体"/>
          <w:kern w:val="0"/>
          <w:szCs w:val="21"/>
        </w:rPr>
        <w:fldChar w:fldCharType="separate"/>
      </w:r>
      <w:r>
        <w:rPr>
          <w:rFonts w:hint="eastAsia" w:ascii="宋体" w:hAnsi="宋体" w:cs="宋体"/>
          <w:kern w:val="0"/>
          <w:szCs w:val="21"/>
        </w:rPr>
        <w:t>①</w:t>
      </w:r>
      <w:r>
        <w:rPr>
          <w:rFonts w:hint="eastAsia" w:ascii="宋体" w:hAnsi="宋体" w:cs="宋体"/>
          <w:kern w:val="0"/>
          <w:szCs w:val="21"/>
        </w:rPr>
        <w:fldChar w:fldCharType="end"/>
      </w:r>
      <w:r>
        <w:rPr>
          <w:rFonts w:hint="eastAsia" w:ascii="宋体" w:hAnsi="宋体" w:cs="宋体"/>
          <w:kern w:val="0"/>
          <w:szCs w:val="21"/>
        </w:rPr>
        <w:t>与相连的附属建筑物有无异常情况；</w:t>
      </w:r>
    </w:p>
    <w:p>
      <w:pPr>
        <w:spacing w:beforeLines="50" w:afterLines="50"/>
        <w:ind w:firstLine="420"/>
        <w:rPr>
          <w:rFonts w:ascii="宋体" w:hAnsi="宋体" w:cs="宋体"/>
          <w:kern w:val="0"/>
          <w:szCs w:val="21"/>
        </w:rPr>
      </w:pPr>
      <w:r>
        <w:rPr>
          <w:rFonts w:hint="eastAsia" w:ascii="宋体" w:hAnsi="宋体" w:cs="宋体"/>
          <w:kern w:val="0"/>
          <w:szCs w:val="21"/>
        </w:rPr>
        <w:fldChar w:fldCharType="begin"/>
      </w:r>
      <w:r>
        <w:rPr>
          <w:rFonts w:hint="eastAsia" w:ascii="宋体" w:hAnsi="宋体" w:cs="宋体"/>
          <w:kern w:val="0"/>
          <w:szCs w:val="21"/>
        </w:rPr>
        <w:instrText xml:space="preserve"> = 2 \* GB3 </w:instrText>
      </w:r>
      <w:r>
        <w:rPr>
          <w:rFonts w:hint="eastAsia" w:ascii="宋体" w:hAnsi="宋体" w:cs="宋体"/>
          <w:kern w:val="0"/>
          <w:szCs w:val="21"/>
        </w:rPr>
        <w:fldChar w:fldCharType="separate"/>
      </w:r>
      <w:r>
        <w:rPr>
          <w:rFonts w:hint="eastAsia" w:ascii="宋体" w:hAnsi="宋体" w:cs="宋体"/>
          <w:kern w:val="0"/>
          <w:szCs w:val="21"/>
        </w:rPr>
        <w:t>②</w:t>
      </w:r>
      <w:r>
        <w:rPr>
          <w:rFonts w:hint="eastAsia" w:ascii="宋体" w:hAnsi="宋体" w:cs="宋体"/>
          <w:kern w:val="0"/>
          <w:szCs w:val="21"/>
        </w:rPr>
        <w:fldChar w:fldCharType="end"/>
      </w:r>
      <w:r>
        <w:rPr>
          <w:rFonts w:hint="eastAsia" w:ascii="宋体" w:hAnsi="宋体" w:cs="宋体"/>
          <w:kern w:val="0"/>
          <w:szCs w:val="21"/>
        </w:rPr>
        <w:t>砌体查看：通过砌筑砂浆强度、饱满度、砌块强度及墙体粉刷风化情况，根据技术人员的经验初步判断墙体整体强度情况；</w:t>
      </w:r>
    </w:p>
    <w:p>
      <w:pPr>
        <w:spacing w:beforeLines="50" w:afterLines="50"/>
        <w:ind w:firstLine="420"/>
        <w:rPr>
          <w:rFonts w:ascii="宋体" w:hAnsi="宋体" w:cs="宋体"/>
          <w:kern w:val="0"/>
          <w:szCs w:val="21"/>
        </w:rPr>
      </w:pPr>
      <w:r>
        <w:rPr>
          <w:rFonts w:hint="eastAsia" w:ascii="宋体" w:hAnsi="宋体" w:cs="宋体"/>
          <w:kern w:val="0"/>
          <w:szCs w:val="21"/>
        </w:rPr>
        <w:fldChar w:fldCharType="begin"/>
      </w:r>
      <w:r>
        <w:rPr>
          <w:rFonts w:hint="eastAsia" w:ascii="宋体" w:hAnsi="宋体" w:cs="宋体"/>
          <w:kern w:val="0"/>
          <w:szCs w:val="21"/>
        </w:rPr>
        <w:instrText xml:space="preserve"> = 3 \* GB3 </w:instrText>
      </w:r>
      <w:r>
        <w:rPr>
          <w:rFonts w:hint="eastAsia" w:ascii="宋体" w:hAnsi="宋体" w:cs="宋体"/>
          <w:kern w:val="0"/>
          <w:szCs w:val="21"/>
        </w:rPr>
        <w:fldChar w:fldCharType="separate"/>
      </w:r>
      <w:r>
        <w:rPr>
          <w:rFonts w:hint="eastAsia" w:ascii="宋体" w:hAnsi="宋体" w:cs="宋体"/>
          <w:kern w:val="0"/>
          <w:szCs w:val="21"/>
        </w:rPr>
        <w:t>③</w:t>
      </w:r>
      <w:r>
        <w:rPr>
          <w:rFonts w:hint="eastAsia" w:ascii="宋体" w:hAnsi="宋体" w:cs="宋体"/>
          <w:kern w:val="0"/>
          <w:szCs w:val="21"/>
        </w:rPr>
        <w:fldChar w:fldCharType="end"/>
      </w:r>
      <w:r>
        <w:rPr>
          <w:rFonts w:hint="eastAsia" w:ascii="宋体" w:hAnsi="宋体" w:cs="宋体"/>
          <w:kern w:val="0"/>
          <w:szCs w:val="21"/>
        </w:rPr>
        <w:t>混凝体老化：混凝土是否有变形、崩裂现象，钢筋是否锈蚀；</w:t>
      </w:r>
    </w:p>
    <w:p>
      <w:pPr>
        <w:spacing w:beforeLines="50" w:afterLines="50"/>
        <w:ind w:firstLine="420"/>
        <w:rPr>
          <w:rFonts w:ascii="宋体" w:hAnsi="宋体" w:cs="宋体"/>
          <w:kern w:val="0"/>
          <w:szCs w:val="21"/>
        </w:rPr>
      </w:pPr>
      <w:r>
        <w:rPr>
          <w:rFonts w:hint="eastAsia" w:ascii="宋体" w:hAnsi="宋体" w:cs="宋体"/>
          <w:kern w:val="0"/>
          <w:szCs w:val="21"/>
        </w:rPr>
        <w:fldChar w:fldCharType="begin"/>
      </w:r>
      <w:r>
        <w:rPr>
          <w:rFonts w:hint="eastAsia" w:ascii="宋体" w:hAnsi="宋体" w:cs="宋体"/>
          <w:kern w:val="0"/>
          <w:szCs w:val="21"/>
        </w:rPr>
        <w:instrText xml:space="preserve"> = 4 \* GB3 </w:instrText>
      </w:r>
      <w:r>
        <w:rPr>
          <w:rFonts w:hint="eastAsia" w:ascii="宋体" w:hAnsi="宋体" w:cs="宋体"/>
          <w:kern w:val="0"/>
          <w:szCs w:val="21"/>
        </w:rPr>
        <w:fldChar w:fldCharType="separate"/>
      </w:r>
      <w:r>
        <w:rPr>
          <w:rFonts w:hint="eastAsia" w:ascii="宋体" w:hAnsi="宋体" w:cs="宋体"/>
          <w:kern w:val="0"/>
          <w:szCs w:val="21"/>
        </w:rPr>
        <w:t>④</w:t>
      </w:r>
      <w:r>
        <w:rPr>
          <w:rFonts w:hint="eastAsia" w:ascii="宋体" w:hAnsi="宋体" w:cs="宋体"/>
          <w:kern w:val="0"/>
          <w:szCs w:val="21"/>
        </w:rPr>
        <w:fldChar w:fldCharType="end"/>
      </w:r>
      <w:r>
        <w:rPr>
          <w:rFonts w:hint="eastAsia" w:ascii="宋体" w:hAnsi="宋体" w:cs="宋体"/>
          <w:kern w:val="0"/>
          <w:szCs w:val="21"/>
        </w:rPr>
        <w:t>房屋周边环境是否发生影响安全使用的变化；</w:t>
      </w:r>
    </w:p>
    <w:p>
      <w:pPr>
        <w:spacing w:beforeLines="50" w:afterLines="50"/>
        <w:ind w:firstLine="420"/>
        <w:rPr>
          <w:rFonts w:ascii="宋体" w:hAnsi="宋体" w:cs="宋体"/>
          <w:kern w:val="0"/>
          <w:szCs w:val="21"/>
        </w:rPr>
      </w:pPr>
      <w:r>
        <w:rPr>
          <w:rFonts w:hint="eastAsia" w:ascii="宋体" w:hAnsi="宋体" w:cs="宋体"/>
          <w:kern w:val="0"/>
          <w:szCs w:val="21"/>
        </w:rPr>
        <w:fldChar w:fldCharType="begin"/>
      </w:r>
      <w:r>
        <w:rPr>
          <w:rFonts w:hint="eastAsia" w:ascii="宋体" w:hAnsi="宋体" w:cs="宋体"/>
          <w:kern w:val="0"/>
          <w:szCs w:val="21"/>
        </w:rPr>
        <w:instrText xml:space="preserve"> = 5 \* GB3 </w:instrText>
      </w:r>
      <w:r>
        <w:rPr>
          <w:rFonts w:hint="eastAsia" w:ascii="宋体" w:hAnsi="宋体" w:cs="宋体"/>
          <w:kern w:val="0"/>
          <w:szCs w:val="21"/>
        </w:rPr>
        <w:fldChar w:fldCharType="separate"/>
      </w:r>
      <w:r>
        <w:rPr>
          <w:rFonts w:hint="eastAsia" w:ascii="宋体" w:hAnsi="宋体" w:cs="宋体"/>
          <w:kern w:val="0"/>
          <w:szCs w:val="21"/>
        </w:rPr>
        <w:t>⑤</w:t>
      </w:r>
      <w:r>
        <w:rPr>
          <w:rFonts w:hint="eastAsia" w:ascii="宋体" w:hAnsi="宋体" w:cs="宋体"/>
          <w:kern w:val="0"/>
          <w:szCs w:val="21"/>
        </w:rPr>
        <w:fldChar w:fldCharType="end"/>
      </w:r>
      <w:r>
        <w:rPr>
          <w:rFonts w:hint="eastAsia" w:ascii="宋体" w:hAnsi="宋体" w:cs="宋体"/>
          <w:kern w:val="0"/>
          <w:szCs w:val="21"/>
        </w:rPr>
        <w:t>房屋出现了其他异常现象。</w:t>
      </w:r>
    </w:p>
    <w:p>
      <w:pPr>
        <w:spacing w:beforeLines="50" w:afterLines="50"/>
        <w:ind w:firstLine="420"/>
        <w:rPr>
          <w:rFonts w:ascii="宋体" w:hAnsi="宋体" w:cs="宋体"/>
          <w:kern w:val="0"/>
          <w:szCs w:val="21"/>
        </w:rPr>
      </w:pPr>
      <w:r>
        <w:rPr>
          <w:rFonts w:hint="eastAsia" w:ascii="宋体" w:hAnsi="宋体" w:cs="宋体"/>
          <w:kern w:val="0"/>
          <w:szCs w:val="21"/>
        </w:rPr>
        <w:t>4.2 入户检查</w:t>
      </w:r>
    </w:p>
    <w:p>
      <w:pPr>
        <w:spacing w:beforeLines="50" w:afterLines="50"/>
        <w:ind w:firstLine="420"/>
        <w:rPr>
          <w:rFonts w:ascii="宋体" w:hAnsi="宋体" w:cs="宋体"/>
          <w:kern w:val="0"/>
          <w:szCs w:val="21"/>
        </w:rPr>
      </w:pPr>
      <w:r>
        <w:rPr>
          <w:rFonts w:hint="eastAsia" w:ascii="宋体" w:hAnsi="宋体" w:cs="宋体"/>
          <w:kern w:val="0"/>
          <w:szCs w:val="21"/>
        </w:rPr>
        <w:fldChar w:fldCharType="begin"/>
      </w:r>
      <w:r>
        <w:rPr>
          <w:rFonts w:hint="eastAsia" w:ascii="宋体" w:hAnsi="宋体" w:cs="宋体"/>
          <w:kern w:val="0"/>
          <w:szCs w:val="21"/>
        </w:rPr>
        <w:instrText xml:space="preserve"> = 1 \* GB3 </w:instrText>
      </w:r>
      <w:r>
        <w:rPr>
          <w:rFonts w:hint="eastAsia" w:ascii="宋体" w:hAnsi="宋体" w:cs="宋体"/>
          <w:kern w:val="0"/>
          <w:szCs w:val="21"/>
        </w:rPr>
        <w:fldChar w:fldCharType="separate"/>
      </w:r>
      <w:r>
        <w:rPr>
          <w:rFonts w:hint="eastAsia" w:ascii="宋体" w:hAnsi="宋体" w:cs="宋体"/>
          <w:kern w:val="0"/>
          <w:szCs w:val="21"/>
        </w:rPr>
        <w:t>①</w:t>
      </w:r>
      <w:r>
        <w:rPr>
          <w:rFonts w:hint="eastAsia" w:ascii="宋体" w:hAnsi="宋体" w:cs="宋体"/>
          <w:kern w:val="0"/>
          <w:szCs w:val="21"/>
        </w:rPr>
        <w:fldChar w:fldCharType="end"/>
      </w:r>
      <w:r>
        <w:rPr>
          <w:rFonts w:hint="eastAsia" w:ascii="宋体" w:hAnsi="宋体" w:cs="宋体"/>
          <w:kern w:val="0"/>
          <w:szCs w:val="21"/>
        </w:rPr>
        <w:t>户内承重墙体开洞位置、洞口大小；</w:t>
      </w:r>
    </w:p>
    <w:p>
      <w:pPr>
        <w:spacing w:beforeLines="50" w:afterLines="50"/>
        <w:ind w:firstLine="420"/>
        <w:rPr>
          <w:rFonts w:ascii="宋体" w:hAnsi="宋体" w:cs="宋体"/>
          <w:kern w:val="0"/>
          <w:szCs w:val="21"/>
        </w:rPr>
      </w:pPr>
      <w:r>
        <w:rPr>
          <w:rFonts w:hint="eastAsia" w:ascii="宋体" w:hAnsi="宋体" w:cs="宋体"/>
          <w:kern w:val="0"/>
          <w:szCs w:val="21"/>
        </w:rPr>
        <w:fldChar w:fldCharType="begin"/>
      </w:r>
      <w:r>
        <w:rPr>
          <w:rFonts w:hint="eastAsia" w:ascii="宋体" w:hAnsi="宋体" w:cs="宋体"/>
          <w:kern w:val="0"/>
          <w:szCs w:val="21"/>
        </w:rPr>
        <w:instrText xml:space="preserve"> = 2 \* GB3 </w:instrText>
      </w:r>
      <w:r>
        <w:rPr>
          <w:rFonts w:hint="eastAsia" w:ascii="宋体" w:hAnsi="宋体" w:cs="宋体"/>
          <w:kern w:val="0"/>
          <w:szCs w:val="21"/>
        </w:rPr>
        <w:fldChar w:fldCharType="separate"/>
      </w:r>
      <w:r>
        <w:rPr>
          <w:rFonts w:hint="eastAsia" w:ascii="宋体" w:hAnsi="宋体" w:cs="宋体"/>
          <w:kern w:val="0"/>
          <w:szCs w:val="21"/>
        </w:rPr>
        <w:t>②</w:t>
      </w:r>
      <w:r>
        <w:rPr>
          <w:rFonts w:hint="eastAsia" w:ascii="宋体" w:hAnsi="宋体" w:cs="宋体"/>
          <w:kern w:val="0"/>
          <w:szCs w:val="21"/>
        </w:rPr>
        <w:fldChar w:fldCharType="end"/>
      </w:r>
      <w:r>
        <w:rPr>
          <w:rFonts w:hint="eastAsia" w:ascii="宋体" w:hAnsi="宋体" w:cs="宋体"/>
          <w:kern w:val="0"/>
          <w:szCs w:val="21"/>
        </w:rPr>
        <w:t>装修情况，特别是上下楼层之间的装修对比，检查是否有装修改变原结构体系的情况；</w:t>
      </w:r>
    </w:p>
    <w:p>
      <w:pPr>
        <w:spacing w:beforeLines="50" w:afterLines="50"/>
        <w:ind w:firstLine="420"/>
        <w:rPr>
          <w:rFonts w:ascii="宋体" w:hAnsi="宋体" w:cs="宋体"/>
          <w:kern w:val="0"/>
          <w:szCs w:val="21"/>
        </w:rPr>
      </w:pPr>
      <w:r>
        <w:rPr>
          <w:rFonts w:hint="eastAsia" w:ascii="宋体" w:hAnsi="宋体" w:cs="宋体"/>
          <w:kern w:val="0"/>
          <w:szCs w:val="21"/>
        </w:rPr>
        <w:fldChar w:fldCharType="begin"/>
      </w:r>
      <w:r>
        <w:rPr>
          <w:rFonts w:hint="eastAsia" w:ascii="宋体" w:hAnsi="宋体" w:cs="宋体"/>
          <w:kern w:val="0"/>
          <w:szCs w:val="21"/>
        </w:rPr>
        <w:instrText xml:space="preserve"> = 3 \* GB3 </w:instrText>
      </w:r>
      <w:r>
        <w:rPr>
          <w:rFonts w:hint="eastAsia" w:ascii="宋体" w:hAnsi="宋体" w:cs="宋体"/>
          <w:kern w:val="0"/>
          <w:szCs w:val="21"/>
        </w:rPr>
        <w:fldChar w:fldCharType="separate"/>
      </w:r>
      <w:r>
        <w:rPr>
          <w:rFonts w:hint="eastAsia" w:ascii="宋体" w:hAnsi="宋体" w:cs="宋体"/>
          <w:kern w:val="0"/>
          <w:szCs w:val="21"/>
        </w:rPr>
        <w:t>③</w:t>
      </w:r>
      <w:r>
        <w:rPr>
          <w:rFonts w:hint="eastAsia" w:ascii="宋体" w:hAnsi="宋体" w:cs="宋体"/>
          <w:kern w:val="0"/>
          <w:szCs w:val="21"/>
        </w:rPr>
        <w:fldChar w:fldCharType="end"/>
      </w:r>
      <w:r>
        <w:rPr>
          <w:rFonts w:hint="eastAsia" w:ascii="宋体" w:hAnsi="宋体" w:cs="宋体"/>
          <w:kern w:val="0"/>
          <w:szCs w:val="21"/>
        </w:rPr>
        <w:t>卫生间加高情况、墙体是否移动位置、多孔板开孔等；</w:t>
      </w:r>
    </w:p>
    <w:p>
      <w:pPr>
        <w:spacing w:beforeLines="50" w:afterLines="50"/>
        <w:ind w:firstLine="420"/>
        <w:rPr>
          <w:rFonts w:ascii="宋体" w:hAnsi="宋体" w:cs="宋体"/>
          <w:kern w:val="0"/>
          <w:szCs w:val="21"/>
        </w:rPr>
      </w:pPr>
      <w:r>
        <w:rPr>
          <w:rFonts w:hint="eastAsia" w:ascii="宋体" w:hAnsi="宋体" w:cs="宋体"/>
          <w:kern w:val="0"/>
          <w:szCs w:val="21"/>
        </w:rPr>
        <w:t>4.3 结构裂缝</w:t>
      </w:r>
    </w:p>
    <w:p>
      <w:pPr>
        <w:spacing w:beforeLines="50" w:afterLines="50"/>
        <w:ind w:firstLine="420"/>
        <w:rPr>
          <w:rFonts w:ascii="宋体" w:hAnsi="宋体" w:cs="宋体"/>
          <w:kern w:val="0"/>
          <w:szCs w:val="21"/>
        </w:rPr>
      </w:pPr>
      <w:r>
        <w:rPr>
          <w:rFonts w:hint="eastAsia" w:ascii="宋体" w:hAnsi="宋体" w:cs="宋体"/>
          <w:kern w:val="0"/>
          <w:szCs w:val="21"/>
        </w:rPr>
        <w:fldChar w:fldCharType="begin"/>
      </w:r>
      <w:r>
        <w:rPr>
          <w:rFonts w:hint="eastAsia" w:ascii="宋体" w:hAnsi="宋体" w:cs="宋体"/>
          <w:kern w:val="0"/>
          <w:szCs w:val="21"/>
        </w:rPr>
        <w:instrText xml:space="preserve"> = 1 \* GB3 </w:instrText>
      </w:r>
      <w:r>
        <w:rPr>
          <w:rFonts w:hint="eastAsia" w:ascii="宋体" w:hAnsi="宋体" w:cs="宋体"/>
          <w:kern w:val="0"/>
          <w:szCs w:val="21"/>
        </w:rPr>
        <w:fldChar w:fldCharType="separate"/>
      </w:r>
      <w:r>
        <w:rPr>
          <w:rFonts w:hint="eastAsia" w:ascii="宋体" w:hAnsi="宋体" w:cs="宋体"/>
          <w:kern w:val="0"/>
          <w:szCs w:val="21"/>
        </w:rPr>
        <w:t>①</w:t>
      </w:r>
      <w:r>
        <w:rPr>
          <w:rFonts w:hint="eastAsia" w:ascii="宋体" w:hAnsi="宋体" w:cs="宋体"/>
          <w:kern w:val="0"/>
          <w:szCs w:val="21"/>
        </w:rPr>
        <w:fldChar w:fldCharType="end"/>
      </w:r>
      <w:r>
        <w:rPr>
          <w:rFonts w:hint="eastAsia" w:ascii="宋体" w:hAnsi="宋体" w:cs="宋体"/>
          <w:kern w:val="0"/>
          <w:szCs w:val="21"/>
        </w:rPr>
        <w:t>记录及标识已有结构裂缝；跟踪检查裂缝发展情况，并判断裂缝发展趋势；</w:t>
      </w:r>
    </w:p>
    <w:p>
      <w:pPr>
        <w:spacing w:beforeLines="50" w:afterLines="50"/>
        <w:ind w:firstLine="420"/>
        <w:rPr>
          <w:rFonts w:ascii="宋体" w:hAnsi="宋体" w:cs="宋体"/>
          <w:kern w:val="0"/>
          <w:szCs w:val="21"/>
        </w:rPr>
      </w:pPr>
      <w:r>
        <w:rPr>
          <w:rFonts w:hint="eastAsia" w:ascii="宋体" w:hAnsi="宋体" w:cs="宋体"/>
          <w:kern w:val="0"/>
          <w:szCs w:val="21"/>
        </w:rPr>
        <w:fldChar w:fldCharType="begin"/>
      </w:r>
      <w:r>
        <w:rPr>
          <w:rFonts w:hint="eastAsia" w:ascii="宋体" w:hAnsi="宋体" w:cs="宋体"/>
          <w:kern w:val="0"/>
          <w:szCs w:val="21"/>
        </w:rPr>
        <w:instrText xml:space="preserve"> = 2 \* GB3 </w:instrText>
      </w:r>
      <w:r>
        <w:rPr>
          <w:rFonts w:hint="eastAsia" w:ascii="宋体" w:hAnsi="宋体" w:cs="宋体"/>
          <w:kern w:val="0"/>
          <w:szCs w:val="21"/>
        </w:rPr>
        <w:fldChar w:fldCharType="separate"/>
      </w:r>
      <w:r>
        <w:rPr>
          <w:rFonts w:hint="eastAsia" w:ascii="宋体" w:hAnsi="宋体" w:cs="宋体"/>
          <w:kern w:val="0"/>
          <w:szCs w:val="21"/>
        </w:rPr>
        <w:t>②</w:t>
      </w:r>
      <w:r>
        <w:rPr>
          <w:rFonts w:hint="eastAsia" w:ascii="宋体" w:hAnsi="宋体" w:cs="宋体"/>
          <w:kern w:val="0"/>
          <w:szCs w:val="21"/>
        </w:rPr>
        <w:fldChar w:fldCharType="end"/>
      </w:r>
      <w:r>
        <w:rPr>
          <w:rFonts w:hint="eastAsia" w:ascii="宋体" w:hAnsi="宋体" w:cs="宋体"/>
          <w:kern w:val="0"/>
          <w:szCs w:val="21"/>
        </w:rPr>
        <w:t>仔细观察悬挑构件根部有无细微裂缝情况；</w:t>
      </w:r>
    </w:p>
    <w:p>
      <w:pPr>
        <w:spacing w:beforeLines="50" w:afterLines="50"/>
        <w:ind w:firstLine="420"/>
        <w:rPr>
          <w:rFonts w:ascii="宋体" w:hAnsi="宋体" w:cs="宋体"/>
          <w:kern w:val="0"/>
          <w:szCs w:val="21"/>
        </w:rPr>
      </w:pPr>
      <w:r>
        <w:rPr>
          <w:rFonts w:hint="eastAsia" w:ascii="宋体" w:hAnsi="宋体" w:cs="宋体"/>
          <w:kern w:val="0"/>
          <w:szCs w:val="21"/>
        </w:rPr>
        <w:fldChar w:fldCharType="begin"/>
      </w:r>
      <w:r>
        <w:rPr>
          <w:rFonts w:hint="eastAsia" w:ascii="宋体" w:hAnsi="宋体" w:cs="宋体"/>
          <w:kern w:val="0"/>
          <w:szCs w:val="21"/>
        </w:rPr>
        <w:instrText xml:space="preserve"> = 3 \* GB3 </w:instrText>
      </w:r>
      <w:r>
        <w:rPr>
          <w:rFonts w:hint="eastAsia" w:ascii="宋体" w:hAnsi="宋体" w:cs="宋体"/>
          <w:kern w:val="0"/>
          <w:szCs w:val="21"/>
        </w:rPr>
        <w:fldChar w:fldCharType="separate"/>
      </w:r>
      <w:r>
        <w:rPr>
          <w:rFonts w:hint="eastAsia" w:ascii="宋体" w:hAnsi="宋体" w:cs="宋体"/>
          <w:kern w:val="0"/>
          <w:szCs w:val="21"/>
        </w:rPr>
        <w:t>③</w:t>
      </w:r>
      <w:r>
        <w:rPr>
          <w:rFonts w:hint="eastAsia" w:ascii="宋体" w:hAnsi="宋体" w:cs="宋体"/>
          <w:kern w:val="0"/>
          <w:szCs w:val="21"/>
        </w:rPr>
        <w:fldChar w:fldCharType="end"/>
      </w:r>
      <w:r>
        <w:rPr>
          <w:rFonts w:hint="eastAsia" w:ascii="宋体" w:hAnsi="宋体" w:cs="宋体"/>
          <w:kern w:val="0"/>
          <w:szCs w:val="21"/>
        </w:rPr>
        <w:t>房屋其他承重结构有无新结构性裂缝，特别是在结构薄弱部位寻找结构裂缝；</w:t>
      </w:r>
    </w:p>
    <w:p>
      <w:pPr>
        <w:spacing w:beforeLines="50" w:afterLines="50"/>
        <w:ind w:firstLine="420"/>
        <w:rPr>
          <w:rFonts w:ascii="宋体" w:hAnsi="宋体" w:cs="宋体"/>
          <w:kern w:val="0"/>
          <w:szCs w:val="21"/>
        </w:rPr>
      </w:pPr>
      <w:r>
        <w:rPr>
          <w:rFonts w:hint="eastAsia" w:ascii="宋体" w:hAnsi="宋体" w:cs="宋体"/>
          <w:kern w:val="0"/>
          <w:szCs w:val="21"/>
        </w:rPr>
        <w:t>每条裂缝绘出裂缝的位置，进行统一编号、形状和尺寸，注明日期并附上照片资料。当发现石膏饼开裂时应立即在靠近开裂石膏处补贴新石膏饼。</w:t>
      </w:r>
    </w:p>
    <w:p>
      <w:pPr>
        <w:spacing w:beforeLines="50" w:afterLines="50"/>
        <w:ind w:firstLine="420"/>
        <w:rPr>
          <w:rFonts w:ascii="宋体" w:hAnsi="宋体" w:cs="宋体"/>
          <w:kern w:val="0"/>
          <w:szCs w:val="21"/>
        </w:rPr>
      </w:pPr>
      <w:r>
        <w:rPr>
          <w:rFonts w:hint="eastAsia" w:ascii="宋体" w:hAnsi="宋体" w:cs="宋体"/>
          <w:kern w:val="0"/>
          <w:szCs w:val="21"/>
        </w:rPr>
        <w:t>4.4 倾斜、沉降测量</w:t>
      </w:r>
    </w:p>
    <w:p>
      <w:pPr>
        <w:spacing w:beforeLines="50" w:afterLines="50"/>
        <w:ind w:firstLine="420"/>
        <w:rPr>
          <w:rFonts w:ascii="宋体" w:hAnsi="宋体" w:cs="宋体"/>
          <w:kern w:val="0"/>
          <w:szCs w:val="21"/>
        </w:rPr>
      </w:pPr>
      <w:r>
        <w:rPr>
          <w:rFonts w:hint="eastAsia" w:ascii="宋体" w:hAnsi="宋体" w:cs="宋体"/>
          <w:kern w:val="0"/>
          <w:szCs w:val="21"/>
        </w:rPr>
        <w:t>按国家相关规定执行</w:t>
      </w:r>
    </w:p>
    <w:p>
      <w:pPr>
        <w:spacing w:beforeLines="50" w:afterLines="50"/>
        <w:ind w:firstLine="420"/>
        <w:rPr>
          <w:rFonts w:ascii="宋体" w:hAnsi="宋体" w:cs="宋体"/>
          <w:kern w:val="0"/>
          <w:szCs w:val="21"/>
        </w:rPr>
      </w:pPr>
      <w:r>
        <w:rPr>
          <w:rFonts w:hint="eastAsia" w:ascii="宋体" w:hAnsi="宋体" w:cs="宋体"/>
          <w:kern w:val="0"/>
          <w:szCs w:val="21"/>
        </w:rPr>
        <w:t>4.5实时监测</w:t>
      </w:r>
    </w:p>
    <w:p>
      <w:pPr>
        <w:spacing w:beforeLines="50" w:afterLines="50"/>
        <w:ind w:firstLine="420"/>
        <w:rPr>
          <w:rFonts w:ascii="宋体" w:hAnsi="宋体" w:cs="宋体"/>
          <w:kern w:val="0"/>
          <w:szCs w:val="21"/>
        </w:rPr>
      </w:pPr>
      <w:r>
        <w:rPr>
          <w:rFonts w:hint="eastAsia" w:ascii="宋体" w:hAnsi="宋体" w:cs="宋体"/>
          <w:kern w:val="0"/>
          <w:szCs w:val="21"/>
        </w:rPr>
        <w:t>采用倾斜及裂缝实时监测系统对房屋进行安全监测。</w:t>
      </w:r>
    </w:p>
    <w:p>
      <w:pPr>
        <w:pStyle w:val="2"/>
      </w:pPr>
    </w:p>
    <w:p>
      <w:pPr>
        <w:pStyle w:val="2"/>
      </w:pPr>
    </w:p>
    <w:p>
      <w:pPr>
        <w:pStyle w:val="2"/>
      </w:pPr>
    </w:p>
    <w:p>
      <w:pPr>
        <w:pStyle w:val="2"/>
      </w:pPr>
    </w:p>
    <w:p>
      <w:pPr>
        <w:pStyle w:val="2"/>
      </w:pPr>
    </w:p>
    <w:p>
      <w:pPr>
        <w:pStyle w:val="2"/>
      </w:pPr>
    </w:p>
    <w:p>
      <w:pPr>
        <w:numPr>
          <w:ilvl w:val="0"/>
          <w:numId w:val="10"/>
        </w:numPr>
        <w:spacing w:beforeLines="50" w:afterLines="50"/>
        <w:rPr>
          <w:rFonts w:ascii="宋体" w:hAnsi="宋体" w:cs="宋体"/>
          <w:kern w:val="0"/>
          <w:szCs w:val="21"/>
        </w:rPr>
      </w:pPr>
      <w:r>
        <w:rPr>
          <w:rFonts w:hint="eastAsia" w:ascii="宋体" w:hAnsi="宋体" w:cs="宋体"/>
          <w:kern w:val="0"/>
          <w:szCs w:val="21"/>
        </w:rPr>
        <w:t>合同价款</w:t>
      </w:r>
    </w:p>
    <w:tbl>
      <w:tblPr>
        <w:tblStyle w:val="38"/>
        <w:tblW w:w="9357" w:type="dxa"/>
        <w:tblInd w:w="15" w:type="dxa"/>
        <w:tblLayout w:type="fixed"/>
        <w:tblCellMar>
          <w:top w:w="0" w:type="dxa"/>
          <w:left w:w="0" w:type="dxa"/>
          <w:bottom w:w="0" w:type="dxa"/>
          <w:right w:w="0" w:type="dxa"/>
        </w:tblCellMar>
      </w:tblPr>
      <w:tblGrid>
        <w:gridCol w:w="2585"/>
        <w:gridCol w:w="900"/>
        <w:gridCol w:w="3057"/>
        <w:gridCol w:w="1254"/>
        <w:gridCol w:w="1561"/>
      </w:tblGrid>
      <w:tr>
        <w:tblPrEx>
          <w:tblCellMar>
            <w:top w:w="0" w:type="dxa"/>
            <w:left w:w="0" w:type="dxa"/>
            <w:bottom w:w="0" w:type="dxa"/>
            <w:right w:w="0" w:type="dxa"/>
          </w:tblCellMar>
        </w:tblPrEx>
        <w:trPr>
          <w:trHeight w:val="544" w:hRule="atLeast"/>
        </w:trPr>
        <w:tc>
          <w:tcPr>
            <w:tcW w:w="2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firstLine="480"/>
              <w:jc w:val="center"/>
              <w:rPr>
                <w:rFonts w:ascii="宋体" w:hAnsi="宋体" w:cs="宋体"/>
              </w:rPr>
            </w:pP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rPr>
            </w:pPr>
            <w:r>
              <w:rPr>
                <w:rFonts w:hint="eastAsia" w:ascii="宋体" w:hAnsi="宋体" w:cs="宋体"/>
                <w:kern w:val="0"/>
              </w:rPr>
              <w:t>点数</w:t>
            </w:r>
          </w:p>
        </w:tc>
        <w:tc>
          <w:tcPr>
            <w:tcW w:w="30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rPr>
            </w:pPr>
            <w:r>
              <w:rPr>
                <w:rFonts w:hint="eastAsia" w:ascii="宋体" w:hAnsi="宋体" w:cs="宋体"/>
                <w:kern w:val="0"/>
              </w:rPr>
              <w:t>综合单价</w:t>
            </w:r>
            <w:r>
              <w:rPr>
                <w:rFonts w:ascii="宋体" w:hAnsi="宋体" w:cs="宋体"/>
                <w:kern w:val="0"/>
              </w:rPr>
              <w:t>/</w:t>
            </w:r>
            <w:r>
              <w:rPr>
                <w:rFonts w:hint="eastAsia" w:ascii="宋体" w:hAnsi="宋体" w:cs="宋体"/>
                <w:kern w:val="0"/>
              </w:rPr>
              <w:t>点（次）</w:t>
            </w:r>
          </w:p>
        </w:tc>
        <w:tc>
          <w:tcPr>
            <w:tcW w:w="12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rPr>
            </w:pPr>
            <w:r>
              <w:rPr>
                <w:rFonts w:hint="eastAsia" w:ascii="宋体" w:hAnsi="宋体" w:cs="宋体"/>
                <w:kern w:val="0"/>
              </w:rPr>
              <w:t>次数</w:t>
            </w:r>
          </w:p>
        </w:tc>
        <w:tc>
          <w:tcPr>
            <w:tcW w:w="1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rPr>
            </w:pPr>
            <w:r>
              <w:rPr>
                <w:rFonts w:hint="eastAsia" w:ascii="宋体" w:hAnsi="宋体" w:cs="宋体"/>
                <w:kern w:val="0"/>
              </w:rPr>
              <w:t>小计（元）</w:t>
            </w:r>
          </w:p>
        </w:tc>
      </w:tr>
      <w:tr>
        <w:tblPrEx>
          <w:tblCellMar>
            <w:top w:w="0" w:type="dxa"/>
            <w:left w:w="0" w:type="dxa"/>
            <w:bottom w:w="0" w:type="dxa"/>
            <w:right w:w="0" w:type="dxa"/>
          </w:tblCellMar>
        </w:tblPrEx>
        <w:trPr>
          <w:trHeight w:val="544" w:hRule="atLeast"/>
        </w:trPr>
        <w:tc>
          <w:tcPr>
            <w:tcW w:w="2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rPr>
            </w:pPr>
            <w:r>
              <w:rPr>
                <w:rFonts w:hint="eastAsia" w:ascii="宋体" w:hAnsi="宋体" w:cs="宋体"/>
                <w:kern w:val="0"/>
              </w:rPr>
              <w:t>外观及内部检查</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rPr>
            </w:pPr>
            <w:r>
              <w:rPr>
                <w:rFonts w:ascii="宋体" w:hAnsi="宋体" w:cs="宋体"/>
                <w:kern w:val="0"/>
              </w:rPr>
              <w:t>/</w:t>
            </w:r>
          </w:p>
        </w:tc>
        <w:tc>
          <w:tcPr>
            <w:tcW w:w="30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rPr>
            </w:pPr>
          </w:p>
        </w:tc>
        <w:tc>
          <w:tcPr>
            <w:tcW w:w="12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rPr>
            </w:pPr>
            <w:r>
              <w:rPr>
                <w:rFonts w:ascii="宋体" w:hAnsi="宋体" w:cs="宋体"/>
                <w:kern w:val="0"/>
              </w:rPr>
              <w:t>5</w:t>
            </w:r>
          </w:p>
        </w:tc>
        <w:tc>
          <w:tcPr>
            <w:tcW w:w="1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pPr>
          </w:p>
        </w:tc>
      </w:tr>
      <w:tr>
        <w:tblPrEx>
          <w:tblCellMar>
            <w:top w:w="0" w:type="dxa"/>
            <w:left w:w="0" w:type="dxa"/>
            <w:bottom w:w="0" w:type="dxa"/>
            <w:right w:w="0" w:type="dxa"/>
          </w:tblCellMar>
        </w:tblPrEx>
        <w:trPr>
          <w:trHeight w:val="544" w:hRule="atLeast"/>
        </w:trPr>
        <w:tc>
          <w:tcPr>
            <w:tcW w:w="2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rPr>
            </w:pPr>
            <w:r>
              <w:rPr>
                <w:rFonts w:hint="eastAsia" w:ascii="宋体" w:hAnsi="宋体" w:cs="宋体"/>
                <w:kern w:val="0"/>
              </w:rPr>
              <w:t>房屋沉降监测</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rPr>
            </w:pPr>
            <w:r>
              <w:rPr>
                <w:rFonts w:ascii="宋体" w:hAnsi="宋体" w:cs="宋体"/>
                <w:kern w:val="0"/>
              </w:rPr>
              <w:t>4</w:t>
            </w:r>
          </w:p>
        </w:tc>
        <w:tc>
          <w:tcPr>
            <w:tcW w:w="30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rPr>
            </w:pPr>
          </w:p>
        </w:tc>
        <w:tc>
          <w:tcPr>
            <w:tcW w:w="12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rPr>
            </w:pPr>
            <w:r>
              <w:rPr>
                <w:rFonts w:ascii="宋体" w:hAnsi="宋体" w:cs="宋体"/>
                <w:kern w:val="0"/>
              </w:rPr>
              <w:t>5</w:t>
            </w:r>
          </w:p>
        </w:tc>
        <w:tc>
          <w:tcPr>
            <w:tcW w:w="1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rPr>
            </w:pPr>
          </w:p>
        </w:tc>
      </w:tr>
      <w:tr>
        <w:tblPrEx>
          <w:tblCellMar>
            <w:top w:w="0" w:type="dxa"/>
            <w:left w:w="0" w:type="dxa"/>
            <w:bottom w:w="0" w:type="dxa"/>
            <w:right w:w="0" w:type="dxa"/>
          </w:tblCellMar>
        </w:tblPrEx>
        <w:trPr>
          <w:trHeight w:val="544" w:hRule="atLeast"/>
        </w:trPr>
        <w:tc>
          <w:tcPr>
            <w:tcW w:w="2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rPr>
            </w:pPr>
            <w:r>
              <w:rPr>
                <w:rFonts w:hint="eastAsia" w:ascii="宋体" w:hAnsi="宋体" w:cs="宋体"/>
                <w:kern w:val="0"/>
              </w:rPr>
              <w:t>房屋倾斜监测</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rPr>
            </w:pPr>
            <w:r>
              <w:rPr>
                <w:rFonts w:ascii="宋体" w:hAnsi="宋体" w:cs="宋体"/>
                <w:kern w:val="0"/>
              </w:rPr>
              <w:t>4</w:t>
            </w:r>
          </w:p>
        </w:tc>
        <w:tc>
          <w:tcPr>
            <w:tcW w:w="30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rPr>
            </w:pPr>
          </w:p>
        </w:tc>
        <w:tc>
          <w:tcPr>
            <w:tcW w:w="12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rPr>
            </w:pPr>
            <w:r>
              <w:rPr>
                <w:rFonts w:ascii="宋体" w:hAnsi="宋体" w:cs="宋体"/>
                <w:kern w:val="0"/>
              </w:rPr>
              <w:t>5</w:t>
            </w:r>
          </w:p>
        </w:tc>
        <w:tc>
          <w:tcPr>
            <w:tcW w:w="1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rPr>
            </w:pPr>
          </w:p>
        </w:tc>
      </w:tr>
      <w:tr>
        <w:tblPrEx>
          <w:tblCellMar>
            <w:top w:w="0" w:type="dxa"/>
            <w:left w:w="0" w:type="dxa"/>
            <w:bottom w:w="0" w:type="dxa"/>
            <w:right w:w="0" w:type="dxa"/>
          </w:tblCellMar>
        </w:tblPrEx>
        <w:trPr>
          <w:trHeight w:val="544" w:hRule="atLeast"/>
        </w:trPr>
        <w:tc>
          <w:tcPr>
            <w:tcW w:w="2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rPr>
            </w:pPr>
            <w:r>
              <w:rPr>
                <w:rFonts w:hint="eastAsia" w:ascii="宋体" w:hAnsi="宋体" w:cs="宋体"/>
                <w:kern w:val="0"/>
              </w:rPr>
              <w:t>远程监测</w:t>
            </w:r>
          </w:p>
        </w:tc>
        <w:tc>
          <w:tcPr>
            <w:tcW w:w="521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rPr>
            </w:pPr>
            <w:r>
              <w:rPr>
                <w:rFonts w:hint="eastAsia" w:ascii="宋体" w:hAnsi="宋体" w:cs="宋体"/>
              </w:rPr>
              <w:t>一项</w:t>
            </w:r>
          </w:p>
        </w:tc>
        <w:tc>
          <w:tcPr>
            <w:tcW w:w="1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rPr>
            </w:pPr>
          </w:p>
        </w:tc>
      </w:tr>
      <w:tr>
        <w:tblPrEx>
          <w:tblCellMar>
            <w:top w:w="0" w:type="dxa"/>
            <w:left w:w="0" w:type="dxa"/>
            <w:bottom w:w="0" w:type="dxa"/>
            <w:right w:w="0" w:type="dxa"/>
          </w:tblCellMar>
        </w:tblPrEx>
        <w:trPr>
          <w:trHeight w:val="544" w:hRule="atLeast"/>
        </w:trPr>
        <w:tc>
          <w:tcPr>
            <w:tcW w:w="779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rPr>
            </w:pPr>
            <w:r>
              <w:rPr>
                <w:rFonts w:hint="eastAsia" w:ascii="宋体" w:hAnsi="宋体" w:cs="宋体"/>
                <w:kern w:val="0"/>
              </w:rPr>
              <w:t>合计</w:t>
            </w:r>
          </w:p>
        </w:tc>
        <w:tc>
          <w:tcPr>
            <w:tcW w:w="1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rPr>
            </w:pPr>
          </w:p>
        </w:tc>
      </w:tr>
    </w:tbl>
    <w:p>
      <w:pPr>
        <w:spacing w:line="400" w:lineRule="exact"/>
        <w:rPr>
          <w:rFonts w:ascii="宋体" w:hAnsi="宋体"/>
          <w:kern w:val="10"/>
          <w:szCs w:val="21"/>
        </w:rPr>
      </w:pPr>
      <w:r>
        <w:rPr>
          <w:rFonts w:hint="eastAsia" w:ascii="宋体" w:hAnsi="宋体"/>
          <w:kern w:val="10"/>
          <w:szCs w:val="21"/>
        </w:rPr>
        <w:t>注：1次数指的是3倍基坑开挖深度范围附近的所有建筑物检查（监测）一遍。</w:t>
      </w:r>
    </w:p>
    <w:p>
      <w:pPr>
        <w:spacing w:line="400" w:lineRule="exact"/>
        <w:rPr>
          <w:rFonts w:ascii="宋体" w:hAnsi="宋体"/>
          <w:kern w:val="10"/>
          <w:szCs w:val="21"/>
        </w:rPr>
      </w:pPr>
      <w:r>
        <w:rPr>
          <w:rFonts w:hint="eastAsia" w:ascii="宋体" w:hAnsi="宋体"/>
          <w:kern w:val="10"/>
          <w:szCs w:val="21"/>
        </w:rPr>
        <w:t xml:space="preserve">    </w:t>
      </w:r>
      <w:r>
        <w:rPr>
          <w:rFonts w:hint="eastAsia" w:ascii="宋体" w:hAnsi="宋体" w:cs="宋体"/>
          <w:kern w:val="0"/>
        </w:rPr>
        <w:t>房屋沉降监测和房屋倾斜监测点数是指每幢楼4个点。</w:t>
      </w:r>
    </w:p>
    <w:p>
      <w:pPr>
        <w:pStyle w:val="2"/>
      </w:pPr>
    </w:p>
    <w:p>
      <w:pPr>
        <w:spacing w:beforeLines="50" w:afterLines="50"/>
        <w:rPr>
          <w:rFonts w:ascii="宋体" w:hAnsi="宋体" w:cs="宋体"/>
          <w:kern w:val="0"/>
          <w:szCs w:val="21"/>
        </w:rPr>
      </w:pPr>
      <w:r>
        <w:rPr>
          <w:rFonts w:hint="eastAsia" w:ascii="宋体" w:hAnsi="宋体" w:cs="宋体"/>
          <w:kern w:val="0"/>
          <w:szCs w:val="21"/>
        </w:rPr>
        <w:t>三、价款的支付</w:t>
      </w:r>
    </w:p>
    <w:p>
      <w:pPr>
        <w:spacing w:beforeLines="50" w:afterLines="50"/>
        <w:ind w:firstLine="210" w:firstLineChars="100"/>
        <w:rPr>
          <w:rFonts w:ascii="宋体" w:hAnsi="宋体" w:cs="宋体"/>
          <w:kern w:val="0"/>
          <w:szCs w:val="21"/>
        </w:rPr>
      </w:pPr>
      <w:r>
        <w:rPr>
          <w:rFonts w:hint="eastAsia" w:ascii="宋体" w:hAnsi="宋体" w:cs="宋体"/>
          <w:kern w:val="0"/>
          <w:szCs w:val="21"/>
        </w:rPr>
        <w:t>1、合同签订后，支付签约合同价的20%；2、全部主体结构完成后，支付签约合同价的55%；3、工程综合验收合格后，支付签约合同价的90%；4、结算完成后，结清余款。5、最终结算价不得超过控制价。</w:t>
      </w:r>
    </w:p>
    <w:p>
      <w:pPr>
        <w:spacing w:beforeLines="50" w:afterLines="50"/>
        <w:rPr>
          <w:rFonts w:ascii="宋体" w:hAnsi="宋体" w:cs="宋体"/>
          <w:kern w:val="0"/>
          <w:szCs w:val="21"/>
        </w:rPr>
      </w:pPr>
      <w:r>
        <w:rPr>
          <w:rFonts w:hint="eastAsia" w:ascii="宋体" w:hAnsi="宋体" w:cs="宋体"/>
          <w:kern w:val="0"/>
          <w:szCs w:val="21"/>
        </w:rPr>
        <w:t>四、甲、乙双方主要责任</w:t>
      </w:r>
    </w:p>
    <w:p>
      <w:pPr>
        <w:spacing w:beforeLines="50" w:afterLines="50"/>
        <w:rPr>
          <w:rFonts w:ascii="宋体" w:hAnsi="宋体" w:cs="宋体"/>
          <w:kern w:val="0"/>
          <w:szCs w:val="21"/>
        </w:rPr>
      </w:pPr>
      <w:r>
        <w:rPr>
          <w:rFonts w:hint="eastAsia" w:ascii="宋体" w:hAnsi="宋体" w:cs="宋体"/>
          <w:kern w:val="0"/>
          <w:szCs w:val="21"/>
        </w:rPr>
        <w:t>（一）甲方责任</w:t>
      </w:r>
    </w:p>
    <w:p>
      <w:pPr>
        <w:spacing w:beforeLines="50" w:afterLines="50"/>
        <w:ind w:firstLine="420"/>
        <w:rPr>
          <w:rFonts w:ascii="宋体" w:hAnsi="宋体" w:cs="宋体"/>
          <w:kern w:val="0"/>
          <w:szCs w:val="21"/>
        </w:rPr>
      </w:pPr>
      <w:r>
        <w:rPr>
          <w:rFonts w:hint="eastAsia" w:ascii="宋体" w:hAnsi="宋体" w:cs="宋体"/>
          <w:kern w:val="0"/>
          <w:szCs w:val="21"/>
        </w:rPr>
        <w:t>1、安排属地人员配合乙方现场检查，为乙方开展工作提供相关便利。</w:t>
      </w:r>
    </w:p>
    <w:p>
      <w:pPr>
        <w:spacing w:beforeLines="50" w:afterLines="50"/>
        <w:ind w:firstLine="420"/>
        <w:rPr>
          <w:rFonts w:ascii="宋体" w:hAnsi="宋体" w:cs="宋体"/>
          <w:kern w:val="0"/>
          <w:szCs w:val="21"/>
        </w:rPr>
      </w:pPr>
      <w:r>
        <w:rPr>
          <w:rFonts w:hint="eastAsia" w:ascii="宋体" w:hAnsi="宋体" w:cs="宋体"/>
          <w:kern w:val="0"/>
          <w:szCs w:val="21"/>
        </w:rPr>
        <w:t>2、做好对乙方工作的监督检查考核。</w:t>
      </w:r>
    </w:p>
    <w:p>
      <w:pPr>
        <w:spacing w:beforeLines="50" w:afterLines="50"/>
        <w:ind w:firstLine="420"/>
        <w:rPr>
          <w:rFonts w:ascii="宋体" w:hAnsi="宋体" w:cs="宋体"/>
          <w:kern w:val="0"/>
          <w:szCs w:val="21"/>
        </w:rPr>
      </w:pPr>
      <w:r>
        <w:rPr>
          <w:rFonts w:hint="eastAsia" w:ascii="宋体" w:hAnsi="宋体" w:cs="宋体"/>
          <w:kern w:val="0"/>
          <w:szCs w:val="21"/>
        </w:rPr>
        <w:t>3、按合同规定及时支付合同价款。</w:t>
      </w:r>
    </w:p>
    <w:p>
      <w:pPr>
        <w:spacing w:beforeLines="50" w:afterLines="50"/>
        <w:rPr>
          <w:rFonts w:ascii="宋体" w:hAnsi="宋体" w:cs="宋体"/>
          <w:kern w:val="0"/>
          <w:szCs w:val="21"/>
        </w:rPr>
      </w:pPr>
      <w:r>
        <w:rPr>
          <w:rFonts w:hint="eastAsia" w:ascii="宋体" w:hAnsi="宋体" w:cs="宋体"/>
          <w:kern w:val="0"/>
          <w:szCs w:val="21"/>
        </w:rPr>
        <w:t>（二）乙方责任</w:t>
      </w:r>
    </w:p>
    <w:p>
      <w:pPr>
        <w:spacing w:beforeLines="50" w:afterLines="50"/>
        <w:ind w:firstLine="420"/>
        <w:rPr>
          <w:rFonts w:ascii="宋体" w:hAnsi="宋体" w:cs="宋体"/>
          <w:kern w:val="0"/>
          <w:szCs w:val="21"/>
        </w:rPr>
      </w:pPr>
      <w:r>
        <w:rPr>
          <w:rFonts w:hint="eastAsia" w:ascii="宋体" w:hAnsi="宋体" w:cs="宋体"/>
          <w:kern w:val="0"/>
          <w:szCs w:val="21"/>
        </w:rPr>
        <w:t>1、组织、协调各专业单位完成上述工作，按合同约定的要求进行巡查、监测，保证数据真实可靠并及时提供工作成果报告。</w:t>
      </w:r>
    </w:p>
    <w:p>
      <w:pPr>
        <w:spacing w:beforeLines="50" w:afterLines="50"/>
        <w:ind w:firstLine="420"/>
        <w:rPr>
          <w:rFonts w:ascii="宋体" w:hAnsi="宋体" w:cs="宋体"/>
          <w:kern w:val="0"/>
          <w:szCs w:val="21"/>
        </w:rPr>
      </w:pPr>
      <w:r>
        <w:rPr>
          <w:rFonts w:hint="eastAsia" w:ascii="宋体" w:hAnsi="宋体" w:cs="宋体"/>
          <w:kern w:val="0"/>
          <w:szCs w:val="21"/>
        </w:rPr>
        <w:t>2、乙方对本合同项下所指向的工作内容负有严格保密义务，若因违反保密义务而给甲方或第三人造成损失的，由乙方对此承担全部责任。</w:t>
      </w:r>
    </w:p>
    <w:p>
      <w:pPr>
        <w:spacing w:beforeLines="50" w:afterLines="50"/>
        <w:ind w:firstLine="420"/>
        <w:rPr>
          <w:rFonts w:ascii="宋体" w:hAnsi="宋体" w:cs="宋体"/>
          <w:kern w:val="0"/>
          <w:szCs w:val="21"/>
        </w:rPr>
      </w:pPr>
      <w:r>
        <w:rPr>
          <w:rFonts w:hint="eastAsia" w:ascii="宋体" w:hAnsi="宋体" w:cs="宋体"/>
          <w:kern w:val="0"/>
          <w:szCs w:val="21"/>
        </w:rPr>
        <w:t>3、因乙方工作不到位没有及时发现垮塌隐患的，应按合同总额的100%比例承担违约责任。</w:t>
      </w:r>
    </w:p>
    <w:p>
      <w:pPr>
        <w:spacing w:beforeLines="50" w:afterLines="50"/>
        <w:ind w:firstLine="420"/>
        <w:rPr>
          <w:rFonts w:ascii="宋体" w:hAnsi="宋体" w:cs="宋体"/>
          <w:kern w:val="0"/>
          <w:szCs w:val="21"/>
        </w:rPr>
      </w:pPr>
      <w:r>
        <w:rPr>
          <w:rFonts w:hint="eastAsia" w:ascii="宋体" w:hAnsi="宋体" w:cs="宋体"/>
          <w:kern w:val="0"/>
          <w:szCs w:val="21"/>
        </w:rPr>
        <w:t xml:space="preserve">4、接受甲方的监督管理，要求乙方申报监测方案报监理及设计审核，经发包人书面批准后方可执行。 </w:t>
      </w:r>
    </w:p>
    <w:p>
      <w:pPr>
        <w:spacing w:beforeLines="50" w:afterLines="50"/>
        <w:ind w:firstLine="420"/>
        <w:rPr>
          <w:rFonts w:ascii="宋体" w:hAnsi="宋体" w:cs="宋体"/>
          <w:kern w:val="0"/>
          <w:szCs w:val="21"/>
        </w:rPr>
      </w:pPr>
      <w:r>
        <w:rPr>
          <w:rFonts w:hint="eastAsia" w:ascii="宋体" w:hAnsi="宋体" w:cs="宋体"/>
          <w:kern w:val="0"/>
          <w:szCs w:val="21"/>
        </w:rPr>
        <w:t>5、实施时监测技术方案要求适用，按照规范要求，否则发包人按监测规范最低标准支付费用。</w:t>
      </w:r>
    </w:p>
    <w:p>
      <w:pPr>
        <w:spacing w:beforeLines="50" w:afterLines="50"/>
        <w:ind w:firstLine="420"/>
        <w:rPr>
          <w:rFonts w:ascii="宋体" w:hAnsi="宋体" w:cs="宋体"/>
          <w:kern w:val="0"/>
          <w:szCs w:val="21"/>
        </w:rPr>
      </w:pPr>
      <w:r>
        <w:rPr>
          <w:rFonts w:hint="eastAsia" w:ascii="宋体" w:hAnsi="宋体" w:cs="宋体"/>
          <w:kern w:val="0"/>
          <w:szCs w:val="21"/>
        </w:rPr>
        <w:t>6、结构监测项目结束后出具结构安全影响性鉴定报告。</w:t>
      </w:r>
    </w:p>
    <w:p>
      <w:pPr>
        <w:spacing w:beforeLines="50" w:afterLines="50"/>
        <w:ind w:firstLine="420"/>
        <w:rPr>
          <w:rFonts w:ascii="宋体" w:hAnsi="宋体" w:cs="宋体"/>
          <w:kern w:val="0"/>
          <w:szCs w:val="21"/>
        </w:rPr>
      </w:pPr>
      <w:r>
        <w:rPr>
          <w:rFonts w:hint="eastAsia" w:ascii="宋体" w:hAnsi="宋体" w:cs="宋体"/>
          <w:kern w:val="0"/>
          <w:szCs w:val="21"/>
        </w:rPr>
        <w:t>7、远程监测待结构安全影响性鉴定报告出具后结束。</w:t>
      </w:r>
    </w:p>
    <w:p>
      <w:pPr>
        <w:spacing w:beforeLines="50" w:afterLines="50"/>
        <w:rPr>
          <w:rFonts w:ascii="宋体" w:hAnsi="宋体" w:cs="宋体"/>
          <w:kern w:val="0"/>
          <w:szCs w:val="21"/>
        </w:rPr>
      </w:pPr>
      <w:r>
        <w:rPr>
          <w:rFonts w:hint="eastAsia" w:ascii="宋体" w:hAnsi="宋体" w:cs="宋体"/>
          <w:kern w:val="0"/>
          <w:szCs w:val="21"/>
        </w:rPr>
        <w:t>五、违约责任</w:t>
      </w:r>
    </w:p>
    <w:p>
      <w:pPr>
        <w:spacing w:beforeLines="50" w:afterLines="50"/>
        <w:ind w:firstLine="420"/>
        <w:rPr>
          <w:rFonts w:ascii="宋体" w:hAnsi="宋体" w:cs="宋体"/>
          <w:kern w:val="0"/>
          <w:szCs w:val="21"/>
        </w:rPr>
      </w:pPr>
      <w:r>
        <w:rPr>
          <w:rFonts w:hint="eastAsia" w:ascii="宋体" w:hAnsi="宋体" w:cs="宋体"/>
          <w:kern w:val="0"/>
          <w:szCs w:val="21"/>
        </w:rPr>
        <w:t>1、本合同一经签订生效后，甲乙双方必须严格遵守，全面履行合同，不得任意单方面变更或推翻合同，否则负违约责任，并赔偿对方由此造成的经济损失。</w:t>
      </w:r>
      <w:r>
        <w:rPr>
          <w:rFonts w:hint="eastAsia" w:ascii="宋体" w:hAnsi="宋体" w:cs="宋体"/>
          <w:kern w:val="0"/>
          <w:szCs w:val="21"/>
        </w:rPr>
        <w:br w:type="textWrapping"/>
      </w:r>
      <w:r>
        <w:rPr>
          <w:rFonts w:hint="eastAsia" w:ascii="宋体" w:hAnsi="宋体" w:cs="宋体"/>
          <w:kern w:val="0"/>
          <w:szCs w:val="21"/>
        </w:rPr>
        <w:tab/>
      </w:r>
      <w:r>
        <w:rPr>
          <w:rFonts w:hint="eastAsia" w:ascii="宋体" w:hAnsi="宋体" w:cs="宋体"/>
          <w:kern w:val="0"/>
          <w:szCs w:val="21"/>
        </w:rPr>
        <w:t>2、如遇双方有争议的问题，经协商仍无法解决的，依法向甲方所在地人民法院提起诉讼。</w:t>
      </w:r>
    </w:p>
    <w:p>
      <w:pPr>
        <w:spacing w:beforeLines="50" w:afterLines="50"/>
        <w:ind w:firstLine="420"/>
        <w:rPr>
          <w:rFonts w:ascii="宋体" w:hAnsi="宋体" w:cs="宋体"/>
          <w:kern w:val="0"/>
          <w:szCs w:val="21"/>
        </w:rPr>
      </w:pPr>
      <w:r>
        <w:rPr>
          <w:rFonts w:hint="eastAsia" w:ascii="宋体" w:hAnsi="宋体" w:cs="宋体"/>
          <w:kern w:val="0"/>
          <w:szCs w:val="21"/>
        </w:rPr>
        <w:t>3、乙方应对监测数据和成果报告的真实性及合法性负责，因乙方工作不到位没有及时发现可见的垮塌隐患的（隐患被隐蔽或遮挡者除外），应按相关政策及法律法规承担相关的责任。</w:t>
      </w:r>
    </w:p>
    <w:p>
      <w:pPr>
        <w:spacing w:beforeLines="50" w:afterLines="50"/>
        <w:rPr>
          <w:rFonts w:ascii="宋体" w:hAnsi="宋体" w:cs="宋体"/>
          <w:kern w:val="0"/>
          <w:szCs w:val="21"/>
        </w:rPr>
      </w:pPr>
      <w:r>
        <w:rPr>
          <w:rFonts w:hint="eastAsia" w:ascii="宋体" w:hAnsi="宋体" w:cs="宋体"/>
          <w:kern w:val="0"/>
          <w:szCs w:val="21"/>
        </w:rPr>
        <w:t>六、合同生效</w:t>
      </w:r>
    </w:p>
    <w:p>
      <w:pPr>
        <w:spacing w:beforeLines="50" w:afterLines="50"/>
        <w:ind w:firstLine="420"/>
        <w:rPr>
          <w:rFonts w:ascii="宋体" w:hAnsi="宋体" w:cs="宋体"/>
          <w:kern w:val="0"/>
          <w:szCs w:val="21"/>
        </w:rPr>
      </w:pPr>
      <w:r>
        <w:rPr>
          <w:rFonts w:hint="eastAsia" w:ascii="宋体" w:hAnsi="宋体" w:cs="宋体"/>
          <w:kern w:val="0"/>
          <w:szCs w:val="21"/>
        </w:rPr>
        <w:t xml:space="preserve">合同订立时间： </w:t>
      </w:r>
    </w:p>
    <w:p>
      <w:pPr>
        <w:spacing w:beforeLines="50" w:afterLines="50"/>
        <w:ind w:firstLine="420"/>
        <w:rPr>
          <w:rFonts w:ascii="宋体" w:hAnsi="宋体" w:cs="宋体"/>
          <w:kern w:val="0"/>
          <w:szCs w:val="21"/>
        </w:rPr>
      </w:pPr>
      <w:r>
        <w:rPr>
          <w:rFonts w:hint="eastAsia" w:ascii="宋体" w:hAnsi="宋体" w:cs="宋体"/>
          <w:kern w:val="0"/>
          <w:szCs w:val="21"/>
        </w:rPr>
        <w:t>本合同双方约定 法定代表人签字、盖章后生效。</w:t>
      </w:r>
    </w:p>
    <w:p>
      <w:pPr>
        <w:spacing w:beforeLines="50" w:afterLines="50"/>
        <w:rPr>
          <w:rFonts w:ascii="宋体" w:hAnsi="宋体" w:cs="宋体"/>
          <w:kern w:val="0"/>
          <w:szCs w:val="21"/>
        </w:rPr>
      </w:pPr>
      <w:r>
        <w:rPr>
          <w:rFonts w:hint="eastAsia" w:ascii="宋体" w:hAnsi="宋体" w:cs="宋体"/>
          <w:kern w:val="0"/>
          <w:szCs w:val="21"/>
        </w:rPr>
        <w:t>八、其他</w:t>
      </w:r>
    </w:p>
    <w:p>
      <w:pPr>
        <w:spacing w:beforeLines="50" w:afterLines="50"/>
        <w:ind w:firstLine="420"/>
        <w:rPr>
          <w:rFonts w:ascii="宋体" w:hAnsi="宋体" w:cs="宋体"/>
          <w:kern w:val="0"/>
          <w:szCs w:val="21"/>
        </w:rPr>
      </w:pPr>
      <w:r>
        <w:rPr>
          <w:rFonts w:hint="eastAsia" w:ascii="宋体" w:hAnsi="宋体" w:cs="宋体"/>
          <w:kern w:val="0"/>
          <w:szCs w:val="21"/>
        </w:rPr>
        <w:t>本合同一式肆份，甲方执贰份，乙方执贰份。本合同自双方签字盖章后生效，未尽事宜另行协商。</w:t>
      </w:r>
    </w:p>
    <w:p>
      <w:pPr>
        <w:spacing w:beforeLines="50" w:afterLines="50"/>
        <w:ind w:firstLine="420"/>
        <w:rPr>
          <w:rFonts w:ascii="宋体" w:hAnsi="宋体" w:cs="宋体"/>
          <w:kern w:val="0"/>
          <w:szCs w:val="21"/>
        </w:rPr>
      </w:pPr>
      <w:r>
        <w:rPr>
          <w:rFonts w:hint="eastAsia" w:ascii="宋体" w:hAnsi="宋体" w:cs="宋体"/>
          <w:kern w:val="0"/>
          <w:szCs w:val="21"/>
        </w:rPr>
        <w:t xml:space="preserve"> </w:t>
      </w:r>
    </w:p>
    <w:p>
      <w:pPr>
        <w:spacing w:beforeLines="50" w:afterLines="50"/>
        <w:rPr>
          <w:rFonts w:ascii="宋体" w:hAnsi="宋体" w:cs="宋体"/>
          <w:kern w:val="0"/>
          <w:szCs w:val="21"/>
        </w:rPr>
      </w:pPr>
      <w:r>
        <w:rPr>
          <w:rFonts w:hint="eastAsia" w:ascii="宋体" w:hAnsi="宋体" w:cs="宋体"/>
          <w:kern w:val="0"/>
          <w:szCs w:val="21"/>
        </w:rPr>
        <w:t>甲方（盖章）：                    乙方（盖章）：</w:t>
      </w:r>
    </w:p>
    <w:p>
      <w:pPr>
        <w:spacing w:beforeLines="50" w:afterLines="50"/>
        <w:rPr>
          <w:rFonts w:ascii="宋体" w:hAnsi="宋体" w:cs="宋体"/>
          <w:kern w:val="0"/>
          <w:szCs w:val="21"/>
        </w:rPr>
      </w:pPr>
      <w:r>
        <w:rPr>
          <w:rFonts w:hint="eastAsia" w:ascii="宋体" w:hAnsi="宋体" w:cs="宋体"/>
          <w:kern w:val="0"/>
          <w:szCs w:val="21"/>
        </w:rPr>
        <w:t>法定代表人：                     法定代表人：</w:t>
      </w:r>
    </w:p>
    <w:p>
      <w:pPr>
        <w:spacing w:beforeLines="50" w:afterLines="50"/>
        <w:rPr>
          <w:rFonts w:ascii="宋体" w:hAnsi="宋体" w:cs="宋体"/>
          <w:kern w:val="0"/>
          <w:szCs w:val="21"/>
        </w:rPr>
      </w:pPr>
      <w:r>
        <w:rPr>
          <w:rFonts w:hint="eastAsia" w:ascii="宋体" w:hAnsi="宋体" w:cs="宋体"/>
          <w:kern w:val="0"/>
          <w:szCs w:val="21"/>
        </w:rPr>
        <w:t>委托代理人：                     委托代理人：</w:t>
      </w:r>
    </w:p>
    <w:p>
      <w:pPr>
        <w:spacing w:beforeLines="50" w:afterLines="50"/>
        <w:rPr>
          <w:rFonts w:ascii="宋体" w:hAnsi="宋体" w:cs="宋体"/>
          <w:kern w:val="0"/>
          <w:szCs w:val="21"/>
        </w:rPr>
      </w:pPr>
      <w:r>
        <w:rPr>
          <w:rFonts w:hint="eastAsia" w:ascii="宋体" w:hAnsi="宋体" w:cs="宋体"/>
          <w:kern w:val="0"/>
          <w:szCs w:val="21"/>
        </w:rPr>
        <w:t>电    话：                       电    话：</w:t>
      </w:r>
    </w:p>
    <w:p>
      <w:pPr>
        <w:spacing w:beforeLines="50" w:afterLines="50"/>
        <w:rPr>
          <w:rFonts w:ascii="宋体" w:hAnsi="宋体" w:cs="宋体"/>
          <w:kern w:val="0"/>
          <w:szCs w:val="21"/>
        </w:rPr>
      </w:pPr>
      <w:r>
        <w:rPr>
          <w:rFonts w:hint="eastAsia" w:ascii="宋体" w:hAnsi="宋体" w:cs="宋体"/>
          <w:kern w:val="0"/>
          <w:szCs w:val="21"/>
        </w:rPr>
        <w:t>开户银行：                       开户银行：</w:t>
      </w:r>
    </w:p>
    <w:p>
      <w:pPr>
        <w:spacing w:beforeLines="50" w:afterLines="50"/>
        <w:rPr>
          <w:rFonts w:ascii="宋体" w:hAnsi="宋体" w:cs="宋体"/>
          <w:kern w:val="0"/>
          <w:szCs w:val="21"/>
        </w:rPr>
      </w:pPr>
      <w:r>
        <w:rPr>
          <w:rFonts w:hint="eastAsia" w:ascii="宋体" w:hAnsi="宋体" w:cs="宋体"/>
          <w:kern w:val="0"/>
          <w:szCs w:val="21"/>
        </w:rPr>
        <w:t>账    号：                       账    号：</w:t>
      </w:r>
    </w:p>
    <w:p>
      <w:pPr>
        <w:spacing w:beforeLines="50" w:afterLines="50"/>
        <w:rPr>
          <w:rFonts w:ascii="宋体" w:hAnsi="宋体"/>
          <w:sz w:val="24"/>
        </w:rPr>
      </w:pPr>
      <w:r>
        <w:rPr>
          <w:rFonts w:hint="eastAsia" w:ascii="宋体" w:hAnsi="宋体" w:cs="宋体"/>
          <w:kern w:val="0"/>
          <w:szCs w:val="21"/>
        </w:rPr>
        <w:t>邮政编码：                       邮政编码：</w:t>
      </w:r>
      <w:bookmarkEnd w:id="35"/>
      <w:bookmarkStart w:id="62" w:name="_Toc485712564"/>
      <w:r>
        <w:rPr>
          <w:rFonts w:ascii="宋体" w:hAnsi="宋体"/>
          <w:b/>
          <w:sz w:val="24"/>
          <w:szCs w:val="21"/>
        </w:rPr>
        <w:br w:type="page"/>
      </w:r>
      <w:r>
        <w:rPr>
          <w:rFonts w:ascii="宋体" w:hAnsi="宋体"/>
          <w:b/>
          <w:sz w:val="24"/>
          <w:szCs w:val="21"/>
        </w:rPr>
        <w:t>三、报价文件格式</w:t>
      </w:r>
      <w:bookmarkEnd w:id="62"/>
    </w:p>
    <w:p>
      <w:pPr>
        <w:pStyle w:val="27"/>
        <w:spacing w:before="0" w:line="360" w:lineRule="auto"/>
        <w:jc w:val="left"/>
        <w:rPr>
          <w:rFonts w:ascii="宋体" w:hAnsi="宋体"/>
          <w:b w:val="0"/>
          <w:sz w:val="21"/>
          <w:szCs w:val="21"/>
        </w:rPr>
      </w:pPr>
      <w:bookmarkStart w:id="63" w:name="_Toc485712565"/>
      <w:r>
        <w:rPr>
          <w:rFonts w:ascii="宋体" w:hAnsi="宋体"/>
          <w:b w:val="0"/>
          <w:sz w:val="21"/>
          <w:szCs w:val="21"/>
        </w:rPr>
        <w:t>格式一 投标函</w:t>
      </w:r>
      <w:bookmarkEnd w:id="63"/>
    </w:p>
    <w:p>
      <w:pPr>
        <w:snapToGrid w:val="0"/>
        <w:spacing w:beforeLines="50" w:after="50" w:line="360" w:lineRule="auto"/>
        <w:jc w:val="center"/>
        <w:rPr>
          <w:rFonts w:ascii="宋体" w:hAnsi="宋体"/>
          <w:sz w:val="28"/>
          <w:szCs w:val="28"/>
        </w:rPr>
      </w:pPr>
      <w:r>
        <w:rPr>
          <w:rFonts w:ascii="宋体" w:hAnsi="宋体"/>
          <w:sz w:val="28"/>
          <w:szCs w:val="28"/>
        </w:rPr>
        <w:t xml:space="preserve">投 标 函 </w:t>
      </w:r>
    </w:p>
    <w:p>
      <w:pPr>
        <w:snapToGrid w:val="0"/>
        <w:spacing w:line="360" w:lineRule="auto"/>
        <w:rPr>
          <w:rFonts w:ascii="宋体" w:hAnsi="宋体"/>
          <w:szCs w:val="21"/>
        </w:rPr>
      </w:pPr>
      <w:r>
        <w:rPr>
          <w:rFonts w:ascii="宋体" w:hAnsi="宋体"/>
          <w:szCs w:val="21"/>
        </w:rPr>
        <w:t>致：</w:t>
      </w:r>
      <w:r>
        <w:rPr>
          <w:rFonts w:ascii="宋体" w:hAnsi="宋体"/>
          <w:szCs w:val="21"/>
          <w:u w:val="single"/>
        </w:rPr>
        <w:t xml:space="preserve">                  </w:t>
      </w:r>
      <w:r>
        <w:rPr>
          <w:rFonts w:ascii="宋体" w:hAnsi="宋体"/>
          <w:szCs w:val="21"/>
        </w:rPr>
        <w:t>（采购单位名称）：</w:t>
      </w:r>
    </w:p>
    <w:p>
      <w:pPr>
        <w:snapToGrid w:val="0"/>
        <w:spacing w:line="360" w:lineRule="auto"/>
        <w:ind w:firstLine="480"/>
        <w:rPr>
          <w:rFonts w:ascii="宋体" w:hAnsi="宋体"/>
          <w:szCs w:val="21"/>
        </w:rPr>
      </w:pPr>
      <w:r>
        <w:rPr>
          <w:rFonts w:ascii="宋体" w:hAnsi="宋体"/>
          <w:szCs w:val="21"/>
        </w:rPr>
        <w:t>根据贵方为</w:t>
      </w:r>
      <w:r>
        <w:rPr>
          <w:rFonts w:ascii="宋体" w:hAnsi="宋体"/>
          <w:szCs w:val="21"/>
          <w:u w:val="single"/>
        </w:rPr>
        <w:t xml:space="preserve">                            </w:t>
      </w:r>
      <w:r>
        <w:rPr>
          <w:rFonts w:ascii="宋体" w:hAnsi="宋体"/>
          <w:szCs w:val="21"/>
        </w:rPr>
        <w:t>项目的</w:t>
      </w:r>
      <w:r>
        <w:rPr>
          <w:rFonts w:hint="eastAsia" w:ascii="宋体" w:hAnsi="宋体"/>
          <w:szCs w:val="21"/>
        </w:rPr>
        <w:t>采购</w:t>
      </w:r>
      <w:r>
        <w:rPr>
          <w:rFonts w:ascii="宋体" w:hAnsi="宋体"/>
          <w:szCs w:val="21"/>
        </w:rPr>
        <w:t>公告/投标邀请书（项目编号：</w:t>
      </w:r>
      <w:r>
        <w:rPr>
          <w:rFonts w:ascii="宋体" w:hAnsi="宋体"/>
          <w:szCs w:val="21"/>
          <w:u w:val="single"/>
        </w:rPr>
        <w:t xml:space="preserve">       </w:t>
      </w:r>
      <w:r>
        <w:rPr>
          <w:rFonts w:ascii="宋体" w:hAnsi="宋体"/>
          <w:szCs w:val="21"/>
        </w:rPr>
        <w:t>）</w:t>
      </w:r>
      <w:r>
        <w:rPr>
          <w:rFonts w:hint="eastAsia" w:ascii="宋体" w:hAnsi="宋体"/>
          <w:szCs w:val="21"/>
        </w:rPr>
        <w:t>子包</w:t>
      </w:r>
      <w:r>
        <w:rPr>
          <w:rFonts w:hint="eastAsia" w:ascii="宋体" w:hAnsi="宋体"/>
          <w:szCs w:val="21"/>
          <w:u w:val="single"/>
        </w:rPr>
        <w:t xml:space="preserve">    </w:t>
      </w:r>
      <w:r>
        <w:rPr>
          <w:rFonts w:ascii="宋体" w:hAnsi="宋体"/>
          <w:szCs w:val="21"/>
        </w:rPr>
        <w:t>，签字代表</w:t>
      </w:r>
      <w:r>
        <w:rPr>
          <w:rFonts w:ascii="宋体" w:hAnsi="宋体"/>
          <w:szCs w:val="21"/>
          <w:u w:val="single"/>
        </w:rPr>
        <w:t xml:space="preserve">      </w:t>
      </w:r>
      <w:r>
        <w:rPr>
          <w:rFonts w:ascii="宋体" w:hAnsi="宋体"/>
          <w:szCs w:val="21"/>
        </w:rPr>
        <w:t>（全名）经正式授权并代表投标人</w:t>
      </w:r>
      <w:r>
        <w:rPr>
          <w:rFonts w:ascii="宋体" w:hAnsi="宋体"/>
          <w:szCs w:val="21"/>
          <w:u w:val="single"/>
        </w:rPr>
        <w:t xml:space="preserve">          </w:t>
      </w:r>
      <w:r>
        <w:rPr>
          <w:rFonts w:ascii="宋体" w:hAnsi="宋体"/>
          <w:szCs w:val="21"/>
        </w:rPr>
        <w:t>（投标人名称）提交</w:t>
      </w:r>
      <w:r>
        <w:rPr>
          <w:rFonts w:hint="eastAsia" w:ascii="宋体" w:hAnsi="宋体"/>
          <w:szCs w:val="21"/>
        </w:rPr>
        <w:t>投标文件（含</w:t>
      </w:r>
      <w:r>
        <w:rPr>
          <w:rFonts w:ascii="宋体" w:hAnsi="宋体"/>
          <w:szCs w:val="21"/>
        </w:rPr>
        <w:t>商务技术文件、报价文件</w:t>
      </w:r>
      <w:r>
        <w:rPr>
          <w:rFonts w:hint="eastAsia" w:ascii="宋体" w:hAnsi="宋体"/>
          <w:szCs w:val="21"/>
        </w:rPr>
        <w:t>）</w:t>
      </w:r>
      <w:r>
        <w:rPr>
          <w:rFonts w:ascii="宋体" w:hAnsi="宋体"/>
          <w:szCs w:val="21"/>
        </w:rPr>
        <w:t>正本</w:t>
      </w:r>
      <w:r>
        <w:rPr>
          <w:rFonts w:hint="eastAsia" w:ascii="宋体" w:hAnsi="宋体"/>
          <w:szCs w:val="21"/>
        </w:rPr>
        <w:t>各</w:t>
      </w:r>
      <w:r>
        <w:rPr>
          <w:rFonts w:ascii="宋体" w:hAnsi="宋体"/>
          <w:szCs w:val="21"/>
        </w:rPr>
        <w:t>一份、副本</w:t>
      </w:r>
      <w:r>
        <w:rPr>
          <w:rFonts w:hint="eastAsia" w:ascii="宋体" w:hAnsi="宋体"/>
          <w:szCs w:val="21"/>
        </w:rPr>
        <w:t>各</w:t>
      </w:r>
      <w:r>
        <w:rPr>
          <w:rFonts w:ascii="宋体" w:hAnsi="宋体"/>
          <w:szCs w:val="21"/>
          <w:u w:val="single"/>
        </w:rPr>
        <w:t xml:space="preserve">      </w:t>
      </w:r>
      <w:r>
        <w:rPr>
          <w:rFonts w:ascii="宋体" w:hAnsi="宋体"/>
          <w:szCs w:val="21"/>
        </w:rPr>
        <w:t>份。</w:t>
      </w:r>
    </w:p>
    <w:p>
      <w:pPr>
        <w:snapToGrid w:val="0"/>
        <w:spacing w:line="360" w:lineRule="auto"/>
        <w:ind w:firstLine="420" w:firstLineChars="200"/>
        <w:rPr>
          <w:rFonts w:ascii="宋体" w:hAnsi="宋体"/>
          <w:szCs w:val="21"/>
        </w:rPr>
      </w:pPr>
      <w:r>
        <w:rPr>
          <w:rFonts w:ascii="宋体" w:hAnsi="宋体"/>
          <w:szCs w:val="21"/>
        </w:rPr>
        <w:t>据此函，签字代表宣布同意如下：</w:t>
      </w:r>
    </w:p>
    <w:p>
      <w:pPr>
        <w:snapToGrid w:val="0"/>
        <w:spacing w:line="360" w:lineRule="auto"/>
        <w:ind w:firstLine="420" w:firstLineChars="200"/>
        <w:rPr>
          <w:rFonts w:ascii="宋体" w:hAnsi="宋体"/>
          <w:szCs w:val="21"/>
        </w:rPr>
      </w:pPr>
      <w:r>
        <w:rPr>
          <w:rFonts w:ascii="宋体" w:hAnsi="宋体"/>
          <w:szCs w:val="21"/>
        </w:rPr>
        <w:t>1.投标人已详细审查全部“</w:t>
      </w:r>
      <w:r>
        <w:rPr>
          <w:rFonts w:hint="eastAsia" w:ascii="宋体" w:hAnsi="宋体"/>
          <w:szCs w:val="21"/>
        </w:rPr>
        <w:t>采购</w:t>
      </w:r>
      <w:r>
        <w:rPr>
          <w:rFonts w:ascii="宋体" w:hAnsi="宋体"/>
          <w:szCs w:val="21"/>
        </w:rPr>
        <w:t>文件”，包括修改文件（如有的话）以及全部参考资料和有关附件，已经了解我方对于招标文件、采购过程、采购结果有依法进行询问、质疑、投诉的权利及相关渠道和要求。</w:t>
      </w:r>
    </w:p>
    <w:p>
      <w:pPr>
        <w:snapToGrid w:val="0"/>
        <w:spacing w:line="360" w:lineRule="auto"/>
        <w:ind w:firstLine="420" w:firstLineChars="200"/>
        <w:rPr>
          <w:rFonts w:ascii="宋体" w:hAnsi="宋体"/>
          <w:szCs w:val="21"/>
        </w:rPr>
      </w:pPr>
      <w:r>
        <w:rPr>
          <w:rFonts w:ascii="宋体" w:hAnsi="宋体"/>
          <w:szCs w:val="21"/>
        </w:rPr>
        <w:t>2.投标人在投标之前已经与贵方进行了充分的沟通，完全理解并接受招标文件的各项规定和要求，对招标文件的合理性、合法性不再有异议。</w:t>
      </w:r>
    </w:p>
    <w:p>
      <w:pPr>
        <w:snapToGrid w:val="0"/>
        <w:spacing w:line="360" w:lineRule="auto"/>
        <w:ind w:firstLine="420" w:firstLineChars="200"/>
        <w:rPr>
          <w:rFonts w:ascii="宋体" w:hAnsi="宋体"/>
          <w:szCs w:val="21"/>
        </w:rPr>
      </w:pPr>
      <w:r>
        <w:rPr>
          <w:rFonts w:ascii="宋体" w:hAnsi="宋体"/>
          <w:szCs w:val="21"/>
        </w:rPr>
        <w:t>3.本投标有效期自开标日起</w:t>
      </w:r>
      <w:r>
        <w:rPr>
          <w:rFonts w:ascii="宋体" w:hAnsi="宋体"/>
          <w:szCs w:val="21"/>
          <w:u w:val="single"/>
        </w:rPr>
        <w:t xml:space="preserve">        </w:t>
      </w:r>
      <w:r>
        <w:rPr>
          <w:rFonts w:ascii="宋体" w:hAnsi="宋体"/>
          <w:szCs w:val="21"/>
        </w:rPr>
        <w:t>个日。</w:t>
      </w:r>
    </w:p>
    <w:p>
      <w:pPr>
        <w:snapToGrid w:val="0"/>
        <w:spacing w:line="360" w:lineRule="auto"/>
        <w:ind w:firstLine="420" w:firstLineChars="200"/>
        <w:rPr>
          <w:rFonts w:ascii="宋体" w:hAnsi="宋体"/>
          <w:szCs w:val="21"/>
        </w:rPr>
      </w:pPr>
      <w:r>
        <w:rPr>
          <w:rFonts w:ascii="宋体" w:hAnsi="宋体"/>
          <w:szCs w:val="21"/>
        </w:rPr>
        <w:t>4.如中标，本投标文件至本项目合同履行完毕止均保持有效，本投标人将按“招标文件”及政府采购法律、法规的规定履行合同责任和义务。</w:t>
      </w:r>
    </w:p>
    <w:p>
      <w:pPr>
        <w:snapToGrid w:val="0"/>
        <w:spacing w:line="360" w:lineRule="auto"/>
        <w:ind w:firstLine="420" w:firstLineChars="200"/>
        <w:rPr>
          <w:rFonts w:ascii="宋体" w:hAnsi="宋体"/>
          <w:szCs w:val="21"/>
        </w:rPr>
      </w:pPr>
      <w:r>
        <w:rPr>
          <w:rFonts w:ascii="宋体" w:hAnsi="宋体"/>
          <w:szCs w:val="21"/>
        </w:rPr>
        <w:t>5.投标人同意按照贵方要求提供与投标有关的一切数据或资料。</w:t>
      </w:r>
    </w:p>
    <w:p>
      <w:pPr>
        <w:snapToGrid w:val="0"/>
        <w:spacing w:line="360" w:lineRule="auto"/>
        <w:ind w:firstLine="420" w:firstLineChars="200"/>
        <w:rPr>
          <w:rFonts w:ascii="宋体" w:hAnsi="宋体"/>
          <w:szCs w:val="21"/>
        </w:rPr>
      </w:pPr>
      <w:r>
        <w:rPr>
          <w:rFonts w:ascii="宋体" w:hAnsi="宋体"/>
          <w:szCs w:val="21"/>
        </w:rPr>
        <w:t>6.与本投标有关的一切正式往来信函请寄：</w:t>
      </w:r>
    </w:p>
    <w:p>
      <w:pPr>
        <w:snapToGrid w:val="0"/>
        <w:spacing w:line="360" w:lineRule="auto"/>
        <w:rPr>
          <w:rFonts w:ascii="宋体" w:hAnsi="宋体"/>
          <w:szCs w:val="21"/>
        </w:rPr>
      </w:pPr>
      <w:r>
        <w:rPr>
          <w:rFonts w:ascii="宋体" w:hAnsi="宋体"/>
          <w:szCs w:val="21"/>
        </w:rPr>
        <w:t>地址：</w:t>
      </w:r>
      <w:r>
        <w:rPr>
          <w:rFonts w:ascii="宋体" w:hAnsi="宋体"/>
          <w:szCs w:val="21"/>
          <w:u w:val="single"/>
        </w:rPr>
        <w:t xml:space="preserve">                    </w:t>
      </w:r>
      <w:r>
        <w:rPr>
          <w:rFonts w:ascii="宋体" w:hAnsi="宋体"/>
          <w:szCs w:val="21"/>
        </w:rPr>
        <w:t>邮编：__________电话：______________</w:t>
      </w:r>
    </w:p>
    <w:p>
      <w:pPr>
        <w:snapToGrid w:val="0"/>
        <w:spacing w:line="360" w:lineRule="auto"/>
        <w:rPr>
          <w:rFonts w:ascii="宋体" w:hAnsi="宋体"/>
          <w:szCs w:val="21"/>
        </w:rPr>
      </w:pPr>
      <w:r>
        <w:rPr>
          <w:rFonts w:ascii="宋体" w:hAnsi="宋体"/>
          <w:szCs w:val="21"/>
        </w:rPr>
        <w:t>传真：______________投标人代表姓名___________职务：</w:t>
      </w:r>
      <w:r>
        <w:rPr>
          <w:rFonts w:ascii="宋体" w:hAnsi="宋体"/>
          <w:szCs w:val="21"/>
          <w:u w:val="single"/>
        </w:rPr>
        <w:t xml:space="preserve">            </w:t>
      </w:r>
    </w:p>
    <w:p>
      <w:pPr>
        <w:snapToGrid w:val="0"/>
        <w:spacing w:line="360" w:lineRule="auto"/>
        <w:rPr>
          <w:rFonts w:ascii="宋体" w:hAnsi="宋体"/>
          <w:szCs w:val="21"/>
        </w:rPr>
      </w:pPr>
      <w:r>
        <w:rPr>
          <w:rFonts w:ascii="宋体" w:hAnsi="宋体"/>
          <w:szCs w:val="21"/>
        </w:rPr>
        <w:t>投标人名称(公章):___________________</w:t>
      </w:r>
    </w:p>
    <w:p>
      <w:pPr>
        <w:snapToGrid w:val="0"/>
        <w:spacing w:line="360" w:lineRule="auto"/>
        <w:rPr>
          <w:rFonts w:ascii="宋体" w:hAnsi="宋体"/>
          <w:szCs w:val="21"/>
        </w:rPr>
      </w:pPr>
      <w:r>
        <w:rPr>
          <w:rFonts w:ascii="宋体" w:hAnsi="宋体"/>
          <w:szCs w:val="21"/>
        </w:rPr>
        <w:t>开户银行：</w:t>
      </w:r>
      <w:r>
        <w:rPr>
          <w:rFonts w:ascii="宋体" w:hAnsi="宋体"/>
          <w:szCs w:val="21"/>
          <w:u w:val="single"/>
        </w:rPr>
        <w:t xml:space="preserve">                      </w:t>
      </w:r>
      <w:r>
        <w:rPr>
          <w:rFonts w:ascii="宋体" w:hAnsi="宋体"/>
          <w:szCs w:val="21"/>
        </w:rPr>
        <w:t xml:space="preserve">   银行帐号：</w:t>
      </w:r>
      <w:r>
        <w:rPr>
          <w:rFonts w:ascii="宋体" w:hAnsi="宋体"/>
          <w:szCs w:val="21"/>
          <w:u w:val="single"/>
        </w:rPr>
        <w:t xml:space="preserve">                    </w:t>
      </w:r>
      <w:r>
        <w:rPr>
          <w:rFonts w:ascii="宋体" w:hAnsi="宋体"/>
          <w:szCs w:val="21"/>
        </w:rPr>
        <w:t xml:space="preserve"> </w:t>
      </w:r>
    </w:p>
    <w:p>
      <w:pPr>
        <w:snapToGrid w:val="0"/>
        <w:spacing w:line="360" w:lineRule="auto"/>
        <w:rPr>
          <w:rFonts w:ascii="宋体" w:hAnsi="宋体"/>
          <w:szCs w:val="21"/>
        </w:rPr>
      </w:pPr>
      <w:r>
        <w:rPr>
          <w:rFonts w:ascii="宋体" w:hAnsi="宋体"/>
          <w:szCs w:val="21"/>
        </w:rPr>
        <w:t>授权代表签字:___________             日期:_____年___月___日</w:t>
      </w:r>
    </w:p>
    <w:p>
      <w:pPr>
        <w:pStyle w:val="27"/>
        <w:spacing w:before="0" w:line="360" w:lineRule="auto"/>
        <w:jc w:val="left"/>
        <w:rPr>
          <w:rFonts w:ascii="宋体" w:hAnsi="宋体"/>
          <w:b w:val="0"/>
          <w:sz w:val="21"/>
          <w:szCs w:val="21"/>
        </w:rPr>
      </w:pPr>
      <w:r>
        <w:rPr>
          <w:rFonts w:ascii="宋体" w:hAnsi="宋体"/>
          <w:b w:val="0"/>
          <w:sz w:val="21"/>
          <w:szCs w:val="21"/>
        </w:rPr>
        <w:br w:type="page"/>
      </w:r>
      <w:bookmarkStart w:id="64" w:name="_Toc485712566"/>
      <w:r>
        <w:rPr>
          <w:rFonts w:ascii="宋体" w:hAnsi="宋体"/>
          <w:b w:val="0"/>
          <w:sz w:val="24"/>
          <w:szCs w:val="21"/>
        </w:rPr>
        <w:t>格式二 开标一览表</w:t>
      </w:r>
      <w:bookmarkEnd w:id="64"/>
    </w:p>
    <w:p>
      <w:pPr>
        <w:snapToGrid w:val="0"/>
        <w:spacing w:beforeLines="50" w:after="50" w:line="360" w:lineRule="auto"/>
        <w:jc w:val="center"/>
        <w:rPr>
          <w:rFonts w:ascii="宋体" w:hAnsi="宋体"/>
          <w:sz w:val="28"/>
          <w:szCs w:val="28"/>
        </w:rPr>
      </w:pPr>
      <w:r>
        <w:rPr>
          <w:rFonts w:ascii="宋体" w:hAnsi="宋体"/>
          <w:sz w:val="28"/>
          <w:szCs w:val="28"/>
        </w:rPr>
        <w:t>开标一览表</w:t>
      </w:r>
    </w:p>
    <w:p>
      <w:pPr>
        <w:pStyle w:val="13"/>
        <w:spacing w:line="360" w:lineRule="auto"/>
        <w:ind w:firstLine="0"/>
        <w:rPr>
          <w:rFonts w:hAnsi="宋体"/>
          <w:sz w:val="21"/>
          <w:szCs w:val="21"/>
          <w:u w:val="single"/>
        </w:rPr>
      </w:pPr>
      <w:r>
        <w:rPr>
          <w:rFonts w:hAnsi="宋体"/>
          <w:sz w:val="21"/>
          <w:szCs w:val="21"/>
        </w:rPr>
        <w:t>招标项目名称</w:t>
      </w:r>
      <w:r>
        <w:rPr>
          <w:rFonts w:hAnsi="宋体"/>
          <w:spacing w:val="0"/>
          <w:sz w:val="21"/>
          <w:szCs w:val="21"/>
        </w:rPr>
        <w:t>：</w:t>
      </w:r>
      <w:r>
        <w:rPr>
          <w:rFonts w:hint="eastAsia" w:hAnsi="宋体"/>
          <w:sz w:val="21"/>
          <w:szCs w:val="21"/>
          <w:u w:val="single"/>
        </w:rPr>
        <w:t>人民广场与地下通道工程第三方监测项目子包（一、二）</w:t>
      </w:r>
    </w:p>
    <w:p>
      <w:pPr>
        <w:pStyle w:val="13"/>
        <w:spacing w:line="360" w:lineRule="auto"/>
        <w:ind w:firstLine="0"/>
        <w:rPr>
          <w:rFonts w:hAnsi="宋体"/>
          <w:sz w:val="21"/>
          <w:szCs w:val="21"/>
        </w:rPr>
      </w:pPr>
      <w:r>
        <w:rPr>
          <w:rFonts w:hAnsi="宋体"/>
          <w:sz w:val="21"/>
          <w:szCs w:val="21"/>
        </w:rPr>
        <w:t>项目编号：</w:t>
      </w:r>
      <w:r>
        <w:rPr>
          <w:rFonts w:hAnsi="宋体"/>
          <w:sz w:val="21"/>
          <w:szCs w:val="21"/>
          <w:u w:val="single"/>
        </w:rPr>
        <w:t xml:space="preserve">            </w:t>
      </w:r>
      <w:r>
        <w:rPr>
          <w:rFonts w:hint="eastAsia" w:hAnsi="宋体"/>
          <w:sz w:val="21"/>
          <w:szCs w:val="21"/>
          <w:u w:val="single"/>
        </w:rPr>
        <w:t xml:space="preserve"> </w:t>
      </w:r>
      <w:r>
        <w:rPr>
          <w:rFonts w:hAnsi="宋体"/>
          <w:sz w:val="21"/>
          <w:szCs w:val="21"/>
          <w:u w:val="single"/>
        </w:rPr>
        <w:t xml:space="preserve">     </w:t>
      </w:r>
    </w:p>
    <w:tbl>
      <w:tblPr>
        <w:tblStyle w:val="3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5"/>
        <w:gridCol w:w="3511"/>
        <w:gridCol w:w="2556"/>
        <w:gridCol w:w="21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5" w:hRule="atLeast"/>
        </w:trPr>
        <w:tc>
          <w:tcPr>
            <w:tcW w:w="715" w:type="dxa"/>
            <w:vAlign w:val="center"/>
          </w:tcPr>
          <w:p>
            <w:pPr>
              <w:jc w:val="center"/>
              <w:rPr>
                <w:rFonts w:ascii="宋体" w:hAnsi="宋体"/>
                <w:szCs w:val="21"/>
              </w:rPr>
            </w:pPr>
            <w:r>
              <w:rPr>
                <w:rFonts w:hint="eastAsia" w:ascii="宋体" w:hAnsi="宋体"/>
                <w:szCs w:val="21"/>
              </w:rPr>
              <w:t>序号</w:t>
            </w:r>
          </w:p>
        </w:tc>
        <w:tc>
          <w:tcPr>
            <w:tcW w:w="3511" w:type="dxa"/>
            <w:vAlign w:val="center"/>
          </w:tcPr>
          <w:p>
            <w:pPr>
              <w:jc w:val="center"/>
              <w:rPr>
                <w:rFonts w:ascii="宋体" w:hAnsi="宋体"/>
                <w:szCs w:val="21"/>
              </w:rPr>
            </w:pPr>
            <w:r>
              <w:rPr>
                <w:rFonts w:hint="eastAsia" w:ascii="宋体" w:hAnsi="宋体"/>
                <w:szCs w:val="21"/>
              </w:rPr>
              <w:t>项目内容</w:t>
            </w:r>
          </w:p>
        </w:tc>
        <w:tc>
          <w:tcPr>
            <w:tcW w:w="2556" w:type="dxa"/>
            <w:vAlign w:val="center"/>
          </w:tcPr>
          <w:p>
            <w:pPr>
              <w:spacing w:line="360" w:lineRule="exact"/>
              <w:jc w:val="center"/>
              <w:rPr>
                <w:rFonts w:ascii="宋体" w:hAnsi="宋体"/>
                <w:szCs w:val="21"/>
              </w:rPr>
            </w:pPr>
            <w:r>
              <w:rPr>
                <w:rFonts w:hint="eastAsia" w:ascii="宋体" w:hAnsi="宋体"/>
                <w:szCs w:val="21"/>
              </w:rPr>
              <w:t>投标报价（单位：元）</w:t>
            </w:r>
          </w:p>
        </w:tc>
        <w:tc>
          <w:tcPr>
            <w:tcW w:w="2130" w:type="dxa"/>
            <w:vAlign w:val="center"/>
          </w:tcPr>
          <w:p>
            <w:pPr>
              <w:spacing w:line="360" w:lineRule="exact"/>
              <w:jc w:val="center"/>
              <w:rPr>
                <w:rFonts w:ascii="宋体" w:hAnsi="宋体"/>
                <w:szCs w:val="21"/>
              </w:rPr>
            </w:pPr>
            <w:r>
              <w:rPr>
                <w:rFonts w:hint="eastAsia" w:ascii="宋体" w:hAnsi="宋体"/>
                <w:szCs w:val="21"/>
              </w:rPr>
              <w:t>服务期限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18" w:hRule="atLeast"/>
        </w:trPr>
        <w:tc>
          <w:tcPr>
            <w:tcW w:w="715" w:type="dxa"/>
            <w:tcBorders>
              <w:bottom w:val="single" w:color="auto" w:sz="4" w:space="0"/>
            </w:tcBorders>
            <w:vAlign w:val="center"/>
          </w:tcPr>
          <w:p>
            <w:pPr>
              <w:jc w:val="center"/>
              <w:rPr>
                <w:rFonts w:ascii="宋体" w:hAnsi="宋体"/>
                <w:szCs w:val="21"/>
              </w:rPr>
            </w:pPr>
            <w:r>
              <w:rPr>
                <w:rFonts w:hint="eastAsia" w:ascii="宋体" w:hAnsi="宋体"/>
                <w:szCs w:val="21"/>
              </w:rPr>
              <w:t>1</w:t>
            </w:r>
          </w:p>
        </w:tc>
        <w:tc>
          <w:tcPr>
            <w:tcW w:w="3511" w:type="dxa"/>
            <w:tcBorders>
              <w:bottom w:val="single" w:color="auto" w:sz="4" w:space="0"/>
            </w:tcBorders>
            <w:vAlign w:val="center"/>
          </w:tcPr>
          <w:p>
            <w:pPr>
              <w:jc w:val="left"/>
              <w:rPr>
                <w:rFonts w:ascii="宋体" w:hAnsi="宋体"/>
                <w:szCs w:val="21"/>
              </w:rPr>
            </w:pPr>
          </w:p>
        </w:tc>
        <w:tc>
          <w:tcPr>
            <w:tcW w:w="2556" w:type="dxa"/>
            <w:tcBorders>
              <w:bottom w:val="single" w:color="auto" w:sz="4" w:space="0"/>
            </w:tcBorders>
            <w:vAlign w:val="center"/>
          </w:tcPr>
          <w:p>
            <w:pPr>
              <w:jc w:val="center"/>
              <w:rPr>
                <w:rFonts w:ascii="宋体" w:hAnsi="宋体"/>
                <w:szCs w:val="21"/>
              </w:rPr>
            </w:pPr>
          </w:p>
        </w:tc>
        <w:tc>
          <w:tcPr>
            <w:tcW w:w="2130" w:type="dxa"/>
            <w:tcBorders>
              <w:bottom w:val="single" w:color="auto" w:sz="4" w:space="0"/>
            </w:tcBorders>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6" w:hRule="atLeast"/>
        </w:trPr>
        <w:tc>
          <w:tcPr>
            <w:tcW w:w="715" w:type="dxa"/>
            <w:tcBorders>
              <w:top w:val="single" w:color="auto" w:sz="4" w:space="0"/>
            </w:tcBorders>
            <w:vAlign w:val="center"/>
          </w:tcPr>
          <w:p>
            <w:pPr>
              <w:jc w:val="center"/>
              <w:rPr>
                <w:rFonts w:ascii="宋体" w:hAnsi="宋体"/>
                <w:szCs w:val="21"/>
              </w:rPr>
            </w:pPr>
            <w:r>
              <w:rPr>
                <w:rFonts w:hint="eastAsia" w:ascii="宋体" w:hAnsi="宋体"/>
                <w:szCs w:val="21"/>
              </w:rPr>
              <w:t>总价</w:t>
            </w:r>
          </w:p>
        </w:tc>
        <w:tc>
          <w:tcPr>
            <w:tcW w:w="8197" w:type="dxa"/>
            <w:gridSpan w:val="3"/>
            <w:tcBorders>
              <w:top w:val="single" w:color="auto" w:sz="4" w:space="0"/>
            </w:tcBorders>
            <w:vAlign w:val="center"/>
          </w:tcPr>
          <w:p>
            <w:pPr>
              <w:rPr>
                <w:rFonts w:ascii="宋体" w:hAnsi="宋体"/>
                <w:szCs w:val="21"/>
              </w:rPr>
            </w:pPr>
            <w:r>
              <w:rPr>
                <w:rFonts w:hint="eastAsia" w:ascii="宋体" w:hAnsi="宋体"/>
                <w:szCs w:val="21"/>
              </w:rPr>
              <w:t xml:space="preserve">人民币（大写）：              元整（¥）          </w:t>
            </w:r>
          </w:p>
        </w:tc>
      </w:tr>
    </w:tbl>
    <w:p>
      <w:pPr>
        <w:snapToGrid w:val="0"/>
        <w:spacing w:before="50" w:after="50" w:line="360" w:lineRule="auto"/>
        <w:ind w:left="685" w:hanging="684" w:hangingChars="326"/>
        <w:jc w:val="left"/>
        <w:rPr>
          <w:rFonts w:ascii="宋体" w:hAnsi="宋体"/>
          <w:szCs w:val="21"/>
        </w:rPr>
      </w:pPr>
      <w:r>
        <w:rPr>
          <w:rFonts w:ascii="宋体" w:hAnsi="宋体"/>
          <w:szCs w:val="21"/>
        </w:rPr>
        <w:t xml:space="preserve">注： </w:t>
      </w:r>
    </w:p>
    <w:p>
      <w:pPr>
        <w:snapToGrid w:val="0"/>
        <w:spacing w:before="50" w:after="50" w:line="360" w:lineRule="auto"/>
        <w:ind w:left="315" w:hanging="315" w:hangingChars="150"/>
        <w:jc w:val="left"/>
        <w:rPr>
          <w:rFonts w:ascii="宋体" w:hAnsi="宋体"/>
          <w:szCs w:val="21"/>
        </w:rPr>
      </w:pPr>
      <w:r>
        <w:rPr>
          <w:rFonts w:ascii="宋体" w:hAnsi="宋体"/>
          <w:szCs w:val="21"/>
        </w:rPr>
        <w:t>1、报价一经涂改，应在涂改处加盖单位公章或者由法定代表人或授权委托人签字或盖章，否则其投标作无效标处理。</w:t>
      </w:r>
    </w:p>
    <w:p>
      <w:pPr>
        <w:snapToGrid w:val="0"/>
        <w:spacing w:before="50" w:after="50" w:line="360" w:lineRule="auto"/>
        <w:ind w:left="315" w:hanging="315" w:hangingChars="150"/>
        <w:jc w:val="left"/>
        <w:rPr>
          <w:rFonts w:ascii="宋体" w:hAnsi="宋体"/>
          <w:szCs w:val="21"/>
        </w:rPr>
      </w:pPr>
      <w:r>
        <w:rPr>
          <w:rFonts w:ascii="宋体" w:hAnsi="宋体"/>
          <w:szCs w:val="21"/>
        </w:rPr>
        <w:t>2、以上报价应与“投标报价明细表”中的“合计”数相一致。</w:t>
      </w:r>
    </w:p>
    <w:p>
      <w:pPr>
        <w:snapToGrid w:val="0"/>
        <w:spacing w:before="50" w:after="50" w:line="360" w:lineRule="auto"/>
        <w:ind w:left="315" w:hanging="315" w:hangingChars="150"/>
        <w:jc w:val="left"/>
        <w:rPr>
          <w:rFonts w:ascii="宋体" w:hAnsi="宋体"/>
          <w:szCs w:val="21"/>
        </w:rPr>
      </w:pPr>
      <w:r>
        <w:rPr>
          <w:rFonts w:ascii="宋体" w:hAnsi="宋体"/>
          <w:szCs w:val="21"/>
        </w:rPr>
        <w:t>3、</w:t>
      </w:r>
      <w:r>
        <w:rPr>
          <w:rFonts w:hint="eastAsia" w:ascii="宋体" w:hAnsi="宋体"/>
          <w:szCs w:val="21"/>
        </w:rPr>
        <w:t>投标总价指招标文件中所规定的所有服务项目合同期内的总报价</w:t>
      </w:r>
      <w:r>
        <w:rPr>
          <w:rFonts w:ascii="宋体" w:hAnsi="宋体"/>
          <w:szCs w:val="21"/>
        </w:rPr>
        <w:t>。</w:t>
      </w:r>
    </w:p>
    <w:p>
      <w:pPr>
        <w:snapToGrid w:val="0"/>
        <w:spacing w:before="50" w:after="50" w:line="360" w:lineRule="auto"/>
        <w:ind w:left="315" w:hanging="315" w:hangingChars="150"/>
        <w:jc w:val="left"/>
        <w:rPr>
          <w:rFonts w:ascii="宋体" w:hAnsi="宋体"/>
          <w:szCs w:val="21"/>
        </w:rPr>
      </w:pPr>
      <w:r>
        <w:rPr>
          <w:rFonts w:hint="eastAsia" w:ascii="宋体" w:hAnsi="宋体"/>
          <w:szCs w:val="21"/>
        </w:rPr>
        <w:t>4、投标报价以“元”为单位，小数点四舍五入。</w:t>
      </w:r>
    </w:p>
    <w:p>
      <w:pPr>
        <w:snapToGrid w:val="0"/>
        <w:spacing w:before="50" w:after="50"/>
        <w:ind w:left="315" w:hanging="315" w:hangingChars="150"/>
        <w:jc w:val="left"/>
        <w:rPr>
          <w:rFonts w:ascii="宋体" w:hAnsi="宋体"/>
          <w:szCs w:val="21"/>
        </w:rPr>
      </w:pPr>
    </w:p>
    <w:p>
      <w:pPr>
        <w:pStyle w:val="2"/>
        <w:rPr>
          <w:rFonts w:ascii="宋体" w:hAnsi="宋体"/>
          <w:szCs w:val="21"/>
        </w:rPr>
      </w:pPr>
    </w:p>
    <w:p>
      <w:pPr>
        <w:pStyle w:val="2"/>
        <w:rPr>
          <w:rFonts w:ascii="宋体" w:hAnsi="宋体"/>
          <w:szCs w:val="21"/>
        </w:rPr>
      </w:pPr>
    </w:p>
    <w:p>
      <w:pPr>
        <w:spacing w:line="360" w:lineRule="auto"/>
        <w:ind w:right="1784"/>
        <w:jc w:val="right"/>
        <w:rPr>
          <w:rFonts w:ascii="宋体" w:hAnsi="宋体"/>
          <w:szCs w:val="21"/>
        </w:rPr>
      </w:pPr>
      <w:r>
        <w:rPr>
          <w:rFonts w:ascii="宋体" w:hAnsi="宋体"/>
          <w:szCs w:val="21"/>
        </w:rPr>
        <w:t>投标人（盖章）：</w:t>
      </w:r>
    </w:p>
    <w:p>
      <w:pPr>
        <w:spacing w:line="360" w:lineRule="auto"/>
        <w:ind w:right="1784"/>
        <w:jc w:val="right"/>
        <w:rPr>
          <w:rFonts w:ascii="宋体" w:hAnsi="宋体"/>
          <w:szCs w:val="21"/>
        </w:rPr>
      </w:pPr>
      <w:r>
        <w:rPr>
          <w:rFonts w:ascii="宋体" w:hAnsi="宋体"/>
          <w:szCs w:val="21"/>
        </w:rPr>
        <w:t>投标人代表（签字）：</w:t>
      </w:r>
    </w:p>
    <w:p>
      <w:pPr>
        <w:spacing w:line="360" w:lineRule="auto"/>
        <w:ind w:right="1784"/>
        <w:jc w:val="right"/>
        <w:rPr>
          <w:rFonts w:ascii="宋体" w:hAnsi="宋体"/>
          <w:szCs w:val="21"/>
        </w:rPr>
      </w:pPr>
      <w:r>
        <w:rPr>
          <w:rFonts w:ascii="宋体" w:hAnsi="宋体"/>
          <w:szCs w:val="21"/>
        </w:rPr>
        <w:t>日  期：</w:t>
      </w:r>
      <w:bookmarkStart w:id="65" w:name="_Toc485712567"/>
    </w:p>
    <w:p>
      <w:pPr>
        <w:spacing w:line="360" w:lineRule="auto"/>
        <w:ind w:right="1784"/>
        <w:jc w:val="right"/>
        <w:rPr>
          <w:rFonts w:ascii="宋体" w:hAnsi="宋体"/>
          <w:szCs w:val="21"/>
        </w:rPr>
      </w:pPr>
    </w:p>
    <w:p>
      <w:pPr>
        <w:spacing w:line="360" w:lineRule="auto"/>
        <w:ind w:right="1784"/>
        <w:jc w:val="right"/>
        <w:rPr>
          <w:rFonts w:ascii="宋体" w:hAnsi="宋体"/>
          <w:szCs w:val="21"/>
        </w:rPr>
      </w:pPr>
    </w:p>
    <w:p>
      <w:pPr>
        <w:spacing w:line="360" w:lineRule="auto"/>
        <w:ind w:right="1784"/>
        <w:jc w:val="right"/>
        <w:rPr>
          <w:rFonts w:ascii="宋体" w:hAnsi="宋体"/>
          <w:szCs w:val="21"/>
        </w:rPr>
      </w:pPr>
    </w:p>
    <w:p>
      <w:pPr>
        <w:spacing w:line="360" w:lineRule="auto"/>
        <w:ind w:right="1784"/>
        <w:jc w:val="right"/>
        <w:rPr>
          <w:rFonts w:ascii="宋体" w:hAnsi="宋体"/>
          <w:szCs w:val="21"/>
        </w:rPr>
      </w:pPr>
    </w:p>
    <w:p>
      <w:pPr>
        <w:spacing w:line="360" w:lineRule="auto"/>
        <w:ind w:right="1784"/>
        <w:jc w:val="right"/>
        <w:rPr>
          <w:rFonts w:ascii="宋体" w:hAnsi="宋体"/>
          <w:szCs w:val="21"/>
        </w:rPr>
      </w:pPr>
    </w:p>
    <w:p>
      <w:pPr>
        <w:spacing w:line="360" w:lineRule="auto"/>
        <w:ind w:right="1784"/>
        <w:jc w:val="right"/>
        <w:rPr>
          <w:rFonts w:ascii="宋体" w:hAnsi="宋体"/>
          <w:szCs w:val="21"/>
        </w:rPr>
      </w:pPr>
    </w:p>
    <w:p>
      <w:pPr>
        <w:spacing w:line="360" w:lineRule="auto"/>
        <w:ind w:right="1784"/>
        <w:jc w:val="right"/>
        <w:rPr>
          <w:rFonts w:ascii="宋体" w:hAnsi="宋体"/>
          <w:szCs w:val="21"/>
        </w:rPr>
      </w:pPr>
    </w:p>
    <w:p>
      <w:pPr>
        <w:spacing w:line="360" w:lineRule="auto"/>
        <w:ind w:right="1784"/>
        <w:jc w:val="right"/>
        <w:rPr>
          <w:rFonts w:ascii="宋体" w:hAnsi="宋体"/>
          <w:szCs w:val="21"/>
        </w:rPr>
      </w:pPr>
    </w:p>
    <w:p>
      <w:pPr>
        <w:spacing w:line="360" w:lineRule="auto"/>
        <w:ind w:right="1784"/>
        <w:jc w:val="right"/>
        <w:rPr>
          <w:rFonts w:ascii="宋体" w:hAnsi="宋体"/>
          <w:szCs w:val="21"/>
        </w:rPr>
      </w:pPr>
    </w:p>
    <w:p>
      <w:pPr>
        <w:spacing w:line="360" w:lineRule="auto"/>
        <w:ind w:right="1784"/>
        <w:jc w:val="right"/>
        <w:rPr>
          <w:rFonts w:ascii="宋体" w:hAnsi="宋体"/>
          <w:szCs w:val="21"/>
        </w:rPr>
      </w:pPr>
    </w:p>
    <w:p>
      <w:pPr>
        <w:pStyle w:val="27"/>
        <w:spacing w:before="0" w:line="360" w:lineRule="auto"/>
        <w:jc w:val="left"/>
        <w:rPr>
          <w:rFonts w:ascii="宋体" w:hAnsi="宋体"/>
          <w:b w:val="0"/>
          <w:sz w:val="24"/>
          <w:szCs w:val="21"/>
        </w:rPr>
      </w:pPr>
      <w:r>
        <w:rPr>
          <w:rFonts w:ascii="宋体" w:hAnsi="宋体"/>
          <w:b w:val="0"/>
          <w:sz w:val="24"/>
          <w:szCs w:val="21"/>
        </w:rPr>
        <w:br w:type="page"/>
      </w:r>
      <w:r>
        <w:rPr>
          <w:rFonts w:ascii="宋体" w:hAnsi="宋体"/>
          <w:b w:val="0"/>
          <w:sz w:val="24"/>
          <w:szCs w:val="21"/>
        </w:rPr>
        <w:t>格式三 投标报价明细表格式</w:t>
      </w:r>
      <w:bookmarkEnd w:id="65"/>
    </w:p>
    <w:p>
      <w:pPr>
        <w:pStyle w:val="18"/>
        <w:snapToGrid w:val="0"/>
        <w:spacing w:beforeLines="0" w:afterLines="0" w:line="360" w:lineRule="auto"/>
        <w:jc w:val="center"/>
        <w:rPr>
          <w:rFonts w:hAnsi="宋体"/>
          <w:sz w:val="32"/>
          <w:szCs w:val="32"/>
        </w:rPr>
      </w:pPr>
      <w:r>
        <w:rPr>
          <w:rFonts w:hAnsi="宋体"/>
          <w:sz w:val="32"/>
          <w:szCs w:val="32"/>
        </w:rPr>
        <w:t>投标报价明细表格式</w:t>
      </w:r>
      <w:r>
        <w:rPr>
          <w:rFonts w:hint="eastAsia" w:hAnsi="宋体"/>
          <w:sz w:val="32"/>
          <w:szCs w:val="32"/>
        </w:rPr>
        <w:t>子包一</w:t>
      </w:r>
    </w:p>
    <w:p>
      <w:pPr>
        <w:pStyle w:val="13"/>
        <w:spacing w:line="360" w:lineRule="auto"/>
        <w:ind w:firstLine="0"/>
        <w:rPr>
          <w:rFonts w:hAnsi="宋体"/>
          <w:sz w:val="21"/>
          <w:szCs w:val="21"/>
          <w:u w:val="single"/>
        </w:rPr>
      </w:pPr>
      <w:r>
        <w:rPr>
          <w:rFonts w:hAnsi="宋体"/>
          <w:sz w:val="21"/>
          <w:szCs w:val="21"/>
        </w:rPr>
        <w:t>招标项目名称：</w:t>
      </w:r>
      <w:r>
        <w:rPr>
          <w:rFonts w:hint="eastAsia" w:hAnsi="宋体"/>
          <w:sz w:val="21"/>
          <w:szCs w:val="21"/>
          <w:u w:val="single"/>
        </w:rPr>
        <w:t xml:space="preserve">人民广场与地下通道工程第三方监测项目子包一 </w:t>
      </w:r>
    </w:p>
    <w:tbl>
      <w:tblPr>
        <w:tblStyle w:val="38"/>
        <w:tblW w:w="9798" w:type="dxa"/>
        <w:tblInd w:w="-2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7"/>
        <w:gridCol w:w="2911"/>
        <w:gridCol w:w="1403"/>
        <w:gridCol w:w="1234"/>
        <w:gridCol w:w="1352"/>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1687" w:type="dxa"/>
            <w:vAlign w:val="center"/>
          </w:tcPr>
          <w:p>
            <w:pPr>
              <w:spacing w:line="400" w:lineRule="exact"/>
              <w:ind w:firstLine="420" w:firstLineChars="200"/>
              <w:jc w:val="center"/>
              <w:rPr>
                <w:rFonts w:ascii="宋体" w:hAnsi="宋体"/>
                <w:kern w:val="10"/>
                <w:szCs w:val="21"/>
              </w:rPr>
            </w:pPr>
            <w:r>
              <w:rPr>
                <w:rFonts w:hint="eastAsia" w:ascii="宋体" w:hAnsi="宋体"/>
                <w:kern w:val="10"/>
                <w:szCs w:val="21"/>
              </w:rPr>
              <w:t>名称</w:t>
            </w:r>
          </w:p>
        </w:tc>
        <w:tc>
          <w:tcPr>
            <w:tcW w:w="2911" w:type="dxa"/>
            <w:vAlign w:val="center"/>
          </w:tcPr>
          <w:p>
            <w:pPr>
              <w:spacing w:line="400" w:lineRule="exact"/>
              <w:jc w:val="center"/>
              <w:rPr>
                <w:rFonts w:ascii="宋体" w:hAnsi="宋体"/>
                <w:kern w:val="10"/>
                <w:szCs w:val="21"/>
              </w:rPr>
            </w:pPr>
            <w:r>
              <w:rPr>
                <w:rFonts w:hint="eastAsia" w:ascii="宋体" w:hAnsi="宋体"/>
                <w:kern w:val="10"/>
                <w:szCs w:val="21"/>
              </w:rPr>
              <w:t>项目内容</w:t>
            </w:r>
          </w:p>
        </w:tc>
        <w:tc>
          <w:tcPr>
            <w:tcW w:w="1403" w:type="dxa"/>
            <w:vAlign w:val="center"/>
          </w:tcPr>
          <w:p>
            <w:pPr>
              <w:spacing w:line="400" w:lineRule="exact"/>
              <w:jc w:val="center"/>
              <w:rPr>
                <w:rFonts w:ascii="宋体" w:hAnsi="宋体"/>
                <w:kern w:val="10"/>
                <w:szCs w:val="21"/>
              </w:rPr>
            </w:pPr>
            <w:r>
              <w:rPr>
                <w:rFonts w:hint="eastAsia" w:ascii="宋体" w:hAnsi="宋体"/>
                <w:kern w:val="10"/>
                <w:szCs w:val="21"/>
              </w:rPr>
              <w:t>数量（暂定）（个）</w:t>
            </w:r>
          </w:p>
        </w:tc>
        <w:tc>
          <w:tcPr>
            <w:tcW w:w="1234" w:type="dxa"/>
            <w:vAlign w:val="center"/>
          </w:tcPr>
          <w:p>
            <w:pPr>
              <w:spacing w:line="400" w:lineRule="exact"/>
              <w:jc w:val="center"/>
              <w:rPr>
                <w:szCs w:val="21"/>
              </w:rPr>
            </w:pPr>
            <w:r>
              <w:rPr>
                <w:rFonts w:hint="eastAsia"/>
                <w:szCs w:val="21"/>
              </w:rPr>
              <w:t>综合单价</w:t>
            </w:r>
          </w:p>
          <w:p>
            <w:pPr>
              <w:pStyle w:val="2"/>
              <w:jc w:val="center"/>
              <w:rPr>
                <w:sz w:val="21"/>
                <w:szCs w:val="21"/>
              </w:rPr>
            </w:pPr>
            <w:r>
              <w:rPr>
                <w:rFonts w:hint="eastAsia" w:ascii="宋体" w:hAnsi="宋体"/>
                <w:kern w:val="10"/>
                <w:sz w:val="21"/>
                <w:szCs w:val="21"/>
              </w:rPr>
              <w:t>（元）</w:t>
            </w:r>
          </w:p>
        </w:tc>
        <w:tc>
          <w:tcPr>
            <w:tcW w:w="1352" w:type="dxa"/>
            <w:vAlign w:val="center"/>
          </w:tcPr>
          <w:p>
            <w:pPr>
              <w:spacing w:line="400" w:lineRule="exact"/>
              <w:jc w:val="center"/>
              <w:rPr>
                <w:rFonts w:ascii="宋体" w:hAnsi="宋体"/>
                <w:kern w:val="10"/>
                <w:szCs w:val="21"/>
              </w:rPr>
            </w:pPr>
            <w:r>
              <w:rPr>
                <w:rFonts w:hint="eastAsia" w:ascii="宋体" w:hAnsi="宋体"/>
                <w:kern w:val="10"/>
                <w:szCs w:val="21"/>
              </w:rPr>
              <w:t>合价</w:t>
            </w:r>
          </w:p>
        </w:tc>
        <w:tc>
          <w:tcPr>
            <w:tcW w:w="1211" w:type="dxa"/>
            <w:vAlign w:val="center"/>
          </w:tcPr>
          <w:p>
            <w:pPr>
              <w:spacing w:line="400" w:lineRule="exact"/>
              <w:jc w:val="center"/>
              <w:rPr>
                <w:rFonts w:ascii="宋体" w:hAnsi="宋体"/>
                <w:kern w:val="10"/>
                <w:szCs w:val="21"/>
              </w:rPr>
            </w:pPr>
            <w:r>
              <w:rPr>
                <w:rFonts w:hint="eastAsia" w:ascii="宋体" w:hAnsi="宋体"/>
                <w:kern w:val="1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687" w:type="dxa"/>
            <w:vMerge w:val="restart"/>
            <w:vAlign w:val="center"/>
          </w:tcPr>
          <w:p>
            <w:pPr>
              <w:spacing w:line="400" w:lineRule="exact"/>
              <w:jc w:val="center"/>
              <w:rPr>
                <w:rFonts w:ascii="宋体" w:hAnsi="宋体"/>
                <w:kern w:val="10"/>
                <w:szCs w:val="21"/>
              </w:rPr>
            </w:pPr>
            <w:r>
              <w:rPr>
                <w:rFonts w:hint="eastAsia" w:ascii="宋体" w:hAnsi="宋体"/>
                <w:kern w:val="10"/>
                <w:szCs w:val="21"/>
              </w:rPr>
              <w:t>基坑监测</w:t>
            </w:r>
          </w:p>
        </w:tc>
        <w:tc>
          <w:tcPr>
            <w:tcW w:w="2911" w:type="dxa"/>
            <w:vAlign w:val="center"/>
          </w:tcPr>
          <w:p>
            <w:pPr>
              <w:widowControl/>
              <w:spacing w:line="400" w:lineRule="exact"/>
              <w:jc w:val="center"/>
              <w:rPr>
                <w:rFonts w:ascii="宋体" w:hAnsi="宋体"/>
                <w:kern w:val="10"/>
                <w:szCs w:val="21"/>
              </w:rPr>
            </w:pPr>
            <w:r>
              <w:rPr>
                <w:rFonts w:hint="eastAsia" w:ascii="宋体" w:hAnsi="宋体" w:cs="宋体"/>
                <w:kern w:val="0"/>
                <w:szCs w:val="21"/>
              </w:rPr>
              <w:t>深层土体位移观测</w:t>
            </w:r>
          </w:p>
        </w:tc>
        <w:tc>
          <w:tcPr>
            <w:tcW w:w="1403" w:type="dxa"/>
            <w:vAlign w:val="center"/>
          </w:tcPr>
          <w:p>
            <w:pPr>
              <w:spacing w:line="400" w:lineRule="exact"/>
              <w:jc w:val="center"/>
              <w:rPr>
                <w:rFonts w:ascii="宋体" w:hAnsi="宋体"/>
                <w:kern w:val="10"/>
                <w:szCs w:val="21"/>
              </w:rPr>
            </w:pPr>
            <w:r>
              <w:rPr>
                <w:rFonts w:hint="eastAsia"/>
                <w:sz w:val="24"/>
              </w:rPr>
              <w:t>25</w:t>
            </w:r>
          </w:p>
        </w:tc>
        <w:tc>
          <w:tcPr>
            <w:tcW w:w="1234" w:type="dxa"/>
            <w:vAlign w:val="center"/>
          </w:tcPr>
          <w:p>
            <w:pPr>
              <w:spacing w:line="400" w:lineRule="exact"/>
              <w:ind w:firstLine="420" w:firstLineChars="200"/>
              <w:jc w:val="center"/>
              <w:rPr>
                <w:rFonts w:ascii="宋体" w:hAnsi="宋体"/>
                <w:kern w:val="10"/>
                <w:szCs w:val="21"/>
              </w:rPr>
            </w:pPr>
          </w:p>
        </w:tc>
        <w:tc>
          <w:tcPr>
            <w:tcW w:w="1352" w:type="dxa"/>
            <w:vAlign w:val="center"/>
          </w:tcPr>
          <w:p>
            <w:pPr>
              <w:spacing w:line="400" w:lineRule="exact"/>
              <w:ind w:firstLine="420" w:firstLineChars="200"/>
              <w:jc w:val="center"/>
              <w:rPr>
                <w:rFonts w:ascii="宋体" w:hAnsi="宋体"/>
                <w:kern w:val="10"/>
                <w:szCs w:val="21"/>
              </w:rPr>
            </w:pPr>
          </w:p>
        </w:tc>
        <w:tc>
          <w:tcPr>
            <w:tcW w:w="1211" w:type="dxa"/>
            <w:vAlign w:val="center"/>
          </w:tcPr>
          <w:p>
            <w:pPr>
              <w:spacing w:line="400" w:lineRule="exact"/>
              <w:ind w:firstLine="420" w:firstLineChars="200"/>
              <w:jc w:val="center"/>
              <w:rPr>
                <w:rFonts w:ascii="宋体" w:hAnsi="宋体"/>
                <w:kern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687" w:type="dxa"/>
            <w:vMerge w:val="continue"/>
            <w:vAlign w:val="center"/>
          </w:tcPr>
          <w:p>
            <w:pPr>
              <w:spacing w:line="400" w:lineRule="exact"/>
              <w:ind w:firstLine="420" w:firstLineChars="200"/>
              <w:jc w:val="center"/>
              <w:rPr>
                <w:rFonts w:ascii="宋体" w:hAnsi="宋体"/>
                <w:kern w:val="10"/>
                <w:szCs w:val="21"/>
              </w:rPr>
            </w:pPr>
          </w:p>
        </w:tc>
        <w:tc>
          <w:tcPr>
            <w:tcW w:w="2911" w:type="dxa"/>
            <w:vAlign w:val="center"/>
          </w:tcPr>
          <w:p>
            <w:pPr>
              <w:widowControl/>
              <w:spacing w:line="400" w:lineRule="exact"/>
              <w:jc w:val="center"/>
              <w:rPr>
                <w:rFonts w:ascii="宋体" w:hAnsi="宋体"/>
                <w:kern w:val="10"/>
                <w:szCs w:val="21"/>
              </w:rPr>
            </w:pPr>
            <w:r>
              <w:rPr>
                <w:rFonts w:hint="eastAsia" w:ascii="宋体" w:hAnsi="宋体" w:cs="宋体"/>
                <w:kern w:val="0"/>
                <w:szCs w:val="21"/>
              </w:rPr>
              <w:t>围护结构水平位移监测</w:t>
            </w:r>
          </w:p>
        </w:tc>
        <w:tc>
          <w:tcPr>
            <w:tcW w:w="1403" w:type="dxa"/>
            <w:vAlign w:val="center"/>
          </w:tcPr>
          <w:p>
            <w:pPr>
              <w:spacing w:line="400" w:lineRule="exact"/>
              <w:jc w:val="center"/>
              <w:rPr>
                <w:rFonts w:ascii="宋体" w:hAnsi="宋体"/>
                <w:kern w:val="10"/>
                <w:szCs w:val="21"/>
              </w:rPr>
            </w:pPr>
            <w:r>
              <w:rPr>
                <w:rFonts w:hint="eastAsia"/>
                <w:sz w:val="24"/>
              </w:rPr>
              <w:t>46</w:t>
            </w:r>
          </w:p>
        </w:tc>
        <w:tc>
          <w:tcPr>
            <w:tcW w:w="1234" w:type="dxa"/>
            <w:vAlign w:val="center"/>
          </w:tcPr>
          <w:p>
            <w:pPr>
              <w:spacing w:line="400" w:lineRule="exact"/>
              <w:ind w:firstLine="420" w:firstLineChars="200"/>
              <w:jc w:val="center"/>
              <w:rPr>
                <w:rFonts w:ascii="宋体" w:hAnsi="宋体"/>
                <w:kern w:val="10"/>
                <w:szCs w:val="21"/>
              </w:rPr>
            </w:pPr>
          </w:p>
        </w:tc>
        <w:tc>
          <w:tcPr>
            <w:tcW w:w="1352" w:type="dxa"/>
            <w:vAlign w:val="center"/>
          </w:tcPr>
          <w:p>
            <w:pPr>
              <w:spacing w:line="400" w:lineRule="exact"/>
              <w:ind w:firstLine="420" w:firstLineChars="200"/>
              <w:jc w:val="center"/>
              <w:rPr>
                <w:rFonts w:ascii="宋体" w:hAnsi="宋体"/>
                <w:kern w:val="10"/>
                <w:szCs w:val="21"/>
              </w:rPr>
            </w:pPr>
          </w:p>
        </w:tc>
        <w:tc>
          <w:tcPr>
            <w:tcW w:w="1211" w:type="dxa"/>
            <w:vAlign w:val="center"/>
          </w:tcPr>
          <w:p>
            <w:pPr>
              <w:spacing w:line="400" w:lineRule="exact"/>
              <w:ind w:firstLine="420" w:firstLineChars="200"/>
              <w:jc w:val="center"/>
              <w:rPr>
                <w:rFonts w:ascii="宋体" w:hAnsi="宋体"/>
                <w:kern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687" w:type="dxa"/>
            <w:vMerge w:val="continue"/>
            <w:vAlign w:val="center"/>
          </w:tcPr>
          <w:p>
            <w:pPr>
              <w:spacing w:line="400" w:lineRule="exact"/>
              <w:ind w:firstLine="420" w:firstLineChars="200"/>
              <w:jc w:val="center"/>
              <w:rPr>
                <w:rFonts w:ascii="宋体" w:hAnsi="宋体"/>
                <w:kern w:val="10"/>
                <w:szCs w:val="21"/>
              </w:rPr>
            </w:pPr>
          </w:p>
        </w:tc>
        <w:tc>
          <w:tcPr>
            <w:tcW w:w="2911" w:type="dxa"/>
            <w:vAlign w:val="center"/>
          </w:tcPr>
          <w:p>
            <w:pPr>
              <w:widowControl/>
              <w:spacing w:line="400" w:lineRule="exact"/>
              <w:jc w:val="center"/>
              <w:rPr>
                <w:rFonts w:ascii="宋体" w:hAnsi="宋体"/>
                <w:kern w:val="10"/>
                <w:szCs w:val="21"/>
              </w:rPr>
            </w:pPr>
            <w:r>
              <w:rPr>
                <w:rFonts w:hint="eastAsia" w:ascii="宋体" w:hAnsi="宋体" w:cs="宋体"/>
                <w:kern w:val="0"/>
                <w:szCs w:val="21"/>
              </w:rPr>
              <w:t>围护结构沉降监测</w:t>
            </w:r>
          </w:p>
        </w:tc>
        <w:tc>
          <w:tcPr>
            <w:tcW w:w="1403" w:type="dxa"/>
            <w:vAlign w:val="center"/>
          </w:tcPr>
          <w:p>
            <w:pPr>
              <w:spacing w:line="400" w:lineRule="exact"/>
              <w:jc w:val="center"/>
              <w:rPr>
                <w:rFonts w:ascii="宋体" w:hAnsi="宋体"/>
                <w:kern w:val="10"/>
                <w:szCs w:val="21"/>
              </w:rPr>
            </w:pPr>
            <w:r>
              <w:rPr>
                <w:rFonts w:hint="eastAsia"/>
                <w:sz w:val="24"/>
              </w:rPr>
              <w:t>46</w:t>
            </w:r>
          </w:p>
        </w:tc>
        <w:tc>
          <w:tcPr>
            <w:tcW w:w="1234" w:type="dxa"/>
            <w:vAlign w:val="center"/>
          </w:tcPr>
          <w:p>
            <w:pPr>
              <w:spacing w:line="400" w:lineRule="exact"/>
              <w:ind w:firstLine="420" w:firstLineChars="200"/>
              <w:jc w:val="center"/>
              <w:rPr>
                <w:rFonts w:ascii="宋体" w:hAnsi="宋体"/>
                <w:kern w:val="10"/>
                <w:szCs w:val="21"/>
              </w:rPr>
            </w:pPr>
          </w:p>
        </w:tc>
        <w:tc>
          <w:tcPr>
            <w:tcW w:w="1352" w:type="dxa"/>
            <w:vAlign w:val="center"/>
          </w:tcPr>
          <w:p>
            <w:pPr>
              <w:spacing w:line="400" w:lineRule="exact"/>
              <w:ind w:firstLine="420" w:firstLineChars="200"/>
              <w:jc w:val="center"/>
              <w:rPr>
                <w:rFonts w:ascii="宋体" w:hAnsi="宋体"/>
                <w:kern w:val="10"/>
                <w:szCs w:val="21"/>
              </w:rPr>
            </w:pPr>
          </w:p>
        </w:tc>
        <w:tc>
          <w:tcPr>
            <w:tcW w:w="1211" w:type="dxa"/>
            <w:vAlign w:val="center"/>
          </w:tcPr>
          <w:p>
            <w:pPr>
              <w:spacing w:line="400" w:lineRule="exact"/>
              <w:ind w:firstLine="420" w:firstLineChars="200"/>
              <w:jc w:val="center"/>
              <w:rPr>
                <w:rFonts w:ascii="宋体" w:hAnsi="宋体"/>
                <w:kern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687" w:type="dxa"/>
            <w:vMerge w:val="continue"/>
            <w:vAlign w:val="center"/>
          </w:tcPr>
          <w:p>
            <w:pPr>
              <w:spacing w:line="400" w:lineRule="exact"/>
              <w:ind w:firstLine="420" w:firstLineChars="200"/>
              <w:jc w:val="center"/>
              <w:rPr>
                <w:rFonts w:ascii="宋体" w:hAnsi="宋体"/>
                <w:kern w:val="10"/>
                <w:szCs w:val="21"/>
              </w:rPr>
            </w:pPr>
          </w:p>
        </w:tc>
        <w:tc>
          <w:tcPr>
            <w:tcW w:w="2911" w:type="dxa"/>
            <w:vAlign w:val="center"/>
          </w:tcPr>
          <w:p>
            <w:pPr>
              <w:widowControl/>
              <w:spacing w:line="400" w:lineRule="exact"/>
              <w:jc w:val="center"/>
              <w:rPr>
                <w:rFonts w:ascii="宋体" w:hAnsi="宋体"/>
                <w:kern w:val="10"/>
                <w:szCs w:val="21"/>
              </w:rPr>
            </w:pPr>
            <w:r>
              <w:rPr>
                <w:rFonts w:hint="eastAsia" w:ascii="宋体" w:hAnsi="宋体" w:cs="宋体"/>
                <w:kern w:val="0"/>
                <w:szCs w:val="21"/>
              </w:rPr>
              <w:t>支撑轴力监测</w:t>
            </w:r>
          </w:p>
        </w:tc>
        <w:tc>
          <w:tcPr>
            <w:tcW w:w="1403" w:type="dxa"/>
            <w:vAlign w:val="center"/>
          </w:tcPr>
          <w:p>
            <w:pPr>
              <w:spacing w:line="400" w:lineRule="exact"/>
              <w:jc w:val="center"/>
              <w:rPr>
                <w:rFonts w:ascii="宋体" w:hAnsi="宋体"/>
                <w:kern w:val="10"/>
                <w:szCs w:val="21"/>
              </w:rPr>
            </w:pPr>
            <w:r>
              <w:rPr>
                <w:rFonts w:hint="eastAsia"/>
                <w:sz w:val="24"/>
              </w:rPr>
              <w:t>44</w:t>
            </w:r>
          </w:p>
        </w:tc>
        <w:tc>
          <w:tcPr>
            <w:tcW w:w="1234" w:type="dxa"/>
            <w:vAlign w:val="center"/>
          </w:tcPr>
          <w:p>
            <w:pPr>
              <w:spacing w:line="400" w:lineRule="exact"/>
              <w:ind w:firstLine="420" w:firstLineChars="200"/>
              <w:jc w:val="center"/>
              <w:rPr>
                <w:rFonts w:ascii="宋体" w:hAnsi="宋体"/>
                <w:kern w:val="10"/>
                <w:szCs w:val="21"/>
              </w:rPr>
            </w:pPr>
          </w:p>
        </w:tc>
        <w:tc>
          <w:tcPr>
            <w:tcW w:w="1352" w:type="dxa"/>
            <w:vAlign w:val="center"/>
          </w:tcPr>
          <w:p>
            <w:pPr>
              <w:spacing w:line="400" w:lineRule="exact"/>
              <w:ind w:firstLine="420" w:firstLineChars="200"/>
              <w:jc w:val="center"/>
              <w:rPr>
                <w:rFonts w:ascii="宋体" w:hAnsi="宋体"/>
                <w:kern w:val="10"/>
                <w:szCs w:val="21"/>
              </w:rPr>
            </w:pPr>
          </w:p>
        </w:tc>
        <w:tc>
          <w:tcPr>
            <w:tcW w:w="1211" w:type="dxa"/>
            <w:vAlign w:val="center"/>
          </w:tcPr>
          <w:p>
            <w:pPr>
              <w:spacing w:line="400" w:lineRule="exact"/>
              <w:ind w:firstLine="420" w:firstLineChars="200"/>
              <w:jc w:val="center"/>
              <w:rPr>
                <w:rFonts w:ascii="宋体" w:hAnsi="宋体"/>
                <w:kern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687" w:type="dxa"/>
            <w:vMerge w:val="continue"/>
            <w:vAlign w:val="center"/>
          </w:tcPr>
          <w:p>
            <w:pPr>
              <w:spacing w:line="400" w:lineRule="exact"/>
              <w:ind w:firstLine="420" w:firstLineChars="200"/>
              <w:jc w:val="center"/>
              <w:rPr>
                <w:rFonts w:ascii="宋体" w:hAnsi="宋体"/>
                <w:kern w:val="10"/>
                <w:szCs w:val="21"/>
              </w:rPr>
            </w:pPr>
          </w:p>
        </w:tc>
        <w:tc>
          <w:tcPr>
            <w:tcW w:w="2911" w:type="dxa"/>
            <w:vAlign w:val="center"/>
          </w:tcPr>
          <w:p>
            <w:pPr>
              <w:widowControl/>
              <w:spacing w:line="400" w:lineRule="exact"/>
              <w:jc w:val="center"/>
              <w:rPr>
                <w:rFonts w:ascii="宋体" w:hAnsi="宋体"/>
                <w:kern w:val="10"/>
                <w:szCs w:val="21"/>
              </w:rPr>
            </w:pPr>
            <w:r>
              <w:rPr>
                <w:rFonts w:hint="eastAsia" w:ascii="宋体" w:hAnsi="宋体" w:cs="宋体"/>
                <w:kern w:val="0"/>
                <w:szCs w:val="21"/>
              </w:rPr>
              <w:t>立柱沉降监测</w:t>
            </w:r>
          </w:p>
        </w:tc>
        <w:tc>
          <w:tcPr>
            <w:tcW w:w="1403" w:type="dxa"/>
            <w:vAlign w:val="center"/>
          </w:tcPr>
          <w:p>
            <w:pPr>
              <w:spacing w:line="400" w:lineRule="exact"/>
              <w:jc w:val="center"/>
              <w:rPr>
                <w:rFonts w:ascii="宋体" w:hAnsi="宋体"/>
                <w:kern w:val="10"/>
                <w:szCs w:val="21"/>
              </w:rPr>
            </w:pPr>
            <w:r>
              <w:rPr>
                <w:rFonts w:hint="eastAsia"/>
                <w:sz w:val="24"/>
              </w:rPr>
              <w:t>4</w:t>
            </w:r>
          </w:p>
        </w:tc>
        <w:tc>
          <w:tcPr>
            <w:tcW w:w="1234" w:type="dxa"/>
            <w:vAlign w:val="center"/>
          </w:tcPr>
          <w:p>
            <w:pPr>
              <w:spacing w:line="400" w:lineRule="exact"/>
              <w:ind w:firstLine="420" w:firstLineChars="200"/>
              <w:jc w:val="center"/>
              <w:rPr>
                <w:rFonts w:ascii="宋体" w:hAnsi="宋体"/>
                <w:kern w:val="10"/>
                <w:szCs w:val="21"/>
              </w:rPr>
            </w:pPr>
          </w:p>
        </w:tc>
        <w:tc>
          <w:tcPr>
            <w:tcW w:w="1352" w:type="dxa"/>
            <w:vAlign w:val="center"/>
          </w:tcPr>
          <w:p>
            <w:pPr>
              <w:spacing w:line="400" w:lineRule="exact"/>
              <w:ind w:firstLine="420" w:firstLineChars="200"/>
              <w:jc w:val="center"/>
              <w:rPr>
                <w:rFonts w:ascii="宋体" w:hAnsi="宋体"/>
                <w:kern w:val="10"/>
                <w:szCs w:val="21"/>
              </w:rPr>
            </w:pPr>
          </w:p>
        </w:tc>
        <w:tc>
          <w:tcPr>
            <w:tcW w:w="1211" w:type="dxa"/>
            <w:vAlign w:val="center"/>
          </w:tcPr>
          <w:p>
            <w:pPr>
              <w:spacing w:line="400" w:lineRule="exact"/>
              <w:ind w:firstLine="420" w:firstLineChars="200"/>
              <w:jc w:val="center"/>
              <w:rPr>
                <w:rFonts w:ascii="宋体" w:hAnsi="宋体"/>
                <w:kern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687" w:type="dxa"/>
            <w:vMerge w:val="continue"/>
            <w:vAlign w:val="center"/>
          </w:tcPr>
          <w:p>
            <w:pPr>
              <w:spacing w:line="400" w:lineRule="exact"/>
              <w:ind w:firstLine="420" w:firstLineChars="200"/>
              <w:jc w:val="center"/>
              <w:rPr>
                <w:rFonts w:ascii="宋体" w:hAnsi="宋体"/>
                <w:kern w:val="10"/>
                <w:szCs w:val="21"/>
              </w:rPr>
            </w:pPr>
          </w:p>
        </w:tc>
        <w:tc>
          <w:tcPr>
            <w:tcW w:w="2911" w:type="dxa"/>
            <w:vAlign w:val="center"/>
          </w:tcPr>
          <w:p>
            <w:pPr>
              <w:widowControl/>
              <w:spacing w:line="400" w:lineRule="exact"/>
              <w:jc w:val="center"/>
              <w:rPr>
                <w:rFonts w:ascii="宋体" w:hAnsi="宋体"/>
                <w:kern w:val="10"/>
                <w:szCs w:val="21"/>
              </w:rPr>
            </w:pPr>
            <w:r>
              <w:rPr>
                <w:rFonts w:hint="eastAsia" w:ascii="宋体" w:hAnsi="宋体" w:cs="宋体"/>
                <w:kern w:val="0"/>
                <w:szCs w:val="21"/>
              </w:rPr>
              <w:t>水位监测</w:t>
            </w:r>
          </w:p>
        </w:tc>
        <w:tc>
          <w:tcPr>
            <w:tcW w:w="1403" w:type="dxa"/>
            <w:vAlign w:val="center"/>
          </w:tcPr>
          <w:p>
            <w:pPr>
              <w:spacing w:line="400" w:lineRule="exact"/>
              <w:jc w:val="center"/>
              <w:rPr>
                <w:rFonts w:ascii="宋体" w:hAnsi="宋体"/>
                <w:kern w:val="10"/>
                <w:szCs w:val="21"/>
              </w:rPr>
            </w:pPr>
            <w:r>
              <w:rPr>
                <w:rFonts w:hint="eastAsia"/>
                <w:sz w:val="24"/>
              </w:rPr>
              <w:t>8</w:t>
            </w:r>
          </w:p>
        </w:tc>
        <w:tc>
          <w:tcPr>
            <w:tcW w:w="1234" w:type="dxa"/>
            <w:vAlign w:val="center"/>
          </w:tcPr>
          <w:p>
            <w:pPr>
              <w:spacing w:line="400" w:lineRule="exact"/>
              <w:ind w:firstLine="420" w:firstLineChars="200"/>
              <w:jc w:val="center"/>
              <w:rPr>
                <w:rFonts w:ascii="宋体" w:hAnsi="宋体"/>
                <w:kern w:val="10"/>
                <w:szCs w:val="21"/>
              </w:rPr>
            </w:pPr>
          </w:p>
        </w:tc>
        <w:tc>
          <w:tcPr>
            <w:tcW w:w="1352" w:type="dxa"/>
            <w:vAlign w:val="center"/>
          </w:tcPr>
          <w:p>
            <w:pPr>
              <w:spacing w:line="400" w:lineRule="exact"/>
              <w:ind w:firstLine="420" w:firstLineChars="200"/>
              <w:jc w:val="center"/>
              <w:rPr>
                <w:rFonts w:ascii="宋体" w:hAnsi="宋体"/>
                <w:kern w:val="10"/>
                <w:szCs w:val="21"/>
              </w:rPr>
            </w:pPr>
          </w:p>
        </w:tc>
        <w:tc>
          <w:tcPr>
            <w:tcW w:w="1211" w:type="dxa"/>
            <w:vAlign w:val="center"/>
          </w:tcPr>
          <w:p>
            <w:pPr>
              <w:spacing w:line="400" w:lineRule="exact"/>
              <w:ind w:firstLine="420" w:firstLineChars="200"/>
              <w:jc w:val="center"/>
              <w:rPr>
                <w:rFonts w:ascii="宋体" w:hAnsi="宋体"/>
                <w:kern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687" w:type="dxa"/>
            <w:vMerge w:val="continue"/>
            <w:vAlign w:val="center"/>
          </w:tcPr>
          <w:p>
            <w:pPr>
              <w:spacing w:line="400" w:lineRule="exact"/>
              <w:ind w:firstLine="420" w:firstLineChars="200"/>
              <w:jc w:val="center"/>
              <w:rPr>
                <w:rFonts w:ascii="宋体" w:hAnsi="宋体"/>
                <w:kern w:val="10"/>
                <w:szCs w:val="21"/>
              </w:rPr>
            </w:pPr>
          </w:p>
        </w:tc>
        <w:tc>
          <w:tcPr>
            <w:tcW w:w="2911"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地表沉降监测</w:t>
            </w:r>
          </w:p>
        </w:tc>
        <w:tc>
          <w:tcPr>
            <w:tcW w:w="1403" w:type="dxa"/>
            <w:vAlign w:val="center"/>
          </w:tcPr>
          <w:p>
            <w:pPr>
              <w:spacing w:line="400" w:lineRule="exact"/>
              <w:jc w:val="center"/>
              <w:rPr>
                <w:rFonts w:ascii="宋体" w:hAnsi="宋体"/>
                <w:kern w:val="10"/>
                <w:szCs w:val="21"/>
              </w:rPr>
            </w:pPr>
            <w:r>
              <w:rPr>
                <w:rFonts w:hint="eastAsia"/>
                <w:sz w:val="24"/>
              </w:rPr>
              <w:t>41</w:t>
            </w:r>
          </w:p>
        </w:tc>
        <w:tc>
          <w:tcPr>
            <w:tcW w:w="1234" w:type="dxa"/>
            <w:vAlign w:val="center"/>
          </w:tcPr>
          <w:p>
            <w:pPr>
              <w:spacing w:line="400" w:lineRule="exact"/>
              <w:ind w:firstLine="420" w:firstLineChars="200"/>
              <w:jc w:val="center"/>
              <w:rPr>
                <w:rFonts w:ascii="宋体" w:hAnsi="宋体"/>
                <w:kern w:val="10"/>
                <w:szCs w:val="21"/>
              </w:rPr>
            </w:pPr>
          </w:p>
        </w:tc>
        <w:tc>
          <w:tcPr>
            <w:tcW w:w="1352" w:type="dxa"/>
            <w:vAlign w:val="center"/>
          </w:tcPr>
          <w:p>
            <w:pPr>
              <w:spacing w:line="400" w:lineRule="exact"/>
              <w:ind w:firstLine="420" w:firstLineChars="200"/>
              <w:jc w:val="center"/>
              <w:rPr>
                <w:rFonts w:ascii="宋体" w:hAnsi="宋体"/>
                <w:kern w:val="10"/>
                <w:szCs w:val="21"/>
              </w:rPr>
            </w:pPr>
          </w:p>
        </w:tc>
        <w:tc>
          <w:tcPr>
            <w:tcW w:w="1211" w:type="dxa"/>
            <w:vAlign w:val="center"/>
          </w:tcPr>
          <w:p>
            <w:pPr>
              <w:spacing w:line="400" w:lineRule="exact"/>
              <w:ind w:firstLine="420" w:firstLineChars="200"/>
              <w:jc w:val="center"/>
              <w:rPr>
                <w:rFonts w:ascii="宋体" w:hAnsi="宋体"/>
                <w:kern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687" w:type="dxa"/>
            <w:vMerge w:val="continue"/>
            <w:vAlign w:val="center"/>
          </w:tcPr>
          <w:p>
            <w:pPr>
              <w:spacing w:line="400" w:lineRule="exact"/>
              <w:ind w:firstLine="420" w:firstLineChars="200"/>
              <w:jc w:val="center"/>
              <w:rPr>
                <w:rFonts w:ascii="宋体" w:hAnsi="宋体"/>
                <w:kern w:val="10"/>
                <w:szCs w:val="21"/>
              </w:rPr>
            </w:pPr>
          </w:p>
        </w:tc>
        <w:tc>
          <w:tcPr>
            <w:tcW w:w="2911"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建筑物监测</w:t>
            </w:r>
          </w:p>
        </w:tc>
        <w:tc>
          <w:tcPr>
            <w:tcW w:w="1403" w:type="dxa"/>
            <w:vAlign w:val="center"/>
          </w:tcPr>
          <w:p>
            <w:pPr>
              <w:spacing w:line="400" w:lineRule="exact"/>
              <w:jc w:val="center"/>
              <w:rPr>
                <w:rFonts w:ascii="宋体" w:hAnsi="宋体"/>
                <w:kern w:val="10"/>
                <w:szCs w:val="21"/>
              </w:rPr>
            </w:pPr>
            <w:r>
              <w:rPr>
                <w:rFonts w:hint="eastAsia"/>
                <w:sz w:val="24"/>
              </w:rPr>
              <w:t>96</w:t>
            </w:r>
          </w:p>
        </w:tc>
        <w:tc>
          <w:tcPr>
            <w:tcW w:w="1234" w:type="dxa"/>
            <w:vAlign w:val="center"/>
          </w:tcPr>
          <w:p>
            <w:pPr>
              <w:spacing w:line="400" w:lineRule="exact"/>
              <w:ind w:firstLine="420" w:firstLineChars="200"/>
              <w:jc w:val="center"/>
              <w:rPr>
                <w:rFonts w:ascii="宋体" w:hAnsi="宋体"/>
                <w:kern w:val="10"/>
                <w:szCs w:val="21"/>
              </w:rPr>
            </w:pPr>
          </w:p>
        </w:tc>
        <w:tc>
          <w:tcPr>
            <w:tcW w:w="1352" w:type="dxa"/>
            <w:vAlign w:val="center"/>
          </w:tcPr>
          <w:p>
            <w:pPr>
              <w:spacing w:line="400" w:lineRule="exact"/>
              <w:ind w:firstLine="420" w:firstLineChars="200"/>
              <w:jc w:val="center"/>
              <w:rPr>
                <w:rFonts w:ascii="宋体" w:hAnsi="宋体"/>
                <w:kern w:val="10"/>
                <w:szCs w:val="21"/>
              </w:rPr>
            </w:pPr>
          </w:p>
        </w:tc>
        <w:tc>
          <w:tcPr>
            <w:tcW w:w="1211" w:type="dxa"/>
            <w:vAlign w:val="center"/>
          </w:tcPr>
          <w:p>
            <w:pPr>
              <w:spacing w:line="400" w:lineRule="exact"/>
              <w:ind w:firstLine="420" w:firstLineChars="200"/>
              <w:jc w:val="center"/>
              <w:rPr>
                <w:rFonts w:ascii="宋体" w:hAnsi="宋体"/>
                <w:kern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687" w:type="dxa"/>
            <w:vMerge w:val="continue"/>
            <w:vAlign w:val="center"/>
          </w:tcPr>
          <w:p>
            <w:pPr>
              <w:spacing w:line="400" w:lineRule="exact"/>
              <w:ind w:firstLine="420" w:firstLineChars="200"/>
              <w:jc w:val="center"/>
              <w:rPr>
                <w:rFonts w:ascii="宋体" w:hAnsi="宋体"/>
                <w:kern w:val="10"/>
                <w:szCs w:val="21"/>
              </w:rPr>
            </w:pPr>
          </w:p>
        </w:tc>
        <w:tc>
          <w:tcPr>
            <w:tcW w:w="2911"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周边管线沉降</w:t>
            </w:r>
          </w:p>
        </w:tc>
        <w:tc>
          <w:tcPr>
            <w:tcW w:w="1403" w:type="dxa"/>
            <w:vAlign w:val="center"/>
          </w:tcPr>
          <w:p>
            <w:pPr>
              <w:spacing w:line="400" w:lineRule="exact"/>
              <w:jc w:val="center"/>
              <w:rPr>
                <w:rFonts w:ascii="宋体" w:hAnsi="宋体"/>
                <w:kern w:val="10"/>
                <w:szCs w:val="21"/>
              </w:rPr>
            </w:pPr>
            <w:r>
              <w:rPr>
                <w:rFonts w:hint="eastAsia"/>
                <w:sz w:val="24"/>
              </w:rPr>
              <w:t>0</w:t>
            </w:r>
          </w:p>
        </w:tc>
        <w:tc>
          <w:tcPr>
            <w:tcW w:w="1234" w:type="dxa"/>
            <w:vAlign w:val="center"/>
          </w:tcPr>
          <w:p>
            <w:pPr>
              <w:spacing w:line="400" w:lineRule="exact"/>
              <w:ind w:firstLine="420" w:firstLineChars="200"/>
              <w:jc w:val="center"/>
              <w:rPr>
                <w:rFonts w:ascii="宋体" w:hAnsi="宋体"/>
                <w:kern w:val="10"/>
                <w:szCs w:val="21"/>
              </w:rPr>
            </w:pPr>
          </w:p>
        </w:tc>
        <w:tc>
          <w:tcPr>
            <w:tcW w:w="1352" w:type="dxa"/>
            <w:vAlign w:val="center"/>
          </w:tcPr>
          <w:p>
            <w:pPr>
              <w:spacing w:line="400" w:lineRule="exact"/>
              <w:ind w:firstLine="420" w:firstLineChars="200"/>
              <w:jc w:val="center"/>
              <w:rPr>
                <w:rFonts w:ascii="宋体" w:hAnsi="宋体"/>
                <w:kern w:val="10"/>
                <w:szCs w:val="21"/>
              </w:rPr>
            </w:pPr>
          </w:p>
        </w:tc>
        <w:tc>
          <w:tcPr>
            <w:tcW w:w="1211" w:type="dxa"/>
            <w:vAlign w:val="center"/>
          </w:tcPr>
          <w:p>
            <w:pPr>
              <w:spacing w:line="400" w:lineRule="exact"/>
              <w:ind w:firstLine="420" w:firstLineChars="200"/>
              <w:jc w:val="center"/>
              <w:rPr>
                <w:rFonts w:ascii="宋体" w:hAnsi="宋体"/>
                <w:kern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8587" w:type="dxa"/>
            <w:gridSpan w:val="5"/>
            <w:vAlign w:val="center"/>
          </w:tcPr>
          <w:p>
            <w:pPr>
              <w:spacing w:line="400" w:lineRule="exact"/>
              <w:ind w:firstLine="420" w:firstLineChars="200"/>
              <w:jc w:val="center"/>
              <w:rPr>
                <w:rFonts w:ascii="宋体" w:hAnsi="宋体"/>
                <w:kern w:val="10"/>
                <w:szCs w:val="21"/>
              </w:rPr>
            </w:pPr>
            <w:r>
              <w:rPr>
                <w:rFonts w:hint="eastAsia" w:ascii="宋体" w:hAnsi="宋体"/>
                <w:kern w:val="10"/>
                <w:szCs w:val="21"/>
              </w:rPr>
              <w:t>合计</w:t>
            </w:r>
          </w:p>
        </w:tc>
        <w:tc>
          <w:tcPr>
            <w:tcW w:w="1211" w:type="dxa"/>
            <w:vAlign w:val="center"/>
          </w:tcPr>
          <w:p>
            <w:pPr>
              <w:spacing w:line="400" w:lineRule="exact"/>
              <w:ind w:firstLine="420" w:firstLineChars="200"/>
              <w:jc w:val="center"/>
              <w:rPr>
                <w:rFonts w:ascii="宋体" w:hAnsi="宋体"/>
                <w:kern w:val="10"/>
                <w:szCs w:val="21"/>
              </w:rPr>
            </w:pPr>
          </w:p>
        </w:tc>
      </w:tr>
    </w:tbl>
    <w:p>
      <w:pPr>
        <w:pStyle w:val="13"/>
        <w:spacing w:line="360" w:lineRule="auto"/>
        <w:ind w:firstLine="0"/>
        <w:rPr>
          <w:rFonts w:hAnsi="宋体"/>
          <w:sz w:val="21"/>
          <w:szCs w:val="21"/>
          <w:u w:val="single"/>
        </w:rPr>
      </w:pPr>
    </w:p>
    <w:p>
      <w:pPr>
        <w:spacing w:line="360" w:lineRule="auto"/>
        <w:rPr>
          <w:rFonts w:ascii="宋体" w:hAnsi="宋体"/>
          <w:szCs w:val="21"/>
          <w:lang w:val="zh-CN"/>
        </w:rPr>
      </w:pPr>
      <w:r>
        <w:rPr>
          <w:rFonts w:ascii="宋体" w:hAnsi="宋体"/>
          <w:szCs w:val="21"/>
          <w:lang w:val="zh-CN"/>
        </w:rPr>
        <w:t>注：</w:t>
      </w:r>
    </w:p>
    <w:p>
      <w:pPr>
        <w:numPr>
          <w:ilvl w:val="0"/>
          <w:numId w:val="11"/>
        </w:numPr>
        <w:tabs>
          <w:tab w:val="left" w:pos="425"/>
          <w:tab w:val="left" w:pos="845"/>
        </w:tabs>
        <w:spacing w:line="360" w:lineRule="auto"/>
        <w:rPr>
          <w:rFonts w:ascii="宋体" w:hAnsi="宋体"/>
          <w:szCs w:val="21"/>
        </w:rPr>
      </w:pPr>
      <w:r>
        <w:rPr>
          <w:rFonts w:ascii="宋体" w:hAnsi="宋体"/>
          <w:szCs w:val="21"/>
        </w:rPr>
        <w:t>投标</w:t>
      </w:r>
      <w:r>
        <w:rPr>
          <w:rFonts w:hint="eastAsia" w:ascii="宋体" w:hAnsi="宋体"/>
          <w:szCs w:val="21"/>
        </w:rPr>
        <w:t>人</w:t>
      </w:r>
      <w:r>
        <w:rPr>
          <w:rFonts w:ascii="宋体" w:hAnsi="宋体"/>
          <w:szCs w:val="21"/>
        </w:rPr>
        <w:t>按照本采购文件作业范围报</w:t>
      </w:r>
      <w:r>
        <w:rPr>
          <w:rFonts w:ascii="宋体" w:hAnsi="宋体"/>
          <w:szCs w:val="21"/>
          <w:lang w:val="zh-CN"/>
        </w:rPr>
        <w:t>价，</w:t>
      </w:r>
      <w:r>
        <w:rPr>
          <w:rFonts w:hint="eastAsia" w:ascii="宋体" w:hAnsi="宋体"/>
          <w:szCs w:val="21"/>
          <w:lang w:val="zh-CN"/>
        </w:rPr>
        <w:t>此费用包括人员基本工资、各类福利和补贴（如加班补贴等）、社保（五金）、各种保险，作业工具等各类耗材费，设施设备管理维护费用管理费，出具对比鉴定报告，税金，利润及其他与本次采购相关的一切费用。</w:t>
      </w:r>
    </w:p>
    <w:p>
      <w:pPr>
        <w:numPr>
          <w:ilvl w:val="0"/>
          <w:numId w:val="11"/>
        </w:numPr>
        <w:tabs>
          <w:tab w:val="left" w:pos="425"/>
          <w:tab w:val="left" w:pos="845"/>
        </w:tabs>
        <w:spacing w:line="360" w:lineRule="auto"/>
        <w:rPr>
          <w:rFonts w:ascii="宋体" w:hAnsi="宋体"/>
          <w:szCs w:val="21"/>
          <w:lang w:val="zh-CN"/>
        </w:rPr>
      </w:pPr>
      <w:r>
        <w:rPr>
          <w:rFonts w:hint="eastAsia" w:ascii="宋体" w:hAnsi="宋体"/>
          <w:szCs w:val="21"/>
          <w:lang w:val="zh-CN"/>
        </w:rPr>
        <w:t>投标人</w:t>
      </w:r>
      <w:r>
        <w:rPr>
          <w:rFonts w:ascii="宋体" w:hAnsi="宋体"/>
          <w:szCs w:val="21"/>
          <w:lang w:val="zh-CN"/>
        </w:rPr>
        <w:t>认为应当说明而本表中无相应栏目的，请在自行增加栏目加以说明。</w:t>
      </w:r>
    </w:p>
    <w:p>
      <w:pPr>
        <w:numPr>
          <w:ilvl w:val="0"/>
          <w:numId w:val="11"/>
        </w:numPr>
        <w:tabs>
          <w:tab w:val="left" w:pos="426"/>
        </w:tabs>
        <w:spacing w:line="360" w:lineRule="auto"/>
        <w:rPr>
          <w:rFonts w:ascii="宋体" w:hAnsi="宋体"/>
          <w:szCs w:val="21"/>
        </w:rPr>
      </w:pPr>
      <w:r>
        <w:rPr>
          <w:rFonts w:ascii="宋体" w:hAnsi="宋体"/>
          <w:szCs w:val="21"/>
        </w:rPr>
        <w:t>投标人另须详细列出各类费用的明细表，表格自制。</w:t>
      </w:r>
    </w:p>
    <w:p>
      <w:pPr>
        <w:spacing w:line="360" w:lineRule="auto"/>
        <w:rPr>
          <w:rFonts w:ascii="宋体" w:hAnsi="宋体"/>
          <w:szCs w:val="21"/>
        </w:rPr>
      </w:pPr>
    </w:p>
    <w:p>
      <w:pPr>
        <w:spacing w:line="360" w:lineRule="auto"/>
        <w:ind w:right="1784"/>
        <w:jc w:val="right"/>
        <w:rPr>
          <w:rFonts w:ascii="宋体" w:hAnsi="宋体"/>
          <w:szCs w:val="21"/>
        </w:rPr>
      </w:pPr>
      <w:r>
        <w:rPr>
          <w:rFonts w:ascii="宋体" w:hAnsi="宋体"/>
          <w:szCs w:val="21"/>
        </w:rPr>
        <w:t>投标人（盖章）：</w:t>
      </w:r>
    </w:p>
    <w:p>
      <w:pPr>
        <w:spacing w:line="360" w:lineRule="auto"/>
        <w:ind w:right="1784"/>
        <w:jc w:val="right"/>
        <w:rPr>
          <w:rFonts w:ascii="宋体" w:hAnsi="宋体"/>
          <w:szCs w:val="21"/>
        </w:rPr>
      </w:pPr>
      <w:r>
        <w:rPr>
          <w:rFonts w:ascii="宋体" w:hAnsi="宋体"/>
          <w:szCs w:val="21"/>
        </w:rPr>
        <w:t>投标人代表（签字）：</w:t>
      </w:r>
    </w:p>
    <w:p>
      <w:pPr>
        <w:spacing w:line="360" w:lineRule="auto"/>
        <w:ind w:right="1784"/>
        <w:jc w:val="center"/>
        <w:rPr>
          <w:rFonts w:ascii="宋体" w:hAnsi="宋体"/>
          <w:szCs w:val="21"/>
        </w:rPr>
      </w:pPr>
      <w:r>
        <w:rPr>
          <w:rFonts w:hint="eastAsia" w:ascii="宋体" w:hAnsi="宋体"/>
          <w:szCs w:val="21"/>
        </w:rPr>
        <w:t xml:space="preserve">                             </w:t>
      </w:r>
      <w:r>
        <w:rPr>
          <w:rFonts w:ascii="宋体" w:hAnsi="宋体"/>
          <w:szCs w:val="21"/>
        </w:rPr>
        <w:t>日  期：</w:t>
      </w:r>
    </w:p>
    <w:p>
      <w:pPr>
        <w:pStyle w:val="18"/>
        <w:snapToGrid w:val="0"/>
        <w:spacing w:beforeLines="0" w:afterLines="0" w:line="360" w:lineRule="auto"/>
        <w:jc w:val="center"/>
        <w:rPr>
          <w:rFonts w:hAnsi="宋体"/>
          <w:sz w:val="32"/>
          <w:szCs w:val="32"/>
        </w:rPr>
      </w:pPr>
      <w:r>
        <w:rPr>
          <w:rFonts w:hAnsi="宋体"/>
          <w:b/>
          <w:szCs w:val="21"/>
        </w:rPr>
        <w:br w:type="column"/>
      </w:r>
      <w:r>
        <w:rPr>
          <w:rFonts w:hAnsi="宋体"/>
          <w:sz w:val="32"/>
          <w:szCs w:val="32"/>
        </w:rPr>
        <w:t>投标报价明细表格式</w:t>
      </w:r>
    </w:p>
    <w:p>
      <w:pPr>
        <w:pStyle w:val="13"/>
        <w:spacing w:line="360" w:lineRule="auto"/>
        <w:ind w:firstLine="0"/>
        <w:rPr>
          <w:rFonts w:hAnsi="宋体"/>
          <w:sz w:val="21"/>
          <w:szCs w:val="21"/>
          <w:u w:val="single"/>
        </w:rPr>
      </w:pPr>
      <w:r>
        <w:rPr>
          <w:rFonts w:hAnsi="宋体"/>
          <w:sz w:val="21"/>
          <w:szCs w:val="21"/>
        </w:rPr>
        <w:t>招标项目名称：</w:t>
      </w:r>
      <w:r>
        <w:rPr>
          <w:rFonts w:hint="eastAsia" w:hAnsi="宋体"/>
          <w:sz w:val="21"/>
          <w:szCs w:val="21"/>
          <w:u w:val="single"/>
        </w:rPr>
        <w:t>人民广场与地下通道工程第三方监测项目子包二</w:t>
      </w:r>
    </w:p>
    <w:tbl>
      <w:tblPr>
        <w:tblStyle w:val="38"/>
        <w:tblW w:w="9535" w:type="dxa"/>
        <w:tblInd w:w="-2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9"/>
        <w:gridCol w:w="1410"/>
        <w:gridCol w:w="988"/>
        <w:gridCol w:w="2238"/>
        <w:gridCol w:w="1110"/>
        <w:gridCol w:w="1575"/>
        <w:gridCol w:w="1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 w:hRule="atLeast"/>
        </w:trPr>
        <w:tc>
          <w:tcPr>
            <w:tcW w:w="779" w:type="dxa"/>
            <w:vAlign w:val="center"/>
          </w:tcPr>
          <w:p>
            <w:pPr>
              <w:spacing w:line="400" w:lineRule="exact"/>
              <w:rPr>
                <w:rFonts w:ascii="宋体" w:hAnsi="宋体"/>
                <w:kern w:val="10"/>
                <w:szCs w:val="21"/>
              </w:rPr>
            </w:pPr>
            <w:r>
              <w:rPr>
                <w:rFonts w:hint="eastAsia" w:ascii="宋体" w:hAnsi="宋体"/>
                <w:kern w:val="10"/>
                <w:szCs w:val="21"/>
              </w:rPr>
              <w:t>名称</w:t>
            </w:r>
          </w:p>
        </w:tc>
        <w:tc>
          <w:tcPr>
            <w:tcW w:w="1410" w:type="dxa"/>
            <w:vAlign w:val="center"/>
          </w:tcPr>
          <w:p>
            <w:pPr>
              <w:spacing w:line="400" w:lineRule="exact"/>
              <w:jc w:val="center"/>
              <w:rPr>
                <w:rFonts w:ascii="宋体" w:hAnsi="宋体"/>
                <w:kern w:val="10"/>
                <w:szCs w:val="21"/>
              </w:rPr>
            </w:pPr>
            <w:r>
              <w:rPr>
                <w:rFonts w:hint="eastAsia" w:ascii="宋体" w:hAnsi="宋体"/>
                <w:kern w:val="10"/>
                <w:szCs w:val="21"/>
              </w:rPr>
              <w:t>项目内容</w:t>
            </w:r>
          </w:p>
        </w:tc>
        <w:tc>
          <w:tcPr>
            <w:tcW w:w="988" w:type="dxa"/>
            <w:vAlign w:val="center"/>
          </w:tcPr>
          <w:p>
            <w:pPr>
              <w:widowControl/>
              <w:jc w:val="center"/>
              <w:textAlignment w:val="center"/>
              <w:rPr>
                <w:rFonts w:ascii="宋体" w:hAnsi="宋体"/>
                <w:kern w:val="10"/>
                <w:szCs w:val="21"/>
              </w:rPr>
            </w:pPr>
            <w:r>
              <w:rPr>
                <w:rFonts w:hint="eastAsia" w:ascii="宋体" w:hAnsi="宋体" w:cs="宋体"/>
                <w:kern w:val="0"/>
              </w:rPr>
              <w:t>点数</w:t>
            </w:r>
          </w:p>
        </w:tc>
        <w:tc>
          <w:tcPr>
            <w:tcW w:w="2238" w:type="dxa"/>
            <w:vAlign w:val="center"/>
          </w:tcPr>
          <w:p>
            <w:pPr>
              <w:widowControl/>
              <w:jc w:val="center"/>
              <w:textAlignment w:val="center"/>
              <w:rPr>
                <w:rFonts w:ascii="宋体" w:hAnsi="宋体"/>
                <w:kern w:val="10"/>
                <w:szCs w:val="21"/>
              </w:rPr>
            </w:pPr>
            <w:r>
              <w:rPr>
                <w:rFonts w:hint="eastAsia" w:ascii="宋体" w:hAnsi="宋体" w:cs="宋体"/>
                <w:kern w:val="0"/>
              </w:rPr>
              <w:t>单价</w:t>
            </w:r>
            <w:r>
              <w:rPr>
                <w:rFonts w:ascii="宋体" w:hAnsi="宋体" w:cs="宋体"/>
                <w:kern w:val="0"/>
              </w:rPr>
              <w:t>/</w:t>
            </w:r>
            <w:r>
              <w:rPr>
                <w:rFonts w:hint="eastAsia" w:ascii="宋体" w:hAnsi="宋体" w:cs="宋体"/>
                <w:kern w:val="0"/>
              </w:rPr>
              <w:t>点（次）</w:t>
            </w:r>
          </w:p>
        </w:tc>
        <w:tc>
          <w:tcPr>
            <w:tcW w:w="1110" w:type="dxa"/>
            <w:vAlign w:val="center"/>
          </w:tcPr>
          <w:p>
            <w:pPr>
              <w:widowControl/>
              <w:jc w:val="center"/>
              <w:textAlignment w:val="center"/>
              <w:rPr>
                <w:szCs w:val="21"/>
              </w:rPr>
            </w:pPr>
            <w:r>
              <w:rPr>
                <w:rFonts w:hint="eastAsia" w:ascii="宋体" w:hAnsi="宋体" w:cs="宋体"/>
                <w:kern w:val="0"/>
              </w:rPr>
              <w:t>次数</w:t>
            </w:r>
          </w:p>
        </w:tc>
        <w:tc>
          <w:tcPr>
            <w:tcW w:w="1575" w:type="dxa"/>
            <w:vAlign w:val="center"/>
          </w:tcPr>
          <w:p>
            <w:pPr>
              <w:spacing w:line="400" w:lineRule="exact"/>
              <w:jc w:val="center"/>
              <w:rPr>
                <w:rFonts w:ascii="宋体" w:hAnsi="宋体"/>
                <w:kern w:val="10"/>
                <w:szCs w:val="21"/>
              </w:rPr>
            </w:pPr>
            <w:r>
              <w:rPr>
                <w:rFonts w:hint="eastAsia" w:ascii="宋体" w:hAnsi="宋体"/>
                <w:kern w:val="10"/>
                <w:szCs w:val="21"/>
              </w:rPr>
              <w:t>合价</w:t>
            </w:r>
          </w:p>
        </w:tc>
        <w:tc>
          <w:tcPr>
            <w:tcW w:w="1435" w:type="dxa"/>
            <w:vAlign w:val="center"/>
          </w:tcPr>
          <w:p>
            <w:pPr>
              <w:spacing w:line="400" w:lineRule="exact"/>
              <w:jc w:val="center"/>
              <w:rPr>
                <w:rFonts w:ascii="宋体" w:hAnsi="宋体"/>
                <w:kern w:val="10"/>
                <w:szCs w:val="21"/>
              </w:rPr>
            </w:pPr>
            <w:r>
              <w:rPr>
                <w:rFonts w:hint="eastAsia" w:ascii="宋体" w:hAnsi="宋体"/>
                <w:kern w:val="1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779" w:type="dxa"/>
            <w:vMerge w:val="restart"/>
            <w:vAlign w:val="center"/>
          </w:tcPr>
          <w:p>
            <w:pPr>
              <w:spacing w:line="400" w:lineRule="exact"/>
              <w:jc w:val="center"/>
              <w:rPr>
                <w:rFonts w:ascii="宋体" w:hAnsi="宋体"/>
                <w:kern w:val="10"/>
                <w:szCs w:val="21"/>
              </w:rPr>
            </w:pPr>
            <w:r>
              <w:rPr>
                <w:rFonts w:hint="eastAsia" w:ascii="宋体" w:hAnsi="宋体"/>
                <w:kern w:val="10"/>
                <w:szCs w:val="21"/>
              </w:rPr>
              <w:t>子包二</w:t>
            </w:r>
          </w:p>
        </w:tc>
        <w:tc>
          <w:tcPr>
            <w:tcW w:w="1410" w:type="dxa"/>
            <w:vAlign w:val="center"/>
          </w:tcPr>
          <w:p>
            <w:pPr>
              <w:widowControl/>
              <w:jc w:val="center"/>
              <w:textAlignment w:val="center"/>
              <w:rPr>
                <w:rFonts w:ascii="宋体" w:hAnsi="宋体"/>
                <w:kern w:val="10"/>
                <w:szCs w:val="21"/>
              </w:rPr>
            </w:pPr>
            <w:r>
              <w:rPr>
                <w:rFonts w:hint="eastAsia" w:ascii="宋体" w:hAnsi="宋体" w:cs="宋体"/>
                <w:kern w:val="0"/>
              </w:rPr>
              <w:t>外观及内部检查</w:t>
            </w:r>
          </w:p>
        </w:tc>
        <w:tc>
          <w:tcPr>
            <w:tcW w:w="988" w:type="dxa"/>
            <w:vAlign w:val="center"/>
          </w:tcPr>
          <w:p>
            <w:pPr>
              <w:widowControl/>
              <w:jc w:val="center"/>
              <w:textAlignment w:val="center"/>
              <w:rPr>
                <w:rFonts w:ascii="宋体" w:hAnsi="宋体"/>
                <w:kern w:val="10"/>
                <w:szCs w:val="21"/>
              </w:rPr>
            </w:pPr>
            <w:r>
              <w:rPr>
                <w:rFonts w:ascii="宋体" w:hAnsi="宋体" w:cs="宋体"/>
                <w:kern w:val="0"/>
              </w:rPr>
              <w:t>/</w:t>
            </w:r>
          </w:p>
        </w:tc>
        <w:tc>
          <w:tcPr>
            <w:tcW w:w="2238" w:type="dxa"/>
            <w:vAlign w:val="center"/>
          </w:tcPr>
          <w:p>
            <w:pPr>
              <w:widowControl/>
              <w:jc w:val="center"/>
              <w:textAlignment w:val="center"/>
              <w:rPr>
                <w:rFonts w:ascii="宋体" w:hAnsi="宋体"/>
                <w:kern w:val="10"/>
                <w:szCs w:val="21"/>
              </w:rPr>
            </w:pPr>
          </w:p>
        </w:tc>
        <w:tc>
          <w:tcPr>
            <w:tcW w:w="1110" w:type="dxa"/>
            <w:vAlign w:val="center"/>
          </w:tcPr>
          <w:p>
            <w:pPr>
              <w:widowControl/>
              <w:jc w:val="center"/>
              <w:textAlignment w:val="center"/>
              <w:rPr>
                <w:rFonts w:ascii="宋体" w:hAnsi="宋体"/>
                <w:kern w:val="10"/>
                <w:szCs w:val="21"/>
              </w:rPr>
            </w:pPr>
            <w:r>
              <w:rPr>
                <w:rFonts w:ascii="宋体" w:hAnsi="宋体" w:cs="宋体"/>
                <w:kern w:val="0"/>
              </w:rPr>
              <w:t>5</w:t>
            </w:r>
          </w:p>
        </w:tc>
        <w:tc>
          <w:tcPr>
            <w:tcW w:w="1575" w:type="dxa"/>
            <w:vAlign w:val="center"/>
          </w:tcPr>
          <w:p>
            <w:pPr>
              <w:spacing w:line="400" w:lineRule="exact"/>
              <w:ind w:firstLine="420" w:firstLineChars="200"/>
              <w:jc w:val="center"/>
              <w:rPr>
                <w:rFonts w:ascii="宋体" w:hAnsi="宋体"/>
                <w:kern w:val="10"/>
                <w:szCs w:val="21"/>
              </w:rPr>
            </w:pPr>
          </w:p>
        </w:tc>
        <w:tc>
          <w:tcPr>
            <w:tcW w:w="1435" w:type="dxa"/>
            <w:vAlign w:val="center"/>
          </w:tcPr>
          <w:p>
            <w:pPr>
              <w:spacing w:line="400" w:lineRule="exact"/>
              <w:ind w:firstLine="420" w:firstLineChars="200"/>
              <w:jc w:val="center"/>
              <w:rPr>
                <w:rFonts w:ascii="宋体" w:hAnsi="宋体"/>
                <w:kern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779" w:type="dxa"/>
            <w:vMerge w:val="continue"/>
            <w:vAlign w:val="center"/>
          </w:tcPr>
          <w:p>
            <w:pPr>
              <w:spacing w:line="400" w:lineRule="exact"/>
              <w:ind w:firstLine="420" w:firstLineChars="200"/>
              <w:jc w:val="center"/>
              <w:rPr>
                <w:rFonts w:ascii="宋体" w:hAnsi="宋体"/>
                <w:kern w:val="10"/>
                <w:szCs w:val="21"/>
              </w:rPr>
            </w:pPr>
          </w:p>
        </w:tc>
        <w:tc>
          <w:tcPr>
            <w:tcW w:w="1410" w:type="dxa"/>
            <w:vAlign w:val="center"/>
          </w:tcPr>
          <w:p>
            <w:pPr>
              <w:widowControl/>
              <w:jc w:val="center"/>
              <w:textAlignment w:val="center"/>
              <w:rPr>
                <w:rFonts w:ascii="宋体" w:hAnsi="宋体"/>
                <w:kern w:val="10"/>
                <w:szCs w:val="21"/>
              </w:rPr>
            </w:pPr>
            <w:r>
              <w:rPr>
                <w:rFonts w:hint="eastAsia" w:ascii="宋体" w:hAnsi="宋体" w:cs="宋体"/>
                <w:kern w:val="0"/>
              </w:rPr>
              <w:t>房屋沉降监测</w:t>
            </w:r>
          </w:p>
        </w:tc>
        <w:tc>
          <w:tcPr>
            <w:tcW w:w="988" w:type="dxa"/>
            <w:vAlign w:val="center"/>
          </w:tcPr>
          <w:p>
            <w:pPr>
              <w:widowControl/>
              <w:jc w:val="center"/>
              <w:textAlignment w:val="center"/>
              <w:rPr>
                <w:rFonts w:ascii="宋体" w:hAnsi="宋体"/>
                <w:kern w:val="10"/>
                <w:szCs w:val="21"/>
              </w:rPr>
            </w:pPr>
            <w:r>
              <w:rPr>
                <w:rFonts w:ascii="宋体" w:hAnsi="宋体" w:cs="宋体"/>
                <w:kern w:val="0"/>
              </w:rPr>
              <w:t>4</w:t>
            </w:r>
          </w:p>
        </w:tc>
        <w:tc>
          <w:tcPr>
            <w:tcW w:w="2238" w:type="dxa"/>
            <w:vAlign w:val="center"/>
          </w:tcPr>
          <w:p>
            <w:pPr>
              <w:widowControl/>
              <w:jc w:val="center"/>
              <w:textAlignment w:val="center"/>
              <w:rPr>
                <w:rFonts w:ascii="宋体" w:hAnsi="宋体"/>
                <w:kern w:val="10"/>
                <w:szCs w:val="21"/>
              </w:rPr>
            </w:pPr>
          </w:p>
        </w:tc>
        <w:tc>
          <w:tcPr>
            <w:tcW w:w="1110" w:type="dxa"/>
            <w:vAlign w:val="center"/>
          </w:tcPr>
          <w:p>
            <w:pPr>
              <w:widowControl/>
              <w:jc w:val="center"/>
              <w:textAlignment w:val="center"/>
              <w:rPr>
                <w:rFonts w:ascii="宋体" w:hAnsi="宋体"/>
                <w:kern w:val="10"/>
                <w:szCs w:val="21"/>
              </w:rPr>
            </w:pPr>
            <w:r>
              <w:rPr>
                <w:rFonts w:ascii="宋体" w:hAnsi="宋体" w:cs="宋体"/>
                <w:kern w:val="0"/>
              </w:rPr>
              <w:t>5</w:t>
            </w:r>
          </w:p>
        </w:tc>
        <w:tc>
          <w:tcPr>
            <w:tcW w:w="1575" w:type="dxa"/>
            <w:vAlign w:val="center"/>
          </w:tcPr>
          <w:p>
            <w:pPr>
              <w:spacing w:line="400" w:lineRule="exact"/>
              <w:ind w:firstLine="420" w:firstLineChars="200"/>
              <w:jc w:val="center"/>
              <w:rPr>
                <w:rFonts w:ascii="宋体" w:hAnsi="宋体"/>
                <w:kern w:val="10"/>
                <w:szCs w:val="21"/>
              </w:rPr>
            </w:pPr>
          </w:p>
        </w:tc>
        <w:tc>
          <w:tcPr>
            <w:tcW w:w="1435" w:type="dxa"/>
            <w:vAlign w:val="center"/>
          </w:tcPr>
          <w:p>
            <w:pPr>
              <w:spacing w:line="400" w:lineRule="exact"/>
              <w:ind w:firstLine="420" w:firstLineChars="200"/>
              <w:jc w:val="center"/>
              <w:rPr>
                <w:rFonts w:ascii="宋体" w:hAnsi="宋体"/>
                <w:kern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779" w:type="dxa"/>
            <w:vMerge w:val="continue"/>
            <w:vAlign w:val="center"/>
          </w:tcPr>
          <w:p>
            <w:pPr>
              <w:spacing w:line="400" w:lineRule="exact"/>
              <w:ind w:firstLine="420" w:firstLineChars="200"/>
              <w:jc w:val="center"/>
              <w:rPr>
                <w:rFonts w:ascii="宋体" w:hAnsi="宋体"/>
                <w:kern w:val="10"/>
                <w:szCs w:val="21"/>
              </w:rPr>
            </w:pPr>
          </w:p>
        </w:tc>
        <w:tc>
          <w:tcPr>
            <w:tcW w:w="1410" w:type="dxa"/>
            <w:vAlign w:val="center"/>
          </w:tcPr>
          <w:p>
            <w:pPr>
              <w:widowControl/>
              <w:jc w:val="center"/>
              <w:textAlignment w:val="center"/>
              <w:rPr>
                <w:rFonts w:ascii="宋体" w:hAnsi="宋体"/>
                <w:kern w:val="10"/>
                <w:szCs w:val="21"/>
              </w:rPr>
            </w:pPr>
            <w:r>
              <w:rPr>
                <w:rFonts w:hint="eastAsia" w:ascii="宋体" w:hAnsi="宋体" w:cs="宋体"/>
                <w:kern w:val="0"/>
              </w:rPr>
              <w:t>房屋倾斜监测</w:t>
            </w:r>
          </w:p>
        </w:tc>
        <w:tc>
          <w:tcPr>
            <w:tcW w:w="988" w:type="dxa"/>
            <w:vAlign w:val="center"/>
          </w:tcPr>
          <w:p>
            <w:pPr>
              <w:widowControl/>
              <w:jc w:val="center"/>
              <w:textAlignment w:val="center"/>
              <w:rPr>
                <w:rFonts w:ascii="宋体" w:hAnsi="宋体"/>
                <w:kern w:val="10"/>
                <w:szCs w:val="21"/>
              </w:rPr>
            </w:pPr>
            <w:r>
              <w:rPr>
                <w:rFonts w:ascii="宋体" w:hAnsi="宋体" w:cs="宋体"/>
                <w:kern w:val="0"/>
              </w:rPr>
              <w:t>4</w:t>
            </w:r>
          </w:p>
        </w:tc>
        <w:tc>
          <w:tcPr>
            <w:tcW w:w="2238" w:type="dxa"/>
            <w:vAlign w:val="center"/>
          </w:tcPr>
          <w:p>
            <w:pPr>
              <w:widowControl/>
              <w:jc w:val="center"/>
              <w:textAlignment w:val="center"/>
              <w:rPr>
                <w:rFonts w:ascii="宋体" w:hAnsi="宋体"/>
                <w:kern w:val="10"/>
                <w:szCs w:val="21"/>
              </w:rPr>
            </w:pPr>
          </w:p>
        </w:tc>
        <w:tc>
          <w:tcPr>
            <w:tcW w:w="1110" w:type="dxa"/>
            <w:vAlign w:val="center"/>
          </w:tcPr>
          <w:p>
            <w:pPr>
              <w:widowControl/>
              <w:jc w:val="center"/>
              <w:textAlignment w:val="center"/>
              <w:rPr>
                <w:rFonts w:ascii="宋体" w:hAnsi="宋体"/>
                <w:kern w:val="10"/>
                <w:szCs w:val="21"/>
              </w:rPr>
            </w:pPr>
            <w:r>
              <w:rPr>
                <w:rFonts w:ascii="宋体" w:hAnsi="宋体" w:cs="宋体"/>
                <w:kern w:val="0"/>
              </w:rPr>
              <w:t>5</w:t>
            </w:r>
          </w:p>
        </w:tc>
        <w:tc>
          <w:tcPr>
            <w:tcW w:w="1575" w:type="dxa"/>
            <w:vAlign w:val="center"/>
          </w:tcPr>
          <w:p>
            <w:pPr>
              <w:spacing w:line="400" w:lineRule="exact"/>
              <w:ind w:firstLine="420" w:firstLineChars="200"/>
              <w:jc w:val="center"/>
              <w:rPr>
                <w:rFonts w:ascii="宋体" w:hAnsi="宋体"/>
                <w:kern w:val="10"/>
                <w:szCs w:val="21"/>
              </w:rPr>
            </w:pPr>
          </w:p>
        </w:tc>
        <w:tc>
          <w:tcPr>
            <w:tcW w:w="1435" w:type="dxa"/>
            <w:vAlign w:val="center"/>
          </w:tcPr>
          <w:p>
            <w:pPr>
              <w:spacing w:line="400" w:lineRule="exact"/>
              <w:ind w:firstLine="420" w:firstLineChars="200"/>
              <w:jc w:val="center"/>
              <w:rPr>
                <w:rFonts w:ascii="宋体" w:hAnsi="宋体"/>
                <w:kern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779" w:type="dxa"/>
            <w:vMerge w:val="continue"/>
            <w:vAlign w:val="center"/>
          </w:tcPr>
          <w:p>
            <w:pPr>
              <w:spacing w:line="400" w:lineRule="exact"/>
              <w:ind w:firstLine="420" w:firstLineChars="200"/>
              <w:jc w:val="center"/>
              <w:rPr>
                <w:rFonts w:ascii="宋体" w:hAnsi="宋体"/>
                <w:kern w:val="10"/>
                <w:szCs w:val="21"/>
              </w:rPr>
            </w:pPr>
          </w:p>
        </w:tc>
        <w:tc>
          <w:tcPr>
            <w:tcW w:w="1410" w:type="dxa"/>
            <w:vAlign w:val="center"/>
          </w:tcPr>
          <w:p>
            <w:pPr>
              <w:widowControl/>
              <w:jc w:val="center"/>
              <w:textAlignment w:val="center"/>
              <w:rPr>
                <w:rFonts w:ascii="宋体" w:hAnsi="宋体"/>
                <w:kern w:val="10"/>
                <w:szCs w:val="21"/>
              </w:rPr>
            </w:pPr>
            <w:r>
              <w:rPr>
                <w:rFonts w:hint="eastAsia" w:ascii="宋体" w:hAnsi="宋体" w:cs="宋体"/>
                <w:kern w:val="0"/>
              </w:rPr>
              <w:t>远程监测</w:t>
            </w:r>
          </w:p>
        </w:tc>
        <w:tc>
          <w:tcPr>
            <w:tcW w:w="4336" w:type="dxa"/>
            <w:gridSpan w:val="3"/>
            <w:vAlign w:val="center"/>
          </w:tcPr>
          <w:p>
            <w:pPr>
              <w:widowControl/>
              <w:jc w:val="center"/>
              <w:textAlignment w:val="center"/>
              <w:rPr>
                <w:rFonts w:ascii="宋体" w:hAnsi="宋体"/>
                <w:kern w:val="10"/>
                <w:szCs w:val="21"/>
              </w:rPr>
            </w:pPr>
            <w:r>
              <w:rPr>
                <w:rFonts w:hint="eastAsia" w:ascii="宋体" w:hAnsi="宋体"/>
                <w:kern w:val="10"/>
                <w:szCs w:val="21"/>
              </w:rPr>
              <w:t>一项</w:t>
            </w:r>
          </w:p>
        </w:tc>
        <w:tc>
          <w:tcPr>
            <w:tcW w:w="1575" w:type="dxa"/>
            <w:vAlign w:val="center"/>
          </w:tcPr>
          <w:p>
            <w:pPr>
              <w:spacing w:line="400" w:lineRule="exact"/>
              <w:ind w:firstLine="420" w:firstLineChars="200"/>
              <w:jc w:val="center"/>
              <w:rPr>
                <w:rFonts w:ascii="宋体" w:hAnsi="宋体"/>
                <w:kern w:val="10"/>
                <w:szCs w:val="21"/>
              </w:rPr>
            </w:pPr>
          </w:p>
        </w:tc>
        <w:tc>
          <w:tcPr>
            <w:tcW w:w="1435" w:type="dxa"/>
            <w:vAlign w:val="center"/>
          </w:tcPr>
          <w:p>
            <w:pPr>
              <w:spacing w:line="400" w:lineRule="exact"/>
              <w:ind w:firstLine="420" w:firstLineChars="200"/>
              <w:jc w:val="center"/>
              <w:rPr>
                <w:rFonts w:ascii="宋体" w:hAnsi="宋体"/>
                <w:kern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trPr>
        <w:tc>
          <w:tcPr>
            <w:tcW w:w="6525" w:type="dxa"/>
            <w:gridSpan w:val="5"/>
            <w:vAlign w:val="center"/>
          </w:tcPr>
          <w:p>
            <w:pPr>
              <w:spacing w:line="400" w:lineRule="exact"/>
              <w:ind w:firstLine="420" w:firstLineChars="200"/>
              <w:jc w:val="center"/>
              <w:rPr>
                <w:rFonts w:ascii="宋体" w:hAnsi="宋体"/>
                <w:kern w:val="10"/>
                <w:szCs w:val="21"/>
              </w:rPr>
            </w:pPr>
            <w:r>
              <w:rPr>
                <w:rFonts w:hint="eastAsia" w:ascii="宋体" w:hAnsi="宋体"/>
                <w:kern w:val="10"/>
                <w:szCs w:val="21"/>
              </w:rPr>
              <w:t>合计</w:t>
            </w:r>
          </w:p>
        </w:tc>
        <w:tc>
          <w:tcPr>
            <w:tcW w:w="3010" w:type="dxa"/>
            <w:gridSpan w:val="2"/>
            <w:vAlign w:val="center"/>
          </w:tcPr>
          <w:p>
            <w:pPr>
              <w:spacing w:line="400" w:lineRule="exact"/>
              <w:ind w:firstLine="420" w:firstLineChars="200"/>
              <w:jc w:val="center"/>
              <w:rPr>
                <w:rFonts w:ascii="宋体" w:hAnsi="宋体"/>
                <w:kern w:val="10"/>
                <w:szCs w:val="21"/>
              </w:rPr>
            </w:pPr>
          </w:p>
        </w:tc>
      </w:tr>
    </w:tbl>
    <w:p>
      <w:pPr>
        <w:spacing w:line="400" w:lineRule="exact"/>
        <w:rPr>
          <w:rFonts w:ascii="宋体" w:hAnsi="宋体"/>
          <w:kern w:val="10"/>
          <w:szCs w:val="21"/>
        </w:rPr>
      </w:pPr>
      <w:r>
        <w:rPr>
          <w:rFonts w:hint="eastAsia" w:ascii="宋体" w:hAnsi="宋体"/>
          <w:kern w:val="10"/>
          <w:szCs w:val="21"/>
        </w:rPr>
        <w:t>注：1次数指的是3倍基坑开挖深度范围附近的所有建筑物检查（监测）一遍。</w:t>
      </w:r>
    </w:p>
    <w:p>
      <w:pPr>
        <w:spacing w:line="400" w:lineRule="exact"/>
        <w:rPr>
          <w:rFonts w:ascii="宋体" w:hAnsi="宋体"/>
          <w:kern w:val="10"/>
          <w:szCs w:val="21"/>
        </w:rPr>
      </w:pPr>
      <w:r>
        <w:rPr>
          <w:rFonts w:hint="eastAsia" w:ascii="宋体" w:hAnsi="宋体"/>
          <w:kern w:val="10"/>
          <w:szCs w:val="21"/>
        </w:rPr>
        <w:t xml:space="preserve">    </w:t>
      </w:r>
      <w:r>
        <w:rPr>
          <w:rFonts w:hint="eastAsia" w:ascii="宋体" w:hAnsi="宋体" w:cs="宋体"/>
          <w:kern w:val="0"/>
        </w:rPr>
        <w:t>房屋沉降监测和房屋倾斜监测点数是指每幢楼4个点。</w:t>
      </w:r>
    </w:p>
    <w:p>
      <w:pPr>
        <w:pStyle w:val="13"/>
        <w:spacing w:line="360" w:lineRule="auto"/>
        <w:ind w:firstLine="0"/>
        <w:rPr>
          <w:rFonts w:hAnsi="宋体"/>
          <w:sz w:val="21"/>
          <w:szCs w:val="21"/>
          <w:u w:val="single"/>
        </w:rPr>
      </w:pPr>
    </w:p>
    <w:p>
      <w:pPr>
        <w:numPr>
          <w:ilvl w:val="0"/>
          <w:numId w:val="12"/>
        </w:numPr>
        <w:tabs>
          <w:tab w:val="left" w:pos="425"/>
          <w:tab w:val="left" w:pos="845"/>
        </w:tabs>
        <w:spacing w:line="360" w:lineRule="auto"/>
        <w:rPr>
          <w:rFonts w:ascii="宋体" w:hAnsi="宋体"/>
          <w:szCs w:val="21"/>
        </w:rPr>
      </w:pPr>
      <w:r>
        <w:rPr>
          <w:rFonts w:ascii="宋体" w:hAnsi="宋体"/>
          <w:szCs w:val="21"/>
        </w:rPr>
        <w:t>投标</w:t>
      </w:r>
      <w:r>
        <w:rPr>
          <w:rFonts w:hint="eastAsia" w:ascii="宋体" w:hAnsi="宋体"/>
          <w:szCs w:val="21"/>
        </w:rPr>
        <w:t>人</w:t>
      </w:r>
      <w:r>
        <w:rPr>
          <w:rFonts w:ascii="宋体" w:hAnsi="宋体"/>
          <w:szCs w:val="21"/>
        </w:rPr>
        <w:t>按照本采购文件作业范围报</w:t>
      </w:r>
      <w:r>
        <w:rPr>
          <w:rFonts w:ascii="宋体" w:hAnsi="宋体"/>
          <w:szCs w:val="21"/>
          <w:lang w:val="zh-CN"/>
        </w:rPr>
        <w:t>价，</w:t>
      </w:r>
      <w:r>
        <w:rPr>
          <w:rFonts w:hint="eastAsia" w:ascii="宋体" w:hAnsi="宋体"/>
          <w:szCs w:val="21"/>
          <w:lang w:val="zh-CN"/>
        </w:rPr>
        <w:t>此费用包括人员基本工资、各类福利和补贴（如加班补贴等）、社保（五金）、各种保险，作业工具等各类耗材费，设施设备管理维护费用管理费，出具对比鉴定报告，税金，利润及其他与本次采购相关的一切费用。</w:t>
      </w:r>
    </w:p>
    <w:p>
      <w:pPr>
        <w:numPr>
          <w:ilvl w:val="0"/>
          <w:numId w:val="12"/>
        </w:numPr>
        <w:tabs>
          <w:tab w:val="left" w:pos="425"/>
          <w:tab w:val="left" w:pos="845"/>
        </w:tabs>
        <w:spacing w:line="360" w:lineRule="auto"/>
        <w:rPr>
          <w:rFonts w:ascii="宋体" w:hAnsi="宋体"/>
          <w:szCs w:val="21"/>
          <w:lang w:val="zh-CN"/>
        </w:rPr>
      </w:pPr>
      <w:r>
        <w:rPr>
          <w:rFonts w:hint="eastAsia" w:ascii="宋体" w:hAnsi="宋体"/>
          <w:szCs w:val="21"/>
          <w:lang w:val="zh-CN"/>
        </w:rPr>
        <w:t>投标人</w:t>
      </w:r>
      <w:r>
        <w:rPr>
          <w:rFonts w:ascii="宋体" w:hAnsi="宋体"/>
          <w:szCs w:val="21"/>
          <w:lang w:val="zh-CN"/>
        </w:rPr>
        <w:t>认为应当说明而本表中无相应栏目的，请在自行增加栏目加以说明。</w:t>
      </w:r>
    </w:p>
    <w:p>
      <w:pPr>
        <w:numPr>
          <w:ilvl w:val="0"/>
          <w:numId w:val="12"/>
        </w:numPr>
        <w:tabs>
          <w:tab w:val="left" w:pos="426"/>
        </w:tabs>
        <w:spacing w:line="360" w:lineRule="auto"/>
        <w:rPr>
          <w:rFonts w:ascii="宋体" w:hAnsi="宋体"/>
          <w:szCs w:val="21"/>
        </w:rPr>
      </w:pPr>
      <w:r>
        <w:rPr>
          <w:rFonts w:ascii="宋体" w:hAnsi="宋体"/>
          <w:szCs w:val="21"/>
        </w:rPr>
        <w:t>投标人另须详细列出各类费用的明细表，表格自制。</w:t>
      </w:r>
    </w:p>
    <w:p>
      <w:pPr>
        <w:spacing w:line="360" w:lineRule="auto"/>
        <w:rPr>
          <w:rFonts w:ascii="宋体" w:hAnsi="宋体"/>
          <w:szCs w:val="21"/>
        </w:rPr>
      </w:pPr>
    </w:p>
    <w:p>
      <w:pPr>
        <w:spacing w:line="360" w:lineRule="auto"/>
        <w:ind w:right="1784"/>
        <w:jc w:val="right"/>
        <w:rPr>
          <w:rFonts w:ascii="宋体" w:hAnsi="宋体"/>
          <w:szCs w:val="21"/>
        </w:rPr>
      </w:pPr>
      <w:r>
        <w:rPr>
          <w:rFonts w:ascii="宋体" w:hAnsi="宋体"/>
          <w:szCs w:val="21"/>
        </w:rPr>
        <w:t>投标人（盖章）：</w:t>
      </w:r>
    </w:p>
    <w:p>
      <w:pPr>
        <w:spacing w:line="360" w:lineRule="auto"/>
        <w:ind w:right="1784"/>
        <w:jc w:val="right"/>
        <w:rPr>
          <w:rFonts w:ascii="宋体" w:hAnsi="宋体"/>
          <w:szCs w:val="21"/>
        </w:rPr>
      </w:pPr>
      <w:r>
        <w:rPr>
          <w:rFonts w:ascii="宋体" w:hAnsi="宋体"/>
          <w:szCs w:val="21"/>
        </w:rPr>
        <w:t>投标人代表（签字）：</w:t>
      </w:r>
    </w:p>
    <w:p>
      <w:pPr>
        <w:spacing w:line="360" w:lineRule="auto"/>
        <w:ind w:right="1784"/>
        <w:jc w:val="center"/>
        <w:rPr>
          <w:rFonts w:ascii="宋体" w:hAnsi="宋体"/>
          <w:b/>
          <w:szCs w:val="21"/>
        </w:rPr>
      </w:pPr>
      <w:r>
        <w:rPr>
          <w:rFonts w:hint="eastAsia" w:ascii="宋体" w:hAnsi="宋体"/>
          <w:szCs w:val="21"/>
        </w:rPr>
        <w:t xml:space="preserve">                             </w:t>
      </w:r>
      <w:r>
        <w:rPr>
          <w:rFonts w:ascii="宋体" w:hAnsi="宋体"/>
          <w:szCs w:val="21"/>
        </w:rPr>
        <w:t>日  期：</w:t>
      </w:r>
      <w:r>
        <w:rPr>
          <w:rFonts w:ascii="宋体" w:hAnsi="宋体"/>
          <w:b/>
          <w:sz w:val="24"/>
          <w:szCs w:val="21"/>
        </w:rPr>
        <w:br w:type="page"/>
      </w:r>
      <w:bookmarkStart w:id="66" w:name="_Toc485712568"/>
      <w:r>
        <w:rPr>
          <w:rFonts w:ascii="宋体" w:hAnsi="宋体"/>
          <w:b/>
          <w:sz w:val="24"/>
          <w:szCs w:val="21"/>
        </w:rPr>
        <w:t>四、</w:t>
      </w:r>
      <w:r>
        <w:rPr>
          <w:rFonts w:hint="eastAsia" w:ascii="宋体" w:hAnsi="宋体"/>
          <w:b/>
          <w:sz w:val="24"/>
          <w:szCs w:val="21"/>
        </w:rPr>
        <w:t>技术</w:t>
      </w:r>
      <w:r>
        <w:rPr>
          <w:rFonts w:ascii="宋体" w:hAnsi="宋体"/>
          <w:b/>
          <w:sz w:val="24"/>
          <w:szCs w:val="21"/>
        </w:rPr>
        <w:t>商务文件格式</w:t>
      </w:r>
      <w:bookmarkEnd w:id="66"/>
    </w:p>
    <w:p>
      <w:pPr>
        <w:tabs>
          <w:tab w:val="left" w:pos="518"/>
        </w:tabs>
        <w:adjustRightInd w:val="0"/>
        <w:snapToGrid w:val="0"/>
        <w:spacing w:line="360" w:lineRule="auto"/>
        <w:ind w:left="238"/>
        <w:rPr>
          <w:rFonts w:ascii="宋体" w:hAnsi="宋体"/>
          <w:szCs w:val="21"/>
        </w:rPr>
      </w:pPr>
      <w:r>
        <w:rPr>
          <w:rFonts w:ascii="宋体" w:hAnsi="宋体"/>
          <w:sz w:val="22"/>
          <w:szCs w:val="21"/>
        </w:rPr>
        <w:t>说明：按招标文件第三章投标人须知第三点中关于投标技术商务文件的组成内容进行编制。</w:t>
      </w:r>
    </w:p>
    <w:p>
      <w:pPr>
        <w:pStyle w:val="27"/>
        <w:spacing w:before="0" w:line="360" w:lineRule="auto"/>
        <w:jc w:val="left"/>
        <w:rPr>
          <w:rFonts w:ascii="宋体" w:hAnsi="宋体"/>
          <w:b w:val="0"/>
          <w:sz w:val="24"/>
          <w:szCs w:val="21"/>
        </w:rPr>
      </w:pPr>
      <w:bookmarkStart w:id="67" w:name="_Toc485712569"/>
      <w:r>
        <w:rPr>
          <w:rFonts w:ascii="宋体" w:hAnsi="宋体"/>
          <w:b w:val="0"/>
          <w:sz w:val="24"/>
          <w:szCs w:val="21"/>
        </w:rPr>
        <w:t>格式一  法定代表人授权委托书</w:t>
      </w:r>
      <w:bookmarkEnd w:id="67"/>
    </w:p>
    <w:p>
      <w:pPr>
        <w:snapToGrid w:val="0"/>
        <w:spacing w:beforeLines="50" w:after="50" w:line="360" w:lineRule="auto"/>
        <w:jc w:val="center"/>
        <w:rPr>
          <w:rFonts w:ascii="宋体" w:hAnsi="宋体"/>
          <w:sz w:val="28"/>
          <w:szCs w:val="28"/>
        </w:rPr>
      </w:pPr>
      <w:r>
        <w:rPr>
          <w:rFonts w:ascii="宋体" w:hAnsi="宋体"/>
          <w:sz w:val="28"/>
          <w:szCs w:val="28"/>
        </w:rPr>
        <w:t>法定代表人授权委托书</w:t>
      </w:r>
    </w:p>
    <w:p>
      <w:pPr>
        <w:snapToGrid w:val="0"/>
        <w:spacing w:beforeLines="50" w:after="50" w:line="360" w:lineRule="auto"/>
        <w:rPr>
          <w:rFonts w:ascii="宋体" w:hAnsi="宋体"/>
          <w:b/>
          <w:bCs/>
          <w:szCs w:val="21"/>
        </w:rPr>
      </w:pPr>
      <w:r>
        <w:rPr>
          <w:rFonts w:ascii="宋体" w:hAnsi="宋体"/>
          <w:bCs/>
          <w:szCs w:val="21"/>
        </w:rPr>
        <w:t>致：</w:t>
      </w:r>
      <w:r>
        <w:rPr>
          <w:rFonts w:ascii="宋体" w:hAnsi="宋体"/>
          <w:szCs w:val="21"/>
          <w:u w:val="single"/>
        </w:rPr>
        <w:t xml:space="preserve">                </w:t>
      </w:r>
      <w:r>
        <w:rPr>
          <w:rFonts w:ascii="宋体" w:hAnsi="宋体"/>
          <w:szCs w:val="21"/>
        </w:rPr>
        <w:t>（招标采购单位名称）：</w:t>
      </w:r>
    </w:p>
    <w:p>
      <w:pPr>
        <w:snapToGrid w:val="0"/>
        <w:spacing w:beforeLines="50" w:after="50" w:line="360" w:lineRule="auto"/>
        <w:ind w:firstLine="630" w:firstLineChars="300"/>
        <w:rPr>
          <w:rFonts w:ascii="宋体" w:hAnsi="宋体"/>
          <w:szCs w:val="21"/>
        </w:rPr>
      </w:pPr>
      <w:r>
        <w:rPr>
          <w:rFonts w:ascii="宋体" w:hAnsi="宋体"/>
          <w:szCs w:val="21"/>
        </w:rPr>
        <w:t>我</w:t>
      </w:r>
      <w:r>
        <w:rPr>
          <w:rFonts w:ascii="宋体" w:hAnsi="宋体"/>
          <w:szCs w:val="21"/>
          <w:u w:val="single"/>
        </w:rPr>
        <w:t xml:space="preserve">             </w:t>
      </w:r>
      <w:r>
        <w:rPr>
          <w:rFonts w:ascii="宋体" w:hAnsi="宋体"/>
          <w:szCs w:val="21"/>
        </w:rPr>
        <w:t>（姓名）系</w:t>
      </w:r>
      <w:r>
        <w:rPr>
          <w:rFonts w:ascii="宋体" w:hAnsi="宋体"/>
          <w:szCs w:val="21"/>
          <w:u w:val="single"/>
        </w:rPr>
        <w:t xml:space="preserve">            </w:t>
      </w:r>
      <w:r>
        <w:rPr>
          <w:rFonts w:ascii="宋体" w:hAnsi="宋体"/>
          <w:szCs w:val="21"/>
        </w:rPr>
        <w:t xml:space="preserve">（投标人名称）的法定代表人，现授权委托本单位在职职工 </w:t>
      </w:r>
      <w:r>
        <w:rPr>
          <w:rFonts w:ascii="宋体" w:hAnsi="宋体"/>
          <w:szCs w:val="21"/>
          <w:u w:val="single"/>
        </w:rPr>
        <w:t xml:space="preserve">              </w:t>
      </w:r>
      <w:r>
        <w:rPr>
          <w:rFonts w:ascii="宋体" w:hAnsi="宋体"/>
          <w:szCs w:val="21"/>
        </w:rPr>
        <w:t>（姓名）以我方的名义参加</w:t>
      </w:r>
      <w:r>
        <w:rPr>
          <w:rFonts w:ascii="宋体" w:hAnsi="宋体"/>
          <w:szCs w:val="21"/>
          <w:u w:val="single"/>
        </w:rPr>
        <w:t xml:space="preserve">   ABC单位XYZ政府采购          </w:t>
      </w:r>
      <w:r>
        <w:rPr>
          <w:rFonts w:ascii="宋体" w:hAnsi="宋体"/>
          <w:szCs w:val="21"/>
        </w:rPr>
        <w:t>项目</w:t>
      </w:r>
      <w:r>
        <w:rPr>
          <w:rFonts w:hint="eastAsia" w:ascii="宋体" w:hAnsi="宋体"/>
          <w:szCs w:val="21"/>
        </w:rPr>
        <w:t>子包</w:t>
      </w:r>
      <w:r>
        <w:rPr>
          <w:rFonts w:hint="eastAsia" w:ascii="宋体" w:hAnsi="宋体"/>
          <w:szCs w:val="21"/>
          <w:u w:val="single"/>
        </w:rPr>
        <w:t xml:space="preserve">    </w:t>
      </w:r>
      <w:r>
        <w:rPr>
          <w:rFonts w:ascii="宋体" w:hAnsi="宋体"/>
          <w:szCs w:val="21"/>
        </w:rPr>
        <w:t>的投标活动，并代表我方全权办理针对上述项目的投标、开标、评标、签约等具体事务和签署相关文件。</w:t>
      </w:r>
    </w:p>
    <w:p>
      <w:pPr>
        <w:snapToGrid w:val="0"/>
        <w:spacing w:beforeLines="50" w:after="50" w:line="360" w:lineRule="auto"/>
        <w:rPr>
          <w:rFonts w:ascii="宋体" w:hAnsi="宋体"/>
          <w:szCs w:val="21"/>
        </w:rPr>
      </w:pPr>
      <w:r>
        <w:rPr>
          <w:rFonts w:ascii="宋体" w:hAnsi="宋体"/>
          <w:szCs w:val="21"/>
        </w:rPr>
        <w:t xml:space="preserve">    我方对被授权人的签名事项负全部责任。</w:t>
      </w:r>
    </w:p>
    <w:p>
      <w:pPr>
        <w:snapToGrid w:val="0"/>
        <w:spacing w:beforeLines="50" w:after="50" w:line="360" w:lineRule="auto"/>
        <w:ind w:firstLine="420" w:firstLineChars="200"/>
        <w:rPr>
          <w:rFonts w:ascii="宋体" w:hAnsi="宋体"/>
          <w:szCs w:val="21"/>
        </w:rPr>
      </w:pPr>
      <w:r>
        <w:rPr>
          <w:rFonts w:ascii="宋体" w:hAnsi="宋体"/>
          <w:szCs w:val="21"/>
          <w:u w:val="single"/>
        </w:rPr>
        <w:t>在撤销授权的书面通知以前，本授权书一直有效。</w:t>
      </w:r>
      <w:r>
        <w:rPr>
          <w:rFonts w:ascii="宋体" w:hAnsi="宋体"/>
          <w:szCs w:val="21"/>
        </w:rPr>
        <w:t>被授权人在授权书有效期内签署的所有文件不因授权的撤销而失效。</w:t>
      </w:r>
    </w:p>
    <w:p>
      <w:pPr>
        <w:snapToGrid w:val="0"/>
        <w:spacing w:beforeLines="50" w:after="50" w:line="360" w:lineRule="auto"/>
        <w:ind w:firstLine="480"/>
        <w:rPr>
          <w:rFonts w:ascii="宋体" w:hAnsi="宋体"/>
          <w:szCs w:val="21"/>
        </w:rPr>
      </w:pPr>
      <w:r>
        <w:rPr>
          <w:rFonts w:ascii="宋体" w:hAnsi="宋体"/>
          <w:szCs w:val="21"/>
        </w:rPr>
        <w:t>被授权人无转委托权，特此委托。</w:t>
      </w:r>
    </w:p>
    <w:p>
      <w:pPr>
        <w:snapToGrid w:val="0"/>
        <w:spacing w:beforeLines="50" w:after="50" w:line="360" w:lineRule="auto"/>
        <w:rPr>
          <w:rFonts w:ascii="宋体" w:hAnsi="宋体"/>
          <w:szCs w:val="21"/>
        </w:rPr>
      </w:pPr>
    </w:p>
    <w:p>
      <w:pPr>
        <w:tabs>
          <w:tab w:val="left" w:pos="3828"/>
        </w:tabs>
        <w:snapToGrid w:val="0"/>
        <w:spacing w:beforeLines="50" w:after="50" w:line="360" w:lineRule="auto"/>
        <w:rPr>
          <w:rFonts w:ascii="宋体" w:hAnsi="宋体"/>
          <w:szCs w:val="21"/>
          <w:u w:val="single"/>
        </w:rPr>
      </w:pPr>
      <w:r>
        <w:rPr>
          <w:rFonts w:ascii="宋体" w:hAnsi="宋体"/>
          <w:szCs w:val="21"/>
        </w:rPr>
        <w:t>被授权人签名：</w:t>
      </w:r>
      <w:r>
        <w:rPr>
          <w:rFonts w:ascii="宋体" w:hAnsi="宋体"/>
          <w:szCs w:val="21"/>
          <w:u w:val="single"/>
        </w:rPr>
        <w:t xml:space="preserve">          </w:t>
      </w:r>
      <w:r>
        <w:rPr>
          <w:rFonts w:ascii="宋体" w:hAnsi="宋体"/>
          <w:szCs w:val="21"/>
        </w:rPr>
        <w:t xml:space="preserve"> </w:t>
      </w:r>
      <w:r>
        <w:rPr>
          <w:rFonts w:ascii="宋体" w:hAnsi="宋体"/>
          <w:szCs w:val="21"/>
        </w:rPr>
        <w:tab/>
      </w:r>
      <w:r>
        <w:rPr>
          <w:rFonts w:ascii="宋体" w:hAnsi="宋体"/>
          <w:szCs w:val="21"/>
        </w:rPr>
        <w:t>法定代表人签名：</w:t>
      </w:r>
      <w:r>
        <w:rPr>
          <w:rFonts w:ascii="宋体" w:hAnsi="宋体"/>
          <w:szCs w:val="21"/>
          <w:u w:val="single"/>
        </w:rPr>
        <w:t xml:space="preserve">          </w:t>
      </w:r>
    </w:p>
    <w:p>
      <w:pPr>
        <w:tabs>
          <w:tab w:val="left" w:pos="3828"/>
        </w:tabs>
        <w:snapToGrid w:val="0"/>
        <w:spacing w:beforeLines="50" w:after="50" w:line="360" w:lineRule="auto"/>
        <w:rPr>
          <w:rFonts w:ascii="宋体" w:hAnsi="宋体"/>
          <w:szCs w:val="21"/>
        </w:rPr>
      </w:pPr>
      <w:r>
        <w:rPr>
          <w:rFonts w:ascii="宋体" w:hAnsi="宋体"/>
          <w:szCs w:val="21"/>
        </w:rPr>
        <w:t>职务：</w:t>
      </w:r>
      <w:r>
        <w:rPr>
          <w:rFonts w:ascii="宋体" w:hAnsi="宋体"/>
          <w:szCs w:val="21"/>
          <w:u w:val="single"/>
        </w:rPr>
        <w:t xml:space="preserve">           </w:t>
      </w:r>
      <w:r>
        <w:rPr>
          <w:rFonts w:ascii="宋体" w:hAnsi="宋体"/>
          <w:szCs w:val="21"/>
        </w:rPr>
        <w:t xml:space="preserve">  </w:t>
      </w:r>
      <w:r>
        <w:rPr>
          <w:rFonts w:ascii="宋体" w:hAnsi="宋体"/>
          <w:szCs w:val="21"/>
        </w:rPr>
        <w:tab/>
      </w:r>
      <w:r>
        <w:rPr>
          <w:rFonts w:ascii="宋体" w:hAnsi="宋体"/>
          <w:szCs w:val="21"/>
        </w:rPr>
        <w:t>职务：</w:t>
      </w:r>
      <w:r>
        <w:rPr>
          <w:rFonts w:ascii="宋体" w:hAnsi="宋体"/>
          <w:szCs w:val="21"/>
          <w:u w:val="single"/>
        </w:rPr>
        <w:t xml:space="preserve">           </w:t>
      </w:r>
    </w:p>
    <w:p>
      <w:pPr>
        <w:snapToGrid w:val="0"/>
        <w:spacing w:beforeLines="50" w:after="50" w:line="360" w:lineRule="auto"/>
        <w:rPr>
          <w:rFonts w:ascii="宋体" w:hAnsi="宋体"/>
          <w:szCs w:val="21"/>
        </w:rPr>
      </w:pPr>
      <w:r>
        <w:rPr>
          <w:rFonts w:ascii="宋体" w:hAnsi="宋体"/>
          <w:szCs w:val="21"/>
        </w:rPr>
        <w:t>被授权人身份证号码：</w:t>
      </w:r>
      <w:r>
        <w:rPr>
          <w:rFonts w:ascii="宋体" w:hAnsi="宋体"/>
          <w:szCs w:val="21"/>
          <w:u w:val="single"/>
        </w:rPr>
        <w:t xml:space="preserve">                    </w:t>
      </w:r>
      <w:r>
        <w:rPr>
          <w:rFonts w:ascii="宋体" w:hAnsi="宋体"/>
          <w:szCs w:val="21"/>
        </w:rPr>
        <w:t xml:space="preserve"> </w:t>
      </w:r>
    </w:p>
    <w:p>
      <w:pPr>
        <w:snapToGrid w:val="0"/>
        <w:spacing w:beforeLines="50" w:after="50" w:line="360" w:lineRule="auto"/>
        <w:jc w:val="center"/>
        <w:rPr>
          <w:rFonts w:ascii="宋体" w:hAnsi="宋体"/>
          <w:szCs w:val="21"/>
        </w:rPr>
      </w:pPr>
      <w:r>
        <w:rPr>
          <w:rFonts w:ascii="宋体" w:hAnsi="宋体"/>
          <w:szCs w:val="21"/>
        </w:rPr>
        <w:t>（附授权人及被授权人身份证复印件）</w:t>
      </w:r>
    </w:p>
    <w:p>
      <w:pPr>
        <w:snapToGrid w:val="0"/>
        <w:spacing w:beforeLines="50" w:after="50" w:line="360" w:lineRule="auto"/>
        <w:ind w:firstLine="5670" w:firstLineChars="2700"/>
        <w:rPr>
          <w:rFonts w:ascii="宋体" w:hAnsi="宋体"/>
          <w:szCs w:val="21"/>
        </w:rPr>
      </w:pPr>
    </w:p>
    <w:p>
      <w:pPr>
        <w:snapToGrid w:val="0"/>
        <w:spacing w:beforeLines="50" w:after="50" w:line="360" w:lineRule="auto"/>
        <w:ind w:right="764" w:firstLine="5670" w:firstLineChars="2700"/>
        <w:jc w:val="right"/>
        <w:rPr>
          <w:rFonts w:ascii="宋体" w:hAnsi="宋体"/>
          <w:szCs w:val="21"/>
        </w:rPr>
      </w:pPr>
      <w:r>
        <w:rPr>
          <w:rFonts w:ascii="宋体" w:hAnsi="宋体"/>
          <w:szCs w:val="21"/>
        </w:rPr>
        <w:t>投标人公章：</w:t>
      </w:r>
    </w:p>
    <w:p>
      <w:pPr>
        <w:snapToGrid w:val="0"/>
        <w:spacing w:beforeLines="50" w:after="50" w:line="360" w:lineRule="auto"/>
        <w:ind w:right="573"/>
        <w:jc w:val="right"/>
        <w:rPr>
          <w:rFonts w:ascii="宋体" w:hAnsi="宋体"/>
          <w:szCs w:val="21"/>
        </w:rPr>
      </w:pPr>
      <w:r>
        <w:rPr>
          <w:rFonts w:ascii="宋体" w:hAnsi="宋体"/>
          <w:szCs w:val="21"/>
        </w:rPr>
        <w:t>年    月    日</w:t>
      </w:r>
    </w:p>
    <w:p>
      <w:pPr>
        <w:pStyle w:val="27"/>
        <w:spacing w:before="0" w:line="360" w:lineRule="auto"/>
        <w:jc w:val="left"/>
        <w:rPr>
          <w:rFonts w:ascii="宋体" w:hAnsi="宋体"/>
          <w:b w:val="0"/>
          <w:sz w:val="24"/>
          <w:szCs w:val="21"/>
        </w:rPr>
      </w:pPr>
      <w:r>
        <w:rPr>
          <w:rFonts w:ascii="宋体" w:hAnsi="宋体"/>
          <w:sz w:val="24"/>
          <w:szCs w:val="21"/>
        </w:rPr>
        <w:br w:type="page"/>
      </w:r>
      <w:bookmarkStart w:id="68" w:name="_Toc485712570"/>
      <w:r>
        <w:rPr>
          <w:rFonts w:ascii="宋体" w:hAnsi="宋体"/>
          <w:b w:val="0"/>
          <w:sz w:val="24"/>
          <w:szCs w:val="21"/>
        </w:rPr>
        <w:t>格式二  技术响应表</w:t>
      </w:r>
      <w:bookmarkEnd w:id="68"/>
    </w:p>
    <w:p>
      <w:pPr>
        <w:snapToGrid w:val="0"/>
        <w:spacing w:beforeLines="50" w:after="50" w:line="360" w:lineRule="auto"/>
        <w:jc w:val="center"/>
        <w:rPr>
          <w:rFonts w:ascii="宋体" w:hAnsi="宋体"/>
          <w:sz w:val="28"/>
          <w:szCs w:val="28"/>
        </w:rPr>
      </w:pPr>
      <w:r>
        <w:rPr>
          <w:rFonts w:hint="eastAsia" w:ascii="宋体" w:hAnsi="宋体"/>
          <w:sz w:val="28"/>
          <w:szCs w:val="28"/>
        </w:rPr>
        <w:t>服务技术方案</w:t>
      </w:r>
    </w:p>
    <w:tbl>
      <w:tblPr>
        <w:tblStyle w:val="38"/>
        <w:tblW w:w="0" w:type="auto"/>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6" w:hRule="atLeast"/>
        </w:trPr>
        <w:tc>
          <w:tcPr>
            <w:tcW w:w="8946" w:type="dxa"/>
          </w:tcPr>
          <w:p>
            <w:pPr>
              <w:snapToGrid w:val="0"/>
              <w:spacing w:beforeLines="50" w:after="50" w:line="360" w:lineRule="auto"/>
              <w:rPr>
                <w:rFonts w:ascii="宋体" w:hAnsi="宋体"/>
                <w:b/>
                <w:sz w:val="24"/>
              </w:rPr>
            </w:pPr>
          </w:p>
          <w:p>
            <w:pPr>
              <w:snapToGrid w:val="0"/>
              <w:spacing w:beforeLines="50" w:after="50" w:line="360" w:lineRule="auto"/>
              <w:rPr>
                <w:rFonts w:ascii="宋体" w:hAnsi="宋体"/>
                <w:b/>
                <w:sz w:val="24"/>
              </w:rPr>
            </w:pPr>
          </w:p>
          <w:p>
            <w:pPr>
              <w:spacing w:line="500" w:lineRule="exact"/>
              <w:jc w:val="center"/>
              <w:rPr>
                <w:rFonts w:ascii="宋体" w:hAnsi="宋体"/>
                <w:szCs w:val="21"/>
              </w:rPr>
            </w:pPr>
            <w:r>
              <w:rPr>
                <w:rFonts w:ascii="宋体" w:hAnsi="宋体"/>
                <w:szCs w:val="21"/>
              </w:rPr>
              <w:t>投标人根据本招标文件第二部分“招标需求”</w:t>
            </w:r>
            <w:r>
              <w:rPr>
                <w:rFonts w:hint="eastAsia" w:ascii="宋体" w:hAnsi="宋体"/>
                <w:szCs w:val="21"/>
              </w:rPr>
              <w:t>、评分内容</w:t>
            </w:r>
            <w:r>
              <w:rPr>
                <w:rFonts w:ascii="宋体" w:hAnsi="宋体"/>
                <w:szCs w:val="21"/>
              </w:rPr>
              <w:t>自行编写</w:t>
            </w:r>
          </w:p>
          <w:p>
            <w:pPr>
              <w:spacing w:line="500" w:lineRule="exact"/>
              <w:rPr>
                <w:rFonts w:ascii="宋体" w:hAnsi="宋体"/>
                <w:szCs w:val="21"/>
              </w:rPr>
            </w:pPr>
          </w:p>
          <w:p>
            <w:pPr>
              <w:spacing w:line="500" w:lineRule="exact"/>
              <w:rPr>
                <w:rFonts w:ascii="宋体" w:hAnsi="宋体"/>
              </w:rPr>
            </w:pPr>
            <w:r>
              <w:rPr>
                <w:rFonts w:ascii="宋体" w:hAnsi="宋体"/>
                <w:szCs w:val="21"/>
              </w:rPr>
              <w:t>（内容包括投入本项目的设备、服务工作计划、人员岗位配备、管理，针对本项目的特点和难点分析及解决措施，项目管理计划及安全文明保障措施；投标人为完成各项服务，并确保采购单位各项业务工作的正常开展，达到使采购单位满意的服务质量标准的保证措施）；</w:t>
            </w:r>
          </w:p>
        </w:tc>
      </w:tr>
    </w:tbl>
    <w:p>
      <w:pPr>
        <w:spacing w:line="360" w:lineRule="auto"/>
        <w:ind w:right="25" w:rightChars="12"/>
        <w:rPr>
          <w:rFonts w:ascii="宋体" w:hAnsi="宋体"/>
          <w:szCs w:val="21"/>
        </w:rPr>
      </w:pPr>
    </w:p>
    <w:p>
      <w:pPr>
        <w:tabs>
          <w:tab w:val="left" w:pos="3825"/>
        </w:tabs>
        <w:spacing w:line="360" w:lineRule="auto"/>
        <w:rPr>
          <w:rFonts w:ascii="宋体" w:hAnsi="宋体"/>
        </w:rPr>
      </w:pPr>
    </w:p>
    <w:p>
      <w:pPr>
        <w:tabs>
          <w:tab w:val="left" w:pos="3825"/>
        </w:tabs>
        <w:spacing w:line="360" w:lineRule="auto"/>
        <w:rPr>
          <w:rFonts w:ascii="宋体" w:hAnsi="宋体"/>
        </w:rPr>
      </w:pPr>
    </w:p>
    <w:p>
      <w:pPr>
        <w:tabs>
          <w:tab w:val="left" w:pos="3825"/>
        </w:tabs>
        <w:spacing w:line="360" w:lineRule="auto"/>
        <w:rPr>
          <w:rFonts w:ascii="宋体" w:hAnsi="宋体"/>
        </w:rPr>
      </w:pPr>
    </w:p>
    <w:p>
      <w:pPr>
        <w:tabs>
          <w:tab w:val="left" w:pos="3825"/>
        </w:tabs>
        <w:spacing w:line="360" w:lineRule="auto"/>
        <w:rPr>
          <w:rFonts w:ascii="宋体" w:hAnsi="宋体"/>
        </w:rPr>
      </w:pPr>
    </w:p>
    <w:p>
      <w:pPr>
        <w:tabs>
          <w:tab w:val="left" w:pos="3825"/>
        </w:tabs>
        <w:spacing w:line="360" w:lineRule="auto"/>
        <w:rPr>
          <w:rFonts w:ascii="宋体" w:hAnsi="宋体"/>
        </w:rPr>
      </w:pPr>
    </w:p>
    <w:p>
      <w:pPr>
        <w:tabs>
          <w:tab w:val="left" w:pos="3825"/>
        </w:tabs>
        <w:spacing w:line="360" w:lineRule="auto"/>
        <w:rPr>
          <w:rFonts w:ascii="宋体" w:hAnsi="宋体"/>
        </w:rPr>
      </w:pPr>
    </w:p>
    <w:p>
      <w:pPr>
        <w:tabs>
          <w:tab w:val="left" w:pos="3825"/>
        </w:tabs>
        <w:spacing w:line="360" w:lineRule="auto"/>
        <w:rPr>
          <w:rFonts w:ascii="宋体" w:hAnsi="宋体"/>
        </w:rPr>
      </w:pPr>
    </w:p>
    <w:p>
      <w:pPr>
        <w:tabs>
          <w:tab w:val="left" w:pos="3825"/>
        </w:tabs>
        <w:spacing w:line="360" w:lineRule="auto"/>
        <w:rPr>
          <w:rFonts w:ascii="宋体" w:hAnsi="宋体"/>
        </w:rPr>
      </w:pPr>
    </w:p>
    <w:p>
      <w:pPr>
        <w:tabs>
          <w:tab w:val="left" w:pos="3825"/>
        </w:tabs>
        <w:spacing w:line="360" w:lineRule="auto"/>
        <w:rPr>
          <w:rFonts w:ascii="宋体" w:hAnsi="宋体"/>
        </w:rPr>
      </w:pPr>
    </w:p>
    <w:p>
      <w:pPr>
        <w:tabs>
          <w:tab w:val="left" w:pos="3825"/>
        </w:tabs>
        <w:spacing w:line="360" w:lineRule="auto"/>
        <w:rPr>
          <w:rFonts w:ascii="宋体" w:hAnsi="宋体"/>
        </w:rPr>
      </w:pPr>
    </w:p>
    <w:p>
      <w:pPr>
        <w:tabs>
          <w:tab w:val="left" w:pos="3825"/>
        </w:tabs>
        <w:spacing w:line="360" w:lineRule="auto"/>
        <w:rPr>
          <w:rFonts w:ascii="宋体" w:hAnsi="宋体"/>
        </w:rPr>
      </w:pPr>
    </w:p>
    <w:p>
      <w:pPr>
        <w:tabs>
          <w:tab w:val="left" w:pos="3825"/>
        </w:tabs>
        <w:spacing w:line="360" w:lineRule="auto"/>
        <w:rPr>
          <w:rFonts w:ascii="宋体" w:hAnsi="宋体"/>
        </w:rPr>
      </w:pPr>
    </w:p>
    <w:p>
      <w:pPr>
        <w:tabs>
          <w:tab w:val="left" w:pos="3825"/>
        </w:tabs>
        <w:spacing w:line="360" w:lineRule="auto"/>
        <w:rPr>
          <w:rFonts w:ascii="宋体" w:hAnsi="宋体"/>
        </w:rPr>
      </w:pPr>
    </w:p>
    <w:p>
      <w:pPr>
        <w:tabs>
          <w:tab w:val="left" w:pos="3825"/>
        </w:tabs>
        <w:spacing w:line="360" w:lineRule="auto"/>
        <w:rPr>
          <w:rFonts w:ascii="宋体" w:hAnsi="宋体"/>
        </w:rPr>
      </w:pPr>
    </w:p>
    <w:p>
      <w:pPr>
        <w:tabs>
          <w:tab w:val="left" w:pos="3825"/>
        </w:tabs>
        <w:spacing w:line="360" w:lineRule="auto"/>
        <w:rPr>
          <w:rFonts w:ascii="宋体" w:hAnsi="宋体"/>
        </w:rPr>
      </w:pPr>
    </w:p>
    <w:p>
      <w:pPr>
        <w:pStyle w:val="27"/>
        <w:spacing w:before="0" w:line="360" w:lineRule="auto"/>
        <w:jc w:val="left"/>
        <w:rPr>
          <w:rFonts w:ascii="宋体" w:hAnsi="宋体"/>
          <w:b w:val="0"/>
          <w:sz w:val="24"/>
          <w:szCs w:val="21"/>
        </w:rPr>
      </w:pPr>
      <w:bookmarkStart w:id="69" w:name="_Toc485712571"/>
      <w:r>
        <w:rPr>
          <w:rFonts w:ascii="宋体" w:hAnsi="宋体"/>
          <w:b w:val="0"/>
          <w:sz w:val="24"/>
          <w:szCs w:val="21"/>
        </w:rPr>
        <w:br w:type="page"/>
      </w:r>
      <w:r>
        <w:rPr>
          <w:rFonts w:ascii="宋体" w:hAnsi="宋体"/>
          <w:b w:val="0"/>
          <w:sz w:val="24"/>
          <w:szCs w:val="21"/>
        </w:rPr>
        <w:t>格式三  商务响应表</w:t>
      </w:r>
      <w:bookmarkEnd w:id="69"/>
    </w:p>
    <w:p>
      <w:pPr>
        <w:tabs>
          <w:tab w:val="left" w:pos="3825"/>
        </w:tabs>
        <w:spacing w:line="360" w:lineRule="auto"/>
        <w:rPr>
          <w:rFonts w:ascii="宋体" w:hAnsi="宋体"/>
        </w:rPr>
      </w:pPr>
    </w:p>
    <w:p>
      <w:pPr>
        <w:snapToGrid w:val="0"/>
        <w:spacing w:beforeLines="50" w:after="50" w:line="360" w:lineRule="auto"/>
        <w:jc w:val="center"/>
        <w:rPr>
          <w:rFonts w:ascii="宋体" w:hAnsi="宋体"/>
          <w:sz w:val="28"/>
          <w:szCs w:val="28"/>
        </w:rPr>
      </w:pPr>
      <w:r>
        <w:rPr>
          <w:rFonts w:ascii="宋体" w:hAnsi="宋体"/>
          <w:sz w:val="28"/>
          <w:szCs w:val="28"/>
        </w:rPr>
        <w:t>商务响应表</w:t>
      </w:r>
    </w:p>
    <w:tbl>
      <w:tblPr>
        <w:tblStyle w:val="3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6458"/>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9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ascii="宋体" w:hAnsi="宋体"/>
                <w:szCs w:val="21"/>
              </w:rPr>
              <w:t>序号</w:t>
            </w:r>
          </w:p>
        </w:tc>
        <w:tc>
          <w:tcPr>
            <w:tcW w:w="64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ascii="宋体" w:hAnsi="宋体"/>
                <w:szCs w:val="21"/>
              </w:rPr>
              <w:t>招标文件的商务条款</w:t>
            </w:r>
          </w:p>
        </w:tc>
        <w:tc>
          <w:tcPr>
            <w:tcW w:w="14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9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ascii="宋体" w:hAnsi="宋体"/>
                <w:szCs w:val="21"/>
              </w:rPr>
              <w:t>1</w:t>
            </w:r>
          </w:p>
        </w:tc>
        <w:tc>
          <w:tcPr>
            <w:tcW w:w="645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zCs w:val="21"/>
              </w:rPr>
            </w:pPr>
            <w:r>
              <w:rPr>
                <w:rFonts w:hint="eastAsia" w:ascii="宋体" w:hAnsi="宋体"/>
                <w:szCs w:val="21"/>
              </w:rPr>
              <w:t>投标保证金：       元整，且必须由投标人基本账户汇出</w:t>
            </w:r>
          </w:p>
        </w:tc>
        <w:tc>
          <w:tcPr>
            <w:tcW w:w="14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9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2</w:t>
            </w:r>
          </w:p>
        </w:tc>
        <w:tc>
          <w:tcPr>
            <w:tcW w:w="645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zCs w:val="21"/>
              </w:rPr>
            </w:pPr>
            <w:r>
              <w:rPr>
                <w:rFonts w:hint="eastAsia" w:ascii="宋体" w:hAnsi="宋体"/>
                <w:szCs w:val="21"/>
              </w:rPr>
              <w:t>投标有效期：60天</w:t>
            </w:r>
          </w:p>
        </w:tc>
        <w:tc>
          <w:tcPr>
            <w:tcW w:w="14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9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3</w:t>
            </w:r>
          </w:p>
        </w:tc>
        <w:tc>
          <w:tcPr>
            <w:tcW w:w="645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zCs w:val="21"/>
              </w:rPr>
            </w:pPr>
            <w:r>
              <w:rPr>
                <w:rFonts w:hint="eastAsia" w:ascii="宋体" w:hAnsi="宋体"/>
                <w:szCs w:val="21"/>
              </w:rPr>
              <w:t>履约担保：合同价款的5%</w:t>
            </w:r>
          </w:p>
        </w:tc>
        <w:tc>
          <w:tcPr>
            <w:tcW w:w="14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9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4</w:t>
            </w:r>
          </w:p>
        </w:tc>
        <w:tc>
          <w:tcPr>
            <w:tcW w:w="645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zCs w:val="21"/>
              </w:rPr>
            </w:pPr>
            <w:r>
              <w:rPr>
                <w:rFonts w:hint="eastAsia" w:ascii="宋体" w:hAnsi="宋体"/>
                <w:szCs w:val="21"/>
              </w:rPr>
              <w:t>合同主要条款内容</w:t>
            </w:r>
          </w:p>
        </w:tc>
        <w:tc>
          <w:tcPr>
            <w:tcW w:w="14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9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5</w:t>
            </w:r>
          </w:p>
        </w:tc>
        <w:tc>
          <w:tcPr>
            <w:tcW w:w="645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zCs w:val="21"/>
              </w:rPr>
            </w:pPr>
            <w:r>
              <w:rPr>
                <w:rFonts w:hint="eastAsia" w:ascii="宋体" w:hAnsi="宋体"/>
                <w:szCs w:val="21"/>
              </w:rPr>
              <w:t>付款方式</w:t>
            </w:r>
          </w:p>
        </w:tc>
        <w:tc>
          <w:tcPr>
            <w:tcW w:w="14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9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6</w:t>
            </w:r>
          </w:p>
        </w:tc>
        <w:tc>
          <w:tcPr>
            <w:tcW w:w="645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zCs w:val="21"/>
              </w:rPr>
            </w:pPr>
            <w:r>
              <w:rPr>
                <w:rFonts w:hint="eastAsia" w:ascii="宋体" w:hAnsi="宋体"/>
                <w:szCs w:val="21"/>
              </w:rPr>
              <w:t>支付招标代理服务费（如中标）</w:t>
            </w:r>
          </w:p>
        </w:tc>
        <w:tc>
          <w:tcPr>
            <w:tcW w:w="14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9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ascii="宋体" w:hAnsi="宋体"/>
                <w:szCs w:val="21"/>
              </w:rPr>
              <w:t>…</w:t>
            </w:r>
          </w:p>
        </w:tc>
        <w:tc>
          <w:tcPr>
            <w:tcW w:w="645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9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64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bl>
    <w:p>
      <w:pPr>
        <w:spacing w:line="360" w:lineRule="auto"/>
        <w:rPr>
          <w:rFonts w:ascii="宋体" w:hAnsi="宋体"/>
          <w:szCs w:val="21"/>
        </w:rPr>
      </w:pPr>
      <w:r>
        <w:rPr>
          <w:rFonts w:ascii="宋体" w:hAnsi="宋体"/>
          <w:szCs w:val="21"/>
        </w:rPr>
        <w:t>注：</w:t>
      </w:r>
      <w:r>
        <w:rPr>
          <w:rFonts w:hint="eastAsia" w:ascii="宋体" w:hAnsi="宋体"/>
          <w:szCs w:val="21"/>
        </w:rPr>
        <w:t>1、</w:t>
      </w:r>
      <w:r>
        <w:rPr>
          <w:rFonts w:ascii="宋体" w:hAnsi="宋体"/>
          <w:szCs w:val="21"/>
        </w:rPr>
        <w:t>商务条款内容主要针对招标文件有关的包括付款方式、</w:t>
      </w:r>
      <w:r>
        <w:rPr>
          <w:rFonts w:hint="eastAsia" w:ascii="宋体" w:hAnsi="宋体"/>
          <w:szCs w:val="21"/>
        </w:rPr>
        <w:t>服务期限</w:t>
      </w:r>
      <w:r>
        <w:rPr>
          <w:rFonts w:ascii="宋体" w:hAnsi="宋体"/>
          <w:szCs w:val="21"/>
        </w:rPr>
        <w:t>、合同主要条款等内容。</w:t>
      </w:r>
    </w:p>
    <w:p>
      <w:pPr>
        <w:spacing w:line="360" w:lineRule="auto"/>
        <w:ind w:firstLine="420" w:firstLineChars="200"/>
        <w:rPr>
          <w:rFonts w:ascii="宋体" w:hAnsi="宋体"/>
          <w:szCs w:val="21"/>
        </w:rPr>
      </w:pPr>
      <w:r>
        <w:rPr>
          <w:rFonts w:hint="eastAsia" w:ascii="宋体" w:hAnsi="宋体"/>
          <w:szCs w:val="21"/>
        </w:rPr>
        <w:t>2、务必在承诺一栏承诺“同意”。</w:t>
      </w:r>
    </w:p>
    <w:p>
      <w:pPr>
        <w:spacing w:line="360" w:lineRule="auto"/>
        <w:rPr>
          <w:rFonts w:ascii="宋体" w:hAnsi="宋体"/>
          <w:szCs w:val="21"/>
        </w:rPr>
      </w:pPr>
    </w:p>
    <w:p>
      <w:pPr>
        <w:spacing w:line="360" w:lineRule="auto"/>
        <w:rPr>
          <w:rFonts w:ascii="宋体" w:hAnsi="宋体"/>
          <w:szCs w:val="21"/>
        </w:rPr>
      </w:pPr>
    </w:p>
    <w:p>
      <w:pPr>
        <w:spacing w:line="360" w:lineRule="auto"/>
        <w:ind w:right="1784"/>
        <w:jc w:val="right"/>
        <w:rPr>
          <w:rFonts w:ascii="宋体" w:hAnsi="宋体"/>
          <w:szCs w:val="21"/>
        </w:rPr>
      </w:pPr>
      <w:r>
        <w:rPr>
          <w:rFonts w:ascii="宋体" w:hAnsi="宋体"/>
          <w:szCs w:val="21"/>
        </w:rPr>
        <w:t>投标人（盖章）：</w:t>
      </w:r>
    </w:p>
    <w:p>
      <w:pPr>
        <w:spacing w:line="360" w:lineRule="auto"/>
        <w:ind w:right="1784"/>
        <w:jc w:val="right"/>
        <w:rPr>
          <w:rFonts w:ascii="宋体" w:hAnsi="宋体"/>
          <w:szCs w:val="21"/>
        </w:rPr>
      </w:pPr>
      <w:r>
        <w:rPr>
          <w:rFonts w:ascii="宋体" w:hAnsi="宋体"/>
          <w:szCs w:val="21"/>
        </w:rPr>
        <w:t>投标人代表（签字）：</w:t>
      </w:r>
    </w:p>
    <w:p>
      <w:pPr>
        <w:spacing w:line="360" w:lineRule="auto"/>
        <w:ind w:right="1784"/>
        <w:jc w:val="right"/>
        <w:rPr>
          <w:rFonts w:ascii="宋体" w:hAnsi="宋体"/>
          <w:szCs w:val="21"/>
        </w:rPr>
      </w:pPr>
    </w:p>
    <w:p>
      <w:pPr>
        <w:spacing w:line="360" w:lineRule="auto"/>
        <w:ind w:right="1784"/>
        <w:jc w:val="right"/>
        <w:rPr>
          <w:rFonts w:ascii="宋体" w:hAnsi="宋体"/>
          <w:szCs w:val="21"/>
        </w:rPr>
      </w:pPr>
      <w:r>
        <w:rPr>
          <w:rFonts w:ascii="宋体" w:hAnsi="宋体"/>
          <w:szCs w:val="21"/>
        </w:rPr>
        <w:t>日  期：</w:t>
      </w:r>
    </w:p>
    <w:p>
      <w:pPr>
        <w:pStyle w:val="27"/>
        <w:spacing w:before="0" w:line="360" w:lineRule="auto"/>
        <w:jc w:val="left"/>
        <w:rPr>
          <w:rFonts w:ascii="宋体" w:hAnsi="宋体"/>
          <w:sz w:val="44"/>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pStyle w:val="27"/>
        <w:spacing w:before="0" w:line="360" w:lineRule="auto"/>
        <w:jc w:val="left"/>
        <w:rPr>
          <w:rFonts w:ascii="宋体" w:hAnsi="宋体"/>
          <w:b w:val="0"/>
          <w:sz w:val="24"/>
          <w:szCs w:val="21"/>
        </w:rPr>
      </w:pPr>
      <w:bookmarkStart w:id="70" w:name="_Toc485712573"/>
      <w:r>
        <w:rPr>
          <w:rFonts w:ascii="宋体" w:hAnsi="宋体"/>
          <w:b w:val="0"/>
          <w:sz w:val="24"/>
          <w:szCs w:val="21"/>
        </w:rPr>
        <w:br w:type="page"/>
      </w:r>
      <w:r>
        <w:rPr>
          <w:rFonts w:ascii="宋体" w:hAnsi="宋体"/>
          <w:b w:val="0"/>
          <w:sz w:val="24"/>
          <w:szCs w:val="21"/>
        </w:rPr>
        <w:t>格式</w:t>
      </w:r>
      <w:r>
        <w:rPr>
          <w:rFonts w:hint="eastAsia" w:ascii="宋体" w:hAnsi="宋体"/>
          <w:b w:val="0"/>
          <w:sz w:val="24"/>
          <w:szCs w:val="21"/>
        </w:rPr>
        <w:t>四</w:t>
      </w:r>
      <w:r>
        <w:rPr>
          <w:rFonts w:ascii="宋体" w:hAnsi="宋体"/>
          <w:b w:val="0"/>
          <w:sz w:val="24"/>
          <w:szCs w:val="21"/>
        </w:rPr>
        <w:t xml:space="preserve">  同类业绩</w:t>
      </w:r>
      <w:bookmarkEnd w:id="70"/>
    </w:p>
    <w:p>
      <w:pPr>
        <w:snapToGrid w:val="0"/>
        <w:spacing w:beforeLines="50" w:after="50" w:line="360" w:lineRule="auto"/>
        <w:jc w:val="center"/>
        <w:rPr>
          <w:rFonts w:ascii="宋体" w:hAnsi="宋体"/>
          <w:sz w:val="28"/>
          <w:szCs w:val="28"/>
        </w:rPr>
      </w:pPr>
      <w:r>
        <w:rPr>
          <w:rFonts w:ascii="宋体" w:hAnsi="宋体"/>
          <w:sz w:val="28"/>
          <w:szCs w:val="28"/>
        </w:rPr>
        <w:t>同类业绩</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4" w:type="dxa"/>
          <w:bottom w:w="0" w:type="dxa"/>
          <w:right w:w="54" w:type="dxa"/>
        </w:tblCellMar>
      </w:tblPr>
      <w:tblGrid>
        <w:gridCol w:w="523"/>
        <w:gridCol w:w="1310"/>
        <w:gridCol w:w="1372"/>
        <w:gridCol w:w="1310"/>
        <w:gridCol w:w="1474"/>
        <w:gridCol w:w="1550"/>
        <w:gridCol w:w="1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523" w:type="dxa"/>
            <w:vAlign w:val="center"/>
          </w:tcPr>
          <w:p>
            <w:pPr>
              <w:spacing w:line="360" w:lineRule="auto"/>
              <w:jc w:val="center"/>
              <w:rPr>
                <w:rFonts w:ascii="宋体" w:hAnsi="宋体"/>
                <w:szCs w:val="21"/>
              </w:rPr>
            </w:pPr>
            <w:r>
              <w:rPr>
                <w:rFonts w:ascii="宋体" w:hAnsi="宋体"/>
                <w:szCs w:val="21"/>
              </w:rPr>
              <w:t>序号</w:t>
            </w:r>
          </w:p>
        </w:tc>
        <w:tc>
          <w:tcPr>
            <w:tcW w:w="1310" w:type="dxa"/>
            <w:vAlign w:val="center"/>
          </w:tcPr>
          <w:p>
            <w:pPr>
              <w:spacing w:line="360" w:lineRule="auto"/>
              <w:jc w:val="center"/>
              <w:rPr>
                <w:rFonts w:ascii="宋体" w:hAnsi="宋体"/>
                <w:szCs w:val="21"/>
              </w:rPr>
            </w:pPr>
            <w:r>
              <w:rPr>
                <w:rFonts w:ascii="宋体" w:hAnsi="宋体"/>
                <w:szCs w:val="21"/>
              </w:rPr>
              <w:t>项目名称</w:t>
            </w:r>
          </w:p>
        </w:tc>
        <w:tc>
          <w:tcPr>
            <w:tcW w:w="1372" w:type="dxa"/>
            <w:vAlign w:val="center"/>
          </w:tcPr>
          <w:p>
            <w:pPr>
              <w:spacing w:line="360" w:lineRule="auto"/>
              <w:jc w:val="center"/>
              <w:rPr>
                <w:rFonts w:ascii="宋体" w:hAnsi="宋体"/>
                <w:szCs w:val="21"/>
              </w:rPr>
            </w:pPr>
            <w:r>
              <w:rPr>
                <w:rFonts w:ascii="宋体" w:hAnsi="宋体"/>
                <w:szCs w:val="21"/>
              </w:rPr>
              <w:t>业主单位</w:t>
            </w:r>
          </w:p>
        </w:tc>
        <w:tc>
          <w:tcPr>
            <w:tcW w:w="1310" w:type="dxa"/>
            <w:vAlign w:val="center"/>
          </w:tcPr>
          <w:p>
            <w:pPr>
              <w:spacing w:line="360" w:lineRule="auto"/>
              <w:jc w:val="center"/>
              <w:rPr>
                <w:rFonts w:ascii="宋体" w:hAnsi="宋体"/>
                <w:szCs w:val="21"/>
              </w:rPr>
            </w:pPr>
            <w:r>
              <w:rPr>
                <w:rFonts w:ascii="宋体" w:hAnsi="宋体"/>
                <w:szCs w:val="21"/>
              </w:rPr>
              <w:t>合同金额</w:t>
            </w:r>
          </w:p>
        </w:tc>
        <w:tc>
          <w:tcPr>
            <w:tcW w:w="1474" w:type="dxa"/>
            <w:vAlign w:val="center"/>
          </w:tcPr>
          <w:p>
            <w:pPr>
              <w:spacing w:line="360" w:lineRule="auto"/>
              <w:jc w:val="center"/>
              <w:rPr>
                <w:rFonts w:ascii="宋体" w:hAnsi="宋体"/>
                <w:szCs w:val="21"/>
              </w:rPr>
            </w:pPr>
            <w:r>
              <w:rPr>
                <w:rFonts w:ascii="宋体" w:hAnsi="宋体"/>
                <w:szCs w:val="21"/>
              </w:rPr>
              <w:t>业主联系人</w:t>
            </w:r>
          </w:p>
        </w:tc>
        <w:tc>
          <w:tcPr>
            <w:tcW w:w="1550" w:type="dxa"/>
            <w:vAlign w:val="center"/>
          </w:tcPr>
          <w:p>
            <w:pPr>
              <w:spacing w:line="360" w:lineRule="auto"/>
              <w:jc w:val="center"/>
              <w:rPr>
                <w:rFonts w:ascii="宋体" w:hAnsi="宋体"/>
                <w:szCs w:val="21"/>
              </w:rPr>
            </w:pPr>
            <w:r>
              <w:rPr>
                <w:rFonts w:ascii="宋体" w:hAnsi="宋体"/>
                <w:szCs w:val="21"/>
              </w:rPr>
              <w:t>联系电话</w:t>
            </w:r>
          </w:p>
        </w:tc>
        <w:tc>
          <w:tcPr>
            <w:tcW w:w="1549" w:type="dxa"/>
            <w:vAlign w:val="center"/>
          </w:tcPr>
          <w:p>
            <w:pPr>
              <w:spacing w:line="360" w:lineRule="auto"/>
              <w:jc w:val="center"/>
              <w:rPr>
                <w:rFonts w:ascii="宋体" w:hAnsi="宋体"/>
                <w:szCs w:val="21"/>
              </w:rPr>
            </w:pPr>
            <w:r>
              <w:rPr>
                <w:rFonts w:ascii="宋体" w:hAnsi="宋体"/>
                <w:szCs w:val="21"/>
              </w:rPr>
              <w:t>合同签订时间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523" w:type="dxa"/>
            <w:vAlign w:val="center"/>
          </w:tcPr>
          <w:p>
            <w:pPr>
              <w:spacing w:line="360" w:lineRule="auto"/>
              <w:jc w:val="center"/>
              <w:rPr>
                <w:rFonts w:ascii="宋体" w:hAnsi="宋体"/>
                <w:szCs w:val="21"/>
              </w:rPr>
            </w:pPr>
            <w:r>
              <w:rPr>
                <w:rFonts w:ascii="宋体" w:hAnsi="宋体"/>
                <w:szCs w:val="21"/>
              </w:rPr>
              <w:t>1</w:t>
            </w:r>
          </w:p>
        </w:tc>
        <w:tc>
          <w:tcPr>
            <w:tcW w:w="1310" w:type="dxa"/>
            <w:vAlign w:val="center"/>
          </w:tcPr>
          <w:p>
            <w:pPr>
              <w:spacing w:line="360" w:lineRule="auto"/>
              <w:jc w:val="center"/>
              <w:rPr>
                <w:rFonts w:ascii="宋体" w:hAnsi="宋体"/>
                <w:szCs w:val="21"/>
              </w:rPr>
            </w:pPr>
          </w:p>
        </w:tc>
        <w:tc>
          <w:tcPr>
            <w:tcW w:w="1372" w:type="dxa"/>
            <w:vAlign w:val="center"/>
          </w:tcPr>
          <w:p>
            <w:pPr>
              <w:spacing w:line="360" w:lineRule="auto"/>
              <w:jc w:val="center"/>
              <w:rPr>
                <w:rFonts w:ascii="宋体" w:hAnsi="宋体"/>
                <w:szCs w:val="21"/>
              </w:rPr>
            </w:pPr>
          </w:p>
        </w:tc>
        <w:tc>
          <w:tcPr>
            <w:tcW w:w="1310" w:type="dxa"/>
            <w:vAlign w:val="center"/>
          </w:tcPr>
          <w:p>
            <w:pPr>
              <w:spacing w:line="360" w:lineRule="auto"/>
              <w:jc w:val="center"/>
              <w:rPr>
                <w:rFonts w:ascii="宋体" w:hAnsi="宋体"/>
                <w:szCs w:val="21"/>
              </w:rPr>
            </w:pPr>
          </w:p>
        </w:tc>
        <w:tc>
          <w:tcPr>
            <w:tcW w:w="1474" w:type="dxa"/>
            <w:vAlign w:val="center"/>
          </w:tcPr>
          <w:p>
            <w:pPr>
              <w:spacing w:line="360" w:lineRule="auto"/>
              <w:jc w:val="center"/>
              <w:rPr>
                <w:rFonts w:ascii="宋体" w:hAnsi="宋体"/>
                <w:szCs w:val="21"/>
              </w:rPr>
            </w:pPr>
          </w:p>
        </w:tc>
        <w:tc>
          <w:tcPr>
            <w:tcW w:w="1550" w:type="dxa"/>
            <w:vAlign w:val="center"/>
          </w:tcPr>
          <w:p>
            <w:pPr>
              <w:spacing w:line="360" w:lineRule="auto"/>
              <w:jc w:val="center"/>
              <w:rPr>
                <w:rFonts w:ascii="宋体" w:hAnsi="宋体"/>
                <w:szCs w:val="21"/>
              </w:rPr>
            </w:pPr>
          </w:p>
        </w:tc>
        <w:tc>
          <w:tcPr>
            <w:tcW w:w="1549"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523" w:type="dxa"/>
            <w:vAlign w:val="center"/>
          </w:tcPr>
          <w:p>
            <w:pPr>
              <w:spacing w:line="360" w:lineRule="auto"/>
              <w:jc w:val="center"/>
              <w:rPr>
                <w:rFonts w:ascii="宋体" w:hAnsi="宋体"/>
                <w:szCs w:val="21"/>
              </w:rPr>
            </w:pPr>
            <w:r>
              <w:rPr>
                <w:rFonts w:ascii="宋体" w:hAnsi="宋体"/>
                <w:szCs w:val="21"/>
              </w:rPr>
              <w:t>…</w:t>
            </w:r>
          </w:p>
        </w:tc>
        <w:tc>
          <w:tcPr>
            <w:tcW w:w="1310" w:type="dxa"/>
            <w:vAlign w:val="center"/>
          </w:tcPr>
          <w:p>
            <w:pPr>
              <w:spacing w:line="360" w:lineRule="auto"/>
              <w:jc w:val="center"/>
              <w:rPr>
                <w:rFonts w:ascii="宋体" w:hAnsi="宋体"/>
                <w:szCs w:val="21"/>
              </w:rPr>
            </w:pPr>
          </w:p>
        </w:tc>
        <w:tc>
          <w:tcPr>
            <w:tcW w:w="1372" w:type="dxa"/>
            <w:vAlign w:val="center"/>
          </w:tcPr>
          <w:p>
            <w:pPr>
              <w:spacing w:line="360" w:lineRule="auto"/>
              <w:jc w:val="center"/>
              <w:rPr>
                <w:rFonts w:ascii="宋体" w:hAnsi="宋体"/>
                <w:szCs w:val="21"/>
              </w:rPr>
            </w:pPr>
          </w:p>
        </w:tc>
        <w:tc>
          <w:tcPr>
            <w:tcW w:w="1310" w:type="dxa"/>
            <w:vAlign w:val="center"/>
          </w:tcPr>
          <w:p>
            <w:pPr>
              <w:spacing w:line="360" w:lineRule="auto"/>
              <w:jc w:val="center"/>
              <w:rPr>
                <w:rFonts w:ascii="宋体" w:hAnsi="宋体"/>
                <w:szCs w:val="21"/>
              </w:rPr>
            </w:pPr>
          </w:p>
        </w:tc>
        <w:tc>
          <w:tcPr>
            <w:tcW w:w="1474" w:type="dxa"/>
            <w:vAlign w:val="center"/>
          </w:tcPr>
          <w:p>
            <w:pPr>
              <w:spacing w:line="360" w:lineRule="auto"/>
              <w:jc w:val="center"/>
              <w:rPr>
                <w:rFonts w:ascii="宋体" w:hAnsi="宋体"/>
                <w:szCs w:val="21"/>
              </w:rPr>
            </w:pPr>
          </w:p>
        </w:tc>
        <w:tc>
          <w:tcPr>
            <w:tcW w:w="1550" w:type="dxa"/>
            <w:vAlign w:val="center"/>
          </w:tcPr>
          <w:p>
            <w:pPr>
              <w:spacing w:line="360" w:lineRule="auto"/>
              <w:jc w:val="center"/>
              <w:rPr>
                <w:rFonts w:ascii="宋体" w:hAnsi="宋体"/>
                <w:szCs w:val="21"/>
              </w:rPr>
            </w:pPr>
          </w:p>
        </w:tc>
        <w:tc>
          <w:tcPr>
            <w:tcW w:w="1549"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523" w:type="dxa"/>
            <w:vAlign w:val="center"/>
          </w:tcPr>
          <w:p>
            <w:pPr>
              <w:spacing w:line="360" w:lineRule="auto"/>
              <w:jc w:val="center"/>
              <w:rPr>
                <w:rFonts w:ascii="宋体" w:hAnsi="宋体"/>
                <w:szCs w:val="21"/>
              </w:rPr>
            </w:pPr>
          </w:p>
        </w:tc>
        <w:tc>
          <w:tcPr>
            <w:tcW w:w="1310" w:type="dxa"/>
            <w:vAlign w:val="center"/>
          </w:tcPr>
          <w:p>
            <w:pPr>
              <w:spacing w:line="360" w:lineRule="auto"/>
              <w:jc w:val="center"/>
              <w:rPr>
                <w:rFonts w:ascii="宋体" w:hAnsi="宋体"/>
                <w:szCs w:val="21"/>
              </w:rPr>
            </w:pPr>
          </w:p>
        </w:tc>
        <w:tc>
          <w:tcPr>
            <w:tcW w:w="1372" w:type="dxa"/>
            <w:vAlign w:val="center"/>
          </w:tcPr>
          <w:p>
            <w:pPr>
              <w:spacing w:line="360" w:lineRule="auto"/>
              <w:jc w:val="center"/>
              <w:rPr>
                <w:rFonts w:ascii="宋体" w:hAnsi="宋体"/>
                <w:szCs w:val="21"/>
              </w:rPr>
            </w:pPr>
          </w:p>
        </w:tc>
        <w:tc>
          <w:tcPr>
            <w:tcW w:w="1310" w:type="dxa"/>
            <w:vAlign w:val="center"/>
          </w:tcPr>
          <w:p>
            <w:pPr>
              <w:spacing w:line="360" w:lineRule="auto"/>
              <w:jc w:val="center"/>
              <w:rPr>
                <w:rFonts w:ascii="宋体" w:hAnsi="宋体"/>
                <w:szCs w:val="21"/>
              </w:rPr>
            </w:pPr>
          </w:p>
        </w:tc>
        <w:tc>
          <w:tcPr>
            <w:tcW w:w="1474" w:type="dxa"/>
            <w:vAlign w:val="center"/>
          </w:tcPr>
          <w:p>
            <w:pPr>
              <w:spacing w:line="360" w:lineRule="auto"/>
              <w:jc w:val="center"/>
              <w:rPr>
                <w:rFonts w:ascii="宋体" w:hAnsi="宋体"/>
                <w:szCs w:val="21"/>
              </w:rPr>
            </w:pPr>
          </w:p>
        </w:tc>
        <w:tc>
          <w:tcPr>
            <w:tcW w:w="1550" w:type="dxa"/>
            <w:vAlign w:val="center"/>
          </w:tcPr>
          <w:p>
            <w:pPr>
              <w:spacing w:line="360" w:lineRule="auto"/>
              <w:jc w:val="center"/>
              <w:rPr>
                <w:rFonts w:ascii="宋体" w:hAnsi="宋体"/>
                <w:szCs w:val="21"/>
              </w:rPr>
            </w:pPr>
          </w:p>
        </w:tc>
        <w:tc>
          <w:tcPr>
            <w:tcW w:w="1549" w:type="dxa"/>
            <w:vAlign w:val="center"/>
          </w:tcPr>
          <w:p>
            <w:pPr>
              <w:spacing w:line="360" w:lineRule="auto"/>
              <w:jc w:val="center"/>
              <w:rPr>
                <w:rFonts w:ascii="宋体" w:hAnsi="宋体"/>
                <w:szCs w:val="21"/>
              </w:rPr>
            </w:pPr>
          </w:p>
        </w:tc>
      </w:tr>
    </w:tbl>
    <w:p>
      <w:pPr>
        <w:spacing w:line="360" w:lineRule="auto"/>
        <w:rPr>
          <w:rFonts w:ascii="宋体" w:hAnsi="宋体"/>
          <w:szCs w:val="21"/>
        </w:rPr>
      </w:pPr>
      <w:r>
        <w:rPr>
          <w:rFonts w:ascii="宋体" w:hAnsi="宋体"/>
          <w:szCs w:val="21"/>
        </w:rPr>
        <w:t>注：附合同复印件加盖公章</w:t>
      </w:r>
      <w:r>
        <w:rPr>
          <w:rFonts w:hint="eastAsia" w:ascii="宋体" w:hAnsi="宋体"/>
          <w:szCs w:val="21"/>
        </w:rPr>
        <w:t>及相关业主评价资料</w:t>
      </w:r>
    </w:p>
    <w:p>
      <w:pPr>
        <w:spacing w:line="360" w:lineRule="auto"/>
        <w:rPr>
          <w:rFonts w:ascii="宋体" w:hAnsi="宋体"/>
          <w:sz w:val="24"/>
          <w:szCs w:val="21"/>
        </w:rPr>
      </w:pPr>
    </w:p>
    <w:p>
      <w:pPr>
        <w:spacing w:line="360" w:lineRule="auto"/>
        <w:rPr>
          <w:rFonts w:ascii="宋体" w:hAnsi="宋体"/>
          <w:sz w:val="24"/>
          <w:szCs w:val="21"/>
        </w:rPr>
      </w:pPr>
    </w:p>
    <w:p>
      <w:pPr>
        <w:spacing w:line="360" w:lineRule="auto"/>
        <w:rPr>
          <w:rFonts w:ascii="宋体" w:hAnsi="宋体"/>
          <w:szCs w:val="21"/>
        </w:rPr>
      </w:pPr>
    </w:p>
    <w:p>
      <w:pPr>
        <w:spacing w:line="360" w:lineRule="auto"/>
        <w:ind w:right="1784"/>
        <w:jc w:val="right"/>
        <w:rPr>
          <w:rFonts w:ascii="宋体" w:hAnsi="宋体"/>
          <w:szCs w:val="21"/>
        </w:rPr>
      </w:pPr>
      <w:r>
        <w:rPr>
          <w:rFonts w:ascii="宋体" w:hAnsi="宋体"/>
          <w:szCs w:val="21"/>
        </w:rPr>
        <w:t>投标人（盖章）：</w:t>
      </w:r>
    </w:p>
    <w:p>
      <w:pPr>
        <w:spacing w:line="360" w:lineRule="auto"/>
        <w:ind w:right="1784"/>
        <w:jc w:val="right"/>
        <w:rPr>
          <w:rFonts w:ascii="宋体" w:hAnsi="宋体"/>
          <w:szCs w:val="21"/>
        </w:rPr>
      </w:pPr>
      <w:r>
        <w:rPr>
          <w:rFonts w:ascii="宋体" w:hAnsi="宋体"/>
          <w:szCs w:val="21"/>
        </w:rPr>
        <w:t>投标人代表（签字）：</w:t>
      </w:r>
    </w:p>
    <w:p>
      <w:pPr>
        <w:spacing w:line="360" w:lineRule="auto"/>
        <w:ind w:right="1784"/>
        <w:jc w:val="right"/>
        <w:rPr>
          <w:rFonts w:ascii="宋体" w:hAnsi="宋体"/>
          <w:szCs w:val="21"/>
        </w:rPr>
      </w:pPr>
    </w:p>
    <w:p>
      <w:pPr>
        <w:spacing w:line="360" w:lineRule="auto"/>
        <w:ind w:right="1784"/>
        <w:jc w:val="right"/>
        <w:rPr>
          <w:rFonts w:ascii="宋体" w:hAnsi="宋体"/>
          <w:szCs w:val="21"/>
        </w:rPr>
      </w:pPr>
      <w:r>
        <w:rPr>
          <w:rFonts w:ascii="宋体" w:hAnsi="宋体"/>
          <w:szCs w:val="21"/>
        </w:rPr>
        <w:t>日  期：</w:t>
      </w:r>
    </w:p>
    <w:p>
      <w:pPr>
        <w:spacing w:line="360" w:lineRule="auto"/>
        <w:jc w:val="center"/>
        <w:rPr>
          <w:rFonts w:ascii="宋体" w:hAnsi="宋体"/>
          <w:sz w:val="22"/>
          <w:szCs w:val="21"/>
        </w:rPr>
      </w:pPr>
      <w:r>
        <w:rPr>
          <w:rFonts w:ascii="宋体" w:hAnsi="宋体"/>
          <w:sz w:val="44"/>
        </w:rPr>
        <w:br w:type="page"/>
      </w:r>
    </w:p>
    <w:p>
      <w:pPr>
        <w:pStyle w:val="27"/>
        <w:spacing w:before="0" w:line="360" w:lineRule="auto"/>
        <w:jc w:val="left"/>
        <w:rPr>
          <w:rFonts w:ascii="宋体" w:hAnsi="宋体"/>
          <w:b w:val="0"/>
          <w:sz w:val="24"/>
          <w:szCs w:val="21"/>
        </w:rPr>
      </w:pPr>
      <w:bookmarkStart w:id="71" w:name="_Toc485712574"/>
      <w:r>
        <w:rPr>
          <w:rFonts w:ascii="宋体" w:hAnsi="宋体"/>
          <w:b w:val="0"/>
          <w:sz w:val="24"/>
          <w:szCs w:val="21"/>
        </w:rPr>
        <w:t>格式</w:t>
      </w:r>
      <w:r>
        <w:rPr>
          <w:rFonts w:hint="eastAsia" w:ascii="宋体" w:hAnsi="宋体"/>
          <w:b w:val="0"/>
          <w:sz w:val="24"/>
          <w:szCs w:val="21"/>
        </w:rPr>
        <w:t>五</w:t>
      </w:r>
      <w:r>
        <w:rPr>
          <w:rFonts w:ascii="宋体" w:hAnsi="宋体"/>
          <w:b w:val="0"/>
          <w:sz w:val="24"/>
          <w:szCs w:val="21"/>
        </w:rPr>
        <w:t xml:space="preserve">  供应商基本情况表</w:t>
      </w:r>
      <w:bookmarkEnd w:id="71"/>
    </w:p>
    <w:p>
      <w:pPr>
        <w:snapToGrid w:val="0"/>
        <w:spacing w:beforeLines="50" w:after="50" w:line="360" w:lineRule="auto"/>
        <w:jc w:val="center"/>
        <w:rPr>
          <w:rFonts w:ascii="宋体" w:hAnsi="宋体"/>
          <w:sz w:val="28"/>
          <w:szCs w:val="28"/>
        </w:rPr>
      </w:pPr>
      <w:r>
        <w:rPr>
          <w:rFonts w:ascii="宋体" w:hAnsi="宋体"/>
          <w:sz w:val="28"/>
          <w:szCs w:val="28"/>
        </w:rPr>
        <w:t>供应商基本情况表</w:t>
      </w:r>
    </w:p>
    <w:tbl>
      <w:tblPr>
        <w:tblStyle w:val="3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4399"/>
        <w:gridCol w:w="9"/>
        <w:gridCol w:w="3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644" w:type="dxa"/>
            <w:vAlign w:val="center"/>
          </w:tcPr>
          <w:p>
            <w:pPr>
              <w:spacing w:line="360" w:lineRule="auto"/>
              <w:jc w:val="center"/>
              <w:rPr>
                <w:rFonts w:ascii="宋体" w:hAnsi="宋体"/>
                <w:szCs w:val="21"/>
              </w:rPr>
            </w:pPr>
            <w:r>
              <w:rPr>
                <w:rFonts w:ascii="宋体" w:hAnsi="宋体"/>
                <w:szCs w:val="21"/>
              </w:rPr>
              <w:t>1</w:t>
            </w:r>
          </w:p>
        </w:tc>
        <w:tc>
          <w:tcPr>
            <w:tcW w:w="8325" w:type="dxa"/>
            <w:gridSpan w:val="3"/>
            <w:vAlign w:val="center"/>
          </w:tcPr>
          <w:p>
            <w:pPr>
              <w:spacing w:line="360" w:lineRule="auto"/>
              <w:rPr>
                <w:rFonts w:ascii="宋体" w:hAnsi="宋体"/>
                <w:szCs w:val="21"/>
              </w:rPr>
            </w:pPr>
            <w:r>
              <w:rPr>
                <w:rFonts w:ascii="宋体" w:hAnsi="宋体"/>
                <w:szCs w:val="21"/>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3" w:hRule="atLeast"/>
        </w:trPr>
        <w:tc>
          <w:tcPr>
            <w:tcW w:w="644" w:type="dxa"/>
            <w:vAlign w:val="center"/>
          </w:tcPr>
          <w:p>
            <w:pPr>
              <w:spacing w:line="360" w:lineRule="auto"/>
              <w:jc w:val="center"/>
              <w:rPr>
                <w:rFonts w:ascii="宋体" w:hAnsi="宋体"/>
                <w:szCs w:val="21"/>
              </w:rPr>
            </w:pPr>
            <w:r>
              <w:rPr>
                <w:rFonts w:ascii="宋体" w:hAnsi="宋体"/>
                <w:szCs w:val="21"/>
              </w:rPr>
              <w:t>2</w:t>
            </w:r>
          </w:p>
        </w:tc>
        <w:tc>
          <w:tcPr>
            <w:tcW w:w="8325" w:type="dxa"/>
            <w:gridSpan w:val="3"/>
            <w:vAlign w:val="center"/>
          </w:tcPr>
          <w:p>
            <w:pPr>
              <w:spacing w:line="360" w:lineRule="auto"/>
              <w:rPr>
                <w:rFonts w:ascii="宋体" w:hAnsi="宋体"/>
                <w:szCs w:val="21"/>
              </w:rPr>
            </w:pPr>
            <w:r>
              <w:rPr>
                <w:rFonts w:ascii="宋体" w:hAnsi="宋体"/>
                <w:szCs w:val="21"/>
              </w:rPr>
              <w:t>总部地址：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644" w:type="dxa"/>
            <w:vAlign w:val="center"/>
          </w:tcPr>
          <w:p>
            <w:pPr>
              <w:spacing w:line="360" w:lineRule="auto"/>
              <w:jc w:val="center"/>
              <w:rPr>
                <w:rFonts w:ascii="宋体" w:hAnsi="宋体"/>
                <w:szCs w:val="21"/>
              </w:rPr>
            </w:pPr>
            <w:r>
              <w:rPr>
                <w:rFonts w:ascii="宋体" w:hAnsi="宋体"/>
                <w:szCs w:val="21"/>
              </w:rPr>
              <w:t>3</w:t>
            </w:r>
          </w:p>
        </w:tc>
        <w:tc>
          <w:tcPr>
            <w:tcW w:w="8325" w:type="dxa"/>
            <w:gridSpan w:val="3"/>
            <w:vAlign w:val="center"/>
          </w:tcPr>
          <w:p>
            <w:pPr>
              <w:spacing w:line="360" w:lineRule="auto"/>
              <w:rPr>
                <w:rFonts w:ascii="宋体" w:hAnsi="宋体"/>
                <w:szCs w:val="21"/>
              </w:rPr>
            </w:pPr>
            <w:r>
              <w:rPr>
                <w:rFonts w:ascii="宋体" w:hAnsi="宋体"/>
                <w:szCs w:val="21"/>
              </w:rPr>
              <w:t>当地代表处地址：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644" w:type="dxa"/>
            <w:vAlign w:val="center"/>
          </w:tcPr>
          <w:p>
            <w:pPr>
              <w:spacing w:line="360" w:lineRule="auto"/>
              <w:jc w:val="center"/>
              <w:rPr>
                <w:rFonts w:ascii="宋体" w:hAnsi="宋体"/>
                <w:szCs w:val="21"/>
              </w:rPr>
            </w:pPr>
            <w:r>
              <w:rPr>
                <w:rFonts w:ascii="宋体" w:hAnsi="宋体"/>
                <w:szCs w:val="21"/>
              </w:rPr>
              <w:t>4</w:t>
            </w:r>
          </w:p>
        </w:tc>
        <w:tc>
          <w:tcPr>
            <w:tcW w:w="4399" w:type="dxa"/>
            <w:vAlign w:val="center"/>
          </w:tcPr>
          <w:p>
            <w:pPr>
              <w:spacing w:line="360" w:lineRule="auto"/>
              <w:rPr>
                <w:rFonts w:ascii="宋体" w:hAnsi="宋体"/>
                <w:szCs w:val="21"/>
              </w:rPr>
            </w:pPr>
            <w:r>
              <w:rPr>
                <w:rFonts w:ascii="宋体" w:hAnsi="宋体"/>
                <w:szCs w:val="21"/>
              </w:rPr>
              <w:t>电  话：</w:t>
            </w:r>
          </w:p>
        </w:tc>
        <w:tc>
          <w:tcPr>
            <w:tcW w:w="3926" w:type="dxa"/>
            <w:gridSpan w:val="2"/>
            <w:vAlign w:val="center"/>
          </w:tcPr>
          <w:p>
            <w:pPr>
              <w:spacing w:line="360" w:lineRule="auto"/>
              <w:rPr>
                <w:rFonts w:ascii="宋体" w:hAnsi="宋体"/>
                <w:szCs w:val="21"/>
              </w:rPr>
            </w:pPr>
            <w:r>
              <w:rPr>
                <w:rFonts w:ascii="宋体" w:hAnsi="宋体"/>
                <w:szCs w:val="21"/>
              </w:rPr>
              <w:t>联 系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644" w:type="dxa"/>
            <w:vAlign w:val="center"/>
          </w:tcPr>
          <w:p>
            <w:pPr>
              <w:spacing w:line="360" w:lineRule="auto"/>
              <w:jc w:val="center"/>
              <w:rPr>
                <w:rFonts w:ascii="宋体" w:hAnsi="宋体"/>
                <w:szCs w:val="21"/>
              </w:rPr>
            </w:pPr>
            <w:r>
              <w:rPr>
                <w:rFonts w:ascii="宋体" w:hAnsi="宋体"/>
                <w:szCs w:val="21"/>
              </w:rPr>
              <w:t>5</w:t>
            </w:r>
          </w:p>
        </w:tc>
        <w:tc>
          <w:tcPr>
            <w:tcW w:w="4399" w:type="dxa"/>
            <w:vAlign w:val="center"/>
          </w:tcPr>
          <w:p>
            <w:pPr>
              <w:spacing w:line="360" w:lineRule="auto"/>
              <w:rPr>
                <w:rFonts w:ascii="宋体" w:hAnsi="宋体"/>
                <w:szCs w:val="21"/>
              </w:rPr>
            </w:pPr>
            <w:r>
              <w:rPr>
                <w:rFonts w:ascii="宋体" w:hAnsi="宋体"/>
                <w:szCs w:val="21"/>
              </w:rPr>
              <w:t>传  真：</w:t>
            </w:r>
          </w:p>
        </w:tc>
        <w:tc>
          <w:tcPr>
            <w:tcW w:w="3926" w:type="dxa"/>
            <w:gridSpan w:val="2"/>
            <w:vAlign w:val="center"/>
          </w:tcPr>
          <w:p>
            <w:pPr>
              <w:spacing w:line="360" w:lineRule="auto"/>
              <w:rPr>
                <w:rFonts w:ascii="宋体" w:hAnsi="宋体"/>
                <w:szCs w:val="21"/>
              </w:rPr>
            </w:pPr>
            <w:r>
              <w:rPr>
                <w:rFonts w:ascii="宋体" w:hAnsi="宋体"/>
                <w:szCs w:val="21"/>
              </w:rPr>
              <w:t>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644" w:type="dxa"/>
            <w:vAlign w:val="center"/>
          </w:tcPr>
          <w:p>
            <w:pPr>
              <w:spacing w:line="360" w:lineRule="auto"/>
              <w:jc w:val="center"/>
              <w:rPr>
                <w:rFonts w:ascii="宋体" w:hAnsi="宋体"/>
                <w:szCs w:val="21"/>
              </w:rPr>
            </w:pPr>
            <w:r>
              <w:rPr>
                <w:rFonts w:ascii="宋体" w:hAnsi="宋体"/>
                <w:szCs w:val="21"/>
              </w:rPr>
              <w:t>6</w:t>
            </w:r>
          </w:p>
        </w:tc>
        <w:tc>
          <w:tcPr>
            <w:tcW w:w="4399" w:type="dxa"/>
            <w:vAlign w:val="center"/>
          </w:tcPr>
          <w:p>
            <w:pPr>
              <w:spacing w:line="360" w:lineRule="auto"/>
              <w:rPr>
                <w:rFonts w:ascii="宋体" w:hAnsi="宋体"/>
                <w:szCs w:val="21"/>
              </w:rPr>
            </w:pPr>
            <w:r>
              <w:rPr>
                <w:rFonts w:ascii="宋体" w:hAnsi="宋体"/>
                <w:szCs w:val="21"/>
              </w:rPr>
              <w:t>注册地：</w:t>
            </w:r>
          </w:p>
        </w:tc>
        <w:tc>
          <w:tcPr>
            <w:tcW w:w="3926" w:type="dxa"/>
            <w:gridSpan w:val="2"/>
            <w:vAlign w:val="center"/>
          </w:tcPr>
          <w:p>
            <w:pPr>
              <w:spacing w:line="360" w:lineRule="auto"/>
              <w:rPr>
                <w:rFonts w:ascii="宋体" w:hAnsi="宋体"/>
                <w:szCs w:val="21"/>
              </w:rPr>
            </w:pPr>
            <w:r>
              <w:rPr>
                <w:rFonts w:ascii="宋体" w:hAnsi="宋体"/>
                <w:szCs w:val="21"/>
              </w:rPr>
              <w:t>注册年份：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644" w:type="dxa"/>
            <w:vAlign w:val="center"/>
          </w:tcPr>
          <w:p>
            <w:pPr>
              <w:spacing w:line="360" w:lineRule="auto"/>
              <w:jc w:val="center"/>
              <w:rPr>
                <w:rFonts w:ascii="宋体" w:hAnsi="宋体"/>
                <w:szCs w:val="21"/>
              </w:rPr>
            </w:pPr>
            <w:r>
              <w:rPr>
                <w:rFonts w:ascii="宋体" w:hAnsi="宋体"/>
                <w:szCs w:val="21"/>
              </w:rPr>
              <w:t>7</w:t>
            </w:r>
          </w:p>
        </w:tc>
        <w:tc>
          <w:tcPr>
            <w:tcW w:w="8325" w:type="dxa"/>
            <w:gridSpan w:val="3"/>
            <w:vAlign w:val="center"/>
          </w:tcPr>
          <w:p>
            <w:pPr>
              <w:spacing w:line="360" w:lineRule="auto"/>
              <w:rPr>
                <w:rFonts w:ascii="宋体" w:hAnsi="宋体"/>
                <w:szCs w:val="21"/>
              </w:rPr>
            </w:pPr>
            <w:r>
              <w:rPr>
                <w:rFonts w:ascii="宋体" w:hAnsi="宋体"/>
                <w:szCs w:val="21"/>
              </w:rPr>
              <w:t>公司的资质等级（请附上有关证书的复印件）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644" w:type="dxa"/>
            <w:vAlign w:val="center"/>
          </w:tcPr>
          <w:p>
            <w:pPr>
              <w:spacing w:line="360" w:lineRule="auto"/>
              <w:jc w:val="center"/>
              <w:rPr>
                <w:rFonts w:ascii="宋体" w:hAnsi="宋体"/>
                <w:szCs w:val="21"/>
              </w:rPr>
            </w:pPr>
            <w:r>
              <w:rPr>
                <w:rFonts w:ascii="宋体" w:hAnsi="宋体"/>
                <w:szCs w:val="21"/>
              </w:rPr>
              <w:t>8</w:t>
            </w:r>
          </w:p>
        </w:tc>
        <w:tc>
          <w:tcPr>
            <w:tcW w:w="8325" w:type="dxa"/>
            <w:gridSpan w:val="3"/>
            <w:vAlign w:val="center"/>
          </w:tcPr>
          <w:p>
            <w:pPr>
              <w:spacing w:line="360" w:lineRule="auto"/>
              <w:rPr>
                <w:rFonts w:ascii="宋体" w:hAnsi="宋体"/>
                <w:szCs w:val="21"/>
              </w:rPr>
            </w:pPr>
            <w:r>
              <w:rPr>
                <w:rFonts w:ascii="宋体" w:hAnsi="宋体"/>
                <w:szCs w:val="21"/>
              </w:rPr>
              <w:t>公司（是否通过，何种）质量保证体系认证（如通过请附相关证书复印件，提供认证机构年审监督报告）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644" w:type="dxa"/>
            <w:vAlign w:val="center"/>
          </w:tcPr>
          <w:p>
            <w:pPr>
              <w:spacing w:line="360" w:lineRule="auto"/>
              <w:jc w:val="center"/>
              <w:rPr>
                <w:rFonts w:ascii="宋体" w:hAnsi="宋体"/>
                <w:szCs w:val="21"/>
              </w:rPr>
            </w:pPr>
            <w:r>
              <w:rPr>
                <w:rFonts w:ascii="宋体" w:hAnsi="宋体"/>
                <w:szCs w:val="21"/>
              </w:rPr>
              <w:t>9</w:t>
            </w:r>
          </w:p>
        </w:tc>
        <w:tc>
          <w:tcPr>
            <w:tcW w:w="4408" w:type="dxa"/>
            <w:gridSpan w:val="2"/>
            <w:vAlign w:val="center"/>
          </w:tcPr>
          <w:p>
            <w:pPr>
              <w:spacing w:line="360" w:lineRule="auto"/>
              <w:rPr>
                <w:rFonts w:ascii="宋体" w:hAnsi="宋体"/>
                <w:szCs w:val="21"/>
              </w:rPr>
            </w:pPr>
            <w:r>
              <w:rPr>
                <w:rFonts w:ascii="宋体" w:hAnsi="宋体"/>
                <w:szCs w:val="21"/>
              </w:rPr>
              <w:t>从业人员数量</w:t>
            </w:r>
          </w:p>
        </w:tc>
        <w:tc>
          <w:tcPr>
            <w:tcW w:w="3917"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644" w:type="dxa"/>
            <w:vAlign w:val="center"/>
          </w:tcPr>
          <w:p>
            <w:pPr>
              <w:spacing w:line="360" w:lineRule="auto"/>
              <w:jc w:val="center"/>
              <w:rPr>
                <w:rFonts w:ascii="宋体" w:hAnsi="宋体"/>
                <w:szCs w:val="21"/>
              </w:rPr>
            </w:pPr>
            <w:r>
              <w:rPr>
                <w:rFonts w:ascii="宋体" w:hAnsi="宋体"/>
                <w:szCs w:val="21"/>
              </w:rPr>
              <w:t>10</w:t>
            </w:r>
          </w:p>
        </w:tc>
        <w:tc>
          <w:tcPr>
            <w:tcW w:w="4408" w:type="dxa"/>
            <w:gridSpan w:val="2"/>
            <w:vAlign w:val="center"/>
          </w:tcPr>
          <w:p>
            <w:pPr>
              <w:spacing w:line="360" w:lineRule="auto"/>
              <w:rPr>
                <w:rFonts w:ascii="宋体" w:hAnsi="宋体"/>
                <w:szCs w:val="21"/>
              </w:rPr>
            </w:pPr>
            <w:r>
              <w:rPr>
                <w:rFonts w:ascii="宋体" w:hAnsi="宋体"/>
                <w:szCs w:val="21"/>
              </w:rPr>
              <w:t>营业收入</w:t>
            </w:r>
          </w:p>
        </w:tc>
        <w:tc>
          <w:tcPr>
            <w:tcW w:w="3917"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644" w:type="dxa"/>
            <w:vAlign w:val="center"/>
          </w:tcPr>
          <w:p>
            <w:pPr>
              <w:spacing w:line="360" w:lineRule="auto"/>
              <w:jc w:val="center"/>
              <w:rPr>
                <w:rFonts w:ascii="宋体" w:hAnsi="宋体"/>
                <w:szCs w:val="21"/>
              </w:rPr>
            </w:pPr>
            <w:r>
              <w:rPr>
                <w:rFonts w:ascii="宋体" w:hAnsi="宋体"/>
                <w:szCs w:val="21"/>
              </w:rPr>
              <w:t>11</w:t>
            </w:r>
          </w:p>
        </w:tc>
        <w:tc>
          <w:tcPr>
            <w:tcW w:w="4408" w:type="dxa"/>
            <w:gridSpan w:val="2"/>
            <w:vAlign w:val="center"/>
          </w:tcPr>
          <w:p>
            <w:pPr>
              <w:spacing w:line="360" w:lineRule="auto"/>
              <w:rPr>
                <w:rFonts w:ascii="宋体" w:hAnsi="宋体"/>
                <w:szCs w:val="21"/>
              </w:rPr>
            </w:pPr>
            <w:r>
              <w:rPr>
                <w:rFonts w:ascii="宋体" w:hAnsi="宋体"/>
                <w:szCs w:val="21"/>
              </w:rPr>
              <w:t>其他需要说明的情况</w:t>
            </w:r>
          </w:p>
        </w:tc>
        <w:tc>
          <w:tcPr>
            <w:tcW w:w="3917" w:type="dxa"/>
            <w:vAlign w:val="center"/>
          </w:tcPr>
          <w:p>
            <w:pPr>
              <w:spacing w:line="360" w:lineRule="auto"/>
              <w:rPr>
                <w:rFonts w:ascii="宋体" w:hAnsi="宋体"/>
                <w:szCs w:val="21"/>
              </w:rPr>
            </w:pPr>
          </w:p>
        </w:tc>
      </w:tr>
    </w:tbl>
    <w:p>
      <w:pPr>
        <w:spacing w:line="360" w:lineRule="auto"/>
        <w:jc w:val="center"/>
        <w:rPr>
          <w:rFonts w:ascii="宋体" w:hAnsi="宋体"/>
          <w:b/>
          <w:szCs w:val="21"/>
        </w:rPr>
      </w:pPr>
    </w:p>
    <w:p>
      <w:pPr>
        <w:spacing w:line="360" w:lineRule="auto"/>
        <w:rPr>
          <w:rFonts w:ascii="宋体" w:hAnsi="宋体"/>
          <w:szCs w:val="21"/>
        </w:rPr>
      </w:pPr>
    </w:p>
    <w:p>
      <w:pPr>
        <w:spacing w:line="360" w:lineRule="auto"/>
        <w:ind w:right="1784"/>
        <w:jc w:val="right"/>
        <w:rPr>
          <w:rFonts w:ascii="宋体" w:hAnsi="宋体"/>
          <w:szCs w:val="21"/>
        </w:rPr>
      </w:pPr>
      <w:r>
        <w:rPr>
          <w:rFonts w:ascii="宋体" w:hAnsi="宋体"/>
          <w:szCs w:val="21"/>
        </w:rPr>
        <w:t>投标人（盖章）：</w:t>
      </w:r>
    </w:p>
    <w:p>
      <w:pPr>
        <w:spacing w:line="360" w:lineRule="auto"/>
        <w:ind w:right="1784"/>
        <w:jc w:val="right"/>
        <w:rPr>
          <w:rFonts w:ascii="宋体" w:hAnsi="宋体"/>
          <w:szCs w:val="21"/>
        </w:rPr>
      </w:pPr>
      <w:r>
        <w:rPr>
          <w:rFonts w:ascii="宋体" w:hAnsi="宋体"/>
          <w:szCs w:val="21"/>
        </w:rPr>
        <w:t>投标人代表（签字）：</w:t>
      </w:r>
    </w:p>
    <w:p>
      <w:pPr>
        <w:spacing w:line="360" w:lineRule="auto"/>
        <w:ind w:right="1784"/>
        <w:jc w:val="right"/>
        <w:rPr>
          <w:rFonts w:ascii="宋体" w:hAnsi="宋体"/>
          <w:szCs w:val="21"/>
        </w:rPr>
      </w:pPr>
    </w:p>
    <w:p>
      <w:pPr>
        <w:spacing w:line="360" w:lineRule="auto"/>
        <w:ind w:right="1784"/>
        <w:jc w:val="right"/>
        <w:rPr>
          <w:rFonts w:ascii="宋体" w:hAnsi="宋体"/>
          <w:szCs w:val="21"/>
        </w:rPr>
      </w:pPr>
      <w:r>
        <w:rPr>
          <w:rFonts w:ascii="宋体" w:hAnsi="宋体"/>
          <w:szCs w:val="21"/>
        </w:rPr>
        <w:t>日  期：</w:t>
      </w:r>
    </w:p>
    <w:p>
      <w:pPr>
        <w:autoSpaceDE w:val="0"/>
        <w:autoSpaceDN w:val="0"/>
        <w:adjustRightInd w:val="0"/>
        <w:spacing w:line="360" w:lineRule="auto"/>
        <w:ind w:right="840"/>
        <w:outlineLvl w:val="0"/>
        <w:rPr>
          <w:rFonts w:ascii="宋体" w:hAnsi="宋体"/>
          <w:szCs w:val="21"/>
        </w:rPr>
      </w:pPr>
    </w:p>
    <w:p>
      <w:pPr>
        <w:autoSpaceDE w:val="0"/>
        <w:autoSpaceDN w:val="0"/>
        <w:adjustRightInd w:val="0"/>
        <w:spacing w:line="360" w:lineRule="auto"/>
        <w:ind w:right="840"/>
        <w:outlineLvl w:val="0"/>
        <w:rPr>
          <w:rFonts w:ascii="宋体" w:hAnsi="宋体"/>
          <w:szCs w:val="21"/>
        </w:rPr>
      </w:pPr>
    </w:p>
    <w:p>
      <w:pPr>
        <w:snapToGrid w:val="0"/>
        <w:spacing w:beforeLines="50" w:after="50" w:line="440" w:lineRule="exact"/>
        <w:jc w:val="center"/>
        <w:rPr>
          <w:rFonts w:ascii="宋体" w:hAnsi="宋体"/>
          <w:b/>
          <w:sz w:val="24"/>
        </w:rPr>
      </w:pPr>
      <w:r>
        <w:rPr>
          <w:rFonts w:ascii="宋体" w:hAnsi="宋体" w:cs="仿宋"/>
          <w:b/>
          <w:szCs w:val="21"/>
        </w:rPr>
        <w:br w:type="page"/>
      </w:r>
      <w:r>
        <w:rPr>
          <w:rFonts w:hint="eastAsia" w:ascii="宋体" w:hAnsi="宋体"/>
          <w:b/>
          <w:sz w:val="24"/>
        </w:rPr>
        <w:t>投标单位</w:t>
      </w:r>
      <w:r>
        <w:rPr>
          <w:rFonts w:ascii="宋体" w:hAnsi="宋体"/>
          <w:b/>
          <w:sz w:val="24"/>
        </w:rPr>
        <w:t>声明函</w:t>
      </w:r>
    </w:p>
    <w:p>
      <w:pPr>
        <w:spacing w:line="400" w:lineRule="exact"/>
        <w:ind w:firstLine="420" w:firstLineChars="200"/>
        <w:rPr>
          <w:rFonts w:ascii="宋体" w:hAnsi="宋体"/>
          <w:szCs w:val="21"/>
        </w:rPr>
      </w:pPr>
      <w:r>
        <w:rPr>
          <w:rFonts w:ascii="宋体" w:hAnsi="宋体"/>
          <w:szCs w:val="21"/>
        </w:rPr>
        <w:t>根据</w:t>
      </w:r>
      <w:r>
        <w:rPr>
          <w:rFonts w:hint="eastAsia" w:ascii="宋体" w:hAnsi="宋体"/>
          <w:szCs w:val="21"/>
        </w:rPr>
        <w:t>财政部</w:t>
      </w:r>
      <w:r>
        <w:rPr>
          <w:rFonts w:ascii="宋体" w:hAnsi="宋体"/>
          <w:szCs w:val="21"/>
        </w:rPr>
        <w:t>《政府采购促进中小企业发展暂行办法》（财库[2011]181号）</w:t>
      </w:r>
      <w:r>
        <w:rPr>
          <w:rFonts w:hint="eastAsia" w:ascii="宋体" w:hAnsi="宋体"/>
          <w:szCs w:val="21"/>
        </w:rPr>
        <w:t>和宁波市财政局《关于政府采购促进中小企业发展若干问题的通知》（甬采购办</w:t>
      </w:r>
      <w:r>
        <w:rPr>
          <w:rFonts w:ascii="宋体" w:hAnsi="宋体"/>
          <w:szCs w:val="21"/>
        </w:rPr>
        <w:t>[201</w:t>
      </w:r>
      <w:r>
        <w:rPr>
          <w:rFonts w:hint="eastAsia" w:ascii="宋体" w:hAnsi="宋体"/>
          <w:szCs w:val="21"/>
        </w:rPr>
        <w:t>2</w:t>
      </w:r>
      <w:r>
        <w:rPr>
          <w:rFonts w:ascii="宋体" w:hAnsi="宋体"/>
          <w:szCs w:val="21"/>
        </w:rPr>
        <w:t>]</w:t>
      </w:r>
      <w:r>
        <w:rPr>
          <w:rFonts w:hint="eastAsia" w:ascii="宋体" w:hAnsi="宋体"/>
          <w:szCs w:val="21"/>
        </w:rPr>
        <w:t>1427号）的</w:t>
      </w:r>
      <w:r>
        <w:rPr>
          <w:rFonts w:ascii="宋体" w:hAnsi="宋体"/>
          <w:szCs w:val="21"/>
        </w:rPr>
        <w:t>规定，本</w:t>
      </w:r>
      <w:r>
        <w:rPr>
          <w:rFonts w:hint="eastAsia" w:ascii="宋体" w:hAnsi="宋体"/>
          <w:szCs w:val="21"/>
        </w:rPr>
        <w:t>单位</w:t>
      </w:r>
      <w:r>
        <w:rPr>
          <w:rFonts w:ascii="宋体" w:hAnsi="宋体"/>
          <w:szCs w:val="21"/>
        </w:rPr>
        <w:t>郑重声明：</w:t>
      </w:r>
    </w:p>
    <w:p>
      <w:pPr>
        <w:spacing w:line="400" w:lineRule="exact"/>
        <w:ind w:firstLine="420" w:firstLineChars="200"/>
        <w:rPr>
          <w:rFonts w:ascii="宋体" w:hAnsi="宋体"/>
          <w:szCs w:val="21"/>
        </w:rPr>
      </w:pPr>
      <w:r>
        <w:rPr>
          <w:rFonts w:ascii="宋体" w:hAnsi="宋体"/>
          <w:szCs w:val="21"/>
        </w:rPr>
        <w:t>1.</w:t>
      </w:r>
      <w:r>
        <w:rPr>
          <w:rFonts w:hint="eastAsia" w:ascii="宋体" w:hAnsi="宋体"/>
          <w:szCs w:val="21"/>
        </w:rPr>
        <w:t>依据</w:t>
      </w:r>
      <w:r>
        <w:rPr>
          <w:rFonts w:ascii="宋体" w:hAnsi="宋体"/>
          <w:szCs w:val="21"/>
        </w:rPr>
        <w:t>工业和信息化部、国家统计局、国家发展和改革委员会、财政部《关于印发中小企业划型标准规定的通知》（工信部联企业[2011]300号）规定的划分标准，本</w:t>
      </w:r>
      <w:r>
        <w:rPr>
          <w:rFonts w:hint="eastAsia" w:ascii="宋体" w:hAnsi="宋体"/>
          <w:szCs w:val="21"/>
        </w:rPr>
        <w:t>单位</w:t>
      </w:r>
      <w:r>
        <w:rPr>
          <w:rFonts w:ascii="宋体" w:hAnsi="宋体"/>
          <w:szCs w:val="21"/>
        </w:rPr>
        <w:t>为______（</w:t>
      </w:r>
      <w:r>
        <w:rPr>
          <w:rFonts w:hint="eastAsia" w:ascii="宋体" w:hAnsi="宋体"/>
          <w:szCs w:val="21"/>
        </w:rPr>
        <w:t>大型、</w:t>
      </w:r>
      <w:r>
        <w:rPr>
          <w:rFonts w:ascii="宋体" w:hAnsi="宋体"/>
          <w:szCs w:val="21"/>
        </w:rPr>
        <w:t>中型、小型、微型</w:t>
      </w:r>
      <w:r>
        <w:rPr>
          <w:rFonts w:hint="eastAsia" w:ascii="宋体" w:hAnsi="宋体"/>
          <w:szCs w:val="21"/>
        </w:rPr>
        <w:t>、不划型</w:t>
      </w:r>
      <w:r>
        <w:rPr>
          <w:rFonts w:ascii="宋体" w:hAnsi="宋体"/>
          <w:szCs w:val="21"/>
        </w:rPr>
        <w:t>）企业</w:t>
      </w:r>
      <w:r>
        <w:rPr>
          <w:rFonts w:hint="eastAsia" w:ascii="宋体" w:hAnsi="宋体"/>
          <w:szCs w:val="21"/>
        </w:rPr>
        <w:t>，其中所属行业为</w:t>
      </w:r>
      <w:r>
        <w:rPr>
          <w:rFonts w:ascii="宋体" w:hAnsi="宋体"/>
          <w:szCs w:val="21"/>
        </w:rPr>
        <w:t>________________</w:t>
      </w:r>
      <w:r>
        <w:rPr>
          <w:rFonts w:hint="eastAsia" w:ascii="宋体" w:hAnsi="宋体"/>
          <w:szCs w:val="21"/>
        </w:rPr>
        <w:t>、上年末从业人员</w:t>
      </w:r>
      <w:r>
        <w:rPr>
          <w:rFonts w:ascii="宋体" w:hAnsi="宋体"/>
          <w:szCs w:val="21"/>
        </w:rPr>
        <w:t>____</w:t>
      </w:r>
      <w:r>
        <w:rPr>
          <w:rFonts w:hint="eastAsia" w:ascii="宋体" w:hAnsi="宋体"/>
          <w:szCs w:val="21"/>
        </w:rPr>
        <w:t>人、上年营业收入</w:t>
      </w:r>
      <w:r>
        <w:rPr>
          <w:rFonts w:ascii="宋体" w:hAnsi="宋体"/>
          <w:szCs w:val="21"/>
        </w:rPr>
        <w:t>____</w:t>
      </w:r>
      <w:r>
        <w:rPr>
          <w:rFonts w:hint="eastAsia" w:ascii="宋体" w:hAnsi="宋体"/>
          <w:szCs w:val="21"/>
        </w:rPr>
        <w:t>万元、上年资产总额</w:t>
      </w:r>
      <w:r>
        <w:rPr>
          <w:rFonts w:ascii="宋体" w:hAnsi="宋体"/>
          <w:szCs w:val="21"/>
        </w:rPr>
        <w:t>____</w:t>
      </w:r>
      <w:r>
        <w:rPr>
          <w:rFonts w:hint="eastAsia" w:ascii="宋体" w:hAnsi="宋体"/>
          <w:szCs w:val="21"/>
        </w:rPr>
        <w:t>万元。</w:t>
      </w:r>
    </w:p>
    <w:p>
      <w:pPr>
        <w:spacing w:line="400" w:lineRule="exact"/>
        <w:ind w:firstLine="420" w:firstLineChars="200"/>
        <w:rPr>
          <w:rFonts w:ascii="宋体" w:hAnsi="宋体"/>
          <w:szCs w:val="21"/>
        </w:rPr>
      </w:pPr>
      <w:r>
        <w:rPr>
          <w:rFonts w:ascii="宋体" w:hAnsi="宋体"/>
          <w:szCs w:val="21"/>
        </w:rPr>
        <w:t>2.本</w:t>
      </w:r>
      <w:r>
        <w:rPr>
          <w:rFonts w:hint="eastAsia" w:ascii="宋体" w:hAnsi="宋体"/>
          <w:szCs w:val="21"/>
        </w:rPr>
        <w:t>单位</w:t>
      </w:r>
      <w:r>
        <w:rPr>
          <w:rFonts w:ascii="宋体" w:hAnsi="宋体"/>
          <w:szCs w:val="21"/>
        </w:rPr>
        <w:t>参加______项目</w:t>
      </w:r>
      <w:r>
        <w:rPr>
          <w:rFonts w:hint="eastAsia" w:ascii="宋体" w:hAnsi="宋体"/>
          <w:szCs w:val="21"/>
        </w:rPr>
        <w:t>（采购编号</w:t>
      </w:r>
      <w:r>
        <w:rPr>
          <w:rFonts w:ascii="宋体" w:hAnsi="宋体"/>
          <w:szCs w:val="21"/>
        </w:rPr>
        <w:t>______</w:t>
      </w:r>
      <w:r>
        <w:rPr>
          <w:rFonts w:hint="eastAsia" w:ascii="宋体" w:hAnsi="宋体"/>
          <w:szCs w:val="21"/>
        </w:rPr>
        <w:t>标段/包</w:t>
      </w:r>
      <w:r>
        <w:rPr>
          <w:rFonts w:ascii="宋体" w:hAnsi="宋体"/>
          <w:szCs w:val="21"/>
        </w:rPr>
        <w:t>______</w:t>
      </w:r>
      <w:r>
        <w:rPr>
          <w:rFonts w:hint="eastAsia" w:ascii="宋体" w:hAnsi="宋体"/>
          <w:szCs w:val="21"/>
        </w:rPr>
        <w:t>）</w:t>
      </w:r>
      <w:r>
        <w:rPr>
          <w:rFonts w:ascii="宋体" w:hAnsi="宋体"/>
          <w:szCs w:val="21"/>
        </w:rPr>
        <w:t>采购活动</w:t>
      </w:r>
      <w:r>
        <w:rPr>
          <w:rFonts w:hint="eastAsia" w:ascii="宋体" w:hAnsi="宋体"/>
          <w:szCs w:val="21"/>
        </w:rPr>
        <w:t>，项目的市场价格为</w:t>
      </w:r>
      <w:r>
        <w:rPr>
          <w:rFonts w:ascii="宋体" w:hAnsi="宋体"/>
          <w:szCs w:val="21"/>
        </w:rPr>
        <w:t>_____</w:t>
      </w:r>
      <w:r>
        <w:rPr>
          <w:rFonts w:hint="eastAsia" w:ascii="宋体" w:hAnsi="宋体"/>
          <w:szCs w:val="21"/>
        </w:rPr>
        <w:t>万元，本次投标价格为</w:t>
      </w:r>
      <w:r>
        <w:rPr>
          <w:rFonts w:ascii="宋体" w:hAnsi="宋体"/>
          <w:szCs w:val="21"/>
        </w:rPr>
        <w:t>_____</w:t>
      </w:r>
      <w:r>
        <w:rPr>
          <w:rFonts w:hint="eastAsia" w:ascii="宋体" w:hAnsi="宋体"/>
          <w:szCs w:val="21"/>
        </w:rPr>
        <w:t>万元，其中</w:t>
      </w:r>
      <w:r>
        <w:rPr>
          <w:rFonts w:ascii="宋体" w:hAnsi="宋体"/>
          <w:szCs w:val="21"/>
        </w:rPr>
        <w:t>由本</w:t>
      </w:r>
      <w:r>
        <w:rPr>
          <w:rFonts w:hint="eastAsia" w:ascii="宋体" w:hAnsi="宋体"/>
          <w:szCs w:val="21"/>
        </w:rPr>
        <w:t>单位</w:t>
      </w:r>
      <w:r>
        <w:rPr>
          <w:rFonts w:ascii="宋体" w:hAnsi="宋体"/>
          <w:szCs w:val="21"/>
        </w:rPr>
        <w:t>承担工程</w:t>
      </w:r>
      <w:r>
        <w:rPr>
          <w:rFonts w:hint="eastAsia" w:ascii="宋体" w:hAnsi="宋体"/>
          <w:szCs w:val="21"/>
        </w:rPr>
        <w:t>金额为</w:t>
      </w:r>
      <w:r>
        <w:rPr>
          <w:rFonts w:ascii="宋体" w:hAnsi="宋体"/>
          <w:szCs w:val="21"/>
        </w:rPr>
        <w:t>_____</w:t>
      </w:r>
      <w:r>
        <w:rPr>
          <w:rFonts w:hint="eastAsia" w:ascii="宋体" w:hAnsi="宋体"/>
          <w:szCs w:val="21"/>
        </w:rPr>
        <w:t>万元，</w:t>
      </w:r>
      <w:r>
        <w:rPr>
          <w:rFonts w:ascii="宋体" w:hAnsi="宋体"/>
          <w:szCs w:val="21"/>
        </w:rPr>
        <w:t>由本</w:t>
      </w:r>
      <w:r>
        <w:rPr>
          <w:rFonts w:hint="eastAsia" w:ascii="宋体" w:hAnsi="宋体"/>
          <w:szCs w:val="21"/>
        </w:rPr>
        <w:t>单位</w:t>
      </w:r>
      <w:r>
        <w:rPr>
          <w:rFonts w:ascii="宋体" w:hAnsi="宋体"/>
          <w:szCs w:val="21"/>
        </w:rPr>
        <w:t>提供服务</w:t>
      </w:r>
      <w:r>
        <w:rPr>
          <w:rFonts w:hint="eastAsia" w:ascii="宋体" w:hAnsi="宋体"/>
          <w:szCs w:val="21"/>
        </w:rPr>
        <w:t>金额为</w:t>
      </w:r>
      <w:r>
        <w:rPr>
          <w:rFonts w:ascii="宋体" w:hAnsi="宋体"/>
          <w:szCs w:val="21"/>
        </w:rPr>
        <w:t>_____</w:t>
      </w:r>
      <w:r>
        <w:rPr>
          <w:rFonts w:hint="eastAsia" w:ascii="宋体" w:hAnsi="宋体"/>
          <w:szCs w:val="21"/>
        </w:rPr>
        <w:t>万元，</w:t>
      </w:r>
      <w:r>
        <w:rPr>
          <w:rFonts w:ascii="宋体" w:hAnsi="宋体"/>
          <w:szCs w:val="21"/>
        </w:rPr>
        <w:t>提供本</w:t>
      </w:r>
      <w:r>
        <w:rPr>
          <w:rFonts w:hint="eastAsia" w:ascii="宋体" w:hAnsi="宋体"/>
          <w:szCs w:val="21"/>
        </w:rPr>
        <w:t>单位</w:t>
      </w:r>
      <w:r>
        <w:rPr>
          <w:rFonts w:ascii="宋体" w:hAnsi="宋体"/>
          <w:szCs w:val="21"/>
        </w:rPr>
        <w:t>制造的货物</w:t>
      </w:r>
      <w:r>
        <w:rPr>
          <w:rFonts w:hint="eastAsia" w:ascii="宋体" w:hAnsi="宋体"/>
          <w:szCs w:val="21"/>
        </w:rPr>
        <w:t>金额为</w:t>
      </w:r>
      <w:r>
        <w:rPr>
          <w:rFonts w:ascii="宋体" w:hAnsi="宋体"/>
          <w:szCs w:val="21"/>
        </w:rPr>
        <w:t>_____</w:t>
      </w:r>
      <w:r>
        <w:rPr>
          <w:rFonts w:hint="eastAsia" w:ascii="宋体" w:hAnsi="宋体"/>
          <w:szCs w:val="21"/>
        </w:rPr>
        <w:t>万元，</w:t>
      </w:r>
      <w:r>
        <w:rPr>
          <w:rFonts w:ascii="宋体" w:hAnsi="宋体"/>
          <w:szCs w:val="21"/>
        </w:rPr>
        <w:t>或者提供其他</w:t>
      </w:r>
      <w:r>
        <w:rPr>
          <w:rFonts w:hint="eastAsia" w:ascii="宋体" w:hAnsi="宋体"/>
          <w:szCs w:val="21"/>
        </w:rPr>
        <w:t>大型</w:t>
      </w:r>
      <w:r>
        <w:rPr>
          <w:rFonts w:ascii="宋体" w:hAnsi="宋体"/>
          <w:szCs w:val="21"/>
        </w:rPr>
        <w:t>企业制造的货物</w:t>
      </w:r>
      <w:r>
        <w:rPr>
          <w:rFonts w:hint="eastAsia" w:ascii="宋体" w:hAnsi="宋体"/>
          <w:szCs w:val="21"/>
        </w:rPr>
        <w:t>金额为</w:t>
      </w:r>
      <w:r>
        <w:rPr>
          <w:rFonts w:ascii="宋体" w:hAnsi="宋体"/>
          <w:szCs w:val="21"/>
        </w:rPr>
        <w:t>_____</w:t>
      </w:r>
      <w:r>
        <w:rPr>
          <w:rFonts w:hint="eastAsia" w:ascii="宋体" w:hAnsi="宋体"/>
          <w:szCs w:val="21"/>
        </w:rPr>
        <w:t>万元、</w:t>
      </w:r>
      <w:r>
        <w:rPr>
          <w:rFonts w:ascii="宋体" w:hAnsi="宋体"/>
          <w:szCs w:val="21"/>
        </w:rPr>
        <w:t>其他中型企业制造的货物</w:t>
      </w:r>
      <w:r>
        <w:rPr>
          <w:rFonts w:hint="eastAsia" w:ascii="宋体" w:hAnsi="宋体"/>
          <w:szCs w:val="21"/>
        </w:rPr>
        <w:t>金额为</w:t>
      </w:r>
      <w:r>
        <w:rPr>
          <w:rFonts w:ascii="宋体" w:hAnsi="宋体"/>
          <w:szCs w:val="21"/>
        </w:rPr>
        <w:t>_____</w:t>
      </w:r>
      <w:r>
        <w:rPr>
          <w:rFonts w:hint="eastAsia" w:ascii="宋体" w:hAnsi="宋体"/>
          <w:szCs w:val="21"/>
        </w:rPr>
        <w:t>万元、</w:t>
      </w:r>
      <w:r>
        <w:rPr>
          <w:rFonts w:ascii="宋体" w:hAnsi="宋体"/>
          <w:szCs w:val="21"/>
        </w:rPr>
        <w:t>其他小型企业制造的货物</w:t>
      </w:r>
      <w:r>
        <w:rPr>
          <w:rFonts w:hint="eastAsia" w:ascii="宋体" w:hAnsi="宋体"/>
          <w:szCs w:val="21"/>
        </w:rPr>
        <w:t>金额为</w:t>
      </w:r>
      <w:r>
        <w:rPr>
          <w:rFonts w:ascii="宋体" w:hAnsi="宋体"/>
          <w:szCs w:val="21"/>
        </w:rPr>
        <w:t>_____</w:t>
      </w:r>
      <w:r>
        <w:rPr>
          <w:rFonts w:hint="eastAsia" w:ascii="宋体" w:hAnsi="宋体"/>
          <w:szCs w:val="21"/>
        </w:rPr>
        <w:t>万元、</w:t>
      </w:r>
      <w:r>
        <w:rPr>
          <w:rFonts w:ascii="宋体" w:hAnsi="宋体"/>
          <w:szCs w:val="21"/>
        </w:rPr>
        <w:t>其他微型企业制造的货物</w:t>
      </w:r>
      <w:r>
        <w:rPr>
          <w:rFonts w:hint="eastAsia" w:ascii="宋体" w:hAnsi="宋体"/>
          <w:szCs w:val="21"/>
        </w:rPr>
        <w:t>金额为</w:t>
      </w:r>
      <w:r>
        <w:rPr>
          <w:rFonts w:ascii="宋体" w:hAnsi="宋体"/>
          <w:szCs w:val="21"/>
        </w:rPr>
        <w:t>_____</w:t>
      </w:r>
      <w:r>
        <w:rPr>
          <w:rFonts w:hint="eastAsia" w:ascii="宋体" w:hAnsi="宋体"/>
          <w:szCs w:val="21"/>
        </w:rPr>
        <w:t>万元。原产地为中国境内货物金额为</w:t>
      </w:r>
      <w:r>
        <w:rPr>
          <w:rFonts w:ascii="宋体" w:hAnsi="宋体"/>
          <w:szCs w:val="21"/>
        </w:rPr>
        <w:t>_____</w:t>
      </w:r>
      <w:r>
        <w:rPr>
          <w:rFonts w:hint="eastAsia" w:ascii="宋体" w:hAnsi="宋体"/>
          <w:szCs w:val="21"/>
        </w:rPr>
        <w:t>万元、原产地为宁波货物金额为</w:t>
      </w:r>
      <w:r>
        <w:rPr>
          <w:rFonts w:ascii="宋体" w:hAnsi="宋体"/>
          <w:szCs w:val="21"/>
        </w:rPr>
        <w:t>_____</w:t>
      </w:r>
      <w:r>
        <w:rPr>
          <w:rFonts w:hint="eastAsia" w:ascii="宋体" w:hAnsi="宋体"/>
          <w:szCs w:val="21"/>
        </w:rPr>
        <w:t>万元，列入国家节能产品清单货物金额为</w:t>
      </w:r>
      <w:r>
        <w:rPr>
          <w:rFonts w:ascii="宋体" w:hAnsi="宋体"/>
          <w:szCs w:val="21"/>
        </w:rPr>
        <w:t>_____</w:t>
      </w:r>
      <w:r>
        <w:rPr>
          <w:rFonts w:hint="eastAsia" w:ascii="宋体" w:hAnsi="宋体"/>
          <w:szCs w:val="21"/>
        </w:rPr>
        <w:t>万元，列入国家环境标志产品清单货物金额为</w:t>
      </w:r>
      <w:r>
        <w:rPr>
          <w:rFonts w:ascii="宋体" w:hAnsi="宋体"/>
          <w:szCs w:val="21"/>
        </w:rPr>
        <w:t>_____</w:t>
      </w:r>
      <w:r>
        <w:rPr>
          <w:rFonts w:hint="eastAsia" w:ascii="宋体" w:hAnsi="宋体"/>
          <w:szCs w:val="21"/>
        </w:rPr>
        <w:t>万元</w:t>
      </w:r>
      <w:r>
        <w:rPr>
          <w:rFonts w:ascii="宋体" w:hAnsi="宋体"/>
          <w:szCs w:val="21"/>
        </w:rPr>
        <w:t>。</w:t>
      </w:r>
    </w:p>
    <w:p>
      <w:pPr>
        <w:spacing w:line="400" w:lineRule="exact"/>
        <w:ind w:firstLine="420" w:firstLineChars="200"/>
        <w:rPr>
          <w:rFonts w:ascii="宋体" w:hAnsi="宋体" w:cs="宋体"/>
          <w:kern w:val="0"/>
          <w:szCs w:val="21"/>
        </w:rPr>
      </w:pPr>
      <w:r>
        <w:rPr>
          <w:rFonts w:ascii="宋体" w:hAnsi="宋体" w:cs="宋体"/>
          <w:kern w:val="0"/>
          <w:szCs w:val="21"/>
        </w:rPr>
        <w:t>本</w:t>
      </w:r>
      <w:r>
        <w:rPr>
          <w:rFonts w:hint="eastAsia" w:ascii="宋体" w:hAnsi="宋体" w:cs="宋体"/>
          <w:kern w:val="0"/>
          <w:szCs w:val="21"/>
        </w:rPr>
        <w:t>单位</w:t>
      </w:r>
      <w:r>
        <w:rPr>
          <w:rFonts w:ascii="宋体" w:hAnsi="宋体" w:cs="宋体"/>
          <w:kern w:val="0"/>
          <w:szCs w:val="21"/>
        </w:rPr>
        <w:t>对上述声明的真实性负责。如有虚假，将依法承担相应责任。</w:t>
      </w:r>
    </w:p>
    <w:p>
      <w:pPr>
        <w:widowControl/>
        <w:spacing w:before="100" w:beforeAutospacing="1" w:after="100" w:afterAutospacing="1" w:line="400" w:lineRule="exact"/>
        <w:jc w:val="left"/>
        <w:rPr>
          <w:rFonts w:ascii="宋体" w:hAnsi="宋体" w:cs="宋体"/>
          <w:kern w:val="0"/>
          <w:szCs w:val="21"/>
        </w:rPr>
      </w:pPr>
    </w:p>
    <w:p>
      <w:pPr>
        <w:widowControl/>
        <w:spacing w:before="100" w:beforeAutospacing="1" w:after="100" w:afterAutospacing="1" w:line="400" w:lineRule="exact"/>
        <w:jc w:val="left"/>
        <w:rPr>
          <w:rFonts w:ascii="宋体" w:hAnsi="宋体" w:cs="宋体"/>
          <w:kern w:val="0"/>
          <w:szCs w:val="21"/>
        </w:rPr>
      </w:pPr>
      <w:r>
        <w:rPr>
          <w:rFonts w:hint="eastAsia" w:ascii="宋体" w:hAnsi="宋体" w:cs="宋体"/>
          <w:kern w:val="0"/>
          <w:szCs w:val="21"/>
        </w:rPr>
        <w:t>投标单位</w:t>
      </w:r>
      <w:r>
        <w:rPr>
          <w:rFonts w:ascii="宋体" w:hAnsi="宋体" w:cs="宋体"/>
          <w:kern w:val="0"/>
          <w:szCs w:val="21"/>
        </w:rPr>
        <w:t>名称（盖章）：</w:t>
      </w:r>
      <w:r>
        <w:rPr>
          <w:rFonts w:hint="eastAsia" w:ascii="宋体" w:hAnsi="宋体" w:cs="宋体"/>
          <w:kern w:val="0"/>
          <w:szCs w:val="21"/>
          <w:u w:val="single"/>
        </w:rPr>
        <w:t xml:space="preserve">               </w:t>
      </w:r>
      <w:r>
        <w:rPr>
          <w:rFonts w:hint="eastAsia" w:ascii="宋体" w:hAnsi="宋体" w:cs="宋体"/>
          <w:kern w:val="0"/>
          <w:szCs w:val="21"/>
        </w:rPr>
        <w:t xml:space="preserve">   </w:t>
      </w:r>
    </w:p>
    <w:p>
      <w:pPr>
        <w:widowControl/>
        <w:spacing w:before="100" w:beforeAutospacing="1" w:after="100" w:afterAutospacing="1" w:line="500" w:lineRule="exact"/>
        <w:jc w:val="left"/>
        <w:rPr>
          <w:rFonts w:ascii="宋体" w:hAnsi="宋体" w:cs="宋体"/>
          <w:kern w:val="0"/>
          <w:szCs w:val="21"/>
        </w:rPr>
      </w:pPr>
      <w:r>
        <w:rPr>
          <w:rFonts w:ascii="宋体" w:hAnsi="宋体" w:cs="宋体"/>
          <w:kern w:val="0"/>
          <w:szCs w:val="21"/>
        </w:rPr>
        <w:t>日期：</w:t>
      </w:r>
      <w:r>
        <w:rPr>
          <w:rFonts w:hint="eastAsia" w:ascii="宋体" w:hAnsi="宋体" w:cs="宋体"/>
          <w:kern w:val="0"/>
          <w:szCs w:val="21"/>
          <w:u w:val="single"/>
        </w:rPr>
        <w:t xml:space="preserve">               </w:t>
      </w:r>
    </w:p>
    <w:p>
      <w:pPr>
        <w:pStyle w:val="13"/>
        <w:spacing w:line="500" w:lineRule="exact"/>
        <w:ind w:firstLine="0"/>
        <w:rPr>
          <w:rFonts w:hAnsi="宋体"/>
          <w:sz w:val="21"/>
          <w:szCs w:val="21"/>
        </w:rPr>
      </w:pPr>
    </w:p>
    <w:p>
      <w:pPr>
        <w:pStyle w:val="13"/>
        <w:spacing w:line="500" w:lineRule="exact"/>
        <w:ind w:firstLine="0"/>
        <w:rPr>
          <w:rFonts w:hAnsi="宋体"/>
          <w:sz w:val="21"/>
          <w:szCs w:val="21"/>
        </w:rPr>
      </w:pPr>
    </w:p>
    <w:p>
      <w:pPr>
        <w:pStyle w:val="13"/>
        <w:spacing w:line="400" w:lineRule="exact"/>
        <w:ind w:firstLine="0"/>
        <w:rPr>
          <w:rFonts w:hAnsi="宋体"/>
          <w:sz w:val="21"/>
          <w:szCs w:val="21"/>
        </w:rPr>
      </w:pPr>
      <w:r>
        <w:rPr>
          <w:rFonts w:hAnsi="宋体"/>
          <w:sz w:val="21"/>
          <w:szCs w:val="21"/>
        </w:rPr>
        <w:br w:type="page"/>
      </w:r>
      <w:r>
        <w:rPr>
          <w:rFonts w:hint="eastAsia" w:hAnsi="宋体"/>
          <w:sz w:val="21"/>
          <w:szCs w:val="21"/>
        </w:rPr>
        <w:t>填写说明：</w:t>
      </w:r>
    </w:p>
    <w:p>
      <w:pPr>
        <w:pStyle w:val="13"/>
        <w:spacing w:line="400" w:lineRule="exact"/>
        <w:ind w:firstLine="0"/>
        <w:rPr>
          <w:rFonts w:hAnsi="宋体"/>
          <w:sz w:val="21"/>
          <w:szCs w:val="21"/>
        </w:rPr>
      </w:pPr>
      <w:r>
        <w:rPr>
          <w:rFonts w:hint="eastAsia" w:hAnsi="宋体"/>
          <w:sz w:val="21"/>
          <w:szCs w:val="21"/>
        </w:rPr>
        <w:t>1、根据</w:t>
      </w:r>
      <w:r>
        <w:rPr>
          <w:rFonts w:hAnsi="宋体"/>
          <w:sz w:val="21"/>
          <w:szCs w:val="21"/>
        </w:rPr>
        <w:t>工信部联企业[2011]300号</w:t>
      </w:r>
      <w:r>
        <w:rPr>
          <w:rFonts w:hint="eastAsia" w:hAnsi="宋体"/>
          <w:sz w:val="21"/>
          <w:szCs w:val="21"/>
        </w:rPr>
        <w:t>文件，企业行业分为：</w:t>
      </w:r>
      <w:r>
        <w:rPr>
          <w:rFonts w:hAnsi="宋体"/>
          <w:sz w:val="21"/>
          <w:szCs w:val="21"/>
        </w:rPr>
        <w:t>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hAnsi="宋体"/>
          <w:sz w:val="21"/>
          <w:szCs w:val="21"/>
        </w:rPr>
        <w:t>一般研发、生产、加工型企业填写工业，销售、贸易型企业填写批发业，具体行业划分依据国家统计局网站公布的</w:t>
      </w:r>
      <w:r>
        <w:rPr>
          <w:rFonts w:hAnsi="宋体"/>
          <w:sz w:val="21"/>
          <w:szCs w:val="21"/>
        </w:rPr>
        <w:t>《国民经济行业分类》</w:t>
      </w:r>
      <w:r>
        <w:rPr>
          <w:rFonts w:hint="eastAsia" w:hAnsi="宋体"/>
          <w:sz w:val="21"/>
          <w:szCs w:val="21"/>
        </w:rPr>
        <w:t>标准规定。</w:t>
      </w:r>
    </w:p>
    <w:p>
      <w:pPr>
        <w:pStyle w:val="13"/>
        <w:spacing w:line="400" w:lineRule="exact"/>
        <w:ind w:firstLine="0"/>
        <w:rPr>
          <w:rFonts w:hAnsi="宋体"/>
          <w:sz w:val="21"/>
          <w:szCs w:val="21"/>
        </w:rPr>
      </w:pPr>
      <w:r>
        <w:rPr>
          <w:rFonts w:hint="eastAsia" w:hAnsi="宋体"/>
          <w:sz w:val="21"/>
          <w:szCs w:val="21"/>
        </w:rPr>
        <w:t>2、第1条宁波政府采购网（www.nbzfcg.cn）注册的企业供应商须根据上年财务报表等，登录进入网上供应商平台中“供应商账户管理”-“单位信息”模块，对照前款说明，可选择“所属行业”，如实填写修改上年末从业人员</w:t>
      </w:r>
      <w:r>
        <w:rPr>
          <w:rFonts w:hAnsi="宋体"/>
          <w:sz w:val="21"/>
          <w:szCs w:val="21"/>
        </w:rPr>
        <w:t>____</w:t>
      </w:r>
      <w:r>
        <w:rPr>
          <w:rFonts w:hint="eastAsia" w:hAnsi="宋体"/>
          <w:sz w:val="21"/>
          <w:szCs w:val="21"/>
        </w:rPr>
        <w:t>人、上年营业收入</w:t>
      </w:r>
      <w:r>
        <w:rPr>
          <w:rFonts w:hAnsi="宋体"/>
          <w:sz w:val="21"/>
          <w:szCs w:val="21"/>
        </w:rPr>
        <w:t>____</w:t>
      </w:r>
      <w:r>
        <w:rPr>
          <w:rFonts w:hint="eastAsia" w:hAnsi="宋体"/>
          <w:sz w:val="21"/>
          <w:szCs w:val="21"/>
        </w:rPr>
        <w:t>万元、上年资产总额</w:t>
      </w:r>
      <w:r>
        <w:rPr>
          <w:rFonts w:hAnsi="宋体"/>
          <w:sz w:val="21"/>
          <w:szCs w:val="21"/>
        </w:rPr>
        <w:t>____</w:t>
      </w:r>
      <w:r>
        <w:rPr>
          <w:rFonts w:hint="eastAsia" w:hAnsi="宋体"/>
          <w:sz w:val="21"/>
          <w:szCs w:val="21"/>
        </w:rPr>
        <w:t>万元等数据，新成立企业暂以当前实际数据填报，重新点击会自动显示修改后企业划型信息，事业社团其他类型供应商不划型。</w:t>
      </w:r>
    </w:p>
    <w:p>
      <w:pPr>
        <w:pStyle w:val="13"/>
        <w:spacing w:line="400" w:lineRule="exact"/>
        <w:ind w:firstLine="0"/>
        <w:rPr>
          <w:rFonts w:hAnsi="宋体"/>
          <w:sz w:val="21"/>
          <w:szCs w:val="21"/>
        </w:rPr>
      </w:pPr>
      <w:r>
        <w:rPr>
          <w:rFonts w:hint="eastAsia" w:hAnsi="宋体"/>
          <w:sz w:val="21"/>
          <w:szCs w:val="21"/>
        </w:rPr>
        <w:t>3、第2条有多个标包的，须按每个标包分别填写，无此分类货物金额的应填“零”。</w:t>
      </w:r>
    </w:p>
    <w:p>
      <w:pPr>
        <w:pStyle w:val="13"/>
        <w:spacing w:line="400" w:lineRule="exact"/>
        <w:ind w:firstLine="0"/>
        <w:rPr>
          <w:rFonts w:hAnsi="宋体"/>
          <w:sz w:val="21"/>
          <w:szCs w:val="21"/>
        </w:rPr>
      </w:pPr>
      <w:r>
        <w:rPr>
          <w:rFonts w:hint="eastAsia" w:hAnsi="宋体"/>
          <w:sz w:val="21"/>
          <w:szCs w:val="21"/>
        </w:rPr>
        <w:t>4、联合体投标的，由联合体主办方提供本表。</w:t>
      </w:r>
    </w:p>
    <w:p>
      <w:pPr>
        <w:pStyle w:val="13"/>
        <w:spacing w:line="400" w:lineRule="exact"/>
        <w:ind w:firstLine="0"/>
        <w:rPr>
          <w:rFonts w:hAnsi="宋体"/>
          <w:sz w:val="21"/>
          <w:szCs w:val="21"/>
        </w:rPr>
      </w:pPr>
      <w:r>
        <w:rPr>
          <w:rFonts w:hint="eastAsia" w:hAnsi="宋体"/>
          <w:sz w:val="21"/>
          <w:szCs w:val="21"/>
        </w:rPr>
        <w:t>5、资格入围式项目（一个标包由多家中标入围）：采购单位公布项目预算的，第2条有关金额按市场预估总价、投标预估总价除以入围数量填写；未公布预算的或入围数量的，供应商无需填写。</w:t>
      </w:r>
    </w:p>
    <w:p>
      <w:pPr>
        <w:pStyle w:val="13"/>
        <w:spacing w:line="400" w:lineRule="exact"/>
        <w:ind w:firstLine="0"/>
        <w:rPr>
          <w:rFonts w:hAnsi="宋体"/>
          <w:sz w:val="21"/>
          <w:szCs w:val="21"/>
        </w:rPr>
      </w:pPr>
      <w:r>
        <w:rPr>
          <w:rFonts w:hint="eastAsia" w:hAnsi="宋体"/>
          <w:sz w:val="21"/>
          <w:szCs w:val="21"/>
        </w:rPr>
        <w:t>6、投标价格为费率的项目、中标价格按单价执行的项目：采购单位公布项目预算的，第2条有关金额按市场预估总价、投标预估总价填写；未公布预算的，供应商无需填写。</w:t>
      </w:r>
    </w:p>
    <w:p>
      <w:pPr>
        <w:pStyle w:val="13"/>
        <w:spacing w:line="400" w:lineRule="exact"/>
        <w:ind w:firstLine="0"/>
        <w:rPr>
          <w:rFonts w:hAnsi="宋体"/>
          <w:sz w:val="21"/>
          <w:szCs w:val="21"/>
        </w:rPr>
      </w:pPr>
      <w:r>
        <w:rPr>
          <w:rFonts w:hint="eastAsia" w:hAnsi="宋体"/>
          <w:sz w:val="21"/>
          <w:szCs w:val="21"/>
        </w:rPr>
        <w:t xml:space="preserve">7、列入国家节能产品清单、环保产品清单的产品以中国政府采购网(www.ccgp.gov.cn)上财政部发布的文件为准。        </w:t>
      </w:r>
    </w:p>
    <w:p>
      <w:pPr>
        <w:autoSpaceDE w:val="0"/>
        <w:autoSpaceDN w:val="0"/>
        <w:adjustRightInd w:val="0"/>
        <w:spacing w:line="500" w:lineRule="exact"/>
        <w:ind w:firstLine="420" w:firstLineChars="200"/>
        <w:rPr>
          <w:rFonts w:ascii="宋体" w:hAnsi="宋体"/>
          <w:kern w:val="0"/>
          <w:szCs w:val="21"/>
        </w:rPr>
      </w:pPr>
    </w:p>
    <w:p>
      <w:pPr>
        <w:pStyle w:val="20"/>
        <w:spacing w:line="360" w:lineRule="auto"/>
        <w:ind w:left="101" w:leftChars="48" w:firstLine="1680" w:firstLineChars="800"/>
        <w:jc w:val="left"/>
        <w:rPr>
          <w:rFonts w:hAnsi="宋体"/>
          <w:sz w:val="21"/>
          <w:szCs w:val="21"/>
        </w:rPr>
      </w:pPr>
    </w:p>
    <w:p>
      <w:pPr>
        <w:pStyle w:val="20"/>
        <w:spacing w:line="360" w:lineRule="auto"/>
        <w:ind w:left="101" w:leftChars="48" w:firstLine="1680" w:firstLineChars="800"/>
        <w:jc w:val="left"/>
        <w:rPr>
          <w:rFonts w:hAnsi="宋体"/>
          <w:sz w:val="21"/>
          <w:szCs w:val="21"/>
        </w:rPr>
      </w:pPr>
    </w:p>
    <w:p>
      <w:pPr>
        <w:spacing w:line="360" w:lineRule="auto"/>
        <w:rPr>
          <w:rStyle w:val="61"/>
          <w:szCs w:val="21"/>
        </w:rPr>
      </w:pPr>
    </w:p>
    <w:p>
      <w:pPr>
        <w:spacing w:line="400" w:lineRule="exact"/>
        <w:jc w:val="center"/>
        <w:rPr>
          <w:rFonts w:ascii="宋体" w:hAnsi="宋体"/>
          <w:b/>
          <w:szCs w:val="21"/>
        </w:rPr>
      </w:pPr>
      <w:r>
        <w:rPr>
          <w:rFonts w:ascii="宋体" w:hAnsi="宋体"/>
          <w:b/>
          <w:szCs w:val="21"/>
        </w:rPr>
        <w:br w:type="page"/>
      </w:r>
      <w:r>
        <w:rPr>
          <w:rFonts w:hint="eastAsia" w:ascii="宋体" w:hAnsi="宋体"/>
          <w:b/>
          <w:szCs w:val="21"/>
        </w:rPr>
        <w:t>中小企业声明函</w:t>
      </w:r>
    </w:p>
    <w:p>
      <w:pPr>
        <w:spacing w:line="400" w:lineRule="exact"/>
        <w:rPr>
          <w:rFonts w:ascii="宋体" w:hAnsi="宋体"/>
          <w:b/>
          <w:spacing w:val="6"/>
          <w:szCs w:val="21"/>
        </w:rPr>
      </w:pPr>
    </w:p>
    <w:p>
      <w:pPr>
        <w:spacing w:line="400" w:lineRule="exact"/>
        <w:ind w:firstLine="420" w:firstLineChars="200"/>
        <w:rPr>
          <w:rFonts w:ascii="宋体" w:hAnsi="宋体"/>
          <w:szCs w:val="21"/>
        </w:rPr>
      </w:pPr>
      <w:r>
        <w:rPr>
          <w:rFonts w:hint="eastAsia" w:ascii="宋体" w:hAnsi="宋体"/>
          <w:szCs w:val="21"/>
        </w:rPr>
        <w:t>本公司郑重声明，根据《政府采购促进中小企业发展暂行办法》（财库[2011]181号）的规定，本公司为______（请填写：中型、小型、微型）企业。即，本公司同时满足以下条件：</w:t>
      </w:r>
    </w:p>
    <w:p>
      <w:pPr>
        <w:spacing w:line="400" w:lineRule="exact"/>
        <w:ind w:firstLine="420" w:firstLineChars="200"/>
        <w:rPr>
          <w:rFonts w:ascii="宋体" w:hAnsi="宋体"/>
          <w:szCs w:val="21"/>
        </w:rPr>
      </w:pPr>
      <w:r>
        <w:rPr>
          <w:rFonts w:hint="eastAsia" w:ascii="宋体" w:hAnsi="宋体"/>
          <w:szCs w:val="21"/>
        </w:rPr>
        <w:t>1.根据《工业和信息化部、国家统计局、国家发展和改革委员会、财政部关于印发中小企业划型标准规定的通知》（工信部联企业[2011]300号）规定的划分标准，本公司为______（请填写：中型、小型、微型）企业。</w:t>
      </w:r>
    </w:p>
    <w:p>
      <w:pPr>
        <w:spacing w:line="400" w:lineRule="exact"/>
        <w:ind w:firstLine="420" w:firstLineChars="200"/>
        <w:rPr>
          <w:rFonts w:ascii="宋体" w:hAnsi="宋体"/>
          <w:szCs w:val="21"/>
        </w:rPr>
      </w:pPr>
      <w:r>
        <w:rPr>
          <w:rFonts w:hint="eastAsia" w:ascii="宋体" w:hAnsi="宋体"/>
          <w:szCs w:val="21"/>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400" w:lineRule="exact"/>
        <w:ind w:firstLine="420" w:firstLineChars="200"/>
        <w:rPr>
          <w:rFonts w:ascii="宋体" w:hAnsi="宋体"/>
          <w:szCs w:val="21"/>
        </w:rPr>
      </w:pPr>
      <w:r>
        <w:rPr>
          <w:rFonts w:hint="eastAsia" w:ascii="宋体" w:hAnsi="宋体"/>
          <w:szCs w:val="21"/>
        </w:rPr>
        <w:t>本公司对上述声明的真实性负责。如有虚假，将依法承担相应责任。</w:t>
      </w:r>
    </w:p>
    <w:p>
      <w:pPr>
        <w:spacing w:line="400" w:lineRule="exact"/>
        <w:ind w:firstLine="420" w:firstLineChars="200"/>
        <w:rPr>
          <w:rFonts w:ascii="宋体" w:hAnsi="宋体"/>
          <w:szCs w:val="21"/>
        </w:rPr>
      </w:pPr>
    </w:p>
    <w:p>
      <w:pPr>
        <w:tabs>
          <w:tab w:val="left" w:pos="4860"/>
        </w:tabs>
        <w:spacing w:line="400" w:lineRule="exact"/>
        <w:ind w:right="1560" w:firstLine="420" w:firstLineChars="200"/>
        <w:jc w:val="center"/>
        <w:rPr>
          <w:rFonts w:ascii="宋体" w:hAnsi="宋体"/>
          <w:szCs w:val="21"/>
        </w:rPr>
      </w:pPr>
      <w:r>
        <w:rPr>
          <w:rFonts w:hint="eastAsia" w:ascii="宋体" w:hAnsi="宋体"/>
          <w:szCs w:val="21"/>
        </w:rPr>
        <w:t xml:space="preserve">               企业名称（公章）： </w:t>
      </w:r>
    </w:p>
    <w:p>
      <w:pPr>
        <w:pStyle w:val="13"/>
        <w:spacing w:line="400" w:lineRule="exact"/>
        <w:ind w:firstLine="3636" w:firstLineChars="1800"/>
        <w:rPr>
          <w:rFonts w:hAnsi="宋体"/>
          <w:sz w:val="21"/>
          <w:szCs w:val="21"/>
        </w:rPr>
      </w:pPr>
      <w:r>
        <w:rPr>
          <w:rFonts w:hint="eastAsia" w:hAnsi="宋体"/>
          <w:sz w:val="21"/>
          <w:szCs w:val="21"/>
        </w:rPr>
        <w:t xml:space="preserve">日  期：                </w:t>
      </w:r>
    </w:p>
    <w:p>
      <w:pPr>
        <w:spacing w:line="360" w:lineRule="auto"/>
        <w:jc w:val="center"/>
        <w:rPr>
          <w:rFonts w:ascii="宋体" w:hAnsi="宋体"/>
          <w:b/>
          <w:szCs w:val="21"/>
        </w:rPr>
      </w:pPr>
      <w:r>
        <w:rPr>
          <w:rFonts w:ascii="宋体" w:hAnsi="宋体"/>
          <w:b/>
          <w:spacing w:val="20"/>
          <w:sz w:val="24"/>
        </w:rPr>
        <w:br w:type="page"/>
      </w:r>
      <w:r>
        <w:rPr>
          <w:rFonts w:hint="eastAsia" w:ascii="宋体" w:hAnsi="宋体"/>
          <w:b/>
          <w:szCs w:val="21"/>
        </w:rPr>
        <w:t>残疾人福利性单位声明函（如有需提供）</w:t>
      </w:r>
    </w:p>
    <w:p>
      <w:pPr>
        <w:spacing w:line="360" w:lineRule="auto"/>
        <w:jc w:val="center"/>
        <w:rPr>
          <w:rFonts w:ascii="宋体" w:hAnsi="宋体"/>
          <w:b/>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szCs w:val="21"/>
          <w:u w:val="single"/>
        </w:rPr>
        <w:t>____                 __</w:t>
      </w:r>
      <w:r>
        <w:rPr>
          <w:rFonts w:hint="eastAsia" w:ascii="宋体" w:hAnsi="宋体"/>
          <w:szCs w:val="21"/>
        </w:rPr>
        <w:t>单位的</w:t>
      </w:r>
      <w:r>
        <w:rPr>
          <w:rFonts w:hint="eastAsia" w:ascii="宋体" w:hAnsi="宋体"/>
          <w:szCs w:val="21"/>
          <w:u w:val="single"/>
        </w:rPr>
        <w:t>____             __项</w:t>
      </w:r>
      <w:r>
        <w:rPr>
          <w:rFonts w:hint="eastAsia" w:ascii="宋体" w:hAnsi="宋体"/>
          <w:szCs w:val="21"/>
        </w:rPr>
        <w:t>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tabs>
          <w:tab w:val="left" w:pos="4860"/>
        </w:tabs>
        <w:spacing w:line="360" w:lineRule="auto"/>
        <w:ind w:right="1560" w:firstLine="420" w:firstLineChars="200"/>
        <w:jc w:val="center"/>
        <w:rPr>
          <w:rFonts w:ascii="宋体" w:hAnsi="宋体"/>
          <w:szCs w:val="21"/>
        </w:rPr>
      </w:pPr>
      <w:r>
        <w:rPr>
          <w:rFonts w:hint="eastAsia" w:ascii="宋体" w:hAnsi="宋体"/>
          <w:szCs w:val="21"/>
        </w:rPr>
        <w:t xml:space="preserve">               单位名称（盖章）：</w:t>
      </w:r>
    </w:p>
    <w:p>
      <w:pPr>
        <w:tabs>
          <w:tab w:val="left" w:pos="4860"/>
        </w:tabs>
        <w:spacing w:line="360" w:lineRule="auto"/>
        <w:ind w:right="1560" w:firstLine="420" w:firstLineChars="200"/>
        <w:jc w:val="center"/>
        <w:rPr>
          <w:rFonts w:ascii="宋体" w:hAnsi="宋体"/>
          <w:szCs w:val="21"/>
        </w:rPr>
      </w:pPr>
      <w:r>
        <w:rPr>
          <w:rFonts w:hint="eastAsia" w:ascii="宋体" w:hAnsi="宋体"/>
          <w:szCs w:val="21"/>
        </w:rPr>
        <w:t xml:space="preserve">       日  期：</w:t>
      </w:r>
    </w:p>
    <w:sectPr>
      <w:footerReference r:id="rId3" w:type="default"/>
      <w:pgSz w:w="11906" w:h="16838"/>
      <w:pgMar w:top="909" w:right="1422" w:bottom="851" w:left="1644" w:header="850" w:footer="450" w:gutter="0"/>
      <w:cols w:space="720" w:num="1"/>
      <w:docGrid w:linePitch="602" w:charSpace="-16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Helvetica">
    <w:altName w:val="Arial"/>
    <w:panose1 w:val="020B0504020202030204"/>
    <w:charset w:val="00"/>
    <w:family w:val="swiss"/>
    <w:pitch w:val="default"/>
    <w:sig w:usb0="00000000" w:usb1="00000000" w:usb2="00000000" w:usb3="00000000" w:csb0="00000093" w:csb1="00000000"/>
  </w:font>
  <w:font w:name="FangSong_GB2312,Bold">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3"/>
                            <w:jc w:val="center"/>
                          </w:pPr>
                          <w:r>
                            <w:fldChar w:fldCharType="begin"/>
                          </w:r>
                          <w:r>
                            <w:instrText xml:space="preserve"> PAGE   \* MERGEFORMAT </w:instrText>
                          </w:r>
                          <w:r>
                            <w:fldChar w:fldCharType="separate"/>
                          </w:r>
                          <w:r>
                            <w:t>3</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fGEK7rgEAAEsD&#10;AAAOAAAAAAAAAAEAIAAAAB4BAABkcnMvZTJvRG9jLnhtbFBLBQYAAAAABgAGAFkBAAA+BQAAAAA=&#10;">
              <v:fill on="f" focussize="0,0"/>
              <v:stroke on="f"/>
              <v:imagedata o:title=""/>
              <o:lock v:ext="edit" aspectratio="f"/>
              <v:textbox inset="0mm,0mm,0mm,0mm" style="mso-fit-shape-to-text:t;">
                <w:txbxContent>
                  <w:p>
                    <w:pPr>
                      <w:pStyle w:val="23"/>
                      <w:jc w:val="center"/>
                    </w:pPr>
                    <w:r>
                      <w:fldChar w:fldCharType="begin"/>
                    </w:r>
                    <w:r>
                      <w:instrText xml:space="preserve"> PAGE   \* MERGEFORMAT </w:instrText>
                    </w:r>
                    <w:r>
                      <w:fldChar w:fldCharType="separate"/>
                    </w:r>
                    <w:r>
                      <w:t>3</w:t>
                    </w:r>
                    <w:r>
                      <w:fldChar w:fldCharType="end"/>
                    </w:r>
                  </w:p>
                </w:txbxContent>
              </v:textbox>
            </v:shape>
          </w:pict>
        </mc:Fallback>
      </mc:AlternateContent>
    </w:r>
  </w:p>
  <w:p>
    <w:pPr>
      <w:pStyle w:val="2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14"/>
      <w:lvlText w:val="%1."/>
      <w:lvlJc w:val="left"/>
      <w:pPr>
        <w:tabs>
          <w:tab w:val="left" w:pos="1200"/>
        </w:tabs>
        <w:ind w:left="1200" w:hanging="360"/>
      </w:pPr>
    </w:lvl>
  </w:abstractNum>
  <w:abstractNum w:abstractNumId="1">
    <w:nsid w:val="09890BCC"/>
    <w:multiLevelType w:val="multilevel"/>
    <w:tmpl w:val="09890BCC"/>
    <w:lvl w:ilvl="0" w:tentative="0">
      <w:start w:val="1"/>
      <w:numFmt w:val="decimal"/>
      <w:pStyle w:val="7"/>
      <w:lvlText w:val="%1．"/>
      <w:lvlJc w:val="left"/>
      <w:pPr>
        <w:tabs>
          <w:tab w:val="left" w:pos="900"/>
        </w:tabs>
        <w:ind w:left="900" w:hanging="720"/>
      </w:pPr>
      <w:rPr>
        <w:rFonts w:hint="eastAsia"/>
      </w:rPr>
    </w:lvl>
    <w:lvl w:ilvl="1" w:tentative="0">
      <w:start w:val="1"/>
      <w:numFmt w:val="lowerLetter"/>
      <w:lvlText w:val="%2)"/>
      <w:lvlJc w:val="left"/>
      <w:pPr>
        <w:tabs>
          <w:tab w:val="left" w:pos="1020"/>
        </w:tabs>
        <w:ind w:left="1020" w:hanging="420"/>
      </w:pPr>
    </w:lvl>
    <w:lvl w:ilvl="2" w:tentative="0">
      <w:start w:val="1"/>
      <w:numFmt w:val="lowerRoman"/>
      <w:lvlText w:val="%3."/>
      <w:lvlJc w:val="right"/>
      <w:pPr>
        <w:tabs>
          <w:tab w:val="left" w:pos="1440"/>
        </w:tabs>
        <w:ind w:left="1440" w:hanging="420"/>
      </w:pPr>
    </w:lvl>
    <w:lvl w:ilvl="3" w:tentative="0">
      <w:start w:val="1"/>
      <w:numFmt w:val="decimal"/>
      <w:lvlText w:val="%4."/>
      <w:lvlJc w:val="left"/>
      <w:pPr>
        <w:tabs>
          <w:tab w:val="left" w:pos="1860"/>
        </w:tabs>
        <w:ind w:left="1860" w:hanging="420"/>
      </w:pPr>
    </w:lvl>
    <w:lvl w:ilvl="4" w:tentative="0">
      <w:start w:val="1"/>
      <w:numFmt w:val="lowerLetter"/>
      <w:lvlText w:val="%5)"/>
      <w:lvlJc w:val="left"/>
      <w:pPr>
        <w:tabs>
          <w:tab w:val="left" w:pos="2280"/>
        </w:tabs>
        <w:ind w:left="2280" w:hanging="420"/>
      </w:pPr>
    </w:lvl>
    <w:lvl w:ilvl="5" w:tentative="0">
      <w:start w:val="1"/>
      <w:numFmt w:val="lowerRoman"/>
      <w:lvlText w:val="%6."/>
      <w:lvlJc w:val="right"/>
      <w:pPr>
        <w:tabs>
          <w:tab w:val="left" w:pos="2700"/>
        </w:tabs>
        <w:ind w:left="2700" w:hanging="420"/>
      </w:pPr>
    </w:lvl>
    <w:lvl w:ilvl="6" w:tentative="0">
      <w:start w:val="1"/>
      <w:numFmt w:val="decimal"/>
      <w:lvlText w:val="%7."/>
      <w:lvlJc w:val="left"/>
      <w:pPr>
        <w:tabs>
          <w:tab w:val="left" w:pos="3120"/>
        </w:tabs>
        <w:ind w:left="3120" w:hanging="420"/>
      </w:pPr>
    </w:lvl>
    <w:lvl w:ilvl="7" w:tentative="0">
      <w:start w:val="1"/>
      <w:numFmt w:val="lowerLetter"/>
      <w:lvlText w:val="%8)"/>
      <w:lvlJc w:val="left"/>
      <w:pPr>
        <w:tabs>
          <w:tab w:val="left" w:pos="3540"/>
        </w:tabs>
        <w:ind w:left="3540" w:hanging="420"/>
      </w:pPr>
    </w:lvl>
    <w:lvl w:ilvl="8" w:tentative="0">
      <w:start w:val="1"/>
      <w:numFmt w:val="lowerRoman"/>
      <w:lvlText w:val="%9."/>
      <w:lvlJc w:val="right"/>
      <w:pPr>
        <w:tabs>
          <w:tab w:val="left" w:pos="3960"/>
        </w:tabs>
        <w:ind w:left="3960" w:hanging="420"/>
      </w:pPr>
    </w:lvl>
  </w:abstractNum>
  <w:abstractNum w:abstractNumId="2">
    <w:nsid w:val="14E077E9"/>
    <w:multiLevelType w:val="multilevel"/>
    <w:tmpl w:val="14E077E9"/>
    <w:lvl w:ilvl="0" w:tentative="0">
      <w:start w:val="1"/>
      <w:numFmt w:val="decimal"/>
      <w:lvlText w:val="（%1）"/>
      <w:lvlJc w:val="left"/>
      <w:pPr>
        <w:ind w:left="1331" w:hanging="720"/>
      </w:pPr>
      <w:rPr>
        <w:rFonts w:hint="default"/>
      </w:rPr>
    </w:lvl>
    <w:lvl w:ilvl="1" w:tentative="0">
      <w:start w:val="1"/>
      <w:numFmt w:val="lowerLetter"/>
      <w:lvlText w:val="%2)"/>
      <w:lvlJc w:val="left"/>
      <w:pPr>
        <w:ind w:left="1451" w:hanging="420"/>
      </w:pPr>
    </w:lvl>
    <w:lvl w:ilvl="2" w:tentative="0">
      <w:start w:val="1"/>
      <w:numFmt w:val="lowerRoman"/>
      <w:lvlText w:val="%3."/>
      <w:lvlJc w:val="right"/>
      <w:pPr>
        <w:ind w:left="1871" w:hanging="420"/>
      </w:pPr>
    </w:lvl>
    <w:lvl w:ilvl="3" w:tentative="0">
      <w:start w:val="1"/>
      <w:numFmt w:val="decimal"/>
      <w:lvlText w:val="%4."/>
      <w:lvlJc w:val="left"/>
      <w:pPr>
        <w:ind w:left="2291" w:hanging="420"/>
      </w:pPr>
    </w:lvl>
    <w:lvl w:ilvl="4" w:tentative="0">
      <w:start w:val="1"/>
      <w:numFmt w:val="lowerLetter"/>
      <w:lvlText w:val="%5)"/>
      <w:lvlJc w:val="left"/>
      <w:pPr>
        <w:ind w:left="2711" w:hanging="420"/>
      </w:pPr>
    </w:lvl>
    <w:lvl w:ilvl="5" w:tentative="0">
      <w:start w:val="1"/>
      <w:numFmt w:val="lowerRoman"/>
      <w:lvlText w:val="%6."/>
      <w:lvlJc w:val="right"/>
      <w:pPr>
        <w:ind w:left="3131" w:hanging="420"/>
      </w:pPr>
    </w:lvl>
    <w:lvl w:ilvl="6" w:tentative="0">
      <w:start w:val="1"/>
      <w:numFmt w:val="decimal"/>
      <w:lvlText w:val="%7."/>
      <w:lvlJc w:val="left"/>
      <w:pPr>
        <w:ind w:left="3551" w:hanging="420"/>
      </w:pPr>
    </w:lvl>
    <w:lvl w:ilvl="7" w:tentative="0">
      <w:start w:val="1"/>
      <w:numFmt w:val="lowerLetter"/>
      <w:lvlText w:val="%8)"/>
      <w:lvlJc w:val="left"/>
      <w:pPr>
        <w:ind w:left="3971" w:hanging="420"/>
      </w:pPr>
    </w:lvl>
    <w:lvl w:ilvl="8" w:tentative="0">
      <w:start w:val="1"/>
      <w:numFmt w:val="lowerRoman"/>
      <w:lvlText w:val="%9."/>
      <w:lvlJc w:val="right"/>
      <w:pPr>
        <w:ind w:left="4391" w:hanging="420"/>
      </w:pPr>
    </w:lvl>
  </w:abstractNum>
  <w:abstractNum w:abstractNumId="3">
    <w:nsid w:val="31F9536B"/>
    <w:multiLevelType w:val="multilevel"/>
    <w:tmpl w:val="31F9536B"/>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362863DD"/>
    <w:multiLevelType w:val="singleLevel"/>
    <w:tmpl w:val="362863DD"/>
    <w:lvl w:ilvl="0" w:tentative="0">
      <w:start w:val="1"/>
      <w:numFmt w:val="decimal"/>
      <w:suff w:val="nothing"/>
      <w:lvlText w:val="%1、"/>
      <w:lvlJc w:val="left"/>
    </w:lvl>
  </w:abstractNum>
  <w:abstractNum w:abstractNumId="5">
    <w:nsid w:val="3AA936BF"/>
    <w:multiLevelType w:val="multilevel"/>
    <w:tmpl w:val="3AA936BF"/>
    <w:lvl w:ilvl="0" w:tentative="0">
      <w:start w:val="1"/>
      <w:numFmt w:val="decimal"/>
      <w:lvlText w:val="(%1)"/>
      <w:lvlJc w:val="left"/>
      <w:pPr>
        <w:ind w:left="866" w:hanging="420"/>
      </w:pPr>
      <w:rPr>
        <w:rFonts w:hint="eastAsia"/>
      </w:rPr>
    </w:lvl>
    <w:lvl w:ilvl="1" w:tentative="0">
      <w:start w:val="1"/>
      <w:numFmt w:val="lowerLetter"/>
      <w:lvlText w:val="%2)"/>
      <w:lvlJc w:val="left"/>
      <w:pPr>
        <w:ind w:left="1286" w:hanging="420"/>
      </w:pPr>
    </w:lvl>
    <w:lvl w:ilvl="2" w:tentative="0">
      <w:start w:val="1"/>
      <w:numFmt w:val="lowerRoman"/>
      <w:lvlText w:val="%3."/>
      <w:lvlJc w:val="right"/>
      <w:pPr>
        <w:ind w:left="1706" w:hanging="420"/>
      </w:pPr>
    </w:lvl>
    <w:lvl w:ilvl="3" w:tentative="0">
      <w:start w:val="1"/>
      <w:numFmt w:val="decimal"/>
      <w:lvlText w:val="%4."/>
      <w:lvlJc w:val="left"/>
      <w:pPr>
        <w:ind w:left="2126" w:hanging="420"/>
      </w:pPr>
    </w:lvl>
    <w:lvl w:ilvl="4" w:tentative="0">
      <w:start w:val="1"/>
      <w:numFmt w:val="lowerLetter"/>
      <w:lvlText w:val="%5)"/>
      <w:lvlJc w:val="left"/>
      <w:pPr>
        <w:ind w:left="2546" w:hanging="420"/>
      </w:pPr>
    </w:lvl>
    <w:lvl w:ilvl="5" w:tentative="0">
      <w:start w:val="1"/>
      <w:numFmt w:val="lowerRoman"/>
      <w:lvlText w:val="%6."/>
      <w:lvlJc w:val="right"/>
      <w:pPr>
        <w:ind w:left="2966" w:hanging="420"/>
      </w:pPr>
    </w:lvl>
    <w:lvl w:ilvl="6" w:tentative="0">
      <w:start w:val="1"/>
      <w:numFmt w:val="decimal"/>
      <w:lvlText w:val="%7."/>
      <w:lvlJc w:val="left"/>
      <w:pPr>
        <w:ind w:left="3386" w:hanging="420"/>
      </w:pPr>
    </w:lvl>
    <w:lvl w:ilvl="7" w:tentative="0">
      <w:start w:val="1"/>
      <w:numFmt w:val="lowerLetter"/>
      <w:lvlText w:val="%8)"/>
      <w:lvlJc w:val="left"/>
      <w:pPr>
        <w:ind w:left="3806" w:hanging="420"/>
      </w:pPr>
    </w:lvl>
    <w:lvl w:ilvl="8" w:tentative="0">
      <w:start w:val="1"/>
      <w:numFmt w:val="lowerRoman"/>
      <w:lvlText w:val="%9."/>
      <w:lvlJc w:val="right"/>
      <w:pPr>
        <w:ind w:left="4226" w:hanging="420"/>
      </w:pPr>
    </w:lvl>
  </w:abstractNum>
  <w:abstractNum w:abstractNumId="6">
    <w:nsid w:val="5457D288"/>
    <w:multiLevelType w:val="singleLevel"/>
    <w:tmpl w:val="5457D288"/>
    <w:lvl w:ilvl="0" w:tentative="0">
      <w:start w:val="1"/>
      <w:numFmt w:val="decimal"/>
      <w:suff w:val="nothing"/>
      <w:lvlText w:val="%1、"/>
      <w:lvlJc w:val="left"/>
    </w:lvl>
  </w:abstractNum>
  <w:abstractNum w:abstractNumId="7">
    <w:nsid w:val="580ED73C"/>
    <w:multiLevelType w:val="singleLevel"/>
    <w:tmpl w:val="580ED73C"/>
    <w:lvl w:ilvl="0" w:tentative="0">
      <w:start w:val="2"/>
      <w:numFmt w:val="chineseCounting"/>
      <w:suff w:val="nothing"/>
      <w:lvlText w:val="%1、"/>
      <w:lvlJc w:val="left"/>
    </w:lvl>
  </w:abstractNum>
  <w:abstractNum w:abstractNumId="8">
    <w:nsid w:val="711B6112"/>
    <w:multiLevelType w:val="multilevel"/>
    <w:tmpl w:val="711B6112"/>
    <w:lvl w:ilvl="0" w:tentative="0">
      <w:start w:val="1"/>
      <w:numFmt w:val="decimal"/>
      <w:lvlText w:val="%1、"/>
      <w:lvlJc w:val="left"/>
      <w:pPr>
        <w:ind w:left="420" w:hanging="420"/>
      </w:pPr>
      <w:rPr>
        <w:rFonts w:ascii="宋体" w:hAnsi="宋体" w:eastAsia="宋体"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73FC5F80"/>
    <w:multiLevelType w:val="multilevel"/>
    <w:tmpl w:val="73FC5F80"/>
    <w:lvl w:ilvl="0" w:tentative="0">
      <w:start w:val="1"/>
      <w:numFmt w:val="decimal"/>
      <w:lvlText w:val="(%1)"/>
      <w:lvlJc w:val="left"/>
      <w:pPr>
        <w:ind w:left="866" w:hanging="420"/>
      </w:pPr>
      <w:rPr>
        <w:rFonts w:hint="eastAsia"/>
      </w:rPr>
    </w:lvl>
    <w:lvl w:ilvl="1" w:tentative="0">
      <w:start w:val="1"/>
      <w:numFmt w:val="lowerLetter"/>
      <w:lvlText w:val="%2)"/>
      <w:lvlJc w:val="left"/>
      <w:pPr>
        <w:ind w:left="1286" w:hanging="420"/>
      </w:pPr>
    </w:lvl>
    <w:lvl w:ilvl="2" w:tentative="0">
      <w:start w:val="1"/>
      <w:numFmt w:val="lowerRoman"/>
      <w:lvlText w:val="%3."/>
      <w:lvlJc w:val="right"/>
      <w:pPr>
        <w:ind w:left="1706" w:hanging="420"/>
      </w:pPr>
    </w:lvl>
    <w:lvl w:ilvl="3" w:tentative="0">
      <w:start w:val="1"/>
      <w:numFmt w:val="decimal"/>
      <w:lvlText w:val="%4."/>
      <w:lvlJc w:val="left"/>
      <w:pPr>
        <w:ind w:left="2126" w:hanging="420"/>
      </w:pPr>
    </w:lvl>
    <w:lvl w:ilvl="4" w:tentative="0">
      <w:start w:val="1"/>
      <w:numFmt w:val="lowerLetter"/>
      <w:lvlText w:val="%5)"/>
      <w:lvlJc w:val="left"/>
      <w:pPr>
        <w:ind w:left="2546" w:hanging="420"/>
      </w:pPr>
    </w:lvl>
    <w:lvl w:ilvl="5" w:tentative="0">
      <w:start w:val="1"/>
      <w:numFmt w:val="lowerRoman"/>
      <w:lvlText w:val="%6."/>
      <w:lvlJc w:val="right"/>
      <w:pPr>
        <w:ind w:left="2966" w:hanging="420"/>
      </w:pPr>
    </w:lvl>
    <w:lvl w:ilvl="6" w:tentative="0">
      <w:start w:val="1"/>
      <w:numFmt w:val="decimal"/>
      <w:lvlText w:val="%7."/>
      <w:lvlJc w:val="left"/>
      <w:pPr>
        <w:ind w:left="3386" w:hanging="420"/>
      </w:pPr>
    </w:lvl>
    <w:lvl w:ilvl="7" w:tentative="0">
      <w:start w:val="1"/>
      <w:numFmt w:val="lowerLetter"/>
      <w:lvlText w:val="%8)"/>
      <w:lvlJc w:val="left"/>
      <w:pPr>
        <w:ind w:left="3806" w:hanging="420"/>
      </w:pPr>
    </w:lvl>
    <w:lvl w:ilvl="8" w:tentative="0">
      <w:start w:val="1"/>
      <w:numFmt w:val="lowerRoman"/>
      <w:lvlText w:val="%9."/>
      <w:lvlJc w:val="right"/>
      <w:pPr>
        <w:ind w:left="4226" w:hanging="420"/>
      </w:pPr>
    </w:lvl>
  </w:abstractNum>
  <w:abstractNum w:abstractNumId="10">
    <w:nsid w:val="751901F2"/>
    <w:multiLevelType w:val="multilevel"/>
    <w:tmpl w:val="751901F2"/>
    <w:lvl w:ilvl="0" w:tentative="0">
      <w:start w:val="1"/>
      <w:numFmt w:val="decimal"/>
      <w:lvlText w:val="%1、"/>
      <w:lvlJc w:val="left"/>
      <w:pPr>
        <w:tabs>
          <w:tab w:val="left" w:pos="816"/>
        </w:tabs>
        <w:ind w:left="816" w:hanging="420"/>
      </w:pPr>
      <w:rPr>
        <w:rFonts w:ascii="Times New Roman" w:hAnsi="Times New Roman" w:eastAsia="Times New Roman" w:cs="Times New Roman"/>
      </w:rPr>
    </w:lvl>
    <w:lvl w:ilvl="1" w:tentative="0">
      <w:start w:val="1"/>
      <w:numFmt w:val="lowerLetter"/>
      <w:lvlText w:val="%2)"/>
      <w:lvlJc w:val="left"/>
      <w:pPr>
        <w:tabs>
          <w:tab w:val="left" w:pos="1236"/>
        </w:tabs>
        <w:ind w:left="1236" w:hanging="420"/>
      </w:pPr>
    </w:lvl>
    <w:lvl w:ilvl="2" w:tentative="0">
      <w:start w:val="1"/>
      <w:numFmt w:val="lowerRoman"/>
      <w:lvlText w:val="%3."/>
      <w:lvlJc w:val="right"/>
      <w:pPr>
        <w:tabs>
          <w:tab w:val="left" w:pos="1656"/>
        </w:tabs>
        <w:ind w:left="1656" w:hanging="420"/>
      </w:pPr>
    </w:lvl>
    <w:lvl w:ilvl="3" w:tentative="0">
      <w:start w:val="1"/>
      <w:numFmt w:val="decimal"/>
      <w:lvlText w:val="%4."/>
      <w:lvlJc w:val="left"/>
      <w:pPr>
        <w:tabs>
          <w:tab w:val="left" w:pos="2076"/>
        </w:tabs>
        <w:ind w:left="2076" w:hanging="420"/>
      </w:pPr>
    </w:lvl>
    <w:lvl w:ilvl="4" w:tentative="0">
      <w:start w:val="1"/>
      <w:numFmt w:val="lowerLetter"/>
      <w:lvlText w:val="%5)"/>
      <w:lvlJc w:val="left"/>
      <w:pPr>
        <w:tabs>
          <w:tab w:val="left" w:pos="2496"/>
        </w:tabs>
        <w:ind w:left="2496" w:hanging="420"/>
      </w:pPr>
    </w:lvl>
    <w:lvl w:ilvl="5" w:tentative="0">
      <w:start w:val="1"/>
      <w:numFmt w:val="lowerRoman"/>
      <w:lvlText w:val="%6."/>
      <w:lvlJc w:val="right"/>
      <w:pPr>
        <w:tabs>
          <w:tab w:val="left" w:pos="2916"/>
        </w:tabs>
        <w:ind w:left="2916" w:hanging="420"/>
      </w:pPr>
    </w:lvl>
    <w:lvl w:ilvl="6" w:tentative="0">
      <w:start w:val="1"/>
      <w:numFmt w:val="decimal"/>
      <w:lvlText w:val="%7."/>
      <w:lvlJc w:val="left"/>
      <w:pPr>
        <w:tabs>
          <w:tab w:val="left" w:pos="3336"/>
        </w:tabs>
        <w:ind w:left="3336" w:hanging="420"/>
      </w:pPr>
    </w:lvl>
    <w:lvl w:ilvl="7" w:tentative="0">
      <w:start w:val="1"/>
      <w:numFmt w:val="lowerLetter"/>
      <w:lvlText w:val="%8)"/>
      <w:lvlJc w:val="left"/>
      <w:pPr>
        <w:tabs>
          <w:tab w:val="left" w:pos="3756"/>
        </w:tabs>
        <w:ind w:left="3756" w:hanging="420"/>
      </w:pPr>
    </w:lvl>
    <w:lvl w:ilvl="8" w:tentative="0">
      <w:start w:val="1"/>
      <w:numFmt w:val="lowerRoman"/>
      <w:lvlText w:val="%9."/>
      <w:lvlJc w:val="right"/>
      <w:pPr>
        <w:tabs>
          <w:tab w:val="left" w:pos="4176"/>
        </w:tabs>
        <w:ind w:left="4176" w:hanging="420"/>
      </w:pPr>
    </w:lvl>
  </w:abstractNum>
  <w:abstractNum w:abstractNumId="11">
    <w:nsid w:val="763060DB"/>
    <w:multiLevelType w:val="multilevel"/>
    <w:tmpl w:val="763060DB"/>
    <w:lvl w:ilvl="0" w:tentative="0">
      <w:start w:val="1"/>
      <w:numFmt w:val="japaneseCounting"/>
      <w:lvlText w:val="第%1章"/>
      <w:lvlJc w:val="left"/>
      <w:pPr>
        <w:tabs>
          <w:tab w:val="left" w:pos="1440"/>
        </w:tabs>
        <w:ind w:left="1440" w:hanging="1275"/>
      </w:pPr>
      <w:rPr>
        <w:rFonts w:hint="eastAsia"/>
      </w:rPr>
    </w:lvl>
    <w:lvl w:ilvl="1" w:tentative="0">
      <w:start w:val="1"/>
      <w:numFmt w:val="japaneseCounting"/>
      <w:lvlText w:val="%2、"/>
      <w:lvlJc w:val="left"/>
      <w:pPr>
        <w:tabs>
          <w:tab w:val="left" w:pos="1305"/>
        </w:tabs>
        <w:ind w:left="1305" w:hanging="720"/>
      </w:pPr>
      <w:rPr>
        <w:rFonts w:hint="eastAsia"/>
      </w:rPr>
    </w:lvl>
    <w:lvl w:ilvl="2" w:tentative="0">
      <w:start w:val="1"/>
      <w:numFmt w:val="lowerRoman"/>
      <w:lvlText w:val="%3."/>
      <w:lvlJc w:val="right"/>
      <w:pPr>
        <w:tabs>
          <w:tab w:val="left" w:pos="1425"/>
        </w:tabs>
        <w:ind w:left="1425" w:hanging="420"/>
      </w:pPr>
    </w:lvl>
    <w:lvl w:ilvl="3" w:tentative="0">
      <w:start w:val="1"/>
      <w:numFmt w:val="decimal"/>
      <w:lvlText w:val="%4."/>
      <w:lvlJc w:val="left"/>
      <w:pPr>
        <w:tabs>
          <w:tab w:val="left" w:pos="1845"/>
        </w:tabs>
        <w:ind w:left="1845" w:hanging="420"/>
      </w:pPr>
    </w:lvl>
    <w:lvl w:ilvl="4" w:tentative="0">
      <w:start w:val="1"/>
      <w:numFmt w:val="lowerLetter"/>
      <w:lvlText w:val="%5)"/>
      <w:lvlJc w:val="left"/>
      <w:pPr>
        <w:tabs>
          <w:tab w:val="left" w:pos="2265"/>
        </w:tabs>
        <w:ind w:left="2265" w:hanging="420"/>
      </w:pPr>
    </w:lvl>
    <w:lvl w:ilvl="5" w:tentative="0">
      <w:start w:val="1"/>
      <w:numFmt w:val="lowerRoman"/>
      <w:lvlText w:val="%6."/>
      <w:lvlJc w:val="right"/>
      <w:pPr>
        <w:tabs>
          <w:tab w:val="left" w:pos="2685"/>
        </w:tabs>
        <w:ind w:left="2685" w:hanging="420"/>
      </w:pPr>
    </w:lvl>
    <w:lvl w:ilvl="6" w:tentative="0">
      <w:start w:val="1"/>
      <w:numFmt w:val="decimal"/>
      <w:lvlText w:val="%7."/>
      <w:lvlJc w:val="left"/>
      <w:pPr>
        <w:tabs>
          <w:tab w:val="left" w:pos="3105"/>
        </w:tabs>
        <w:ind w:left="3105" w:hanging="420"/>
      </w:pPr>
    </w:lvl>
    <w:lvl w:ilvl="7" w:tentative="0">
      <w:start w:val="1"/>
      <w:numFmt w:val="lowerLetter"/>
      <w:lvlText w:val="%8)"/>
      <w:lvlJc w:val="left"/>
      <w:pPr>
        <w:tabs>
          <w:tab w:val="left" w:pos="3525"/>
        </w:tabs>
        <w:ind w:left="3525" w:hanging="420"/>
      </w:pPr>
    </w:lvl>
    <w:lvl w:ilvl="8" w:tentative="0">
      <w:start w:val="1"/>
      <w:numFmt w:val="lowerRoman"/>
      <w:lvlText w:val="%9."/>
      <w:lvlJc w:val="right"/>
      <w:pPr>
        <w:tabs>
          <w:tab w:val="left" w:pos="3945"/>
        </w:tabs>
        <w:ind w:left="3945" w:hanging="420"/>
      </w:pPr>
    </w:lvl>
  </w:abstractNum>
  <w:num w:numId="1">
    <w:abstractNumId w:val="1"/>
  </w:num>
  <w:num w:numId="2">
    <w:abstractNumId w:val="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9"/>
  </w:num>
  <w:num w:numId="7">
    <w:abstractNumId w:val="10"/>
  </w:num>
  <w:num w:numId="8">
    <w:abstractNumId w:val="4"/>
  </w:num>
  <w:num w:numId="9">
    <w:abstractNumId w:val="6"/>
  </w:num>
  <w:num w:numId="10">
    <w:abstractNumId w:val="7"/>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1"/>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okNames" w:val="year1_2;filetype1_2"/>
    <w:docVar w:name="CurUserName" w:val="采购监管处收发室"/>
    <w:docVar w:name="DeleteMarces" w:val="False"/>
    <w:docVar w:name="DocName" w:val="0EF90D4B09DBFB9E4825742B0028ACBF_1.doc"/>
    <w:docVar w:name="haha" w:val="100"/>
    <w:docVar w:name="NewInfo" w:val="〔2009〕20&amp;;&amp;浙财采监字"/>
    <w:docVar w:name="OldInfo" w:val=" "/>
    <w:docVar w:name="SplitTool" w:val="False"/>
    <w:docVar w:name="TitleStr" w:val="浙江省财政厅;文件;"/>
    <w:docVar w:name="TrackMark" w:val="1"/>
  </w:docVars>
  <w:rsids>
    <w:rsidRoot w:val="003C2C17"/>
    <w:rsid w:val="0000067E"/>
    <w:rsid w:val="00001DFE"/>
    <w:rsid w:val="000024ED"/>
    <w:rsid w:val="00002A75"/>
    <w:rsid w:val="0000366E"/>
    <w:rsid w:val="00004671"/>
    <w:rsid w:val="00007F70"/>
    <w:rsid w:val="00007F89"/>
    <w:rsid w:val="0001488D"/>
    <w:rsid w:val="00014BF0"/>
    <w:rsid w:val="00015E6A"/>
    <w:rsid w:val="00016536"/>
    <w:rsid w:val="00017174"/>
    <w:rsid w:val="00021037"/>
    <w:rsid w:val="00022C77"/>
    <w:rsid w:val="00023EB7"/>
    <w:rsid w:val="00024587"/>
    <w:rsid w:val="00026535"/>
    <w:rsid w:val="00026B3B"/>
    <w:rsid w:val="00026E18"/>
    <w:rsid w:val="00027137"/>
    <w:rsid w:val="00027550"/>
    <w:rsid w:val="00032F0B"/>
    <w:rsid w:val="00034F1A"/>
    <w:rsid w:val="000374E1"/>
    <w:rsid w:val="000406B3"/>
    <w:rsid w:val="000427CB"/>
    <w:rsid w:val="000437A2"/>
    <w:rsid w:val="0004438F"/>
    <w:rsid w:val="00045C7D"/>
    <w:rsid w:val="00046A61"/>
    <w:rsid w:val="000474B0"/>
    <w:rsid w:val="000515CE"/>
    <w:rsid w:val="000517F5"/>
    <w:rsid w:val="0005273D"/>
    <w:rsid w:val="00053EAA"/>
    <w:rsid w:val="000559EA"/>
    <w:rsid w:val="00055C58"/>
    <w:rsid w:val="00055C68"/>
    <w:rsid w:val="000602A9"/>
    <w:rsid w:val="000613CF"/>
    <w:rsid w:val="000657DA"/>
    <w:rsid w:val="00065DCE"/>
    <w:rsid w:val="00066619"/>
    <w:rsid w:val="00066C01"/>
    <w:rsid w:val="00070FD9"/>
    <w:rsid w:val="00074C93"/>
    <w:rsid w:val="00075F3F"/>
    <w:rsid w:val="00081FE6"/>
    <w:rsid w:val="000821FC"/>
    <w:rsid w:val="00085C2E"/>
    <w:rsid w:val="00091A4D"/>
    <w:rsid w:val="000938C1"/>
    <w:rsid w:val="00093B61"/>
    <w:rsid w:val="0009570A"/>
    <w:rsid w:val="000A0C4D"/>
    <w:rsid w:val="000A1A9A"/>
    <w:rsid w:val="000A2709"/>
    <w:rsid w:val="000A4BF3"/>
    <w:rsid w:val="000A5E85"/>
    <w:rsid w:val="000B2A22"/>
    <w:rsid w:val="000B4672"/>
    <w:rsid w:val="000B4ACC"/>
    <w:rsid w:val="000B4ACE"/>
    <w:rsid w:val="000B4D33"/>
    <w:rsid w:val="000B5568"/>
    <w:rsid w:val="000B788A"/>
    <w:rsid w:val="000C0BF5"/>
    <w:rsid w:val="000C23BF"/>
    <w:rsid w:val="000C5451"/>
    <w:rsid w:val="000C68C0"/>
    <w:rsid w:val="000D16CB"/>
    <w:rsid w:val="000D2EDB"/>
    <w:rsid w:val="000D3A3F"/>
    <w:rsid w:val="000D40B5"/>
    <w:rsid w:val="000D48AB"/>
    <w:rsid w:val="000D6756"/>
    <w:rsid w:val="000D6BD3"/>
    <w:rsid w:val="000D750E"/>
    <w:rsid w:val="000E06D3"/>
    <w:rsid w:val="000E087C"/>
    <w:rsid w:val="000E09F2"/>
    <w:rsid w:val="000E2423"/>
    <w:rsid w:val="000E4D2F"/>
    <w:rsid w:val="000E4E55"/>
    <w:rsid w:val="000E5D94"/>
    <w:rsid w:val="000E6BCA"/>
    <w:rsid w:val="000F1E65"/>
    <w:rsid w:val="000F1F54"/>
    <w:rsid w:val="000F39D5"/>
    <w:rsid w:val="000F3F8C"/>
    <w:rsid w:val="000F7059"/>
    <w:rsid w:val="00102F72"/>
    <w:rsid w:val="0010453D"/>
    <w:rsid w:val="00106430"/>
    <w:rsid w:val="0011021A"/>
    <w:rsid w:val="001105F1"/>
    <w:rsid w:val="00111A03"/>
    <w:rsid w:val="00112ADB"/>
    <w:rsid w:val="00113944"/>
    <w:rsid w:val="00115DDC"/>
    <w:rsid w:val="00115FC6"/>
    <w:rsid w:val="00116CF3"/>
    <w:rsid w:val="0011763F"/>
    <w:rsid w:val="001179D8"/>
    <w:rsid w:val="001216F0"/>
    <w:rsid w:val="00121A71"/>
    <w:rsid w:val="0012603C"/>
    <w:rsid w:val="00127228"/>
    <w:rsid w:val="0012733F"/>
    <w:rsid w:val="00130233"/>
    <w:rsid w:val="001303CF"/>
    <w:rsid w:val="00132887"/>
    <w:rsid w:val="0013399D"/>
    <w:rsid w:val="00135056"/>
    <w:rsid w:val="00141889"/>
    <w:rsid w:val="00142561"/>
    <w:rsid w:val="00142941"/>
    <w:rsid w:val="00142B9F"/>
    <w:rsid w:val="0014405B"/>
    <w:rsid w:val="0014424B"/>
    <w:rsid w:val="00146464"/>
    <w:rsid w:val="0015061F"/>
    <w:rsid w:val="00151FC2"/>
    <w:rsid w:val="00153A8D"/>
    <w:rsid w:val="0015568F"/>
    <w:rsid w:val="00156085"/>
    <w:rsid w:val="00156F4E"/>
    <w:rsid w:val="0015741A"/>
    <w:rsid w:val="00161306"/>
    <w:rsid w:val="0016145E"/>
    <w:rsid w:val="001639E3"/>
    <w:rsid w:val="00164A89"/>
    <w:rsid w:val="00165BEB"/>
    <w:rsid w:val="001705C7"/>
    <w:rsid w:val="00171889"/>
    <w:rsid w:val="0017202B"/>
    <w:rsid w:val="00172D1E"/>
    <w:rsid w:val="00173174"/>
    <w:rsid w:val="00173BAD"/>
    <w:rsid w:val="00174B68"/>
    <w:rsid w:val="00176187"/>
    <w:rsid w:val="0017641C"/>
    <w:rsid w:val="00177876"/>
    <w:rsid w:val="00181BB7"/>
    <w:rsid w:val="001828FA"/>
    <w:rsid w:val="0018296A"/>
    <w:rsid w:val="0018411A"/>
    <w:rsid w:val="0018457C"/>
    <w:rsid w:val="00184590"/>
    <w:rsid w:val="001909B3"/>
    <w:rsid w:val="00194798"/>
    <w:rsid w:val="00194D00"/>
    <w:rsid w:val="00194EB5"/>
    <w:rsid w:val="00195071"/>
    <w:rsid w:val="00196B0A"/>
    <w:rsid w:val="00196CF1"/>
    <w:rsid w:val="00196DD8"/>
    <w:rsid w:val="00197367"/>
    <w:rsid w:val="00197CB1"/>
    <w:rsid w:val="001A1024"/>
    <w:rsid w:val="001A1395"/>
    <w:rsid w:val="001A1400"/>
    <w:rsid w:val="001A1442"/>
    <w:rsid w:val="001A1877"/>
    <w:rsid w:val="001A5471"/>
    <w:rsid w:val="001A5614"/>
    <w:rsid w:val="001A7A75"/>
    <w:rsid w:val="001B1324"/>
    <w:rsid w:val="001B1653"/>
    <w:rsid w:val="001B2725"/>
    <w:rsid w:val="001B27D2"/>
    <w:rsid w:val="001B2D05"/>
    <w:rsid w:val="001B2D78"/>
    <w:rsid w:val="001B3777"/>
    <w:rsid w:val="001B4465"/>
    <w:rsid w:val="001B4811"/>
    <w:rsid w:val="001B601F"/>
    <w:rsid w:val="001B79BB"/>
    <w:rsid w:val="001C1826"/>
    <w:rsid w:val="001C1EFB"/>
    <w:rsid w:val="001C2553"/>
    <w:rsid w:val="001C50FA"/>
    <w:rsid w:val="001D08F8"/>
    <w:rsid w:val="001D0930"/>
    <w:rsid w:val="001D282B"/>
    <w:rsid w:val="001D353E"/>
    <w:rsid w:val="001D490F"/>
    <w:rsid w:val="001D5114"/>
    <w:rsid w:val="001D53F3"/>
    <w:rsid w:val="001D630A"/>
    <w:rsid w:val="001E4EF1"/>
    <w:rsid w:val="001E5732"/>
    <w:rsid w:val="001E5DE7"/>
    <w:rsid w:val="001E6511"/>
    <w:rsid w:val="001F0AE3"/>
    <w:rsid w:val="001F16B8"/>
    <w:rsid w:val="001F3141"/>
    <w:rsid w:val="001F6AA5"/>
    <w:rsid w:val="001F752F"/>
    <w:rsid w:val="00202DA1"/>
    <w:rsid w:val="0020466E"/>
    <w:rsid w:val="00205BBC"/>
    <w:rsid w:val="002105AF"/>
    <w:rsid w:val="00212883"/>
    <w:rsid w:val="0021356D"/>
    <w:rsid w:val="002148C1"/>
    <w:rsid w:val="0021594F"/>
    <w:rsid w:val="002163B3"/>
    <w:rsid w:val="00216477"/>
    <w:rsid w:val="00220B86"/>
    <w:rsid w:val="00221B0C"/>
    <w:rsid w:val="00221EDF"/>
    <w:rsid w:val="00223548"/>
    <w:rsid w:val="00223EFF"/>
    <w:rsid w:val="00224D1C"/>
    <w:rsid w:val="00225DA7"/>
    <w:rsid w:val="0022668C"/>
    <w:rsid w:val="002268E4"/>
    <w:rsid w:val="002314CB"/>
    <w:rsid w:val="002340C5"/>
    <w:rsid w:val="00235818"/>
    <w:rsid w:val="00237104"/>
    <w:rsid w:val="00237453"/>
    <w:rsid w:val="00237E72"/>
    <w:rsid w:val="00237FFA"/>
    <w:rsid w:val="00240D61"/>
    <w:rsid w:val="00244A71"/>
    <w:rsid w:val="00250750"/>
    <w:rsid w:val="00250B65"/>
    <w:rsid w:val="002517CE"/>
    <w:rsid w:val="002539EC"/>
    <w:rsid w:val="00254E94"/>
    <w:rsid w:val="00257B0B"/>
    <w:rsid w:val="00260E04"/>
    <w:rsid w:val="00261191"/>
    <w:rsid w:val="002659BD"/>
    <w:rsid w:val="002703B3"/>
    <w:rsid w:val="00271FF2"/>
    <w:rsid w:val="00272AF3"/>
    <w:rsid w:val="00273286"/>
    <w:rsid w:val="002776F8"/>
    <w:rsid w:val="002833BB"/>
    <w:rsid w:val="00286CBE"/>
    <w:rsid w:val="00290106"/>
    <w:rsid w:val="00290933"/>
    <w:rsid w:val="00290C2A"/>
    <w:rsid w:val="002934F0"/>
    <w:rsid w:val="002937A2"/>
    <w:rsid w:val="0029477A"/>
    <w:rsid w:val="00295A88"/>
    <w:rsid w:val="00295E09"/>
    <w:rsid w:val="00296763"/>
    <w:rsid w:val="0029714B"/>
    <w:rsid w:val="002A50F8"/>
    <w:rsid w:val="002A51B6"/>
    <w:rsid w:val="002A5570"/>
    <w:rsid w:val="002A6644"/>
    <w:rsid w:val="002A70C1"/>
    <w:rsid w:val="002A7E70"/>
    <w:rsid w:val="002B02BC"/>
    <w:rsid w:val="002B0F60"/>
    <w:rsid w:val="002B275F"/>
    <w:rsid w:val="002C00FD"/>
    <w:rsid w:val="002C11B0"/>
    <w:rsid w:val="002C3286"/>
    <w:rsid w:val="002C3A4C"/>
    <w:rsid w:val="002C3D69"/>
    <w:rsid w:val="002C45D9"/>
    <w:rsid w:val="002C61D4"/>
    <w:rsid w:val="002C7F46"/>
    <w:rsid w:val="002D2A1A"/>
    <w:rsid w:val="002D2CD7"/>
    <w:rsid w:val="002D3BFE"/>
    <w:rsid w:val="002D4382"/>
    <w:rsid w:val="002D70CA"/>
    <w:rsid w:val="002D7341"/>
    <w:rsid w:val="002E2A7B"/>
    <w:rsid w:val="002E2D3C"/>
    <w:rsid w:val="002E30A9"/>
    <w:rsid w:val="002E3F43"/>
    <w:rsid w:val="002E43C2"/>
    <w:rsid w:val="002E596E"/>
    <w:rsid w:val="002F0BE0"/>
    <w:rsid w:val="002F1CC9"/>
    <w:rsid w:val="002F4CA4"/>
    <w:rsid w:val="002F5D65"/>
    <w:rsid w:val="003103C0"/>
    <w:rsid w:val="003106C8"/>
    <w:rsid w:val="00312055"/>
    <w:rsid w:val="0031270A"/>
    <w:rsid w:val="00313754"/>
    <w:rsid w:val="00313FB3"/>
    <w:rsid w:val="00315487"/>
    <w:rsid w:val="00316E8A"/>
    <w:rsid w:val="00316FFC"/>
    <w:rsid w:val="0032153E"/>
    <w:rsid w:val="00322575"/>
    <w:rsid w:val="003236C2"/>
    <w:rsid w:val="00323AC6"/>
    <w:rsid w:val="00324439"/>
    <w:rsid w:val="00326C18"/>
    <w:rsid w:val="00330AB0"/>
    <w:rsid w:val="003362E7"/>
    <w:rsid w:val="00340D04"/>
    <w:rsid w:val="0034133B"/>
    <w:rsid w:val="00345DA5"/>
    <w:rsid w:val="00346753"/>
    <w:rsid w:val="003470D5"/>
    <w:rsid w:val="00347A9A"/>
    <w:rsid w:val="00352FF5"/>
    <w:rsid w:val="0035424F"/>
    <w:rsid w:val="00354498"/>
    <w:rsid w:val="003573E0"/>
    <w:rsid w:val="003575FF"/>
    <w:rsid w:val="00357CDB"/>
    <w:rsid w:val="00360E7C"/>
    <w:rsid w:val="00361A35"/>
    <w:rsid w:val="00361C67"/>
    <w:rsid w:val="003620A3"/>
    <w:rsid w:val="00363CAA"/>
    <w:rsid w:val="0036457A"/>
    <w:rsid w:val="003649E4"/>
    <w:rsid w:val="0036687D"/>
    <w:rsid w:val="003729CA"/>
    <w:rsid w:val="00373FD9"/>
    <w:rsid w:val="003756CB"/>
    <w:rsid w:val="0037667A"/>
    <w:rsid w:val="00377311"/>
    <w:rsid w:val="0037765F"/>
    <w:rsid w:val="00381DF5"/>
    <w:rsid w:val="00382066"/>
    <w:rsid w:val="00382BEC"/>
    <w:rsid w:val="00382D58"/>
    <w:rsid w:val="003847E0"/>
    <w:rsid w:val="0038788D"/>
    <w:rsid w:val="00390441"/>
    <w:rsid w:val="00390912"/>
    <w:rsid w:val="00391A91"/>
    <w:rsid w:val="00392E8F"/>
    <w:rsid w:val="0039433A"/>
    <w:rsid w:val="00395286"/>
    <w:rsid w:val="00397740"/>
    <w:rsid w:val="003A03DA"/>
    <w:rsid w:val="003A2FD3"/>
    <w:rsid w:val="003A3427"/>
    <w:rsid w:val="003A444A"/>
    <w:rsid w:val="003A5386"/>
    <w:rsid w:val="003A5C1E"/>
    <w:rsid w:val="003A67C6"/>
    <w:rsid w:val="003A6A5F"/>
    <w:rsid w:val="003A75A2"/>
    <w:rsid w:val="003B1237"/>
    <w:rsid w:val="003B2FB3"/>
    <w:rsid w:val="003B5777"/>
    <w:rsid w:val="003B6500"/>
    <w:rsid w:val="003C063D"/>
    <w:rsid w:val="003C2C17"/>
    <w:rsid w:val="003C3B2B"/>
    <w:rsid w:val="003D2237"/>
    <w:rsid w:val="003D43C1"/>
    <w:rsid w:val="003D4451"/>
    <w:rsid w:val="003D6CF4"/>
    <w:rsid w:val="003E0484"/>
    <w:rsid w:val="003E0B2F"/>
    <w:rsid w:val="003E4756"/>
    <w:rsid w:val="003E4C73"/>
    <w:rsid w:val="003E659C"/>
    <w:rsid w:val="003E733C"/>
    <w:rsid w:val="003F0CE4"/>
    <w:rsid w:val="003F0EC0"/>
    <w:rsid w:val="003F129B"/>
    <w:rsid w:val="003F2BEB"/>
    <w:rsid w:val="003F56F2"/>
    <w:rsid w:val="003F5EB5"/>
    <w:rsid w:val="003F6FE0"/>
    <w:rsid w:val="003F75C0"/>
    <w:rsid w:val="004016A7"/>
    <w:rsid w:val="0040388F"/>
    <w:rsid w:val="00403952"/>
    <w:rsid w:val="004039A2"/>
    <w:rsid w:val="004054D8"/>
    <w:rsid w:val="00411D4F"/>
    <w:rsid w:val="004134F3"/>
    <w:rsid w:val="0041356B"/>
    <w:rsid w:val="00415E52"/>
    <w:rsid w:val="00417647"/>
    <w:rsid w:val="00417FDE"/>
    <w:rsid w:val="0042173A"/>
    <w:rsid w:val="00421AF0"/>
    <w:rsid w:val="00421D79"/>
    <w:rsid w:val="00423F39"/>
    <w:rsid w:val="0042502E"/>
    <w:rsid w:val="00425634"/>
    <w:rsid w:val="004268A9"/>
    <w:rsid w:val="00427348"/>
    <w:rsid w:val="0043120E"/>
    <w:rsid w:val="004319EF"/>
    <w:rsid w:val="00431F48"/>
    <w:rsid w:val="004323CE"/>
    <w:rsid w:val="0043567A"/>
    <w:rsid w:val="00435D35"/>
    <w:rsid w:val="004437D2"/>
    <w:rsid w:val="0044432D"/>
    <w:rsid w:val="0044454E"/>
    <w:rsid w:val="004452AC"/>
    <w:rsid w:val="0044667F"/>
    <w:rsid w:val="0045059A"/>
    <w:rsid w:val="00450D40"/>
    <w:rsid w:val="00455AED"/>
    <w:rsid w:val="00456AAA"/>
    <w:rsid w:val="00460D84"/>
    <w:rsid w:val="00463392"/>
    <w:rsid w:val="00463EE7"/>
    <w:rsid w:val="00465F2B"/>
    <w:rsid w:val="00471C87"/>
    <w:rsid w:val="00472DE6"/>
    <w:rsid w:val="00473E27"/>
    <w:rsid w:val="00475B27"/>
    <w:rsid w:val="00481940"/>
    <w:rsid w:val="00483BC9"/>
    <w:rsid w:val="00484359"/>
    <w:rsid w:val="00486048"/>
    <w:rsid w:val="004911F0"/>
    <w:rsid w:val="00492963"/>
    <w:rsid w:val="00492E79"/>
    <w:rsid w:val="00496E4F"/>
    <w:rsid w:val="00497A43"/>
    <w:rsid w:val="004A0794"/>
    <w:rsid w:val="004A175B"/>
    <w:rsid w:val="004A1EB4"/>
    <w:rsid w:val="004A594F"/>
    <w:rsid w:val="004A5E46"/>
    <w:rsid w:val="004A7D8A"/>
    <w:rsid w:val="004B14CC"/>
    <w:rsid w:val="004B236D"/>
    <w:rsid w:val="004B309E"/>
    <w:rsid w:val="004B5D4F"/>
    <w:rsid w:val="004B6092"/>
    <w:rsid w:val="004B6CEE"/>
    <w:rsid w:val="004B6E2D"/>
    <w:rsid w:val="004B721F"/>
    <w:rsid w:val="004C3ADE"/>
    <w:rsid w:val="004C4234"/>
    <w:rsid w:val="004C48A1"/>
    <w:rsid w:val="004D0549"/>
    <w:rsid w:val="004D2961"/>
    <w:rsid w:val="004D2A4E"/>
    <w:rsid w:val="004D4582"/>
    <w:rsid w:val="004D47CC"/>
    <w:rsid w:val="004D4865"/>
    <w:rsid w:val="004D78F2"/>
    <w:rsid w:val="004D79C7"/>
    <w:rsid w:val="004E2DDC"/>
    <w:rsid w:val="004E6152"/>
    <w:rsid w:val="004E690A"/>
    <w:rsid w:val="004E6D63"/>
    <w:rsid w:val="004F014C"/>
    <w:rsid w:val="004F0E43"/>
    <w:rsid w:val="004F16F1"/>
    <w:rsid w:val="004F2A3D"/>
    <w:rsid w:val="004F4FC2"/>
    <w:rsid w:val="00501B7B"/>
    <w:rsid w:val="00507B24"/>
    <w:rsid w:val="005100FC"/>
    <w:rsid w:val="00510CA0"/>
    <w:rsid w:val="005123D6"/>
    <w:rsid w:val="0051626B"/>
    <w:rsid w:val="005178AE"/>
    <w:rsid w:val="005179CD"/>
    <w:rsid w:val="005204F0"/>
    <w:rsid w:val="00521130"/>
    <w:rsid w:val="00521A81"/>
    <w:rsid w:val="00523305"/>
    <w:rsid w:val="0052394E"/>
    <w:rsid w:val="005252AD"/>
    <w:rsid w:val="00530553"/>
    <w:rsid w:val="00531975"/>
    <w:rsid w:val="00532674"/>
    <w:rsid w:val="005354C5"/>
    <w:rsid w:val="00540347"/>
    <w:rsid w:val="00540EF4"/>
    <w:rsid w:val="00542B48"/>
    <w:rsid w:val="00543D44"/>
    <w:rsid w:val="00544075"/>
    <w:rsid w:val="00544658"/>
    <w:rsid w:val="00544EA5"/>
    <w:rsid w:val="00546D71"/>
    <w:rsid w:val="00550AA2"/>
    <w:rsid w:val="00552CA5"/>
    <w:rsid w:val="005536FC"/>
    <w:rsid w:val="00554574"/>
    <w:rsid w:val="005549D5"/>
    <w:rsid w:val="00556533"/>
    <w:rsid w:val="00556E00"/>
    <w:rsid w:val="00556EA3"/>
    <w:rsid w:val="005616E0"/>
    <w:rsid w:val="00565892"/>
    <w:rsid w:val="00565FC5"/>
    <w:rsid w:val="00567897"/>
    <w:rsid w:val="00570630"/>
    <w:rsid w:val="005709F6"/>
    <w:rsid w:val="00570F69"/>
    <w:rsid w:val="00571E04"/>
    <w:rsid w:val="00572FE8"/>
    <w:rsid w:val="00572FEB"/>
    <w:rsid w:val="00573947"/>
    <w:rsid w:val="00575151"/>
    <w:rsid w:val="005772FE"/>
    <w:rsid w:val="005774D6"/>
    <w:rsid w:val="0058177B"/>
    <w:rsid w:val="00586762"/>
    <w:rsid w:val="00587382"/>
    <w:rsid w:val="00587DBB"/>
    <w:rsid w:val="005909FE"/>
    <w:rsid w:val="005922EF"/>
    <w:rsid w:val="00595182"/>
    <w:rsid w:val="005951C1"/>
    <w:rsid w:val="00595B03"/>
    <w:rsid w:val="005972B4"/>
    <w:rsid w:val="005A38E8"/>
    <w:rsid w:val="005B1061"/>
    <w:rsid w:val="005B259F"/>
    <w:rsid w:val="005C0AB1"/>
    <w:rsid w:val="005C2B55"/>
    <w:rsid w:val="005C4419"/>
    <w:rsid w:val="005C6627"/>
    <w:rsid w:val="005D0A1D"/>
    <w:rsid w:val="005D144D"/>
    <w:rsid w:val="005D2AEB"/>
    <w:rsid w:val="005D36CB"/>
    <w:rsid w:val="005D4A93"/>
    <w:rsid w:val="005D4B60"/>
    <w:rsid w:val="005D54F6"/>
    <w:rsid w:val="005E0CF0"/>
    <w:rsid w:val="005E3CAA"/>
    <w:rsid w:val="005E73F3"/>
    <w:rsid w:val="005E7F67"/>
    <w:rsid w:val="005F1DB8"/>
    <w:rsid w:val="005F3A90"/>
    <w:rsid w:val="005F5E41"/>
    <w:rsid w:val="005F6317"/>
    <w:rsid w:val="005F6A47"/>
    <w:rsid w:val="005F6BAB"/>
    <w:rsid w:val="00604B71"/>
    <w:rsid w:val="00605199"/>
    <w:rsid w:val="00605959"/>
    <w:rsid w:val="0061058E"/>
    <w:rsid w:val="006105B6"/>
    <w:rsid w:val="0061064D"/>
    <w:rsid w:val="00611C63"/>
    <w:rsid w:val="00612105"/>
    <w:rsid w:val="00612A43"/>
    <w:rsid w:val="00613134"/>
    <w:rsid w:val="00614C4A"/>
    <w:rsid w:val="0061623C"/>
    <w:rsid w:val="00616968"/>
    <w:rsid w:val="0062057B"/>
    <w:rsid w:val="00621864"/>
    <w:rsid w:val="00622675"/>
    <w:rsid w:val="00624465"/>
    <w:rsid w:val="00625DF5"/>
    <w:rsid w:val="006260A7"/>
    <w:rsid w:val="00626DE6"/>
    <w:rsid w:val="0063316F"/>
    <w:rsid w:val="006343F6"/>
    <w:rsid w:val="0063509B"/>
    <w:rsid w:val="00635F16"/>
    <w:rsid w:val="00636043"/>
    <w:rsid w:val="006360F0"/>
    <w:rsid w:val="0063633D"/>
    <w:rsid w:val="00637AAE"/>
    <w:rsid w:val="006416EF"/>
    <w:rsid w:val="00641906"/>
    <w:rsid w:val="00641A02"/>
    <w:rsid w:val="00643341"/>
    <w:rsid w:val="006435D9"/>
    <w:rsid w:val="006438B8"/>
    <w:rsid w:val="006516A3"/>
    <w:rsid w:val="00651E67"/>
    <w:rsid w:val="006528D4"/>
    <w:rsid w:val="0065549C"/>
    <w:rsid w:val="006566F1"/>
    <w:rsid w:val="00662D0C"/>
    <w:rsid w:val="00670F28"/>
    <w:rsid w:val="00672659"/>
    <w:rsid w:val="006747B2"/>
    <w:rsid w:val="00675831"/>
    <w:rsid w:val="00677AA3"/>
    <w:rsid w:val="006818CF"/>
    <w:rsid w:val="0068268B"/>
    <w:rsid w:val="0068275B"/>
    <w:rsid w:val="00684107"/>
    <w:rsid w:val="006860A0"/>
    <w:rsid w:val="00687066"/>
    <w:rsid w:val="00687593"/>
    <w:rsid w:val="00692DC7"/>
    <w:rsid w:val="00692E58"/>
    <w:rsid w:val="006932C6"/>
    <w:rsid w:val="00693A77"/>
    <w:rsid w:val="00694DD6"/>
    <w:rsid w:val="0069567F"/>
    <w:rsid w:val="006A0440"/>
    <w:rsid w:val="006A0C95"/>
    <w:rsid w:val="006A246F"/>
    <w:rsid w:val="006A7084"/>
    <w:rsid w:val="006A755B"/>
    <w:rsid w:val="006B0740"/>
    <w:rsid w:val="006B19E6"/>
    <w:rsid w:val="006B25A7"/>
    <w:rsid w:val="006B4CAC"/>
    <w:rsid w:val="006B4EA6"/>
    <w:rsid w:val="006B5942"/>
    <w:rsid w:val="006B6863"/>
    <w:rsid w:val="006C246B"/>
    <w:rsid w:val="006C26AB"/>
    <w:rsid w:val="006C26EB"/>
    <w:rsid w:val="006D1BB3"/>
    <w:rsid w:val="006D2DC1"/>
    <w:rsid w:val="006D38A2"/>
    <w:rsid w:val="006D4187"/>
    <w:rsid w:val="006D4559"/>
    <w:rsid w:val="006D64E4"/>
    <w:rsid w:val="006D730F"/>
    <w:rsid w:val="006D7C81"/>
    <w:rsid w:val="006E08CC"/>
    <w:rsid w:val="006E2822"/>
    <w:rsid w:val="006E29CA"/>
    <w:rsid w:val="006E575E"/>
    <w:rsid w:val="006E6C18"/>
    <w:rsid w:val="006E7E68"/>
    <w:rsid w:val="006F1205"/>
    <w:rsid w:val="006F193F"/>
    <w:rsid w:val="006F2FED"/>
    <w:rsid w:val="006F37E9"/>
    <w:rsid w:val="006F3A58"/>
    <w:rsid w:val="006F5F92"/>
    <w:rsid w:val="00703E24"/>
    <w:rsid w:val="00704368"/>
    <w:rsid w:val="0070447F"/>
    <w:rsid w:val="00704FAD"/>
    <w:rsid w:val="0071235E"/>
    <w:rsid w:val="007139B5"/>
    <w:rsid w:val="00714ACA"/>
    <w:rsid w:val="00717412"/>
    <w:rsid w:val="00720C6B"/>
    <w:rsid w:val="007217A8"/>
    <w:rsid w:val="007243B8"/>
    <w:rsid w:val="00725E8D"/>
    <w:rsid w:val="007306EA"/>
    <w:rsid w:val="00731AF2"/>
    <w:rsid w:val="00732188"/>
    <w:rsid w:val="00732C22"/>
    <w:rsid w:val="0073611B"/>
    <w:rsid w:val="007405E9"/>
    <w:rsid w:val="00740B15"/>
    <w:rsid w:val="00743AA9"/>
    <w:rsid w:val="007502F8"/>
    <w:rsid w:val="00751A5B"/>
    <w:rsid w:val="007530BB"/>
    <w:rsid w:val="0075584E"/>
    <w:rsid w:val="00756533"/>
    <w:rsid w:val="00756CCE"/>
    <w:rsid w:val="007600F3"/>
    <w:rsid w:val="007603CC"/>
    <w:rsid w:val="0076048F"/>
    <w:rsid w:val="00760DC8"/>
    <w:rsid w:val="007615FC"/>
    <w:rsid w:val="0076341B"/>
    <w:rsid w:val="007640BE"/>
    <w:rsid w:val="00766008"/>
    <w:rsid w:val="007718EB"/>
    <w:rsid w:val="00772EDC"/>
    <w:rsid w:val="0077336C"/>
    <w:rsid w:val="00774F28"/>
    <w:rsid w:val="007757D2"/>
    <w:rsid w:val="00776358"/>
    <w:rsid w:val="00777063"/>
    <w:rsid w:val="00780F51"/>
    <w:rsid w:val="007822C3"/>
    <w:rsid w:val="00782721"/>
    <w:rsid w:val="00783130"/>
    <w:rsid w:val="00784064"/>
    <w:rsid w:val="00784786"/>
    <w:rsid w:val="00784ED1"/>
    <w:rsid w:val="007852A5"/>
    <w:rsid w:val="00787CA5"/>
    <w:rsid w:val="00790E71"/>
    <w:rsid w:val="0079316F"/>
    <w:rsid w:val="007A3E2B"/>
    <w:rsid w:val="007A415F"/>
    <w:rsid w:val="007A54A0"/>
    <w:rsid w:val="007A5572"/>
    <w:rsid w:val="007A5AAE"/>
    <w:rsid w:val="007A5B54"/>
    <w:rsid w:val="007A6412"/>
    <w:rsid w:val="007B0F2B"/>
    <w:rsid w:val="007B1EA6"/>
    <w:rsid w:val="007B2839"/>
    <w:rsid w:val="007B48AA"/>
    <w:rsid w:val="007B6FA4"/>
    <w:rsid w:val="007C1406"/>
    <w:rsid w:val="007C18F4"/>
    <w:rsid w:val="007C272B"/>
    <w:rsid w:val="007C27B6"/>
    <w:rsid w:val="007C289E"/>
    <w:rsid w:val="007C2D93"/>
    <w:rsid w:val="007C39F1"/>
    <w:rsid w:val="007C3B23"/>
    <w:rsid w:val="007C6DDB"/>
    <w:rsid w:val="007C766F"/>
    <w:rsid w:val="007D0AD7"/>
    <w:rsid w:val="007D3AB1"/>
    <w:rsid w:val="007D461C"/>
    <w:rsid w:val="007D482D"/>
    <w:rsid w:val="007D69DA"/>
    <w:rsid w:val="007D781D"/>
    <w:rsid w:val="007D7EBD"/>
    <w:rsid w:val="007E195C"/>
    <w:rsid w:val="007E1F64"/>
    <w:rsid w:val="007E3D1D"/>
    <w:rsid w:val="007E66B5"/>
    <w:rsid w:val="007E687C"/>
    <w:rsid w:val="007F11BC"/>
    <w:rsid w:val="007F1A90"/>
    <w:rsid w:val="007F5DBA"/>
    <w:rsid w:val="007F7959"/>
    <w:rsid w:val="0080036E"/>
    <w:rsid w:val="008004CF"/>
    <w:rsid w:val="00800ED2"/>
    <w:rsid w:val="00802148"/>
    <w:rsid w:val="00804717"/>
    <w:rsid w:val="00805477"/>
    <w:rsid w:val="00810D87"/>
    <w:rsid w:val="0081115A"/>
    <w:rsid w:val="00812A56"/>
    <w:rsid w:val="00812DAB"/>
    <w:rsid w:val="00815F2F"/>
    <w:rsid w:val="0081617D"/>
    <w:rsid w:val="008165D6"/>
    <w:rsid w:val="008174C3"/>
    <w:rsid w:val="00817BB2"/>
    <w:rsid w:val="00821210"/>
    <w:rsid w:val="008222CB"/>
    <w:rsid w:val="00822F84"/>
    <w:rsid w:val="00832F85"/>
    <w:rsid w:val="00836B8E"/>
    <w:rsid w:val="00837252"/>
    <w:rsid w:val="00841706"/>
    <w:rsid w:val="00841FCA"/>
    <w:rsid w:val="0084327B"/>
    <w:rsid w:val="008444B3"/>
    <w:rsid w:val="00846A0E"/>
    <w:rsid w:val="00850A77"/>
    <w:rsid w:val="00853859"/>
    <w:rsid w:val="008550C6"/>
    <w:rsid w:val="008553B9"/>
    <w:rsid w:val="00855DB8"/>
    <w:rsid w:val="00856713"/>
    <w:rsid w:val="00861ED8"/>
    <w:rsid w:val="0086315C"/>
    <w:rsid w:val="00865F0C"/>
    <w:rsid w:val="0086605E"/>
    <w:rsid w:val="008675A1"/>
    <w:rsid w:val="00870506"/>
    <w:rsid w:val="00870F29"/>
    <w:rsid w:val="0087122C"/>
    <w:rsid w:val="00871DFF"/>
    <w:rsid w:val="00876720"/>
    <w:rsid w:val="00876C5C"/>
    <w:rsid w:val="00877AF2"/>
    <w:rsid w:val="0088005B"/>
    <w:rsid w:val="008800C0"/>
    <w:rsid w:val="00880742"/>
    <w:rsid w:val="00881140"/>
    <w:rsid w:val="00886AEB"/>
    <w:rsid w:val="00887CA3"/>
    <w:rsid w:val="00887D20"/>
    <w:rsid w:val="00890C7D"/>
    <w:rsid w:val="00892394"/>
    <w:rsid w:val="00893DD6"/>
    <w:rsid w:val="0089577E"/>
    <w:rsid w:val="008A2A31"/>
    <w:rsid w:val="008A5AF3"/>
    <w:rsid w:val="008B35BF"/>
    <w:rsid w:val="008C41D8"/>
    <w:rsid w:val="008C6004"/>
    <w:rsid w:val="008D126B"/>
    <w:rsid w:val="008D24B8"/>
    <w:rsid w:val="008D3C76"/>
    <w:rsid w:val="008D4267"/>
    <w:rsid w:val="008D5360"/>
    <w:rsid w:val="008E3F66"/>
    <w:rsid w:val="008E50D0"/>
    <w:rsid w:val="008E51BA"/>
    <w:rsid w:val="008E76FA"/>
    <w:rsid w:val="008F23E7"/>
    <w:rsid w:val="008F736C"/>
    <w:rsid w:val="008F7507"/>
    <w:rsid w:val="008F78B7"/>
    <w:rsid w:val="008F7C5C"/>
    <w:rsid w:val="009000F4"/>
    <w:rsid w:val="00902D1A"/>
    <w:rsid w:val="0090342F"/>
    <w:rsid w:val="00907B93"/>
    <w:rsid w:val="00911338"/>
    <w:rsid w:val="00911436"/>
    <w:rsid w:val="00911779"/>
    <w:rsid w:val="0091392D"/>
    <w:rsid w:val="00914E53"/>
    <w:rsid w:val="009154C9"/>
    <w:rsid w:val="00915854"/>
    <w:rsid w:val="00922048"/>
    <w:rsid w:val="00922575"/>
    <w:rsid w:val="00922FF9"/>
    <w:rsid w:val="00923E08"/>
    <w:rsid w:val="00924C7D"/>
    <w:rsid w:val="00925282"/>
    <w:rsid w:val="0092614C"/>
    <w:rsid w:val="009262AF"/>
    <w:rsid w:val="00934AD9"/>
    <w:rsid w:val="009353F1"/>
    <w:rsid w:val="00937F79"/>
    <w:rsid w:val="00940AA8"/>
    <w:rsid w:val="0094160F"/>
    <w:rsid w:val="009424C2"/>
    <w:rsid w:val="00942C45"/>
    <w:rsid w:val="00946352"/>
    <w:rsid w:val="00946858"/>
    <w:rsid w:val="00947CF7"/>
    <w:rsid w:val="0095258A"/>
    <w:rsid w:val="00953406"/>
    <w:rsid w:val="00953E49"/>
    <w:rsid w:val="00954113"/>
    <w:rsid w:val="00954CC4"/>
    <w:rsid w:val="00954EF5"/>
    <w:rsid w:val="00955977"/>
    <w:rsid w:val="00955C23"/>
    <w:rsid w:val="0096183A"/>
    <w:rsid w:val="00966D30"/>
    <w:rsid w:val="00971227"/>
    <w:rsid w:val="0097152A"/>
    <w:rsid w:val="00972FEB"/>
    <w:rsid w:val="00974EC0"/>
    <w:rsid w:val="009773F7"/>
    <w:rsid w:val="00980C07"/>
    <w:rsid w:val="009812E9"/>
    <w:rsid w:val="009815E1"/>
    <w:rsid w:val="00982862"/>
    <w:rsid w:val="009829F9"/>
    <w:rsid w:val="009857D6"/>
    <w:rsid w:val="00986E3E"/>
    <w:rsid w:val="009873DC"/>
    <w:rsid w:val="0098754D"/>
    <w:rsid w:val="00987CEE"/>
    <w:rsid w:val="00990308"/>
    <w:rsid w:val="00990955"/>
    <w:rsid w:val="0099385C"/>
    <w:rsid w:val="009A0194"/>
    <w:rsid w:val="009A289D"/>
    <w:rsid w:val="009A6A50"/>
    <w:rsid w:val="009B56D9"/>
    <w:rsid w:val="009B6C46"/>
    <w:rsid w:val="009C19A4"/>
    <w:rsid w:val="009C3526"/>
    <w:rsid w:val="009C5D12"/>
    <w:rsid w:val="009C5D65"/>
    <w:rsid w:val="009C774D"/>
    <w:rsid w:val="009D1F51"/>
    <w:rsid w:val="009D32B9"/>
    <w:rsid w:val="009D3660"/>
    <w:rsid w:val="009D6971"/>
    <w:rsid w:val="009D6E4F"/>
    <w:rsid w:val="009D7C64"/>
    <w:rsid w:val="009E18B7"/>
    <w:rsid w:val="009E1D79"/>
    <w:rsid w:val="009E1E76"/>
    <w:rsid w:val="009E220A"/>
    <w:rsid w:val="009E3F74"/>
    <w:rsid w:val="009F1AD3"/>
    <w:rsid w:val="009F4E80"/>
    <w:rsid w:val="009F70B0"/>
    <w:rsid w:val="00A006C9"/>
    <w:rsid w:val="00A01F58"/>
    <w:rsid w:val="00A03CD4"/>
    <w:rsid w:val="00A042DA"/>
    <w:rsid w:val="00A04598"/>
    <w:rsid w:val="00A07182"/>
    <w:rsid w:val="00A07A64"/>
    <w:rsid w:val="00A10A3A"/>
    <w:rsid w:val="00A143EC"/>
    <w:rsid w:val="00A15564"/>
    <w:rsid w:val="00A16560"/>
    <w:rsid w:val="00A1759E"/>
    <w:rsid w:val="00A21299"/>
    <w:rsid w:val="00A21A08"/>
    <w:rsid w:val="00A22614"/>
    <w:rsid w:val="00A234F0"/>
    <w:rsid w:val="00A24404"/>
    <w:rsid w:val="00A267F4"/>
    <w:rsid w:val="00A3032B"/>
    <w:rsid w:val="00A31177"/>
    <w:rsid w:val="00A32121"/>
    <w:rsid w:val="00A32986"/>
    <w:rsid w:val="00A3425A"/>
    <w:rsid w:val="00A35DEA"/>
    <w:rsid w:val="00A417D5"/>
    <w:rsid w:val="00A4344D"/>
    <w:rsid w:val="00A45C58"/>
    <w:rsid w:val="00A463A4"/>
    <w:rsid w:val="00A475BE"/>
    <w:rsid w:val="00A47704"/>
    <w:rsid w:val="00A50E4C"/>
    <w:rsid w:val="00A5116F"/>
    <w:rsid w:val="00A54619"/>
    <w:rsid w:val="00A5499A"/>
    <w:rsid w:val="00A611E3"/>
    <w:rsid w:val="00A61B89"/>
    <w:rsid w:val="00A63176"/>
    <w:rsid w:val="00A63CCC"/>
    <w:rsid w:val="00A658F9"/>
    <w:rsid w:val="00A701FE"/>
    <w:rsid w:val="00A71E10"/>
    <w:rsid w:val="00A72471"/>
    <w:rsid w:val="00A7381E"/>
    <w:rsid w:val="00A73F73"/>
    <w:rsid w:val="00A75813"/>
    <w:rsid w:val="00A801A7"/>
    <w:rsid w:val="00A8349F"/>
    <w:rsid w:val="00A83602"/>
    <w:rsid w:val="00A857DE"/>
    <w:rsid w:val="00A85A64"/>
    <w:rsid w:val="00A85CBF"/>
    <w:rsid w:val="00A86A44"/>
    <w:rsid w:val="00A8777D"/>
    <w:rsid w:val="00A9021B"/>
    <w:rsid w:val="00A903B1"/>
    <w:rsid w:val="00A906D6"/>
    <w:rsid w:val="00A92EFF"/>
    <w:rsid w:val="00A93C29"/>
    <w:rsid w:val="00A9699F"/>
    <w:rsid w:val="00AA04D5"/>
    <w:rsid w:val="00AA0F96"/>
    <w:rsid w:val="00AA3C3B"/>
    <w:rsid w:val="00AA45B7"/>
    <w:rsid w:val="00AA595A"/>
    <w:rsid w:val="00AA5B75"/>
    <w:rsid w:val="00AB0446"/>
    <w:rsid w:val="00AB122F"/>
    <w:rsid w:val="00AB199A"/>
    <w:rsid w:val="00AB40E5"/>
    <w:rsid w:val="00AB4BFA"/>
    <w:rsid w:val="00AB6C51"/>
    <w:rsid w:val="00AB6FD9"/>
    <w:rsid w:val="00AC1F6C"/>
    <w:rsid w:val="00AC32E4"/>
    <w:rsid w:val="00AC4E6D"/>
    <w:rsid w:val="00AC65F2"/>
    <w:rsid w:val="00AC77C5"/>
    <w:rsid w:val="00AD0074"/>
    <w:rsid w:val="00AD3BB8"/>
    <w:rsid w:val="00AD3C61"/>
    <w:rsid w:val="00AD435B"/>
    <w:rsid w:val="00AD4675"/>
    <w:rsid w:val="00AD4845"/>
    <w:rsid w:val="00AD6AC5"/>
    <w:rsid w:val="00AE0B4E"/>
    <w:rsid w:val="00AE0D00"/>
    <w:rsid w:val="00AE20FD"/>
    <w:rsid w:val="00AE30EA"/>
    <w:rsid w:val="00AE4982"/>
    <w:rsid w:val="00AE51CC"/>
    <w:rsid w:val="00AE567C"/>
    <w:rsid w:val="00AE5B76"/>
    <w:rsid w:val="00AE6074"/>
    <w:rsid w:val="00AF1A64"/>
    <w:rsid w:val="00AF3919"/>
    <w:rsid w:val="00AF4349"/>
    <w:rsid w:val="00AF5B03"/>
    <w:rsid w:val="00AF6762"/>
    <w:rsid w:val="00B01769"/>
    <w:rsid w:val="00B0177F"/>
    <w:rsid w:val="00B019A3"/>
    <w:rsid w:val="00B02C6B"/>
    <w:rsid w:val="00B04F8F"/>
    <w:rsid w:val="00B06D91"/>
    <w:rsid w:val="00B10311"/>
    <w:rsid w:val="00B10E2D"/>
    <w:rsid w:val="00B138FE"/>
    <w:rsid w:val="00B14497"/>
    <w:rsid w:val="00B15F35"/>
    <w:rsid w:val="00B226EB"/>
    <w:rsid w:val="00B25DDA"/>
    <w:rsid w:val="00B2638B"/>
    <w:rsid w:val="00B27A37"/>
    <w:rsid w:val="00B27A68"/>
    <w:rsid w:val="00B30912"/>
    <w:rsid w:val="00B30C6D"/>
    <w:rsid w:val="00B31AC9"/>
    <w:rsid w:val="00B331EB"/>
    <w:rsid w:val="00B40A7A"/>
    <w:rsid w:val="00B40D17"/>
    <w:rsid w:val="00B4181B"/>
    <w:rsid w:val="00B42735"/>
    <w:rsid w:val="00B43367"/>
    <w:rsid w:val="00B439B7"/>
    <w:rsid w:val="00B44A32"/>
    <w:rsid w:val="00B45CA3"/>
    <w:rsid w:val="00B4606A"/>
    <w:rsid w:val="00B46AC5"/>
    <w:rsid w:val="00B47F5E"/>
    <w:rsid w:val="00B5198B"/>
    <w:rsid w:val="00B521E9"/>
    <w:rsid w:val="00B53D57"/>
    <w:rsid w:val="00B602F3"/>
    <w:rsid w:val="00B63223"/>
    <w:rsid w:val="00B63452"/>
    <w:rsid w:val="00B64BEE"/>
    <w:rsid w:val="00B66CC5"/>
    <w:rsid w:val="00B677DA"/>
    <w:rsid w:val="00B67E77"/>
    <w:rsid w:val="00B70A1A"/>
    <w:rsid w:val="00B71BE8"/>
    <w:rsid w:val="00B74A7C"/>
    <w:rsid w:val="00B800B5"/>
    <w:rsid w:val="00B815D9"/>
    <w:rsid w:val="00B85028"/>
    <w:rsid w:val="00B85633"/>
    <w:rsid w:val="00B85659"/>
    <w:rsid w:val="00B85B4C"/>
    <w:rsid w:val="00B8658B"/>
    <w:rsid w:val="00B87D7B"/>
    <w:rsid w:val="00B90B07"/>
    <w:rsid w:val="00B957E1"/>
    <w:rsid w:val="00BA0042"/>
    <w:rsid w:val="00BA07F7"/>
    <w:rsid w:val="00BA0FD0"/>
    <w:rsid w:val="00BA3A47"/>
    <w:rsid w:val="00BA5738"/>
    <w:rsid w:val="00BB2E7F"/>
    <w:rsid w:val="00BC12A6"/>
    <w:rsid w:val="00BC1610"/>
    <w:rsid w:val="00BC2742"/>
    <w:rsid w:val="00BC28DF"/>
    <w:rsid w:val="00BC2A13"/>
    <w:rsid w:val="00BC4D27"/>
    <w:rsid w:val="00BC63DB"/>
    <w:rsid w:val="00BC6713"/>
    <w:rsid w:val="00BC6C16"/>
    <w:rsid w:val="00BD04E5"/>
    <w:rsid w:val="00BD0B93"/>
    <w:rsid w:val="00BD1223"/>
    <w:rsid w:val="00BD3C94"/>
    <w:rsid w:val="00BD5B31"/>
    <w:rsid w:val="00BD7BB9"/>
    <w:rsid w:val="00BE1C86"/>
    <w:rsid w:val="00BE3865"/>
    <w:rsid w:val="00BE54E3"/>
    <w:rsid w:val="00BE6E63"/>
    <w:rsid w:val="00BE7EB3"/>
    <w:rsid w:val="00BF089E"/>
    <w:rsid w:val="00BF0DD4"/>
    <w:rsid w:val="00BF36A9"/>
    <w:rsid w:val="00BF38CB"/>
    <w:rsid w:val="00BF3C38"/>
    <w:rsid w:val="00BF6E22"/>
    <w:rsid w:val="00C00578"/>
    <w:rsid w:val="00C0107B"/>
    <w:rsid w:val="00C03144"/>
    <w:rsid w:val="00C04006"/>
    <w:rsid w:val="00C04A98"/>
    <w:rsid w:val="00C04B1E"/>
    <w:rsid w:val="00C06C19"/>
    <w:rsid w:val="00C06CD4"/>
    <w:rsid w:val="00C1000B"/>
    <w:rsid w:val="00C101D2"/>
    <w:rsid w:val="00C11679"/>
    <w:rsid w:val="00C1325B"/>
    <w:rsid w:val="00C1359F"/>
    <w:rsid w:val="00C14174"/>
    <w:rsid w:val="00C14550"/>
    <w:rsid w:val="00C14DF6"/>
    <w:rsid w:val="00C16630"/>
    <w:rsid w:val="00C22691"/>
    <w:rsid w:val="00C2365D"/>
    <w:rsid w:val="00C23AAC"/>
    <w:rsid w:val="00C25087"/>
    <w:rsid w:val="00C2642E"/>
    <w:rsid w:val="00C307B0"/>
    <w:rsid w:val="00C329E4"/>
    <w:rsid w:val="00C335D3"/>
    <w:rsid w:val="00C34B68"/>
    <w:rsid w:val="00C3637E"/>
    <w:rsid w:val="00C3723E"/>
    <w:rsid w:val="00C40976"/>
    <w:rsid w:val="00C4213E"/>
    <w:rsid w:val="00C43815"/>
    <w:rsid w:val="00C44897"/>
    <w:rsid w:val="00C470E4"/>
    <w:rsid w:val="00C475F4"/>
    <w:rsid w:val="00C47FE6"/>
    <w:rsid w:val="00C47FF9"/>
    <w:rsid w:val="00C5660C"/>
    <w:rsid w:val="00C57353"/>
    <w:rsid w:val="00C6365B"/>
    <w:rsid w:val="00C6393D"/>
    <w:rsid w:val="00C67A3D"/>
    <w:rsid w:val="00C72038"/>
    <w:rsid w:val="00C72E10"/>
    <w:rsid w:val="00C7375E"/>
    <w:rsid w:val="00C75531"/>
    <w:rsid w:val="00C76444"/>
    <w:rsid w:val="00C76BA2"/>
    <w:rsid w:val="00C805E7"/>
    <w:rsid w:val="00C80C17"/>
    <w:rsid w:val="00C825BB"/>
    <w:rsid w:val="00C839C9"/>
    <w:rsid w:val="00C84451"/>
    <w:rsid w:val="00C84B68"/>
    <w:rsid w:val="00C86970"/>
    <w:rsid w:val="00C86E18"/>
    <w:rsid w:val="00C91A7C"/>
    <w:rsid w:val="00C92DBC"/>
    <w:rsid w:val="00C956CF"/>
    <w:rsid w:val="00C96604"/>
    <w:rsid w:val="00C96B32"/>
    <w:rsid w:val="00C96EF6"/>
    <w:rsid w:val="00C9791A"/>
    <w:rsid w:val="00C97CCF"/>
    <w:rsid w:val="00C97D12"/>
    <w:rsid w:val="00CA1308"/>
    <w:rsid w:val="00CA25D5"/>
    <w:rsid w:val="00CA34CF"/>
    <w:rsid w:val="00CA6572"/>
    <w:rsid w:val="00CA6F0A"/>
    <w:rsid w:val="00CB2063"/>
    <w:rsid w:val="00CB358B"/>
    <w:rsid w:val="00CB369F"/>
    <w:rsid w:val="00CB3EAA"/>
    <w:rsid w:val="00CB4F95"/>
    <w:rsid w:val="00CB5559"/>
    <w:rsid w:val="00CB5A9A"/>
    <w:rsid w:val="00CC0665"/>
    <w:rsid w:val="00CC1300"/>
    <w:rsid w:val="00CC14E2"/>
    <w:rsid w:val="00CC1AE0"/>
    <w:rsid w:val="00CC2C74"/>
    <w:rsid w:val="00CC2CD2"/>
    <w:rsid w:val="00CC3975"/>
    <w:rsid w:val="00CC47FA"/>
    <w:rsid w:val="00CD2122"/>
    <w:rsid w:val="00CD4381"/>
    <w:rsid w:val="00CD5ACC"/>
    <w:rsid w:val="00CD788B"/>
    <w:rsid w:val="00CD79E5"/>
    <w:rsid w:val="00CE0980"/>
    <w:rsid w:val="00CE1714"/>
    <w:rsid w:val="00CE4D75"/>
    <w:rsid w:val="00CE52ED"/>
    <w:rsid w:val="00CE555C"/>
    <w:rsid w:val="00CF034B"/>
    <w:rsid w:val="00CF04D2"/>
    <w:rsid w:val="00CF27B3"/>
    <w:rsid w:val="00CF46AB"/>
    <w:rsid w:val="00CF7A1C"/>
    <w:rsid w:val="00CF7D5F"/>
    <w:rsid w:val="00CF7F31"/>
    <w:rsid w:val="00D04C87"/>
    <w:rsid w:val="00D060DA"/>
    <w:rsid w:val="00D0668D"/>
    <w:rsid w:val="00D07172"/>
    <w:rsid w:val="00D1210E"/>
    <w:rsid w:val="00D14478"/>
    <w:rsid w:val="00D15355"/>
    <w:rsid w:val="00D15C3E"/>
    <w:rsid w:val="00D15F43"/>
    <w:rsid w:val="00D163DD"/>
    <w:rsid w:val="00D21FAA"/>
    <w:rsid w:val="00D22A86"/>
    <w:rsid w:val="00D22B10"/>
    <w:rsid w:val="00D22C56"/>
    <w:rsid w:val="00D22E29"/>
    <w:rsid w:val="00D22F09"/>
    <w:rsid w:val="00D23D29"/>
    <w:rsid w:val="00D2509B"/>
    <w:rsid w:val="00D25E8B"/>
    <w:rsid w:val="00D26297"/>
    <w:rsid w:val="00D266FB"/>
    <w:rsid w:val="00D26B42"/>
    <w:rsid w:val="00D26DA7"/>
    <w:rsid w:val="00D309C5"/>
    <w:rsid w:val="00D30C4D"/>
    <w:rsid w:val="00D3163E"/>
    <w:rsid w:val="00D33F2E"/>
    <w:rsid w:val="00D342C4"/>
    <w:rsid w:val="00D35F4D"/>
    <w:rsid w:val="00D3704B"/>
    <w:rsid w:val="00D37CE2"/>
    <w:rsid w:val="00D42B22"/>
    <w:rsid w:val="00D4364F"/>
    <w:rsid w:val="00D4373C"/>
    <w:rsid w:val="00D44455"/>
    <w:rsid w:val="00D45381"/>
    <w:rsid w:val="00D45B3D"/>
    <w:rsid w:val="00D51BFC"/>
    <w:rsid w:val="00D54378"/>
    <w:rsid w:val="00D552B5"/>
    <w:rsid w:val="00D566D2"/>
    <w:rsid w:val="00D60ADE"/>
    <w:rsid w:val="00D62AA3"/>
    <w:rsid w:val="00D63755"/>
    <w:rsid w:val="00D63827"/>
    <w:rsid w:val="00D63A02"/>
    <w:rsid w:val="00D646DA"/>
    <w:rsid w:val="00D65C37"/>
    <w:rsid w:val="00D67B9B"/>
    <w:rsid w:val="00D70B10"/>
    <w:rsid w:val="00D70EE8"/>
    <w:rsid w:val="00D76F25"/>
    <w:rsid w:val="00D8153C"/>
    <w:rsid w:val="00D847B9"/>
    <w:rsid w:val="00D85C99"/>
    <w:rsid w:val="00D869BF"/>
    <w:rsid w:val="00D869F2"/>
    <w:rsid w:val="00D909F6"/>
    <w:rsid w:val="00D91013"/>
    <w:rsid w:val="00D91494"/>
    <w:rsid w:val="00D9522D"/>
    <w:rsid w:val="00D95768"/>
    <w:rsid w:val="00D95962"/>
    <w:rsid w:val="00D96BFC"/>
    <w:rsid w:val="00D96F19"/>
    <w:rsid w:val="00D971EC"/>
    <w:rsid w:val="00DA1683"/>
    <w:rsid w:val="00DA1C77"/>
    <w:rsid w:val="00DA2962"/>
    <w:rsid w:val="00DA3859"/>
    <w:rsid w:val="00DA3F5A"/>
    <w:rsid w:val="00DA58AA"/>
    <w:rsid w:val="00DA6449"/>
    <w:rsid w:val="00DA733D"/>
    <w:rsid w:val="00DB073B"/>
    <w:rsid w:val="00DB0B5C"/>
    <w:rsid w:val="00DB145A"/>
    <w:rsid w:val="00DB2B7A"/>
    <w:rsid w:val="00DB3156"/>
    <w:rsid w:val="00DB3712"/>
    <w:rsid w:val="00DB3A29"/>
    <w:rsid w:val="00DB3C19"/>
    <w:rsid w:val="00DB3D14"/>
    <w:rsid w:val="00DB576D"/>
    <w:rsid w:val="00DC38FA"/>
    <w:rsid w:val="00DC3B10"/>
    <w:rsid w:val="00DC4B10"/>
    <w:rsid w:val="00DC5CB9"/>
    <w:rsid w:val="00DC6258"/>
    <w:rsid w:val="00DC6518"/>
    <w:rsid w:val="00DD02D7"/>
    <w:rsid w:val="00DD3B47"/>
    <w:rsid w:val="00DD4993"/>
    <w:rsid w:val="00DD5182"/>
    <w:rsid w:val="00DD5DF7"/>
    <w:rsid w:val="00DD66EB"/>
    <w:rsid w:val="00DD6C9C"/>
    <w:rsid w:val="00DD6FFE"/>
    <w:rsid w:val="00DE703D"/>
    <w:rsid w:val="00DE7C3A"/>
    <w:rsid w:val="00DF1945"/>
    <w:rsid w:val="00DF1977"/>
    <w:rsid w:val="00DF268D"/>
    <w:rsid w:val="00DF3C89"/>
    <w:rsid w:val="00DF58B7"/>
    <w:rsid w:val="00DF5969"/>
    <w:rsid w:val="00E0173B"/>
    <w:rsid w:val="00E030C4"/>
    <w:rsid w:val="00E04B65"/>
    <w:rsid w:val="00E06D6C"/>
    <w:rsid w:val="00E077A5"/>
    <w:rsid w:val="00E1024F"/>
    <w:rsid w:val="00E11CE4"/>
    <w:rsid w:val="00E11D13"/>
    <w:rsid w:val="00E125AE"/>
    <w:rsid w:val="00E132A3"/>
    <w:rsid w:val="00E13D8B"/>
    <w:rsid w:val="00E1469F"/>
    <w:rsid w:val="00E15188"/>
    <w:rsid w:val="00E15F79"/>
    <w:rsid w:val="00E179DC"/>
    <w:rsid w:val="00E20FD6"/>
    <w:rsid w:val="00E211CA"/>
    <w:rsid w:val="00E25011"/>
    <w:rsid w:val="00E2522A"/>
    <w:rsid w:val="00E26AC8"/>
    <w:rsid w:val="00E26C3C"/>
    <w:rsid w:val="00E27541"/>
    <w:rsid w:val="00E2779E"/>
    <w:rsid w:val="00E27A67"/>
    <w:rsid w:val="00E3012B"/>
    <w:rsid w:val="00E31702"/>
    <w:rsid w:val="00E32629"/>
    <w:rsid w:val="00E36B80"/>
    <w:rsid w:val="00E4188C"/>
    <w:rsid w:val="00E44ADD"/>
    <w:rsid w:val="00E45823"/>
    <w:rsid w:val="00E45B56"/>
    <w:rsid w:val="00E5318D"/>
    <w:rsid w:val="00E538C9"/>
    <w:rsid w:val="00E56580"/>
    <w:rsid w:val="00E57307"/>
    <w:rsid w:val="00E62D46"/>
    <w:rsid w:val="00E64943"/>
    <w:rsid w:val="00E65635"/>
    <w:rsid w:val="00E65950"/>
    <w:rsid w:val="00E662B9"/>
    <w:rsid w:val="00E66496"/>
    <w:rsid w:val="00E671CF"/>
    <w:rsid w:val="00E67840"/>
    <w:rsid w:val="00E74A20"/>
    <w:rsid w:val="00E76022"/>
    <w:rsid w:val="00E77713"/>
    <w:rsid w:val="00E81AB3"/>
    <w:rsid w:val="00E8731B"/>
    <w:rsid w:val="00E913F0"/>
    <w:rsid w:val="00E945DF"/>
    <w:rsid w:val="00E94EC9"/>
    <w:rsid w:val="00E97357"/>
    <w:rsid w:val="00EA2640"/>
    <w:rsid w:val="00EA54F5"/>
    <w:rsid w:val="00EA6DBA"/>
    <w:rsid w:val="00EA760F"/>
    <w:rsid w:val="00EB1E58"/>
    <w:rsid w:val="00EB20E2"/>
    <w:rsid w:val="00EB21F8"/>
    <w:rsid w:val="00EB28E8"/>
    <w:rsid w:val="00EB331B"/>
    <w:rsid w:val="00EB3D03"/>
    <w:rsid w:val="00EB446A"/>
    <w:rsid w:val="00EB4717"/>
    <w:rsid w:val="00EB6148"/>
    <w:rsid w:val="00EC0103"/>
    <w:rsid w:val="00EC28C6"/>
    <w:rsid w:val="00EC5181"/>
    <w:rsid w:val="00EC5A19"/>
    <w:rsid w:val="00EC5D66"/>
    <w:rsid w:val="00EC5E30"/>
    <w:rsid w:val="00EC63CD"/>
    <w:rsid w:val="00EC6795"/>
    <w:rsid w:val="00ED0977"/>
    <w:rsid w:val="00ED0ACA"/>
    <w:rsid w:val="00ED17BE"/>
    <w:rsid w:val="00ED4AE3"/>
    <w:rsid w:val="00ED54E7"/>
    <w:rsid w:val="00ED5526"/>
    <w:rsid w:val="00ED7832"/>
    <w:rsid w:val="00ED7949"/>
    <w:rsid w:val="00ED7D29"/>
    <w:rsid w:val="00EE1E58"/>
    <w:rsid w:val="00EE3DA6"/>
    <w:rsid w:val="00EE55CF"/>
    <w:rsid w:val="00EE6B4C"/>
    <w:rsid w:val="00EE732F"/>
    <w:rsid w:val="00EE7774"/>
    <w:rsid w:val="00EE7827"/>
    <w:rsid w:val="00EE7E3B"/>
    <w:rsid w:val="00EE7E63"/>
    <w:rsid w:val="00EF15B5"/>
    <w:rsid w:val="00EF279B"/>
    <w:rsid w:val="00EF3707"/>
    <w:rsid w:val="00EF56C0"/>
    <w:rsid w:val="00EF594C"/>
    <w:rsid w:val="00EF765B"/>
    <w:rsid w:val="00EF7E69"/>
    <w:rsid w:val="00F0025C"/>
    <w:rsid w:val="00F04C05"/>
    <w:rsid w:val="00F04FBA"/>
    <w:rsid w:val="00F117CC"/>
    <w:rsid w:val="00F12D35"/>
    <w:rsid w:val="00F14EF8"/>
    <w:rsid w:val="00F16455"/>
    <w:rsid w:val="00F222E7"/>
    <w:rsid w:val="00F22899"/>
    <w:rsid w:val="00F24B30"/>
    <w:rsid w:val="00F252A7"/>
    <w:rsid w:val="00F25635"/>
    <w:rsid w:val="00F35950"/>
    <w:rsid w:val="00F37BA5"/>
    <w:rsid w:val="00F37EF6"/>
    <w:rsid w:val="00F4181C"/>
    <w:rsid w:val="00F42900"/>
    <w:rsid w:val="00F4341B"/>
    <w:rsid w:val="00F44024"/>
    <w:rsid w:val="00F456EB"/>
    <w:rsid w:val="00F4799A"/>
    <w:rsid w:val="00F50B31"/>
    <w:rsid w:val="00F530EA"/>
    <w:rsid w:val="00F543A6"/>
    <w:rsid w:val="00F54488"/>
    <w:rsid w:val="00F54BDB"/>
    <w:rsid w:val="00F553C0"/>
    <w:rsid w:val="00F55A32"/>
    <w:rsid w:val="00F57EFB"/>
    <w:rsid w:val="00F61EB3"/>
    <w:rsid w:val="00F61FE2"/>
    <w:rsid w:val="00F62622"/>
    <w:rsid w:val="00F654CB"/>
    <w:rsid w:val="00F65FB9"/>
    <w:rsid w:val="00F67869"/>
    <w:rsid w:val="00F67A36"/>
    <w:rsid w:val="00F73788"/>
    <w:rsid w:val="00F73958"/>
    <w:rsid w:val="00F76699"/>
    <w:rsid w:val="00F7705E"/>
    <w:rsid w:val="00F774AF"/>
    <w:rsid w:val="00F7763F"/>
    <w:rsid w:val="00F77F63"/>
    <w:rsid w:val="00F801D9"/>
    <w:rsid w:val="00F804F4"/>
    <w:rsid w:val="00F80654"/>
    <w:rsid w:val="00F823E6"/>
    <w:rsid w:val="00F82C85"/>
    <w:rsid w:val="00F845A8"/>
    <w:rsid w:val="00F84DCF"/>
    <w:rsid w:val="00F86A10"/>
    <w:rsid w:val="00F86D7C"/>
    <w:rsid w:val="00F9003C"/>
    <w:rsid w:val="00F914FF"/>
    <w:rsid w:val="00F93BA1"/>
    <w:rsid w:val="00F93CB2"/>
    <w:rsid w:val="00F954CB"/>
    <w:rsid w:val="00F972EC"/>
    <w:rsid w:val="00FA150E"/>
    <w:rsid w:val="00FA265D"/>
    <w:rsid w:val="00FA34F2"/>
    <w:rsid w:val="00FA3502"/>
    <w:rsid w:val="00FA3AA3"/>
    <w:rsid w:val="00FA3CCA"/>
    <w:rsid w:val="00FA43AC"/>
    <w:rsid w:val="00FA6FEC"/>
    <w:rsid w:val="00FB1052"/>
    <w:rsid w:val="00FB3B88"/>
    <w:rsid w:val="00FB64D0"/>
    <w:rsid w:val="00FB73CA"/>
    <w:rsid w:val="00FB7E14"/>
    <w:rsid w:val="00FB7FF3"/>
    <w:rsid w:val="00FC19D7"/>
    <w:rsid w:val="00FC1E55"/>
    <w:rsid w:val="00FC278E"/>
    <w:rsid w:val="00FC2C4E"/>
    <w:rsid w:val="00FC7D78"/>
    <w:rsid w:val="00FD342D"/>
    <w:rsid w:val="00FD4306"/>
    <w:rsid w:val="00FD4E4F"/>
    <w:rsid w:val="00FD4ED1"/>
    <w:rsid w:val="00FD68A1"/>
    <w:rsid w:val="00FE0751"/>
    <w:rsid w:val="00FE0A9C"/>
    <w:rsid w:val="00FE11E9"/>
    <w:rsid w:val="00FE20B1"/>
    <w:rsid w:val="00FE2D1B"/>
    <w:rsid w:val="00FE3C3D"/>
    <w:rsid w:val="00FE64B2"/>
    <w:rsid w:val="00FE7FE1"/>
    <w:rsid w:val="00FF09CE"/>
    <w:rsid w:val="00FF0C5C"/>
    <w:rsid w:val="00FF2869"/>
    <w:rsid w:val="00FF3FE7"/>
    <w:rsid w:val="00FF4541"/>
    <w:rsid w:val="00FF55E9"/>
    <w:rsid w:val="01003046"/>
    <w:rsid w:val="016528B3"/>
    <w:rsid w:val="034076F1"/>
    <w:rsid w:val="039877C6"/>
    <w:rsid w:val="03AE3812"/>
    <w:rsid w:val="04A61E21"/>
    <w:rsid w:val="06027960"/>
    <w:rsid w:val="06155F9D"/>
    <w:rsid w:val="068C54F6"/>
    <w:rsid w:val="06D82968"/>
    <w:rsid w:val="075229F6"/>
    <w:rsid w:val="076C4C97"/>
    <w:rsid w:val="07C30C79"/>
    <w:rsid w:val="07F63E4E"/>
    <w:rsid w:val="086E26F4"/>
    <w:rsid w:val="087D717C"/>
    <w:rsid w:val="08C23928"/>
    <w:rsid w:val="08C32337"/>
    <w:rsid w:val="08D809C3"/>
    <w:rsid w:val="0AB202A1"/>
    <w:rsid w:val="0AD335F4"/>
    <w:rsid w:val="0BED2EFD"/>
    <w:rsid w:val="0CBE2D12"/>
    <w:rsid w:val="0CC06AB3"/>
    <w:rsid w:val="0CE1237C"/>
    <w:rsid w:val="0D3F0C76"/>
    <w:rsid w:val="0D680302"/>
    <w:rsid w:val="0D695AE1"/>
    <w:rsid w:val="0E1679FC"/>
    <w:rsid w:val="0E376015"/>
    <w:rsid w:val="0E785BD3"/>
    <w:rsid w:val="0F2A4470"/>
    <w:rsid w:val="0FFB4189"/>
    <w:rsid w:val="111125A9"/>
    <w:rsid w:val="11200EC0"/>
    <w:rsid w:val="11343898"/>
    <w:rsid w:val="11570340"/>
    <w:rsid w:val="119F30B5"/>
    <w:rsid w:val="11D56346"/>
    <w:rsid w:val="11DA41EC"/>
    <w:rsid w:val="11F10A2D"/>
    <w:rsid w:val="12D40F24"/>
    <w:rsid w:val="13225DA2"/>
    <w:rsid w:val="1344153D"/>
    <w:rsid w:val="13C92AC0"/>
    <w:rsid w:val="13CF591D"/>
    <w:rsid w:val="1443555D"/>
    <w:rsid w:val="14526E08"/>
    <w:rsid w:val="1493362F"/>
    <w:rsid w:val="14937EE2"/>
    <w:rsid w:val="14BD60DE"/>
    <w:rsid w:val="152A6664"/>
    <w:rsid w:val="15C03E55"/>
    <w:rsid w:val="1611534A"/>
    <w:rsid w:val="162717A8"/>
    <w:rsid w:val="162D668D"/>
    <w:rsid w:val="17682311"/>
    <w:rsid w:val="177012BD"/>
    <w:rsid w:val="18621CA6"/>
    <w:rsid w:val="189B190C"/>
    <w:rsid w:val="189F1A1E"/>
    <w:rsid w:val="18AB6231"/>
    <w:rsid w:val="190814C1"/>
    <w:rsid w:val="19A84393"/>
    <w:rsid w:val="19DA5BC0"/>
    <w:rsid w:val="19E74F14"/>
    <w:rsid w:val="1A5647FB"/>
    <w:rsid w:val="1A791D6E"/>
    <w:rsid w:val="1A9D6604"/>
    <w:rsid w:val="1B8A4F1F"/>
    <w:rsid w:val="1B916D8D"/>
    <w:rsid w:val="1C414901"/>
    <w:rsid w:val="1CC66A07"/>
    <w:rsid w:val="1CEE56D8"/>
    <w:rsid w:val="1E285731"/>
    <w:rsid w:val="1EF548E0"/>
    <w:rsid w:val="1F5C7602"/>
    <w:rsid w:val="204361FF"/>
    <w:rsid w:val="207104E5"/>
    <w:rsid w:val="2082202F"/>
    <w:rsid w:val="20D12E87"/>
    <w:rsid w:val="20DE0C30"/>
    <w:rsid w:val="219A4E13"/>
    <w:rsid w:val="21E323E2"/>
    <w:rsid w:val="21ED1CCC"/>
    <w:rsid w:val="21F83D76"/>
    <w:rsid w:val="2292739C"/>
    <w:rsid w:val="22B31339"/>
    <w:rsid w:val="23945C23"/>
    <w:rsid w:val="23A52306"/>
    <w:rsid w:val="23C20FC0"/>
    <w:rsid w:val="23E90754"/>
    <w:rsid w:val="24295A00"/>
    <w:rsid w:val="24841429"/>
    <w:rsid w:val="24DE726B"/>
    <w:rsid w:val="256005B9"/>
    <w:rsid w:val="257F542E"/>
    <w:rsid w:val="25FF6177"/>
    <w:rsid w:val="262B6E7F"/>
    <w:rsid w:val="265D18A7"/>
    <w:rsid w:val="26DD53E2"/>
    <w:rsid w:val="27573DFE"/>
    <w:rsid w:val="281E3906"/>
    <w:rsid w:val="28286CE9"/>
    <w:rsid w:val="28FC18F9"/>
    <w:rsid w:val="29260463"/>
    <w:rsid w:val="29DD5C54"/>
    <w:rsid w:val="2B0B3153"/>
    <w:rsid w:val="2C363430"/>
    <w:rsid w:val="2C5850FD"/>
    <w:rsid w:val="2C8818C1"/>
    <w:rsid w:val="2C892D3D"/>
    <w:rsid w:val="2C8941AA"/>
    <w:rsid w:val="2CDC2D92"/>
    <w:rsid w:val="2D591844"/>
    <w:rsid w:val="2E8278C1"/>
    <w:rsid w:val="2EB60620"/>
    <w:rsid w:val="2EE00366"/>
    <w:rsid w:val="2F4E1942"/>
    <w:rsid w:val="303C3131"/>
    <w:rsid w:val="30D000CF"/>
    <w:rsid w:val="30F27A8A"/>
    <w:rsid w:val="31294752"/>
    <w:rsid w:val="315320B3"/>
    <w:rsid w:val="31627822"/>
    <w:rsid w:val="31F03834"/>
    <w:rsid w:val="31F03B09"/>
    <w:rsid w:val="326608FB"/>
    <w:rsid w:val="336661E7"/>
    <w:rsid w:val="33CC78F5"/>
    <w:rsid w:val="33D34D53"/>
    <w:rsid w:val="33D76227"/>
    <w:rsid w:val="341324D3"/>
    <w:rsid w:val="353E13F4"/>
    <w:rsid w:val="35690AE6"/>
    <w:rsid w:val="35A81375"/>
    <w:rsid w:val="35C14400"/>
    <w:rsid w:val="35EC41CF"/>
    <w:rsid w:val="360830B9"/>
    <w:rsid w:val="368474D3"/>
    <w:rsid w:val="369E1C29"/>
    <w:rsid w:val="37371841"/>
    <w:rsid w:val="374E18EB"/>
    <w:rsid w:val="37894E6F"/>
    <w:rsid w:val="38070E94"/>
    <w:rsid w:val="38131859"/>
    <w:rsid w:val="382F49B9"/>
    <w:rsid w:val="38E577FD"/>
    <w:rsid w:val="3901386F"/>
    <w:rsid w:val="39722764"/>
    <w:rsid w:val="39AB5E09"/>
    <w:rsid w:val="3AF63418"/>
    <w:rsid w:val="3B4B51CA"/>
    <w:rsid w:val="3C3E5C1A"/>
    <w:rsid w:val="3C8D6A6A"/>
    <w:rsid w:val="3CC72229"/>
    <w:rsid w:val="3CEC359C"/>
    <w:rsid w:val="3CEF3B02"/>
    <w:rsid w:val="3DA50173"/>
    <w:rsid w:val="3DD73DAC"/>
    <w:rsid w:val="3DF331AE"/>
    <w:rsid w:val="3E04708C"/>
    <w:rsid w:val="3E4F6AE6"/>
    <w:rsid w:val="3EB84AF9"/>
    <w:rsid w:val="3ED84A24"/>
    <w:rsid w:val="3F9F007A"/>
    <w:rsid w:val="406D280C"/>
    <w:rsid w:val="40B32A31"/>
    <w:rsid w:val="40F876D6"/>
    <w:rsid w:val="41043218"/>
    <w:rsid w:val="413953F3"/>
    <w:rsid w:val="418F587F"/>
    <w:rsid w:val="41E84BCC"/>
    <w:rsid w:val="422B0E02"/>
    <w:rsid w:val="42350848"/>
    <w:rsid w:val="42700CB3"/>
    <w:rsid w:val="429C4630"/>
    <w:rsid w:val="42A66AAD"/>
    <w:rsid w:val="447E3A6B"/>
    <w:rsid w:val="4505170D"/>
    <w:rsid w:val="45977AF5"/>
    <w:rsid w:val="45B20779"/>
    <w:rsid w:val="45EB6A98"/>
    <w:rsid w:val="46103A7A"/>
    <w:rsid w:val="46266325"/>
    <w:rsid w:val="46355265"/>
    <w:rsid w:val="46D231AD"/>
    <w:rsid w:val="47DD27F3"/>
    <w:rsid w:val="48D32C5A"/>
    <w:rsid w:val="4900720C"/>
    <w:rsid w:val="494F15EE"/>
    <w:rsid w:val="49547092"/>
    <w:rsid w:val="49AE2F2D"/>
    <w:rsid w:val="49F27491"/>
    <w:rsid w:val="49FE1965"/>
    <w:rsid w:val="4A0A78DB"/>
    <w:rsid w:val="4A5A25C6"/>
    <w:rsid w:val="4B2F35B2"/>
    <w:rsid w:val="4B922A08"/>
    <w:rsid w:val="4C65648B"/>
    <w:rsid w:val="4D39405C"/>
    <w:rsid w:val="4DA453F9"/>
    <w:rsid w:val="4DAA150D"/>
    <w:rsid w:val="4E77256E"/>
    <w:rsid w:val="4ED91683"/>
    <w:rsid w:val="4F3E6833"/>
    <w:rsid w:val="4F4E3699"/>
    <w:rsid w:val="50402910"/>
    <w:rsid w:val="50544004"/>
    <w:rsid w:val="51167170"/>
    <w:rsid w:val="51FC7338"/>
    <w:rsid w:val="528B5D89"/>
    <w:rsid w:val="53551DA0"/>
    <w:rsid w:val="535D0326"/>
    <w:rsid w:val="53857B2E"/>
    <w:rsid w:val="53C23D2F"/>
    <w:rsid w:val="53CA484C"/>
    <w:rsid w:val="53F84E32"/>
    <w:rsid w:val="541615A0"/>
    <w:rsid w:val="541D0CD6"/>
    <w:rsid w:val="54375A3D"/>
    <w:rsid w:val="549F5E5A"/>
    <w:rsid w:val="54C31FCB"/>
    <w:rsid w:val="54D077E5"/>
    <w:rsid w:val="55863744"/>
    <w:rsid w:val="558D1122"/>
    <w:rsid w:val="55C55FDA"/>
    <w:rsid w:val="56611DEB"/>
    <w:rsid w:val="56C12C7F"/>
    <w:rsid w:val="56ED423C"/>
    <w:rsid w:val="57245B71"/>
    <w:rsid w:val="580741E8"/>
    <w:rsid w:val="59196EA2"/>
    <w:rsid w:val="5947634F"/>
    <w:rsid w:val="59A27C26"/>
    <w:rsid w:val="59D36B78"/>
    <w:rsid w:val="5A9839B9"/>
    <w:rsid w:val="5AD46DFF"/>
    <w:rsid w:val="5B021C48"/>
    <w:rsid w:val="5B057F00"/>
    <w:rsid w:val="5B0A79BE"/>
    <w:rsid w:val="5B3B3D9B"/>
    <w:rsid w:val="5B692388"/>
    <w:rsid w:val="5BE576DE"/>
    <w:rsid w:val="5C503D8C"/>
    <w:rsid w:val="5C5909F2"/>
    <w:rsid w:val="5D36732A"/>
    <w:rsid w:val="5D40647E"/>
    <w:rsid w:val="5D5B31AF"/>
    <w:rsid w:val="5DBC24D2"/>
    <w:rsid w:val="5E17483A"/>
    <w:rsid w:val="5E47159D"/>
    <w:rsid w:val="5F2632A6"/>
    <w:rsid w:val="5F5315BA"/>
    <w:rsid w:val="603D3845"/>
    <w:rsid w:val="605651CF"/>
    <w:rsid w:val="60FD35B9"/>
    <w:rsid w:val="610C4D45"/>
    <w:rsid w:val="612D6588"/>
    <w:rsid w:val="615E582F"/>
    <w:rsid w:val="61D0756B"/>
    <w:rsid w:val="633D7B77"/>
    <w:rsid w:val="634E00D7"/>
    <w:rsid w:val="63935DC2"/>
    <w:rsid w:val="64FF4446"/>
    <w:rsid w:val="6501253A"/>
    <w:rsid w:val="656B50F7"/>
    <w:rsid w:val="6623281F"/>
    <w:rsid w:val="67034AA2"/>
    <w:rsid w:val="67AB0C9E"/>
    <w:rsid w:val="67B23E00"/>
    <w:rsid w:val="68022B16"/>
    <w:rsid w:val="68436857"/>
    <w:rsid w:val="68584084"/>
    <w:rsid w:val="68692FBC"/>
    <w:rsid w:val="68EE64DB"/>
    <w:rsid w:val="69A74865"/>
    <w:rsid w:val="69FB79A2"/>
    <w:rsid w:val="6A017830"/>
    <w:rsid w:val="6A386D0F"/>
    <w:rsid w:val="6A3D0026"/>
    <w:rsid w:val="6AB65A8F"/>
    <w:rsid w:val="6AE4100D"/>
    <w:rsid w:val="6BD84145"/>
    <w:rsid w:val="6C5F034C"/>
    <w:rsid w:val="6C60798B"/>
    <w:rsid w:val="6C7B1337"/>
    <w:rsid w:val="6CE11B1F"/>
    <w:rsid w:val="6CE13383"/>
    <w:rsid w:val="6CE65FF1"/>
    <w:rsid w:val="6D3A6AE4"/>
    <w:rsid w:val="6D6A4FEB"/>
    <w:rsid w:val="6D876B5A"/>
    <w:rsid w:val="6E12053F"/>
    <w:rsid w:val="6E2B4951"/>
    <w:rsid w:val="6E9E7C47"/>
    <w:rsid w:val="6EC508BC"/>
    <w:rsid w:val="6F4075FC"/>
    <w:rsid w:val="6F4F6A8A"/>
    <w:rsid w:val="6F542DD1"/>
    <w:rsid w:val="6F6C5144"/>
    <w:rsid w:val="6F8E0993"/>
    <w:rsid w:val="6FC650C5"/>
    <w:rsid w:val="71DC7E25"/>
    <w:rsid w:val="71FF4145"/>
    <w:rsid w:val="721A6493"/>
    <w:rsid w:val="72E66C45"/>
    <w:rsid w:val="73204F1A"/>
    <w:rsid w:val="73436D12"/>
    <w:rsid w:val="737F0BB3"/>
    <w:rsid w:val="73D63BB7"/>
    <w:rsid w:val="74797879"/>
    <w:rsid w:val="749242AA"/>
    <w:rsid w:val="74C45401"/>
    <w:rsid w:val="74F500D8"/>
    <w:rsid w:val="75661DBC"/>
    <w:rsid w:val="75AD31AC"/>
    <w:rsid w:val="75C653A5"/>
    <w:rsid w:val="762E359E"/>
    <w:rsid w:val="77012D89"/>
    <w:rsid w:val="77392FB4"/>
    <w:rsid w:val="77565FD9"/>
    <w:rsid w:val="77B97DC7"/>
    <w:rsid w:val="77E23192"/>
    <w:rsid w:val="77EB5AB6"/>
    <w:rsid w:val="784818A4"/>
    <w:rsid w:val="79396B15"/>
    <w:rsid w:val="79D56464"/>
    <w:rsid w:val="7A5C0347"/>
    <w:rsid w:val="7C3A7E66"/>
    <w:rsid w:val="7C5A122C"/>
    <w:rsid w:val="7C686B99"/>
    <w:rsid w:val="7CA26D02"/>
    <w:rsid w:val="7E0510BE"/>
    <w:rsid w:val="7E1746B9"/>
    <w:rsid w:val="7E806565"/>
    <w:rsid w:val="7E886204"/>
    <w:rsid w:val="7E8D7181"/>
    <w:rsid w:val="7EC435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48"/>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line="360" w:lineRule="auto"/>
      <w:outlineLvl w:val="2"/>
    </w:pPr>
    <w:rPr>
      <w:b/>
      <w:sz w:val="24"/>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rPr>
      <w:sz w:val="28"/>
    </w:rPr>
  </w:style>
  <w:style w:type="paragraph" w:styleId="6">
    <w:name w:val="toc 7"/>
    <w:basedOn w:val="1"/>
    <w:next w:val="1"/>
    <w:unhideWhenUsed/>
    <w:qFormat/>
    <w:uiPriority w:val="39"/>
    <w:pPr>
      <w:ind w:left="2520" w:leftChars="1200"/>
    </w:pPr>
    <w:rPr>
      <w:rFonts w:ascii="Calibri" w:hAnsi="Calibri"/>
      <w:szCs w:val="22"/>
    </w:rPr>
  </w:style>
  <w:style w:type="paragraph" w:styleId="7">
    <w:name w:val="List Number"/>
    <w:basedOn w:val="1"/>
    <w:qFormat/>
    <w:uiPriority w:val="0"/>
    <w:pPr>
      <w:widowControl/>
      <w:numPr>
        <w:ilvl w:val="0"/>
        <w:numId w:val="1"/>
      </w:numPr>
      <w:tabs>
        <w:tab w:val="left" w:pos="454"/>
        <w:tab w:val="left" w:pos="720"/>
        <w:tab w:val="clear" w:pos="900"/>
      </w:tabs>
      <w:spacing w:afterLines="50"/>
      <w:ind w:left="454" w:hanging="284"/>
      <w:jc w:val="left"/>
    </w:pPr>
    <w:rPr>
      <w:kern w:val="0"/>
      <w:sz w:val="24"/>
      <w:szCs w:val="20"/>
    </w:rPr>
  </w:style>
  <w:style w:type="paragraph" w:styleId="8">
    <w:name w:val="Normal Indent"/>
    <w:basedOn w:val="1"/>
    <w:qFormat/>
    <w:uiPriority w:val="0"/>
    <w:pPr>
      <w:ind w:firstLine="420"/>
    </w:pPr>
    <w:rPr>
      <w:szCs w:val="20"/>
    </w:rPr>
  </w:style>
  <w:style w:type="paragraph" w:styleId="9">
    <w:name w:val="caption"/>
    <w:basedOn w:val="1"/>
    <w:next w:val="1"/>
    <w:qFormat/>
    <w:uiPriority w:val="0"/>
    <w:pPr>
      <w:spacing w:before="152" w:after="160"/>
    </w:pPr>
    <w:rPr>
      <w:rFonts w:ascii="Arial" w:hAnsi="Arial" w:eastAsia="黑体" w:cs="Arial"/>
      <w:sz w:val="20"/>
      <w:szCs w:val="20"/>
    </w:rPr>
  </w:style>
  <w:style w:type="paragraph" w:styleId="10">
    <w:name w:val="Document Map"/>
    <w:basedOn w:val="1"/>
    <w:link w:val="63"/>
    <w:qFormat/>
    <w:uiPriority w:val="0"/>
    <w:rPr>
      <w:rFonts w:ascii="宋体"/>
      <w:sz w:val="18"/>
      <w:szCs w:val="18"/>
    </w:rPr>
  </w:style>
  <w:style w:type="paragraph" w:styleId="11">
    <w:name w:val="annotation text"/>
    <w:basedOn w:val="1"/>
    <w:semiHidden/>
    <w:qFormat/>
    <w:uiPriority w:val="0"/>
    <w:pPr>
      <w:jc w:val="left"/>
    </w:pPr>
  </w:style>
  <w:style w:type="paragraph" w:styleId="12">
    <w:name w:val="Body Text 3"/>
    <w:basedOn w:val="1"/>
    <w:qFormat/>
    <w:uiPriority w:val="0"/>
    <w:pPr>
      <w:snapToGrid w:val="0"/>
      <w:spacing w:before="50" w:after="50"/>
    </w:pPr>
    <w:rPr>
      <w:rFonts w:hAnsi="宋体" w:eastAsia="仿宋_GB2312"/>
      <w:b/>
      <w:bCs/>
      <w:sz w:val="24"/>
      <w:szCs w:val="20"/>
    </w:rPr>
  </w:style>
  <w:style w:type="paragraph" w:styleId="13">
    <w:name w:val="Body Text Indent"/>
    <w:basedOn w:val="1"/>
    <w:link w:val="64"/>
    <w:qFormat/>
    <w:uiPriority w:val="0"/>
    <w:pPr>
      <w:spacing w:line="200" w:lineRule="exact"/>
      <w:ind w:firstLine="301"/>
    </w:pPr>
    <w:rPr>
      <w:rFonts w:ascii="宋体" w:hAnsi="Courier New"/>
      <w:spacing w:val="-4"/>
      <w:sz w:val="18"/>
      <w:szCs w:val="20"/>
    </w:rPr>
  </w:style>
  <w:style w:type="paragraph" w:styleId="14">
    <w:name w:val="List Number 3"/>
    <w:basedOn w:val="1"/>
    <w:qFormat/>
    <w:uiPriority w:val="0"/>
    <w:pPr>
      <w:numPr>
        <w:ilvl w:val="0"/>
        <w:numId w:val="2"/>
      </w:numPr>
    </w:pPr>
  </w:style>
  <w:style w:type="paragraph" w:styleId="15">
    <w:name w:val="List 2"/>
    <w:basedOn w:val="1"/>
    <w:qFormat/>
    <w:uiPriority w:val="0"/>
    <w:pPr>
      <w:ind w:left="100" w:leftChars="200" w:hanging="200" w:hangingChars="200"/>
    </w:pPr>
    <w:rPr>
      <w:sz w:val="28"/>
    </w:rPr>
  </w:style>
  <w:style w:type="paragraph" w:styleId="16">
    <w:name w:val="toc 5"/>
    <w:basedOn w:val="1"/>
    <w:next w:val="1"/>
    <w:unhideWhenUsed/>
    <w:qFormat/>
    <w:uiPriority w:val="39"/>
    <w:pPr>
      <w:ind w:left="1680" w:leftChars="800"/>
    </w:pPr>
    <w:rPr>
      <w:rFonts w:ascii="Calibri" w:hAnsi="Calibri"/>
      <w:szCs w:val="22"/>
    </w:rPr>
  </w:style>
  <w:style w:type="paragraph" w:styleId="17">
    <w:name w:val="toc 3"/>
    <w:basedOn w:val="1"/>
    <w:next w:val="1"/>
    <w:qFormat/>
    <w:uiPriority w:val="39"/>
    <w:pPr>
      <w:ind w:left="840" w:leftChars="400"/>
    </w:pPr>
  </w:style>
  <w:style w:type="paragraph" w:styleId="18">
    <w:name w:val="Plain Text"/>
    <w:basedOn w:val="1"/>
    <w:link w:val="65"/>
    <w:qFormat/>
    <w:uiPriority w:val="0"/>
    <w:pPr>
      <w:spacing w:beforeLines="50" w:afterLines="50" w:line="400" w:lineRule="exact"/>
    </w:pPr>
    <w:rPr>
      <w:rFonts w:ascii="宋体" w:hAnsi="Courier New"/>
      <w:sz w:val="24"/>
    </w:rPr>
  </w:style>
  <w:style w:type="paragraph" w:styleId="19">
    <w:name w:val="toc 8"/>
    <w:basedOn w:val="1"/>
    <w:next w:val="1"/>
    <w:unhideWhenUsed/>
    <w:qFormat/>
    <w:uiPriority w:val="39"/>
    <w:pPr>
      <w:ind w:left="2940" w:leftChars="1400"/>
    </w:pPr>
    <w:rPr>
      <w:rFonts w:ascii="Calibri" w:hAnsi="Calibri"/>
      <w:szCs w:val="22"/>
    </w:rPr>
  </w:style>
  <w:style w:type="paragraph" w:styleId="20">
    <w:name w:val="Date"/>
    <w:basedOn w:val="1"/>
    <w:next w:val="1"/>
    <w:link w:val="46"/>
    <w:qFormat/>
    <w:uiPriority w:val="0"/>
    <w:pPr>
      <w:ind w:left="2500" w:leftChars="2500"/>
    </w:pPr>
    <w:rPr>
      <w:rFonts w:eastAsia="楷体_GB2312"/>
      <w:sz w:val="32"/>
      <w:szCs w:val="20"/>
    </w:rPr>
  </w:style>
  <w:style w:type="paragraph" w:styleId="21">
    <w:name w:val="Body Text Indent 2"/>
    <w:basedOn w:val="1"/>
    <w:link w:val="62"/>
    <w:qFormat/>
    <w:uiPriority w:val="0"/>
    <w:pPr>
      <w:snapToGrid w:val="0"/>
      <w:ind w:firstLine="542" w:firstLineChars="225"/>
    </w:pPr>
    <w:rPr>
      <w:rFonts w:ascii="仿宋_GB2312" w:hAnsi="宋体"/>
      <w:b/>
      <w:bCs/>
      <w:color w:val="000000"/>
      <w:sz w:val="24"/>
    </w:rPr>
  </w:style>
  <w:style w:type="paragraph" w:styleId="22">
    <w:name w:val="Balloon Text"/>
    <w:basedOn w:val="1"/>
    <w:semiHidden/>
    <w:qFormat/>
    <w:uiPriority w:val="0"/>
    <w:rPr>
      <w:sz w:val="18"/>
      <w:szCs w:val="18"/>
    </w:rPr>
  </w:style>
  <w:style w:type="paragraph" w:styleId="23">
    <w:name w:val="footer"/>
    <w:basedOn w:val="1"/>
    <w:link w:val="57"/>
    <w:qFormat/>
    <w:uiPriority w:val="99"/>
    <w:pPr>
      <w:tabs>
        <w:tab w:val="center" w:pos="4153"/>
        <w:tab w:val="right" w:pos="8306"/>
      </w:tabs>
      <w:snapToGrid w:val="0"/>
      <w:jc w:val="left"/>
    </w:pPr>
    <w:rPr>
      <w:rFonts w:eastAsia="黑体"/>
      <w:kern w:val="0"/>
      <w:sz w:val="18"/>
      <w:szCs w:val="18"/>
    </w:rPr>
  </w:style>
  <w:style w:type="paragraph" w:styleId="24">
    <w:name w:val="header"/>
    <w:basedOn w:val="1"/>
    <w:link w:val="58"/>
    <w:qFormat/>
    <w:uiPriority w:val="99"/>
    <w:pPr>
      <w:pBdr>
        <w:bottom w:val="single" w:color="auto" w:sz="6" w:space="1"/>
      </w:pBdr>
      <w:tabs>
        <w:tab w:val="center" w:pos="4153"/>
        <w:tab w:val="right" w:pos="8306"/>
      </w:tabs>
      <w:snapToGrid w:val="0"/>
      <w:jc w:val="center"/>
    </w:pPr>
    <w:rPr>
      <w:rFonts w:eastAsia="仿宋_GB2312"/>
      <w:sz w:val="18"/>
      <w:szCs w:val="20"/>
    </w:rPr>
  </w:style>
  <w:style w:type="paragraph" w:styleId="25">
    <w:name w:val="toc 1"/>
    <w:basedOn w:val="1"/>
    <w:next w:val="1"/>
    <w:qFormat/>
    <w:uiPriority w:val="39"/>
  </w:style>
  <w:style w:type="paragraph" w:styleId="26">
    <w:name w:val="toc 4"/>
    <w:basedOn w:val="1"/>
    <w:next w:val="1"/>
    <w:unhideWhenUsed/>
    <w:qFormat/>
    <w:uiPriority w:val="39"/>
    <w:pPr>
      <w:ind w:left="1260" w:leftChars="600"/>
    </w:pPr>
    <w:rPr>
      <w:rFonts w:ascii="Calibri" w:hAnsi="Calibri"/>
      <w:szCs w:val="22"/>
    </w:rPr>
  </w:style>
  <w:style w:type="paragraph" w:styleId="27">
    <w:name w:val="Subtitle"/>
    <w:basedOn w:val="1"/>
    <w:next w:val="1"/>
    <w:link w:val="59"/>
    <w:qFormat/>
    <w:uiPriority w:val="0"/>
    <w:pPr>
      <w:spacing w:before="240" w:after="60" w:line="312" w:lineRule="auto"/>
      <w:jc w:val="center"/>
      <w:outlineLvl w:val="1"/>
    </w:pPr>
    <w:rPr>
      <w:rFonts w:ascii="Cambria" w:hAnsi="Cambria"/>
      <w:b/>
      <w:bCs/>
      <w:kern w:val="28"/>
      <w:sz w:val="32"/>
      <w:szCs w:val="32"/>
    </w:rPr>
  </w:style>
  <w:style w:type="paragraph" w:styleId="28">
    <w:name w:val="List"/>
    <w:basedOn w:val="1"/>
    <w:qFormat/>
    <w:uiPriority w:val="0"/>
    <w:pPr>
      <w:ind w:left="200" w:hanging="200" w:hangingChars="200"/>
    </w:pPr>
    <w:rPr>
      <w:sz w:val="28"/>
    </w:rPr>
  </w:style>
  <w:style w:type="paragraph" w:styleId="29">
    <w:name w:val="toc 6"/>
    <w:basedOn w:val="1"/>
    <w:next w:val="1"/>
    <w:unhideWhenUsed/>
    <w:qFormat/>
    <w:uiPriority w:val="39"/>
    <w:pPr>
      <w:ind w:left="2100" w:leftChars="1000"/>
    </w:pPr>
    <w:rPr>
      <w:rFonts w:ascii="Calibri" w:hAnsi="Calibri"/>
      <w:szCs w:val="22"/>
    </w:rPr>
  </w:style>
  <w:style w:type="paragraph" w:styleId="30">
    <w:name w:val="Body Text Indent 3"/>
    <w:basedOn w:val="1"/>
    <w:qFormat/>
    <w:uiPriority w:val="0"/>
    <w:pPr>
      <w:snapToGrid w:val="0"/>
      <w:ind w:firstLine="480" w:firstLineChars="200"/>
      <w:jc w:val="left"/>
    </w:pPr>
    <w:rPr>
      <w:rFonts w:ascii="仿宋_GB2312" w:hAnsi="宋体" w:eastAsia="仿宋_GB2312"/>
      <w:color w:val="000000"/>
      <w:sz w:val="24"/>
    </w:rPr>
  </w:style>
  <w:style w:type="paragraph" w:styleId="31">
    <w:name w:val="toc 2"/>
    <w:basedOn w:val="1"/>
    <w:next w:val="1"/>
    <w:qFormat/>
    <w:uiPriority w:val="39"/>
    <w:pPr>
      <w:ind w:left="420" w:leftChars="200"/>
    </w:pPr>
  </w:style>
  <w:style w:type="paragraph" w:styleId="32">
    <w:name w:val="toc 9"/>
    <w:basedOn w:val="1"/>
    <w:next w:val="1"/>
    <w:unhideWhenUsed/>
    <w:qFormat/>
    <w:uiPriority w:val="39"/>
    <w:pPr>
      <w:ind w:left="3360" w:leftChars="1600"/>
    </w:pPr>
    <w:rPr>
      <w:rFonts w:ascii="Calibri" w:hAnsi="Calibri"/>
      <w:szCs w:val="22"/>
    </w:rPr>
  </w:style>
  <w:style w:type="paragraph" w:styleId="33">
    <w:name w:val="Body Text 2"/>
    <w:basedOn w:val="1"/>
    <w:qFormat/>
    <w:uiPriority w:val="0"/>
    <w:pPr>
      <w:widowControl/>
      <w:snapToGrid w:val="0"/>
      <w:spacing w:before="50" w:afterLines="50" w:line="400" w:lineRule="exact"/>
      <w:jc w:val="left"/>
    </w:pPr>
    <w:rPr>
      <w:rFonts w:ascii="宋体" w:hAnsi="宋体"/>
      <w:color w:val="000000"/>
      <w:sz w:val="24"/>
    </w:rPr>
  </w:style>
  <w:style w:type="paragraph" w:styleId="3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35">
    <w:name w:val="Normal (Web)"/>
    <w:basedOn w:val="1"/>
    <w:qFormat/>
    <w:uiPriority w:val="99"/>
    <w:pPr>
      <w:widowControl/>
      <w:jc w:val="left"/>
    </w:pPr>
    <w:rPr>
      <w:rFonts w:ascii="宋体" w:hAnsi="宋体" w:cs="宋体"/>
      <w:kern w:val="0"/>
      <w:sz w:val="24"/>
    </w:rPr>
  </w:style>
  <w:style w:type="paragraph" w:styleId="36">
    <w:name w:val="Title"/>
    <w:basedOn w:val="1"/>
    <w:next w:val="1"/>
    <w:link w:val="60"/>
    <w:qFormat/>
    <w:uiPriority w:val="0"/>
    <w:pPr>
      <w:spacing w:before="240" w:after="60"/>
      <w:jc w:val="center"/>
      <w:outlineLvl w:val="0"/>
    </w:pPr>
    <w:rPr>
      <w:rFonts w:ascii="Cambria" w:hAnsi="Cambria"/>
      <w:b/>
      <w:bCs/>
      <w:sz w:val="32"/>
      <w:szCs w:val="32"/>
    </w:rPr>
  </w:style>
  <w:style w:type="paragraph" w:styleId="37">
    <w:name w:val="annotation subject"/>
    <w:basedOn w:val="11"/>
    <w:next w:val="11"/>
    <w:semiHidden/>
    <w:qFormat/>
    <w:uiPriority w:val="0"/>
    <w:rPr>
      <w:b/>
      <w:bCs/>
    </w:rPr>
  </w:style>
  <w:style w:type="table" w:styleId="39">
    <w:name w:val="Table Grid"/>
    <w:basedOn w:val="3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1">
    <w:name w:val="page number"/>
    <w:basedOn w:val="40"/>
    <w:qFormat/>
    <w:uiPriority w:val="0"/>
  </w:style>
  <w:style w:type="character" w:styleId="42">
    <w:name w:val="FollowedHyperlink"/>
    <w:basedOn w:val="40"/>
    <w:qFormat/>
    <w:uiPriority w:val="0"/>
    <w:rPr>
      <w:color w:val="333333"/>
      <w:u w:val="none"/>
    </w:rPr>
  </w:style>
  <w:style w:type="character" w:styleId="43">
    <w:name w:val="Emphasis"/>
    <w:qFormat/>
    <w:uiPriority w:val="0"/>
    <w:rPr>
      <w:i/>
      <w:iCs/>
    </w:rPr>
  </w:style>
  <w:style w:type="character" w:styleId="44">
    <w:name w:val="Hyperlink"/>
    <w:basedOn w:val="40"/>
    <w:qFormat/>
    <w:uiPriority w:val="99"/>
    <w:rPr>
      <w:color w:val="333333"/>
      <w:u w:val="none"/>
    </w:rPr>
  </w:style>
  <w:style w:type="character" w:styleId="45">
    <w:name w:val="annotation reference"/>
    <w:semiHidden/>
    <w:qFormat/>
    <w:uiPriority w:val="0"/>
    <w:rPr>
      <w:sz w:val="21"/>
      <w:szCs w:val="21"/>
    </w:rPr>
  </w:style>
  <w:style w:type="character" w:customStyle="1" w:styleId="46">
    <w:name w:val="日期 Char"/>
    <w:link w:val="20"/>
    <w:qFormat/>
    <w:uiPriority w:val="0"/>
    <w:rPr>
      <w:rFonts w:eastAsia="楷体_GB2312"/>
      <w:kern w:val="2"/>
      <w:sz w:val="32"/>
    </w:rPr>
  </w:style>
  <w:style w:type="character" w:customStyle="1" w:styleId="47">
    <w:name w:val="页脚 Char"/>
    <w:qFormat/>
    <w:uiPriority w:val="0"/>
    <w:rPr>
      <w:sz w:val="18"/>
      <w:szCs w:val="22"/>
      <w:lang w:eastAsia="en-US" w:bidi="en-US"/>
    </w:rPr>
  </w:style>
  <w:style w:type="character" w:customStyle="1" w:styleId="48">
    <w:name w:val="标题 1 Char"/>
    <w:link w:val="3"/>
    <w:qFormat/>
    <w:uiPriority w:val="0"/>
    <w:rPr>
      <w:b/>
      <w:bCs/>
      <w:kern w:val="44"/>
      <w:sz w:val="44"/>
      <w:szCs w:val="44"/>
    </w:rPr>
  </w:style>
  <w:style w:type="character" w:customStyle="1" w:styleId="49">
    <w:name w:val="layui-laypage-curr"/>
    <w:basedOn w:val="40"/>
    <w:qFormat/>
    <w:uiPriority w:val="0"/>
  </w:style>
  <w:style w:type="character" w:customStyle="1" w:styleId="50">
    <w:name w:val="纯文本 Char1"/>
    <w:qFormat/>
    <w:uiPriority w:val="0"/>
    <w:rPr>
      <w:rFonts w:ascii="宋体" w:hAnsi="Courier New"/>
      <w:kern w:val="2"/>
      <w:sz w:val="24"/>
      <w:szCs w:val="24"/>
    </w:rPr>
  </w:style>
  <w:style w:type="character" w:customStyle="1" w:styleId="51">
    <w:name w:val="style71"/>
    <w:qFormat/>
    <w:uiPriority w:val="99"/>
    <w:rPr>
      <w:rFonts w:ascii="Times New Roman" w:hAnsi="Times New Roman" w:cs="Times New Roman"/>
      <w:color w:val="000000"/>
      <w:sz w:val="18"/>
      <w:szCs w:val="18"/>
    </w:rPr>
  </w:style>
  <w:style w:type="character" w:customStyle="1" w:styleId="52">
    <w:name w:val="标题 Char"/>
    <w:qFormat/>
    <w:uiPriority w:val="0"/>
    <w:rPr>
      <w:rFonts w:ascii="Cambria" w:hAnsi="Cambria"/>
      <w:b/>
      <w:bCs/>
      <w:kern w:val="2"/>
      <w:sz w:val="32"/>
      <w:szCs w:val="32"/>
    </w:rPr>
  </w:style>
  <w:style w:type="character" w:customStyle="1" w:styleId="53">
    <w:name w:val="large1"/>
    <w:qFormat/>
    <w:uiPriority w:val="0"/>
    <w:rPr>
      <w:rFonts w:hint="eastAsia" w:ascii="宋体" w:hAnsi="宋体" w:eastAsia="宋体"/>
      <w:sz w:val="21"/>
      <w:szCs w:val="21"/>
    </w:rPr>
  </w:style>
  <w:style w:type="character" w:customStyle="1" w:styleId="54">
    <w:name w:val="二级标题 Char"/>
    <w:link w:val="55"/>
    <w:qFormat/>
    <w:uiPriority w:val="0"/>
    <w:rPr>
      <w:rFonts w:ascii="宋体" w:hAnsi="宋体"/>
      <w:b/>
      <w:kern w:val="2"/>
      <w:sz w:val="21"/>
      <w:szCs w:val="21"/>
    </w:rPr>
  </w:style>
  <w:style w:type="paragraph" w:customStyle="1" w:styleId="55">
    <w:name w:val="二级标题"/>
    <w:basedOn w:val="18"/>
    <w:link w:val="54"/>
    <w:qFormat/>
    <w:uiPriority w:val="0"/>
    <w:pPr>
      <w:snapToGrid w:val="0"/>
      <w:spacing w:line="240" w:lineRule="auto"/>
      <w:ind w:firstLine="200" w:firstLineChars="200"/>
      <w:outlineLvl w:val="1"/>
    </w:pPr>
    <w:rPr>
      <w:rFonts w:hAnsi="宋体"/>
      <w:b/>
      <w:sz w:val="21"/>
      <w:szCs w:val="21"/>
    </w:rPr>
  </w:style>
  <w:style w:type="character" w:customStyle="1" w:styleId="56">
    <w:name w:val="active"/>
    <w:basedOn w:val="40"/>
    <w:qFormat/>
    <w:uiPriority w:val="0"/>
    <w:rPr>
      <w:color w:val="FFFFFF"/>
      <w:shd w:val="clear" w:color="auto" w:fill="61A5EE"/>
    </w:rPr>
  </w:style>
  <w:style w:type="character" w:customStyle="1" w:styleId="57">
    <w:name w:val="页脚 Char1"/>
    <w:link w:val="23"/>
    <w:qFormat/>
    <w:uiPriority w:val="99"/>
    <w:rPr>
      <w:rFonts w:eastAsia="黑体"/>
      <w:snapToGrid/>
      <w:sz w:val="18"/>
      <w:szCs w:val="18"/>
    </w:rPr>
  </w:style>
  <w:style w:type="character" w:customStyle="1" w:styleId="58">
    <w:name w:val="页眉 Char"/>
    <w:link w:val="24"/>
    <w:qFormat/>
    <w:uiPriority w:val="99"/>
    <w:rPr>
      <w:rFonts w:eastAsia="仿宋_GB2312"/>
      <w:kern w:val="2"/>
      <w:sz w:val="18"/>
    </w:rPr>
  </w:style>
  <w:style w:type="character" w:customStyle="1" w:styleId="59">
    <w:name w:val="副标题 Char"/>
    <w:link w:val="27"/>
    <w:qFormat/>
    <w:uiPriority w:val="0"/>
    <w:rPr>
      <w:rFonts w:ascii="Cambria" w:hAnsi="Cambria" w:cs="Times New Roman"/>
      <w:b/>
      <w:bCs/>
      <w:kern w:val="28"/>
      <w:sz w:val="32"/>
      <w:szCs w:val="32"/>
    </w:rPr>
  </w:style>
  <w:style w:type="character" w:customStyle="1" w:styleId="60">
    <w:name w:val="标题 Char1"/>
    <w:link w:val="36"/>
    <w:qFormat/>
    <w:uiPriority w:val="0"/>
    <w:rPr>
      <w:rFonts w:ascii="Cambria" w:hAnsi="Cambria" w:cs="Times New Roman"/>
      <w:b/>
      <w:bCs/>
      <w:kern w:val="2"/>
      <w:sz w:val="32"/>
      <w:szCs w:val="32"/>
    </w:rPr>
  </w:style>
  <w:style w:type="character" w:customStyle="1" w:styleId="61">
    <w:name w:val="标题 1 Char Char"/>
    <w:qFormat/>
    <w:uiPriority w:val="0"/>
    <w:rPr>
      <w:rFonts w:eastAsia="宋体"/>
      <w:b/>
      <w:spacing w:val="-2"/>
      <w:sz w:val="24"/>
      <w:lang w:val="en-US" w:eastAsia="zh-CN" w:bidi="ar-SA"/>
    </w:rPr>
  </w:style>
  <w:style w:type="character" w:customStyle="1" w:styleId="62">
    <w:name w:val="正文文本缩进 2 Char"/>
    <w:link w:val="21"/>
    <w:qFormat/>
    <w:uiPriority w:val="0"/>
    <w:rPr>
      <w:rFonts w:ascii="仿宋_GB2312" w:hAnsi="宋体" w:cs="Arial"/>
      <w:b/>
      <w:bCs/>
      <w:color w:val="000000"/>
      <w:kern w:val="2"/>
      <w:sz w:val="24"/>
      <w:szCs w:val="24"/>
    </w:rPr>
  </w:style>
  <w:style w:type="character" w:customStyle="1" w:styleId="63">
    <w:name w:val="文档结构图 Char"/>
    <w:link w:val="10"/>
    <w:qFormat/>
    <w:uiPriority w:val="0"/>
    <w:rPr>
      <w:rFonts w:ascii="宋体"/>
      <w:kern w:val="2"/>
      <w:sz w:val="18"/>
      <w:szCs w:val="18"/>
    </w:rPr>
  </w:style>
  <w:style w:type="character" w:customStyle="1" w:styleId="64">
    <w:name w:val="正文文本缩进 Char"/>
    <w:link w:val="13"/>
    <w:qFormat/>
    <w:locked/>
    <w:uiPriority w:val="0"/>
    <w:rPr>
      <w:rFonts w:ascii="宋体" w:hAnsi="Courier New"/>
      <w:spacing w:val="-4"/>
      <w:kern w:val="2"/>
      <w:sz w:val="18"/>
    </w:rPr>
  </w:style>
  <w:style w:type="character" w:customStyle="1" w:styleId="65">
    <w:name w:val="纯文本 Char"/>
    <w:link w:val="18"/>
    <w:qFormat/>
    <w:uiPriority w:val="0"/>
    <w:rPr>
      <w:rFonts w:ascii="宋体" w:hAnsi="Courier New"/>
      <w:kern w:val="2"/>
      <w:sz w:val="24"/>
      <w:szCs w:val="24"/>
    </w:rPr>
  </w:style>
  <w:style w:type="paragraph" w:styleId="66">
    <w:name w:val="List Paragraph"/>
    <w:basedOn w:val="1"/>
    <w:qFormat/>
    <w:uiPriority w:val="0"/>
    <w:pPr>
      <w:ind w:firstLine="420" w:firstLineChars="200"/>
    </w:pPr>
    <w:rPr>
      <w:rFonts w:ascii="Calibri" w:hAnsi="Calibri"/>
      <w:szCs w:val="22"/>
    </w:rPr>
  </w:style>
  <w:style w:type="paragraph" w:customStyle="1" w:styleId="67">
    <w:name w:val="默认段落字体 Para Char Char Char Char Char Char Char Char Char1 Char Char Char Char"/>
    <w:basedOn w:val="1"/>
    <w:qFormat/>
    <w:uiPriority w:val="0"/>
    <w:rPr>
      <w:rFonts w:ascii="Tahoma" w:hAnsi="Tahoma"/>
      <w:sz w:val="24"/>
      <w:szCs w:val="20"/>
    </w:rPr>
  </w:style>
  <w:style w:type="paragraph" w:customStyle="1" w:styleId="68">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69">
    <w:name w:val="Char1"/>
    <w:basedOn w:val="1"/>
    <w:qFormat/>
    <w:uiPriority w:val="0"/>
    <w:rPr>
      <w:rFonts w:ascii="Tahoma" w:hAnsi="Tahoma"/>
      <w:sz w:val="24"/>
      <w:szCs w:val="20"/>
    </w:rPr>
  </w:style>
  <w:style w:type="paragraph" w:customStyle="1" w:styleId="70">
    <w:name w:val="WPS Plain"/>
    <w:qFormat/>
    <w:uiPriority w:val="0"/>
    <w:rPr>
      <w:rFonts w:ascii="Times New Roman" w:hAnsi="Times New Roman" w:eastAsia="宋体" w:cs="Times New Roman"/>
      <w:lang w:val="en-US" w:eastAsia="zh-CN" w:bidi="ar-SA"/>
    </w:rPr>
  </w:style>
  <w:style w:type="paragraph" w:customStyle="1" w:styleId="71">
    <w:name w:val="正文段"/>
    <w:basedOn w:val="1"/>
    <w:qFormat/>
    <w:uiPriority w:val="0"/>
    <w:pPr>
      <w:widowControl/>
      <w:snapToGrid w:val="0"/>
      <w:spacing w:afterLines="50"/>
      <w:ind w:firstLine="200" w:firstLineChars="200"/>
    </w:pPr>
    <w:rPr>
      <w:kern w:val="0"/>
      <w:sz w:val="24"/>
      <w:szCs w:val="20"/>
    </w:rPr>
  </w:style>
  <w:style w:type="paragraph" w:customStyle="1" w:styleId="72">
    <w:name w:val="彩色列表 - 强调文字颜色 11"/>
    <w:basedOn w:val="1"/>
    <w:qFormat/>
    <w:uiPriority w:val="0"/>
    <w:pPr>
      <w:ind w:firstLine="420" w:firstLineChars="200"/>
    </w:pPr>
  </w:style>
  <w:style w:type="paragraph" w:customStyle="1" w:styleId="73">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74">
    <w:name w:val="1"/>
    <w:basedOn w:val="1"/>
    <w:qFormat/>
    <w:uiPriority w:val="0"/>
    <w:rPr>
      <w:rFonts w:ascii="Tahoma" w:hAnsi="Tahoma"/>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45</Pages>
  <Words>26727</Words>
  <Characters>27966</Characters>
  <Lines>222</Lines>
  <Paragraphs>62</Paragraphs>
  <TotalTime>24</TotalTime>
  <ScaleCrop>false</ScaleCrop>
  <LinksUpToDate>false</LinksUpToDate>
  <CharactersWithSpaces>29649</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2020-01-10T01:24:00Z</dcterms:created>
  <dc:creator>黄旭明</dc:creator>
  <cp:lastModifiedBy>宁波欣达建设项目管理有限公司</cp:lastModifiedBy>
  <cp:lastPrinted>2020-01-10T07:32:00Z</cp:lastPrinted>
  <dcterms:modified xsi:type="dcterms:W3CDTF">2020-01-13T02:28:59Z</dcterms:modified>
  <dc:title>公开招标采购文件</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