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
        <w:ind w:right="214"/>
        <w:jc w:val="center"/>
        <w:rPr>
          <w:rFonts w:hint="eastAsia" w:ascii="宋体" w:hAnsi="宋体" w:eastAsia="宋体" w:cs="宋体"/>
          <w:b/>
          <w:bCs/>
          <w:spacing w:val="-6"/>
          <w:sz w:val="36"/>
          <w:szCs w:val="36"/>
          <w:lang w:eastAsia="zh-CN"/>
        </w:rPr>
      </w:pPr>
      <w:r>
        <w:rPr>
          <w:rFonts w:hint="eastAsia" w:ascii="宋体" w:hAnsi="宋体" w:eastAsia="宋体" w:cs="宋体"/>
          <w:b/>
          <w:bCs/>
          <w:spacing w:val="20"/>
          <w:sz w:val="36"/>
          <w:szCs w:val="36"/>
          <w:lang w:eastAsia="zh-CN"/>
        </w:rPr>
        <w:t>2022年温岭市城南镇以水灭火储水仓建设项目</w:t>
      </w:r>
    </w:p>
    <w:p>
      <w:pPr>
        <w:spacing w:before="35"/>
        <w:ind w:left="0" w:right="209" w:firstLine="0"/>
        <w:jc w:val="center"/>
        <w:rPr>
          <w:rFonts w:hint="eastAsia" w:ascii="宋体" w:hAnsi="宋体" w:eastAsia="宋体" w:cs="宋体"/>
          <w:sz w:val="32"/>
        </w:rPr>
      </w:pPr>
    </w:p>
    <w:p>
      <w:pPr>
        <w:spacing w:before="35"/>
        <w:ind w:left="0" w:right="209" w:firstLine="0"/>
        <w:jc w:val="center"/>
        <w:rPr>
          <w:rFonts w:hint="eastAsia" w:ascii="宋体" w:hAnsi="宋体" w:eastAsia="宋体" w:cs="宋体"/>
          <w:sz w:val="32"/>
        </w:rPr>
      </w:pPr>
    </w:p>
    <w:p>
      <w:pPr>
        <w:pStyle w:val="4"/>
        <w:rPr>
          <w:rFonts w:hint="eastAsia" w:ascii="宋体" w:hAnsi="宋体" w:eastAsia="宋体" w:cs="宋体"/>
          <w:sz w:val="32"/>
        </w:rPr>
      </w:pPr>
    </w:p>
    <w:p>
      <w:pPr>
        <w:rPr>
          <w:rFonts w:hint="eastAsia"/>
        </w:rPr>
      </w:pPr>
    </w:p>
    <w:p>
      <w:pPr>
        <w:spacing w:before="35"/>
        <w:ind w:left="0" w:right="209" w:firstLine="0"/>
        <w:jc w:val="center"/>
        <w:rPr>
          <w:rFonts w:hint="eastAsia" w:ascii="宋体" w:hAnsi="宋体" w:eastAsia="宋体" w:cs="宋体"/>
          <w:sz w:val="32"/>
        </w:rPr>
      </w:pPr>
    </w:p>
    <w:p>
      <w:pPr>
        <w:spacing w:before="35"/>
        <w:ind w:left="0" w:right="209" w:firstLine="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招</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lang w:eastAsia="zh-CN"/>
        </w:rPr>
        <w:t>标</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lang w:eastAsia="zh-CN"/>
        </w:rPr>
        <w:t>文</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lang w:eastAsia="zh-CN"/>
        </w:rPr>
        <w:t>件</w:t>
      </w:r>
    </w:p>
    <w:p>
      <w:pPr>
        <w:spacing w:before="35"/>
        <w:ind w:left="0" w:right="209" w:firstLine="0"/>
        <w:jc w:val="center"/>
        <w:rPr>
          <w:rFonts w:hint="eastAsia" w:ascii="宋体" w:hAnsi="宋体" w:eastAsia="宋体" w:cs="宋体"/>
          <w:sz w:val="32"/>
        </w:rPr>
      </w:pPr>
    </w:p>
    <w:p>
      <w:pPr>
        <w:spacing w:before="35"/>
        <w:ind w:left="0" w:right="209" w:firstLine="0"/>
        <w:jc w:val="center"/>
        <w:rPr>
          <w:rFonts w:hint="eastAsia" w:ascii="宋体" w:hAnsi="宋体" w:eastAsia="宋体" w:cs="宋体"/>
          <w:sz w:val="32"/>
        </w:rPr>
      </w:pPr>
    </w:p>
    <w:p>
      <w:pPr>
        <w:spacing w:before="35"/>
        <w:ind w:left="0" w:right="209" w:firstLine="0"/>
        <w:jc w:val="center"/>
        <w:rPr>
          <w:rFonts w:hint="eastAsia" w:ascii="宋体" w:hAnsi="宋体" w:eastAsia="宋体" w:cs="宋体"/>
          <w:sz w:val="32"/>
          <w:lang w:val="en-US" w:eastAsia="zh-CN"/>
        </w:rPr>
      </w:pPr>
      <w:r>
        <w:rPr>
          <w:rFonts w:hint="eastAsia" w:ascii="宋体" w:hAnsi="宋体" w:eastAsia="宋体" w:cs="宋体"/>
          <w:sz w:val="32"/>
        </w:rPr>
        <w:t>项目编号：</w:t>
      </w:r>
      <w:r>
        <w:rPr>
          <w:rFonts w:hint="eastAsia" w:ascii="宋体" w:hAnsi="宋体" w:eastAsia="宋体" w:cs="宋体"/>
          <w:sz w:val="32"/>
          <w:lang w:eastAsia="zh-CN"/>
        </w:rPr>
        <w:t>ZJKX－WLCG－202</w:t>
      </w:r>
      <w:r>
        <w:rPr>
          <w:rFonts w:hint="eastAsia" w:ascii="宋体" w:hAnsi="宋体" w:eastAsia="宋体" w:cs="宋体"/>
          <w:sz w:val="32"/>
          <w:lang w:val="en-US" w:eastAsia="zh-CN"/>
        </w:rPr>
        <w:t>2</w:t>
      </w:r>
      <w:r>
        <w:rPr>
          <w:rFonts w:hint="eastAsia" w:ascii="宋体" w:hAnsi="宋体" w:eastAsia="宋体" w:cs="宋体"/>
          <w:sz w:val="32"/>
          <w:lang w:eastAsia="zh-CN"/>
        </w:rPr>
        <w:t>－00</w:t>
      </w:r>
      <w:r>
        <w:rPr>
          <w:rFonts w:hint="eastAsia" w:ascii="宋体" w:hAnsi="宋体" w:eastAsia="宋体" w:cs="宋体"/>
          <w:sz w:val="32"/>
          <w:lang w:val="en-US" w:eastAsia="zh-CN"/>
        </w:rPr>
        <w:t>1</w:t>
      </w:r>
    </w:p>
    <w:p>
      <w:pPr>
        <w:pStyle w:val="7"/>
        <w:spacing w:before="13"/>
        <w:rPr>
          <w:rFonts w:hint="eastAsia" w:ascii="宋体" w:hAnsi="宋体" w:eastAsia="宋体" w:cs="宋体"/>
          <w:sz w:val="24"/>
          <w:szCs w:val="24"/>
        </w:rPr>
      </w:pPr>
    </w:p>
    <w:p>
      <w:pPr>
        <w:pStyle w:val="8"/>
        <w:rPr>
          <w:rFonts w:hint="eastAsia"/>
        </w:rPr>
      </w:pPr>
    </w:p>
    <w:p>
      <w:pPr>
        <w:spacing w:before="0"/>
        <w:ind w:left="0" w:right="249" w:firstLine="0"/>
        <w:jc w:val="center"/>
        <w:rPr>
          <w:rFonts w:hint="eastAsia" w:ascii="宋体" w:hAnsi="宋体" w:eastAsia="宋体" w:cs="宋体"/>
          <w:b/>
          <w:sz w:val="24"/>
          <w:szCs w:val="24"/>
        </w:rPr>
      </w:pPr>
    </w:p>
    <w:p>
      <w:pPr>
        <w:pStyle w:val="8"/>
        <w:rPr>
          <w:rFonts w:hint="eastAsia" w:ascii="宋体" w:hAnsi="宋体" w:eastAsia="宋体" w:cs="宋体"/>
          <w:b/>
          <w:sz w:val="24"/>
          <w:szCs w:val="24"/>
        </w:rPr>
      </w:pPr>
    </w:p>
    <w:p>
      <w:pPr>
        <w:pStyle w:val="9"/>
        <w:rPr>
          <w:rFonts w:hint="eastAsia"/>
        </w:rPr>
      </w:pPr>
    </w:p>
    <w:p>
      <w:pPr>
        <w:spacing w:before="0"/>
        <w:ind w:left="0" w:right="249" w:firstLine="0"/>
        <w:jc w:val="center"/>
        <w:rPr>
          <w:rFonts w:hint="eastAsia" w:ascii="宋体" w:hAnsi="宋体" w:eastAsia="宋体" w:cs="宋体"/>
          <w:b/>
          <w:sz w:val="72"/>
        </w:rPr>
      </w:pPr>
    </w:p>
    <w:p>
      <w:pPr>
        <w:pStyle w:val="7"/>
        <w:rPr>
          <w:rFonts w:hint="eastAsia" w:ascii="宋体" w:hAnsi="宋体" w:eastAsia="宋体" w:cs="宋体"/>
          <w:b/>
          <w:sz w:val="94"/>
        </w:rPr>
      </w:pPr>
    </w:p>
    <w:p>
      <w:pPr>
        <w:keepNext w:val="0"/>
        <w:keepLines w:val="0"/>
        <w:pageBreakBefore w:val="0"/>
        <w:widowControl w:val="0"/>
        <w:kinsoku/>
        <w:wordWrap/>
        <w:overflowPunct/>
        <w:topLinePunct w:val="0"/>
        <w:autoSpaceDE w:val="0"/>
        <w:autoSpaceDN w:val="0"/>
        <w:bidi w:val="0"/>
        <w:adjustRightInd/>
        <w:snapToGrid/>
        <w:spacing w:before="0"/>
        <w:ind w:right="0" w:firstLine="1096" w:firstLineChars="400"/>
        <w:jc w:val="left"/>
        <w:textAlignment w:val="auto"/>
        <w:rPr>
          <w:rFonts w:hint="eastAsia" w:ascii="宋体" w:hAnsi="宋体" w:eastAsia="宋体" w:cs="宋体"/>
          <w:spacing w:val="-3"/>
          <w:sz w:val="28"/>
          <w:lang w:eastAsia="zh-CN"/>
        </w:rPr>
      </w:pPr>
      <w:r>
        <w:rPr>
          <w:rFonts w:hint="eastAsia" w:ascii="宋体" w:hAnsi="宋体" w:eastAsia="宋体" w:cs="宋体"/>
          <w:spacing w:val="-3"/>
          <w:sz w:val="28"/>
        </w:rPr>
        <w:t xml:space="preserve">采购人： </w:t>
      </w:r>
      <w:r>
        <w:rPr>
          <w:rFonts w:hint="eastAsia" w:ascii="宋体" w:hAnsi="宋体" w:eastAsia="宋体" w:cs="宋体"/>
          <w:spacing w:val="-3"/>
          <w:sz w:val="28"/>
          <w:lang w:eastAsia="zh-CN"/>
        </w:rPr>
        <w:t>温岭市城南镇人民政府</w:t>
      </w:r>
    </w:p>
    <w:p>
      <w:pPr>
        <w:keepNext w:val="0"/>
        <w:keepLines w:val="0"/>
        <w:pageBreakBefore w:val="0"/>
        <w:widowControl w:val="0"/>
        <w:kinsoku/>
        <w:wordWrap/>
        <w:overflowPunct/>
        <w:topLinePunct w:val="0"/>
        <w:autoSpaceDE w:val="0"/>
        <w:autoSpaceDN w:val="0"/>
        <w:bidi w:val="0"/>
        <w:adjustRightInd/>
        <w:snapToGrid/>
        <w:spacing w:before="0"/>
        <w:ind w:right="0" w:firstLine="1120" w:firstLineChars="400"/>
        <w:jc w:val="left"/>
        <w:textAlignment w:val="auto"/>
        <w:rPr>
          <w:rFonts w:hint="eastAsia" w:ascii="宋体" w:hAnsi="宋体" w:eastAsia="宋体" w:cs="宋体"/>
          <w:sz w:val="28"/>
          <w:lang w:eastAsia="zh-CN"/>
        </w:rPr>
      </w:pPr>
      <w:r>
        <w:rPr>
          <w:rFonts w:hint="eastAsia" w:ascii="宋体" w:hAnsi="宋体" w:eastAsia="宋体" w:cs="宋体"/>
          <w:sz w:val="28"/>
        </w:rPr>
        <w:t>采购代理机构：</w:t>
      </w:r>
      <w:r>
        <w:rPr>
          <w:rFonts w:hint="eastAsia" w:ascii="宋体" w:hAnsi="宋体" w:eastAsia="宋体" w:cs="宋体"/>
          <w:sz w:val="28"/>
          <w:lang w:eastAsia="zh-CN"/>
        </w:rPr>
        <w:t>浙江科信联合工程项目管理咨询有限公司</w:t>
      </w:r>
    </w:p>
    <w:p>
      <w:pPr>
        <w:keepNext w:val="0"/>
        <w:keepLines w:val="0"/>
        <w:pageBreakBefore w:val="0"/>
        <w:widowControl w:val="0"/>
        <w:kinsoku/>
        <w:wordWrap/>
        <w:overflowPunct/>
        <w:topLinePunct w:val="0"/>
        <w:autoSpaceDE w:val="0"/>
        <w:autoSpaceDN w:val="0"/>
        <w:bidi w:val="0"/>
        <w:adjustRightInd/>
        <w:snapToGrid/>
        <w:spacing w:before="0"/>
        <w:ind w:right="0" w:firstLine="1120" w:firstLineChars="400"/>
        <w:jc w:val="left"/>
        <w:textAlignment w:val="auto"/>
        <w:rPr>
          <w:rFonts w:hint="eastAsia" w:ascii="宋体" w:hAnsi="宋体" w:eastAsia="宋体" w:cs="宋体"/>
          <w:sz w:val="28"/>
        </w:rPr>
      </w:pPr>
      <w:r>
        <w:rPr>
          <w:rFonts w:hint="eastAsia" w:ascii="宋体" w:hAnsi="宋体" w:eastAsia="宋体" w:cs="宋体"/>
          <w:sz w:val="28"/>
        </w:rPr>
        <w:t>备 案 单 位 ：温岭市财政局政府采购监管科</w:t>
      </w:r>
    </w:p>
    <w:p>
      <w:pPr>
        <w:spacing w:before="0" w:line="516" w:lineRule="exact"/>
        <w:ind w:right="0"/>
        <w:jc w:val="center"/>
        <w:rPr>
          <w:rFonts w:hint="eastAsia" w:ascii="宋体" w:hAnsi="宋体" w:eastAsia="宋体" w:cs="宋体"/>
          <w:sz w:val="28"/>
        </w:rPr>
      </w:pPr>
    </w:p>
    <w:p>
      <w:pPr>
        <w:spacing w:before="0" w:line="516" w:lineRule="exact"/>
        <w:ind w:right="0"/>
        <w:jc w:val="center"/>
        <w:rPr>
          <w:rFonts w:hint="eastAsia" w:ascii="宋体" w:hAnsi="宋体" w:eastAsia="宋体" w:cs="宋体"/>
          <w:sz w:val="28"/>
        </w:rPr>
      </w:pPr>
      <w:r>
        <w:rPr>
          <w:rFonts w:hint="eastAsia" w:ascii="宋体" w:hAnsi="宋体" w:eastAsia="宋体" w:cs="宋体"/>
          <w:sz w:val="28"/>
        </w:rPr>
        <w:t>202</w:t>
      </w:r>
      <w:r>
        <w:rPr>
          <w:rFonts w:hint="eastAsia" w:ascii="宋体" w:hAnsi="宋体" w:eastAsia="宋体" w:cs="宋体"/>
          <w:sz w:val="28"/>
          <w:lang w:val="en-US" w:eastAsia="zh-CN"/>
        </w:rPr>
        <w:t>2</w:t>
      </w:r>
      <w:r>
        <w:rPr>
          <w:rFonts w:hint="eastAsia" w:ascii="宋体" w:hAnsi="宋体" w:eastAsia="宋体" w:cs="宋体"/>
          <w:sz w:val="28"/>
        </w:rPr>
        <w:t>年</w:t>
      </w:r>
      <w:r>
        <w:rPr>
          <w:rFonts w:hint="eastAsia" w:ascii="宋体" w:hAnsi="宋体" w:eastAsia="宋体" w:cs="宋体"/>
          <w:sz w:val="28"/>
          <w:lang w:val="en-US" w:eastAsia="zh-CN"/>
        </w:rPr>
        <w:t>6</w:t>
      </w:r>
      <w:r>
        <w:rPr>
          <w:rFonts w:hint="eastAsia" w:ascii="宋体" w:hAnsi="宋体" w:eastAsia="宋体" w:cs="宋体"/>
          <w:sz w:val="28"/>
        </w:rPr>
        <w:t>月</w:t>
      </w:r>
    </w:p>
    <w:p>
      <w:pPr>
        <w:rPr>
          <w:b/>
          <w:sz w:val="48"/>
        </w:rPr>
      </w:pPr>
      <w:r>
        <w:rPr>
          <w:b/>
          <w:sz w:val="48"/>
        </w:rPr>
        <w:br w:type="page"/>
      </w:r>
    </w:p>
    <w:p>
      <w:pPr>
        <w:tabs>
          <w:tab w:val="left" w:pos="1439"/>
        </w:tabs>
        <w:spacing w:before="0" w:line="860" w:lineRule="exact"/>
        <w:ind w:left="0" w:right="219" w:firstLine="0"/>
        <w:jc w:val="center"/>
        <w:rPr>
          <w:b/>
          <w:sz w:val="48"/>
        </w:rPr>
      </w:pPr>
      <w:r>
        <w:rPr>
          <w:rFonts w:hint="eastAsia" w:ascii="宋体" w:hAnsi="宋体" w:eastAsia="宋体" w:cs="宋体"/>
          <w:b/>
          <w:sz w:val="48"/>
        </w:rPr>
        <w:t>目</w:t>
      </w:r>
      <w:r>
        <w:rPr>
          <w:rFonts w:hint="eastAsia" w:ascii="宋体" w:hAnsi="宋体" w:eastAsia="宋体" w:cs="宋体"/>
          <w:b/>
          <w:sz w:val="48"/>
        </w:rPr>
        <w:tab/>
      </w:r>
      <w:r>
        <w:rPr>
          <w:rFonts w:hint="eastAsia" w:ascii="宋体" w:hAnsi="宋体" w:eastAsia="宋体" w:cs="宋体"/>
          <w:b/>
          <w:sz w:val="48"/>
        </w:rPr>
        <w:t>录</w:t>
      </w:r>
    </w:p>
    <w:p>
      <w:pPr>
        <w:pStyle w:val="7"/>
        <w:spacing w:before="14"/>
        <w:rPr>
          <w:b/>
          <w:sz w:val="61"/>
        </w:rPr>
      </w:pP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一</w:t>
      </w:r>
      <w:r>
        <w:rPr>
          <w:rFonts w:hint="eastAsia" w:ascii="宋体" w:hAnsi="宋体" w:eastAsia="宋体" w:cs="宋体"/>
          <w:sz w:val="28"/>
        </w:rPr>
        <w:t>章</w:t>
      </w:r>
      <w:r>
        <w:rPr>
          <w:rFonts w:hint="eastAsia" w:ascii="宋体" w:hAnsi="宋体" w:eastAsia="宋体" w:cs="宋体"/>
          <w:sz w:val="28"/>
          <w:lang w:val="en-US" w:eastAsia="zh-CN"/>
        </w:rPr>
        <w:t xml:space="preserve">   招标公告</w:t>
      </w: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z w:val="28"/>
          <w:lang w:val="en-US" w:eastAsia="zh-CN"/>
        </w:rPr>
      </w:pPr>
      <w:r>
        <w:rPr>
          <w:rFonts w:hint="eastAsia" w:ascii="宋体" w:hAnsi="宋体" w:eastAsia="宋体" w:cs="宋体"/>
          <w:spacing w:val="-3"/>
          <w:sz w:val="28"/>
        </w:rPr>
        <w:t>第</w:t>
      </w:r>
      <w:r>
        <w:rPr>
          <w:rFonts w:hint="eastAsia" w:ascii="宋体" w:hAnsi="宋体" w:eastAsia="宋体" w:cs="宋体"/>
          <w:spacing w:val="-3"/>
          <w:sz w:val="28"/>
          <w:lang w:eastAsia="zh-CN"/>
        </w:rPr>
        <w:t>二</w:t>
      </w:r>
      <w:r>
        <w:rPr>
          <w:rFonts w:hint="eastAsia" w:ascii="宋体" w:hAnsi="宋体" w:eastAsia="宋体" w:cs="宋体"/>
          <w:sz w:val="28"/>
        </w:rPr>
        <w:t>章</w:t>
      </w:r>
      <w:r>
        <w:rPr>
          <w:rFonts w:hint="eastAsia" w:ascii="宋体" w:hAnsi="宋体" w:eastAsia="宋体" w:cs="宋体"/>
          <w:sz w:val="28"/>
          <w:lang w:val="en-US" w:eastAsia="zh-CN"/>
        </w:rPr>
        <w:t xml:space="preserve">   投标人须知</w:t>
      </w: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pacing w:val="-14"/>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三</w:t>
      </w:r>
      <w:r>
        <w:rPr>
          <w:rFonts w:hint="eastAsia" w:ascii="宋体" w:hAnsi="宋体" w:eastAsia="宋体" w:cs="宋体"/>
          <w:sz w:val="28"/>
        </w:rPr>
        <w:t>章</w:t>
      </w:r>
      <w:r>
        <w:rPr>
          <w:rFonts w:hint="eastAsia" w:ascii="宋体" w:hAnsi="宋体" w:eastAsia="宋体" w:cs="宋体"/>
          <w:sz w:val="28"/>
          <w:lang w:val="en-US" w:eastAsia="zh-CN"/>
        </w:rPr>
        <w:t xml:space="preserve">   </w:t>
      </w:r>
      <w:r>
        <w:rPr>
          <w:rFonts w:hint="eastAsia" w:ascii="宋体" w:hAnsi="宋体" w:eastAsia="宋体" w:cs="宋体"/>
          <w:spacing w:val="-3"/>
          <w:sz w:val="28"/>
        </w:rPr>
        <w:t>评标</w:t>
      </w:r>
      <w:r>
        <w:rPr>
          <w:rFonts w:hint="eastAsia" w:ascii="宋体" w:hAnsi="宋体" w:eastAsia="宋体" w:cs="宋体"/>
          <w:sz w:val="28"/>
        </w:rPr>
        <w:t>办</w:t>
      </w:r>
      <w:r>
        <w:rPr>
          <w:rFonts w:hint="eastAsia" w:ascii="宋体" w:hAnsi="宋体" w:eastAsia="宋体" w:cs="宋体"/>
          <w:spacing w:val="-3"/>
          <w:sz w:val="28"/>
        </w:rPr>
        <w:t>法及标</w:t>
      </w:r>
      <w:r>
        <w:rPr>
          <w:rFonts w:hint="eastAsia" w:ascii="宋体" w:hAnsi="宋体" w:eastAsia="宋体" w:cs="宋体"/>
          <w:spacing w:val="-14"/>
          <w:sz w:val="28"/>
        </w:rPr>
        <w:t>准</w:t>
      </w: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四</w:t>
      </w:r>
      <w:r>
        <w:rPr>
          <w:rFonts w:hint="eastAsia" w:ascii="宋体" w:hAnsi="宋体" w:eastAsia="宋体" w:cs="宋体"/>
          <w:sz w:val="28"/>
        </w:rPr>
        <w:t>章</w:t>
      </w:r>
      <w:r>
        <w:rPr>
          <w:rFonts w:hint="eastAsia" w:ascii="宋体" w:hAnsi="宋体" w:eastAsia="宋体" w:cs="宋体"/>
          <w:sz w:val="28"/>
          <w:lang w:val="en-US" w:eastAsia="zh-CN"/>
        </w:rPr>
        <w:t xml:space="preserve">   公开招标需求</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eastAsia" w:ascii="宋体" w:hAnsi="宋体" w:eastAsia="宋体" w:cs="宋体"/>
          <w:spacing w:val="-12"/>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五</w:t>
      </w:r>
      <w:r>
        <w:rPr>
          <w:rFonts w:hint="eastAsia" w:ascii="宋体" w:hAnsi="宋体" w:eastAsia="宋体" w:cs="宋体"/>
          <w:sz w:val="28"/>
        </w:rPr>
        <w:t>章</w:t>
      </w:r>
      <w:r>
        <w:rPr>
          <w:rFonts w:hint="eastAsia" w:ascii="宋体" w:hAnsi="宋体" w:eastAsia="宋体" w:cs="宋体"/>
          <w:sz w:val="28"/>
        </w:rPr>
        <w:tab/>
      </w:r>
      <w:r>
        <w:rPr>
          <w:rFonts w:hint="eastAsia" w:ascii="宋体" w:hAnsi="宋体" w:eastAsia="宋体" w:cs="宋体"/>
          <w:sz w:val="28"/>
          <w:lang w:val="en-US" w:eastAsia="zh-CN"/>
        </w:rPr>
        <w:t xml:space="preserve">   </w:t>
      </w:r>
      <w:r>
        <w:rPr>
          <w:rFonts w:hint="eastAsia" w:ascii="宋体" w:hAnsi="宋体" w:eastAsia="宋体" w:cs="宋体"/>
          <w:spacing w:val="-3"/>
          <w:sz w:val="28"/>
        </w:rPr>
        <w:t>政府</w:t>
      </w:r>
      <w:r>
        <w:rPr>
          <w:rFonts w:hint="eastAsia" w:ascii="宋体" w:hAnsi="宋体" w:eastAsia="宋体" w:cs="宋体"/>
          <w:sz w:val="28"/>
        </w:rPr>
        <w:t>采</w:t>
      </w:r>
      <w:r>
        <w:rPr>
          <w:rFonts w:hint="eastAsia" w:ascii="宋体" w:hAnsi="宋体" w:eastAsia="宋体" w:cs="宋体"/>
          <w:spacing w:val="-3"/>
          <w:sz w:val="28"/>
        </w:rPr>
        <w:t>购合</w:t>
      </w:r>
      <w:r>
        <w:rPr>
          <w:rFonts w:hint="eastAsia" w:ascii="宋体" w:hAnsi="宋体" w:eastAsia="宋体" w:cs="宋体"/>
          <w:sz w:val="28"/>
        </w:rPr>
        <w:t>同</w:t>
      </w:r>
      <w:r>
        <w:rPr>
          <w:rFonts w:hint="eastAsia" w:ascii="宋体" w:hAnsi="宋体" w:eastAsia="宋体" w:cs="宋体"/>
          <w:spacing w:val="-3"/>
          <w:sz w:val="28"/>
        </w:rPr>
        <w:t>主</w:t>
      </w:r>
      <w:r>
        <w:rPr>
          <w:rFonts w:hint="eastAsia" w:ascii="宋体" w:hAnsi="宋体" w:eastAsia="宋体" w:cs="宋体"/>
          <w:spacing w:val="-5"/>
          <w:sz w:val="28"/>
        </w:rPr>
        <w:t>要</w:t>
      </w:r>
      <w:r>
        <w:rPr>
          <w:rFonts w:hint="eastAsia" w:ascii="宋体" w:hAnsi="宋体" w:eastAsia="宋体" w:cs="宋体"/>
          <w:sz w:val="28"/>
        </w:rPr>
        <w:t>条款</w:t>
      </w:r>
      <w:r>
        <w:rPr>
          <w:rFonts w:hint="eastAsia" w:ascii="宋体" w:hAnsi="宋体" w:eastAsia="宋体" w:cs="宋体"/>
          <w:spacing w:val="-5"/>
          <w:sz w:val="28"/>
        </w:rPr>
        <w:t>指</w:t>
      </w:r>
      <w:r>
        <w:rPr>
          <w:rFonts w:hint="eastAsia" w:ascii="宋体" w:hAnsi="宋体" w:eastAsia="宋体" w:cs="宋体"/>
          <w:spacing w:val="-12"/>
          <w:sz w:val="28"/>
        </w:rPr>
        <w:t>引</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default" w:ascii="宋体" w:hAnsi="宋体" w:eastAsia="宋体" w:cs="宋体"/>
          <w:sz w:val="28"/>
          <w:lang w:val="en-US"/>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3"/>
          <w:sz w:val="28"/>
        </w:rPr>
        <w:t>第六</w:t>
      </w:r>
      <w:r>
        <w:rPr>
          <w:rFonts w:hint="eastAsia" w:ascii="宋体" w:hAnsi="宋体" w:eastAsia="宋体" w:cs="宋体"/>
          <w:sz w:val="28"/>
        </w:rPr>
        <w:t>章</w:t>
      </w:r>
      <w:r>
        <w:rPr>
          <w:rFonts w:hint="eastAsia" w:ascii="宋体" w:hAnsi="宋体" w:eastAsia="宋体" w:cs="宋体"/>
          <w:sz w:val="28"/>
        </w:rPr>
        <w:tab/>
      </w:r>
      <w:r>
        <w:rPr>
          <w:rFonts w:hint="eastAsia" w:ascii="宋体" w:hAnsi="宋体" w:eastAsia="宋体" w:cs="宋体"/>
          <w:sz w:val="28"/>
          <w:lang w:val="en-US" w:eastAsia="zh-CN"/>
        </w:rPr>
        <w:t xml:space="preserve">   投标文件格式附  </w:t>
      </w:r>
    </w:p>
    <w:p>
      <w:pPr>
        <w:spacing w:before="208"/>
        <w:ind w:right="381" w:firstLine="3000" w:firstLineChars="1000"/>
        <w:jc w:val="both"/>
        <w:rPr>
          <w:rFonts w:ascii="黑体" w:eastAsia="黑体"/>
          <w:color w:val="auto"/>
          <w:sz w:val="30"/>
          <w:szCs w:val="30"/>
          <w:highlight w:val="none"/>
        </w:rPr>
      </w:pPr>
      <w:r>
        <w:rPr>
          <w:rFonts w:hint="eastAsia" w:ascii="黑体" w:eastAsia="黑体" w:cs="黑体"/>
          <w:color w:val="auto"/>
          <w:sz w:val="30"/>
          <w:szCs w:val="30"/>
          <w:highlight w:val="none"/>
        </w:rPr>
        <w:t>电子交易须知</w:t>
      </w:r>
    </w:p>
    <w:p>
      <w:pPr>
        <w:pStyle w:val="7"/>
        <w:rPr>
          <w:rFonts w:ascii="黑体"/>
          <w:color w:val="auto"/>
          <w:sz w:val="36"/>
          <w:szCs w:val="36"/>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5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1、</w:t>
      </w:r>
      <w:r>
        <w:rPr>
          <w:rFonts w:hint="eastAsia" w:ascii="宋体" w:hAnsi="宋体" w:eastAsia="宋体" w:cs="宋体"/>
          <w:color w:val="auto"/>
          <w:spacing w:val="-6"/>
          <w:w w:val="95"/>
          <w:sz w:val="24"/>
          <w:szCs w:val="24"/>
          <w:highlight w:val="none"/>
        </w:rPr>
        <w:t>本次采购采用电子交易方式，电子交易平台为“政府采购云平台（</w:t>
      </w:r>
      <w:r>
        <w:rPr>
          <w:rFonts w:hint="eastAsia" w:ascii="宋体" w:hAnsi="宋体" w:eastAsia="宋体" w:cs="宋体"/>
          <w:color w:val="auto"/>
          <w:spacing w:val="-6"/>
          <w:sz w:val="24"/>
          <w:szCs w:val="24"/>
          <w:highlight w:val="none"/>
        </w:rPr>
        <w:fldChar w:fldCharType="begin"/>
      </w:r>
      <w:r>
        <w:rPr>
          <w:rFonts w:hint="eastAsia" w:ascii="宋体" w:hAnsi="宋体" w:eastAsia="宋体" w:cs="宋体"/>
          <w:color w:val="auto"/>
          <w:spacing w:val="-6"/>
          <w:sz w:val="24"/>
          <w:szCs w:val="24"/>
          <w:highlight w:val="none"/>
        </w:rPr>
        <w:instrText xml:space="preserve"> HYPERLINK "http://www.zcygov.cn/" \h </w:instrText>
      </w:r>
      <w:r>
        <w:rPr>
          <w:rFonts w:hint="eastAsia" w:ascii="宋体" w:hAnsi="宋体" w:eastAsia="宋体" w:cs="宋体"/>
          <w:color w:val="auto"/>
          <w:spacing w:val="-6"/>
          <w:sz w:val="24"/>
          <w:szCs w:val="24"/>
          <w:highlight w:val="none"/>
        </w:rPr>
        <w:fldChar w:fldCharType="separate"/>
      </w:r>
      <w:r>
        <w:rPr>
          <w:rFonts w:hint="eastAsia" w:ascii="宋体" w:hAnsi="宋体" w:eastAsia="宋体" w:cs="宋体"/>
          <w:color w:val="auto"/>
          <w:spacing w:val="-6"/>
          <w:w w:val="95"/>
          <w:sz w:val="24"/>
          <w:szCs w:val="24"/>
          <w:highlight w:val="none"/>
        </w:rPr>
        <w:t>www.zcygov.cn</w:t>
      </w:r>
      <w:r>
        <w:rPr>
          <w:rFonts w:hint="eastAsia" w:ascii="宋体" w:hAnsi="宋体" w:eastAsia="宋体" w:cs="宋体"/>
          <w:color w:val="auto"/>
          <w:spacing w:val="-6"/>
          <w:w w:val="95"/>
          <w:sz w:val="24"/>
          <w:szCs w:val="24"/>
          <w:highlight w:val="none"/>
        </w:rPr>
        <w:fldChar w:fldCharType="end"/>
      </w:r>
      <w:r>
        <w:rPr>
          <w:rFonts w:hint="eastAsia" w:ascii="宋体" w:hAnsi="宋体" w:eastAsia="宋体" w:cs="宋体"/>
          <w:color w:val="auto"/>
          <w:spacing w:val="-6"/>
          <w:w w:val="95"/>
          <w:sz w:val="24"/>
          <w:szCs w:val="24"/>
          <w:highlight w:val="none"/>
        </w:rPr>
        <w:t>）</w:t>
      </w:r>
      <w:r>
        <w:rPr>
          <w:rFonts w:hint="eastAsia" w:ascii="宋体" w:hAnsi="宋体" w:eastAsia="宋体" w:cs="宋体"/>
          <w:color w:val="auto"/>
          <w:w w:val="95"/>
          <w:sz w:val="24"/>
          <w:szCs w:val="24"/>
          <w:highlight w:val="none"/>
        </w:rPr>
        <w:t>”。供应商参与本项目电子交易活动前，应注册成为政府采购云平台正式供应商。编制电子投标文件前还</w:t>
      </w:r>
      <w:r>
        <w:rPr>
          <w:rFonts w:hint="eastAsia" w:ascii="宋体" w:hAnsi="宋体" w:eastAsia="宋体" w:cs="宋体"/>
          <w:color w:val="auto"/>
          <w:spacing w:val="-14"/>
          <w:sz w:val="24"/>
          <w:szCs w:val="24"/>
          <w:highlight w:val="none"/>
        </w:rPr>
        <w:t xml:space="preserve">需申领 </w:t>
      </w:r>
      <w:r>
        <w:rPr>
          <w:rFonts w:hint="eastAsia" w:ascii="宋体" w:hAnsi="宋体" w:eastAsia="宋体" w:cs="宋体"/>
          <w:color w:val="auto"/>
          <w:sz w:val="24"/>
          <w:szCs w:val="24"/>
          <w:highlight w:val="none"/>
        </w:rPr>
        <w:t>CA</w:t>
      </w:r>
      <w:r>
        <w:rPr>
          <w:rFonts w:hint="eastAsia" w:ascii="宋体" w:hAnsi="宋体" w:eastAsia="宋体" w:cs="宋体"/>
          <w:color w:val="auto"/>
          <w:spacing w:val="-10"/>
          <w:sz w:val="24"/>
          <w:szCs w:val="24"/>
          <w:highlight w:val="none"/>
        </w:rPr>
        <w:t xml:space="preserve"> 证书并绑定帐号。供应商应充分考虑完成平台注册、申领 </w:t>
      </w:r>
      <w:r>
        <w:rPr>
          <w:rFonts w:hint="eastAsia" w:ascii="宋体" w:hAnsi="宋体" w:eastAsia="宋体" w:cs="宋体"/>
          <w:color w:val="auto"/>
          <w:sz w:val="24"/>
          <w:szCs w:val="24"/>
          <w:highlight w:val="none"/>
        </w:rPr>
        <w:t>CA</w:t>
      </w:r>
      <w:r>
        <w:rPr>
          <w:rFonts w:hint="eastAsia" w:ascii="宋体" w:hAnsi="宋体" w:eastAsia="宋体" w:cs="宋体"/>
          <w:color w:val="auto"/>
          <w:spacing w:val="-8"/>
          <w:sz w:val="24"/>
          <w:szCs w:val="24"/>
          <w:highlight w:val="none"/>
        </w:rPr>
        <w:t xml:space="preserve"> 证书等所需的时间。</w:t>
      </w:r>
    </w:p>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5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2</w:t>
      </w:r>
      <w:r>
        <w:rPr>
          <w:rFonts w:hint="eastAsia" w:ascii="宋体" w:hAnsi="宋体" w:eastAsia="宋体" w:cs="宋体"/>
          <w:color w:val="auto"/>
          <w:spacing w:val="-3"/>
          <w:w w:val="95"/>
          <w:sz w:val="24"/>
          <w:szCs w:val="24"/>
          <w:highlight w:val="none"/>
        </w:rPr>
        <w:t>、供应商编制电子投标文件应安装“电子交易客户端”软件，并按照本采购文件</w:t>
      </w:r>
      <w:r>
        <w:rPr>
          <w:rFonts w:hint="eastAsia" w:ascii="宋体" w:hAnsi="宋体" w:eastAsia="宋体" w:cs="宋体"/>
          <w:color w:val="auto"/>
          <w:spacing w:val="-11"/>
          <w:w w:val="95"/>
          <w:sz w:val="24"/>
          <w:szCs w:val="24"/>
          <w:highlight w:val="none"/>
        </w:rPr>
        <w:t>和电子交易平</w:t>
      </w:r>
      <w:r>
        <w:rPr>
          <w:rFonts w:hint="eastAsia" w:ascii="宋体" w:hAnsi="宋体" w:eastAsia="宋体" w:cs="宋体"/>
          <w:color w:val="auto"/>
          <w:spacing w:val="-11"/>
          <w:sz w:val="24"/>
          <w:szCs w:val="24"/>
          <w:highlight w:val="none"/>
        </w:rPr>
        <w:t>台的要求编制并加密投标文件。未按规定加密的投标文件，将被电子交易平台拒收。“电子交易客户端”请供应商自行前往“浙江政府采购网（zfcg.czt.zj.gov.cn）</w:t>
      </w:r>
      <w:r>
        <w:rPr>
          <w:rFonts w:hint="eastAsia" w:ascii="宋体" w:hAnsi="宋体" w:eastAsia="宋体" w:cs="宋体"/>
          <w:color w:val="auto"/>
          <w:spacing w:val="-5"/>
          <w:sz w:val="24"/>
          <w:szCs w:val="24"/>
          <w:highlight w:val="none"/>
        </w:rPr>
        <w:t>— 下载专区 — 电子交易客户端”版块获取。</w:t>
      </w:r>
    </w:p>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5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3</w:t>
      </w:r>
      <w:r>
        <w:rPr>
          <w:rFonts w:hint="eastAsia" w:ascii="宋体" w:hAnsi="宋体" w:eastAsia="宋体" w:cs="宋体"/>
          <w:color w:val="auto"/>
          <w:spacing w:val="-3"/>
          <w:w w:val="95"/>
          <w:sz w:val="24"/>
          <w:szCs w:val="24"/>
          <w:highlight w:val="none"/>
        </w:rPr>
        <w:t>、供应商应当在投标截止时间前，将“电子交易客户端”生成的“电子加密投标文件”上传电</w:t>
      </w:r>
      <w:r>
        <w:rPr>
          <w:rFonts w:hint="eastAsia" w:ascii="宋体" w:hAnsi="宋体" w:eastAsia="宋体" w:cs="宋体"/>
          <w:color w:val="auto"/>
          <w:spacing w:val="-3"/>
          <w:sz w:val="24"/>
          <w:szCs w:val="24"/>
          <w:highlight w:val="none"/>
        </w:rPr>
        <w:t>子交易平台。</w:t>
      </w:r>
    </w:p>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5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4、“电子备份投标文件”是指与“电子加密投标文件”同时生成的数据电文形式的投标文件。</w:t>
      </w:r>
      <w:r>
        <w:rPr>
          <w:rFonts w:hint="eastAsia" w:ascii="宋体" w:hAnsi="宋体" w:eastAsia="宋体" w:cs="宋体"/>
          <w:color w:val="auto"/>
          <w:sz w:val="24"/>
          <w:szCs w:val="24"/>
          <w:highlight w:val="none"/>
        </w:rPr>
        <w:t>供应商在电子交易平台上传“电子加密投标文件”后，还可以邮寄</w:t>
      </w:r>
      <w:r>
        <w:rPr>
          <w:rFonts w:hint="eastAsia" w:ascii="宋体" w:hAnsi="宋体" w:eastAsia="宋体" w:cs="宋体"/>
          <w:color w:val="auto"/>
          <w:w w:val="95"/>
          <w:sz w:val="24"/>
          <w:szCs w:val="24"/>
          <w:highlight w:val="none"/>
        </w:rPr>
        <w:t>或送达的方式在投标截止时间前提交以介质（U 盘）存储的“电子备份投标</w:t>
      </w:r>
      <w:r>
        <w:rPr>
          <w:rFonts w:hint="eastAsia" w:ascii="宋体" w:hAnsi="宋体" w:eastAsia="宋体" w:cs="宋体"/>
          <w:color w:val="auto"/>
          <w:w w:val="95"/>
          <w:sz w:val="24"/>
          <w:szCs w:val="24"/>
          <w:highlight w:val="none"/>
          <w:lang w:eastAsia="zh-CN"/>
        </w:rPr>
        <w:t>文</w:t>
      </w:r>
      <w:r>
        <w:rPr>
          <w:rFonts w:hint="eastAsia" w:ascii="宋体" w:hAnsi="宋体" w:eastAsia="宋体" w:cs="宋体"/>
          <w:color w:val="auto"/>
          <w:w w:val="95"/>
          <w:sz w:val="24"/>
          <w:szCs w:val="24"/>
          <w:highlight w:val="none"/>
        </w:rPr>
        <w:t>件”</w:t>
      </w:r>
      <w:r>
        <w:rPr>
          <w:rFonts w:hint="eastAsia" w:ascii="宋体" w:hAnsi="宋体" w:eastAsia="宋体" w:cs="宋体"/>
          <w:color w:val="auto"/>
          <w:spacing w:val="-6"/>
          <w:sz w:val="24"/>
          <w:szCs w:val="24"/>
          <w:highlight w:val="none"/>
        </w:rPr>
        <w:t>。“电子备份投标文件”应当密封包装并在包装上标注采购项目编号、项目名称、投标单位名称等并加盖公章。</w:t>
      </w:r>
    </w:p>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56" w:firstLineChars="200"/>
        <w:textAlignment w:val="auto"/>
        <w:rPr>
          <w:rFonts w:hint="eastAsia" w:ascii="宋体" w:hAnsi="宋体" w:eastAsia="宋体" w:cs="宋体"/>
          <w:color w:val="auto"/>
          <w:w w:val="95"/>
          <w:sz w:val="24"/>
          <w:szCs w:val="24"/>
          <w:highlight w:val="none"/>
        </w:rPr>
      </w:pPr>
      <w:r>
        <w:rPr>
          <w:rFonts w:hint="eastAsia" w:ascii="宋体" w:hAnsi="宋体" w:eastAsia="宋体" w:cs="宋体"/>
          <w:color w:val="auto"/>
          <w:w w:val="95"/>
          <w:sz w:val="24"/>
          <w:szCs w:val="24"/>
          <w:highlight w:val="none"/>
        </w:rPr>
        <w:t>5</w:t>
      </w:r>
      <w:r>
        <w:rPr>
          <w:rFonts w:hint="eastAsia" w:ascii="宋体" w:hAnsi="宋体" w:eastAsia="宋体" w:cs="宋体"/>
          <w:color w:val="auto"/>
          <w:spacing w:val="-1"/>
          <w:w w:val="95"/>
          <w:sz w:val="24"/>
          <w:szCs w:val="24"/>
          <w:highlight w:val="none"/>
        </w:rPr>
        <w:t>、</w:t>
      </w:r>
      <w:r>
        <w:rPr>
          <w:rFonts w:hint="eastAsia" w:ascii="宋体" w:hAnsi="宋体" w:eastAsia="宋体" w:cs="宋体"/>
          <w:color w:val="auto"/>
          <w:spacing w:val="-1"/>
          <w:sz w:val="24"/>
          <w:szCs w:val="24"/>
          <w:highlight w:val="none"/>
        </w:rPr>
        <w:t>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00" w:lineRule="exact"/>
        <w:ind w:left="0" w:right="0" w:rightChars="0" w:firstLine="456" w:firstLineChars="200"/>
        <w:jc w:val="both"/>
        <w:textAlignment w:val="auto"/>
        <w:rPr>
          <w:rFonts w:hint="eastAsia" w:ascii="宋体" w:hAnsi="宋体" w:eastAsia="宋体" w:cs="宋体"/>
          <w:b/>
          <w:sz w:val="24"/>
          <w:szCs w:val="24"/>
        </w:rPr>
      </w:pPr>
      <w:r>
        <w:rPr>
          <w:rFonts w:hint="eastAsia" w:ascii="宋体" w:hAnsi="宋体" w:eastAsia="宋体" w:cs="宋体"/>
          <w:color w:val="auto"/>
          <w:w w:val="95"/>
          <w:sz w:val="24"/>
          <w:szCs w:val="24"/>
          <w:highlight w:val="none"/>
          <w:lang w:val="en-US" w:eastAsia="zh-CN"/>
        </w:rPr>
        <w:t>6</w:t>
      </w:r>
      <w:r>
        <w:rPr>
          <w:rFonts w:hint="eastAsia" w:ascii="宋体" w:hAnsi="宋体" w:eastAsia="宋体" w:cs="宋体"/>
          <w:color w:val="auto"/>
          <w:spacing w:val="-1"/>
          <w:w w:val="95"/>
          <w:sz w:val="24"/>
          <w:szCs w:val="24"/>
          <w:highlight w:val="none"/>
        </w:rPr>
        <w:t>、</w:t>
      </w:r>
      <w:r>
        <w:rPr>
          <w:rFonts w:hint="eastAsia" w:ascii="宋体" w:hAnsi="宋体" w:eastAsia="宋体" w:cs="宋体"/>
          <w:color w:val="auto"/>
          <w:w w:val="95"/>
          <w:sz w:val="24"/>
          <w:szCs w:val="24"/>
          <w:highlight w:val="none"/>
        </w:rPr>
        <w:t>供应商在参加电子交易过程中,可登录电子交易平台“帮助文档”版面获取《电子交易管理操作</w:t>
      </w:r>
      <w:r>
        <w:rPr>
          <w:rFonts w:hint="eastAsia" w:ascii="宋体" w:hAnsi="宋体" w:eastAsia="宋体" w:cs="宋体"/>
          <w:color w:val="auto"/>
          <w:sz w:val="24"/>
          <w:szCs w:val="24"/>
          <w:highlight w:val="none"/>
        </w:rPr>
        <w:t>指南》，或致电平台400-881-7190获取相关服务支持。</w:t>
      </w:r>
    </w:p>
    <w:p>
      <w:pPr>
        <w:rPr>
          <w:b/>
          <w:sz w:val="36"/>
        </w:rPr>
      </w:pPr>
      <w:r>
        <w:rPr>
          <w:b/>
          <w:sz w:val="36"/>
        </w:rPr>
        <w:br w:type="page"/>
      </w:r>
    </w:p>
    <w:p>
      <w:pPr>
        <w:spacing w:before="26"/>
        <w:ind w:right="376"/>
        <w:jc w:val="center"/>
        <w:rPr>
          <w:b/>
          <w:sz w:val="36"/>
        </w:rPr>
      </w:pPr>
      <w:r>
        <w:rPr>
          <w:b/>
          <w:sz w:val="36"/>
        </w:rPr>
        <w:t xml:space="preserve">第一章 </w:t>
      </w:r>
      <w:r>
        <w:rPr>
          <w:b/>
          <w:color w:val="auto"/>
          <w:sz w:val="36"/>
          <w:highlight w:val="none"/>
        </w:rPr>
        <w:t>招标公告</w:t>
      </w:r>
    </w:p>
    <w:tbl>
      <w:tblPr>
        <w:tblStyle w:val="16"/>
        <w:tblW w:w="9096"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tcPr>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left"/>
              <w:textAlignment w:val="auto"/>
              <w:rPr>
                <w:rFonts w:hint="eastAsia" w:ascii="宋体" w:hAnsi="宋体" w:eastAsia="宋体" w:cs="宋体"/>
                <w:b/>
                <w:sz w:val="24"/>
                <w:szCs w:val="24"/>
              </w:rPr>
            </w:pPr>
            <w:r>
              <w:rPr>
                <w:rFonts w:hint="eastAsia" w:ascii="宋体" w:hAnsi="宋体" w:eastAsia="宋体" w:cs="宋体"/>
                <w:b/>
                <w:sz w:val="24"/>
                <w:szCs w:val="24"/>
              </w:rPr>
              <w:t>项目概况：</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jc w:val="both"/>
              <w:textAlignment w:val="auto"/>
              <w:rPr>
                <w:rFonts w:hint="eastAsia" w:ascii="宋体" w:hAnsi="宋体" w:eastAsia="宋体" w:cs="宋体"/>
                <w:b/>
                <w:sz w:val="24"/>
                <w:szCs w:val="24"/>
                <w:vertAlign w:val="baseline"/>
              </w:rPr>
            </w:pPr>
            <w:r>
              <w:rPr>
                <w:rFonts w:hint="eastAsia" w:ascii="宋体" w:hAnsi="宋体" w:eastAsia="宋体" w:cs="宋体"/>
                <w:sz w:val="24"/>
                <w:szCs w:val="24"/>
                <w:lang w:eastAsia="zh-CN"/>
              </w:rPr>
              <w:t>2022年温岭市城南镇以水灭火储水仓建设项目</w:t>
            </w:r>
            <w:r>
              <w:rPr>
                <w:rFonts w:hint="eastAsia" w:ascii="宋体" w:hAnsi="宋体" w:eastAsia="宋体" w:cs="宋体"/>
                <w:sz w:val="24"/>
                <w:szCs w:val="24"/>
              </w:rPr>
              <w:t>招标项目的潜在投标人应在“政府采购云平台”获取招标文件，并于</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点</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分（北京时间）前递交</w:t>
            </w:r>
            <w:r>
              <w:rPr>
                <w:rFonts w:hint="eastAsia" w:ascii="宋体" w:hAnsi="宋体" w:eastAsia="宋体" w:cs="宋体"/>
                <w:sz w:val="24"/>
                <w:szCs w:val="24"/>
                <w:lang w:eastAsia="zh-CN"/>
              </w:rPr>
              <w:t>投标</w:t>
            </w:r>
            <w:r>
              <w:rPr>
                <w:rFonts w:hint="eastAsia" w:ascii="宋体" w:hAnsi="宋体" w:eastAsia="宋体" w:cs="宋体"/>
                <w:sz w:val="24"/>
                <w:szCs w:val="24"/>
              </w:rPr>
              <w:t>文件。本项目为</w:t>
            </w:r>
            <w:r>
              <w:rPr>
                <w:rFonts w:hint="eastAsia" w:ascii="宋体" w:hAnsi="宋体" w:eastAsia="宋体" w:cs="宋体"/>
                <w:sz w:val="24"/>
                <w:szCs w:val="24"/>
                <w:lang w:eastAsia="zh-CN"/>
              </w:rPr>
              <w:t>公开招标</w:t>
            </w:r>
            <w:r>
              <w:rPr>
                <w:rFonts w:hint="eastAsia" w:ascii="宋体" w:hAnsi="宋体" w:eastAsia="宋体" w:cs="宋体"/>
                <w:sz w:val="24"/>
                <w:szCs w:val="24"/>
              </w:rPr>
              <w:t>项目。</w:t>
            </w:r>
          </w:p>
        </w:tc>
      </w:tr>
    </w:tbl>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rFonts w:hint="eastAsia" w:ascii="宋体" w:hAnsi="宋体" w:eastAsia="宋体" w:cs="宋体"/>
          <w:sz w:val="24"/>
          <w:szCs w:val="24"/>
        </w:rPr>
      </w:pPr>
      <w:bookmarkStart w:id="0" w:name="一、项目基本情况："/>
      <w:bookmarkEnd w:id="0"/>
      <w:r>
        <w:rPr>
          <w:rFonts w:hint="eastAsia" w:ascii="宋体" w:hAnsi="宋体" w:eastAsia="宋体" w:cs="宋体"/>
          <w:sz w:val="24"/>
          <w:szCs w:val="24"/>
        </w:rPr>
        <w:t>一、项目基本情况：</w:t>
      </w:r>
    </w:p>
    <w:p>
      <w:pPr>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ZJKX－WLCG－202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－00</w:t>
      </w:r>
      <w:r>
        <w:rPr>
          <w:rFonts w:hint="eastAsia" w:ascii="宋体" w:hAnsi="宋体" w:eastAsia="宋体" w:cs="宋体"/>
          <w:sz w:val="24"/>
          <w:szCs w:val="24"/>
          <w:lang w:val="en-US" w:eastAsia="zh-CN"/>
        </w:rPr>
        <w:t>1</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2022年温岭市城南镇以水灭火储水仓建设项目</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89</w:t>
      </w:r>
      <w:r>
        <w:rPr>
          <w:rFonts w:hint="eastAsia" w:ascii="宋体" w:hAnsi="宋体" w:eastAsia="宋体" w:cs="宋体"/>
          <w:sz w:val="24"/>
          <w:szCs w:val="24"/>
        </w:rPr>
        <w:t>万元</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89万元</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采购需求：具体详见采购需求。</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合同履行期限：详见合同条款。</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u w:val="single"/>
        </w:rPr>
        <w:t>不接受</w:t>
      </w:r>
      <w:r>
        <w:rPr>
          <w:rFonts w:hint="eastAsia" w:ascii="宋体" w:hAnsi="宋体" w:eastAsia="宋体" w:cs="宋体"/>
          <w:sz w:val="24"/>
          <w:szCs w:val="24"/>
        </w:rPr>
        <w:t>联合体投标。</w:t>
      </w:r>
    </w:p>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rFonts w:hint="eastAsia" w:ascii="宋体" w:hAnsi="宋体" w:eastAsia="宋体" w:cs="宋体"/>
          <w:sz w:val="24"/>
          <w:szCs w:val="24"/>
        </w:rPr>
      </w:pPr>
      <w:bookmarkStart w:id="1" w:name="二、申请人的资格要求："/>
      <w:bookmarkEnd w:id="1"/>
      <w:r>
        <w:rPr>
          <w:rFonts w:hint="eastAsia" w:ascii="宋体" w:hAnsi="宋体" w:eastAsia="宋体" w:cs="宋体"/>
          <w:sz w:val="24"/>
          <w:szCs w:val="24"/>
        </w:rPr>
        <w:t>二、申请人的资格要求：</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pacing w:val="-6"/>
          <w:sz w:val="24"/>
          <w:szCs w:val="24"/>
        </w:rPr>
      </w:pPr>
      <w:r>
        <w:rPr>
          <w:rFonts w:hint="eastAsia" w:ascii="宋体" w:hAnsi="宋体" w:eastAsia="宋体" w:cs="宋体"/>
          <w:sz w:val="24"/>
          <w:szCs w:val="24"/>
        </w:rPr>
        <w:t>（一）</w:t>
      </w:r>
      <w:r>
        <w:rPr>
          <w:rFonts w:hint="eastAsia" w:ascii="宋体" w:hAnsi="宋体" w:eastAsia="宋体" w:cs="宋体"/>
          <w:spacing w:val="-6"/>
          <w:sz w:val="24"/>
          <w:szCs w:val="24"/>
        </w:rPr>
        <w:t>符合《中华人民共和国政府采购法》第二十二条规定的投标人资格条件。</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w:t>
      </w:r>
    </w:p>
    <w:p>
      <w:pPr>
        <w:pStyle w:val="18"/>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2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具有良好的商业信誉和健全的财务会计制度；</w:t>
      </w:r>
    </w:p>
    <w:p>
      <w:pPr>
        <w:pStyle w:val="18"/>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2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w:t>
      </w:r>
    </w:p>
    <w:p>
      <w:pPr>
        <w:pStyle w:val="18"/>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2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有依法缴纳税收和社会保障资金的良好记录；</w:t>
      </w:r>
    </w:p>
    <w:p>
      <w:pPr>
        <w:pStyle w:val="18"/>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2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参加政府采购活动前三年内，在经营活动中没有重大违法记录；</w:t>
      </w:r>
    </w:p>
    <w:p>
      <w:pPr>
        <w:pStyle w:val="18"/>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2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法律、行政法规规定的其他条件。</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落实政府采购政策需满足的资格要求：</w:t>
      </w:r>
      <w:r>
        <w:rPr>
          <w:rFonts w:hint="eastAsia" w:ascii="宋体" w:hAnsi="宋体" w:eastAsia="宋体" w:cs="宋体"/>
          <w:b/>
          <w:bCs/>
          <w:sz w:val="24"/>
          <w:szCs w:val="24"/>
          <w:lang w:eastAsia="zh-CN"/>
        </w:rPr>
        <w:t>本项目整体专门面向中小企业采购（本项目服务由符合政策要求的中小企业承接）；监狱企业、残疾人福利性单位视同小型、微型企业。</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特定资格条件：无。</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）截止投标截止时间前（北京时间），投标人未被“信用中国”</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textAlignment w:val="auto"/>
        <w:rPr>
          <w:rFonts w:hint="eastAsia" w:ascii="宋体" w:hAnsi="宋体" w:eastAsia="宋体" w:cs="宋体"/>
          <w:spacing w:val="-6"/>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\h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pacing w:val="-8"/>
          <w:sz w:val="24"/>
          <w:szCs w:val="24"/>
        </w:rPr>
        <w:t>、“中国政府采购网”</w:t>
      </w:r>
      <w:r>
        <w:rPr>
          <w:rFonts w:hint="eastAsia" w:ascii="宋体" w:hAnsi="宋体" w:eastAsia="宋体" w:cs="宋体"/>
          <w:spacing w:val="-5"/>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\h </w:instrText>
      </w:r>
      <w:r>
        <w:rPr>
          <w:rFonts w:hint="eastAsia" w:ascii="宋体" w:hAnsi="宋体" w:eastAsia="宋体" w:cs="宋体"/>
          <w:sz w:val="24"/>
          <w:szCs w:val="24"/>
        </w:rPr>
        <w:fldChar w:fldCharType="separate"/>
      </w:r>
      <w:r>
        <w:rPr>
          <w:rFonts w:hint="eastAsia" w:ascii="宋体" w:hAnsi="宋体" w:eastAsia="宋体" w:cs="宋体"/>
          <w:spacing w:val="-5"/>
          <w:sz w:val="24"/>
          <w:szCs w:val="24"/>
        </w:rPr>
        <w:t>www.ccgp.gov.cn</w:t>
      </w:r>
      <w:r>
        <w:rPr>
          <w:rFonts w:hint="eastAsia" w:ascii="宋体" w:hAnsi="宋体" w:eastAsia="宋体" w:cs="宋体"/>
          <w:spacing w:val="-5"/>
          <w:sz w:val="24"/>
          <w:szCs w:val="24"/>
        </w:rPr>
        <w:fldChar w:fldCharType="end"/>
      </w:r>
      <w:r>
        <w:rPr>
          <w:rFonts w:hint="eastAsia" w:ascii="宋体" w:hAnsi="宋体" w:eastAsia="宋体" w:cs="宋体"/>
          <w:spacing w:val="-5"/>
          <w:sz w:val="24"/>
          <w:szCs w:val="24"/>
        </w:rPr>
        <w:t>）</w:t>
      </w:r>
      <w:r>
        <w:rPr>
          <w:rFonts w:hint="eastAsia" w:ascii="宋体" w:hAnsi="宋体" w:eastAsia="宋体" w:cs="宋体"/>
          <w:sz w:val="24"/>
          <w:szCs w:val="24"/>
        </w:rPr>
        <w:t>列入失</w:t>
      </w:r>
      <w:r>
        <w:rPr>
          <w:rFonts w:hint="eastAsia" w:ascii="宋体" w:hAnsi="宋体" w:eastAsia="宋体" w:cs="宋体"/>
          <w:spacing w:val="-6"/>
          <w:sz w:val="24"/>
          <w:szCs w:val="24"/>
        </w:rPr>
        <w:t>信被执行人、重大税收违法案件当事人名单、政府采购严重违法失信行为记录名单。</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）单位负责人为同一人或者存在直接控股、管理关系的不同供应商，不得参加同一合同项下的政府采购活动。</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）为采购项目提供整体设计、规范编制或者项目管理、监理、检测等服务的供应商， 不得再参加该采购项目的其他采购活动。</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）公益一类事业单位不属于政府购买服务的承接主体，不得参与承接政府购买服务。</w:t>
      </w:r>
    </w:p>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rFonts w:hint="eastAsia" w:ascii="宋体" w:hAnsi="宋体" w:eastAsia="宋体" w:cs="宋体"/>
          <w:sz w:val="24"/>
          <w:szCs w:val="24"/>
        </w:rPr>
      </w:pPr>
      <w:bookmarkStart w:id="2" w:name="三、获取招标文件："/>
      <w:bookmarkEnd w:id="2"/>
      <w:r>
        <w:rPr>
          <w:rFonts w:hint="eastAsia" w:ascii="宋体" w:hAnsi="宋体" w:eastAsia="宋体" w:cs="宋体"/>
          <w:sz w:val="24"/>
          <w:szCs w:val="24"/>
        </w:rPr>
        <w:t>三、获取招标文件</w:t>
      </w:r>
      <w:r>
        <w:rPr>
          <w:rFonts w:hint="eastAsia" w:ascii="宋体" w:hAnsi="宋体" w:eastAsia="宋体" w:cs="宋体"/>
          <w:sz w:val="24"/>
          <w:szCs w:val="24"/>
          <w:lang w:eastAsia="zh-CN"/>
        </w:rPr>
        <w:t>的时间、地址及方式</w:t>
      </w:r>
      <w:r>
        <w:rPr>
          <w:rFonts w:hint="eastAsia" w:ascii="宋体" w:hAnsi="宋体" w:eastAsia="宋体" w:cs="宋体"/>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（一）获取时间：公告发布时间至投标截止时间</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（二）获取地址：浙江政府采购网</w:t>
      </w:r>
      <w:r>
        <w:rPr>
          <w:rFonts w:hint="eastAsia" w:ascii="宋体" w:hAnsi="宋体" w:eastAsia="宋体" w:cs="宋体"/>
          <w:sz w:val="24"/>
          <w:szCs w:val="24"/>
          <w:lang w:val="en-US" w:eastAsia="zh-CN"/>
        </w:rPr>
        <w:t>“政府采购云平台”</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（三）获取方式：</w:t>
      </w:r>
    </w:p>
    <w:p>
      <w:pPr>
        <w:pStyle w:val="18"/>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20" w:lineRule="exact"/>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尚未注册浙江政府采购网正式供应商的应先进行注册申请，注册流程详见“浙江政府采购网—网上办事指南—供应商注册申请”，注册申请免费。</w:t>
      </w:r>
    </w:p>
    <w:p>
      <w:pPr>
        <w:pStyle w:val="18"/>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20" w:lineRule="exact"/>
        <w:ind w:left="0" w:leftChars="0" w:right="0" w:rightChars="0" w:firstLine="432" w:firstLineChars="200"/>
        <w:jc w:val="both"/>
        <w:textAlignment w:val="auto"/>
        <w:rPr>
          <w:rFonts w:hint="eastAsia" w:ascii="宋体" w:hAnsi="宋体" w:eastAsia="宋体" w:cs="宋体"/>
          <w:sz w:val="24"/>
          <w:szCs w:val="24"/>
        </w:rPr>
      </w:pPr>
      <w:r>
        <w:rPr>
          <w:rFonts w:hint="eastAsia" w:ascii="宋体" w:hAnsi="宋体" w:eastAsia="宋体" w:cs="宋体"/>
          <w:spacing w:val="-12"/>
          <w:sz w:val="24"/>
          <w:szCs w:val="24"/>
          <w:lang w:val="en-US" w:eastAsia="zh-CN"/>
        </w:rPr>
        <w:t>2.</w:t>
      </w:r>
      <w:r>
        <w:rPr>
          <w:rFonts w:hint="eastAsia" w:ascii="宋体" w:hAnsi="宋体" w:eastAsia="宋体" w:cs="宋体"/>
          <w:spacing w:val="-12"/>
          <w:sz w:val="24"/>
          <w:szCs w:val="24"/>
        </w:rPr>
        <w:t>供应商注册成功后，登录“政采云”平台进入“项目采购”应用模块，点击菜单的“申请</w:t>
      </w:r>
      <w:r>
        <w:rPr>
          <w:rFonts w:hint="eastAsia" w:ascii="宋体" w:hAnsi="宋体" w:eastAsia="宋体" w:cs="宋体"/>
          <w:spacing w:val="-13"/>
          <w:sz w:val="24"/>
          <w:szCs w:val="24"/>
        </w:rPr>
        <w:t>获取采购文件”，填写获取采购文件的申请信息。点击“下载采购文件”即可获取采购文件。</w:t>
      </w:r>
    </w:p>
    <w:p>
      <w:pPr>
        <w:pStyle w:val="18"/>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2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采购公告上附件里的采购文件仅供阅览使用，供应商应当在“政采云”平台注册登记后再获取采购文件，没有通过注册登记而获取采购文件的潜在供应商，对采购文件提起质疑投诉的，不予受理。</w:t>
      </w:r>
    </w:p>
    <w:p>
      <w:pPr>
        <w:pStyle w:val="18"/>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20" w:lineRule="exact"/>
        <w:ind w:left="0" w:leftChars="0" w:right="0" w:rightChars="0" w:firstLine="480" w:firstLineChars="200"/>
        <w:jc w:val="both"/>
        <w:textAlignment w:val="auto"/>
        <w:rPr>
          <w:rFonts w:hint="eastAsia" w:ascii="宋体" w:hAnsi="宋体" w:eastAsia="宋体" w:cs="宋体"/>
          <w:spacing w:val="-6"/>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pacing w:val="-6"/>
          <w:sz w:val="24"/>
          <w:szCs w:val="24"/>
          <w:lang w:val="en-US" w:eastAsia="zh-CN"/>
        </w:rPr>
        <w:t>采购代理机构将拒绝接受非通过以上方式获取采购文件的供应商投标文件。</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default" w:ascii="宋体" w:hAnsi="宋体" w:eastAsia="宋体" w:cs="宋体"/>
          <w:sz w:val="24"/>
          <w:szCs w:val="24"/>
          <w:lang w:val="en-US" w:eastAsia="zh-CN"/>
        </w:rPr>
      </w:pPr>
      <w:bookmarkStart w:id="3" w:name="四、提交投标文件截止时间、开标时间和地点"/>
      <w:bookmarkEnd w:id="3"/>
      <w:r>
        <w:rPr>
          <w:rFonts w:hint="eastAsia" w:ascii="宋体" w:hAnsi="宋体" w:eastAsia="宋体" w:cs="宋体"/>
          <w:sz w:val="24"/>
          <w:szCs w:val="24"/>
          <w:lang w:eastAsia="zh-CN"/>
        </w:rPr>
        <w:t>（四）售价：</w:t>
      </w:r>
      <w:r>
        <w:rPr>
          <w:rFonts w:hint="eastAsia" w:ascii="宋体" w:hAnsi="宋体" w:eastAsia="宋体" w:cs="宋体"/>
          <w:sz w:val="24"/>
          <w:szCs w:val="24"/>
          <w:lang w:val="en-US" w:eastAsia="zh-CN"/>
        </w:rPr>
        <w:t>0元</w:t>
      </w:r>
    </w:p>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2" w:firstLineChars="200"/>
        <w:textAlignment w:val="auto"/>
        <w:rPr>
          <w:rFonts w:hint="eastAsia" w:ascii="宋体" w:hAnsi="宋体" w:eastAsia="宋体" w:cs="宋体"/>
          <w:sz w:val="24"/>
          <w:szCs w:val="24"/>
          <w:u w:val="single"/>
          <w:lang w:val="zh-CN" w:eastAsia="zh-CN"/>
        </w:rPr>
      </w:pPr>
      <w:r>
        <w:rPr>
          <w:rFonts w:hint="eastAsia" w:ascii="宋体" w:hAnsi="宋体" w:eastAsia="宋体" w:cs="宋体"/>
          <w:sz w:val="24"/>
          <w:szCs w:val="24"/>
        </w:rPr>
        <w:t>四、</w:t>
      </w:r>
      <w:r>
        <w:rPr>
          <w:rFonts w:hint="eastAsia" w:ascii="宋体" w:hAnsi="宋体" w:eastAsia="宋体" w:cs="宋体"/>
          <w:sz w:val="24"/>
          <w:szCs w:val="24"/>
          <w:lang w:eastAsia="zh-CN"/>
        </w:rPr>
        <w:t>投标响应</w:t>
      </w:r>
      <w:r>
        <w:rPr>
          <w:rFonts w:hint="eastAsia" w:ascii="宋体" w:hAnsi="宋体" w:eastAsia="宋体" w:cs="宋体"/>
          <w:sz w:val="24"/>
          <w:szCs w:val="24"/>
        </w:rPr>
        <w:t>文件</w:t>
      </w:r>
      <w:r>
        <w:rPr>
          <w:rFonts w:hint="eastAsia" w:ascii="宋体" w:hAnsi="宋体" w:eastAsia="宋体" w:cs="宋体"/>
          <w:sz w:val="24"/>
          <w:szCs w:val="24"/>
          <w:lang w:eastAsia="zh-CN"/>
        </w:rPr>
        <w:t>递交</w:t>
      </w:r>
      <w:r>
        <w:rPr>
          <w:rFonts w:hint="eastAsia" w:ascii="宋体" w:hAnsi="宋体" w:eastAsia="宋体" w:cs="宋体"/>
          <w:sz w:val="24"/>
          <w:szCs w:val="24"/>
        </w:rPr>
        <w:t>截止时间</w:t>
      </w:r>
      <w:r>
        <w:rPr>
          <w:rFonts w:hint="eastAsia" w:ascii="宋体" w:hAnsi="宋体" w:eastAsia="宋体" w:cs="宋体"/>
          <w:sz w:val="24"/>
          <w:szCs w:val="24"/>
          <w:lang w:eastAsia="zh-CN"/>
        </w:rPr>
        <w:t>：</w:t>
      </w:r>
      <w:r>
        <w:rPr>
          <w:rFonts w:hint="eastAsia" w:ascii="宋体" w:hAnsi="宋体" w:eastAsia="宋体" w:cs="宋体"/>
          <w:sz w:val="24"/>
          <w:szCs w:val="24"/>
          <w:u w:val="thick"/>
          <w:lang w:val="en-US" w:eastAsia="zh-CN"/>
        </w:rPr>
        <w:t>2022</w:t>
      </w:r>
      <w:r>
        <w:rPr>
          <w:rFonts w:hint="eastAsia" w:ascii="宋体" w:hAnsi="宋体" w:eastAsia="宋体" w:cs="宋体"/>
          <w:sz w:val="24"/>
          <w:szCs w:val="24"/>
          <w:u w:val="thick"/>
          <w:lang w:val="zh-CN" w:eastAsia="zh-CN"/>
        </w:rPr>
        <w:t>年</w:t>
      </w:r>
      <w:r>
        <w:rPr>
          <w:rFonts w:hint="eastAsia" w:ascii="宋体" w:hAnsi="宋体" w:eastAsia="宋体" w:cs="宋体"/>
          <w:sz w:val="24"/>
          <w:szCs w:val="24"/>
          <w:u w:val="thick"/>
          <w:lang w:val="en-US" w:eastAsia="zh-CN"/>
        </w:rPr>
        <w:t>7</w:t>
      </w:r>
      <w:r>
        <w:rPr>
          <w:rFonts w:hint="eastAsia" w:ascii="宋体" w:hAnsi="宋体" w:eastAsia="宋体" w:cs="宋体"/>
          <w:sz w:val="24"/>
          <w:szCs w:val="24"/>
          <w:u w:val="thick"/>
          <w:lang w:val="zh-CN" w:eastAsia="zh-CN"/>
        </w:rPr>
        <w:t>月</w:t>
      </w:r>
      <w:r>
        <w:rPr>
          <w:rFonts w:hint="eastAsia" w:ascii="宋体" w:hAnsi="宋体" w:eastAsia="宋体" w:cs="宋体"/>
          <w:sz w:val="24"/>
          <w:szCs w:val="24"/>
          <w:u w:val="thick"/>
          <w:lang w:val="en-US" w:eastAsia="zh-CN"/>
        </w:rPr>
        <w:t>6</w:t>
      </w:r>
      <w:r>
        <w:rPr>
          <w:rFonts w:hint="eastAsia" w:ascii="宋体" w:hAnsi="宋体" w:eastAsia="宋体" w:cs="宋体"/>
          <w:sz w:val="24"/>
          <w:szCs w:val="24"/>
          <w:u w:val="thick"/>
          <w:lang w:val="zh-CN" w:eastAsia="zh-CN"/>
        </w:rPr>
        <w:t>日</w:t>
      </w:r>
      <w:r>
        <w:rPr>
          <w:rFonts w:hint="eastAsia" w:ascii="宋体" w:hAnsi="宋体" w:eastAsia="宋体" w:cs="宋体"/>
          <w:sz w:val="24"/>
          <w:szCs w:val="24"/>
          <w:u w:val="thick"/>
          <w:lang w:val="en-US" w:eastAsia="zh-CN"/>
        </w:rPr>
        <w:t>9</w:t>
      </w:r>
      <w:r>
        <w:rPr>
          <w:rFonts w:hint="eastAsia" w:ascii="宋体" w:hAnsi="宋体" w:eastAsia="宋体" w:cs="宋体"/>
          <w:sz w:val="24"/>
          <w:szCs w:val="24"/>
          <w:u w:val="thick"/>
          <w:lang w:val="zh-CN" w:eastAsia="zh-CN"/>
        </w:rPr>
        <w:t>点</w:t>
      </w:r>
      <w:r>
        <w:rPr>
          <w:rFonts w:hint="eastAsia" w:ascii="宋体" w:hAnsi="宋体" w:eastAsia="宋体" w:cs="宋体"/>
          <w:sz w:val="24"/>
          <w:szCs w:val="24"/>
          <w:u w:val="thick"/>
          <w:lang w:val="en-US" w:eastAsia="zh-CN"/>
        </w:rPr>
        <w:t>00</w:t>
      </w:r>
      <w:r>
        <w:rPr>
          <w:rFonts w:hint="eastAsia" w:ascii="宋体" w:hAnsi="宋体" w:eastAsia="宋体" w:cs="宋体"/>
          <w:sz w:val="24"/>
          <w:szCs w:val="24"/>
          <w:u w:val="thick"/>
          <w:lang w:val="zh-CN" w:eastAsia="zh-CN"/>
        </w:rPr>
        <w:t>分</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firstLine="482" w:firstLineChars="20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bidi="zh-CN"/>
        </w:rPr>
        <w:t>五、投标响应文件递交地点：</w:t>
      </w:r>
      <w:r>
        <w:rPr>
          <w:rFonts w:hint="eastAsia" w:ascii="宋体" w:hAnsi="宋体" w:eastAsia="宋体" w:cs="宋体"/>
          <w:sz w:val="24"/>
          <w:szCs w:val="24"/>
          <w:lang w:val="zh-CN" w:eastAsia="zh-CN"/>
        </w:rPr>
        <w:t>投标人应于投标截止时间之前将电子投标响应文件上传到“政府采购云平台”</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firstLine="482" w:firstLineChars="20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bidi="zh-CN"/>
        </w:rPr>
        <w:t>六、投标开始时间：</w:t>
      </w:r>
      <w:r>
        <w:rPr>
          <w:rFonts w:hint="eastAsia" w:ascii="宋体" w:hAnsi="宋体" w:eastAsia="宋体" w:cs="宋体"/>
          <w:b/>
          <w:bCs/>
          <w:sz w:val="24"/>
          <w:szCs w:val="24"/>
          <w:u w:val="thick"/>
          <w:lang w:val="en-US" w:eastAsia="zh-CN"/>
        </w:rPr>
        <w:t>2022</w:t>
      </w:r>
      <w:r>
        <w:rPr>
          <w:rFonts w:hint="eastAsia" w:ascii="宋体" w:hAnsi="宋体" w:eastAsia="宋体" w:cs="宋体"/>
          <w:b/>
          <w:bCs/>
          <w:sz w:val="24"/>
          <w:szCs w:val="24"/>
          <w:u w:val="thick"/>
          <w:lang w:val="zh-CN" w:eastAsia="zh-CN"/>
        </w:rPr>
        <w:t>年</w:t>
      </w:r>
      <w:r>
        <w:rPr>
          <w:rFonts w:hint="eastAsia" w:ascii="宋体" w:hAnsi="宋体" w:eastAsia="宋体" w:cs="宋体"/>
          <w:b/>
          <w:bCs/>
          <w:sz w:val="24"/>
          <w:szCs w:val="24"/>
          <w:u w:val="thick"/>
          <w:lang w:val="en-US" w:eastAsia="zh-CN"/>
        </w:rPr>
        <w:t>7</w:t>
      </w:r>
      <w:r>
        <w:rPr>
          <w:rFonts w:hint="eastAsia" w:ascii="宋体" w:hAnsi="宋体" w:eastAsia="宋体" w:cs="宋体"/>
          <w:b/>
          <w:bCs/>
          <w:sz w:val="24"/>
          <w:szCs w:val="24"/>
          <w:u w:val="thick"/>
          <w:lang w:val="zh-CN" w:eastAsia="zh-CN"/>
        </w:rPr>
        <w:t>月</w:t>
      </w:r>
      <w:r>
        <w:rPr>
          <w:rFonts w:hint="eastAsia" w:ascii="宋体" w:hAnsi="宋体" w:eastAsia="宋体" w:cs="宋体"/>
          <w:b/>
          <w:bCs/>
          <w:sz w:val="24"/>
          <w:szCs w:val="24"/>
          <w:u w:val="thick"/>
          <w:lang w:val="en-US" w:eastAsia="zh-CN"/>
        </w:rPr>
        <w:t>6</w:t>
      </w:r>
      <w:r>
        <w:rPr>
          <w:rFonts w:hint="eastAsia" w:ascii="宋体" w:hAnsi="宋体" w:eastAsia="宋体" w:cs="宋体"/>
          <w:b/>
          <w:bCs/>
          <w:sz w:val="24"/>
          <w:szCs w:val="24"/>
          <w:u w:val="thick"/>
          <w:lang w:val="zh-CN" w:eastAsia="zh-CN"/>
        </w:rPr>
        <w:t>日</w:t>
      </w:r>
      <w:r>
        <w:rPr>
          <w:rFonts w:hint="eastAsia" w:ascii="宋体" w:hAnsi="宋体" w:eastAsia="宋体" w:cs="宋体"/>
          <w:b/>
          <w:bCs/>
          <w:sz w:val="24"/>
          <w:szCs w:val="24"/>
          <w:u w:val="thick"/>
          <w:lang w:val="en-US" w:eastAsia="zh-CN"/>
        </w:rPr>
        <w:t>9</w:t>
      </w:r>
      <w:r>
        <w:rPr>
          <w:rFonts w:hint="eastAsia" w:ascii="宋体" w:hAnsi="宋体" w:eastAsia="宋体" w:cs="宋体"/>
          <w:b/>
          <w:bCs/>
          <w:sz w:val="24"/>
          <w:szCs w:val="24"/>
          <w:u w:val="thick"/>
          <w:lang w:val="zh-CN" w:eastAsia="zh-CN"/>
        </w:rPr>
        <w:t>点</w:t>
      </w:r>
      <w:r>
        <w:rPr>
          <w:rFonts w:hint="eastAsia" w:ascii="宋体" w:hAnsi="宋体" w:eastAsia="宋体" w:cs="宋体"/>
          <w:b/>
          <w:bCs/>
          <w:sz w:val="24"/>
          <w:szCs w:val="24"/>
          <w:u w:val="thick"/>
          <w:lang w:val="en-US" w:eastAsia="zh-CN"/>
        </w:rPr>
        <w:t>00</w:t>
      </w:r>
      <w:r>
        <w:rPr>
          <w:rFonts w:hint="eastAsia" w:ascii="宋体" w:hAnsi="宋体" w:eastAsia="宋体" w:cs="宋体"/>
          <w:b/>
          <w:bCs/>
          <w:sz w:val="24"/>
          <w:szCs w:val="24"/>
          <w:u w:val="thick"/>
          <w:lang w:val="zh-CN" w:eastAsia="zh-CN"/>
        </w:rPr>
        <w:t>分</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开标时间后 30 分钟内，供应商须登录“政采云”平台，用“项目采购-开标评标”功能解密投标响应文件。</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2" w:firstLineChars="20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val="zh-CN" w:eastAsia="zh-CN"/>
        </w:rPr>
        <w:t>投标地址：</w:t>
      </w:r>
      <w:r>
        <w:rPr>
          <w:rFonts w:hint="eastAsia" w:ascii="宋体" w:hAnsi="宋体" w:eastAsia="宋体" w:cs="宋体"/>
          <w:sz w:val="24"/>
          <w:szCs w:val="24"/>
          <w:lang w:val="zh-CN" w:eastAsia="zh-CN"/>
        </w:rPr>
        <w:t>“政府采购云平台”线上开标。</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2" w:firstLineChars="200"/>
        <w:textAlignment w:val="auto"/>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en-US" w:eastAsia="zh-CN"/>
        </w:rPr>
        <w:t>八、投标保证金：</w:t>
      </w:r>
      <w:r>
        <w:rPr>
          <w:rFonts w:hint="eastAsia" w:ascii="宋体" w:hAnsi="宋体" w:eastAsia="宋体" w:cs="宋体"/>
          <w:b w:val="0"/>
          <w:bCs w:val="0"/>
          <w:sz w:val="24"/>
          <w:szCs w:val="24"/>
          <w:lang w:val="en-US" w:eastAsia="zh-CN"/>
        </w:rPr>
        <w:t>不收取</w:t>
      </w:r>
    </w:p>
    <w:p>
      <w:pPr>
        <w:keepNext w:val="0"/>
        <w:keepLines w:val="0"/>
        <w:pageBreakBefore w:val="0"/>
        <w:widowControl w:val="0"/>
        <w:kinsoku/>
        <w:wordWrap/>
        <w:overflowPunct/>
        <w:topLinePunct w:val="0"/>
        <w:autoSpaceDE w:val="0"/>
        <w:autoSpaceDN w:val="0"/>
        <w:bidi w:val="0"/>
        <w:adjustRightInd/>
        <w:snapToGrid/>
        <w:spacing w:before="0" w:line="320" w:lineRule="exact"/>
        <w:ind w:right="0" w:firstLine="482" w:firstLineChars="200"/>
        <w:jc w:val="both"/>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bCs/>
          <w:sz w:val="24"/>
          <w:szCs w:val="24"/>
          <w:lang w:val="zh-CN" w:eastAsia="zh-CN" w:bidi="zh-CN"/>
        </w:rPr>
        <w:t>九、公告期限：</w:t>
      </w:r>
      <w:r>
        <w:rPr>
          <w:rFonts w:hint="eastAsia" w:ascii="宋体" w:hAnsi="宋体" w:eastAsia="宋体" w:cs="宋体"/>
          <w:b w:val="0"/>
          <w:bCs w:val="0"/>
          <w:sz w:val="24"/>
          <w:szCs w:val="24"/>
          <w:lang w:val="zh-CN" w:eastAsia="zh-CN" w:bidi="zh-CN"/>
        </w:rPr>
        <w:t>自本公告发布之日起</w:t>
      </w:r>
      <w:r>
        <w:rPr>
          <w:rFonts w:hint="eastAsia" w:ascii="宋体" w:hAnsi="宋体" w:eastAsia="宋体" w:cs="宋体"/>
          <w:b w:val="0"/>
          <w:bCs w:val="0"/>
          <w:sz w:val="24"/>
          <w:szCs w:val="24"/>
          <w:lang w:val="en-US" w:eastAsia="zh-CN" w:bidi="zh-CN"/>
        </w:rPr>
        <w:t>5</w:t>
      </w:r>
      <w:r>
        <w:rPr>
          <w:rFonts w:hint="eastAsia" w:ascii="宋体" w:hAnsi="宋体" w:eastAsia="宋体" w:cs="宋体"/>
          <w:b w:val="0"/>
          <w:bCs w:val="0"/>
          <w:sz w:val="24"/>
          <w:szCs w:val="24"/>
          <w:lang w:val="zh-CN" w:eastAsia="zh-CN" w:bidi="zh-CN"/>
        </w:rPr>
        <w:t>个工作日。</w:t>
      </w:r>
    </w:p>
    <w:p>
      <w:pPr>
        <w:keepNext w:val="0"/>
        <w:keepLines w:val="0"/>
        <w:pageBreakBefore w:val="0"/>
        <w:widowControl w:val="0"/>
        <w:kinsoku/>
        <w:wordWrap/>
        <w:overflowPunct/>
        <w:topLinePunct w:val="0"/>
        <w:autoSpaceDE w:val="0"/>
        <w:autoSpaceDN w:val="0"/>
        <w:bidi w:val="0"/>
        <w:adjustRightInd/>
        <w:snapToGrid/>
        <w:spacing w:before="0" w:line="320" w:lineRule="exact"/>
        <w:ind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zh-CN" w:eastAsia="zh-CN" w:bidi="zh-CN"/>
        </w:rPr>
        <w:t>十、电子招标其他补充事宜：</w:t>
      </w:r>
      <w:bookmarkStart w:id="4" w:name="（一）电子招投标相关事宜："/>
      <w:bookmarkEnd w:id="4"/>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供应商注册：投标人应为浙江政府采购注册供应商，如尚未注册，务必在投标截止时间前登陆浙江政府采购网进行注册。</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2、本项目采取电子招投标，电子招投标有关事项说明如下：</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20" w:lineRule="exact"/>
        <w:ind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"http://www.zcygov.cn/" \h </w:instrText>
      </w:r>
      <w:r>
        <w:rPr>
          <w:rFonts w:hint="eastAsia" w:ascii="宋体" w:hAnsi="宋体" w:eastAsia="宋体" w:cs="宋体"/>
          <w:sz w:val="24"/>
          <w:szCs w:val="24"/>
        </w:rPr>
        <w:fldChar w:fldCharType="separate"/>
      </w:r>
      <w:r>
        <w:rPr>
          <w:rFonts w:hint="eastAsia" w:ascii="宋体" w:hAnsi="宋体" w:eastAsia="宋体" w:cs="宋体"/>
          <w:sz w:val="24"/>
          <w:szCs w:val="24"/>
        </w:rPr>
        <w:t>本项目通过“政府采购云平台（www.zcygov.cn</w:t>
      </w:r>
      <w:r>
        <w:rPr>
          <w:rFonts w:hint="eastAsia" w:ascii="宋体" w:hAnsi="宋体" w:eastAsia="宋体" w:cs="宋体"/>
          <w:sz w:val="24"/>
          <w:szCs w:val="24"/>
        </w:rPr>
        <w:fldChar w:fldCharType="end"/>
      </w:r>
      <w:r>
        <w:rPr>
          <w:rFonts w:hint="eastAsia" w:ascii="宋体" w:hAnsi="宋体" w:eastAsia="宋体" w:cs="宋体"/>
          <w:sz w:val="24"/>
          <w:szCs w:val="24"/>
        </w:rPr>
        <w:t>）”实行电子投标，供应商须安装客户端软件，并按照采购文件和电子交易平台的要求编制并加密投标、响应文件。供应商未按规定加密的投标、响应文件，电子交易平台将拒收并提示。</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客户端软件下载方式：供应商可通过“浙江政府采购网-下载专区-电子交易客户端”进行下载。</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20" w:lineRule="exact"/>
        <w:ind w:leftChars="0" w:right="0" w:rightChars="0" w:firstLine="464" w:firstLineChars="200"/>
        <w:jc w:val="left"/>
        <w:textAlignment w:val="auto"/>
        <w:rPr>
          <w:rFonts w:hint="eastAsia" w:ascii="宋体" w:hAnsi="宋体" w:eastAsia="宋体" w:cs="宋体"/>
          <w:spacing w:val="-11"/>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hint="eastAsia" w:ascii="宋体" w:hAnsi="宋体" w:eastAsia="宋体" w:cs="宋体"/>
          <w:spacing w:val="-11"/>
          <w:sz w:val="24"/>
          <w:szCs w:val="24"/>
        </w:rPr>
        <w:t>供应商须申领 CA，并在政采云平台完成绑定方可进行投标文件的编制，CA 相关操作可参考“浙江政府采购网-下载专区-电子交易客户端-CA 驱动和申领流程”。</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供应商在进行上述操作时，如遇技术问题可致电 400-881-7190 进行咨询。</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2" w:firstLineChars="200"/>
        <w:textAlignment w:val="auto"/>
        <w:rPr>
          <w:rFonts w:hint="eastAsia" w:ascii="宋体" w:hAnsi="宋体" w:eastAsia="宋体" w:cs="宋体"/>
          <w:sz w:val="24"/>
          <w:szCs w:val="24"/>
        </w:rPr>
      </w:pPr>
      <w:bookmarkStart w:id="5" w:name="（三）质疑和投诉："/>
      <w:bookmarkEnd w:id="5"/>
      <w:r>
        <w:rPr>
          <w:rFonts w:hint="eastAsia" w:ascii="宋体" w:hAnsi="宋体" w:eastAsia="宋体" w:cs="宋体"/>
          <w:b/>
          <w:bCs/>
          <w:sz w:val="24"/>
          <w:szCs w:val="24"/>
          <w:lang w:val="zh-CN" w:eastAsia="zh-CN" w:bidi="zh-CN"/>
        </w:rPr>
        <w:t>十一、质疑和投诉：</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1、《浙江省财政厅关于进一步发挥政府采购政策功能全力推动经济稳进提质的通知》（浙财采监（2022）3 号）、《浙江省财政厅关于进一步促进政府采购公平竞争打造最优营商环境的通知》（浙财采监（2021）22 号）已分别于2022 年1月29日和2022年2月1日开始实施，此前有关规定与上述文件内容不一致的，按上述文件要求执行。 </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2、根据《浙江省财政厅关于进一步促进政府采购公平竞争打造最优营商环境的通知》（浙财采监（2021）22 号）文件关于“健全行政裁决机制”要求，鼓励供应商在线提起询问，路径为：政采云-项目采购-询问质疑投诉-询问列表:鼓励供应商在线提起质疑，路径为： 政采云-项目采购-询问质疑投诉-质疑列表。质疑供应商对在线质疑答复不满意的，可在线提起投诉，路径为：浙江政府服务网-政府采购投诉处理-在线办理。</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z w:val="24"/>
          <w:szCs w:val="24"/>
          <w:lang w:val="en-US" w:eastAsia="zh-CN"/>
        </w:rPr>
        <w:t>3</w:t>
      </w:r>
      <w:r>
        <w:rPr>
          <w:rFonts w:hint="eastAsia" w:ascii="宋体" w:hAnsi="宋体" w:eastAsia="宋体" w:cs="宋体"/>
          <w:spacing w:val="-12"/>
          <w:sz w:val="24"/>
          <w:szCs w:val="24"/>
        </w:rPr>
        <w:t>、</w:t>
      </w:r>
      <w:r>
        <w:rPr>
          <w:rFonts w:hint="eastAsia" w:ascii="宋体" w:hAnsi="宋体" w:eastAsia="宋体" w:cs="宋体"/>
          <w:spacing w:val="0"/>
          <w:sz w:val="24"/>
          <w:szCs w:val="24"/>
        </w:rPr>
        <w:t>供应商认为采购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、质疑函范本、投诉书范本请到浙江政府采购网下载专区下载。</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、书面质疑受理地点：</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联系人：</w:t>
      </w:r>
      <w:r>
        <w:rPr>
          <w:rFonts w:hint="eastAsia" w:ascii="宋体" w:hAnsi="宋体" w:eastAsia="宋体" w:cs="宋体"/>
          <w:spacing w:val="0"/>
          <w:kern w:val="0"/>
          <w:sz w:val="24"/>
          <w:szCs w:val="24"/>
          <w:lang w:eastAsia="zh-CN"/>
        </w:rPr>
        <w:t>林杭军</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sz w:val="24"/>
          <w:szCs w:val="24"/>
        </w:rPr>
        <w:t>联系电话：</w:t>
      </w:r>
      <w:r>
        <w:rPr>
          <w:rFonts w:hint="eastAsia" w:ascii="宋体" w:hAnsi="宋体" w:eastAsia="宋体" w:cs="宋体"/>
          <w:spacing w:val="0"/>
          <w:sz w:val="24"/>
          <w:szCs w:val="24"/>
          <w:lang w:eastAsia="zh-CN"/>
        </w:rPr>
        <w:t>0576-86151909</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地址：</w:t>
      </w:r>
      <w:r>
        <w:rPr>
          <w:rFonts w:hint="eastAsia" w:ascii="宋体" w:hAnsi="宋体" w:eastAsia="宋体" w:cs="宋体"/>
          <w:spacing w:val="0"/>
          <w:sz w:val="24"/>
          <w:szCs w:val="24"/>
          <w:lang w:eastAsia="zh-CN"/>
        </w:rPr>
        <w:t>温岭市城东街道阳光大道133号广明大厦12楼</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2" w:firstLineChars="200"/>
        <w:textAlignment w:val="auto"/>
        <w:rPr>
          <w:rFonts w:hint="eastAsia" w:ascii="宋体" w:hAnsi="宋体" w:eastAsia="宋体" w:cs="宋体"/>
          <w:b/>
          <w:bCs/>
          <w:spacing w:val="0"/>
          <w:sz w:val="24"/>
          <w:szCs w:val="24"/>
          <w:lang w:val="zh-CN" w:eastAsia="zh-CN" w:bidi="zh-CN"/>
        </w:rPr>
      </w:pPr>
      <w:r>
        <w:rPr>
          <w:rFonts w:hint="eastAsia" w:ascii="宋体" w:hAnsi="宋体" w:eastAsia="宋体" w:cs="宋体"/>
          <w:b/>
          <w:bCs/>
          <w:spacing w:val="0"/>
          <w:sz w:val="24"/>
          <w:szCs w:val="24"/>
          <w:lang w:val="zh-CN" w:eastAsia="zh-CN" w:bidi="zh-CN"/>
        </w:rPr>
        <w:t>十二、公告发布媒体：</w:t>
      </w:r>
    </w:p>
    <w:p>
      <w:pPr>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 xml:space="preserve">浙江省政府采购网（ http:// </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"http://www.zjzfcg.gov.cn/" \h </w:instrText>
      </w:r>
      <w:r>
        <w:rPr>
          <w:rFonts w:hint="eastAsia" w:ascii="宋体" w:hAnsi="宋体" w:eastAsia="宋体" w:cs="宋体"/>
          <w:spacing w:val="0"/>
          <w:sz w:val="24"/>
          <w:szCs w:val="24"/>
        </w:rPr>
        <w:fldChar w:fldCharType="separate"/>
      </w:r>
      <w:r>
        <w:rPr>
          <w:rFonts w:hint="eastAsia" w:ascii="宋体" w:hAnsi="宋体" w:eastAsia="宋体" w:cs="宋体"/>
          <w:spacing w:val="0"/>
          <w:sz w:val="24"/>
          <w:szCs w:val="24"/>
        </w:rPr>
        <w:t xml:space="preserve">www.zjzfcg.gov.cn </w:t>
      </w:r>
      <w:r>
        <w:rPr>
          <w:rFonts w:hint="eastAsia" w:ascii="宋体" w:hAnsi="宋体" w:eastAsia="宋体" w:cs="宋体"/>
          <w:spacing w:val="0"/>
          <w:sz w:val="24"/>
          <w:szCs w:val="24"/>
        </w:rPr>
        <w:fldChar w:fldCharType="end"/>
      </w:r>
      <w:r>
        <w:rPr>
          <w:rFonts w:hint="eastAsia" w:ascii="宋体" w:hAnsi="宋体" w:eastAsia="宋体" w:cs="宋体"/>
          <w:spacing w:val="0"/>
          <w:sz w:val="24"/>
          <w:szCs w:val="24"/>
        </w:rPr>
        <w:t>） 和温岭市公共资源交易中心网</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"http://new.wl.gov.cn/col/col1402172/index.html" \h </w:instrText>
      </w:r>
      <w:r>
        <w:rPr>
          <w:rFonts w:hint="eastAsia" w:ascii="宋体" w:hAnsi="宋体" w:eastAsia="宋体" w:cs="宋体"/>
          <w:spacing w:val="0"/>
          <w:sz w:val="24"/>
          <w:szCs w:val="24"/>
        </w:rPr>
        <w:fldChar w:fldCharType="separate"/>
      </w:r>
      <w:r>
        <w:rPr>
          <w:rFonts w:hint="eastAsia" w:ascii="宋体" w:hAnsi="宋体" w:eastAsia="宋体" w:cs="宋体"/>
          <w:spacing w:val="0"/>
          <w:sz w:val="24"/>
          <w:szCs w:val="24"/>
        </w:rPr>
        <w:t>（http://new.wl.gov.cn/col/col1402172/index.html</w:t>
      </w:r>
      <w:r>
        <w:rPr>
          <w:rFonts w:hint="eastAsia" w:ascii="宋体" w:hAnsi="宋体" w:eastAsia="宋体" w:cs="宋体"/>
          <w:spacing w:val="0"/>
          <w:sz w:val="24"/>
          <w:szCs w:val="24"/>
        </w:rPr>
        <w:fldChar w:fldCharType="end"/>
      </w:r>
      <w:r>
        <w:rPr>
          <w:rFonts w:hint="eastAsia" w:ascii="宋体" w:hAnsi="宋体" w:eastAsia="宋体" w:cs="宋体"/>
          <w:spacing w:val="0"/>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2" w:firstLineChars="200"/>
        <w:textAlignment w:val="auto"/>
        <w:rPr>
          <w:rFonts w:hint="eastAsia" w:ascii="宋体" w:hAnsi="宋体" w:eastAsia="宋体" w:cs="宋体"/>
          <w:b/>
          <w:bCs/>
          <w:spacing w:val="0"/>
          <w:sz w:val="24"/>
          <w:szCs w:val="24"/>
          <w:lang w:val="zh-CN" w:eastAsia="zh-CN" w:bidi="zh-CN"/>
        </w:rPr>
      </w:pPr>
      <w:bookmarkStart w:id="6" w:name="（五）其他事项："/>
      <w:bookmarkEnd w:id="6"/>
      <w:r>
        <w:rPr>
          <w:rFonts w:hint="eastAsia" w:ascii="宋体" w:hAnsi="宋体" w:eastAsia="宋体" w:cs="宋体"/>
          <w:b/>
          <w:bCs/>
          <w:spacing w:val="0"/>
          <w:sz w:val="24"/>
          <w:szCs w:val="24"/>
          <w:lang w:val="zh-CN" w:eastAsia="zh-CN" w:bidi="zh-CN"/>
        </w:rPr>
        <w:t>十三、政采贷相关说明：</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为优化政府采购营商环境，缓解供应商资金难题，政采云平台已推广应用“政采贷”、“政采保”服务，中标供应商如有融资需求，可使用以下金融、保险机构的“政采贷”、“政采保”服务。</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政采贷联系方式：</w:t>
      </w:r>
    </w:p>
    <w:tbl>
      <w:tblPr>
        <w:tblStyle w:val="15"/>
        <w:tblW w:w="9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8"/>
        <w:gridCol w:w="2236"/>
        <w:gridCol w:w="2140"/>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19"/>
              <w:keepNext w:val="0"/>
              <w:keepLines w:val="0"/>
              <w:pageBreakBefore w:val="0"/>
              <w:widowControl w:val="0"/>
              <w:tabs>
                <w:tab w:val="left" w:pos="419"/>
              </w:tabs>
              <w:kinsoku/>
              <w:wordWrap/>
              <w:overflowPunct/>
              <w:topLinePunct w:val="0"/>
              <w:autoSpaceDE w:val="0"/>
              <w:autoSpaceDN w:val="0"/>
              <w:bidi w:val="0"/>
              <w:adjustRightInd/>
              <w:snapToGrid/>
              <w:spacing w:before="84" w:line="270" w:lineRule="exact"/>
              <w:ind w:right="217"/>
              <w:jc w:val="center"/>
              <w:textAlignment w:val="auto"/>
              <w:rPr>
                <w:rFonts w:hint="eastAsia" w:ascii="宋体" w:hAnsi="宋体" w:eastAsia="宋体" w:cs="宋体"/>
                <w:sz w:val="24"/>
                <w:szCs w:val="24"/>
              </w:rPr>
            </w:pPr>
            <w:r>
              <w:rPr>
                <w:rFonts w:hint="eastAsia" w:ascii="宋体" w:hAnsi="宋体" w:eastAsia="宋体" w:cs="宋体"/>
                <w:sz w:val="24"/>
                <w:szCs w:val="24"/>
              </w:rPr>
              <w:t>银</w:t>
            </w:r>
            <w:r>
              <w:rPr>
                <w:rFonts w:hint="eastAsia" w:ascii="宋体" w:hAnsi="宋体" w:eastAsia="宋体" w:cs="宋体"/>
                <w:sz w:val="24"/>
                <w:szCs w:val="24"/>
              </w:rPr>
              <w:tab/>
            </w:r>
            <w:r>
              <w:rPr>
                <w:rFonts w:hint="eastAsia" w:ascii="宋体" w:hAnsi="宋体" w:eastAsia="宋体" w:cs="宋体"/>
                <w:sz w:val="24"/>
                <w:szCs w:val="24"/>
              </w:rPr>
              <w:t>行</w:t>
            </w:r>
          </w:p>
        </w:tc>
        <w:tc>
          <w:tcPr>
            <w:tcW w:w="2236"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贷款年利率</w:t>
            </w:r>
          </w:p>
        </w:tc>
        <w:tc>
          <w:tcPr>
            <w:tcW w:w="2140"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2464"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中国农业银行</w:t>
            </w:r>
          </w:p>
        </w:tc>
        <w:tc>
          <w:tcPr>
            <w:tcW w:w="2236"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3.8%起</w:t>
            </w:r>
          </w:p>
        </w:tc>
        <w:tc>
          <w:tcPr>
            <w:tcW w:w="2140"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赵莉鹏</w:t>
            </w:r>
          </w:p>
        </w:tc>
        <w:tc>
          <w:tcPr>
            <w:tcW w:w="2464"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15267630808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19"/>
              <w:keepNext w:val="0"/>
              <w:keepLines w:val="0"/>
              <w:pageBreakBefore w:val="0"/>
              <w:widowControl w:val="0"/>
              <w:kinsoku/>
              <w:wordWrap/>
              <w:overflowPunct/>
              <w:topLinePunct w:val="0"/>
              <w:autoSpaceDE w:val="0"/>
              <w:autoSpaceDN w:val="0"/>
              <w:bidi w:val="0"/>
              <w:adjustRightInd/>
              <w:snapToGrid/>
              <w:spacing w:before="85"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中国交通银行</w:t>
            </w:r>
          </w:p>
        </w:tc>
        <w:tc>
          <w:tcPr>
            <w:tcW w:w="2236" w:type="dxa"/>
          </w:tcPr>
          <w:p>
            <w:pPr>
              <w:pStyle w:val="19"/>
              <w:keepNext w:val="0"/>
              <w:keepLines w:val="0"/>
              <w:pageBreakBefore w:val="0"/>
              <w:widowControl w:val="0"/>
              <w:kinsoku/>
              <w:wordWrap/>
              <w:overflowPunct/>
              <w:topLinePunct w:val="0"/>
              <w:autoSpaceDE w:val="0"/>
              <w:autoSpaceDN w:val="0"/>
              <w:bidi w:val="0"/>
              <w:adjustRightInd/>
              <w:snapToGrid/>
              <w:spacing w:before="85"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3.8%起</w:t>
            </w:r>
          </w:p>
        </w:tc>
        <w:tc>
          <w:tcPr>
            <w:tcW w:w="2140" w:type="dxa"/>
          </w:tcPr>
          <w:p>
            <w:pPr>
              <w:pStyle w:val="19"/>
              <w:keepNext w:val="0"/>
              <w:keepLines w:val="0"/>
              <w:pageBreakBefore w:val="0"/>
              <w:widowControl w:val="0"/>
              <w:kinsoku/>
              <w:wordWrap/>
              <w:overflowPunct/>
              <w:topLinePunct w:val="0"/>
              <w:autoSpaceDE w:val="0"/>
              <w:autoSpaceDN w:val="0"/>
              <w:bidi w:val="0"/>
              <w:adjustRightInd/>
              <w:snapToGrid/>
              <w:spacing w:before="85"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王培洁</w:t>
            </w:r>
          </w:p>
        </w:tc>
        <w:tc>
          <w:tcPr>
            <w:tcW w:w="2464" w:type="dxa"/>
          </w:tcPr>
          <w:p>
            <w:pPr>
              <w:pStyle w:val="19"/>
              <w:keepNext w:val="0"/>
              <w:keepLines w:val="0"/>
              <w:pageBreakBefore w:val="0"/>
              <w:widowControl w:val="0"/>
              <w:kinsoku/>
              <w:wordWrap/>
              <w:overflowPunct/>
              <w:topLinePunct w:val="0"/>
              <w:autoSpaceDE w:val="0"/>
              <w:autoSpaceDN w:val="0"/>
              <w:bidi w:val="0"/>
              <w:adjustRightInd/>
              <w:snapToGrid/>
              <w:spacing w:before="85" w:line="270"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13819666299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19"/>
              <w:keepNext w:val="0"/>
              <w:keepLines w:val="0"/>
              <w:pageBreakBefore w:val="0"/>
              <w:widowControl w:val="0"/>
              <w:kinsoku/>
              <w:wordWrap/>
              <w:overflowPunct/>
              <w:topLinePunct w:val="0"/>
              <w:autoSpaceDE w:val="0"/>
              <w:autoSpaceDN w:val="0"/>
              <w:bidi w:val="0"/>
              <w:adjustRightInd/>
              <w:snapToGrid/>
              <w:spacing w:before="83"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中国建设银行</w:t>
            </w:r>
          </w:p>
        </w:tc>
        <w:tc>
          <w:tcPr>
            <w:tcW w:w="2236" w:type="dxa"/>
          </w:tcPr>
          <w:p>
            <w:pPr>
              <w:pStyle w:val="19"/>
              <w:keepNext w:val="0"/>
              <w:keepLines w:val="0"/>
              <w:pageBreakBefore w:val="0"/>
              <w:widowControl w:val="0"/>
              <w:kinsoku/>
              <w:wordWrap/>
              <w:overflowPunct/>
              <w:topLinePunct w:val="0"/>
              <w:autoSpaceDE w:val="0"/>
              <w:autoSpaceDN w:val="0"/>
              <w:bidi w:val="0"/>
              <w:adjustRightInd/>
              <w:snapToGrid/>
              <w:spacing w:before="83"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基准利率</w:t>
            </w:r>
          </w:p>
        </w:tc>
        <w:tc>
          <w:tcPr>
            <w:tcW w:w="2140" w:type="dxa"/>
          </w:tcPr>
          <w:p>
            <w:pPr>
              <w:pStyle w:val="19"/>
              <w:keepNext w:val="0"/>
              <w:keepLines w:val="0"/>
              <w:pageBreakBefore w:val="0"/>
              <w:widowControl w:val="0"/>
              <w:tabs>
                <w:tab w:val="left" w:pos="859"/>
              </w:tabs>
              <w:kinsoku/>
              <w:wordWrap/>
              <w:overflowPunct/>
              <w:topLinePunct w:val="0"/>
              <w:autoSpaceDE w:val="0"/>
              <w:autoSpaceDN w:val="0"/>
              <w:bidi w:val="0"/>
              <w:adjustRightInd/>
              <w:snapToGrid/>
              <w:spacing w:before="83"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范</w:t>
            </w:r>
            <w:r>
              <w:rPr>
                <w:rFonts w:hint="eastAsia" w:ascii="宋体" w:hAnsi="宋体" w:eastAsia="宋体" w:cs="宋体"/>
                <w:sz w:val="24"/>
                <w:szCs w:val="24"/>
              </w:rPr>
              <w:tab/>
            </w:r>
            <w:r>
              <w:rPr>
                <w:rFonts w:hint="eastAsia" w:ascii="宋体" w:hAnsi="宋体" w:eastAsia="宋体" w:cs="宋体"/>
                <w:sz w:val="24"/>
                <w:szCs w:val="24"/>
              </w:rPr>
              <w:t>融</w:t>
            </w:r>
          </w:p>
        </w:tc>
        <w:tc>
          <w:tcPr>
            <w:tcW w:w="2464" w:type="dxa"/>
          </w:tcPr>
          <w:p>
            <w:pPr>
              <w:pStyle w:val="19"/>
              <w:keepNext w:val="0"/>
              <w:keepLines w:val="0"/>
              <w:pageBreakBefore w:val="0"/>
              <w:widowControl w:val="0"/>
              <w:kinsoku/>
              <w:wordWrap/>
              <w:overflowPunct/>
              <w:topLinePunct w:val="0"/>
              <w:autoSpaceDE w:val="0"/>
              <w:autoSpaceDN w:val="0"/>
              <w:bidi w:val="0"/>
              <w:adjustRightInd/>
              <w:snapToGrid/>
              <w:spacing w:before="83" w:line="270"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13958680866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19"/>
              <w:keepNext w:val="0"/>
              <w:keepLines w:val="0"/>
              <w:pageBreakBefore w:val="0"/>
              <w:widowControl w:val="0"/>
              <w:kinsoku/>
              <w:wordWrap/>
              <w:overflowPunct/>
              <w:topLinePunct w:val="0"/>
              <w:autoSpaceDE w:val="0"/>
              <w:autoSpaceDN w:val="0"/>
              <w:bidi w:val="0"/>
              <w:adjustRightInd/>
              <w:snapToGrid/>
              <w:spacing w:before="85"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中国工商银行</w:t>
            </w:r>
          </w:p>
        </w:tc>
        <w:tc>
          <w:tcPr>
            <w:tcW w:w="2236" w:type="dxa"/>
          </w:tcPr>
          <w:p>
            <w:pPr>
              <w:pStyle w:val="19"/>
              <w:keepNext w:val="0"/>
              <w:keepLines w:val="0"/>
              <w:pageBreakBefore w:val="0"/>
              <w:widowControl w:val="0"/>
              <w:kinsoku/>
              <w:wordWrap/>
              <w:overflowPunct/>
              <w:topLinePunct w:val="0"/>
              <w:autoSpaceDE w:val="0"/>
              <w:autoSpaceDN w:val="0"/>
              <w:bidi w:val="0"/>
              <w:adjustRightInd/>
              <w:snapToGrid/>
              <w:spacing w:before="85"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3.8%起</w:t>
            </w:r>
          </w:p>
        </w:tc>
        <w:tc>
          <w:tcPr>
            <w:tcW w:w="2140" w:type="dxa"/>
          </w:tcPr>
          <w:p>
            <w:pPr>
              <w:pStyle w:val="19"/>
              <w:keepNext w:val="0"/>
              <w:keepLines w:val="0"/>
              <w:pageBreakBefore w:val="0"/>
              <w:widowControl w:val="0"/>
              <w:kinsoku/>
              <w:wordWrap/>
              <w:overflowPunct/>
              <w:topLinePunct w:val="0"/>
              <w:autoSpaceDE w:val="0"/>
              <w:autoSpaceDN w:val="0"/>
              <w:bidi w:val="0"/>
              <w:adjustRightInd/>
              <w:snapToGrid/>
              <w:spacing w:before="85"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王晨晓</w:t>
            </w:r>
          </w:p>
        </w:tc>
        <w:tc>
          <w:tcPr>
            <w:tcW w:w="2464" w:type="dxa"/>
          </w:tcPr>
          <w:p>
            <w:pPr>
              <w:pStyle w:val="19"/>
              <w:keepNext w:val="0"/>
              <w:keepLines w:val="0"/>
              <w:pageBreakBefore w:val="0"/>
              <w:widowControl w:val="0"/>
              <w:kinsoku/>
              <w:wordWrap/>
              <w:overflowPunct/>
              <w:topLinePunct w:val="0"/>
              <w:autoSpaceDE w:val="0"/>
              <w:autoSpaceDN w:val="0"/>
              <w:bidi w:val="0"/>
              <w:adjustRightInd/>
              <w:snapToGrid/>
              <w:spacing w:before="85" w:line="270"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18858658025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中国银行</w:t>
            </w:r>
          </w:p>
        </w:tc>
        <w:tc>
          <w:tcPr>
            <w:tcW w:w="2236"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3.85%起</w:t>
            </w:r>
          </w:p>
        </w:tc>
        <w:tc>
          <w:tcPr>
            <w:tcW w:w="2140" w:type="dxa"/>
          </w:tcPr>
          <w:p>
            <w:pPr>
              <w:pStyle w:val="19"/>
              <w:keepNext w:val="0"/>
              <w:keepLines w:val="0"/>
              <w:pageBreakBefore w:val="0"/>
              <w:widowControl w:val="0"/>
              <w:tabs>
                <w:tab w:val="left" w:pos="859"/>
              </w:tabs>
              <w:kinsoku/>
              <w:wordWrap/>
              <w:overflowPunct/>
              <w:topLinePunct w:val="0"/>
              <w:autoSpaceDE w:val="0"/>
              <w:autoSpaceDN w:val="0"/>
              <w:bidi w:val="0"/>
              <w:adjustRightInd/>
              <w:snapToGrid/>
              <w:spacing w:before="8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朱</w:t>
            </w:r>
            <w:r>
              <w:rPr>
                <w:rFonts w:hint="eastAsia" w:ascii="宋体" w:hAnsi="宋体" w:eastAsia="宋体" w:cs="宋体"/>
                <w:sz w:val="24"/>
                <w:szCs w:val="24"/>
              </w:rPr>
              <w:tab/>
            </w:r>
            <w:r>
              <w:rPr>
                <w:rFonts w:hint="eastAsia" w:ascii="宋体" w:hAnsi="宋体" w:eastAsia="宋体" w:cs="宋体"/>
                <w:sz w:val="24"/>
                <w:szCs w:val="24"/>
              </w:rPr>
              <w:t>虹</w:t>
            </w:r>
          </w:p>
        </w:tc>
        <w:tc>
          <w:tcPr>
            <w:tcW w:w="2464" w:type="dxa"/>
          </w:tcPr>
          <w:p>
            <w:pPr>
              <w:pStyle w:val="19"/>
              <w:keepNext w:val="0"/>
              <w:keepLines w:val="0"/>
              <w:pageBreakBefore w:val="0"/>
              <w:widowControl w:val="0"/>
              <w:kinsoku/>
              <w:wordWrap/>
              <w:overflowPunct/>
              <w:topLinePunct w:val="0"/>
              <w:autoSpaceDE w:val="0"/>
              <w:autoSpaceDN w:val="0"/>
              <w:bidi w:val="0"/>
              <w:adjustRightInd/>
              <w:snapToGrid/>
              <w:spacing w:before="84" w:line="270"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13806588208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19"/>
              <w:keepNext w:val="0"/>
              <w:keepLines w:val="0"/>
              <w:pageBreakBefore w:val="0"/>
              <w:widowControl w:val="0"/>
              <w:kinsoku/>
              <w:wordWrap/>
              <w:overflowPunct/>
              <w:topLinePunct w:val="0"/>
              <w:autoSpaceDE w:val="0"/>
              <w:autoSpaceDN w:val="0"/>
              <w:bidi w:val="0"/>
              <w:adjustRightInd/>
              <w:snapToGrid/>
              <w:spacing w:before="9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中国邮政储蓄银行</w:t>
            </w:r>
          </w:p>
        </w:tc>
        <w:tc>
          <w:tcPr>
            <w:tcW w:w="2236" w:type="dxa"/>
          </w:tcPr>
          <w:p>
            <w:pPr>
              <w:pStyle w:val="19"/>
              <w:keepNext w:val="0"/>
              <w:keepLines w:val="0"/>
              <w:pageBreakBefore w:val="0"/>
              <w:widowControl w:val="0"/>
              <w:kinsoku/>
              <w:wordWrap/>
              <w:overflowPunct/>
              <w:topLinePunct w:val="0"/>
              <w:autoSpaceDE w:val="0"/>
              <w:autoSpaceDN w:val="0"/>
              <w:bidi w:val="0"/>
              <w:adjustRightInd/>
              <w:snapToGrid/>
              <w:spacing w:before="9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3.85%起</w:t>
            </w:r>
          </w:p>
        </w:tc>
        <w:tc>
          <w:tcPr>
            <w:tcW w:w="2140" w:type="dxa"/>
          </w:tcPr>
          <w:p>
            <w:pPr>
              <w:pStyle w:val="19"/>
              <w:keepNext w:val="0"/>
              <w:keepLines w:val="0"/>
              <w:pageBreakBefore w:val="0"/>
              <w:widowControl w:val="0"/>
              <w:kinsoku/>
              <w:wordWrap/>
              <w:overflowPunct/>
              <w:topLinePunct w:val="0"/>
              <w:autoSpaceDE w:val="0"/>
              <w:autoSpaceDN w:val="0"/>
              <w:bidi w:val="0"/>
              <w:adjustRightInd/>
              <w:snapToGrid/>
              <w:spacing w:before="94" w:line="270"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王彬彬</w:t>
            </w:r>
          </w:p>
        </w:tc>
        <w:tc>
          <w:tcPr>
            <w:tcW w:w="2464" w:type="dxa"/>
          </w:tcPr>
          <w:p>
            <w:pPr>
              <w:pStyle w:val="19"/>
              <w:keepNext w:val="0"/>
              <w:keepLines w:val="0"/>
              <w:pageBreakBefore w:val="0"/>
              <w:widowControl w:val="0"/>
              <w:kinsoku/>
              <w:wordWrap/>
              <w:overflowPunct/>
              <w:topLinePunct w:val="0"/>
              <w:autoSpaceDE w:val="0"/>
              <w:autoSpaceDN w:val="0"/>
              <w:bidi w:val="0"/>
              <w:adjustRightInd/>
              <w:snapToGrid/>
              <w:spacing w:before="94" w:line="270"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13173718881</w:t>
            </w:r>
          </w:p>
        </w:tc>
      </w:tr>
    </w:tbl>
    <w:p>
      <w:pPr>
        <w:pStyle w:val="7"/>
        <w:keepNext w:val="0"/>
        <w:keepLines w:val="0"/>
        <w:pageBreakBefore w:val="0"/>
        <w:widowControl w:val="0"/>
        <w:kinsoku/>
        <w:wordWrap/>
        <w:overflowPunct/>
        <w:topLinePunct w:val="0"/>
        <w:autoSpaceDE w:val="0"/>
        <w:autoSpaceDN w:val="0"/>
        <w:bidi w:val="0"/>
        <w:adjustRightInd/>
        <w:snapToGrid/>
        <w:spacing w:before="0" w:line="336" w:lineRule="exact"/>
        <w:textAlignment w:val="auto"/>
        <w:rPr>
          <w:rFonts w:hint="eastAsia" w:ascii="宋体" w:hAnsi="宋体" w:eastAsia="宋体" w:cs="宋体"/>
          <w:sz w:val="24"/>
          <w:szCs w:val="24"/>
        </w:rPr>
      </w:pPr>
      <w:r>
        <w:rPr>
          <w:rFonts w:hint="eastAsia" w:ascii="宋体" w:hAnsi="宋体" w:eastAsia="宋体" w:cs="宋体"/>
          <w:sz w:val="24"/>
          <w:szCs w:val="24"/>
        </w:rPr>
        <w:t>“政采保”联系方式：</w:t>
      </w:r>
    </w:p>
    <w:tbl>
      <w:tblPr>
        <w:tblStyle w:val="15"/>
        <w:tblW w:w="9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1"/>
        <w:gridCol w:w="1980"/>
        <w:gridCol w:w="1020"/>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31"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保险公司</w:t>
            </w:r>
          </w:p>
        </w:tc>
        <w:tc>
          <w:tcPr>
            <w:tcW w:w="198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年费率</w:t>
            </w:r>
          </w:p>
        </w:tc>
        <w:tc>
          <w:tcPr>
            <w:tcW w:w="1020" w:type="dxa"/>
            <w:tcBorders>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1487" w:type="dxa"/>
            <w:tcBorders>
              <w:lef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31"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中国人民财产保险股份有限公司温岭市支公司</w:t>
            </w:r>
          </w:p>
        </w:tc>
        <w:tc>
          <w:tcPr>
            <w:tcW w:w="1980" w:type="dxa"/>
            <w:vMerge w:val="restart"/>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合同（质量）履约按履约保证金年费率 1%（1.5%），每单保函最低保险费为 500（300 元）</w:t>
            </w:r>
          </w:p>
        </w:tc>
        <w:tc>
          <w:tcPr>
            <w:tcW w:w="1020" w:type="dxa"/>
            <w:tcBorders>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李微微</w:t>
            </w:r>
          </w:p>
        </w:tc>
        <w:tc>
          <w:tcPr>
            <w:tcW w:w="1487" w:type="dxa"/>
            <w:tcBorders>
              <w:lef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13605861319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31"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中国平安财产保险股份有限公司温岭支公司</w:t>
            </w:r>
          </w:p>
        </w:tc>
        <w:tc>
          <w:tcPr>
            <w:tcW w:w="1980" w:type="dxa"/>
            <w:vMerge w:val="continue"/>
            <w:tcBorders>
              <w:top w:val="nil"/>
            </w:tcBorders>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left"/>
              <w:textAlignment w:val="auto"/>
              <w:rPr>
                <w:rFonts w:hint="eastAsia" w:ascii="宋体" w:hAnsi="宋体" w:eastAsia="宋体" w:cs="宋体"/>
                <w:sz w:val="24"/>
                <w:szCs w:val="24"/>
              </w:rPr>
            </w:pPr>
          </w:p>
        </w:tc>
        <w:tc>
          <w:tcPr>
            <w:tcW w:w="1020" w:type="dxa"/>
            <w:tcBorders>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郑海珍</w:t>
            </w:r>
          </w:p>
        </w:tc>
        <w:tc>
          <w:tcPr>
            <w:tcW w:w="1487" w:type="dxa"/>
            <w:tcBorders>
              <w:lef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13906560678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31"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阳光财产保险股份有限公司温岭支公司</w:t>
            </w:r>
          </w:p>
        </w:tc>
        <w:tc>
          <w:tcPr>
            <w:tcW w:w="1980" w:type="dxa"/>
            <w:vMerge w:val="continue"/>
            <w:tcBorders>
              <w:top w:val="nil"/>
            </w:tcBorders>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left"/>
              <w:textAlignment w:val="auto"/>
              <w:rPr>
                <w:rFonts w:hint="eastAsia" w:ascii="宋体" w:hAnsi="宋体" w:eastAsia="宋体" w:cs="宋体"/>
                <w:sz w:val="24"/>
                <w:szCs w:val="24"/>
              </w:rPr>
            </w:pPr>
          </w:p>
        </w:tc>
        <w:tc>
          <w:tcPr>
            <w:tcW w:w="1020" w:type="dxa"/>
            <w:tcBorders>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王巧萍</w:t>
            </w:r>
          </w:p>
        </w:tc>
        <w:tc>
          <w:tcPr>
            <w:tcW w:w="1487" w:type="dxa"/>
            <w:tcBorders>
              <w:lef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13967691616</w:t>
            </w:r>
          </w:p>
        </w:tc>
      </w:tr>
    </w:tbl>
    <w:p>
      <w:pPr>
        <w:pStyle w:val="7"/>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280" w:lineRule="exact"/>
        <w:ind w:leftChars="0" w:right="0" w:rightChars="0" w:firstLine="482" w:firstLineChars="200"/>
        <w:textAlignment w:val="auto"/>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十四、联系方式：</w:t>
      </w:r>
    </w:p>
    <w:p>
      <w:pPr>
        <w:pStyle w:val="7"/>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280" w:lineRule="exact"/>
        <w:ind w:leftChars="0" w:right="0" w:righ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1.采购人信息</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温岭市城南镇人民政府</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 xml:space="preserve"> 金华松</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13606678901 </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2.采购代理机构信息</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eastAsia="zh-CN"/>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称：浙江科信</w:t>
      </w:r>
      <w:r>
        <w:rPr>
          <w:rFonts w:hint="eastAsia" w:ascii="宋体" w:hAnsi="宋体" w:eastAsia="宋体" w:cs="宋体"/>
          <w:sz w:val="24"/>
          <w:szCs w:val="24"/>
          <w:lang w:eastAsia="zh-CN"/>
        </w:rPr>
        <w:t>联合工程项目管理咨询有限公司</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温岭市城东街道阳光大道133号广明大厦12楼</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联系人：黄露梦、林杭军</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15058619215、13757605067</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同级政府采购监督管理部门</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名</w:t>
      </w:r>
      <w:r>
        <w:rPr>
          <w:rFonts w:hint="eastAsia" w:ascii="宋体" w:hAnsi="宋体" w:eastAsia="宋体" w:cs="宋体"/>
          <w:sz w:val="24"/>
          <w:szCs w:val="24"/>
          <w:lang w:val="zh-CN" w:eastAsia="zh-CN"/>
        </w:rPr>
        <w:tab/>
      </w:r>
      <w:r>
        <w:rPr>
          <w:rFonts w:hint="eastAsia" w:ascii="宋体" w:hAnsi="宋体" w:eastAsia="宋体" w:cs="宋体"/>
          <w:sz w:val="24"/>
          <w:szCs w:val="24"/>
          <w:lang w:val="zh-CN" w:eastAsia="zh-CN"/>
        </w:rPr>
        <w:t>称：温岭市财政局</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地</w:t>
      </w:r>
      <w:r>
        <w:rPr>
          <w:rFonts w:hint="eastAsia" w:ascii="宋体" w:hAnsi="宋体" w:eastAsia="宋体" w:cs="宋体"/>
          <w:sz w:val="24"/>
          <w:szCs w:val="24"/>
          <w:lang w:val="zh-CN" w:eastAsia="zh-CN"/>
        </w:rPr>
        <w:tab/>
      </w:r>
      <w:r>
        <w:rPr>
          <w:rFonts w:hint="eastAsia" w:ascii="宋体" w:hAnsi="宋体" w:eastAsia="宋体" w:cs="宋体"/>
          <w:sz w:val="24"/>
          <w:szCs w:val="24"/>
          <w:lang w:val="zh-CN" w:eastAsia="zh-CN"/>
        </w:rPr>
        <w:t>址：浙江省温岭市太平街道中华路29号</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联系人 ：温岭市财政局政府采购监管科</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监督投诉电话：0576-8608651</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pPr>
    </w:p>
    <w:p>
      <w:pPr>
        <w:pStyle w:val="4"/>
        <w:spacing w:line="643" w:lineRule="exact"/>
        <w:jc w:val="center"/>
        <w:rPr>
          <w:rFonts w:hint="eastAsia" w:ascii="宋体" w:hAnsi="宋体" w:eastAsia="宋体" w:cs="宋体"/>
          <w:b/>
          <w:bCs w:val="0"/>
          <w:sz w:val="48"/>
          <w:szCs w:val="22"/>
          <w:lang w:val="zh-CN" w:eastAsia="zh-CN" w:bidi="zh-CN"/>
        </w:rPr>
      </w:pPr>
      <w:r>
        <w:rPr>
          <w:rFonts w:hint="eastAsia" w:ascii="微软雅黑" w:hAnsi="微软雅黑" w:eastAsia="微软雅黑" w:cs="微软雅黑"/>
          <w:b/>
          <w:bCs w:val="0"/>
          <w:sz w:val="36"/>
          <w:szCs w:val="22"/>
          <w:lang w:val="zh-CN" w:eastAsia="zh-CN" w:bidi="zh-CN"/>
        </w:rPr>
        <w:t>第二章 投标人须知</w:t>
      </w:r>
    </w:p>
    <w:p>
      <w:pPr>
        <w:spacing w:before="0" w:after="35" w:line="513" w:lineRule="exact"/>
        <w:ind w:left="0" w:right="219" w:firstLine="0"/>
        <w:jc w:val="center"/>
        <w:rPr>
          <w:rFonts w:hint="eastAsia" w:ascii="宋体" w:hAnsi="宋体" w:eastAsia="宋体" w:cs="宋体"/>
          <w:b/>
          <w:bCs w:val="0"/>
          <w:sz w:val="48"/>
          <w:szCs w:val="22"/>
          <w:lang w:val="zh-CN" w:eastAsia="zh-CN" w:bidi="zh-CN"/>
        </w:rPr>
      </w:pPr>
      <w:r>
        <w:rPr>
          <w:rFonts w:hint="eastAsia" w:ascii="宋体" w:hAnsi="宋体" w:eastAsia="宋体" w:cs="宋体"/>
          <w:b/>
          <w:bCs w:val="0"/>
          <w:sz w:val="32"/>
          <w:szCs w:val="32"/>
          <w:lang w:val="zh-CN" w:eastAsia="zh-CN" w:bidi="zh-CN"/>
        </w:rPr>
        <w:t>前附表</w:t>
      </w:r>
    </w:p>
    <w:tbl>
      <w:tblPr>
        <w:tblStyle w:val="16"/>
        <w:tblW w:w="9648"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716"/>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8"/>
              <w:keepNext w:val="0"/>
              <w:keepLines w:val="0"/>
              <w:pageBreakBefore w:val="0"/>
              <w:kinsoku/>
              <w:wordWrap/>
              <w:overflowPunct/>
              <w:topLinePunct w:val="0"/>
              <w:autoSpaceDE w:val="0"/>
              <w:autoSpaceDN w:val="0"/>
              <w:bidi w:val="0"/>
              <w:adjustRightInd/>
              <w:snapToGrid/>
              <w:spacing w:before="0" w:line="280" w:lineRule="exact"/>
              <w:ind w:left="0" w:leftChars="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716" w:type="dxa"/>
            <w:vAlign w:val="center"/>
          </w:tcPr>
          <w:p>
            <w:pPr>
              <w:pStyle w:val="8"/>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目</w:t>
            </w:r>
          </w:p>
        </w:tc>
        <w:tc>
          <w:tcPr>
            <w:tcW w:w="7224" w:type="dxa"/>
            <w:vAlign w:val="center"/>
          </w:tcPr>
          <w:p>
            <w:pPr>
              <w:pStyle w:val="8"/>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内</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1</w:t>
            </w:r>
          </w:p>
        </w:tc>
        <w:tc>
          <w:tcPr>
            <w:tcW w:w="1716"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采购项目</w:t>
            </w:r>
          </w:p>
        </w:tc>
        <w:tc>
          <w:tcPr>
            <w:tcW w:w="7224" w:type="dxa"/>
          </w:tcPr>
          <w:p>
            <w:pPr>
              <w:pStyle w:val="19"/>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2022年温岭市城南镇以水灭火储水仓建设项目</w:t>
            </w:r>
          </w:p>
          <w:p>
            <w:pPr>
              <w:pStyle w:val="19"/>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项目内容：详见“采购需求”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2</w:t>
            </w:r>
          </w:p>
        </w:tc>
        <w:tc>
          <w:tcPr>
            <w:tcW w:w="1716"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采购方式</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3</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投标文件的</w:t>
            </w:r>
          </w:p>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编制</w:t>
            </w:r>
          </w:p>
        </w:tc>
        <w:tc>
          <w:tcPr>
            <w:tcW w:w="7224" w:type="dxa"/>
            <w:vAlign w:val="top"/>
          </w:tcPr>
          <w:p>
            <w:pPr>
              <w:pStyle w:val="19"/>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电子投标文件包括“电子加密</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响应文件”和“备份</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响应文件”，在</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响应文件编制完成后同时生成。</w:t>
            </w:r>
          </w:p>
          <w:p>
            <w:pPr>
              <w:pStyle w:val="19"/>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rPr>
              <w:t>“电子加密</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响应文件”是指通过“政采云电子交易客户端”完成</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响应文件编制后生成并加密的数据电文形式的</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w:t>
            </w:r>
          </w:p>
          <w:p>
            <w:pPr>
              <w:pStyle w:val="19"/>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z w:val="24"/>
                <w:szCs w:val="24"/>
                <w:vertAlign w:val="baseline"/>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“备份</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响应文件”是指与“电子加密</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响应文件”同时生成的数据电文形式的电子文件（备份标书，用于供应商标书解密异常时应急使用），其他方式编制的备份</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响应文件视为无效备份</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4</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投标文件的形式和份数</w:t>
            </w:r>
          </w:p>
        </w:tc>
        <w:tc>
          <w:tcPr>
            <w:tcW w:w="7224" w:type="dxa"/>
            <w:vAlign w:val="top"/>
          </w:tcPr>
          <w:p>
            <w:pPr>
              <w:pStyle w:val="19"/>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1.一份电子加密标书（后缀格式为.jmbs），一份备份标书文件（后缀格式为.bfbs）。</w:t>
            </w:r>
          </w:p>
          <w:p>
            <w:pPr>
              <w:pStyle w:val="19"/>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2.每份电子投标响应文件应包括资格证明文件、商务技术文件及报价文件三部分内容。</w:t>
            </w:r>
          </w:p>
          <w:p>
            <w:pPr>
              <w:pStyle w:val="19"/>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z w:val="24"/>
                <w:szCs w:val="24"/>
                <w:vertAlign w:val="baseline"/>
              </w:rPr>
            </w:pPr>
            <w:r>
              <w:rPr>
                <w:rFonts w:hint="eastAsia" w:ascii="宋体" w:hAnsi="宋体" w:eastAsia="宋体" w:cs="宋体"/>
                <w:spacing w:val="-5"/>
                <w:sz w:val="24"/>
                <w:szCs w:val="24"/>
                <w:lang w:val="en-US" w:eastAsia="zh-CN"/>
              </w:rPr>
              <w:t>3.如中标，中标人需根据采购人要求提供纸质投标响应文件至少一份，采用胶装，不建议采用活页夹等可随时拆换的方式装订。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5</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tc>
        <w:tc>
          <w:tcPr>
            <w:tcW w:w="7224" w:type="dxa"/>
            <w:vAlign w:val="top"/>
          </w:tcPr>
          <w:p>
            <w:pPr>
              <w:pStyle w:val="19"/>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w:t>
            </w:r>
            <w:r>
              <w:rPr>
                <w:rFonts w:hint="eastAsia" w:ascii="宋体" w:hAnsi="宋体" w:eastAsia="宋体" w:cs="宋体"/>
                <w:sz w:val="24"/>
                <w:szCs w:val="24"/>
                <w:lang w:eastAsia="zh-CN"/>
              </w:rPr>
              <w:t>投标</w:t>
            </w:r>
            <w:r>
              <w:rPr>
                <w:rFonts w:hint="eastAsia" w:ascii="宋体" w:hAnsi="宋体" w:eastAsia="宋体" w:cs="宋体"/>
                <w:sz w:val="24"/>
                <w:szCs w:val="24"/>
              </w:rPr>
              <w:t>文件制作完成并生成加密标书，在投标截止时间前，供应商需将加密的</w:t>
            </w:r>
            <w:r>
              <w:rPr>
                <w:rFonts w:hint="eastAsia" w:ascii="宋体" w:hAnsi="宋体" w:eastAsia="宋体" w:cs="宋体"/>
                <w:sz w:val="24"/>
                <w:szCs w:val="24"/>
                <w:lang w:eastAsia="zh-CN"/>
              </w:rPr>
              <w:t>投标</w:t>
            </w:r>
            <w:r>
              <w:rPr>
                <w:rFonts w:hint="eastAsia" w:ascii="宋体" w:hAnsi="宋体" w:eastAsia="宋体" w:cs="宋体"/>
                <w:sz w:val="24"/>
                <w:szCs w:val="24"/>
              </w:rPr>
              <w:t>文件上传至政采云平台，在开标时间开始后30分钟内，解密</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jc w:val="left"/>
              <w:textAlignment w:val="auto"/>
              <w:rPr>
                <w:rFonts w:hint="eastAsia" w:ascii="宋体" w:hAnsi="宋体" w:eastAsia="宋体" w:cs="宋体"/>
                <w:sz w:val="24"/>
                <w:szCs w:val="24"/>
                <w:lang w:val="zh-CN" w:eastAsia="zh-CN" w:bidi="zh-CN"/>
              </w:rPr>
            </w:pPr>
            <w:r>
              <w:rPr>
                <w:rFonts w:hint="eastAsia" w:ascii="宋体" w:hAnsi="宋体" w:eastAsia="宋体" w:cs="宋体"/>
                <w:b/>
                <w:bCs/>
                <w:sz w:val="24"/>
                <w:szCs w:val="24"/>
                <w:lang w:val="en-US" w:eastAsia="zh-CN"/>
              </w:rPr>
              <w:t>a</w:t>
            </w:r>
            <w:r>
              <w:rPr>
                <w:rFonts w:hint="eastAsia" w:ascii="宋体" w:hAnsi="宋体" w:eastAsia="宋体" w:cs="宋体"/>
                <w:b/>
                <w:bCs/>
                <w:sz w:val="24"/>
                <w:szCs w:val="24"/>
                <w:lang w:val="en-US" w:eastAsia="zh-CN" w:bidi="zh-CN"/>
              </w:rPr>
              <w:t>.供应商未能在投标截止时间前成功上传电子加密投标文件的投标无效。</w:t>
            </w:r>
          </w:p>
          <w:p>
            <w:pPr>
              <w:pStyle w:val="19"/>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b.</w:t>
            </w:r>
            <w:r>
              <w:rPr>
                <w:rFonts w:hint="eastAsia" w:ascii="宋体" w:hAnsi="宋体" w:eastAsia="宋体" w:cs="宋体"/>
                <w:sz w:val="24"/>
                <w:szCs w:val="24"/>
              </w:rPr>
              <w:t>供应商成功上传电子加密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文件后，可自行打印</w:t>
            </w:r>
            <w:r>
              <w:rPr>
                <w:rFonts w:hint="eastAsia" w:ascii="宋体" w:hAnsi="宋体" w:eastAsia="宋体" w:cs="宋体"/>
                <w:sz w:val="24"/>
                <w:szCs w:val="24"/>
                <w:lang w:eastAsia="zh-CN"/>
              </w:rPr>
              <w:t>投标</w:t>
            </w:r>
            <w:r>
              <w:rPr>
                <w:rFonts w:hint="eastAsia" w:ascii="宋体" w:hAnsi="宋体" w:eastAsia="宋体" w:cs="宋体"/>
                <w:sz w:val="24"/>
                <w:szCs w:val="24"/>
              </w:rPr>
              <w:t>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6</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备份</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备份</w:t>
            </w:r>
            <w:r>
              <w:rPr>
                <w:rFonts w:hint="eastAsia" w:ascii="宋体" w:hAnsi="宋体" w:eastAsia="宋体" w:cs="宋体"/>
                <w:sz w:val="24"/>
                <w:szCs w:val="24"/>
                <w:lang w:eastAsia="zh-CN"/>
              </w:rPr>
              <w:t>投标</w:t>
            </w:r>
            <w:r>
              <w:rPr>
                <w:rFonts w:hint="eastAsia" w:ascii="宋体" w:hAnsi="宋体" w:eastAsia="宋体" w:cs="宋体"/>
                <w:sz w:val="24"/>
                <w:szCs w:val="24"/>
              </w:rPr>
              <w:t>文件： 供应商确保在投标截止时间前，将备份</w:t>
            </w:r>
            <w:r>
              <w:rPr>
                <w:rFonts w:hint="eastAsia" w:ascii="宋体" w:hAnsi="宋体" w:eastAsia="宋体" w:cs="宋体"/>
                <w:sz w:val="24"/>
                <w:szCs w:val="24"/>
                <w:lang w:eastAsia="zh-CN"/>
              </w:rPr>
              <w:t>投标</w:t>
            </w:r>
            <w:r>
              <w:rPr>
                <w:rFonts w:hint="eastAsia" w:ascii="宋体" w:hAnsi="宋体" w:eastAsia="宋体" w:cs="宋体"/>
                <w:sz w:val="24"/>
                <w:szCs w:val="24"/>
              </w:rPr>
              <w:t>文件通过快递形式寄达采购代理机构处，以便标书解密异常时应急使用（邮寄地址：温岭市城东街道阳光大道133号广明大厦12楼，接收人：</w:t>
            </w:r>
            <w:r>
              <w:rPr>
                <w:rFonts w:hint="eastAsia" w:ascii="宋体" w:hAnsi="宋体" w:eastAsia="宋体" w:cs="宋体"/>
                <w:sz w:val="24"/>
                <w:szCs w:val="24"/>
                <w:lang w:eastAsia="zh-CN"/>
              </w:rPr>
              <w:t>林杭军</w:t>
            </w:r>
            <w:r>
              <w:rPr>
                <w:rFonts w:hint="eastAsia" w:ascii="宋体" w:hAnsi="宋体" w:eastAsia="宋体" w:cs="宋体"/>
                <w:sz w:val="24"/>
                <w:szCs w:val="24"/>
              </w:rPr>
              <w:t>，电话：</w:t>
            </w:r>
            <w:r>
              <w:rPr>
                <w:rFonts w:hint="eastAsia" w:ascii="宋体" w:hAnsi="宋体" w:eastAsia="宋体" w:cs="宋体"/>
                <w:sz w:val="24"/>
                <w:szCs w:val="24"/>
                <w:lang w:val="en-US" w:eastAsia="zh-CN"/>
              </w:rPr>
              <w:t>13757605067</w:t>
            </w:r>
            <w:r>
              <w:rPr>
                <w:rFonts w:hint="eastAsia" w:ascii="宋体" w:hAnsi="宋体" w:eastAsia="宋体" w:cs="宋体"/>
                <w:sz w:val="24"/>
                <w:szCs w:val="24"/>
              </w:rPr>
              <w:t xml:space="preserve"> ）。</w:t>
            </w:r>
          </w:p>
          <w:p>
            <w:pPr>
              <w:pStyle w:val="19"/>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备份</w:t>
            </w:r>
            <w:r>
              <w:rPr>
                <w:rFonts w:hint="eastAsia" w:ascii="宋体" w:hAnsi="宋体" w:eastAsia="宋体" w:cs="宋体"/>
                <w:sz w:val="24"/>
                <w:szCs w:val="24"/>
                <w:lang w:eastAsia="zh-CN"/>
              </w:rPr>
              <w:t>投标</w:t>
            </w:r>
            <w:r>
              <w:rPr>
                <w:rFonts w:hint="eastAsia" w:ascii="宋体" w:hAnsi="宋体" w:eastAsia="宋体" w:cs="宋体"/>
                <w:sz w:val="24"/>
                <w:szCs w:val="24"/>
              </w:rPr>
              <w:t>文件递交要求：供应商须将备份</w:t>
            </w:r>
            <w:r>
              <w:rPr>
                <w:rFonts w:hint="eastAsia" w:ascii="宋体" w:hAnsi="宋体" w:eastAsia="宋体" w:cs="宋体"/>
                <w:sz w:val="24"/>
                <w:szCs w:val="24"/>
                <w:lang w:eastAsia="zh-CN"/>
              </w:rPr>
              <w:t>投标</w:t>
            </w:r>
            <w:r>
              <w:rPr>
                <w:rFonts w:hint="eastAsia" w:ascii="宋体" w:hAnsi="宋体" w:eastAsia="宋体" w:cs="宋体"/>
                <w:sz w:val="24"/>
                <w:szCs w:val="24"/>
              </w:rPr>
              <w:t>文件以光盘或 U 盘形式放在密封袋中，密封后并在密封袋上注明投标项目名称、投标单位名称并加盖公章。未密封包装或者逾期邮寄送达的“备份</w:t>
            </w:r>
            <w:r>
              <w:rPr>
                <w:rFonts w:hint="eastAsia" w:ascii="宋体" w:hAnsi="宋体" w:eastAsia="宋体" w:cs="宋体"/>
                <w:sz w:val="24"/>
                <w:szCs w:val="24"/>
                <w:lang w:eastAsia="zh-CN"/>
              </w:rPr>
              <w:t>投标</w:t>
            </w:r>
            <w:r>
              <w:rPr>
                <w:rFonts w:hint="eastAsia" w:ascii="宋体" w:hAnsi="宋体" w:eastAsia="宋体" w:cs="宋体"/>
                <w:sz w:val="24"/>
                <w:szCs w:val="24"/>
              </w:rPr>
              <w:t>文件”将不予接收。</w:t>
            </w:r>
          </w:p>
          <w:p>
            <w:pPr>
              <w:pStyle w:val="19"/>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b.</w:t>
            </w:r>
            <w:r>
              <w:rPr>
                <w:rFonts w:hint="eastAsia" w:ascii="宋体" w:hAnsi="宋体" w:eastAsia="宋体" w:cs="宋体"/>
                <w:sz w:val="24"/>
                <w:szCs w:val="24"/>
              </w:rPr>
              <w:t>通过“政府采购云平台”成功上传递交的“电子加密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文件”已按时解密的，“备份</w:t>
            </w:r>
            <w:r>
              <w:rPr>
                <w:rFonts w:hint="eastAsia" w:ascii="宋体" w:hAnsi="宋体" w:eastAsia="宋体" w:cs="宋体"/>
                <w:sz w:val="24"/>
                <w:szCs w:val="24"/>
                <w:lang w:eastAsia="zh-CN"/>
              </w:rPr>
              <w:t>投标</w:t>
            </w:r>
            <w:r>
              <w:rPr>
                <w:rFonts w:hint="eastAsia" w:ascii="宋体" w:hAnsi="宋体" w:eastAsia="宋体" w:cs="宋体"/>
                <w:sz w:val="24"/>
                <w:szCs w:val="24"/>
              </w:rPr>
              <w:t>文件”自动失效。</w:t>
            </w:r>
            <w:r>
              <w:rPr>
                <w:rFonts w:hint="eastAsia" w:ascii="宋体" w:hAnsi="宋体" w:eastAsia="宋体" w:cs="宋体"/>
                <w:b/>
                <w:bCs/>
                <w:sz w:val="24"/>
                <w:szCs w:val="24"/>
              </w:rPr>
              <w:t>投标截止时间前，投标供应商仅递交了“备份</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文件”而未将“电子加密</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文件”成功上传至“政府采购云平台”的，投标无效</w:t>
            </w:r>
            <w:r>
              <w:rPr>
                <w:rFonts w:hint="eastAsia" w:ascii="宋体" w:hAnsi="宋体" w:eastAsia="宋体" w:cs="宋体"/>
                <w:spacing w:val="1"/>
                <w:w w:val="9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7</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文件的解密和异常情况处理</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文件的解密和异常情况处理：</w:t>
            </w:r>
          </w:p>
          <w:p>
            <w:pPr>
              <w:pStyle w:val="19"/>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开标后，各投标供应商代表应当在限定时间内自行完成“电子加密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文件”的在线解密。</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通过“政府采购云平台”成功上传递交的“电子加密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文件”无法按时解</w:t>
            </w:r>
            <w:r>
              <w:rPr>
                <w:rFonts w:hint="eastAsia" w:ascii="宋体" w:hAnsi="宋体" w:eastAsia="宋体" w:cs="宋体"/>
                <w:spacing w:val="-7"/>
                <w:w w:val="90"/>
                <w:sz w:val="24"/>
                <w:szCs w:val="24"/>
              </w:rPr>
              <w:t>密，</w:t>
            </w:r>
            <w:r>
              <w:rPr>
                <w:rFonts w:hint="eastAsia" w:ascii="宋体" w:hAnsi="宋体" w:eastAsia="宋体" w:cs="宋体"/>
                <w:sz w:val="24"/>
                <w:szCs w:val="24"/>
              </w:rPr>
              <w:t>投标供应商如按规定递交了“备份</w:t>
            </w:r>
            <w:r>
              <w:rPr>
                <w:rFonts w:hint="eastAsia" w:ascii="宋体" w:hAnsi="宋体" w:eastAsia="宋体" w:cs="宋体"/>
                <w:sz w:val="24"/>
                <w:szCs w:val="24"/>
                <w:lang w:eastAsia="zh-CN"/>
              </w:rPr>
              <w:t>投标</w:t>
            </w:r>
            <w:r>
              <w:rPr>
                <w:rFonts w:hint="eastAsia" w:ascii="宋体" w:hAnsi="宋体" w:eastAsia="宋体" w:cs="宋体"/>
                <w:sz w:val="24"/>
                <w:szCs w:val="24"/>
              </w:rPr>
              <w:t>文件”的，以“备份</w:t>
            </w:r>
            <w:r>
              <w:rPr>
                <w:rFonts w:hint="eastAsia" w:ascii="宋体" w:hAnsi="宋体" w:eastAsia="宋体" w:cs="宋体"/>
                <w:sz w:val="24"/>
                <w:szCs w:val="24"/>
                <w:lang w:eastAsia="zh-CN"/>
              </w:rPr>
              <w:t>投标</w:t>
            </w:r>
            <w:r>
              <w:rPr>
                <w:rFonts w:hint="eastAsia" w:ascii="宋体" w:hAnsi="宋体" w:eastAsia="宋体" w:cs="宋体"/>
                <w:sz w:val="24"/>
                <w:szCs w:val="24"/>
              </w:rPr>
              <w:t>文件”为依据（由采购组织机构按“政府采购云平台”操作规范将“备份</w:t>
            </w:r>
            <w:r>
              <w:rPr>
                <w:rFonts w:hint="eastAsia" w:ascii="宋体" w:hAnsi="宋体" w:eastAsia="宋体" w:cs="宋体"/>
                <w:sz w:val="24"/>
                <w:szCs w:val="24"/>
                <w:lang w:eastAsia="zh-CN"/>
              </w:rPr>
              <w:t>投标</w:t>
            </w:r>
            <w:r>
              <w:rPr>
                <w:rFonts w:hint="eastAsia" w:ascii="宋体" w:hAnsi="宋体" w:eastAsia="宋体" w:cs="宋体"/>
                <w:sz w:val="24"/>
                <w:szCs w:val="24"/>
              </w:rPr>
              <w:t>文件”上传至“政府采购云平台”，上传成功后，“电子加密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文件”自动失效），否则视为</w:t>
            </w:r>
            <w:r>
              <w:rPr>
                <w:rFonts w:hint="eastAsia" w:ascii="宋体" w:hAnsi="宋体" w:eastAsia="宋体" w:cs="宋体"/>
                <w:sz w:val="24"/>
                <w:szCs w:val="24"/>
                <w:lang w:eastAsia="zh-CN"/>
              </w:rPr>
              <w:t>投标</w:t>
            </w:r>
            <w:r>
              <w:rPr>
                <w:rFonts w:hint="eastAsia" w:ascii="宋体" w:hAnsi="宋体" w:eastAsia="宋体" w:cs="宋体"/>
                <w:sz w:val="24"/>
                <w:szCs w:val="24"/>
              </w:rPr>
              <w:t>文件撤回。</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vertAlign w:val="baseline"/>
              </w:rPr>
            </w:pPr>
            <w:r>
              <w:rPr>
                <w:rFonts w:hint="eastAsia" w:ascii="宋体" w:hAnsi="宋体" w:eastAsia="宋体" w:cs="宋体"/>
                <w:b/>
                <w:bCs/>
                <w:sz w:val="24"/>
                <w:szCs w:val="24"/>
              </w:rPr>
              <w:t>c.</w:t>
            </w:r>
            <w:r>
              <w:rPr>
                <w:rFonts w:hint="eastAsia" w:ascii="宋体" w:hAnsi="宋体" w:eastAsia="宋体" w:cs="宋体"/>
                <w:b/>
                <w:bCs/>
                <w:spacing w:val="-6"/>
                <w:sz w:val="24"/>
                <w:szCs w:val="24"/>
              </w:rPr>
              <w:t>投标截止时间前，投标供应商仅递交了“备份</w:t>
            </w:r>
            <w:r>
              <w:rPr>
                <w:rFonts w:hint="eastAsia" w:ascii="宋体" w:hAnsi="宋体" w:eastAsia="宋体" w:cs="宋体"/>
                <w:b/>
                <w:bCs/>
                <w:spacing w:val="-6"/>
                <w:sz w:val="24"/>
                <w:szCs w:val="24"/>
                <w:lang w:eastAsia="zh-CN"/>
              </w:rPr>
              <w:t>投标</w:t>
            </w:r>
            <w:r>
              <w:rPr>
                <w:rFonts w:hint="eastAsia" w:ascii="宋体" w:hAnsi="宋体" w:eastAsia="宋体" w:cs="宋体"/>
                <w:b/>
                <w:bCs/>
                <w:spacing w:val="-6"/>
                <w:sz w:val="24"/>
                <w:szCs w:val="24"/>
              </w:rPr>
              <w:t>文件”而未将电子加密</w:t>
            </w:r>
            <w:r>
              <w:rPr>
                <w:rFonts w:hint="eastAsia" w:ascii="宋体" w:hAnsi="宋体" w:eastAsia="宋体" w:cs="宋体"/>
                <w:b/>
                <w:bCs/>
                <w:spacing w:val="-6"/>
                <w:sz w:val="24"/>
                <w:szCs w:val="24"/>
                <w:lang w:eastAsia="zh-CN"/>
              </w:rPr>
              <w:t>投标</w:t>
            </w:r>
            <w:r>
              <w:rPr>
                <w:rFonts w:hint="eastAsia" w:ascii="宋体" w:hAnsi="宋体" w:eastAsia="宋体" w:cs="宋体"/>
                <w:b/>
                <w:bCs/>
                <w:spacing w:val="-6"/>
                <w:sz w:val="24"/>
                <w:szCs w:val="24"/>
              </w:rPr>
              <w:t>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8</w:t>
            </w:r>
          </w:p>
        </w:tc>
        <w:tc>
          <w:tcPr>
            <w:tcW w:w="1716"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投标文件、流程文件签章</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电子</w:t>
            </w:r>
            <w:r>
              <w:rPr>
                <w:rFonts w:hint="eastAsia" w:ascii="宋体" w:hAnsi="宋体" w:eastAsia="宋体" w:cs="宋体"/>
                <w:sz w:val="24"/>
                <w:szCs w:val="24"/>
                <w:lang w:eastAsia="zh-CN"/>
              </w:rPr>
              <w:t>投标</w:t>
            </w:r>
            <w:r>
              <w:rPr>
                <w:rFonts w:hint="eastAsia" w:ascii="宋体" w:hAnsi="宋体" w:eastAsia="宋体" w:cs="宋体"/>
                <w:sz w:val="24"/>
                <w:szCs w:val="24"/>
              </w:rPr>
              <w:t>响应文件必须有电子签章；</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开标后，相关信息记录确认、澄清说明、回复等内容，电子签章、或者签章后上传相关文件，均认可；</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9</w:t>
            </w:r>
          </w:p>
        </w:tc>
        <w:tc>
          <w:tcPr>
            <w:tcW w:w="1716" w:type="dxa"/>
            <w:vAlign w:val="top"/>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投标程序</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w:t>
            </w:r>
            <w:r>
              <w:rPr>
                <w:rFonts w:hint="eastAsia" w:ascii="宋体" w:hAnsi="宋体" w:eastAsia="宋体" w:cs="宋体"/>
                <w:sz w:val="24"/>
                <w:szCs w:val="24"/>
              </w:rPr>
              <w:t>开始后，采购代理机构点击【开始解密】，供应商应在30分钟内完成解密。供应商在规定的时间内都已完成解密，则系统自动结束解密；供应商超过解密时限，默认自动放弃；</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解密不成功时，如投标供应商已按规定递交了“备份</w:t>
            </w:r>
            <w:r>
              <w:rPr>
                <w:rFonts w:hint="eastAsia" w:ascii="宋体" w:hAnsi="宋体" w:eastAsia="宋体" w:cs="宋体"/>
                <w:sz w:val="24"/>
                <w:szCs w:val="24"/>
                <w:lang w:eastAsia="zh-CN"/>
              </w:rPr>
              <w:t>投标</w:t>
            </w:r>
            <w:r>
              <w:rPr>
                <w:rFonts w:hint="eastAsia" w:ascii="宋体" w:hAnsi="宋体" w:eastAsia="宋体" w:cs="宋体"/>
                <w:sz w:val="24"/>
                <w:szCs w:val="24"/>
              </w:rPr>
              <w:t>响应文件”的，采购代理机构通过【异常处理】端口对备份</w:t>
            </w:r>
            <w:r>
              <w:rPr>
                <w:rFonts w:hint="eastAsia" w:ascii="宋体" w:hAnsi="宋体" w:eastAsia="宋体" w:cs="宋体"/>
                <w:sz w:val="24"/>
                <w:szCs w:val="24"/>
                <w:lang w:eastAsia="zh-CN"/>
              </w:rPr>
              <w:t>投标</w:t>
            </w:r>
            <w:r>
              <w:rPr>
                <w:rFonts w:hint="eastAsia" w:ascii="宋体" w:hAnsi="宋体" w:eastAsia="宋体" w:cs="宋体"/>
                <w:sz w:val="24"/>
                <w:szCs w:val="24"/>
              </w:rPr>
              <w:t>响应文件上传、解密；</w:t>
            </w:r>
          </w:p>
          <w:p>
            <w:pPr>
              <w:pStyle w:val="19"/>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b/>
                <w:bCs/>
                <w:sz w:val="24"/>
                <w:szCs w:val="24"/>
              </w:rPr>
              <w:t>结束解密后，供应商通过邮件形式将经授权代表签署的《政府采购活动现场确认声明书》（格式见采购文件最后一页内容） 扫描件发至代理机构经办人邮箱（邮箱地址：</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"mailto:360745117@qq.com"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1016124308</w:t>
            </w:r>
            <w:r>
              <w:rPr>
                <w:rFonts w:hint="eastAsia" w:ascii="宋体" w:hAnsi="宋体" w:eastAsia="宋体" w:cs="宋体"/>
                <w:b/>
                <w:bCs/>
                <w:sz w:val="24"/>
                <w:szCs w:val="24"/>
              </w:rPr>
              <w:t xml:space="preserve">@qq.com </w:t>
            </w:r>
            <w:r>
              <w:rPr>
                <w:rFonts w:hint="eastAsia" w:ascii="宋体" w:hAnsi="宋体" w:eastAsia="宋体" w:cs="宋体"/>
                <w:b/>
                <w:bCs/>
                <w:sz w:val="24"/>
                <w:szCs w:val="24"/>
              </w:rPr>
              <w:fldChar w:fldCharType="end"/>
            </w:r>
            <w:r>
              <w:rPr>
                <w:rFonts w:hint="eastAsia" w:ascii="宋体" w:hAnsi="宋体" w:eastAsia="宋体" w:cs="宋体"/>
                <w:b/>
                <w:bCs/>
                <w:sz w:val="24"/>
                <w:szCs w:val="24"/>
              </w:rPr>
              <w:t>，联系人：</w:t>
            </w:r>
            <w:r>
              <w:rPr>
                <w:rFonts w:hint="eastAsia" w:ascii="宋体" w:hAnsi="宋体" w:eastAsia="宋体" w:cs="宋体"/>
                <w:b/>
                <w:bCs/>
                <w:sz w:val="24"/>
                <w:szCs w:val="24"/>
                <w:lang w:eastAsia="zh-CN"/>
              </w:rPr>
              <w:t>林杭军</w:t>
            </w:r>
            <w:r>
              <w:rPr>
                <w:rFonts w:hint="eastAsia" w:ascii="宋体" w:hAnsi="宋体" w:eastAsia="宋体" w:cs="宋体"/>
                <w:b/>
                <w:bCs/>
                <w:sz w:val="24"/>
                <w:szCs w:val="24"/>
              </w:rPr>
              <w:t>，电话：</w:t>
            </w:r>
            <w:r>
              <w:rPr>
                <w:rFonts w:hint="eastAsia" w:ascii="宋体" w:hAnsi="宋体" w:eastAsia="宋体" w:cs="宋体"/>
                <w:b/>
                <w:bCs/>
                <w:sz w:val="24"/>
                <w:szCs w:val="24"/>
                <w:lang w:val="en-US" w:eastAsia="zh-CN"/>
              </w:rPr>
              <w:t>13757605067</w:t>
            </w:r>
            <w:r>
              <w:rPr>
                <w:rFonts w:hint="eastAsia" w:ascii="宋体" w:hAnsi="宋体" w:eastAsia="宋体" w:cs="宋体"/>
                <w:b/>
                <w:bCs/>
                <w:sz w:val="24"/>
                <w:szCs w:val="24"/>
              </w:rPr>
              <w:t>）</w:t>
            </w:r>
            <w:r>
              <w:rPr>
                <w:rFonts w:hint="eastAsia" w:ascii="宋体" w:hAnsi="宋体" w:eastAsia="宋体" w:cs="宋体"/>
                <w:sz w:val="24"/>
                <w:szCs w:val="24"/>
              </w:rPr>
              <w:t>；</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pacing w:val="-6"/>
                <w:sz w:val="24"/>
                <w:szCs w:val="24"/>
              </w:rPr>
              <w:t>采购组织机构点击【开启标书信息】，开启标书成功后进入开标流程。</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10</w:t>
            </w:r>
          </w:p>
        </w:tc>
        <w:tc>
          <w:tcPr>
            <w:tcW w:w="1716" w:type="dxa"/>
            <w:vAlign w:val="top"/>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评审程序</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资格审查：由采购人或采购代理机构代表根据采购文件的规定对供</w:t>
            </w:r>
            <w:r>
              <w:rPr>
                <w:rFonts w:hint="eastAsia" w:ascii="宋体" w:hAnsi="宋体" w:eastAsia="宋体" w:cs="宋体"/>
                <w:spacing w:val="-6"/>
                <w:sz w:val="24"/>
                <w:szCs w:val="24"/>
              </w:rPr>
              <w:t>应商进行资格审查，资格审查不合格的供应商，其投标作无效标处理。</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符合性评审：依据采购文件的规定，从</w:t>
            </w:r>
            <w:r>
              <w:rPr>
                <w:rFonts w:hint="eastAsia" w:ascii="宋体" w:hAnsi="宋体" w:eastAsia="宋体" w:cs="宋体"/>
                <w:sz w:val="24"/>
                <w:szCs w:val="24"/>
                <w:lang w:eastAsia="zh-CN"/>
              </w:rPr>
              <w:t>投标</w:t>
            </w:r>
            <w:r>
              <w:rPr>
                <w:rFonts w:hint="eastAsia" w:ascii="宋体" w:hAnsi="宋体" w:eastAsia="宋体" w:cs="宋体"/>
                <w:sz w:val="24"/>
                <w:szCs w:val="24"/>
              </w:rPr>
              <w:t>响应文件的有效性、完整性和对采购文件的响应程度进行审查，以确定是否对采购文件的实质性要求作出响应。</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商务技术评审：由评标委员会对供应商的技术商务充分审核、讨论及评议。 商务技术结果公布；代理机构公布符合性审查、商务技术评审无效供应商名称及理由；公布经商务技术评审后有效投标供应商的名单。</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开启报价响应文件：采购代理机构成功开启报价响应文件后，方可查看供应商报价况。代理机构公布报价一览表有关内容，供应商签字确认《开标记录》后通过邮件形式发送回代理机构（不予确认的应说明理由，否则视为无异议）。</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报价评审：由评标委员会对报价的合理性、准确性等进行审查核实。结果公布：供应商可通过在线平台查看评审结果。</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pacing w:val="-6"/>
                <w:sz w:val="24"/>
                <w:szCs w:val="24"/>
              </w:rPr>
              <w:t>注：除邮件交互外，如政采云平台提供信息发布、澄清说明、数据交换等操作方式的，或者政采云系统平台有新的操作流程的，按其规定。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11</w:t>
            </w:r>
          </w:p>
        </w:tc>
        <w:tc>
          <w:tcPr>
            <w:tcW w:w="1716"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询标澄清</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在评审过程中， 如评审小组对</w:t>
            </w:r>
            <w:r>
              <w:rPr>
                <w:rFonts w:hint="eastAsia" w:ascii="宋体" w:hAnsi="宋体" w:eastAsia="宋体" w:cs="宋体"/>
                <w:sz w:val="24"/>
                <w:szCs w:val="24"/>
                <w:lang w:eastAsia="zh-CN"/>
              </w:rPr>
              <w:t>投标</w:t>
            </w:r>
            <w:r>
              <w:rPr>
                <w:rFonts w:hint="eastAsia" w:ascii="宋体" w:hAnsi="宋体" w:eastAsia="宋体" w:cs="宋体"/>
                <w:sz w:val="24"/>
                <w:szCs w:val="24"/>
              </w:rPr>
              <w:t>响应文件有疑问，由评审组长将问题汇总后发起询标澄清函， 供应商应在规定截止时间前回复相关内容并经签章后提交。逾期答复的，供应商自行承担由此可能导致的对其不利的评审结果，评标委员会按少数服从多数原则对相关内容进行评判。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12</w:t>
            </w:r>
          </w:p>
        </w:tc>
        <w:tc>
          <w:tcPr>
            <w:tcW w:w="1716"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投标有效期</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自投标截止日起 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13</w:t>
            </w:r>
          </w:p>
        </w:tc>
        <w:tc>
          <w:tcPr>
            <w:tcW w:w="1716"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投标报价</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本项目投标应以人民币报价；</w:t>
            </w:r>
          </w:p>
          <w:p>
            <w:pPr>
              <w:pStyle w:val="19"/>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14</w:t>
            </w:r>
          </w:p>
        </w:tc>
        <w:tc>
          <w:tcPr>
            <w:tcW w:w="1716" w:type="dxa"/>
            <w:vAlign w:val="center"/>
          </w:tcPr>
          <w:p>
            <w:pPr>
              <w:pStyle w:val="19"/>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踏勘现场</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组织（详细内容）</w:t>
            </w:r>
            <w:r>
              <w:rPr>
                <w:rFonts w:hint="eastAsia" w:ascii="宋体" w:hAnsi="宋体" w:eastAsia="宋体" w:cs="宋体"/>
                <w:sz w:val="24"/>
                <w:szCs w:val="24"/>
              </w:rPr>
              <w:tab/>
            </w:r>
            <w:r>
              <w:rPr>
                <w:rFonts w:hint="eastAsia" w:ascii="宋体" w:hAnsi="宋体" w:eastAsia="宋体" w:cs="宋体"/>
                <w:sz w:val="24"/>
                <w:szCs w:val="24"/>
              </w:rPr>
              <w:t>☑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19"/>
              <w:spacing w:before="99"/>
              <w:ind w:right="0" w:rightChars="0"/>
              <w:jc w:val="center"/>
              <w:rPr>
                <w:rFonts w:hint="eastAsia" w:ascii="宋体" w:hAnsi="宋体" w:eastAsia="宋体" w:cs="宋体"/>
                <w:w w:val="95"/>
                <w:sz w:val="24"/>
                <w:szCs w:val="24"/>
              </w:rPr>
            </w:pPr>
            <w:r>
              <w:rPr>
                <w:rFonts w:hint="eastAsia" w:ascii="宋体" w:hAnsi="宋体" w:eastAsia="宋体" w:cs="宋体"/>
                <w:sz w:val="24"/>
                <w:szCs w:val="24"/>
              </w:rPr>
              <w:t>15</w:t>
            </w:r>
          </w:p>
        </w:tc>
        <w:tc>
          <w:tcPr>
            <w:tcW w:w="1716" w:type="dxa"/>
            <w:vAlign w:val="center"/>
          </w:tcPr>
          <w:p>
            <w:pPr>
              <w:pStyle w:val="19"/>
              <w:spacing w:before="99"/>
              <w:ind w:left="1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样品</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提供，具体详见采购文件，中标人提供的样品将由采购人保管、封存并作为履约验收的参考</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46"/>
              <w:ind w:right="0" w:rightChars="0"/>
              <w:jc w:val="center"/>
              <w:rPr>
                <w:rFonts w:hint="eastAsia" w:ascii="宋体" w:hAnsi="宋体" w:eastAsia="宋体" w:cs="宋体"/>
                <w:w w:val="95"/>
                <w:sz w:val="24"/>
                <w:szCs w:val="24"/>
              </w:rPr>
            </w:pPr>
            <w:r>
              <w:rPr>
                <w:rFonts w:hint="eastAsia" w:ascii="宋体" w:hAnsi="宋体" w:eastAsia="宋体" w:cs="宋体"/>
                <w:sz w:val="24"/>
                <w:szCs w:val="24"/>
              </w:rPr>
              <w:t>16</w:t>
            </w:r>
          </w:p>
        </w:tc>
        <w:tc>
          <w:tcPr>
            <w:tcW w:w="1716" w:type="dxa"/>
            <w:vAlign w:val="center"/>
          </w:tcPr>
          <w:p>
            <w:pPr>
              <w:pStyle w:val="19"/>
              <w:spacing w:before="46"/>
              <w:ind w:left="1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演示</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要求，具体详见采购文件</w:t>
            </w:r>
            <w:r>
              <w:rPr>
                <w:rFonts w:hint="eastAsia" w:ascii="宋体" w:hAnsi="宋体" w:eastAsia="宋体" w:cs="宋体"/>
                <w:sz w:val="24"/>
                <w:szCs w:val="24"/>
              </w:rPr>
              <w:tab/>
            </w:r>
            <w:r>
              <w:rPr>
                <w:rFonts w:hint="eastAsia" w:ascii="宋体" w:hAnsi="宋体" w:eastAsia="宋体" w:cs="宋体"/>
                <w:sz w:val="24"/>
                <w:szCs w:val="24"/>
              </w:rPr>
              <w:t>☑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48" w:line="351" w:lineRule="exact"/>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17</w:t>
            </w:r>
          </w:p>
        </w:tc>
        <w:tc>
          <w:tcPr>
            <w:tcW w:w="1716" w:type="dxa"/>
            <w:vAlign w:val="center"/>
          </w:tcPr>
          <w:p>
            <w:pPr>
              <w:pStyle w:val="19"/>
              <w:spacing w:before="48" w:line="351" w:lineRule="exact"/>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评标办法</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综合评分法</w:t>
            </w:r>
            <w:r>
              <w:rPr>
                <w:rFonts w:hint="eastAsia" w:ascii="宋体" w:hAnsi="宋体" w:eastAsia="宋体" w:cs="宋体"/>
                <w:sz w:val="24"/>
                <w:szCs w:val="24"/>
              </w:rPr>
              <w:tab/>
            </w:r>
            <w:r>
              <w:rPr>
                <w:rFonts w:hint="eastAsia" w:ascii="宋体" w:hAnsi="宋体" w:eastAsia="宋体" w:cs="宋体"/>
                <w:sz w:val="24"/>
                <w:szCs w:val="24"/>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34"/>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18</w:t>
            </w:r>
          </w:p>
        </w:tc>
        <w:tc>
          <w:tcPr>
            <w:tcW w:w="1716" w:type="dxa"/>
            <w:vAlign w:val="center"/>
          </w:tcPr>
          <w:p>
            <w:pPr>
              <w:pStyle w:val="19"/>
              <w:spacing w:before="34"/>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是否进口</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允许进口</w:t>
            </w:r>
            <w:r>
              <w:rPr>
                <w:rFonts w:hint="eastAsia" w:ascii="宋体" w:hAnsi="宋体" w:eastAsia="宋体" w:cs="宋体"/>
                <w:sz w:val="24"/>
                <w:szCs w:val="24"/>
              </w:rPr>
              <w:tab/>
            </w:r>
            <w:r>
              <w:rPr>
                <w:rFonts w:hint="eastAsia" w:ascii="宋体" w:hAnsi="宋体" w:eastAsia="宋体" w:cs="宋体"/>
                <w:sz w:val="24"/>
                <w:szCs w:val="24"/>
              </w:rPr>
              <w:t>☑ 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49"/>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19</w:t>
            </w:r>
          </w:p>
        </w:tc>
        <w:tc>
          <w:tcPr>
            <w:tcW w:w="1716" w:type="dxa"/>
            <w:vAlign w:val="center"/>
          </w:tcPr>
          <w:p>
            <w:pPr>
              <w:pStyle w:val="19"/>
              <w:spacing w:before="49"/>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节能产品</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强制采购节能产品</w:t>
            </w:r>
            <w:r>
              <w:rPr>
                <w:rFonts w:hint="eastAsia" w:ascii="宋体" w:hAnsi="宋体" w:eastAsia="宋体" w:cs="宋体"/>
                <w:sz w:val="24"/>
                <w:szCs w:val="24"/>
              </w:rPr>
              <w:tab/>
            </w:r>
            <w:r>
              <w:rPr>
                <w:rFonts w:hint="eastAsia" w:ascii="宋体" w:hAnsi="宋体" w:eastAsia="宋体" w:cs="宋体"/>
                <w:sz w:val="24"/>
                <w:szCs w:val="24"/>
              </w:rPr>
              <w:t>□ 优先采购节能产品</w:t>
            </w:r>
            <w:r>
              <w:rPr>
                <w:rFonts w:hint="eastAsia" w:ascii="宋体" w:hAnsi="宋体" w:eastAsia="宋体" w:cs="宋体"/>
                <w:sz w:val="24"/>
                <w:szCs w:val="24"/>
              </w:rPr>
              <w:tab/>
            </w:r>
            <w:r>
              <w:rPr>
                <w:rFonts w:hint="eastAsia" w:ascii="宋体" w:hAnsi="宋体" w:eastAsia="宋体" w:cs="宋体"/>
                <w:sz w:val="24"/>
                <w:szCs w:val="24"/>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48"/>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20</w:t>
            </w:r>
          </w:p>
        </w:tc>
        <w:tc>
          <w:tcPr>
            <w:tcW w:w="1716" w:type="dxa"/>
            <w:vAlign w:val="center"/>
          </w:tcPr>
          <w:p>
            <w:pPr>
              <w:pStyle w:val="19"/>
              <w:spacing w:before="48"/>
              <w:ind w:left="1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环境标志产品</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优先采购环境标志产品</w:t>
            </w:r>
            <w:r>
              <w:rPr>
                <w:rFonts w:hint="eastAsia" w:ascii="宋体" w:hAnsi="宋体" w:eastAsia="宋体" w:cs="宋体"/>
                <w:sz w:val="24"/>
                <w:szCs w:val="24"/>
              </w:rPr>
              <w:tab/>
            </w:r>
            <w:r>
              <w:rPr>
                <w:rFonts w:hint="eastAsia" w:ascii="宋体" w:hAnsi="宋体" w:eastAsia="宋体" w:cs="宋体"/>
                <w:sz w:val="24"/>
                <w:szCs w:val="24"/>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102"/>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21</w:t>
            </w:r>
          </w:p>
        </w:tc>
        <w:tc>
          <w:tcPr>
            <w:tcW w:w="1716" w:type="dxa"/>
            <w:vAlign w:val="center"/>
          </w:tcPr>
          <w:p>
            <w:pPr>
              <w:pStyle w:val="19"/>
              <w:spacing w:line="303" w:lineRule="exact"/>
              <w:ind w:left="10"/>
              <w:jc w:val="center"/>
              <w:rPr>
                <w:rFonts w:hint="eastAsia" w:ascii="宋体" w:hAnsi="宋体" w:eastAsia="宋体" w:cs="宋体"/>
                <w:sz w:val="24"/>
                <w:szCs w:val="24"/>
              </w:rPr>
            </w:pPr>
            <w:r>
              <w:rPr>
                <w:rFonts w:hint="eastAsia" w:ascii="宋体" w:hAnsi="宋体" w:eastAsia="宋体" w:cs="宋体"/>
                <w:sz w:val="24"/>
                <w:szCs w:val="24"/>
              </w:rPr>
              <w:t>促进小微企业</w:t>
            </w:r>
          </w:p>
          <w:p>
            <w:pPr>
              <w:pStyle w:val="19"/>
              <w:spacing w:line="277" w:lineRule="exact"/>
              <w:ind w:left="1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发展</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本项目为执行促进中小企业发展政策，监狱企业、残疾人福利性单位视同小型、微型企业。</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248"/>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22</w:t>
            </w:r>
          </w:p>
        </w:tc>
        <w:tc>
          <w:tcPr>
            <w:tcW w:w="1716" w:type="dxa"/>
            <w:vAlign w:val="center"/>
          </w:tcPr>
          <w:p>
            <w:pPr>
              <w:pStyle w:val="19"/>
              <w:spacing w:before="248"/>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合同签订</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采购人与中标人应当在《中标通知书》发出之日起 30 日内签订政府采购合同。同时，采购代理机构对合同内容进行审查，如发现与采购结果和投标承诺内容不一致的，应予以纠正。中标人拖延、拒签合同的,将被取消中标资格。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8"/>
              <w:jc w:val="center"/>
              <w:rPr>
                <w:rFonts w:hint="eastAsia" w:ascii="宋体" w:hAnsi="宋体" w:eastAsia="宋体" w:cs="宋体"/>
                <w:sz w:val="24"/>
                <w:szCs w:val="24"/>
              </w:rPr>
            </w:pPr>
          </w:p>
          <w:p>
            <w:pPr>
              <w:pStyle w:val="19"/>
              <w:spacing w:before="1"/>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23</w:t>
            </w:r>
          </w:p>
        </w:tc>
        <w:tc>
          <w:tcPr>
            <w:tcW w:w="1716" w:type="dxa"/>
            <w:vAlign w:val="center"/>
          </w:tcPr>
          <w:p>
            <w:pPr>
              <w:pStyle w:val="19"/>
              <w:spacing w:before="3"/>
              <w:jc w:val="center"/>
              <w:rPr>
                <w:rFonts w:hint="eastAsia" w:ascii="宋体" w:hAnsi="宋体" w:eastAsia="宋体" w:cs="宋体"/>
                <w:sz w:val="24"/>
                <w:szCs w:val="24"/>
              </w:rPr>
            </w:pPr>
          </w:p>
          <w:p>
            <w:pPr>
              <w:pStyle w:val="19"/>
              <w:spacing w:before="1" w:line="175" w:lineRule="auto"/>
              <w:ind w:left="656" w:leftChars="0" w:right="114" w:rightChars="0" w:hanging="526" w:firstLine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供应商注册事项</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根据《浙江省政府采购供应商注册及诚信管理暂行办法》（浙财采监字〔2009〕28号）， 供应商中标后必须注册成为浙江政府采购网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"http://www.zjzfcg.gov.cn/" \h </w:instrText>
            </w:r>
            <w:r>
              <w:rPr>
                <w:rFonts w:hint="eastAsia" w:ascii="宋体" w:hAnsi="宋体" w:eastAsia="宋体" w:cs="宋体"/>
                <w:sz w:val="24"/>
                <w:szCs w:val="24"/>
              </w:rPr>
              <w:fldChar w:fldCharType="separate"/>
            </w:r>
            <w:r>
              <w:rPr>
                <w:rFonts w:hint="eastAsia" w:ascii="宋体" w:hAnsi="宋体" w:eastAsia="宋体" w:cs="宋体"/>
                <w:sz w:val="24"/>
                <w:szCs w:val="24"/>
              </w:rPr>
              <w:t>（ http://www.zjzfcg.gov.cn/</w:t>
            </w:r>
            <w:r>
              <w:rPr>
                <w:rFonts w:hint="eastAsia" w:ascii="宋体" w:hAnsi="宋体" w:eastAsia="宋体" w:cs="宋体"/>
                <w:sz w:val="24"/>
                <w:szCs w:val="24"/>
              </w:rPr>
              <w:fldChar w:fldCharType="end"/>
            </w:r>
            <w:r>
              <w:rPr>
                <w:rFonts w:hint="eastAsia" w:ascii="宋体" w:hAnsi="宋体" w:eastAsia="宋体" w:cs="宋体"/>
                <w:sz w:val="24"/>
                <w:szCs w:val="24"/>
              </w:rPr>
              <w:t>） 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7"/>
              <w:jc w:val="center"/>
              <w:rPr>
                <w:rFonts w:hint="eastAsia" w:ascii="宋体" w:hAnsi="宋体" w:eastAsia="宋体" w:cs="宋体"/>
                <w:sz w:val="24"/>
                <w:szCs w:val="24"/>
              </w:rPr>
            </w:pPr>
          </w:p>
          <w:p>
            <w:pPr>
              <w:pStyle w:val="19"/>
              <w:spacing w:before="1"/>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24</w:t>
            </w:r>
          </w:p>
        </w:tc>
        <w:tc>
          <w:tcPr>
            <w:tcW w:w="1716" w:type="dxa"/>
            <w:vAlign w:val="center"/>
          </w:tcPr>
          <w:p>
            <w:pPr>
              <w:pStyle w:val="19"/>
              <w:spacing w:before="7"/>
              <w:jc w:val="center"/>
              <w:rPr>
                <w:rFonts w:hint="eastAsia" w:ascii="宋体" w:hAnsi="宋体" w:eastAsia="宋体" w:cs="宋体"/>
                <w:sz w:val="24"/>
                <w:szCs w:val="24"/>
              </w:rPr>
            </w:pPr>
          </w:p>
          <w:p>
            <w:pPr>
              <w:pStyle w:val="19"/>
              <w:spacing w:before="1"/>
              <w:ind w:left="17"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履约保证金</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金额：</w:t>
            </w:r>
            <w:r>
              <w:rPr>
                <w:rFonts w:hint="eastAsia" w:ascii="宋体" w:hAnsi="宋体" w:eastAsia="宋体" w:cs="宋体"/>
                <w:sz w:val="24"/>
                <w:szCs w:val="24"/>
                <w:lang w:eastAsia="zh-CN"/>
              </w:rPr>
              <w:t>合同价的1%</w:t>
            </w:r>
            <w:r>
              <w:rPr>
                <w:rFonts w:hint="eastAsia" w:ascii="宋体" w:hAnsi="宋体" w:eastAsia="宋体" w:cs="宋体"/>
                <w:sz w:val="24"/>
                <w:szCs w:val="24"/>
              </w:rPr>
              <w:t xml:space="preserve"> ；</w:t>
            </w:r>
          </w:p>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收取方式：网银、汇票、电汇、转账支付等非现金方式或银行、保险公司出具的保函形式；</w:t>
            </w:r>
          </w:p>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履约保证金在合同签订前交至采购人处，退还条件详见合同条款；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line="375" w:lineRule="exact"/>
              <w:ind w:left="90" w:leftChars="0" w:right="116" w:rightChars="0"/>
              <w:jc w:val="center"/>
              <w:rPr>
                <w:rFonts w:hint="eastAsia" w:ascii="宋体" w:hAnsi="宋体" w:eastAsia="宋体" w:cs="宋体"/>
                <w:w w:val="95"/>
                <w:sz w:val="24"/>
                <w:szCs w:val="24"/>
              </w:rPr>
            </w:pPr>
            <w:r>
              <w:rPr>
                <w:rFonts w:hint="eastAsia" w:ascii="宋体" w:hAnsi="宋体" w:eastAsia="宋体" w:cs="宋体"/>
                <w:sz w:val="24"/>
                <w:szCs w:val="24"/>
              </w:rPr>
              <w:t>25</w:t>
            </w:r>
          </w:p>
        </w:tc>
        <w:tc>
          <w:tcPr>
            <w:tcW w:w="1716" w:type="dxa"/>
            <w:vAlign w:val="center"/>
          </w:tcPr>
          <w:p>
            <w:pPr>
              <w:pStyle w:val="19"/>
              <w:spacing w:line="375" w:lineRule="exact"/>
              <w:ind w:left="17" w:leftChars="0" w:right="4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代理服务费</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bookmarkStart w:id="33" w:name="_GoBack"/>
            <w:bookmarkStart w:id="7" w:name="OLE_LINK1"/>
            <w:r>
              <w:rPr>
                <w:rFonts w:ascii="宋体" w:hAnsi="宋体" w:eastAsia="宋体" w:cs="宋体"/>
                <w:sz w:val="24"/>
                <w:szCs w:val="24"/>
              </w:rPr>
              <w:t>本项目代理服务费按国家</w:t>
            </w:r>
            <w:r>
              <w:rPr>
                <w:rFonts w:hint="eastAsia" w:ascii="宋体" w:hAnsi="宋体" w:eastAsia="宋体" w:cs="宋体"/>
                <w:sz w:val="24"/>
                <w:szCs w:val="24"/>
                <w:lang w:eastAsia="zh-CN"/>
              </w:rPr>
              <w:t>计委</w:t>
            </w:r>
            <w:r>
              <w:rPr>
                <w:rFonts w:ascii="宋体" w:hAnsi="宋体" w:eastAsia="宋体" w:cs="宋体"/>
                <w:sz w:val="24"/>
                <w:szCs w:val="24"/>
              </w:rPr>
              <w:t>计价〔2002〕1980号文的收费标准的80%向中标供应商收取</w:t>
            </w:r>
            <w:r>
              <w:rPr>
                <w:rFonts w:hint="eastAsia" w:ascii="宋体" w:hAnsi="宋体" w:eastAsia="宋体" w:cs="宋体"/>
                <w:sz w:val="24"/>
                <w:szCs w:val="24"/>
                <w:lang w:eastAsia="zh-CN"/>
              </w:rPr>
              <w:t>，</w:t>
            </w:r>
            <w:r>
              <w:rPr>
                <w:rFonts w:ascii="宋体" w:hAnsi="宋体" w:eastAsia="宋体" w:cs="宋体"/>
                <w:sz w:val="24"/>
                <w:szCs w:val="24"/>
              </w:rPr>
              <w:t>不足8000元的按8000元收取。</w:t>
            </w:r>
            <w:bookmarkEnd w:id="33"/>
            <w:bookmarkEnd w:id="7"/>
          </w:p>
          <w:p>
            <w:pPr>
              <w:keepNext w:val="0"/>
              <w:keepLines w:val="0"/>
              <w:widowControl/>
              <w:suppressLineNumbers w:val="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2.收取方式：由代理机构向中标单位收取，中标单位在中标公告发布后5个工作日内支付至招标代理机构处。</w:t>
            </w:r>
          </w:p>
          <w:p>
            <w:pPr>
              <w:pStyle w:val="8"/>
              <w:ind w:left="0" w:leftChars="0" w:firstLine="0" w:firstLineChars="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浙江科信联合工程项目管理咨询有限公司台州分公司</w:t>
            </w:r>
          </w:p>
          <w:p>
            <w:pPr>
              <w:pStyle w:val="9"/>
              <w:ind w:left="0" w:leftChars="0" w:firstLine="0" w:firstLine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税号：91331081MA28G72U2T</w:t>
            </w:r>
          </w:p>
          <w:p>
            <w:pP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开户银行：上海浦东发展银行温岭支行</w:t>
            </w:r>
          </w:p>
          <w:p>
            <w:pPr>
              <w:pStyle w:val="8"/>
              <w:ind w:left="0" w:leftChars="0" w:firstLine="0" w:firstLineChars="0"/>
              <w:rPr>
                <w:rFonts w:hint="default" w:ascii="宋体" w:hAnsi="宋体" w:eastAsia="宋体" w:cs="宋体"/>
                <w:sz w:val="24"/>
                <w:szCs w:val="24"/>
                <w:lang w:val="en-US"/>
              </w:rPr>
            </w:pPr>
            <w:r>
              <w:rPr>
                <w:rFonts w:hint="eastAsia" w:ascii="宋体" w:hAnsi="宋体" w:eastAsia="宋体" w:cs="宋体"/>
                <w:sz w:val="24"/>
                <w:szCs w:val="24"/>
                <w:lang w:val="en-US" w:eastAsia="zh-CN" w:bidi="zh-CN"/>
              </w:rPr>
              <w:t>账号：94140078801700000053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99"/>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26</w:t>
            </w:r>
          </w:p>
        </w:tc>
        <w:tc>
          <w:tcPr>
            <w:tcW w:w="1716" w:type="dxa"/>
            <w:vAlign w:val="center"/>
          </w:tcPr>
          <w:p>
            <w:pPr>
              <w:pStyle w:val="19"/>
              <w:spacing w:before="99"/>
              <w:ind w:left="1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现场组织实施</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根据浙江省财政厅文件浙财采监〔2015〕13 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24"/>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27</w:t>
            </w:r>
          </w:p>
        </w:tc>
        <w:tc>
          <w:tcPr>
            <w:tcW w:w="1716" w:type="dxa"/>
            <w:vAlign w:val="center"/>
          </w:tcPr>
          <w:p>
            <w:pPr>
              <w:pStyle w:val="19"/>
              <w:spacing w:before="24"/>
              <w:ind w:left="15"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解释权</w:t>
            </w:r>
          </w:p>
        </w:tc>
        <w:tc>
          <w:tcPr>
            <w:tcW w:w="7224"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spacing w:before="10"/>
              <w:jc w:val="center"/>
              <w:rPr>
                <w:rFonts w:hint="eastAsia" w:ascii="宋体" w:hAnsi="宋体" w:eastAsia="宋体" w:cs="宋体"/>
                <w:sz w:val="24"/>
                <w:szCs w:val="24"/>
              </w:rPr>
            </w:pPr>
          </w:p>
          <w:p>
            <w:pPr>
              <w:pStyle w:val="19"/>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28</w:t>
            </w:r>
          </w:p>
        </w:tc>
        <w:tc>
          <w:tcPr>
            <w:tcW w:w="1716" w:type="dxa"/>
            <w:vAlign w:val="center"/>
          </w:tcPr>
          <w:p>
            <w:pPr>
              <w:pStyle w:val="19"/>
              <w:spacing w:before="10"/>
              <w:jc w:val="center"/>
              <w:rPr>
                <w:rFonts w:hint="eastAsia" w:ascii="宋体" w:hAnsi="宋体" w:eastAsia="宋体" w:cs="宋体"/>
                <w:sz w:val="24"/>
                <w:szCs w:val="24"/>
              </w:rPr>
            </w:pPr>
          </w:p>
          <w:p>
            <w:pPr>
              <w:pStyle w:val="19"/>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其他说明</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19"/>
              <w:jc w:val="center"/>
              <w:rPr>
                <w:rFonts w:hint="eastAsia" w:ascii="宋体" w:hAnsi="宋体" w:eastAsia="宋体" w:cs="宋体"/>
                <w:sz w:val="24"/>
                <w:szCs w:val="24"/>
              </w:rPr>
            </w:pPr>
          </w:p>
          <w:p>
            <w:pPr>
              <w:pStyle w:val="19"/>
              <w:spacing w:before="8"/>
              <w:jc w:val="center"/>
              <w:rPr>
                <w:rFonts w:hint="eastAsia" w:ascii="宋体" w:hAnsi="宋体" w:eastAsia="宋体" w:cs="宋体"/>
                <w:sz w:val="24"/>
                <w:szCs w:val="24"/>
              </w:rPr>
            </w:pPr>
          </w:p>
          <w:p>
            <w:pPr>
              <w:pStyle w:val="19"/>
              <w:spacing w:before="1"/>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29</w:t>
            </w:r>
          </w:p>
        </w:tc>
        <w:tc>
          <w:tcPr>
            <w:tcW w:w="1716" w:type="dxa"/>
            <w:vAlign w:val="center"/>
          </w:tcPr>
          <w:p>
            <w:pPr>
              <w:pStyle w:val="19"/>
              <w:jc w:val="center"/>
              <w:rPr>
                <w:rFonts w:hint="eastAsia" w:ascii="宋体" w:hAnsi="宋体" w:eastAsia="宋体" w:cs="宋体"/>
                <w:sz w:val="24"/>
                <w:szCs w:val="24"/>
              </w:rPr>
            </w:pPr>
          </w:p>
          <w:p>
            <w:pPr>
              <w:pStyle w:val="19"/>
              <w:spacing w:before="8"/>
              <w:jc w:val="center"/>
              <w:rPr>
                <w:rFonts w:hint="eastAsia" w:ascii="宋体" w:hAnsi="宋体" w:eastAsia="宋体" w:cs="宋体"/>
                <w:sz w:val="24"/>
                <w:szCs w:val="24"/>
              </w:rPr>
            </w:pPr>
          </w:p>
          <w:p>
            <w:pPr>
              <w:pStyle w:val="19"/>
              <w:spacing w:before="1"/>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注意事项</w:t>
            </w:r>
          </w:p>
        </w:tc>
        <w:tc>
          <w:tcPr>
            <w:tcW w:w="7224" w:type="dxa"/>
            <w:vAlign w:val="top"/>
          </w:tcPr>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投标人应严格按照招标文件及补充文件的规定和要求编制投标文件。在编制投标文过  程中,应严格遵循实事求是、诚信投标的原则,如有偏离,应如实填写响应偏离。如果发现本招标文件中存在歧视性不公正条款或违法违规等内容时,请投标人在获取招标文件后,在采购文件的质疑有效期内及时书面提出。</w:t>
            </w:r>
          </w:p>
          <w:p>
            <w:pPr>
              <w:pStyle w:val="19"/>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采购结果公告期间,投标人不得通过非正当途径获取法律法规规定评标委员会(包括其他相关人员)应当保密的相关内容。</w:t>
            </w:r>
          </w:p>
        </w:tc>
      </w:tr>
    </w:tbl>
    <w:p>
      <w:pPr>
        <w:pStyle w:val="8"/>
        <w:sectPr>
          <w:pgSz w:w="11906" w:h="16838"/>
          <w:pgMar w:top="1440" w:right="1800" w:bottom="1440" w:left="1800" w:header="851" w:footer="992" w:gutter="0"/>
          <w:cols w:space="425" w:num="1"/>
          <w:docGrid w:type="lines" w:linePitch="312" w:charSpace="0"/>
        </w:sectPr>
      </w:pPr>
    </w:p>
    <w:p>
      <w:pPr>
        <w:pStyle w:val="7"/>
        <w:numPr>
          <w:ilvl w:val="0"/>
          <w:numId w:val="1"/>
        </w:numPr>
        <w:spacing w:line="346" w:lineRule="exact"/>
        <w:ind w:left="1132"/>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总则</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482" w:firstLineChars="200"/>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eastAsia="zh-CN"/>
        </w:rPr>
        <w:t>（一）适用范围</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本采购文件适用于本次项目的招标、投标、评标、定标、验收、合同履约、付款等行为（法律、法规另有规定的，从其规定）。</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2" w:firstLineChars="200"/>
        <w:textAlignment w:val="auto"/>
        <w:rPr>
          <w:rFonts w:hint="eastAsia" w:ascii="宋体" w:hAnsi="宋体" w:eastAsia="宋体" w:cs="宋体"/>
          <w:b/>
          <w:bCs/>
          <w:spacing w:val="0"/>
          <w:sz w:val="24"/>
          <w:szCs w:val="24"/>
          <w:lang w:val="zh-CN" w:eastAsia="zh-CN" w:bidi="zh-CN"/>
        </w:rPr>
      </w:pPr>
      <w:bookmarkStart w:id="8" w:name="（二）定义"/>
      <w:bookmarkEnd w:id="8"/>
      <w:r>
        <w:rPr>
          <w:rFonts w:hint="eastAsia" w:ascii="宋体" w:hAnsi="宋体" w:eastAsia="宋体" w:cs="宋体"/>
          <w:b/>
          <w:bCs/>
          <w:spacing w:val="0"/>
          <w:sz w:val="24"/>
          <w:szCs w:val="24"/>
        </w:rPr>
        <w:t>（</w:t>
      </w:r>
      <w:r>
        <w:rPr>
          <w:rFonts w:hint="eastAsia" w:ascii="宋体" w:hAnsi="宋体" w:eastAsia="宋体" w:cs="宋体"/>
          <w:b/>
          <w:bCs/>
          <w:spacing w:val="0"/>
          <w:sz w:val="24"/>
          <w:szCs w:val="24"/>
          <w:lang w:val="zh-CN" w:eastAsia="zh-CN" w:bidi="zh-CN"/>
        </w:rPr>
        <w:t>二）定义</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1、采购代理机构：是指受采购人委托，在委托的范围内办理政府采购事宜的机构。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2、采购人：是指依法进行政府采购的国家机关、事业单位和团体组织。</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3、供应商：是指参加本政府采购项目投标的供应商。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4、货物：是指各种形态和种类的物品，包括原材料、燃料、设备、产品等。</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5、服务：是指除货物和工程以外的其他政府采购对象，包括各类专业服务、信息网络开发服务、金融保险服务、运输服务，以及维修与维护服务等。</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6、“书面形式”包括信函、传真等。</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7、“▲”系指实质性要求条款。</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2" w:firstLineChars="200"/>
        <w:textAlignment w:val="auto"/>
        <w:rPr>
          <w:rFonts w:hint="eastAsia" w:ascii="宋体" w:hAnsi="宋体" w:eastAsia="宋体" w:cs="宋体"/>
          <w:b/>
          <w:bCs/>
          <w:spacing w:val="0"/>
          <w:sz w:val="24"/>
          <w:szCs w:val="24"/>
        </w:rPr>
      </w:pPr>
      <w:bookmarkStart w:id="9" w:name="（三）投标费用"/>
      <w:bookmarkEnd w:id="9"/>
      <w:r>
        <w:rPr>
          <w:rFonts w:hint="eastAsia" w:ascii="宋体" w:hAnsi="宋体" w:eastAsia="宋体" w:cs="宋体"/>
          <w:b/>
          <w:bCs/>
          <w:spacing w:val="0"/>
          <w:sz w:val="24"/>
          <w:szCs w:val="24"/>
        </w:rPr>
        <w:t>（三）投标费用</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不论投标结果如何，供应商均应自行承担所有与投标有关的全部费用（采购文件有相关规定除外）。</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2" w:firstLineChars="200"/>
        <w:textAlignment w:val="auto"/>
        <w:rPr>
          <w:rFonts w:hint="eastAsia" w:ascii="宋体" w:hAnsi="宋体" w:eastAsia="宋体" w:cs="宋体"/>
          <w:b/>
          <w:bCs/>
          <w:spacing w:val="0"/>
          <w:sz w:val="24"/>
          <w:szCs w:val="24"/>
        </w:rPr>
      </w:pPr>
      <w:bookmarkStart w:id="10" w:name="（四）特别说明"/>
      <w:bookmarkEnd w:id="10"/>
      <w:r>
        <w:rPr>
          <w:rFonts w:hint="eastAsia" w:ascii="宋体" w:hAnsi="宋体" w:eastAsia="宋体" w:cs="宋体"/>
          <w:b/>
          <w:bCs/>
          <w:spacing w:val="0"/>
          <w:sz w:val="24"/>
          <w:szCs w:val="24"/>
        </w:rPr>
        <w:t>（四）特别说明</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1、供应商投标所使用的资格、信誉、荣誉、业绩与企业认证必须为本法人所拥有。供应商投标所使用的采购项目实施人员必须为本法人员工（指本法人或控股公司正式员工）。</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2、投标供应商所投产品除采购文件中明确规定要求“提供官网截图或相应检测报告的证明材料”以外，所有技术参数描述均以</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响应文件为准，投标供应商需在</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响应文件技术参数与招标需求存在重大偏离、错误、甚至造假的情况， 应提供具体有效的证明材料。</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 构成犯罪的，依法追究刑事责任。</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4、供应商不得相互串通投标报价，不得妨碍其他供应商的公平竞争，不得损害采购人或其他供应商的合法权益，供应商不得以向采购人、评标委员会成员行贿或者采取其他不正当手段谋取中标。</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响应文件格式中的表格式样可以根据项目差别做适当调整,但应当保持表格样式基本形态不变。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480" w:firstLineChars="200"/>
        <w:textAlignment w:val="auto"/>
        <w:rPr>
          <w:rFonts w:hint="eastAsia" w:ascii="宋体" w:hAnsi="宋体" w:eastAsia="宋体" w:cs="宋体"/>
          <w:spacing w:val="0"/>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0"/>
          <w:sz w:val="24"/>
          <w:szCs w:val="24"/>
        </w:rPr>
        <w:t>6、本项目不允许分包</w:t>
      </w:r>
      <w:r>
        <w:rPr>
          <w:rFonts w:hint="eastAsia" w:ascii="宋体" w:hAnsi="宋体" w:eastAsia="宋体" w:cs="宋体"/>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b/>
          <w:sz w:val="28"/>
        </w:rPr>
      </w:pPr>
      <w:r>
        <w:rPr>
          <w:b/>
          <w:sz w:val="28"/>
        </w:rPr>
        <w:t>二、采购文件</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rPr>
      </w:pPr>
      <w:r>
        <w:rPr>
          <w:rFonts w:hint="eastAsia" w:ascii="宋体" w:hAnsi="宋体" w:eastAsia="宋体" w:cs="宋体"/>
          <w:spacing w:val="0"/>
          <w:sz w:val="24"/>
        </w:rPr>
        <w:t>（一）采购文件由采购文件总目录所列内容组成。</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rPr>
      </w:pPr>
      <w:r>
        <w:rPr>
          <w:rFonts w:hint="eastAsia" w:ascii="宋体" w:hAnsi="宋体" w:eastAsia="宋体" w:cs="宋体"/>
          <w:spacing w:val="0"/>
          <w:sz w:val="24"/>
        </w:rPr>
        <w:t>（二）采购文件的澄清或修改</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rPr>
        <w:t>1、采购人或采购代理机构可以对已发出的采购文件进行必要的澄清或者修改,但不得改变采购标的和资格条件。澄清或者修改应当在原公告发布媒体上发布澄清公告。澄清或者修改的内容为采购文件的组成部分。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rPr>
        <w:t>2、澄清或者修改的内容可能影响</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响应文件编制的，采购人或者采购代理机构应当在投标截止时间至少15日前，以书面形式通知所有获取采购文件的潜在供应商；不足15日的，采购人或者采购代理机构应当顺延提交</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响应文件的截止时间。</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spacing w:val="0"/>
          <w:sz w:val="24"/>
        </w:rPr>
      </w:pPr>
      <w:r>
        <w:rPr>
          <w:rFonts w:hint="eastAsia" w:ascii="宋体" w:hAnsi="宋体" w:eastAsia="宋体" w:cs="宋体"/>
          <w:spacing w:val="0"/>
          <w:sz w:val="24"/>
        </w:rPr>
        <w:t>3、供应商在规定的时间内未对采购文件提出疑问、质疑或要求澄清的，将视其为无异议。对采购文件中描述有歧义或前后不一致的地方，评标委员会有权进行评判，但对同一条款的评判应适用于每个供应商。</w:t>
      </w:r>
    </w:p>
    <w:p>
      <w:pPr>
        <w:pStyle w:val="8"/>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b/>
          <w:sz w:val="28"/>
        </w:rPr>
      </w:pPr>
      <w:r>
        <w:rPr>
          <w:b/>
          <w:sz w:val="28"/>
        </w:rPr>
        <w:t>三、</w:t>
      </w:r>
      <w:r>
        <w:rPr>
          <w:rFonts w:hint="eastAsia"/>
          <w:b/>
          <w:sz w:val="28"/>
          <w:lang w:eastAsia="zh-CN"/>
        </w:rPr>
        <w:t>投标</w:t>
      </w:r>
      <w:r>
        <w:rPr>
          <w:b/>
          <w:sz w:val="28"/>
        </w:rPr>
        <w:t>响应文件</w:t>
      </w:r>
    </w:p>
    <w:p>
      <w:pPr>
        <w:pStyle w:val="9"/>
        <w:keepNext w:val="0"/>
        <w:keepLines w:val="0"/>
        <w:pageBreakBefore w:val="0"/>
        <w:widowControl w:val="0"/>
        <w:kinsoku/>
        <w:wordWrap/>
        <w:overflowPunct/>
        <w:topLinePunct w:val="0"/>
        <w:autoSpaceDE w:val="0"/>
        <w:autoSpaceDN w:val="0"/>
        <w:bidi w:val="0"/>
        <w:adjustRightInd/>
        <w:snapToGrid/>
        <w:spacing w:line="340" w:lineRule="exact"/>
        <w:ind w:left="0" w:leftChars="0" w:firstLine="482" w:firstLineChars="200"/>
        <w:textAlignment w:val="auto"/>
        <w:rPr>
          <w:rFonts w:hint="eastAsia" w:ascii="宋体" w:hAnsi="宋体" w:eastAsia="宋体" w:cs="宋体"/>
          <w:b/>
          <w:bCs/>
          <w:spacing w:val="0"/>
          <w:sz w:val="24"/>
          <w:szCs w:val="24"/>
          <w:lang w:val="zh-CN" w:eastAsia="zh-CN" w:bidi="zh-CN"/>
        </w:rPr>
      </w:pPr>
      <w:r>
        <w:rPr>
          <w:rFonts w:hint="eastAsia" w:ascii="宋体" w:hAnsi="宋体" w:eastAsia="宋体" w:cs="宋体"/>
          <w:b/>
          <w:bCs/>
          <w:spacing w:val="0"/>
          <w:sz w:val="24"/>
          <w:szCs w:val="24"/>
          <w:lang w:val="zh-CN" w:eastAsia="zh-CN" w:bidi="zh-CN"/>
        </w:rPr>
        <w:t>（一）投标响应文件的组成</w:t>
      </w:r>
    </w:p>
    <w:p>
      <w:pPr>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供应商获取采购文件后，按照采购文件的要求提供：资格证明文件、商务技术文件和报</w:t>
      </w:r>
      <w:bookmarkStart w:id="11" w:name="价文件。以下为应包含的内容："/>
      <w:bookmarkEnd w:id="11"/>
      <w:r>
        <w:rPr>
          <w:rFonts w:hint="eastAsia" w:ascii="宋体" w:hAnsi="宋体" w:eastAsia="宋体" w:cs="宋体"/>
          <w:spacing w:val="0"/>
          <w:sz w:val="24"/>
          <w:szCs w:val="24"/>
          <w:lang w:val="zh-CN" w:eastAsia="zh-CN" w:bidi="zh-CN"/>
        </w:rPr>
        <w:t>价文件。</w:t>
      </w:r>
    </w:p>
    <w:p>
      <w:pPr>
        <w:pStyle w:val="8"/>
        <w:numPr>
          <w:ilvl w:val="0"/>
          <w:numId w:val="0"/>
        </w:numPr>
        <w:ind w:leftChars="100" w:right="0" w:rightChars="0"/>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资格证明文件的组成：</w:t>
      </w:r>
    </w:p>
    <w:tbl>
      <w:tblPr>
        <w:tblStyle w:val="16"/>
        <w:tblW w:w="9852"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216"/>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w w:val="100"/>
                <w:sz w:val="24"/>
                <w:szCs w:val="24"/>
                <w:lang w:val="zh-CN" w:eastAsia="zh-CN" w:bidi="zh-CN"/>
              </w:rPr>
            </w:pPr>
            <w:r>
              <w:rPr>
                <w:rFonts w:hint="eastAsia" w:ascii="宋体" w:hAnsi="宋体" w:eastAsia="宋体" w:cs="宋体"/>
                <w:w w:val="100"/>
                <w:sz w:val="24"/>
                <w:szCs w:val="24"/>
                <w:lang w:val="zh-CN" w:eastAsia="zh-CN" w:bidi="zh-CN"/>
              </w:rPr>
              <w:t>序号</w:t>
            </w:r>
          </w:p>
        </w:tc>
        <w:tc>
          <w:tcPr>
            <w:tcW w:w="6216" w:type="dxa"/>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w w:val="100"/>
                <w:sz w:val="24"/>
                <w:szCs w:val="24"/>
                <w:lang w:val="zh-CN" w:eastAsia="zh-CN" w:bidi="zh-CN"/>
              </w:rPr>
            </w:pPr>
            <w:r>
              <w:rPr>
                <w:rFonts w:hint="eastAsia" w:ascii="宋体" w:hAnsi="宋体" w:eastAsia="宋体" w:cs="宋体"/>
                <w:w w:val="100"/>
                <w:sz w:val="24"/>
                <w:szCs w:val="24"/>
                <w:lang w:val="zh-CN" w:eastAsia="zh-CN" w:bidi="zh-CN"/>
              </w:rPr>
              <w:t>内容</w:t>
            </w:r>
          </w:p>
        </w:tc>
        <w:tc>
          <w:tcPr>
            <w:tcW w:w="2916" w:type="dxa"/>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w w:val="100"/>
                <w:sz w:val="24"/>
                <w:szCs w:val="24"/>
                <w:lang w:val="zh-CN" w:eastAsia="zh-CN" w:bidi="zh-CN"/>
              </w:rPr>
            </w:pPr>
            <w:r>
              <w:rPr>
                <w:rFonts w:hint="eastAsia" w:ascii="宋体" w:hAnsi="宋体" w:eastAsia="宋体" w:cs="宋体"/>
                <w:w w:val="100"/>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w w:val="100"/>
                <w:sz w:val="24"/>
                <w:szCs w:val="24"/>
              </w:rPr>
              <w:t>1</w:t>
            </w:r>
          </w:p>
        </w:tc>
        <w:tc>
          <w:tcPr>
            <w:tcW w:w="62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封面</w:t>
            </w:r>
          </w:p>
        </w:tc>
        <w:tc>
          <w:tcPr>
            <w:tcW w:w="29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w w:val="100"/>
                <w:sz w:val="24"/>
                <w:szCs w:val="24"/>
              </w:rPr>
              <w:t>2</w:t>
            </w:r>
          </w:p>
        </w:tc>
        <w:tc>
          <w:tcPr>
            <w:tcW w:w="62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目录</w:t>
            </w:r>
          </w:p>
        </w:tc>
        <w:tc>
          <w:tcPr>
            <w:tcW w:w="29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3</w:t>
            </w:r>
          </w:p>
        </w:tc>
        <w:tc>
          <w:tcPr>
            <w:tcW w:w="62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投标声明书</w:t>
            </w:r>
          </w:p>
        </w:tc>
        <w:tc>
          <w:tcPr>
            <w:tcW w:w="29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4</w:t>
            </w:r>
          </w:p>
        </w:tc>
        <w:tc>
          <w:tcPr>
            <w:tcW w:w="62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授权委托书</w:t>
            </w:r>
          </w:p>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（附上法定代表人及代理人的身份证正反面复印件）</w:t>
            </w:r>
          </w:p>
        </w:tc>
        <w:tc>
          <w:tcPr>
            <w:tcW w:w="29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如授权委托代理人的则需提供该项，格式附后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5</w:t>
            </w:r>
          </w:p>
        </w:tc>
        <w:tc>
          <w:tcPr>
            <w:tcW w:w="62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法人或者其他组织的营业执照等复印件</w:t>
            </w:r>
          </w:p>
        </w:tc>
        <w:tc>
          <w:tcPr>
            <w:tcW w:w="29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6</w:t>
            </w:r>
          </w:p>
        </w:tc>
        <w:tc>
          <w:tcPr>
            <w:tcW w:w="62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财务状况报告，依法缴纳税收和社会保障资金的相关材料</w:t>
            </w:r>
          </w:p>
        </w:tc>
        <w:tc>
          <w:tcPr>
            <w:tcW w:w="29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7</w:t>
            </w:r>
          </w:p>
        </w:tc>
        <w:tc>
          <w:tcPr>
            <w:tcW w:w="62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具备履行合同所必需的设备和专业技术能力的证明材料(根据项目性质提供，该项内容不得写“无”)</w:t>
            </w:r>
          </w:p>
        </w:tc>
        <w:tc>
          <w:tcPr>
            <w:tcW w:w="29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default" w:ascii="宋体" w:hAnsi="宋体" w:eastAsia="宋体" w:cs="宋体"/>
                <w:b/>
                <w:sz w:val="24"/>
                <w:szCs w:val="24"/>
                <w:lang w:val="en-US" w:eastAsia="zh-CN"/>
              </w:rPr>
            </w:pPr>
            <w:r>
              <w:rPr>
                <w:rFonts w:hint="eastAsia" w:ascii="宋体" w:hAnsi="宋体" w:eastAsia="宋体" w:cs="宋体"/>
                <w:w w:val="100"/>
                <w:sz w:val="24"/>
                <w:szCs w:val="24"/>
                <w:lang w:val="en-US" w:eastAsia="zh-CN"/>
              </w:rPr>
              <w:t>8</w:t>
            </w:r>
          </w:p>
        </w:tc>
        <w:tc>
          <w:tcPr>
            <w:tcW w:w="62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ascii="宋体" w:hAnsi="宋体" w:eastAsia="宋体" w:cs="宋体"/>
                <w:sz w:val="24"/>
                <w:szCs w:val="24"/>
              </w:rPr>
            </w:pPr>
            <w:r>
              <w:rPr>
                <w:rFonts w:ascii="宋体" w:hAnsi="宋体" w:eastAsia="宋体" w:cs="宋体"/>
                <w:sz w:val="24"/>
                <w:szCs w:val="24"/>
              </w:rPr>
              <w:t xml:space="preserve">中小企业声明函（若属于中小企业） </w:t>
            </w:r>
          </w:p>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ascii="宋体" w:hAnsi="宋体" w:eastAsia="宋体" w:cs="宋体"/>
                <w:sz w:val="24"/>
                <w:szCs w:val="24"/>
              </w:rPr>
            </w:pPr>
            <w:r>
              <w:rPr>
                <w:rFonts w:ascii="宋体" w:hAnsi="宋体" w:eastAsia="宋体" w:cs="宋体"/>
                <w:sz w:val="24"/>
                <w:szCs w:val="24"/>
              </w:rPr>
              <w:t xml:space="preserve">残疾人福利性单位声明函（若属于残疾人福利性单位） </w:t>
            </w:r>
          </w:p>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rPr>
            </w:pPr>
            <w:r>
              <w:rPr>
                <w:rFonts w:ascii="宋体" w:hAnsi="宋体" w:eastAsia="宋体" w:cs="宋体"/>
                <w:sz w:val="24"/>
                <w:szCs w:val="24"/>
              </w:rPr>
              <w:t>省级以上监狱管理局、戒毒管理局（含新疆生产建设兵团）开具的属于监狱企业的证明文件（若属于监狱企业）</w:t>
            </w:r>
          </w:p>
        </w:tc>
        <w:tc>
          <w:tcPr>
            <w:tcW w:w="29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left"/>
              <w:textAlignment w:val="auto"/>
              <w:rPr>
                <w:rFonts w:hint="eastAsia" w:ascii="宋体" w:hAnsi="宋体" w:eastAsia="宋体" w:cs="宋体"/>
                <w:sz w:val="24"/>
                <w:szCs w:val="24"/>
              </w:rPr>
            </w:pPr>
            <w:r>
              <w:rPr>
                <w:rFonts w:ascii="宋体" w:hAnsi="宋体" w:eastAsia="宋体" w:cs="宋体"/>
                <w:sz w:val="24"/>
                <w:szCs w:val="24"/>
              </w:rPr>
              <w:t>声明函格式附后；投标人若属于监狱企业的，根据《财政部司法部关于政府采购支持监狱企业发展有 关问题的通知》（财库【2014】 68 号）的规定,格式自拟。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w w:val="100"/>
                <w:sz w:val="24"/>
                <w:szCs w:val="24"/>
                <w:lang w:val="en-US" w:eastAsia="zh-CN"/>
              </w:rPr>
              <w:t>9</w:t>
            </w:r>
          </w:p>
        </w:tc>
        <w:tc>
          <w:tcPr>
            <w:tcW w:w="62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供应商认为需要提供的其它文件和资料</w:t>
            </w:r>
          </w:p>
        </w:tc>
        <w:tc>
          <w:tcPr>
            <w:tcW w:w="291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内容自拟（可选择性提供）</w:t>
            </w:r>
          </w:p>
        </w:tc>
      </w:tr>
    </w:tbl>
    <w:p>
      <w:pPr>
        <w:pStyle w:val="9"/>
        <w:numPr>
          <w:ilvl w:val="0"/>
          <w:numId w:val="0"/>
        </w:numPr>
        <w:ind w:leftChars="100" w:right="0" w:rightChars="0"/>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2、</w:t>
      </w:r>
      <w:r>
        <w:rPr>
          <w:rFonts w:hint="eastAsia" w:ascii="宋体" w:hAnsi="宋体" w:eastAsia="宋体" w:cs="宋体"/>
          <w:spacing w:val="0"/>
          <w:sz w:val="24"/>
          <w:szCs w:val="24"/>
          <w:lang w:val="zh-CN" w:eastAsia="zh-CN" w:bidi="zh-CN"/>
        </w:rPr>
        <w:t>商务技术文件的组成：</w:t>
      </w:r>
    </w:p>
    <w:tbl>
      <w:tblPr>
        <w:tblStyle w:val="16"/>
        <w:tblW w:w="9840"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28"/>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序号</w:t>
            </w:r>
          </w:p>
        </w:tc>
        <w:tc>
          <w:tcPr>
            <w:tcW w:w="6228" w:type="dxa"/>
            <w:vAlign w:val="top"/>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内容</w:t>
            </w:r>
          </w:p>
        </w:tc>
        <w:tc>
          <w:tcPr>
            <w:tcW w:w="2916" w:type="dxa"/>
            <w:vAlign w:val="top"/>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1</w:t>
            </w:r>
          </w:p>
        </w:tc>
        <w:tc>
          <w:tcPr>
            <w:tcW w:w="6228" w:type="dxa"/>
            <w:vAlign w:val="center"/>
          </w:tcPr>
          <w:p>
            <w:pPr>
              <w:pStyle w:val="19"/>
              <w:spacing w:before="17" w:line="387" w:lineRule="exact"/>
              <w:ind w:left="110"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封面</w:t>
            </w:r>
          </w:p>
        </w:tc>
        <w:tc>
          <w:tcPr>
            <w:tcW w:w="2916" w:type="dxa"/>
            <w:vAlign w:val="center"/>
          </w:tcPr>
          <w:p>
            <w:pPr>
              <w:pStyle w:val="19"/>
              <w:spacing w:before="17" w:line="387" w:lineRule="exact"/>
              <w:ind w:left="112"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2</w:t>
            </w:r>
          </w:p>
        </w:tc>
        <w:tc>
          <w:tcPr>
            <w:tcW w:w="6228" w:type="dxa"/>
            <w:vAlign w:val="center"/>
          </w:tcPr>
          <w:p>
            <w:pPr>
              <w:pStyle w:val="19"/>
              <w:spacing w:before="18" w:line="386" w:lineRule="exact"/>
              <w:ind w:left="110"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目录</w:t>
            </w:r>
          </w:p>
        </w:tc>
        <w:tc>
          <w:tcPr>
            <w:tcW w:w="2916" w:type="dxa"/>
            <w:vAlign w:val="center"/>
          </w:tcPr>
          <w:p>
            <w:pPr>
              <w:pStyle w:val="19"/>
              <w:spacing w:before="18" w:line="386" w:lineRule="exact"/>
              <w:ind w:left="112"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3</w:t>
            </w:r>
          </w:p>
        </w:tc>
        <w:tc>
          <w:tcPr>
            <w:tcW w:w="6228" w:type="dxa"/>
            <w:vAlign w:val="center"/>
          </w:tcPr>
          <w:p>
            <w:pPr>
              <w:pStyle w:val="19"/>
              <w:spacing w:before="20" w:line="383" w:lineRule="exact"/>
              <w:ind w:left="110"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供应商基本情况表</w:t>
            </w:r>
          </w:p>
        </w:tc>
        <w:tc>
          <w:tcPr>
            <w:tcW w:w="2916" w:type="dxa"/>
            <w:vAlign w:val="center"/>
          </w:tcPr>
          <w:p>
            <w:pPr>
              <w:pStyle w:val="19"/>
              <w:spacing w:before="20" w:line="383" w:lineRule="exact"/>
              <w:ind w:left="112"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4</w:t>
            </w:r>
          </w:p>
        </w:tc>
        <w:tc>
          <w:tcPr>
            <w:tcW w:w="6228" w:type="dxa"/>
            <w:vAlign w:val="center"/>
          </w:tcPr>
          <w:p>
            <w:pPr>
              <w:pStyle w:val="19"/>
              <w:spacing w:before="18" w:line="387"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项目实施人员一览表</w:t>
            </w:r>
          </w:p>
        </w:tc>
        <w:tc>
          <w:tcPr>
            <w:tcW w:w="2916" w:type="dxa"/>
            <w:vAlign w:val="center"/>
          </w:tcPr>
          <w:p>
            <w:pPr>
              <w:pStyle w:val="19"/>
              <w:spacing w:before="18" w:line="387"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before="37" w:line="369"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5</w:t>
            </w:r>
          </w:p>
        </w:tc>
        <w:tc>
          <w:tcPr>
            <w:tcW w:w="6228" w:type="dxa"/>
            <w:vAlign w:val="center"/>
          </w:tcPr>
          <w:p>
            <w:pPr>
              <w:pStyle w:val="19"/>
              <w:spacing w:before="18" w:line="388"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项目负责人资格情况表</w:t>
            </w:r>
          </w:p>
        </w:tc>
        <w:tc>
          <w:tcPr>
            <w:tcW w:w="2916" w:type="dxa"/>
            <w:vAlign w:val="center"/>
          </w:tcPr>
          <w:p>
            <w:pPr>
              <w:pStyle w:val="19"/>
              <w:spacing w:before="18" w:line="388"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before="38" w:line="367"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6</w:t>
            </w:r>
          </w:p>
        </w:tc>
        <w:tc>
          <w:tcPr>
            <w:tcW w:w="6228" w:type="dxa"/>
            <w:vAlign w:val="center"/>
          </w:tcPr>
          <w:p>
            <w:pPr>
              <w:pStyle w:val="19"/>
              <w:spacing w:before="18" w:line="386"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技术、商务偏离表</w:t>
            </w:r>
          </w:p>
        </w:tc>
        <w:tc>
          <w:tcPr>
            <w:tcW w:w="2916" w:type="dxa"/>
            <w:vAlign w:val="center"/>
          </w:tcPr>
          <w:p>
            <w:pPr>
              <w:pStyle w:val="19"/>
              <w:spacing w:before="18" w:line="386"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line="351"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7</w:t>
            </w:r>
          </w:p>
        </w:tc>
        <w:tc>
          <w:tcPr>
            <w:tcW w:w="6228" w:type="dxa"/>
            <w:vAlign w:val="center"/>
          </w:tcPr>
          <w:p>
            <w:pPr>
              <w:pStyle w:val="19"/>
              <w:spacing w:line="351"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服务承诺、实施方案等详细内容</w:t>
            </w:r>
          </w:p>
        </w:tc>
        <w:tc>
          <w:tcPr>
            <w:tcW w:w="2916" w:type="dxa"/>
            <w:vAlign w:val="center"/>
          </w:tcPr>
          <w:p>
            <w:pPr>
              <w:pStyle w:val="19"/>
              <w:spacing w:line="351"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before="50" w:line="348"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8</w:t>
            </w:r>
          </w:p>
        </w:tc>
        <w:tc>
          <w:tcPr>
            <w:tcW w:w="6228" w:type="dxa"/>
            <w:vAlign w:val="center"/>
          </w:tcPr>
          <w:p>
            <w:pPr>
              <w:pStyle w:val="19"/>
              <w:spacing w:before="18" w:line="379"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投标人认为需要提供的其它文件和资料</w:t>
            </w:r>
          </w:p>
        </w:tc>
        <w:tc>
          <w:tcPr>
            <w:tcW w:w="2916" w:type="dxa"/>
            <w:vAlign w:val="center"/>
          </w:tcPr>
          <w:p>
            <w:pPr>
              <w:pStyle w:val="19"/>
              <w:spacing w:before="18" w:line="379" w:lineRule="exact"/>
              <w:ind w:right="0" w:right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内容自拟（可选择性提供）</w:t>
            </w:r>
          </w:p>
        </w:tc>
      </w:tr>
    </w:tbl>
    <w:p>
      <w:pPr>
        <w:numPr>
          <w:ilvl w:val="0"/>
          <w:numId w:val="2"/>
        </w:numPr>
        <w:ind w:leftChars="100" w:right="0" w:rightChars="0"/>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报价文件的组成：</w:t>
      </w:r>
    </w:p>
    <w:tbl>
      <w:tblPr>
        <w:tblStyle w:val="16"/>
        <w:tblW w:w="9876"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524"/>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序号</w:t>
            </w:r>
          </w:p>
        </w:tc>
        <w:tc>
          <w:tcPr>
            <w:tcW w:w="4524" w:type="dxa"/>
            <w:vAlign w:val="top"/>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内容</w:t>
            </w:r>
          </w:p>
        </w:tc>
        <w:tc>
          <w:tcPr>
            <w:tcW w:w="4656" w:type="dxa"/>
            <w:vAlign w:val="top"/>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line="30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1</w:t>
            </w:r>
          </w:p>
        </w:tc>
        <w:tc>
          <w:tcPr>
            <w:tcW w:w="452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封面</w:t>
            </w:r>
          </w:p>
        </w:tc>
        <w:tc>
          <w:tcPr>
            <w:tcW w:w="4656"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line="32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2</w:t>
            </w:r>
          </w:p>
        </w:tc>
        <w:tc>
          <w:tcPr>
            <w:tcW w:w="452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目录</w:t>
            </w:r>
          </w:p>
        </w:tc>
        <w:tc>
          <w:tcPr>
            <w:tcW w:w="4656"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line="30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3</w:t>
            </w:r>
          </w:p>
        </w:tc>
        <w:tc>
          <w:tcPr>
            <w:tcW w:w="452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响应函</w:t>
            </w:r>
          </w:p>
        </w:tc>
        <w:tc>
          <w:tcPr>
            <w:tcW w:w="4656"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line="30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4</w:t>
            </w:r>
          </w:p>
        </w:tc>
        <w:tc>
          <w:tcPr>
            <w:tcW w:w="452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报价一览表</w:t>
            </w:r>
          </w:p>
        </w:tc>
        <w:tc>
          <w:tcPr>
            <w:tcW w:w="4656"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9"/>
              <w:spacing w:line="32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lang w:val="en-US" w:eastAsia="zh-CN"/>
              </w:rPr>
              <w:t>5</w:t>
            </w:r>
          </w:p>
        </w:tc>
        <w:tc>
          <w:tcPr>
            <w:tcW w:w="452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投标人认为需要提供的其它文件和资料</w:t>
            </w:r>
          </w:p>
        </w:tc>
        <w:tc>
          <w:tcPr>
            <w:tcW w:w="4656"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内容自拟（可选择性提供）</w:t>
            </w:r>
          </w:p>
        </w:tc>
      </w:tr>
    </w:tbl>
    <w:p>
      <w:pPr>
        <w:pStyle w:val="7"/>
        <w:keepNext w:val="0"/>
        <w:keepLines w:val="0"/>
        <w:pageBreakBefore w:val="0"/>
        <w:widowControl w:val="0"/>
        <w:numPr>
          <w:ilvl w:val="0"/>
          <w:numId w:val="3"/>
        </w:numPr>
        <w:kinsoku/>
        <w:wordWrap/>
        <w:overflowPunct/>
        <w:topLinePunct w:val="0"/>
        <w:autoSpaceDE w:val="0"/>
        <w:autoSpaceDN w:val="0"/>
        <w:bidi w:val="0"/>
        <w:adjustRightInd/>
        <w:snapToGrid/>
        <w:spacing w:line="340" w:lineRule="exact"/>
        <w:ind w:left="0" w:leftChars="0" w:right="0" w:firstLine="482" w:firstLineChars="200"/>
        <w:textAlignment w:val="auto"/>
        <w:rPr>
          <w:rFonts w:hint="eastAsia" w:ascii="宋体" w:hAnsi="宋体" w:eastAsia="宋体" w:cs="宋体"/>
          <w:b/>
          <w:bCs/>
        </w:rPr>
      </w:pPr>
      <w:r>
        <w:rPr>
          <w:rFonts w:hint="eastAsia" w:ascii="宋体" w:hAnsi="宋体" w:eastAsia="宋体" w:cs="宋体"/>
          <w:b/>
          <w:bCs/>
          <w:lang w:eastAsia="zh-CN"/>
        </w:rPr>
        <w:t>投标</w:t>
      </w:r>
      <w:r>
        <w:rPr>
          <w:rFonts w:hint="eastAsia" w:ascii="宋体" w:hAnsi="宋体" w:eastAsia="宋体" w:cs="宋体"/>
          <w:b/>
          <w:bCs/>
        </w:rPr>
        <w:t>响应文件的制作、封装及递交要求</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leftChars="0" w:right="0" w:rightChars="0" w:firstLine="482" w:firstLineChars="200"/>
        <w:textAlignment w:val="auto"/>
        <w:rPr>
          <w:rFonts w:hint="eastAsia" w:ascii="宋体" w:hAnsi="宋体" w:eastAsia="宋体" w:cs="宋体"/>
          <w:b/>
          <w:bCs/>
          <w:spacing w:val="0"/>
        </w:rPr>
      </w:pPr>
      <w:r>
        <w:rPr>
          <w:rFonts w:hint="eastAsia" w:ascii="宋体" w:hAnsi="宋体" w:eastAsia="宋体" w:cs="宋体"/>
          <w:b/>
          <w:bCs/>
          <w:spacing w:val="0"/>
        </w:rPr>
        <w:t>1、</w:t>
      </w:r>
      <w:r>
        <w:rPr>
          <w:rFonts w:hint="eastAsia" w:ascii="宋体" w:hAnsi="宋体" w:eastAsia="宋体" w:cs="宋体"/>
          <w:b/>
          <w:bCs/>
          <w:spacing w:val="0"/>
          <w:lang w:eastAsia="zh-CN"/>
        </w:rPr>
        <w:t>投标</w:t>
      </w:r>
      <w:r>
        <w:rPr>
          <w:rFonts w:hint="eastAsia" w:ascii="宋体" w:hAnsi="宋体" w:eastAsia="宋体" w:cs="宋体"/>
          <w:b/>
          <w:bCs/>
          <w:spacing w:val="0"/>
        </w:rPr>
        <w:t>响应文件的制作要求</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1</w:t>
      </w:r>
      <w:r>
        <w:rPr>
          <w:rFonts w:hint="eastAsia" w:ascii="宋体" w:hAnsi="宋体" w:eastAsia="宋体" w:cs="宋体"/>
          <w:spacing w:val="0"/>
          <w:sz w:val="24"/>
          <w:lang w:eastAsia="zh-CN"/>
        </w:rPr>
        <w:t>）</w:t>
      </w:r>
      <w:r>
        <w:rPr>
          <w:rFonts w:hint="eastAsia" w:ascii="宋体" w:hAnsi="宋体" w:eastAsia="宋体" w:cs="宋体"/>
          <w:spacing w:val="0"/>
          <w:sz w:val="24"/>
        </w:rPr>
        <w:t>供应商应按照</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响应文件组成内容及项目需求制作</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响应文件，不按采购文件要求制作</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响应文件的将视情处理，责任由供应商自行承担。</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2</w:t>
      </w:r>
      <w:r>
        <w:rPr>
          <w:rFonts w:hint="eastAsia" w:ascii="宋体" w:hAnsi="宋体" w:eastAsia="宋体" w:cs="宋体"/>
          <w:spacing w:val="0"/>
          <w:sz w:val="24"/>
          <w:lang w:eastAsia="zh-CN"/>
        </w:rPr>
        <w:t>）</w:t>
      </w:r>
      <w:r>
        <w:rPr>
          <w:rFonts w:hint="eastAsia" w:ascii="宋体" w:hAnsi="宋体" w:eastAsia="宋体" w:cs="宋体"/>
          <w:spacing w:val="0"/>
          <w:sz w:val="24"/>
        </w:rPr>
        <w:t>供应商应对所提供的全部资料的真实性承担法律责任，</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响应文件内容中有要求盖章或签字的地方，必须加盖供应商的公章以及法定代表人或授权代理人的签字或盖章。</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3</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响应文件以及供应商与采购代理机构就有关投标事宜的所有来往函电，均应以中文汉语书写。除签字、盖章、专用名称等特殊情形外，以中文汉语以外的文字表述的</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响应文件视同未提供。</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4</w:t>
      </w:r>
      <w:r>
        <w:rPr>
          <w:rFonts w:hint="eastAsia" w:ascii="宋体" w:hAnsi="宋体" w:eastAsia="宋体" w:cs="宋体"/>
          <w:spacing w:val="0"/>
          <w:sz w:val="24"/>
          <w:lang w:eastAsia="zh-CN"/>
        </w:rPr>
        <w:t>）</w:t>
      </w:r>
      <w:r>
        <w:rPr>
          <w:rFonts w:hint="eastAsia" w:ascii="宋体" w:hAnsi="宋体" w:eastAsia="宋体" w:cs="宋体"/>
          <w:spacing w:val="0"/>
          <w:sz w:val="24"/>
        </w:rPr>
        <w:t>投标计量单位，采购文件已有明确规定的，使用采购文件规定的计量单位；采购文件没有规定的，应采用中华人民共和国法定计量单位（货币单位：人民币元）。</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5</w:t>
      </w:r>
      <w:r>
        <w:rPr>
          <w:rFonts w:hint="eastAsia" w:ascii="宋体" w:hAnsi="宋体" w:eastAsia="宋体" w:cs="宋体"/>
          <w:spacing w:val="0"/>
          <w:sz w:val="24"/>
          <w:lang w:eastAsia="zh-CN"/>
        </w:rPr>
        <w:t>）</w:t>
      </w:r>
      <w:r>
        <w:rPr>
          <w:rFonts w:hint="eastAsia" w:ascii="宋体" w:hAnsi="宋体" w:eastAsia="宋体" w:cs="宋体"/>
          <w:spacing w:val="0"/>
          <w:sz w:val="24"/>
        </w:rPr>
        <w:t>若供应商不按采购文件的要求提供资格审查材料，其责任由供应商自行承担。</w:t>
      </w:r>
      <w:bookmarkStart w:id="12" w:name="2、谈判响应文件的式样"/>
      <w:bookmarkEnd w:id="12"/>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2" w:firstLineChars="200"/>
        <w:jc w:val="left"/>
        <w:textAlignment w:val="auto"/>
        <w:rPr>
          <w:rFonts w:hint="eastAsia" w:ascii="宋体" w:hAnsi="宋体" w:eastAsia="宋体" w:cs="宋体"/>
          <w:b/>
          <w:bCs/>
          <w:spacing w:val="0"/>
          <w:sz w:val="24"/>
        </w:rPr>
      </w:pPr>
      <w:r>
        <w:rPr>
          <w:rFonts w:hint="eastAsia" w:ascii="宋体" w:hAnsi="宋体" w:eastAsia="宋体" w:cs="宋体"/>
          <w:b/>
          <w:bCs/>
          <w:spacing w:val="0"/>
          <w:sz w:val="24"/>
        </w:rPr>
        <w:t>2、</w:t>
      </w:r>
      <w:r>
        <w:rPr>
          <w:rFonts w:hint="eastAsia" w:ascii="宋体" w:hAnsi="宋体" w:eastAsia="宋体" w:cs="宋体"/>
          <w:b/>
          <w:bCs/>
          <w:spacing w:val="0"/>
          <w:sz w:val="24"/>
          <w:lang w:eastAsia="zh-CN"/>
        </w:rPr>
        <w:t>投标</w:t>
      </w:r>
      <w:r>
        <w:rPr>
          <w:rFonts w:hint="eastAsia" w:ascii="宋体" w:hAnsi="宋体" w:eastAsia="宋体" w:cs="宋体"/>
          <w:b/>
          <w:bCs/>
          <w:spacing w:val="0"/>
          <w:sz w:val="24"/>
        </w:rPr>
        <w:t>响应文件的式样</w:t>
      </w:r>
    </w:p>
    <w:p>
      <w:pPr>
        <w:pStyle w:val="18"/>
        <w:keepNext w:val="0"/>
        <w:keepLines w:val="0"/>
        <w:pageBreakBefore w:val="0"/>
        <w:widowControl w:val="0"/>
        <w:numPr>
          <w:ilvl w:val="0"/>
          <w:numId w:val="0"/>
        </w:numPr>
        <w:tabs>
          <w:tab w:val="left" w:pos="187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1</w:t>
      </w:r>
      <w:r>
        <w:rPr>
          <w:rFonts w:hint="eastAsia" w:ascii="宋体" w:hAnsi="宋体" w:eastAsia="宋体" w:cs="宋体"/>
          <w:spacing w:val="0"/>
          <w:sz w:val="24"/>
          <w:lang w:eastAsia="zh-CN"/>
        </w:rPr>
        <w:t>）</w:t>
      </w:r>
      <w:r>
        <w:rPr>
          <w:rFonts w:hint="eastAsia" w:ascii="宋体" w:hAnsi="宋体" w:eastAsia="宋体" w:cs="宋体"/>
          <w:spacing w:val="0"/>
          <w:sz w:val="24"/>
        </w:rPr>
        <w:t>供应商通过“政采云”平台制作电子</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响应文件制作详见“供</w:t>
      </w:r>
      <w:r>
        <w:rPr>
          <w:rFonts w:hint="eastAsia" w:ascii="宋体" w:hAnsi="宋体" w:eastAsia="宋体" w:cs="宋体"/>
          <w:spacing w:val="0"/>
        </w:rPr>
        <w:t>应商-政府采购项目电子交易操作指南”</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left="0" w:leftChars="0" w:right="0" w:rightChars="0" w:firstLine="480" w:firstLineChars="200"/>
        <w:textAlignment w:val="auto"/>
        <w:rPr>
          <w:rFonts w:hint="eastAsia" w:ascii="宋体" w:hAnsi="宋体" w:eastAsia="宋体" w:cs="宋体"/>
          <w:spacing w:val="0"/>
          <w:sz w:val="24"/>
          <w:lang w:eastAsia="zh-CN"/>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2</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响应文件是电子</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响应文件，包括“电子加密</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响应文件”和“备份</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响应文件”，在</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响应文件编制完成后同时生成</w:t>
      </w:r>
      <w:r>
        <w:rPr>
          <w:rFonts w:hint="eastAsia" w:ascii="宋体" w:hAnsi="宋体" w:eastAsia="宋体" w:cs="宋体"/>
          <w:spacing w:val="0"/>
          <w:sz w:val="24"/>
          <w:lang w:eastAsia="zh-CN"/>
        </w:rPr>
        <w:t>。</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“电子加密</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响应文件”是指通过“政采云电子交易客户端”完成</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响应文件编制后生成并加密的数据电文形式的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“备份</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响应文件”是指与“电子加密</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响应文件”同时生成的数据电文形式的电子文件（备份标书，用于供应商标书解密异常时应急使用），其他方式编制的备份</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响应文件视为无效备份</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w:t>
      </w:r>
    </w:p>
    <w:p>
      <w:pPr>
        <w:pStyle w:val="18"/>
        <w:keepNext w:val="0"/>
        <w:keepLines w:val="0"/>
        <w:pageBreakBefore w:val="0"/>
        <w:widowControl w:val="0"/>
        <w:numPr>
          <w:ilvl w:val="0"/>
          <w:numId w:val="0"/>
        </w:numPr>
        <w:tabs>
          <w:tab w:val="left" w:pos="1995"/>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一份电子加密标书（后缀格式为.jmbs），一份备份标书文件（后缀格式为.bfbs）</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每份电子</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响应文件应包括资格响应文件、商务技术响应文件、报价响应文件三部分内容。</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bookmarkStart w:id="13" w:name="（3）谈判响应文件中投标声明书、授权委托书的格式、签字、盖章及内容均应符合采购文"/>
      <w:bookmarkEnd w:id="13"/>
      <w:bookmarkStart w:id="14" w:name="（3）谈判响应文件中投标声明书、授权委托书的格式、签字、盖章及内容均应符合采购文"/>
      <w:bookmarkEnd w:id="14"/>
      <w:r>
        <w:rPr>
          <w:rFonts w:hint="eastAsia" w:ascii="宋体" w:hAnsi="宋体" w:eastAsia="宋体" w:cs="宋体"/>
          <w:spacing w:val="0"/>
          <w:sz w:val="24"/>
          <w:szCs w:val="24"/>
          <w:lang w:val="en-US" w:eastAsia="zh-CN"/>
        </w:rPr>
        <w:t>（3）投标响应文件中投标声明书、授权委托书的格式、签字、盖章及内容均应符合采购文件格式要求。</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供应商应根据“政采云供应商项目采购-电子招投标操作指南”及本采购文件规定编制电子投标响应文件。如对采购文件的某项要求，供应商的投标响应文件未能提供相应的内容与其对应，则评标委员会在评审时会提示供应商未对此项招标要求提供相应内容。由此产生的影响由供应商自行承担。</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投标响应文件内容不完整、编排混乱导致投标响应文件被误读、漏读，或者在按采购文件规定的部分查找不到相关内容的，是供应商的责任。</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2" w:firstLineChars="200"/>
        <w:textAlignment w:val="auto"/>
        <w:rPr>
          <w:rFonts w:hint="eastAsia" w:ascii="宋体" w:hAnsi="宋体" w:eastAsia="宋体" w:cs="宋体"/>
          <w:b/>
          <w:bCs/>
          <w:spacing w:val="0"/>
          <w:sz w:val="24"/>
          <w:szCs w:val="24"/>
        </w:rPr>
      </w:pPr>
      <w:bookmarkStart w:id="15" w:name="3、谈判响应文件的递交要求"/>
      <w:bookmarkEnd w:id="15"/>
      <w:r>
        <w:rPr>
          <w:rFonts w:hint="eastAsia" w:ascii="宋体" w:hAnsi="宋体" w:eastAsia="宋体" w:cs="宋体"/>
          <w:b/>
          <w:bCs/>
          <w:spacing w:val="0"/>
          <w:sz w:val="24"/>
          <w:szCs w:val="24"/>
        </w:rPr>
        <w:t>3、</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响应文件的递交要求</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（1）电子加密投标响应文件：投标响应文件制作完成并生成加密标书，在投标截止时间前，供应商需将加密的投标响应文件上传至政采云平台，到达开标时间后，解密投标响应文件。</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6"/>
          <w:sz w:val="24"/>
          <w:szCs w:val="24"/>
          <w:lang w:val="en-US" w:eastAsia="zh-CN"/>
        </w:rPr>
      </w:pPr>
      <w:r>
        <w:rPr>
          <w:rFonts w:hint="eastAsia" w:ascii="宋体" w:hAnsi="宋体" w:eastAsia="宋体" w:cs="宋体"/>
          <w:spacing w:val="0"/>
          <w:sz w:val="24"/>
          <w:szCs w:val="24"/>
          <w:lang w:val="en-US" w:eastAsia="zh-CN"/>
        </w:rPr>
        <w:t>a.</w:t>
      </w:r>
      <w:r>
        <w:rPr>
          <w:rFonts w:hint="eastAsia" w:ascii="宋体" w:hAnsi="宋体" w:eastAsia="宋体" w:cs="宋体"/>
          <w:spacing w:val="-6"/>
          <w:sz w:val="24"/>
          <w:szCs w:val="24"/>
          <w:lang w:val="en-US" w:eastAsia="zh-CN"/>
        </w:rPr>
        <w:t>供应商未能在投标截止时间前成功上传电子加密投标响应文件的投标无效。</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0"/>
          <w:sz w:val="24"/>
          <w:szCs w:val="24"/>
          <w:lang w:val="en-US" w:eastAsia="zh-CN"/>
        </w:rPr>
        <w:t>b.</w:t>
      </w:r>
      <w:r>
        <w:rPr>
          <w:rFonts w:hint="eastAsia" w:ascii="宋体" w:hAnsi="宋体" w:eastAsia="宋体" w:cs="宋体"/>
          <w:spacing w:val="-11"/>
          <w:sz w:val="24"/>
          <w:szCs w:val="24"/>
          <w:lang w:val="en-US" w:eastAsia="zh-CN"/>
        </w:rPr>
        <w:t>供应商成功上传电子加密投标响应文件后，可自行打印投标响应文件接收回执。</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（2）备份投标响应文件：供应商确保在投标截止时间前，将备份投标响应文件通过快递形式寄达采购代理机构处，以便标书解密异常时应急使用。</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a.备份投标响应文件递交要求：供应商须将备份投标响应文件以光盘或 U 盘形式放在密封袋中，密封后并在密封袋上注明投标项目名称、投标单位名称并加盖公章。未密封包装或者逾期邮寄送达的“备份投标响应文件”将不予接收。</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b.供应商仅提交备份投标响应文件的，投标无效。</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spacing w:val="0"/>
          <w:sz w:val="24"/>
          <w:szCs w:val="24"/>
        </w:rPr>
      </w:pPr>
      <w:r>
        <w:rPr>
          <w:rFonts w:hint="eastAsia" w:ascii="宋体" w:hAnsi="宋体" w:eastAsia="宋体" w:cs="宋体"/>
          <w:b/>
          <w:bCs/>
          <w:spacing w:val="0"/>
          <w:sz w:val="24"/>
          <w:szCs w:val="24"/>
        </w:rPr>
        <w:t>4、</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响应文件的补充、修改和撤回</w:t>
      </w:r>
    </w:p>
    <w:p>
      <w:pPr>
        <w:pStyle w:val="18"/>
        <w:keepNext w:val="0"/>
        <w:keepLines w:val="0"/>
        <w:pageBreakBefore w:val="0"/>
        <w:widowControl w:val="0"/>
        <w:numPr>
          <w:ilvl w:val="0"/>
          <w:numId w:val="0"/>
        </w:numPr>
        <w:tabs>
          <w:tab w:val="left" w:pos="1266"/>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供应商在递交</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响应文件后，在规定的投标截止时间前，可以补充、修改或者撤回电子交易文件。补充或者修改电子交易文件的，应当先行撤回原文件，补充、修改后重新传输递交。投标截止时间前未完成传输的，视为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响应文件撤回，投标无效。</w:t>
      </w:r>
    </w:p>
    <w:p>
      <w:pPr>
        <w:pStyle w:val="18"/>
        <w:keepNext w:val="0"/>
        <w:keepLines w:val="0"/>
        <w:pageBreakBefore w:val="0"/>
        <w:widowControl w:val="0"/>
        <w:numPr>
          <w:ilvl w:val="0"/>
          <w:numId w:val="0"/>
        </w:numPr>
        <w:tabs>
          <w:tab w:val="left" w:pos="1221"/>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bookmarkStart w:id="16" w:name="（2）在投标截止期之后，供应商不得对其投标作任何修改。"/>
      <w:bookmarkEnd w:id="16"/>
      <w:bookmarkStart w:id="17" w:name="（2）在投标截止期之后，供应商不得对其投标作任何修改。"/>
      <w:bookmarkEnd w:id="17"/>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在投标截止期之后，供应商不得对其投标作任何修改。</w:t>
      </w:r>
    </w:p>
    <w:p>
      <w:pPr>
        <w:pStyle w:val="18"/>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从投标截止期至供应商在投标函格式中确定的投标有效期期满这段时间内，供应商不得撤回其投标。</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18" w:name="（三）谈判响应文件的有效期"/>
      <w:bookmarkEnd w:id="18"/>
      <w:r>
        <w:rPr>
          <w:rFonts w:hint="eastAsia" w:ascii="宋体" w:hAnsi="宋体" w:eastAsia="宋体" w:cs="宋体"/>
          <w:b/>
          <w:bCs/>
          <w:spacing w:val="0"/>
          <w:sz w:val="24"/>
          <w:szCs w:val="24"/>
        </w:rPr>
        <w:t>（三）</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响应文件的有效期</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1、自投标截止日起 90 天</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响应文件应保持有效。有效期不足的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响应文件将被拒绝。</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2、在特殊情况下，采购人可与供应商协商延长</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响应文件的有效期，这种要求和答复均以书面形式进行。</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3、中标人的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响应文件自开标之日起至合同履行完毕均应保持有效。</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四、</w:t>
      </w:r>
      <w:r>
        <w:rPr>
          <w:rFonts w:hint="eastAsia" w:cs="微软雅黑"/>
          <w:b/>
          <w:sz w:val="28"/>
          <w:szCs w:val="24"/>
          <w:lang w:val="zh-CN" w:eastAsia="zh-CN" w:bidi="zh-CN"/>
        </w:rPr>
        <w:t>投标</w:t>
      </w:r>
    </w:p>
    <w:p>
      <w:pPr>
        <w:pStyle w:val="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事项</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1、采购人将于采购文件规定的时间和地点公开开标。若采购人通过修改采购文件更改了开标时间和地点的，以后者为准。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2、评审期间，供应商代表应在线操作，并关注政采云有关信息公布、澄清等情况。供应商代表不参加</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程序的，事后不得对采购相关人员、评审过程和评审结果提出异议。</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程序</w:t>
      </w:r>
    </w:p>
    <w:p>
      <w:pPr>
        <w:pStyle w:val="18"/>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b/>
          <w:bCs/>
          <w:spacing w:val="0"/>
          <w:sz w:val="24"/>
          <w:szCs w:val="24"/>
        </w:rPr>
      </w:pPr>
      <w:bookmarkStart w:id="19" w:name="3.1谈判第一阶段"/>
      <w:bookmarkEnd w:id="19"/>
      <w:bookmarkStart w:id="20" w:name="3.1谈判第一阶段"/>
      <w:bookmarkEnd w:id="20"/>
      <w:r>
        <w:rPr>
          <w:rFonts w:hint="eastAsia" w:ascii="宋体" w:hAnsi="宋体" w:eastAsia="宋体" w:cs="宋体"/>
          <w:b/>
          <w:bCs/>
          <w:spacing w:val="0"/>
          <w:sz w:val="24"/>
          <w:szCs w:val="24"/>
          <w:lang w:val="en-US" w:eastAsia="zh-CN"/>
        </w:rPr>
        <w:t>3.1</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第一阶段</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向各供应商发出电子加密投标响应文件【开始解密】通知，由供应商按采购文件规定的时间内自行进行投标响应文件解密。供应商在规定的时间内无法完成已递交的“电子加密投标响应文件”解密的，如已按规定递交了备份投标响应文件的，将由采购组织机构按“ 政府采购云平台”操作规范将备份投标响应文件上传至“政府采购云平台”，上传成功后，“ 电子加密投标响应文件”自动失效；</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2</w:t>
      </w:r>
      <w:r>
        <w:rPr>
          <w:rFonts w:hint="eastAsia" w:ascii="宋体" w:hAnsi="宋体" w:eastAsia="宋体" w:cs="宋体"/>
          <w:spacing w:val="0"/>
          <w:sz w:val="24"/>
          <w:szCs w:val="24"/>
          <w:lang w:val="zh-CN" w:eastAsia="zh-CN" w:bidi="zh-CN"/>
        </w:rPr>
        <w:t>）投标响应文件解密结束，各供应商组织签署《政府采购活动现场确认声明书》；</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3</w:t>
      </w:r>
      <w:r>
        <w:rPr>
          <w:rFonts w:hint="eastAsia" w:ascii="宋体" w:hAnsi="宋体" w:eastAsia="宋体" w:cs="宋体"/>
          <w:spacing w:val="0"/>
          <w:sz w:val="24"/>
          <w:szCs w:val="24"/>
          <w:lang w:val="zh-CN" w:eastAsia="zh-CN" w:bidi="zh-CN"/>
        </w:rPr>
        <w:t>）开启投标响应文件，进入资格审查；</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4</w:t>
      </w:r>
      <w:r>
        <w:rPr>
          <w:rFonts w:hint="eastAsia" w:ascii="宋体" w:hAnsi="宋体" w:eastAsia="宋体" w:cs="宋体"/>
          <w:spacing w:val="0"/>
          <w:sz w:val="24"/>
          <w:szCs w:val="24"/>
          <w:lang w:val="zh-CN" w:eastAsia="zh-CN" w:bidi="zh-CN"/>
        </w:rPr>
        <w:t>）开启资格审查通过的投标供应商的商务技术文件进入符合性审查、商务技术评审；</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5</w:t>
      </w:r>
      <w:r>
        <w:rPr>
          <w:rFonts w:hint="eastAsia" w:ascii="宋体" w:hAnsi="宋体" w:eastAsia="宋体" w:cs="宋体"/>
          <w:spacing w:val="0"/>
          <w:sz w:val="24"/>
          <w:szCs w:val="24"/>
          <w:lang w:val="zh-CN" w:eastAsia="zh-CN" w:bidi="zh-CN"/>
        </w:rPr>
        <w:t>）第一阶段开标结束。</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备注：开标程序的第一阶段结束后，采购人或采购代理机构将对依法对投标供应商的资格进行审查，资格审查结束后进入符合性审查和商务技术的评审工作。</w:t>
      </w:r>
    </w:p>
    <w:p>
      <w:pPr>
        <w:pStyle w:val="18"/>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b/>
          <w:bCs/>
          <w:spacing w:val="0"/>
          <w:sz w:val="24"/>
          <w:szCs w:val="24"/>
        </w:rPr>
      </w:pPr>
      <w:bookmarkStart w:id="21" w:name="3.2谈判第二阶段"/>
      <w:bookmarkEnd w:id="21"/>
      <w:bookmarkStart w:id="22" w:name="3.2谈判第二阶段"/>
      <w:bookmarkEnd w:id="22"/>
      <w:r>
        <w:rPr>
          <w:rFonts w:hint="eastAsia" w:ascii="宋体" w:hAnsi="宋体" w:eastAsia="宋体" w:cs="宋体"/>
          <w:b/>
          <w:bCs/>
          <w:spacing w:val="0"/>
          <w:sz w:val="24"/>
          <w:szCs w:val="24"/>
          <w:lang w:val="en-US" w:eastAsia="zh-CN"/>
        </w:rPr>
        <w:t>3.2</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第二阶段</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符合性审查、商务技术评审结束后，举行开标程序第二阶段会议。首先公布符合性审查、商务技术评审无效供应商名称及理由；公布经商务技术评审后有效供应商的名单，同时公布其商务技术部分情况。</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开启符合性审查、商务技术评审有效供应商的《报价响应文件》后，公布报价一览表有关内容，同时当场制作开标记录表，供应商确认（不予确认的应说明理由，否则视为无异议）。评标委员会对报价的合理性、准确性等进行审查核实。</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评审结束后，公布中标（成交）候选供应商名单，及采购人最终确定中标或成交供应商名单的时间和公告方式等。</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如遇“政府采购云平台”电子化开标或评审程序调整的，或者政采云系统提供数据电文交互功能的，按其规定执行。</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五、评审</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spacing w:val="0"/>
          <w:sz w:val="24"/>
          <w:szCs w:val="24"/>
        </w:rPr>
      </w:pPr>
      <w:bookmarkStart w:id="23" w:name="（一）组建评标委员会"/>
      <w:bookmarkEnd w:id="23"/>
      <w:r>
        <w:rPr>
          <w:rFonts w:hint="eastAsia" w:ascii="宋体" w:hAnsi="宋体" w:eastAsia="宋体" w:cs="宋体"/>
          <w:b/>
          <w:bCs/>
          <w:spacing w:val="0"/>
          <w:sz w:val="24"/>
          <w:szCs w:val="24"/>
        </w:rPr>
        <w:t>（一）组建评标委员会</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评标委员会由采购人依法组建。</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24" w:name="（二）评标程序"/>
      <w:bookmarkEnd w:id="24"/>
      <w:r>
        <w:rPr>
          <w:rFonts w:hint="eastAsia" w:ascii="宋体" w:hAnsi="宋体" w:eastAsia="宋体" w:cs="宋体"/>
          <w:b/>
          <w:bCs/>
          <w:spacing w:val="0"/>
          <w:sz w:val="24"/>
          <w:szCs w:val="24"/>
        </w:rPr>
        <w:t>（二）评标程序</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响应文件初审。初审分为资格性检查和符合性检查。</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资格性检查。</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投标开始后，采购人或采购代理机构将对供应商的基本资格条件、特定资格条件进行审查。</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供应商未按照采购文件要求提供与基本资格条件、特定资格条件相应的有效资格证明材料的，视为供应商不具备采购文件中规定的资格要求，其资格审查不通过。</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）符合性检查。依据采购文件的规定，从投标响应文件的有效性、完整性和对采购文件的响应程度进行审查，以确定是否对采购文件的实质性要求作出响应。</w:t>
      </w:r>
    </w:p>
    <w:p>
      <w:pPr>
        <w:pStyle w:val="18"/>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评标委员会决定投标响应文件的响应性只根据投标响应文件本身的内容，而不寻求外部证据。</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如果</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响应文件没有实质上响应采购文件的要求，评标委员会将判定无效，供应商不得通过修改或撤销不合要求的偏离或保留而使其投标成为实质性响应的投标。</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0"/>
          <w:sz w:val="24"/>
          <w:szCs w:val="24"/>
        </w:rPr>
        <w:t>2、澄清有关问题。在评标期间，对</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响应文件中含义不明确、同类问题表述不一致或者有明显文字和计算错误的内容，评标委员会可以书面形式（或有效电子数据电文）要求供应商作出必要的澄清、说明或者纠正。供应商的澄清、</w:t>
      </w:r>
      <w:r>
        <w:rPr>
          <w:rFonts w:hint="eastAsia" w:ascii="宋体" w:hAnsi="宋体" w:eastAsia="宋体" w:cs="宋体"/>
          <w:spacing w:val="-6"/>
          <w:sz w:val="24"/>
          <w:szCs w:val="24"/>
        </w:rPr>
        <w:t>说明或者补正不得超出</w:t>
      </w:r>
      <w:r>
        <w:rPr>
          <w:rFonts w:hint="eastAsia" w:ascii="宋体" w:hAnsi="宋体" w:eastAsia="宋体" w:cs="宋体"/>
          <w:spacing w:val="-6"/>
          <w:sz w:val="24"/>
          <w:szCs w:val="24"/>
          <w:lang w:eastAsia="zh-CN"/>
        </w:rPr>
        <w:t>投标</w:t>
      </w:r>
      <w:r>
        <w:rPr>
          <w:rFonts w:hint="eastAsia" w:ascii="宋体" w:hAnsi="宋体" w:eastAsia="宋体" w:cs="宋体"/>
          <w:spacing w:val="-6"/>
          <w:sz w:val="24"/>
          <w:szCs w:val="24"/>
        </w:rPr>
        <w:t>响应文件的范围或者改变</w:t>
      </w:r>
      <w:r>
        <w:rPr>
          <w:rFonts w:hint="eastAsia" w:ascii="宋体" w:hAnsi="宋体" w:eastAsia="宋体" w:cs="宋体"/>
          <w:spacing w:val="-6"/>
          <w:sz w:val="24"/>
          <w:szCs w:val="24"/>
          <w:lang w:eastAsia="zh-CN"/>
        </w:rPr>
        <w:t>投标</w:t>
      </w:r>
      <w:r>
        <w:rPr>
          <w:rFonts w:hint="eastAsia" w:ascii="宋体" w:hAnsi="宋体" w:eastAsia="宋体" w:cs="宋体"/>
          <w:spacing w:val="-6"/>
          <w:sz w:val="24"/>
          <w:szCs w:val="24"/>
        </w:rPr>
        <w:t>响应文件的实质性内容。</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投标供应商的澄清、说明或者补正应当由法定代表人或其授权的代表签字（或加盖公章）后扫描上传提交。</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授权代表对澄清、说明或者补正内容未签字确认的，将自行承担由此可能导致的对其不利的评审结果，评标委员会按少数服从多数原则对相关内容进行评判。</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除邮件交互外，如政采云平台提供信息发布、澄清说明、数据交换等操作方式的，或者政采云系统平台有新的操作流程的，按其规定。</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3、修正原则</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响应文件报价出现前后不一致的，按照下列规定修正：</w:t>
      </w:r>
    </w:p>
    <w:p>
      <w:pPr>
        <w:pStyle w:val="18"/>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）投标响应文件中报价一览表(报价表)内容与投标响应文件中相应内容不一致的，以报价一览表(报价表)为准；</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2</w:t>
      </w:r>
      <w:r>
        <w:rPr>
          <w:rFonts w:hint="eastAsia" w:ascii="宋体" w:hAnsi="宋体" w:eastAsia="宋体" w:cs="宋体"/>
          <w:spacing w:val="0"/>
          <w:sz w:val="24"/>
          <w:szCs w:val="24"/>
          <w:lang w:val="zh-CN" w:eastAsia="zh-CN" w:bidi="zh-CN"/>
        </w:rPr>
        <w:t>）大写金额和小写金额不一致的，以大写金额为准；</w:t>
      </w:r>
    </w:p>
    <w:p>
      <w:pPr>
        <w:pStyle w:val="18"/>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340" w:lineRule="exact"/>
        <w:ind w:left="0"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单价金额小数点或者百分比有明显错位的，以报价一览表的总价为准，并修改单价；</w:t>
      </w:r>
    </w:p>
    <w:p>
      <w:pPr>
        <w:pStyle w:val="18"/>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340" w:lineRule="exact"/>
        <w:ind w:left="0"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总价金额与按单价汇总金额不一致的，以单价金额计算结果为准。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同时出现两种以上不一致的，按照前款规定的顺序修正。修正后的报价按照财政部公布第87号令《政府采购货物和服务招标投标管理办法》第五十一条第二款的规定经供应商确认后产生约束力，供应商不确认的，其投标无效。</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4、比较与评价。</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按采购文件中规定的评标方法和标准，对资格性检查和符合性检查合格的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响应文件进行商务和技术评估，综合比较与评价。</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5、按采购文件中规定的评标方法和标准，对供应商进行排序，并推荐中标（成交）候选人。</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b/>
          <w:spacing w:val="0"/>
          <w:sz w:val="24"/>
          <w:szCs w:val="24"/>
        </w:rPr>
      </w:pPr>
      <w:r>
        <w:rPr>
          <w:rFonts w:hint="eastAsia" w:ascii="宋体" w:hAnsi="宋体" w:eastAsia="宋体" w:cs="宋体"/>
          <w:spacing w:val="0"/>
          <w:sz w:val="24"/>
          <w:szCs w:val="24"/>
        </w:rPr>
        <w:t>6、编写评标报告</w:t>
      </w:r>
      <w:r>
        <w:rPr>
          <w:rFonts w:hint="eastAsia" w:ascii="宋体" w:hAnsi="宋体" w:eastAsia="宋体" w:cs="宋体"/>
          <w:b/>
          <w:spacing w:val="0"/>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7、评价</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采购代理机构对评标委员会评审专家进行评价。</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（三）供应商存在下列情况之一的，投标无效</w:t>
      </w:r>
    </w:p>
    <w:p>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未按时上传电子投标文件的；</w:t>
      </w:r>
    </w:p>
    <w:p>
      <w:pPr>
        <w:pStyle w:val="18"/>
        <w:keepNext w:val="0"/>
        <w:keepLines w:val="0"/>
        <w:pageBreakBefore w:val="0"/>
        <w:widowControl w:val="0"/>
        <w:numPr>
          <w:ilvl w:val="0"/>
          <w:numId w:val="0"/>
        </w:numPr>
        <w:tabs>
          <w:tab w:val="left" w:pos="14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未按时解密电子投标文件的且未提供备份投标文件或未按时解密电子投标文件的且提供的备份投标文件无法打开的；</w:t>
      </w:r>
    </w:p>
    <w:p>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在资格证明文件或商务技术文件中出现投标报价的；</w:t>
      </w:r>
    </w:p>
    <w:p>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报价文件中报价的货物跟商务技术文件中的投标货物出现重大偏差的；</w:t>
      </w:r>
    </w:p>
    <w:p>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不具备招标文件中规定的资格要求的或资格证明文件提供不齐全的；</w:t>
      </w:r>
    </w:p>
    <w:p>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投标文件未按招标文件规定的要求提交资料或签署、盖章的；</w:t>
      </w:r>
    </w:p>
    <w:p>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投标文件含有采购人不能接受的附加条件的；</w:t>
      </w:r>
    </w:p>
    <w:p>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8"/>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报价超过招标文件中规定的预算金额或最高限价；</w:t>
      </w:r>
    </w:p>
    <w:p>
      <w:pPr>
        <w:pStyle w:val="18"/>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10.</w:t>
      </w:r>
      <w:r>
        <w:rPr>
          <w:rFonts w:hint="eastAsia" w:ascii="宋体" w:hAnsi="宋体" w:eastAsia="宋体" w:cs="宋体"/>
          <w:spacing w:val="0"/>
          <w:sz w:val="24"/>
          <w:szCs w:val="24"/>
        </w:rPr>
        <w:t>未实质性响应招标文件要求或者投标文件有采购人不能接受的附加条件的或者明显不符合招标文件要求的技术参数、质量标准，或者与招标文件中的技术指标、主要功能项目发生实质性偏离的；</w:t>
      </w:r>
    </w:p>
    <w:p>
      <w:pPr>
        <w:pStyle w:val="18"/>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11.</w:t>
      </w:r>
      <w:r>
        <w:rPr>
          <w:rFonts w:hint="eastAsia" w:ascii="宋体" w:hAnsi="宋体" w:eastAsia="宋体" w:cs="宋体"/>
          <w:spacing w:val="0"/>
          <w:sz w:val="24"/>
          <w:szCs w:val="24"/>
        </w:rPr>
        <w:t>投标文件提供虚假材料的；</w:t>
      </w:r>
    </w:p>
    <w:p>
      <w:pPr>
        <w:pStyle w:val="18"/>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w:t>
      </w:r>
      <w:r>
        <w:rPr>
          <w:rFonts w:hint="eastAsia" w:ascii="宋体" w:hAnsi="宋体" w:eastAsia="宋体" w:cs="宋体"/>
          <w:spacing w:val="0"/>
          <w:sz w:val="24"/>
          <w:szCs w:val="24"/>
        </w:rPr>
        <w:t>符合中华人民共和国财政部令第87号《政府采购货物和服务招标投标管理办法》第三十七条情形之一的，视为供应商串通投标，其投标无效，并移送采购监管部门：</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不同供应商的投标文件由同一单位或者个人编制；</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不同供应商委托同一单位或者个人办理投标事宜；</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不同供应商的投标文件载明的项目管理成员或者联系人员为同一人；</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不同供应商的投标文件异常一致或者投标报价呈规律性差异；</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不同供应商的投标文件相互混装；</w:t>
      </w:r>
    </w:p>
    <w:p>
      <w:pPr>
        <w:pStyle w:val="18"/>
        <w:keepNext w:val="0"/>
        <w:keepLines w:val="0"/>
        <w:pageBreakBefore w:val="0"/>
        <w:widowControl w:val="0"/>
        <w:numPr>
          <w:ilvl w:val="0"/>
          <w:numId w:val="0"/>
        </w:numPr>
        <w:tabs>
          <w:tab w:val="left" w:pos="1596"/>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13.</w:t>
      </w:r>
      <w:r>
        <w:rPr>
          <w:rFonts w:hint="eastAsia" w:ascii="宋体" w:hAnsi="宋体" w:eastAsia="宋体" w:cs="宋体"/>
          <w:spacing w:val="0"/>
          <w:sz w:val="24"/>
          <w:szCs w:val="24"/>
        </w:rPr>
        <w:t>不符合法律、法规和招标文件中规定的其他实质性要求的（招标文件中打“▲”内容及被拒绝的条款）。</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（四）有下列情况之一的，本次招标作为废标处理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1、符合专业条件的供应商或者对采购文件作实质响应的供应商不足 2 家的；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2、出现影响采购公正的违法、违规行为的；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3、因重大变故，采购任务取消的；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4、法律、法规和采购文件规定的其他导致评标结果无效的。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（五）采购过程中出现以下情形，导致电子交易平台无法正常运行，或者无法保证电子交易的公平、公正和安全时，采购组织机构可中止电子交易活动：</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电子交易平台发生故障而无法登录访问的；</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电子交易平台应用或数据库出现错误，不能进行正常操作的；</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电子交易平台发现严重安全漏洞，有潜在泄密危险的；</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病毒发作导致不能进行正常操作的；</w:t>
      </w:r>
    </w:p>
    <w:p>
      <w:pPr>
        <w:pStyle w:val="18"/>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其他无法保证电子交易的公平、公正和安全的情况。</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废标后，采购人应当将废标理由通知所有供应商并重新组织招标；或者经主管部门批准， 采取其他方式组织采购。</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25" w:name="（六）评标原则和评标办法"/>
      <w:bookmarkEnd w:id="25"/>
      <w:r>
        <w:rPr>
          <w:rFonts w:hint="eastAsia" w:ascii="宋体" w:hAnsi="宋体" w:eastAsia="宋体" w:cs="宋体"/>
          <w:b/>
          <w:bCs/>
          <w:spacing w:val="0"/>
          <w:sz w:val="24"/>
          <w:szCs w:val="24"/>
        </w:rPr>
        <w:t>（六）评标原则和评标办法</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3、评标办法。具体评标内容及标准等详见《第三章：评标方法及标准》。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26" w:name="（七）评标过程的监控"/>
      <w:bookmarkEnd w:id="26"/>
      <w:r>
        <w:rPr>
          <w:rFonts w:hint="eastAsia" w:ascii="宋体" w:hAnsi="宋体" w:eastAsia="宋体" w:cs="宋体"/>
          <w:b/>
          <w:bCs/>
          <w:spacing w:val="0"/>
          <w:sz w:val="24"/>
          <w:szCs w:val="24"/>
        </w:rPr>
        <w:t>（七）评标过程的监控</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本项目评标过程实行全程录音、录像监控，政府采购监管部门视情进行现场监督，供应商在评标过程中所进行的试图影响评标结果的不公正活动，可能导致其投标被拒绝。</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六、定标</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2、发布中标结果公告。采购代理机构应当自中标人确定之日起2个工作日内，在省级以上财政部门指定的媒体及相关网站上公告中标结果。</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3、发出中标通知书。采购代理机构在发布中标结果的同时，向中标人发出中标通知书</w:t>
      </w:r>
      <w:r>
        <w:rPr>
          <w:rFonts w:hint="eastAsia" w:ascii="宋体" w:hAnsi="宋体" w:eastAsia="宋体" w:cs="宋体"/>
          <w:spacing w:val="0"/>
          <w:sz w:val="24"/>
          <w:szCs w:val="24"/>
          <w:lang w:eastAsia="zh-CN"/>
        </w:rPr>
        <w:t>。</w:t>
      </w:r>
      <w:r>
        <w:rPr>
          <w:rFonts w:hint="eastAsia" w:ascii="宋体" w:hAnsi="宋体" w:eastAsia="宋体" w:cs="宋体"/>
          <w:b/>
          <w:bCs/>
          <w:kern w:val="0"/>
          <w:sz w:val="24"/>
          <w:szCs w:val="24"/>
          <w:u w:val="single"/>
        </w:rPr>
        <w:t>中标人应在领取中标通知书之时按采购人要求提供纸质投标文件（采用胶装），不建议采用活页夹等可随时拆换的方式装订。</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七、合同签订及公告</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（一）签订合同</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1.采购人应当自中标通知书发出之日起30日内，按照招标文件和中标人投标文件的规定，与中标人签订书面合同。所签订的合同不得对招标文件确定的事项和中标人投标文件作实质性修改。</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2.采购人不得向中标人提出任何不合理的要求作为签订合同的条件。</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3.中标人无正当理由拖延、拒签合同的,按《政府采购法》等有关规定进行处理、处罚。</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4.中标人拒绝与采购人签订合同的，采购人应重新开展政府采购活动。同时，拒绝与采购人签订合同的供应商，由同级财政部门依法作出处理。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5.询问或者质疑事项可能影响中标结果的，采购人应当暂停签订合同，已经签订合同的，应当中止履行合同（中标结果的质疑期为中标结果公告期限届满之日起七个工作日）。</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27" w:name="（二）合同公告及备案"/>
      <w:bookmarkEnd w:id="27"/>
      <w:r>
        <w:rPr>
          <w:rFonts w:hint="eastAsia" w:ascii="宋体" w:hAnsi="宋体" w:eastAsia="宋体" w:cs="宋体"/>
          <w:b/>
          <w:bCs/>
          <w:spacing w:val="0"/>
          <w:sz w:val="24"/>
          <w:szCs w:val="24"/>
        </w:rPr>
        <w:t>（二）合同公告及备案</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1、采购人应当自政府采购合同签订之日起 2 个工作日内，在省级以上财政部门指定的政府采购信息发布媒体及相关网站上公告。</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2、采购人应当自政府采购合同签订之日起 7 个工作日内，将政府采购合同副本报同级人民政府财政部门备案以及采购代理机构存档。</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八、验收</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2.采购人可以邀请参加本项目的其他投标人或者第三方机构参与验收。参与验收的投标人或者第三方机构的意见作为验收书的参考资料一并存档。</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0"/>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第三章 评标办法及评分标准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为公正、公平、科学地选择成交人，根据有关法律法规的规定，并结合本项目的实际，制定本办法。</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宋体" w:hAnsi="宋体" w:eastAsia="宋体" w:cs="宋体"/>
          <w:b/>
          <w:bCs/>
          <w:spacing w:val="0"/>
          <w:sz w:val="24"/>
          <w:szCs w:val="24"/>
        </w:rPr>
      </w:pPr>
      <w:bookmarkStart w:id="28" w:name="一、总则"/>
      <w:bookmarkEnd w:id="28"/>
      <w:r>
        <w:rPr>
          <w:rFonts w:hint="eastAsia" w:ascii="宋体" w:hAnsi="宋体" w:eastAsia="宋体" w:cs="宋体"/>
          <w:b/>
          <w:bCs/>
          <w:spacing w:val="0"/>
          <w:sz w:val="24"/>
          <w:szCs w:val="24"/>
          <w:lang w:val="en-US" w:eastAsia="zh-CN"/>
        </w:rPr>
        <w:t>1、</w:t>
      </w:r>
      <w:r>
        <w:rPr>
          <w:rFonts w:hint="eastAsia" w:ascii="宋体" w:hAnsi="宋体" w:eastAsia="宋体" w:cs="宋体"/>
          <w:b/>
          <w:bCs/>
          <w:spacing w:val="0"/>
          <w:sz w:val="24"/>
          <w:szCs w:val="24"/>
        </w:rPr>
        <w:t>总则</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1.1本次招标项目的评标方法为</w:t>
      </w:r>
      <w:r>
        <w:rPr>
          <w:rFonts w:hint="eastAsia" w:ascii="宋体" w:hAnsi="宋体" w:eastAsia="宋体" w:cs="宋体"/>
          <w:b/>
          <w:bCs/>
          <w:spacing w:val="0"/>
          <w:sz w:val="24"/>
          <w:szCs w:val="24"/>
          <w:lang w:val="en-US" w:eastAsia="zh-CN"/>
        </w:rPr>
        <w:t>最低评标价法</w:t>
      </w:r>
      <w:r>
        <w:rPr>
          <w:rFonts w:hint="eastAsia" w:ascii="宋体" w:hAnsi="宋体" w:eastAsia="宋体" w:cs="宋体"/>
          <w:spacing w:val="0"/>
          <w:sz w:val="24"/>
          <w:szCs w:val="24"/>
          <w:lang w:val="en-US" w:eastAsia="zh-CN"/>
        </w:rPr>
        <w:t>。</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zh-CN" w:eastAsia="zh-CN"/>
        </w:rPr>
        <w:t>在最大限度地满足招标文件实质性要求前提下</w:t>
      </w:r>
      <w:r>
        <w:rPr>
          <w:rFonts w:hint="eastAsia" w:ascii="宋体" w:hAnsi="宋体" w:eastAsia="宋体" w:cs="宋体"/>
          <w:spacing w:val="0"/>
          <w:sz w:val="24"/>
          <w:szCs w:val="24"/>
          <w:lang w:val="en-US" w:eastAsia="zh-CN"/>
        </w:rPr>
        <w:t>，评标结果按投标报价由低到高顺序排列。投标报价相同的由采购人抽签确定排序。投标文件满足招标文件全部实质性要求且投标报价最低的投标人为本项目的中标候选人。</w:t>
      </w:r>
    </w:p>
    <w:p>
      <w:pPr>
        <w:pStyle w:val="18"/>
        <w:keepNext w:val="0"/>
        <w:keepLines w:val="0"/>
        <w:pageBreakBefore w:val="0"/>
        <w:widowControl w:val="0"/>
        <w:numPr>
          <w:ilvl w:val="0"/>
          <w:numId w:val="0"/>
        </w:numPr>
        <w:tabs>
          <w:tab w:val="left" w:pos="1753"/>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w:t>
      </w:r>
      <w:r>
        <w:rPr>
          <w:rFonts w:hint="eastAsia" w:ascii="宋体" w:hAnsi="宋体" w:eastAsia="宋体" w:cs="宋体"/>
          <w:spacing w:val="0"/>
          <w:sz w:val="24"/>
          <w:szCs w:val="24"/>
        </w:rPr>
        <w:t>第1成交候选人若放弃成交，因不可抗力提出不能履行合同，不按照</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文件要求提交履约保证金，或者被查实存在影响成交结果的违法行为等情形，不符合成交条件的，本次采购失败，采购人将重新依法组织采购。</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成交候选人因不可抗力之外的原因放弃成交权给采购人造成损失的，由放弃成交权的成交候选人承担。有关行政监督部门应将其放弃成交权的情况记入其信用档案。所有成交候选人放弃成交权或被取消成交资格的，采购人将重新依法组织采购。</w:t>
      </w:r>
    </w:p>
    <w:p>
      <w:pPr>
        <w:pStyle w:val="18"/>
        <w:keepNext w:val="0"/>
        <w:keepLines w:val="0"/>
        <w:pageBreakBefore w:val="0"/>
        <w:widowControl w:val="0"/>
        <w:numPr>
          <w:ilvl w:val="0"/>
          <w:numId w:val="0"/>
        </w:numPr>
        <w:tabs>
          <w:tab w:val="left" w:pos="1889"/>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1.3</w:t>
      </w:r>
      <w:r>
        <w:rPr>
          <w:rFonts w:hint="eastAsia" w:ascii="宋体" w:hAnsi="宋体" w:eastAsia="宋体" w:cs="宋体"/>
          <w:spacing w:val="0"/>
          <w:sz w:val="24"/>
          <w:szCs w:val="24"/>
        </w:rPr>
        <w:t>评审过程计算均采用四舍五入法，并保留小数 2 位。</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在</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期间，</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响应方不得向</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小组成员询问</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情况，不得进行旨在影响</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结果的活动。否则将废除其</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资格。在</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过程中，</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小组成员不得与</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响应方私下交换意见。在</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工作结束后，凡与</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情况有接触的任何人不得将</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情况扩散出</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小组成员之外。</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小组不向落选方解释落选原因。</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宋体" w:hAnsi="宋体" w:eastAsia="宋体" w:cs="宋体"/>
          <w:b/>
          <w:bCs/>
          <w:spacing w:val="0"/>
          <w:sz w:val="24"/>
          <w:szCs w:val="24"/>
        </w:rPr>
      </w:pPr>
      <w:bookmarkStart w:id="29" w:name="二、谈判程序"/>
      <w:bookmarkEnd w:id="29"/>
      <w:r>
        <w:rPr>
          <w:rFonts w:hint="eastAsia" w:ascii="宋体" w:hAnsi="宋体" w:eastAsia="宋体" w:cs="宋体"/>
          <w:b/>
          <w:bCs/>
          <w:spacing w:val="0"/>
          <w:sz w:val="24"/>
          <w:szCs w:val="24"/>
          <w:lang w:val="en-US" w:eastAsia="zh-CN"/>
        </w:rPr>
        <w:t>2、</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程序</w:t>
      </w:r>
    </w:p>
    <w:p>
      <w:pPr>
        <w:pStyle w:val="18"/>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2.1</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小组应当对响应文件进行评审，并根据</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文件规定的程序、评定成交的标准等事项与实质性响应</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文件要求的供应商进行</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。未实质性响应</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文件的响应文件按无效处理，</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小组应当告知有关供应商。</w:t>
      </w:r>
    </w:p>
    <w:p>
      <w:pPr>
        <w:pStyle w:val="18"/>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2.2</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小组所有成员应当集中与单一供应商分别进行</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，并给予所有参加</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的供应商平等的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机会。</w:t>
      </w:r>
    </w:p>
    <w:p>
      <w:pPr>
        <w:pStyle w:val="18"/>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2.3</w:t>
      </w:r>
      <w:r>
        <w:rPr>
          <w:rFonts w:hint="eastAsia" w:ascii="宋体" w:hAnsi="宋体" w:eastAsia="宋体" w:cs="宋体"/>
          <w:spacing w:val="0"/>
          <w:sz w:val="24"/>
          <w:szCs w:val="24"/>
        </w:rPr>
        <w:t>在</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过程中，</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小组可以根据</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文件和</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情况实质性变动采购需求中的技术、服务要求以及合同草案条款，但不得变动</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文件中的其他内容。实质性变动的内容</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须经采购人代表确认。</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对</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文件作出的实质性变动是</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文件的有效组成部分，</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小组应当及时以书面形式同时通知所有参加</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的供应商。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供应商应当按照</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文件的变动情况和</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小组的要求重新提交响应文件，并由其法定代表人或授权代表签字或者加盖公章。由授权代表签字的，应当附法定代表人授权书。供应商为自然人的，应当由本人签字并附身份证明。</w:t>
      </w:r>
    </w:p>
    <w:p>
      <w:pPr>
        <w:pStyle w:val="18"/>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2.6已提交响应文件的供应商，在提交投标报价之前，可以根据投标情况退出投标。</w:t>
      </w:r>
    </w:p>
    <w:p>
      <w:pPr>
        <w:pStyle w:val="18"/>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2.7投标小组应当从质量和服务均能满足采购文件实质性响应要求的供应商中，按照投标报价由低到高的顺序提出成交候选人，并编写评审报告。</w:t>
      </w:r>
    </w:p>
    <w:p>
      <w:pPr>
        <w:pStyle w:val="18"/>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6"/>
          <w:sz w:val="24"/>
          <w:szCs w:val="24"/>
          <w:lang w:val="en-US" w:eastAsia="zh-CN"/>
        </w:rPr>
      </w:pPr>
      <w:r>
        <w:rPr>
          <w:rFonts w:hint="eastAsia" w:ascii="宋体" w:hAnsi="宋体" w:eastAsia="宋体" w:cs="宋体"/>
          <w:spacing w:val="0"/>
          <w:sz w:val="24"/>
          <w:szCs w:val="24"/>
          <w:lang w:val="en-US" w:eastAsia="zh-CN"/>
        </w:rPr>
        <w:t>2.8</w:t>
      </w:r>
      <w:r>
        <w:rPr>
          <w:rFonts w:hint="eastAsia" w:ascii="宋体" w:hAnsi="宋体" w:eastAsia="宋体" w:cs="宋体"/>
          <w:spacing w:val="-6"/>
          <w:sz w:val="24"/>
          <w:szCs w:val="24"/>
          <w:lang w:val="en-US" w:eastAsia="zh-CN"/>
        </w:rPr>
        <w:t>采购代理机构应当在评审结束后 2 个工作日内将评审报告送采购人确认。</w:t>
      </w:r>
    </w:p>
    <w:p>
      <w:pPr>
        <w:pStyle w:val="18"/>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2.9采购人应当在收到评审报告后 5 个工作日内，从评审报告提出的成交候选人中，根据质量和服务均能满足采购文件实质性响应要求且投标报价最低的原则确定成交供应商，也可以书面授权投标小组直接确定成交供应商。采购人逾期未确定成交供应商且不提出异议的，视为确定评审报告提出的投标报价最低的供应商为成交供应商。</w:t>
      </w:r>
    </w:p>
    <w:p>
      <w:pPr>
        <w:pStyle w:val="18"/>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2.10出现下列情形之一的，采购人或者采购代理机构应当终止投标采购活动，发布项目终止公告并说明原因，重新开展采购活动：</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（一）因情况变化，不再符合规定的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采购方式适用情形的；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（二）出现影响采购公正的违法、违规行为的；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bookmarkStart w:id="30" w:name="（三）在采购过程中符合竞争要求的供应商或者报价未超过采购预算的供应商不足 2 家"/>
      <w:bookmarkEnd w:id="30"/>
      <w:r>
        <w:rPr>
          <w:rFonts w:hint="eastAsia" w:ascii="宋体" w:hAnsi="宋体" w:eastAsia="宋体" w:cs="宋体"/>
          <w:spacing w:val="0"/>
          <w:sz w:val="24"/>
          <w:szCs w:val="24"/>
        </w:rPr>
        <w:t>（三）在采购过程中符合要求的供应商或者报价未超过采购预算的供应商不足2家的。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3、其他</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Chars="200" w:right="0" w:rightChars="0"/>
        <w:textAlignment w:val="auto"/>
        <w:rPr>
          <w:rFonts w:ascii="宋体" w:hAnsi="宋体" w:eastAsia="宋体" w:cs="宋体"/>
          <w:sz w:val="24"/>
          <w:szCs w:val="24"/>
        </w:rPr>
      </w:pPr>
      <w:r>
        <w:rPr>
          <w:rFonts w:hint="eastAsia" w:ascii="宋体" w:hAnsi="宋体" w:eastAsia="宋体" w:cs="宋体"/>
          <w:b/>
          <w:bCs/>
          <w:sz w:val="24"/>
          <w:szCs w:val="24"/>
          <w:lang w:eastAsia="zh-CN"/>
        </w:rPr>
        <w:t>（一）</w:t>
      </w:r>
      <w:r>
        <w:rPr>
          <w:rFonts w:ascii="宋体" w:hAnsi="宋体" w:eastAsia="宋体" w:cs="宋体"/>
          <w:b/>
          <w:bCs/>
          <w:sz w:val="24"/>
          <w:szCs w:val="24"/>
        </w:rPr>
        <w:t>政府采购政策</w:t>
      </w:r>
      <w:r>
        <w:rPr>
          <w:rFonts w:ascii="宋体" w:hAnsi="宋体" w:eastAsia="宋体" w:cs="宋体"/>
          <w:sz w:val="24"/>
          <w:szCs w:val="24"/>
        </w:rPr>
        <w:t xml:space="preserve">： </w:t>
      </w:r>
    </w:p>
    <w:p>
      <w:pPr>
        <w:pStyle w:val="7"/>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投标人未提供以上资料或者经评标委员会核查不符的，将不能享受相应的小微企业优惠政策； </w:t>
      </w:r>
    </w:p>
    <w:p>
      <w:pPr>
        <w:pStyle w:val="7"/>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监狱企业参加政府采购活动时，应当提供由省级以上监狱管理局、戒毒管理局（含新疆生产建设兵团）出具的属于监狱企业的证明文件，视同小型、微型企业，享受小微 企业政府采购优惠政策； </w:t>
      </w:r>
    </w:p>
    <w:p>
      <w:pPr>
        <w:pStyle w:val="7"/>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ascii="宋体" w:hAnsi="宋体" w:eastAsia="宋体" w:cs="宋体"/>
          <w:sz w:val="24"/>
          <w:szCs w:val="24"/>
        </w:rPr>
      </w:pPr>
      <w:r>
        <w:rPr>
          <w:rFonts w:ascii="宋体" w:hAnsi="宋体" w:eastAsia="宋体" w:cs="宋体"/>
          <w:sz w:val="24"/>
          <w:szCs w:val="24"/>
        </w:rPr>
        <w:t>残疾人福利性单位在参加政府采购活动时，应提供《残疾人福利性单位声明函》，视同小型、微型企业，享受小微企业政府采购优惠政策。</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ascii="宋体" w:hAnsi="宋体" w:eastAsia="宋体" w:cs="宋体"/>
          <w:b/>
          <w:bCs/>
          <w:sz w:val="24"/>
          <w:szCs w:val="24"/>
        </w:rPr>
      </w:pPr>
      <w:r>
        <w:rPr>
          <w:rFonts w:ascii="宋体" w:hAnsi="宋体" w:eastAsia="宋体" w:cs="宋体"/>
          <w:b/>
          <w:bCs/>
          <w:sz w:val="24"/>
          <w:szCs w:val="24"/>
        </w:rPr>
        <w:t>（二）政府采购政策优惠措施：</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ascii="宋体" w:hAnsi="宋体" w:eastAsia="宋体" w:cs="宋体"/>
          <w:b/>
          <w:bCs/>
          <w:sz w:val="24"/>
          <w:szCs w:val="24"/>
        </w:rPr>
      </w:pPr>
      <w:r>
        <w:rPr>
          <w:rFonts w:ascii="宋体" w:hAnsi="宋体" w:eastAsia="宋体" w:cs="宋体"/>
          <w:b/>
          <w:bCs/>
          <w:sz w:val="24"/>
          <w:szCs w:val="24"/>
        </w:rPr>
        <w:t>本项目整体专门面向中小企业采购，价格评审时小微企业的投标报价不再执行评审优惠的扶持政策。</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注：得分以系统计算为准，保留2位小数。</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0"/>
          <w:sz w:val="24"/>
          <w:szCs w:val="24"/>
        </w:rPr>
        <w:t>评审委员会不向未成交单位解释落标具体原因，不退还</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文件。</w:t>
      </w:r>
    </w:p>
    <w:p>
      <w:pPr>
        <w:keepNext w:val="0"/>
        <w:keepLines w:val="0"/>
        <w:widowControl/>
        <w:suppressLineNumbers w:val="0"/>
        <w:jc w:val="center"/>
        <w:rPr>
          <w:rFonts w:hint="eastAsia" w:ascii="宋体" w:hAnsi="宋体" w:eastAsia="宋体" w:cs="宋体"/>
          <w:spacing w:val="0"/>
          <w:sz w:val="24"/>
          <w:szCs w:val="24"/>
        </w:rPr>
      </w:pPr>
      <w:r>
        <w:rPr>
          <w:rFonts w:hint="eastAsia" w:ascii="微软雅黑" w:hAnsi="微软雅黑" w:eastAsia="微软雅黑" w:cs="微软雅黑"/>
          <w:b/>
          <w:sz w:val="28"/>
          <w:szCs w:val="24"/>
          <w:lang w:val="en-US" w:eastAsia="zh-CN" w:bidi="zh-CN"/>
        </w:rPr>
        <w:t>第四章 采购需求</w:t>
      </w:r>
    </w:p>
    <w:p>
      <w:pPr>
        <w:rPr>
          <w:rFonts w:hint="eastAsia" w:ascii="宋体" w:hAnsi="宋体" w:eastAsia="宋体" w:cs="宋体"/>
          <w:sz w:val="24"/>
          <w:szCs w:val="24"/>
        </w:rPr>
      </w:pPr>
      <w:bookmarkStart w:id="31" w:name="bookmark0"/>
      <w:r>
        <w:rPr>
          <w:rFonts w:hint="eastAsia" w:ascii="宋体" w:hAnsi="宋体" w:eastAsia="宋体" w:cs="宋体"/>
          <w:b/>
          <w:bCs/>
          <w:color w:val="000000"/>
          <w:spacing w:val="0"/>
          <w:w w:val="100"/>
          <w:position w:val="0"/>
          <w:sz w:val="24"/>
          <w:szCs w:val="24"/>
        </w:rPr>
        <w:t>一</w:t>
      </w:r>
      <w:bookmarkEnd w:id="31"/>
      <w:r>
        <w:rPr>
          <w:rFonts w:hint="eastAsia" w:ascii="宋体" w:hAnsi="宋体" w:eastAsia="宋体" w:cs="宋体"/>
          <w:b/>
          <w:bCs/>
          <w:color w:val="000000"/>
          <w:spacing w:val="0"/>
          <w:w w:val="100"/>
          <w:position w:val="0"/>
          <w:sz w:val="24"/>
          <w:szCs w:val="24"/>
        </w:rPr>
        <w:t>、釆购内容</w:t>
      </w:r>
    </w:p>
    <w:tbl>
      <w:tblPr>
        <w:tblStyle w:val="15"/>
        <w:tblpPr w:leftFromText="180" w:rightFromText="180" w:vertAnchor="text" w:horzAnchor="page" w:tblpX="1314" w:tblpY="42"/>
        <w:tblOverlap w:val="never"/>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127"/>
        <w:gridCol w:w="1275"/>
        <w:gridCol w:w="900"/>
        <w:gridCol w:w="2141"/>
        <w:gridCol w:w="2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8" w:type="dxa"/>
            <w:noWrap/>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127" w:type="dxa"/>
            <w:noWrap/>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标项名称</w:t>
            </w:r>
          </w:p>
        </w:tc>
        <w:tc>
          <w:tcPr>
            <w:tcW w:w="1275" w:type="dxa"/>
            <w:noWrap/>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采购数量</w:t>
            </w:r>
          </w:p>
        </w:tc>
        <w:tc>
          <w:tcPr>
            <w:tcW w:w="900" w:type="dxa"/>
            <w:noWrap/>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单位</w:t>
            </w:r>
          </w:p>
        </w:tc>
        <w:tc>
          <w:tcPr>
            <w:tcW w:w="2141" w:type="dxa"/>
            <w:noWrap/>
            <w:vAlign w:val="center"/>
          </w:tcPr>
          <w:p>
            <w:pPr>
              <w:adjustRightInd w:val="0"/>
              <w:snapToGrid w:val="0"/>
              <w:jc w:val="center"/>
              <w:rPr>
                <w:rFonts w:hint="eastAsia" w:ascii="宋体" w:hAnsi="宋体" w:eastAsia="宋体" w:cs="宋体"/>
                <w:bCs/>
                <w:sz w:val="24"/>
                <w:szCs w:val="24"/>
                <w:lang w:eastAsia="zh-CN"/>
              </w:rPr>
            </w:pPr>
            <w:r>
              <w:rPr>
                <w:rFonts w:hint="eastAsia" w:ascii="宋体" w:hAnsi="宋体" w:eastAsia="宋体" w:cs="宋体"/>
                <w:bCs/>
                <w:sz w:val="24"/>
                <w:szCs w:val="24"/>
              </w:rPr>
              <w:t>预算总金额(万元)</w:t>
            </w:r>
          </w:p>
        </w:tc>
        <w:tc>
          <w:tcPr>
            <w:tcW w:w="2569" w:type="dxa"/>
            <w:noWrap/>
            <w:vAlign w:val="center"/>
          </w:tcPr>
          <w:p>
            <w:pPr>
              <w:adjustRightInd w:val="0"/>
              <w:snapToGrid w:val="0"/>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8"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127" w:type="dxa"/>
            <w:noWrap/>
            <w:vAlign w:val="center"/>
          </w:tcPr>
          <w:p>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20T装配式蓄水箱 </w:t>
            </w:r>
          </w:p>
        </w:tc>
        <w:tc>
          <w:tcPr>
            <w:tcW w:w="1275" w:type="dxa"/>
            <w:noWrap/>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00" w:type="dxa"/>
            <w:noWrap/>
            <w:vAlign w:val="center"/>
          </w:tcPr>
          <w:p>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只</w:t>
            </w:r>
          </w:p>
        </w:tc>
        <w:tc>
          <w:tcPr>
            <w:tcW w:w="2141" w:type="dxa"/>
            <w:vMerge w:val="restart"/>
            <w:noWrap/>
            <w:vAlign w:val="center"/>
          </w:tcPr>
          <w:p>
            <w:pPr>
              <w:autoSpaceDE w:val="0"/>
              <w:autoSpaceDN w:val="0"/>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2569" w:type="dxa"/>
            <w:noWrap/>
            <w:vAlign w:val="center"/>
          </w:tcPr>
          <w:p>
            <w:pPr>
              <w:autoSpaceDE w:val="0"/>
              <w:autoSpaceDN w:val="0"/>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（含</w:t>
            </w:r>
            <w:r>
              <w:rPr>
                <w:rFonts w:hint="eastAsia" w:ascii="宋体" w:hAnsi="宋体" w:eastAsia="宋体" w:cs="宋体"/>
                <w:sz w:val="24"/>
                <w:szCs w:val="24"/>
                <w:lang w:val="en-US" w:eastAsia="zh-CN"/>
              </w:rPr>
              <w:t>C15砼垫层、C30基础地板及池壁等</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8" w:type="dxa"/>
            <w:noWrap/>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27" w:type="dxa"/>
            <w:noWrap/>
            <w:vAlign w:val="center"/>
          </w:tcPr>
          <w:p>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20T塑料蓄水桶</w:t>
            </w:r>
          </w:p>
        </w:tc>
        <w:tc>
          <w:tcPr>
            <w:tcW w:w="1275" w:type="dxa"/>
            <w:noWrap/>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900" w:type="dxa"/>
            <w:noWrap/>
            <w:vAlign w:val="center"/>
          </w:tcPr>
          <w:p>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只</w:t>
            </w:r>
          </w:p>
        </w:tc>
        <w:tc>
          <w:tcPr>
            <w:tcW w:w="2141" w:type="dxa"/>
            <w:vMerge w:val="continue"/>
            <w:noWrap/>
            <w:vAlign w:val="center"/>
          </w:tcPr>
          <w:p>
            <w:pPr>
              <w:autoSpaceDE w:val="0"/>
              <w:autoSpaceDN w:val="0"/>
              <w:adjustRightInd w:val="0"/>
              <w:snapToGrid w:val="0"/>
              <w:rPr>
                <w:rFonts w:hint="eastAsia" w:ascii="宋体" w:hAnsi="宋体" w:eastAsia="宋体" w:cs="宋体"/>
                <w:sz w:val="24"/>
                <w:szCs w:val="24"/>
              </w:rPr>
            </w:pPr>
          </w:p>
        </w:tc>
        <w:tc>
          <w:tcPr>
            <w:tcW w:w="2569" w:type="dxa"/>
            <w:noWrap/>
            <w:vAlign w:val="center"/>
          </w:tcPr>
          <w:p>
            <w:pPr>
              <w:autoSpaceDE w:val="0"/>
              <w:autoSpaceDN w:val="0"/>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（含</w:t>
            </w:r>
            <w:r>
              <w:rPr>
                <w:rFonts w:hint="eastAsia" w:ascii="宋体" w:hAnsi="宋体" w:eastAsia="宋体" w:cs="宋体"/>
                <w:sz w:val="24"/>
                <w:szCs w:val="24"/>
                <w:lang w:val="en-US" w:eastAsia="zh-CN"/>
              </w:rPr>
              <w:t>C15砼垫层、C30基础地板</w:t>
            </w:r>
            <w:r>
              <w:rPr>
                <w:rFonts w:hint="eastAsia" w:ascii="宋体" w:hAnsi="宋体" w:eastAsia="宋体" w:cs="宋体"/>
                <w:sz w:val="24"/>
                <w:szCs w:val="24"/>
                <w:lang w:eastAsia="zh-CN"/>
              </w:rPr>
              <w:t>）</w:t>
            </w:r>
          </w:p>
        </w:tc>
      </w:tr>
    </w:tbl>
    <w:p>
      <w:pPr>
        <w:rPr>
          <w:rFonts w:hint="eastAsia" w:ascii="宋体" w:hAnsi="宋体" w:eastAsia="宋体" w:cs="宋体"/>
          <w:spacing w:val="0"/>
          <w:sz w:val="24"/>
          <w:szCs w:val="24"/>
        </w:rPr>
      </w:pPr>
      <w:r>
        <w:rPr>
          <w:rFonts w:hint="eastAsia" w:ascii="宋体" w:hAnsi="宋体" w:eastAsia="宋体" w:cs="宋体"/>
          <w:b/>
          <w:bCs/>
          <w:color w:val="000000"/>
          <w:spacing w:val="0"/>
          <w:w w:val="100"/>
          <w:position w:val="0"/>
          <w:sz w:val="24"/>
          <w:szCs w:val="24"/>
          <w:lang w:eastAsia="zh-CN"/>
        </w:rPr>
        <w:t>二、采购清单、</w:t>
      </w:r>
      <w:r>
        <w:rPr>
          <w:rFonts w:hint="eastAsia" w:ascii="宋体" w:hAnsi="宋体" w:eastAsia="宋体" w:cs="宋体"/>
          <w:b/>
          <w:bCs/>
          <w:color w:val="000000"/>
          <w:spacing w:val="0"/>
          <w:w w:val="100"/>
          <w:position w:val="0"/>
          <w:sz w:val="24"/>
          <w:szCs w:val="24"/>
          <w:lang w:val="en-US" w:eastAsia="zh-CN"/>
        </w:rPr>
        <w:t>技术参数及要求</w:t>
      </w:r>
    </w:p>
    <w:tbl>
      <w:tblPr>
        <w:tblStyle w:val="16"/>
        <w:tblW w:w="10164" w:type="dxa"/>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600"/>
        <w:gridCol w:w="456"/>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dxa"/>
            <w:vAlign w:val="center"/>
          </w:tcPr>
          <w:p>
            <w:pPr>
              <w:keepNext w:val="0"/>
              <w:keepLines w:val="0"/>
              <w:pageBreakBefore w:val="0"/>
              <w:widowControl w:val="0"/>
              <w:kinsoku/>
              <w:wordWrap/>
              <w:overflowPunct/>
              <w:topLinePunct w:val="0"/>
              <w:autoSpaceDE w:val="0"/>
              <w:autoSpaceDN w:val="0"/>
              <w:bidi w:val="0"/>
              <w:adjustRightInd/>
              <w:spacing w:line="280" w:lineRule="exact"/>
              <w:ind w:left="0" w:leftChars="0" w:right="0" w:rightChars="0"/>
              <w:jc w:val="center"/>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lang w:val="en-US" w:eastAsia="zh-CN"/>
              </w:rPr>
              <w:t>1</w:t>
            </w:r>
          </w:p>
        </w:tc>
        <w:tc>
          <w:tcPr>
            <w:tcW w:w="600" w:type="dxa"/>
            <w:vAlign w:val="center"/>
          </w:tcPr>
          <w:p>
            <w:pPr>
              <w:keepNext w:val="0"/>
              <w:keepLines w:val="0"/>
              <w:pageBreakBefore w:val="0"/>
              <w:widowControl w:val="0"/>
              <w:kinsoku/>
              <w:wordWrap/>
              <w:overflowPunct/>
              <w:topLinePunct w:val="0"/>
              <w:autoSpaceDE w:val="0"/>
              <w:autoSpaceDN w:val="0"/>
              <w:bidi w:val="0"/>
              <w:adjustRightInd/>
              <w:spacing w:line="280" w:lineRule="exact"/>
              <w:ind w:left="0" w:leftChars="0" w:right="0" w:rightChars="0"/>
              <w:jc w:val="center"/>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lang w:eastAsia="zh-CN"/>
              </w:rPr>
              <w:t xml:space="preserve">20T装配式蓄水箱 </w:t>
            </w:r>
          </w:p>
        </w:tc>
        <w:tc>
          <w:tcPr>
            <w:tcW w:w="456" w:type="dxa"/>
            <w:vAlign w:val="center"/>
          </w:tcPr>
          <w:p>
            <w:pPr>
              <w:keepNext w:val="0"/>
              <w:keepLines w:val="0"/>
              <w:pageBreakBefore w:val="0"/>
              <w:widowControl w:val="0"/>
              <w:kinsoku/>
              <w:wordWrap/>
              <w:overflowPunct/>
              <w:topLinePunct w:val="0"/>
              <w:autoSpaceDE w:val="0"/>
              <w:autoSpaceDN w:val="0"/>
              <w:bidi w:val="0"/>
              <w:adjustRightInd/>
              <w:spacing w:line="280" w:lineRule="exact"/>
              <w:ind w:right="0" w:rightChars="0"/>
              <w:jc w:val="center"/>
              <w:textAlignment w:val="auto"/>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4只</w:t>
            </w:r>
          </w:p>
        </w:tc>
        <w:tc>
          <w:tcPr>
            <w:tcW w:w="8736" w:type="dxa"/>
          </w:tcPr>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（1）容量 ：20 吨；</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pacing w:val="-6"/>
                <w:sz w:val="24"/>
                <w:szCs w:val="24"/>
              </w:rPr>
              <w:t>【*】2.材质 ：304 型不锈钢 ，板材厚度：底面板≥l.5MM , 侧面板≥l.5MM , 顶</w:t>
            </w:r>
            <w:r>
              <w:rPr>
                <w:rFonts w:hint="eastAsia" w:ascii="宋体" w:hAnsi="宋体" w:eastAsia="宋体" w:cs="宋体"/>
                <w:sz w:val="24"/>
                <w:szCs w:val="24"/>
              </w:rPr>
              <w:t>面板≥l.OMM 。</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3.保持使用期限 ：20-50 年。</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4.制造标准</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（1）依据现行 《建筑给排水设计规范》 中的有关规定制定。冲压不锈钢钢板焊接水箱采用不锈钢钢板冲压出加强筋，并用不锈钢焊丝整体焊接而成，结构简单，强度好。</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2）水箱采用不锈钢板，冲压成型高质量的承压需要，又降低了材料厚度，具有强度高，重量轻，并能较好的防止水质的二次污染，环保卫生高强度的冲压板块及箱内分布均匀的不锈钢拉筋使箱体承压均匀合理。</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（3）采用氢弧焊焊接而成，焊丝选用 ER308、TIG316 不锈钢焊丝，焊缝表面经酸洗钝化处理，确保焊缝经久耐用不腐蚀 。</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（4）水箱的进水口、出水口、溢流口、排污口尺寸及位置根据森林消防水泵和业主要求接口制定，实现快速连接。</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（5）符合国家卫生标准，不长青苔，不漏水，安全稳固 。</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5.安装要求</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（1）根据业主指定位置，水箱基础要求钢筋混凝土砼基础，应按有关要求规定制定砼基础平面高低差≤2cm。</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（2）不锈钢水箱采用槽钢托架连接基础，托架采用热浸镀锌或刷漆工艺防腐。</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（3）安装完工注满水 24H ，箱体无明显变形，焊接无渗漏为合格。</w:t>
            </w:r>
          </w:p>
          <w:p>
            <w:pPr>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（4）提供12个月服务，当客户在使用过程中，水箱有任何问题，供货方必须在4小时内安排人员上门查看及维修。</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280" w:lineRule="exact"/>
              <w:ind w:right="0" w:rightChars="0"/>
              <w:jc w:val="both"/>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6.进水接管接口等配件由中标方提供，确保进水质量。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dxa"/>
            <w:vAlign w:val="center"/>
          </w:tcPr>
          <w:p>
            <w:pPr>
              <w:keepNext w:val="0"/>
              <w:keepLines w:val="0"/>
              <w:pageBreakBefore w:val="0"/>
              <w:widowControl w:val="0"/>
              <w:kinsoku/>
              <w:wordWrap/>
              <w:overflowPunct/>
              <w:topLinePunct w:val="0"/>
              <w:autoSpaceDE w:val="0"/>
              <w:autoSpaceDN w:val="0"/>
              <w:bidi w:val="0"/>
              <w:adjustRightInd/>
              <w:spacing w:line="280" w:lineRule="exact"/>
              <w:ind w:left="0" w:leftChars="0" w:right="0" w:rightChars="0"/>
              <w:jc w:val="center"/>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lang w:val="en-US" w:eastAsia="zh-CN"/>
              </w:rPr>
              <w:t>2</w:t>
            </w:r>
          </w:p>
        </w:tc>
        <w:tc>
          <w:tcPr>
            <w:tcW w:w="600" w:type="dxa"/>
            <w:vAlign w:val="center"/>
          </w:tcPr>
          <w:p>
            <w:pPr>
              <w:keepNext w:val="0"/>
              <w:keepLines w:val="0"/>
              <w:pageBreakBefore w:val="0"/>
              <w:widowControl w:val="0"/>
              <w:kinsoku/>
              <w:wordWrap/>
              <w:overflowPunct/>
              <w:topLinePunct w:val="0"/>
              <w:autoSpaceDE w:val="0"/>
              <w:autoSpaceDN w:val="0"/>
              <w:bidi w:val="0"/>
              <w:adjustRightInd/>
              <w:spacing w:line="280" w:lineRule="exact"/>
              <w:ind w:left="0" w:leftChars="0" w:right="0" w:rightChars="0"/>
              <w:jc w:val="center"/>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lang w:eastAsia="zh-CN"/>
              </w:rPr>
              <w:t>20T塑料蓄水桶</w:t>
            </w:r>
          </w:p>
        </w:tc>
        <w:tc>
          <w:tcPr>
            <w:tcW w:w="456" w:type="dxa"/>
            <w:vAlign w:val="center"/>
          </w:tcPr>
          <w:p>
            <w:pPr>
              <w:keepNext w:val="0"/>
              <w:keepLines w:val="0"/>
              <w:pageBreakBefore w:val="0"/>
              <w:widowControl w:val="0"/>
              <w:kinsoku/>
              <w:wordWrap/>
              <w:overflowPunct/>
              <w:topLinePunct w:val="0"/>
              <w:autoSpaceDE w:val="0"/>
              <w:autoSpaceDN w:val="0"/>
              <w:bidi w:val="0"/>
              <w:adjustRightInd/>
              <w:spacing w:line="280" w:lineRule="exact"/>
              <w:ind w:left="0" w:leftChars="0" w:right="0" w:rightChars="0"/>
              <w:jc w:val="center"/>
              <w:textAlignment w:val="auto"/>
              <w:rPr>
                <w:rFonts w:hint="eastAsia" w:ascii="宋体" w:hAnsi="宋体" w:eastAsia="宋体" w:cs="宋体"/>
                <w:spacing w:val="0"/>
                <w:sz w:val="24"/>
                <w:szCs w:val="24"/>
                <w:vertAlign w:val="baseline"/>
              </w:rPr>
            </w:pPr>
            <w:r>
              <w:rPr>
                <w:rFonts w:hint="eastAsia" w:ascii="宋体" w:hAnsi="宋体" w:eastAsia="宋体" w:cs="宋体"/>
                <w:color w:val="222222"/>
                <w:sz w:val="24"/>
                <w:szCs w:val="24"/>
                <w:lang w:val="en-US" w:eastAsia="zh-CN"/>
              </w:rPr>
              <w:t>36</w:t>
            </w:r>
            <w:r>
              <w:rPr>
                <w:rFonts w:hint="eastAsia" w:ascii="宋体" w:hAnsi="宋体" w:eastAsia="宋体" w:cs="宋体"/>
                <w:color w:val="222222"/>
                <w:sz w:val="24"/>
                <w:szCs w:val="24"/>
              </w:rPr>
              <w:t>只</w:t>
            </w:r>
          </w:p>
        </w:tc>
        <w:tc>
          <w:tcPr>
            <w:tcW w:w="8736" w:type="dxa"/>
          </w:tcPr>
          <w:p>
            <w:pPr>
              <w:pStyle w:val="8"/>
              <w:keepNext w:val="0"/>
              <w:keepLines w:val="0"/>
              <w:pageBreakBefore w:val="0"/>
              <w:widowControl w:val="0"/>
              <w:kinsoku/>
              <w:wordWrap/>
              <w:overflowPunct/>
              <w:topLinePunct w:val="0"/>
              <w:autoSpaceDE w:val="0"/>
              <w:autoSpaceDN w:val="0"/>
              <w:bidi w:val="0"/>
              <w:adjustRightInd/>
              <w:snapToGrid/>
              <w:spacing w:line="280" w:lineRule="exact"/>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 桶为圆柱形，桶上有“森林消防”显眼字样。</w:t>
            </w:r>
          </w:p>
          <w:p>
            <w:pPr>
              <w:pStyle w:val="8"/>
              <w:keepNext w:val="0"/>
              <w:keepLines w:val="0"/>
              <w:pageBreakBefore w:val="0"/>
              <w:widowControl w:val="0"/>
              <w:kinsoku/>
              <w:wordWrap/>
              <w:overflowPunct/>
              <w:topLinePunct w:val="0"/>
              <w:autoSpaceDE w:val="0"/>
              <w:autoSpaceDN w:val="0"/>
              <w:bidi w:val="0"/>
              <w:adjustRightInd/>
              <w:snapToGrid/>
              <w:spacing w:line="280" w:lineRule="exact"/>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2.容积 20000L ，桶直径≥2900mm ，桶总高≥3300mm , 桶身侧面下部出水口厚度≥18mm，使用年限≥15 年。</w:t>
            </w:r>
          </w:p>
          <w:p>
            <w:pPr>
              <w:pStyle w:val="8"/>
              <w:keepNext w:val="0"/>
              <w:keepLines w:val="0"/>
              <w:pageBreakBefore w:val="0"/>
              <w:widowControl w:val="0"/>
              <w:kinsoku/>
              <w:wordWrap/>
              <w:overflowPunct/>
              <w:topLinePunct w:val="0"/>
              <w:autoSpaceDE w:val="0"/>
              <w:autoSpaceDN w:val="0"/>
              <w:bidi w:val="0"/>
              <w:adjustRightInd/>
              <w:snapToGrid/>
              <w:spacing w:line="280" w:lineRule="exact"/>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3.集雨面成锥形（ 凹面）并与桶体一次成形 ，锥底部到桶顶垂直的距离≥250mm ，集雨口大小≥600mm,（加网罩）。集雨面有消防取水口≥220mm ，进水口接口 DN</w:t>
            </w:r>
            <w:r>
              <w:rPr>
                <w:rFonts w:hint="eastAsia" w:ascii="宋体" w:hAnsi="宋体" w:eastAsia="宋体" w:cs="宋体"/>
                <w:sz w:val="24"/>
                <w:szCs w:val="24"/>
                <w:lang w:val="en-US" w:eastAsia="zh-CN"/>
              </w:rPr>
              <w:t>80</w:t>
            </w:r>
            <w:r>
              <w:rPr>
                <w:rFonts w:hint="eastAsia" w:ascii="宋体" w:hAnsi="宋体" w:eastAsia="宋体" w:cs="宋体"/>
                <w:sz w:val="24"/>
                <w:szCs w:val="24"/>
                <w:lang w:val="zh-CN" w:eastAsia="zh-CN"/>
              </w:rPr>
              <w:t>。</w:t>
            </w:r>
          </w:p>
          <w:p>
            <w:pPr>
              <w:pStyle w:val="8"/>
              <w:keepNext w:val="0"/>
              <w:keepLines w:val="0"/>
              <w:pageBreakBefore w:val="0"/>
              <w:widowControl w:val="0"/>
              <w:kinsoku/>
              <w:wordWrap/>
              <w:overflowPunct/>
              <w:topLinePunct w:val="0"/>
              <w:autoSpaceDE w:val="0"/>
              <w:autoSpaceDN w:val="0"/>
              <w:bidi w:val="0"/>
              <w:adjustRightInd/>
              <w:snapToGrid/>
              <w:spacing w:line="280" w:lineRule="exact"/>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4.桶下部可连接出水口 DN</w:t>
            </w:r>
            <w:r>
              <w:rPr>
                <w:rFonts w:hint="eastAsia" w:ascii="宋体" w:hAnsi="宋体" w:eastAsia="宋体" w:cs="宋体"/>
                <w:sz w:val="24"/>
                <w:szCs w:val="24"/>
                <w:lang w:val="en-US" w:eastAsia="zh-CN"/>
              </w:rPr>
              <w:t>80</w:t>
            </w:r>
            <w:r>
              <w:rPr>
                <w:rFonts w:hint="eastAsia" w:ascii="宋体" w:hAnsi="宋体" w:eastAsia="宋体" w:cs="宋体"/>
                <w:sz w:val="24"/>
                <w:szCs w:val="24"/>
                <w:lang w:val="zh-CN" w:eastAsia="zh-CN"/>
              </w:rPr>
              <w:t>，</w:t>
            </w:r>
            <w:r>
              <w:rPr>
                <w:rFonts w:hint="eastAsia" w:ascii="宋体" w:hAnsi="宋体" w:eastAsia="宋体" w:cs="宋体"/>
                <w:color w:val="auto"/>
                <w:sz w:val="24"/>
                <w:szCs w:val="24"/>
                <w:highlight w:val="none"/>
                <w:lang w:val="zh-CN" w:eastAsia="zh-CN"/>
              </w:rPr>
              <w:t>在出水口前安装</w:t>
            </w:r>
            <w:r>
              <w:rPr>
                <w:rFonts w:hint="eastAsia" w:ascii="宋体" w:hAnsi="宋体" w:eastAsia="宋体" w:cs="宋体"/>
                <w:color w:val="auto"/>
                <w:sz w:val="24"/>
                <w:szCs w:val="24"/>
                <w:highlight w:val="none"/>
                <w:lang w:val="en-US" w:eastAsia="zh-CN"/>
              </w:rPr>
              <w:t>80沟槽闸阀，</w:t>
            </w:r>
            <w:r>
              <w:rPr>
                <w:rFonts w:hint="eastAsia" w:ascii="宋体" w:hAnsi="宋体" w:eastAsia="宋体" w:cs="宋体"/>
                <w:sz w:val="24"/>
                <w:szCs w:val="24"/>
                <w:lang w:val="zh-CN" w:eastAsia="zh-CN"/>
              </w:rPr>
              <w:t>配软接，与镀锌水管连接，水管长度一般 lm，并安装消防栓。并按业主需要提供快速接口。</w:t>
            </w:r>
          </w:p>
          <w:p>
            <w:pPr>
              <w:pStyle w:val="8"/>
              <w:keepNext w:val="0"/>
              <w:keepLines w:val="0"/>
              <w:pageBreakBefore w:val="0"/>
              <w:widowControl w:val="0"/>
              <w:kinsoku/>
              <w:wordWrap/>
              <w:overflowPunct/>
              <w:topLinePunct w:val="0"/>
              <w:autoSpaceDE w:val="0"/>
              <w:autoSpaceDN w:val="0"/>
              <w:bidi w:val="0"/>
              <w:adjustRightInd/>
              <w:snapToGrid/>
              <w:spacing w:line="280" w:lineRule="exact"/>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5.采用韩国进口低密度聚乙烯“644”全新原料。拉伸屈服强度≥280KG/CM，拉伸断裂强度≥330KG/CM，硬度≥60D SCALE，低温脆化温度≤-35 度，抗压强度≥220KG/CM ，提供检测报告。</w:t>
            </w:r>
          </w:p>
          <w:p>
            <w:pPr>
              <w:pStyle w:val="8"/>
              <w:keepNext w:val="0"/>
              <w:keepLines w:val="0"/>
              <w:pageBreakBefore w:val="0"/>
              <w:widowControl w:val="0"/>
              <w:kinsoku/>
              <w:wordWrap/>
              <w:overflowPunct/>
              <w:topLinePunct w:val="0"/>
              <w:autoSpaceDE w:val="0"/>
              <w:autoSpaceDN w:val="0"/>
              <w:bidi w:val="0"/>
              <w:adjustRightInd/>
              <w:snapToGrid/>
              <w:spacing w:line="280" w:lineRule="exact"/>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6.安装前下挖原土，然后使用钢筋混凝土浇好 4-6 厘米厚度与桶底同等形状尺寸基座，安装完成后回填原土。砼基础平面高低差≤2cm。</w:t>
            </w:r>
          </w:p>
          <w:p>
            <w:pPr>
              <w:pStyle w:val="8"/>
              <w:keepNext w:val="0"/>
              <w:keepLines w:val="0"/>
              <w:pageBreakBefore w:val="0"/>
              <w:widowControl w:val="0"/>
              <w:kinsoku/>
              <w:wordWrap/>
              <w:overflowPunct/>
              <w:topLinePunct w:val="0"/>
              <w:autoSpaceDE w:val="0"/>
              <w:autoSpaceDN w:val="0"/>
              <w:bidi w:val="0"/>
              <w:adjustRightInd/>
              <w:snapToGrid/>
              <w:spacing w:line="280" w:lineRule="exact"/>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7.因塑料桶蓄水池采用机械搬运，选址时，安装地点离林道小于 10 米。</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280" w:lineRule="exact"/>
              <w:ind w:right="0" w:rightChars="0" w:firstLine="0" w:firstLineChars="0"/>
              <w:jc w:val="both"/>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lang w:val="zh-CN" w:eastAsia="zh-CN"/>
              </w:rPr>
              <w:t>8.进水接管接口等配件由中标方提供，确保进水质量。</w:t>
            </w:r>
          </w:p>
        </w:tc>
      </w:tr>
    </w:tbl>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sectPr>
          <w:pgSz w:w="11906" w:h="16838"/>
          <w:pgMar w:top="1440" w:right="1800" w:bottom="1440" w:left="1800" w:header="851" w:footer="992" w:gutter="0"/>
          <w:cols w:space="425" w:num="1"/>
          <w:docGrid w:type="lines" w:linePitch="312" w:charSpace="0"/>
        </w:sectPr>
      </w:pPr>
    </w:p>
    <w:tbl>
      <w:tblPr>
        <w:tblStyle w:val="16"/>
        <w:tblW w:w="10176" w:type="dxa"/>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9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9"/>
              <w:keepNext w:val="0"/>
              <w:keepLines w:val="0"/>
              <w:pageBreakBefore w:val="0"/>
              <w:kinsoku/>
              <w:wordWrap/>
              <w:overflowPunct/>
              <w:topLinePunct w:val="0"/>
              <w:bidi w:val="0"/>
              <w:adjustRightInd/>
              <w:spacing w:before="0" w:line="360" w:lineRule="exact"/>
              <w:ind w:right="0"/>
              <w:jc w:val="center"/>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包装及运</w:t>
            </w:r>
            <w:r>
              <w:rPr>
                <w:rFonts w:hint="eastAsia" w:ascii="宋体" w:hAnsi="宋体" w:eastAsia="宋体" w:cs="宋体"/>
                <w:w w:val="99"/>
                <w:sz w:val="24"/>
                <w:szCs w:val="24"/>
              </w:rPr>
              <w:t>输</w:t>
            </w:r>
          </w:p>
        </w:tc>
        <w:tc>
          <w:tcPr>
            <w:tcW w:w="9324" w:type="dxa"/>
            <w:vAlign w:val="top"/>
          </w:tcPr>
          <w:p>
            <w:pPr>
              <w:keepNext w:val="0"/>
              <w:keepLines w:val="0"/>
              <w:pageBreakBefore w:val="0"/>
              <w:widowControl w:val="0"/>
              <w:kinsoku/>
              <w:wordWrap/>
              <w:overflowPunct/>
              <w:topLinePunct w:val="0"/>
              <w:autoSpaceDE w:val="0"/>
              <w:autoSpaceDN w:val="0"/>
              <w:bidi w:val="0"/>
              <w:adjustRightInd/>
              <w:snapToGrid w:val="0"/>
              <w:spacing w:before="0" w:line="3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产品包装应符合国家或专业（部）标准规定。货物的交付时，应附有产品合格证书（包括合格证、部件合格证、材料合格证等）、产品说明书、装箱单、易损件、备件及专用工具清单，一套完整的技术文件资料。</w:t>
            </w:r>
          </w:p>
          <w:p>
            <w:pPr>
              <w:keepNext w:val="0"/>
              <w:keepLines w:val="0"/>
              <w:pageBreakBefore w:val="0"/>
              <w:widowControl w:val="0"/>
              <w:kinsoku/>
              <w:wordWrap/>
              <w:overflowPunct/>
              <w:topLinePunct w:val="0"/>
              <w:autoSpaceDE w:val="0"/>
              <w:autoSpaceDN w:val="0"/>
              <w:bidi w:val="0"/>
              <w:adjustRightInd/>
              <w:snapToGrid w:val="0"/>
              <w:spacing w:before="0" w:line="3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2．供货方应保证所供货物是全新的、未使用过的货物。供货方应保证其货物在正确安装、正常使用和保养条件下，在使用寿命内应确保正常使用。</w:t>
            </w:r>
          </w:p>
          <w:p>
            <w:pPr>
              <w:keepNext w:val="0"/>
              <w:keepLines w:val="0"/>
              <w:pageBreakBefore w:val="0"/>
              <w:widowControl w:val="0"/>
              <w:kinsoku/>
              <w:wordWrap/>
              <w:overflowPunct/>
              <w:topLinePunct w:val="0"/>
              <w:autoSpaceDE w:val="0"/>
              <w:autoSpaceDN w:val="0"/>
              <w:bidi w:val="0"/>
              <w:adjustRightInd/>
              <w:snapToGrid w:val="0"/>
              <w:spacing w:before="0" w:line="360" w:lineRule="exact"/>
              <w:ind w:left="0" w:leftChars="0" w:right="0" w:rightChars="0"/>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3.供方应负责设备的途中运输，对途中运输的安全负责。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9"/>
              <w:keepNext w:val="0"/>
              <w:keepLines w:val="0"/>
              <w:pageBreakBefore w:val="0"/>
              <w:kinsoku/>
              <w:wordWrap/>
              <w:overflowPunct/>
              <w:topLinePunct w:val="0"/>
              <w:bidi w:val="0"/>
              <w:adjustRightInd/>
              <w:spacing w:before="0" w:line="360" w:lineRule="exact"/>
              <w:ind w:right="0" w:rightChars="0"/>
              <w:jc w:val="both"/>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项目投标报价要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求</w:t>
            </w:r>
          </w:p>
        </w:tc>
        <w:tc>
          <w:tcPr>
            <w:tcW w:w="9324" w:type="dxa"/>
            <w:vAlign w:val="center"/>
          </w:tcPr>
          <w:p>
            <w:pPr>
              <w:pStyle w:val="19"/>
              <w:keepNext w:val="0"/>
              <w:keepLines w:val="0"/>
              <w:pageBreakBefore w:val="0"/>
              <w:kinsoku/>
              <w:wordWrap/>
              <w:overflowPunct/>
              <w:topLinePunct w:val="0"/>
              <w:bidi w:val="0"/>
              <w:adjustRightInd/>
              <w:spacing w:before="0" w:line="36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1.投标报价包括货款、标准附件、备品备件、专用工具、 包装、运输、装卸、保险、税金、施工安装、验收、培训、保修、采购代理服务费等所有费用，投标人所投报的投标报价为投标人所能承受的整个项目的一次性最终最低报价(为本采购项目总价)，如有漏项，视同已包含在其它项目中，合同总价和单价不做调整。</w:t>
            </w:r>
          </w:p>
          <w:p>
            <w:pPr>
              <w:pStyle w:val="19"/>
              <w:keepNext w:val="0"/>
              <w:keepLines w:val="0"/>
              <w:pageBreakBefore w:val="0"/>
              <w:kinsoku/>
              <w:wordWrap/>
              <w:overflowPunct/>
              <w:topLinePunct w:val="0"/>
              <w:bidi w:val="0"/>
              <w:adjustRightInd/>
              <w:spacing w:before="0" w:line="360" w:lineRule="exact"/>
              <w:ind w:left="0" w:leftChars="0" w:right="0" w:rightChars="0"/>
              <w:jc w:val="both"/>
              <w:textAlignment w:val="auto"/>
              <w:rPr>
                <w:rFonts w:hint="eastAsia" w:ascii="宋体" w:hAnsi="宋体" w:eastAsia="宋体" w:cs="宋体"/>
                <w:spacing w:val="0"/>
                <w:sz w:val="24"/>
                <w:szCs w:val="24"/>
                <w:vertAlign w:val="baseline"/>
              </w:rPr>
            </w:pPr>
            <w:r>
              <w:rPr>
                <w:rFonts w:hint="eastAsia" w:ascii="宋体" w:hAnsi="宋体" w:eastAsia="宋体" w:cs="宋体"/>
                <w:w w:val="95"/>
                <w:sz w:val="24"/>
                <w:szCs w:val="24"/>
              </w:rPr>
              <w:t>2</w:t>
            </w:r>
            <w:r>
              <w:rPr>
                <w:rFonts w:hint="eastAsia" w:ascii="宋体" w:hAnsi="宋体" w:eastAsia="宋体" w:cs="宋体"/>
                <w:spacing w:val="-1"/>
                <w:w w:val="95"/>
                <w:sz w:val="24"/>
                <w:szCs w:val="24"/>
              </w:rPr>
              <w:t>.按国家规定由中标人缴纳的各种税收已包含在投标总价内，由中标人向税务机关缴纳。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Align w:val="center"/>
          </w:tcPr>
          <w:p>
            <w:pPr>
              <w:pStyle w:val="19"/>
              <w:keepNext w:val="0"/>
              <w:keepLines w:val="0"/>
              <w:pageBreakBefore w:val="0"/>
              <w:kinsoku/>
              <w:wordWrap/>
              <w:overflowPunct/>
              <w:topLinePunct w:val="0"/>
              <w:bidi w:val="0"/>
              <w:adjustRightInd/>
              <w:spacing w:before="0" w:line="360" w:lineRule="exact"/>
              <w:ind w:right="0" w:rightChars="0"/>
              <w:jc w:val="center"/>
              <w:textAlignment w:val="auto"/>
              <w:rPr>
                <w:rFonts w:hint="eastAsia" w:ascii="宋体" w:hAnsi="宋体" w:eastAsia="宋体" w:cs="宋体"/>
                <w:spacing w:val="0"/>
                <w:sz w:val="24"/>
                <w:szCs w:val="24"/>
                <w:vertAlign w:val="baseline"/>
                <w:lang w:eastAsia="zh-CN"/>
              </w:rPr>
            </w:pPr>
            <w:r>
              <w:rPr>
                <w:rFonts w:hint="eastAsia" w:ascii="宋体" w:hAnsi="宋体" w:eastAsia="宋体" w:cs="宋体"/>
                <w:spacing w:val="0"/>
                <w:sz w:val="24"/>
                <w:szCs w:val="24"/>
                <w:vertAlign w:val="baseline"/>
                <w:lang w:eastAsia="zh-CN"/>
              </w:rPr>
              <w:t>完工时间</w:t>
            </w:r>
          </w:p>
        </w:tc>
        <w:tc>
          <w:tcPr>
            <w:tcW w:w="9324" w:type="dxa"/>
            <w:vAlign w:val="center"/>
          </w:tcPr>
          <w:p>
            <w:pPr>
              <w:pStyle w:val="19"/>
              <w:keepNext w:val="0"/>
              <w:keepLines w:val="0"/>
              <w:pageBreakBefore w:val="0"/>
              <w:kinsoku/>
              <w:wordWrap/>
              <w:overflowPunct/>
              <w:topLinePunct w:val="0"/>
              <w:bidi w:val="0"/>
              <w:adjustRightInd/>
              <w:spacing w:before="0" w:line="360" w:lineRule="exact"/>
              <w:ind w:left="0" w:leftChars="0" w:right="0" w:rightChars="0"/>
              <w:jc w:val="both"/>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签订合同后 50 天内完工</w:t>
            </w:r>
            <w:r>
              <w:rPr>
                <w:rFonts w:hint="eastAsia" w:ascii="宋体" w:hAnsi="宋体" w:eastAsia="宋体" w:cs="宋体"/>
                <w:sz w:val="24"/>
                <w:szCs w:val="24"/>
                <w:lang w:eastAsia="zh-CN"/>
              </w:rPr>
              <w:t>，中标人完成安装完毕后，</w:t>
            </w:r>
            <w:r>
              <w:rPr>
                <w:rFonts w:hint="eastAsia" w:ascii="宋体" w:hAnsi="宋体" w:eastAsia="宋体" w:cs="宋体"/>
                <w:b/>
                <w:bCs/>
                <w:sz w:val="24"/>
                <w:szCs w:val="24"/>
                <w:lang w:eastAsia="zh-CN"/>
              </w:rPr>
              <w:t>须保证蓄水桶满水并提供安装位置照片及经纬度</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9"/>
              <w:keepNext w:val="0"/>
              <w:keepLines w:val="0"/>
              <w:pageBreakBefore w:val="0"/>
              <w:kinsoku/>
              <w:wordWrap/>
              <w:overflowPunct/>
              <w:topLinePunct w:val="0"/>
              <w:bidi w:val="0"/>
              <w:adjustRightInd/>
              <w:spacing w:before="0" w:line="360" w:lineRule="exact"/>
              <w:ind w:right="0" w:rightChars="0"/>
              <w:jc w:val="both"/>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质保期及售后服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务</w:t>
            </w:r>
          </w:p>
        </w:tc>
        <w:tc>
          <w:tcPr>
            <w:tcW w:w="9324" w:type="dxa"/>
            <w:vAlign w:val="top"/>
          </w:tcPr>
          <w:p>
            <w:pPr>
              <w:pStyle w:val="19"/>
              <w:keepNext w:val="0"/>
              <w:keepLines w:val="0"/>
              <w:pageBreakBefore w:val="0"/>
              <w:numPr>
                <w:ilvl w:val="0"/>
                <w:numId w:val="5"/>
              </w:numPr>
              <w:kinsoku/>
              <w:wordWrap/>
              <w:overflowPunct/>
              <w:topLinePunct w:val="0"/>
              <w:bidi w:val="0"/>
              <w:adjustRightInd/>
              <w:spacing w:before="0" w:line="36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 xml:space="preserve">质保期 </w:t>
            </w:r>
            <w:r>
              <w:rPr>
                <w:rFonts w:hint="eastAsia" w:ascii="宋体" w:hAnsi="宋体" w:eastAsia="宋体" w:cs="宋体"/>
                <w:sz w:val="24"/>
                <w:szCs w:val="24"/>
              </w:rPr>
              <w:t>1</w:t>
            </w:r>
            <w:r>
              <w:rPr>
                <w:rFonts w:hint="eastAsia" w:ascii="宋体" w:hAnsi="宋体" w:eastAsia="宋体" w:cs="宋体"/>
                <w:spacing w:val="-15"/>
                <w:sz w:val="24"/>
                <w:szCs w:val="24"/>
              </w:rPr>
              <w:t xml:space="preserve"> 年，</w:t>
            </w:r>
            <w:r>
              <w:rPr>
                <w:rFonts w:hint="eastAsia" w:ascii="宋体" w:hAnsi="宋体" w:eastAsia="宋体" w:cs="宋体"/>
                <w:sz w:val="24"/>
                <w:szCs w:val="24"/>
              </w:rPr>
              <w:t>质保期从安装调试完毕，最终验收合格之日开始计算。除非采购人另有要求，质保期内的服务均为免费上门服务。</w:t>
            </w:r>
          </w:p>
          <w:p>
            <w:pPr>
              <w:pStyle w:val="19"/>
              <w:keepNext w:val="0"/>
              <w:keepLines w:val="0"/>
              <w:pageBreakBefore w:val="0"/>
              <w:numPr>
                <w:ilvl w:val="0"/>
                <w:numId w:val="0"/>
              </w:numPr>
              <w:kinsoku/>
              <w:wordWrap/>
              <w:overflowPunct/>
              <w:topLinePunct w:val="0"/>
              <w:bidi w:val="0"/>
              <w:adjustRightInd/>
              <w:spacing w:before="0" w:line="360" w:lineRule="exact"/>
              <w:ind w:left="0" w:leftChars="0" w:right="0" w:rightChars="0" w:firstLine="0" w:firstLineChars="0"/>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lang w:val="en-US" w:eastAsia="zh-CN"/>
              </w:rPr>
              <w:t>2.</w:t>
            </w:r>
            <w:r>
              <w:rPr>
                <w:rFonts w:hint="eastAsia" w:ascii="宋体" w:hAnsi="宋体" w:eastAsia="宋体" w:cs="宋体"/>
                <w:sz w:val="24"/>
                <w:szCs w:val="24"/>
              </w:rPr>
              <w:t>在保修期内，采购人有故障申报，供货方须在半小时内电话响应并提供解决方案；若</w:t>
            </w:r>
            <w:r>
              <w:rPr>
                <w:rFonts w:hint="eastAsia" w:ascii="宋体" w:hAnsi="宋体" w:eastAsia="宋体" w:cs="宋体"/>
                <w:spacing w:val="-5"/>
                <w:sz w:val="24"/>
                <w:szCs w:val="24"/>
              </w:rPr>
              <w:t>不能以电话方式解决故障，须在</w:t>
            </w:r>
            <w:r>
              <w:rPr>
                <w:rFonts w:hint="eastAsia" w:ascii="宋体" w:hAnsi="宋体" w:eastAsia="宋体" w:cs="宋体"/>
                <w:sz w:val="24"/>
                <w:szCs w:val="24"/>
              </w:rPr>
              <w:t>4</w:t>
            </w:r>
            <w:r>
              <w:rPr>
                <w:rFonts w:hint="eastAsia" w:ascii="宋体" w:hAnsi="宋体" w:eastAsia="宋体" w:cs="宋体"/>
                <w:spacing w:val="-14"/>
                <w:sz w:val="24"/>
                <w:szCs w:val="24"/>
              </w:rPr>
              <w:t>小时内赶到现场</w:t>
            </w:r>
            <w:r>
              <w:rPr>
                <w:rFonts w:hint="eastAsia" w:ascii="宋体" w:hAnsi="宋体" w:eastAsia="宋体" w:cs="宋体"/>
                <w:sz w:val="24"/>
                <w:szCs w:val="24"/>
              </w:rPr>
              <w:t>24</w:t>
            </w:r>
            <w:r>
              <w:rPr>
                <w:rFonts w:hint="eastAsia" w:ascii="宋体" w:hAnsi="宋体" w:eastAsia="宋体" w:cs="宋体"/>
                <w:spacing w:val="-8"/>
                <w:sz w:val="24"/>
                <w:szCs w:val="24"/>
              </w:rPr>
              <w:t>小时解决。若不能现场解决，须提</w:t>
            </w:r>
            <w:r>
              <w:rPr>
                <w:rFonts w:hint="eastAsia" w:ascii="宋体" w:hAnsi="宋体" w:eastAsia="宋体" w:cs="宋体"/>
                <w:sz w:val="24"/>
                <w:szCs w:val="24"/>
              </w:rPr>
              <w:t>供同等性能、同等质量的设备替换，以确保采购人的设备不中断使用；或与采购人协商解决。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9"/>
              <w:keepNext w:val="0"/>
              <w:keepLines w:val="0"/>
              <w:pageBreakBefore w:val="0"/>
              <w:kinsoku/>
              <w:wordWrap/>
              <w:overflowPunct/>
              <w:topLinePunct w:val="0"/>
              <w:bidi w:val="0"/>
              <w:adjustRightInd/>
              <w:spacing w:before="0" w:line="360" w:lineRule="exact"/>
              <w:ind w:left="111" w:leftChars="0" w:right="0" w:rightChars="0"/>
              <w:jc w:val="center"/>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地点</w:t>
            </w:r>
          </w:p>
        </w:tc>
        <w:tc>
          <w:tcPr>
            <w:tcW w:w="9324" w:type="dxa"/>
            <w:vAlign w:val="top"/>
          </w:tcPr>
          <w:p>
            <w:pPr>
              <w:pStyle w:val="19"/>
              <w:keepNext w:val="0"/>
              <w:keepLines w:val="0"/>
              <w:pageBreakBefore w:val="0"/>
              <w:kinsoku/>
              <w:wordWrap/>
              <w:overflowPunct/>
              <w:topLinePunct w:val="0"/>
              <w:bidi w:val="0"/>
              <w:adjustRightInd/>
              <w:spacing w:before="0" w:line="360" w:lineRule="exact"/>
              <w:ind w:left="0" w:leftChars="0" w:right="0" w:rightChars="0"/>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必须按照采购人的指定时间将相应数量的货物送至指定的地点并安装完成。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9"/>
              <w:keepNext w:val="0"/>
              <w:keepLines w:val="0"/>
              <w:pageBreakBefore w:val="0"/>
              <w:kinsoku/>
              <w:wordWrap/>
              <w:overflowPunct/>
              <w:topLinePunct w:val="0"/>
              <w:bidi w:val="0"/>
              <w:adjustRightInd/>
              <w:spacing w:before="0" w:line="360" w:lineRule="exact"/>
              <w:ind w:right="0" w:rightChars="0"/>
              <w:jc w:val="center"/>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验收</w:t>
            </w:r>
          </w:p>
        </w:tc>
        <w:tc>
          <w:tcPr>
            <w:tcW w:w="9324" w:type="dxa"/>
            <w:vAlign w:val="top"/>
          </w:tcPr>
          <w:p>
            <w:pPr>
              <w:pStyle w:val="19"/>
              <w:keepNext w:val="0"/>
              <w:keepLines w:val="0"/>
              <w:pageBreakBefore w:val="0"/>
              <w:kinsoku/>
              <w:wordWrap/>
              <w:overflowPunct/>
              <w:topLinePunct w:val="0"/>
              <w:bidi w:val="0"/>
              <w:adjustRightInd/>
              <w:spacing w:before="0" w:line="360" w:lineRule="exact"/>
              <w:ind w:left="0" w:leftChars="0" w:right="0" w:rightChars="0"/>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根据中华人民共和国现行技术标准，按招标文件以及合同规定的验收评定标准等规范， 由</w:t>
            </w:r>
            <w:r>
              <w:rPr>
                <w:rFonts w:hint="eastAsia" w:ascii="宋体" w:hAnsi="宋体" w:eastAsia="宋体" w:cs="宋体"/>
                <w:sz w:val="24"/>
                <w:szCs w:val="24"/>
                <w:lang w:eastAsia="zh-CN"/>
              </w:rPr>
              <w:t>温岭市城南镇人民政府</w:t>
            </w:r>
            <w:r>
              <w:rPr>
                <w:rFonts w:hint="eastAsia" w:ascii="宋体" w:hAnsi="宋体" w:eastAsia="宋体" w:cs="宋体"/>
                <w:sz w:val="24"/>
                <w:szCs w:val="24"/>
              </w:rPr>
              <w:t>统一组织验收。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9"/>
              <w:keepNext w:val="0"/>
              <w:keepLines w:val="0"/>
              <w:pageBreakBefore w:val="0"/>
              <w:kinsoku/>
              <w:wordWrap/>
              <w:overflowPunct/>
              <w:topLinePunct w:val="0"/>
              <w:bidi w:val="0"/>
              <w:adjustRightInd/>
              <w:spacing w:before="0" w:line="360" w:lineRule="exact"/>
              <w:ind w:left="0" w:leftChars="0" w:right="0" w:rightChars="0"/>
              <w:jc w:val="center"/>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rPr>
              <w:t>付款条件</w:t>
            </w:r>
          </w:p>
        </w:tc>
        <w:tc>
          <w:tcPr>
            <w:tcW w:w="9324" w:type="dxa"/>
            <w:vAlign w:val="top"/>
          </w:tcPr>
          <w:p>
            <w:pPr>
              <w:pStyle w:val="19"/>
              <w:keepNext w:val="0"/>
              <w:keepLines w:val="0"/>
              <w:pageBreakBefore w:val="0"/>
              <w:numPr>
                <w:ilvl w:val="0"/>
                <w:numId w:val="0"/>
              </w:numPr>
              <w:tabs>
                <w:tab w:val="left" w:pos="320"/>
              </w:tabs>
              <w:kinsoku/>
              <w:wordWrap/>
              <w:overflowPunct/>
              <w:topLinePunct w:val="0"/>
              <w:bidi w:val="0"/>
              <w:adjustRightInd/>
              <w:spacing w:before="0" w:after="0" w:line="360" w:lineRule="exact"/>
              <w:ind w:left="0" w:leftChars="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付款方式：供货完成施工安装完毕且验收合格后付</w:t>
            </w:r>
            <w:r>
              <w:rPr>
                <w:rFonts w:hint="eastAsia" w:ascii="宋体" w:hAnsi="宋体" w:eastAsia="宋体" w:cs="宋体"/>
                <w:spacing w:val="0"/>
                <w:sz w:val="24"/>
                <w:szCs w:val="24"/>
                <w:lang w:eastAsia="zh-CN"/>
              </w:rPr>
              <w:t>至合同价的</w:t>
            </w:r>
            <w:r>
              <w:rPr>
                <w:rFonts w:hint="eastAsia" w:ascii="宋体" w:hAnsi="宋体" w:eastAsia="宋体" w:cs="宋体"/>
                <w:spacing w:val="0"/>
                <w:sz w:val="24"/>
                <w:szCs w:val="24"/>
                <w:lang w:val="en-US" w:eastAsia="zh-CN"/>
              </w:rPr>
              <w:t>95%，余在质保期满后付清</w:t>
            </w:r>
            <w:r>
              <w:rPr>
                <w:rFonts w:hint="eastAsia" w:ascii="宋体" w:hAnsi="宋体" w:eastAsia="宋体" w:cs="宋体"/>
                <w:spacing w:val="0"/>
                <w:sz w:val="24"/>
                <w:szCs w:val="24"/>
              </w:rPr>
              <w:t>。</w:t>
            </w:r>
          </w:p>
          <w:p>
            <w:pPr>
              <w:pStyle w:val="19"/>
              <w:keepNext w:val="0"/>
              <w:keepLines w:val="0"/>
              <w:pageBreakBefore w:val="0"/>
              <w:numPr>
                <w:ilvl w:val="0"/>
                <w:numId w:val="0"/>
              </w:numPr>
              <w:tabs>
                <w:tab w:val="left" w:pos="320"/>
              </w:tabs>
              <w:kinsoku/>
              <w:wordWrap/>
              <w:overflowPunct/>
              <w:topLinePunct w:val="0"/>
              <w:bidi w:val="0"/>
              <w:adjustRightInd/>
              <w:spacing w:before="0" w:after="0" w:line="360" w:lineRule="exact"/>
              <w:ind w:left="0" w:leftChars="0" w:right="0" w:rightChars="0" w:firstLine="0" w:firstLineChars="0"/>
              <w:jc w:val="left"/>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lang w:val="en-US" w:eastAsia="zh-CN"/>
              </w:rPr>
              <w:t>2.</w:t>
            </w:r>
            <w:r>
              <w:rPr>
                <w:rFonts w:hint="eastAsia" w:ascii="宋体" w:hAnsi="宋体" w:eastAsia="宋体" w:cs="宋体"/>
                <w:sz w:val="24"/>
                <w:szCs w:val="24"/>
              </w:rPr>
              <w:t>中标人在结算合同价款时须提供正式发票。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1"/>
              <w:keepNext w:val="0"/>
              <w:keepLines w:val="0"/>
              <w:pageBreakBefore w:val="0"/>
              <w:kinsoku/>
              <w:wordWrap/>
              <w:overflowPunct/>
              <w:topLinePunct w:val="0"/>
              <w:autoSpaceDE/>
              <w:autoSpaceDN/>
              <w:bidi w:val="0"/>
              <w:adjustRightInd/>
              <w:snapToGrid w:val="0"/>
              <w:spacing w:before="0" w:line="360" w:lineRule="exact"/>
              <w:ind w:left="0" w:leftChars="0" w:right="0" w:rightChars="0"/>
              <w:jc w:val="center"/>
              <w:textAlignment w:val="auto"/>
              <w:rPr>
                <w:rFonts w:hint="eastAsia" w:ascii="宋体" w:hAnsi="宋体" w:eastAsia="宋体" w:cs="宋体"/>
                <w:spacing w:val="0"/>
                <w:sz w:val="24"/>
                <w:szCs w:val="24"/>
                <w:vertAlign w:val="baseline"/>
              </w:rPr>
            </w:pPr>
            <w:r>
              <w:rPr>
                <w:rFonts w:hint="eastAsia" w:ascii="宋体" w:hAnsi="宋体" w:eastAsia="宋体" w:cs="宋体"/>
                <w:sz w:val="24"/>
                <w:szCs w:val="24"/>
                <w:lang w:val="zh-CN" w:eastAsia="zh-CN" w:bidi="zh-CN"/>
              </w:rPr>
              <w:t>增加条款</w:t>
            </w:r>
          </w:p>
        </w:tc>
        <w:tc>
          <w:tcPr>
            <w:tcW w:w="9324" w:type="dxa"/>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rightChars="0"/>
              <w:jc w:val="both"/>
              <w:textAlignment w:val="auto"/>
              <w:rPr>
                <w:rFonts w:hint="default" w:ascii="宋体" w:hAnsi="宋体" w:eastAsia="宋体" w:cs="宋体"/>
                <w:spacing w:val="0"/>
                <w:sz w:val="24"/>
                <w:szCs w:val="24"/>
                <w:vertAlign w:val="baseline"/>
                <w:lang w:val="en-US"/>
              </w:rPr>
            </w:pP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安装完成后，中标人须提供国家</w:t>
            </w:r>
            <w:r>
              <w:rPr>
                <w:rFonts w:hint="eastAsia" w:ascii="宋体" w:hAnsi="宋体" w:eastAsia="宋体" w:cs="宋体"/>
                <w:sz w:val="24"/>
                <w:szCs w:val="24"/>
                <w:lang w:val="en-US" w:eastAsia="zh-CN" w:bidi="zh-CN"/>
              </w:rPr>
              <w:t>2000大地坐标系。2、中标人须将蓄水桶装满水后进行验收。3、所有桶体的文字、编号等须按照市局统一模版喷绘，不得手写。4、施工过程中须按图纸施工。</w:t>
            </w:r>
          </w:p>
        </w:tc>
      </w:tr>
    </w:tbl>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eastAsia" w:ascii="宋体" w:hAnsi="宋体" w:eastAsia="宋体" w:cs="宋体"/>
          <w:b/>
          <w:sz w:val="24"/>
          <w:szCs w:val="24"/>
        </w:rPr>
      </w:pPr>
      <w:bookmarkStart w:id="32" w:name="第五章 合同文本"/>
      <w:bookmarkEnd w:id="32"/>
      <w:r>
        <w:rPr>
          <w:rFonts w:hint="eastAsia" w:ascii="微软雅黑" w:hAnsi="微软雅黑" w:eastAsia="微软雅黑" w:cs="微软雅黑"/>
          <w:b/>
          <w:sz w:val="28"/>
          <w:szCs w:val="24"/>
          <w:lang w:val="en-US" w:eastAsia="zh-CN" w:bidi="zh-CN"/>
        </w:rPr>
        <w:t>第五章 合同文本</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采购合同</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u w:val="single"/>
          <w:lang w:eastAsia="zh-CN"/>
        </w:rPr>
        <w:t>                </w:t>
      </w:r>
      <w:r>
        <w:rPr>
          <w:rFonts w:hint="eastAsia" w:ascii="宋体" w:hAnsi="宋体" w:eastAsia="宋体" w:cs="宋体"/>
          <w:color w:val="000000"/>
          <w:sz w:val="24"/>
          <w:szCs w:val="24"/>
          <w:highlight w:val="none"/>
          <w:lang w:eastAsia="zh-CN"/>
        </w:rPr>
        <w:t xml:space="preserve">（采购单位） </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u w:val="single"/>
          <w:lang w:eastAsia="zh-CN"/>
        </w:rPr>
        <w:t>                </w:t>
      </w:r>
      <w:r>
        <w:rPr>
          <w:rFonts w:hint="eastAsia" w:ascii="宋体" w:hAnsi="宋体" w:eastAsia="宋体" w:cs="宋体"/>
          <w:color w:val="000000"/>
          <w:sz w:val="24"/>
          <w:szCs w:val="24"/>
          <w:highlight w:val="none"/>
          <w:lang w:eastAsia="zh-CN"/>
        </w:rPr>
        <w:t>（中标</w:t>
      </w:r>
      <w:r>
        <w:rPr>
          <w:rFonts w:hint="eastAsia" w:ascii="宋体" w:hAnsi="宋体" w:eastAsia="宋体" w:cs="宋体"/>
          <w:color w:val="000000"/>
          <w:sz w:val="24"/>
          <w:szCs w:val="24"/>
          <w:highlight w:val="none"/>
          <w:lang w:val="en-US" w:eastAsia="zh-CN"/>
        </w:rPr>
        <w:t>单位</w:t>
      </w:r>
      <w:r>
        <w:rPr>
          <w:rFonts w:hint="eastAsia" w:ascii="宋体" w:hAnsi="宋体" w:eastAsia="宋体" w:cs="宋体"/>
          <w:color w:val="000000"/>
          <w:sz w:val="24"/>
          <w:szCs w:val="24"/>
          <w:highlight w:val="none"/>
          <w:lang w:eastAsia="zh-CN"/>
        </w:rPr>
        <w:t>）</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甲乙双方根据   年   月  日浙江科信联合工程项目管理咨询有限公司所签发的《中标通知书》（项目编号：       ），以及采购文件、投标文件的规定，并经双方协商一致，达成本采购合同（中标通知书、采购文件、投标文件以及甲、乙双方商定的补充协议构成本合同不可分割的部份）。</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（一） 采购</w:t>
      </w:r>
      <w:r>
        <w:rPr>
          <w:rFonts w:hint="eastAsia" w:ascii="宋体" w:hAnsi="宋体" w:eastAsia="宋体" w:cs="宋体"/>
          <w:b/>
          <w:bCs/>
          <w:color w:val="auto"/>
          <w:kern w:val="0"/>
          <w:sz w:val="24"/>
          <w:szCs w:val="24"/>
          <w:highlight w:val="none"/>
          <w:lang w:eastAsia="zh-CN"/>
        </w:rPr>
        <w:t>清单</w:t>
      </w:r>
    </w:p>
    <w:tbl>
      <w:tblPr>
        <w:tblStyle w:val="15"/>
        <w:tblW w:w="9015" w:type="dxa"/>
        <w:tblInd w:w="93" w:type="dxa"/>
        <w:tblLayout w:type="fixed"/>
        <w:tblCellMar>
          <w:top w:w="0" w:type="dxa"/>
          <w:left w:w="108" w:type="dxa"/>
          <w:bottom w:w="0" w:type="dxa"/>
          <w:right w:w="108" w:type="dxa"/>
        </w:tblCellMar>
      </w:tblPr>
      <w:tblGrid>
        <w:gridCol w:w="780"/>
        <w:gridCol w:w="1590"/>
        <w:gridCol w:w="1433"/>
        <w:gridCol w:w="2152"/>
        <w:gridCol w:w="990"/>
        <w:gridCol w:w="1020"/>
        <w:gridCol w:w="1050"/>
      </w:tblGrid>
      <w:tr>
        <w:tblPrEx>
          <w:tblCellMar>
            <w:top w:w="0" w:type="dxa"/>
            <w:left w:w="108" w:type="dxa"/>
            <w:bottom w:w="0" w:type="dxa"/>
            <w:right w:w="108" w:type="dxa"/>
          </w:tblCellMar>
        </w:tblPrEx>
        <w:trPr>
          <w:trHeight w:val="5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5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产品名称</w:t>
            </w:r>
          </w:p>
        </w:tc>
        <w:tc>
          <w:tcPr>
            <w:tcW w:w="143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厂家、型号</w:t>
            </w:r>
          </w:p>
        </w:tc>
        <w:tc>
          <w:tcPr>
            <w:tcW w:w="21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技术参数及功能要求</w:t>
            </w:r>
          </w:p>
        </w:tc>
        <w:tc>
          <w:tcPr>
            <w:tcW w:w="9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0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r>
      <w:tr>
        <w:tblPrEx>
          <w:tblCellMar>
            <w:top w:w="0" w:type="dxa"/>
            <w:left w:w="108" w:type="dxa"/>
            <w:bottom w:w="0" w:type="dxa"/>
            <w:right w:w="108" w:type="dxa"/>
          </w:tblCellMar>
        </w:tblPrEx>
        <w:trPr>
          <w:trHeight w:val="405" w:hRule="atLeast"/>
        </w:trPr>
        <w:tc>
          <w:tcPr>
            <w:tcW w:w="780" w:type="dxa"/>
            <w:tcBorders>
              <w:top w:val="nil"/>
              <w:left w:val="single" w:color="000000" w:sz="4" w:space="0"/>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90" w:type="dxa"/>
            <w:tcBorders>
              <w:top w:val="nil"/>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152" w:type="dxa"/>
            <w:tcBorders>
              <w:top w:val="nil"/>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90" w:type="dxa"/>
            <w:tcBorders>
              <w:top w:val="nil"/>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20" w:type="dxa"/>
            <w:tcBorders>
              <w:top w:val="nil"/>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50" w:type="dxa"/>
            <w:tcBorders>
              <w:top w:val="nil"/>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05" w:hRule="atLeast"/>
        </w:trPr>
        <w:tc>
          <w:tcPr>
            <w:tcW w:w="780" w:type="dxa"/>
            <w:tcBorders>
              <w:top w:val="single" w:color="auto"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p>
        </w:tc>
        <w:tc>
          <w:tcPr>
            <w:tcW w:w="1590" w:type="dxa"/>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p>
        </w:tc>
        <w:tc>
          <w:tcPr>
            <w:tcW w:w="1433" w:type="dxa"/>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p>
        </w:tc>
        <w:tc>
          <w:tcPr>
            <w:tcW w:w="2152" w:type="dxa"/>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p>
        </w:tc>
        <w:tc>
          <w:tcPr>
            <w:tcW w:w="990" w:type="dxa"/>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p>
        </w:tc>
        <w:tc>
          <w:tcPr>
            <w:tcW w:w="1020" w:type="dxa"/>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p>
        </w:tc>
        <w:tc>
          <w:tcPr>
            <w:tcW w:w="1050" w:type="dxa"/>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本合同的采购总金额为人民币（大写）</w:t>
      </w:r>
      <w:r>
        <w:rPr>
          <w:rFonts w:hint="eastAsia" w:ascii="宋体" w:hAnsi="宋体" w:eastAsia="宋体" w:cs="宋体"/>
          <w:color w:val="auto"/>
          <w:kern w:val="0"/>
          <w:sz w:val="24"/>
          <w:szCs w:val="24"/>
          <w:highlight w:val="none"/>
          <w:u w:val="single"/>
        </w:rPr>
        <w:t>     元（¥     ）</w:t>
      </w:r>
      <w:r>
        <w:rPr>
          <w:rFonts w:hint="eastAsia" w:ascii="宋体" w:hAnsi="宋体" w:eastAsia="宋体" w:cs="宋体"/>
          <w:color w:val="auto"/>
          <w:kern w:val="0"/>
          <w:sz w:val="24"/>
          <w:szCs w:val="24"/>
          <w:highlight w:val="none"/>
        </w:rPr>
        <w:t>，该价格为完税价。</w:t>
      </w:r>
    </w:p>
    <w:p>
      <w:pPr>
        <w:keepNext w:val="0"/>
        <w:keepLines w:val="0"/>
        <w:pageBreakBefore w:val="0"/>
        <w:widowControl/>
        <w:kinsoku/>
        <w:wordWrap/>
        <w:overflowPunct/>
        <w:topLinePunct w:val="0"/>
        <w:autoSpaceDE/>
        <w:autoSpaceDN/>
        <w:bidi w:val="0"/>
        <w:adjustRightInd/>
        <w:snapToGrid/>
        <w:spacing w:line="400" w:lineRule="exact"/>
        <w:ind w:left="0" w:leftChars="0" w:firstLine="472" w:firstLineChars="19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 质量要求和售后服务</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1、乙方提供的产品必须是符合国家有关标准，未经使用全新的产品。</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2、设备质保期为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年，自项目验收合格之日起计。</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甲方在使用过程中发生质量问题，要求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小时响应，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小时内到达现场处理现场故障，必须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小时内修复，以保证用户的正常工作。</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4、因产品的质量问题发生争议，由相关技术单位进行质量鉴定，该鉴定结论是终局的，甲乙双方应当接受；质量合格的，鉴定费由甲方承担，质量不合格的，鉴定费由乙方承担。</w:t>
      </w:r>
    </w:p>
    <w:p>
      <w:pPr>
        <w:keepNext w:val="0"/>
        <w:keepLines w:val="0"/>
        <w:pageBreakBefore w:val="0"/>
        <w:widowControl/>
        <w:kinsoku/>
        <w:wordWrap/>
        <w:overflowPunct/>
        <w:topLinePunct w:val="0"/>
        <w:autoSpaceDE/>
        <w:autoSpaceDN/>
        <w:bidi w:val="0"/>
        <w:adjustRightInd/>
        <w:snapToGrid/>
        <w:spacing w:line="400" w:lineRule="exact"/>
        <w:ind w:left="0" w:leftChars="0" w:firstLine="472" w:firstLineChars="19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（三） 产品的包装、发运及运输</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l、乙方应在产品发运前对其进行满足于运输距离、防潮、防震、防锈和防破损装卸要求的包装，以保证货物安全运输到达甲方指定地点。</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2、使用说明书、质量检验证明书、随配附件、工具及清单一并附于产品内。</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3、乙方负责将产品安全送到甲方指定交货地点，不另收任何费用。</w:t>
      </w:r>
    </w:p>
    <w:p>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4、产品在交货前发生的不可预见的风险均由乙方负责。</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5、产品在发运手续办理完毕后__小时内或货到甲方前__小时通知甲方。</w:t>
      </w:r>
    </w:p>
    <w:p>
      <w:pPr>
        <w:keepNext w:val="0"/>
        <w:keepLines w:val="0"/>
        <w:pageBreakBefore w:val="0"/>
        <w:widowControl/>
        <w:kinsoku/>
        <w:wordWrap/>
        <w:overflowPunct/>
        <w:topLinePunct w:val="0"/>
        <w:autoSpaceDE/>
        <w:autoSpaceDN/>
        <w:bidi w:val="0"/>
        <w:adjustRightInd/>
        <w:snapToGrid/>
        <w:spacing w:line="400" w:lineRule="exact"/>
        <w:ind w:left="0" w:leftChars="0" w:firstLine="472" w:firstLineChars="19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（四） </w:t>
      </w:r>
      <w:r>
        <w:rPr>
          <w:rFonts w:hint="eastAsia" w:ascii="宋体" w:hAnsi="宋体" w:eastAsia="宋体" w:cs="宋体"/>
          <w:b/>
          <w:bCs/>
          <w:color w:val="auto"/>
          <w:kern w:val="0"/>
          <w:sz w:val="24"/>
          <w:szCs w:val="24"/>
          <w:highlight w:val="none"/>
          <w:lang w:eastAsia="zh-CN"/>
        </w:rPr>
        <w:t>合同履行期限</w:t>
      </w:r>
      <w:r>
        <w:rPr>
          <w:rFonts w:hint="eastAsia" w:ascii="宋体" w:hAnsi="宋体" w:eastAsia="宋体" w:cs="宋体"/>
          <w:b/>
          <w:bCs/>
          <w:color w:val="auto"/>
          <w:kern w:val="0"/>
          <w:sz w:val="24"/>
          <w:szCs w:val="24"/>
          <w:highlight w:val="none"/>
        </w:rPr>
        <w:t>及交货方式</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合同履行期限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2、交货方式：</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kern w:val="0"/>
          <w:sz w:val="24"/>
          <w:szCs w:val="24"/>
          <w:highlight w:val="none"/>
        </w:rPr>
        <w:t>①</w:t>
      </w:r>
      <w:r>
        <w:rPr>
          <w:rFonts w:hint="eastAsia" w:ascii="宋体" w:hAnsi="宋体" w:eastAsia="宋体" w:cs="宋体"/>
          <w:color w:val="auto"/>
          <w:spacing w:val="-4"/>
          <w:kern w:val="0"/>
          <w:sz w:val="24"/>
          <w:szCs w:val="24"/>
          <w:highlight w:val="none"/>
        </w:rPr>
        <w:t>乙方交货前应对产品做出全面检查，进行整理并列出清单，作为甲方收货验收和使用的技术条件依据。</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②乙方交货到甲方指定地点，甲方与乙方共同对交货数量、外包装情况进行确认。</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③乙方负责安装并免费调试，经验收合格后交甲方</w:t>
      </w:r>
      <w:r>
        <w:rPr>
          <w:rFonts w:hint="eastAsia" w:ascii="宋体" w:hAnsi="宋体" w:eastAsia="宋体" w:cs="宋体"/>
          <w:color w:val="auto"/>
          <w:kern w:val="0"/>
          <w:sz w:val="24"/>
          <w:szCs w:val="24"/>
          <w:highlight w:val="none"/>
          <w:lang w:eastAsia="zh-CN"/>
        </w:rPr>
        <w:t>（验收前须由中标人将桶装满水）</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72" w:firstLineChars="19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（五）验收</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1、甲方对乙方所交产品依照国家有关技术标准进行现场验收。</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2、甲方可组织专家对乙方所交产品依照招标文件上的技术规格要求和国家（产品制造国）有关标准进行现场验收，性能达到技术要求的，给予签收。验收不合格的不予签收，后果由乙方负责。</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3、甲方应在安装调试完毕之日起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个工作日内验收完毕，并作出验收结果报告,验收时乙方必须在现场。</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安装完成后，中标人须提供国家</w:t>
      </w:r>
      <w:r>
        <w:rPr>
          <w:rFonts w:hint="eastAsia" w:ascii="宋体" w:hAnsi="宋体" w:eastAsia="宋体" w:cs="宋体"/>
          <w:color w:val="auto"/>
          <w:kern w:val="0"/>
          <w:sz w:val="24"/>
          <w:szCs w:val="24"/>
          <w:highlight w:val="none"/>
          <w:lang w:val="en-US" w:eastAsia="zh-CN"/>
        </w:rPr>
        <w:t>2000大地坐标系。</w:t>
      </w:r>
    </w:p>
    <w:p>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六</w:t>
      </w:r>
      <w:r>
        <w:rPr>
          <w:rFonts w:hint="eastAsia" w:ascii="宋体" w:hAnsi="宋体" w:eastAsia="宋体" w:cs="宋体"/>
          <w:b/>
          <w:bCs/>
          <w:color w:val="auto"/>
          <w:kern w:val="0"/>
          <w:sz w:val="24"/>
          <w:szCs w:val="24"/>
          <w:highlight w:val="none"/>
        </w:rPr>
        <w:t>） 付款方式</w:t>
      </w:r>
    </w:p>
    <w:p>
      <w:pPr>
        <w:pStyle w:val="7"/>
        <w:keepNext w:val="0"/>
        <w:keepLines w:val="0"/>
        <w:pageBreakBefore w:val="0"/>
        <w:widowControl w:val="0"/>
        <w:kinsoku/>
        <w:wordWrap/>
        <w:overflowPunct/>
        <w:topLinePunct w:val="0"/>
        <w:autoSpaceDE w:val="0"/>
        <w:autoSpaceDN w:val="0"/>
        <w:bidi w:val="0"/>
        <w:adjustRightInd/>
        <w:snapToGrid/>
        <w:spacing w:line="400" w:lineRule="exact"/>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rPr>
        <w:t>货到安装</w:t>
      </w:r>
      <w:r>
        <w:rPr>
          <w:rFonts w:hint="eastAsia" w:ascii="宋体" w:hAnsi="宋体" w:eastAsia="宋体" w:cs="宋体"/>
          <w:b/>
          <w:bCs/>
          <w:color w:val="auto"/>
          <w:kern w:val="0"/>
          <w:sz w:val="24"/>
          <w:szCs w:val="24"/>
          <w:highlight w:val="none"/>
          <w:lang w:val="en-US" w:eastAsia="zh-CN"/>
        </w:rPr>
        <w:t>并经</w:t>
      </w:r>
      <w:r>
        <w:rPr>
          <w:rFonts w:hint="eastAsia" w:ascii="宋体" w:hAnsi="宋体" w:eastAsia="宋体" w:cs="宋体"/>
          <w:b/>
          <w:bCs/>
          <w:color w:val="auto"/>
          <w:kern w:val="0"/>
          <w:sz w:val="24"/>
          <w:szCs w:val="24"/>
          <w:highlight w:val="none"/>
        </w:rPr>
        <w:t>验收合格后</w:t>
      </w:r>
      <w:r>
        <w:rPr>
          <w:rFonts w:hint="eastAsia" w:ascii="宋体" w:hAnsi="宋体" w:eastAsia="宋体" w:cs="宋体"/>
          <w:b/>
          <w:bCs/>
          <w:color w:val="auto"/>
          <w:kern w:val="0"/>
          <w:sz w:val="24"/>
          <w:szCs w:val="24"/>
          <w:highlight w:val="none"/>
          <w:lang w:val="en-US" w:eastAsia="zh-CN"/>
        </w:rPr>
        <w:t>支</w:t>
      </w:r>
      <w:r>
        <w:rPr>
          <w:rFonts w:hint="eastAsia" w:ascii="宋体" w:hAnsi="宋体" w:eastAsia="宋体" w:cs="宋体"/>
          <w:b/>
          <w:bCs/>
          <w:color w:val="auto"/>
          <w:kern w:val="0"/>
          <w:sz w:val="24"/>
          <w:szCs w:val="24"/>
          <w:highlight w:val="none"/>
        </w:rPr>
        <w:t>付</w:t>
      </w:r>
      <w:r>
        <w:rPr>
          <w:rFonts w:hint="eastAsia" w:ascii="宋体" w:hAnsi="宋体" w:eastAsia="宋体" w:cs="宋体"/>
          <w:b/>
          <w:bCs/>
          <w:color w:val="auto"/>
          <w:kern w:val="0"/>
          <w:sz w:val="24"/>
          <w:szCs w:val="24"/>
          <w:highlight w:val="none"/>
          <w:lang w:val="en-US" w:eastAsia="zh-CN"/>
        </w:rPr>
        <w:t>至合同价款</w:t>
      </w:r>
      <w:r>
        <w:rPr>
          <w:rFonts w:hint="eastAsia" w:ascii="宋体" w:hAnsi="宋体" w:eastAsia="宋体" w:cs="宋体"/>
          <w:b/>
          <w:bCs/>
          <w:color w:val="auto"/>
          <w:kern w:val="2"/>
          <w:sz w:val="24"/>
          <w:szCs w:val="24"/>
          <w:highlight w:val="none"/>
          <w:lang w:val="en-US" w:eastAsia="zh-CN" w:bidi="ar-SA"/>
        </w:rPr>
        <w:t>的95%</w:t>
      </w:r>
      <w:r>
        <w:rPr>
          <w:rFonts w:hint="eastAsia" w:ascii="宋体" w:hAnsi="宋体" w:eastAsia="宋体" w:cs="宋体"/>
          <w:b/>
          <w:bCs/>
          <w:color w:val="auto"/>
          <w:kern w:val="0"/>
          <w:sz w:val="24"/>
          <w:szCs w:val="24"/>
          <w:highlight w:val="none"/>
        </w:rPr>
        <w:t>，余下5%在项目验收合格交付使用之日起 1 年后支付。</w:t>
      </w:r>
    </w:p>
    <w:p>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七</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en-US" w:eastAsia="zh-CN"/>
        </w:rPr>
        <w:t>税费</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本合同执行中相关的一切税、费均由乙方负担。</w:t>
      </w:r>
    </w:p>
    <w:p>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（九）</w:t>
      </w:r>
      <w:r>
        <w:rPr>
          <w:rFonts w:hint="eastAsia" w:ascii="宋体" w:hAnsi="宋体" w:eastAsia="宋体" w:cs="宋体"/>
          <w:b/>
          <w:bCs/>
          <w:color w:val="auto"/>
          <w:kern w:val="0"/>
          <w:sz w:val="24"/>
          <w:szCs w:val="24"/>
          <w:highlight w:val="none"/>
          <w:lang w:val="en-US" w:eastAsia="zh-CN"/>
        </w:rPr>
        <w:t xml:space="preserve">质量保证及后续服务 </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乙方应按招标文件规定向甲方提供服务，对达不到要求者，乙方应对出现的问题负责处理解决并承担一切费用。</w:t>
      </w:r>
    </w:p>
    <w:p>
      <w:pPr>
        <w:keepNext w:val="0"/>
        <w:keepLines w:val="0"/>
        <w:pageBreakBefore w:val="0"/>
        <w:widowControl/>
        <w:kinsoku/>
        <w:wordWrap/>
        <w:overflowPunct/>
        <w:topLinePunct w:val="0"/>
        <w:autoSpaceDE/>
        <w:autoSpaceDN/>
        <w:bidi w:val="0"/>
        <w:adjustRightInd/>
        <w:snapToGrid/>
        <w:spacing w:line="400" w:lineRule="exact"/>
        <w:ind w:left="0" w:leftChars="0" w:firstLine="472" w:firstLineChars="196"/>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（十）</w:t>
      </w:r>
      <w:r>
        <w:rPr>
          <w:rFonts w:hint="eastAsia" w:ascii="宋体" w:hAnsi="宋体" w:eastAsia="宋体" w:cs="宋体"/>
          <w:b/>
          <w:bCs/>
          <w:color w:val="auto"/>
          <w:kern w:val="0"/>
          <w:sz w:val="24"/>
          <w:szCs w:val="24"/>
          <w:highlight w:val="none"/>
        </w:rPr>
        <w:t>违约责任</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甲方无故逾期办理款项支付手续的，甲方应按逾期付款总额向乙方支付每日万分之五违约金。</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乙方逾期提供服务的，乙方应按逾期天数向甲方支付每日万分之五违约金。逾期超过约定日期 10 个工作日不能交货的，甲方可解除本合同。乙方因逾期或因其他行为导致甲方解除合同的，乙方应向甲方支付合同款项百分之五的违约金，如造成甲方损失超过违约金的，超出部分由乙方继续承担赔偿责任。</w:t>
      </w:r>
    </w:p>
    <w:p>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十一</w:t>
      </w:r>
      <w:r>
        <w:rPr>
          <w:rFonts w:hint="eastAsia" w:ascii="宋体" w:hAnsi="宋体" w:eastAsia="宋体" w:cs="宋体"/>
          <w:b/>
          <w:bCs/>
          <w:color w:val="auto"/>
          <w:kern w:val="0"/>
          <w:sz w:val="24"/>
          <w:szCs w:val="24"/>
          <w:highlight w:val="none"/>
        </w:rPr>
        <w:t>）</w:t>
      </w:r>
      <w:r>
        <w:rPr>
          <w:rFonts w:hint="eastAsia" w:ascii="宋体" w:hAnsi="宋体" w:eastAsia="宋体" w:cs="宋体"/>
          <w:b/>
          <w:color w:val="auto"/>
          <w:kern w:val="0"/>
          <w:sz w:val="24"/>
          <w:szCs w:val="24"/>
          <w:highlight w:val="none"/>
        </w:rPr>
        <w:t>不可抗力事件处理</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在合同有效期限内，任何一方因不可抗力事件导致不能履行合同，则合同履行期可延长，其延长期与不可抗力影响期相同。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pacing w:val="-6"/>
          <w:kern w:val="0"/>
          <w:sz w:val="24"/>
          <w:szCs w:val="24"/>
          <w:highlight w:val="none"/>
        </w:rPr>
        <w:t>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rPr>
        <w:t>3、不可抗力事件延续120天以上，双方应通过友好协商，确定是否继续履行合同。</w:t>
      </w:r>
    </w:p>
    <w:p>
      <w:pPr>
        <w:keepNext w:val="0"/>
        <w:keepLines w:val="0"/>
        <w:pageBreakBefore w:val="0"/>
        <w:kinsoku/>
        <w:wordWrap w:val="0"/>
        <w:overflowPunct/>
        <w:topLinePunct w:val="0"/>
        <w:bidi w:val="0"/>
        <w:adjustRightInd/>
        <w:snapToGrid/>
        <w:spacing w:line="400" w:lineRule="exact"/>
        <w:ind w:left="0" w:leftChars="0" w:firstLine="354"/>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（十二）争议的解决</w:t>
      </w:r>
    </w:p>
    <w:p>
      <w:pPr>
        <w:keepNext w:val="0"/>
        <w:keepLines w:val="0"/>
        <w:pageBreakBefore w:val="0"/>
        <w:kinsoku/>
        <w:wordWrap w:val="0"/>
        <w:overflowPunct/>
        <w:topLinePunct w:val="0"/>
        <w:bidi w:val="0"/>
        <w:adjustRightInd/>
        <w:snapToGrid/>
        <w:spacing w:line="400" w:lineRule="exact"/>
        <w:ind w:left="0" w:leftChars="0"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双方在履行合同过程中产生争议时</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400" w:lineRule="exact"/>
        <w:ind w:left="0" w:leftChars="0" w:right="0" w:righ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）双方协调</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400" w:lineRule="exact"/>
        <w:ind w:left="0" w:leftChars="0" w:right="0" w:righ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）采取仲裁方式解决的,约定向合同签订所在地仲裁委员会提请仲裁,或直接向合同签订所在地人民法院提请诉讼。</w:t>
      </w:r>
    </w:p>
    <w:p>
      <w:pPr>
        <w:keepNext w:val="0"/>
        <w:keepLines w:val="0"/>
        <w:pageBreakBefore w:val="0"/>
        <w:kinsoku/>
        <w:wordWrap w:val="0"/>
        <w:overflowPunct/>
        <w:topLinePunct w:val="0"/>
        <w:bidi w:val="0"/>
        <w:adjustRightInd/>
        <w:snapToGrid/>
        <w:spacing w:line="400" w:lineRule="exact"/>
        <w:ind w:left="0" w:leftChars="0" w:firstLine="482"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color w:val="000000"/>
          <w:sz w:val="24"/>
          <w:szCs w:val="24"/>
          <w:highlight w:val="none"/>
          <w:lang w:eastAsia="zh-CN"/>
        </w:rPr>
        <w:t>（十三）合同生效及其它</w:t>
      </w:r>
    </w:p>
    <w:p>
      <w:pPr>
        <w:keepNext w:val="0"/>
        <w:keepLines w:val="0"/>
        <w:pageBreakBefore w:val="0"/>
        <w:kinsoku/>
        <w:wordWrap w:val="0"/>
        <w:overflowPunct/>
        <w:topLinePunct w:val="0"/>
        <w:bidi w:val="0"/>
        <w:adjustRightInd/>
        <w:snapToGrid/>
        <w:spacing w:line="400" w:lineRule="exact"/>
        <w:ind w:left="0" w:leftChars="0"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1、合同经双方法定代表人或授权委托人签字加盖单位公章后生效。</w:t>
      </w:r>
    </w:p>
    <w:p>
      <w:pPr>
        <w:keepNext w:val="0"/>
        <w:keepLines w:val="0"/>
        <w:pageBreakBefore w:val="0"/>
        <w:kinsoku/>
        <w:wordWrap w:val="0"/>
        <w:overflowPunct/>
        <w:topLinePunct w:val="0"/>
        <w:bidi w:val="0"/>
        <w:adjustRightInd/>
        <w:snapToGrid/>
        <w:spacing w:line="400" w:lineRule="exact"/>
        <w:ind w:left="0" w:leftChars="0"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lang w:val="en-US" w:eastAsia="zh-CN"/>
        </w:rPr>
        <w:t>如需调整完善或补充合同内容，经协商，双方应签署书面调整完善或补充协议，该协议将作为本合同的一个组成部分。</w:t>
      </w:r>
    </w:p>
    <w:p>
      <w:pPr>
        <w:keepNext w:val="0"/>
        <w:keepLines w:val="0"/>
        <w:pageBreakBefore w:val="0"/>
        <w:kinsoku/>
        <w:wordWrap w:val="0"/>
        <w:overflowPunct/>
        <w:topLinePunct w:val="0"/>
        <w:bidi w:val="0"/>
        <w:adjustRightInd/>
        <w:snapToGrid/>
        <w:spacing w:line="400" w:lineRule="exact"/>
        <w:ind w:left="0" w:leftChars="0"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lang w:val="en-US" w:eastAsia="zh-CN"/>
        </w:rPr>
        <w:t>本合同未尽事宜，遵照《民法典》有关条文执行。</w:t>
      </w:r>
    </w:p>
    <w:p>
      <w:pPr>
        <w:keepNext w:val="0"/>
        <w:keepLines w:val="0"/>
        <w:pageBreakBefore w:val="0"/>
        <w:kinsoku/>
        <w:wordWrap w:val="0"/>
        <w:overflowPunct/>
        <w:topLinePunct w:val="0"/>
        <w:bidi w:val="0"/>
        <w:adjustRightInd/>
        <w:snapToGrid/>
        <w:spacing w:line="400" w:lineRule="exact"/>
        <w:ind w:left="0" w:leftChars="0"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本合同一式</w:t>
      </w:r>
      <w:r>
        <w:rPr>
          <w:rFonts w:hint="eastAsia" w:ascii="宋体" w:hAnsi="宋体" w:eastAsia="宋体" w:cs="宋体"/>
          <w:color w:val="000000"/>
          <w:sz w:val="24"/>
          <w:szCs w:val="24"/>
          <w:highlight w:val="none"/>
          <w:u w:val="single"/>
          <w:lang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eastAsia="zh-CN"/>
        </w:rPr>
        <w:t xml:space="preserve">陆  </w:t>
      </w:r>
      <w:r>
        <w:rPr>
          <w:rFonts w:hint="eastAsia" w:ascii="宋体" w:hAnsi="宋体" w:eastAsia="宋体" w:cs="宋体"/>
          <w:color w:val="000000"/>
          <w:sz w:val="24"/>
          <w:szCs w:val="24"/>
          <w:highlight w:val="none"/>
          <w:lang w:eastAsia="zh-CN"/>
        </w:rPr>
        <w:t>份，甲、乙双方各</w:t>
      </w:r>
      <w:r>
        <w:rPr>
          <w:rFonts w:hint="eastAsia" w:ascii="宋体" w:hAnsi="宋体" w:eastAsia="宋体" w:cs="宋体"/>
          <w:color w:val="000000"/>
          <w:sz w:val="24"/>
          <w:szCs w:val="24"/>
          <w:highlight w:val="none"/>
          <w:u w:val="single"/>
          <w:lang w:eastAsia="zh-CN"/>
        </w:rPr>
        <w:t xml:space="preserve"> 贰  </w:t>
      </w:r>
      <w:r>
        <w:rPr>
          <w:rFonts w:hint="eastAsia" w:ascii="宋体" w:hAnsi="宋体" w:eastAsia="宋体" w:cs="宋体"/>
          <w:color w:val="000000"/>
          <w:sz w:val="24"/>
          <w:szCs w:val="24"/>
          <w:highlight w:val="none"/>
          <w:lang w:eastAsia="zh-CN"/>
        </w:rPr>
        <w:t>份，采购代理机构执贰份，本项目未尽事宜以招标文件、投标文件及澄清文件等为准。</w:t>
      </w:r>
    </w:p>
    <w:p>
      <w:pPr>
        <w:wordWrap w:val="0"/>
        <w:spacing w:line="440" w:lineRule="exact"/>
        <w:ind w:firstLine="480"/>
        <w:rPr>
          <w:rFonts w:hint="eastAsia" w:ascii="宋体" w:hAnsi="宋体" w:eastAsia="宋体" w:cs="宋体"/>
          <w:color w:val="000000"/>
          <w:sz w:val="24"/>
          <w:szCs w:val="24"/>
          <w:highlight w:val="none"/>
          <w:lang w:eastAsia="zh-CN"/>
        </w:rPr>
      </w:pPr>
    </w:p>
    <w:p>
      <w:pPr>
        <w:wordWrap w:val="0"/>
        <w:spacing w:line="440" w:lineRule="exact"/>
        <w:ind w:firstLine="480"/>
        <w:rPr>
          <w:rFonts w:hint="eastAsia" w:ascii="宋体" w:hAnsi="宋体" w:eastAsia="宋体" w:cs="宋体"/>
          <w:color w:val="000000"/>
          <w:sz w:val="24"/>
          <w:szCs w:val="24"/>
          <w:highlight w:val="none"/>
          <w:lang w:eastAsia="zh-CN"/>
        </w:rPr>
      </w:pPr>
    </w:p>
    <w:p>
      <w:pPr>
        <w:wordWrap w:val="0"/>
        <w:spacing w:line="440" w:lineRule="exact"/>
        <w:ind w:firstLine="480"/>
        <w:rPr>
          <w:rFonts w:hint="eastAsia" w:ascii="宋体" w:hAnsi="宋体" w:eastAsia="宋体" w:cs="宋体"/>
          <w:color w:val="000000"/>
          <w:sz w:val="24"/>
          <w:szCs w:val="24"/>
          <w:highlight w:val="none"/>
          <w:lang w:eastAsia="zh-CN"/>
        </w:rPr>
      </w:pP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甲方（采购单位） ：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乙方（中标方）：</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法定代表人或授权委托人：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法定代表人或授权委托人： </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地    址：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地    址：</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联系电话：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联系电话：</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开户银行：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开户银行：</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开户名称：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开户名称：</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银行帐号：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银行帐号：</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签约地址：</w:t>
      </w:r>
    </w:p>
    <w:p>
      <w:pPr>
        <w:pStyle w:val="8"/>
        <w:keepNext w:val="0"/>
        <w:keepLines w:val="0"/>
        <w:pageBreakBefore w:val="0"/>
        <w:widowControl w:val="0"/>
        <w:numPr>
          <w:ilvl w:val="0"/>
          <w:numId w:val="0"/>
        </w:numPr>
        <w:kinsoku/>
        <w:overflowPunct/>
        <w:topLinePunct w:val="0"/>
        <w:autoSpaceDE w:val="0"/>
        <w:autoSpaceDN w:val="0"/>
        <w:bidi w:val="0"/>
        <w:adjustRightInd/>
        <w:snapToGrid/>
        <w:spacing w:line="480" w:lineRule="auto"/>
        <w:ind w:right="0" w:rightChars="0" w:firstLine="480" w:firstLineChars="200"/>
        <w:textAlignment w:val="auto"/>
        <w:rPr>
          <w:rFonts w:hint="eastAsia" w:ascii="宋体" w:hAnsi="宋体" w:eastAsia="宋体" w:cs="宋体"/>
          <w:color w:val="000000"/>
          <w:sz w:val="24"/>
          <w:szCs w:val="24"/>
          <w:highlight w:val="none"/>
          <w:lang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 w:val="24"/>
          <w:szCs w:val="24"/>
          <w:highlight w:val="none"/>
          <w:lang w:eastAsia="zh-CN"/>
        </w:rPr>
        <w:t>签约日期：   年  月  日</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r>
        <w:rPr>
          <w:rFonts w:hint="eastAsia" w:ascii="微软雅黑" w:hAnsi="微软雅黑" w:eastAsia="微软雅黑" w:cs="微软雅黑"/>
          <w:b/>
          <w:sz w:val="28"/>
          <w:szCs w:val="24"/>
          <w:lang w:val="en-US" w:eastAsia="zh-CN" w:bidi="zh-CN"/>
        </w:rPr>
        <w:t xml:space="preserve">第六章 </w:t>
      </w:r>
      <w:r>
        <w:rPr>
          <w:rFonts w:hint="eastAsia" w:cs="微软雅黑"/>
          <w:b/>
          <w:sz w:val="28"/>
          <w:szCs w:val="24"/>
          <w:lang w:val="en-US" w:eastAsia="zh-CN" w:bidi="zh-CN"/>
        </w:rPr>
        <w:t>投标</w:t>
      </w:r>
      <w:r>
        <w:rPr>
          <w:rFonts w:hint="eastAsia" w:ascii="微软雅黑" w:hAnsi="微软雅黑" w:eastAsia="微软雅黑" w:cs="微软雅黑"/>
          <w:b/>
          <w:sz w:val="28"/>
          <w:szCs w:val="24"/>
          <w:lang w:val="en-US" w:eastAsia="zh-CN" w:bidi="zh-CN"/>
        </w:rPr>
        <w:t>文件格式附件</w:t>
      </w:r>
    </w:p>
    <w:p>
      <w:pPr>
        <w:keepNext w:val="0"/>
        <w:keepLines w:val="0"/>
        <w:widowControl/>
        <w:suppressLineNumbers w:val="0"/>
        <w:jc w:val="left"/>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w:t>
      </w:r>
    </w:p>
    <w:p>
      <w:pPr>
        <w:keepNext w:val="0"/>
        <w:keepLines w:val="0"/>
        <w:widowControl/>
        <w:suppressLineNumbers w:val="0"/>
        <w:jc w:val="center"/>
        <w:rPr>
          <w:rFonts w:ascii="微软雅黑" w:hAnsi="微软雅黑" w:eastAsia="微软雅黑" w:cs="微软雅黑"/>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t>项目名称</w:t>
      </w:r>
    </w:p>
    <w:p>
      <w:pPr>
        <w:pStyle w:val="8"/>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项目编号：</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pPr>
        <w:pStyle w:val="8"/>
        <w:rPr>
          <w:rFonts w:hint="eastAsia" w:ascii="微软雅黑" w:hAnsi="微软雅黑" w:eastAsia="微软雅黑" w:cs="微软雅黑"/>
          <w:b/>
          <w:sz w:val="28"/>
          <w:szCs w:val="24"/>
          <w:lang w:val="en-US" w:eastAsia="zh-CN" w:bidi="zh-CN"/>
        </w:rPr>
      </w:pPr>
    </w:p>
    <w:p>
      <w:pPr>
        <w:pStyle w:val="9"/>
        <w:rPr>
          <w:rFonts w:hint="eastAsia"/>
          <w:lang w:val="en-US" w:eastAsia="zh-CN"/>
        </w:rPr>
      </w:pPr>
    </w:p>
    <w:p>
      <w:pPr>
        <w:keepNext w:val="0"/>
        <w:keepLines w:val="0"/>
        <w:widowControl/>
        <w:suppressLineNumbers w:val="0"/>
        <w:jc w:val="center"/>
      </w:pPr>
      <w:r>
        <w:rPr>
          <w:rFonts w:ascii="微软雅黑" w:hAnsi="微软雅黑" w:eastAsia="微软雅黑" w:cs="微软雅黑"/>
          <w:color w:val="000000"/>
          <w:kern w:val="0"/>
          <w:sz w:val="84"/>
          <w:szCs w:val="84"/>
          <w:lang w:val="en-US" w:eastAsia="zh-CN" w:bidi="ar"/>
        </w:rPr>
        <w:t>资格证明文件</w:t>
      </w:r>
    </w:p>
    <w:p>
      <w:pPr>
        <w:pStyle w:val="8"/>
        <w:rPr>
          <w:rFonts w:hint="eastAsia"/>
          <w:lang w:val="en-US" w:eastAsia="zh-CN"/>
        </w:rPr>
      </w:pPr>
    </w:p>
    <w:p>
      <w:pPr>
        <w:pStyle w:val="9"/>
        <w:rPr>
          <w:rFonts w:hint="eastAsia"/>
          <w:lang w:val="en-US" w:eastAsia="zh-CN"/>
        </w:rPr>
      </w:pPr>
    </w:p>
    <w:p>
      <w:pPr>
        <w:rPr>
          <w:rFonts w:hint="eastAsia"/>
          <w:lang w:val="en-US" w:eastAsia="zh-CN"/>
        </w:rPr>
      </w:pPr>
    </w:p>
    <w:p>
      <w:pPr>
        <w:pStyle w:val="9"/>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ascii="微软雅黑" w:hAnsi="微软雅黑" w:eastAsia="微软雅黑" w:cs="微软雅黑"/>
          <w:color w:val="000000"/>
          <w:kern w:val="0"/>
          <w:sz w:val="36"/>
          <w:szCs w:val="36"/>
          <w:lang w:val="en-US" w:eastAsia="zh-CN" w:bidi="ar"/>
        </w:rPr>
        <w:t xml:space="preserve">供应商名称（盖公章）：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hint="eastAsia" w:ascii="微软雅黑" w:hAnsi="微软雅黑" w:eastAsia="微软雅黑" w:cs="微软雅黑"/>
          <w:color w:val="000000"/>
          <w:kern w:val="0"/>
          <w:sz w:val="36"/>
          <w:szCs w:val="36"/>
          <w:lang w:val="en-US" w:eastAsia="zh-CN" w:bidi="ar"/>
        </w:rPr>
        <w:t xml:space="preserve">地 址：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hint="eastAsia" w:ascii="微软雅黑" w:hAnsi="微软雅黑" w:eastAsia="微软雅黑" w:cs="微软雅黑"/>
          <w:color w:val="000000"/>
          <w:kern w:val="0"/>
          <w:sz w:val="36"/>
          <w:szCs w:val="36"/>
          <w:lang w:val="en-US" w:eastAsia="zh-CN" w:bidi="ar"/>
        </w:rPr>
        <w:t>时 间：</w:t>
      </w:r>
    </w:p>
    <w:p>
      <w:pPr>
        <w:rPr>
          <w:rFonts w:hint="eastAsia"/>
          <w:lang w:val="en-US" w:eastAsia="zh-CN"/>
        </w:rPr>
      </w:pPr>
    </w:p>
    <w:p>
      <w:pPr>
        <w:pStyle w:val="8"/>
        <w:rPr>
          <w:rFonts w:hint="eastAsia"/>
          <w:lang w:val="en-US" w:eastAsia="zh-CN"/>
        </w:rPr>
      </w:pPr>
    </w:p>
    <w:p>
      <w:pPr>
        <w:pStyle w:val="9"/>
        <w:rPr>
          <w:rFonts w:hint="eastAsia"/>
          <w:lang w:val="en-US" w:eastAsia="zh-CN"/>
        </w:rPr>
        <w:sectPr>
          <w:pgSz w:w="11906" w:h="16838"/>
          <w:pgMar w:top="1440" w:right="1800" w:bottom="1440" w:left="1800" w:header="851" w:footer="992" w:gutter="0"/>
          <w:cols w:space="425" w:num="1"/>
          <w:docGrid w:type="lines" w:linePitch="312" w:charSpace="0"/>
        </w:sectPr>
      </w:pPr>
    </w:p>
    <w:p>
      <w:pPr>
        <w:spacing w:before="6"/>
        <w:ind w:left="0" w:right="17" w:firstLine="0"/>
        <w:jc w:val="center"/>
        <w:rPr>
          <w:rFonts w:hint="eastAsia" w:ascii="宋体" w:hAnsi="宋体" w:eastAsia="宋体" w:cs="宋体"/>
          <w:sz w:val="24"/>
          <w:szCs w:val="24"/>
        </w:rPr>
      </w:pPr>
      <w:r>
        <w:rPr>
          <w:rFonts w:hint="eastAsia" w:ascii="宋体" w:hAnsi="宋体" w:eastAsia="宋体" w:cs="宋体"/>
          <w:b/>
          <w:sz w:val="28"/>
          <w:szCs w:val="28"/>
        </w:rPr>
        <w:t>资格证明文件目录</w:t>
      </w:r>
    </w:p>
    <w:p>
      <w:pPr>
        <w:keepNext w:val="0"/>
        <w:keepLines w:val="0"/>
        <w:pageBreakBefore w:val="0"/>
        <w:widowControl w:val="0"/>
        <w:kinsoku/>
        <w:wordWrap/>
        <w:overflowPunct/>
        <w:topLinePunct w:val="0"/>
        <w:autoSpaceDE w:val="0"/>
        <w:autoSpaceDN w:val="0"/>
        <w:bidi w:val="0"/>
        <w:adjustRightInd/>
        <w:snapToGrid/>
        <w:spacing w:before="0" w:line="480" w:lineRule="auto"/>
        <w:ind w:left="0"/>
        <w:jc w:val="center"/>
        <w:textAlignment w:val="auto"/>
        <w:rPr>
          <w:rFonts w:hint="eastAsia"/>
          <w:sz w:val="24"/>
          <w:szCs w:val="24"/>
          <w:lang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t>（投标人根据投标文件内容自行编制）</w:t>
      </w:r>
    </w:p>
    <w:p>
      <w:pPr>
        <w:spacing w:before="0"/>
        <w:ind w:right="0"/>
        <w:jc w:val="left"/>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p>
    <w:p>
      <w:pPr>
        <w:pStyle w:val="7"/>
        <w:spacing w:before="4"/>
        <w:jc w:val="center"/>
        <w:rPr>
          <w:rFonts w:hint="eastAsia" w:ascii="宋体" w:hAnsi="宋体" w:eastAsia="宋体" w:cs="宋体"/>
          <w:b/>
          <w:sz w:val="24"/>
          <w:szCs w:val="24"/>
        </w:rPr>
      </w:pPr>
      <w:r>
        <w:rPr>
          <w:rFonts w:hint="eastAsia" w:ascii="宋体" w:hAnsi="宋体" w:eastAsia="宋体" w:cs="宋体"/>
          <w:b/>
          <w:sz w:val="28"/>
          <w:szCs w:val="28"/>
        </w:rPr>
        <w:t>投标声明书</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lang w:eastAsia="zh-CN"/>
        </w:rPr>
        <w:t>浙江科信联合工程项目管理咨询有限公司</w:t>
      </w:r>
      <w:r>
        <w:rPr>
          <w:rFonts w:hint="eastAsia" w:ascii="宋体" w:hAnsi="宋体" w:eastAsia="宋体" w:cs="宋体"/>
          <w:spacing w:val="0"/>
          <w:sz w:val="24"/>
          <w:szCs w:val="24"/>
        </w:rPr>
        <w:t>（采购代理机构名称）：</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（投标人名称）系中华人民共和国合法企业，（经营地址）。</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我（</w:t>
      </w:r>
      <w:r>
        <w:rPr>
          <w:rFonts w:hint="eastAsia" w:ascii="宋体" w:hAnsi="宋体" w:eastAsia="宋体" w:cs="宋体"/>
          <w:spacing w:val="0"/>
          <w:sz w:val="24"/>
          <w:szCs w:val="24"/>
          <w:u w:val="single"/>
        </w:rPr>
        <w:t xml:space="preserve"> 姓名 </w:t>
      </w:r>
      <w:r>
        <w:rPr>
          <w:rFonts w:hint="eastAsia" w:ascii="宋体" w:hAnsi="宋体" w:eastAsia="宋体" w:cs="宋体"/>
          <w:spacing w:val="0"/>
          <w:sz w:val="24"/>
          <w:szCs w:val="24"/>
        </w:rPr>
        <w:t>）系（</w:t>
      </w:r>
      <w:r>
        <w:rPr>
          <w:rFonts w:hint="eastAsia" w:ascii="宋体" w:hAnsi="宋体" w:eastAsia="宋体" w:cs="宋体"/>
          <w:spacing w:val="0"/>
          <w:sz w:val="24"/>
          <w:szCs w:val="24"/>
          <w:u w:val="single"/>
        </w:rPr>
        <w:t xml:space="preserve"> 投标人名称 </w:t>
      </w:r>
      <w:r>
        <w:rPr>
          <w:rFonts w:hint="eastAsia" w:ascii="宋体" w:hAnsi="宋体" w:eastAsia="宋体" w:cs="宋体"/>
          <w:spacing w:val="0"/>
          <w:sz w:val="24"/>
          <w:szCs w:val="24"/>
        </w:rPr>
        <w:t>）的法定代表人，我公司自愿参加贵方组织的（</w:t>
      </w:r>
      <w:r>
        <w:rPr>
          <w:rFonts w:hint="eastAsia" w:ascii="宋体" w:hAnsi="宋体" w:eastAsia="宋体" w:cs="宋体"/>
          <w:spacing w:val="0"/>
          <w:sz w:val="24"/>
          <w:szCs w:val="24"/>
          <w:u w:val="single"/>
        </w:rPr>
        <w:t>招标项目名称</w:t>
      </w:r>
      <w:r>
        <w:rPr>
          <w:rFonts w:hint="eastAsia" w:ascii="宋体" w:hAnsi="宋体" w:eastAsia="宋体" w:cs="宋体"/>
          <w:spacing w:val="0"/>
          <w:sz w:val="24"/>
          <w:szCs w:val="24"/>
        </w:rPr>
        <w:t>）（编号为）的投标，为此，我公司就本次投标有关事项郑重声明如下：</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3、我公司不是采购人的附属机构；在获知本项目采购信息后，与采购人聘请的为此项目提供咨询服务的公司及其附属机构没有任何联系。</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5、我公司严格履行政府采购合同，不降低合同约定的产品质量和服务，不擅自变更、中止、终止合同，或拒绝履行合同义务；</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6、我公司承诺（若代理服务费由中标单位支付）：如在本项目中标，我公司在中标公告发布之日起5个工作日内按采购文件约定支付代理服务费。</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、以上事项如有虚假或隐瞒，我公司愿意承担一切后果，并不再寻求任何旨在减轻或免除法律责任的辩解。</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法定代表人或授权委托人(签字)：</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850"/>
        <w:jc w:val="right"/>
        <w:textAlignment w:val="auto"/>
        <w:rPr>
          <w:rFonts w:hint="eastAsia" w:ascii="宋体" w:hAnsi="宋体" w:eastAsia="宋体" w:cs="宋体"/>
          <w:sz w:val="24"/>
          <w:szCs w:val="24"/>
        </w:rPr>
      </w:pPr>
      <w:r>
        <w:rPr>
          <w:rFonts w:hint="eastAsia" w:ascii="宋体" w:hAnsi="宋体" w:eastAsia="宋体" w:cs="宋体"/>
          <w:sz w:val="24"/>
          <w:szCs w:val="24"/>
        </w:rPr>
        <w:t>日期：</w:t>
      </w:r>
    </w:p>
    <w:p/>
    <w:p>
      <w:pPr>
        <w:spacing w:before="0"/>
        <w:ind w:right="0"/>
        <w:jc w:val="left"/>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3</w:t>
      </w:r>
    </w:p>
    <w:p>
      <w:pPr>
        <w:pStyle w:val="8"/>
        <w:jc w:val="center"/>
        <w:rPr>
          <w:rFonts w:hint="eastAsia" w:ascii="宋体" w:hAnsi="宋体" w:eastAsia="宋体" w:cs="宋体"/>
          <w:b/>
          <w:sz w:val="28"/>
          <w:szCs w:val="28"/>
          <w:lang w:val="zh-CN" w:eastAsia="zh-CN" w:bidi="zh-CN"/>
        </w:rPr>
      </w:pPr>
      <w:r>
        <w:rPr>
          <w:rFonts w:hint="eastAsia" w:ascii="宋体" w:hAnsi="宋体" w:eastAsia="宋体" w:cs="宋体"/>
          <w:b/>
          <w:sz w:val="28"/>
          <w:szCs w:val="28"/>
          <w:lang w:val="zh-CN" w:eastAsia="zh-CN" w:bidi="zh-CN"/>
        </w:rPr>
        <w:t>授权委托书</w:t>
      </w:r>
    </w:p>
    <w:p>
      <w:pPr>
        <w:pStyle w:val="7"/>
        <w:keepNext w:val="0"/>
        <w:keepLines w:val="0"/>
        <w:pageBreakBefore w:val="0"/>
        <w:widowControl w:val="0"/>
        <w:tabs>
          <w:tab w:val="left" w:pos="2779"/>
        </w:tabs>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（填写采购人单位名称）</w:t>
      </w:r>
      <w:r>
        <w:rPr>
          <w:rFonts w:hint="eastAsia" w:ascii="宋体" w:hAnsi="宋体" w:eastAsia="宋体" w:cs="宋体"/>
          <w:sz w:val="24"/>
          <w:szCs w:val="24"/>
        </w:rPr>
        <w:t>：</w:t>
      </w:r>
    </w:p>
    <w:p>
      <w:pPr>
        <w:pStyle w:val="7"/>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我单位全权委托</w:t>
      </w:r>
      <w:r>
        <w:rPr>
          <w:rFonts w:hint="eastAsia" w:ascii="宋体" w:hAnsi="宋体" w:eastAsia="宋体" w:cs="宋体"/>
          <w:sz w:val="24"/>
          <w:szCs w:val="24"/>
        </w:rPr>
        <w:tab/>
      </w:r>
      <w:r>
        <w:rPr>
          <w:rFonts w:hint="eastAsia" w:ascii="宋体" w:hAnsi="宋体" w:eastAsia="宋体" w:cs="宋体"/>
          <w:sz w:val="24"/>
          <w:szCs w:val="24"/>
        </w:rPr>
        <w:t>（身份证号：</w:t>
      </w:r>
      <w:r>
        <w:rPr>
          <w:rFonts w:hint="eastAsia" w:ascii="宋体" w:hAnsi="宋体" w:eastAsia="宋体" w:cs="宋体"/>
          <w:sz w:val="24"/>
          <w:szCs w:val="24"/>
        </w:rPr>
        <w:tab/>
      </w:r>
      <w:r>
        <w:rPr>
          <w:rFonts w:hint="eastAsia" w:ascii="宋体" w:hAnsi="宋体" w:eastAsia="宋体" w:cs="宋体"/>
          <w:sz w:val="24"/>
          <w:szCs w:val="24"/>
        </w:rPr>
        <w:t>）作为我单位合法代理人，参加</w:t>
      </w:r>
      <w:r>
        <w:rPr>
          <w:rFonts w:hint="eastAsia" w:ascii="宋体" w:hAnsi="宋体" w:eastAsia="宋体" w:cs="宋体"/>
          <w:sz w:val="24"/>
          <w:szCs w:val="24"/>
        </w:rPr>
        <w:tab/>
      </w:r>
      <w:r>
        <w:rPr>
          <w:rFonts w:hint="eastAsia" w:ascii="宋体" w:hAnsi="宋体" w:eastAsia="宋体" w:cs="宋体"/>
          <w:spacing w:val="-5"/>
          <w:sz w:val="24"/>
          <w:szCs w:val="24"/>
        </w:rPr>
        <w:t>（</w:t>
      </w:r>
      <w:r>
        <w:rPr>
          <w:rFonts w:hint="eastAsia" w:ascii="宋体" w:hAnsi="宋体" w:eastAsia="宋体" w:cs="宋体"/>
          <w:sz w:val="24"/>
          <w:szCs w:val="24"/>
        </w:rPr>
        <w:t>填写政府采购项目名称及编号</w:t>
      </w:r>
      <w:r>
        <w:rPr>
          <w:rFonts w:hint="eastAsia" w:ascii="宋体" w:hAnsi="宋体" w:eastAsia="宋体" w:cs="宋体"/>
          <w:spacing w:val="-17"/>
          <w:sz w:val="24"/>
          <w:szCs w:val="24"/>
        </w:rPr>
        <w:t>）</w:t>
      </w:r>
      <w:r>
        <w:rPr>
          <w:rFonts w:hint="eastAsia" w:ascii="宋体" w:hAnsi="宋体" w:eastAsia="宋体" w:cs="宋体"/>
          <w:sz w:val="24"/>
          <w:szCs w:val="24"/>
        </w:rPr>
        <w:t>投标活动</w:t>
      </w:r>
      <w:r>
        <w:rPr>
          <w:rFonts w:hint="eastAsia" w:ascii="宋体" w:hAnsi="宋体" w:eastAsia="宋体" w:cs="宋体"/>
          <w:spacing w:val="-17"/>
          <w:sz w:val="24"/>
          <w:szCs w:val="24"/>
        </w:rPr>
        <w:t>，</w:t>
      </w:r>
      <w:r>
        <w:rPr>
          <w:rFonts w:hint="eastAsia" w:ascii="宋体" w:hAnsi="宋体" w:eastAsia="宋体" w:cs="宋体"/>
          <w:sz w:val="24"/>
          <w:szCs w:val="24"/>
        </w:rPr>
        <w:t>并办理上述</w:t>
      </w:r>
      <w:r>
        <w:rPr>
          <w:rFonts w:hint="eastAsia" w:ascii="宋体" w:hAnsi="宋体" w:eastAsia="宋体" w:cs="宋体"/>
          <w:spacing w:val="-16"/>
          <w:sz w:val="24"/>
          <w:szCs w:val="24"/>
        </w:rPr>
        <w:t>项</w:t>
      </w:r>
      <w:r>
        <w:rPr>
          <w:rFonts w:hint="eastAsia" w:ascii="宋体" w:hAnsi="宋体" w:eastAsia="宋体" w:cs="宋体"/>
          <w:sz w:val="24"/>
          <w:szCs w:val="24"/>
        </w:rPr>
        <w:t>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pPr>
        <w:pStyle w:val="7"/>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特此委托</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代理人姓名（签字或盖章）：            日期：  年  月  日</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法定代表人（签字或盖章）：            日期：  年  月  日</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widowControl/>
        <w:suppressLineNumbers w:val="0"/>
        <w:jc w:val="righ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（委托单位加盖公章）</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7"/>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417"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附：1、代理人身份证正反面 </w:t>
      </w:r>
    </w:p>
    <w:p>
      <w:pPr>
        <w:pStyle w:val="7"/>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417" w:lineRule="exact"/>
        <w:ind w:firstLine="480" w:firstLineChars="200"/>
        <w:jc w:val="both"/>
        <w:textAlignment w:val="auto"/>
      </w:pPr>
      <w:r>
        <w:rPr>
          <w:rFonts w:hint="eastAsia" w:ascii="宋体" w:hAnsi="宋体" w:eastAsia="宋体" w:cs="宋体"/>
          <w:sz w:val="24"/>
          <w:szCs w:val="24"/>
          <w:lang w:val="en-US" w:eastAsia="zh-CN"/>
        </w:rPr>
        <w:t>2、法定代表人身份证正反面</w:t>
      </w:r>
    </w:p>
    <w:p>
      <w:pPr>
        <w:pStyle w:val="18"/>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eastAsia"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4</w:t>
      </w:r>
    </w:p>
    <w:p>
      <w:pPr>
        <w:pStyle w:val="7"/>
        <w:spacing w:before="17"/>
        <w:jc w:val="center"/>
        <w:rPr>
          <w:rFonts w:hint="eastAsia" w:ascii="宋体" w:hAnsi="宋体" w:eastAsia="宋体" w:cs="宋体"/>
          <w:b/>
          <w:sz w:val="28"/>
          <w:szCs w:val="28"/>
          <w:lang w:eastAsia="zh-CN"/>
        </w:rPr>
      </w:pPr>
      <w:r>
        <w:rPr>
          <w:rFonts w:hint="eastAsia" w:ascii="宋体" w:hAnsi="宋体" w:eastAsia="宋体" w:cs="宋体"/>
          <w:b/>
          <w:sz w:val="28"/>
          <w:szCs w:val="28"/>
        </w:rPr>
        <w:t>中小企业声明函</w:t>
      </w:r>
      <w:r>
        <w:rPr>
          <w:rFonts w:hint="eastAsia" w:ascii="宋体" w:hAnsi="宋体" w:eastAsia="宋体" w:cs="宋体"/>
          <w:b/>
          <w:sz w:val="28"/>
          <w:szCs w:val="28"/>
          <w:lang w:eastAsia="zh-CN"/>
        </w:rPr>
        <w:t>（货物）</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本公司（联合体）郑重声明，根据《政府采购促进中小企业发展管理办法》（财库﹝2020﹞46号）的规定，本公司（联合体）参加</w:t>
      </w:r>
      <w:r>
        <w:rPr>
          <w:rFonts w:hint="eastAsia" w:ascii="宋体" w:hAnsi="宋体" w:eastAsia="宋体" w:cs="宋体"/>
          <w:spacing w:val="0"/>
          <w:sz w:val="24"/>
          <w:szCs w:val="24"/>
          <w:u w:val="single"/>
        </w:rPr>
        <w:t>（单位名称）</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（项目名称）</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rPr>
        <w:t>采购活动，服务全部由符合政策要求的中小企业承接。相关企业（ 含联合体中的中小企业、签订分包意向协议的中小企业）的具体情况如下：</w:t>
      </w:r>
    </w:p>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 xml:space="preserve">1. </w:t>
      </w:r>
      <w:r>
        <w:rPr>
          <w:rFonts w:hint="eastAsia" w:ascii="宋体" w:hAnsi="宋体" w:eastAsia="宋体" w:cs="宋体"/>
          <w:spacing w:val="0"/>
          <w:sz w:val="24"/>
          <w:szCs w:val="24"/>
          <w:u w:val="single"/>
          <w:lang w:val="en-US" w:eastAsia="zh-CN" w:bidi="zh-CN"/>
        </w:rPr>
        <w:t xml:space="preserve">标的名称        </w:t>
      </w:r>
      <w:r>
        <w:rPr>
          <w:rFonts w:hint="eastAsia" w:ascii="宋体" w:hAnsi="宋体" w:eastAsia="宋体" w:cs="宋体"/>
          <w:spacing w:val="0"/>
          <w:sz w:val="24"/>
          <w:szCs w:val="24"/>
          <w:lang w:val="en-US" w:eastAsia="zh-CN" w:bidi="zh-CN"/>
        </w:rPr>
        <w:t xml:space="preserve"> ，属于</w:t>
      </w:r>
      <w:r>
        <w:rPr>
          <w:rFonts w:hint="eastAsia" w:ascii="宋体" w:hAnsi="宋体" w:eastAsia="宋体" w:cs="宋体"/>
          <w:spacing w:val="0"/>
          <w:sz w:val="24"/>
          <w:szCs w:val="24"/>
          <w:u w:val="single"/>
          <w:lang w:val="en-US" w:eastAsia="zh-CN" w:bidi="zh-CN"/>
        </w:rPr>
        <w:t>（采购文件明确的所属行业：其他未列明行业）</w:t>
      </w:r>
      <w:r>
        <w:rPr>
          <w:rFonts w:hint="eastAsia" w:ascii="宋体" w:hAnsi="宋体" w:eastAsia="宋体" w:cs="宋体"/>
          <w:spacing w:val="0"/>
          <w:sz w:val="24"/>
          <w:szCs w:val="24"/>
          <w:lang w:val="en-US" w:eastAsia="zh-CN" w:bidi="zh-CN"/>
        </w:rPr>
        <w:t>；承建（承接）企业为</w:t>
      </w:r>
      <w:r>
        <w:rPr>
          <w:rFonts w:hint="eastAsia" w:ascii="宋体" w:hAnsi="宋体" w:eastAsia="宋体" w:cs="宋体"/>
          <w:spacing w:val="0"/>
          <w:sz w:val="24"/>
          <w:szCs w:val="24"/>
          <w:u w:val="single"/>
          <w:lang w:val="en-US" w:eastAsia="zh-CN" w:bidi="zh-CN"/>
        </w:rPr>
        <w:t xml:space="preserve">（企业名称）        </w:t>
      </w:r>
      <w:r>
        <w:rPr>
          <w:rFonts w:hint="eastAsia" w:ascii="宋体" w:hAnsi="宋体" w:eastAsia="宋体" w:cs="宋体"/>
          <w:spacing w:val="0"/>
          <w:sz w:val="24"/>
          <w:szCs w:val="24"/>
          <w:lang w:val="en-US" w:eastAsia="zh-CN" w:bidi="zh-CN"/>
        </w:rPr>
        <w:t xml:space="preserve"> ，从业人员</w:t>
      </w:r>
      <w:r>
        <w:rPr>
          <w:rFonts w:hint="eastAsia" w:ascii="宋体" w:hAnsi="宋体" w:eastAsia="宋体" w:cs="宋体"/>
          <w:spacing w:val="0"/>
          <w:sz w:val="24"/>
          <w:szCs w:val="24"/>
          <w:u w:val="single"/>
          <w:lang w:val="en-US" w:eastAsia="zh-CN" w:bidi="zh-CN"/>
        </w:rPr>
        <w:t xml:space="preserve">        </w:t>
      </w:r>
      <w:r>
        <w:rPr>
          <w:rFonts w:hint="eastAsia" w:ascii="宋体" w:hAnsi="宋体" w:eastAsia="宋体" w:cs="宋体"/>
          <w:spacing w:val="0"/>
          <w:sz w:val="24"/>
          <w:szCs w:val="24"/>
          <w:lang w:val="en-US" w:eastAsia="zh-CN" w:bidi="zh-CN"/>
        </w:rPr>
        <w:t>人，营业收入为</w:t>
      </w:r>
      <w:r>
        <w:rPr>
          <w:rFonts w:hint="eastAsia" w:ascii="宋体" w:hAnsi="宋体" w:eastAsia="宋体" w:cs="宋体"/>
          <w:spacing w:val="0"/>
          <w:sz w:val="24"/>
          <w:szCs w:val="24"/>
          <w:u w:val="single"/>
          <w:lang w:val="en-US" w:eastAsia="zh-CN" w:bidi="zh-CN"/>
        </w:rPr>
        <w:t xml:space="preserve">     </w:t>
      </w:r>
      <w:r>
        <w:rPr>
          <w:rFonts w:hint="eastAsia" w:ascii="宋体" w:hAnsi="宋体" w:eastAsia="宋体" w:cs="宋体"/>
          <w:spacing w:val="0"/>
          <w:sz w:val="24"/>
          <w:szCs w:val="24"/>
          <w:lang w:val="en-US" w:eastAsia="zh-CN" w:bidi="zh-CN"/>
        </w:rPr>
        <w:t>万元，资产总额为</w:t>
      </w:r>
      <w:r>
        <w:rPr>
          <w:rFonts w:hint="eastAsia" w:ascii="宋体" w:hAnsi="宋体" w:eastAsia="宋体" w:cs="宋体"/>
          <w:spacing w:val="0"/>
          <w:sz w:val="24"/>
          <w:szCs w:val="24"/>
          <w:u w:val="single"/>
          <w:lang w:val="en-US" w:eastAsia="zh-CN" w:bidi="zh-CN"/>
        </w:rPr>
        <w:t xml:space="preserve">       </w:t>
      </w:r>
      <w:r>
        <w:rPr>
          <w:rFonts w:hint="eastAsia" w:ascii="宋体" w:hAnsi="宋体" w:eastAsia="宋体" w:cs="宋体"/>
          <w:spacing w:val="0"/>
          <w:sz w:val="24"/>
          <w:szCs w:val="24"/>
          <w:lang w:val="en-US" w:eastAsia="zh-CN" w:bidi="zh-CN"/>
        </w:rPr>
        <w:t>万元，属于</w:t>
      </w:r>
      <w:r>
        <w:rPr>
          <w:rFonts w:hint="eastAsia" w:ascii="宋体" w:hAnsi="宋体" w:eastAsia="宋体" w:cs="宋体"/>
          <w:spacing w:val="0"/>
          <w:sz w:val="24"/>
          <w:szCs w:val="24"/>
          <w:u w:val="single"/>
          <w:lang w:val="en-US" w:eastAsia="zh-CN" w:bidi="zh-CN"/>
        </w:rPr>
        <w:t xml:space="preserve">      （中型企业、小型企业、微型企业） </w:t>
      </w:r>
      <w:r>
        <w:rPr>
          <w:rFonts w:hint="eastAsia" w:ascii="宋体" w:hAnsi="宋体" w:eastAsia="宋体" w:cs="宋体"/>
          <w:spacing w:val="0"/>
          <w:sz w:val="24"/>
          <w:szCs w:val="24"/>
          <w:lang w:val="en-US" w:eastAsia="zh-CN" w:bidi="zh-CN"/>
        </w:rPr>
        <w:t>。</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20" w:firstLineChars="200"/>
        <w:textAlignment w:val="auto"/>
        <w:rPr>
          <w:rFonts w:hint="eastAsia" w:ascii="宋体" w:hAnsi="宋体" w:eastAsia="宋体" w:cs="宋体"/>
          <w:sz w:val="24"/>
          <w:szCs w:val="24"/>
        </w:rPr>
      </w:pPr>
      <w:r>
        <w:rPr>
          <w:rFonts w:hint="eastAsia" w:ascii="宋体" w:hAnsi="宋体" w:eastAsia="宋体" w:cs="宋体"/>
          <w:spacing w:val="-15"/>
          <w:sz w:val="24"/>
          <w:szCs w:val="24"/>
        </w:rPr>
        <w:t>以上企业，不属于大企业的分支机构，不存在控股股东为大企业的情形，也不</w:t>
      </w:r>
      <w:r>
        <w:rPr>
          <w:rFonts w:hint="eastAsia" w:ascii="宋体" w:hAnsi="宋体" w:eastAsia="宋体" w:cs="宋体"/>
          <w:spacing w:val="-12"/>
          <w:sz w:val="24"/>
          <w:szCs w:val="24"/>
        </w:rPr>
        <w:t>存在与大企业的负责人为同一人的情形。</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7"/>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right"/>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 xml:space="preserve">                </w:t>
      </w:r>
    </w:p>
    <w:p>
      <w:pPr>
        <w:pStyle w:val="7"/>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right"/>
        <w:textAlignment w:val="auto"/>
        <w:rPr>
          <w:rFonts w:hint="eastAsia" w:ascii="宋体" w:hAnsi="宋体" w:eastAsia="宋体" w:cs="宋体"/>
          <w:sz w:val="24"/>
          <w:szCs w:val="24"/>
        </w:rPr>
      </w:pPr>
      <w:r>
        <w:rPr>
          <w:rFonts w:hint="eastAsia" w:ascii="宋体" w:hAnsi="宋体" w:eastAsia="宋体" w:cs="宋体"/>
          <w:sz w:val="24"/>
          <w:szCs w:val="24"/>
          <w:lang w:val="zh-CN" w:eastAsia="zh-CN" w:bidi="zh-CN"/>
        </w:rPr>
        <w:t>企业名称（盖章：）</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p>
    <w:p>
      <w:pPr>
        <w:rPr>
          <w:rFonts w:hint="eastAsia" w:ascii="宋体" w:hAnsi="宋体" w:eastAsia="宋体" w:cs="宋体"/>
          <w:spacing w:val="-17"/>
          <w:sz w:val="24"/>
          <w:szCs w:val="24"/>
        </w:rPr>
      </w:pPr>
    </w:p>
    <w:p>
      <w:pPr>
        <w:rPr>
          <w:rFonts w:hint="eastAsia" w:ascii="宋体" w:hAnsi="宋体" w:eastAsia="宋体" w:cs="宋体"/>
          <w:spacing w:val="-17"/>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0"/>
          <w:sz w:val="24"/>
          <w:szCs w:val="24"/>
        </w:rPr>
        <w:t>备注：从业人员、营业收入、资产总额填报上一年度数据，无上一年度数据的新成立企业可不填报。</w:t>
      </w:r>
    </w:p>
    <w:tbl>
      <w:tblPr>
        <w:tblStyle w:val="15"/>
        <w:tblW w:w="15031" w:type="dxa"/>
        <w:tblInd w:w="-407" w:type="dxa"/>
        <w:tblLayout w:type="fixed"/>
        <w:tblCellMar>
          <w:top w:w="0" w:type="dxa"/>
          <w:left w:w="108" w:type="dxa"/>
          <w:bottom w:w="0" w:type="dxa"/>
          <w:right w:w="108" w:type="dxa"/>
        </w:tblCellMar>
      </w:tblPr>
      <w:tblGrid>
        <w:gridCol w:w="2199"/>
        <w:gridCol w:w="1441"/>
        <w:gridCol w:w="1790"/>
        <w:gridCol w:w="1647"/>
        <w:gridCol w:w="1229"/>
        <w:gridCol w:w="1467"/>
        <w:gridCol w:w="1506"/>
        <w:gridCol w:w="1273"/>
        <w:gridCol w:w="1263"/>
        <w:gridCol w:w="1216"/>
      </w:tblGrid>
      <w:tr>
        <w:tblPrEx>
          <w:tblCellMar>
            <w:top w:w="0" w:type="dxa"/>
            <w:left w:w="108" w:type="dxa"/>
            <w:bottom w:w="0" w:type="dxa"/>
            <w:right w:w="108" w:type="dxa"/>
          </w:tblCellMar>
        </w:tblPrEx>
        <w:trPr>
          <w:trHeight w:val="23" w:hRule="atLeast"/>
        </w:trPr>
        <w:tc>
          <w:tcPr>
            <w:tcW w:w="15031" w:type="dxa"/>
            <w:gridSpan w:val="10"/>
            <w:tcBorders>
              <w:top w:val="nil"/>
              <w:left w:val="nil"/>
              <w:bottom w:val="nil"/>
              <w:right w:val="nil"/>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trHeight w:val="23" w:hRule="atLeast"/>
        </w:trPr>
        <w:tc>
          <w:tcPr>
            <w:tcW w:w="2199"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24"/>
              </w:rPr>
            </w:pPr>
            <w:r>
              <w:rPr>
                <w:rFonts w:hint="eastAsia" w:ascii="宋体" w:hAnsi="宋体" w:cs="宋体"/>
                <w:b/>
                <w:bCs/>
                <w:kern w:val="0"/>
                <w:sz w:val="24"/>
              </w:rPr>
              <w:t>行业</w:t>
            </w:r>
          </w:p>
        </w:tc>
        <w:tc>
          <w:tcPr>
            <w:tcW w:w="4878"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24"/>
              </w:rPr>
            </w:pPr>
            <w:r>
              <w:rPr>
                <w:rFonts w:hint="eastAsia" w:ascii="宋体" w:hAnsi="宋体" w:cs="宋体"/>
                <w:b/>
                <w:bCs/>
                <w:kern w:val="0"/>
                <w:sz w:val="24"/>
              </w:rPr>
              <w:t>中型企业</w:t>
            </w:r>
          </w:p>
        </w:tc>
        <w:tc>
          <w:tcPr>
            <w:tcW w:w="4202"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24"/>
              </w:rPr>
            </w:pPr>
            <w:r>
              <w:rPr>
                <w:rFonts w:hint="eastAsia" w:ascii="宋体" w:hAnsi="宋体" w:cs="宋体"/>
                <w:b/>
                <w:bCs/>
                <w:kern w:val="0"/>
                <w:sz w:val="24"/>
              </w:rPr>
              <w:t>小型企业</w:t>
            </w:r>
          </w:p>
        </w:tc>
        <w:tc>
          <w:tcPr>
            <w:tcW w:w="3752"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trHeight w:val="23" w:hRule="atLeast"/>
        </w:trPr>
        <w:tc>
          <w:tcPr>
            <w:tcW w:w="2199"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b/>
                <w:bCs/>
                <w:kern w:val="0"/>
                <w:sz w:val="24"/>
              </w:rPr>
            </w:pP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从业人员X（人）</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营业收入Y</w:t>
            </w:r>
          </w:p>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（万元）</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资产总额Z</w:t>
            </w:r>
          </w:p>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（万元）</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从业人员X（人）</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营业收入Y</w:t>
            </w:r>
          </w:p>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（万元）</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资产总额Z</w:t>
            </w:r>
          </w:p>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（万元）</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从业人员X（人）</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营业收入Y（万元）</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 xml:space="preserve"> 1、农林牧渔业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500≤Y＜20000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50≤Y＜500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Y＜50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 xml:space="preserve"> 2、工业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2000≤Y＜40000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20≤X＜300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300≤Y＜2000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X＜20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Y＜300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highlight w:val="none"/>
              </w:rPr>
            </w:pPr>
            <w:r>
              <w:rPr>
                <w:rFonts w:hint="eastAsia" w:ascii="宋体" w:hAnsi="宋体" w:cs="宋体"/>
                <w:kern w:val="0"/>
                <w:sz w:val="20"/>
                <w:highlight w:val="none"/>
              </w:rPr>
              <w:t xml:space="preserve"> 3、建筑业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6000≤Y＜80000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5000≤Z＜80000</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　</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300≤Y＜6000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 xml:space="preserve"> 300≤Z＜5000</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　</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Y＜300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Z＜300</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 xml:space="preserve"> 4、批发业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20≤X＜200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5000≤Y＜40000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5≤X＜20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1000≤Y＜5000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X＜5</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 xml:space="preserve"> 5、零售业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50≤X＜300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500≤Y＜20000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10≤X＜50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100≤Y＜500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 xml:space="preserve"> 6、交通运输业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3000≤Y＜30000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20≤X＜300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200≤Y＜3000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X＜20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V＜200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 xml:space="preserve"> 7、仓储业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100≤X＜200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1000≤Y＜30000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X＜20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 xml:space="preserve"> 8、邮政业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2000≤Y＜30000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20≤X＜300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100≤Y＜2000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X＜20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 xml:space="preserve"> 9、住宿业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2000≤Y＜10000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100≤Y＜2000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10、餐饮业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2000≤Y＜10000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100≤Y＜2000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V＜100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11、信息传输业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100≤X＜2000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1000≤Y＜100000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12、软件和信息技术服务业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1000≤Y＜10000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Y＜50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13、房地产开发经营</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1000≤Y＜200000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5000≤Z＜10000</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2000≤Z＜5000</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14、物业管理</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300≤X＜1000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1000≤Y＜5000</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500≤Y＜1000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Y＜500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15、租赁和商务服务业</w:t>
            </w:r>
          </w:p>
        </w:tc>
        <w:tc>
          <w:tcPr>
            <w:tcW w:w="144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647"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8000≤Z＜120000</w:t>
            </w:r>
          </w:p>
        </w:tc>
        <w:tc>
          <w:tcPr>
            <w:tcW w:w="122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100≤Z＜8000</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cs="宋体"/>
                <w:kern w:val="0"/>
                <w:sz w:val="20"/>
              </w:rPr>
            </w:pPr>
            <w:r>
              <w:rPr>
                <w:rFonts w:hint="eastAsia" w:ascii="宋体" w:hAnsi="宋体" w:cs="宋体"/>
                <w:kern w:val="0"/>
                <w:sz w:val="20"/>
              </w:rPr>
              <w:t>16、其他未列明行业</w:t>
            </w:r>
          </w:p>
        </w:tc>
        <w:tc>
          <w:tcPr>
            <w:tcW w:w="1441"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90"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647"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29"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506"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16"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15031" w:type="dxa"/>
            <w:gridSpan w:val="10"/>
            <w:tcBorders>
              <w:top w:val="nil"/>
              <w:left w:val="nil"/>
              <w:bottom w:val="nil"/>
              <w:right w:val="nil"/>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说明　1、企业类型的划分以统计部门的统计数据为依据。</w:t>
            </w:r>
          </w:p>
          <w:p>
            <w:pPr>
              <w:keepNext w:val="0"/>
              <w:keepLines w:val="0"/>
              <w:pageBreakBefore w:val="0"/>
              <w:widowControl/>
              <w:kinsoku/>
              <w:wordWrap/>
              <w:overflowPunct/>
              <w:topLinePunct w:val="0"/>
              <w:autoSpaceDE w:val="0"/>
              <w:autoSpaceDN w:val="0"/>
              <w:bidi w:val="0"/>
              <w:adjustRightInd/>
              <w:snapToGrid/>
              <w:spacing w:line="300" w:lineRule="exact"/>
              <w:ind w:firstLine="600" w:firstLineChars="300"/>
              <w:jc w:val="left"/>
              <w:textAlignment w:val="auto"/>
              <w:rPr>
                <w:rFonts w:hint="eastAsia" w:ascii="宋体" w:hAnsi="宋体" w:cs="宋体"/>
                <w:kern w:val="0"/>
                <w:sz w:val="20"/>
              </w:rPr>
            </w:pPr>
            <w:r>
              <w:rPr>
                <w:rFonts w:hint="eastAsia" w:ascii="宋体" w:hAnsi="宋体" w:cs="宋体"/>
                <w:kern w:val="0"/>
                <w:sz w:val="20"/>
              </w:rPr>
              <w:t>2、个体工商户和本规定以外的行业，参照本规定进行划型。</w:t>
            </w:r>
          </w:p>
          <w:p>
            <w:pPr>
              <w:keepNext w:val="0"/>
              <w:keepLines w:val="0"/>
              <w:pageBreakBefore w:val="0"/>
              <w:widowControl/>
              <w:kinsoku/>
              <w:wordWrap/>
              <w:overflowPunct/>
              <w:topLinePunct w:val="0"/>
              <w:autoSpaceDE w:val="0"/>
              <w:autoSpaceDN w:val="0"/>
              <w:bidi w:val="0"/>
              <w:adjustRightInd/>
              <w:snapToGrid/>
              <w:spacing w:line="300" w:lineRule="exact"/>
              <w:ind w:firstLine="600" w:firstLineChars="300"/>
              <w:jc w:val="left"/>
              <w:textAlignment w:val="auto"/>
              <w:rPr>
                <w:rFonts w:hint="eastAsia" w:ascii="宋体" w:hAnsi="宋体" w:cs="宋体"/>
                <w:kern w:val="0"/>
                <w:sz w:val="20"/>
              </w:rPr>
            </w:pPr>
            <w:r>
              <w:rPr>
                <w:rFonts w:hint="eastAsia" w:ascii="宋体" w:hAnsi="宋体" w:cs="宋体"/>
                <w:kern w:val="0"/>
                <w:sz w:val="20"/>
              </w:rPr>
              <w:t>3、本规定的中型企业标准上限即为大型企业标准的下限。</w:t>
            </w: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jc w:val="left"/>
        <w:rPr>
          <w:rFonts w:hint="eastAsia"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5</w:t>
      </w:r>
    </w:p>
    <w:p>
      <w:pPr>
        <w:spacing w:before="0"/>
        <w:ind w:left="652" w:right="0" w:firstLine="0"/>
        <w:jc w:val="center"/>
        <w:rPr>
          <w:rFonts w:hint="eastAsia"/>
        </w:rPr>
      </w:pPr>
      <w:r>
        <w:rPr>
          <w:rFonts w:hint="eastAsia" w:ascii="宋体" w:hAnsi="宋体" w:eastAsia="宋体" w:cs="宋体"/>
          <w:b/>
          <w:sz w:val="28"/>
          <w:szCs w:val="28"/>
        </w:rPr>
        <w:t>残疾人福利性单位声明函</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w:t>
      </w:r>
      <w:r>
        <w:rPr>
          <w:rFonts w:hint="eastAsia" w:ascii="宋体" w:hAnsi="宋体" w:eastAsia="宋体" w:cs="宋体"/>
          <w:spacing w:val="-2"/>
          <w:sz w:val="24"/>
          <w:szCs w:val="24"/>
        </w:rPr>
        <w:t>〕</w:t>
      </w:r>
      <w:r>
        <w:rPr>
          <w:rFonts w:hint="eastAsia" w:ascii="宋体" w:hAnsi="宋体" w:eastAsia="宋体" w:cs="宋体"/>
          <w:sz w:val="24"/>
          <w:szCs w:val="24"/>
        </w:rPr>
        <w:t>141</w:t>
      </w:r>
      <w:r>
        <w:rPr>
          <w:rFonts w:hint="eastAsia" w:ascii="宋体" w:hAnsi="宋体" w:eastAsia="宋体" w:cs="宋体"/>
          <w:spacing w:val="-1"/>
          <w:sz w:val="24"/>
          <w:szCs w:val="24"/>
        </w:rPr>
        <w:t xml:space="preserve"> 号</w:t>
      </w:r>
      <w:r>
        <w:rPr>
          <w:rFonts w:hint="eastAsia" w:ascii="宋体" w:hAnsi="宋体" w:eastAsia="宋体" w:cs="宋体"/>
          <w:sz w:val="24"/>
          <w:szCs w:val="24"/>
        </w:rPr>
        <w:t>）</w:t>
      </w:r>
      <w:r>
        <w:rPr>
          <w:rFonts w:hint="eastAsia" w:ascii="宋体" w:hAnsi="宋体" w:eastAsia="宋体" w:cs="宋体"/>
          <w:spacing w:val="-1"/>
          <w:sz w:val="24"/>
          <w:szCs w:val="24"/>
        </w:rPr>
        <w:t xml:space="preserve">的规定，本单位为符合条件的残疾人福利性单位， </w:t>
      </w:r>
      <w:r>
        <w:rPr>
          <w:rFonts w:hint="eastAsia" w:ascii="宋体" w:hAnsi="宋体" w:eastAsia="宋体" w:cs="宋体"/>
          <w:sz w:val="24"/>
          <w:szCs w:val="24"/>
        </w:rPr>
        <w:t>且本单位参加单位的项目采购活动提供本单位制造的货物（由本单位承担工程/提供服务）， 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本单位对上述声明的真实性负责。如有虚假，将依法承担相应责任。</w:t>
      </w:r>
    </w:p>
    <w:p>
      <w:pPr>
        <w:pStyle w:val="8"/>
        <w:rPr>
          <w:rFonts w:hint="default"/>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line="480" w:lineRule="auto"/>
        <w:ind w:right="0"/>
        <w:jc w:val="right"/>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pacing w:val="12"/>
          <w:sz w:val="24"/>
          <w:szCs w:val="24"/>
        </w:rPr>
        <w:t>期</w:t>
      </w:r>
      <w:r>
        <w:rPr>
          <w:rFonts w:hint="eastAsia" w:ascii="宋体" w:hAnsi="宋体" w:eastAsia="宋体" w:cs="宋体"/>
          <w:sz w:val="24"/>
          <w:szCs w:val="24"/>
        </w:rPr>
        <w:t>：</w:t>
      </w:r>
    </w:p>
    <w:p>
      <w:pPr>
        <w:keepNext w:val="0"/>
        <w:keepLines w:val="0"/>
        <w:widowControl/>
        <w:suppressLineNumbers w:val="0"/>
        <w:jc w:val="left"/>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6</w:t>
      </w:r>
    </w:p>
    <w:p>
      <w:pPr>
        <w:keepNext w:val="0"/>
        <w:keepLines w:val="0"/>
        <w:widowControl/>
        <w:suppressLineNumbers w:val="0"/>
        <w:jc w:val="center"/>
        <w:rPr>
          <w:rFonts w:ascii="微软雅黑" w:hAnsi="微软雅黑" w:eastAsia="微软雅黑" w:cs="微软雅黑"/>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t>项目名称</w:t>
      </w:r>
    </w:p>
    <w:p>
      <w:pPr>
        <w:pStyle w:val="8"/>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项目编号：</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pPr>
        <w:pStyle w:val="8"/>
        <w:rPr>
          <w:rFonts w:hint="eastAsia" w:ascii="微软雅黑" w:hAnsi="微软雅黑" w:eastAsia="微软雅黑" w:cs="微软雅黑"/>
          <w:b/>
          <w:sz w:val="28"/>
          <w:szCs w:val="24"/>
          <w:lang w:val="en-US" w:eastAsia="zh-CN" w:bidi="zh-CN"/>
        </w:rPr>
      </w:pPr>
    </w:p>
    <w:p>
      <w:pPr>
        <w:pStyle w:val="9"/>
        <w:rPr>
          <w:rFonts w:hint="eastAsia"/>
          <w:lang w:val="en-US" w:eastAsia="zh-CN"/>
        </w:rPr>
      </w:pPr>
    </w:p>
    <w:p>
      <w:pPr>
        <w:keepNext w:val="0"/>
        <w:keepLines w:val="0"/>
        <w:widowControl/>
        <w:suppressLineNumbers w:val="0"/>
        <w:jc w:val="center"/>
      </w:pPr>
      <w:r>
        <w:rPr>
          <w:rFonts w:hint="eastAsia" w:cs="微软雅黑"/>
          <w:color w:val="000000"/>
          <w:kern w:val="0"/>
          <w:sz w:val="84"/>
          <w:szCs w:val="84"/>
          <w:lang w:val="en-US" w:eastAsia="zh-CN" w:bidi="ar"/>
        </w:rPr>
        <w:t>商务技术</w:t>
      </w:r>
      <w:r>
        <w:rPr>
          <w:rFonts w:ascii="微软雅黑" w:hAnsi="微软雅黑" w:eastAsia="微软雅黑" w:cs="微软雅黑"/>
          <w:color w:val="000000"/>
          <w:kern w:val="0"/>
          <w:sz w:val="84"/>
          <w:szCs w:val="84"/>
          <w:lang w:val="en-US" w:eastAsia="zh-CN" w:bidi="ar"/>
        </w:rPr>
        <w:t>文件</w:t>
      </w:r>
    </w:p>
    <w:p>
      <w:pPr>
        <w:pStyle w:val="8"/>
        <w:rPr>
          <w:rFonts w:hint="eastAsia"/>
          <w:lang w:val="en-US" w:eastAsia="zh-CN"/>
        </w:rPr>
      </w:pPr>
    </w:p>
    <w:p>
      <w:pPr>
        <w:pStyle w:val="9"/>
        <w:rPr>
          <w:rFonts w:hint="eastAsia"/>
          <w:lang w:val="en-US" w:eastAsia="zh-CN"/>
        </w:rPr>
      </w:pPr>
    </w:p>
    <w:p>
      <w:pPr>
        <w:rPr>
          <w:rFonts w:hint="eastAsia"/>
          <w:lang w:val="en-US" w:eastAsia="zh-CN"/>
        </w:rPr>
      </w:pPr>
    </w:p>
    <w:p>
      <w:pPr>
        <w:pStyle w:val="9"/>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ascii="微软雅黑" w:hAnsi="微软雅黑" w:eastAsia="微软雅黑" w:cs="微软雅黑"/>
          <w:color w:val="000000"/>
          <w:kern w:val="0"/>
          <w:sz w:val="36"/>
          <w:szCs w:val="36"/>
          <w:lang w:val="en-US" w:eastAsia="zh-CN" w:bidi="ar"/>
        </w:rPr>
        <w:t xml:space="preserve">供应商名称（盖公章）：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ascii="微软雅黑" w:hAnsi="微软雅黑" w:eastAsia="微软雅黑" w:cs="微软雅黑"/>
          <w:color w:val="000000"/>
          <w:kern w:val="0"/>
          <w:sz w:val="36"/>
          <w:szCs w:val="36"/>
          <w:lang w:val="en-US" w:eastAsia="zh-CN" w:bidi="ar"/>
        </w:rPr>
      </w:pPr>
      <w:r>
        <w:rPr>
          <w:rFonts w:hint="eastAsia" w:ascii="微软雅黑" w:hAnsi="微软雅黑" w:eastAsia="微软雅黑" w:cs="微软雅黑"/>
          <w:color w:val="000000"/>
          <w:kern w:val="0"/>
          <w:sz w:val="36"/>
          <w:szCs w:val="36"/>
          <w:lang w:val="en-US" w:eastAsia="zh-CN" w:bidi="ar"/>
        </w:rPr>
        <w:t xml:space="preserve">地 址：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000000"/>
          <w:kern w:val="0"/>
          <w:sz w:val="36"/>
          <w:szCs w:val="36"/>
          <w:lang w:val="en-US" w:eastAsia="zh-CN" w:bidi="ar"/>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000000"/>
          <w:kern w:val="0"/>
          <w:sz w:val="36"/>
          <w:szCs w:val="36"/>
          <w:lang w:val="en-US" w:eastAsia="zh-CN" w:bidi="ar"/>
        </w:rPr>
        <w:t>时 间：</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b/>
          <w:sz w:val="24"/>
          <w:szCs w:val="24"/>
        </w:rPr>
      </w:pPr>
      <w:r>
        <w:rPr>
          <w:rFonts w:hint="eastAsia" w:ascii="宋体" w:hAnsi="宋体" w:eastAsia="宋体" w:cs="宋体"/>
          <w:b/>
          <w:sz w:val="28"/>
          <w:szCs w:val="28"/>
        </w:rPr>
        <w:t>商务技术文件目录</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（投标人根据投标文件内容自行编制）</w:t>
      </w:r>
    </w:p>
    <w:p>
      <w:pPr>
        <w:pStyle w:val="8"/>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7</w:t>
      </w:r>
    </w:p>
    <w:p>
      <w:pPr>
        <w:pStyle w:val="7"/>
        <w:spacing w:before="15"/>
        <w:jc w:val="center"/>
        <w:rPr>
          <w:rFonts w:hint="eastAsia" w:ascii="宋体" w:hAnsi="宋体" w:eastAsia="宋体" w:cs="宋体"/>
          <w:b/>
          <w:sz w:val="28"/>
          <w:szCs w:val="28"/>
        </w:rPr>
      </w:pPr>
      <w:r>
        <w:rPr>
          <w:rFonts w:hint="eastAsia" w:ascii="宋体" w:hAnsi="宋体" w:eastAsia="宋体" w:cs="宋体"/>
          <w:b/>
          <w:sz w:val="28"/>
          <w:szCs w:val="28"/>
        </w:rPr>
        <w:t>供应商基本情况表</w:t>
      </w:r>
    </w:p>
    <w:tbl>
      <w:tblPr>
        <w:tblStyle w:val="15"/>
        <w:tblW w:w="9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237"/>
        <w:gridCol w:w="1156"/>
        <w:gridCol w:w="242"/>
        <w:gridCol w:w="1263"/>
        <w:gridCol w:w="1507"/>
        <w:gridCol w:w="1337"/>
        <w:gridCol w:w="847"/>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tcBorders>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企业名称</w:t>
            </w:r>
          </w:p>
        </w:tc>
        <w:tc>
          <w:tcPr>
            <w:tcW w:w="3898" w:type="dxa"/>
            <w:gridSpan w:val="4"/>
            <w:tcBorders>
              <w:lef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507"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法人代表</w:t>
            </w:r>
          </w:p>
        </w:tc>
        <w:tc>
          <w:tcPr>
            <w:tcW w:w="3224" w:type="dxa"/>
            <w:gridSpan w:val="3"/>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tcBorders>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地 址</w:t>
            </w:r>
          </w:p>
        </w:tc>
        <w:tc>
          <w:tcPr>
            <w:tcW w:w="3898" w:type="dxa"/>
            <w:gridSpan w:val="4"/>
            <w:tcBorders>
              <w:lef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507"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企业性质</w:t>
            </w:r>
          </w:p>
        </w:tc>
        <w:tc>
          <w:tcPr>
            <w:tcW w:w="3224" w:type="dxa"/>
            <w:gridSpan w:val="3"/>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tcBorders>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股东姓名</w:t>
            </w:r>
          </w:p>
        </w:tc>
        <w:tc>
          <w:tcPr>
            <w:tcW w:w="1237" w:type="dxa"/>
            <w:tcBorders>
              <w:left w:val="single" w:color="auto" w:sz="4" w:space="0"/>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156" w:type="dxa"/>
            <w:tcBorders>
              <w:left w:val="single" w:color="auto" w:sz="4" w:space="0"/>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股权结构</w:t>
            </w:r>
          </w:p>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505" w:type="dxa"/>
            <w:gridSpan w:val="2"/>
            <w:tcBorders>
              <w:lef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507"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股东关系</w:t>
            </w:r>
          </w:p>
        </w:tc>
        <w:tc>
          <w:tcPr>
            <w:tcW w:w="3224" w:type="dxa"/>
            <w:gridSpan w:val="3"/>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before="16" w:line="300" w:lineRule="exact"/>
              <w:ind w:left="0" w:right="219"/>
              <w:jc w:val="center"/>
              <w:textAlignment w:val="auto"/>
              <w:rPr>
                <w:rFonts w:hint="eastAsia" w:ascii="宋体" w:hAnsi="宋体" w:eastAsia="宋体" w:cs="宋体"/>
                <w:sz w:val="24"/>
                <w:szCs w:val="24"/>
              </w:rPr>
            </w:pPr>
            <w:r>
              <w:rPr>
                <w:rFonts w:hint="eastAsia" w:ascii="宋体" w:hAnsi="宋体" w:eastAsia="宋体" w:cs="宋体"/>
                <w:sz w:val="24"/>
                <w:szCs w:val="24"/>
              </w:rPr>
              <w:t>联系人姓名</w:t>
            </w:r>
          </w:p>
        </w:tc>
        <w:tc>
          <w:tcPr>
            <w:tcW w:w="1237" w:type="dxa"/>
            <w:vMerge w:val="restart"/>
            <w:tcBorders>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156" w:type="dxa"/>
            <w:tcBorders>
              <w:left w:val="single" w:color="auto" w:sz="4" w:space="0"/>
              <w:bottom w:val="single" w:color="auto" w:sz="4" w:space="0"/>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固定电话</w:t>
            </w:r>
          </w:p>
        </w:tc>
        <w:tc>
          <w:tcPr>
            <w:tcW w:w="1505" w:type="dxa"/>
            <w:gridSpan w:val="2"/>
            <w:tcBorders>
              <w:left w:val="single" w:color="auto" w:sz="4" w:space="0"/>
              <w:bottom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507"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传真</w:t>
            </w:r>
          </w:p>
        </w:tc>
        <w:tc>
          <w:tcPr>
            <w:tcW w:w="3224" w:type="dxa"/>
            <w:gridSpan w:val="3"/>
            <w:vMerge w:val="restart"/>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Pr>
          <w:p>
            <w:pPr>
              <w:pStyle w:val="19"/>
              <w:keepNext w:val="0"/>
              <w:keepLines w:val="0"/>
              <w:pageBreakBefore w:val="0"/>
              <w:widowControl w:val="0"/>
              <w:kinsoku/>
              <w:wordWrap/>
              <w:overflowPunct/>
              <w:topLinePunct w:val="0"/>
              <w:autoSpaceDE w:val="0"/>
              <w:autoSpaceDN w:val="0"/>
              <w:bidi w:val="0"/>
              <w:adjustRightInd/>
              <w:snapToGrid/>
              <w:spacing w:before="16" w:line="300" w:lineRule="exact"/>
              <w:ind w:left="0" w:right="219"/>
              <w:jc w:val="both"/>
              <w:textAlignment w:val="auto"/>
              <w:rPr>
                <w:rFonts w:hint="eastAsia" w:ascii="宋体" w:hAnsi="宋体" w:eastAsia="宋体" w:cs="宋体"/>
                <w:sz w:val="24"/>
                <w:szCs w:val="24"/>
              </w:rPr>
            </w:pPr>
          </w:p>
        </w:tc>
        <w:tc>
          <w:tcPr>
            <w:tcW w:w="1237" w:type="dxa"/>
            <w:vMerge w:val="continue"/>
            <w:tcBorders>
              <w:right w:val="single" w:color="auto" w:sz="4" w:space="0"/>
            </w:tcBorders>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156" w:type="dxa"/>
            <w:tcBorders>
              <w:top w:val="single" w:color="auto" w:sz="4" w:space="0"/>
              <w:left w:val="single" w:color="auto" w:sz="4" w:space="0"/>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手 机</w:t>
            </w:r>
          </w:p>
        </w:tc>
        <w:tc>
          <w:tcPr>
            <w:tcW w:w="1505" w:type="dxa"/>
            <w:gridSpan w:val="2"/>
            <w:tcBorders>
              <w:top w:val="single" w:color="auto" w:sz="4" w:space="0"/>
              <w:left w:val="single" w:color="auto" w:sz="4" w:space="0"/>
            </w:tcBorders>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507" w:type="dxa"/>
            <w:vMerge w:val="continue"/>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3224" w:type="dxa"/>
            <w:gridSpan w:val="3"/>
            <w:vMerge w:val="continue"/>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1.企业概况</w:t>
            </w:r>
          </w:p>
        </w:tc>
        <w:tc>
          <w:tcPr>
            <w:tcW w:w="123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职工人数</w:t>
            </w:r>
          </w:p>
        </w:tc>
        <w:tc>
          <w:tcPr>
            <w:tcW w:w="115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50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具备大专以上学历人数</w:t>
            </w:r>
          </w:p>
        </w:tc>
        <w:tc>
          <w:tcPr>
            <w:tcW w:w="1507" w:type="dxa"/>
            <w:tcBorders>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337" w:type="dxa"/>
            <w:tcBorders>
              <w:left w:val="single" w:color="auto" w:sz="4" w:space="0"/>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国 家 授 予  技 术 职称人数</w:t>
            </w:r>
          </w:p>
        </w:tc>
        <w:tc>
          <w:tcPr>
            <w:tcW w:w="1887" w:type="dxa"/>
            <w:gridSpan w:val="2"/>
            <w:tcBorders>
              <w:lef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23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占地面积</w:t>
            </w:r>
          </w:p>
        </w:tc>
        <w:tc>
          <w:tcPr>
            <w:tcW w:w="115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50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建筑面积</w:t>
            </w:r>
          </w:p>
        </w:tc>
        <w:tc>
          <w:tcPr>
            <w:tcW w:w="150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平方米</w:t>
            </w:r>
          </w:p>
          <w:p>
            <w:pPr>
              <w:pStyle w:val="19"/>
              <w:keepNext w:val="0"/>
              <w:keepLines w:val="0"/>
              <w:pageBreakBefore w:val="0"/>
              <w:widowControl w:val="0"/>
              <w:numPr>
                <w:ilvl w:val="0"/>
                <w:numId w:val="6"/>
              </w:numPr>
              <w:tabs>
                <w:tab w:val="left" w:pos="260"/>
              </w:tabs>
              <w:kinsoku/>
              <w:wordWrap/>
              <w:overflowPunct/>
              <w:topLinePunct w:val="0"/>
              <w:autoSpaceDE w:val="0"/>
              <w:autoSpaceDN w:val="0"/>
              <w:bidi w:val="0"/>
              <w:adjustRightInd/>
              <w:snapToGrid/>
              <w:spacing w:before="0" w:after="0" w:line="300" w:lineRule="exact"/>
              <w:ind w:left="0" w:right="0" w:hanging="153"/>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自有</w:t>
            </w:r>
          </w:p>
          <w:p>
            <w:pPr>
              <w:pStyle w:val="19"/>
              <w:keepNext w:val="0"/>
              <w:keepLines w:val="0"/>
              <w:pageBreakBefore w:val="0"/>
              <w:widowControl w:val="0"/>
              <w:numPr>
                <w:ilvl w:val="0"/>
                <w:numId w:val="6"/>
              </w:numPr>
              <w:tabs>
                <w:tab w:val="left" w:pos="260"/>
              </w:tabs>
              <w:kinsoku/>
              <w:wordWrap/>
              <w:overflowPunct/>
              <w:topLinePunct w:val="0"/>
              <w:autoSpaceDE w:val="0"/>
              <w:autoSpaceDN w:val="0"/>
              <w:bidi w:val="0"/>
              <w:adjustRightInd/>
              <w:snapToGrid/>
              <w:spacing w:before="0" w:after="0" w:line="300" w:lineRule="exact"/>
              <w:ind w:left="0" w:right="0" w:hanging="153"/>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租賃</w:t>
            </w:r>
          </w:p>
        </w:tc>
        <w:tc>
          <w:tcPr>
            <w:tcW w:w="133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生产经营场所及场所的设施与设备</w:t>
            </w:r>
          </w:p>
        </w:tc>
        <w:tc>
          <w:tcPr>
            <w:tcW w:w="1887"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23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注册资金</w:t>
            </w:r>
          </w:p>
        </w:tc>
        <w:tc>
          <w:tcPr>
            <w:tcW w:w="115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50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注册发证机关</w:t>
            </w:r>
          </w:p>
        </w:tc>
        <w:tc>
          <w:tcPr>
            <w:tcW w:w="150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33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公司成立时间</w:t>
            </w:r>
          </w:p>
        </w:tc>
        <w:tc>
          <w:tcPr>
            <w:tcW w:w="1887"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23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核准经营范围</w:t>
            </w:r>
          </w:p>
        </w:tc>
        <w:tc>
          <w:tcPr>
            <w:tcW w:w="7392" w:type="dxa"/>
            <w:gridSpan w:val="7"/>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8629"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发展历程及主要荣誉：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2．企业有关资质获证情况</w:t>
            </w:r>
          </w:p>
        </w:tc>
        <w:tc>
          <w:tcPr>
            <w:tcW w:w="1237"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产品生产许可证情况（对 需 获得 生 产许 可证的 产品要填写此栏）</w:t>
            </w:r>
          </w:p>
        </w:tc>
        <w:tc>
          <w:tcPr>
            <w:tcW w:w="1398" w:type="dxa"/>
            <w:gridSpan w:val="2"/>
            <w:tcBorders>
              <w:bottom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1263" w:type="dxa"/>
            <w:tcBorders>
              <w:bottom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发证机关</w:t>
            </w:r>
          </w:p>
        </w:tc>
        <w:tc>
          <w:tcPr>
            <w:tcW w:w="1507" w:type="dxa"/>
            <w:tcBorders>
              <w:bottom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编 号</w:t>
            </w:r>
          </w:p>
        </w:tc>
        <w:tc>
          <w:tcPr>
            <w:tcW w:w="2184" w:type="dxa"/>
            <w:gridSpan w:val="2"/>
            <w:tcBorders>
              <w:bottom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发证时间</w:t>
            </w:r>
          </w:p>
        </w:tc>
        <w:tc>
          <w:tcPr>
            <w:tcW w:w="1040" w:type="dxa"/>
            <w:tcBorders>
              <w:bottom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期 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237"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398" w:type="dxa"/>
            <w:gridSpan w:val="2"/>
            <w:tcBorders>
              <w:top w:val="single" w:color="auto" w:sz="4" w:space="0"/>
            </w:tcBorders>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263" w:type="dxa"/>
            <w:tcBorders>
              <w:top w:val="single" w:color="auto" w:sz="4" w:space="0"/>
            </w:tcBorders>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507" w:type="dxa"/>
            <w:tcBorders>
              <w:top w:val="single" w:color="auto" w:sz="4" w:space="0"/>
            </w:tcBorders>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2184" w:type="dxa"/>
            <w:gridSpan w:val="2"/>
            <w:tcBorders>
              <w:top w:val="single" w:color="auto" w:sz="4" w:space="0"/>
            </w:tcBorders>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040" w:type="dxa"/>
            <w:tcBorders>
              <w:top w:val="single" w:color="auto" w:sz="4" w:space="0"/>
            </w:tcBorders>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23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企业通过质量</w:t>
            </w:r>
            <w:r>
              <w:rPr>
                <w:rFonts w:hint="eastAsia" w:ascii="宋体" w:hAnsi="宋体" w:eastAsia="宋体" w:cs="宋体"/>
                <w:sz w:val="24"/>
                <w:szCs w:val="24"/>
                <w:lang w:eastAsia="zh-CN"/>
              </w:rPr>
              <w:t>、</w:t>
            </w:r>
            <w:r>
              <w:rPr>
                <w:rFonts w:hint="eastAsia" w:ascii="宋体" w:hAnsi="宋体" w:eastAsia="宋体" w:cs="宋体"/>
                <w:sz w:val="24"/>
                <w:szCs w:val="24"/>
              </w:rPr>
              <w:t>体 系、环 保体系、计量等认证情况</w:t>
            </w:r>
          </w:p>
        </w:tc>
        <w:tc>
          <w:tcPr>
            <w:tcW w:w="7392" w:type="dxa"/>
            <w:gridSpan w:val="7"/>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23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企业获得专利情况</w:t>
            </w:r>
          </w:p>
        </w:tc>
        <w:tc>
          <w:tcPr>
            <w:tcW w:w="7392" w:type="dxa"/>
            <w:gridSpan w:val="7"/>
          </w:tcPr>
          <w:p>
            <w:pPr>
              <w:pStyle w:val="19"/>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宋体" w:hAnsi="宋体" w:eastAsia="宋体" w:cs="宋体"/>
          <w:spacing w:val="-6"/>
          <w:sz w:val="24"/>
          <w:szCs w:val="24"/>
        </w:rPr>
      </w:pPr>
      <w:r>
        <w:rPr>
          <w:rFonts w:hint="eastAsia" w:ascii="宋体" w:hAnsi="宋体" w:eastAsia="宋体" w:cs="宋体"/>
          <w:b/>
          <w:sz w:val="24"/>
          <w:szCs w:val="24"/>
        </w:rPr>
        <w:t>要求：</w:t>
      </w:r>
      <w:r>
        <w:rPr>
          <w:rFonts w:hint="eastAsia" w:ascii="宋体" w:hAnsi="宋体" w:eastAsia="宋体" w:cs="宋体"/>
          <w:spacing w:val="-6"/>
          <w:sz w:val="24"/>
          <w:szCs w:val="24"/>
        </w:rPr>
        <w:t>姓名栏必须将所有股东都统计在内，若非股份公司此行（第三行）无需填写；</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7"/>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pStyle w:val="9"/>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8</w:t>
      </w:r>
    </w:p>
    <w:p>
      <w:pPr>
        <w:spacing w:before="36"/>
        <w:ind w:left="0" w:right="397" w:firstLine="0"/>
        <w:jc w:val="center"/>
        <w:rPr>
          <w:rFonts w:hint="eastAsia" w:ascii="宋体" w:hAnsi="宋体" w:eastAsia="宋体" w:cs="宋体"/>
          <w:b/>
          <w:sz w:val="28"/>
          <w:szCs w:val="28"/>
        </w:rPr>
      </w:pPr>
      <w:r>
        <w:rPr>
          <w:rFonts w:hint="eastAsia" w:ascii="宋体" w:hAnsi="宋体" w:eastAsia="宋体" w:cs="宋体"/>
          <w:b/>
          <w:w w:val="95"/>
          <w:sz w:val="28"/>
          <w:szCs w:val="28"/>
        </w:rPr>
        <w:t>项目实施人员一览表</w:t>
      </w:r>
    </w:p>
    <w:p>
      <w:pPr>
        <w:pStyle w:val="7"/>
        <w:spacing w:before="322"/>
        <w:jc w:val="center"/>
        <w:rPr>
          <w:rFonts w:hint="eastAsia" w:ascii="宋体" w:hAnsi="宋体" w:eastAsia="宋体" w:cs="宋体"/>
          <w:sz w:val="24"/>
          <w:szCs w:val="24"/>
        </w:rPr>
      </w:pPr>
      <w:r>
        <w:rPr>
          <w:rFonts w:hint="eastAsia" w:ascii="宋体" w:hAnsi="宋体" w:eastAsia="宋体" w:cs="宋体"/>
          <w:sz w:val="24"/>
          <w:szCs w:val="24"/>
        </w:rPr>
        <w:t>（主要从业人员及其技术资格）</w:t>
      </w:r>
    </w:p>
    <w:p>
      <w:pPr>
        <w:pStyle w:val="8"/>
        <w:rPr>
          <w:rFonts w:hint="eastAsia"/>
          <w:lang w:val="en-US" w:eastAsia="zh-CN"/>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780"/>
        <w:gridCol w:w="930"/>
        <w:gridCol w:w="960"/>
        <w:gridCol w:w="1560"/>
        <w:gridCol w:w="1230"/>
        <w:gridCol w:w="225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840" w:type="dxa"/>
          </w:tcPr>
          <w:p>
            <w:pPr>
              <w:pStyle w:val="19"/>
              <w:spacing w:before="93"/>
              <w:ind w:left="214"/>
              <w:rPr>
                <w:rFonts w:hint="eastAsia" w:ascii="宋体" w:hAnsi="宋体" w:eastAsia="宋体" w:cs="宋体"/>
                <w:b/>
                <w:sz w:val="24"/>
                <w:szCs w:val="24"/>
              </w:rPr>
            </w:pPr>
            <w:r>
              <w:rPr>
                <w:rFonts w:hint="eastAsia" w:ascii="宋体" w:hAnsi="宋体" w:eastAsia="宋体" w:cs="宋体"/>
                <w:b/>
                <w:sz w:val="24"/>
                <w:szCs w:val="24"/>
              </w:rPr>
              <w:t>序号</w:t>
            </w:r>
          </w:p>
        </w:tc>
        <w:tc>
          <w:tcPr>
            <w:tcW w:w="780" w:type="dxa"/>
          </w:tcPr>
          <w:p>
            <w:pPr>
              <w:pStyle w:val="19"/>
              <w:spacing w:before="93"/>
              <w:ind w:left="185"/>
              <w:rPr>
                <w:rFonts w:hint="eastAsia" w:ascii="宋体" w:hAnsi="宋体" w:eastAsia="宋体" w:cs="宋体"/>
                <w:b/>
                <w:sz w:val="24"/>
                <w:szCs w:val="24"/>
              </w:rPr>
            </w:pPr>
            <w:r>
              <w:rPr>
                <w:rFonts w:hint="eastAsia" w:ascii="宋体" w:hAnsi="宋体" w:eastAsia="宋体" w:cs="宋体"/>
                <w:b/>
                <w:sz w:val="24"/>
                <w:szCs w:val="24"/>
              </w:rPr>
              <w:t>姓名</w:t>
            </w:r>
          </w:p>
        </w:tc>
        <w:tc>
          <w:tcPr>
            <w:tcW w:w="930" w:type="dxa"/>
          </w:tcPr>
          <w:p>
            <w:pPr>
              <w:pStyle w:val="19"/>
              <w:spacing w:before="93"/>
              <w:ind w:left="259"/>
              <w:rPr>
                <w:rFonts w:hint="eastAsia" w:ascii="宋体" w:hAnsi="宋体" w:eastAsia="宋体" w:cs="宋体"/>
                <w:b/>
                <w:sz w:val="24"/>
                <w:szCs w:val="24"/>
              </w:rPr>
            </w:pPr>
            <w:r>
              <w:rPr>
                <w:rFonts w:hint="eastAsia" w:ascii="宋体" w:hAnsi="宋体" w:eastAsia="宋体" w:cs="宋体"/>
                <w:b/>
                <w:sz w:val="24"/>
                <w:szCs w:val="24"/>
              </w:rPr>
              <w:t>职务</w:t>
            </w:r>
          </w:p>
        </w:tc>
        <w:tc>
          <w:tcPr>
            <w:tcW w:w="960" w:type="dxa"/>
          </w:tcPr>
          <w:p>
            <w:pPr>
              <w:pStyle w:val="19"/>
              <w:spacing w:before="93"/>
              <w:ind w:left="275"/>
              <w:rPr>
                <w:rFonts w:hint="eastAsia" w:ascii="宋体" w:hAnsi="宋体" w:eastAsia="宋体" w:cs="宋体"/>
                <w:b/>
                <w:sz w:val="24"/>
                <w:szCs w:val="24"/>
              </w:rPr>
            </w:pPr>
            <w:r>
              <w:rPr>
                <w:rFonts w:hint="eastAsia" w:ascii="宋体" w:hAnsi="宋体" w:eastAsia="宋体" w:cs="宋体"/>
                <w:b/>
                <w:sz w:val="24"/>
                <w:szCs w:val="24"/>
              </w:rPr>
              <w:t>职责</w:t>
            </w:r>
          </w:p>
        </w:tc>
        <w:tc>
          <w:tcPr>
            <w:tcW w:w="1560" w:type="dxa"/>
          </w:tcPr>
          <w:p>
            <w:pPr>
              <w:pStyle w:val="19"/>
              <w:spacing w:before="93"/>
              <w:ind w:left="155"/>
              <w:rPr>
                <w:rFonts w:hint="eastAsia" w:ascii="宋体" w:hAnsi="宋体" w:eastAsia="宋体" w:cs="宋体"/>
                <w:b/>
                <w:sz w:val="24"/>
                <w:szCs w:val="24"/>
              </w:rPr>
            </w:pPr>
            <w:r>
              <w:rPr>
                <w:rFonts w:hint="eastAsia" w:ascii="宋体" w:hAnsi="宋体" w:eastAsia="宋体" w:cs="宋体"/>
                <w:b/>
                <w:sz w:val="24"/>
                <w:szCs w:val="24"/>
              </w:rPr>
              <w:t>专业技术资格</w:t>
            </w:r>
          </w:p>
        </w:tc>
        <w:tc>
          <w:tcPr>
            <w:tcW w:w="1230" w:type="dxa"/>
          </w:tcPr>
          <w:p>
            <w:pPr>
              <w:pStyle w:val="19"/>
              <w:spacing w:before="93"/>
              <w:ind w:left="198"/>
              <w:rPr>
                <w:rFonts w:hint="eastAsia" w:ascii="宋体" w:hAnsi="宋体" w:eastAsia="宋体" w:cs="宋体"/>
                <w:b/>
                <w:sz w:val="24"/>
                <w:szCs w:val="24"/>
              </w:rPr>
            </w:pPr>
            <w:r>
              <w:rPr>
                <w:rFonts w:hint="eastAsia" w:ascii="宋体" w:hAnsi="宋体" w:eastAsia="宋体" w:cs="宋体"/>
                <w:b/>
                <w:sz w:val="24"/>
                <w:szCs w:val="24"/>
              </w:rPr>
              <w:t>证书编号</w:t>
            </w:r>
          </w:p>
        </w:tc>
        <w:tc>
          <w:tcPr>
            <w:tcW w:w="2250" w:type="dxa"/>
          </w:tcPr>
          <w:p>
            <w:pPr>
              <w:pStyle w:val="19"/>
              <w:spacing w:before="93"/>
              <w:ind w:left="185"/>
              <w:rPr>
                <w:rFonts w:hint="eastAsia" w:ascii="宋体" w:hAnsi="宋体" w:eastAsia="宋体" w:cs="宋体"/>
                <w:b/>
                <w:sz w:val="24"/>
                <w:szCs w:val="24"/>
              </w:rPr>
            </w:pPr>
            <w:r>
              <w:rPr>
                <w:rFonts w:hint="eastAsia" w:ascii="宋体" w:hAnsi="宋体" w:eastAsia="宋体" w:cs="宋体"/>
                <w:b/>
                <w:sz w:val="24"/>
                <w:szCs w:val="24"/>
              </w:rPr>
              <w:t>参加本单位工作时间</w:t>
            </w:r>
          </w:p>
        </w:tc>
        <w:tc>
          <w:tcPr>
            <w:tcW w:w="1560" w:type="dxa"/>
          </w:tcPr>
          <w:p>
            <w:pPr>
              <w:pStyle w:val="19"/>
              <w:spacing w:before="93"/>
              <w:ind w:left="155"/>
              <w:rPr>
                <w:rFonts w:hint="eastAsia" w:ascii="宋体" w:hAnsi="宋体" w:eastAsia="宋体" w:cs="宋体"/>
                <w:b/>
                <w:sz w:val="24"/>
                <w:szCs w:val="24"/>
              </w:rPr>
            </w:pPr>
            <w:r>
              <w:rPr>
                <w:rFonts w:hint="eastAsia" w:ascii="宋体" w:hAnsi="宋体" w:eastAsia="宋体" w:cs="宋体"/>
                <w:b/>
                <w:sz w:val="24"/>
                <w:szCs w:val="24"/>
              </w:rPr>
              <w:t>劳动合同编号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19"/>
              <w:rPr>
                <w:rFonts w:hint="eastAsia" w:ascii="宋体" w:hAnsi="宋体" w:eastAsia="宋体" w:cs="宋体"/>
                <w:sz w:val="24"/>
                <w:szCs w:val="24"/>
              </w:rPr>
            </w:pPr>
          </w:p>
        </w:tc>
        <w:tc>
          <w:tcPr>
            <w:tcW w:w="780" w:type="dxa"/>
          </w:tcPr>
          <w:p>
            <w:pPr>
              <w:pStyle w:val="19"/>
              <w:rPr>
                <w:rFonts w:hint="eastAsia" w:ascii="宋体" w:hAnsi="宋体" w:eastAsia="宋体" w:cs="宋体"/>
                <w:sz w:val="24"/>
                <w:szCs w:val="24"/>
              </w:rPr>
            </w:pPr>
          </w:p>
        </w:tc>
        <w:tc>
          <w:tcPr>
            <w:tcW w:w="930" w:type="dxa"/>
          </w:tcPr>
          <w:p>
            <w:pPr>
              <w:pStyle w:val="19"/>
              <w:rPr>
                <w:rFonts w:hint="eastAsia" w:ascii="宋体" w:hAnsi="宋体" w:eastAsia="宋体" w:cs="宋体"/>
                <w:sz w:val="24"/>
                <w:szCs w:val="24"/>
              </w:rPr>
            </w:pPr>
          </w:p>
        </w:tc>
        <w:tc>
          <w:tcPr>
            <w:tcW w:w="96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c>
          <w:tcPr>
            <w:tcW w:w="1230" w:type="dxa"/>
          </w:tcPr>
          <w:p>
            <w:pPr>
              <w:pStyle w:val="19"/>
              <w:rPr>
                <w:rFonts w:hint="eastAsia" w:ascii="宋体" w:hAnsi="宋体" w:eastAsia="宋体" w:cs="宋体"/>
                <w:sz w:val="24"/>
                <w:szCs w:val="24"/>
              </w:rPr>
            </w:pPr>
          </w:p>
        </w:tc>
        <w:tc>
          <w:tcPr>
            <w:tcW w:w="225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840" w:type="dxa"/>
          </w:tcPr>
          <w:p>
            <w:pPr>
              <w:pStyle w:val="19"/>
              <w:rPr>
                <w:rFonts w:hint="eastAsia" w:ascii="宋体" w:hAnsi="宋体" w:eastAsia="宋体" w:cs="宋体"/>
                <w:sz w:val="24"/>
                <w:szCs w:val="24"/>
              </w:rPr>
            </w:pPr>
          </w:p>
        </w:tc>
        <w:tc>
          <w:tcPr>
            <w:tcW w:w="780" w:type="dxa"/>
          </w:tcPr>
          <w:p>
            <w:pPr>
              <w:pStyle w:val="19"/>
              <w:rPr>
                <w:rFonts w:hint="eastAsia" w:ascii="宋体" w:hAnsi="宋体" w:eastAsia="宋体" w:cs="宋体"/>
                <w:sz w:val="24"/>
                <w:szCs w:val="24"/>
              </w:rPr>
            </w:pPr>
          </w:p>
        </w:tc>
        <w:tc>
          <w:tcPr>
            <w:tcW w:w="930" w:type="dxa"/>
          </w:tcPr>
          <w:p>
            <w:pPr>
              <w:pStyle w:val="19"/>
              <w:rPr>
                <w:rFonts w:hint="eastAsia" w:ascii="宋体" w:hAnsi="宋体" w:eastAsia="宋体" w:cs="宋体"/>
                <w:sz w:val="24"/>
                <w:szCs w:val="24"/>
              </w:rPr>
            </w:pPr>
          </w:p>
        </w:tc>
        <w:tc>
          <w:tcPr>
            <w:tcW w:w="96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c>
          <w:tcPr>
            <w:tcW w:w="1230" w:type="dxa"/>
          </w:tcPr>
          <w:p>
            <w:pPr>
              <w:pStyle w:val="19"/>
              <w:rPr>
                <w:rFonts w:hint="eastAsia" w:ascii="宋体" w:hAnsi="宋体" w:eastAsia="宋体" w:cs="宋体"/>
                <w:sz w:val="24"/>
                <w:szCs w:val="24"/>
              </w:rPr>
            </w:pPr>
          </w:p>
        </w:tc>
        <w:tc>
          <w:tcPr>
            <w:tcW w:w="225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19"/>
              <w:rPr>
                <w:rFonts w:hint="eastAsia" w:ascii="宋体" w:hAnsi="宋体" w:eastAsia="宋体" w:cs="宋体"/>
                <w:sz w:val="24"/>
                <w:szCs w:val="24"/>
              </w:rPr>
            </w:pPr>
          </w:p>
        </w:tc>
        <w:tc>
          <w:tcPr>
            <w:tcW w:w="780" w:type="dxa"/>
          </w:tcPr>
          <w:p>
            <w:pPr>
              <w:pStyle w:val="19"/>
              <w:rPr>
                <w:rFonts w:hint="eastAsia" w:ascii="宋体" w:hAnsi="宋体" w:eastAsia="宋体" w:cs="宋体"/>
                <w:sz w:val="24"/>
                <w:szCs w:val="24"/>
              </w:rPr>
            </w:pPr>
          </w:p>
        </w:tc>
        <w:tc>
          <w:tcPr>
            <w:tcW w:w="930" w:type="dxa"/>
          </w:tcPr>
          <w:p>
            <w:pPr>
              <w:pStyle w:val="19"/>
              <w:rPr>
                <w:rFonts w:hint="eastAsia" w:ascii="宋体" w:hAnsi="宋体" w:eastAsia="宋体" w:cs="宋体"/>
                <w:sz w:val="24"/>
                <w:szCs w:val="24"/>
              </w:rPr>
            </w:pPr>
          </w:p>
        </w:tc>
        <w:tc>
          <w:tcPr>
            <w:tcW w:w="96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c>
          <w:tcPr>
            <w:tcW w:w="1230" w:type="dxa"/>
          </w:tcPr>
          <w:p>
            <w:pPr>
              <w:pStyle w:val="19"/>
              <w:rPr>
                <w:rFonts w:hint="eastAsia" w:ascii="宋体" w:hAnsi="宋体" w:eastAsia="宋体" w:cs="宋体"/>
                <w:sz w:val="24"/>
                <w:szCs w:val="24"/>
              </w:rPr>
            </w:pPr>
          </w:p>
        </w:tc>
        <w:tc>
          <w:tcPr>
            <w:tcW w:w="225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19"/>
              <w:rPr>
                <w:rFonts w:hint="eastAsia" w:ascii="宋体" w:hAnsi="宋体" w:eastAsia="宋体" w:cs="宋体"/>
                <w:sz w:val="24"/>
                <w:szCs w:val="24"/>
              </w:rPr>
            </w:pPr>
          </w:p>
        </w:tc>
        <w:tc>
          <w:tcPr>
            <w:tcW w:w="780" w:type="dxa"/>
          </w:tcPr>
          <w:p>
            <w:pPr>
              <w:pStyle w:val="19"/>
              <w:rPr>
                <w:rFonts w:hint="eastAsia" w:ascii="宋体" w:hAnsi="宋体" w:eastAsia="宋体" w:cs="宋体"/>
                <w:sz w:val="24"/>
                <w:szCs w:val="24"/>
              </w:rPr>
            </w:pPr>
          </w:p>
        </w:tc>
        <w:tc>
          <w:tcPr>
            <w:tcW w:w="930" w:type="dxa"/>
          </w:tcPr>
          <w:p>
            <w:pPr>
              <w:pStyle w:val="19"/>
              <w:rPr>
                <w:rFonts w:hint="eastAsia" w:ascii="宋体" w:hAnsi="宋体" w:eastAsia="宋体" w:cs="宋体"/>
                <w:sz w:val="24"/>
                <w:szCs w:val="24"/>
              </w:rPr>
            </w:pPr>
          </w:p>
        </w:tc>
        <w:tc>
          <w:tcPr>
            <w:tcW w:w="96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c>
          <w:tcPr>
            <w:tcW w:w="1230" w:type="dxa"/>
          </w:tcPr>
          <w:p>
            <w:pPr>
              <w:pStyle w:val="19"/>
              <w:rPr>
                <w:rFonts w:hint="eastAsia" w:ascii="宋体" w:hAnsi="宋体" w:eastAsia="宋体" w:cs="宋体"/>
                <w:sz w:val="24"/>
                <w:szCs w:val="24"/>
              </w:rPr>
            </w:pPr>
          </w:p>
        </w:tc>
        <w:tc>
          <w:tcPr>
            <w:tcW w:w="225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840" w:type="dxa"/>
          </w:tcPr>
          <w:p>
            <w:pPr>
              <w:pStyle w:val="19"/>
              <w:rPr>
                <w:rFonts w:hint="eastAsia" w:ascii="宋体" w:hAnsi="宋体" w:eastAsia="宋体" w:cs="宋体"/>
                <w:sz w:val="24"/>
                <w:szCs w:val="24"/>
              </w:rPr>
            </w:pPr>
          </w:p>
        </w:tc>
        <w:tc>
          <w:tcPr>
            <w:tcW w:w="780" w:type="dxa"/>
          </w:tcPr>
          <w:p>
            <w:pPr>
              <w:pStyle w:val="19"/>
              <w:rPr>
                <w:rFonts w:hint="eastAsia" w:ascii="宋体" w:hAnsi="宋体" w:eastAsia="宋体" w:cs="宋体"/>
                <w:sz w:val="24"/>
                <w:szCs w:val="24"/>
              </w:rPr>
            </w:pPr>
          </w:p>
        </w:tc>
        <w:tc>
          <w:tcPr>
            <w:tcW w:w="930" w:type="dxa"/>
          </w:tcPr>
          <w:p>
            <w:pPr>
              <w:pStyle w:val="19"/>
              <w:rPr>
                <w:rFonts w:hint="eastAsia" w:ascii="宋体" w:hAnsi="宋体" w:eastAsia="宋体" w:cs="宋体"/>
                <w:sz w:val="24"/>
                <w:szCs w:val="24"/>
              </w:rPr>
            </w:pPr>
          </w:p>
        </w:tc>
        <w:tc>
          <w:tcPr>
            <w:tcW w:w="96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c>
          <w:tcPr>
            <w:tcW w:w="1230" w:type="dxa"/>
          </w:tcPr>
          <w:p>
            <w:pPr>
              <w:pStyle w:val="19"/>
              <w:rPr>
                <w:rFonts w:hint="eastAsia" w:ascii="宋体" w:hAnsi="宋体" w:eastAsia="宋体" w:cs="宋体"/>
                <w:sz w:val="24"/>
                <w:szCs w:val="24"/>
              </w:rPr>
            </w:pPr>
          </w:p>
        </w:tc>
        <w:tc>
          <w:tcPr>
            <w:tcW w:w="225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19"/>
              <w:rPr>
                <w:rFonts w:hint="eastAsia" w:ascii="宋体" w:hAnsi="宋体" w:eastAsia="宋体" w:cs="宋体"/>
                <w:sz w:val="24"/>
                <w:szCs w:val="24"/>
              </w:rPr>
            </w:pPr>
          </w:p>
        </w:tc>
        <w:tc>
          <w:tcPr>
            <w:tcW w:w="780" w:type="dxa"/>
          </w:tcPr>
          <w:p>
            <w:pPr>
              <w:pStyle w:val="19"/>
              <w:rPr>
                <w:rFonts w:hint="eastAsia" w:ascii="宋体" w:hAnsi="宋体" w:eastAsia="宋体" w:cs="宋体"/>
                <w:sz w:val="24"/>
                <w:szCs w:val="24"/>
              </w:rPr>
            </w:pPr>
          </w:p>
        </w:tc>
        <w:tc>
          <w:tcPr>
            <w:tcW w:w="930" w:type="dxa"/>
          </w:tcPr>
          <w:p>
            <w:pPr>
              <w:pStyle w:val="19"/>
              <w:rPr>
                <w:rFonts w:hint="eastAsia" w:ascii="宋体" w:hAnsi="宋体" w:eastAsia="宋体" w:cs="宋体"/>
                <w:sz w:val="24"/>
                <w:szCs w:val="24"/>
              </w:rPr>
            </w:pPr>
          </w:p>
        </w:tc>
        <w:tc>
          <w:tcPr>
            <w:tcW w:w="96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c>
          <w:tcPr>
            <w:tcW w:w="1230" w:type="dxa"/>
          </w:tcPr>
          <w:p>
            <w:pPr>
              <w:pStyle w:val="19"/>
              <w:rPr>
                <w:rFonts w:hint="eastAsia" w:ascii="宋体" w:hAnsi="宋体" w:eastAsia="宋体" w:cs="宋体"/>
                <w:sz w:val="24"/>
                <w:szCs w:val="24"/>
              </w:rPr>
            </w:pPr>
          </w:p>
        </w:tc>
        <w:tc>
          <w:tcPr>
            <w:tcW w:w="2250" w:type="dxa"/>
          </w:tcPr>
          <w:p>
            <w:pPr>
              <w:pStyle w:val="19"/>
              <w:rPr>
                <w:rFonts w:hint="eastAsia" w:ascii="宋体" w:hAnsi="宋体" w:eastAsia="宋体" w:cs="宋体"/>
                <w:sz w:val="24"/>
                <w:szCs w:val="24"/>
              </w:rPr>
            </w:pPr>
          </w:p>
        </w:tc>
        <w:tc>
          <w:tcPr>
            <w:tcW w:w="1560" w:type="dxa"/>
          </w:tcPr>
          <w:p>
            <w:pPr>
              <w:pStyle w:val="19"/>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line="182" w:lineRule="auto"/>
        <w:ind w:left="0" w:right="0" w:hanging="636"/>
        <w:jc w:val="left"/>
        <w:textAlignment w:val="auto"/>
        <w:rPr>
          <w:rFonts w:hint="eastAsia" w:ascii="宋体" w:hAnsi="宋体" w:eastAsia="宋体" w:cs="宋体"/>
          <w:w w:val="90"/>
          <w:sz w:val="24"/>
          <w:szCs w:val="24"/>
        </w:rPr>
      </w:pPr>
      <w:r>
        <w:rPr>
          <w:rFonts w:hint="eastAsia" w:ascii="宋体" w:hAnsi="宋体" w:eastAsia="宋体" w:cs="宋体"/>
          <w:b/>
          <w:w w:val="90"/>
          <w:sz w:val="24"/>
          <w:szCs w:val="24"/>
        </w:rPr>
        <w:t>要求：</w:t>
      </w:r>
      <w:r>
        <w:rPr>
          <w:rFonts w:hint="eastAsia" w:ascii="宋体" w:hAnsi="宋体" w:eastAsia="宋体" w:cs="宋体"/>
          <w:sz w:val="24"/>
          <w:szCs w:val="24"/>
        </w:rPr>
        <w:t>1.在填写时，如本表格不适合投标人的实际情况，可根据本表格式自行划表填写。</w:t>
      </w:r>
    </w:p>
    <w:p>
      <w:pPr>
        <w:keepNext w:val="0"/>
        <w:keepLines w:val="0"/>
        <w:pageBreakBefore w:val="0"/>
        <w:widowControl w:val="0"/>
        <w:kinsoku/>
        <w:wordWrap/>
        <w:overflowPunct/>
        <w:topLinePunct w:val="0"/>
        <w:autoSpaceDE w:val="0"/>
        <w:autoSpaceDN w:val="0"/>
        <w:bidi w:val="0"/>
        <w:adjustRightInd/>
        <w:snapToGrid/>
        <w:spacing w:before="0" w:line="348"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2.附人员证书复印件；</w:t>
      </w:r>
    </w:p>
    <w:p>
      <w:pPr>
        <w:keepNext w:val="0"/>
        <w:keepLines w:val="0"/>
        <w:pageBreakBefore w:val="0"/>
        <w:widowControl w:val="0"/>
        <w:kinsoku/>
        <w:wordWrap/>
        <w:overflowPunct/>
        <w:topLinePunct w:val="0"/>
        <w:autoSpaceDE w:val="0"/>
        <w:autoSpaceDN w:val="0"/>
        <w:bidi w:val="0"/>
        <w:adjustRightInd/>
        <w:snapToGrid/>
        <w:spacing w:before="0" w:line="348"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3.出具上述人员在本单位服务的外部证明，如：投标截止日之前个×月以内的代缴个税税单、参加社会保险的《投保单》或《社会保险参保人员证明》等。</w:t>
      </w:r>
    </w:p>
    <w:p>
      <w:pPr>
        <w:pStyle w:val="7"/>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w:t>
      </w: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9</w:t>
      </w:r>
    </w:p>
    <w:p>
      <w:pPr>
        <w:pStyle w:val="8"/>
        <w:jc w:val="center"/>
        <w:rPr>
          <w:rFonts w:hint="eastAsia" w:ascii="宋体" w:hAnsi="宋体" w:eastAsia="宋体" w:cs="宋体"/>
          <w:b/>
          <w:sz w:val="28"/>
          <w:szCs w:val="28"/>
        </w:rPr>
      </w:pPr>
      <w:r>
        <w:rPr>
          <w:rFonts w:hint="eastAsia" w:ascii="宋体" w:hAnsi="宋体" w:eastAsia="宋体" w:cs="宋体"/>
          <w:b/>
          <w:sz w:val="28"/>
          <w:szCs w:val="28"/>
        </w:rPr>
        <w:t>项目负责人资格情况表</w:t>
      </w:r>
    </w:p>
    <w:p>
      <w:pPr>
        <w:tabs>
          <w:tab w:val="left" w:pos="6770"/>
        </w:tabs>
        <w:spacing w:before="44"/>
        <w:ind w:right="0"/>
        <w:jc w:val="left"/>
        <w:rPr>
          <w:rFonts w:hint="eastAsia" w:ascii="宋体" w:hAnsi="宋体" w:eastAsia="宋体" w:cs="宋体"/>
          <w:sz w:val="24"/>
          <w:szCs w:val="24"/>
        </w:rPr>
      </w:pPr>
      <w:r>
        <w:rPr>
          <w:rFonts w:hint="eastAsia" w:ascii="宋体" w:hAnsi="宋体" w:eastAsia="宋体" w:cs="宋体"/>
          <w:sz w:val="24"/>
          <w:szCs w:val="24"/>
        </w:rPr>
        <w:t>采购项目：</w:t>
      </w:r>
      <w:r>
        <w:rPr>
          <w:rFonts w:hint="eastAsia" w:ascii="宋体" w:hAnsi="宋体" w:eastAsia="宋体" w:cs="宋体"/>
          <w:sz w:val="24"/>
          <w:szCs w:val="24"/>
        </w:rPr>
        <w:tab/>
      </w:r>
      <w:r>
        <w:rPr>
          <w:rFonts w:hint="eastAsia" w:ascii="宋体" w:hAnsi="宋体" w:eastAsia="宋体" w:cs="宋体"/>
          <w:sz w:val="24"/>
          <w:szCs w:val="24"/>
        </w:rPr>
        <w:t>采购编号：</w:t>
      </w:r>
    </w:p>
    <w:tbl>
      <w:tblPr>
        <w:tblStyle w:val="15"/>
        <w:tblW w:w="944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74"/>
        <w:gridCol w:w="3319"/>
        <w:gridCol w:w="41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bottom w:val="single" w:color="000000" w:sz="4" w:space="0"/>
              <w:right w:val="single" w:color="000000" w:sz="4" w:space="0"/>
            </w:tcBorders>
          </w:tcPr>
          <w:p>
            <w:pPr>
              <w:pStyle w:val="19"/>
              <w:spacing w:before="135"/>
              <w:ind w:left="138" w:right="94"/>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3319" w:type="dxa"/>
            <w:tcBorders>
              <w:left w:val="single" w:color="000000" w:sz="4" w:space="0"/>
              <w:bottom w:val="single" w:color="000000" w:sz="4" w:space="0"/>
              <w:right w:val="single" w:color="000000" w:sz="4" w:space="0"/>
            </w:tcBorders>
          </w:tcPr>
          <w:p>
            <w:pPr>
              <w:pStyle w:val="19"/>
              <w:rPr>
                <w:rFonts w:hint="eastAsia" w:ascii="宋体" w:hAnsi="宋体" w:eastAsia="宋体" w:cs="宋体"/>
                <w:sz w:val="24"/>
                <w:szCs w:val="24"/>
              </w:rPr>
            </w:pPr>
          </w:p>
        </w:tc>
        <w:tc>
          <w:tcPr>
            <w:tcW w:w="4155" w:type="dxa"/>
            <w:tcBorders>
              <w:left w:val="single" w:color="000000" w:sz="4" w:space="0"/>
              <w:bottom w:val="single" w:color="000000" w:sz="4" w:space="0"/>
            </w:tcBorders>
          </w:tcPr>
          <w:p>
            <w:pPr>
              <w:pStyle w:val="19"/>
              <w:spacing w:before="135"/>
              <w:ind w:left="1154"/>
              <w:rPr>
                <w:rFonts w:hint="eastAsia" w:ascii="宋体" w:hAnsi="宋体" w:eastAsia="宋体" w:cs="宋体"/>
                <w:b/>
                <w:sz w:val="24"/>
                <w:szCs w:val="24"/>
              </w:rPr>
            </w:pPr>
            <w:r>
              <w:rPr>
                <w:rFonts w:hint="eastAsia" w:ascii="宋体" w:hAnsi="宋体" w:eastAsia="宋体" w:cs="宋体"/>
                <w:b/>
                <w:sz w:val="24"/>
                <w:szCs w:val="24"/>
              </w:rPr>
              <w:t>近年来主要工作业绩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19"/>
              <w:spacing w:before="133"/>
              <w:ind w:left="138" w:right="94"/>
              <w:jc w:val="center"/>
              <w:rPr>
                <w:rFonts w:hint="eastAsia" w:ascii="宋体" w:hAnsi="宋体" w:eastAsia="宋体" w:cs="宋体"/>
                <w:b/>
                <w:sz w:val="24"/>
                <w:szCs w:val="24"/>
              </w:rPr>
            </w:pPr>
            <w:r>
              <w:rPr>
                <w:rFonts w:hint="eastAsia" w:ascii="宋体" w:hAnsi="宋体" w:eastAsia="宋体" w:cs="宋体"/>
                <w:b/>
                <w:sz w:val="24"/>
                <w:szCs w:val="24"/>
              </w:rPr>
              <w:t>性别</w:t>
            </w:r>
          </w:p>
        </w:tc>
        <w:tc>
          <w:tcPr>
            <w:tcW w:w="3319" w:type="dxa"/>
            <w:tcBorders>
              <w:top w:val="single" w:color="000000" w:sz="4" w:space="0"/>
              <w:left w:val="single" w:color="000000" w:sz="4" w:space="0"/>
              <w:bottom w:val="single" w:color="000000" w:sz="4" w:space="0"/>
              <w:right w:val="single" w:color="000000" w:sz="4" w:space="0"/>
            </w:tcBorders>
          </w:tcPr>
          <w:p>
            <w:pPr>
              <w:pStyle w:val="19"/>
              <w:rPr>
                <w:rFonts w:hint="eastAsia" w:ascii="宋体" w:hAnsi="宋体" w:eastAsia="宋体" w:cs="宋体"/>
                <w:sz w:val="24"/>
                <w:szCs w:val="24"/>
              </w:rPr>
            </w:pPr>
          </w:p>
        </w:tc>
        <w:tc>
          <w:tcPr>
            <w:tcW w:w="4155" w:type="dxa"/>
            <w:vMerge w:val="restart"/>
            <w:tcBorders>
              <w:top w:val="single" w:color="000000" w:sz="4" w:space="0"/>
              <w:left w:val="single" w:color="000000" w:sz="4" w:space="0"/>
              <w:bottom w:val="single" w:color="000000" w:sz="4" w:space="0"/>
            </w:tcBorders>
          </w:tcPr>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spacing w:before="5"/>
              <w:rPr>
                <w:rFonts w:hint="eastAsia" w:ascii="宋体" w:hAnsi="宋体" w:eastAsia="宋体" w:cs="宋体"/>
                <w:sz w:val="24"/>
                <w:szCs w:val="24"/>
              </w:rPr>
            </w:pPr>
          </w:p>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注：业绩证明应提供旁证材料</w:t>
            </w:r>
          </w:p>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（合同或中标通知书）。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jc w:val="center"/>
        </w:trPr>
        <w:tc>
          <w:tcPr>
            <w:tcW w:w="1974" w:type="dxa"/>
            <w:tcBorders>
              <w:top w:val="single" w:color="000000" w:sz="4" w:space="0"/>
              <w:bottom w:val="single" w:color="000000" w:sz="4" w:space="0"/>
              <w:right w:val="single" w:color="000000" w:sz="4" w:space="0"/>
            </w:tcBorders>
          </w:tcPr>
          <w:p>
            <w:pPr>
              <w:pStyle w:val="19"/>
              <w:spacing w:before="135"/>
              <w:ind w:left="138" w:right="94"/>
              <w:jc w:val="center"/>
              <w:rPr>
                <w:rFonts w:hint="eastAsia" w:ascii="宋体" w:hAnsi="宋体" w:eastAsia="宋体" w:cs="宋体"/>
                <w:b/>
                <w:sz w:val="24"/>
                <w:szCs w:val="24"/>
              </w:rPr>
            </w:pPr>
            <w:r>
              <w:rPr>
                <w:rFonts w:hint="eastAsia" w:ascii="宋体" w:hAnsi="宋体" w:eastAsia="宋体" w:cs="宋体"/>
                <w:b/>
                <w:sz w:val="24"/>
                <w:szCs w:val="24"/>
              </w:rPr>
              <w:t>年龄</w:t>
            </w:r>
          </w:p>
        </w:tc>
        <w:tc>
          <w:tcPr>
            <w:tcW w:w="3319" w:type="dxa"/>
            <w:tcBorders>
              <w:top w:val="single" w:color="000000" w:sz="4" w:space="0"/>
              <w:left w:val="single" w:color="000000" w:sz="4" w:space="0"/>
              <w:bottom w:val="single" w:color="000000" w:sz="4" w:space="0"/>
              <w:right w:val="single" w:color="000000" w:sz="4" w:space="0"/>
            </w:tcBorders>
          </w:tcPr>
          <w:p>
            <w:pPr>
              <w:pStyle w:val="19"/>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top w:val="single" w:color="000000" w:sz="4" w:space="0"/>
              <w:bottom w:val="single" w:color="000000" w:sz="4" w:space="0"/>
              <w:right w:val="single" w:color="000000" w:sz="4" w:space="0"/>
            </w:tcBorders>
          </w:tcPr>
          <w:p>
            <w:pPr>
              <w:pStyle w:val="19"/>
              <w:spacing w:before="134"/>
              <w:ind w:left="138" w:right="94"/>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3319" w:type="dxa"/>
            <w:tcBorders>
              <w:top w:val="single" w:color="000000" w:sz="4" w:space="0"/>
              <w:left w:val="single" w:color="000000" w:sz="4" w:space="0"/>
              <w:bottom w:val="single" w:color="000000" w:sz="4" w:space="0"/>
              <w:right w:val="single" w:color="000000" w:sz="4" w:space="0"/>
            </w:tcBorders>
          </w:tcPr>
          <w:p>
            <w:pPr>
              <w:pStyle w:val="19"/>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jc w:val="center"/>
        </w:trPr>
        <w:tc>
          <w:tcPr>
            <w:tcW w:w="1974" w:type="dxa"/>
            <w:tcBorders>
              <w:top w:val="single" w:color="000000" w:sz="4" w:space="0"/>
              <w:bottom w:val="single" w:color="000000" w:sz="4" w:space="0"/>
              <w:right w:val="single" w:color="000000" w:sz="4" w:space="0"/>
            </w:tcBorders>
          </w:tcPr>
          <w:p>
            <w:pPr>
              <w:pStyle w:val="19"/>
              <w:spacing w:before="134"/>
              <w:ind w:left="138" w:right="96"/>
              <w:jc w:val="center"/>
              <w:rPr>
                <w:rFonts w:hint="eastAsia" w:ascii="宋体" w:hAnsi="宋体" w:eastAsia="宋体" w:cs="宋体"/>
                <w:b/>
                <w:sz w:val="24"/>
                <w:szCs w:val="24"/>
              </w:rPr>
            </w:pPr>
            <w:r>
              <w:rPr>
                <w:rFonts w:hint="eastAsia" w:ascii="宋体" w:hAnsi="宋体" w:eastAsia="宋体" w:cs="宋体"/>
                <w:b/>
                <w:sz w:val="24"/>
                <w:szCs w:val="24"/>
              </w:rPr>
              <w:t>毕业时间</w:t>
            </w:r>
          </w:p>
        </w:tc>
        <w:tc>
          <w:tcPr>
            <w:tcW w:w="3319" w:type="dxa"/>
            <w:tcBorders>
              <w:top w:val="single" w:color="000000" w:sz="4" w:space="0"/>
              <w:left w:val="single" w:color="000000" w:sz="4" w:space="0"/>
              <w:bottom w:val="single" w:color="000000" w:sz="4" w:space="0"/>
              <w:right w:val="single" w:color="000000" w:sz="4" w:space="0"/>
            </w:tcBorders>
          </w:tcPr>
          <w:p>
            <w:pPr>
              <w:pStyle w:val="19"/>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19"/>
              <w:spacing w:before="134"/>
              <w:ind w:left="138" w:right="96"/>
              <w:jc w:val="center"/>
              <w:rPr>
                <w:rFonts w:hint="eastAsia" w:ascii="宋体" w:hAnsi="宋体" w:eastAsia="宋体" w:cs="宋体"/>
                <w:b/>
                <w:sz w:val="24"/>
                <w:szCs w:val="24"/>
              </w:rPr>
            </w:pPr>
            <w:r>
              <w:rPr>
                <w:rFonts w:hint="eastAsia" w:ascii="宋体" w:hAnsi="宋体" w:eastAsia="宋体" w:cs="宋体"/>
                <w:b/>
                <w:sz w:val="24"/>
                <w:szCs w:val="24"/>
              </w:rPr>
              <w:t>学校专业</w:t>
            </w:r>
          </w:p>
        </w:tc>
        <w:tc>
          <w:tcPr>
            <w:tcW w:w="3319" w:type="dxa"/>
            <w:tcBorders>
              <w:top w:val="single" w:color="000000" w:sz="4" w:space="0"/>
              <w:left w:val="single" w:color="000000" w:sz="4" w:space="0"/>
              <w:bottom w:val="single" w:color="000000" w:sz="4" w:space="0"/>
              <w:right w:val="single" w:color="000000" w:sz="4" w:space="0"/>
            </w:tcBorders>
          </w:tcPr>
          <w:p>
            <w:pPr>
              <w:pStyle w:val="19"/>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19"/>
              <w:spacing w:before="135"/>
              <w:ind w:left="138" w:right="96"/>
              <w:jc w:val="center"/>
              <w:rPr>
                <w:rFonts w:hint="eastAsia" w:ascii="宋体" w:hAnsi="宋体" w:eastAsia="宋体" w:cs="宋体"/>
                <w:b/>
                <w:sz w:val="24"/>
                <w:szCs w:val="24"/>
              </w:rPr>
            </w:pPr>
            <w:r>
              <w:rPr>
                <w:rFonts w:hint="eastAsia" w:ascii="宋体" w:hAnsi="宋体" w:eastAsia="宋体" w:cs="宋体"/>
                <w:b/>
                <w:sz w:val="24"/>
                <w:szCs w:val="24"/>
              </w:rPr>
              <w:t>联系电话</w:t>
            </w:r>
          </w:p>
        </w:tc>
        <w:tc>
          <w:tcPr>
            <w:tcW w:w="3319" w:type="dxa"/>
            <w:tcBorders>
              <w:top w:val="single" w:color="000000" w:sz="4" w:space="0"/>
              <w:left w:val="single" w:color="000000" w:sz="4" w:space="0"/>
              <w:bottom w:val="single" w:color="000000" w:sz="4" w:space="0"/>
              <w:right w:val="single" w:color="000000" w:sz="4" w:space="0"/>
            </w:tcBorders>
          </w:tcPr>
          <w:p>
            <w:pPr>
              <w:pStyle w:val="19"/>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19"/>
              <w:spacing w:before="133"/>
              <w:ind w:left="138" w:right="96"/>
              <w:jc w:val="center"/>
              <w:rPr>
                <w:rFonts w:hint="eastAsia" w:ascii="宋体" w:hAnsi="宋体" w:eastAsia="宋体" w:cs="宋体"/>
                <w:b/>
                <w:sz w:val="24"/>
                <w:szCs w:val="24"/>
              </w:rPr>
            </w:pPr>
            <w:r>
              <w:rPr>
                <w:rFonts w:hint="eastAsia" w:ascii="宋体" w:hAnsi="宋体" w:eastAsia="宋体" w:cs="宋体"/>
                <w:b/>
                <w:sz w:val="24"/>
                <w:szCs w:val="24"/>
              </w:rPr>
              <w:t>最近一年工作状况</w:t>
            </w:r>
          </w:p>
        </w:tc>
        <w:tc>
          <w:tcPr>
            <w:tcW w:w="3319" w:type="dxa"/>
            <w:tcBorders>
              <w:top w:val="single" w:color="000000" w:sz="4" w:space="0"/>
              <w:left w:val="single" w:color="000000" w:sz="4" w:space="0"/>
              <w:bottom w:val="single" w:color="000000" w:sz="4" w:space="0"/>
              <w:right w:val="single" w:color="000000" w:sz="4" w:space="0"/>
            </w:tcBorders>
          </w:tcPr>
          <w:p>
            <w:pPr>
              <w:pStyle w:val="19"/>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jc w:val="center"/>
        </w:trPr>
        <w:tc>
          <w:tcPr>
            <w:tcW w:w="1974" w:type="dxa"/>
            <w:tcBorders>
              <w:top w:val="single" w:color="000000" w:sz="4" w:space="0"/>
              <w:right w:val="single" w:color="000000"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03" w:lineRule="auto"/>
              <w:ind w:left="420" w:right="0" w:hanging="420"/>
              <w:jc w:val="center"/>
              <w:textAlignment w:val="auto"/>
              <w:rPr>
                <w:rFonts w:hint="eastAsia" w:ascii="宋体" w:hAnsi="宋体" w:eastAsia="宋体" w:cs="宋体"/>
                <w:b/>
                <w:sz w:val="24"/>
                <w:szCs w:val="24"/>
              </w:rPr>
            </w:pPr>
            <w:r>
              <w:rPr>
                <w:rFonts w:hint="eastAsia" w:ascii="宋体" w:hAnsi="宋体" w:eastAsia="宋体" w:cs="宋体"/>
                <w:b/>
                <w:sz w:val="24"/>
                <w:szCs w:val="24"/>
              </w:rPr>
              <w:t>拟在本项目中担任主要工作</w:t>
            </w:r>
          </w:p>
        </w:tc>
        <w:tc>
          <w:tcPr>
            <w:tcW w:w="7474" w:type="dxa"/>
            <w:gridSpan w:val="2"/>
            <w:tcBorders>
              <w:top w:val="single" w:color="000000" w:sz="4" w:space="0"/>
              <w:left w:val="single" w:color="000000" w:sz="4" w:space="0"/>
            </w:tcBorders>
          </w:tcPr>
          <w:p>
            <w:pPr>
              <w:pStyle w:val="19"/>
              <w:rPr>
                <w:rFonts w:hint="eastAsia" w:ascii="宋体" w:hAnsi="宋体" w:eastAsia="宋体" w:cs="宋体"/>
                <w:sz w:val="24"/>
                <w:szCs w:val="24"/>
              </w:rPr>
            </w:pPr>
          </w:p>
        </w:tc>
      </w:tr>
    </w:tbl>
    <w:p>
      <w:pPr>
        <w:pStyle w:val="8"/>
        <w:rPr>
          <w:rFonts w:hint="eastAsia"/>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7"/>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pStyle w:val="9"/>
        <w:rPr>
          <w:rFonts w:hint="eastAsia"/>
          <w:lang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10</w:t>
      </w:r>
    </w:p>
    <w:p>
      <w:pPr>
        <w:pStyle w:val="7"/>
        <w:spacing w:before="15"/>
        <w:jc w:val="center"/>
        <w:rPr>
          <w:rFonts w:hint="eastAsia" w:ascii="宋体" w:hAnsi="宋体" w:eastAsia="宋体" w:cs="宋体"/>
          <w:b/>
          <w:sz w:val="28"/>
          <w:szCs w:val="28"/>
        </w:rPr>
      </w:pPr>
      <w:r>
        <w:rPr>
          <w:rFonts w:hint="eastAsia" w:ascii="宋体" w:hAnsi="宋体" w:eastAsia="宋体" w:cs="宋体"/>
          <w:b/>
          <w:sz w:val="28"/>
          <w:szCs w:val="28"/>
        </w:rPr>
        <w:t>技术、商务偏离表</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为了采购人评议的需要，投标人若有偏离的应将偏离条款逐条提出或根据以下要求的格式提出偏差。投标人应对照招标文件要求在“偏离情况”栏注明“正偏离”、“负偏离”。</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lang w:eastAsia="zh-CN"/>
        </w:rPr>
      </w:pPr>
      <w:r>
        <w:rPr>
          <w:rFonts w:hint="eastAsia" w:ascii="宋体" w:hAnsi="宋体" w:eastAsia="宋体" w:cs="宋体"/>
          <w:sz w:val="24"/>
          <w:szCs w:val="24"/>
        </w:rPr>
        <w:t>如投标人无偏离的可不填写本偏离表或在本页上写“无”，视为完全响应本次招标文件。</w:t>
      </w:r>
    </w:p>
    <w:tbl>
      <w:tblPr>
        <w:tblStyle w:val="1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jc w:val="center"/>
        </w:trPr>
        <w:tc>
          <w:tcPr>
            <w:tcW w:w="759" w:type="dxa"/>
            <w:tcBorders>
              <w:bottom w:val="single" w:color="000000" w:sz="6" w:space="0"/>
              <w:right w:val="single" w:color="000000" w:sz="6" w:space="0"/>
            </w:tcBorders>
          </w:tcPr>
          <w:p>
            <w:pPr>
              <w:pStyle w:val="19"/>
              <w:spacing w:before="46"/>
              <w:ind w:left="130" w:right="85"/>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9" w:type="dxa"/>
            <w:tcBorders>
              <w:left w:val="single" w:color="000000" w:sz="6" w:space="0"/>
              <w:bottom w:val="single" w:color="000000" w:sz="6" w:space="0"/>
              <w:right w:val="single" w:color="000000" w:sz="6" w:space="0"/>
            </w:tcBorders>
          </w:tcPr>
          <w:p>
            <w:pPr>
              <w:pStyle w:val="19"/>
              <w:spacing w:before="46"/>
              <w:ind w:left="373"/>
              <w:rPr>
                <w:rFonts w:hint="eastAsia" w:ascii="宋体" w:hAnsi="宋体" w:eastAsia="宋体" w:cs="宋体"/>
                <w:sz w:val="24"/>
                <w:szCs w:val="24"/>
              </w:rPr>
            </w:pPr>
            <w:r>
              <w:rPr>
                <w:rFonts w:hint="eastAsia" w:ascii="宋体" w:hAnsi="宋体" w:eastAsia="宋体" w:cs="宋体"/>
                <w:sz w:val="24"/>
                <w:szCs w:val="24"/>
              </w:rPr>
              <w:t>内容</w:t>
            </w:r>
          </w:p>
        </w:tc>
        <w:tc>
          <w:tcPr>
            <w:tcW w:w="1978" w:type="dxa"/>
            <w:tcBorders>
              <w:left w:val="single" w:color="000000" w:sz="6" w:space="0"/>
              <w:bottom w:val="single" w:color="000000" w:sz="6" w:space="0"/>
              <w:right w:val="single" w:color="000000" w:sz="6" w:space="0"/>
            </w:tcBorders>
          </w:tcPr>
          <w:p>
            <w:pPr>
              <w:pStyle w:val="19"/>
              <w:spacing w:before="46"/>
              <w:ind w:left="286"/>
              <w:rPr>
                <w:rFonts w:hint="eastAsia" w:ascii="宋体" w:hAnsi="宋体" w:eastAsia="宋体" w:cs="宋体"/>
                <w:sz w:val="24"/>
                <w:szCs w:val="24"/>
              </w:rPr>
            </w:pPr>
            <w:r>
              <w:rPr>
                <w:rFonts w:hint="eastAsia" w:ascii="宋体" w:hAnsi="宋体" w:eastAsia="宋体" w:cs="宋体"/>
                <w:sz w:val="24"/>
                <w:szCs w:val="24"/>
              </w:rPr>
              <w:t>招标文件要求</w:t>
            </w:r>
          </w:p>
        </w:tc>
        <w:tc>
          <w:tcPr>
            <w:tcW w:w="2130" w:type="dxa"/>
            <w:tcBorders>
              <w:left w:val="single" w:color="000000" w:sz="6" w:space="0"/>
              <w:bottom w:val="single" w:color="000000" w:sz="6" w:space="0"/>
              <w:right w:val="single" w:color="000000" w:sz="6" w:space="0"/>
            </w:tcBorders>
          </w:tcPr>
          <w:p>
            <w:pPr>
              <w:pStyle w:val="19"/>
              <w:spacing w:before="46"/>
              <w:ind w:left="365"/>
              <w:rPr>
                <w:rFonts w:hint="eastAsia" w:ascii="宋体" w:hAnsi="宋体" w:eastAsia="宋体" w:cs="宋体"/>
                <w:sz w:val="24"/>
                <w:szCs w:val="24"/>
              </w:rPr>
            </w:pPr>
            <w:r>
              <w:rPr>
                <w:rFonts w:hint="eastAsia" w:ascii="宋体" w:hAnsi="宋体" w:eastAsia="宋体" w:cs="宋体"/>
                <w:sz w:val="24"/>
                <w:szCs w:val="24"/>
              </w:rPr>
              <w:t>投标文件响应</w:t>
            </w:r>
          </w:p>
        </w:tc>
        <w:tc>
          <w:tcPr>
            <w:tcW w:w="1468" w:type="dxa"/>
            <w:tcBorders>
              <w:left w:val="single" w:color="000000" w:sz="6" w:space="0"/>
              <w:bottom w:val="single" w:color="000000" w:sz="6" w:space="0"/>
              <w:right w:val="single" w:color="000000" w:sz="6" w:space="0"/>
            </w:tcBorders>
          </w:tcPr>
          <w:p>
            <w:pPr>
              <w:pStyle w:val="19"/>
              <w:spacing w:before="46"/>
              <w:ind w:left="275"/>
              <w:rPr>
                <w:rFonts w:hint="eastAsia" w:ascii="宋体" w:hAnsi="宋体" w:eastAsia="宋体" w:cs="宋体"/>
                <w:sz w:val="24"/>
                <w:szCs w:val="24"/>
              </w:rPr>
            </w:pPr>
            <w:r>
              <w:rPr>
                <w:rFonts w:hint="eastAsia" w:ascii="宋体" w:hAnsi="宋体" w:eastAsia="宋体" w:cs="宋体"/>
                <w:sz w:val="24"/>
                <w:szCs w:val="24"/>
              </w:rPr>
              <w:t>偏离情况</w:t>
            </w:r>
          </w:p>
        </w:tc>
        <w:tc>
          <w:tcPr>
            <w:tcW w:w="1683" w:type="dxa"/>
            <w:tcBorders>
              <w:left w:val="single" w:color="000000" w:sz="6" w:space="0"/>
              <w:bottom w:val="single" w:color="000000" w:sz="6" w:space="0"/>
            </w:tcBorders>
          </w:tcPr>
          <w:p>
            <w:pPr>
              <w:pStyle w:val="19"/>
              <w:spacing w:before="46"/>
              <w:ind w:left="601" w:right="539"/>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759" w:type="dxa"/>
            <w:tcBorders>
              <w:top w:val="single" w:color="000000" w:sz="6" w:space="0"/>
              <w:bottom w:val="single" w:color="000000" w:sz="6" w:space="0"/>
              <w:right w:val="single" w:color="000000" w:sz="6" w:space="0"/>
            </w:tcBorders>
          </w:tcPr>
          <w:p>
            <w:pPr>
              <w:pStyle w:val="19"/>
              <w:spacing w:before="18"/>
              <w:ind w:left="47"/>
              <w:jc w:val="center"/>
              <w:rPr>
                <w:rFonts w:hint="eastAsia" w:ascii="宋体" w:hAnsi="宋体" w:eastAsia="宋体" w:cs="宋体"/>
                <w:sz w:val="24"/>
                <w:szCs w:val="24"/>
              </w:rPr>
            </w:pPr>
            <w:r>
              <w:rPr>
                <w:rFonts w:hint="eastAsia" w:ascii="宋体" w:hAnsi="宋体" w:eastAsia="宋体" w:cs="宋体"/>
                <w:sz w:val="24"/>
                <w:szCs w:val="24"/>
              </w:rPr>
              <w:t>1</w:t>
            </w:r>
          </w:p>
        </w:tc>
        <w:tc>
          <w:tcPr>
            <w:tcW w:w="1189"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1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jc w:val="center"/>
        </w:trPr>
        <w:tc>
          <w:tcPr>
            <w:tcW w:w="759" w:type="dxa"/>
            <w:tcBorders>
              <w:top w:val="single" w:color="000000" w:sz="6" w:space="0"/>
              <w:bottom w:val="single" w:color="000000" w:sz="6" w:space="0"/>
              <w:right w:val="single" w:color="000000" w:sz="6" w:space="0"/>
            </w:tcBorders>
          </w:tcPr>
          <w:p>
            <w:pPr>
              <w:pStyle w:val="19"/>
              <w:spacing w:before="55"/>
              <w:ind w:left="47"/>
              <w:jc w:val="center"/>
              <w:rPr>
                <w:rFonts w:hint="eastAsia" w:ascii="宋体" w:hAnsi="宋体" w:eastAsia="宋体" w:cs="宋体"/>
                <w:sz w:val="24"/>
                <w:szCs w:val="24"/>
              </w:rPr>
            </w:pPr>
            <w:r>
              <w:rPr>
                <w:rFonts w:hint="eastAsia" w:ascii="宋体" w:hAnsi="宋体" w:eastAsia="宋体" w:cs="宋体"/>
                <w:sz w:val="24"/>
                <w:szCs w:val="24"/>
              </w:rPr>
              <w:t>2</w:t>
            </w:r>
          </w:p>
        </w:tc>
        <w:tc>
          <w:tcPr>
            <w:tcW w:w="1189"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1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759" w:type="dxa"/>
            <w:tcBorders>
              <w:top w:val="single" w:color="000000" w:sz="6" w:space="0"/>
              <w:bottom w:val="single" w:color="000000" w:sz="6" w:space="0"/>
              <w:right w:val="single" w:color="000000" w:sz="6" w:space="0"/>
            </w:tcBorders>
          </w:tcPr>
          <w:p>
            <w:pPr>
              <w:pStyle w:val="19"/>
              <w:spacing w:before="70"/>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1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jc w:val="center"/>
        </w:trPr>
        <w:tc>
          <w:tcPr>
            <w:tcW w:w="759" w:type="dxa"/>
            <w:tcBorders>
              <w:top w:val="single" w:color="000000" w:sz="6" w:space="0"/>
              <w:bottom w:val="single" w:color="000000" w:sz="6" w:space="0"/>
              <w:right w:val="single" w:color="000000" w:sz="6" w:space="0"/>
            </w:tcBorders>
          </w:tcPr>
          <w:p>
            <w:pPr>
              <w:pStyle w:val="19"/>
              <w:spacing w:before="79"/>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1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jc w:val="center"/>
        </w:trPr>
        <w:tc>
          <w:tcPr>
            <w:tcW w:w="759" w:type="dxa"/>
            <w:tcBorders>
              <w:top w:val="single" w:color="000000" w:sz="6" w:space="0"/>
              <w:bottom w:val="single" w:color="000000" w:sz="6" w:space="0"/>
              <w:right w:val="single" w:color="000000" w:sz="6" w:space="0"/>
            </w:tcBorders>
          </w:tcPr>
          <w:p>
            <w:pPr>
              <w:pStyle w:val="19"/>
              <w:spacing w:before="76"/>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1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jc w:val="center"/>
        </w:trPr>
        <w:tc>
          <w:tcPr>
            <w:tcW w:w="759" w:type="dxa"/>
            <w:tcBorders>
              <w:top w:val="single" w:color="000000" w:sz="6" w:space="0"/>
              <w:bottom w:val="single" w:color="000000" w:sz="6" w:space="0"/>
              <w:right w:val="single" w:color="000000" w:sz="6" w:space="0"/>
            </w:tcBorders>
          </w:tcPr>
          <w:p>
            <w:pPr>
              <w:pStyle w:val="19"/>
              <w:spacing w:before="60"/>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1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jc w:val="center"/>
        </w:trPr>
        <w:tc>
          <w:tcPr>
            <w:tcW w:w="759" w:type="dxa"/>
            <w:tcBorders>
              <w:top w:val="single" w:color="000000" w:sz="6" w:space="0"/>
              <w:bottom w:val="single" w:color="000000" w:sz="6" w:space="0"/>
              <w:right w:val="single" w:color="000000" w:sz="6" w:space="0"/>
            </w:tcBorders>
          </w:tcPr>
          <w:p>
            <w:pPr>
              <w:pStyle w:val="19"/>
              <w:spacing w:before="76"/>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19"/>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1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jc w:val="center"/>
        </w:trPr>
        <w:tc>
          <w:tcPr>
            <w:tcW w:w="759" w:type="dxa"/>
            <w:tcBorders>
              <w:top w:val="single" w:color="000000" w:sz="6" w:space="0"/>
              <w:right w:val="single" w:color="000000" w:sz="6" w:space="0"/>
            </w:tcBorders>
          </w:tcPr>
          <w:p>
            <w:pPr>
              <w:pStyle w:val="19"/>
              <w:spacing w:before="73"/>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right w:val="single" w:color="000000" w:sz="6" w:space="0"/>
            </w:tcBorders>
          </w:tcPr>
          <w:p>
            <w:pPr>
              <w:pStyle w:val="19"/>
              <w:rPr>
                <w:rFonts w:hint="eastAsia" w:ascii="宋体" w:hAnsi="宋体" w:eastAsia="宋体" w:cs="宋体"/>
                <w:sz w:val="24"/>
                <w:szCs w:val="24"/>
              </w:rPr>
            </w:pPr>
          </w:p>
        </w:tc>
        <w:tc>
          <w:tcPr>
            <w:tcW w:w="1978" w:type="dxa"/>
            <w:tcBorders>
              <w:top w:val="single" w:color="000000" w:sz="6" w:space="0"/>
              <w:left w:val="single" w:color="000000" w:sz="6" w:space="0"/>
              <w:right w:val="single" w:color="000000" w:sz="6" w:space="0"/>
            </w:tcBorders>
          </w:tcPr>
          <w:p>
            <w:pPr>
              <w:pStyle w:val="19"/>
              <w:rPr>
                <w:rFonts w:hint="eastAsia" w:ascii="宋体" w:hAnsi="宋体" w:eastAsia="宋体" w:cs="宋体"/>
                <w:sz w:val="24"/>
                <w:szCs w:val="24"/>
              </w:rPr>
            </w:pPr>
          </w:p>
        </w:tc>
        <w:tc>
          <w:tcPr>
            <w:tcW w:w="2130" w:type="dxa"/>
            <w:tcBorders>
              <w:top w:val="single" w:color="000000" w:sz="6" w:space="0"/>
              <w:left w:val="single" w:color="000000" w:sz="6" w:space="0"/>
              <w:right w:val="single" w:color="000000" w:sz="6" w:space="0"/>
            </w:tcBorders>
          </w:tcPr>
          <w:p>
            <w:pPr>
              <w:pStyle w:val="19"/>
              <w:rPr>
                <w:rFonts w:hint="eastAsia" w:ascii="宋体" w:hAnsi="宋体" w:eastAsia="宋体" w:cs="宋体"/>
                <w:sz w:val="24"/>
                <w:szCs w:val="24"/>
              </w:rPr>
            </w:pPr>
          </w:p>
        </w:tc>
        <w:tc>
          <w:tcPr>
            <w:tcW w:w="1468" w:type="dxa"/>
            <w:tcBorders>
              <w:top w:val="single" w:color="000000" w:sz="6" w:space="0"/>
              <w:left w:val="single" w:color="000000" w:sz="6" w:space="0"/>
              <w:right w:val="single" w:color="000000" w:sz="6" w:space="0"/>
            </w:tcBorders>
          </w:tcPr>
          <w:p>
            <w:pPr>
              <w:pStyle w:val="19"/>
              <w:rPr>
                <w:rFonts w:hint="eastAsia" w:ascii="宋体" w:hAnsi="宋体" w:eastAsia="宋体" w:cs="宋体"/>
                <w:sz w:val="24"/>
                <w:szCs w:val="24"/>
              </w:rPr>
            </w:pPr>
          </w:p>
        </w:tc>
        <w:tc>
          <w:tcPr>
            <w:tcW w:w="1683" w:type="dxa"/>
            <w:tcBorders>
              <w:top w:val="single" w:color="000000" w:sz="6" w:space="0"/>
              <w:left w:val="single" w:color="000000" w:sz="6" w:space="0"/>
            </w:tcBorders>
          </w:tcPr>
          <w:p>
            <w:pPr>
              <w:pStyle w:val="19"/>
              <w:rPr>
                <w:rFonts w:hint="eastAsia" w:ascii="宋体" w:hAnsi="宋体" w:eastAsia="宋体" w:cs="宋体"/>
                <w:sz w:val="24"/>
                <w:szCs w:val="24"/>
              </w:rPr>
            </w:pPr>
          </w:p>
        </w:tc>
      </w:tr>
    </w:tbl>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keepNext w:val="0"/>
        <w:keepLines w:val="0"/>
        <w:widowControl/>
        <w:suppressLineNumbers w:val="0"/>
        <w:jc w:val="left"/>
        <w:rPr>
          <w:rFonts w:hint="default"/>
          <w:lang w:val="en-US"/>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11</w:t>
      </w:r>
    </w:p>
    <w:p>
      <w:pPr>
        <w:keepNext w:val="0"/>
        <w:keepLines w:val="0"/>
        <w:widowControl/>
        <w:suppressLineNumbers w:val="0"/>
        <w:jc w:val="center"/>
        <w:rPr>
          <w:rFonts w:ascii="微软雅黑" w:hAnsi="微软雅黑" w:eastAsia="微软雅黑" w:cs="微软雅黑"/>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t>项目名称</w:t>
      </w:r>
    </w:p>
    <w:p>
      <w:pPr>
        <w:pStyle w:val="8"/>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项目编号：</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pPr>
        <w:pStyle w:val="8"/>
        <w:rPr>
          <w:rFonts w:hint="eastAsia" w:ascii="微软雅黑" w:hAnsi="微软雅黑" w:eastAsia="微软雅黑" w:cs="微软雅黑"/>
          <w:b/>
          <w:sz w:val="28"/>
          <w:szCs w:val="24"/>
          <w:lang w:val="en-US" w:eastAsia="zh-CN" w:bidi="zh-CN"/>
        </w:rPr>
      </w:pPr>
    </w:p>
    <w:p>
      <w:pPr>
        <w:pStyle w:val="9"/>
        <w:rPr>
          <w:rFonts w:hint="eastAsia"/>
          <w:lang w:val="en-US" w:eastAsia="zh-CN"/>
        </w:rPr>
      </w:pPr>
    </w:p>
    <w:p>
      <w:pPr>
        <w:keepNext w:val="0"/>
        <w:keepLines w:val="0"/>
        <w:widowControl/>
        <w:suppressLineNumbers w:val="0"/>
        <w:jc w:val="center"/>
      </w:pPr>
      <w:r>
        <w:rPr>
          <w:rFonts w:hint="eastAsia" w:cs="微软雅黑"/>
          <w:color w:val="000000"/>
          <w:kern w:val="0"/>
          <w:sz w:val="84"/>
          <w:szCs w:val="84"/>
          <w:lang w:val="en-US" w:eastAsia="zh-CN" w:bidi="ar"/>
        </w:rPr>
        <w:t>报价</w:t>
      </w:r>
      <w:r>
        <w:rPr>
          <w:rFonts w:ascii="微软雅黑" w:hAnsi="微软雅黑" w:eastAsia="微软雅黑" w:cs="微软雅黑"/>
          <w:color w:val="000000"/>
          <w:kern w:val="0"/>
          <w:sz w:val="84"/>
          <w:szCs w:val="84"/>
          <w:lang w:val="en-US" w:eastAsia="zh-CN" w:bidi="ar"/>
        </w:rPr>
        <w:t>文件</w:t>
      </w:r>
    </w:p>
    <w:p>
      <w:pPr>
        <w:pStyle w:val="8"/>
        <w:rPr>
          <w:rFonts w:hint="eastAsia"/>
          <w:lang w:val="en-US" w:eastAsia="zh-CN"/>
        </w:rPr>
      </w:pPr>
    </w:p>
    <w:p>
      <w:pPr>
        <w:pStyle w:val="9"/>
        <w:rPr>
          <w:rFonts w:hint="eastAsia"/>
          <w:lang w:val="en-US" w:eastAsia="zh-CN"/>
        </w:rPr>
      </w:pPr>
    </w:p>
    <w:p>
      <w:pPr>
        <w:rPr>
          <w:rFonts w:hint="eastAsia"/>
          <w:lang w:val="en-US" w:eastAsia="zh-CN"/>
        </w:rPr>
      </w:pPr>
    </w:p>
    <w:p>
      <w:pPr>
        <w:pStyle w:val="9"/>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ascii="微软雅黑" w:hAnsi="微软雅黑" w:eastAsia="微软雅黑" w:cs="微软雅黑"/>
          <w:color w:val="000000"/>
          <w:kern w:val="0"/>
          <w:sz w:val="36"/>
          <w:szCs w:val="36"/>
          <w:lang w:val="en-US" w:eastAsia="zh-CN" w:bidi="ar"/>
        </w:rPr>
        <w:t xml:space="preserve">供应商名称（盖公章）：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hint="eastAsia" w:ascii="微软雅黑" w:hAnsi="微软雅黑" w:eastAsia="微软雅黑" w:cs="微软雅黑"/>
          <w:color w:val="000000"/>
          <w:kern w:val="0"/>
          <w:sz w:val="36"/>
          <w:szCs w:val="36"/>
          <w:lang w:val="en-US" w:eastAsia="zh-CN" w:bidi="ar"/>
        </w:rPr>
        <w:t xml:space="preserve">地 址：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000000"/>
          <w:kern w:val="0"/>
          <w:sz w:val="36"/>
          <w:szCs w:val="36"/>
          <w:lang w:val="en-US" w:eastAsia="zh-CN" w:bidi="ar"/>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000000"/>
          <w:kern w:val="0"/>
          <w:sz w:val="36"/>
          <w:szCs w:val="36"/>
          <w:lang w:val="en-US" w:eastAsia="zh-CN" w:bidi="ar"/>
        </w:rPr>
        <w:t>时 间：</w:t>
      </w:r>
    </w:p>
    <w:p>
      <w:pPr>
        <w:pStyle w:val="5"/>
        <w:spacing w:line="583" w:lineRule="exact"/>
        <w:ind w:left="1935" w:right="1850"/>
        <w:jc w:val="center"/>
        <w:rPr>
          <w:rFonts w:hint="eastAsia" w:ascii="宋体" w:hAnsi="宋体" w:eastAsia="宋体" w:cs="宋体"/>
          <w:sz w:val="24"/>
          <w:szCs w:val="24"/>
        </w:rPr>
      </w:pPr>
      <w:r>
        <w:rPr>
          <w:rFonts w:hint="eastAsia" w:ascii="宋体" w:hAnsi="宋体" w:eastAsia="宋体" w:cs="宋体"/>
          <w:sz w:val="24"/>
          <w:szCs w:val="24"/>
        </w:rPr>
        <w:t>报价文件目录</w:t>
      </w:r>
    </w:p>
    <w:p>
      <w:pPr>
        <w:pStyle w:val="7"/>
        <w:rPr>
          <w:rFonts w:hint="eastAsia" w:ascii="宋体" w:hAnsi="宋体" w:eastAsia="宋体" w:cs="宋体"/>
          <w:b/>
          <w:sz w:val="24"/>
          <w:szCs w:val="24"/>
        </w:rPr>
      </w:pPr>
    </w:p>
    <w:p>
      <w:pPr>
        <w:pStyle w:val="7"/>
        <w:rPr>
          <w:rFonts w:hint="eastAsia" w:ascii="宋体" w:hAnsi="宋体" w:eastAsia="宋体" w:cs="宋体"/>
          <w:b/>
          <w:sz w:val="24"/>
          <w:szCs w:val="24"/>
        </w:rPr>
      </w:pPr>
    </w:p>
    <w:p>
      <w:pPr>
        <w:pStyle w:val="7"/>
        <w:spacing w:before="5"/>
        <w:rPr>
          <w:rFonts w:hint="eastAsia" w:ascii="宋体" w:hAnsi="宋体" w:eastAsia="宋体" w:cs="宋体"/>
          <w:b/>
          <w:sz w:val="24"/>
          <w:szCs w:val="24"/>
        </w:rPr>
      </w:pP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5"/>
          <w:sz w:val="24"/>
          <w:szCs w:val="24"/>
        </w:rPr>
        <w:t>、</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函；</w:t>
      </w: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5"/>
          <w:sz w:val="24"/>
          <w:szCs w:val="24"/>
        </w:rPr>
        <w:t>、报价一览表；</w:t>
      </w:r>
    </w:p>
    <w:p>
      <w:pPr>
        <w:pStyle w:val="7"/>
        <w:keepNext w:val="0"/>
        <w:keepLines w:val="0"/>
        <w:pageBreakBefore w:val="0"/>
        <w:widowControl w:val="0"/>
        <w:kinsoku/>
        <w:wordWrap/>
        <w:overflowPunct/>
        <w:topLinePunct w:val="0"/>
        <w:autoSpaceDE w:val="0"/>
        <w:autoSpaceDN w:val="0"/>
        <w:bidi w:val="0"/>
        <w:adjustRightInd/>
        <w:snapToGrid/>
        <w:spacing w:before="0" w:line="480" w:lineRule="auto"/>
        <w:ind w:left="0" w:firstLine="480" w:firstLineChars="200"/>
        <w:textAlignment w:val="auto"/>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12</w:t>
      </w:r>
    </w:p>
    <w:p>
      <w:pPr>
        <w:spacing w:before="0"/>
        <w:ind w:left="1099" w:right="0" w:firstLine="0"/>
        <w:jc w:val="center"/>
        <w:rPr>
          <w:rFonts w:hint="eastAsia" w:ascii="宋体" w:hAnsi="宋体" w:eastAsia="宋体" w:cs="宋体"/>
          <w:b/>
          <w:sz w:val="28"/>
          <w:szCs w:val="28"/>
        </w:rPr>
      </w:pPr>
      <w:r>
        <w:rPr>
          <w:rFonts w:hint="eastAsia" w:ascii="宋体" w:hAnsi="宋体" w:eastAsia="宋体" w:cs="宋体"/>
          <w:b/>
          <w:sz w:val="28"/>
          <w:szCs w:val="28"/>
          <w:lang w:eastAsia="zh-CN"/>
        </w:rPr>
        <w:t>投标</w:t>
      </w:r>
      <w:r>
        <w:rPr>
          <w:rFonts w:hint="eastAsia" w:ascii="宋体" w:hAnsi="宋体" w:eastAsia="宋体" w:cs="宋体"/>
          <w:b/>
          <w:sz w:val="28"/>
          <w:szCs w:val="28"/>
        </w:rPr>
        <w:t>函</w:t>
      </w:r>
    </w:p>
    <w:p>
      <w:pPr>
        <w:pStyle w:val="8"/>
        <w:rPr>
          <w:rFonts w:hint="eastAsia"/>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温岭市城南镇人民政府</w:t>
      </w:r>
    </w:p>
    <w:p>
      <w:pPr>
        <w:pStyle w:val="7"/>
        <w:keepNext w:val="0"/>
        <w:keepLines w:val="0"/>
        <w:pageBreakBefore w:val="0"/>
        <w:widowControl w:val="0"/>
        <w:tabs>
          <w:tab w:val="left" w:pos="4099"/>
          <w:tab w:val="left" w:pos="6539"/>
          <w:tab w:val="left" w:pos="8114"/>
          <w:tab w:val="left" w:pos="9568"/>
        </w:tabs>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（供应商名称）授权</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pacing w:val="4"/>
          <w:sz w:val="24"/>
          <w:szCs w:val="24"/>
        </w:rPr>
        <w:t>（全权代表姓名</w:t>
      </w:r>
      <w:r>
        <w:rPr>
          <w:rFonts w:hint="eastAsia" w:ascii="宋体" w:hAnsi="宋体" w:eastAsia="宋体" w:cs="宋体"/>
          <w:sz w:val="24"/>
          <w:szCs w:val="24"/>
        </w:rPr>
        <w:t>、职务）为全权代表，参加贵单位组织的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7"/>
          <w:sz w:val="24"/>
          <w:szCs w:val="24"/>
        </w:rPr>
        <w:t>招</w:t>
      </w:r>
      <w:r>
        <w:rPr>
          <w:rFonts w:hint="eastAsia" w:ascii="宋体" w:hAnsi="宋体" w:eastAsia="宋体" w:cs="宋体"/>
          <w:sz w:val="24"/>
          <w:szCs w:val="24"/>
        </w:rPr>
        <w:t>标的有关活动，并进行投标。为此：</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l、提供供应商须知规定的全部</w:t>
      </w:r>
      <w:r>
        <w:rPr>
          <w:rFonts w:hint="eastAsia" w:ascii="宋体" w:hAnsi="宋体" w:eastAsia="宋体" w:cs="宋体"/>
          <w:sz w:val="24"/>
          <w:szCs w:val="24"/>
          <w:lang w:eastAsia="zh-CN"/>
        </w:rPr>
        <w:t>投标</w:t>
      </w:r>
      <w:r>
        <w:rPr>
          <w:rFonts w:hint="eastAsia" w:ascii="宋体" w:hAnsi="宋体" w:eastAsia="宋体" w:cs="宋体"/>
          <w:sz w:val="24"/>
          <w:szCs w:val="24"/>
        </w:rPr>
        <w:t>响应文件。</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2、我方的投标报价</w:t>
      </w:r>
      <w:r>
        <w:rPr>
          <w:rFonts w:hint="eastAsia" w:ascii="宋体" w:hAnsi="宋体" w:eastAsia="宋体" w:cs="宋体"/>
          <w:sz w:val="24"/>
          <w:szCs w:val="24"/>
          <w:u w:val="single"/>
        </w:rPr>
        <w:t>详见报价一览表</w:t>
      </w:r>
      <w:r>
        <w:rPr>
          <w:rFonts w:hint="eastAsia" w:ascii="宋体" w:hAnsi="宋体" w:eastAsia="宋体" w:cs="宋体"/>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0"/>
          <w:sz w:val="24"/>
          <w:szCs w:val="24"/>
        </w:rPr>
        <w:t>、我方已详细审查全部招标文件，完全同意招标文件中的各项要求，保证遵守招标文件中的有关规定和相关标准，对招标文件的合理性、合法性不再有异议。</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10"/>
          <w:sz w:val="24"/>
          <w:szCs w:val="24"/>
        </w:rPr>
        <w:t>、若中标，本</w:t>
      </w:r>
      <w:r>
        <w:rPr>
          <w:rFonts w:hint="eastAsia" w:ascii="宋体" w:hAnsi="宋体" w:eastAsia="宋体" w:cs="宋体"/>
          <w:spacing w:val="-10"/>
          <w:sz w:val="24"/>
          <w:szCs w:val="24"/>
          <w:lang w:eastAsia="zh-CN"/>
        </w:rPr>
        <w:t>投标</w:t>
      </w:r>
      <w:r>
        <w:rPr>
          <w:rFonts w:hint="eastAsia" w:ascii="宋体" w:hAnsi="宋体" w:eastAsia="宋体" w:cs="宋体"/>
          <w:spacing w:val="-10"/>
          <w:sz w:val="24"/>
          <w:szCs w:val="24"/>
        </w:rPr>
        <w:t>响应文件至本项目合同履行完毕止均保持有效，我方将按招标文件规定履行合同责任和义务。</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投标</w:t>
      </w:r>
      <w:r>
        <w:rPr>
          <w:rFonts w:hint="eastAsia" w:ascii="宋体" w:hAnsi="宋体" w:eastAsia="宋体" w:cs="宋体"/>
          <w:sz w:val="24"/>
          <w:szCs w:val="24"/>
        </w:rPr>
        <w:t>响应文件自开标之日起有效期为 90 天。</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10"/>
          <w:sz w:val="24"/>
          <w:szCs w:val="24"/>
        </w:rPr>
        <w:t>、我方同意提供按照贵方可能要求的与本项投标有关的一切数据或资料，并保证其真实性、合法性。</w:t>
      </w:r>
    </w:p>
    <w:p>
      <w:pPr>
        <w:pStyle w:val="7"/>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17"/>
          <w:sz w:val="24"/>
          <w:szCs w:val="24"/>
        </w:rPr>
      </w:pPr>
      <w:r>
        <w:rPr>
          <w:rFonts w:hint="eastAsia" w:ascii="宋体" w:hAnsi="宋体" w:eastAsia="宋体" w:cs="宋体"/>
          <w:sz w:val="24"/>
          <w:szCs w:val="24"/>
        </w:rPr>
        <w:t>7、我方与本次投标有关的一切正式来往通讯请寄</w:t>
      </w:r>
      <w:r>
        <w:rPr>
          <w:rFonts w:hint="eastAsia" w:ascii="宋体" w:hAnsi="宋体" w:eastAsia="宋体" w:cs="宋体"/>
          <w:spacing w:val="-17"/>
          <w:sz w:val="24"/>
          <w:szCs w:val="24"/>
        </w:rPr>
        <w:t xml:space="preserve">： </w:t>
      </w:r>
    </w:p>
    <w:p>
      <w:pPr>
        <w:pStyle w:val="7"/>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68" w:firstLineChars="200"/>
        <w:textAlignment w:val="auto"/>
        <w:rPr>
          <w:rFonts w:hint="default" w:ascii="宋体" w:hAnsi="宋体" w:eastAsia="宋体" w:cs="宋体"/>
          <w:sz w:val="24"/>
          <w:szCs w:val="24"/>
          <w:lang w:val="en-US" w:eastAsia="zh-CN"/>
        </w:rPr>
      </w:pPr>
      <w:r>
        <w:rPr>
          <w:rFonts w:hint="eastAsia" w:ascii="宋体" w:hAnsi="宋体" w:eastAsia="宋体" w:cs="宋体"/>
          <w:spacing w:val="-3"/>
          <w:sz w:val="24"/>
          <w:szCs w:val="24"/>
        </w:rPr>
        <w:t>联</w:t>
      </w:r>
      <w:r>
        <w:rPr>
          <w:rFonts w:hint="eastAsia" w:ascii="宋体" w:hAnsi="宋体" w:eastAsia="宋体" w:cs="宋体"/>
          <w:spacing w:val="-1"/>
          <w:sz w:val="24"/>
          <w:szCs w:val="24"/>
        </w:rPr>
        <w:t>系</w:t>
      </w:r>
      <w:r>
        <w:rPr>
          <w:rFonts w:hint="eastAsia" w:ascii="宋体" w:hAnsi="宋体" w:eastAsia="宋体" w:cs="宋体"/>
          <w:sz w:val="24"/>
          <w:szCs w:val="24"/>
        </w:rPr>
        <w:t>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pStyle w:val="7"/>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68" w:firstLineChars="200"/>
        <w:textAlignment w:val="auto"/>
        <w:rPr>
          <w:rFonts w:hint="eastAsia" w:ascii="宋体" w:hAnsi="宋体" w:eastAsia="宋体" w:cs="宋体"/>
          <w:sz w:val="24"/>
          <w:szCs w:val="24"/>
          <w:u w:val="single"/>
        </w:rPr>
      </w:pPr>
      <w:r>
        <w:rPr>
          <w:rFonts w:hint="eastAsia" w:ascii="宋体" w:hAnsi="宋体" w:eastAsia="宋体" w:cs="宋体"/>
          <w:spacing w:val="-3"/>
          <w:sz w:val="24"/>
          <w:szCs w:val="24"/>
        </w:rPr>
        <w:t>联</w:t>
      </w:r>
      <w:r>
        <w:rPr>
          <w:rFonts w:hint="eastAsia" w:ascii="宋体" w:hAnsi="宋体" w:eastAsia="宋体" w:cs="宋体"/>
          <w:spacing w:val="-1"/>
          <w:sz w:val="24"/>
          <w:szCs w:val="24"/>
        </w:rPr>
        <w:t>系</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7"/>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供应商名称（单位公章）：</w:t>
      </w:r>
    </w:p>
    <w:p>
      <w:pPr>
        <w:pStyle w:val="7"/>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14"/>
          <w:sz w:val="24"/>
          <w:szCs w:val="24"/>
        </w:rPr>
        <w:t xml:space="preserve">）： </w:t>
      </w:r>
    </w:p>
    <w:p>
      <w:pPr>
        <w:pStyle w:val="7"/>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9"/>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13</w:t>
      </w:r>
    </w:p>
    <w:p>
      <w:pPr>
        <w:pStyle w:val="7"/>
        <w:rPr>
          <w:rFonts w:hint="eastAsia" w:ascii="宋体" w:hAnsi="宋体" w:eastAsia="宋体" w:cs="宋体"/>
          <w:b/>
          <w:sz w:val="24"/>
          <w:szCs w:val="24"/>
        </w:rPr>
      </w:pPr>
    </w:p>
    <w:p>
      <w:pPr>
        <w:pStyle w:val="7"/>
        <w:spacing w:before="17"/>
        <w:rPr>
          <w:rFonts w:hint="eastAsia" w:ascii="宋体" w:hAnsi="宋体" w:eastAsia="宋体" w:cs="宋体"/>
          <w:b/>
          <w:sz w:val="24"/>
          <w:szCs w:val="24"/>
        </w:rPr>
      </w:pPr>
    </w:p>
    <w:p>
      <w:pPr>
        <w:spacing w:before="16"/>
        <w:ind w:left="2262" w:right="1850" w:firstLine="0"/>
        <w:jc w:val="center"/>
        <w:rPr>
          <w:rFonts w:hint="eastAsia" w:ascii="宋体" w:hAnsi="宋体" w:eastAsia="宋体" w:cs="宋体"/>
          <w:b/>
          <w:sz w:val="28"/>
          <w:szCs w:val="28"/>
        </w:rPr>
      </w:pPr>
      <w:r>
        <w:rPr>
          <w:rFonts w:hint="eastAsia" w:ascii="宋体" w:hAnsi="宋体" w:eastAsia="宋体" w:cs="宋体"/>
          <w:b/>
          <w:sz w:val="28"/>
          <w:szCs w:val="28"/>
        </w:rPr>
        <w:t>开标一览表</w:t>
      </w:r>
    </w:p>
    <w:p>
      <w:pPr>
        <w:pStyle w:val="7"/>
        <w:spacing w:before="14"/>
        <w:rPr>
          <w:rFonts w:hint="eastAsia" w:ascii="宋体" w:hAnsi="宋体" w:eastAsia="宋体" w:cs="宋体"/>
          <w:b/>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sz w:val="24"/>
          <w:lang w:val="en-US" w:eastAsia="zh-CN"/>
        </w:rPr>
        <w:t>ZJKX－WLCG－2022－001</w:t>
      </w:r>
    </w:p>
    <w:p>
      <w:pPr>
        <w:pStyle w:val="7"/>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2022年温岭市城南镇以水灭火储水仓建设项目</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2745"/>
        <w:gridCol w:w="1485"/>
        <w:gridCol w:w="1575"/>
        <w:gridCol w:w="144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079" w:type="dxa"/>
          </w:tcPr>
          <w:p>
            <w:pPr>
              <w:pStyle w:val="19"/>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1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745" w:type="dxa"/>
          </w:tcPr>
          <w:p>
            <w:pPr>
              <w:pStyle w:val="19"/>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1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标</w:t>
            </w:r>
            <w:r>
              <w:rPr>
                <w:rFonts w:hint="eastAsia" w:ascii="宋体" w:hAnsi="宋体" w:eastAsia="宋体" w:cs="宋体"/>
                <w:b/>
                <w:sz w:val="24"/>
                <w:szCs w:val="24"/>
              </w:rPr>
              <w:t>项</w:t>
            </w:r>
          </w:p>
        </w:tc>
        <w:tc>
          <w:tcPr>
            <w:tcW w:w="1485" w:type="dxa"/>
          </w:tcPr>
          <w:p>
            <w:pPr>
              <w:pStyle w:val="19"/>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1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575" w:type="dxa"/>
          </w:tcPr>
          <w:p>
            <w:pPr>
              <w:pStyle w:val="19"/>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1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单价</w:t>
            </w:r>
          </w:p>
        </w:tc>
        <w:tc>
          <w:tcPr>
            <w:tcW w:w="1440" w:type="dxa"/>
          </w:tcPr>
          <w:p>
            <w:pPr>
              <w:pStyle w:val="19"/>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1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报价</w:t>
            </w:r>
          </w:p>
        </w:tc>
        <w:tc>
          <w:tcPr>
            <w:tcW w:w="144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079" w:type="dxa"/>
          </w:tcPr>
          <w:p>
            <w:pPr>
              <w:pStyle w:val="19"/>
              <w:spacing w:before="8"/>
              <w:rPr>
                <w:rFonts w:hint="eastAsia" w:ascii="宋体" w:hAnsi="宋体" w:eastAsia="宋体" w:cs="宋体"/>
                <w:sz w:val="24"/>
                <w:szCs w:val="24"/>
              </w:rPr>
            </w:pPr>
          </w:p>
          <w:p>
            <w:pPr>
              <w:pStyle w:val="19"/>
              <w:ind w:left="12"/>
              <w:jc w:val="center"/>
              <w:rPr>
                <w:rFonts w:hint="eastAsia" w:ascii="宋体" w:hAnsi="宋体" w:eastAsia="宋体" w:cs="宋体"/>
                <w:b/>
                <w:sz w:val="24"/>
                <w:szCs w:val="24"/>
              </w:rPr>
            </w:pPr>
            <w:r>
              <w:rPr>
                <w:rFonts w:hint="eastAsia" w:ascii="宋体" w:hAnsi="宋体" w:eastAsia="宋体" w:cs="宋体"/>
                <w:b/>
                <w:w w:val="98"/>
                <w:sz w:val="24"/>
                <w:szCs w:val="24"/>
              </w:rPr>
              <w:t>1</w:t>
            </w:r>
          </w:p>
        </w:tc>
        <w:tc>
          <w:tcPr>
            <w:tcW w:w="2745" w:type="dxa"/>
            <w:vAlign w:val="center"/>
          </w:tcPr>
          <w:p>
            <w:pPr>
              <w:adjustRightInd w:val="0"/>
              <w:snapToGrid w:val="0"/>
              <w:ind w:left="0" w:leftChars="0" w:right="0" w:rightChars="0"/>
              <w:jc w:val="center"/>
              <w:rPr>
                <w:rFonts w:hint="eastAsia" w:ascii="宋体" w:hAnsi="宋体" w:eastAsia="宋体" w:cs="宋体"/>
                <w:b/>
                <w:sz w:val="24"/>
                <w:szCs w:val="24"/>
              </w:rPr>
            </w:pPr>
            <w:r>
              <w:rPr>
                <w:rFonts w:hint="eastAsia" w:ascii="宋体" w:hAnsi="宋体" w:eastAsia="宋体" w:cs="宋体"/>
                <w:sz w:val="24"/>
                <w:szCs w:val="24"/>
                <w:lang w:eastAsia="zh-CN"/>
              </w:rPr>
              <w:t xml:space="preserve">20T装配式蓄水箱 </w:t>
            </w:r>
          </w:p>
        </w:tc>
        <w:tc>
          <w:tcPr>
            <w:tcW w:w="1485" w:type="dxa"/>
          </w:tcPr>
          <w:p>
            <w:pPr>
              <w:pStyle w:val="19"/>
              <w:spacing w:before="8"/>
              <w:rPr>
                <w:rFonts w:hint="eastAsia" w:ascii="宋体" w:hAnsi="宋体" w:eastAsia="宋体" w:cs="宋体"/>
                <w:sz w:val="24"/>
                <w:szCs w:val="24"/>
              </w:rPr>
            </w:pPr>
          </w:p>
          <w:p>
            <w:pPr>
              <w:pStyle w:val="19"/>
              <w:ind w:left="300" w:right="276"/>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4</w:t>
            </w:r>
          </w:p>
        </w:tc>
        <w:tc>
          <w:tcPr>
            <w:tcW w:w="1575" w:type="dxa"/>
          </w:tcPr>
          <w:p>
            <w:pPr>
              <w:pStyle w:val="19"/>
              <w:spacing w:before="8"/>
              <w:rPr>
                <w:rFonts w:hint="eastAsia" w:ascii="宋体" w:hAnsi="宋体" w:eastAsia="宋体" w:cs="宋体"/>
                <w:sz w:val="24"/>
                <w:szCs w:val="24"/>
              </w:rPr>
            </w:pPr>
          </w:p>
          <w:p>
            <w:pPr>
              <w:pStyle w:val="19"/>
              <w:tabs>
                <w:tab w:val="left" w:pos="602"/>
              </w:tabs>
              <w:ind w:right="44"/>
              <w:jc w:val="center"/>
              <w:rPr>
                <w:rFonts w:hint="eastAsia" w:ascii="宋体" w:hAnsi="宋体" w:eastAsia="宋体" w:cs="宋体"/>
                <w:b/>
                <w:sz w:val="24"/>
                <w:szCs w:val="24"/>
              </w:rPr>
            </w:pPr>
            <w:r>
              <w:rPr>
                <w:rFonts w:hint="eastAsia" w:ascii="宋体" w:hAnsi="宋体" w:eastAsia="宋体" w:cs="宋体"/>
                <w:sz w:val="24"/>
                <w:szCs w:val="24"/>
                <w:u w:val="thick"/>
              </w:rPr>
              <w:t xml:space="preserve"> </w:t>
            </w:r>
            <w:r>
              <w:rPr>
                <w:rFonts w:hint="eastAsia" w:ascii="宋体" w:hAnsi="宋体" w:eastAsia="宋体" w:cs="宋体"/>
                <w:sz w:val="24"/>
                <w:szCs w:val="24"/>
                <w:u w:val="thick"/>
              </w:rPr>
              <w:tab/>
            </w:r>
            <w:r>
              <w:rPr>
                <w:rFonts w:hint="eastAsia" w:ascii="宋体" w:hAnsi="宋体" w:eastAsia="宋体" w:cs="宋体"/>
                <w:b/>
                <w:sz w:val="24"/>
                <w:szCs w:val="24"/>
              </w:rPr>
              <w:t>元</w:t>
            </w:r>
          </w:p>
        </w:tc>
        <w:tc>
          <w:tcPr>
            <w:tcW w:w="1440" w:type="dxa"/>
          </w:tcPr>
          <w:p>
            <w:pPr>
              <w:pStyle w:val="19"/>
              <w:spacing w:before="8"/>
              <w:rPr>
                <w:rFonts w:hint="eastAsia" w:ascii="宋体" w:hAnsi="宋体" w:eastAsia="宋体" w:cs="宋体"/>
                <w:sz w:val="24"/>
                <w:szCs w:val="24"/>
              </w:rPr>
            </w:pPr>
          </w:p>
          <w:p>
            <w:pPr>
              <w:pStyle w:val="19"/>
              <w:tabs>
                <w:tab w:val="left" w:pos="990"/>
              </w:tabs>
              <w:ind w:left="27"/>
              <w:jc w:val="center"/>
              <w:rPr>
                <w:rFonts w:hint="eastAsia" w:ascii="宋体" w:hAnsi="宋体" w:eastAsia="宋体" w:cs="宋体"/>
                <w:b/>
                <w:sz w:val="24"/>
                <w:szCs w:val="24"/>
              </w:rPr>
            </w:pPr>
            <w:r>
              <w:rPr>
                <w:rFonts w:hint="eastAsia" w:ascii="宋体" w:hAnsi="宋体" w:eastAsia="宋体" w:cs="宋体"/>
                <w:sz w:val="24"/>
                <w:szCs w:val="24"/>
                <w:u w:val="thick"/>
              </w:rPr>
              <w:t xml:space="preserve"> </w:t>
            </w:r>
            <w:r>
              <w:rPr>
                <w:rFonts w:hint="eastAsia" w:ascii="宋体" w:hAnsi="宋体" w:eastAsia="宋体" w:cs="宋体"/>
                <w:sz w:val="24"/>
                <w:szCs w:val="24"/>
                <w:u w:val="thick"/>
              </w:rPr>
              <w:tab/>
            </w:r>
            <w:r>
              <w:rPr>
                <w:rFonts w:hint="eastAsia" w:ascii="宋体" w:hAnsi="宋体" w:eastAsia="宋体" w:cs="宋体"/>
                <w:b/>
                <w:sz w:val="24"/>
                <w:szCs w:val="24"/>
              </w:rPr>
              <w:t>元</w:t>
            </w:r>
          </w:p>
        </w:tc>
        <w:tc>
          <w:tcPr>
            <w:tcW w:w="1440" w:type="dxa"/>
            <w:vAlign w:val="center"/>
          </w:tcPr>
          <w:p>
            <w:pPr>
              <w:autoSpaceDE w:val="0"/>
              <w:autoSpaceDN w:val="0"/>
              <w:adjustRightInd w:val="0"/>
              <w:snapToGrid w:val="0"/>
              <w:ind w:left="0" w:leftChars="0" w:right="0" w:rightChars="0"/>
              <w:rPr>
                <w:rFonts w:hint="eastAsia" w:ascii="宋体" w:hAnsi="宋体" w:eastAsia="宋体" w:cs="宋体"/>
                <w:sz w:val="24"/>
                <w:szCs w:val="24"/>
                <w:u w:val="thick"/>
              </w:rPr>
            </w:pPr>
            <w:r>
              <w:rPr>
                <w:rFonts w:hint="eastAsia" w:ascii="宋体" w:hAnsi="宋体" w:eastAsia="宋体" w:cs="宋体"/>
                <w:sz w:val="24"/>
                <w:szCs w:val="24"/>
                <w:lang w:eastAsia="zh-CN"/>
              </w:rPr>
              <w:t>（含</w:t>
            </w:r>
            <w:r>
              <w:rPr>
                <w:rFonts w:hint="eastAsia" w:ascii="宋体" w:hAnsi="宋体" w:eastAsia="宋体" w:cs="宋体"/>
                <w:sz w:val="24"/>
                <w:szCs w:val="24"/>
                <w:lang w:val="en-US" w:eastAsia="zh-CN"/>
              </w:rPr>
              <w:t>C15砼垫层、C25基础地板及池壁等</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079" w:type="dxa"/>
            <w:vAlign w:val="center"/>
          </w:tcPr>
          <w:p>
            <w:pPr>
              <w:pStyle w:val="19"/>
              <w:ind w:left="12"/>
              <w:jc w:val="center"/>
              <w:rPr>
                <w:rFonts w:hint="eastAsia" w:ascii="宋体" w:hAnsi="宋体" w:eastAsia="宋体" w:cs="宋体"/>
                <w:b/>
                <w:w w:val="98"/>
                <w:sz w:val="24"/>
                <w:szCs w:val="24"/>
                <w:lang w:val="en-US" w:eastAsia="zh-CN"/>
              </w:rPr>
            </w:pPr>
            <w:r>
              <w:rPr>
                <w:rFonts w:hint="eastAsia" w:ascii="宋体" w:hAnsi="宋体" w:eastAsia="宋体" w:cs="宋体"/>
                <w:b/>
                <w:w w:val="98"/>
                <w:sz w:val="24"/>
                <w:szCs w:val="24"/>
                <w:lang w:val="en-US" w:eastAsia="zh-CN"/>
              </w:rPr>
              <w:t>2</w:t>
            </w:r>
          </w:p>
        </w:tc>
        <w:tc>
          <w:tcPr>
            <w:tcW w:w="2745" w:type="dxa"/>
            <w:vAlign w:val="center"/>
          </w:tcPr>
          <w:p>
            <w:pPr>
              <w:adjustRightInd w:val="0"/>
              <w:snapToGrid w:val="0"/>
              <w:ind w:left="0" w:leftChars="0" w:right="0" w:rightChars="0"/>
              <w:jc w:val="center"/>
              <w:rPr>
                <w:rFonts w:hint="eastAsia" w:ascii="宋体" w:hAnsi="宋体" w:eastAsia="宋体" w:cs="宋体"/>
                <w:b/>
                <w:sz w:val="24"/>
                <w:szCs w:val="24"/>
              </w:rPr>
            </w:pPr>
            <w:r>
              <w:rPr>
                <w:rFonts w:hint="eastAsia" w:ascii="宋体" w:hAnsi="宋体" w:eastAsia="宋体" w:cs="宋体"/>
                <w:sz w:val="24"/>
                <w:szCs w:val="24"/>
                <w:lang w:eastAsia="zh-CN"/>
              </w:rPr>
              <w:t>20T塑料蓄水桶</w:t>
            </w:r>
          </w:p>
        </w:tc>
        <w:tc>
          <w:tcPr>
            <w:tcW w:w="1485" w:type="dxa"/>
            <w:vAlign w:val="center"/>
          </w:tcPr>
          <w:p>
            <w:pPr>
              <w:pStyle w:val="19"/>
              <w:ind w:right="276"/>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36</w:t>
            </w:r>
          </w:p>
        </w:tc>
        <w:tc>
          <w:tcPr>
            <w:tcW w:w="1575" w:type="dxa"/>
            <w:vAlign w:val="top"/>
          </w:tcPr>
          <w:p>
            <w:pPr>
              <w:pStyle w:val="19"/>
              <w:spacing w:before="8"/>
              <w:rPr>
                <w:rFonts w:hint="eastAsia" w:ascii="宋体" w:hAnsi="宋体" w:eastAsia="宋体" w:cs="宋体"/>
                <w:sz w:val="24"/>
                <w:szCs w:val="24"/>
              </w:rPr>
            </w:pPr>
          </w:p>
          <w:p>
            <w:pPr>
              <w:pStyle w:val="19"/>
              <w:tabs>
                <w:tab w:val="left" w:pos="602"/>
              </w:tabs>
              <w:ind w:left="0" w:leftChars="0" w:right="44" w:rightChars="0"/>
              <w:jc w:val="center"/>
              <w:rPr>
                <w:rFonts w:hint="eastAsia" w:ascii="宋体" w:hAnsi="宋体" w:eastAsia="宋体" w:cs="宋体"/>
                <w:sz w:val="24"/>
                <w:szCs w:val="24"/>
                <w:u w:val="thick"/>
              </w:rPr>
            </w:pPr>
            <w:r>
              <w:rPr>
                <w:rFonts w:hint="eastAsia" w:ascii="宋体" w:hAnsi="宋体" w:eastAsia="宋体" w:cs="宋体"/>
                <w:sz w:val="24"/>
                <w:szCs w:val="24"/>
                <w:u w:val="thick"/>
              </w:rPr>
              <w:t xml:space="preserve"> </w:t>
            </w:r>
            <w:r>
              <w:rPr>
                <w:rFonts w:hint="eastAsia" w:ascii="宋体" w:hAnsi="宋体" w:eastAsia="宋体" w:cs="宋体"/>
                <w:sz w:val="24"/>
                <w:szCs w:val="24"/>
                <w:u w:val="thick"/>
              </w:rPr>
              <w:tab/>
            </w:r>
            <w:r>
              <w:rPr>
                <w:rFonts w:hint="eastAsia" w:ascii="宋体" w:hAnsi="宋体" w:eastAsia="宋体" w:cs="宋体"/>
                <w:b/>
                <w:sz w:val="24"/>
                <w:szCs w:val="24"/>
              </w:rPr>
              <w:t>元</w:t>
            </w:r>
          </w:p>
        </w:tc>
        <w:tc>
          <w:tcPr>
            <w:tcW w:w="1440" w:type="dxa"/>
            <w:vAlign w:val="top"/>
          </w:tcPr>
          <w:p>
            <w:pPr>
              <w:pStyle w:val="19"/>
              <w:spacing w:before="8"/>
              <w:rPr>
                <w:rFonts w:hint="eastAsia" w:ascii="宋体" w:hAnsi="宋体" w:eastAsia="宋体" w:cs="宋体"/>
                <w:sz w:val="24"/>
                <w:szCs w:val="24"/>
              </w:rPr>
            </w:pPr>
          </w:p>
          <w:p>
            <w:pPr>
              <w:pStyle w:val="19"/>
              <w:tabs>
                <w:tab w:val="left" w:pos="990"/>
              </w:tabs>
              <w:ind w:left="27" w:leftChars="0" w:right="0" w:rightChars="0"/>
              <w:jc w:val="center"/>
              <w:rPr>
                <w:rFonts w:hint="eastAsia" w:ascii="宋体" w:hAnsi="宋体" w:eastAsia="宋体" w:cs="宋体"/>
                <w:sz w:val="24"/>
                <w:szCs w:val="24"/>
                <w:u w:val="thick"/>
              </w:rPr>
            </w:pPr>
            <w:r>
              <w:rPr>
                <w:rFonts w:hint="eastAsia" w:ascii="宋体" w:hAnsi="宋体" w:eastAsia="宋体" w:cs="宋体"/>
                <w:sz w:val="24"/>
                <w:szCs w:val="24"/>
                <w:u w:val="thick"/>
              </w:rPr>
              <w:t xml:space="preserve"> </w:t>
            </w:r>
            <w:r>
              <w:rPr>
                <w:rFonts w:hint="eastAsia" w:ascii="宋体" w:hAnsi="宋体" w:eastAsia="宋体" w:cs="宋体"/>
                <w:sz w:val="24"/>
                <w:szCs w:val="24"/>
                <w:u w:val="thick"/>
              </w:rPr>
              <w:tab/>
            </w:r>
            <w:r>
              <w:rPr>
                <w:rFonts w:hint="eastAsia" w:ascii="宋体" w:hAnsi="宋体" w:eastAsia="宋体" w:cs="宋体"/>
                <w:b/>
                <w:sz w:val="24"/>
                <w:szCs w:val="24"/>
              </w:rPr>
              <w:t>元</w:t>
            </w:r>
          </w:p>
        </w:tc>
        <w:tc>
          <w:tcPr>
            <w:tcW w:w="1440" w:type="dxa"/>
            <w:vAlign w:val="center"/>
          </w:tcPr>
          <w:p>
            <w:pPr>
              <w:autoSpaceDE w:val="0"/>
              <w:autoSpaceDN w:val="0"/>
              <w:adjustRightInd w:val="0"/>
              <w:snapToGrid w:val="0"/>
              <w:ind w:left="0" w:leftChars="0" w:right="0" w:rightChars="0"/>
              <w:rPr>
                <w:rFonts w:hint="eastAsia" w:ascii="宋体" w:hAnsi="宋体" w:eastAsia="宋体" w:cs="宋体"/>
                <w:sz w:val="24"/>
                <w:szCs w:val="24"/>
                <w:u w:val="thick"/>
              </w:rPr>
            </w:pPr>
            <w:r>
              <w:rPr>
                <w:rFonts w:hint="eastAsia" w:ascii="宋体" w:hAnsi="宋体" w:eastAsia="宋体" w:cs="宋体"/>
                <w:sz w:val="24"/>
                <w:szCs w:val="24"/>
                <w:lang w:eastAsia="zh-CN"/>
              </w:rPr>
              <w:t>（含</w:t>
            </w:r>
            <w:r>
              <w:rPr>
                <w:rFonts w:hint="eastAsia" w:ascii="宋体" w:hAnsi="宋体" w:eastAsia="宋体" w:cs="宋体"/>
                <w:sz w:val="24"/>
                <w:szCs w:val="24"/>
                <w:lang w:val="en-US" w:eastAsia="zh-CN"/>
              </w:rPr>
              <w:t>C15砼垫层、C25基础地板</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8324" w:type="dxa"/>
            <w:gridSpan w:val="5"/>
          </w:tcPr>
          <w:p>
            <w:pPr>
              <w:pStyle w:val="19"/>
              <w:spacing w:before="5"/>
              <w:rPr>
                <w:rFonts w:hint="eastAsia" w:ascii="宋体" w:hAnsi="宋体" w:eastAsia="宋体" w:cs="宋体"/>
                <w:sz w:val="24"/>
                <w:szCs w:val="24"/>
              </w:rPr>
            </w:pPr>
          </w:p>
          <w:p>
            <w:pPr>
              <w:pStyle w:val="19"/>
              <w:tabs>
                <w:tab w:val="left" w:pos="5643"/>
                <w:tab w:val="left" w:pos="7928"/>
              </w:tabs>
              <w:spacing w:before="1"/>
              <w:ind w:left="831"/>
              <w:rPr>
                <w:rFonts w:hint="eastAsia" w:ascii="宋体" w:hAnsi="宋体" w:eastAsia="宋体" w:cs="宋体"/>
                <w:b/>
                <w:sz w:val="24"/>
                <w:szCs w:val="24"/>
              </w:rPr>
            </w:pPr>
            <w:r>
              <w:rPr>
                <w:rFonts w:hint="eastAsia" w:ascii="宋体" w:hAnsi="宋体" w:eastAsia="宋体" w:cs="宋体"/>
                <w:b/>
                <w:sz w:val="24"/>
                <w:szCs w:val="24"/>
              </w:rPr>
              <w:t>投标报价：(大写)</w:t>
            </w:r>
            <w:r>
              <w:rPr>
                <w:rFonts w:hint="eastAsia" w:ascii="宋体" w:hAnsi="宋体" w:eastAsia="宋体" w:cs="宋体"/>
                <w:b/>
                <w:sz w:val="24"/>
                <w:szCs w:val="24"/>
                <w:u w:val="single"/>
              </w:rPr>
              <w:t>人民币</w:t>
            </w:r>
            <w:r>
              <w:rPr>
                <w:rFonts w:hint="eastAsia" w:ascii="宋体" w:hAnsi="宋体" w:eastAsia="宋体" w:cs="宋体"/>
                <w:b/>
                <w:sz w:val="24"/>
                <w:szCs w:val="24"/>
                <w:u w:val="single"/>
              </w:rPr>
              <w:tab/>
            </w:r>
            <w:r>
              <w:rPr>
                <w:rFonts w:hint="eastAsia" w:ascii="宋体" w:hAnsi="宋体" w:eastAsia="宋体" w:cs="宋体"/>
                <w:b/>
                <w:sz w:val="24"/>
                <w:szCs w:val="24"/>
                <w:u w:val="single"/>
              </w:rPr>
              <w:t>元整</w:t>
            </w:r>
            <w:r>
              <w:rPr>
                <w:rFonts w:hint="eastAsia" w:ascii="宋体" w:hAnsi="宋体" w:eastAsia="宋体" w:cs="宋体"/>
                <w:b/>
                <w:spacing w:val="-2"/>
                <w:sz w:val="24"/>
                <w:szCs w:val="24"/>
                <w:u w:val="single"/>
              </w:rPr>
              <w:t xml:space="preserve"> </w:t>
            </w:r>
            <w:r>
              <w:rPr>
                <w:rFonts w:hint="eastAsia" w:ascii="宋体" w:hAnsi="宋体" w:eastAsia="宋体" w:cs="宋体"/>
                <w:b/>
                <w:sz w:val="24"/>
                <w:szCs w:val="24"/>
                <w:u w:val="single"/>
              </w:rPr>
              <w:t>（￥：</w:t>
            </w:r>
            <w:r>
              <w:rPr>
                <w:rFonts w:hint="eastAsia" w:ascii="宋体" w:hAnsi="宋体" w:eastAsia="宋体" w:cs="宋体"/>
                <w:b/>
                <w:sz w:val="24"/>
                <w:szCs w:val="24"/>
                <w:u w:val="single"/>
              </w:rPr>
              <w:tab/>
            </w:r>
            <w:r>
              <w:rPr>
                <w:rFonts w:hint="eastAsia" w:ascii="宋体" w:hAnsi="宋体" w:eastAsia="宋体" w:cs="宋体"/>
                <w:b/>
                <w:sz w:val="24"/>
                <w:szCs w:val="24"/>
                <w:u w:val="single"/>
              </w:rPr>
              <w:t>）</w:t>
            </w:r>
          </w:p>
        </w:tc>
        <w:tc>
          <w:tcPr>
            <w:tcW w:w="1440" w:type="dxa"/>
          </w:tcPr>
          <w:p>
            <w:pPr>
              <w:pStyle w:val="19"/>
              <w:tabs>
                <w:tab w:val="left" w:pos="5643"/>
                <w:tab w:val="left" w:pos="7928"/>
              </w:tabs>
              <w:spacing w:before="1"/>
              <w:ind w:left="831"/>
              <w:rPr>
                <w:rFonts w:hint="eastAsia" w:ascii="宋体" w:hAnsi="宋体" w:eastAsia="宋体" w:cs="宋体"/>
                <w:b/>
                <w:sz w:val="24"/>
                <w:szCs w:val="24"/>
              </w:rPr>
            </w:pPr>
          </w:p>
        </w:tc>
      </w:tr>
    </w:tbl>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填报要求：</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投标报价</w:t>
      </w:r>
      <w:r>
        <w:rPr>
          <w:rFonts w:hint="eastAsia" w:ascii="宋体" w:hAnsi="宋体" w:eastAsia="宋体" w:cs="宋体"/>
          <w:sz w:val="24"/>
          <w:szCs w:val="24"/>
        </w:rPr>
        <w:t>不得超过</w:t>
      </w:r>
      <w:r>
        <w:rPr>
          <w:rFonts w:hint="eastAsia" w:ascii="宋体" w:hAnsi="宋体" w:eastAsia="宋体" w:cs="宋体"/>
          <w:sz w:val="24"/>
          <w:szCs w:val="24"/>
          <w:lang w:eastAsia="zh-CN"/>
        </w:rPr>
        <w:t>上限</w:t>
      </w:r>
      <w:r>
        <w:rPr>
          <w:rFonts w:hint="eastAsia" w:ascii="宋体" w:hAnsi="宋体" w:eastAsia="宋体" w:cs="宋体"/>
          <w:sz w:val="24"/>
          <w:szCs w:val="24"/>
        </w:rPr>
        <w:t>价。</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2、报价一经涂改，应在涂改处加盖单位公章，或者由法定代表人或授权代理人签名或盖章，否则其投标作无效标处理。</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z w:val="24"/>
          <w:szCs w:val="24"/>
        </w:rPr>
        <w:t>、投标报价应为投标人完成本项目全部内容所需费用的含税价，包括但不限于实</w:t>
      </w:r>
      <w:r>
        <w:rPr>
          <w:rFonts w:hint="eastAsia" w:ascii="宋体" w:hAnsi="宋体" w:eastAsia="宋体" w:cs="宋体"/>
          <w:spacing w:val="-4"/>
          <w:sz w:val="24"/>
          <w:szCs w:val="24"/>
        </w:rPr>
        <w:t>地勘察调查费、人工费、管理费、利润、民工保险、各类税费及采购合同包含的所</w:t>
      </w:r>
      <w:r>
        <w:rPr>
          <w:rFonts w:hint="eastAsia" w:ascii="宋体" w:hAnsi="宋体" w:eastAsia="宋体" w:cs="宋体"/>
          <w:sz w:val="24"/>
          <w:szCs w:val="24"/>
        </w:rPr>
        <w:t>有风险、责任等在合同实施过程中应预见或不可预见费用等。</w:t>
      </w:r>
    </w:p>
    <w:p>
      <w:pPr>
        <w:pStyle w:val="8"/>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法定代表人或代理人（签字或盖章）： </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14</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2" w:firstLineChars="200"/>
        <w:jc w:val="both"/>
        <w:textAlignment w:val="auto"/>
        <w:rPr>
          <w:rFonts w:hint="eastAsia" w:ascii="宋体" w:eastAsia="宋体"/>
          <w:b/>
          <w:sz w:val="28"/>
        </w:rPr>
      </w:pPr>
      <w:r>
        <w:rPr>
          <w:rFonts w:hint="eastAsia" w:ascii="宋体" w:eastAsia="宋体"/>
          <w:b/>
          <w:spacing w:val="0"/>
          <w:sz w:val="28"/>
        </w:rPr>
        <w:t>说明：为确保采购项目顺利进行，已领取招标文件的供应商决定不参加本项目投标时，请于投标截止时间至少 1 个工作日前与我们书面确认（确认函格式如下），可将填写完整的确认函加盖公章后发送至</w:t>
      </w:r>
      <w:r>
        <w:rPr>
          <w:rFonts w:hint="eastAsia" w:ascii="宋体" w:eastAsia="宋体"/>
          <w:b/>
          <w:spacing w:val="0"/>
          <w:sz w:val="28"/>
          <w:lang w:eastAsia="zh-CN"/>
        </w:rPr>
        <w:t>浙江科信联合工程项目管理咨询有限公司</w:t>
      </w:r>
      <w:r>
        <w:rPr>
          <w:rFonts w:hint="eastAsia" w:ascii="宋体" w:eastAsia="宋体"/>
          <w:b/>
          <w:spacing w:val="0"/>
          <w:sz w:val="28"/>
        </w:rPr>
        <w:t>QQ邮箱：</w:t>
      </w:r>
      <w:r>
        <w:rPr>
          <w:spacing w:val="0"/>
        </w:rPr>
        <w:fldChar w:fldCharType="begin"/>
      </w:r>
      <w:r>
        <w:rPr>
          <w:spacing w:val="0"/>
        </w:rPr>
        <w:instrText xml:space="preserve"> HYPERLINK "mailto:532194026@qq.com" \h </w:instrText>
      </w:r>
      <w:r>
        <w:rPr>
          <w:spacing w:val="0"/>
        </w:rPr>
        <w:fldChar w:fldCharType="separate"/>
      </w:r>
      <w:r>
        <w:rPr>
          <w:rFonts w:hint="eastAsia"/>
          <w:b/>
          <w:bCs/>
          <w:spacing w:val="0"/>
          <w:u w:val="single"/>
          <w:lang w:val="en-US" w:eastAsia="zh-CN"/>
        </w:rPr>
        <w:t>1016124308</w:t>
      </w:r>
      <w:r>
        <w:rPr>
          <w:rFonts w:hint="eastAsia" w:ascii="宋体" w:eastAsia="宋体"/>
          <w:b/>
          <w:spacing w:val="0"/>
          <w:sz w:val="28"/>
          <w:u w:val="single"/>
        </w:rPr>
        <w:t>@qq.com</w:t>
      </w:r>
      <w:r>
        <w:rPr>
          <w:rFonts w:hint="eastAsia" w:ascii="宋体" w:eastAsia="宋体"/>
          <w:b/>
          <w:spacing w:val="0"/>
          <w:sz w:val="28"/>
          <w:u w:val="single"/>
        </w:rPr>
        <w:fldChar w:fldCharType="end"/>
      </w:r>
      <w:r>
        <w:rPr>
          <w:rFonts w:hint="eastAsia" w:ascii="宋体" w:eastAsia="宋体"/>
          <w:b/>
          <w:spacing w:val="0"/>
          <w:sz w:val="28"/>
        </w:rPr>
        <w:t>。谢谢配合！</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00" w:firstLineChars="200"/>
        <w:textAlignment w:val="auto"/>
        <w:rPr>
          <w:rFonts w:ascii="宋体"/>
          <w:b/>
          <w:sz w:val="20"/>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720" w:firstLineChars="200"/>
        <w:jc w:val="center"/>
        <w:textAlignment w:val="auto"/>
        <w:rPr>
          <w:sz w:val="36"/>
        </w:rPr>
      </w:pPr>
      <w:r>
        <w:rPr>
          <w:sz w:val="36"/>
        </w:rPr>
        <w:t>确认函</w:t>
      </w:r>
    </w:p>
    <w:p>
      <w:pPr>
        <w:pStyle w:val="7"/>
        <w:rPr>
          <w:sz w:val="48"/>
        </w:rPr>
      </w:pPr>
    </w:p>
    <w:p>
      <w:pPr>
        <w:pStyle w:val="7"/>
        <w:rPr>
          <w:sz w:val="28"/>
        </w:rPr>
      </w:pPr>
    </w:p>
    <w:p>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宋体" w:eastAsia="宋体"/>
          <w:sz w:val="28"/>
        </w:rPr>
      </w:pPr>
      <w:r>
        <w:rPr>
          <w:rFonts w:hint="eastAsia" w:ascii="宋体" w:eastAsia="宋体"/>
          <w:sz w:val="28"/>
          <w:lang w:eastAsia="zh-CN"/>
        </w:rPr>
        <w:t>浙江科信联合工程项目管理咨询有限公司</w:t>
      </w:r>
      <w:r>
        <w:rPr>
          <w:rFonts w:hint="eastAsia" w:ascii="宋体" w:eastAsia="宋体"/>
          <w:sz w:val="28"/>
        </w:rPr>
        <w:t>：</w:t>
      </w:r>
    </w:p>
    <w:p>
      <w:pPr>
        <w:pStyle w:val="7"/>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ascii="宋体"/>
          <w:sz w:val="39"/>
        </w:rPr>
      </w:pPr>
    </w:p>
    <w:p>
      <w:pPr>
        <w:keepNext w:val="0"/>
        <w:keepLines w:val="0"/>
        <w:pageBreakBefore w:val="0"/>
        <w:widowControl w:val="0"/>
        <w:kinsoku/>
        <w:wordWrap/>
        <w:overflowPunct/>
        <w:topLinePunct w:val="0"/>
        <w:autoSpaceDE w:val="0"/>
        <w:autoSpaceDN w:val="0"/>
        <w:bidi w:val="0"/>
        <w:adjustRightInd/>
        <w:snapToGrid/>
        <w:spacing w:before="0" w:line="614" w:lineRule="auto"/>
        <w:ind w:left="0" w:right="0" w:firstLine="967"/>
        <w:jc w:val="left"/>
        <w:textAlignment w:val="auto"/>
        <w:rPr>
          <w:rFonts w:hint="eastAsia" w:ascii="宋体" w:eastAsia="宋体"/>
          <w:sz w:val="28"/>
        </w:rPr>
      </w:pPr>
      <w:r>
        <w:rPr>
          <w:rFonts w:hint="eastAsia" w:ascii="宋体" w:eastAsia="宋体"/>
          <w:sz w:val="28"/>
        </w:rPr>
        <w:t>我公司因原因，对于已获取招标文件的项目（项目编号），现决定自愿放弃参加投标活动。特发函向贵公司确认。</w:t>
      </w:r>
    </w:p>
    <w:p>
      <w:pPr>
        <w:pStyle w:val="7"/>
        <w:rPr>
          <w:rFonts w:ascii="宋体"/>
          <w:sz w:val="28"/>
        </w:rPr>
      </w:pPr>
    </w:p>
    <w:p>
      <w:pPr>
        <w:pStyle w:val="7"/>
        <w:rPr>
          <w:rFonts w:ascii="宋体"/>
          <w:sz w:val="28"/>
        </w:rPr>
      </w:pPr>
    </w:p>
    <w:p>
      <w:pPr>
        <w:pStyle w:val="7"/>
        <w:rPr>
          <w:rFonts w:ascii="宋体"/>
          <w:sz w:val="28"/>
        </w:rPr>
      </w:pPr>
    </w:p>
    <w:p>
      <w:pPr>
        <w:pStyle w:val="7"/>
        <w:rPr>
          <w:rFonts w:ascii="宋体"/>
          <w:sz w:val="28"/>
        </w:rPr>
      </w:pPr>
    </w:p>
    <w:p>
      <w:pPr>
        <w:pStyle w:val="7"/>
        <w:spacing w:before="4"/>
        <w:rPr>
          <w:rFonts w:ascii="宋体"/>
          <w:sz w:val="20"/>
        </w:rPr>
      </w:pPr>
    </w:p>
    <w:p>
      <w:pPr>
        <w:jc w:val="right"/>
        <w:rPr>
          <w:rFonts w:hint="eastAsia" w:ascii="宋体" w:eastAsia="宋体"/>
          <w:sz w:val="28"/>
        </w:rPr>
      </w:pPr>
      <w:r>
        <w:rPr>
          <w:rFonts w:hint="eastAsia" w:ascii="宋体" w:eastAsia="宋体"/>
          <w:sz w:val="28"/>
        </w:rPr>
        <w:t xml:space="preserve">企业名称（盖章）： </w:t>
      </w:r>
    </w:p>
    <w:p>
      <w:pPr>
        <w:jc w:val="center"/>
        <w:rPr>
          <w:rFonts w:hint="default"/>
          <w:lang w:val="en-US" w:eastAsia="zh-CN"/>
        </w:rPr>
      </w:pPr>
      <w:r>
        <w:rPr>
          <w:rFonts w:hint="eastAsia" w:ascii="宋体" w:eastAsia="宋体"/>
          <w:sz w:val="28"/>
          <w:lang w:val="en-US" w:eastAsia="zh-CN"/>
        </w:rPr>
        <w:t xml:space="preserve">                             </w:t>
      </w:r>
      <w:r>
        <w:rPr>
          <w:rFonts w:hint="eastAsia" w:ascii="宋体" w:eastAsia="宋体"/>
          <w:sz w:val="28"/>
        </w:rPr>
        <w:t>日期：</w:t>
      </w:r>
    </w:p>
    <w:p>
      <w:pPr>
        <w:pStyle w:val="6"/>
        <w:spacing w:before="12"/>
        <w:ind w:left="0" w:leftChars="0" w:firstLine="0" w:firstLineChars="0"/>
        <w:jc w:val="right"/>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15</w:t>
      </w:r>
    </w:p>
    <w:p>
      <w:pPr>
        <w:jc w:val="center"/>
        <w:rPr>
          <w:rFonts w:hint="default"/>
          <w:lang w:val="en-US" w:eastAsia="zh-CN"/>
        </w:rPr>
      </w:pPr>
      <w:r>
        <w:rPr>
          <w:rFonts w:hint="eastAsia" w:ascii="宋体" w:hAnsi="宋体" w:eastAsia="宋体" w:cs="宋体"/>
          <w:b/>
          <w:bCs/>
          <w:sz w:val="28"/>
          <w:szCs w:val="28"/>
        </w:rPr>
        <w:t>政府采购活动现场确认声明书</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浙江科信联合工程项目管理咨询有限公司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（采购组织机构名称）：</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 xml:space="preserve">本人经由 </w:t>
      </w:r>
      <w:r>
        <w:rPr>
          <w:rFonts w:ascii="宋体" w:hAnsi="宋体" w:eastAsia="宋体" w:cs="宋体"/>
          <w:spacing w:val="0"/>
          <w:sz w:val="23"/>
          <w:szCs w:val="23"/>
          <w:u w:val="single" w:color="auto"/>
        </w:rPr>
        <w:t xml:space="preserve">                     </w:t>
      </w:r>
      <w:r>
        <w:rPr>
          <w:rFonts w:hint="eastAsia" w:ascii="宋体" w:hAnsi="宋体" w:eastAsia="宋体" w:cs="宋体"/>
          <w:spacing w:val="0"/>
          <w:sz w:val="23"/>
          <w:szCs w:val="23"/>
          <w:u w:val="single" w:color="auto"/>
          <w:lang w:val="en-US" w:eastAsia="zh-CN"/>
        </w:rPr>
        <w:t xml:space="preserve"> </w:t>
      </w:r>
      <w:r>
        <w:rPr>
          <w:rFonts w:ascii="宋体" w:hAnsi="宋体" w:eastAsia="宋体" w:cs="宋体"/>
          <w:spacing w:val="0"/>
          <w:sz w:val="23"/>
          <w:szCs w:val="23"/>
          <w:u w:val="single" w:color="auto"/>
        </w:rPr>
        <w:t xml:space="preserve"> (单位) </w:t>
      </w:r>
      <w:r>
        <w:rPr>
          <w:rFonts w:ascii="宋体" w:hAnsi="宋体" w:eastAsia="宋体" w:cs="宋体"/>
          <w:spacing w:val="0"/>
          <w:sz w:val="23"/>
          <w:szCs w:val="23"/>
        </w:rPr>
        <w:t xml:space="preserve">负责人 </w:t>
      </w:r>
      <w:r>
        <w:rPr>
          <w:rFonts w:ascii="宋体" w:hAnsi="宋体" w:eastAsia="宋体" w:cs="宋体"/>
          <w:spacing w:val="0"/>
          <w:sz w:val="23"/>
          <w:szCs w:val="23"/>
          <w:u w:val="single" w:color="auto"/>
        </w:rPr>
        <w:t xml:space="preserve">              (姓名) </w:t>
      </w:r>
      <w:r>
        <w:rPr>
          <w:rFonts w:ascii="宋体" w:hAnsi="宋体" w:eastAsia="宋体" w:cs="宋体"/>
          <w:spacing w:val="0"/>
          <w:sz w:val="23"/>
          <w:szCs w:val="23"/>
        </w:rPr>
        <w:t>合法授权参加</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项目 (项目编号：</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政府采购活动，经与本单位法人代表 (负责人) 联系确认，现就有关公平竞争事项郑重声明如下：</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0" w:right="0"/>
        <w:textAlignment w:val="auto"/>
        <w:rPr>
          <w:rFonts w:ascii="宋体" w:hAnsi="宋体" w:eastAsia="宋体" w:cs="宋体"/>
          <w:spacing w:val="0"/>
          <w:sz w:val="23"/>
          <w:szCs w:val="23"/>
        </w:rPr>
      </w:pPr>
      <w:r>
        <w:rPr>
          <w:rFonts w:ascii="宋体" w:hAnsi="宋体" w:eastAsia="宋体" w:cs="宋体"/>
          <w:spacing w:val="0"/>
          <w:sz w:val="23"/>
          <w:szCs w:val="23"/>
        </w:rPr>
        <w:t>本单位与采购人之间 □不存在利害关系 □存在下列利害关系</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A.投资关系    B.行政隶属关系    C.业务指导关系</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D.其他可能影响采购公正的利害关系</w:t>
      </w:r>
      <w:r>
        <w:rPr>
          <w:rFonts w:ascii="宋体" w:hAnsi="宋体" w:eastAsia="宋体" w:cs="宋体"/>
          <w:spacing w:val="0"/>
          <w:sz w:val="23"/>
          <w:szCs w:val="23"/>
          <w:u w:val="single" w:color="auto"/>
        </w:rPr>
        <w:t xml:space="preserve"> (如有，请如实说明)      </w:t>
      </w:r>
      <w:r>
        <w:rPr>
          <w:rFonts w:hint="eastAsia" w:ascii="宋体" w:hAnsi="宋体" w:eastAsia="宋体" w:cs="宋体"/>
          <w:spacing w:val="0"/>
          <w:sz w:val="23"/>
          <w:szCs w:val="23"/>
          <w:u w:val="single" w:color="auto"/>
          <w:lang w:val="en-US" w:eastAsia="zh-CN"/>
        </w:rPr>
        <w:t xml:space="preserve"> </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ascii="宋体" w:hAnsi="宋体" w:eastAsia="宋体" w:cs="宋体"/>
          <w:spacing w:val="0"/>
          <w:sz w:val="23"/>
          <w:szCs w:val="23"/>
        </w:rPr>
      </w:pPr>
      <w:r>
        <w:rPr>
          <w:rFonts w:ascii="宋体" w:hAnsi="宋体" w:eastAsia="宋体" w:cs="宋体"/>
          <w:spacing w:val="0"/>
          <w:sz w:val="23"/>
          <w:szCs w:val="23"/>
        </w:rPr>
        <w:t>二、现已清楚知道参加本项目采购活动的其他所有供应商名称，本单位□与其他所有供应商之间均不存在利害关系 □与</w:t>
      </w:r>
      <w:r>
        <w:rPr>
          <w:rFonts w:ascii="宋体" w:hAnsi="宋体" w:eastAsia="宋体" w:cs="宋体"/>
          <w:spacing w:val="0"/>
          <w:sz w:val="23"/>
          <w:szCs w:val="23"/>
          <w:u w:val="single" w:color="auto"/>
        </w:rPr>
        <w:t xml:space="preserve">          (供应商名称) </w:t>
      </w:r>
      <w:r>
        <w:rPr>
          <w:rFonts w:ascii="宋体" w:hAnsi="宋体" w:eastAsia="宋体" w:cs="宋体"/>
          <w:spacing w:val="0"/>
          <w:sz w:val="23"/>
          <w:szCs w:val="23"/>
        </w:rPr>
        <w:t>之间存在下列利害关系</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A.法定代表人或负责人或实际控制人是同一人</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B.法定代表人或负责人或实际控制人是夫妻关系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C.法定代表人或负责人或实际控制人是直系血亲关系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D.法定代表人或负责人或实际控制人存在三代以内旁系血亲关系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E.法定代表人或负责人或实际控制人存在近姻亲关系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F.法定代表人或负责人或实际控制人存在股份控制或实际控制关系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G.存在共同直接或间接投资设立子公司、联营企业和合营企业情况</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H.存在分级代理或代销关系、同一生产制造商关系、管理关系、重要业务 (占主营业务收 入 50%以上) 或重要财务往来关系 (如融资) 等其他实质性控制关系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I.其他利害关系情况</w:t>
      </w:r>
      <w:r>
        <w:rPr>
          <w:rFonts w:ascii="宋体" w:hAnsi="宋体" w:eastAsia="宋体" w:cs="宋体"/>
          <w:spacing w:val="0"/>
          <w:sz w:val="23"/>
          <w:szCs w:val="23"/>
          <w:u w:val="single"/>
        </w:rPr>
        <w:t xml:space="preserve">         </w:t>
      </w:r>
      <w:r>
        <w:rPr>
          <w:rFonts w:hint="eastAsia" w:ascii="宋体" w:hAnsi="宋体" w:eastAsia="宋体" w:cs="宋体"/>
          <w:spacing w:val="0"/>
          <w:sz w:val="23"/>
          <w:szCs w:val="23"/>
          <w:u w:val="single"/>
          <w:lang w:val="en-US" w:eastAsia="zh-CN"/>
        </w:rPr>
        <w:t xml:space="preserve">     </w:t>
      </w:r>
      <w:r>
        <w:rPr>
          <w:rFonts w:ascii="宋体" w:hAnsi="宋体" w:eastAsia="宋体" w:cs="宋体"/>
          <w:spacing w:val="0"/>
          <w:sz w:val="23"/>
          <w:szCs w:val="23"/>
          <w:u w:val="single"/>
        </w:rPr>
        <w:t xml:space="preserve">                                    </w:t>
      </w:r>
      <w:r>
        <w:rPr>
          <w:rFonts w:ascii="宋体" w:hAnsi="宋体" w:eastAsia="宋体" w:cs="宋体"/>
          <w:spacing w:val="0"/>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rFonts w:ascii="宋体" w:hAnsi="宋体" w:eastAsia="宋体" w:cs="宋体"/>
          <w:spacing w:val="0"/>
          <w:sz w:val="23"/>
          <w:szCs w:val="23"/>
        </w:rPr>
      </w:pPr>
      <w:r>
        <w:rPr>
          <w:rFonts w:ascii="宋体" w:hAnsi="宋体" w:eastAsia="宋体" w:cs="宋体"/>
          <w:spacing w:val="0"/>
          <w:position w:val="1"/>
          <w:sz w:val="23"/>
          <w:szCs w:val="23"/>
        </w:rPr>
        <w:t>三、现已清楚知道并严格遵守政府采购法律法规和现场纪律。</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ascii="宋体" w:hAnsi="宋体" w:eastAsia="宋体" w:cs="宋体"/>
          <w:spacing w:val="0"/>
          <w:sz w:val="23"/>
          <w:szCs w:val="23"/>
        </w:rPr>
      </w:pPr>
      <w:r>
        <w:rPr>
          <w:rFonts w:ascii="宋体" w:hAnsi="宋体" w:eastAsia="宋体" w:cs="宋体"/>
          <w:spacing w:val="0"/>
          <w:sz w:val="23"/>
          <w:szCs w:val="23"/>
        </w:rPr>
        <w:t>四、我发现</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供应商之间存在或可能存在上述第二条第</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项利害关系。</w:t>
      </w:r>
    </w:p>
    <w:p>
      <w:pPr>
        <w:keepNext w:val="0"/>
        <w:keepLines w:val="0"/>
        <w:pageBreakBefore w:val="0"/>
        <w:widowControl w:val="0"/>
        <w:kinsoku/>
        <w:wordWrap/>
        <w:overflowPunct/>
        <w:topLinePunct w:val="0"/>
        <w:autoSpaceDE w:val="0"/>
        <w:autoSpaceDN w:val="0"/>
        <w:bidi w:val="0"/>
        <w:adjustRightInd/>
        <w:snapToGrid/>
        <w:spacing w:before="0" w:line="360" w:lineRule="auto"/>
        <w:jc w:val="right"/>
        <w:textAlignment w:val="auto"/>
        <w:rPr>
          <w:rFonts w:ascii="宋体" w:hAnsi="宋体" w:eastAsia="宋体" w:cs="宋体"/>
          <w:spacing w:val="17"/>
          <w:sz w:val="23"/>
          <w:szCs w:val="23"/>
        </w:rPr>
      </w:pPr>
    </w:p>
    <w:p>
      <w:pPr>
        <w:keepNext w:val="0"/>
        <w:keepLines w:val="0"/>
        <w:pageBreakBefore w:val="0"/>
        <w:widowControl w:val="0"/>
        <w:kinsoku/>
        <w:wordWrap/>
        <w:overflowPunct/>
        <w:topLinePunct w:val="0"/>
        <w:autoSpaceDE w:val="0"/>
        <w:autoSpaceDN w:val="0"/>
        <w:bidi w:val="0"/>
        <w:adjustRightInd/>
        <w:snapToGrid/>
        <w:spacing w:before="0" w:line="360" w:lineRule="auto"/>
        <w:jc w:val="right"/>
        <w:textAlignment w:val="auto"/>
        <w:rPr>
          <w:rFonts w:ascii="宋体" w:hAnsi="宋体" w:eastAsia="宋体" w:cs="宋体"/>
          <w:sz w:val="23"/>
          <w:szCs w:val="23"/>
        </w:rPr>
      </w:pPr>
      <w:r>
        <w:rPr>
          <w:rFonts w:ascii="宋体" w:hAnsi="宋体" w:eastAsia="宋体" w:cs="宋体"/>
          <w:spacing w:val="17"/>
          <w:sz w:val="23"/>
          <w:szCs w:val="23"/>
        </w:rPr>
        <w:t xml:space="preserve">(供应商代表签名) </w:t>
      </w:r>
      <w:r>
        <w:rPr>
          <w:rFonts w:ascii="宋体" w:hAnsi="宋体" w:eastAsia="宋体" w:cs="宋体"/>
          <w:spacing w:val="15"/>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jc w:val="right"/>
        <w:textAlignment w:val="auto"/>
        <w:rPr>
          <w:rFonts w:hint="eastAsia" w:ascii="宋体" w:hAnsi="宋体" w:eastAsia="宋体" w:cs="宋体"/>
          <w:spacing w:val="-1"/>
          <w:sz w:val="23"/>
          <w:szCs w:val="23"/>
          <w:lang w:val="en-US" w:eastAsia="zh-CN"/>
        </w:rPr>
      </w:pPr>
      <w:r>
        <w:rPr>
          <w:rFonts w:ascii="宋体" w:hAnsi="宋体" w:eastAsia="宋体" w:cs="宋体"/>
          <w:spacing w:val="-2"/>
          <w:sz w:val="23"/>
          <w:szCs w:val="23"/>
        </w:rPr>
        <w:t xml:space="preserve">日期： </w:t>
      </w:r>
      <w:r>
        <w:rPr>
          <w:rFonts w:ascii="宋体" w:hAnsi="宋体" w:eastAsia="宋体" w:cs="宋体"/>
          <w:spacing w:val="-1"/>
          <w:sz w:val="23"/>
          <w:szCs w:val="23"/>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0"/>
      <w:numFmt w:val="bullet"/>
      <w:lvlText w:val="□"/>
      <w:lvlJc w:val="left"/>
      <w:pPr>
        <w:ind w:left="259" w:hanging="152"/>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52"/>
      </w:pPr>
      <w:rPr>
        <w:rFonts w:hint="default"/>
        <w:lang w:val="zh-CN" w:eastAsia="zh-CN" w:bidi="zh-CN"/>
      </w:rPr>
    </w:lvl>
    <w:lvl w:ilvl="2" w:tentative="0">
      <w:start w:val="0"/>
      <w:numFmt w:val="bullet"/>
      <w:lvlText w:val="•"/>
      <w:lvlJc w:val="left"/>
      <w:pPr>
        <w:ind w:left="465" w:hanging="152"/>
      </w:pPr>
      <w:rPr>
        <w:rFonts w:hint="default"/>
        <w:lang w:val="zh-CN" w:eastAsia="zh-CN" w:bidi="zh-CN"/>
      </w:rPr>
    </w:lvl>
    <w:lvl w:ilvl="3" w:tentative="0">
      <w:start w:val="0"/>
      <w:numFmt w:val="bullet"/>
      <w:lvlText w:val="•"/>
      <w:lvlJc w:val="left"/>
      <w:pPr>
        <w:ind w:left="567" w:hanging="152"/>
      </w:pPr>
      <w:rPr>
        <w:rFonts w:hint="default"/>
        <w:lang w:val="zh-CN" w:eastAsia="zh-CN" w:bidi="zh-CN"/>
      </w:rPr>
    </w:lvl>
    <w:lvl w:ilvl="4" w:tentative="0">
      <w:start w:val="0"/>
      <w:numFmt w:val="bullet"/>
      <w:lvlText w:val="•"/>
      <w:lvlJc w:val="left"/>
      <w:pPr>
        <w:ind w:left="670" w:hanging="152"/>
      </w:pPr>
      <w:rPr>
        <w:rFonts w:hint="default"/>
        <w:lang w:val="zh-CN" w:eastAsia="zh-CN" w:bidi="zh-CN"/>
      </w:rPr>
    </w:lvl>
    <w:lvl w:ilvl="5" w:tentative="0">
      <w:start w:val="0"/>
      <w:numFmt w:val="bullet"/>
      <w:lvlText w:val="•"/>
      <w:lvlJc w:val="left"/>
      <w:pPr>
        <w:ind w:left="772" w:hanging="152"/>
      </w:pPr>
      <w:rPr>
        <w:rFonts w:hint="default"/>
        <w:lang w:val="zh-CN" w:eastAsia="zh-CN" w:bidi="zh-CN"/>
      </w:rPr>
    </w:lvl>
    <w:lvl w:ilvl="6" w:tentative="0">
      <w:start w:val="0"/>
      <w:numFmt w:val="bullet"/>
      <w:lvlText w:val="•"/>
      <w:lvlJc w:val="left"/>
      <w:pPr>
        <w:ind w:left="875" w:hanging="152"/>
      </w:pPr>
      <w:rPr>
        <w:rFonts w:hint="default"/>
        <w:lang w:val="zh-CN" w:eastAsia="zh-CN" w:bidi="zh-CN"/>
      </w:rPr>
    </w:lvl>
    <w:lvl w:ilvl="7" w:tentative="0">
      <w:start w:val="0"/>
      <w:numFmt w:val="bullet"/>
      <w:lvlText w:val="•"/>
      <w:lvlJc w:val="left"/>
      <w:pPr>
        <w:ind w:left="977" w:hanging="152"/>
      </w:pPr>
      <w:rPr>
        <w:rFonts w:hint="default"/>
        <w:lang w:val="zh-CN" w:eastAsia="zh-CN" w:bidi="zh-CN"/>
      </w:rPr>
    </w:lvl>
    <w:lvl w:ilvl="8" w:tentative="0">
      <w:start w:val="0"/>
      <w:numFmt w:val="bullet"/>
      <w:lvlText w:val="•"/>
      <w:lvlJc w:val="left"/>
      <w:pPr>
        <w:ind w:left="1080" w:hanging="152"/>
      </w:pPr>
      <w:rPr>
        <w:rFonts w:hint="default"/>
        <w:lang w:val="zh-CN" w:eastAsia="zh-CN" w:bidi="zh-CN"/>
      </w:rPr>
    </w:lvl>
  </w:abstractNum>
  <w:abstractNum w:abstractNumId="1">
    <w:nsid w:val="D17C2199"/>
    <w:multiLevelType w:val="singleLevel"/>
    <w:tmpl w:val="D17C2199"/>
    <w:lvl w:ilvl="0" w:tentative="0">
      <w:start w:val="1"/>
      <w:numFmt w:val="decimal"/>
      <w:lvlText w:val="%1."/>
      <w:lvlJc w:val="left"/>
      <w:pPr>
        <w:tabs>
          <w:tab w:val="left" w:pos="312"/>
        </w:tabs>
      </w:pPr>
    </w:lvl>
  </w:abstractNum>
  <w:abstractNum w:abstractNumId="2">
    <w:nsid w:val="01BB6E73"/>
    <w:multiLevelType w:val="singleLevel"/>
    <w:tmpl w:val="01BB6E73"/>
    <w:lvl w:ilvl="0" w:tentative="0">
      <w:start w:val="1"/>
      <w:numFmt w:val="decimal"/>
      <w:lvlText w:val="%1."/>
      <w:lvlJc w:val="left"/>
      <w:pPr>
        <w:tabs>
          <w:tab w:val="left" w:pos="312"/>
        </w:tabs>
      </w:pPr>
    </w:lvl>
  </w:abstractNum>
  <w:abstractNum w:abstractNumId="3">
    <w:nsid w:val="0A180481"/>
    <w:multiLevelType w:val="singleLevel"/>
    <w:tmpl w:val="0A180481"/>
    <w:lvl w:ilvl="0" w:tentative="0">
      <w:start w:val="2"/>
      <w:numFmt w:val="chineseCounting"/>
      <w:suff w:val="nothing"/>
      <w:lvlText w:val="（%1）"/>
      <w:lvlJc w:val="left"/>
      <w:rPr>
        <w:rFonts w:hint="eastAsia"/>
      </w:rPr>
    </w:lvl>
  </w:abstractNum>
  <w:abstractNum w:abstractNumId="4">
    <w:nsid w:val="0F9CC7AC"/>
    <w:multiLevelType w:val="singleLevel"/>
    <w:tmpl w:val="0F9CC7AC"/>
    <w:lvl w:ilvl="0" w:tentative="0">
      <w:start w:val="3"/>
      <w:numFmt w:val="decimal"/>
      <w:suff w:val="nothing"/>
      <w:lvlText w:val="%1、"/>
      <w:lvlJc w:val="left"/>
    </w:lvl>
  </w:abstractNum>
  <w:abstractNum w:abstractNumId="5">
    <w:nsid w:val="6AA50D93"/>
    <w:multiLevelType w:val="singleLevel"/>
    <w:tmpl w:val="6AA50D93"/>
    <w:lvl w:ilvl="0" w:tentative="0">
      <w:start w:val="1"/>
      <w:numFmt w:val="chineseCounting"/>
      <w:suff w:val="nothing"/>
      <w:lvlText w:val="%1、"/>
      <w:lvlJc w:val="left"/>
      <w:rPr>
        <w:rFonts w:hint="eastAsia"/>
      </w:rPr>
    </w:lvl>
  </w:abstractNum>
  <w:abstractNum w:abstractNumId="6">
    <w:nsid w:val="7CE65CF4"/>
    <w:multiLevelType w:val="singleLevel"/>
    <w:tmpl w:val="7CE65CF4"/>
    <w:lvl w:ilvl="0" w:tentative="0">
      <w:start w:val="1"/>
      <w:numFmt w:val="chineseCounting"/>
      <w:suff w:val="nothing"/>
      <w:lvlText w:val="%1、"/>
      <w:lvlJc w:val="left"/>
      <w:rPr>
        <w:rFonts w:hint="eastAsia"/>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TFmZGQ3NDA1ZDFmNTI5YmYyMmI0NzQ4OGMzMDAifQ=="/>
  </w:docVars>
  <w:rsids>
    <w:rsidRoot w:val="00000000"/>
    <w:rsid w:val="005D4603"/>
    <w:rsid w:val="00661C58"/>
    <w:rsid w:val="006D0CE9"/>
    <w:rsid w:val="024A5132"/>
    <w:rsid w:val="02E23ECA"/>
    <w:rsid w:val="040C0819"/>
    <w:rsid w:val="041C5BB9"/>
    <w:rsid w:val="06127C3D"/>
    <w:rsid w:val="06782196"/>
    <w:rsid w:val="08094F4A"/>
    <w:rsid w:val="087A77E0"/>
    <w:rsid w:val="08A54B35"/>
    <w:rsid w:val="08DF53EC"/>
    <w:rsid w:val="0A1E4E32"/>
    <w:rsid w:val="0B7D1945"/>
    <w:rsid w:val="0B9F6417"/>
    <w:rsid w:val="0C517711"/>
    <w:rsid w:val="0D444548"/>
    <w:rsid w:val="0D482190"/>
    <w:rsid w:val="0EC45B1A"/>
    <w:rsid w:val="103069CC"/>
    <w:rsid w:val="122D46DF"/>
    <w:rsid w:val="12CC7AF2"/>
    <w:rsid w:val="12F74B23"/>
    <w:rsid w:val="138D64C6"/>
    <w:rsid w:val="13DC3A1A"/>
    <w:rsid w:val="16A50D85"/>
    <w:rsid w:val="16FE1043"/>
    <w:rsid w:val="17263548"/>
    <w:rsid w:val="18B26DE6"/>
    <w:rsid w:val="1A321EF1"/>
    <w:rsid w:val="1AB660BC"/>
    <w:rsid w:val="1BBD1F89"/>
    <w:rsid w:val="1D8A2A83"/>
    <w:rsid w:val="1D947DCB"/>
    <w:rsid w:val="206A094A"/>
    <w:rsid w:val="21730B40"/>
    <w:rsid w:val="245B6F27"/>
    <w:rsid w:val="24F353B2"/>
    <w:rsid w:val="253D487F"/>
    <w:rsid w:val="25D2075A"/>
    <w:rsid w:val="269D6920"/>
    <w:rsid w:val="27260977"/>
    <w:rsid w:val="272C5958"/>
    <w:rsid w:val="294C49D8"/>
    <w:rsid w:val="2B715282"/>
    <w:rsid w:val="2D621D0B"/>
    <w:rsid w:val="31BB4B7F"/>
    <w:rsid w:val="31E879F3"/>
    <w:rsid w:val="321A79CD"/>
    <w:rsid w:val="324E3C27"/>
    <w:rsid w:val="32ED1692"/>
    <w:rsid w:val="38333699"/>
    <w:rsid w:val="38B80997"/>
    <w:rsid w:val="3A1C0240"/>
    <w:rsid w:val="3B04743C"/>
    <w:rsid w:val="3B423F8B"/>
    <w:rsid w:val="3CC80A7A"/>
    <w:rsid w:val="3D1E069A"/>
    <w:rsid w:val="3D705966"/>
    <w:rsid w:val="3D711112"/>
    <w:rsid w:val="3DBE59C0"/>
    <w:rsid w:val="3DE17A5E"/>
    <w:rsid w:val="3F666289"/>
    <w:rsid w:val="40C275B9"/>
    <w:rsid w:val="41F63994"/>
    <w:rsid w:val="42167715"/>
    <w:rsid w:val="430A7932"/>
    <w:rsid w:val="432F000C"/>
    <w:rsid w:val="43870C8E"/>
    <w:rsid w:val="439600AA"/>
    <w:rsid w:val="452C5B18"/>
    <w:rsid w:val="46F36279"/>
    <w:rsid w:val="4C9B473E"/>
    <w:rsid w:val="4D5723DA"/>
    <w:rsid w:val="4D7C5F80"/>
    <w:rsid w:val="4DBB3A5D"/>
    <w:rsid w:val="4F260E49"/>
    <w:rsid w:val="4F29408C"/>
    <w:rsid w:val="4F4977CB"/>
    <w:rsid w:val="4FF57980"/>
    <w:rsid w:val="50940F47"/>
    <w:rsid w:val="51312C3A"/>
    <w:rsid w:val="54C6730F"/>
    <w:rsid w:val="564231F4"/>
    <w:rsid w:val="57664CC0"/>
    <w:rsid w:val="58623FD0"/>
    <w:rsid w:val="5B721E85"/>
    <w:rsid w:val="5B8B1AB5"/>
    <w:rsid w:val="5C650CB7"/>
    <w:rsid w:val="5E056FE1"/>
    <w:rsid w:val="5F0F3A2C"/>
    <w:rsid w:val="60432297"/>
    <w:rsid w:val="60A85DAF"/>
    <w:rsid w:val="613332DD"/>
    <w:rsid w:val="62A276BA"/>
    <w:rsid w:val="62FC31F5"/>
    <w:rsid w:val="63221903"/>
    <w:rsid w:val="64456288"/>
    <w:rsid w:val="648064C6"/>
    <w:rsid w:val="65757142"/>
    <w:rsid w:val="665F1D29"/>
    <w:rsid w:val="66DA604C"/>
    <w:rsid w:val="675843DE"/>
    <w:rsid w:val="68555008"/>
    <w:rsid w:val="69801C11"/>
    <w:rsid w:val="69D0221D"/>
    <w:rsid w:val="6D5C2995"/>
    <w:rsid w:val="6D65184A"/>
    <w:rsid w:val="6DC742B3"/>
    <w:rsid w:val="6EF27E40"/>
    <w:rsid w:val="70027824"/>
    <w:rsid w:val="7007308C"/>
    <w:rsid w:val="70B61111"/>
    <w:rsid w:val="70CE1AEF"/>
    <w:rsid w:val="72FF629D"/>
    <w:rsid w:val="74714F78"/>
    <w:rsid w:val="74A07E66"/>
    <w:rsid w:val="752E4E16"/>
    <w:rsid w:val="75EB0D5A"/>
    <w:rsid w:val="76BE4303"/>
    <w:rsid w:val="76CC4DC1"/>
    <w:rsid w:val="787F4EDA"/>
    <w:rsid w:val="7B7E3CA4"/>
    <w:rsid w:val="7B86755B"/>
    <w:rsid w:val="7E545571"/>
    <w:rsid w:val="7EE854C2"/>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3">
    <w:name w:val="heading 1"/>
    <w:basedOn w:val="1"/>
    <w:next w:val="1"/>
    <w:qFormat/>
    <w:uiPriority w:val="1"/>
    <w:pPr>
      <w:ind w:left="1099"/>
      <w:outlineLvl w:val="1"/>
    </w:pPr>
    <w:rPr>
      <w:rFonts w:ascii="微软雅黑" w:hAnsi="微软雅黑" w:eastAsia="微软雅黑" w:cs="微软雅黑"/>
      <w:b/>
      <w:bCs/>
      <w:sz w:val="44"/>
      <w:szCs w:val="44"/>
      <w:lang w:val="zh-CN" w:eastAsia="zh-CN" w:bidi="zh-CN"/>
    </w:rPr>
  </w:style>
  <w:style w:type="paragraph" w:styleId="4">
    <w:name w:val="heading 2"/>
    <w:basedOn w:val="1"/>
    <w:next w:val="1"/>
    <w:qFormat/>
    <w:uiPriority w:val="1"/>
    <w:pPr>
      <w:jc w:val="center"/>
      <w:outlineLvl w:val="2"/>
    </w:pPr>
    <w:rPr>
      <w:rFonts w:ascii="微软雅黑" w:hAnsi="微软雅黑" w:eastAsia="微软雅黑" w:cs="微软雅黑"/>
      <w:b/>
      <w:bCs/>
      <w:sz w:val="36"/>
      <w:szCs w:val="36"/>
      <w:lang w:val="zh-CN" w:eastAsia="zh-CN" w:bidi="zh-CN"/>
    </w:rPr>
  </w:style>
  <w:style w:type="paragraph" w:styleId="5">
    <w:name w:val="heading 3"/>
    <w:basedOn w:val="1"/>
    <w:next w:val="1"/>
    <w:qFormat/>
    <w:uiPriority w:val="1"/>
    <w:pPr>
      <w:ind w:left="1099"/>
      <w:outlineLvl w:val="3"/>
    </w:pPr>
    <w:rPr>
      <w:rFonts w:ascii="微软雅黑" w:hAnsi="微软雅黑" w:eastAsia="微软雅黑" w:cs="微软雅黑"/>
      <w:b/>
      <w:bCs/>
      <w:sz w:val="32"/>
      <w:szCs w:val="32"/>
      <w:lang w:val="zh-CN" w:eastAsia="zh-CN" w:bidi="zh-CN"/>
    </w:rPr>
  </w:style>
  <w:style w:type="paragraph" w:styleId="6">
    <w:name w:val="heading 4"/>
    <w:basedOn w:val="1"/>
    <w:next w:val="1"/>
    <w:qFormat/>
    <w:uiPriority w:val="1"/>
    <w:pPr>
      <w:ind w:left="652"/>
      <w:outlineLvl w:val="4"/>
    </w:pPr>
    <w:rPr>
      <w:rFonts w:ascii="微软雅黑" w:hAnsi="微软雅黑" w:eastAsia="微软雅黑" w:cs="微软雅黑"/>
      <w:b/>
      <w:bCs/>
      <w:sz w:val="24"/>
      <w:szCs w:val="24"/>
      <w:lang w:val="zh-CN" w:eastAsia="zh-CN" w:bidi="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eastAsia="宋体" w:cs="Times New Roman"/>
      <w:b/>
      <w:color w:val="000000"/>
      <w:kern w:val="0"/>
      <w:sz w:val="32"/>
      <w:szCs w:val="32"/>
    </w:rPr>
  </w:style>
  <w:style w:type="paragraph" w:styleId="7">
    <w:name w:val="Body Text"/>
    <w:basedOn w:val="1"/>
    <w:next w:val="8"/>
    <w:qFormat/>
    <w:uiPriority w:val="1"/>
    <w:rPr>
      <w:rFonts w:ascii="微软雅黑" w:hAnsi="微软雅黑" w:eastAsia="微软雅黑" w:cs="微软雅黑"/>
      <w:sz w:val="24"/>
      <w:szCs w:val="24"/>
      <w:lang w:val="zh-CN" w:eastAsia="zh-CN" w:bidi="zh-CN"/>
    </w:rPr>
  </w:style>
  <w:style w:type="paragraph" w:styleId="8">
    <w:name w:val="Body Text First Indent"/>
    <w:basedOn w:val="7"/>
    <w:next w:val="9"/>
    <w:unhideWhenUsed/>
    <w:qFormat/>
    <w:uiPriority w:val="0"/>
    <w:pPr>
      <w:ind w:firstLine="420" w:firstLineChars="100"/>
    </w:pPr>
  </w:style>
  <w:style w:type="paragraph" w:styleId="9">
    <w:name w:val="toc 6"/>
    <w:basedOn w:val="1"/>
    <w:next w:val="1"/>
    <w:qFormat/>
    <w:uiPriority w:val="39"/>
    <w:pPr>
      <w:ind w:left="2100" w:leftChars="1000"/>
    </w:pPr>
  </w:style>
  <w:style w:type="paragraph" w:styleId="10">
    <w:name w:val="Body Text Indent"/>
    <w:basedOn w:val="1"/>
    <w:next w:val="1"/>
    <w:qFormat/>
    <w:uiPriority w:val="0"/>
    <w:pPr>
      <w:spacing w:after="120"/>
      <w:ind w:left="420" w:leftChars="200"/>
    </w:pPr>
    <w:rPr>
      <w:rFonts w:ascii="Times New Roman" w:hAnsi="Times New Roman" w:eastAsia="宋体" w:cs="Times New Roman"/>
    </w:rPr>
  </w:style>
  <w:style w:type="paragraph" w:styleId="11">
    <w:name w:val="Plain Text"/>
    <w:basedOn w:val="1"/>
    <w:next w:val="12"/>
    <w:qFormat/>
    <w:uiPriority w:val="99"/>
    <w:rPr>
      <w:rFonts w:ascii="宋体" w:hAnsi="Courier New" w:cs="宋体"/>
    </w:rPr>
  </w:style>
  <w:style w:type="paragraph" w:styleId="12">
    <w:name w:val="Date"/>
    <w:basedOn w:val="1"/>
    <w:next w:val="1"/>
    <w:qFormat/>
    <w:uiPriority w:val="0"/>
    <w:pPr>
      <w:widowControl w:val="0"/>
      <w:autoSpaceDE/>
      <w:autoSpaceDN/>
      <w:spacing w:before="0" w:after="0" w:line="240" w:lineRule="auto"/>
      <w:ind w:left="0" w:firstLine="0"/>
      <w:jc w:val="both"/>
    </w:pPr>
    <w:rPr>
      <w:rFonts w:eastAsia="楷体_GB2312"/>
      <w:sz w:val="32"/>
    </w:rPr>
  </w:style>
  <w:style w:type="paragraph" w:styleId="13">
    <w:name w:val="footer"/>
    <w:basedOn w:val="1"/>
    <w:qFormat/>
    <w:uiPriority w:val="0"/>
    <w:pPr>
      <w:tabs>
        <w:tab w:val="center" w:pos="4153"/>
        <w:tab w:val="right" w:pos="8306"/>
      </w:tabs>
      <w:snapToGrid w:val="0"/>
      <w:jc w:val="left"/>
    </w:pPr>
    <w:rPr>
      <w:sz w:val="18"/>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1"/>
    <w:pPr>
      <w:ind w:left="652"/>
    </w:pPr>
    <w:rPr>
      <w:rFonts w:ascii="微软雅黑" w:hAnsi="微软雅黑" w:eastAsia="微软雅黑" w:cs="微软雅黑"/>
      <w:lang w:val="zh-CN" w:eastAsia="zh-CN" w:bidi="zh-CN"/>
    </w:rPr>
  </w:style>
  <w:style w:type="paragraph" w:customStyle="1" w:styleId="19">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25373</Words>
  <Characters>26659</Characters>
  <Lines>0</Lines>
  <Paragraphs>0</Paragraphs>
  <TotalTime>138</TotalTime>
  <ScaleCrop>false</ScaleCrop>
  <LinksUpToDate>false</LinksUpToDate>
  <CharactersWithSpaces>27908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2022-06-07T01:29:00Z</dcterms:created>
  <dc:creator>Administrator</dc:creator>
  <cp:lastModifiedBy>王玺量</cp:lastModifiedBy>
  <dcterms:modified xsi:type="dcterms:W3CDTF">2022-06-15T06:29:38Z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4937A25EA01D45569B309EC273864060</vt:lpwstr>
  </property>
</Properties>
</file>