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spacing w:before="1"/>
        <w:rPr>
          <w:rFonts w:ascii="Times New Roman"/>
          <w:sz w:val="17"/>
        </w:rPr>
      </w:pPr>
    </w:p>
    <w:p>
      <w:pPr>
        <w:spacing w:before="38"/>
        <w:ind w:left="1644" w:right="0" w:firstLine="0"/>
        <w:jc w:val="left"/>
        <w:rPr>
          <w:b/>
          <w:sz w:val="44"/>
        </w:rPr>
      </w:pPr>
      <w:bookmarkStart w:id="0" w:name="温岭市温峤镇新区道路环卫保洁项目采购"/>
      <w:bookmarkEnd w:id="0"/>
      <w:r>
        <w:rPr>
          <w:rFonts w:hint="eastAsia"/>
          <w:b/>
          <w:sz w:val="44"/>
          <w:lang w:eastAsia="zh-CN"/>
        </w:rPr>
        <w:t>温岭市滨海镇环卫保洁及垃圾清运项目</w:t>
      </w:r>
      <w:r>
        <w:rPr>
          <w:b/>
          <w:sz w:val="44"/>
        </w:rPr>
        <w:t>采购</w:t>
      </w:r>
    </w:p>
    <w:p>
      <w:pPr>
        <w:pStyle w:val="8"/>
        <w:rPr>
          <w:b/>
          <w:sz w:val="28"/>
        </w:rPr>
      </w:pPr>
    </w:p>
    <w:p>
      <w:pPr>
        <w:pStyle w:val="8"/>
        <w:rPr>
          <w:b/>
          <w:sz w:val="28"/>
        </w:rPr>
      </w:pPr>
    </w:p>
    <w:p>
      <w:pPr>
        <w:pStyle w:val="8"/>
        <w:rPr>
          <w:b/>
          <w:sz w:val="28"/>
        </w:rPr>
      </w:pPr>
    </w:p>
    <w:p>
      <w:pPr>
        <w:pStyle w:val="8"/>
        <w:spacing w:before="6"/>
        <w:rPr>
          <w:b/>
          <w:sz w:val="31"/>
        </w:rPr>
      </w:pPr>
    </w:p>
    <w:p>
      <w:pPr>
        <w:spacing w:before="0"/>
        <w:ind w:left="0" w:right="387" w:firstLine="0"/>
        <w:jc w:val="center"/>
        <w:rPr>
          <w:b/>
          <w:sz w:val="52"/>
        </w:rPr>
      </w:pPr>
      <w:r>
        <w:rPr>
          <w:b/>
          <w:sz w:val="52"/>
        </w:rPr>
        <w:t>招 标 文 件</w:t>
      </w:r>
    </w:p>
    <w:p>
      <w:pPr>
        <w:pStyle w:val="8"/>
        <w:rPr>
          <w:b/>
          <w:sz w:val="52"/>
        </w:rPr>
      </w:pPr>
    </w:p>
    <w:p>
      <w:pPr>
        <w:pStyle w:val="8"/>
        <w:spacing w:before="2"/>
        <w:rPr>
          <w:b/>
          <w:sz w:val="46"/>
        </w:rPr>
      </w:pPr>
    </w:p>
    <w:p>
      <w:pPr>
        <w:spacing w:before="0"/>
        <w:ind w:left="0" w:right="17" w:firstLine="0"/>
        <w:jc w:val="center"/>
        <w:rPr>
          <w:rFonts w:hint="default" w:eastAsia="宋体"/>
          <w:sz w:val="32"/>
          <w:lang w:val="en-US" w:eastAsia="zh-CN"/>
        </w:rPr>
      </w:pPr>
      <w:r>
        <w:rPr>
          <w:sz w:val="32"/>
        </w:rPr>
        <w:t>项目编号：</w:t>
      </w:r>
      <w:r>
        <w:rPr>
          <w:rFonts w:hint="eastAsia"/>
          <w:sz w:val="32"/>
          <w:lang w:eastAsia="zh-CN"/>
        </w:rPr>
        <w:t>ZJKX－WLCG－202</w:t>
      </w:r>
      <w:r>
        <w:rPr>
          <w:rFonts w:hint="eastAsia"/>
          <w:sz w:val="32"/>
          <w:lang w:val="en-US" w:eastAsia="zh-CN"/>
        </w:rPr>
        <w:t>1</w:t>
      </w:r>
      <w:r>
        <w:rPr>
          <w:rFonts w:hint="eastAsia"/>
          <w:sz w:val="32"/>
          <w:lang w:eastAsia="zh-CN"/>
        </w:rPr>
        <w:t>－0</w:t>
      </w:r>
      <w:r>
        <w:rPr>
          <w:rFonts w:hint="eastAsia"/>
          <w:sz w:val="32"/>
          <w:lang w:val="en-US" w:eastAsia="zh-CN"/>
        </w:rPr>
        <w:t>21</w:t>
      </w:r>
    </w:p>
    <w:p>
      <w:pPr>
        <w:spacing w:before="0"/>
        <w:ind w:left="0" w:right="17" w:firstLine="0"/>
        <w:jc w:val="center"/>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7"/>
        <w:rPr>
          <w:sz w:val="36"/>
        </w:rPr>
      </w:pPr>
    </w:p>
    <w:p>
      <w:pPr>
        <w:keepNext w:val="0"/>
        <w:keepLines w:val="0"/>
        <w:pageBreakBefore w:val="0"/>
        <w:widowControl w:val="0"/>
        <w:tabs>
          <w:tab w:val="left" w:pos="5014"/>
        </w:tabs>
        <w:kinsoku/>
        <w:wordWrap/>
        <w:overflowPunct/>
        <w:topLinePunct w:val="0"/>
        <w:autoSpaceDE w:val="0"/>
        <w:autoSpaceDN w:val="0"/>
        <w:bidi w:val="0"/>
        <w:adjustRightInd/>
        <w:snapToGrid/>
        <w:spacing w:before="0" w:line="360" w:lineRule="auto"/>
        <w:ind w:right="0" w:firstLine="1280" w:firstLineChars="400"/>
        <w:jc w:val="left"/>
        <w:textAlignment w:val="auto"/>
        <w:rPr>
          <w:sz w:val="32"/>
        </w:rPr>
      </w:pPr>
      <w:r>
        <w:rPr>
          <w:sz w:val="32"/>
        </w:rPr>
        <w:t>采购人（章）：温岭市</w:t>
      </w:r>
      <w:r>
        <w:rPr>
          <w:rFonts w:hint="eastAsia"/>
          <w:sz w:val="32"/>
          <w:lang w:eastAsia="zh-CN"/>
        </w:rPr>
        <w:t>滨海</w:t>
      </w:r>
      <w:r>
        <w:rPr>
          <w:sz w:val="32"/>
        </w:rPr>
        <w:t>镇人民政府</w:t>
      </w:r>
    </w:p>
    <w:p>
      <w:pPr>
        <w:keepNext w:val="0"/>
        <w:keepLines w:val="0"/>
        <w:pageBreakBefore w:val="0"/>
        <w:widowControl w:val="0"/>
        <w:kinsoku/>
        <w:wordWrap/>
        <w:overflowPunct/>
        <w:topLinePunct w:val="0"/>
        <w:autoSpaceDE w:val="0"/>
        <w:autoSpaceDN w:val="0"/>
        <w:bidi w:val="0"/>
        <w:adjustRightInd/>
        <w:snapToGrid/>
        <w:spacing w:line="360" w:lineRule="auto"/>
        <w:ind w:firstLine="1280" w:firstLineChars="400"/>
        <w:textAlignment w:val="auto"/>
        <w:rPr>
          <w:rFonts w:hint="eastAsia"/>
          <w:sz w:val="32"/>
          <w:lang w:eastAsia="zh-CN"/>
        </w:rPr>
      </w:pPr>
      <w:r>
        <w:rPr>
          <w:sz w:val="32"/>
        </w:rPr>
        <w:t>采购代理机构（章）：</w:t>
      </w:r>
      <w:r>
        <w:rPr>
          <w:rFonts w:hint="eastAsia"/>
          <w:sz w:val="32"/>
          <w:lang w:eastAsia="zh-CN"/>
        </w:rPr>
        <w:t>浙江科信联合工程项目管理咨询有限公司</w:t>
      </w:r>
    </w:p>
    <w:p>
      <w:pPr>
        <w:spacing w:line="360" w:lineRule="auto"/>
        <w:ind w:firstLine="1280" w:firstLineChars="400"/>
        <w:rPr>
          <w:sz w:val="32"/>
        </w:rPr>
      </w:pPr>
      <w:r>
        <w:rPr>
          <w:sz w:val="32"/>
        </w:rPr>
        <w:t>备案单位：温岭市财政局政府采购监管</w:t>
      </w:r>
      <w:r>
        <w:rPr>
          <w:spacing w:val="-14"/>
          <w:sz w:val="32"/>
        </w:rPr>
        <w:t>科</w:t>
      </w:r>
    </w:p>
    <w:p>
      <w:pPr>
        <w:pStyle w:val="8"/>
        <w:rPr>
          <w:sz w:val="32"/>
        </w:rPr>
      </w:pPr>
    </w:p>
    <w:p>
      <w:pPr>
        <w:pStyle w:val="8"/>
        <w:spacing w:before="10"/>
      </w:pPr>
    </w:p>
    <w:p>
      <w:pPr>
        <w:spacing w:before="0"/>
        <w:ind w:left="0" w:right="18" w:firstLine="0"/>
        <w:jc w:val="center"/>
        <w:rPr>
          <w:sz w:val="32"/>
        </w:rPr>
      </w:pPr>
      <w:r>
        <w:rPr>
          <w:sz w:val="32"/>
        </w:rPr>
        <w:t>202</w:t>
      </w:r>
      <w:r>
        <w:rPr>
          <w:rFonts w:hint="eastAsia"/>
          <w:sz w:val="32"/>
          <w:lang w:val="en-US" w:eastAsia="zh-CN"/>
        </w:rPr>
        <w:t>1</w:t>
      </w:r>
      <w:r>
        <w:rPr>
          <w:sz w:val="32"/>
        </w:rPr>
        <w:t>年</w:t>
      </w:r>
      <w:r>
        <w:rPr>
          <w:rFonts w:hint="eastAsia"/>
          <w:sz w:val="32"/>
          <w:lang w:val="en-US" w:eastAsia="zh-CN"/>
        </w:rPr>
        <w:t>12</w:t>
      </w:r>
      <w:r>
        <w:rPr>
          <w:sz w:val="32"/>
        </w:rPr>
        <w:t>月</w:t>
      </w:r>
    </w:p>
    <w:p>
      <w:pPr>
        <w:spacing w:after="0"/>
        <w:jc w:val="center"/>
        <w:rPr>
          <w:sz w:val="32"/>
        </w:rPr>
        <w:sectPr>
          <w:type w:val="continuous"/>
          <w:pgSz w:w="11910" w:h="16840"/>
          <w:pgMar w:top="1600" w:right="220" w:bottom="280" w:left="580" w:header="720" w:footer="720" w:gutter="0"/>
          <w:pgBorders>
            <w:top w:val="none" w:sz="0" w:space="0"/>
            <w:left w:val="none" w:sz="0" w:space="0"/>
            <w:bottom w:val="none" w:sz="0" w:space="0"/>
            <w:right w:val="none" w:sz="0" w:space="0"/>
          </w:pgBorders>
          <w:cols w:space="720" w:num="1"/>
        </w:sectPr>
      </w:pPr>
    </w:p>
    <w:p>
      <w:pPr>
        <w:pStyle w:val="8"/>
        <w:rPr>
          <w:sz w:val="20"/>
        </w:rPr>
      </w:pPr>
    </w:p>
    <w:p>
      <w:pPr>
        <w:pStyle w:val="8"/>
        <w:rPr>
          <w:sz w:val="20"/>
        </w:rPr>
      </w:pPr>
    </w:p>
    <w:p>
      <w:pPr>
        <w:tabs>
          <w:tab w:val="left" w:pos="1439"/>
        </w:tabs>
        <w:spacing w:before="192"/>
        <w:ind w:left="0" w:right="359" w:firstLine="0"/>
        <w:jc w:val="center"/>
        <w:rPr>
          <w:b/>
          <w:sz w:val="48"/>
        </w:rPr>
      </w:pPr>
      <w:r>
        <w:rPr>
          <w:b/>
          <w:sz w:val="48"/>
        </w:rPr>
        <w:t>目</w:t>
      </w:r>
      <w:r>
        <w:rPr>
          <w:b/>
          <w:sz w:val="48"/>
        </w:rPr>
        <w:tab/>
      </w:r>
      <w:r>
        <w:rPr>
          <w:b/>
          <w:sz w:val="48"/>
        </w:rPr>
        <w:t>录</w:t>
      </w:r>
    </w:p>
    <w:p>
      <w:pPr>
        <w:pStyle w:val="8"/>
        <w:spacing w:before="6"/>
        <w:rPr>
          <w:b/>
          <w:sz w:val="70"/>
        </w:rPr>
      </w:pPr>
    </w:p>
    <w:p>
      <w:pPr>
        <w:tabs>
          <w:tab w:val="left" w:pos="2242"/>
        </w:tabs>
        <w:spacing w:before="0" w:line="292" w:lineRule="auto"/>
        <w:ind w:left="1121" w:right="7468" w:firstLine="0"/>
        <w:jc w:val="left"/>
        <w:rPr>
          <w:sz w:val="28"/>
        </w:rPr>
      </w:pPr>
      <w:r>
        <w:rPr>
          <w:spacing w:val="-3"/>
          <w:sz w:val="28"/>
        </w:rPr>
        <w:t>第一</w:t>
      </w:r>
      <w:r>
        <w:rPr>
          <w:sz w:val="28"/>
        </w:rPr>
        <w:t>章</w:t>
      </w:r>
      <w:r>
        <w:rPr>
          <w:sz w:val="28"/>
        </w:rPr>
        <w:tab/>
      </w:r>
      <w:r>
        <w:rPr>
          <w:spacing w:val="-3"/>
          <w:sz w:val="28"/>
        </w:rPr>
        <w:t>招标</w:t>
      </w:r>
      <w:r>
        <w:rPr>
          <w:sz w:val="28"/>
        </w:rPr>
        <w:t xml:space="preserve">公告 </w:t>
      </w:r>
      <w:r>
        <w:rPr>
          <w:spacing w:val="-3"/>
          <w:sz w:val="28"/>
        </w:rPr>
        <w:t>第二</w:t>
      </w:r>
      <w:r>
        <w:rPr>
          <w:sz w:val="28"/>
        </w:rPr>
        <w:t>章</w:t>
      </w:r>
      <w:r>
        <w:rPr>
          <w:sz w:val="28"/>
        </w:rPr>
        <w:tab/>
      </w:r>
      <w:r>
        <w:rPr>
          <w:spacing w:val="-3"/>
          <w:sz w:val="28"/>
        </w:rPr>
        <w:t>投标</w:t>
      </w:r>
      <w:r>
        <w:rPr>
          <w:sz w:val="28"/>
        </w:rPr>
        <w:t>人</w:t>
      </w:r>
      <w:r>
        <w:rPr>
          <w:spacing w:val="-3"/>
          <w:sz w:val="28"/>
        </w:rPr>
        <w:t>须</w:t>
      </w:r>
      <w:r>
        <w:rPr>
          <w:spacing w:val="-15"/>
          <w:sz w:val="28"/>
        </w:rPr>
        <w:t>知</w:t>
      </w:r>
    </w:p>
    <w:p>
      <w:pPr>
        <w:tabs>
          <w:tab w:val="left" w:pos="2242"/>
        </w:tabs>
        <w:spacing w:before="1" w:line="292" w:lineRule="auto"/>
        <w:ind w:left="1121" w:right="6356" w:firstLine="0"/>
        <w:jc w:val="left"/>
        <w:rPr>
          <w:sz w:val="28"/>
        </w:rPr>
      </w:pPr>
      <w:r>
        <w:rPr>
          <w:spacing w:val="-3"/>
          <w:sz w:val="28"/>
        </w:rPr>
        <w:t>第三</w:t>
      </w:r>
      <w:r>
        <w:rPr>
          <w:sz w:val="28"/>
        </w:rPr>
        <w:t>章</w:t>
      </w:r>
      <w:r>
        <w:rPr>
          <w:sz w:val="28"/>
        </w:rPr>
        <w:tab/>
      </w:r>
      <w:r>
        <w:rPr>
          <w:spacing w:val="-3"/>
          <w:sz w:val="28"/>
        </w:rPr>
        <w:t>评标</w:t>
      </w:r>
      <w:r>
        <w:rPr>
          <w:sz w:val="28"/>
        </w:rPr>
        <w:t>办</w:t>
      </w:r>
      <w:r>
        <w:rPr>
          <w:spacing w:val="-3"/>
          <w:sz w:val="28"/>
        </w:rPr>
        <w:t>法及</w:t>
      </w:r>
      <w:r>
        <w:rPr>
          <w:sz w:val="28"/>
        </w:rPr>
        <w:t>评</w:t>
      </w:r>
      <w:r>
        <w:rPr>
          <w:spacing w:val="-3"/>
          <w:sz w:val="28"/>
        </w:rPr>
        <w:t>分</w:t>
      </w:r>
      <w:r>
        <w:rPr>
          <w:spacing w:val="-5"/>
          <w:sz w:val="28"/>
        </w:rPr>
        <w:t>标</w:t>
      </w:r>
      <w:r>
        <w:rPr>
          <w:spacing w:val="-15"/>
          <w:sz w:val="28"/>
        </w:rPr>
        <w:t>准</w:t>
      </w:r>
      <w:r>
        <w:rPr>
          <w:spacing w:val="-3"/>
          <w:sz w:val="28"/>
        </w:rPr>
        <w:t>第四</w:t>
      </w:r>
      <w:r>
        <w:rPr>
          <w:sz w:val="28"/>
        </w:rPr>
        <w:t>章</w:t>
      </w:r>
      <w:r>
        <w:rPr>
          <w:sz w:val="28"/>
        </w:rPr>
        <w:tab/>
      </w:r>
      <w:r>
        <w:rPr>
          <w:spacing w:val="-3"/>
          <w:sz w:val="28"/>
        </w:rPr>
        <w:t>公开</w:t>
      </w:r>
      <w:r>
        <w:rPr>
          <w:sz w:val="28"/>
        </w:rPr>
        <w:t>招</w:t>
      </w:r>
      <w:r>
        <w:rPr>
          <w:spacing w:val="-3"/>
          <w:sz w:val="28"/>
        </w:rPr>
        <w:t>标需</w:t>
      </w:r>
      <w:r>
        <w:rPr>
          <w:sz w:val="28"/>
        </w:rPr>
        <w:t>求</w:t>
      </w:r>
    </w:p>
    <w:p>
      <w:pPr>
        <w:tabs>
          <w:tab w:val="left" w:pos="2242"/>
        </w:tabs>
        <w:spacing w:before="3" w:line="292" w:lineRule="auto"/>
        <w:ind w:left="1121" w:right="5517" w:firstLine="0"/>
        <w:jc w:val="left"/>
        <w:rPr>
          <w:sz w:val="28"/>
        </w:rPr>
      </w:pPr>
      <w:r>
        <w:rPr>
          <w:spacing w:val="-3"/>
          <w:sz w:val="28"/>
        </w:rPr>
        <w:t>第五</w:t>
      </w:r>
      <w:r>
        <w:rPr>
          <w:sz w:val="28"/>
        </w:rPr>
        <w:t>章</w:t>
      </w:r>
      <w:r>
        <w:rPr>
          <w:sz w:val="28"/>
        </w:rPr>
        <w:tab/>
      </w:r>
      <w:r>
        <w:rPr>
          <w:spacing w:val="-3"/>
          <w:sz w:val="28"/>
        </w:rPr>
        <w:t>政府</w:t>
      </w:r>
      <w:r>
        <w:rPr>
          <w:sz w:val="28"/>
        </w:rPr>
        <w:t>采</w:t>
      </w:r>
      <w:r>
        <w:rPr>
          <w:spacing w:val="-3"/>
          <w:sz w:val="28"/>
        </w:rPr>
        <w:t>购合</w:t>
      </w:r>
      <w:r>
        <w:rPr>
          <w:sz w:val="28"/>
        </w:rPr>
        <w:t>同</w:t>
      </w:r>
      <w:r>
        <w:rPr>
          <w:spacing w:val="-3"/>
          <w:sz w:val="28"/>
        </w:rPr>
        <w:t>主</w:t>
      </w:r>
      <w:r>
        <w:rPr>
          <w:spacing w:val="-5"/>
          <w:sz w:val="28"/>
        </w:rPr>
        <w:t>要</w:t>
      </w:r>
      <w:r>
        <w:rPr>
          <w:sz w:val="28"/>
        </w:rPr>
        <w:t>条款</w:t>
      </w:r>
      <w:r>
        <w:rPr>
          <w:spacing w:val="-5"/>
          <w:sz w:val="28"/>
        </w:rPr>
        <w:t>指</w:t>
      </w:r>
      <w:r>
        <w:rPr>
          <w:spacing w:val="-12"/>
          <w:sz w:val="28"/>
        </w:rPr>
        <w:t>引</w:t>
      </w:r>
      <w:r>
        <w:rPr>
          <w:spacing w:val="-3"/>
          <w:sz w:val="28"/>
        </w:rPr>
        <w:t>第六</w:t>
      </w:r>
      <w:r>
        <w:rPr>
          <w:sz w:val="28"/>
        </w:rPr>
        <w:t>章</w:t>
      </w:r>
      <w:r>
        <w:rPr>
          <w:sz w:val="28"/>
        </w:rPr>
        <w:tab/>
      </w:r>
      <w:r>
        <w:rPr>
          <w:spacing w:val="-3"/>
          <w:sz w:val="28"/>
        </w:rPr>
        <w:t>投标</w:t>
      </w:r>
      <w:r>
        <w:rPr>
          <w:sz w:val="28"/>
        </w:rPr>
        <w:t>文</w:t>
      </w:r>
      <w:r>
        <w:rPr>
          <w:spacing w:val="-3"/>
          <w:sz w:val="28"/>
        </w:rPr>
        <w:t>件格</w:t>
      </w:r>
      <w:r>
        <w:rPr>
          <w:sz w:val="28"/>
        </w:rPr>
        <w:t>式</w:t>
      </w:r>
      <w:r>
        <w:rPr>
          <w:spacing w:val="-3"/>
          <w:sz w:val="28"/>
        </w:rPr>
        <w:t>附</w:t>
      </w:r>
      <w:r>
        <w:rPr>
          <w:sz w:val="28"/>
        </w:rPr>
        <w:t>件</w:t>
      </w:r>
    </w:p>
    <w:p>
      <w:pPr>
        <w:spacing w:after="0" w:line="292" w:lineRule="auto"/>
        <w:jc w:val="left"/>
        <w:rPr>
          <w:sz w:val="28"/>
        </w:rPr>
        <w:sectPr>
          <w:footerReference r:id="rId5" w:type="default"/>
          <w:pgSz w:w="11910" w:h="16840"/>
          <w:pgMar w:top="1600" w:right="220" w:bottom="900" w:left="580" w:header="0" w:footer="706" w:gutter="0"/>
          <w:pgBorders>
            <w:top w:val="none" w:sz="0" w:space="0"/>
            <w:left w:val="none" w:sz="0" w:space="0"/>
            <w:bottom w:val="none" w:sz="0" w:space="0"/>
            <w:right w:val="none" w:sz="0" w:space="0"/>
          </w:pgBorders>
          <w:pgNumType w:start="1"/>
          <w:cols w:space="720" w:num="1"/>
        </w:sectPr>
      </w:pPr>
    </w:p>
    <w:p>
      <w:pPr>
        <w:spacing w:before="208"/>
        <w:ind w:left="348" w:right="381"/>
        <w:jc w:val="center"/>
        <w:rPr>
          <w:rFonts w:ascii="黑体" w:eastAsia="黑体"/>
          <w:sz w:val="30"/>
          <w:szCs w:val="30"/>
        </w:rPr>
      </w:pPr>
      <w:r>
        <w:rPr>
          <w:rFonts w:hint="eastAsia" w:ascii="黑体" w:eastAsia="黑体" w:cs="黑体"/>
          <w:sz w:val="30"/>
          <w:szCs w:val="30"/>
        </w:rPr>
        <w:t>电子交易须知</w:t>
      </w:r>
    </w:p>
    <w:p>
      <w:pPr>
        <w:pStyle w:val="8"/>
        <w:rPr>
          <w:rFonts w:ascii="黑体"/>
          <w:sz w:val="30"/>
          <w:szCs w:val="30"/>
        </w:rPr>
      </w:pPr>
    </w:p>
    <w:p>
      <w:pPr>
        <w:pStyle w:val="8"/>
        <w:rPr>
          <w:rFonts w:ascii="黑体"/>
          <w:sz w:val="36"/>
          <w:szCs w:val="36"/>
        </w:rPr>
      </w:pPr>
    </w:p>
    <w:p>
      <w:pPr>
        <w:pStyle w:val="8"/>
        <w:spacing w:line="364" w:lineRule="auto"/>
        <w:ind w:left="317" w:right="437" w:firstLine="420"/>
        <w:rPr>
          <w:rFonts w:ascii="黑体" w:hAnsi="黑体" w:eastAsia="黑体"/>
        </w:rPr>
      </w:pPr>
      <w:r>
        <w:rPr>
          <w:rFonts w:ascii="黑体" w:hAnsi="黑体" w:eastAsia="黑体" w:cs="黑体"/>
          <w:w w:val="95"/>
        </w:rPr>
        <w:t>1</w:t>
      </w:r>
      <w:r>
        <w:rPr>
          <w:rFonts w:hint="eastAsia" w:ascii="黑体" w:hAnsi="黑体" w:eastAsia="黑体" w:cs="黑体"/>
          <w:w w:val="95"/>
        </w:rPr>
        <w:t>、本次采购采用电子交易方式，电子交易平台为“政府采购云平台（</w:t>
      </w:r>
      <w:r>
        <w:fldChar w:fldCharType="begin"/>
      </w:r>
      <w:r>
        <w:instrText xml:space="preserve"> HYPERLINK "http://www.zcygov.cn/" \h </w:instrText>
      </w:r>
      <w:r>
        <w:fldChar w:fldCharType="separate"/>
      </w:r>
      <w:r>
        <w:rPr>
          <w:rFonts w:ascii="黑体" w:hAnsi="黑体" w:eastAsia="黑体" w:cs="黑体"/>
          <w:w w:val="95"/>
        </w:rPr>
        <w:t>www.zcygov.cn</w:t>
      </w:r>
      <w:r>
        <w:rPr>
          <w:rFonts w:ascii="黑体" w:hAnsi="黑体" w:eastAsia="黑体" w:cs="黑体"/>
          <w:w w:val="95"/>
        </w:rPr>
        <w:fldChar w:fldCharType="end"/>
      </w:r>
      <w:r>
        <w:rPr>
          <w:rFonts w:hint="eastAsia" w:ascii="黑体" w:hAnsi="黑体" w:eastAsia="黑体" w:cs="黑体"/>
          <w:w w:val="95"/>
        </w:rPr>
        <w:t>）”。供应商参与本项目电子交易活动前，应注册成为政府采购云平台正式供应商。编制电子投标文件前还</w:t>
      </w:r>
      <w:r>
        <w:rPr>
          <w:rFonts w:hint="eastAsia" w:ascii="黑体" w:hAnsi="黑体" w:eastAsia="黑体" w:cs="黑体"/>
          <w:spacing w:val="-14"/>
        </w:rPr>
        <w:t>需申领</w:t>
      </w:r>
      <w:r>
        <w:rPr>
          <w:rFonts w:ascii="黑体" w:hAnsi="黑体" w:eastAsia="黑体" w:cs="黑体"/>
          <w:spacing w:val="-14"/>
        </w:rPr>
        <w:t xml:space="preserve"> </w:t>
      </w:r>
      <w:r>
        <w:rPr>
          <w:rFonts w:ascii="黑体" w:hAnsi="黑体" w:eastAsia="黑体" w:cs="黑体"/>
        </w:rPr>
        <w:t>CA</w:t>
      </w:r>
      <w:r>
        <w:rPr>
          <w:rFonts w:ascii="黑体" w:hAnsi="黑体" w:eastAsia="黑体" w:cs="黑体"/>
          <w:spacing w:val="-10"/>
        </w:rPr>
        <w:t xml:space="preserve"> </w:t>
      </w:r>
      <w:r>
        <w:rPr>
          <w:rFonts w:hint="eastAsia" w:ascii="黑体" w:hAnsi="黑体" w:eastAsia="黑体" w:cs="黑体"/>
          <w:spacing w:val="-10"/>
        </w:rPr>
        <w:t>证书并绑定帐号。供应商应充分考虑完成平台注册、申领</w:t>
      </w:r>
      <w:r>
        <w:rPr>
          <w:rFonts w:ascii="黑体" w:hAnsi="黑体" w:eastAsia="黑体" w:cs="黑体"/>
          <w:spacing w:val="-10"/>
        </w:rPr>
        <w:t xml:space="preserve"> </w:t>
      </w:r>
      <w:r>
        <w:rPr>
          <w:rFonts w:ascii="黑体" w:hAnsi="黑体" w:eastAsia="黑体" w:cs="黑体"/>
        </w:rPr>
        <w:t>CA</w:t>
      </w:r>
      <w:r>
        <w:rPr>
          <w:rFonts w:ascii="黑体" w:hAnsi="黑体" w:eastAsia="黑体" w:cs="黑体"/>
          <w:spacing w:val="-8"/>
        </w:rPr>
        <w:t xml:space="preserve"> </w:t>
      </w:r>
      <w:r>
        <w:rPr>
          <w:rFonts w:hint="eastAsia" w:ascii="黑体" w:hAnsi="黑体" w:eastAsia="黑体" w:cs="黑体"/>
          <w:spacing w:val="-8"/>
        </w:rPr>
        <w:t>证书等所需的时间。</w:t>
      </w:r>
    </w:p>
    <w:p>
      <w:pPr>
        <w:pStyle w:val="8"/>
        <w:spacing w:before="120" w:line="364" w:lineRule="auto"/>
        <w:ind w:left="317" w:right="351" w:firstLine="420"/>
        <w:rPr>
          <w:rFonts w:ascii="黑体" w:hAnsi="黑体" w:eastAsia="黑体"/>
        </w:rPr>
      </w:pPr>
      <w:r>
        <w:rPr>
          <w:rFonts w:ascii="黑体" w:hAnsi="黑体" w:eastAsia="黑体" w:cs="黑体"/>
          <w:w w:val="95"/>
        </w:rPr>
        <w:t>2</w:t>
      </w:r>
      <w:r>
        <w:rPr>
          <w:rFonts w:hint="eastAsia" w:ascii="黑体" w:hAnsi="黑体" w:eastAsia="黑体" w:cs="黑体"/>
          <w:spacing w:val="-3"/>
          <w:w w:val="95"/>
        </w:rPr>
        <w:t>、供应商编制电子投标文件应安装“电子交易客户端”软件，并按照本采购文件和电子交易平</w:t>
      </w:r>
      <w:r>
        <w:rPr>
          <w:rFonts w:hint="eastAsia" w:ascii="黑体" w:hAnsi="黑体" w:eastAsia="黑体" w:cs="黑体"/>
          <w:spacing w:val="-3"/>
        </w:rPr>
        <w:t>台的要求编制并加密投标文件。未按规定加密的投标文件，将被电子交易平台拒收。“电子交易客户端”请供应商自行前往“浙江政府采购网</w:t>
      </w:r>
      <w:r>
        <w:rPr>
          <w:rFonts w:hint="eastAsia" w:ascii="黑体" w:hAnsi="黑体" w:eastAsia="黑体" w:cs="黑体"/>
        </w:rPr>
        <w:t>（</w:t>
      </w:r>
      <w:r>
        <w:rPr>
          <w:rFonts w:ascii="黑体" w:hAnsi="黑体" w:eastAsia="黑体" w:cs="黑体"/>
        </w:rPr>
        <w:t>zfcg.czt.zj.gov.cn</w:t>
      </w:r>
      <w:r>
        <w:rPr>
          <w:rFonts w:hint="eastAsia" w:ascii="黑体" w:hAnsi="黑体" w:eastAsia="黑体" w:cs="黑体"/>
        </w:rPr>
        <w:t>）</w:t>
      </w:r>
      <w:r>
        <w:rPr>
          <w:rFonts w:ascii="黑体" w:hAnsi="黑体" w:eastAsia="黑体" w:cs="黑体"/>
          <w:spacing w:val="-5"/>
        </w:rPr>
        <w:t xml:space="preserve">— </w:t>
      </w:r>
      <w:r>
        <w:rPr>
          <w:rFonts w:hint="eastAsia" w:ascii="黑体" w:hAnsi="黑体" w:eastAsia="黑体" w:cs="黑体"/>
          <w:spacing w:val="-5"/>
        </w:rPr>
        <w:t>下载专区</w:t>
      </w:r>
      <w:r>
        <w:rPr>
          <w:rFonts w:ascii="黑体" w:hAnsi="黑体" w:eastAsia="黑体" w:cs="黑体"/>
          <w:spacing w:val="-5"/>
        </w:rPr>
        <w:t xml:space="preserve"> — </w:t>
      </w:r>
      <w:r>
        <w:rPr>
          <w:rFonts w:hint="eastAsia" w:ascii="黑体" w:hAnsi="黑体" w:eastAsia="黑体" w:cs="黑体"/>
          <w:spacing w:val="-5"/>
        </w:rPr>
        <w:t>电子交易客户端”版块获取。</w:t>
      </w:r>
    </w:p>
    <w:p>
      <w:pPr>
        <w:pStyle w:val="8"/>
        <w:spacing w:before="118" w:line="364" w:lineRule="auto"/>
        <w:ind w:left="317" w:right="351" w:firstLine="420"/>
        <w:rPr>
          <w:rFonts w:ascii="黑体" w:hAnsi="黑体" w:eastAsia="黑体"/>
        </w:rPr>
      </w:pPr>
      <w:r>
        <w:rPr>
          <w:rFonts w:ascii="黑体" w:hAnsi="黑体" w:eastAsia="黑体" w:cs="黑体"/>
          <w:w w:val="95"/>
        </w:rPr>
        <w:t>3</w:t>
      </w:r>
      <w:r>
        <w:rPr>
          <w:rFonts w:hint="eastAsia" w:ascii="黑体" w:hAnsi="黑体" w:eastAsia="黑体" w:cs="黑体"/>
          <w:spacing w:val="-3"/>
          <w:w w:val="95"/>
        </w:rPr>
        <w:t>、供应商应当在投标截止时间前，将“电子交易客户端”生成的“电子加密投标文件”上传电</w:t>
      </w:r>
      <w:r>
        <w:rPr>
          <w:rFonts w:ascii="黑体" w:hAnsi="黑体" w:eastAsia="黑体" w:cs="黑体"/>
          <w:spacing w:val="-3"/>
          <w:w w:val="95"/>
        </w:rPr>
        <w:t xml:space="preserve">   </w:t>
      </w:r>
      <w:r>
        <w:rPr>
          <w:rFonts w:hint="eastAsia" w:ascii="黑体" w:hAnsi="黑体" w:eastAsia="黑体" w:cs="黑体"/>
          <w:spacing w:val="-3"/>
        </w:rPr>
        <w:t>子交易平台。</w:t>
      </w:r>
    </w:p>
    <w:p>
      <w:pPr>
        <w:pStyle w:val="8"/>
        <w:spacing w:before="118" w:line="364" w:lineRule="auto"/>
        <w:ind w:left="317" w:right="334" w:firstLine="420"/>
        <w:rPr>
          <w:rFonts w:ascii="黑体" w:hAnsi="黑体" w:eastAsia="黑体"/>
        </w:rPr>
      </w:pPr>
      <w:r>
        <w:rPr>
          <w:rFonts w:ascii="黑体" w:hAnsi="黑体" w:eastAsia="黑体" w:cs="黑体"/>
          <w:w w:val="95"/>
        </w:rPr>
        <w:t>4</w:t>
      </w:r>
      <w:r>
        <w:rPr>
          <w:rFonts w:hint="eastAsia" w:ascii="黑体" w:hAnsi="黑体" w:eastAsia="黑体" w:cs="黑体"/>
          <w:w w:val="95"/>
        </w:rPr>
        <w:t>、“电子备份投标文件”是指与“电子加密投标文件”同时生成的数据电文形式的投标文件。</w:t>
      </w:r>
      <w:r>
        <w:rPr>
          <w:rFonts w:ascii="黑体" w:hAnsi="黑体" w:eastAsia="黑体" w:cs="黑体"/>
          <w:w w:val="95"/>
        </w:rPr>
        <w:t xml:space="preserve">   </w:t>
      </w:r>
      <w:r>
        <w:rPr>
          <w:rFonts w:hint="eastAsia" w:ascii="黑体" w:hAnsi="黑体" w:eastAsia="黑体" w:cs="黑体"/>
        </w:rPr>
        <w:t>供应商在电子交易平台上传“电子加密投标文件”后，还可以邮寄或送达的方式在投标截止时间前</w:t>
      </w:r>
      <w:r>
        <w:rPr>
          <w:rFonts w:hint="eastAsia" w:ascii="黑体" w:hAnsi="黑体" w:eastAsia="黑体" w:cs="黑体"/>
          <w:spacing w:val="-2"/>
        </w:rPr>
        <w:t>提交以介质</w:t>
      </w:r>
      <w:r>
        <w:rPr>
          <w:rFonts w:hint="eastAsia" w:ascii="黑体" w:hAnsi="黑体" w:eastAsia="黑体" w:cs="黑体"/>
        </w:rPr>
        <w:t>（</w:t>
      </w:r>
      <w:r>
        <w:rPr>
          <w:rFonts w:ascii="黑体" w:hAnsi="黑体" w:eastAsia="黑体" w:cs="黑体"/>
        </w:rPr>
        <w:t>U</w:t>
      </w:r>
      <w:r>
        <w:rPr>
          <w:rFonts w:ascii="黑体" w:hAnsi="黑体" w:eastAsia="黑体" w:cs="黑体"/>
          <w:spacing w:val="-35"/>
        </w:rPr>
        <w:t xml:space="preserve"> </w:t>
      </w:r>
      <w:r>
        <w:rPr>
          <w:rFonts w:hint="eastAsia" w:ascii="黑体" w:hAnsi="黑体" w:eastAsia="黑体" w:cs="黑体"/>
          <w:spacing w:val="-35"/>
        </w:rPr>
        <w:t>盘</w:t>
      </w:r>
      <w:r>
        <w:rPr>
          <w:rFonts w:hint="eastAsia" w:ascii="黑体" w:hAnsi="黑体" w:eastAsia="黑体" w:cs="黑体"/>
          <w:spacing w:val="-8"/>
        </w:rPr>
        <w:t>）</w:t>
      </w:r>
      <w:r>
        <w:rPr>
          <w:rFonts w:hint="eastAsia" w:ascii="黑体" w:hAnsi="黑体" w:eastAsia="黑体" w:cs="黑体"/>
          <w:spacing w:val="-6"/>
        </w:rPr>
        <w:t>存储的“电子备份投标文件”。“电子备份投标文件”应当密封包装并在包装上标注采购项目编号、项目名称、投标单位名称等并加盖公章。</w:t>
      </w:r>
    </w:p>
    <w:p>
      <w:pPr>
        <w:pStyle w:val="8"/>
        <w:spacing w:before="119" w:line="364" w:lineRule="auto"/>
        <w:ind w:left="317" w:right="351" w:firstLine="420"/>
        <w:rPr>
          <w:rFonts w:ascii="黑体" w:hAnsi="黑体" w:eastAsia="黑体"/>
        </w:rPr>
      </w:pPr>
      <w:r>
        <w:rPr>
          <w:rFonts w:ascii="黑体" w:hAnsi="黑体" w:eastAsia="黑体" w:cs="黑体"/>
          <w:w w:val="95"/>
        </w:rPr>
        <w:t>5</w:t>
      </w:r>
      <w:r>
        <w:rPr>
          <w:rFonts w:hint="eastAsia" w:ascii="黑体" w:hAnsi="黑体" w:eastAsia="黑体" w:cs="黑体"/>
          <w:spacing w:val="-1"/>
          <w:w w:val="95"/>
        </w:rPr>
        <w:t>、开标时，通过“政府采购云平台”递交的“电子加密投标文件”如无法按时解密，供应商提</w:t>
      </w:r>
      <w:r>
        <w:rPr>
          <w:rFonts w:ascii="黑体" w:hAnsi="黑体" w:eastAsia="黑体" w:cs="黑体"/>
          <w:spacing w:val="-1"/>
          <w:w w:val="95"/>
        </w:rPr>
        <w:t xml:space="preserve">   </w:t>
      </w:r>
      <w:r>
        <w:rPr>
          <w:rFonts w:hint="eastAsia" w:ascii="黑体" w:hAnsi="黑体" w:eastAsia="黑体" w:cs="黑体"/>
          <w:spacing w:val="-1"/>
        </w:rPr>
        <w:t>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pPr>
        <w:pStyle w:val="8"/>
        <w:spacing w:before="2"/>
        <w:rPr>
          <w:rFonts w:ascii="黑体"/>
          <w:sz w:val="20"/>
          <w:szCs w:val="20"/>
        </w:rPr>
      </w:pPr>
    </w:p>
    <w:p>
      <w:pPr>
        <w:spacing w:before="26"/>
        <w:ind w:left="0" w:right="376" w:firstLine="0"/>
        <w:jc w:val="center"/>
        <w:rPr>
          <w:b/>
          <w:sz w:val="36"/>
        </w:rPr>
      </w:pPr>
      <w:r>
        <w:rPr>
          <w:rFonts w:ascii="黑体" w:hAnsi="黑体" w:eastAsia="黑体" w:cs="黑体"/>
          <w:w w:val="95"/>
        </w:rPr>
        <w:t>6</w:t>
      </w:r>
      <w:r>
        <w:rPr>
          <w:rFonts w:hint="eastAsia" w:ascii="黑体" w:hAnsi="黑体" w:eastAsia="黑体" w:cs="黑体"/>
          <w:w w:val="95"/>
        </w:rPr>
        <w:t>、供应商在参加电子交易过程中</w:t>
      </w:r>
      <w:r>
        <w:rPr>
          <w:rFonts w:ascii="黑体" w:hAnsi="黑体" w:eastAsia="黑体" w:cs="黑体"/>
          <w:w w:val="95"/>
        </w:rPr>
        <w:t>,</w:t>
      </w:r>
      <w:r>
        <w:rPr>
          <w:rFonts w:hint="eastAsia" w:ascii="黑体" w:hAnsi="黑体" w:eastAsia="黑体" w:cs="黑体"/>
          <w:w w:val="95"/>
        </w:rPr>
        <w:t>可登录电子交易平台“帮助文档”版面获取《电子交易管理操作</w:t>
      </w:r>
      <w:r>
        <w:rPr>
          <w:rFonts w:ascii="黑体" w:hAnsi="黑体" w:eastAsia="黑体" w:cs="黑体"/>
          <w:w w:val="95"/>
        </w:rPr>
        <w:t xml:space="preserve">   </w:t>
      </w:r>
      <w:r>
        <w:rPr>
          <w:rFonts w:hint="eastAsia" w:ascii="黑体" w:hAnsi="黑体" w:eastAsia="黑体" w:cs="黑体"/>
        </w:rPr>
        <w:t>指南》，或致电平台</w:t>
      </w:r>
      <w:r>
        <w:rPr>
          <w:rFonts w:ascii="黑体" w:hAnsi="黑体" w:eastAsia="黑体" w:cs="黑体"/>
        </w:rPr>
        <w:t>400-881-7190</w:t>
      </w:r>
      <w:r>
        <w:rPr>
          <w:rFonts w:hint="eastAsia" w:ascii="黑体" w:hAnsi="黑体" w:eastAsia="黑体" w:cs="黑体"/>
        </w:rPr>
        <w:t>获取相关服务支持。</w:t>
      </w:r>
      <w:r>
        <w:rPr>
          <w:rFonts w:ascii="宋体"/>
          <w:b/>
          <w:bCs/>
          <w:kern w:val="0"/>
          <w:sz w:val="36"/>
          <w:szCs w:val="36"/>
        </w:rPr>
        <w:br w:type="page"/>
      </w:r>
      <w:r>
        <w:rPr>
          <w:b/>
          <w:sz w:val="36"/>
        </w:rPr>
        <w:t>第一章 招标公告</w:t>
      </w:r>
    </w:p>
    <w:p>
      <w:pPr>
        <w:pStyle w:val="12"/>
        <w:keepNext w:val="0"/>
        <w:keepLines w:val="0"/>
        <w:pageBreakBefore w:val="0"/>
        <w:widowControl/>
        <w:suppressLineNumbers w:val="0"/>
        <w:pBdr>
          <w:top w:val="single" w:color="auto" w:sz="6" w:space="0"/>
          <w:left w:val="single" w:color="auto" w:sz="6" w:space="0"/>
          <w:bottom w:val="single" w:color="auto" w:sz="6" w:space="0"/>
          <w:right w:val="single" w:color="auto" w:sz="6" w:space="0"/>
        </w:pBdr>
        <w:kinsoku/>
        <w:wordWrap/>
        <w:overflowPunct/>
        <w:topLinePunct w:val="0"/>
        <w:autoSpaceDE w:val="0"/>
        <w:autoSpaceDN w:val="0"/>
        <w:bidi w:val="0"/>
        <w:adjustRightInd/>
        <w:snapToGrid/>
        <w:spacing w:before="0" w:beforeAutospacing="0" w:after="0" w:afterAutospacing="0" w:line="360" w:lineRule="exact"/>
        <w:jc w:val="left"/>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项目概况：</w:t>
      </w:r>
    </w:p>
    <w:p>
      <w:pPr>
        <w:pStyle w:val="12"/>
        <w:keepNext w:val="0"/>
        <w:keepLines w:val="0"/>
        <w:pageBreakBefore w:val="0"/>
        <w:widowControl/>
        <w:suppressLineNumbers w:val="0"/>
        <w:pBdr>
          <w:top w:val="single" w:color="auto" w:sz="6" w:space="0"/>
          <w:left w:val="single" w:color="auto" w:sz="6" w:space="0"/>
          <w:bottom w:val="single" w:color="auto" w:sz="6" w:space="0"/>
          <w:right w:val="single" w:color="auto" w:sz="6" w:space="0"/>
        </w:pBdr>
        <w:kinsoku/>
        <w:wordWrap/>
        <w:overflowPunct/>
        <w:topLinePunct w:val="0"/>
        <w:autoSpaceDE w:val="0"/>
        <w:autoSpaceDN w:val="0"/>
        <w:bidi w:val="0"/>
        <w:adjustRightInd/>
        <w:snapToGrid/>
        <w:spacing w:before="0" w:beforeAutospacing="0" w:after="0" w:afterAutospacing="0" w:line="360" w:lineRule="exact"/>
        <w:ind w:left="0" w:firstLine="480"/>
        <w:jc w:val="both"/>
        <w:textAlignment w:val="auto"/>
      </w:pPr>
      <w:r>
        <w:rPr>
          <w:rFonts w:hint="eastAsia" w:cs="宋体"/>
          <w:b w:val="0"/>
          <w:color w:val="000000"/>
          <w:sz w:val="24"/>
          <w:szCs w:val="24"/>
          <w:lang w:eastAsia="zh-CN"/>
        </w:rPr>
        <w:t>温岭市滨海镇环卫保洁及垃圾清运项目</w:t>
      </w:r>
      <w:r>
        <w:rPr>
          <w:rFonts w:hint="eastAsia" w:ascii="宋体" w:hAnsi="宋体" w:eastAsia="宋体" w:cs="宋体"/>
          <w:b w:val="0"/>
          <w:color w:val="000000"/>
          <w:sz w:val="24"/>
          <w:szCs w:val="24"/>
        </w:rPr>
        <w:t>采购项目的潜在供应商应在“</w:t>
      </w:r>
      <w:r>
        <w:rPr>
          <w:rFonts w:hint="eastAsia" w:ascii="宋体" w:hAnsi="宋体" w:eastAsia="宋体" w:cs="宋体"/>
          <w:b/>
          <w:color w:val="000000"/>
          <w:sz w:val="24"/>
          <w:szCs w:val="24"/>
        </w:rPr>
        <w:t>政府采购云平台</w:t>
      </w:r>
      <w:r>
        <w:rPr>
          <w:rFonts w:hint="eastAsia" w:ascii="宋体" w:hAnsi="宋体" w:eastAsia="宋体" w:cs="宋体"/>
          <w:b w:val="0"/>
          <w:color w:val="000000"/>
          <w:sz w:val="24"/>
          <w:szCs w:val="24"/>
        </w:rPr>
        <w:t>”获取采购文件，并于</w:t>
      </w:r>
      <w:r>
        <w:rPr>
          <w:rFonts w:hint="eastAsia" w:ascii="宋体" w:hAnsi="宋体" w:eastAsia="宋体" w:cs="宋体"/>
          <w:b/>
          <w:color w:val="000000"/>
          <w:sz w:val="24"/>
          <w:szCs w:val="24"/>
        </w:rPr>
        <w:t>202</w:t>
      </w:r>
      <w:r>
        <w:rPr>
          <w:rFonts w:hint="eastAsia" w:cs="宋体"/>
          <w:b/>
          <w:color w:val="000000"/>
          <w:sz w:val="24"/>
          <w:szCs w:val="24"/>
          <w:lang w:val="en-US" w:eastAsia="zh-CN"/>
        </w:rPr>
        <w:t>2</w:t>
      </w:r>
      <w:r>
        <w:rPr>
          <w:rFonts w:hint="eastAsia" w:ascii="宋体" w:hAnsi="宋体" w:eastAsia="宋体" w:cs="宋体"/>
          <w:b/>
          <w:color w:val="000000"/>
          <w:sz w:val="24"/>
          <w:szCs w:val="24"/>
        </w:rPr>
        <w:t>年</w:t>
      </w:r>
      <w:r>
        <w:rPr>
          <w:rFonts w:hint="eastAsia" w:cs="宋体"/>
          <w:b/>
          <w:color w:val="000000"/>
          <w:sz w:val="24"/>
          <w:szCs w:val="24"/>
          <w:lang w:val="en-US" w:eastAsia="zh-CN"/>
        </w:rPr>
        <w:t>1</w:t>
      </w:r>
      <w:r>
        <w:rPr>
          <w:rFonts w:hint="eastAsia" w:ascii="宋体" w:hAnsi="宋体" w:eastAsia="宋体" w:cs="宋体"/>
          <w:b/>
          <w:color w:val="000000"/>
          <w:sz w:val="24"/>
          <w:szCs w:val="24"/>
        </w:rPr>
        <w:t>月</w:t>
      </w:r>
      <w:r>
        <w:rPr>
          <w:rFonts w:hint="eastAsia" w:cs="宋体"/>
          <w:b/>
          <w:color w:val="000000"/>
          <w:sz w:val="24"/>
          <w:szCs w:val="24"/>
          <w:lang w:val="en-US" w:eastAsia="zh-CN"/>
        </w:rPr>
        <w:t>5</w:t>
      </w:r>
      <w:r>
        <w:rPr>
          <w:rFonts w:hint="eastAsia" w:ascii="宋体" w:hAnsi="宋体" w:eastAsia="宋体" w:cs="宋体"/>
          <w:b/>
          <w:color w:val="000000"/>
          <w:sz w:val="24"/>
          <w:szCs w:val="24"/>
        </w:rPr>
        <w:t>日</w:t>
      </w:r>
      <w:r>
        <w:rPr>
          <w:rFonts w:hint="eastAsia" w:eastAsia="宋体" w:cs="宋体"/>
          <w:b/>
          <w:color w:val="000000"/>
          <w:sz w:val="24"/>
          <w:szCs w:val="24"/>
          <w:lang w:val="en-US" w:eastAsia="zh-CN"/>
        </w:rPr>
        <w:t>9</w:t>
      </w:r>
      <w:r>
        <w:rPr>
          <w:rFonts w:hint="eastAsia" w:ascii="宋体" w:hAnsi="宋体" w:eastAsia="宋体" w:cs="宋体"/>
          <w:b/>
          <w:color w:val="000000"/>
          <w:sz w:val="24"/>
          <w:szCs w:val="24"/>
        </w:rPr>
        <w:t>点00分</w:t>
      </w:r>
      <w:r>
        <w:rPr>
          <w:rFonts w:hint="eastAsia" w:ascii="宋体" w:hAnsi="宋体" w:eastAsia="宋体" w:cs="宋体"/>
          <w:b w:val="0"/>
          <w:color w:val="000000"/>
          <w:sz w:val="24"/>
          <w:szCs w:val="24"/>
        </w:rPr>
        <w:t>（北京时间）前递交投标文件，本项目为公开招标。</w:t>
      </w:r>
    </w:p>
    <w:p>
      <w:pPr>
        <w:keepNext w:val="0"/>
        <w:keepLines w:val="0"/>
        <w:pageBreakBefore w:val="0"/>
        <w:numPr>
          <w:ilvl w:val="0"/>
          <w:numId w:val="0"/>
        </w:numPr>
        <w:kinsoku/>
        <w:wordWrap/>
        <w:overflowPunct/>
        <w:topLinePunct w:val="0"/>
        <w:autoSpaceDE w:val="0"/>
        <w:autoSpaceDN w:val="0"/>
        <w:bidi w:val="0"/>
        <w:adjustRightInd/>
        <w:snapToGrid/>
        <w:spacing w:before="0" w:beforeAutospacing="0" w:after="0" w:afterAutospacing="0" w:line="360" w:lineRule="exact"/>
        <w:ind w:left="0" w:right="0" w:rightChars="0" w:firstLine="241" w:firstLineChars="100"/>
        <w:jc w:val="left"/>
        <w:textAlignment w:val="auto"/>
        <w:rPr>
          <w:rFonts w:hint="eastAsia" w:ascii="宋体" w:hAnsi="宋体" w:eastAsia="宋体" w:cs="宋体"/>
        </w:rPr>
      </w:pPr>
      <w:r>
        <w:rPr>
          <w:rFonts w:hint="eastAsia" w:cs="宋体"/>
          <w:b/>
          <w:sz w:val="24"/>
          <w:lang w:eastAsia="zh-CN"/>
        </w:rPr>
        <w:t>一、</w:t>
      </w:r>
      <w:r>
        <w:rPr>
          <w:rFonts w:hint="eastAsia" w:ascii="宋体" w:hAnsi="宋体" w:eastAsia="宋体" w:cs="宋体"/>
          <w:b/>
          <w:sz w:val="24"/>
        </w:rPr>
        <w:t>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exact"/>
        <w:ind w:left="0" w:leftChars="0" w:right="0" w:rightChars="0" w:firstLine="482" w:firstLineChars="200"/>
        <w:jc w:val="left"/>
        <w:textAlignment w:val="auto"/>
        <w:rPr>
          <w:rFonts w:hint="default" w:eastAsia="宋体"/>
          <w:sz w:val="24"/>
          <w:lang w:val="en-US" w:eastAsia="zh-CN"/>
        </w:rPr>
      </w:pPr>
      <w:r>
        <w:rPr>
          <w:b/>
          <w:sz w:val="24"/>
        </w:rPr>
        <w:t>项目编号：</w:t>
      </w:r>
      <w:r>
        <w:rPr>
          <w:rFonts w:hint="eastAsia"/>
          <w:sz w:val="24"/>
          <w:lang w:eastAsia="zh-CN"/>
        </w:rPr>
        <w:t>ZJKX－WLCG－202</w:t>
      </w:r>
      <w:r>
        <w:rPr>
          <w:rFonts w:hint="eastAsia"/>
          <w:sz w:val="24"/>
          <w:lang w:val="en-US" w:eastAsia="zh-CN"/>
        </w:rPr>
        <w:t>1</w:t>
      </w:r>
      <w:r>
        <w:rPr>
          <w:rFonts w:hint="eastAsia"/>
          <w:sz w:val="24"/>
          <w:lang w:eastAsia="zh-CN"/>
        </w:rPr>
        <w:t>－0</w:t>
      </w:r>
      <w:r>
        <w:rPr>
          <w:rFonts w:hint="eastAsia"/>
          <w:sz w:val="24"/>
          <w:lang w:val="en-US" w:eastAsia="zh-CN"/>
        </w:rPr>
        <w:t>21</w:t>
      </w:r>
    </w:p>
    <w:p>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firstLine="482" w:firstLineChars="200"/>
        <w:textAlignment w:val="auto"/>
        <w:rPr>
          <w:rFonts w:hint="eastAsia"/>
          <w:lang w:eastAsia="zh-CN"/>
        </w:rPr>
      </w:pPr>
      <w:r>
        <w:rPr>
          <w:rFonts w:hint="eastAsia"/>
          <w:lang w:eastAsia="zh-CN"/>
        </w:rPr>
        <w:t>预算金额：</w:t>
      </w:r>
      <w:r>
        <w:rPr>
          <w:rFonts w:hint="eastAsia"/>
          <w:lang w:val="en-US" w:eastAsia="zh-CN"/>
        </w:rPr>
        <w:t>185</w:t>
      </w:r>
      <w:r>
        <w:rPr>
          <w:rFonts w:hint="eastAsia"/>
          <w:lang w:eastAsia="zh-CN"/>
        </w:rPr>
        <w:t>万元</w:t>
      </w:r>
    </w:p>
    <w:p>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firstLine="482" w:firstLineChars="200"/>
        <w:textAlignment w:val="auto"/>
        <w:rPr>
          <w:rFonts w:hint="eastAsia"/>
          <w:lang w:val="en-US" w:eastAsia="zh-CN"/>
        </w:rPr>
      </w:pPr>
      <w:r>
        <w:rPr>
          <w:rFonts w:hint="eastAsia"/>
          <w:lang w:eastAsia="zh-CN"/>
        </w:rPr>
        <w:t>最高限价（如有）：</w:t>
      </w:r>
      <w:r>
        <w:rPr>
          <w:rFonts w:hint="eastAsia"/>
          <w:lang w:val="en-US" w:eastAsia="zh-CN"/>
        </w:rPr>
        <w:t>/</w:t>
      </w:r>
    </w:p>
    <w:p>
      <w:pPr>
        <w:pStyle w:val="7"/>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firstLine="482" w:firstLineChars="200"/>
        <w:textAlignment w:val="auto"/>
      </w:pPr>
      <w:r>
        <w:rPr>
          <w:rFonts w:hint="eastAsia"/>
          <w:lang w:eastAsia="zh-CN"/>
        </w:rPr>
        <w:t>采购需求：</w:t>
      </w:r>
    </w:p>
    <w:tbl>
      <w:tblPr>
        <w:tblStyle w:val="15"/>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34"/>
        <w:gridCol w:w="1513"/>
        <w:gridCol w:w="1421"/>
        <w:gridCol w:w="1240"/>
        <w:gridCol w:w="148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2"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eastAsia="宋体" w:cs="宋体"/>
                <w:color w:val="auto"/>
                <w:sz w:val="24"/>
                <w:szCs w:val="24"/>
                <w:lang w:eastAsia="zh-CN"/>
              </w:rPr>
            </w:pPr>
            <w:r>
              <w:rPr>
                <w:rFonts w:hint="eastAsia" w:cs="宋体"/>
                <w:color w:val="auto"/>
                <w:sz w:val="24"/>
                <w:szCs w:val="24"/>
                <w:lang w:eastAsia="zh-CN"/>
              </w:rPr>
              <w:t>序号</w:t>
            </w:r>
          </w:p>
        </w:tc>
        <w:tc>
          <w:tcPr>
            <w:tcW w:w="1934"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firstLine="120" w:firstLineChars="50"/>
              <w:jc w:val="center"/>
              <w:textAlignment w:val="auto"/>
              <w:rPr>
                <w:rFonts w:ascii="宋体" w:cs="宋体"/>
                <w:color w:val="auto"/>
                <w:sz w:val="24"/>
                <w:szCs w:val="24"/>
              </w:rPr>
            </w:pPr>
            <w:r>
              <w:rPr>
                <w:rFonts w:hint="eastAsia" w:ascii="宋体" w:hAnsi="宋体" w:cs="宋体"/>
                <w:color w:val="auto"/>
                <w:sz w:val="24"/>
                <w:szCs w:val="24"/>
              </w:rPr>
              <w:t>项目名称</w:t>
            </w:r>
          </w:p>
        </w:tc>
        <w:tc>
          <w:tcPr>
            <w:tcW w:w="1513"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eastAsia="宋体" w:cs="宋体"/>
                <w:color w:val="auto"/>
                <w:sz w:val="24"/>
                <w:szCs w:val="24"/>
                <w:lang w:eastAsia="zh-CN"/>
              </w:rPr>
            </w:pPr>
            <w:r>
              <w:rPr>
                <w:rFonts w:hint="eastAsia" w:cs="宋体"/>
                <w:color w:val="auto"/>
                <w:kern w:val="0"/>
                <w:sz w:val="24"/>
                <w:szCs w:val="24"/>
                <w:lang w:eastAsia="zh-CN"/>
              </w:rPr>
              <w:t>项目内容</w:t>
            </w:r>
          </w:p>
        </w:tc>
        <w:tc>
          <w:tcPr>
            <w:tcW w:w="1421"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cs="宋体"/>
                <w:color w:val="auto"/>
                <w:sz w:val="24"/>
                <w:szCs w:val="24"/>
                <w:lang w:eastAsia="zh-CN"/>
              </w:rPr>
            </w:pPr>
          </w:p>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eastAsia="宋体" w:cs="宋体"/>
                <w:color w:val="auto"/>
                <w:sz w:val="24"/>
                <w:szCs w:val="24"/>
                <w:lang w:eastAsia="zh-CN"/>
              </w:rPr>
            </w:pPr>
            <w:r>
              <w:rPr>
                <w:rFonts w:hint="eastAsia" w:cs="宋体"/>
                <w:color w:val="auto"/>
                <w:sz w:val="24"/>
                <w:szCs w:val="24"/>
                <w:lang w:eastAsia="zh-CN"/>
              </w:rPr>
              <w:t>预算金额</w:t>
            </w:r>
          </w:p>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ascii="宋体" w:cs="宋体"/>
                <w:color w:val="auto"/>
                <w:sz w:val="24"/>
                <w:szCs w:val="24"/>
              </w:rPr>
            </w:pPr>
          </w:p>
        </w:tc>
        <w:tc>
          <w:tcPr>
            <w:tcW w:w="1240"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eastAsia="宋体" w:cs="宋体"/>
                <w:color w:val="auto"/>
                <w:sz w:val="24"/>
                <w:szCs w:val="24"/>
                <w:lang w:eastAsia="zh-CN"/>
              </w:rPr>
            </w:pPr>
            <w:r>
              <w:rPr>
                <w:rFonts w:hint="eastAsia" w:cs="宋体"/>
                <w:color w:val="auto"/>
                <w:sz w:val="24"/>
                <w:szCs w:val="24"/>
                <w:lang w:eastAsia="zh-CN"/>
              </w:rPr>
              <w:t>总金额</w:t>
            </w:r>
          </w:p>
        </w:tc>
        <w:tc>
          <w:tcPr>
            <w:tcW w:w="1485"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eastAsia="宋体" w:cs="宋体"/>
                <w:color w:val="auto"/>
                <w:sz w:val="24"/>
                <w:szCs w:val="24"/>
                <w:lang w:eastAsia="zh-CN"/>
              </w:rPr>
            </w:pPr>
            <w:r>
              <w:rPr>
                <w:rFonts w:hint="eastAsia" w:cs="宋体"/>
                <w:color w:val="auto"/>
                <w:sz w:val="24"/>
                <w:szCs w:val="24"/>
                <w:highlight w:val="none"/>
                <w:lang w:eastAsia="zh-CN"/>
              </w:rPr>
              <w:t>服务期限</w:t>
            </w:r>
          </w:p>
        </w:tc>
        <w:tc>
          <w:tcPr>
            <w:tcW w:w="1702" w:type="dxa"/>
            <w:vAlign w:val="center"/>
          </w:tcPr>
          <w:p>
            <w:pPr>
              <w:pStyle w:val="12"/>
              <w:keepNext w:val="0"/>
              <w:keepLines w:val="0"/>
              <w:pageBreakBefore w:val="0"/>
              <w:kinsoku/>
              <w:wordWrap/>
              <w:overflowPunct/>
              <w:topLinePunct w:val="0"/>
              <w:autoSpaceDE w:val="0"/>
              <w:autoSpaceDN w:val="0"/>
              <w:bidi w:val="0"/>
              <w:snapToGrid/>
              <w:spacing w:before="0" w:beforeAutospacing="0" w:after="0" w:afterAutospacing="0" w:line="360" w:lineRule="exact"/>
              <w:ind w:right="0"/>
              <w:jc w:val="center"/>
              <w:textAlignment w:val="auto"/>
              <w:rPr>
                <w:rFonts w:ascii="宋体" w:cs="宋体"/>
                <w:color w:val="auto"/>
                <w:sz w:val="24"/>
                <w:szCs w:val="24"/>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dxa"/>
            <w:vMerge w:val="restart"/>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eastAsia="宋体" w:cs="宋体"/>
                <w:color w:val="auto"/>
                <w:sz w:val="24"/>
                <w:szCs w:val="24"/>
                <w:lang w:val="en-US" w:eastAsia="zh-CN"/>
              </w:rPr>
            </w:pPr>
            <w:r>
              <w:rPr>
                <w:rFonts w:hint="eastAsia" w:ascii="宋体" w:cs="宋体"/>
                <w:color w:val="auto"/>
                <w:sz w:val="24"/>
                <w:szCs w:val="24"/>
                <w:lang w:val="en-US" w:eastAsia="zh-CN"/>
              </w:rPr>
              <w:t>1</w:t>
            </w:r>
          </w:p>
        </w:tc>
        <w:tc>
          <w:tcPr>
            <w:tcW w:w="1934" w:type="dxa"/>
            <w:vMerge w:val="restart"/>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both"/>
              <w:textAlignment w:val="auto"/>
              <w:rPr>
                <w:rFonts w:hint="eastAsia" w:ascii="宋体" w:hAnsi="宋体" w:cs="宋体"/>
                <w:color w:val="auto"/>
                <w:sz w:val="24"/>
                <w:szCs w:val="24"/>
              </w:rPr>
            </w:pPr>
            <w:r>
              <w:rPr>
                <w:rFonts w:hint="eastAsia" w:cs="宋体"/>
                <w:color w:val="auto"/>
                <w:sz w:val="24"/>
                <w:szCs w:val="24"/>
                <w:lang w:eastAsia="zh-CN"/>
              </w:rPr>
              <w:t>温岭市滨海镇环卫保洁及垃圾清运项目采购</w:t>
            </w:r>
          </w:p>
        </w:tc>
        <w:tc>
          <w:tcPr>
            <w:tcW w:w="1513"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eastAsia="宋体" w:cs="宋体"/>
                <w:color w:val="auto"/>
                <w:sz w:val="24"/>
                <w:szCs w:val="24"/>
                <w:lang w:eastAsia="zh-CN"/>
              </w:rPr>
            </w:pPr>
            <w:r>
              <w:rPr>
                <w:rFonts w:hint="eastAsia" w:cs="宋体"/>
                <w:color w:val="auto"/>
                <w:kern w:val="0"/>
                <w:sz w:val="24"/>
                <w:szCs w:val="24"/>
                <w:highlight w:val="none"/>
                <w:lang w:eastAsia="zh-CN"/>
              </w:rPr>
              <w:t>垃圾清扫</w:t>
            </w:r>
          </w:p>
        </w:tc>
        <w:tc>
          <w:tcPr>
            <w:tcW w:w="1421"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default" w:ascii="宋体" w:eastAsia="宋体" w:cs="宋体"/>
                <w:color w:val="FF0000"/>
                <w:sz w:val="24"/>
                <w:szCs w:val="24"/>
                <w:lang w:val="en-US" w:eastAsia="zh-CN"/>
              </w:rPr>
            </w:pPr>
            <w:r>
              <w:rPr>
                <w:rFonts w:hint="eastAsia" w:cs="宋体"/>
                <w:color w:val="FF0000"/>
                <w:sz w:val="24"/>
                <w:szCs w:val="24"/>
                <w:lang w:val="en-US" w:eastAsia="zh-CN"/>
              </w:rPr>
              <w:t>95万元</w:t>
            </w:r>
          </w:p>
        </w:tc>
        <w:tc>
          <w:tcPr>
            <w:tcW w:w="1240" w:type="dxa"/>
            <w:vMerge w:val="restart"/>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default" w:ascii="宋体" w:eastAsia="宋体" w:cs="宋体"/>
                <w:color w:val="FF0000"/>
                <w:sz w:val="24"/>
                <w:szCs w:val="24"/>
                <w:lang w:val="en-US" w:eastAsia="zh-CN"/>
              </w:rPr>
            </w:pPr>
            <w:r>
              <w:rPr>
                <w:rFonts w:hint="eastAsia" w:cs="宋体"/>
                <w:color w:val="FF0000"/>
                <w:sz w:val="24"/>
                <w:szCs w:val="24"/>
                <w:lang w:val="en-US" w:eastAsia="zh-CN"/>
              </w:rPr>
              <w:t>185万/年</w:t>
            </w:r>
          </w:p>
        </w:tc>
        <w:tc>
          <w:tcPr>
            <w:tcW w:w="1485" w:type="dxa"/>
            <w:vMerge w:val="restart"/>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default" w:ascii="宋体" w:eastAsia="宋体" w:cs="宋体"/>
                <w:color w:val="auto"/>
                <w:sz w:val="24"/>
                <w:szCs w:val="24"/>
                <w:lang w:val="en-US" w:eastAsia="zh-CN"/>
              </w:rPr>
            </w:pPr>
            <w:r>
              <w:rPr>
                <w:rFonts w:hint="eastAsia" w:cs="宋体"/>
                <w:color w:val="auto"/>
                <w:kern w:val="0"/>
                <w:sz w:val="24"/>
                <w:szCs w:val="24"/>
                <w:highlight w:val="none"/>
                <w:lang w:val="en-US" w:eastAsia="zh-CN"/>
              </w:rPr>
              <w:t>1+1+1</w:t>
            </w:r>
          </w:p>
        </w:tc>
        <w:tc>
          <w:tcPr>
            <w:tcW w:w="1702" w:type="dxa"/>
            <w:vMerge w:val="restart"/>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ascii="宋体" w:cs="宋体"/>
                <w:color w:val="auto"/>
                <w:sz w:val="24"/>
                <w:szCs w:val="24"/>
              </w:rPr>
            </w:pPr>
            <w:r>
              <w:rPr>
                <w:rFonts w:hint="eastAsia" w:ascii="宋体" w:hAnsi="宋体" w:cs="宋体"/>
                <w:color w:val="auto"/>
                <w:kern w:val="0"/>
                <w:sz w:val="24"/>
                <w:szCs w:val="24"/>
                <w:highlight w:val="none"/>
              </w:rPr>
              <w:t>具体要求详见采购需求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cs="宋体"/>
                <w:color w:val="auto"/>
                <w:sz w:val="24"/>
                <w:szCs w:val="24"/>
                <w:lang w:val="en-US" w:eastAsia="zh-CN"/>
              </w:rPr>
            </w:pPr>
          </w:p>
        </w:tc>
        <w:tc>
          <w:tcPr>
            <w:tcW w:w="1934"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both"/>
              <w:textAlignment w:val="auto"/>
              <w:rPr>
                <w:rFonts w:hint="eastAsia" w:cs="宋体"/>
                <w:color w:val="auto"/>
                <w:sz w:val="24"/>
                <w:szCs w:val="24"/>
                <w:lang w:eastAsia="zh-CN"/>
              </w:rPr>
            </w:pPr>
          </w:p>
        </w:tc>
        <w:tc>
          <w:tcPr>
            <w:tcW w:w="1513" w:type="dxa"/>
            <w:vMerge w:val="restart"/>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hAnsi="宋体" w:cs="宋体"/>
                <w:color w:val="auto"/>
                <w:kern w:val="0"/>
                <w:sz w:val="24"/>
                <w:szCs w:val="24"/>
                <w:highlight w:val="none"/>
                <w:lang w:eastAsia="zh-CN"/>
              </w:rPr>
            </w:pPr>
            <w:r>
              <w:rPr>
                <w:rFonts w:hint="eastAsia" w:cs="宋体"/>
                <w:color w:val="auto"/>
                <w:kern w:val="0"/>
                <w:sz w:val="24"/>
                <w:szCs w:val="24"/>
                <w:highlight w:val="none"/>
                <w:lang w:eastAsia="zh-CN"/>
              </w:rPr>
              <w:t>垃圾清运</w:t>
            </w:r>
          </w:p>
        </w:tc>
        <w:tc>
          <w:tcPr>
            <w:tcW w:w="1421"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default" w:ascii="宋体" w:cs="宋体"/>
                <w:color w:val="FF0000"/>
                <w:sz w:val="24"/>
                <w:szCs w:val="24"/>
                <w:lang w:val="en-US" w:eastAsia="zh-CN"/>
              </w:rPr>
            </w:pPr>
            <w:r>
              <w:rPr>
                <w:rFonts w:hint="eastAsia" w:cs="宋体"/>
                <w:color w:val="FF0000"/>
                <w:sz w:val="24"/>
                <w:szCs w:val="24"/>
                <w:lang w:val="en-US" w:eastAsia="zh-CN"/>
              </w:rPr>
              <w:t>45元/吨</w:t>
            </w:r>
          </w:p>
        </w:tc>
        <w:tc>
          <w:tcPr>
            <w:tcW w:w="1240"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cs="宋体"/>
                <w:color w:val="FF0000"/>
                <w:sz w:val="24"/>
                <w:szCs w:val="24"/>
                <w:lang w:val="en-US" w:eastAsia="zh-CN"/>
              </w:rPr>
            </w:pPr>
          </w:p>
        </w:tc>
        <w:tc>
          <w:tcPr>
            <w:tcW w:w="1485"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ascii="宋体" w:cs="宋体"/>
                <w:color w:val="auto"/>
                <w:sz w:val="24"/>
                <w:szCs w:val="24"/>
              </w:rPr>
            </w:pPr>
          </w:p>
        </w:tc>
        <w:tc>
          <w:tcPr>
            <w:tcW w:w="1702" w:type="dxa"/>
            <w:vMerge w:val="continue"/>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cs="宋体"/>
                <w:color w:val="auto"/>
                <w:sz w:val="24"/>
                <w:szCs w:val="24"/>
                <w:lang w:val="en-US" w:eastAsia="zh-CN"/>
              </w:rPr>
            </w:pPr>
          </w:p>
        </w:tc>
        <w:tc>
          <w:tcPr>
            <w:tcW w:w="1934"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both"/>
              <w:textAlignment w:val="auto"/>
              <w:rPr>
                <w:rFonts w:hint="eastAsia" w:cs="宋体"/>
                <w:color w:val="auto"/>
                <w:sz w:val="24"/>
                <w:szCs w:val="24"/>
                <w:lang w:eastAsia="zh-CN"/>
              </w:rPr>
            </w:pPr>
          </w:p>
        </w:tc>
        <w:tc>
          <w:tcPr>
            <w:tcW w:w="1513" w:type="dxa"/>
            <w:vMerge w:val="continue"/>
            <w:vAlign w:val="top"/>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cs="宋体"/>
                <w:color w:val="auto"/>
                <w:kern w:val="0"/>
                <w:sz w:val="24"/>
                <w:szCs w:val="24"/>
                <w:highlight w:val="none"/>
                <w:lang w:eastAsia="zh-CN"/>
              </w:rPr>
            </w:pPr>
          </w:p>
        </w:tc>
        <w:tc>
          <w:tcPr>
            <w:tcW w:w="1421" w:type="dxa"/>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default" w:ascii="宋体" w:cs="宋体"/>
                <w:color w:val="auto"/>
                <w:sz w:val="24"/>
                <w:szCs w:val="24"/>
                <w:lang w:val="en-US" w:eastAsia="zh-CN"/>
              </w:rPr>
            </w:pPr>
            <w:r>
              <w:rPr>
                <w:rFonts w:hint="eastAsia" w:cs="宋体"/>
                <w:color w:val="auto"/>
                <w:sz w:val="24"/>
                <w:szCs w:val="24"/>
                <w:lang w:eastAsia="zh-CN"/>
              </w:rPr>
              <w:t>约</w:t>
            </w:r>
            <w:r>
              <w:rPr>
                <w:rFonts w:hint="eastAsia" w:cs="宋体"/>
                <w:color w:val="auto"/>
                <w:sz w:val="24"/>
                <w:szCs w:val="24"/>
                <w:lang w:val="en-US" w:eastAsia="zh-CN"/>
              </w:rPr>
              <w:t>2万吨</w:t>
            </w:r>
          </w:p>
        </w:tc>
        <w:tc>
          <w:tcPr>
            <w:tcW w:w="1240"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cs="宋体"/>
                <w:color w:val="auto"/>
                <w:sz w:val="24"/>
                <w:szCs w:val="24"/>
                <w:lang w:val="en-US" w:eastAsia="zh-CN"/>
              </w:rPr>
            </w:pPr>
          </w:p>
        </w:tc>
        <w:tc>
          <w:tcPr>
            <w:tcW w:w="1485" w:type="dxa"/>
            <w:vMerge w:val="continue"/>
            <w:vAlign w:val="center"/>
          </w:tcPr>
          <w:p>
            <w:pPr>
              <w:keepNext w:val="0"/>
              <w:keepLines w:val="0"/>
              <w:pageBreakBefore w:val="0"/>
              <w:tabs>
                <w:tab w:val="left" w:pos="8280"/>
              </w:tabs>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ascii="宋体" w:cs="宋体"/>
                <w:color w:val="auto"/>
                <w:sz w:val="24"/>
                <w:szCs w:val="24"/>
              </w:rPr>
            </w:pPr>
          </w:p>
        </w:tc>
        <w:tc>
          <w:tcPr>
            <w:tcW w:w="1702" w:type="dxa"/>
            <w:vMerge w:val="continue"/>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360" w:lineRule="exact"/>
              <w:ind w:right="0"/>
              <w:jc w:val="center"/>
              <w:textAlignment w:val="auto"/>
              <w:rPr>
                <w:rFonts w:hint="eastAsia" w:ascii="宋体" w:hAnsi="宋体" w:cs="宋体"/>
                <w:color w:val="auto"/>
                <w:kern w:val="0"/>
                <w:sz w:val="24"/>
                <w:szCs w:val="24"/>
                <w:highlight w:val="none"/>
              </w:rPr>
            </w:pPr>
          </w:p>
        </w:tc>
      </w:tr>
    </w:tbl>
    <w:p>
      <w:pPr>
        <w:keepNext w:val="0"/>
        <w:keepLines w:val="0"/>
        <w:pageBreakBefore w:val="0"/>
        <w:kinsoku/>
        <w:wordWrap/>
        <w:overflowPunct/>
        <w:topLinePunct w:val="0"/>
        <w:bidi w:val="0"/>
        <w:adjustRightInd/>
        <w:spacing w:before="0" w:line="360" w:lineRule="exact"/>
        <w:ind w:left="0" w:leftChars="0" w:right="0" w:firstLine="482" w:firstLineChars="200"/>
        <w:jc w:val="left"/>
        <w:textAlignment w:val="auto"/>
        <w:rPr>
          <w:b/>
          <w:sz w:val="24"/>
        </w:rPr>
      </w:pPr>
      <w:r>
        <w:rPr>
          <w:rFonts w:hint="eastAsia"/>
          <w:b/>
          <w:sz w:val="24"/>
          <w:lang w:eastAsia="zh-CN"/>
        </w:rPr>
        <w:t>二</w:t>
      </w:r>
      <w:r>
        <w:rPr>
          <w:b/>
          <w:sz w:val="24"/>
        </w:rPr>
        <w:t>、</w:t>
      </w:r>
      <w:r>
        <w:rPr>
          <w:rFonts w:hint="eastAsia"/>
          <w:b/>
          <w:sz w:val="24"/>
        </w:rPr>
        <w:t>申请人的资格要求</w:t>
      </w:r>
      <w:r>
        <w:rPr>
          <w:b/>
          <w:sz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80" w:firstLineChars="200"/>
        <w:textAlignment w:val="auto"/>
      </w:pPr>
      <w:r>
        <w:t>（一）符合《中华人民共和国政府采购法》第二十二条规定的投标人资格条件。1、具有独立承担民事责任的能力；</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2、具有良好的商业信誉和健全的财务会计制度；</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3、具有履行合同所必需的设备和专业技术能力；</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4、有依法缴纳税收和社会保障资金的良好记录；</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5、参加政府采购活动前三年内，在经营活动中没有重大违法记录；</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6、法律、行政法规规定的其他条件。</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（二）特定资格条件：无。</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（三）本项目不接受联合体投标；</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（四）截止投标截止时间前（北京时间），投标人未被“信用中国”</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fldChar w:fldCharType="begin"/>
      </w:r>
      <w:r>
        <w:instrText xml:space="preserve"> HYPERLINK "http://www.creditchina.gov.cn/" \h </w:instrText>
      </w:r>
      <w:r>
        <w:fldChar w:fldCharType="separate"/>
      </w:r>
      <w:r>
        <w:t>（www.creditchina.gov.cn</w:t>
      </w:r>
      <w:r>
        <w:fldChar w:fldCharType="end"/>
      </w:r>
      <w:r>
        <w:t>）</w:t>
      </w:r>
      <w:r>
        <w:rPr>
          <w:spacing w:val="-8"/>
        </w:rPr>
        <w:t>、“中国政府采购网</w:t>
      </w:r>
      <w:r>
        <w:rPr>
          <w:spacing w:val="-5"/>
        </w:rPr>
        <w:t>”（</w:t>
      </w:r>
      <w:r>
        <w:fldChar w:fldCharType="begin"/>
      </w:r>
      <w:r>
        <w:instrText xml:space="preserve"> HYPERLINK "http://www.ccgp.gov.cn/" \h </w:instrText>
      </w:r>
      <w:r>
        <w:fldChar w:fldCharType="separate"/>
      </w:r>
      <w:r>
        <w:rPr>
          <w:spacing w:val="-5"/>
        </w:rPr>
        <w:t>www.ccgp.gov.cn</w:t>
      </w:r>
      <w:r>
        <w:rPr>
          <w:spacing w:val="-5"/>
        </w:rPr>
        <w:fldChar w:fldCharType="end"/>
      </w:r>
      <w:r>
        <w:rPr>
          <w:spacing w:val="-5"/>
        </w:rPr>
        <w:t>）</w:t>
      </w:r>
      <w:r>
        <w:t>列入失信被执行人、重大税收违法案件当事人名单、政府采购严重违法失信行为记录名单。</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（五）单位负责人为同一人或者存在直接控股、管理关系的不同供应商，不得参加同一合同项下的政府采购活动。</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（六）为采购项目提供整体设计、规范编制或者项目管理、监理、检测等服务的供应商， 不得再参加该采购项目的其他采购活动。</w:t>
      </w:r>
    </w:p>
    <w:p>
      <w:pPr>
        <w:pStyle w:val="7"/>
        <w:keepNext w:val="0"/>
        <w:keepLines w:val="0"/>
        <w:pageBreakBefore w:val="0"/>
        <w:kinsoku/>
        <w:wordWrap/>
        <w:overflowPunct/>
        <w:topLinePunct w:val="0"/>
        <w:bidi w:val="0"/>
        <w:adjustRightInd/>
        <w:spacing w:before="0" w:line="360" w:lineRule="exact"/>
        <w:ind w:left="0" w:leftChars="0" w:right="0" w:firstLine="482" w:firstLineChars="200"/>
        <w:textAlignment w:val="auto"/>
      </w:pPr>
      <w:bookmarkStart w:id="1" w:name="六、招标文件的获取时间、地址及方式："/>
      <w:bookmarkEnd w:id="1"/>
      <w:r>
        <w:rPr>
          <w:rFonts w:hint="eastAsia"/>
          <w:lang w:eastAsia="zh-CN"/>
        </w:rPr>
        <w:t>三</w:t>
      </w:r>
      <w:r>
        <w:t>、</w:t>
      </w:r>
      <w:r>
        <w:rPr>
          <w:rFonts w:hint="eastAsia" w:ascii="宋体" w:hAnsi="宋体" w:eastAsia="宋体" w:cs="宋体"/>
          <w:b/>
          <w:sz w:val="24"/>
          <w:szCs w:val="24"/>
        </w:rPr>
        <w:t>获取招标文件</w:t>
      </w:r>
      <w:r>
        <w:t>：</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（一）获取时间：公告发布时间至投标截止时间</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（二）获取地址：浙江政府采购网“政府采购云平台”</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（三）获取方式：</w:t>
      </w:r>
    </w:p>
    <w:p>
      <w:pPr>
        <w:pStyle w:val="1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360" w:lineRule="exact"/>
        <w:ind w:leftChars="0" w:right="0" w:rightChars="0" w:firstLine="476" w:firstLineChars="200"/>
        <w:jc w:val="left"/>
        <w:textAlignment w:val="auto"/>
        <w:rPr>
          <w:sz w:val="24"/>
        </w:rPr>
      </w:pPr>
      <w:r>
        <w:rPr>
          <w:rFonts w:hint="eastAsia"/>
          <w:spacing w:val="-1"/>
          <w:sz w:val="24"/>
          <w:lang w:val="en-US" w:eastAsia="zh-CN"/>
        </w:rPr>
        <w:t>1.</w:t>
      </w:r>
      <w:r>
        <w:rPr>
          <w:spacing w:val="-1"/>
          <w:sz w:val="24"/>
        </w:rPr>
        <w:t>尚未注册浙江政府采购网正式供应商的应先进行注册申请，注册流程详见“浙江政府</w:t>
      </w:r>
      <w:r>
        <w:rPr>
          <w:sz w:val="24"/>
        </w:rPr>
        <w:t>采购网—网上办事指南—供应商注册申请”，注册申请免费。</w:t>
      </w:r>
    </w:p>
    <w:p>
      <w:pPr>
        <w:pStyle w:val="1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360" w:lineRule="exact"/>
        <w:ind w:leftChars="0" w:right="0" w:rightChars="0" w:firstLine="432" w:firstLineChars="200"/>
        <w:jc w:val="both"/>
        <w:textAlignment w:val="auto"/>
        <w:rPr>
          <w:sz w:val="24"/>
        </w:rPr>
      </w:pPr>
      <w:r>
        <w:rPr>
          <w:rFonts w:hint="eastAsia"/>
          <w:spacing w:val="-12"/>
          <w:sz w:val="24"/>
          <w:lang w:val="en-US" w:eastAsia="zh-CN"/>
        </w:rPr>
        <w:t>2.</w:t>
      </w:r>
      <w:r>
        <w:rPr>
          <w:spacing w:val="-12"/>
          <w:sz w:val="24"/>
        </w:rPr>
        <w:t>供应商注册成功后，登录“政采云”平台进入“项目采购”应用模块，点击菜单的“申请</w:t>
      </w:r>
      <w:r>
        <w:rPr>
          <w:spacing w:val="4"/>
          <w:sz w:val="24"/>
        </w:rPr>
        <w:t>获取采购文件”，填写获取采购文件的申请信息。点击“下载采购文件”即可获取采购文件。</w:t>
      </w:r>
    </w:p>
    <w:p>
      <w:pPr>
        <w:pStyle w:val="1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pPr>
      <w:r>
        <w:rPr>
          <w:rFonts w:hint="eastAsia"/>
          <w:sz w:val="24"/>
          <w:lang w:val="en-US" w:eastAsia="zh-CN"/>
        </w:rPr>
        <w:t>3.</w:t>
      </w:r>
      <w:r>
        <w:rPr>
          <w:sz w:val="24"/>
        </w:rPr>
        <w:t>采购公告上附件里的采购文件仅供阅览使用，供应商应当在“政采云”平台注册登记后再获取采购文件，没有通过注册登记而获取采购文件的潜在供应商，对采购文件提起质疑投诉的，不予受理。</w:t>
      </w:r>
    </w:p>
    <w:p>
      <w:pPr>
        <w:pStyle w:val="19"/>
        <w:keepNext w:val="0"/>
        <w:keepLines w:val="0"/>
        <w:pageBreakBefore w:val="0"/>
        <w:widowControl w:val="0"/>
        <w:numPr>
          <w:ilvl w:val="0"/>
          <w:numId w:val="0"/>
        </w:numPr>
        <w:tabs>
          <w:tab w:val="left" w:pos="1235"/>
        </w:tabs>
        <w:kinsoku/>
        <w:wordWrap/>
        <w:overflowPunct/>
        <w:topLinePunct w:val="0"/>
        <w:autoSpaceDE w:val="0"/>
        <w:autoSpaceDN w:val="0"/>
        <w:bidi w:val="0"/>
        <w:adjustRightInd/>
        <w:snapToGrid/>
        <w:spacing w:before="0" w:after="0" w:line="360" w:lineRule="exact"/>
        <w:ind w:leftChars="0" w:right="0" w:rightChars="0" w:firstLine="480" w:firstLineChars="200"/>
        <w:jc w:val="left"/>
        <w:textAlignment w:val="auto"/>
        <w:rPr>
          <w:spacing w:val="-6"/>
          <w:sz w:val="24"/>
        </w:rPr>
      </w:pPr>
      <w:r>
        <w:rPr>
          <w:rFonts w:hint="eastAsia"/>
          <w:sz w:val="24"/>
          <w:lang w:val="en-US" w:eastAsia="zh-CN"/>
        </w:rPr>
        <w:t>4.</w:t>
      </w:r>
      <w:r>
        <w:rPr>
          <w:spacing w:val="-6"/>
          <w:sz w:val="24"/>
        </w:rPr>
        <w:t>采购代理机构将拒绝接受非通过以上方式获取采购文件的供应商投标文件。</w:t>
      </w:r>
    </w:p>
    <w:p>
      <w:pPr>
        <w:keepNext w:val="0"/>
        <w:keepLines w:val="0"/>
        <w:pageBreakBefore w:val="0"/>
        <w:numPr>
          <w:ilvl w:val="0"/>
          <w:numId w:val="0"/>
        </w:numPr>
        <w:kinsoku/>
        <w:wordWrap/>
        <w:overflowPunct/>
        <w:topLinePunct w:val="0"/>
        <w:bidi w:val="0"/>
        <w:adjustRightInd/>
        <w:spacing w:before="0" w:line="360" w:lineRule="exact"/>
        <w:ind w:left="0" w:leftChars="0" w:right="0" w:rightChars="0" w:firstLine="482" w:firstLineChars="200"/>
        <w:jc w:val="left"/>
        <w:textAlignment w:val="auto"/>
        <w:rPr>
          <w:b/>
          <w:sz w:val="24"/>
        </w:rPr>
      </w:pPr>
      <w:r>
        <w:rPr>
          <w:rFonts w:hint="eastAsia"/>
          <w:b/>
          <w:sz w:val="24"/>
          <w:lang w:val="zh-CN" w:eastAsia="zh-CN"/>
        </w:rPr>
        <w:t>四、提交投标文件截止时间、开标时间和地点</w:t>
      </w:r>
      <w:r>
        <w:rPr>
          <w:b/>
          <w:sz w:val="24"/>
        </w:rPr>
        <w:t>：</w:t>
      </w:r>
    </w:p>
    <w:p>
      <w:pPr>
        <w:keepNext w:val="0"/>
        <w:keepLines w:val="0"/>
        <w:pageBreakBefore w:val="0"/>
        <w:numPr>
          <w:ilvl w:val="0"/>
          <w:numId w:val="0"/>
        </w:numPr>
        <w:kinsoku/>
        <w:wordWrap/>
        <w:overflowPunct/>
        <w:topLinePunct w:val="0"/>
        <w:bidi w:val="0"/>
        <w:adjustRightInd/>
        <w:spacing w:before="0" w:line="360" w:lineRule="exact"/>
        <w:ind w:left="0" w:leftChars="0" w:right="0" w:rightChars="0" w:firstLine="456" w:firstLineChars="200"/>
        <w:jc w:val="left"/>
        <w:textAlignment w:val="auto"/>
        <w:rPr>
          <w:sz w:val="24"/>
        </w:rPr>
      </w:pPr>
      <w:r>
        <w:rPr>
          <w:rFonts w:hint="eastAsia" w:ascii="宋体" w:hAnsi="宋体" w:eastAsia="宋体" w:cs="宋体"/>
          <w:spacing w:val="-6"/>
          <w:kern w:val="2"/>
          <w:sz w:val="24"/>
          <w:szCs w:val="24"/>
          <w:lang w:val="en-US" w:eastAsia="zh-CN" w:bidi="zh-CN"/>
        </w:rPr>
        <w:t>1、</w:t>
      </w:r>
      <w:r>
        <w:rPr>
          <w:rFonts w:hint="eastAsia" w:ascii="宋体" w:hAnsi="宋体" w:eastAsia="宋体" w:cs="宋体"/>
          <w:spacing w:val="-6"/>
          <w:kern w:val="2"/>
          <w:sz w:val="24"/>
          <w:szCs w:val="24"/>
          <w:lang w:val="zh-CN" w:eastAsia="zh-CN" w:bidi="zh-CN"/>
        </w:rPr>
        <w:t>投标截止时间</w:t>
      </w:r>
      <w:r>
        <w:rPr>
          <w:rFonts w:hint="eastAsia"/>
          <w:sz w:val="24"/>
          <w:lang w:val="en-US" w:eastAsia="zh-CN"/>
        </w:rPr>
        <w:t>2022</w:t>
      </w:r>
      <w:r>
        <w:rPr>
          <w:sz w:val="24"/>
        </w:rPr>
        <w:t>年</w:t>
      </w:r>
      <w:r>
        <w:rPr>
          <w:rFonts w:hint="eastAsia"/>
          <w:sz w:val="24"/>
          <w:lang w:val="en-US" w:eastAsia="zh-CN"/>
        </w:rPr>
        <w:t>1</w:t>
      </w:r>
      <w:r>
        <w:rPr>
          <w:sz w:val="24"/>
        </w:rPr>
        <w:t>月</w:t>
      </w:r>
      <w:r>
        <w:rPr>
          <w:rFonts w:hint="eastAsia"/>
          <w:sz w:val="24"/>
          <w:lang w:val="en-US" w:eastAsia="zh-CN"/>
        </w:rPr>
        <w:t>5</w:t>
      </w:r>
      <w:r>
        <w:rPr>
          <w:sz w:val="24"/>
        </w:rPr>
        <w:t>日上午9:00:00</w:t>
      </w:r>
    </w:p>
    <w:p>
      <w:pPr>
        <w:keepNext w:val="0"/>
        <w:keepLines w:val="0"/>
        <w:pageBreakBefore w:val="0"/>
        <w:kinsoku/>
        <w:wordWrap/>
        <w:overflowPunct/>
        <w:topLinePunct w:val="0"/>
        <w:bidi w:val="0"/>
        <w:adjustRightInd/>
        <w:spacing w:before="0" w:line="360" w:lineRule="exact"/>
        <w:ind w:left="0" w:leftChars="0" w:right="0" w:firstLine="382" w:firstLineChars="200"/>
        <w:jc w:val="left"/>
        <w:textAlignment w:val="auto"/>
        <w:rPr>
          <w:rFonts w:ascii="宋体" w:hAnsi="宋体" w:eastAsia="宋体" w:cs="宋体"/>
          <w:sz w:val="24"/>
          <w:szCs w:val="24"/>
          <w:lang w:val="zh-CN" w:eastAsia="zh-CN" w:bidi="zh-CN"/>
        </w:rPr>
      </w:pPr>
      <w:r>
        <w:rPr>
          <w:rFonts w:hint="eastAsia"/>
          <w:b/>
          <w:spacing w:val="-15"/>
          <w:sz w:val="22"/>
          <w:lang w:val="en-US" w:eastAsia="zh-CN"/>
        </w:rPr>
        <w:t>2</w:t>
      </w:r>
      <w:r>
        <w:rPr>
          <w:b/>
          <w:spacing w:val="-15"/>
          <w:sz w:val="22"/>
        </w:rPr>
        <w:t>、投标地点：</w:t>
      </w:r>
      <w:r>
        <w:rPr>
          <w:spacing w:val="-1"/>
          <w:sz w:val="24"/>
          <w:szCs w:val="24"/>
        </w:rPr>
        <w:t>投标人应于</w:t>
      </w:r>
      <w:r>
        <w:rPr>
          <w:rFonts w:hint="eastAsia"/>
          <w:sz w:val="24"/>
          <w:lang w:val="en-US" w:eastAsia="zh-CN"/>
        </w:rPr>
        <w:t>2022</w:t>
      </w:r>
      <w:r>
        <w:rPr>
          <w:sz w:val="24"/>
        </w:rPr>
        <w:t>年</w:t>
      </w:r>
      <w:r>
        <w:rPr>
          <w:rFonts w:hint="eastAsia"/>
          <w:sz w:val="24"/>
          <w:lang w:val="en-US" w:eastAsia="zh-CN"/>
        </w:rPr>
        <w:t>1</w:t>
      </w:r>
      <w:r>
        <w:rPr>
          <w:sz w:val="24"/>
        </w:rPr>
        <w:t>月</w:t>
      </w:r>
      <w:r>
        <w:rPr>
          <w:rFonts w:hint="eastAsia"/>
          <w:sz w:val="24"/>
          <w:lang w:val="en-US" w:eastAsia="zh-CN"/>
        </w:rPr>
        <w:t>5</w:t>
      </w:r>
      <w:r>
        <w:rPr>
          <w:sz w:val="24"/>
        </w:rPr>
        <w:t>日上午9:00:00</w:t>
      </w:r>
      <w:r>
        <w:rPr>
          <w:rFonts w:ascii="宋体" w:hAnsi="宋体" w:eastAsia="宋体" w:cs="宋体"/>
          <w:sz w:val="24"/>
          <w:szCs w:val="24"/>
          <w:lang w:val="zh-CN" w:eastAsia="zh-CN" w:bidi="zh-CN"/>
        </w:rPr>
        <w:t>之前将电子投标文件上传到“政府采购云平台”</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82" w:firstLineChars="200"/>
        <w:jc w:val="left"/>
        <w:textAlignment w:val="auto"/>
        <w:rPr>
          <w:rFonts w:hint="eastAsia"/>
          <w:sz w:val="24"/>
          <w:lang w:val="en-US" w:eastAsia="zh-CN"/>
        </w:rPr>
      </w:pPr>
      <w:r>
        <w:rPr>
          <w:rFonts w:hint="eastAsia"/>
          <w:b/>
          <w:sz w:val="24"/>
          <w:lang w:val="en-US" w:eastAsia="zh-CN"/>
        </w:rPr>
        <w:t>3</w:t>
      </w:r>
      <w:r>
        <w:rPr>
          <w:b/>
          <w:sz w:val="24"/>
        </w:rPr>
        <w:t>、开标时间：</w:t>
      </w:r>
      <w:r>
        <w:rPr>
          <w:rFonts w:hint="eastAsia"/>
          <w:spacing w:val="17"/>
          <w:sz w:val="24"/>
          <w:lang w:val="en-US" w:eastAsia="zh-CN"/>
        </w:rPr>
        <w:t>2022</w:t>
      </w:r>
      <w:r>
        <w:rPr>
          <w:spacing w:val="17"/>
          <w:sz w:val="24"/>
        </w:rPr>
        <w:t>年</w:t>
      </w:r>
      <w:r>
        <w:rPr>
          <w:rFonts w:hint="eastAsia"/>
          <w:spacing w:val="17"/>
          <w:sz w:val="24"/>
          <w:lang w:val="en-US" w:eastAsia="zh-CN"/>
        </w:rPr>
        <w:t>1</w:t>
      </w:r>
      <w:r>
        <w:rPr>
          <w:spacing w:val="17"/>
          <w:sz w:val="24"/>
        </w:rPr>
        <w:t>月</w:t>
      </w:r>
      <w:r>
        <w:rPr>
          <w:rFonts w:hint="eastAsia"/>
          <w:spacing w:val="17"/>
          <w:sz w:val="24"/>
          <w:lang w:val="en-US" w:eastAsia="zh-CN"/>
        </w:rPr>
        <w:t>5</w:t>
      </w:r>
      <w:r>
        <w:rPr>
          <w:spacing w:val="17"/>
          <w:sz w:val="24"/>
        </w:rPr>
        <w:t>日上午9:00:00</w:t>
      </w:r>
      <w:r>
        <w:rPr>
          <w:rFonts w:hint="eastAsia"/>
          <w:spacing w:val="17"/>
          <w:sz w:val="24"/>
          <w:lang w:val="zh-CN" w:eastAsia="zh-CN"/>
        </w:rPr>
        <w:t>开标时间后30分钟内（202</w:t>
      </w:r>
      <w:r>
        <w:rPr>
          <w:rFonts w:hint="eastAsia"/>
          <w:spacing w:val="17"/>
          <w:sz w:val="24"/>
          <w:lang w:val="en-US" w:eastAsia="zh-CN"/>
        </w:rPr>
        <w:t>2</w:t>
      </w:r>
      <w:r>
        <w:rPr>
          <w:rFonts w:hint="eastAsia"/>
          <w:spacing w:val="17"/>
          <w:sz w:val="24"/>
          <w:lang w:val="zh-CN" w:eastAsia="zh-CN"/>
        </w:rPr>
        <w:t>-</w:t>
      </w:r>
      <w:r>
        <w:rPr>
          <w:rFonts w:hint="eastAsia"/>
          <w:spacing w:val="17"/>
          <w:sz w:val="24"/>
          <w:lang w:val="en-US" w:eastAsia="zh-CN"/>
        </w:rPr>
        <w:t>1</w:t>
      </w:r>
      <w:r>
        <w:rPr>
          <w:rFonts w:hint="eastAsia"/>
          <w:spacing w:val="17"/>
          <w:sz w:val="24"/>
          <w:lang w:val="zh-CN" w:eastAsia="zh-CN"/>
        </w:rPr>
        <w:t>-</w:t>
      </w:r>
      <w:r>
        <w:rPr>
          <w:rFonts w:hint="eastAsia"/>
          <w:spacing w:val="17"/>
          <w:sz w:val="24"/>
          <w:lang w:val="en-US" w:eastAsia="zh-CN"/>
        </w:rPr>
        <w:t>5</w:t>
      </w:r>
      <w:r>
        <w:rPr>
          <w:rFonts w:hint="eastAsia"/>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exact"/>
        <w:ind w:right="0"/>
        <w:jc w:val="left"/>
        <w:textAlignment w:val="auto"/>
        <w:rPr>
          <w:rFonts w:hint="eastAsia"/>
          <w:sz w:val="24"/>
          <w:lang w:val="zh-CN" w:eastAsia="zh-CN"/>
        </w:rPr>
      </w:pPr>
      <w:r>
        <w:rPr>
          <w:rFonts w:hint="eastAsia"/>
          <w:sz w:val="24"/>
          <w:lang w:val="zh-CN" w:eastAsia="zh-CN"/>
        </w:rPr>
        <w:t>上午</w:t>
      </w:r>
      <w:r>
        <w:rPr>
          <w:rFonts w:hint="eastAsia"/>
          <w:sz w:val="24"/>
          <w:lang w:val="en-US" w:eastAsia="zh-CN"/>
        </w:rPr>
        <w:t>9</w:t>
      </w:r>
      <w:r>
        <w:rPr>
          <w:rFonts w:hint="eastAsia"/>
          <w:sz w:val="24"/>
          <w:lang w:val="zh-CN" w:eastAsia="zh-CN"/>
        </w:rPr>
        <w:t>:30:00），供应商须登录“政采云”平台，用“项目采购-开标评标”功能解密投标文件。</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82" w:firstLineChars="200"/>
        <w:jc w:val="left"/>
        <w:textAlignment w:val="auto"/>
        <w:rPr>
          <w:spacing w:val="-2"/>
          <w:sz w:val="24"/>
        </w:rPr>
      </w:pPr>
      <w:r>
        <w:rPr>
          <w:rFonts w:hint="eastAsia"/>
          <w:b/>
          <w:sz w:val="24"/>
          <w:lang w:val="en-US" w:eastAsia="zh-CN"/>
        </w:rPr>
        <w:t>4</w:t>
      </w:r>
      <w:r>
        <w:rPr>
          <w:b/>
          <w:sz w:val="24"/>
        </w:rPr>
        <w:t>、开标地址：</w:t>
      </w:r>
      <w:r>
        <w:rPr>
          <w:spacing w:val="-2"/>
          <w:sz w:val="24"/>
        </w:rPr>
        <w:t>“政府采购云平台”线上开标</w:t>
      </w:r>
    </w:p>
    <w:p>
      <w:pPr>
        <w:pStyle w:val="7"/>
        <w:keepNext w:val="0"/>
        <w:keepLines w:val="0"/>
        <w:pageBreakBefore w:val="0"/>
        <w:kinsoku/>
        <w:wordWrap/>
        <w:overflowPunct/>
        <w:topLinePunct w:val="0"/>
        <w:bidi w:val="0"/>
        <w:adjustRightInd/>
        <w:spacing w:before="0" w:line="360" w:lineRule="exact"/>
        <w:ind w:left="0" w:leftChars="0" w:right="0" w:firstLine="482" w:firstLineChars="200"/>
        <w:textAlignment w:val="auto"/>
        <w:rPr>
          <w:rFonts w:hint="eastAsia"/>
          <w:lang w:val="zh-CN" w:eastAsia="zh-CN"/>
        </w:rPr>
      </w:pPr>
      <w:bookmarkStart w:id="2" w:name="十二、电子招投标相关事宜："/>
      <w:bookmarkEnd w:id="2"/>
      <w:r>
        <w:rPr>
          <w:rFonts w:hint="eastAsia"/>
          <w:lang w:val="zh-CN" w:eastAsia="zh-CN"/>
        </w:rPr>
        <w:t>五、公告期限：自本公告发布之日起5个工作日。</w:t>
      </w:r>
    </w:p>
    <w:p>
      <w:pPr>
        <w:pStyle w:val="7"/>
        <w:keepNext w:val="0"/>
        <w:keepLines w:val="0"/>
        <w:pageBreakBefore w:val="0"/>
        <w:kinsoku/>
        <w:wordWrap/>
        <w:overflowPunct/>
        <w:topLinePunct w:val="0"/>
        <w:bidi w:val="0"/>
        <w:adjustRightInd/>
        <w:spacing w:before="0" w:line="360" w:lineRule="exact"/>
        <w:ind w:left="0" w:leftChars="0" w:right="0" w:firstLine="482" w:firstLineChars="200"/>
        <w:textAlignment w:val="auto"/>
        <w:rPr>
          <w:rFonts w:hint="eastAsia"/>
          <w:lang w:val="zh-CN" w:eastAsia="zh-CN"/>
        </w:rPr>
      </w:pPr>
      <w:r>
        <w:rPr>
          <w:rFonts w:hint="eastAsia"/>
          <w:lang w:val="zh-CN" w:eastAsia="zh-CN"/>
        </w:rPr>
        <w:t>六、其他补充事宜</w:t>
      </w:r>
    </w:p>
    <w:p>
      <w:pPr>
        <w:pStyle w:val="7"/>
        <w:keepNext w:val="0"/>
        <w:keepLines w:val="0"/>
        <w:pageBreakBefore w:val="0"/>
        <w:kinsoku/>
        <w:wordWrap/>
        <w:overflowPunct/>
        <w:topLinePunct w:val="0"/>
        <w:bidi w:val="0"/>
        <w:adjustRightInd/>
        <w:spacing w:before="0" w:line="360" w:lineRule="exact"/>
        <w:ind w:left="0" w:leftChars="0" w:right="0" w:firstLine="482" w:firstLineChars="200"/>
        <w:textAlignment w:val="auto"/>
      </w:pPr>
      <w:r>
        <w:rPr>
          <w:rFonts w:hint="eastAsia"/>
          <w:lang w:eastAsia="zh-CN"/>
        </w:rPr>
        <w:t>（一）</w:t>
      </w:r>
      <w:r>
        <w:t>电子招投标相关事宜：</w:t>
      </w:r>
    </w:p>
    <w:p>
      <w:pPr>
        <w:pStyle w:val="19"/>
        <w:keepNext w:val="0"/>
        <w:keepLines w:val="0"/>
        <w:pageBreakBefore w:val="0"/>
        <w:numPr>
          <w:ilvl w:val="0"/>
          <w:numId w:val="1"/>
        </w:numPr>
        <w:tabs>
          <w:tab w:val="left" w:pos="1235"/>
        </w:tabs>
        <w:kinsoku/>
        <w:wordWrap/>
        <w:overflowPunct/>
        <w:topLinePunct w:val="0"/>
        <w:bidi w:val="0"/>
        <w:adjustRightInd/>
        <w:spacing w:before="0" w:after="0" w:line="360" w:lineRule="exact"/>
        <w:ind w:left="0" w:leftChars="0" w:right="0" w:firstLine="468" w:firstLineChars="200"/>
        <w:jc w:val="left"/>
        <w:textAlignment w:val="auto"/>
        <w:rPr>
          <w:sz w:val="24"/>
        </w:rPr>
      </w:pPr>
      <w:r>
        <w:rPr>
          <w:spacing w:val="-3"/>
          <w:sz w:val="24"/>
        </w:rPr>
        <w:t>供应商注册：投标人应为浙江政府采购注册供应商，如尚未注册，务必在投标截止时间前登陆浙江政府采购网进行注册。</w:t>
      </w:r>
    </w:p>
    <w:p>
      <w:pPr>
        <w:pStyle w:val="19"/>
        <w:keepNext w:val="0"/>
        <w:keepLines w:val="0"/>
        <w:pageBreakBefore w:val="0"/>
        <w:numPr>
          <w:ilvl w:val="0"/>
          <w:numId w:val="1"/>
        </w:numPr>
        <w:tabs>
          <w:tab w:val="left" w:pos="1235"/>
        </w:tabs>
        <w:kinsoku/>
        <w:wordWrap/>
        <w:overflowPunct/>
        <w:topLinePunct w:val="0"/>
        <w:bidi w:val="0"/>
        <w:adjustRightInd/>
        <w:spacing w:before="0" w:after="0" w:line="360" w:lineRule="exact"/>
        <w:ind w:left="0" w:leftChars="0" w:right="0" w:firstLine="480" w:firstLineChars="200"/>
        <w:jc w:val="left"/>
        <w:textAlignment w:val="auto"/>
        <w:rPr>
          <w:sz w:val="24"/>
        </w:rPr>
      </w:pPr>
      <w:r>
        <w:rPr>
          <w:sz w:val="24"/>
        </w:rPr>
        <w:t>本项目采取电子招投标，电子招投标有关事项说明如下：</w:t>
      </w:r>
    </w:p>
    <w:p>
      <w:pPr>
        <w:pStyle w:val="19"/>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exact"/>
        <w:ind w:leftChars="0" w:right="0" w:rightChars="0" w:firstLine="480" w:firstLineChars="200"/>
        <w:jc w:val="both"/>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fldChar w:fldCharType="begin"/>
      </w:r>
      <w:r>
        <w:rPr>
          <w:sz w:val="24"/>
          <w:szCs w:val="24"/>
        </w:rPr>
        <w:instrText xml:space="preserve"> HYPERLINK "http://www.zcygov.cn/" \h </w:instrText>
      </w:r>
      <w:r>
        <w:rPr>
          <w:sz w:val="24"/>
          <w:szCs w:val="24"/>
        </w:rPr>
        <w:fldChar w:fldCharType="separate"/>
      </w:r>
      <w:r>
        <w:rPr>
          <w:spacing w:val="7"/>
          <w:sz w:val="24"/>
          <w:szCs w:val="24"/>
        </w:rPr>
        <w:t>本项目通过“政府采购云平台</w:t>
      </w:r>
      <w:r>
        <w:rPr>
          <w:sz w:val="24"/>
          <w:szCs w:val="24"/>
        </w:rPr>
        <w:t>（www.zcygov.cn</w:t>
      </w:r>
      <w:r>
        <w:rPr>
          <w:sz w:val="24"/>
          <w:szCs w:val="24"/>
        </w:rPr>
        <w:fldChar w:fldCharType="end"/>
      </w:r>
      <w:r>
        <w:rPr>
          <w:sz w:val="24"/>
          <w:szCs w:val="24"/>
        </w:rPr>
        <w:t>）</w:t>
      </w:r>
      <w:r>
        <w:rPr>
          <w:spacing w:val="4"/>
          <w:sz w:val="24"/>
          <w:szCs w:val="24"/>
        </w:rPr>
        <w:t>”实行电子投标，供应商须安</w:t>
      </w:r>
      <w:r>
        <w:rPr>
          <w:spacing w:val="3"/>
          <w:sz w:val="24"/>
          <w:szCs w:val="24"/>
        </w:rPr>
        <w:t>装客户端软件，并按照采购文件和电子交易平台的要求编制并加密投标、响应文件。供应商</w:t>
      </w:r>
      <w:r>
        <w:rPr>
          <w:sz w:val="24"/>
          <w:szCs w:val="24"/>
        </w:rPr>
        <w:t>未按规定加密的投标、响应文件</w:t>
      </w:r>
      <w:r>
        <w:rPr>
          <w:rFonts w:hint="eastAsia"/>
          <w:sz w:val="24"/>
          <w:szCs w:val="24"/>
          <w:lang w:eastAsia="zh-CN"/>
        </w:rPr>
        <w:t>，</w:t>
      </w:r>
      <w:r>
        <w:rPr>
          <w:sz w:val="24"/>
          <w:szCs w:val="24"/>
        </w:rPr>
        <w:t>电子交易平台将拒收并提示。</w:t>
      </w:r>
    </w:p>
    <w:p>
      <w:pPr>
        <w:pStyle w:val="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80" w:firstLineChars="200"/>
        <w:textAlignment w:val="auto"/>
      </w:pPr>
      <w:r>
        <w:t>客户端软件下载方式：供应商可通过“浙江政府采购网-下载专区-电子交易客户端”进行下载。</w:t>
      </w:r>
    </w:p>
    <w:p>
      <w:pPr>
        <w:pStyle w:val="19"/>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exact"/>
        <w:ind w:leftChars="0" w:right="0" w:rightChars="0" w:firstLine="464" w:firstLineChars="200"/>
        <w:jc w:val="left"/>
        <w:textAlignment w:val="auto"/>
        <w:rPr>
          <w:spacing w:val="-11"/>
          <w:sz w:val="24"/>
        </w:rPr>
      </w:pPr>
      <w:r>
        <w:rPr>
          <w:rFonts w:hint="eastAsia"/>
          <w:spacing w:val="-4"/>
          <w:sz w:val="24"/>
          <w:lang w:eastAsia="zh-CN"/>
        </w:rPr>
        <w:t>（</w:t>
      </w:r>
      <w:r>
        <w:rPr>
          <w:rFonts w:hint="eastAsia"/>
          <w:spacing w:val="-4"/>
          <w:sz w:val="24"/>
          <w:lang w:val="en-US" w:eastAsia="zh-CN"/>
        </w:rPr>
        <w:t>2</w:t>
      </w:r>
      <w:r>
        <w:rPr>
          <w:rFonts w:hint="eastAsia"/>
          <w:spacing w:val="-4"/>
          <w:sz w:val="24"/>
          <w:lang w:eastAsia="zh-CN"/>
        </w:rPr>
        <w:t>）</w:t>
      </w:r>
      <w:r>
        <w:rPr>
          <w:spacing w:val="-11"/>
          <w:sz w:val="24"/>
        </w:rPr>
        <w:t>供应商须申领 CA，并在政采云平台完成绑定方可进行投标文件的编制，CA 相关操作可参考“浙江政府采购网-下载专区-电子交易客户端-CA 驱动和申领流程”。</w:t>
      </w:r>
    </w:p>
    <w:p>
      <w:pPr>
        <w:pStyle w:val="19"/>
        <w:keepNext w:val="0"/>
        <w:keepLines w:val="0"/>
        <w:pageBreakBefore w:val="0"/>
        <w:widowControl w:val="0"/>
        <w:numPr>
          <w:ilvl w:val="0"/>
          <w:numId w:val="0"/>
        </w:numPr>
        <w:tabs>
          <w:tab w:val="left" w:pos="1657"/>
        </w:tabs>
        <w:kinsoku/>
        <w:wordWrap/>
        <w:overflowPunct/>
        <w:topLinePunct w:val="0"/>
        <w:autoSpaceDE w:val="0"/>
        <w:autoSpaceDN w:val="0"/>
        <w:bidi w:val="0"/>
        <w:adjustRightInd/>
        <w:snapToGrid/>
        <w:spacing w:before="0" w:after="0" w:line="360" w:lineRule="exact"/>
        <w:ind w:leftChars="0" w:right="0" w:rightChars="0"/>
        <w:jc w:val="left"/>
        <w:textAlignment w:val="auto"/>
        <w:rPr>
          <w:spacing w:val="-4"/>
          <w:sz w:val="24"/>
        </w:rPr>
      </w:pPr>
      <w:r>
        <w:rPr>
          <w:spacing w:val="-4"/>
          <w:sz w:val="24"/>
        </w:rPr>
        <w:t>供应商在进行上述操作时，如遇技术问题可致电 400-881-7190 进行咨询。</w:t>
      </w:r>
      <w:bookmarkStart w:id="3" w:name="十三、质疑和投诉："/>
      <w:bookmarkEnd w:id="3"/>
    </w:p>
    <w:p>
      <w:pPr>
        <w:keepNext w:val="0"/>
        <w:keepLines w:val="0"/>
        <w:pageBreakBefore w:val="0"/>
        <w:widowControl w:val="0"/>
        <w:kinsoku/>
        <w:wordWrap/>
        <w:overflowPunct/>
        <w:topLinePunct w:val="0"/>
        <w:autoSpaceDE/>
        <w:autoSpaceDN/>
        <w:bidi w:val="0"/>
        <w:adjustRightInd/>
        <w:spacing w:before="0" w:line="360" w:lineRule="exact"/>
        <w:ind w:left="0" w:leftChars="0" w:right="0" w:firstLine="482" w:firstLineChars="200"/>
        <w:jc w:val="left"/>
        <w:textAlignment w:val="auto"/>
        <w:rPr>
          <w:rFonts w:hint="eastAsia" w:ascii="宋体" w:eastAsia="宋体"/>
          <w:sz w:val="24"/>
        </w:rPr>
      </w:pPr>
      <w:r>
        <w:rPr>
          <w:rFonts w:hint="eastAsia" w:ascii="宋体" w:hAnsi="宋体" w:eastAsia="宋体" w:cs="宋体"/>
          <w:b/>
          <w:bCs/>
          <w:kern w:val="2"/>
          <w:sz w:val="24"/>
          <w:szCs w:val="24"/>
          <w:lang w:val="zh-CN" w:eastAsia="zh-CN" w:bidi="ar-SA"/>
        </w:rPr>
        <w:t>（二）投标保证金：</w:t>
      </w:r>
      <w:r>
        <w:rPr>
          <w:rFonts w:hint="eastAsia" w:ascii="宋体" w:eastAsia="宋体"/>
          <w:color w:val="333333"/>
          <w:sz w:val="24"/>
        </w:rPr>
        <w:t>本项目不收取投标保证金。</w:t>
      </w:r>
    </w:p>
    <w:p>
      <w:pPr>
        <w:pStyle w:val="8"/>
        <w:keepNext w:val="0"/>
        <w:keepLines w:val="0"/>
        <w:pageBreakBefore w:val="0"/>
        <w:kinsoku/>
        <w:wordWrap/>
        <w:overflowPunct/>
        <w:topLinePunct w:val="0"/>
        <w:bidi w:val="0"/>
        <w:adjustRightInd/>
        <w:spacing w:before="0" w:line="360" w:lineRule="exact"/>
        <w:ind w:left="0" w:leftChars="0" w:right="0" w:firstLine="482" w:firstLineChars="200"/>
        <w:textAlignment w:val="auto"/>
        <w:rPr>
          <w:b/>
        </w:rPr>
      </w:pPr>
      <w:r>
        <w:rPr>
          <w:rFonts w:hint="eastAsia"/>
          <w:b/>
          <w:lang w:eastAsia="zh-CN"/>
        </w:rPr>
        <w:t>（三）</w:t>
      </w:r>
      <w:r>
        <w:rPr>
          <w:b/>
        </w:rPr>
        <w:t>质疑和投诉：</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1</w:t>
      </w:r>
      <w:r>
        <w:rPr>
          <w:spacing w:val="-12"/>
        </w:rPr>
        <w:t>、供应商认为采购文件使自己的权益受到损害的，可以在知道或者应知其权益受到损害之</w:t>
      </w:r>
      <w:r>
        <w:rPr>
          <w:spacing w:val="-15"/>
        </w:rPr>
        <w:t>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8"/>
        <w:keepNext w:val="0"/>
        <w:keepLines w:val="0"/>
        <w:pageBreakBefore w:val="0"/>
        <w:kinsoku/>
        <w:wordWrap/>
        <w:overflowPunct/>
        <w:topLinePunct w:val="0"/>
        <w:bidi w:val="0"/>
        <w:adjustRightInd/>
        <w:spacing w:before="0" w:line="360" w:lineRule="exact"/>
        <w:ind w:left="0" w:leftChars="0" w:right="0" w:firstLine="480" w:firstLineChars="200"/>
        <w:textAlignment w:val="auto"/>
      </w:pPr>
      <w:r>
        <w:t>2、质疑函范本、投诉书范本请到浙江政府采购网下载专区下载。</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exact"/>
        <w:ind w:left="0" w:leftChars="0" w:right="0" w:firstLine="480" w:firstLineChars="200"/>
        <w:textAlignment w:val="auto"/>
        <w:rPr>
          <w:rFonts w:hint="eastAsia"/>
          <w:lang w:val="en-US" w:eastAsia="zh-CN"/>
        </w:rPr>
      </w:pPr>
      <w:r>
        <w:rPr>
          <w:rFonts w:hint="eastAsia" w:ascii="宋体" w:eastAsia="宋体"/>
          <w:sz w:val="24"/>
          <w:szCs w:val="24"/>
        </w:rPr>
        <w:t>3、书面质疑受理地点： 联系人：</w:t>
      </w:r>
      <w:r>
        <w:rPr>
          <w:rFonts w:hint="eastAsia" w:ascii="宋体" w:eastAsia="宋体"/>
          <w:sz w:val="24"/>
          <w:szCs w:val="24"/>
          <w:lang w:eastAsia="zh-CN"/>
        </w:rPr>
        <w:t>黄露梦</w:t>
      </w:r>
      <w:r>
        <w:rPr>
          <w:rFonts w:hint="eastAsia" w:ascii="宋体" w:eastAsia="宋体"/>
          <w:sz w:val="24"/>
          <w:szCs w:val="24"/>
          <w:lang w:val="en-US" w:eastAsia="zh-CN"/>
        </w:rPr>
        <w:t xml:space="preserve">   </w:t>
      </w:r>
      <w:r>
        <w:rPr>
          <w:rFonts w:hint="eastAsia" w:ascii="宋体" w:eastAsia="宋体"/>
          <w:sz w:val="24"/>
          <w:szCs w:val="24"/>
        </w:rPr>
        <w:tab/>
      </w:r>
      <w:r>
        <w:rPr>
          <w:rFonts w:hint="eastAsia" w:ascii="宋体" w:eastAsia="宋体"/>
          <w:sz w:val="24"/>
          <w:szCs w:val="24"/>
        </w:rPr>
        <w:t>联系电话</w:t>
      </w:r>
      <w:r>
        <w:rPr>
          <w:rFonts w:hint="eastAsia" w:ascii="宋体" w:eastAsia="宋体"/>
          <w:spacing w:val="-2"/>
          <w:sz w:val="24"/>
          <w:szCs w:val="24"/>
        </w:rPr>
        <w:t>：</w:t>
      </w:r>
      <w:r>
        <w:rPr>
          <w:rFonts w:hint="eastAsia" w:ascii="宋体" w:eastAsia="宋体"/>
          <w:spacing w:val="-2"/>
          <w:sz w:val="24"/>
          <w:szCs w:val="24"/>
          <w:lang w:val="en-US" w:eastAsia="zh-CN"/>
        </w:rPr>
        <w:t>15058619215</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360" w:lineRule="exact"/>
        <w:ind w:left="0" w:leftChars="0" w:right="0" w:firstLine="472" w:firstLineChars="200"/>
        <w:textAlignment w:val="auto"/>
        <w:rPr>
          <w:rFonts w:hint="default" w:ascii="宋体" w:hAnsi="宋体" w:eastAsia="宋体" w:cs="宋体"/>
          <w:b/>
          <w:bCs/>
          <w:color w:val="auto"/>
          <w:sz w:val="24"/>
          <w:szCs w:val="24"/>
          <w:lang w:val="en-US" w:eastAsia="zh-CN"/>
        </w:rPr>
      </w:pPr>
      <w:r>
        <w:rPr>
          <w:rFonts w:hint="eastAsia" w:ascii="宋体" w:eastAsia="宋体"/>
          <w:spacing w:val="-2"/>
          <w:sz w:val="24"/>
          <w:szCs w:val="24"/>
        </w:rPr>
        <w:t xml:space="preserve"> </w:t>
      </w:r>
      <w:r>
        <w:rPr>
          <w:rFonts w:hint="eastAsia" w:ascii="宋体" w:eastAsia="宋体"/>
          <w:sz w:val="24"/>
          <w:szCs w:val="24"/>
        </w:rPr>
        <w:t>地址：</w:t>
      </w:r>
      <w:r>
        <w:rPr>
          <w:rFonts w:hint="eastAsia" w:ascii="宋体" w:hAnsi="宋体" w:cs="宋体"/>
          <w:color w:val="auto"/>
          <w:kern w:val="0"/>
          <w:sz w:val="24"/>
          <w:szCs w:val="24"/>
        </w:rPr>
        <w:t>温岭市城东街道阳光大道</w:t>
      </w:r>
      <w:r>
        <w:rPr>
          <w:rFonts w:ascii="宋体" w:hAnsi="宋体" w:cs="宋体"/>
          <w:color w:val="auto"/>
          <w:kern w:val="0"/>
          <w:sz w:val="24"/>
          <w:szCs w:val="24"/>
        </w:rPr>
        <w:t>133</w:t>
      </w:r>
      <w:r>
        <w:rPr>
          <w:rFonts w:hint="eastAsia" w:ascii="宋体" w:hAnsi="宋体" w:cs="宋体"/>
          <w:color w:val="auto"/>
          <w:kern w:val="0"/>
          <w:sz w:val="24"/>
          <w:szCs w:val="24"/>
        </w:rPr>
        <w:t>号广明大厦</w:t>
      </w:r>
      <w:r>
        <w:rPr>
          <w:rFonts w:ascii="宋体" w:hAnsi="宋体" w:cs="宋体"/>
          <w:color w:val="auto"/>
          <w:kern w:val="0"/>
          <w:sz w:val="24"/>
          <w:szCs w:val="24"/>
        </w:rPr>
        <w:t>12</w:t>
      </w:r>
      <w:r>
        <w:rPr>
          <w:rFonts w:hint="eastAsia" w:ascii="宋体" w:hAnsi="宋体" w:cs="宋体"/>
          <w:color w:val="auto"/>
          <w:kern w:val="0"/>
          <w:sz w:val="24"/>
          <w:szCs w:val="24"/>
        </w:rPr>
        <w:t>楼</w:t>
      </w:r>
      <w:r>
        <w:rPr>
          <w:rFonts w:ascii="宋体" w:hAnsi="宋体" w:cs="宋体"/>
          <w:color w:val="auto"/>
          <w:kern w:val="0"/>
          <w:sz w:val="24"/>
          <w:szCs w:val="24"/>
        </w:rPr>
        <w:t>1206</w:t>
      </w:r>
      <w:r>
        <w:rPr>
          <w:rFonts w:hint="eastAsia" w:ascii="宋体" w:hAnsi="宋体" w:cs="宋体"/>
          <w:color w:val="auto"/>
          <w:kern w:val="0"/>
          <w:sz w:val="24"/>
          <w:szCs w:val="24"/>
        </w:rPr>
        <w:t>室</w:t>
      </w:r>
    </w:p>
    <w:p>
      <w:pPr>
        <w:keepNext w:val="0"/>
        <w:keepLines w:val="0"/>
        <w:pageBreakBefore w:val="0"/>
        <w:widowControl w:val="0"/>
        <w:kinsoku/>
        <w:wordWrap/>
        <w:overflowPunct/>
        <w:topLinePunct w:val="0"/>
        <w:autoSpaceDE/>
        <w:autoSpaceDN/>
        <w:bidi w:val="0"/>
        <w:adjustRightInd/>
        <w:snapToGrid w:val="0"/>
        <w:spacing w:before="0" w:line="360" w:lineRule="exact"/>
        <w:ind w:left="0" w:leftChars="0" w:right="0" w:firstLine="482" w:firstLineChars="200"/>
        <w:textAlignment w:val="auto"/>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（四）公告发布媒体：</w:t>
      </w:r>
    </w:p>
    <w:p>
      <w:pPr>
        <w:keepNext w:val="0"/>
        <w:keepLines w:val="0"/>
        <w:pageBreakBefore w:val="0"/>
        <w:widowControl w:val="0"/>
        <w:kinsoku/>
        <w:wordWrap/>
        <w:overflowPunct/>
        <w:topLinePunct w:val="0"/>
        <w:autoSpaceDE/>
        <w:autoSpaceDN/>
        <w:bidi w:val="0"/>
        <w:adjustRightInd/>
        <w:snapToGrid w:val="0"/>
        <w:spacing w:before="0" w:line="360" w:lineRule="exact"/>
        <w:ind w:left="0" w:leftChars="0" w:right="0" w:firstLine="480" w:firstLineChars="200"/>
        <w:textAlignment w:val="auto"/>
        <w:rPr>
          <w:rFonts w:ascii="宋体"/>
          <w:sz w:val="24"/>
          <w:szCs w:val="24"/>
        </w:rPr>
      </w:pPr>
      <w:r>
        <w:rPr>
          <w:rFonts w:hint="eastAsia" w:ascii="宋体" w:hAnsi="宋体" w:cs="宋体"/>
          <w:sz w:val="24"/>
          <w:szCs w:val="24"/>
        </w:rPr>
        <w:t>浙江省政府采购网（</w:t>
      </w:r>
      <w:r>
        <w:rPr>
          <w:rFonts w:ascii="宋体" w:hAnsi="宋体" w:cs="宋体"/>
          <w:sz w:val="24"/>
          <w:szCs w:val="24"/>
        </w:rPr>
        <w:t>http:// www.zjzfcg.gov.cn</w:t>
      </w:r>
      <w:r>
        <w:rPr>
          <w:rFonts w:hint="eastAsia" w:ascii="宋体" w:hAnsi="宋体" w:cs="宋体"/>
          <w:sz w:val="24"/>
          <w:szCs w:val="24"/>
        </w:rPr>
        <w:t>）和温岭市公共资源交易中心网（</w:t>
      </w:r>
      <w:r>
        <w:rPr>
          <w:rFonts w:ascii="宋体" w:hAnsi="宋体" w:cs="宋体"/>
          <w:sz w:val="24"/>
          <w:szCs w:val="24"/>
        </w:rPr>
        <w:t>http://new.wl.gov.cn/col/col1402172/index.html</w:t>
      </w:r>
      <w:r>
        <w:rPr>
          <w:rFonts w:hint="eastAsia" w:ascii="宋体" w:hAnsi="宋体" w:cs="宋体"/>
          <w:sz w:val="24"/>
          <w:szCs w:val="24"/>
        </w:rPr>
        <w:t>）。</w:t>
      </w:r>
    </w:p>
    <w:p>
      <w:pPr>
        <w:pStyle w:val="6"/>
        <w:keepNext w:val="0"/>
        <w:keepLines w:val="0"/>
        <w:pageBreakBefore w:val="0"/>
        <w:widowControl w:val="0"/>
        <w:kinsoku/>
        <w:wordWrap/>
        <w:overflowPunct/>
        <w:topLinePunct w:val="0"/>
        <w:autoSpaceDE/>
        <w:autoSpaceDN/>
        <w:bidi w:val="0"/>
        <w:adjustRightInd/>
        <w:spacing w:before="0" w:line="360" w:lineRule="exact"/>
        <w:ind w:left="0" w:leftChars="0" w:right="0" w:firstLine="562" w:firstLineChars="200"/>
        <w:textAlignment w:val="auto"/>
        <w:rPr>
          <w:rFonts w:hint="eastAsia" w:ascii="宋体" w:eastAsia="宋体"/>
        </w:rPr>
      </w:pPr>
      <w:r>
        <w:rPr>
          <w:rFonts w:hint="eastAsia" w:ascii="宋体" w:eastAsia="宋体"/>
        </w:rPr>
        <w:t>（五）其他事项：</w:t>
      </w:r>
    </w:p>
    <w:p>
      <w:pPr>
        <w:pStyle w:val="12"/>
        <w:keepNext w:val="0"/>
        <w:keepLines w:val="0"/>
        <w:pageBreakBefore w:val="0"/>
        <w:shd w:val="clear" w:color="auto" w:fill="FFFFFF"/>
        <w:kinsoku/>
        <w:wordWrap/>
        <w:overflowPunct/>
        <w:topLinePunct w:val="0"/>
        <w:bidi w:val="0"/>
        <w:adjustRightInd/>
        <w:spacing w:before="0" w:beforeAutospacing="0" w:after="0" w:afterAutospacing="0" w:line="360" w:lineRule="exact"/>
        <w:ind w:left="0" w:leftChars="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中标供应商如有融资需求，可使用以下银行的政采贷服务。</w:t>
      </w:r>
    </w:p>
    <w:tbl>
      <w:tblPr>
        <w:tblStyle w:val="15"/>
        <w:tblW w:w="8760"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3690"/>
        <w:gridCol w:w="2566"/>
        <w:gridCol w:w="1139"/>
        <w:gridCol w:w="1365"/>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jc w:val="center"/>
              <w:textAlignment w:val="auto"/>
              <w:rPr>
                <w:rFonts w:hint="eastAsia" w:ascii="微软雅黑" w:hAnsi="微软雅黑" w:eastAsia="微软雅黑" w:cs="微软雅黑"/>
                <w:color w:val="333333"/>
                <w:sz w:val="24"/>
                <w:szCs w:val="24"/>
              </w:rPr>
            </w:pPr>
            <w:bookmarkStart w:id="27" w:name="_GoBack"/>
            <w:r>
              <w:rPr>
                <w:rFonts w:hint="eastAsia" w:ascii="宋体" w:hAnsi="宋体" w:eastAsia="宋体" w:cs="宋体"/>
                <w:i w:val="0"/>
                <w:caps w:val="0"/>
                <w:color w:val="333333"/>
                <w:spacing w:val="0"/>
                <w:sz w:val="24"/>
                <w:szCs w:val="24"/>
              </w:rPr>
              <w:t>银  行</w:t>
            </w:r>
          </w:p>
        </w:tc>
        <w:tc>
          <w:tcPr>
            <w:tcW w:w="2566"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贷款年利率</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联系人</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联系电话</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left"/>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中国农业银行</w:t>
            </w:r>
          </w:p>
        </w:tc>
        <w:tc>
          <w:tcPr>
            <w:tcW w:w="2566"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3.8%起</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赵莉鹏</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both"/>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15267630808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left"/>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中国交通银行</w:t>
            </w:r>
          </w:p>
        </w:tc>
        <w:tc>
          <w:tcPr>
            <w:tcW w:w="2566"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3.8%起</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王培洁</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both"/>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13819666299</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left"/>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中国建设银行</w:t>
            </w:r>
          </w:p>
        </w:tc>
        <w:tc>
          <w:tcPr>
            <w:tcW w:w="2566"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基准利率</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范  融</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both"/>
              <w:textAlignment w:val="auto"/>
              <w:rPr>
                <w:rFonts w:hint="eastAsia" w:ascii="微软雅黑" w:hAnsi="微软雅黑" w:eastAsia="微软雅黑" w:cs="微软雅黑"/>
                <w:color w:val="333333"/>
                <w:sz w:val="24"/>
                <w:szCs w:val="24"/>
              </w:rPr>
            </w:pPr>
            <w:r>
              <w:rPr>
                <w:rFonts w:hint="eastAsia" w:ascii="宋体" w:hAnsi="宋体" w:eastAsia="宋体" w:cs="宋体"/>
                <w:i w:val="0"/>
                <w:caps w:val="0"/>
                <w:color w:val="333333"/>
                <w:spacing w:val="0"/>
                <w:sz w:val="24"/>
                <w:szCs w:val="24"/>
              </w:rPr>
              <w:t>13958680866</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中国工商银行</w:t>
            </w:r>
          </w:p>
        </w:tc>
        <w:tc>
          <w:tcPr>
            <w:tcW w:w="2566"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3.8%起</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王晨晓</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18858658025</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中国银行</w:t>
            </w:r>
          </w:p>
        </w:tc>
        <w:tc>
          <w:tcPr>
            <w:tcW w:w="2566"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3.85%起</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朱 虹</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13806588208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firstLine="240" w:firstLineChars="1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中国邮政储蓄银行</w:t>
            </w:r>
          </w:p>
        </w:tc>
        <w:tc>
          <w:tcPr>
            <w:tcW w:w="2566"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3.85%起</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王彬彬</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13173718881</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8760" w:type="dxa"/>
            <w:gridSpan w:val="4"/>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政采保联系方式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中国人民财产保险股份有限公司温岭市支公司</w:t>
            </w:r>
          </w:p>
        </w:tc>
        <w:tc>
          <w:tcPr>
            <w:tcW w:w="2566" w:type="dxa"/>
            <w:vMerge w:val="restart"/>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合同（质量）履约按履约保证金年费率1%（1.5%），每单保函最低保险费为500元（300元）</w:t>
            </w: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李微微</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13605861319</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中国平安财产保险股份有限公司温岭支公司</w:t>
            </w:r>
          </w:p>
        </w:tc>
        <w:tc>
          <w:tcPr>
            <w:tcW w:w="2566" w:type="dxa"/>
            <w:vMerge w:val="continue"/>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left"/>
              <w:textAlignment w:val="auto"/>
              <w:rPr>
                <w:rFonts w:hint="eastAsia" w:ascii="宋体" w:hAnsi="宋体" w:eastAsia="宋体" w:cs="宋体"/>
                <w:i w:val="0"/>
                <w:caps w:val="0"/>
                <w:color w:val="333333"/>
                <w:spacing w:val="0"/>
                <w:sz w:val="24"/>
                <w:szCs w:val="24"/>
              </w:rPr>
            </w:pP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郑海珍</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13906560678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90"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阳光财产保险股份有限公司温岭支公司</w:t>
            </w:r>
          </w:p>
        </w:tc>
        <w:tc>
          <w:tcPr>
            <w:tcW w:w="2566" w:type="dxa"/>
            <w:vMerge w:val="continue"/>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0" w:leftChars="0" w:right="0" w:firstLine="480"/>
              <w:jc w:val="left"/>
              <w:textAlignment w:val="auto"/>
              <w:rPr>
                <w:rFonts w:hint="eastAsia" w:ascii="宋体" w:hAnsi="宋体" w:eastAsia="宋体" w:cs="宋体"/>
                <w:i w:val="0"/>
                <w:caps w:val="0"/>
                <w:color w:val="333333"/>
                <w:spacing w:val="0"/>
                <w:sz w:val="24"/>
                <w:szCs w:val="24"/>
              </w:rPr>
            </w:pPr>
          </w:p>
        </w:tc>
        <w:tc>
          <w:tcPr>
            <w:tcW w:w="1139"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王巧萍</w:t>
            </w:r>
          </w:p>
        </w:tc>
        <w:tc>
          <w:tcPr>
            <w:tcW w:w="1365" w:type="dxa"/>
            <w:tcBorders>
              <w:tl2br w:val="nil"/>
              <w:tr2bl w:val="nil"/>
            </w:tcBorders>
            <w:shd w:val="clear" w:color="auto" w:fill="FFFFFF"/>
            <w:noWrap/>
            <w:tcMar>
              <w:top w:w="15" w:type="dxa"/>
              <w:left w:w="15" w:type="dxa"/>
              <w:right w:w="15"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Chars="0" w:right="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13967691616</w:t>
            </w:r>
          </w:p>
        </w:tc>
      </w:tr>
      <w:bookmarkEnd w:id="27"/>
    </w:tbl>
    <w:p>
      <w:pPr>
        <w:pStyle w:val="6"/>
        <w:keepNext w:val="0"/>
        <w:keepLines w:val="0"/>
        <w:pageBreakBefore w:val="0"/>
        <w:widowControl w:val="0"/>
        <w:kinsoku/>
        <w:wordWrap/>
        <w:overflowPunct/>
        <w:topLinePunct w:val="0"/>
        <w:autoSpaceDE/>
        <w:autoSpaceDN/>
        <w:bidi w:val="0"/>
        <w:adjustRightInd/>
        <w:spacing w:line="360" w:lineRule="exact"/>
        <w:ind w:left="0" w:leftChars="0" w:right="0" w:firstLine="281" w:firstLineChars="100"/>
        <w:textAlignment w:val="auto"/>
        <w:rPr>
          <w:rFonts w:ascii="宋体"/>
          <w:b/>
          <w:bCs/>
          <w:sz w:val="24"/>
          <w:szCs w:val="24"/>
        </w:rPr>
      </w:pPr>
      <w:r>
        <w:rPr>
          <w:rFonts w:hint="eastAsia" w:ascii="宋体" w:eastAsia="宋体"/>
        </w:rPr>
        <w:t>七、对本次招标提出询问，请按以下方式联系。</w:t>
      </w:r>
    </w:p>
    <w:p>
      <w:pPr>
        <w:keepNext w:val="0"/>
        <w:keepLines w:val="0"/>
        <w:pageBreakBefore w:val="0"/>
        <w:kinsoku/>
        <w:wordWrap/>
        <w:overflowPunct/>
        <w:topLinePunct w:val="0"/>
        <w:bidi w:val="0"/>
        <w:adjustRightInd/>
        <w:spacing w:line="360" w:lineRule="exact"/>
        <w:ind w:leftChars="0" w:firstLine="713" w:firstLineChars="296"/>
        <w:textAlignment w:val="auto"/>
        <w:rPr>
          <w:rFonts w:ascii="宋体"/>
          <w:b/>
          <w:bCs/>
          <w:sz w:val="24"/>
          <w:szCs w:val="24"/>
        </w:rPr>
      </w:pPr>
      <w:r>
        <w:rPr>
          <w:rFonts w:hint="eastAsia" w:ascii="宋体" w:hAnsi="宋体" w:cs="宋体"/>
          <w:b/>
          <w:bCs/>
          <w:sz w:val="24"/>
          <w:szCs w:val="24"/>
        </w:rPr>
        <w:t>（一）采购代理机构：</w:t>
      </w:r>
      <w:r>
        <w:rPr>
          <w:rFonts w:hint="eastAsia" w:ascii="宋体" w:hAnsi="宋体" w:cs="宋体"/>
          <w:kern w:val="0"/>
          <w:sz w:val="24"/>
          <w:szCs w:val="24"/>
        </w:rPr>
        <w:t>浙江科信联合工程项目管理咨询有限公司</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ascii="宋体"/>
          <w:sz w:val="24"/>
          <w:szCs w:val="24"/>
        </w:rPr>
      </w:pPr>
      <w:r>
        <w:rPr>
          <w:rFonts w:hint="eastAsia" w:ascii="宋体" w:hAnsi="宋体" w:cs="宋体"/>
          <w:sz w:val="24"/>
          <w:szCs w:val="24"/>
        </w:rPr>
        <w:t>联系人：</w:t>
      </w:r>
      <w:r>
        <w:rPr>
          <w:rFonts w:hint="eastAsia" w:ascii="宋体" w:hAnsi="宋体" w:cs="宋体"/>
          <w:kern w:val="0"/>
          <w:sz w:val="24"/>
          <w:szCs w:val="24"/>
        </w:rPr>
        <w:t>黄露梦、林杭军</w:t>
      </w:r>
      <w:r>
        <w:rPr>
          <w:rFonts w:hint="eastAsia" w:ascii="宋体" w:hAnsi="宋体" w:cs="宋体"/>
          <w:sz w:val="24"/>
          <w:szCs w:val="24"/>
        </w:rPr>
        <w:t>　</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ascii="宋体"/>
          <w:sz w:val="24"/>
          <w:szCs w:val="24"/>
        </w:rPr>
      </w:pPr>
      <w:r>
        <w:rPr>
          <w:rFonts w:hint="eastAsia" w:ascii="宋体" w:hAnsi="宋体" w:cs="宋体"/>
          <w:sz w:val="24"/>
          <w:szCs w:val="24"/>
        </w:rPr>
        <w:t>联系电话：</w:t>
      </w:r>
      <w:r>
        <w:rPr>
          <w:rFonts w:ascii="宋体" w:hAnsi="宋体" w:cs="宋体"/>
          <w:kern w:val="0"/>
          <w:sz w:val="24"/>
          <w:szCs w:val="24"/>
        </w:rPr>
        <w:t>0576-86151909</w:t>
      </w:r>
      <w:r>
        <w:rPr>
          <w:rFonts w:hint="eastAsia" w:ascii="宋体" w:hAnsi="宋体" w:cs="宋体"/>
          <w:kern w:val="0"/>
          <w:sz w:val="24"/>
          <w:szCs w:val="24"/>
        </w:rPr>
        <w:t>、</w:t>
      </w:r>
      <w:r>
        <w:rPr>
          <w:rFonts w:ascii="宋体" w:hAnsi="宋体" w:cs="宋体"/>
          <w:kern w:val="0"/>
          <w:sz w:val="24"/>
          <w:szCs w:val="24"/>
        </w:rPr>
        <w:t>15058619215</w:t>
      </w:r>
      <w:r>
        <w:rPr>
          <w:rFonts w:ascii="宋体" w:hAnsi="宋体" w:cs="宋体"/>
          <w:sz w:val="24"/>
          <w:szCs w:val="24"/>
        </w:rPr>
        <w:t xml:space="preserve">           </w:t>
      </w:r>
      <w:r>
        <w:rPr>
          <w:rFonts w:hint="eastAsia" w:ascii="宋体" w:hAnsi="宋体" w:cs="宋体"/>
          <w:sz w:val="24"/>
          <w:szCs w:val="24"/>
        </w:rPr>
        <w:t>传真：</w:t>
      </w:r>
      <w:r>
        <w:rPr>
          <w:rFonts w:ascii="宋体" w:hAnsi="宋体" w:cs="宋体"/>
          <w:kern w:val="0"/>
          <w:sz w:val="24"/>
          <w:szCs w:val="24"/>
        </w:rPr>
        <w:t>0576-86152909</w:t>
      </w:r>
    </w:p>
    <w:p>
      <w:pPr>
        <w:keepNext w:val="0"/>
        <w:keepLines w:val="0"/>
        <w:pageBreakBefore w:val="0"/>
        <w:kinsoku/>
        <w:wordWrap/>
        <w:overflowPunct/>
        <w:topLinePunct w:val="0"/>
        <w:bidi w:val="0"/>
        <w:adjustRightInd/>
        <w:spacing w:line="360" w:lineRule="exact"/>
        <w:ind w:leftChars="0" w:firstLine="600" w:firstLineChars="250"/>
        <w:textAlignment w:val="auto"/>
        <w:rPr>
          <w:rFonts w:ascii="宋体"/>
          <w:sz w:val="24"/>
          <w:szCs w:val="24"/>
        </w:rPr>
      </w:pPr>
      <w:r>
        <w:rPr>
          <w:rFonts w:hint="eastAsia" w:ascii="宋体" w:hAnsi="宋体" w:cs="宋体"/>
          <w:sz w:val="24"/>
          <w:szCs w:val="24"/>
        </w:rPr>
        <w:t>地址：</w:t>
      </w:r>
      <w:r>
        <w:rPr>
          <w:rFonts w:hint="eastAsia" w:ascii="宋体" w:hAnsi="宋体" w:cs="宋体"/>
          <w:kern w:val="0"/>
          <w:sz w:val="24"/>
          <w:szCs w:val="24"/>
        </w:rPr>
        <w:t>温岭市城东街道阳光大道</w:t>
      </w:r>
      <w:r>
        <w:rPr>
          <w:rFonts w:ascii="宋体" w:hAnsi="宋体" w:cs="宋体"/>
          <w:kern w:val="0"/>
          <w:sz w:val="24"/>
          <w:szCs w:val="24"/>
        </w:rPr>
        <w:t>133</w:t>
      </w:r>
      <w:r>
        <w:rPr>
          <w:rFonts w:hint="eastAsia" w:ascii="宋体" w:hAnsi="宋体" w:cs="宋体"/>
          <w:kern w:val="0"/>
          <w:sz w:val="24"/>
          <w:szCs w:val="24"/>
        </w:rPr>
        <w:t>号广明大厦</w:t>
      </w:r>
      <w:r>
        <w:rPr>
          <w:rFonts w:ascii="宋体" w:hAnsi="宋体" w:cs="宋体"/>
          <w:kern w:val="0"/>
          <w:sz w:val="24"/>
          <w:szCs w:val="24"/>
        </w:rPr>
        <w:t>12</w:t>
      </w:r>
      <w:r>
        <w:rPr>
          <w:rFonts w:hint="eastAsia" w:ascii="宋体" w:hAnsi="宋体" w:cs="宋体"/>
          <w:kern w:val="0"/>
          <w:sz w:val="24"/>
          <w:szCs w:val="24"/>
        </w:rPr>
        <w:t>楼</w:t>
      </w:r>
      <w:r>
        <w:rPr>
          <w:rFonts w:ascii="宋体" w:hAnsi="宋体" w:cs="宋体"/>
          <w:kern w:val="0"/>
          <w:sz w:val="24"/>
          <w:szCs w:val="24"/>
        </w:rPr>
        <w:t>1206</w:t>
      </w:r>
      <w:r>
        <w:rPr>
          <w:rFonts w:hint="eastAsia" w:ascii="宋体" w:hAnsi="宋体" w:cs="宋体"/>
          <w:kern w:val="0"/>
          <w:sz w:val="24"/>
          <w:szCs w:val="24"/>
        </w:rPr>
        <w:t>室</w:t>
      </w:r>
    </w:p>
    <w:p>
      <w:pPr>
        <w:keepNext w:val="0"/>
        <w:keepLines w:val="0"/>
        <w:pageBreakBefore w:val="0"/>
        <w:kinsoku/>
        <w:wordWrap/>
        <w:overflowPunct/>
        <w:topLinePunct w:val="0"/>
        <w:bidi w:val="0"/>
        <w:adjustRightInd/>
        <w:snapToGrid w:val="0"/>
        <w:spacing w:line="360" w:lineRule="exact"/>
        <w:ind w:leftChars="0" w:firstLine="843" w:firstLineChars="350"/>
        <w:textAlignment w:val="auto"/>
        <w:rPr>
          <w:rFonts w:hint="eastAsia" w:ascii="宋体" w:eastAsia="宋体"/>
          <w:b/>
          <w:bCs/>
          <w:sz w:val="24"/>
          <w:szCs w:val="24"/>
          <w:lang w:eastAsia="zh-CN"/>
        </w:rPr>
      </w:pPr>
      <w:r>
        <w:rPr>
          <w:rFonts w:hint="eastAsia" w:ascii="宋体" w:hAnsi="宋体" w:cs="宋体"/>
          <w:b/>
          <w:bCs/>
          <w:sz w:val="24"/>
          <w:szCs w:val="24"/>
        </w:rPr>
        <w:t>（二）采购人</w:t>
      </w:r>
      <w:r>
        <w:rPr>
          <w:rFonts w:hint="eastAsia" w:ascii="宋体" w:hAnsi="宋体" w:cs="宋体"/>
          <w:sz w:val="24"/>
          <w:szCs w:val="24"/>
        </w:rPr>
        <w:t>：</w:t>
      </w:r>
      <w:r>
        <w:rPr>
          <w:rFonts w:hint="eastAsia" w:ascii="宋体" w:hAnsi="宋体" w:cs="宋体"/>
          <w:kern w:val="0"/>
          <w:sz w:val="24"/>
          <w:szCs w:val="24"/>
          <w:lang w:eastAsia="zh-CN"/>
        </w:rPr>
        <w:t>温岭市滨海镇人民政府</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ascii="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林朋</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ascii="宋体"/>
          <w:sz w:val="24"/>
          <w:szCs w:val="24"/>
        </w:rPr>
      </w:pPr>
      <w:r>
        <w:rPr>
          <w:rFonts w:hint="eastAsia" w:ascii="宋体" w:hAnsi="宋体" w:cs="宋体"/>
          <w:kern w:val="0"/>
          <w:sz w:val="24"/>
          <w:szCs w:val="24"/>
        </w:rPr>
        <w:t>联系电话：</w:t>
      </w:r>
      <w:r>
        <w:rPr>
          <w:rFonts w:hint="eastAsia" w:ascii="宋体" w:hAnsi="宋体" w:cs="宋体"/>
          <w:kern w:val="0"/>
          <w:sz w:val="24"/>
          <w:szCs w:val="24"/>
          <w:lang w:val="en-US" w:eastAsia="zh-CN"/>
        </w:rPr>
        <w:t>13566485531</w:t>
      </w:r>
      <w:r>
        <w:rPr>
          <w:rFonts w:ascii="宋体" w:hAnsi="宋体" w:cs="宋体"/>
          <w:kern w:val="0"/>
          <w:sz w:val="24"/>
          <w:szCs w:val="24"/>
        </w:rPr>
        <w:t xml:space="preserve"> </w:t>
      </w:r>
      <w:r>
        <w:rPr>
          <w:rFonts w:ascii="宋体" w:hAnsi="宋体" w:cs="宋体"/>
          <w:sz w:val="24"/>
          <w:szCs w:val="24"/>
        </w:rPr>
        <w:t xml:space="preserve">      </w:t>
      </w:r>
    </w:p>
    <w:p>
      <w:pPr>
        <w:keepNext w:val="0"/>
        <w:keepLines w:val="0"/>
        <w:pageBreakBefore w:val="0"/>
        <w:kinsoku/>
        <w:wordWrap/>
        <w:overflowPunct/>
        <w:topLinePunct w:val="0"/>
        <w:bidi w:val="0"/>
        <w:adjustRightInd/>
        <w:spacing w:line="360" w:lineRule="exact"/>
        <w:ind w:leftChars="0" w:firstLine="600" w:firstLineChars="250"/>
        <w:textAlignment w:val="auto"/>
        <w:rPr>
          <w:rFonts w:hint="default" w:ascii="宋体" w:eastAsia="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温岭市滨海镇府前路</w:t>
      </w:r>
      <w:r>
        <w:rPr>
          <w:rFonts w:hint="eastAsia" w:ascii="宋体" w:hAnsi="宋体" w:cs="宋体"/>
          <w:sz w:val="24"/>
          <w:szCs w:val="24"/>
          <w:lang w:val="en-US" w:eastAsia="zh-CN"/>
        </w:rPr>
        <w:t>1号</w:t>
      </w:r>
    </w:p>
    <w:p>
      <w:pPr>
        <w:keepNext w:val="0"/>
        <w:keepLines w:val="0"/>
        <w:pageBreakBefore w:val="0"/>
        <w:kinsoku/>
        <w:wordWrap/>
        <w:overflowPunct/>
        <w:topLinePunct w:val="0"/>
        <w:bidi w:val="0"/>
        <w:adjustRightInd/>
        <w:spacing w:line="360" w:lineRule="exact"/>
        <w:ind w:leftChars="0" w:firstLine="713" w:firstLineChars="296"/>
        <w:textAlignment w:val="auto"/>
        <w:rPr>
          <w:rFonts w:ascii="宋体"/>
          <w:b/>
          <w:bCs/>
          <w:sz w:val="24"/>
          <w:szCs w:val="24"/>
        </w:rPr>
      </w:pPr>
      <w:r>
        <w:rPr>
          <w:rFonts w:hint="eastAsia" w:ascii="宋体" w:hAnsi="宋体" w:cs="宋体"/>
          <w:b/>
          <w:bCs/>
          <w:sz w:val="24"/>
          <w:szCs w:val="24"/>
        </w:rPr>
        <w:t>（三）同级政府采购监督管理部门：</w:t>
      </w:r>
      <w:r>
        <w:rPr>
          <w:rFonts w:ascii="宋体" w:hAnsi="宋体" w:cs="宋体"/>
          <w:b/>
          <w:bCs/>
          <w:sz w:val="24"/>
          <w:szCs w:val="24"/>
        </w:rPr>
        <w:t xml:space="preserve"> </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hint="eastAsia" w:ascii="宋体" w:hAnsi="宋体" w:cs="宋体"/>
          <w:kern w:val="0"/>
          <w:sz w:val="24"/>
          <w:szCs w:val="24"/>
        </w:rPr>
      </w:pPr>
      <w:r>
        <w:rPr>
          <w:rFonts w:hint="eastAsia" w:ascii="宋体" w:hAnsi="宋体" w:cs="宋体"/>
          <w:kern w:val="0"/>
          <w:sz w:val="24"/>
          <w:szCs w:val="24"/>
        </w:rPr>
        <w:t xml:space="preserve">联系人：温岭市财政局政府采购监管科                    </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hint="eastAsia" w:ascii="宋体" w:hAnsi="宋体" w:cs="宋体"/>
          <w:kern w:val="0"/>
          <w:sz w:val="24"/>
          <w:szCs w:val="24"/>
        </w:rPr>
      </w:pPr>
      <w:r>
        <w:rPr>
          <w:rFonts w:hint="eastAsia" w:ascii="宋体" w:hAnsi="宋体" w:cs="宋体"/>
          <w:kern w:val="0"/>
          <w:sz w:val="24"/>
          <w:szCs w:val="24"/>
        </w:rPr>
        <w:t>监督投诉电话：0</w:t>
      </w:r>
      <w:r>
        <w:rPr>
          <w:rFonts w:hint="eastAsia" w:ascii="宋体" w:hAnsi="宋体" w:cs="宋体"/>
          <w:kern w:val="0"/>
          <w:sz w:val="24"/>
          <w:szCs w:val="24"/>
        </w:rPr>
        <w:t xml:space="preserve">576-86086511 </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hint="eastAsia" w:ascii="宋体" w:hAnsi="宋体" w:cs="宋体"/>
          <w:kern w:val="0"/>
          <w:sz w:val="24"/>
          <w:szCs w:val="24"/>
        </w:rPr>
      </w:pPr>
      <w:r>
        <w:rPr>
          <w:rFonts w:hint="eastAsia" w:ascii="宋体" w:hAnsi="宋体" w:cs="宋体"/>
          <w:kern w:val="0"/>
          <w:sz w:val="24"/>
          <w:szCs w:val="24"/>
        </w:rPr>
        <w:t>地址：浙江省温岭市太平街道中华路29号</w:t>
      </w:r>
    </w:p>
    <w:p>
      <w:pPr>
        <w:keepNext w:val="0"/>
        <w:keepLines w:val="0"/>
        <w:pageBreakBefore w:val="0"/>
        <w:kinsoku/>
        <w:wordWrap/>
        <w:overflowPunct/>
        <w:topLinePunct w:val="0"/>
        <w:bidi w:val="0"/>
        <w:adjustRightInd/>
        <w:snapToGrid w:val="0"/>
        <w:spacing w:line="360" w:lineRule="exact"/>
        <w:ind w:leftChars="0" w:firstLine="600" w:firstLineChars="250"/>
        <w:textAlignment w:val="auto"/>
        <w:rPr>
          <w:rFonts w:hint="eastAsia" w:ascii="宋体" w:hAnsi="宋体" w:cs="宋体"/>
          <w:kern w:val="0"/>
          <w:sz w:val="24"/>
          <w:szCs w:val="24"/>
        </w:rPr>
        <w:sectPr>
          <w:footerReference r:id="rId6" w:type="default"/>
          <w:pgSz w:w="11906" w:h="16838"/>
          <w:pgMar w:top="1134" w:right="1134" w:bottom="1134"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ind w:left="3432"/>
        <w:jc w:val="left"/>
      </w:pPr>
      <w:r>
        <w:t>第二章 投标人须知</w:t>
      </w:r>
    </w:p>
    <w:p>
      <w:pPr>
        <w:pStyle w:val="6"/>
        <w:spacing w:before="38"/>
        <w:ind w:left="0" w:right="356"/>
        <w:jc w:val="center"/>
      </w:pPr>
      <w:r>
        <w:t>前附表</w:t>
      </w:r>
    </w:p>
    <w:p>
      <w:pPr>
        <w:pStyle w:val="8"/>
        <w:spacing w:before="8"/>
        <w:rPr>
          <w:b/>
          <w:sz w:val="25"/>
        </w:rPr>
      </w:pPr>
    </w:p>
    <w:tbl>
      <w:tblPr>
        <w:tblStyle w:val="15"/>
        <w:tblW w:w="0" w:type="auto"/>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611"/>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tcPr>
          <w:p>
            <w:pPr>
              <w:pStyle w:val="20"/>
              <w:spacing w:before="48" w:line="291" w:lineRule="exact"/>
              <w:ind w:left="105" w:right="95"/>
              <w:jc w:val="center"/>
              <w:rPr>
                <w:sz w:val="24"/>
              </w:rPr>
            </w:pPr>
            <w:r>
              <w:rPr>
                <w:sz w:val="24"/>
              </w:rPr>
              <w:t>序号</w:t>
            </w:r>
          </w:p>
        </w:tc>
        <w:tc>
          <w:tcPr>
            <w:tcW w:w="1611" w:type="dxa"/>
          </w:tcPr>
          <w:p>
            <w:pPr>
              <w:pStyle w:val="20"/>
              <w:tabs>
                <w:tab w:val="left" w:pos="726"/>
              </w:tabs>
              <w:spacing w:before="48" w:line="291" w:lineRule="exact"/>
              <w:ind w:left="6"/>
              <w:jc w:val="center"/>
              <w:rPr>
                <w:sz w:val="24"/>
              </w:rPr>
            </w:pPr>
            <w:r>
              <w:rPr>
                <w:sz w:val="24"/>
              </w:rPr>
              <w:t>项</w:t>
            </w:r>
            <w:r>
              <w:rPr>
                <w:sz w:val="24"/>
              </w:rPr>
              <w:tab/>
            </w:r>
            <w:r>
              <w:rPr>
                <w:sz w:val="24"/>
              </w:rPr>
              <w:t>目</w:t>
            </w:r>
          </w:p>
        </w:tc>
        <w:tc>
          <w:tcPr>
            <w:tcW w:w="7399" w:type="dxa"/>
          </w:tcPr>
          <w:p>
            <w:pPr>
              <w:pStyle w:val="20"/>
              <w:tabs>
                <w:tab w:val="left" w:pos="2290"/>
              </w:tabs>
              <w:spacing w:before="48" w:line="291" w:lineRule="exact"/>
              <w:ind w:left="10"/>
              <w:jc w:val="center"/>
              <w:rPr>
                <w:sz w:val="24"/>
              </w:rPr>
            </w:pPr>
            <w:r>
              <w:rPr>
                <w:sz w:val="24"/>
              </w:rPr>
              <w:t>内</w:t>
            </w:r>
            <w:r>
              <w:rPr>
                <w:sz w:val="24"/>
              </w:rPr>
              <w:tab/>
            </w:r>
            <w:r>
              <w:rPr>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0"/>
              <w:spacing w:before="11"/>
              <w:rPr>
                <w:b/>
                <w:sz w:val="31"/>
              </w:rPr>
            </w:pPr>
          </w:p>
          <w:p>
            <w:pPr>
              <w:pStyle w:val="20"/>
              <w:ind w:left="10"/>
              <w:jc w:val="center"/>
              <w:rPr>
                <w:sz w:val="24"/>
              </w:rPr>
            </w:pPr>
            <w:r>
              <w:rPr>
                <w:sz w:val="24"/>
              </w:rPr>
              <w:t>1</w:t>
            </w:r>
          </w:p>
        </w:tc>
        <w:tc>
          <w:tcPr>
            <w:tcW w:w="1611" w:type="dxa"/>
          </w:tcPr>
          <w:p>
            <w:pPr>
              <w:pStyle w:val="20"/>
              <w:spacing w:before="11"/>
              <w:rPr>
                <w:b/>
                <w:sz w:val="31"/>
              </w:rPr>
            </w:pPr>
          </w:p>
          <w:p>
            <w:pPr>
              <w:pStyle w:val="20"/>
              <w:ind w:left="6"/>
              <w:jc w:val="center"/>
              <w:rPr>
                <w:sz w:val="24"/>
              </w:rPr>
            </w:pPr>
            <w:r>
              <w:rPr>
                <w:sz w:val="24"/>
              </w:rPr>
              <w:t>采购项目</w:t>
            </w:r>
          </w:p>
        </w:tc>
        <w:tc>
          <w:tcPr>
            <w:tcW w:w="7399" w:type="dxa"/>
          </w:tcPr>
          <w:p>
            <w:pPr>
              <w:pStyle w:val="20"/>
              <w:spacing w:before="48" w:line="280" w:lineRule="auto"/>
              <w:ind w:left="106" w:right="1760"/>
              <w:rPr>
                <w:rFonts w:hint="eastAsia"/>
                <w:sz w:val="24"/>
                <w:lang w:eastAsia="zh-CN"/>
              </w:rPr>
            </w:pPr>
            <w:r>
              <w:rPr>
                <w:sz w:val="24"/>
              </w:rPr>
              <w:t>项目名称：</w:t>
            </w:r>
            <w:r>
              <w:rPr>
                <w:rFonts w:hint="eastAsia"/>
                <w:sz w:val="24"/>
                <w:lang w:eastAsia="zh-CN"/>
              </w:rPr>
              <w:t>温岭市滨海镇环卫保洁及垃圾清运项目</w:t>
            </w:r>
          </w:p>
          <w:p>
            <w:pPr>
              <w:pStyle w:val="20"/>
              <w:spacing w:before="48" w:line="280" w:lineRule="auto"/>
              <w:ind w:left="106" w:right="1760"/>
              <w:rPr>
                <w:rFonts w:hint="default" w:eastAsia="宋体"/>
                <w:sz w:val="24"/>
                <w:lang w:val="en-US" w:eastAsia="zh-CN"/>
              </w:rPr>
            </w:pPr>
            <w:r>
              <w:rPr>
                <w:sz w:val="24"/>
              </w:rPr>
              <w:t>采购项目编号：</w:t>
            </w:r>
            <w:r>
              <w:rPr>
                <w:rFonts w:hint="eastAsia"/>
                <w:sz w:val="24"/>
                <w:lang w:eastAsia="zh-CN"/>
              </w:rPr>
              <w:t>ZJKX－WLCG－202</w:t>
            </w:r>
            <w:r>
              <w:rPr>
                <w:rFonts w:hint="eastAsia"/>
                <w:sz w:val="24"/>
                <w:lang w:val="en-US" w:eastAsia="zh-CN"/>
              </w:rPr>
              <w:t>1</w:t>
            </w:r>
            <w:r>
              <w:rPr>
                <w:rFonts w:hint="eastAsia"/>
                <w:sz w:val="24"/>
                <w:lang w:eastAsia="zh-CN"/>
              </w:rPr>
              <w:t>－0</w:t>
            </w:r>
            <w:r>
              <w:rPr>
                <w:rFonts w:hint="eastAsia"/>
                <w:sz w:val="24"/>
                <w:lang w:val="en-US" w:eastAsia="zh-CN"/>
              </w:rPr>
              <w:t>21</w:t>
            </w:r>
          </w:p>
          <w:p>
            <w:pPr>
              <w:pStyle w:val="20"/>
              <w:spacing w:line="292" w:lineRule="exact"/>
              <w:ind w:left="106"/>
              <w:rPr>
                <w:rFonts w:hint="eastAsia" w:eastAsia="宋体"/>
                <w:sz w:val="24"/>
                <w:lang w:eastAsia="zh-CN"/>
              </w:rPr>
            </w:pPr>
            <w:r>
              <w:rPr>
                <w:sz w:val="24"/>
              </w:rPr>
              <w:t>项目内容：环卫保洁</w:t>
            </w:r>
            <w:r>
              <w:rPr>
                <w:rFonts w:hint="eastAsia"/>
                <w:sz w:val="24"/>
                <w:lang w:eastAsia="zh-CN"/>
              </w:rPr>
              <w:t>及垃圾清运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tcPr>
          <w:p>
            <w:pPr>
              <w:pStyle w:val="20"/>
              <w:spacing w:before="50" w:line="290" w:lineRule="exact"/>
              <w:ind w:left="10"/>
              <w:jc w:val="center"/>
              <w:rPr>
                <w:sz w:val="24"/>
              </w:rPr>
            </w:pPr>
            <w:r>
              <w:rPr>
                <w:sz w:val="24"/>
              </w:rPr>
              <w:t>2</w:t>
            </w:r>
          </w:p>
        </w:tc>
        <w:tc>
          <w:tcPr>
            <w:tcW w:w="1611" w:type="dxa"/>
          </w:tcPr>
          <w:p>
            <w:pPr>
              <w:pStyle w:val="20"/>
              <w:spacing w:before="50" w:line="290" w:lineRule="exact"/>
              <w:ind w:left="6"/>
              <w:jc w:val="center"/>
              <w:rPr>
                <w:sz w:val="24"/>
              </w:rPr>
            </w:pPr>
            <w:r>
              <w:rPr>
                <w:sz w:val="24"/>
              </w:rPr>
              <w:t>采购方式</w:t>
            </w:r>
          </w:p>
        </w:tc>
        <w:tc>
          <w:tcPr>
            <w:tcW w:w="7399" w:type="dxa"/>
          </w:tcPr>
          <w:p>
            <w:pPr>
              <w:pStyle w:val="20"/>
              <w:spacing w:before="50" w:line="290" w:lineRule="exact"/>
              <w:ind w:left="106"/>
              <w:rPr>
                <w:sz w:val="24"/>
              </w:rPr>
            </w:pPr>
            <w:r>
              <w:rPr>
                <w:sz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0"/>
              <w:spacing w:before="12"/>
              <w:rPr>
                <w:b/>
                <w:sz w:val="31"/>
              </w:rPr>
            </w:pPr>
          </w:p>
          <w:p>
            <w:pPr>
              <w:pStyle w:val="20"/>
              <w:ind w:left="10"/>
              <w:jc w:val="center"/>
              <w:rPr>
                <w:sz w:val="24"/>
              </w:rPr>
            </w:pPr>
            <w:r>
              <w:rPr>
                <w:sz w:val="24"/>
              </w:rPr>
              <w:t>3</w:t>
            </w:r>
          </w:p>
        </w:tc>
        <w:tc>
          <w:tcPr>
            <w:tcW w:w="1611" w:type="dxa"/>
          </w:tcPr>
          <w:p>
            <w:pPr>
              <w:pStyle w:val="20"/>
              <w:spacing w:before="11"/>
              <w:rPr>
                <w:b/>
                <w:sz w:val="17"/>
              </w:rPr>
            </w:pPr>
          </w:p>
          <w:p>
            <w:pPr>
              <w:pStyle w:val="20"/>
              <w:spacing w:before="1" w:line="280" w:lineRule="auto"/>
              <w:ind w:left="563" w:right="195" w:hanging="360"/>
              <w:rPr>
                <w:sz w:val="24"/>
              </w:rPr>
            </w:pPr>
            <w:r>
              <w:rPr>
                <w:sz w:val="24"/>
              </w:rPr>
              <w:t>投标文件的编制</w:t>
            </w:r>
          </w:p>
        </w:tc>
        <w:tc>
          <w:tcPr>
            <w:tcW w:w="7399" w:type="dxa"/>
          </w:tcPr>
          <w:p>
            <w:pPr>
              <w:pStyle w:val="20"/>
              <w:spacing w:before="1" w:line="360" w:lineRule="exact"/>
              <w:ind w:left="106" w:right="320"/>
              <w:jc w:val="both"/>
              <w:rPr>
                <w:sz w:val="24"/>
              </w:rPr>
            </w:pPr>
            <w:r>
              <w:rPr>
                <w:sz w:val="24"/>
              </w:rPr>
              <w:t>供应商应先安装“政采云电子交易客户端”，并按照本招标文件和“政府采购云平台”的要求，通过“政采云电子交易客户端”编制并加密投标文件。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31" w:type="dxa"/>
            <w:tcBorders>
              <w:bottom w:val="nil"/>
            </w:tcBorders>
          </w:tcPr>
          <w:p>
            <w:pPr>
              <w:pStyle w:val="20"/>
              <w:rPr>
                <w:rFonts w:ascii="Times New Roman"/>
                <w:sz w:val="24"/>
              </w:rPr>
            </w:pPr>
          </w:p>
        </w:tc>
        <w:tc>
          <w:tcPr>
            <w:tcW w:w="1611" w:type="dxa"/>
            <w:tcBorders>
              <w:bottom w:val="nil"/>
            </w:tcBorders>
          </w:tcPr>
          <w:p>
            <w:pPr>
              <w:pStyle w:val="20"/>
              <w:rPr>
                <w:rFonts w:ascii="Times New Roman"/>
                <w:sz w:val="24"/>
              </w:rPr>
            </w:pPr>
          </w:p>
        </w:tc>
        <w:tc>
          <w:tcPr>
            <w:tcW w:w="7399" w:type="dxa"/>
            <w:tcBorders>
              <w:bottom w:val="nil"/>
            </w:tcBorders>
          </w:tcPr>
          <w:p>
            <w:pPr>
              <w:pStyle w:val="20"/>
              <w:ind w:left="106"/>
              <w:rPr>
                <w:sz w:val="24"/>
              </w:rPr>
            </w:pPr>
            <w:r>
              <w:rPr>
                <w:sz w:val="24"/>
              </w:rPr>
              <w:t>电子投标文件（包括“电子加密投标文件一份”和“备份投标文件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79"/>
              <w:ind w:left="106"/>
              <w:rPr>
                <w:sz w:val="24"/>
              </w:rPr>
            </w:pPr>
            <w:r>
              <w:rPr>
                <w:sz w:val="24"/>
              </w:rPr>
              <w:t>一份”，在投标文件编制完成后同时生成）；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731" w:type="dxa"/>
            <w:tcBorders>
              <w:top w:val="nil"/>
              <w:bottom w:val="nil"/>
            </w:tcBorders>
          </w:tcPr>
          <w:p>
            <w:pPr>
              <w:pStyle w:val="20"/>
              <w:rPr>
                <w:b/>
                <w:sz w:val="24"/>
              </w:rPr>
            </w:pPr>
          </w:p>
          <w:p>
            <w:pPr>
              <w:pStyle w:val="20"/>
              <w:spacing w:before="180"/>
              <w:ind w:left="10"/>
              <w:jc w:val="center"/>
              <w:rPr>
                <w:sz w:val="24"/>
              </w:rPr>
            </w:pPr>
            <w:r>
              <w:rPr>
                <w:sz w:val="24"/>
              </w:rPr>
              <w:t>4</w:t>
            </w:r>
          </w:p>
        </w:tc>
        <w:tc>
          <w:tcPr>
            <w:tcW w:w="1611" w:type="dxa"/>
            <w:tcBorders>
              <w:top w:val="nil"/>
              <w:bottom w:val="nil"/>
            </w:tcBorders>
          </w:tcPr>
          <w:p>
            <w:pPr>
              <w:pStyle w:val="20"/>
              <w:spacing w:before="12"/>
              <w:rPr>
                <w:b/>
                <w:sz w:val="19"/>
              </w:rPr>
            </w:pPr>
          </w:p>
          <w:p>
            <w:pPr>
              <w:pStyle w:val="20"/>
              <w:spacing w:line="360" w:lineRule="atLeast"/>
              <w:ind w:left="203" w:right="195"/>
              <w:rPr>
                <w:sz w:val="24"/>
              </w:rPr>
            </w:pPr>
            <w:r>
              <w:rPr>
                <w:sz w:val="24"/>
              </w:rPr>
              <w:t>投标文件的形式和份数</w:t>
            </w:r>
          </w:p>
        </w:tc>
        <w:tc>
          <w:tcPr>
            <w:tcW w:w="7399" w:type="dxa"/>
            <w:tcBorders>
              <w:top w:val="nil"/>
              <w:bottom w:val="nil"/>
            </w:tcBorders>
          </w:tcPr>
          <w:p>
            <w:pPr>
              <w:pStyle w:val="20"/>
              <w:spacing w:before="80"/>
              <w:ind w:left="106"/>
              <w:rPr>
                <w:sz w:val="24"/>
              </w:rPr>
            </w:pPr>
            <w:r>
              <w:rPr>
                <w:sz w:val="24"/>
              </w:rPr>
              <w:t>（1）“电子加密投标文件”是指通过“政采云电子交易客户端”完</w:t>
            </w:r>
          </w:p>
          <w:p>
            <w:pPr>
              <w:pStyle w:val="20"/>
              <w:spacing w:before="160"/>
              <w:ind w:left="106"/>
              <w:rPr>
                <w:sz w:val="24"/>
              </w:rPr>
            </w:pPr>
            <w:r>
              <w:rPr>
                <w:sz w:val="24"/>
              </w:rPr>
              <w:t>成投标文件编制后生成并加密的数据电文形式的投标文件。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731" w:type="dxa"/>
            <w:tcBorders>
              <w:top w:val="nil"/>
            </w:tcBorders>
          </w:tcPr>
          <w:p>
            <w:pPr>
              <w:pStyle w:val="20"/>
              <w:rPr>
                <w:rFonts w:ascii="Times New Roman"/>
                <w:sz w:val="24"/>
              </w:rPr>
            </w:pPr>
          </w:p>
        </w:tc>
        <w:tc>
          <w:tcPr>
            <w:tcW w:w="1611" w:type="dxa"/>
            <w:tcBorders>
              <w:top w:val="nil"/>
            </w:tcBorders>
          </w:tcPr>
          <w:p>
            <w:pPr>
              <w:pStyle w:val="20"/>
              <w:rPr>
                <w:rFonts w:ascii="Times New Roman"/>
                <w:sz w:val="24"/>
              </w:rPr>
            </w:pPr>
          </w:p>
        </w:tc>
        <w:tc>
          <w:tcPr>
            <w:tcW w:w="7399" w:type="dxa"/>
            <w:tcBorders>
              <w:top w:val="nil"/>
            </w:tcBorders>
          </w:tcPr>
          <w:p>
            <w:pPr>
              <w:pStyle w:val="20"/>
              <w:spacing w:before="43" w:line="280" w:lineRule="auto"/>
              <w:ind w:left="106" w:right="200"/>
              <w:rPr>
                <w:b/>
                <w:sz w:val="24"/>
              </w:rPr>
            </w:pPr>
            <w:r>
              <w:rPr>
                <w:sz w:val="24"/>
              </w:rPr>
              <w:t>（2）“备份投标文件”是指与“电子加密投标文件”同时生成的数据电文形式的电子文件（备份标书）</w:t>
            </w:r>
            <w:r>
              <w:rPr>
                <w:b/>
                <w:sz w:val="24"/>
              </w:rPr>
              <w:t>。其他方式编制的备份投标文</w:t>
            </w:r>
          </w:p>
          <w:p>
            <w:pPr>
              <w:pStyle w:val="20"/>
              <w:spacing w:line="291" w:lineRule="exact"/>
              <w:ind w:left="106"/>
              <w:rPr>
                <w:b/>
                <w:sz w:val="24"/>
              </w:rPr>
            </w:pPr>
            <w:r>
              <w:rPr>
                <w:b/>
                <w:sz w:val="24"/>
              </w:rPr>
              <w:t>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31" w:type="dxa"/>
            <w:tcBorders>
              <w:bottom w:val="nil"/>
            </w:tcBorders>
          </w:tcPr>
          <w:p>
            <w:pPr>
              <w:pStyle w:val="20"/>
              <w:rPr>
                <w:rFonts w:ascii="Times New Roman"/>
                <w:sz w:val="24"/>
              </w:rPr>
            </w:pPr>
          </w:p>
        </w:tc>
        <w:tc>
          <w:tcPr>
            <w:tcW w:w="1611" w:type="dxa"/>
            <w:tcBorders>
              <w:bottom w:val="nil"/>
            </w:tcBorders>
          </w:tcPr>
          <w:p>
            <w:pPr>
              <w:pStyle w:val="20"/>
              <w:rPr>
                <w:rFonts w:ascii="Times New Roman"/>
                <w:sz w:val="24"/>
              </w:rPr>
            </w:pPr>
          </w:p>
        </w:tc>
        <w:tc>
          <w:tcPr>
            <w:tcW w:w="7399" w:type="dxa"/>
            <w:tcBorders>
              <w:bottom w:val="nil"/>
            </w:tcBorders>
          </w:tcPr>
          <w:p>
            <w:pPr>
              <w:pStyle w:val="20"/>
              <w:ind w:left="106"/>
              <w:rPr>
                <w:b/>
                <w:sz w:val="24"/>
              </w:rPr>
            </w:pPr>
            <w:r>
              <w:rPr>
                <w:b/>
                <w:sz w:val="24"/>
              </w:rPr>
              <w:t>（1）“电子加密投标文件”的上传、递交：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80"/>
              <w:ind w:left="106"/>
              <w:rPr>
                <w:sz w:val="24"/>
              </w:rPr>
            </w:pPr>
            <w:r>
              <w:rPr>
                <w:sz w:val="24"/>
              </w:rPr>
              <w:t>a.投标供应商应在投标截止时间前将“电子加密投标文件”成功上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79"/>
              <w:ind w:left="106"/>
              <w:rPr>
                <w:sz w:val="24"/>
              </w:rPr>
            </w:pPr>
            <w:r>
              <w:rPr>
                <w:sz w:val="24"/>
              </w:rPr>
              <w:t>传递交至“政府采购云平台”，否则投标无效。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80"/>
              <w:ind w:left="106"/>
              <w:rPr>
                <w:sz w:val="24"/>
              </w:rPr>
            </w:pPr>
            <w:r>
              <w:rPr>
                <w:sz w:val="24"/>
              </w:rPr>
              <w:t>b.“电子加密投标文件”成功上传递交后，供应商可自行打印投标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79"/>
              <w:ind w:left="106"/>
              <w:rPr>
                <w:sz w:val="24"/>
              </w:rPr>
            </w:pPr>
            <w:r>
              <w:rPr>
                <w:sz w:val="24"/>
              </w:rPr>
              <w:t>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80"/>
              <w:ind w:left="106"/>
              <w:rPr>
                <w:b/>
                <w:sz w:val="24"/>
              </w:rPr>
            </w:pPr>
            <w:r>
              <w:rPr>
                <w:b/>
                <w:sz w:val="24"/>
              </w:rPr>
              <w:t>（2）“备份投标文件”的密封包装、递交：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731" w:type="dxa"/>
            <w:tcBorders>
              <w:top w:val="nil"/>
              <w:bottom w:val="nil"/>
            </w:tcBorders>
          </w:tcPr>
          <w:p>
            <w:pPr>
              <w:pStyle w:val="20"/>
              <w:rPr>
                <w:b/>
                <w:sz w:val="24"/>
              </w:rPr>
            </w:pPr>
          </w:p>
          <w:p>
            <w:pPr>
              <w:pStyle w:val="20"/>
              <w:spacing w:before="2"/>
              <w:rPr>
                <w:b/>
                <w:sz w:val="26"/>
              </w:rPr>
            </w:pPr>
          </w:p>
          <w:p>
            <w:pPr>
              <w:pStyle w:val="20"/>
              <w:ind w:left="10"/>
              <w:jc w:val="center"/>
              <w:rPr>
                <w:sz w:val="24"/>
              </w:rPr>
            </w:pPr>
            <w:r>
              <w:rPr>
                <w:sz w:val="24"/>
              </w:rPr>
              <w:t>5</w:t>
            </w:r>
          </w:p>
        </w:tc>
        <w:tc>
          <w:tcPr>
            <w:tcW w:w="1611" w:type="dxa"/>
            <w:tcBorders>
              <w:top w:val="nil"/>
              <w:bottom w:val="nil"/>
            </w:tcBorders>
          </w:tcPr>
          <w:p>
            <w:pPr>
              <w:pStyle w:val="20"/>
              <w:spacing w:before="12"/>
              <w:rPr>
                <w:b/>
                <w:sz w:val="23"/>
              </w:rPr>
            </w:pPr>
          </w:p>
          <w:p>
            <w:pPr>
              <w:pStyle w:val="20"/>
              <w:spacing w:line="364" w:lineRule="auto"/>
              <w:ind w:left="107" w:right="291"/>
              <w:rPr>
                <w:sz w:val="24"/>
              </w:rPr>
            </w:pPr>
            <w:r>
              <w:rPr>
                <w:sz w:val="24"/>
              </w:rPr>
              <w:t>投标文件的上传和递交</w:t>
            </w:r>
          </w:p>
        </w:tc>
        <w:tc>
          <w:tcPr>
            <w:tcW w:w="7399" w:type="dxa"/>
            <w:tcBorders>
              <w:top w:val="nil"/>
              <w:bottom w:val="nil"/>
            </w:tcBorders>
          </w:tcPr>
          <w:p>
            <w:pPr>
              <w:pStyle w:val="20"/>
              <w:numPr>
                <w:ilvl w:val="0"/>
                <w:numId w:val="2"/>
              </w:numPr>
              <w:tabs>
                <w:tab w:val="left" w:pos="348"/>
              </w:tabs>
              <w:spacing w:before="79" w:after="0" w:line="242" w:lineRule="auto"/>
              <w:ind w:left="106" w:right="200" w:firstLine="0"/>
              <w:jc w:val="left"/>
              <w:rPr>
                <w:b/>
                <w:sz w:val="24"/>
              </w:rPr>
            </w:pPr>
            <w:r>
              <w:rPr>
                <w:sz w:val="24"/>
              </w:rPr>
              <w:t>投标供应商还可以在投标截止时间前以介质（U盘）存储的 “备份投标文件”邮寄形式（建议EMS或顺丰）</w:t>
            </w:r>
            <w:r>
              <w:rPr>
                <w:spacing w:val="-2"/>
                <w:sz w:val="24"/>
              </w:rPr>
              <w:t>至</w:t>
            </w:r>
            <w:r>
              <w:rPr>
                <w:rFonts w:hint="eastAsia"/>
                <w:spacing w:val="-2"/>
                <w:sz w:val="24"/>
                <w:lang w:eastAsia="zh-CN"/>
              </w:rPr>
              <w:t>浙江科信联合工程项目管理咨询有限公司</w:t>
            </w:r>
            <w:r>
              <w:rPr>
                <w:sz w:val="24"/>
              </w:rPr>
              <w:t>（邮寄地址：温岭市阳光大道</w:t>
            </w:r>
            <w:r>
              <w:rPr>
                <w:rFonts w:hint="eastAsia"/>
                <w:sz w:val="24"/>
                <w:lang w:eastAsia="zh-CN"/>
              </w:rPr>
              <w:t>广明大厦</w:t>
            </w:r>
            <w:r>
              <w:rPr>
                <w:rFonts w:hint="eastAsia"/>
                <w:sz w:val="24"/>
                <w:lang w:val="en-US" w:eastAsia="zh-CN"/>
              </w:rPr>
              <w:t>1206室</w:t>
            </w:r>
            <w:r>
              <w:rPr>
                <w:sz w:val="24"/>
              </w:rPr>
              <w:t xml:space="preserve">,联系人： </w:t>
            </w:r>
            <w:r>
              <w:rPr>
                <w:rFonts w:hint="eastAsia"/>
                <w:sz w:val="24"/>
                <w:lang w:eastAsia="zh-CN"/>
              </w:rPr>
              <w:t>黄露梦</w:t>
            </w:r>
            <w:r>
              <w:rPr>
                <w:sz w:val="24"/>
              </w:rPr>
              <w:t>，联系电话：</w:t>
            </w:r>
            <w:r>
              <w:rPr>
                <w:rFonts w:hint="eastAsia"/>
                <w:sz w:val="24"/>
                <w:lang w:eastAsia="zh-CN"/>
              </w:rPr>
              <w:t>15058619215</w:t>
            </w:r>
            <w:r>
              <w:rPr>
                <w:sz w:val="24"/>
              </w:rPr>
              <w:t>,0576-</w:t>
            </w:r>
            <w:r>
              <w:rPr>
                <w:rFonts w:hint="eastAsia"/>
                <w:sz w:val="24"/>
                <w:lang w:val="en-US" w:eastAsia="zh-CN"/>
              </w:rPr>
              <w:t>86151909</w:t>
            </w:r>
            <w:r>
              <w:rPr>
                <w:sz w:val="24"/>
              </w:rPr>
              <w:t>）</w:t>
            </w:r>
            <w:r>
              <w:rPr>
                <w:b/>
                <w:sz w:val="24"/>
              </w:rPr>
              <w:t>；</w:t>
            </w:r>
          </w:p>
          <w:p>
            <w:pPr>
              <w:pStyle w:val="20"/>
              <w:numPr>
                <w:ilvl w:val="0"/>
                <w:numId w:val="2"/>
              </w:numPr>
              <w:tabs>
                <w:tab w:val="left" w:pos="348"/>
              </w:tabs>
              <w:spacing w:before="3" w:after="0" w:line="240" w:lineRule="auto"/>
              <w:ind w:left="347" w:right="0" w:hanging="242"/>
              <w:jc w:val="left"/>
              <w:rPr>
                <w:sz w:val="24"/>
              </w:rPr>
            </w:pPr>
            <w:r>
              <w:rPr>
                <w:sz w:val="24"/>
              </w:rPr>
              <w:t>“备份投标文件”应当密封包装，并在包装上标注投标项目名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80"/>
              <w:ind w:left="106"/>
              <w:rPr>
                <w:sz w:val="24"/>
              </w:rPr>
            </w:pPr>
            <w:r>
              <w:rPr>
                <w:sz w:val="24"/>
              </w:rPr>
              <w:t>称、投标单位名称并加盖公章。没有密封包装或者逾期邮寄送达至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79"/>
              <w:ind w:left="106"/>
              <w:rPr>
                <w:sz w:val="24"/>
              </w:rPr>
            </w:pPr>
            <w:r>
              <w:rPr>
                <w:sz w:val="24"/>
              </w:rPr>
              <w:t>的“备份投标文件”将不予接收；</w:t>
            </w:r>
            <w:r>
              <w:rPr>
                <w:sz w:val="24"/>
                <w:u w:val="single"/>
              </w:rPr>
              <w:t>邮寄后请将快递底单发送至邮箱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80"/>
              <w:ind w:left="106"/>
              <w:rPr>
                <w:sz w:val="24"/>
              </w:rPr>
            </w:pPr>
            <w:r>
              <w:fldChar w:fldCharType="begin"/>
            </w:r>
            <w:r>
              <w:instrText xml:space="preserve"> HYPERLINK "mailto:1049391271@qq.com" \h </w:instrText>
            </w:r>
            <w:r>
              <w:fldChar w:fldCharType="separate"/>
            </w:r>
            <w:r>
              <w:rPr>
                <w:rFonts w:hint="eastAsia"/>
                <w:sz w:val="24"/>
                <w:u w:val="single"/>
                <w:lang w:eastAsia="zh-CN"/>
              </w:rPr>
              <w:t>1191354184</w:t>
            </w:r>
            <w:r>
              <w:rPr>
                <w:sz w:val="24"/>
                <w:u w:val="single"/>
              </w:rPr>
              <w:t>@qq.com</w:t>
            </w:r>
            <w:r>
              <w:rPr>
                <w:sz w:val="24"/>
                <w:u w:val="single"/>
              </w:rPr>
              <w:fldChar w:fldCharType="end"/>
            </w:r>
            <w:r>
              <w:rPr>
                <w:sz w:val="24"/>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103"/>
              <w:ind w:left="106"/>
              <w:rPr>
                <w:sz w:val="24"/>
              </w:rPr>
            </w:pPr>
            <w:r>
              <w:rPr>
                <w:sz w:val="24"/>
              </w:rPr>
              <w:t>▲c.通过“政府采购云平台”成功上传递交的“电子加密投标文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26"/>
              <w:ind w:left="106"/>
              <w:rPr>
                <w:sz w:val="24"/>
              </w:rPr>
            </w:pPr>
            <w:r>
              <w:rPr>
                <w:sz w:val="24"/>
              </w:rPr>
              <w:t>件”已按时解密的，“备份投标文件”自动失效。投标截止时间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31" w:type="dxa"/>
            <w:tcBorders>
              <w:top w:val="nil"/>
            </w:tcBorders>
          </w:tcPr>
          <w:p>
            <w:pPr>
              <w:pStyle w:val="20"/>
              <w:rPr>
                <w:rFonts w:ascii="Times New Roman"/>
                <w:sz w:val="24"/>
              </w:rPr>
            </w:pPr>
          </w:p>
        </w:tc>
        <w:tc>
          <w:tcPr>
            <w:tcW w:w="1611" w:type="dxa"/>
            <w:tcBorders>
              <w:top w:val="nil"/>
            </w:tcBorders>
          </w:tcPr>
          <w:p>
            <w:pPr>
              <w:pStyle w:val="20"/>
              <w:rPr>
                <w:rFonts w:ascii="Times New Roman"/>
                <w:sz w:val="24"/>
              </w:rPr>
            </w:pPr>
          </w:p>
        </w:tc>
        <w:tc>
          <w:tcPr>
            <w:tcW w:w="7399" w:type="dxa"/>
            <w:tcBorders>
              <w:top w:val="nil"/>
            </w:tcBorders>
          </w:tcPr>
          <w:p>
            <w:pPr>
              <w:pStyle w:val="20"/>
              <w:spacing w:before="26" w:line="289" w:lineRule="exact"/>
              <w:ind w:left="106"/>
              <w:rPr>
                <w:sz w:val="24"/>
              </w:rPr>
            </w:pPr>
            <w:r>
              <w:rPr>
                <w:sz w:val="24"/>
              </w:rPr>
              <w:t>前，投标供应商仅递交了“备份投标文件”而未将“电子加密投标</w:t>
            </w:r>
          </w:p>
        </w:tc>
      </w:tr>
    </w:tbl>
    <w:p>
      <w:pPr>
        <w:spacing w:after="0" w:line="289" w:lineRule="exact"/>
        <w:rPr>
          <w:sz w:val="24"/>
        </w:rPr>
        <w:sectPr>
          <w:pgSz w:w="11910" w:h="16840"/>
          <w:pgMar w:top="1400" w:right="220" w:bottom="980" w:left="580" w:header="0" w:footer="706" w:gutter="0"/>
          <w:pgBorders>
            <w:top w:val="none" w:sz="0" w:space="0"/>
            <w:left w:val="none" w:sz="0" w:space="0"/>
            <w:bottom w:val="none" w:sz="0" w:space="0"/>
            <w:right w:val="none" w:sz="0" w:space="0"/>
          </w:pgBorders>
          <w:cols w:space="720" w:num="1"/>
        </w:sectPr>
      </w:pPr>
    </w:p>
    <w:tbl>
      <w:tblPr>
        <w:tblStyle w:val="15"/>
        <w:tblW w:w="0" w:type="auto"/>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611"/>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31" w:type="dxa"/>
          </w:tcPr>
          <w:p>
            <w:pPr>
              <w:pStyle w:val="20"/>
              <w:rPr>
                <w:rFonts w:ascii="Times New Roman"/>
                <w:sz w:val="24"/>
              </w:rPr>
            </w:pPr>
          </w:p>
        </w:tc>
        <w:tc>
          <w:tcPr>
            <w:tcW w:w="1611" w:type="dxa"/>
          </w:tcPr>
          <w:p>
            <w:pPr>
              <w:pStyle w:val="20"/>
              <w:rPr>
                <w:rFonts w:ascii="Times New Roman"/>
                <w:sz w:val="24"/>
              </w:rPr>
            </w:pPr>
          </w:p>
        </w:tc>
        <w:tc>
          <w:tcPr>
            <w:tcW w:w="7399" w:type="dxa"/>
          </w:tcPr>
          <w:p>
            <w:pPr>
              <w:pStyle w:val="20"/>
              <w:spacing w:before="48"/>
              <w:ind w:left="106"/>
              <w:rPr>
                <w:sz w:val="24"/>
              </w:rPr>
            </w:pPr>
            <w:r>
              <w:rPr>
                <w:sz w:val="24"/>
              </w:rPr>
              <w:t>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31" w:type="dxa"/>
            <w:tcBorders>
              <w:bottom w:val="nil"/>
            </w:tcBorders>
          </w:tcPr>
          <w:p>
            <w:pPr>
              <w:pStyle w:val="20"/>
              <w:rPr>
                <w:rFonts w:ascii="Times New Roman"/>
                <w:sz w:val="24"/>
              </w:rPr>
            </w:pPr>
          </w:p>
        </w:tc>
        <w:tc>
          <w:tcPr>
            <w:tcW w:w="1611" w:type="dxa"/>
            <w:tcBorders>
              <w:bottom w:val="nil"/>
            </w:tcBorders>
          </w:tcPr>
          <w:p>
            <w:pPr>
              <w:pStyle w:val="20"/>
              <w:rPr>
                <w:rFonts w:ascii="Times New Roman"/>
                <w:sz w:val="24"/>
              </w:rPr>
            </w:pPr>
          </w:p>
        </w:tc>
        <w:tc>
          <w:tcPr>
            <w:tcW w:w="7399" w:type="dxa"/>
            <w:tcBorders>
              <w:bottom w:val="nil"/>
            </w:tcBorders>
          </w:tcPr>
          <w:p>
            <w:pPr>
              <w:pStyle w:val="20"/>
              <w:spacing w:before="1"/>
              <w:ind w:left="106"/>
              <w:rPr>
                <w:sz w:val="24"/>
              </w:rPr>
            </w:pPr>
            <w:r>
              <w:rPr>
                <w:sz w:val="24"/>
              </w:rPr>
              <w:t>（1）开标后，采购组织机构将向各投标供应商发出“电子加密投标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79"/>
              <w:ind w:left="106"/>
              <w:rPr>
                <w:b/>
                <w:sz w:val="24"/>
              </w:rPr>
            </w:pPr>
            <w:r>
              <w:rPr>
                <w:sz w:val="24"/>
              </w:rPr>
              <w:t>文件”的解密通知，各投标供应商代表应当在接到解密通知后</w:t>
            </w:r>
            <w:r>
              <w:rPr>
                <w:b/>
                <w:sz w:val="24"/>
                <w:u w:val="single"/>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80"/>
              <w:ind w:left="106"/>
              <w:rPr>
                <w:b/>
                <w:sz w:val="24"/>
              </w:rPr>
            </w:pPr>
            <w:r>
              <w:rPr>
                <w:b/>
                <w:sz w:val="24"/>
                <w:u w:val="single"/>
              </w:rPr>
              <w:t>钟内</w:t>
            </w:r>
            <w:r>
              <w:rPr>
                <w:sz w:val="24"/>
              </w:rPr>
              <w:t>自行完成“电子加密投标文件”的在线解密。</w:t>
            </w:r>
            <w:r>
              <w:rPr>
                <w:b/>
                <w:sz w:val="24"/>
                <w:u w:val="single"/>
              </w:rPr>
              <w:t>解密CA必须是上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spacing w:before="80"/>
              <w:ind w:left="107"/>
              <w:rPr>
                <w:sz w:val="24"/>
              </w:rPr>
            </w:pPr>
            <w:r>
              <w:rPr>
                <w:sz w:val="24"/>
              </w:rPr>
              <w:t>电子加密投</w:t>
            </w:r>
          </w:p>
        </w:tc>
        <w:tc>
          <w:tcPr>
            <w:tcW w:w="7399" w:type="dxa"/>
            <w:tcBorders>
              <w:top w:val="nil"/>
              <w:bottom w:val="nil"/>
            </w:tcBorders>
          </w:tcPr>
          <w:p>
            <w:pPr>
              <w:pStyle w:val="20"/>
              <w:spacing w:before="80"/>
              <w:ind w:left="106"/>
              <w:rPr>
                <w:b/>
                <w:sz w:val="24"/>
              </w:rPr>
            </w:pPr>
            <w:r>
              <w:rPr>
                <w:b/>
                <w:sz w:val="24"/>
                <w:u w:val="single"/>
              </w:rPr>
              <w:t>传并制作电子投标文件CA锁。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spacing w:before="79" w:line="301" w:lineRule="exact"/>
              <w:ind w:left="107"/>
              <w:rPr>
                <w:sz w:val="24"/>
              </w:rPr>
            </w:pPr>
            <w:r>
              <w:rPr>
                <w:sz w:val="24"/>
              </w:rPr>
              <w:t>标文件的解</w:t>
            </w:r>
          </w:p>
        </w:tc>
        <w:tc>
          <w:tcPr>
            <w:tcW w:w="7399" w:type="dxa"/>
            <w:tcBorders>
              <w:top w:val="nil"/>
              <w:bottom w:val="nil"/>
            </w:tcBorders>
          </w:tcPr>
          <w:p>
            <w:pPr>
              <w:pStyle w:val="20"/>
              <w:spacing w:before="79" w:line="301" w:lineRule="exact"/>
              <w:ind w:left="106"/>
              <w:rPr>
                <w:sz w:val="24"/>
              </w:rPr>
            </w:pPr>
            <w:r>
              <w:rPr>
                <w:sz w:val="24"/>
              </w:rPr>
              <w:t>（2）通过“政府采购云平台”成功上传递交的“电子加密投标文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31" w:type="dxa"/>
            <w:tcBorders>
              <w:top w:val="nil"/>
              <w:bottom w:val="nil"/>
            </w:tcBorders>
          </w:tcPr>
          <w:p>
            <w:pPr>
              <w:pStyle w:val="20"/>
              <w:spacing w:before="13"/>
              <w:ind w:right="293"/>
              <w:jc w:val="right"/>
              <w:rPr>
                <w:sz w:val="24"/>
              </w:rPr>
            </w:pPr>
            <w:r>
              <w:rPr>
                <w:sz w:val="24"/>
              </w:rPr>
              <w:t>6</w:t>
            </w:r>
          </w:p>
        </w:tc>
        <w:tc>
          <w:tcPr>
            <w:tcW w:w="1611" w:type="dxa"/>
            <w:tcBorders>
              <w:top w:val="nil"/>
              <w:bottom w:val="nil"/>
            </w:tcBorders>
          </w:tcPr>
          <w:p>
            <w:pPr>
              <w:pStyle w:val="20"/>
              <w:spacing w:before="145"/>
              <w:ind w:left="107"/>
              <w:rPr>
                <w:sz w:val="24"/>
              </w:rPr>
            </w:pPr>
            <w:r>
              <w:rPr>
                <w:sz w:val="24"/>
              </w:rPr>
              <w:t>密和异常情</w:t>
            </w:r>
          </w:p>
        </w:tc>
        <w:tc>
          <w:tcPr>
            <w:tcW w:w="7399" w:type="dxa"/>
            <w:tcBorders>
              <w:top w:val="nil"/>
              <w:bottom w:val="nil"/>
            </w:tcBorders>
          </w:tcPr>
          <w:p>
            <w:pPr>
              <w:pStyle w:val="20"/>
              <w:spacing w:before="147"/>
              <w:ind w:left="106"/>
              <w:rPr>
                <w:sz w:val="24"/>
              </w:rPr>
            </w:pPr>
            <w:r>
              <w:rPr>
                <w:sz w:val="24"/>
              </w:rPr>
              <w:t>件”无法按时解密，投标供应商如按规定递交了“备份投标文件”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spacing w:before="79"/>
              <w:ind w:left="107"/>
              <w:rPr>
                <w:sz w:val="24"/>
              </w:rPr>
            </w:pPr>
            <w:r>
              <w:rPr>
                <w:sz w:val="24"/>
              </w:rPr>
              <w:t>况处理</w:t>
            </w:r>
          </w:p>
        </w:tc>
        <w:tc>
          <w:tcPr>
            <w:tcW w:w="7399" w:type="dxa"/>
            <w:tcBorders>
              <w:top w:val="nil"/>
              <w:bottom w:val="nil"/>
            </w:tcBorders>
          </w:tcPr>
          <w:p>
            <w:pPr>
              <w:pStyle w:val="20"/>
              <w:spacing w:before="79"/>
              <w:ind w:left="106"/>
              <w:rPr>
                <w:sz w:val="24"/>
              </w:rPr>
            </w:pPr>
            <w:r>
              <w:rPr>
                <w:sz w:val="24"/>
              </w:rPr>
              <w:t>的，以“备份投标文件”为依据（由采购组织机构按“政府采购云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80"/>
              <w:ind w:left="106"/>
              <w:rPr>
                <w:sz w:val="24"/>
              </w:rPr>
            </w:pPr>
            <w:r>
              <w:rPr>
                <w:sz w:val="24"/>
              </w:rPr>
              <w:t>平台”操作规范将“备份投标文件”上传至“政府采购云平台”，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Borders>
              <w:top w:val="nil"/>
              <w:bottom w:val="nil"/>
            </w:tcBorders>
          </w:tcPr>
          <w:p>
            <w:pPr>
              <w:pStyle w:val="20"/>
              <w:rPr>
                <w:rFonts w:ascii="Times New Roman"/>
                <w:sz w:val="24"/>
              </w:rPr>
            </w:pPr>
          </w:p>
        </w:tc>
        <w:tc>
          <w:tcPr>
            <w:tcW w:w="1611" w:type="dxa"/>
            <w:tcBorders>
              <w:top w:val="nil"/>
              <w:bottom w:val="nil"/>
            </w:tcBorders>
          </w:tcPr>
          <w:p>
            <w:pPr>
              <w:pStyle w:val="20"/>
              <w:rPr>
                <w:rFonts w:ascii="Times New Roman"/>
                <w:sz w:val="24"/>
              </w:rPr>
            </w:pPr>
          </w:p>
        </w:tc>
        <w:tc>
          <w:tcPr>
            <w:tcW w:w="7399" w:type="dxa"/>
            <w:tcBorders>
              <w:top w:val="nil"/>
              <w:bottom w:val="nil"/>
            </w:tcBorders>
          </w:tcPr>
          <w:p>
            <w:pPr>
              <w:pStyle w:val="20"/>
              <w:spacing w:before="79"/>
              <w:ind w:left="106"/>
              <w:rPr>
                <w:sz w:val="24"/>
              </w:rPr>
            </w:pPr>
            <w:r>
              <w:rPr>
                <w:sz w:val="24"/>
              </w:rPr>
              <w:t>上传成功后，“电子加密投标文件 ”自动失效），否则视为投标文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31" w:type="dxa"/>
            <w:tcBorders>
              <w:top w:val="nil"/>
            </w:tcBorders>
          </w:tcPr>
          <w:p>
            <w:pPr>
              <w:pStyle w:val="20"/>
              <w:rPr>
                <w:rFonts w:ascii="Times New Roman"/>
                <w:sz w:val="24"/>
              </w:rPr>
            </w:pPr>
          </w:p>
        </w:tc>
        <w:tc>
          <w:tcPr>
            <w:tcW w:w="1611" w:type="dxa"/>
            <w:tcBorders>
              <w:top w:val="nil"/>
            </w:tcBorders>
          </w:tcPr>
          <w:p>
            <w:pPr>
              <w:pStyle w:val="20"/>
              <w:rPr>
                <w:rFonts w:ascii="Times New Roman"/>
                <w:sz w:val="24"/>
              </w:rPr>
            </w:pPr>
          </w:p>
        </w:tc>
        <w:tc>
          <w:tcPr>
            <w:tcW w:w="7399" w:type="dxa"/>
            <w:tcBorders>
              <w:top w:val="nil"/>
            </w:tcBorders>
          </w:tcPr>
          <w:p>
            <w:pPr>
              <w:pStyle w:val="20"/>
              <w:spacing w:before="80"/>
              <w:ind w:left="106"/>
              <w:rPr>
                <w:sz w:val="24"/>
              </w:rPr>
            </w:pPr>
            <w:r>
              <w:rPr>
                <w:sz w:val="24"/>
              </w:rPr>
              <w:t>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tcPr>
          <w:p>
            <w:pPr>
              <w:pStyle w:val="20"/>
              <w:spacing w:before="48" w:line="292" w:lineRule="exact"/>
              <w:ind w:right="293"/>
              <w:jc w:val="right"/>
              <w:rPr>
                <w:sz w:val="24"/>
              </w:rPr>
            </w:pPr>
            <w:r>
              <w:rPr>
                <w:sz w:val="24"/>
              </w:rPr>
              <w:t>7</w:t>
            </w:r>
          </w:p>
        </w:tc>
        <w:tc>
          <w:tcPr>
            <w:tcW w:w="1611" w:type="dxa"/>
          </w:tcPr>
          <w:p>
            <w:pPr>
              <w:pStyle w:val="20"/>
              <w:spacing w:before="48" w:line="292" w:lineRule="exact"/>
              <w:ind w:left="203"/>
              <w:rPr>
                <w:sz w:val="24"/>
              </w:rPr>
            </w:pPr>
            <w:r>
              <w:rPr>
                <w:sz w:val="24"/>
              </w:rPr>
              <w:t>投标有效期</w:t>
            </w:r>
          </w:p>
        </w:tc>
        <w:tc>
          <w:tcPr>
            <w:tcW w:w="7399" w:type="dxa"/>
          </w:tcPr>
          <w:p>
            <w:pPr>
              <w:pStyle w:val="20"/>
              <w:spacing w:before="48" w:line="292" w:lineRule="exact"/>
              <w:ind w:left="106"/>
              <w:rPr>
                <w:sz w:val="24"/>
              </w:rPr>
            </w:pPr>
            <w:r>
              <w:rPr>
                <w:sz w:val="24"/>
              </w:rPr>
              <w:t>自投标截止日起90天。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0"/>
              <w:spacing w:before="10"/>
              <w:rPr>
                <w:b/>
                <w:sz w:val="31"/>
              </w:rPr>
            </w:pPr>
          </w:p>
          <w:p>
            <w:pPr>
              <w:pStyle w:val="20"/>
              <w:ind w:right="293"/>
              <w:jc w:val="right"/>
              <w:rPr>
                <w:sz w:val="24"/>
              </w:rPr>
            </w:pPr>
            <w:r>
              <w:rPr>
                <w:sz w:val="24"/>
              </w:rPr>
              <w:t>8</w:t>
            </w:r>
          </w:p>
        </w:tc>
        <w:tc>
          <w:tcPr>
            <w:tcW w:w="1611" w:type="dxa"/>
          </w:tcPr>
          <w:p>
            <w:pPr>
              <w:pStyle w:val="20"/>
              <w:spacing w:before="10"/>
              <w:rPr>
                <w:b/>
                <w:sz w:val="31"/>
              </w:rPr>
            </w:pPr>
          </w:p>
          <w:p>
            <w:pPr>
              <w:pStyle w:val="20"/>
              <w:ind w:left="323"/>
              <w:rPr>
                <w:sz w:val="24"/>
              </w:rPr>
            </w:pPr>
            <w:r>
              <w:rPr>
                <w:sz w:val="24"/>
              </w:rPr>
              <w:t>投标报价</w:t>
            </w:r>
          </w:p>
        </w:tc>
        <w:tc>
          <w:tcPr>
            <w:tcW w:w="7399" w:type="dxa"/>
          </w:tcPr>
          <w:p>
            <w:pPr>
              <w:pStyle w:val="20"/>
              <w:numPr>
                <w:ilvl w:val="0"/>
                <w:numId w:val="3"/>
              </w:numPr>
              <w:tabs>
                <w:tab w:val="left" w:pos="419"/>
              </w:tabs>
              <w:spacing w:before="48" w:after="0" w:line="240" w:lineRule="auto"/>
              <w:ind w:left="418" w:right="0" w:hanging="313"/>
              <w:jc w:val="left"/>
              <w:rPr>
                <w:sz w:val="24"/>
              </w:rPr>
            </w:pPr>
            <w:r>
              <w:rPr>
                <w:sz w:val="24"/>
              </w:rPr>
              <w:t>本项目投标应以人民币报价；</w:t>
            </w:r>
          </w:p>
          <w:p>
            <w:pPr>
              <w:pStyle w:val="20"/>
              <w:numPr>
                <w:ilvl w:val="0"/>
                <w:numId w:val="3"/>
              </w:numPr>
              <w:tabs>
                <w:tab w:val="left" w:pos="419"/>
              </w:tabs>
              <w:spacing w:before="0" w:after="0" w:line="360" w:lineRule="atLeast"/>
              <w:ind w:left="106" w:right="248" w:firstLine="0"/>
              <w:jc w:val="left"/>
              <w:rPr>
                <w:sz w:val="24"/>
              </w:rPr>
            </w:pPr>
            <w:r>
              <w:rPr>
                <w:spacing w:val="-1"/>
                <w:sz w:val="24"/>
              </w:rPr>
              <w:t>不论投标结果如何，投标人均应自行承担所有与投标有关的全部</w:t>
            </w:r>
            <w:r>
              <w:rPr>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0"/>
              <w:spacing w:before="9"/>
              <w:rPr>
                <w:b/>
                <w:sz w:val="17"/>
              </w:rPr>
            </w:pPr>
          </w:p>
          <w:p>
            <w:pPr>
              <w:pStyle w:val="20"/>
              <w:ind w:right="293"/>
              <w:jc w:val="right"/>
              <w:rPr>
                <w:sz w:val="24"/>
              </w:rPr>
            </w:pPr>
            <w:r>
              <w:rPr>
                <w:sz w:val="24"/>
              </w:rPr>
              <w:t>9</w:t>
            </w:r>
          </w:p>
        </w:tc>
        <w:tc>
          <w:tcPr>
            <w:tcW w:w="1611" w:type="dxa"/>
          </w:tcPr>
          <w:p>
            <w:pPr>
              <w:pStyle w:val="20"/>
              <w:spacing w:before="9"/>
              <w:rPr>
                <w:b/>
                <w:sz w:val="17"/>
              </w:rPr>
            </w:pPr>
          </w:p>
          <w:p>
            <w:pPr>
              <w:pStyle w:val="20"/>
              <w:ind w:left="323"/>
              <w:rPr>
                <w:sz w:val="24"/>
              </w:rPr>
            </w:pPr>
            <w:r>
              <w:rPr>
                <w:sz w:val="24"/>
              </w:rPr>
              <w:t>踏勘现场</w:t>
            </w:r>
          </w:p>
        </w:tc>
        <w:tc>
          <w:tcPr>
            <w:tcW w:w="7399" w:type="dxa"/>
          </w:tcPr>
          <w:p>
            <w:pPr>
              <w:pStyle w:val="20"/>
              <w:spacing w:before="47"/>
              <w:ind w:left="106"/>
              <w:rPr>
                <w:sz w:val="24"/>
              </w:rPr>
            </w:pPr>
            <w:r>
              <w:rPr>
                <w:sz w:val="24"/>
              </w:rPr>
              <w:t>□ 组织（详细内容）</w:t>
            </w:r>
          </w:p>
          <w:p>
            <w:pPr>
              <w:pStyle w:val="20"/>
              <w:numPr>
                <w:ilvl w:val="0"/>
                <w:numId w:val="4"/>
              </w:numPr>
              <w:tabs>
                <w:tab w:val="left" w:pos="467"/>
              </w:tabs>
              <w:spacing w:before="53" w:after="0" w:line="293" w:lineRule="exact"/>
              <w:ind w:left="466" w:right="0" w:hanging="361"/>
              <w:jc w:val="left"/>
              <w:rPr>
                <w:sz w:val="24"/>
              </w:rPr>
            </w:pPr>
            <w:r>
              <w:rPr>
                <w:sz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0"/>
              <w:spacing w:before="9"/>
              <w:rPr>
                <w:b/>
                <w:sz w:val="31"/>
              </w:rPr>
            </w:pPr>
          </w:p>
          <w:p>
            <w:pPr>
              <w:pStyle w:val="20"/>
              <w:spacing w:before="1"/>
              <w:ind w:right="233"/>
              <w:jc w:val="right"/>
              <w:rPr>
                <w:sz w:val="24"/>
              </w:rPr>
            </w:pPr>
            <w:r>
              <w:rPr>
                <w:sz w:val="24"/>
              </w:rPr>
              <w:t>10</w:t>
            </w:r>
          </w:p>
        </w:tc>
        <w:tc>
          <w:tcPr>
            <w:tcW w:w="1611" w:type="dxa"/>
          </w:tcPr>
          <w:p>
            <w:pPr>
              <w:pStyle w:val="20"/>
              <w:spacing w:before="9"/>
              <w:rPr>
                <w:b/>
                <w:sz w:val="31"/>
              </w:rPr>
            </w:pPr>
          </w:p>
          <w:p>
            <w:pPr>
              <w:pStyle w:val="20"/>
              <w:spacing w:before="1"/>
              <w:ind w:left="6"/>
              <w:jc w:val="center"/>
              <w:rPr>
                <w:sz w:val="24"/>
              </w:rPr>
            </w:pPr>
            <w:r>
              <w:rPr>
                <w:sz w:val="24"/>
              </w:rPr>
              <w:t>样品</w:t>
            </w:r>
          </w:p>
        </w:tc>
        <w:tc>
          <w:tcPr>
            <w:tcW w:w="7399" w:type="dxa"/>
          </w:tcPr>
          <w:p>
            <w:pPr>
              <w:pStyle w:val="20"/>
              <w:spacing w:before="47" w:line="280" w:lineRule="auto"/>
              <w:ind w:left="106" w:right="200"/>
              <w:rPr>
                <w:sz w:val="24"/>
              </w:rPr>
            </w:pPr>
            <w:r>
              <w:rPr>
                <w:sz w:val="24"/>
              </w:rPr>
              <w:t>□ 提供，具体详见招标文件，中标人提供的样品将由采购人保管、封存并作为履约验收的参考</w:t>
            </w:r>
          </w:p>
          <w:p>
            <w:pPr>
              <w:pStyle w:val="20"/>
              <w:numPr>
                <w:ilvl w:val="0"/>
                <w:numId w:val="5"/>
              </w:numPr>
              <w:tabs>
                <w:tab w:val="left" w:pos="467"/>
              </w:tabs>
              <w:spacing w:before="0" w:after="0" w:line="293" w:lineRule="exact"/>
              <w:ind w:left="466" w:right="0" w:hanging="361"/>
              <w:jc w:val="left"/>
              <w:rPr>
                <w:sz w:val="24"/>
              </w:rPr>
            </w:pPr>
            <w:r>
              <w:rPr>
                <w:sz w:val="24"/>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0"/>
              <w:spacing w:before="11"/>
              <w:rPr>
                <w:b/>
                <w:sz w:val="17"/>
              </w:rPr>
            </w:pPr>
          </w:p>
          <w:p>
            <w:pPr>
              <w:pStyle w:val="20"/>
              <w:ind w:right="233"/>
              <w:jc w:val="right"/>
              <w:rPr>
                <w:sz w:val="24"/>
              </w:rPr>
            </w:pPr>
            <w:r>
              <w:rPr>
                <w:sz w:val="24"/>
              </w:rPr>
              <w:t>11</w:t>
            </w:r>
          </w:p>
        </w:tc>
        <w:tc>
          <w:tcPr>
            <w:tcW w:w="1611" w:type="dxa"/>
          </w:tcPr>
          <w:p>
            <w:pPr>
              <w:pStyle w:val="20"/>
              <w:spacing w:before="11"/>
              <w:rPr>
                <w:b/>
                <w:sz w:val="17"/>
              </w:rPr>
            </w:pPr>
          </w:p>
          <w:p>
            <w:pPr>
              <w:pStyle w:val="20"/>
              <w:ind w:left="6"/>
              <w:jc w:val="center"/>
              <w:rPr>
                <w:sz w:val="24"/>
              </w:rPr>
            </w:pPr>
            <w:r>
              <w:rPr>
                <w:sz w:val="24"/>
              </w:rPr>
              <w:t>演示</w:t>
            </w:r>
          </w:p>
        </w:tc>
        <w:tc>
          <w:tcPr>
            <w:tcW w:w="7399" w:type="dxa"/>
          </w:tcPr>
          <w:p>
            <w:pPr>
              <w:pStyle w:val="20"/>
              <w:spacing w:before="49"/>
              <w:ind w:left="106"/>
              <w:rPr>
                <w:sz w:val="24"/>
              </w:rPr>
            </w:pPr>
            <w:r>
              <w:rPr>
                <w:sz w:val="24"/>
              </w:rPr>
              <w:t>□ 要求，具体详见招标文件</w:t>
            </w:r>
          </w:p>
          <w:p>
            <w:pPr>
              <w:pStyle w:val="20"/>
              <w:numPr>
                <w:ilvl w:val="0"/>
                <w:numId w:val="6"/>
              </w:numPr>
              <w:tabs>
                <w:tab w:val="left" w:pos="467"/>
              </w:tabs>
              <w:spacing w:before="52" w:after="0" w:line="291" w:lineRule="exact"/>
              <w:ind w:left="466" w:right="0" w:hanging="361"/>
              <w:jc w:val="left"/>
              <w:rPr>
                <w:sz w:val="24"/>
              </w:rPr>
            </w:pPr>
            <w:r>
              <w:rPr>
                <w:sz w:val="24"/>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0"/>
              <w:spacing w:before="10"/>
              <w:rPr>
                <w:b/>
                <w:sz w:val="17"/>
              </w:rPr>
            </w:pPr>
          </w:p>
          <w:p>
            <w:pPr>
              <w:pStyle w:val="20"/>
              <w:ind w:right="233"/>
              <w:jc w:val="right"/>
              <w:rPr>
                <w:sz w:val="24"/>
              </w:rPr>
            </w:pPr>
            <w:r>
              <w:rPr>
                <w:sz w:val="24"/>
              </w:rPr>
              <w:t>12</w:t>
            </w:r>
          </w:p>
        </w:tc>
        <w:tc>
          <w:tcPr>
            <w:tcW w:w="1611" w:type="dxa"/>
          </w:tcPr>
          <w:p>
            <w:pPr>
              <w:pStyle w:val="20"/>
              <w:spacing w:before="10"/>
              <w:rPr>
                <w:b/>
                <w:sz w:val="17"/>
              </w:rPr>
            </w:pPr>
          </w:p>
          <w:p>
            <w:pPr>
              <w:pStyle w:val="20"/>
              <w:ind w:left="323"/>
              <w:rPr>
                <w:sz w:val="24"/>
              </w:rPr>
            </w:pPr>
            <w:r>
              <w:rPr>
                <w:sz w:val="24"/>
              </w:rPr>
              <w:t>评标办法</w:t>
            </w:r>
          </w:p>
        </w:tc>
        <w:tc>
          <w:tcPr>
            <w:tcW w:w="7399" w:type="dxa"/>
          </w:tcPr>
          <w:p>
            <w:pPr>
              <w:pStyle w:val="20"/>
              <w:numPr>
                <w:ilvl w:val="0"/>
                <w:numId w:val="7"/>
              </w:numPr>
              <w:tabs>
                <w:tab w:val="left" w:pos="348"/>
              </w:tabs>
              <w:spacing w:before="48" w:after="0" w:line="240" w:lineRule="auto"/>
              <w:ind w:left="347" w:right="0" w:hanging="242"/>
              <w:jc w:val="left"/>
              <w:rPr>
                <w:sz w:val="24"/>
              </w:rPr>
            </w:pPr>
            <w:r>
              <w:rPr>
                <w:sz w:val="24"/>
              </w:rPr>
              <w:t>综合评分法</w:t>
            </w:r>
          </w:p>
          <w:p>
            <w:pPr>
              <w:pStyle w:val="20"/>
              <w:spacing w:before="53" w:line="291" w:lineRule="exact"/>
              <w:ind w:left="106"/>
              <w:rPr>
                <w:sz w:val="24"/>
              </w:rPr>
            </w:pPr>
            <w:r>
              <w:rPr>
                <w:sz w:val="24"/>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0"/>
              <w:spacing w:before="10"/>
              <w:rPr>
                <w:b/>
                <w:sz w:val="17"/>
              </w:rPr>
            </w:pPr>
          </w:p>
          <w:p>
            <w:pPr>
              <w:pStyle w:val="20"/>
              <w:ind w:right="233"/>
              <w:jc w:val="right"/>
              <w:rPr>
                <w:sz w:val="24"/>
              </w:rPr>
            </w:pPr>
            <w:r>
              <w:rPr>
                <w:sz w:val="24"/>
              </w:rPr>
              <w:t>13</w:t>
            </w:r>
          </w:p>
        </w:tc>
        <w:tc>
          <w:tcPr>
            <w:tcW w:w="1611" w:type="dxa"/>
          </w:tcPr>
          <w:p>
            <w:pPr>
              <w:pStyle w:val="20"/>
              <w:spacing w:before="10"/>
              <w:rPr>
                <w:b/>
                <w:sz w:val="17"/>
              </w:rPr>
            </w:pPr>
          </w:p>
          <w:p>
            <w:pPr>
              <w:pStyle w:val="20"/>
              <w:ind w:left="323"/>
              <w:rPr>
                <w:sz w:val="24"/>
              </w:rPr>
            </w:pPr>
            <w:r>
              <w:rPr>
                <w:sz w:val="24"/>
              </w:rPr>
              <w:t>是否进口</w:t>
            </w:r>
          </w:p>
        </w:tc>
        <w:tc>
          <w:tcPr>
            <w:tcW w:w="7399" w:type="dxa"/>
          </w:tcPr>
          <w:p>
            <w:pPr>
              <w:pStyle w:val="20"/>
              <w:spacing w:before="48"/>
              <w:ind w:left="106"/>
              <w:rPr>
                <w:sz w:val="24"/>
              </w:rPr>
            </w:pPr>
            <w:r>
              <w:rPr>
                <w:sz w:val="24"/>
              </w:rPr>
              <w:t>□ 允许进口</w:t>
            </w:r>
          </w:p>
          <w:p>
            <w:pPr>
              <w:pStyle w:val="20"/>
              <w:numPr>
                <w:ilvl w:val="0"/>
                <w:numId w:val="8"/>
              </w:numPr>
              <w:tabs>
                <w:tab w:val="left" w:pos="467"/>
              </w:tabs>
              <w:spacing w:before="52" w:after="0" w:line="292" w:lineRule="exact"/>
              <w:ind w:left="466" w:right="0" w:hanging="361"/>
              <w:jc w:val="left"/>
              <w:rPr>
                <w:sz w:val="24"/>
              </w:rPr>
            </w:pPr>
            <w:r>
              <w:rPr>
                <w:sz w:val="24"/>
              </w:rPr>
              <w:t>不允许进口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0"/>
              <w:spacing w:before="10"/>
              <w:rPr>
                <w:b/>
                <w:sz w:val="31"/>
              </w:rPr>
            </w:pPr>
          </w:p>
          <w:p>
            <w:pPr>
              <w:pStyle w:val="20"/>
              <w:ind w:right="233"/>
              <w:jc w:val="right"/>
              <w:rPr>
                <w:sz w:val="24"/>
              </w:rPr>
            </w:pPr>
            <w:r>
              <w:rPr>
                <w:sz w:val="24"/>
              </w:rPr>
              <w:t>14</w:t>
            </w:r>
          </w:p>
        </w:tc>
        <w:tc>
          <w:tcPr>
            <w:tcW w:w="1611" w:type="dxa"/>
          </w:tcPr>
          <w:p>
            <w:pPr>
              <w:pStyle w:val="20"/>
              <w:spacing w:before="10"/>
              <w:rPr>
                <w:b/>
                <w:sz w:val="31"/>
              </w:rPr>
            </w:pPr>
          </w:p>
          <w:p>
            <w:pPr>
              <w:pStyle w:val="20"/>
              <w:ind w:left="323"/>
              <w:rPr>
                <w:sz w:val="24"/>
              </w:rPr>
            </w:pPr>
            <w:r>
              <w:rPr>
                <w:sz w:val="24"/>
              </w:rPr>
              <w:t>节能产品</w:t>
            </w:r>
          </w:p>
        </w:tc>
        <w:tc>
          <w:tcPr>
            <w:tcW w:w="7399" w:type="dxa"/>
          </w:tcPr>
          <w:p>
            <w:pPr>
              <w:pStyle w:val="20"/>
              <w:spacing w:before="47"/>
              <w:ind w:left="106"/>
              <w:rPr>
                <w:sz w:val="24"/>
              </w:rPr>
            </w:pPr>
            <w:r>
              <w:rPr>
                <w:sz w:val="24"/>
              </w:rPr>
              <w:t>□强制采购节能产品</w:t>
            </w:r>
          </w:p>
          <w:p>
            <w:pPr>
              <w:pStyle w:val="20"/>
              <w:spacing w:before="53"/>
              <w:ind w:left="106"/>
              <w:rPr>
                <w:sz w:val="24"/>
              </w:rPr>
            </w:pPr>
            <w:r>
              <w:rPr>
                <w:sz w:val="24"/>
              </w:rPr>
              <w:t>□优先采购节能产品</w:t>
            </w:r>
          </w:p>
          <w:p>
            <w:pPr>
              <w:pStyle w:val="20"/>
              <w:numPr>
                <w:ilvl w:val="0"/>
                <w:numId w:val="9"/>
              </w:numPr>
              <w:tabs>
                <w:tab w:val="left" w:pos="348"/>
              </w:tabs>
              <w:spacing w:before="52" w:after="0" w:line="292" w:lineRule="exact"/>
              <w:ind w:left="347" w:right="0" w:hanging="242"/>
              <w:jc w:val="left"/>
              <w:rPr>
                <w:sz w:val="24"/>
              </w:rPr>
            </w:pP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0"/>
              <w:spacing w:before="9"/>
              <w:rPr>
                <w:b/>
                <w:sz w:val="17"/>
              </w:rPr>
            </w:pPr>
          </w:p>
          <w:p>
            <w:pPr>
              <w:pStyle w:val="20"/>
              <w:ind w:right="233"/>
              <w:jc w:val="right"/>
              <w:rPr>
                <w:sz w:val="24"/>
              </w:rPr>
            </w:pPr>
            <w:r>
              <w:rPr>
                <w:sz w:val="24"/>
              </w:rPr>
              <w:t>15</w:t>
            </w:r>
          </w:p>
        </w:tc>
        <w:tc>
          <w:tcPr>
            <w:tcW w:w="1611" w:type="dxa"/>
          </w:tcPr>
          <w:p>
            <w:pPr>
              <w:pStyle w:val="20"/>
              <w:spacing w:before="47"/>
              <w:ind w:left="6"/>
              <w:jc w:val="center"/>
              <w:rPr>
                <w:sz w:val="24"/>
              </w:rPr>
            </w:pPr>
            <w:r>
              <w:rPr>
                <w:sz w:val="24"/>
              </w:rPr>
              <w:t>环境标志产</w:t>
            </w:r>
          </w:p>
          <w:p>
            <w:pPr>
              <w:pStyle w:val="20"/>
              <w:spacing w:before="53" w:line="293" w:lineRule="exact"/>
              <w:ind w:left="6"/>
              <w:jc w:val="center"/>
              <w:rPr>
                <w:sz w:val="24"/>
              </w:rPr>
            </w:pPr>
            <w:r>
              <w:rPr>
                <w:sz w:val="24"/>
              </w:rPr>
              <w:t>品</w:t>
            </w:r>
          </w:p>
        </w:tc>
        <w:tc>
          <w:tcPr>
            <w:tcW w:w="7399" w:type="dxa"/>
          </w:tcPr>
          <w:p>
            <w:pPr>
              <w:pStyle w:val="20"/>
              <w:spacing w:before="47"/>
              <w:ind w:left="106"/>
              <w:rPr>
                <w:sz w:val="24"/>
              </w:rPr>
            </w:pPr>
            <w:r>
              <w:rPr>
                <w:sz w:val="24"/>
              </w:rPr>
              <w:t>□优先采购环境标志产品</w:t>
            </w:r>
          </w:p>
          <w:p>
            <w:pPr>
              <w:pStyle w:val="20"/>
              <w:numPr>
                <w:ilvl w:val="0"/>
                <w:numId w:val="10"/>
              </w:numPr>
              <w:tabs>
                <w:tab w:val="left" w:pos="467"/>
              </w:tabs>
              <w:spacing w:before="53" w:after="0" w:line="293" w:lineRule="exact"/>
              <w:ind w:left="466" w:right="0" w:hanging="361"/>
              <w:jc w:val="left"/>
              <w:rPr>
                <w:sz w:val="24"/>
              </w:rPr>
            </w:pPr>
            <w:r>
              <w:rPr>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0"/>
              <w:spacing w:before="9"/>
              <w:rPr>
                <w:b/>
                <w:sz w:val="17"/>
              </w:rPr>
            </w:pPr>
          </w:p>
          <w:p>
            <w:pPr>
              <w:pStyle w:val="20"/>
              <w:ind w:right="233"/>
              <w:jc w:val="right"/>
              <w:rPr>
                <w:sz w:val="24"/>
              </w:rPr>
            </w:pPr>
            <w:r>
              <w:rPr>
                <w:sz w:val="24"/>
              </w:rPr>
              <w:t>16</w:t>
            </w:r>
          </w:p>
        </w:tc>
        <w:tc>
          <w:tcPr>
            <w:tcW w:w="1611" w:type="dxa"/>
          </w:tcPr>
          <w:p>
            <w:pPr>
              <w:pStyle w:val="20"/>
              <w:spacing w:before="47"/>
              <w:ind w:left="6"/>
              <w:jc w:val="center"/>
              <w:rPr>
                <w:sz w:val="24"/>
              </w:rPr>
            </w:pPr>
            <w:r>
              <w:rPr>
                <w:sz w:val="24"/>
              </w:rPr>
              <w:t>促进小微企</w:t>
            </w:r>
          </w:p>
          <w:p>
            <w:pPr>
              <w:pStyle w:val="20"/>
              <w:spacing w:before="52" w:line="293" w:lineRule="exact"/>
              <w:ind w:left="6"/>
              <w:jc w:val="center"/>
              <w:rPr>
                <w:sz w:val="24"/>
              </w:rPr>
            </w:pPr>
            <w:r>
              <w:rPr>
                <w:sz w:val="24"/>
              </w:rPr>
              <w:t>业发展</w:t>
            </w:r>
          </w:p>
        </w:tc>
        <w:tc>
          <w:tcPr>
            <w:tcW w:w="7399" w:type="dxa"/>
          </w:tcPr>
          <w:p>
            <w:pPr>
              <w:pStyle w:val="20"/>
              <w:spacing w:before="47"/>
              <w:ind w:left="106"/>
              <w:rPr>
                <w:sz w:val="24"/>
              </w:rPr>
            </w:pPr>
            <w:r>
              <w:rPr>
                <w:sz w:val="24"/>
              </w:rPr>
              <w:t>本项目执行促进中小企业发展政策，监狱企业、残疾人福利性单位</w:t>
            </w:r>
          </w:p>
          <w:p>
            <w:pPr>
              <w:pStyle w:val="20"/>
              <w:spacing w:before="52" w:line="293" w:lineRule="exact"/>
              <w:ind w:left="106"/>
              <w:rPr>
                <w:sz w:val="24"/>
              </w:rPr>
            </w:pPr>
            <w:r>
              <w:rPr>
                <w:sz w:val="24"/>
              </w:rPr>
              <w:t>视同小型、微型企业。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731" w:type="dxa"/>
          </w:tcPr>
          <w:p>
            <w:pPr>
              <w:pStyle w:val="20"/>
              <w:spacing w:before="11"/>
              <w:rPr>
                <w:b/>
                <w:sz w:val="31"/>
              </w:rPr>
            </w:pPr>
          </w:p>
          <w:p>
            <w:pPr>
              <w:pStyle w:val="20"/>
              <w:spacing w:before="1"/>
              <w:ind w:right="233"/>
              <w:jc w:val="right"/>
              <w:rPr>
                <w:sz w:val="24"/>
              </w:rPr>
            </w:pPr>
            <w:r>
              <w:rPr>
                <w:sz w:val="24"/>
              </w:rPr>
              <w:t>17</w:t>
            </w:r>
          </w:p>
        </w:tc>
        <w:tc>
          <w:tcPr>
            <w:tcW w:w="1611" w:type="dxa"/>
          </w:tcPr>
          <w:p>
            <w:pPr>
              <w:pStyle w:val="20"/>
              <w:spacing w:before="11"/>
              <w:rPr>
                <w:b/>
                <w:sz w:val="31"/>
              </w:rPr>
            </w:pPr>
          </w:p>
          <w:p>
            <w:pPr>
              <w:pStyle w:val="20"/>
              <w:spacing w:before="1"/>
              <w:ind w:left="323"/>
              <w:rPr>
                <w:sz w:val="24"/>
              </w:rPr>
            </w:pPr>
            <w:r>
              <w:rPr>
                <w:sz w:val="24"/>
              </w:rPr>
              <w:t>合同签订</w:t>
            </w:r>
          </w:p>
        </w:tc>
        <w:tc>
          <w:tcPr>
            <w:tcW w:w="7399" w:type="dxa"/>
          </w:tcPr>
          <w:p>
            <w:pPr>
              <w:pStyle w:val="20"/>
              <w:spacing w:before="1" w:line="360" w:lineRule="exact"/>
              <w:ind w:left="106" w:right="320"/>
              <w:jc w:val="both"/>
              <w:rPr>
                <w:sz w:val="24"/>
              </w:rPr>
            </w:pPr>
            <w:r>
              <w:rPr>
                <w:sz w:val="24"/>
              </w:rPr>
              <w:t>采购人与中标人应当在《中标通知书》发出之日起30日内签订政府采购合同。同时，采购代理机构对合同内容进行审查，如发现与采购结果和投标承诺内容不一致的，应予以纠正。中标人拖延、拒签</w:t>
            </w:r>
          </w:p>
        </w:tc>
      </w:tr>
    </w:tbl>
    <w:p>
      <w:pPr>
        <w:spacing w:after="0" w:line="360" w:lineRule="exact"/>
        <w:jc w:val="both"/>
        <w:rPr>
          <w:sz w:val="24"/>
        </w:rPr>
        <w:sectPr>
          <w:pgSz w:w="11910" w:h="16840"/>
          <w:pgMar w:top="1320" w:right="220" w:bottom="900" w:left="580" w:header="0" w:footer="706" w:gutter="0"/>
          <w:pgBorders>
            <w:top w:val="none" w:sz="0" w:space="0"/>
            <w:left w:val="none" w:sz="0" w:space="0"/>
            <w:bottom w:val="none" w:sz="0" w:space="0"/>
            <w:right w:val="none" w:sz="0" w:space="0"/>
          </w:pgBorders>
          <w:cols w:space="720" w:num="1"/>
        </w:sectPr>
      </w:pPr>
    </w:p>
    <w:tbl>
      <w:tblPr>
        <w:tblStyle w:val="15"/>
        <w:tblW w:w="0" w:type="auto"/>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611"/>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31" w:type="dxa"/>
          </w:tcPr>
          <w:p>
            <w:pPr>
              <w:pStyle w:val="20"/>
              <w:rPr>
                <w:rFonts w:ascii="Times New Roman"/>
                <w:sz w:val="24"/>
              </w:rPr>
            </w:pPr>
          </w:p>
        </w:tc>
        <w:tc>
          <w:tcPr>
            <w:tcW w:w="1611" w:type="dxa"/>
          </w:tcPr>
          <w:p>
            <w:pPr>
              <w:pStyle w:val="20"/>
              <w:rPr>
                <w:rFonts w:ascii="Times New Roman"/>
                <w:sz w:val="24"/>
              </w:rPr>
            </w:pPr>
          </w:p>
        </w:tc>
        <w:tc>
          <w:tcPr>
            <w:tcW w:w="7399" w:type="dxa"/>
          </w:tcPr>
          <w:p>
            <w:pPr>
              <w:pStyle w:val="20"/>
              <w:spacing w:before="48"/>
              <w:ind w:left="106"/>
              <w:rPr>
                <w:sz w:val="24"/>
              </w:rPr>
            </w:pPr>
            <w:r>
              <w:rPr>
                <w:sz w:val="24"/>
              </w:rPr>
              <w:t>合同的,将被取消中标资格。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31"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240" w:firstLineChars="100"/>
              <w:jc w:val="both"/>
              <w:textAlignment w:val="auto"/>
              <w:rPr>
                <w:rFonts w:ascii="Times New Roman"/>
                <w:sz w:val="24"/>
              </w:rPr>
            </w:pPr>
            <w:r>
              <w:rPr>
                <w:rFonts w:hint="eastAsia"/>
                <w:sz w:val="24"/>
                <w:highlight w:val="none"/>
                <w:lang w:val="en-US" w:eastAsia="zh-CN"/>
              </w:rPr>
              <w:t>18</w:t>
            </w:r>
          </w:p>
        </w:tc>
        <w:tc>
          <w:tcPr>
            <w:tcW w:w="1611" w:type="dxa"/>
            <w:vAlign w:val="center"/>
          </w:tcPr>
          <w:p>
            <w:pPr>
              <w:pStyle w:val="20"/>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ascii="Times New Roman"/>
                <w:sz w:val="24"/>
              </w:rPr>
            </w:pPr>
            <w:r>
              <w:rPr>
                <w:rFonts w:hint="eastAsia" w:ascii="宋体" w:hAnsi="宋体" w:eastAsia="宋体" w:cs="宋体"/>
                <w:sz w:val="24"/>
                <w:highlight w:val="none"/>
              </w:rPr>
              <w:t>中小企业优惠措施</w:t>
            </w:r>
          </w:p>
        </w:tc>
        <w:tc>
          <w:tcPr>
            <w:tcW w:w="7399"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80" w:firstLineChars="200"/>
              <w:textAlignment w:val="auto"/>
              <w:rPr>
                <w:rFonts w:ascii="宋体" w:hAnsi="宋体" w:eastAsia="宋体" w:cs="Arial"/>
                <w:sz w:val="24"/>
                <w:szCs w:val="24"/>
              </w:rPr>
            </w:pPr>
            <w:r>
              <w:rPr>
                <w:rFonts w:hint="eastAsia" w:ascii="宋体" w:hAnsi="宋体" w:eastAsia="宋体" w:cs="Arial"/>
                <w:sz w:val="24"/>
                <w:szCs w:val="24"/>
              </w:rPr>
              <w:t>1.项目属性（</w:t>
            </w:r>
            <w:r>
              <w:rPr>
                <w:rFonts w:hint="eastAsia" w:cs="Arial"/>
                <w:sz w:val="24"/>
                <w:szCs w:val="24"/>
                <w:lang w:eastAsia="zh-CN"/>
              </w:rPr>
              <w:t>服务类</w:t>
            </w:r>
            <w:r>
              <w:rPr>
                <w:rFonts w:hint="eastAsia" w:ascii="宋体" w:hAnsi="宋体" w:eastAsia="宋体" w:cs="Arial"/>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80" w:firstLineChars="200"/>
              <w:textAlignment w:val="auto"/>
              <w:rPr>
                <w:rFonts w:ascii="宋体" w:hAnsi="宋体" w:eastAsia="宋体" w:cs="Arial"/>
                <w:sz w:val="24"/>
                <w:szCs w:val="24"/>
              </w:rPr>
            </w:pPr>
            <w:r>
              <w:rPr>
                <w:rFonts w:hint="eastAsia" w:ascii="宋体" w:hAnsi="宋体" w:eastAsia="宋体" w:cs="Arial"/>
                <w:sz w:val="24"/>
                <w:szCs w:val="24"/>
              </w:rPr>
              <w:t>2.中小企业划分标准所属行业（具体根据《中小企业划型标准规定》执行）。</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80" w:firstLineChars="200"/>
              <w:textAlignment w:val="auto"/>
              <w:rPr>
                <w:rFonts w:ascii="宋体" w:hAnsi="宋体" w:eastAsia="宋体" w:cs="Arial"/>
                <w:sz w:val="24"/>
                <w:szCs w:val="24"/>
              </w:rPr>
            </w:pPr>
            <w:r>
              <w:rPr>
                <w:rFonts w:hint="eastAsia" w:ascii="宋体" w:hAnsi="宋体" w:eastAsia="宋体" w:cs="Arial"/>
                <w:sz w:val="24"/>
                <w:szCs w:val="24"/>
              </w:rPr>
              <w:t>采购标的：</w:t>
            </w:r>
            <w:r>
              <w:rPr>
                <w:rFonts w:hint="eastAsia" w:ascii="宋体" w:hAnsi="宋体" w:eastAsia="宋体" w:cs="Arial"/>
                <w:sz w:val="24"/>
                <w:szCs w:val="24"/>
                <w:u w:val="single"/>
                <w:lang w:eastAsia="zh-CN"/>
              </w:rPr>
              <w:t>温岭市滨海镇环卫保洁及垃圾清运项目</w:t>
            </w:r>
            <w:r>
              <w:rPr>
                <w:rFonts w:hint="eastAsia" w:ascii="宋体" w:hAnsi="宋体" w:eastAsia="宋体" w:cs="Arial"/>
                <w:sz w:val="24"/>
                <w:szCs w:val="24"/>
              </w:rPr>
              <w:t>，所属行业：</w:t>
            </w:r>
            <w:r>
              <w:rPr>
                <w:rFonts w:hint="eastAsia" w:ascii="宋体" w:hAnsi="宋体" w:eastAsia="宋体" w:cs="Arial"/>
                <w:sz w:val="24"/>
                <w:szCs w:val="24"/>
                <w:u w:val="single"/>
                <w:lang w:eastAsia="zh-CN"/>
              </w:rPr>
              <w:t>其他未列明行业</w:t>
            </w:r>
            <w:r>
              <w:rPr>
                <w:rFonts w:hint="eastAsia" w:ascii="宋体" w:hAnsi="宋体" w:eastAsia="宋体" w:cs="Arial"/>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80" w:firstLineChars="200"/>
              <w:textAlignment w:val="auto"/>
              <w:rPr>
                <w:rFonts w:ascii="宋体" w:hAnsi="宋体" w:eastAsia="宋体" w:cs="Arial"/>
                <w:sz w:val="24"/>
                <w:szCs w:val="24"/>
              </w:rPr>
            </w:pPr>
            <w:r>
              <w:rPr>
                <w:rFonts w:hint="eastAsia" w:ascii="宋体" w:hAnsi="宋体" w:eastAsia="宋体" w:cs="Arial"/>
                <w:sz w:val="24"/>
                <w:szCs w:val="24"/>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80" w:firstLineChars="200"/>
              <w:textAlignment w:val="auto"/>
              <w:rPr>
                <w:rFonts w:ascii="宋体" w:hAnsi="宋体" w:eastAsia="宋体" w:cs="Arial"/>
                <w:sz w:val="24"/>
                <w:szCs w:val="24"/>
              </w:rPr>
            </w:pPr>
            <w:r>
              <w:rPr>
                <w:rFonts w:hint="eastAsia" w:ascii="宋体" w:hAnsi="宋体" w:eastAsia="宋体" w:cs="Arial"/>
                <w:sz w:val="24"/>
                <w:szCs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pStyle w:val="20"/>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sz w:val="24"/>
              </w:rPr>
            </w:pPr>
            <w:r>
              <w:rPr>
                <w:rFonts w:hint="eastAsia" w:ascii="宋体" w:hAnsi="宋体" w:eastAsia="宋体" w:cs="Arial"/>
                <w:sz w:val="24"/>
                <w:szCs w:val="24"/>
              </w:rPr>
              <w:t>(注：未提供以上材料的，均不给予价格扣除）。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31" w:type="dxa"/>
          </w:tcPr>
          <w:p>
            <w:pPr>
              <w:pStyle w:val="20"/>
              <w:rPr>
                <w:b/>
                <w:sz w:val="24"/>
              </w:rPr>
            </w:pPr>
          </w:p>
          <w:p>
            <w:pPr>
              <w:pStyle w:val="20"/>
              <w:rPr>
                <w:b/>
                <w:sz w:val="22"/>
              </w:rPr>
            </w:pPr>
          </w:p>
          <w:p>
            <w:pPr>
              <w:pStyle w:val="20"/>
              <w:ind w:left="105" w:right="95"/>
              <w:jc w:val="center"/>
              <w:rPr>
                <w:rFonts w:hint="eastAsia" w:eastAsia="宋体"/>
                <w:sz w:val="24"/>
                <w:lang w:eastAsia="zh-CN"/>
              </w:rPr>
            </w:pPr>
            <w:r>
              <w:rPr>
                <w:sz w:val="24"/>
              </w:rPr>
              <w:t>1</w:t>
            </w:r>
            <w:r>
              <w:rPr>
                <w:rFonts w:hint="eastAsia"/>
                <w:sz w:val="24"/>
                <w:lang w:val="en-US" w:eastAsia="zh-CN"/>
              </w:rPr>
              <w:t>9</w:t>
            </w:r>
          </w:p>
        </w:tc>
        <w:tc>
          <w:tcPr>
            <w:tcW w:w="1611" w:type="dxa"/>
          </w:tcPr>
          <w:p>
            <w:pPr>
              <w:pStyle w:val="20"/>
              <w:spacing w:before="12"/>
              <w:rPr>
                <w:b/>
                <w:sz w:val="31"/>
              </w:rPr>
            </w:pPr>
          </w:p>
          <w:p>
            <w:pPr>
              <w:pStyle w:val="20"/>
              <w:spacing w:before="1" w:line="280" w:lineRule="auto"/>
              <w:ind w:left="563" w:right="195" w:hanging="360"/>
              <w:rPr>
                <w:sz w:val="24"/>
              </w:rPr>
            </w:pPr>
            <w:r>
              <w:rPr>
                <w:sz w:val="24"/>
              </w:rPr>
              <w:t>供应商注册事项</w:t>
            </w:r>
          </w:p>
        </w:tc>
        <w:tc>
          <w:tcPr>
            <w:tcW w:w="7399" w:type="dxa"/>
          </w:tcPr>
          <w:p>
            <w:pPr>
              <w:pStyle w:val="20"/>
              <w:spacing w:before="50" w:line="280" w:lineRule="auto"/>
              <w:ind w:left="106" w:right="320"/>
              <w:rPr>
                <w:sz w:val="24"/>
              </w:rPr>
            </w:pPr>
            <w:r>
              <w:rPr>
                <w:sz w:val="24"/>
              </w:rPr>
              <w:t>根据《浙江省政府采购供应商注册及诚信管理暂行办法》（浙财采监字〔2009〕28号），供应商中标后必须注册成为浙江政府采购网</w:t>
            </w:r>
          </w:p>
          <w:p>
            <w:pPr>
              <w:pStyle w:val="20"/>
              <w:ind w:left="106"/>
              <w:rPr>
                <w:sz w:val="24"/>
              </w:rPr>
            </w:pPr>
            <w:r>
              <w:fldChar w:fldCharType="begin"/>
            </w:r>
            <w:r>
              <w:instrText xml:space="preserve"> HYPERLINK "http://www.zjzfcg.gov.cn/" \h </w:instrText>
            </w:r>
            <w:r>
              <w:fldChar w:fldCharType="separate"/>
            </w:r>
            <w:r>
              <w:rPr>
                <w:sz w:val="24"/>
              </w:rPr>
              <w:t>（http://www.zjzfcg.gov.cn/</w:t>
            </w:r>
            <w:r>
              <w:rPr>
                <w:sz w:val="24"/>
              </w:rPr>
              <w:fldChar w:fldCharType="end"/>
            </w:r>
            <w:r>
              <w:rPr>
                <w:sz w:val="24"/>
              </w:rPr>
              <w:t>）的正式供应商，否则可以不与中标</w:t>
            </w:r>
          </w:p>
          <w:p>
            <w:pPr>
              <w:pStyle w:val="20"/>
              <w:spacing w:before="53" w:line="290" w:lineRule="exact"/>
              <w:ind w:left="106"/>
              <w:rPr>
                <w:sz w:val="24"/>
              </w:rPr>
            </w:pPr>
            <w:r>
              <w:rPr>
                <w:sz w:val="24"/>
              </w:rPr>
              <w:t>人签订合同，如未能按时签订合同，将取消其中标资格。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731" w:type="dxa"/>
          </w:tcPr>
          <w:p>
            <w:pPr>
              <w:pStyle w:val="20"/>
              <w:rPr>
                <w:b/>
                <w:sz w:val="24"/>
              </w:rPr>
            </w:pPr>
          </w:p>
          <w:p>
            <w:pPr>
              <w:pStyle w:val="20"/>
              <w:rPr>
                <w:b/>
                <w:sz w:val="24"/>
              </w:rPr>
            </w:pPr>
          </w:p>
          <w:p>
            <w:pPr>
              <w:pStyle w:val="20"/>
              <w:spacing w:before="214"/>
              <w:ind w:left="105" w:right="95"/>
              <w:jc w:val="center"/>
              <w:rPr>
                <w:rFonts w:hint="default" w:eastAsia="宋体"/>
                <w:sz w:val="24"/>
                <w:lang w:val="en-US" w:eastAsia="zh-CN"/>
              </w:rPr>
            </w:pPr>
            <w:r>
              <w:rPr>
                <w:rFonts w:hint="eastAsia"/>
                <w:sz w:val="24"/>
                <w:lang w:val="en-US" w:eastAsia="zh-CN"/>
              </w:rPr>
              <w:t>20</w:t>
            </w:r>
          </w:p>
        </w:tc>
        <w:tc>
          <w:tcPr>
            <w:tcW w:w="1611" w:type="dxa"/>
          </w:tcPr>
          <w:p>
            <w:pPr>
              <w:pStyle w:val="20"/>
              <w:rPr>
                <w:b/>
                <w:sz w:val="24"/>
              </w:rPr>
            </w:pPr>
          </w:p>
          <w:p>
            <w:pPr>
              <w:pStyle w:val="20"/>
              <w:rPr>
                <w:b/>
                <w:sz w:val="24"/>
              </w:rPr>
            </w:pPr>
          </w:p>
          <w:p>
            <w:pPr>
              <w:pStyle w:val="20"/>
              <w:spacing w:before="214"/>
              <w:ind w:left="6"/>
              <w:jc w:val="center"/>
              <w:rPr>
                <w:sz w:val="24"/>
              </w:rPr>
            </w:pPr>
            <w:r>
              <w:rPr>
                <w:sz w:val="24"/>
              </w:rPr>
              <w:t>履约保证金</w:t>
            </w:r>
          </w:p>
        </w:tc>
        <w:tc>
          <w:tcPr>
            <w:tcW w:w="7399" w:type="dxa"/>
          </w:tcPr>
          <w:p>
            <w:pPr>
              <w:pStyle w:val="20"/>
              <w:spacing w:before="81" w:line="312" w:lineRule="auto"/>
              <w:ind w:left="106" w:right="320"/>
              <w:jc w:val="both"/>
              <w:rPr>
                <w:sz w:val="24"/>
              </w:rPr>
            </w:pPr>
            <w:r>
              <w:rPr>
                <w:sz w:val="24"/>
              </w:rPr>
              <w:t>金额：中标人在签订合同前须交纳本项目履约保证金合同价的5%； 该履约保证金在服务期满且无异议情况下15天内无息退还履约保证金。</w:t>
            </w:r>
          </w:p>
          <w:p>
            <w:pPr>
              <w:pStyle w:val="20"/>
              <w:spacing w:line="277" w:lineRule="exact"/>
              <w:ind w:left="106"/>
              <w:rPr>
                <w:sz w:val="24"/>
              </w:rPr>
            </w:pPr>
            <w:r>
              <w:rPr>
                <w:sz w:val="24"/>
              </w:rPr>
              <w:t>收取方式：网银、汇票、电汇、转账支付等非现金方式或银行、保</w:t>
            </w:r>
          </w:p>
          <w:p>
            <w:pPr>
              <w:pStyle w:val="20"/>
              <w:spacing w:before="52" w:line="290" w:lineRule="exact"/>
              <w:ind w:left="106"/>
              <w:rPr>
                <w:sz w:val="24"/>
              </w:rPr>
            </w:pPr>
            <w:r>
              <w:rPr>
                <w:sz w:val="24"/>
              </w:rPr>
              <w:t>险公司出具的保函形式。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31" w:type="dxa"/>
          </w:tcPr>
          <w:p>
            <w:pPr>
              <w:pStyle w:val="20"/>
              <w:spacing w:before="5"/>
              <w:rPr>
                <w:b/>
                <w:sz w:val="33"/>
              </w:rPr>
            </w:pPr>
          </w:p>
          <w:p>
            <w:pPr>
              <w:pStyle w:val="20"/>
              <w:ind w:left="105" w:right="95"/>
              <w:jc w:val="center"/>
              <w:rPr>
                <w:rFonts w:hint="default" w:eastAsia="宋体"/>
                <w:sz w:val="24"/>
                <w:lang w:val="en-US" w:eastAsia="zh-CN"/>
              </w:rPr>
            </w:pPr>
            <w:r>
              <w:rPr>
                <w:rFonts w:hint="eastAsia"/>
                <w:sz w:val="24"/>
                <w:lang w:val="en-US" w:eastAsia="zh-CN"/>
              </w:rPr>
              <w:t>21</w:t>
            </w:r>
          </w:p>
        </w:tc>
        <w:tc>
          <w:tcPr>
            <w:tcW w:w="1611" w:type="dxa"/>
          </w:tcPr>
          <w:p>
            <w:pPr>
              <w:pStyle w:val="20"/>
              <w:spacing w:before="5"/>
              <w:rPr>
                <w:b/>
                <w:sz w:val="33"/>
              </w:rPr>
            </w:pPr>
          </w:p>
          <w:p>
            <w:pPr>
              <w:pStyle w:val="20"/>
              <w:ind w:left="6"/>
              <w:jc w:val="center"/>
              <w:rPr>
                <w:sz w:val="24"/>
              </w:rPr>
            </w:pPr>
            <w:r>
              <w:rPr>
                <w:sz w:val="24"/>
              </w:rPr>
              <w:t>代理服务费</w:t>
            </w:r>
          </w:p>
        </w:tc>
        <w:tc>
          <w:tcPr>
            <w:tcW w:w="7399" w:type="dxa"/>
          </w:tcPr>
          <w:p>
            <w:pPr>
              <w:pStyle w:val="20"/>
              <w:spacing w:before="80"/>
              <w:ind w:left="106"/>
              <w:rPr>
                <w:sz w:val="24"/>
              </w:rPr>
            </w:pPr>
            <w:r>
              <w:rPr>
                <w:sz w:val="24"/>
              </w:rPr>
              <w:t>金额：本项目采购代理服务费人民币</w:t>
            </w:r>
            <w:r>
              <w:rPr>
                <w:rFonts w:hint="eastAsia"/>
                <w:sz w:val="24"/>
                <w:lang w:val="en-US" w:eastAsia="zh-CN"/>
              </w:rPr>
              <w:t>43600</w:t>
            </w:r>
            <w:r>
              <w:rPr>
                <w:sz w:val="24"/>
              </w:rPr>
              <w:t>元；</w:t>
            </w:r>
          </w:p>
          <w:p>
            <w:pPr>
              <w:pStyle w:val="20"/>
              <w:spacing w:before="10" w:line="360" w:lineRule="atLeast"/>
              <w:ind w:left="106" w:right="320"/>
              <w:rPr>
                <w:sz w:val="24"/>
              </w:rPr>
            </w:pPr>
            <w:r>
              <w:rPr>
                <w:sz w:val="24"/>
              </w:rPr>
              <w:t>收取方式：由代理机构向中标单位收取，中标单位在收到中标通知书后 5 个工作日内支付至招标代理机构处。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731" w:type="dxa"/>
          </w:tcPr>
          <w:p>
            <w:pPr>
              <w:pStyle w:val="20"/>
              <w:rPr>
                <w:b/>
                <w:sz w:val="24"/>
              </w:rPr>
            </w:pPr>
          </w:p>
          <w:p>
            <w:pPr>
              <w:pStyle w:val="20"/>
              <w:rPr>
                <w:b/>
                <w:sz w:val="24"/>
              </w:rPr>
            </w:pPr>
          </w:p>
          <w:p>
            <w:pPr>
              <w:pStyle w:val="20"/>
              <w:spacing w:before="154"/>
              <w:ind w:left="105" w:right="95"/>
              <w:jc w:val="center"/>
              <w:rPr>
                <w:rFonts w:hint="eastAsia" w:eastAsia="宋体"/>
                <w:sz w:val="24"/>
                <w:lang w:eastAsia="zh-CN"/>
              </w:rPr>
            </w:pPr>
            <w:r>
              <w:rPr>
                <w:rFonts w:hint="eastAsia"/>
                <w:sz w:val="24"/>
                <w:lang w:val="en-US" w:eastAsia="zh-CN"/>
              </w:rPr>
              <w:t>2</w:t>
            </w:r>
          </w:p>
        </w:tc>
        <w:tc>
          <w:tcPr>
            <w:tcW w:w="1611" w:type="dxa"/>
          </w:tcPr>
          <w:p>
            <w:pPr>
              <w:pStyle w:val="20"/>
              <w:rPr>
                <w:b/>
                <w:sz w:val="24"/>
              </w:rPr>
            </w:pPr>
          </w:p>
          <w:p>
            <w:pPr>
              <w:pStyle w:val="20"/>
              <w:rPr>
                <w:b/>
                <w:sz w:val="22"/>
              </w:rPr>
            </w:pPr>
          </w:p>
          <w:p>
            <w:pPr>
              <w:pStyle w:val="20"/>
              <w:spacing w:line="280" w:lineRule="auto"/>
              <w:ind w:left="683" w:right="195" w:hanging="480"/>
              <w:rPr>
                <w:sz w:val="24"/>
              </w:rPr>
            </w:pPr>
            <w:r>
              <w:rPr>
                <w:sz w:val="24"/>
              </w:rPr>
              <w:t>现场组织实施</w:t>
            </w:r>
          </w:p>
        </w:tc>
        <w:tc>
          <w:tcPr>
            <w:tcW w:w="7399" w:type="dxa"/>
          </w:tcPr>
          <w:p>
            <w:pPr>
              <w:pStyle w:val="20"/>
              <w:spacing w:before="49"/>
              <w:ind w:left="106"/>
              <w:rPr>
                <w:sz w:val="24"/>
              </w:rPr>
            </w:pPr>
            <w:r>
              <w:rPr>
                <w:sz w:val="24"/>
                <w:u w:val="single"/>
              </w:rPr>
              <w:t>新冠肺炎疫情防疫期间不建议供应商派代表抵达开评标地点</w:t>
            </w:r>
            <w:r>
              <w:rPr>
                <w:sz w:val="24"/>
              </w:rPr>
              <w:t>。</w:t>
            </w:r>
          </w:p>
          <w:p>
            <w:pPr>
              <w:pStyle w:val="20"/>
              <w:spacing w:line="360" w:lineRule="atLeast"/>
              <w:ind w:left="106" w:right="293"/>
              <w:jc w:val="both"/>
              <w:rPr>
                <w:b/>
                <w:sz w:val="24"/>
              </w:rPr>
            </w:pPr>
            <w:r>
              <w:rPr>
                <w:b/>
                <w:sz w:val="24"/>
              </w:rPr>
              <w:t>投标文件结束解密后</w:t>
            </w:r>
            <w:r>
              <w:rPr>
                <w:sz w:val="24"/>
              </w:rPr>
              <w:t>，供应商应当通过邮件形式，将经授权代表签署的《政府采购活动现场确认声明书》（格式见附件最后一页）扫描件发至代理机构</w:t>
            </w:r>
            <w:r>
              <w:rPr>
                <w:b/>
                <w:sz w:val="24"/>
                <w:u w:val="single"/>
              </w:rPr>
              <w:t>邮箱（</w:t>
            </w:r>
            <w:r>
              <w:fldChar w:fldCharType="begin"/>
            </w:r>
            <w:r>
              <w:instrText xml:space="preserve"> HYPERLINK "mailto:1049391271@qq.com" \h </w:instrText>
            </w:r>
            <w:r>
              <w:fldChar w:fldCharType="separate"/>
            </w:r>
            <w:r>
              <w:rPr>
                <w:rFonts w:hint="eastAsia"/>
                <w:b/>
                <w:sz w:val="24"/>
                <w:u w:val="single"/>
                <w:lang w:eastAsia="zh-CN"/>
              </w:rPr>
              <w:t>1191354184</w:t>
            </w:r>
            <w:r>
              <w:rPr>
                <w:b/>
                <w:sz w:val="24"/>
                <w:u w:val="single"/>
              </w:rPr>
              <w:t>@qq.com</w:t>
            </w:r>
            <w:r>
              <w:rPr>
                <w:b/>
                <w:sz w:val="24"/>
                <w:u w:val="single"/>
              </w:rPr>
              <w:fldChar w:fldCharType="end"/>
            </w:r>
            <w:r>
              <w:rPr>
                <w:b/>
                <w:sz w:val="24"/>
                <w:u w:val="single"/>
              </w:rPr>
              <w:t>）</w:t>
            </w:r>
            <w:r>
              <w:rPr>
                <w:b/>
                <w:spacing w:val="-2"/>
                <w:sz w:val="24"/>
                <w:u w:val="single"/>
              </w:rPr>
              <w:t>,联系人：</w:t>
            </w:r>
            <w:r>
              <w:rPr>
                <w:rFonts w:hint="eastAsia"/>
                <w:b/>
                <w:spacing w:val="-2"/>
                <w:sz w:val="24"/>
                <w:u w:val="single"/>
                <w:lang w:eastAsia="zh-CN"/>
              </w:rPr>
              <w:t>黄露梦</w:t>
            </w:r>
            <w:r>
              <w:rPr>
                <w:b/>
                <w:spacing w:val="-2"/>
                <w:sz w:val="24"/>
                <w:u w:val="single"/>
              </w:rPr>
              <w:t>，电</w:t>
            </w:r>
            <w:r>
              <w:rPr>
                <w:b/>
                <w:spacing w:val="-110"/>
                <w:sz w:val="24"/>
                <w:u w:val="single"/>
              </w:rPr>
              <w:t>话：</w:t>
            </w:r>
            <w:r>
              <w:rPr>
                <w:rFonts w:hint="eastAsia"/>
                <w:b/>
                <w:sz w:val="24"/>
                <w:u w:val="single"/>
                <w:lang w:eastAsia="zh-CN"/>
              </w:rPr>
              <w:t>15058619215</w:t>
            </w:r>
            <w:r>
              <w:rPr>
                <w:b/>
                <w:sz w:val="24"/>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tcPr>
          <w:p>
            <w:pPr>
              <w:pStyle w:val="20"/>
              <w:spacing w:before="49" w:line="291" w:lineRule="exact"/>
              <w:ind w:left="105" w:right="95"/>
              <w:jc w:val="center"/>
              <w:rPr>
                <w:rFonts w:hint="eastAsia" w:eastAsia="宋体"/>
                <w:sz w:val="24"/>
                <w:lang w:eastAsia="zh-CN"/>
              </w:rPr>
            </w:pPr>
            <w:r>
              <w:rPr>
                <w:sz w:val="24"/>
              </w:rPr>
              <w:t>2</w:t>
            </w:r>
            <w:r>
              <w:rPr>
                <w:rFonts w:hint="eastAsia"/>
                <w:sz w:val="24"/>
                <w:lang w:val="en-US" w:eastAsia="zh-CN"/>
              </w:rPr>
              <w:t>3</w:t>
            </w:r>
          </w:p>
        </w:tc>
        <w:tc>
          <w:tcPr>
            <w:tcW w:w="1611" w:type="dxa"/>
          </w:tcPr>
          <w:p>
            <w:pPr>
              <w:pStyle w:val="20"/>
              <w:spacing w:before="49" w:line="291" w:lineRule="exact"/>
              <w:ind w:left="6"/>
              <w:jc w:val="center"/>
              <w:rPr>
                <w:sz w:val="24"/>
              </w:rPr>
            </w:pPr>
            <w:r>
              <w:rPr>
                <w:sz w:val="24"/>
              </w:rPr>
              <w:t>解释权</w:t>
            </w:r>
          </w:p>
        </w:tc>
        <w:tc>
          <w:tcPr>
            <w:tcW w:w="7399" w:type="dxa"/>
          </w:tcPr>
          <w:p>
            <w:pPr>
              <w:pStyle w:val="20"/>
              <w:spacing w:before="49" w:line="291" w:lineRule="exact"/>
              <w:ind w:left="106"/>
              <w:rPr>
                <w:sz w:val="24"/>
              </w:rPr>
            </w:pPr>
            <w:r>
              <w:rPr>
                <w:sz w:val="24"/>
              </w:rPr>
              <w:t>本招标文件的解释权属于采购人和采购代理机构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731" w:type="dxa"/>
          </w:tcPr>
          <w:p>
            <w:pPr>
              <w:pStyle w:val="20"/>
              <w:rPr>
                <w:b/>
                <w:sz w:val="24"/>
              </w:rPr>
            </w:pPr>
          </w:p>
          <w:p>
            <w:pPr>
              <w:pStyle w:val="20"/>
              <w:rPr>
                <w:b/>
                <w:sz w:val="24"/>
              </w:rPr>
            </w:pPr>
          </w:p>
          <w:p>
            <w:pPr>
              <w:pStyle w:val="20"/>
              <w:spacing w:before="153"/>
              <w:ind w:left="105" w:right="95"/>
              <w:jc w:val="center"/>
              <w:rPr>
                <w:rFonts w:hint="eastAsia" w:eastAsia="宋体"/>
                <w:sz w:val="24"/>
                <w:lang w:eastAsia="zh-CN"/>
              </w:rPr>
            </w:pPr>
            <w:r>
              <w:rPr>
                <w:sz w:val="24"/>
              </w:rPr>
              <w:t>2</w:t>
            </w:r>
            <w:r>
              <w:rPr>
                <w:rFonts w:hint="eastAsia"/>
                <w:sz w:val="24"/>
                <w:lang w:val="en-US" w:eastAsia="zh-CN"/>
              </w:rPr>
              <w:t>4</w:t>
            </w:r>
          </w:p>
        </w:tc>
        <w:tc>
          <w:tcPr>
            <w:tcW w:w="1611" w:type="dxa"/>
          </w:tcPr>
          <w:p>
            <w:pPr>
              <w:pStyle w:val="20"/>
              <w:rPr>
                <w:b/>
                <w:sz w:val="24"/>
              </w:rPr>
            </w:pPr>
          </w:p>
          <w:p>
            <w:pPr>
              <w:pStyle w:val="20"/>
              <w:rPr>
                <w:b/>
                <w:sz w:val="24"/>
              </w:rPr>
            </w:pPr>
          </w:p>
          <w:p>
            <w:pPr>
              <w:pStyle w:val="20"/>
              <w:spacing w:before="153"/>
              <w:ind w:left="6"/>
              <w:jc w:val="center"/>
              <w:rPr>
                <w:sz w:val="24"/>
              </w:rPr>
            </w:pPr>
            <w:r>
              <w:rPr>
                <w:sz w:val="24"/>
              </w:rPr>
              <w:t>其他说明</w:t>
            </w:r>
          </w:p>
        </w:tc>
        <w:tc>
          <w:tcPr>
            <w:tcW w:w="7399" w:type="dxa"/>
          </w:tcPr>
          <w:p>
            <w:pPr>
              <w:pStyle w:val="20"/>
              <w:spacing w:line="360" w:lineRule="exact"/>
              <w:ind w:left="106" w:right="320"/>
              <w:jc w:val="both"/>
              <w:rPr>
                <w:sz w:val="24"/>
              </w:rPr>
            </w:pPr>
            <w:r>
              <w:rPr>
                <w:sz w:val="24"/>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731" w:type="dxa"/>
          </w:tcPr>
          <w:p>
            <w:pPr>
              <w:pStyle w:val="20"/>
              <w:rPr>
                <w:b/>
                <w:sz w:val="24"/>
              </w:rPr>
            </w:pPr>
          </w:p>
          <w:p>
            <w:pPr>
              <w:pStyle w:val="20"/>
              <w:rPr>
                <w:b/>
                <w:sz w:val="24"/>
              </w:rPr>
            </w:pPr>
          </w:p>
          <w:p>
            <w:pPr>
              <w:pStyle w:val="20"/>
              <w:rPr>
                <w:b/>
                <w:sz w:val="24"/>
              </w:rPr>
            </w:pPr>
          </w:p>
          <w:p>
            <w:pPr>
              <w:pStyle w:val="20"/>
              <w:spacing w:before="1"/>
              <w:rPr>
                <w:b/>
                <w:sz w:val="30"/>
              </w:rPr>
            </w:pPr>
          </w:p>
          <w:p>
            <w:pPr>
              <w:pStyle w:val="20"/>
              <w:ind w:left="105" w:right="95"/>
              <w:jc w:val="center"/>
              <w:rPr>
                <w:rFonts w:hint="eastAsia" w:eastAsia="宋体"/>
                <w:sz w:val="24"/>
                <w:lang w:eastAsia="zh-CN"/>
              </w:rPr>
            </w:pPr>
            <w:r>
              <w:rPr>
                <w:sz w:val="24"/>
              </w:rPr>
              <w:t>2</w:t>
            </w:r>
            <w:r>
              <w:rPr>
                <w:rFonts w:hint="eastAsia"/>
                <w:sz w:val="24"/>
                <w:lang w:val="en-US" w:eastAsia="zh-CN"/>
              </w:rPr>
              <w:t>5</w:t>
            </w:r>
          </w:p>
        </w:tc>
        <w:tc>
          <w:tcPr>
            <w:tcW w:w="1611" w:type="dxa"/>
          </w:tcPr>
          <w:p>
            <w:pPr>
              <w:pStyle w:val="20"/>
              <w:rPr>
                <w:b/>
                <w:sz w:val="24"/>
              </w:rPr>
            </w:pPr>
          </w:p>
          <w:p>
            <w:pPr>
              <w:pStyle w:val="20"/>
              <w:rPr>
                <w:b/>
                <w:sz w:val="24"/>
              </w:rPr>
            </w:pPr>
          </w:p>
          <w:p>
            <w:pPr>
              <w:pStyle w:val="20"/>
              <w:rPr>
                <w:b/>
                <w:sz w:val="24"/>
              </w:rPr>
            </w:pPr>
          </w:p>
          <w:p>
            <w:pPr>
              <w:pStyle w:val="20"/>
              <w:spacing w:before="1"/>
              <w:rPr>
                <w:b/>
                <w:sz w:val="30"/>
              </w:rPr>
            </w:pPr>
          </w:p>
          <w:p>
            <w:pPr>
              <w:pStyle w:val="20"/>
              <w:ind w:left="6"/>
              <w:jc w:val="center"/>
              <w:rPr>
                <w:sz w:val="24"/>
              </w:rPr>
            </w:pPr>
            <w:r>
              <w:rPr>
                <w:sz w:val="24"/>
              </w:rPr>
              <w:t>注意事项</w:t>
            </w:r>
          </w:p>
        </w:tc>
        <w:tc>
          <w:tcPr>
            <w:tcW w:w="7399" w:type="dxa"/>
          </w:tcPr>
          <w:p>
            <w:pPr>
              <w:pStyle w:val="20"/>
              <w:spacing w:before="48" w:line="280" w:lineRule="auto"/>
              <w:ind w:left="106" w:right="440"/>
              <w:rPr>
                <w:sz w:val="24"/>
              </w:rPr>
            </w:pPr>
            <w:r>
              <w:rPr>
                <w:sz w:val="24"/>
              </w:rPr>
              <w:t>投标人应严格按照招标文件及补充文件的规定和要求编制投标文件。在编制投标文件过程中,应严格遵循实事求是、诚信投标的原则,如有偏离,应如实填写响应偏离。</w:t>
            </w:r>
          </w:p>
          <w:p>
            <w:pPr>
              <w:pStyle w:val="20"/>
              <w:spacing w:before="1" w:line="280" w:lineRule="auto"/>
              <w:ind w:left="106" w:right="200"/>
              <w:jc w:val="both"/>
              <w:rPr>
                <w:sz w:val="24"/>
              </w:rPr>
            </w:pPr>
            <w:r>
              <w:rPr>
                <w:sz w:val="24"/>
              </w:rPr>
              <w:t>如果发现本招标文件中存在歧视性不公正条款或违法违规等内容时, 请投标人在获取招标文件后,在采购文件的质疑有效期内及时书面提出。</w:t>
            </w:r>
          </w:p>
          <w:p>
            <w:pPr>
              <w:pStyle w:val="20"/>
              <w:ind w:left="106"/>
              <w:rPr>
                <w:sz w:val="24"/>
              </w:rPr>
            </w:pPr>
            <w:r>
              <w:rPr>
                <w:sz w:val="24"/>
              </w:rPr>
              <w:t>采购结果公告期间,投标人不得通过非正当途径获取法律法规规定评</w:t>
            </w:r>
          </w:p>
          <w:p>
            <w:pPr>
              <w:pStyle w:val="20"/>
              <w:spacing w:before="53" w:line="292" w:lineRule="exact"/>
              <w:ind w:left="106"/>
              <w:rPr>
                <w:sz w:val="24"/>
              </w:rPr>
            </w:pPr>
            <w:r>
              <w:rPr>
                <w:sz w:val="24"/>
              </w:rPr>
              <w:t>标委员会(包括其他相关人员)应当保密的相关内容。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0"/>
              <w:spacing w:before="10"/>
              <w:rPr>
                <w:b/>
                <w:sz w:val="31"/>
              </w:rPr>
            </w:pPr>
          </w:p>
          <w:p>
            <w:pPr>
              <w:pStyle w:val="20"/>
              <w:spacing w:before="1"/>
              <w:ind w:left="105" w:right="95"/>
              <w:jc w:val="center"/>
              <w:rPr>
                <w:rFonts w:hint="eastAsia" w:eastAsia="宋体"/>
                <w:sz w:val="24"/>
                <w:lang w:eastAsia="zh-CN"/>
              </w:rPr>
            </w:pPr>
            <w:r>
              <w:rPr>
                <w:sz w:val="24"/>
              </w:rPr>
              <w:t>2</w:t>
            </w:r>
            <w:r>
              <w:rPr>
                <w:rFonts w:hint="eastAsia"/>
                <w:sz w:val="24"/>
                <w:lang w:val="en-US" w:eastAsia="zh-CN"/>
              </w:rPr>
              <w:t>6</w:t>
            </w:r>
          </w:p>
        </w:tc>
        <w:tc>
          <w:tcPr>
            <w:tcW w:w="1611" w:type="dxa"/>
          </w:tcPr>
          <w:p>
            <w:pPr>
              <w:pStyle w:val="20"/>
              <w:spacing w:before="10"/>
              <w:rPr>
                <w:b/>
                <w:sz w:val="17"/>
              </w:rPr>
            </w:pPr>
          </w:p>
          <w:p>
            <w:pPr>
              <w:pStyle w:val="20"/>
              <w:spacing w:line="280" w:lineRule="auto"/>
              <w:ind w:left="203" w:right="195"/>
              <w:rPr>
                <w:sz w:val="24"/>
              </w:rPr>
            </w:pPr>
            <w:r>
              <w:rPr>
                <w:sz w:val="24"/>
              </w:rPr>
              <w:t>中标单位纸质投标文件</w:t>
            </w:r>
          </w:p>
        </w:tc>
        <w:tc>
          <w:tcPr>
            <w:tcW w:w="7399" w:type="dxa"/>
          </w:tcPr>
          <w:p>
            <w:pPr>
              <w:pStyle w:val="20"/>
              <w:spacing w:line="360" w:lineRule="exact"/>
              <w:ind w:left="106" w:right="320"/>
              <w:jc w:val="both"/>
              <w:rPr>
                <w:sz w:val="24"/>
              </w:rPr>
            </w:pPr>
            <w:r>
              <w:rPr>
                <w:sz w:val="24"/>
              </w:rPr>
              <w:t>中标单位需要在领取《中标通知书》时提供与电子投标一致的纸质投标文件用于书面存档（至少一式一份），要求采用胶装，不建议采用活页夹等可随时拆换的方式装订。</w:t>
            </w:r>
          </w:p>
        </w:tc>
      </w:tr>
    </w:tbl>
    <w:p>
      <w:pPr>
        <w:spacing w:after="0" w:line="360" w:lineRule="exact"/>
        <w:jc w:val="both"/>
        <w:rPr>
          <w:sz w:val="24"/>
        </w:rPr>
        <w:sectPr>
          <w:pgSz w:w="11910" w:h="16840"/>
          <w:pgMar w:top="1320" w:right="220" w:bottom="900" w:left="580" w:header="0" w:footer="706" w:gutter="0"/>
          <w:pgBorders>
            <w:top w:val="none" w:sz="0" w:space="0"/>
            <w:left w:val="none" w:sz="0" w:space="0"/>
            <w:bottom w:val="none" w:sz="0" w:space="0"/>
            <w:right w:val="none" w:sz="0" w:space="0"/>
          </w:pgBorders>
          <w:cols w:space="720" w:num="1"/>
        </w:sectPr>
      </w:pPr>
    </w:p>
    <w:p>
      <w:pPr>
        <w:spacing w:before="48"/>
        <w:ind w:left="0" w:right="18" w:firstLine="0"/>
        <w:jc w:val="center"/>
        <w:rPr>
          <w:b/>
          <w:sz w:val="28"/>
        </w:rPr>
      </w:pPr>
      <w:bookmarkStart w:id="4" w:name="一、总则"/>
      <w:bookmarkEnd w:id="4"/>
      <w:r>
        <w:rPr>
          <w:b/>
          <w:sz w:val="28"/>
        </w:rPr>
        <w:t>一、总则</w:t>
      </w:r>
    </w:p>
    <w:p>
      <w:pPr>
        <w:pStyle w:val="8"/>
        <w:spacing w:before="7"/>
        <w:rPr>
          <w:b/>
        </w:rPr>
      </w:pPr>
    </w:p>
    <w:p>
      <w:pPr>
        <w:pStyle w:val="7"/>
      </w:pPr>
      <w:bookmarkStart w:id="5" w:name="（一）适用范围"/>
      <w:bookmarkEnd w:id="5"/>
      <w:r>
        <w:t>（一）适用范围</w:t>
      </w:r>
    </w:p>
    <w:p>
      <w:pPr>
        <w:pStyle w:val="8"/>
        <w:spacing w:before="53"/>
        <w:ind w:left="1032"/>
      </w:pPr>
      <w:r>
        <w:t>本招标文件适用于本次项目的招标、投标、评标、定标、验收、合同履约、付款等行为</w:t>
      </w:r>
    </w:p>
    <w:p>
      <w:pPr>
        <w:pStyle w:val="8"/>
        <w:spacing w:before="52"/>
        <w:ind w:left="552"/>
      </w:pPr>
      <w:r>
        <w:t>（法律、法规另有规定的，从其规定）。</w:t>
      </w:r>
    </w:p>
    <w:p>
      <w:pPr>
        <w:pStyle w:val="7"/>
        <w:spacing w:before="53"/>
      </w:pPr>
      <w:bookmarkStart w:id="6" w:name="（二）定义"/>
      <w:bookmarkEnd w:id="6"/>
      <w:r>
        <w:t>（二）定义</w:t>
      </w:r>
    </w:p>
    <w:p>
      <w:pPr>
        <w:pStyle w:val="8"/>
        <w:spacing w:before="52"/>
        <w:ind w:left="1032"/>
      </w:pPr>
      <w:r>
        <w:t>1、采购代理机构：是指受采购人委托，在委托的范围内办理政府采购事宜的机构。</w:t>
      </w:r>
    </w:p>
    <w:p>
      <w:pPr>
        <w:pStyle w:val="8"/>
        <w:spacing w:before="53"/>
        <w:ind w:left="1032"/>
      </w:pPr>
      <w:r>
        <w:t>2、采购人：是指依法进行政府采购的国家机关、事业单位和团体组织。</w:t>
      </w:r>
    </w:p>
    <w:p>
      <w:pPr>
        <w:pStyle w:val="8"/>
        <w:spacing w:before="52"/>
        <w:ind w:left="1032"/>
      </w:pPr>
      <w:r>
        <w:t>3、投标人：是指参加本政府采购项目投标的供应商。</w:t>
      </w:r>
    </w:p>
    <w:p>
      <w:pPr>
        <w:pStyle w:val="8"/>
        <w:spacing w:before="53"/>
        <w:ind w:left="1032"/>
      </w:pPr>
      <w:r>
        <w:t>4、货物：是指各种形态和种类的物品，包括原材料、燃料、设备、产品等。</w:t>
      </w:r>
    </w:p>
    <w:p>
      <w:pPr>
        <w:pStyle w:val="8"/>
        <w:spacing w:before="52" w:line="280" w:lineRule="auto"/>
        <w:ind w:left="552" w:right="1015" w:firstLine="480"/>
      </w:pPr>
      <w:r>
        <w:t>5</w:t>
      </w:r>
      <w:r>
        <w:rPr>
          <w:spacing w:val="-12"/>
        </w:rPr>
        <w:t>、服务：是指除货物和工程以外的其他政府采购对象，包括各类专业服务、信息网络开发</w:t>
      </w:r>
      <w:r>
        <w:t>服务、金融保险服务、运输服务，以及维修与维护服务等。</w:t>
      </w:r>
    </w:p>
    <w:p>
      <w:pPr>
        <w:pStyle w:val="8"/>
        <w:spacing w:before="3"/>
        <w:ind w:left="1032"/>
      </w:pPr>
      <w:r>
        <w:t>6、“书面形式”包括信函、传真等。</w:t>
      </w:r>
    </w:p>
    <w:p>
      <w:pPr>
        <w:pStyle w:val="8"/>
        <w:spacing w:before="53"/>
        <w:ind w:left="1032"/>
      </w:pPr>
      <w:r>
        <w:t>7、“▲”系指实质性要求条款。</w:t>
      </w:r>
    </w:p>
    <w:p>
      <w:pPr>
        <w:pStyle w:val="7"/>
        <w:spacing w:before="52"/>
      </w:pPr>
      <w:bookmarkStart w:id="7" w:name="（三）投标费用"/>
      <w:bookmarkEnd w:id="7"/>
      <w:r>
        <w:t>（三）投标费用</w:t>
      </w:r>
    </w:p>
    <w:p>
      <w:pPr>
        <w:pStyle w:val="8"/>
        <w:spacing w:before="57" w:line="280" w:lineRule="auto"/>
        <w:ind w:left="552" w:right="955" w:firstLine="480"/>
      </w:pPr>
      <w:r>
        <w:t>不论投标结果如何，投标人均应自行承担所有与投标有关的全部费用（招标文件有相关规定除外）。</w:t>
      </w:r>
    </w:p>
    <w:p>
      <w:pPr>
        <w:pStyle w:val="7"/>
        <w:spacing w:before="1"/>
      </w:pPr>
      <w:bookmarkStart w:id="8" w:name="（四）特别说明"/>
      <w:bookmarkEnd w:id="8"/>
      <w:r>
        <w:t>（四）特别说明</w:t>
      </w:r>
    </w:p>
    <w:p>
      <w:pPr>
        <w:pStyle w:val="8"/>
        <w:spacing w:before="55" w:line="280" w:lineRule="auto"/>
        <w:ind w:left="552" w:right="1015" w:firstLine="480"/>
      </w:pPr>
      <w:r>
        <w:t>1</w:t>
      </w:r>
      <w:r>
        <w:rPr>
          <w:spacing w:val="-12"/>
        </w:rPr>
        <w:t>、投标人投标所使用的资格、信誉、荣誉、业绩与企业认证必须为本法人所拥有。投标人</w:t>
      </w:r>
      <w:r>
        <w:t>投标所使用的采购项目实施人员必须为本法人员工（指本法人或控股公司正式员工）。</w:t>
      </w:r>
    </w:p>
    <w:p>
      <w:pPr>
        <w:pStyle w:val="8"/>
        <w:spacing w:before="3" w:line="280" w:lineRule="auto"/>
        <w:ind w:left="552" w:right="907" w:firstLine="480"/>
        <w:jc w:val="both"/>
      </w:pPr>
      <w:r>
        <w:t>2</w:t>
      </w:r>
      <w:r>
        <w:rPr>
          <w:spacing w:val="-10"/>
        </w:rPr>
        <w:t>、投标供应商所投产品除招标文件中明确规定要求“提供官网截图或相应检测报告的证明</w:t>
      </w:r>
      <w:r>
        <w:rPr>
          <w:spacing w:val="-4"/>
        </w:rPr>
        <w:t>材料”以外，所有技术参数描述均以投标文件为准，投标供应商需在投标文件中说明本次投</w:t>
      </w:r>
      <w:r>
        <w:rPr>
          <w:spacing w:val="6"/>
        </w:rPr>
        <w:t>标产品的技术参数是否与官网上公开的技术参数一致，如不一致，明确哪些参数不一致， 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8"/>
        <w:spacing w:before="16" w:line="280" w:lineRule="auto"/>
        <w:ind w:left="552" w:right="835" w:firstLine="480"/>
      </w:pPr>
      <w:r>
        <w:t>3、投标人在投标活动中提供任何虚假材料,其投标无效，并报监管部门查处；中标后发</w:t>
      </w:r>
      <w:r>
        <w:rPr>
          <w:spacing w:val="-5"/>
        </w:rPr>
        <w:t>现的,根据《中华人民共和国政府采购法》第七十七条第一款第一项之规定，处以采购金额千分之五以上千分之十以下的罚款，列入不良行为记录名单，在一至三年内禁止参加政府采购活</w:t>
      </w:r>
      <w:r>
        <w:rPr>
          <w:spacing w:val="-13"/>
        </w:rPr>
        <w:t>动，有违法所得的，并处没收违法所得，情节严重的，由工商行政管理机关吊销营业执照； 构成犯罪的，依法追究刑事责任。</w:t>
      </w:r>
    </w:p>
    <w:p>
      <w:pPr>
        <w:pStyle w:val="8"/>
        <w:spacing w:before="39" w:line="280" w:lineRule="auto"/>
        <w:ind w:left="552" w:right="907" w:firstLine="480"/>
        <w:jc w:val="both"/>
      </w:pPr>
      <w:r>
        <w:t>4</w:t>
      </w:r>
      <w:r>
        <w:rPr>
          <w:spacing w:val="-10"/>
        </w:rPr>
        <w:t>、投标人不得相互串通投标报价，不得妨碍其他投标人的公平竞争，不得损害采购人或其他投标人的合法权益，投标人不得以向采购人、评标委员会成员行贿或者采取其他不正当手段谋取中标。</w:t>
      </w:r>
    </w:p>
    <w:p>
      <w:pPr>
        <w:pStyle w:val="8"/>
        <w:spacing w:before="1" w:line="280" w:lineRule="auto"/>
        <w:ind w:left="552" w:right="955" w:firstLine="480"/>
      </w:pPr>
      <w:r>
        <w:t>5、投标文件格式中的表格式样可以根据项目差别做适当调整,但应当保持表格样式基本形态不变。</w:t>
      </w:r>
    </w:p>
    <w:p>
      <w:pPr>
        <w:pStyle w:val="8"/>
        <w:spacing w:line="280" w:lineRule="auto"/>
        <w:ind w:left="552" w:right="710" w:firstLine="480"/>
      </w:pPr>
      <w:r>
        <w:t>6、本项目不允许分包。（或者本项目允许部分分包，若分包如下：投标人根据招标文件的规定和采购项目的实际情况，拟在中标后将中标项目的非主体、非关键性工作分包的，应当</w:t>
      </w:r>
    </w:p>
    <w:p>
      <w:pPr>
        <w:spacing w:after="0" w:line="280" w:lineRule="auto"/>
        <w:sectPr>
          <w:pgSz w:w="11910" w:h="16840"/>
          <w:pgMar w:top="1540" w:right="220" w:bottom="900" w:left="580" w:header="0" w:footer="706" w:gutter="0"/>
          <w:pgBorders>
            <w:top w:val="none" w:sz="0" w:space="0"/>
            <w:left w:val="none" w:sz="0" w:space="0"/>
            <w:bottom w:val="none" w:sz="0" w:space="0"/>
            <w:right w:val="none" w:sz="0" w:space="0"/>
          </w:pgBorders>
          <w:cols w:space="720" w:num="1"/>
        </w:sectPr>
      </w:pPr>
    </w:p>
    <w:p>
      <w:pPr>
        <w:pStyle w:val="8"/>
        <w:spacing w:before="49"/>
        <w:ind w:left="552"/>
      </w:pPr>
      <w:r>
        <w:t>在投标文件中载明分包承担主体，分包承担主体应当具备相应资质条件且不得再次分包。）</w:t>
      </w:r>
    </w:p>
    <w:p>
      <w:pPr>
        <w:pStyle w:val="8"/>
        <w:spacing w:before="3"/>
        <w:rPr>
          <w:sz w:val="29"/>
        </w:rPr>
      </w:pPr>
    </w:p>
    <w:p>
      <w:pPr>
        <w:pStyle w:val="6"/>
        <w:ind w:left="0" w:right="4888"/>
        <w:jc w:val="right"/>
      </w:pPr>
      <w:r>
        <w:rPr>
          <w:w w:val="95"/>
        </w:rPr>
        <w:t>二、招标文件</w:t>
      </w:r>
    </w:p>
    <w:p>
      <w:pPr>
        <w:pStyle w:val="8"/>
        <w:spacing w:before="41"/>
        <w:ind w:right="4795"/>
        <w:jc w:val="right"/>
      </w:pPr>
      <w:r>
        <w:t>（一）招标文件由招标文件总目录所列内容组成。</w:t>
      </w:r>
    </w:p>
    <w:p>
      <w:pPr>
        <w:pStyle w:val="8"/>
        <w:spacing w:before="53"/>
        <w:ind w:left="1032"/>
      </w:pPr>
      <w:r>
        <w:t>（二）招标文件的澄清或修改</w:t>
      </w:r>
    </w:p>
    <w:p>
      <w:pPr>
        <w:pStyle w:val="8"/>
        <w:spacing w:before="52" w:line="280" w:lineRule="auto"/>
        <w:ind w:left="552" w:right="907" w:firstLine="480"/>
        <w:jc w:val="both"/>
      </w:pPr>
      <w: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8"/>
        <w:spacing w:before="1" w:line="280" w:lineRule="auto"/>
        <w:ind w:left="552" w:right="907" w:firstLine="480"/>
        <w:jc w:val="both"/>
      </w:pPr>
      <w:r>
        <w:t>2</w:t>
      </w:r>
      <w:r>
        <w:rPr>
          <w:spacing w:val="-10"/>
        </w:rPr>
        <w:t>、澄清或者修改的内容可能影响投标文件编制的，采购人或者采购代理机构应当在投标截</w:t>
      </w:r>
      <w:r>
        <w:rPr>
          <w:spacing w:val="4"/>
        </w:rPr>
        <w:t>止时间至少</w:t>
      </w:r>
      <w:r>
        <w:t>15日前，以书面形式通知所有获取招标文件的潜在投标人；不足15</w:t>
      </w:r>
      <w:r>
        <w:rPr>
          <w:spacing w:val="-1"/>
        </w:rPr>
        <w:t>日的，采购人或者采购代理机构应当顺延提交投标文件的截止时间。</w:t>
      </w:r>
    </w:p>
    <w:p>
      <w:pPr>
        <w:pStyle w:val="8"/>
        <w:spacing w:before="1" w:line="280" w:lineRule="auto"/>
        <w:ind w:left="552" w:right="940" w:firstLine="480"/>
        <w:jc w:val="both"/>
      </w:pPr>
      <w:r>
        <w:t>3</w:t>
      </w:r>
      <w:r>
        <w:rPr>
          <w:spacing w:val="-17"/>
        </w:rPr>
        <w:t>、投标人在规定的时间内未对招标文件提出疑问、质疑或要求澄清的，将视其为无异议。对招标文件中描述有歧义或前后不一致的地方，评标委员会有权进行评判，但对同一条款的评判应适用于每个投标人。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8"/>
        <w:spacing w:before="7"/>
        <w:rPr>
          <w:sz w:val="20"/>
        </w:rPr>
      </w:pPr>
    </w:p>
    <w:p>
      <w:pPr>
        <w:spacing w:after="0"/>
        <w:rPr>
          <w:sz w:val="20"/>
        </w:rPr>
        <w:sectPr>
          <w:pgSz w:w="11910" w:h="16840"/>
          <w:pgMar w:top="1320" w:right="220" w:bottom="980" w:left="580" w:header="0" w:footer="706" w:gutter="0"/>
          <w:pgBorders>
            <w:top w:val="none" w:sz="0" w:space="0"/>
            <w:left w:val="none" w:sz="0" w:space="0"/>
            <w:bottom w:val="none" w:sz="0" w:space="0"/>
            <w:right w:val="none" w:sz="0" w:space="0"/>
          </w:pgBorders>
          <w:cols w:space="720" w:num="1"/>
        </w:sectPr>
      </w:pPr>
    </w:p>
    <w:p>
      <w:pPr>
        <w:pStyle w:val="8"/>
      </w:pPr>
    </w:p>
    <w:p>
      <w:pPr>
        <w:pStyle w:val="7"/>
        <w:spacing w:before="154"/>
      </w:pPr>
      <w:bookmarkStart w:id="9" w:name="（一）投标文件的组成"/>
      <w:bookmarkEnd w:id="9"/>
      <w:r>
        <w:t>（一）投标文件的组成</w:t>
      </w:r>
    </w:p>
    <w:p>
      <w:pPr>
        <w:spacing w:before="62"/>
        <w:ind w:left="1032" w:right="0" w:firstLine="0"/>
        <w:jc w:val="left"/>
        <w:rPr>
          <w:b/>
          <w:sz w:val="28"/>
        </w:rPr>
      </w:pPr>
      <w:r>
        <w:br w:type="column"/>
      </w:r>
      <w:r>
        <w:rPr>
          <w:b/>
          <w:sz w:val="28"/>
        </w:rPr>
        <w:t>三、投标文件</w:t>
      </w:r>
    </w:p>
    <w:p>
      <w:pPr>
        <w:spacing w:after="0"/>
        <w:jc w:val="left"/>
        <w:rPr>
          <w:sz w:val="28"/>
        </w:rPr>
        <w:sectPr>
          <w:type w:val="continuous"/>
          <w:pgSz w:w="11910" w:h="16840"/>
          <w:pgMar w:top="1600" w:right="220" w:bottom="280" w:left="580" w:header="720" w:footer="720" w:gutter="0"/>
          <w:pgBorders>
            <w:top w:val="none" w:sz="0" w:space="0"/>
            <w:left w:val="none" w:sz="0" w:space="0"/>
            <w:bottom w:val="none" w:sz="0" w:space="0"/>
            <w:right w:val="none" w:sz="0" w:space="0"/>
          </w:pgBorders>
          <w:cols w:equalWidth="0" w:num="2">
            <w:col w:w="3443" w:space="56"/>
            <w:col w:w="7611"/>
          </w:cols>
        </w:sectPr>
      </w:pPr>
    </w:p>
    <w:p>
      <w:pPr>
        <w:pStyle w:val="8"/>
        <w:spacing w:before="7" w:line="242" w:lineRule="auto"/>
        <w:ind w:left="552" w:right="955" w:firstLine="480"/>
      </w:pPr>
      <w:r>
        <w:t>投标人获取招标文件后，按照招标文件的要求提供：资格证明文件、商务技术文件和报价文件。</w:t>
      </w:r>
    </w:p>
    <w:p>
      <w:pPr>
        <w:pStyle w:val="7"/>
        <w:spacing w:before="162"/>
        <w:ind w:left="552"/>
      </w:pPr>
      <w:bookmarkStart w:id="10" w:name="▲1、资格证明文件的组成："/>
      <w:bookmarkEnd w:id="10"/>
      <w:r>
        <w:t>▲1、资格证明文件的组成：</w:t>
      </w:r>
    </w:p>
    <w:tbl>
      <w:tblPr>
        <w:tblStyle w:val="1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6227"/>
        <w:gridCol w:w="3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49" w:line="291" w:lineRule="exact"/>
              <w:ind w:left="300" w:right="186"/>
              <w:jc w:val="center"/>
              <w:rPr>
                <w:sz w:val="24"/>
              </w:rPr>
            </w:pPr>
            <w:r>
              <w:rPr>
                <w:sz w:val="24"/>
              </w:rPr>
              <w:t>序号</w:t>
            </w:r>
          </w:p>
        </w:tc>
        <w:tc>
          <w:tcPr>
            <w:tcW w:w="6227" w:type="dxa"/>
          </w:tcPr>
          <w:p>
            <w:pPr>
              <w:pStyle w:val="20"/>
              <w:spacing w:before="49" w:line="291" w:lineRule="exact"/>
              <w:ind w:left="2907" w:right="2789"/>
              <w:jc w:val="center"/>
              <w:rPr>
                <w:sz w:val="24"/>
              </w:rPr>
            </w:pPr>
            <w:r>
              <w:rPr>
                <w:sz w:val="24"/>
              </w:rPr>
              <w:t>内容</w:t>
            </w:r>
          </w:p>
        </w:tc>
        <w:tc>
          <w:tcPr>
            <w:tcW w:w="3622" w:type="dxa"/>
          </w:tcPr>
          <w:p>
            <w:pPr>
              <w:pStyle w:val="20"/>
              <w:spacing w:before="49" w:line="291" w:lineRule="exact"/>
              <w:ind w:left="1602" w:right="1489"/>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49" w:line="291" w:lineRule="exact"/>
              <w:ind w:left="114"/>
              <w:jc w:val="center"/>
              <w:rPr>
                <w:sz w:val="24"/>
              </w:rPr>
            </w:pPr>
            <w:r>
              <w:rPr>
                <w:sz w:val="24"/>
              </w:rPr>
              <w:t>1</w:t>
            </w:r>
          </w:p>
        </w:tc>
        <w:tc>
          <w:tcPr>
            <w:tcW w:w="6227" w:type="dxa"/>
          </w:tcPr>
          <w:p>
            <w:pPr>
              <w:pStyle w:val="20"/>
              <w:spacing w:before="49" w:line="291" w:lineRule="exact"/>
              <w:ind w:left="107"/>
              <w:rPr>
                <w:sz w:val="24"/>
              </w:rPr>
            </w:pPr>
            <w:r>
              <w:rPr>
                <w:sz w:val="24"/>
              </w:rPr>
              <w:t>封面</w:t>
            </w:r>
          </w:p>
        </w:tc>
        <w:tc>
          <w:tcPr>
            <w:tcW w:w="3622" w:type="dxa"/>
          </w:tcPr>
          <w:p>
            <w:pPr>
              <w:pStyle w:val="20"/>
              <w:spacing w:before="49" w:line="291" w:lineRule="exact"/>
              <w:ind w:left="214"/>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48" w:line="291" w:lineRule="exact"/>
              <w:ind w:left="114"/>
              <w:jc w:val="center"/>
              <w:rPr>
                <w:sz w:val="24"/>
              </w:rPr>
            </w:pPr>
            <w:r>
              <w:rPr>
                <w:sz w:val="24"/>
              </w:rPr>
              <w:t>2</w:t>
            </w:r>
          </w:p>
        </w:tc>
        <w:tc>
          <w:tcPr>
            <w:tcW w:w="6227" w:type="dxa"/>
          </w:tcPr>
          <w:p>
            <w:pPr>
              <w:pStyle w:val="20"/>
              <w:spacing w:before="48" w:line="291" w:lineRule="exact"/>
              <w:ind w:left="107"/>
              <w:rPr>
                <w:sz w:val="24"/>
              </w:rPr>
            </w:pPr>
            <w:r>
              <w:rPr>
                <w:sz w:val="24"/>
              </w:rPr>
              <w:t>目录</w:t>
            </w:r>
          </w:p>
        </w:tc>
        <w:tc>
          <w:tcPr>
            <w:tcW w:w="3622" w:type="dxa"/>
          </w:tcPr>
          <w:p>
            <w:pPr>
              <w:pStyle w:val="20"/>
              <w:spacing w:before="48" w:line="291" w:lineRule="exact"/>
              <w:ind w:left="214"/>
              <w:rPr>
                <w:sz w:val="24"/>
              </w:rPr>
            </w:pPr>
            <w:r>
              <w:rPr>
                <w:sz w:val="24"/>
              </w:rPr>
              <w:t>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48" w:line="292" w:lineRule="exact"/>
              <w:ind w:left="114"/>
              <w:jc w:val="center"/>
              <w:rPr>
                <w:sz w:val="24"/>
              </w:rPr>
            </w:pPr>
            <w:r>
              <w:rPr>
                <w:sz w:val="24"/>
              </w:rPr>
              <w:t>3</w:t>
            </w:r>
          </w:p>
        </w:tc>
        <w:tc>
          <w:tcPr>
            <w:tcW w:w="6227" w:type="dxa"/>
          </w:tcPr>
          <w:p>
            <w:pPr>
              <w:pStyle w:val="20"/>
              <w:spacing w:before="48" w:line="292" w:lineRule="exact"/>
              <w:ind w:left="107"/>
              <w:rPr>
                <w:sz w:val="24"/>
              </w:rPr>
            </w:pPr>
            <w:r>
              <w:rPr>
                <w:sz w:val="24"/>
              </w:rPr>
              <w:t>投标声明书</w:t>
            </w:r>
          </w:p>
        </w:tc>
        <w:tc>
          <w:tcPr>
            <w:tcW w:w="3622" w:type="dxa"/>
          </w:tcPr>
          <w:p>
            <w:pPr>
              <w:pStyle w:val="20"/>
              <w:spacing w:before="48" w:line="292" w:lineRule="exact"/>
              <w:ind w:left="214"/>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17" w:type="dxa"/>
          </w:tcPr>
          <w:p>
            <w:pPr>
              <w:pStyle w:val="20"/>
              <w:spacing w:before="50"/>
              <w:ind w:left="114"/>
              <w:jc w:val="center"/>
              <w:rPr>
                <w:sz w:val="24"/>
              </w:rPr>
            </w:pPr>
            <w:r>
              <w:rPr>
                <w:sz w:val="24"/>
              </w:rPr>
              <w:t>4</w:t>
            </w:r>
          </w:p>
        </w:tc>
        <w:tc>
          <w:tcPr>
            <w:tcW w:w="6227" w:type="dxa"/>
          </w:tcPr>
          <w:p>
            <w:pPr>
              <w:pStyle w:val="20"/>
              <w:spacing w:before="2" w:line="360" w:lineRule="exact"/>
              <w:ind w:left="107" w:right="107"/>
              <w:rPr>
                <w:sz w:val="24"/>
              </w:rPr>
            </w:pPr>
            <w:r>
              <w:rPr>
                <w:sz w:val="24"/>
              </w:rPr>
              <w:t>授权委托书（附上法定代表人及代理人的身份证正反面复印件）</w:t>
            </w:r>
          </w:p>
        </w:tc>
        <w:tc>
          <w:tcPr>
            <w:tcW w:w="3622" w:type="dxa"/>
          </w:tcPr>
          <w:p>
            <w:pPr>
              <w:pStyle w:val="20"/>
              <w:spacing w:before="2" w:line="360" w:lineRule="exact"/>
              <w:ind w:left="214" w:right="995"/>
              <w:rPr>
                <w:sz w:val="24"/>
              </w:rPr>
            </w:pPr>
            <w:r>
              <w:rPr>
                <w:sz w:val="24"/>
              </w:rPr>
              <w:t>如授权委托代理人的则需提供该项，格式附后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017" w:type="dxa"/>
          </w:tcPr>
          <w:p>
            <w:pPr>
              <w:pStyle w:val="20"/>
              <w:spacing w:before="47" w:line="290" w:lineRule="exact"/>
              <w:ind w:left="114"/>
              <w:jc w:val="center"/>
              <w:rPr>
                <w:sz w:val="24"/>
              </w:rPr>
            </w:pPr>
            <w:r>
              <w:rPr>
                <w:sz w:val="24"/>
              </w:rPr>
              <w:t>5</w:t>
            </w:r>
          </w:p>
        </w:tc>
        <w:tc>
          <w:tcPr>
            <w:tcW w:w="6227" w:type="dxa"/>
          </w:tcPr>
          <w:p>
            <w:pPr>
              <w:pStyle w:val="20"/>
              <w:spacing w:before="47" w:line="290" w:lineRule="exact"/>
              <w:ind w:left="107"/>
              <w:rPr>
                <w:sz w:val="24"/>
              </w:rPr>
            </w:pPr>
            <w:r>
              <w:rPr>
                <w:sz w:val="24"/>
              </w:rPr>
              <w:t>法人或者其他组织的营业执照等复印件</w:t>
            </w:r>
          </w:p>
        </w:tc>
        <w:tc>
          <w:tcPr>
            <w:tcW w:w="3622" w:type="dxa"/>
          </w:tcPr>
          <w:p>
            <w:pPr>
              <w:pStyle w:val="20"/>
              <w:spacing w:before="47" w:line="290" w:lineRule="exact"/>
              <w:ind w:left="214"/>
              <w:rPr>
                <w:sz w:val="24"/>
              </w:rPr>
            </w:pPr>
            <w:r>
              <w:rPr>
                <w:sz w:val="24"/>
              </w:rPr>
              <w:t>格式、内容自拟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49" w:line="291" w:lineRule="exact"/>
              <w:ind w:left="114"/>
              <w:jc w:val="center"/>
              <w:rPr>
                <w:sz w:val="24"/>
              </w:rPr>
            </w:pPr>
            <w:r>
              <w:rPr>
                <w:sz w:val="24"/>
              </w:rPr>
              <w:t>6</w:t>
            </w:r>
          </w:p>
        </w:tc>
        <w:tc>
          <w:tcPr>
            <w:tcW w:w="6227" w:type="dxa"/>
          </w:tcPr>
          <w:p>
            <w:pPr>
              <w:pStyle w:val="20"/>
              <w:spacing w:before="49" w:line="291" w:lineRule="exact"/>
              <w:ind w:left="107"/>
              <w:rPr>
                <w:sz w:val="24"/>
              </w:rPr>
            </w:pPr>
            <w:r>
              <w:rPr>
                <w:sz w:val="24"/>
              </w:rPr>
              <w:t>财务状况报告，依法缴纳税收和社会保障资金的相关材料</w:t>
            </w:r>
          </w:p>
        </w:tc>
        <w:tc>
          <w:tcPr>
            <w:tcW w:w="3622" w:type="dxa"/>
          </w:tcPr>
          <w:p>
            <w:pPr>
              <w:pStyle w:val="20"/>
              <w:spacing w:before="49" w:line="291" w:lineRule="exact"/>
              <w:ind w:left="214"/>
              <w:rPr>
                <w:sz w:val="24"/>
              </w:rPr>
            </w:pPr>
            <w:r>
              <w:rPr>
                <w:sz w:val="24"/>
              </w:rPr>
              <w:t>格式、内容自拟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17" w:type="dxa"/>
          </w:tcPr>
          <w:p>
            <w:pPr>
              <w:pStyle w:val="20"/>
              <w:spacing w:before="49"/>
              <w:ind w:left="114"/>
              <w:jc w:val="center"/>
              <w:rPr>
                <w:sz w:val="24"/>
              </w:rPr>
            </w:pPr>
            <w:r>
              <w:rPr>
                <w:sz w:val="24"/>
              </w:rPr>
              <w:t>7</w:t>
            </w:r>
          </w:p>
        </w:tc>
        <w:tc>
          <w:tcPr>
            <w:tcW w:w="6227" w:type="dxa"/>
          </w:tcPr>
          <w:p>
            <w:pPr>
              <w:pStyle w:val="20"/>
              <w:spacing w:before="1" w:line="360" w:lineRule="exact"/>
              <w:ind w:left="107" w:right="227"/>
              <w:rPr>
                <w:sz w:val="24"/>
              </w:rPr>
            </w:pPr>
            <w:r>
              <w:rPr>
                <w:sz w:val="24"/>
              </w:rPr>
              <w:t>具备履行合同所必需的设备和专业技术能力的证明材(根据项目性质提供，该项内容不得写“无”)</w:t>
            </w:r>
          </w:p>
        </w:tc>
        <w:tc>
          <w:tcPr>
            <w:tcW w:w="3622" w:type="dxa"/>
          </w:tcPr>
          <w:p>
            <w:pPr>
              <w:pStyle w:val="20"/>
              <w:spacing w:before="49"/>
              <w:ind w:left="214"/>
              <w:rPr>
                <w:sz w:val="24"/>
              </w:rPr>
            </w:pPr>
            <w:r>
              <w:rPr>
                <w:sz w:val="24"/>
              </w:rPr>
              <w:t>格式、内容自拟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17" w:type="dxa"/>
          </w:tcPr>
          <w:p>
            <w:pPr>
              <w:pStyle w:val="20"/>
              <w:spacing w:before="47" w:line="291" w:lineRule="exact"/>
              <w:ind w:left="114"/>
              <w:jc w:val="center"/>
              <w:rPr>
                <w:sz w:val="24"/>
              </w:rPr>
            </w:pPr>
            <w:r>
              <w:rPr>
                <w:sz w:val="24"/>
              </w:rPr>
              <w:t>8</w:t>
            </w:r>
          </w:p>
        </w:tc>
        <w:tc>
          <w:tcPr>
            <w:tcW w:w="6227" w:type="dxa"/>
          </w:tcPr>
          <w:p>
            <w:pPr>
              <w:pStyle w:val="20"/>
              <w:spacing w:before="47" w:line="291" w:lineRule="exact"/>
              <w:ind w:left="107"/>
              <w:rPr>
                <w:sz w:val="24"/>
              </w:rPr>
            </w:pPr>
            <w:r>
              <w:rPr>
                <w:sz w:val="24"/>
              </w:rPr>
              <w:t>投标人认为需要提供的其它文件和资料</w:t>
            </w:r>
          </w:p>
        </w:tc>
        <w:tc>
          <w:tcPr>
            <w:tcW w:w="3622" w:type="dxa"/>
          </w:tcPr>
          <w:p>
            <w:pPr>
              <w:pStyle w:val="20"/>
              <w:spacing w:before="47" w:line="291" w:lineRule="exact"/>
              <w:ind w:left="214"/>
              <w:rPr>
                <w:sz w:val="24"/>
              </w:rPr>
            </w:pPr>
            <w:r>
              <w:rPr>
                <w:sz w:val="24"/>
              </w:rPr>
              <w:t>内容自拟（可选择性提供）</w:t>
            </w:r>
          </w:p>
        </w:tc>
      </w:tr>
    </w:tbl>
    <w:p>
      <w:pPr>
        <w:spacing w:before="101" w:after="4"/>
        <w:ind w:left="552" w:right="0" w:firstLine="0"/>
        <w:jc w:val="left"/>
        <w:rPr>
          <w:b/>
          <w:sz w:val="24"/>
        </w:rPr>
      </w:pPr>
      <w:r>
        <w:rPr>
          <w:b/>
          <w:sz w:val="24"/>
        </w:rPr>
        <w:t>2、商务技术文件的组成：</w:t>
      </w:r>
    </w:p>
    <w:tbl>
      <w:tblPr>
        <w:tblStyle w:val="1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6235"/>
        <w:gridCol w:w="3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8" w:line="291" w:lineRule="exact"/>
              <w:ind w:left="300" w:right="187"/>
              <w:jc w:val="center"/>
              <w:rPr>
                <w:sz w:val="24"/>
              </w:rPr>
            </w:pPr>
            <w:r>
              <w:rPr>
                <w:sz w:val="24"/>
              </w:rPr>
              <w:t>序号</w:t>
            </w:r>
          </w:p>
        </w:tc>
        <w:tc>
          <w:tcPr>
            <w:tcW w:w="6235" w:type="dxa"/>
          </w:tcPr>
          <w:p>
            <w:pPr>
              <w:pStyle w:val="20"/>
              <w:spacing w:before="48" w:line="291" w:lineRule="exact"/>
              <w:ind w:left="2911" w:right="2794"/>
              <w:jc w:val="center"/>
              <w:rPr>
                <w:sz w:val="24"/>
              </w:rPr>
            </w:pPr>
            <w:r>
              <w:rPr>
                <w:sz w:val="24"/>
              </w:rPr>
              <w:t>内容</w:t>
            </w:r>
          </w:p>
        </w:tc>
        <w:tc>
          <w:tcPr>
            <w:tcW w:w="3626" w:type="dxa"/>
          </w:tcPr>
          <w:p>
            <w:pPr>
              <w:pStyle w:val="20"/>
              <w:spacing w:before="48" w:line="291" w:lineRule="exact"/>
              <w:ind w:left="1605" w:right="149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8" w:line="292" w:lineRule="exact"/>
              <w:ind w:left="113"/>
              <w:jc w:val="center"/>
              <w:rPr>
                <w:sz w:val="24"/>
              </w:rPr>
            </w:pPr>
            <w:r>
              <w:rPr>
                <w:sz w:val="24"/>
              </w:rPr>
              <w:t>1</w:t>
            </w:r>
          </w:p>
        </w:tc>
        <w:tc>
          <w:tcPr>
            <w:tcW w:w="6235" w:type="dxa"/>
          </w:tcPr>
          <w:p>
            <w:pPr>
              <w:pStyle w:val="20"/>
              <w:ind w:left="106"/>
              <w:rPr>
                <w:sz w:val="24"/>
              </w:rPr>
            </w:pPr>
            <w:r>
              <w:rPr>
                <w:sz w:val="24"/>
              </w:rPr>
              <w:t>封面</w:t>
            </w:r>
          </w:p>
        </w:tc>
        <w:tc>
          <w:tcPr>
            <w:tcW w:w="3626" w:type="dxa"/>
          </w:tcPr>
          <w:p>
            <w:pPr>
              <w:pStyle w:val="20"/>
              <w:ind w:left="214"/>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7" w:line="292" w:lineRule="exact"/>
              <w:ind w:left="113"/>
              <w:jc w:val="center"/>
              <w:rPr>
                <w:sz w:val="24"/>
              </w:rPr>
            </w:pPr>
            <w:r>
              <w:rPr>
                <w:sz w:val="24"/>
              </w:rPr>
              <w:t>2</w:t>
            </w:r>
          </w:p>
        </w:tc>
        <w:tc>
          <w:tcPr>
            <w:tcW w:w="6235" w:type="dxa"/>
          </w:tcPr>
          <w:p>
            <w:pPr>
              <w:pStyle w:val="20"/>
              <w:ind w:left="106"/>
              <w:rPr>
                <w:sz w:val="24"/>
              </w:rPr>
            </w:pPr>
            <w:r>
              <w:rPr>
                <w:sz w:val="24"/>
              </w:rPr>
              <w:t>目录</w:t>
            </w:r>
          </w:p>
        </w:tc>
        <w:tc>
          <w:tcPr>
            <w:tcW w:w="3626" w:type="dxa"/>
          </w:tcPr>
          <w:p>
            <w:pPr>
              <w:pStyle w:val="20"/>
              <w:ind w:left="214"/>
              <w:rPr>
                <w:sz w:val="24"/>
              </w:rPr>
            </w:pPr>
            <w:r>
              <w:rPr>
                <w:sz w:val="24"/>
              </w:rPr>
              <w:t>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7" w:line="293" w:lineRule="exact"/>
              <w:ind w:left="113"/>
              <w:jc w:val="center"/>
              <w:rPr>
                <w:sz w:val="24"/>
              </w:rPr>
            </w:pPr>
            <w:r>
              <w:rPr>
                <w:sz w:val="24"/>
              </w:rPr>
              <w:t>3</w:t>
            </w:r>
          </w:p>
        </w:tc>
        <w:tc>
          <w:tcPr>
            <w:tcW w:w="6235" w:type="dxa"/>
          </w:tcPr>
          <w:p>
            <w:pPr>
              <w:pStyle w:val="20"/>
              <w:spacing w:line="307" w:lineRule="exact"/>
              <w:ind w:left="106"/>
              <w:rPr>
                <w:sz w:val="24"/>
              </w:rPr>
            </w:pPr>
            <w:r>
              <w:rPr>
                <w:sz w:val="24"/>
              </w:rPr>
              <w:t>供应商自评表</w:t>
            </w:r>
          </w:p>
        </w:tc>
        <w:tc>
          <w:tcPr>
            <w:tcW w:w="3626" w:type="dxa"/>
          </w:tcPr>
          <w:p>
            <w:pPr>
              <w:pStyle w:val="20"/>
              <w:spacing w:line="307" w:lineRule="exact"/>
              <w:ind w:left="214"/>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7" w:line="293" w:lineRule="exact"/>
              <w:ind w:left="113"/>
              <w:jc w:val="center"/>
              <w:rPr>
                <w:sz w:val="24"/>
              </w:rPr>
            </w:pPr>
            <w:r>
              <w:rPr>
                <w:sz w:val="24"/>
              </w:rPr>
              <w:t>4</w:t>
            </w:r>
          </w:p>
        </w:tc>
        <w:tc>
          <w:tcPr>
            <w:tcW w:w="6235" w:type="dxa"/>
          </w:tcPr>
          <w:p>
            <w:pPr>
              <w:pStyle w:val="20"/>
              <w:spacing w:line="306" w:lineRule="exact"/>
              <w:ind w:left="106"/>
              <w:rPr>
                <w:sz w:val="24"/>
              </w:rPr>
            </w:pPr>
            <w:r>
              <w:rPr>
                <w:sz w:val="24"/>
              </w:rPr>
              <w:t>投标人基本情况表</w:t>
            </w:r>
          </w:p>
        </w:tc>
        <w:tc>
          <w:tcPr>
            <w:tcW w:w="3626" w:type="dxa"/>
          </w:tcPr>
          <w:p>
            <w:pPr>
              <w:pStyle w:val="20"/>
              <w:spacing w:line="306" w:lineRule="exact"/>
              <w:ind w:left="214"/>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18" w:type="dxa"/>
          </w:tcPr>
          <w:p>
            <w:pPr>
              <w:pStyle w:val="20"/>
              <w:spacing w:before="49"/>
              <w:ind w:left="113"/>
              <w:jc w:val="center"/>
              <w:rPr>
                <w:sz w:val="24"/>
              </w:rPr>
            </w:pPr>
            <w:r>
              <w:rPr>
                <w:sz w:val="24"/>
              </w:rPr>
              <w:t>5</w:t>
            </w:r>
          </w:p>
        </w:tc>
        <w:tc>
          <w:tcPr>
            <w:tcW w:w="6235" w:type="dxa"/>
          </w:tcPr>
          <w:p>
            <w:pPr>
              <w:pStyle w:val="20"/>
              <w:spacing w:before="1" w:line="300" w:lineRule="exact"/>
              <w:ind w:left="106" w:right="116"/>
              <w:rPr>
                <w:sz w:val="24"/>
              </w:rPr>
            </w:pPr>
            <w:r>
              <w:rPr>
                <w:sz w:val="24"/>
              </w:rPr>
              <w:t>投标承诺书（投标单位须对质量、安全、人员等招标文件中要求做出承诺的内容做出相应承诺）</w:t>
            </w:r>
          </w:p>
        </w:tc>
        <w:tc>
          <w:tcPr>
            <w:tcW w:w="3626" w:type="dxa"/>
          </w:tcPr>
          <w:p>
            <w:pPr>
              <w:pStyle w:val="20"/>
              <w:spacing w:before="1"/>
              <w:ind w:left="214"/>
              <w:rPr>
                <w:sz w:val="24"/>
              </w:rPr>
            </w:pPr>
            <w:r>
              <w:rPr>
                <w:sz w:val="24"/>
              </w:rPr>
              <w:t>如有</w:t>
            </w:r>
          </w:p>
        </w:tc>
      </w:tr>
    </w:tbl>
    <w:p>
      <w:pPr>
        <w:spacing w:after="0"/>
        <w:rPr>
          <w:sz w:val="24"/>
        </w:rPr>
        <w:sectPr>
          <w:type w:val="continuous"/>
          <w:pgSz w:w="11910" w:h="16840"/>
          <w:pgMar w:top="1600" w:right="220" w:bottom="280" w:left="580" w:header="720" w:footer="720" w:gutter="0"/>
          <w:pgBorders>
            <w:top w:val="none" w:sz="0" w:space="0"/>
            <w:left w:val="none" w:sz="0" w:space="0"/>
            <w:bottom w:val="none" w:sz="0" w:space="0"/>
            <w:right w:val="none" w:sz="0" w:space="0"/>
          </w:pgBorders>
          <w:cols w:space="720" w:num="1"/>
        </w:sectPr>
      </w:pPr>
    </w:p>
    <w:tbl>
      <w:tblPr>
        <w:tblStyle w:val="1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6235"/>
        <w:gridCol w:w="3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8" w:line="291" w:lineRule="exact"/>
              <w:ind w:right="385"/>
              <w:jc w:val="right"/>
              <w:rPr>
                <w:sz w:val="24"/>
              </w:rPr>
            </w:pPr>
            <w:r>
              <w:rPr>
                <w:sz w:val="24"/>
              </w:rPr>
              <w:t>6</w:t>
            </w:r>
          </w:p>
        </w:tc>
        <w:tc>
          <w:tcPr>
            <w:tcW w:w="6235" w:type="dxa"/>
          </w:tcPr>
          <w:p>
            <w:pPr>
              <w:pStyle w:val="20"/>
              <w:spacing w:before="1"/>
              <w:ind w:left="106"/>
              <w:rPr>
                <w:sz w:val="24"/>
              </w:rPr>
            </w:pPr>
            <w:r>
              <w:rPr>
                <w:sz w:val="24"/>
              </w:rPr>
              <w:t>拟投入本项目的人员配备</w:t>
            </w:r>
          </w:p>
        </w:tc>
        <w:tc>
          <w:tcPr>
            <w:tcW w:w="3626" w:type="dxa"/>
          </w:tcPr>
          <w:p>
            <w:pPr>
              <w:pStyle w:val="20"/>
              <w:spacing w:before="1"/>
              <w:ind w:left="214"/>
              <w:rPr>
                <w:sz w:val="24"/>
              </w:rPr>
            </w:pPr>
            <w:r>
              <w:rPr>
                <w:sz w:val="24"/>
              </w:rPr>
              <w:t>格式、内容自拟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8" w:line="292" w:lineRule="exact"/>
              <w:ind w:right="385"/>
              <w:jc w:val="right"/>
              <w:rPr>
                <w:sz w:val="24"/>
              </w:rPr>
            </w:pPr>
            <w:r>
              <w:rPr>
                <w:sz w:val="24"/>
              </w:rPr>
              <w:t>7</w:t>
            </w:r>
          </w:p>
        </w:tc>
        <w:tc>
          <w:tcPr>
            <w:tcW w:w="6235" w:type="dxa"/>
          </w:tcPr>
          <w:p>
            <w:pPr>
              <w:pStyle w:val="20"/>
              <w:ind w:left="106"/>
              <w:rPr>
                <w:sz w:val="24"/>
              </w:rPr>
            </w:pPr>
            <w:r>
              <w:rPr>
                <w:sz w:val="24"/>
              </w:rPr>
              <w:t>拟投入本项目的设备配备</w:t>
            </w:r>
          </w:p>
        </w:tc>
        <w:tc>
          <w:tcPr>
            <w:tcW w:w="3626" w:type="dxa"/>
          </w:tcPr>
          <w:p>
            <w:pPr>
              <w:pStyle w:val="20"/>
              <w:ind w:left="214"/>
              <w:rPr>
                <w:sz w:val="24"/>
              </w:rPr>
            </w:pPr>
            <w:r>
              <w:rPr>
                <w:sz w:val="24"/>
              </w:rPr>
              <w:t>格式、内容自拟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8" w:type="dxa"/>
          </w:tcPr>
          <w:p>
            <w:pPr>
              <w:pStyle w:val="20"/>
              <w:spacing w:before="48" w:line="292" w:lineRule="exact"/>
              <w:ind w:right="385"/>
              <w:jc w:val="right"/>
              <w:rPr>
                <w:sz w:val="24"/>
              </w:rPr>
            </w:pPr>
            <w:r>
              <w:rPr>
                <w:sz w:val="24"/>
              </w:rPr>
              <w:t>8</w:t>
            </w:r>
          </w:p>
        </w:tc>
        <w:tc>
          <w:tcPr>
            <w:tcW w:w="6235" w:type="dxa"/>
          </w:tcPr>
          <w:p>
            <w:pPr>
              <w:pStyle w:val="20"/>
              <w:ind w:left="106"/>
              <w:rPr>
                <w:sz w:val="24"/>
              </w:rPr>
            </w:pPr>
            <w:r>
              <w:rPr>
                <w:sz w:val="24"/>
              </w:rPr>
              <w:t>技术、商务偏离表</w:t>
            </w:r>
          </w:p>
        </w:tc>
        <w:tc>
          <w:tcPr>
            <w:tcW w:w="3626" w:type="dxa"/>
          </w:tcPr>
          <w:p>
            <w:pPr>
              <w:pStyle w:val="20"/>
              <w:ind w:left="214"/>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18" w:type="dxa"/>
          </w:tcPr>
          <w:p>
            <w:pPr>
              <w:pStyle w:val="20"/>
              <w:spacing w:before="50"/>
              <w:ind w:right="385"/>
              <w:jc w:val="right"/>
              <w:rPr>
                <w:sz w:val="24"/>
              </w:rPr>
            </w:pPr>
            <w:r>
              <w:rPr>
                <w:sz w:val="24"/>
              </w:rPr>
              <w:t>9</w:t>
            </w:r>
          </w:p>
        </w:tc>
        <w:tc>
          <w:tcPr>
            <w:tcW w:w="6235" w:type="dxa"/>
          </w:tcPr>
          <w:p>
            <w:pPr>
              <w:pStyle w:val="20"/>
              <w:spacing w:before="2" w:line="300" w:lineRule="exact"/>
              <w:ind w:left="106" w:right="116"/>
              <w:rPr>
                <w:sz w:val="24"/>
              </w:rPr>
            </w:pPr>
            <w:r>
              <w:rPr>
                <w:sz w:val="24"/>
              </w:rPr>
              <w:t>投标人认为需要提供的其它文件和资料，包括可能影响投标人商务技术文件评分的各类证明材料</w:t>
            </w:r>
          </w:p>
        </w:tc>
        <w:tc>
          <w:tcPr>
            <w:tcW w:w="3626" w:type="dxa"/>
          </w:tcPr>
          <w:p>
            <w:pPr>
              <w:pStyle w:val="20"/>
              <w:spacing w:before="2" w:line="300" w:lineRule="exact"/>
              <w:ind w:left="214" w:right="999"/>
              <w:rPr>
                <w:sz w:val="24"/>
              </w:rPr>
            </w:pPr>
            <w:r>
              <w:rPr>
                <w:sz w:val="24"/>
              </w:rPr>
              <w:t>内容自拟（可选择性提供）</w:t>
            </w:r>
          </w:p>
        </w:tc>
      </w:tr>
    </w:tbl>
    <w:p>
      <w:pPr>
        <w:spacing w:before="40"/>
        <w:ind w:left="219" w:right="0" w:firstLine="0"/>
        <w:jc w:val="left"/>
        <w:rPr>
          <w:b/>
          <w:sz w:val="24"/>
        </w:rPr>
      </w:pPr>
      <w:r>
        <w:pict>
          <v:shape id="_x0000_s1027" o:spid="_x0000_s1027" o:spt="202" type="#_x0000_t202" style="position:absolute;left:0pt;margin-left:34.35pt;margin-top:15.7pt;height:368pt;width:544.05pt;mso-position-horizontal-relative:page;z-index:251683840;mso-width-relative:page;mso-height-relative:page;" filled="f" stroked="f" coordsize="21600,21600">
            <v:path/>
            <v:fill on="f" focussize="0,0"/>
            <v:stroke on="f" joinstyle="miter"/>
            <v:imagedata o:title=""/>
            <o:lock v:ext="edit"/>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6227"/>
                    <w:gridCol w:w="3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83" w:line="257" w:lineRule="exact"/>
                          <w:ind w:left="300" w:right="186"/>
                          <w:jc w:val="center"/>
                          <w:rPr>
                            <w:sz w:val="24"/>
                          </w:rPr>
                        </w:pPr>
                        <w:r>
                          <w:rPr>
                            <w:sz w:val="24"/>
                          </w:rPr>
                          <w:t>序号</w:t>
                        </w:r>
                      </w:p>
                    </w:tc>
                    <w:tc>
                      <w:tcPr>
                        <w:tcW w:w="6227" w:type="dxa"/>
                      </w:tcPr>
                      <w:p>
                        <w:pPr>
                          <w:pStyle w:val="20"/>
                          <w:spacing w:before="83" w:line="257" w:lineRule="exact"/>
                          <w:ind w:left="2907" w:right="2789"/>
                          <w:jc w:val="center"/>
                          <w:rPr>
                            <w:sz w:val="24"/>
                          </w:rPr>
                        </w:pPr>
                        <w:r>
                          <w:rPr>
                            <w:sz w:val="24"/>
                          </w:rPr>
                          <w:t>内容</w:t>
                        </w:r>
                      </w:p>
                    </w:tc>
                    <w:tc>
                      <w:tcPr>
                        <w:tcW w:w="3622" w:type="dxa"/>
                      </w:tcPr>
                      <w:p>
                        <w:pPr>
                          <w:pStyle w:val="20"/>
                          <w:spacing w:before="83" w:line="257" w:lineRule="exact"/>
                          <w:ind w:left="1602" w:right="1489"/>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82" w:line="257" w:lineRule="exact"/>
                          <w:ind w:left="114"/>
                          <w:jc w:val="center"/>
                          <w:rPr>
                            <w:sz w:val="24"/>
                          </w:rPr>
                        </w:pPr>
                        <w:r>
                          <w:rPr>
                            <w:sz w:val="24"/>
                          </w:rPr>
                          <w:t>1</w:t>
                        </w:r>
                      </w:p>
                    </w:tc>
                    <w:tc>
                      <w:tcPr>
                        <w:tcW w:w="6227" w:type="dxa"/>
                      </w:tcPr>
                      <w:p>
                        <w:pPr>
                          <w:pStyle w:val="20"/>
                          <w:spacing w:before="34" w:line="305" w:lineRule="exact"/>
                          <w:ind w:left="107"/>
                          <w:rPr>
                            <w:sz w:val="24"/>
                          </w:rPr>
                        </w:pPr>
                        <w:r>
                          <w:rPr>
                            <w:sz w:val="24"/>
                          </w:rPr>
                          <w:t>封面</w:t>
                        </w:r>
                      </w:p>
                    </w:tc>
                    <w:tc>
                      <w:tcPr>
                        <w:tcW w:w="3622" w:type="dxa"/>
                      </w:tcPr>
                      <w:p>
                        <w:pPr>
                          <w:pStyle w:val="20"/>
                          <w:spacing w:before="34" w:line="305" w:lineRule="exact"/>
                          <w:ind w:left="108"/>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82" w:line="258" w:lineRule="exact"/>
                          <w:ind w:left="114"/>
                          <w:jc w:val="center"/>
                          <w:rPr>
                            <w:sz w:val="24"/>
                          </w:rPr>
                        </w:pPr>
                        <w:r>
                          <w:rPr>
                            <w:sz w:val="24"/>
                          </w:rPr>
                          <w:t>2</w:t>
                        </w:r>
                      </w:p>
                    </w:tc>
                    <w:tc>
                      <w:tcPr>
                        <w:tcW w:w="6227" w:type="dxa"/>
                      </w:tcPr>
                      <w:p>
                        <w:pPr>
                          <w:pStyle w:val="20"/>
                          <w:spacing w:before="34" w:line="306" w:lineRule="exact"/>
                          <w:ind w:left="107"/>
                          <w:rPr>
                            <w:sz w:val="24"/>
                          </w:rPr>
                        </w:pPr>
                        <w:r>
                          <w:rPr>
                            <w:sz w:val="24"/>
                          </w:rPr>
                          <w:t>目录</w:t>
                        </w:r>
                      </w:p>
                    </w:tc>
                    <w:tc>
                      <w:tcPr>
                        <w:tcW w:w="3622" w:type="dxa"/>
                      </w:tcPr>
                      <w:p>
                        <w:pPr>
                          <w:pStyle w:val="20"/>
                          <w:spacing w:before="34" w:line="306" w:lineRule="exact"/>
                          <w:ind w:left="108"/>
                          <w:rPr>
                            <w:sz w:val="24"/>
                          </w:rPr>
                        </w:pPr>
                        <w:r>
                          <w:rPr>
                            <w:sz w:val="24"/>
                          </w:rPr>
                          <w:t>内容自拟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82" w:line="258" w:lineRule="exact"/>
                          <w:ind w:left="114"/>
                          <w:jc w:val="center"/>
                          <w:rPr>
                            <w:sz w:val="24"/>
                          </w:rPr>
                        </w:pPr>
                        <w:r>
                          <w:rPr>
                            <w:sz w:val="24"/>
                          </w:rPr>
                          <w:t>3</w:t>
                        </w:r>
                      </w:p>
                    </w:tc>
                    <w:tc>
                      <w:tcPr>
                        <w:tcW w:w="6227" w:type="dxa"/>
                      </w:tcPr>
                      <w:p>
                        <w:pPr>
                          <w:pStyle w:val="20"/>
                          <w:spacing w:before="34" w:line="306" w:lineRule="exact"/>
                          <w:ind w:left="107"/>
                          <w:rPr>
                            <w:sz w:val="24"/>
                          </w:rPr>
                        </w:pPr>
                        <w:r>
                          <w:rPr>
                            <w:sz w:val="24"/>
                          </w:rPr>
                          <w:t>开标一览表</w:t>
                        </w:r>
                      </w:p>
                    </w:tc>
                    <w:tc>
                      <w:tcPr>
                        <w:tcW w:w="3622" w:type="dxa"/>
                      </w:tcPr>
                      <w:p>
                        <w:pPr>
                          <w:pStyle w:val="20"/>
                          <w:spacing w:before="34" w:line="306" w:lineRule="exact"/>
                          <w:ind w:left="108"/>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84" w:line="256" w:lineRule="exact"/>
                          <w:ind w:left="114"/>
                          <w:jc w:val="center"/>
                          <w:rPr>
                            <w:sz w:val="24"/>
                          </w:rPr>
                        </w:pPr>
                        <w:r>
                          <w:rPr>
                            <w:sz w:val="24"/>
                          </w:rPr>
                          <w:t>4</w:t>
                        </w:r>
                      </w:p>
                    </w:tc>
                    <w:tc>
                      <w:tcPr>
                        <w:tcW w:w="6227" w:type="dxa"/>
                      </w:tcPr>
                      <w:p>
                        <w:pPr>
                          <w:pStyle w:val="20"/>
                          <w:spacing w:before="36" w:line="304" w:lineRule="exact"/>
                          <w:ind w:left="107"/>
                          <w:rPr>
                            <w:sz w:val="24"/>
                          </w:rPr>
                        </w:pPr>
                        <w:r>
                          <w:rPr>
                            <w:sz w:val="24"/>
                          </w:rPr>
                          <w:t>投标报价明细表</w:t>
                        </w:r>
                      </w:p>
                    </w:tc>
                    <w:tc>
                      <w:tcPr>
                        <w:tcW w:w="3622" w:type="dxa"/>
                      </w:tcPr>
                      <w:p>
                        <w:pPr>
                          <w:pStyle w:val="20"/>
                          <w:spacing w:before="36" w:line="304" w:lineRule="exact"/>
                          <w:ind w:left="108"/>
                          <w:rPr>
                            <w:sz w:val="24"/>
                          </w:rPr>
                        </w:pPr>
                        <w:r>
                          <w:rPr>
                            <w:sz w:val="24"/>
                          </w:rPr>
                          <w:t>格式附后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017" w:type="dxa"/>
                      </w:tcPr>
                      <w:p>
                        <w:pPr>
                          <w:pStyle w:val="20"/>
                          <w:spacing w:before="83"/>
                          <w:ind w:left="114"/>
                          <w:jc w:val="center"/>
                          <w:rPr>
                            <w:sz w:val="24"/>
                          </w:rPr>
                        </w:pPr>
                        <w:r>
                          <w:rPr>
                            <w:sz w:val="24"/>
                          </w:rPr>
                          <w:t>5</w:t>
                        </w:r>
                      </w:p>
                    </w:tc>
                    <w:tc>
                      <w:tcPr>
                        <w:tcW w:w="6227" w:type="dxa"/>
                      </w:tcPr>
                      <w:p>
                        <w:pPr>
                          <w:pStyle w:val="20"/>
                          <w:spacing w:before="40" w:line="235" w:lineRule="auto"/>
                          <w:ind w:left="107" w:right="95"/>
                          <w:rPr>
                            <w:sz w:val="24"/>
                          </w:rPr>
                        </w:pPr>
                        <w:r>
                          <w:rPr>
                            <w:sz w:val="24"/>
                          </w:rPr>
                          <w:t>投标人的《小微企业声明函》、国家企业信用信息公示系统——小微企业名录”页面查</w:t>
                        </w:r>
                      </w:p>
                      <w:p>
                        <w:pPr>
                          <w:pStyle w:val="20"/>
                          <w:spacing w:line="237" w:lineRule="exact"/>
                          <w:ind w:left="107"/>
                          <w:rPr>
                            <w:sz w:val="24"/>
                          </w:rPr>
                        </w:pPr>
                        <w:r>
                          <w:rPr>
                            <w:sz w:val="24"/>
                          </w:rPr>
                          <w:t>询结果（截图上加盖单位公章）</w:t>
                        </w:r>
                      </w:p>
                    </w:tc>
                    <w:tc>
                      <w:tcPr>
                        <w:tcW w:w="3622" w:type="dxa"/>
                      </w:tcPr>
                      <w:p>
                        <w:pPr>
                          <w:pStyle w:val="20"/>
                          <w:spacing w:before="40" w:line="235" w:lineRule="auto"/>
                          <w:ind w:left="108" w:right="141"/>
                          <w:rPr>
                            <w:sz w:val="24"/>
                          </w:rPr>
                        </w:pPr>
                        <w:r>
                          <w:rPr>
                            <w:sz w:val="24"/>
                          </w:rPr>
                          <w:t>投标人若参与小微企业评审的， 格式附后（可选择性提供）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1017" w:type="dxa"/>
                      </w:tcPr>
                      <w:p>
                        <w:pPr>
                          <w:pStyle w:val="20"/>
                          <w:spacing w:before="83"/>
                          <w:ind w:left="114"/>
                          <w:jc w:val="center"/>
                          <w:rPr>
                            <w:sz w:val="24"/>
                          </w:rPr>
                        </w:pPr>
                        <w:r>
                          <w:rPr>
                            <w:sz w:val="24"/>
                          </w:rPr>
                          <w:t>6</w:t>
                        </w:r>
                      </w:p>
                    </w:tc>
                    <w:tc>
                      <w:tcPr>
                        <w:tcW w:w="6227" w:type="dxa"/>
                      </w:tcPr>
                      <w:p>
                        <w:pPr>
                          <w:pStyle w:val="20"/>
                          <w:rPr>
                            <w:sz w:val="24"/>
                          </w:rPr>
                        </w:pPr>
                      </w:p>
                      <w:p>
                        <w:pPr>
                          <w:pStyle w:val="20"/>
                          <w:rPr>
                            <w:sz w:val="24"/>
                          </w:rPr>
                        </w:pPr>
                      </w:p>
                      <w:p>
                        <w:pPr>
                          <w:pStyle w:val="20"/>
                          <w:spacing w:before="12"/>
                          <w:rPr>
                            <w:sz w:val="24"/>
                          </w:rPr>
                        </w:pPr>
                      </w:p>
                      <w:p>
                        <w:pPr>
                          <w:pStyle w:val="20"/>
                          <w:ind w:left="107"/>
                          <w:rPr>
                            <w:sz w:val="24"/>
                          </w:rPr>
                        </w:pPr>
                        <w:r>
                          <w:rPr>
                            <w:sz w:val="24"/>
                          </w:rPr>
                          <w:t>残疾人福利性单位声明函</w:t>
                        </w:r>
                      </w:p>
                    </w:tc>
                    <w:tc>
                      <w:tcPr>
                        <w:tcW w:w="3622" w:type="dxa"/>
                      </w:tcPr>
                      <w:p>
                        <w:pPr>
                          <w:pStyle w:val="20"/>
                          <w:spacing w:before="40" w:line="235" w:lineRule="auto"/>
                          <w:ind w:left="108" w:right="141"/>
                          <w:jc w:val="both"/>
                          <w:rPr>
                            <w:sz w:val="24"/>
                          </w:rPr>
                        </w:pPr>
                        <w:r>
                          <w:rPr>
                            <w:sz w:val="24"/>
                          </w:rPr>
                          <w:t>投标人若参与残疾人福利性单位评审的，根据《关于促进残疾人就业政府采购政策的通知》（财库【2017】141 号）的规定, 提供残疾人福利性单位声明函，格式附后（可选择性提</w:t>
                        </w:r>
                      </w:p>
                      <w:p>
                        <w:pPr>
                          <w:pStyle w:val="20"/>
                          <w:spacing w:line="232" w:lineRule="exact"/>
                          <w:ind w:left="108"/>
                          <w:rPr>
                            <w:sz w:val="24"/>
                          </w:rPr>
                        </w:pPr>
                        <w:r>
                          <w:rPr>
                            <w:sz w:val="24"/>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1017" w:type="dxa"/>
                      </w:tcPr>
                      <w:p>
                        <w:pPr>
                          <w:pStyle w:val="20"/>
                          <w:spacing w:before="82"/>
                          <w:ind w:left="114"/>
                          <w:jc w:val="center"/>
                          <w:rPr>
                            <w:sz w:val="24"/>
                          </w:rPr>
                        </w:pPr>
                        <w:r>
                          <w:rPr>
                            <w:sz w:val="24"/>
                          </w:rPr>
                          <w:t>7</w:t>
                        </w:r>
                      </w:p>
                    </w:tc>
                    <w:tc>
                      <w:tcPr>
                        <w:tcW w:w="6227" w:type="dxa"/>
                      </w:tcPr>
                      <w:p>
                        <w:pPr>
                          <w:pStyle w:val="20"/>
                          <w:rPr>
                            <w:sz w:val="24"/>
                          </w:rPr>
                        </w:pPr>
                      </w:p>
                      <w:p>
                        <w:pPr>
                          <w:pStyle w:val="20"/>
                          <w:rPr>
                            <w:sz w:val="24"/>
                          </w:rPr>
                        </w:pPr>
                      </w:p>
                      <w:p>
                        <w:pPr>
                          <w:pStyle w:val="20"/>
                          <w:spacing w:before="175" w:line="235" w:lineRule="auto"/>
                          <w:ind w:left="107" w:right="95"/>
                          <w:rPr>
                            <w:sz w:val="24"/>
                          </w:rPr>
                        </w:pPr>
                        <w:r>
                          <w:rPr>
                            <w:sz w:val="24"/>
                          </w:rPr>
                          <w:t>省级以上监狱管理局、戒毒管理局（含新疆生产建设兵团）开具的属于监狱企业的证明文件</w:t>
                        </w:r>
                      </w:p>
                    </w:tc>
                    <w:tc>
                      <w:tcPr>
                        <w:tcW w:w="3622" w:type="dxa"/>
                      </w:tcPr>
                      <w:p>
                        <w:pPr>
                          <w:pStyle w:val="20"/>
                          <w:spacing w:before="39" w:line="235" w:lineRule="auto"/>
                          <w:ind w:left="108" w:right="141"/>
                          <w:rPr>
                            <w:sz w:val="24"/>
                          </w:rPr>
                        </w:pPr>
                        <w:r>
                          <w:rPr>
                            <w:sz w:val="24"/>
                          </w:rPr>
                          <w:t>投标人若参与监狱企业评审的， 根据</w:t>
                        </w:r>
                      </w:p>
                      <w:p>
                        <w:pPr>
                          <w:pStyle w:val="20"/>
                          <w:spacing w:line="235" w:lineRule="auto"/>
                          <w:ind w:left="108" w:right="141"/>
                          <w:rPr>
                            <w:sz w:val="24"/>
                          </w:rPr>
                        </w:pPr>
                        <w:r>
                          <w:rPr>
                            <w:spacing w:val="-2"/>
                            <w:sz w:val="24"/>
                          </w:rPr>
                          <w:t>《财政部司法部关于政府采购支</w:t>
                        </w:r>
                        <w:r>
                          <w:rPr>
                            <w:sz w:val="24"/>
                          </w:rPr>
                          <w:t>持监狱企业发展有关问题的通 知》（财库【2014】68 号）的规定,格式自拟（可选择性提</w:t>
                        </w:r>
                      </w:p>
                      <w:p>
                        <w:pPr>
                          <w:pStyle w:val="20"/>
                          <w:spacing w:line="235" w:lineRule="exact"/>
                          <w:ind w:left="108"/>
                          <w:rPr>
                            <w:sz w:val="24"/>
                          </w:rPr>
                        </w:pPr>
                        <w:r>
                          <w:rPr>
                            <w:sz w:val="24"/>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17" w:type="dxa"/>
                      </w:tcPr>
                      <w:p>
                        <w:pPr>
                          <w:pStyle w:val="20"/>
                          <w:spacing w:before="82" w:line="258" w:lineRule="exact"/>
                          <w:ind w:left="114"/>
                          <w:jc w:val="center"/>
                          <w:rPr>
                            <w:sz w:val="24"/>
                          </w:rPr>
                        </w:pPr>
                        <w:r>
                          <w:rPr>
                            <w:sz w:val="24"/>
                          </w:rPr>
                          <w:t>8</w:t>
                        </w:r>
                      </w:p>
                    </w:tc>
                    <w:tc>
                      <w:tcPr>
                        <w:tcW w:w="6227" w:type="dxa"/>
                      </w:tcPr>
                      <w:p>
                        <w:pPr>
                          <w:pStyle w:val="20"/>
                          <w:spacing w:before="65" w:line="274" w:lineRule="exact"/>
                          <w:ind w:left="107"/>
                          <w:rPr>
                            <w:sz w:val="24"/>
                          </w:rPr>
                        </w:pPr>
                        <w:r>
                          <w:rPr>
                            <w:sz w:val="24"/>
                          </w:rPr>
                          <w:t>投标人认为需要提供的其它文件和资料</w:t>
                        </w:r>
                      </w:p>
                    </w:tc>
                    <w:tc>
                      <w:tcPr>
                        <w:tcW w:w="3622" w:type="dxa"/>
                      </w:tcPr>
                      <w:p>
                        <w:pPr>
                          <w:pStyle w:val="20"/>
                          <w:spacing w:before="34" w:line="306" w:lineRule="exact"/>
                          <w:ind w:left="108"/>
                          <w:rPr>
                            <w:sz w:val="24"/>
                          </w:rPr>
                        </w:pPr>
                        <w:r>
                          <w:rPr>
                            <w:sz w:val="24"/>
                          </w:rPr>
                          <w:t>内容自拟（可选择性提供）</w:t>
                        </w:r>
                      </w:p>
                    </w:tc>
                  </w:tr>
                </w:tbl>
                <w:p>
                  <w:pPr>
                    <w:pStyle w:val="8"/>
                  </w:pPr>
                </w:p>
              </w:txbxContent>
            </v:textbox>
          </v:shape>
        </w:pict>
      </w:r>
      <w:r>
        <w:rPr>
          <w:b/>
          <w:sz w:val="24"/>
        </w:rPr>
        <w:t>3、报价文件的组成</w:t>
      </w: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rPr>
          <w:b/>
        </w:rPr>
      </w:pPr>
    </w:p>
    <w:p>
      <w:pPr>
        <w:pStyle w:val="8"/>
        <w:spacing w:before="3"/>
        <w:rPr>
          <w:b/>
          <w:sz w:val="18"/>
        </w:rPr>
      </w:pPr>
    </w:p>
    <w:p>
      <w:pPr>
        <w:spacing w:before="0" w:line="520" w:lineRule="atLeast"/>
        <w:ind w:left="699" w:right="6621" w:hanging="480"/>
        <w:jc w:val="left"/>
        <w:rPr>
          <w:b/>
          <w:sz w:val="24"/>
        </w:rPr>
      </w:pPr>
      <w:r>
        <w:rPr>
          <w:b/>
          <w:spacing w:val="-3"/>
          <w:w w:val="95"/>
          <w:sz w:val="24"/>
        </w:rPr>
        <w:t>（</w:t>
      </w:r>
      <w:r>
        <w:rPr>
          <w:b/>
          <w:spacing w:val="-5"/>
          <w:w w:val="95"/>
          <w:sz w:val="24"/>
        </w:rPr>
        <w:t>二</w:t>
      </w:r>
      <w:r>
        <w:rPr>
          <w:b/>
          <w:spacing w:val="-3"/>
          <w:w w:val="95"/>
          <w:sz w:val="24"/>
        </w:rPr>
        <w:t>）</w:t>
      </w:r>
      <w:r>
        <w:rPr>
          <w:b/>
          <w:spacing w:val="-5"/>
          <w:w w:val="95"/>
          <w:sz w:val="24"/>
        </w:rPr>
        <w:t xml:space="preserve">投标文件的制作、封装及递交要求 </w:t>
      </w:r>
      <w:r>
        <w:rPr>
          <w:b/>
          <w:spacing w:val="-5"/>
          <w:sz w:val="24"/>
        </w:rPr>
        <w:t>1、投标文件的制作要求</w:t>
      </w:r>
    </w:p>
    <w:p>
      <w:pPr>
        <w:pStyle w:val="19"/>
        <w:numPr>
          <w:ilvl w:val="0"/>
          <w:numId w:val="11"/>
        </w:numPr>
        <w:tabs>
          <w:tab w:val="left" w:pos="1301"/>
        </w:tabs>
        <w:spacing w:before="25" w:after="0" w:line="364" w:lineRule="auto"/>
        <w:ind w:left="219" w:right="328" w:firstLine="480"/>
        <w:jc w:val="both"/>
        <w:rPr>
          <w:sz w:val="24"/>
        </w:rPr>
      </w:pPr>
      <w:r>
        <w:fldChar w:fldCharType="begin"/>
      </w:r>
      <w:r>
        <w:instrText xml:space="preserve"> HYPERLINK "http://www.zcygov.cn/" \h </w:instrText>
      </w:r>
      <w:r>
        <w:fldChar w:fldCharType="separate"/>
      </w:r>
      <w:r>
        <w:rPr>
          <w:sz w:val="24"/>
        </w:rPr>
        <w:t>本项目通过“政府采购云平台（www.zcygov.cn</w:t>
      </w:r>
      <w:r>
        <w:rPr>
          <w:sz w:val="24"/>
        </w:rPr>
        <w:fldChar w:fldCharType="end"/>
      </w:r>
      <w:r>
        <w:rPr>
          <w:sz w:val="24"/>
        </w:rPr>
        <w:t>）”实行在线投标响应（电子投标）</w:t>
      </w:r>
      <w:r>
        <w:rPr>
          <w:spacing w:val="-6"/>
          <w:sz w:val="24"/>
        </w:rPr>
        <w:t>。供应</w:t>
      </w:r>
      <w:r>
        <w:rPr>
          <w:spacing w:val="-1"/>
          <w:sz w:val="24"/>
        </w:rPr>
        <w:t>商应通过“政采云电子交易客户端”，并按照本招标文件和“政府采购云平台”的要求编制并加密投</w:t>
      </w:r>
      <w:r>
        <w:rPr>
          <w:sz w:val="24"/>
        </w:rPr>
        <w:t>标文件。</w:t>
      </w:r>
    </w:p>
    <w:p>
      <w:pPr>
        <w:pStyle w:val="19"/>
        <w:numPr>
          <w:ilvl w:val="0"/>
          <w:numId w:val="11"/>
        </w:numPr>
        <w:tabs>
          <w:tab w:val="left" w:pos="1241"/>
        </w:tabs>
        <w:spacing w:before="0" w:after="0" w:line="364" w:lineRule="auto"/>
        <w:ind w:left="219" w:right="328" w:firstLine="420"/>
        <w:jc w:val="both"/>
        <w:rPr>
          <w:sz w:val="24"/>
        </w:rPr>
      </w:pPr>
      <w:r>
        <w:rPr>
          <w:sz w:val="24"/>
        </w:rPr>
        <w:t>投标供应商应当按照本章节 “投标文件组成”规定的内容及顺序在“政采云电子交易客户</w:t>
      </w:r>
      <w:r>
        <w:rPr>
          <w:spacing w:val="-1"/>
          <w:sz w:val="24"/>
        </w:rPr>
        <w:t>端”编制投标文件。其中《资格证明文件》和《商务技术文件》中不得出现本项目投标报价，如因投</w:t>
      </w:r>
      <w:r>
        <w:rPr>
          <w:sz w:val="24"/>
        </w:rPr>
        <w:t>标人原因提前泄露投标报价，是投标人的责任。</w:t>
      </w:r>
    </w:p>
    <w:p>
      <w:pPr>
        <w:pStyle w:val="19"/>
        <w:numPr>
          <w:ilvl w:val="0"/>
          <w:numId w:val="11"/>
        </w:numPr>
        <w:tabs>
          <w:tab w:val="left" w:pos="1301"/>
        </w:tabs>
        <w:spacing w:before="109" w:after="0" w:line="343" w:lineRule="auto"/>
        <w:ind w:left="219" w:right="448" w:firstLine="480"/>
        <w:jc w:val="left"/>
        <w:rPr>
          <w:sz w:val="24"/>
        </w:rPr>
      </w:pPr>
      <w:r>
        <w:rPr>
          <w:spacing w:val="-1"/>
          <w:sz w:val="24"/>
        </w:rPr>
        <w:t>投标人应对所提供的全部资料的真实性承担法律责任，投标文件内容中有要求盖章或签字</w:t>
      </w:r>
      <w:r>
        <w:rPr>
          <w:sz w:val="24"/>
        </w:rPr>
        <w:t>的地方，必须加盖投标人的公章以及法定代表人或授权代理人的签字或盖章。</w:t>
      </w:r>
    </w:p>
    <w:p>
      <w:pPr>
        <w:spacing w:after="0" w:line="343" w:lineRule="auto"/>
        <w:jc w:val="left"/>
        <w:rPr>
          <w:sz w:val="24"/>
        </w:rPr>
        <w:sectPr>
          <w:footerReference r:id="rId7" w:type="default"/>
          <w:pgSz w:w="11910" w:h="16840"/>
          <w:pgMar w:top="1320" w:right="220" w:bottom="980" w:left="580" w:header="0" w:footer="786" w:gutter="0"/>
          <w:pgBorders>
            <w:top w:val="none" w:sz="0" w:space="0"/>
            <w:left w:val="none" w:sz="0" w:space="0"/>
            <w:bottom w:val="none" w:sz="0" w:space="0"/>
            <w:right w:val="none" w:sz="0" w:space="0"/>
          </w:pgBorders>
          <w:pgNumType w:start="10"/>
          <w:cols w:space="720" w:num="1"/>
        </w:sectPr>
      </w:pPr>
    </w:p>
    <w:p>
      <w:pPr>
        <w:pStyle w:val="19"/>
        <w:numPr>
          <w:ilvl w:val="0"/>
          <w:numId w:val="11"/>
        </w:numPr>
        <w:tabs>
          <w:tab w:val="left" w:pos="1243"/>
        </w:tabs>
        <w:spacing w:before="41" w:after="0" w:line="364" w:lineRule="auto"/>
        <w:ind w:left="219" w:right="384" w:firstLine="422"/>
        <w:jc w:val="left"/>
        <w:rPr>
          <w:b/>
          <w:sz w:val="24"/>
        </w:rPr>
      </w:pPr>
      <w:r>
        <w:rPr>
          <w:sz w:val="24"/>
        </w:rPr>
        <w:t>电子签章操作指南详见采购公告附件《供应商项目采购-电子招投标操作指南》。</w:t>
      </w:r>
      <w:r>
        <w:rPr>
          <w:b/>
          <w:sz w:val="24"/>
          <w:u w:val="single"/>
        </w:rPr>
        <w:t>（</w:t>
      </w:r>
      <w:r>
        <w:rPr>
          <w:b/>
          <w:spacing w:val="-6"/>
          <w:sz w:val="24"/>
          <w:u w:val="single"/>
        </w:rPr>
        <w:t>电子投</w:t>
      </w:r>
      <w:r>
        <w:rPr>
          <w:b/>
          <w:spacing w:val="-16"/>
          <w:sz w:val="24"/>
          <w:u w:val="single"/>
        </w:rPr>
        <w:t>标文件中涉及的签字部分，可以采用线下签名后，再扫描上传。</w:t>
      </w:r>
      <w:r>
        <w:rPr>
          <w:b/>
          <w:sz w:val="24"/>
          <w:u w:val="single"/>
        </w:rPr>
        <w:t>）</w:t>
      </w:r>
    </w:p>
    <w:p>
      <w:pPr>
        <w:pStyle w:val="19"/>
        <w:numPr>
          <w:ilvl w:val="0"/>
          <w:numId w:val="11"/>
        </w:numPr>
        <w:tabs>
          <w:tab w:val="left" w:pos="1301"/>
        </w:tabs>
        <w:spacing w:before="109" w:after="0" w:line="345" w:lineRule="auto"/>
        <w:ind w:left="219" w:right="328" w:firstLine="480"/>
        <w:jc w:val="left"/>
        <w:rPr>
          <w:sz w:val="24"/>
        </w:rPr>
      </w:pPr>
      <w:r>
        <w:rPr>
          <w:spacing w:val="-1"/>
          <w:sz w:val="24"/>
        </w:rPr>
        <w:t>投标人应根据“政采云供应商项目采购-电子招投标操作指南”及本招标文件规定编制电子</w:t>
      </w:r>
      <w:r>
        <w:rPr>
          <w:sz w:val="24"/>
        </w:rPr>
        <w:t>投标文件并进行关联定位，以便评标委员会在评标时，点击评分项，可直接定位到该评分项内容。</w:t>
      </w:r>
    </w:p>
    <w:p>
      <w:pPr>
        <w:pStyle w:val="19"/>
        <w:numPr>
          <w:ilvl w:val="0"/>
          <w:numId w:val="11"/>
        </w:numPr>
        <w:tabs>
          <w:tab w:val="left" w:pos="1301"/>
        </w:tabs>
        <w:spacing w:before="0" w:after="0" w:line="343" w:lineRule="auto"/>
        <w:ind w:left="219" w:right="448" w:firstLine="480"/>
        <w:jc w:val="left"/>
        <w:rPr>
          <w:sz w:val="24"/>
        </w:rPr>
      </w:pPr>
      <w:r>
        <w:rPr>
          <w:spacing w:val="-1"/>
          <w:sz w:val="24"/>
        </w:rPr>
        <w:t>投标文件以及投标人与采购代理机构就有关投标事宜的所有来往函电，均应以中文汉语书</w:t>
      </w:r>
      <w:r>
        <w:rPr>
          <w:sz w:val="24"/>
        </w:rPr>
        <w:t>写。除签字、盖章、专用名称等特殊情形外，以中文汉语以外的文字表述的投标文件视同未提供。</w:t>
      </w:r>
    </w:p>
    <w:p>
      <w:pPr>
        <w:pStyle w:val="19"/>
        <w:numPr>
          <w:ilvl w:val="0"/>
          <w:numId w:val="11"/>
        </w:numPr>
        <w:tabs>
          <w:tab w:val="left" w:pos="1301"/>
        </w:tabs>
        <w:spacing w:before="0" w:after="0" w:line="343" w:lineRule="auto"/>
        <w:ind w:left="219" w:right="448" w:firstLine="480"/>
        <w:jc w:val="left"/>
        <w:rPr>
          <w:sz w:val="24"/>
        </w:rPr>
      </w:pPr>
      <w:r>
        <w:rPr>
          <w:spacing w:val="-1"/>
          <w:sz w:val="24"/>
        </w:rPr>
        <w:t>投标计量单位，招标文件已有明确规定的，使用招标文件规定的计量单位；招标文件没有</w:t>
      </w:r>
      <w:r>
        <w:rPr>
          <w:sz w:val="24"/>
        </w:rPr>
        <w:t>规定的，应采用中华人民共和国法定计量单位（货币单位：人民币元）。</w:t>
      </w:r>
    </w:p>
    <w:p>
      <w:pPr>
        <w:pStyle w:val="19"/>
        <w:numPr>
          <w:ilvl w:val="0"/>
          <w:numId w:val="11"/>
        </w:numPr>
        <w:tabs>
          <w:tab w:val="left" w:pos="1301"/>
        </w:tabs>
        <w:spacing w:before="0" w:after="0" w:line="306" w:lineRule="exact"/>
        <w:ind w:left="1300" w:right="0" w:hanging="602"/>
        <w:jc w:val="left"/>
        <w:rPr>
          <w:sz w:val="24"/>
        </w:rPr>
      </w:pPr>
      <w:r>
        <w:rPr>
          <w:sz w:val="24"/>
        </w:rPr>
        <w:t>若投标人不按招标文件的要求提供资格审查材料，其责任由投标人自行承担。</w:t>
      </w:r>
    </w:p>
    <w:p>
      <w:pPr>
        <w:pStyle w:val="19"/>
        <w:numPr>
          <w:ilvl w:val="0"/>
          <w:numId w:val="11"/>
        </w:numPr>
        <w:tabs>
          <w:tab w:val="left" w:pos="1301"/>
        </w:tabs>
        <w:spacing w:before="131" w:after="0" w:line="256" w:lineRule="auto"/>
        <w:ind w:left="641" w:right="1648" w:firstLine="57"/>
        <w:jc w:val="left"/>
        <w:rPr>
          <w:b/>
          <w:sz w:val="24"/>
        </w:rPr>
      </w:pPr>
      <w:r>
        <w:rPr>
          <w:spacing w:val="-1"/>
          <w:sz w:val="24"/>
        </w:rPr>
        <w:t>与本次投标无关的内容请不要制作在内，确保投标文件有针对性、简洁明了。</w:t>
      </w:r>
      <w:r>
        <w:rPr>
          <w:b/>
          <w:sz w:val="24"/>
        </w:rPr>
        <w:t>2、投标文件的形式和份数</w:t>
      </w:r>
    </w:p>
    <w:p>
      <w:pPr>
        <w:pStyle w:val="19"/>
        <w:numPr>
          <w:ilvl w:val="0"/>
          <w:numId w:val="12"/>
        </w:numPr>
        <w:tabs>
          <w:tab w:val="left" w:pos="1243"/>
        </w:tabs>
        <w:spacing w:before="136" w:after="0" w:line="240" w:lineRule="auto"/>
        <w:ind w:left="1242" w:right="0" w:hanging="602"/>
        <w:jc w:val="left"/>
        <w:rPr>
          <w:sz w:val="24"/>
        </w:rPr>
      </w:pPr>
      <w:r>
        <w:rPr>
          <w:sz w:val="24"/>
        </w:rPr>
        <w:t>投标文件的形式：见《前附表》；</w:t>
      </w:r>
    </w:p>
    <w:p>
      <w:pPr>
        <w:pStyle w:val="19"/>
        <w:numPr>
          <w:ilvl w:val="0"/>
          <w:numId w:val="12"/>
        </w:numPr>
        <w:tabs>
          <w:tab w:val="left" w:pos="1243"/>
        </w:tabs>
        <w:spacing w:before="160" w:after="0" w:line="364" w:lineRule="auto"/>
        <w:ind w:left="219" w:right="266" w:firstLine="422"/>
        <w:jc w:val="left"/>
        <w:rPr>
          <w:sz w:val="24"/>
        </w:rPr>
      </w:pPr>
      <w:r>
        <w:rPr>
          <w:spacing w:val="-1"/>
          <w:sz w:val="24"/>
        </w:rPr>
        <w:t>“电子加密投标文件”：“电子加密投标文件”是指通过“政采云电子交易客户端”完成投</w:t>
      </w:r>
      <w:r>
        <w:rPr>
          <w:sz w:val="24"/>
        </w:rPr>
        <w:t>标文件编制后生成并加密的数据电文形式的投标文件。</w:t>
      </w:r>
    </w:p>
    <w:p>
      <w:pPr>
        <w:pStyle w:val="19"/>
        <w:numPr>
          <w:ilvl w:val="0"/>
          <w:numId w:val="12"/>
        </w:numPr>
        <w:tabs>
          <w:tab w:val="left" w:pos="1243"/>
        </w:tabs>
        <w:spacing w:before="0" w:after="0" w:line="364" w:lineRule="auto"/>
        <w:ind w:left="219" w:right="266" w:firstLine="422"/>
        <w:jc w:val="left"/>
        <w:rPr>
          <w:sz w:val="24"/>
        </w:rPr>
      </w:pPr>
      <w:r>
        <w:rPr>
          <w:spacing w:val="-1"/>
          <w:sz w:val="24"/>
        </w:rPr>
        <w:t>“备份投标文件”：“备份投标文件”是指与“电子加密投标文件”同时生成的数据电文形</w:t>
      </w:r>
      <w:r>
        <w:rPr>
          <w:sz w:val="24"/>
        </w:rPr>
        <w:t>式的电子文件（备份标书），其他方式编制的“备份投标文件”视为无效的“备份投标文件”。</w:t>
      </w:r>
    </w:p>
    <w:p>
      <w:pPr>
        <w:pStyle w:val="19"/>
        <w:numPr>
          <w:ilvl w:val="0"/>
          <w:numId w:val="12"/>
        </w:numPr>
        <w:tabs>
          <w:tab w:val="left" w:pos="1301"/>
        </w:tabs>
        <w:spacing w:before="111" w:after="0" w:line="343" w:lineRule="auto"/>
        <w:ind w:left="699" w:right="6208" w:firstLine="0"/>
        <w:jc w:val="left"/>
        <w:rPr>
          <w:b/>
          <w:sz w:val="24"/>
        </w:rPr>
      </w:pPr>
      <w:r>
        <w:rPr>
          <w:spacing w:val="-2"/>
          <w:sz w:val="24"/>
        </w:rPr>
        <w:t>投标文件的份数：见《前附表》。</w:t>
      </w:r>
      <w:r>
        <w:rPr>
          <w:b/>
          <w:sz w:val="24"/>
        </w:rPr>
        <w:t>3、投标文件的递交要求</w:t>
      </w:r>
    </w:p>
    <w:p>
      <w:pPr>
        <w:pStyle w:val="19"/>
        <w:numPr>
          <w:ilvl w:val="0"/>
          <w:numId w:val="13"/>
        </w:numPr>
        <w:tabs>
          <w:tab w:val="left" w:pos="1301"/>
        </w:tabs>
        <w:spacing w:before="0" w:after="0" w:line="306" w:lineRule="exact"/>
        <w:ind w:left="1300" w:right="0" w:hanging="602"/>
        <w:jc w:val="left"/>
        <w:rPr>
          <w:sz w:val="24"/>
        </w:rPr>
      </w:pPr>
      <w:r>
        <w:rPr>
          <w:sz w:val="24"/>
        </w:rPr>
        <w:t>投标文件的上传和递交见《前附表》。</w:t>
      </w:r>
    </w:p>
    <w:p>
      <w:pPr>
        <w:pStyle w:val="19"/>
        <w:numPr>
          <w:ilvl w:val="0"/>
          <w:numId w:val="13"/>
        </w:numPr>
        <w:tabs>
          <w:tab w:val="left" w:pos="1301"/>
        </w:tabs>
        <w:spacing w:before="134" w:after="0" w:line="240" w:lineRule="auto"/>
        <w:ind w:left="1300" w:right="0" w:hanging="602"/>
        <w:jc w:val="left"/>
        <w:rPr>
          <w:sz w:val="24"/>
        </w:rPr>
      </w:pPr>
      <w:r>
        <w:rPr>
          <w:sz w:val="24"/>
        </w:rPr>
        <w:t>“电子加密投标文件”解密：见《前附表》。</w:t>
      </w:r>
    </w:p>
    <w:p>
      <w:pPr>
        <w:pStyle w:val="19"/>
        <w:numPr>
          <w:ilvl w:val="0"/>
          <w:numId w:val="13"/>
        </w:numPr>
        <w:tabs>
          <w:tab w:val="left" w:pos="1301"/>
        </w:tabs>
        <w:spacing w:before="132" w:after="0" w:line="240" w:lineRule="auto"/>
        <w:ind w:left="1300" w:right="0" w:hanging="602"/>
        <w:jc w:val="left"/>
        <w:rPr>
          <w:sz w:val="24"/>
        </w:rPr>
      </w:pPr>
      <w:r>
        <w:rPr>
          <w:sz w:val="24"/>
        </w:rPr>
        <w:t>投标文件的补充、修改或撤回</w:t>
      </w:r>
    </w:p>
    <w:p>
      <w:pPr>
        <w:pStyle w:val="8"/>
        <w:spacing w:before="21" w:line="364" w:lineRule="auto"/>
        <w:ind w:left="219" w:right="265" w:firstLine="424"/>
        <w:jc w:val="both"/>
      </w:pPr>
      <w:r>
        <w:t>a、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 将予以拒收。</w:t>
      </w:r>
    </w:p>
    <w:p>
      <w:pPr>
        <w:spacing w:before="0" w:line="362" w:lineRule="auto"/>
        <w:ind w:left="644" w:right="3625" w:firstLine="0"/>
        <w:jc w:val="left"/>
        <w:rPr>
          <w:b/>
          <w:sz w:val="24"/>
        </w:rPr>
      </w:pPr>
      <w:r>
        <w:rPr>
          <w:sz w:val="24"/>
        </w:rPr>
        <w:t>b、投标截止时间后，投标供应商不得撤回、修改《投标文件》。</w:t>
      </w:r>
      <w:r>
        <w:rPr>
          <w:b/>
          <w:sz w:val="24"/>
        </w:rPr>
        <w:t>4、投标文件的备选方案</w:t>
      </w:r>
    </w:p>
    <w:p>
      <w:pPr>
        <w:pStyle w:val="8"/>
        <w:spacing w:before="2" w:line="364" w:lineRule="auto"/>
        <w:ind w:left="219" w:right="505" w:firstLine="424"/>
      </w:pPr>
      <w:r>
        <w:t>（1）投标供应商不得递交任何的投标备选（替代）方案，否则其投标文件将作无效标处理。与“电子加密投标文件”同时生成的“备份投标文件”不是投标备选（替代）方案。</w:t>
      </w:r>
    </w:p>
    <w:p>
      <w:pPr>
        <w:pStyle w:val="7"/>
        <w:spacing w:before="110"/>
        <w:ind w:left="699"/>
      </w:pPr>
      <w:r>
        <w:t>（三）投标文件的有效期</w:t>
      </w:r>
    </w:p>
    <w:p>
      <w:pPr>
        <w:pStyle w:val="8"/>
        <w:spacing w:before="134"/>
        <w:ind w:left="699"/>
      </w:pPr>
      <w:r>
        <w:t>1、自投标截止日起90天投标文件应保持有效。有效期不足的投标文件将被拒绝。</w:t>
      </w:r>
    </w:p>
    <w:p>
      <w:pPr>
        <w:spacing w:after="0"/>
        <w:sectPr>
          <w:pgSz w:w="11910" w:h="16840"/>
          <w:pgMar w:top="1280" w:right="220" w:bottom="980" w:left="580" w:header="0" w:footer="786" w:gutter="0"/>
          <w:pgBorders>
            <w:top w:val="none" w:sz="0" w:space="0"/>
            <w:left w:val="none" w:sz="0" w:space="0"/>
            <w:bottom w:val="none" w:sz="0" w:space="0"/>
            <w:right w:val="none" w:sz="0" w:space="0"/>
          </w:pgBorders>
          <w:cols w:space="720" w:num="1"/>
        </w:sectPr>
      </w:pPr>
    </w:p>
    <w:p>
      <w:pPr>
        <w:pStyle w:val="8"/>
        <w:spacing w:before="54" w:line="343" w:lineRule="auto"/>
        <w:ind w:left="699" w:right="448"/>
      </w:pPr>
      <w:r>
        <w:t>2、在特殊情况下，采购人可与投标人协商延长投标文件的有效期，这种要求和答复均以书面形式进行。</w:t>
      </w:r>
    </w:p>
    <w:p>
      <w:pPr>
        <w:pStyle w:val="8"/>
        <w:spacing w:line="306" w:lineRule="exact"/>
        <w:ind w:left="699"/>
      </w:pPr>
      <w:bookmarkStart w:id="11" w:name="3、中标人的投标文件自开标之日起至合同履行完毕均应保持有效。"/>
      <w:bookmarkEnd w:id="11"/>
      <w:r>
        <w:t>3、中标人的投标文件自开标之日起至合同履行完毕均应保持有效。</w:t>
      </w:r>
    </w:p>
    <w:p>
      <w:pPr>
        <w:pStyle w:val="8"/>
        <w:rPr>
          <w:sz w:val="20"/>
        </w:rPr>
      </w:pPr>
    </w:p>
    <w:p>
      <w:pPr>
        <w:pStyle w:val="8"/>
        <w:spacing w:before="12"/>
        <w:rPr>
          <w:sz w:val="22"/>
        </w:rPr>
      </w:pPr>
    </w:p>
    <w:p>
      <w:pPr>
        <w:spacing w:after="0"/>
        <w:rPr>
          <w:sz w:val="22"/>
        </w:rPr>
        <w:sectPr>
          <w:pgSz w:w="11910" w:h="16840"/>
          <w:pgMar w:top="1380" w:right="220" w:bottom="980" w:left="580" w:header="0" w:footer="786" w:gutter="0"/>
          <w:pgBorders>
            <w:top w:val="none" w:sz="0" w:space="0"/>
            <w:left w:val="none" w:sz="0" w:space="0"/>
            <w:bottom w:val="none" w:sz="0" w:space="0"/>
            <w:right w:val="none" w:sz="0" w:space="0"/>
          </w:pgBorders>
          <w:cols w:space="720" w:num="1"/>
        </w:sectPr>
      </w:pPr>
    </w:p>
    <w:p>
      <w:pPr>
        <w:pStyle w:val="8"/>
        <w:spacing w:before="9"/>
        <w:rPr>
          <w:sz w:val="34"/>
        </w:rPr>
      </w:pPr>
    </w:p>
    <w:p>
      <w:pPr>
        <w:pStyle w:val="7"/>
        <w:ind w:left="699"/>
      </w:pPr>
      <w:r>
        <w:t>（一）开标事项</w:t>
      </w:r>
    </w:p>
    <w:p>
      <w:pPr>
        <w:spacing w:before="62"/>
        <w:ind w:left="699" w:right="0" w:firstLine="0"/>
        <w:jc w:val="left"/>
        <w:rPr>
          <w:b/>
          <w:sz w:val="28"/>
        </w:rPr>
      </w:pPr>
      <w:r>
        <w:br w:type="column"/>
      </w:r>
      <w:r>
        <w:rPr>
          <w:b/>
          <w:sz w:val="28"/>
        </w:rPr>
        <w:t>四、开标</w:t>
      </w:r>
    </w:p>
    <w:p>
      <w:pPr>
        <w:spacing w:after="0"/>
        <w:jc w:val="left"/>
        <w:rPr>
          <w:sz w:val="28"/>
        </w:rPr>
        <w:sectPr>
          <w:type w:val="continuous"/>
          <w:pgSz w:w="11910" w:h="16840"/>
          <w:pgMar w:top="1600" w:right="220" w:bottom="280" w:left="580" w:header="720" w:footer="720" w:gutter="0"/>
          <w:pgBorders>
            <w:top w:val="none" w:sz="0" w:space="0"/>
            <w:left w:val="none" w:sz="0" w:space="0"/>
            <w:bottom w:val="none" w:sz="0" w:space="0"/>
            <w:right w:val="none" w:sz="0" w:space="0"/>
          </w:pgBorders>
          <w:cols w:equalWidth="0" w:num="2">
            <w:col w:w="2424" w:space="1689"/>
            <w:col w:w="6997"/>
          </w:cols>
        </w:sectPr>
      </w:pPr>
    </w:p>
    <w:p>
      <w:pPr>
        <w:pStyle w:val="8"/>
        <w:spacing w:before="159" w:line="364" w:lineRule="auto"/>
        <w:ind w:left="219" w:right="568" w:firstLine="480"/>
      </w:pPr>
      <w:r>
        <w:t>1、 采购组织机构将按照招标文件规定的时间通过“政府采购云平台”组织开标、开启投标文件，所有供应商均应当准时在线参加。</w:t>
      </w:r>
    </w:p>
    <w:p>
      <w:pPr>
        <w:pStyle w:val="8"/>
        <w:spacing w:line="306" w:lineRule="exact"/>
        <w:ind w:left="699"/>
      </w:pPr>
      <w:r>
        <w:t>2、开标的准备工作由采购组织机构负责落实；</w:t>
      </w:r>
    </w:p>
    <w:p>
      <w:pPr>
        <w:pStyle w:val="8"/>
        <w:spacing w:before="160"/>
        <w:ind w:left="699"/>
      </w:pPr>
      <w:r>
        <w:t>3、采购组织机构将按照招标文件规定的时间通过“政府采购云平台”组织开标、开启投标文</w:t>
      </w:r>
    </w:p>
    <w:p>
      <w:pPr>
        <w:pStyle w:val="8"/>
        <w:spacing w:before="158" w:line="364" w:lineRule="auto"/>
        <w:ind w:left="219" w:right="328"/>
        <w:jc w:val="both"/>
      </w:pPr>
      <w:r>
        <w:t>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7"/>
        <w:spacing w:line="362" w:lineRule="auto"/>
        <w:ind w:left="699" w:right="7519"/>
      </w:pPr>
      <w:r>
        <w:t>（二）开标流程（两阶段） 1、开标第一阶段</w:t>
      </w:r>
    </w:p>
    <w:p>
      <w:pPr>
        <w:pStyle w:val="19"/>
        <w:numPr>
          <w:ilvl w:val="0"/>
          <w:numId w:val="14"/>
        </w:numPr>
        <w:tabs>
          <w:tab w:val="left" w:pos="1301"/>
        </w:tabs>
        <w:spacing w:before="5" w:after="0" w:line="364" w:lineRule="auto"/>
        <w:ind w:left="219" w:right="328" w:firstLine="480"/>
        <w:jc w:val="left"/>
        <w:rPr>
          <w:sz w:val="24"/>
        </w:rPr>
      </w:pPr>
      <w:r>
        <w:rPr>
          <w:sz w:val="24"/>
        </w:rPr>
        <w:t>向各投标供应商发出电子加密投标文件【开始解密】通知，由供应商按招标文件规定的时</w:t>
      </w:r>
      <w:r>
        <w:rPr>
          <w:spacing w:val="-1"/>
          <w:sz w:val="24"/>
        </w:rPr>
        <w:t>间内自行进行投标文件解密。投标供应商在规定的时间内无法完成已递交的“电子加密投标文件”解密的，如已按规定递交了备份投标文件的，将由采购组织机构按“政府采购云平台”操作规范将备份</w:t>
      </w:r>
      <w:r>
        <w:rPr>
          <w:sz w:val="24"/>
        </w:rPr>
        <w:t>投标文件上传至“政府采购云平台”，上传成功后，“电子加密投标文件”自动失效；</w:t>
      </w:r>
    </w:p>
    <w:p>
      <w:pPr>
        <w:pStyle w:val="19"/>
        <w:numPr>
          <w:ilvl w:val="0"/>
          <w:numId w:val="14"/>
        </w:numPr>
        <w:tabs>
          <w:tab w:val="left" w:pos="1301"/>
        </w:tabs>
        <w:spacing w:before="0" w:after="0" w:line="364" w:lineRule="auto"/>
        <w:ind w:left="219" w:right="688" w:firstLine="480"/>
        <w:jc w:val="left"/>
        <w:rPr>
          <w:sz w:val="24"/>
        </w:rPr>
      </w:pPr>
      <w:r>
        <w:rPr>
          <w:spacing w:val="-1"/>
          <w:sz w:val="24"/>
        </w:rPr>
        <w:t>投标文件解密结束，通过邮件形式发送各投标人组织签署《政府采购活动现场确认声明</w:t>
      </w:r>
      <w:r>
        <w:rPr>
          <w:sz w:val="24"/>
        </w:rPr>
        <w:t>书》；(详见前附表)</w:t>
      </w:r>
    </w:p>
    <w:p>
      <w:pPr>
        <w:pStyle w:val="19"/>
        <w:numPr>
          <w:ilvl w:val="0"/>
          <w:numId w:val="14"/>
        </w:numPr>
        <w:tabs>
          <w:tab w:val="left" w:pos="1301"/>
        </w:tabs>
        <w:spacing w:before="0" w:after="0" w:line="306" w:lineRule="exact"/>
        <w:ind w:left="1300" w:right="0" w:hanging="602"/>
        <w:jc w:val="left"/>
        <w:rPr>
          <w:sz w:val="24"/>
        </w:rPr>
      </w:pPr>
      <w:r>
        <w:rPr>
          <w:sz w:val="24"/>
        </w:rPr>
        <w:t>开启投标文件，进入资格审查；</w:t>
      </w:r>
    </w:p>
    <w:p>
      <w:pPr>
        <w:pStyle w:val="19"/>
        <w:numPr>
          <w:ilvl w:val="0"/>
          <w:numId w:val="14"/>
        </w:numPr>
        <w:tabs>
          <w:tab w:val="left" w:pos="1301"/>
        </w:tabs>
        <w:spacing w:before="155" w:after="0" w:line="240" w:lineRule="auto"/>
        <w:ind w:left="1300" w:right="0" w:hanging="602"/>
        <w:jc w:val="left"/>
        <w:rPr>
          <w:sz w:val="24"/>
        </w:rPr>
      </w:pPr>
      <w:r>
        <w:rPr>
          <w:sz w:val="24"/>
        </w:rPr>
        <w:t>开启资格审查通过的投标供应商的商务技术文件进入符合性审查、商务技术评审；</w:t>
      </w:r>
    </w:p>
    <w:p>
      <w:pPr>
        <w:pStyle w:val="19"/>
        <w:numPr>
          <w:ilvl w:val="0"/>
          <w:numId w:val="14"/>
        </w:numPr>
        <w:tabs>
          <w:tab w:val="left" w:pos="1301"/>
        </w:tabs>
        <w:spacing w:before="161" w:after="0" w:line="240" w:lineRule="auto"/>
        <w:ind w:left="1300" w:right="0" w:hanging="602"/>
        <w:jc w:val="left"/>
        <w:rPr>
          <w:sz w:val="24"/>
        </w:rPr>
      </w:pPr>
      <w:r>
        <w:rPr>
          <w:sz w:val="24"/>
        </w:rPr>
        <w:t>第一阶段开标结束。</w:t>
      </w:r>
    </w:p>
    <w:p>
      <w:pPr>
        <w:pStyle w:val="8"/>
        <w:spacing w:before="160" w:line="364" w:lineRule="auto"/>
        <w:ind w:left="219" w:right="328" w:firstLine="480"/>
        <w:jc w:val="both"/>
      </w:pPr>
      <w:r>
        <w:t>备注：开标大会的第一阶段结束后，采购人或采购代理机构将对依法对投标供应商的资格进行审查，资格审查结束后进入符合性审查和商务技术的评审工作，具体见本章节“投标供应商资格审查” 相关规定。</w:t>
      </w:r>
    </w:p>
    <w:p>
      <w:pPr>
        <w:pStyle w:val="7"/>
        <w:spacing w:line="305" w:lineRule="exact"/>
        <w:ind w:left="699"/>
      </w:pPr>
      <w:r>
        <w:t>2、开标第二阶段</w:t>
      </w:r>
    </w:p>
    <w:p>
      <w:pPr>
        <w:pStyle w:val="19"/>
        <w:numPr>
          <w:ilvl w:val="0"/>
          <w:numId w:val="15"/>
        </w:numPr>
        <w:tabs>
          <w:tab w:val="left" w:pos="1301"/>
        </w:tabs>
        <w:spacing w:before="161" w:after="0" w:line="364" w:lineRule="auto"/>
        <w:ind w:left="219" w:right="448" w:firstLine="480"/>
        <w:jc w:val="left"/>
        <w:rPr>
          <w:sz w:val="24"/>
        </w:rPr>
      </w:pPr>
      <w:r>
        <w:rPr>
          <w:spacing w:val="-1"/>
          <w:sz w:val="24"/>
        </w:rPr>
        <w:t>符合性审查、商务技术评审结束后，举行开标第二阶段会议。首先公布符合性审查、商务</w:t>
      </w:r>
      <w:r>
        <w:rPr>
          <w:sz w:val="24"/>
        </w:rPr>
        <w:t>技术评审无效供应商名称及理由；公布经商务技术评审后有效投标供应商的名单。</w:t>
      </w:r>
    </w:p>
    <w:p>
      <w:pPr>
        <w:pStyle w:val="19"/>
        <w:numPr>
          <w:ilvl w:val="0"/>
          <w:numId w:val="15"/>
        </w:numPr>
        <w:tabs>
          <w:tab w:val="left" w:pos="1301"/>
        </w:tabs>
        <w:spacing w:before="0" w:after="0" w:line="306" w:lineRule="exact"/>
        <w:ind w:left="1300" w:right="0" w:hanging="602"/>
        <w:jc w:val="left"/>
        <w:rPr>
          <w:sz w:val="24"/>
        </w:rPr>
      </w:pPr>
      <w:r>
        <w:rPr>
          <w:sz w:val="24"/>
        </w:rPr>
        <w:t>开启符合性审查、商务技术评审有效投标供应商的《报价文件》，同时当场制作开标记录</w:t>
      </w:r>
    </w:p>
    <w:p>
      <w:pPr>
        <w:spacing w:after="0" w:line="306" w:lineRule="exact"/>
        <w:jc w:val="left"/>
        <w:rPr>
          <w:sz w:val="24"/>
        </w:rPr>
        <w:sectPr>
          <w:type w:val="continuous"/>
          <w:pgSz w:w="11910" w:h="16840"/>
          <w:pgMar w:top="1600" w:right="220" w:bottom="280" w:left="580" w:header="720" w:footer="720" w:gutter="0"/>
          <w:pgBorders>
            <w:top w:val="none" w:sz="0" w:space="0"/>
            <w:left w:val="none" w:sz="0" w:space="0"/>
            <w:bottom w:val="none" w:sz="0" w:space="0"/>
            <w:right w:val="none" w:sz="0" w:space="0"/>
          </w:pgBorders>
          <w:cols w:space="720" w:num="1"/>
        </w:sectPr>
      </w:pPr>
    </w:p>
    <w:p>
      <w:pPr>
        <w:pStyle w:val="8"/>
        <w:spacing w:before="41"/>
        <w:ind w:left="219"/>
      </w:pPr>
      <w:r>
        <w:t>表。唱标结束后，由评标委员会对报价的合理性、准确性等进行审查核实。</w:t>
      </w:r>
    </w:p>
    <w:p>
      <w:pPr>
        <w:pStyle w:val="19"/>
        <w:numPr>
          <w:ilvl w:val="0"/>
          <w:numId w:val="15"/>
        </w:numPr>
        <w:tabs>
          <w:tab w:val="left" w:pos="1301"/>
        </w:tabs>
        <w:spacing w:before="160" w:after="0" w:line="362" w:lineRule="auto"/>
        <w:ind w:left="219" w:right="448" w:firstLine="480"/>
        <w:jc w:val="left"/>
        <w:rPr>
          <w:sz w:val="24"/>
        </w:rPr>
      </w:pPr>
      <w:r>
        <w:rPr>
          <w:sz w:val="24"/>
        </w:rPr>
        <w:t>评审结束后，公布中标（成交）</w:t>
      </w:r>
      <w:r>
        <w:rPr>
          <w:spacing w:val="-1"/>
          <w:sz w:val="24"/>
        </w:rPr>
        <w:t>候选供应商名单，及采购人最终确定中标或成交供应商名</w:t>
      </w:r>
      <w:r>
        <w:rPr>
          <w:sz w:val="24"/>
        </w:rPr>
        <w:t>单的时间和公告方式等。</w:t>
      </w:r>
    </w:p>
    <w:p>
      <w:pPr>
        <w:pStyle w:val="8"/>
        <w:spacing w:before="5"/>
        <w:ind w:left="699"/>
      </w:pPr>
      <w:r>
        <w:t>特别说明：如遇“政府采购云平台”电子化开标或评审程序调整的，按调整后程序执行。</w:t>
      </w:r>
    </w:p>
    <w:p>
      <w:pPr>
        <w:pStyle w:val="7"/>
        <w:spacing w:before="158"/>
        <w:ind w:left="699"/>
      </w:pPr>
      <w:r>
        <w:t>（三）投标供应商资格审查</w:t>
      </w:r>
    </w:p>
    <w:p>
      <w:pPr>
        <w:pStyle w:val="8"/>
        <w:spacing w:before="161"/>
        <w:ind w:left="699"/>
      </w:pPr>
      <w:r>
        <w:t>1、开标大会第一阶段结束后，采购人或采购代理机构首先依法对各投标供应商的资格进行审</w:t>
      </w:r>
    </w:p>
    <w:p>
      <w:pPr>
        <w:pStyle w:val="8"/>
        <w:spacing w:before="158" w:line="364" w:lineRule="auto"/>
        <w:ind w:left="219" w:right="328"/>
        <w:jc w:val="both"/>
      </w:pPr>
      <w:r>
        <w:t>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8"/>
        <w:spacing w:line="307" w:lineRule="exact"/>
        <w:ind w:left="699"/>
      </w:pPr>
      <w:r>
        <w:t>2、投标供应商提交的资格证明材料无法证明其符合招标文件规定的“投标供应商资格要求”</w:t>
      </w:r>
    </w:p>
    <w:p>
      <w:pPr>
        <w:pStyle w:val="8"/>
        <w:spacing w:before="158" w:line="364" w:lineRule="auto"/>
        <w:ind w:left="219" w:right="328"/>
      </w:pPr>
      <w:r>
        <w:t>的，采购人或采购代理机构将对其作资格审查不通过处理（无效投标），并不再将其投标提交评标委员会进行后续评审。</w:t>
      </w:r>
    </w:p>
    <w:p>
      <w:pPr>
        <w:pStyle w:val="8"/>
        <w:spacing w:before="1" w:line="362" w:lineRule="auto"/>
        <w:ind w:left="219" w:right="448" w:firstLine="480"/>
      </w:pPr>
      <w:r>
        <w:t>3、单位负责人为同一人或者存在直接控股、管理关系的不同供应商参加同一合同项下的政府采购活动的，相关投标供应商均作资格无效处理。</w:t>
      </w:r>
    </w:p>
    <w:p>
      <w:pPr>
        <w:pStyle w:val="8"/>
        <w:rPr>
          <w:sz w:val="20"/>
        </w:rPr>
      </w:pPr>
    </w:p>
    <w:p>
      <w:pPr>
        <w:pStyle w:val="8"/>
        <w:rPr>
          <w:sz w:val="20"/>
        </w:rPr>
      </w:pPr>
    </w:p>
    <w:p>
      <w:pPr>
        <w:pStyle w:val="6"/>
        <w:spacing w:before="199"/>
        <w:ind w:left="4812"/>
      </w:pPr>
      <w:r>
        <w:t>五、评标</w:t>
      </w:r>
    </w:p>
    <w:p>
      <w:pPr>
        <w:pStyle w:val="7"/>
        <w:spacing w:before="125"/>
      </w:pPr>
      <w:bookmarkStart w:id="12" w:name="（一）组建评标委员会"/>
      <w:bookmarkEnd w:id="12"/>
      <w:r>
        <w:t>（一）组建评标委员会</w:t>
      </w:r>
    </w:p>
    <w:p>
      <w:pPr>
        <w:pStyle w:val="8"/>
        <w:spacing w:before="132"/>
        <w:ind w:left="1032"/>
      </w:pPr>
      <w:r>
        <w:t>评标委员会由采购人依法组建。</w:t>
      </w:r>
    </w:p>
    <w:p>
      <w:pPr>
        <w:pStyle w:val="7"/>
        <w:spacing w:before="132"/>
      </w:pPr>
      <w:bookmarkStart w:id="13" w:name="（二）评标程序"/>
      <w:bookmarkEnd w:id="13"/>
      <w:r>
        <w:t>（二）评标程序</w:t>
      </w:r>
    </w:p>
    <w:p>
      <w:pPr>
        <w:pStyle w:val="8"/>
        <w:spacing w:before="23" w:line="362" w:lineRule="auto"/>
        <w:ind w:left="699" w:right="4528"/>
      </w:pPr>
      <w:r>
        <w:t>1、投标文件初审。初审分为资格性检查和符合性检查。资格性检查。</w:t>
      </w:r>
    </w:p>
    <w:p>
      <w:pPr>
        <w:pStyle w:val="8"/>
        <w:spacing w:before="5" w:line="364" w:lineRule="auto"/>
        <w:ind w:left="219" w:right="328" w:firstLine="480"/>
        <w:jc w:val="both"/>
      </w:pPr>
      <w:r>
        <w:t>开标后，采购人或采购代理机构将对投标人的资格条件进行审查。投标人未按照采购文件要求提供与基本资格条件、特定资格条件相应的有效资格证明材料的，视为投标人不具备采购文件中规定的资格要求，其资格审查不通过。</w:t>
      </w:r>
    </w:p>
    <w:p>
      <w:pPr>
        <w:pStyle w:val="8"/>
        <w:spacing w:line="362" w:lineRule="auto"/>
        <w:ind w:left="219" w:right="328" w:firstLine="480"/>
      </w:pPr>
      <w:r>
        <w:t>符合性检查。依据采购文件的规定，从投标文件的有效性、完整性和对采购文件的响应程度进行审查，以确定是否对采购文件的实质性要求作出响应。</w:t>
      </w:r>
    </w:p>
    <w:p>
      <w:pPr>
        <w:pStyle w:val="8"/>
        <w:spacing w:before="5" w:line="364" w:lineRule="auto"/>
        <w:ind w:left="219" w:right="328" w:firstLine="480"/>
      </w:pPr>
      <w:r>
        <w:t>评标委员会决定投标文件的响应性只根据投标文件本身的内容，而不寻求外部证据。 如果投标文件没有实质上响应采购文件的要求，评标委员会将判定无效，投标人不得通过修改或撤销不合要求的偏离或保留而使其投标成为实质性响应的投标。</w:t>
      </w:r>
    </w:p>
    <w:p>
      <w:pPr>
        <w:pStyle w:val="8"/>
        <w:spacing w:line="305" w:lineRule="exact"/>
        <w:ind w:left="699"/>
      </w:pPr>
      <w:r>
        <w:t>2、澄清有关问题。在评标期间，对投标文件中含义不明确、同类问题表述不一致或者有明显文</w:t>
      </w:r>
    </w:p>
    <w:p>
      <w:pPr>
        <w:spacing w:after="0" w:line="305" w:lineRule="exact"/>
        <w:sectPr>
          <w:pgSz w:w="11910" w:h="16840"/>
          <w:pgMar w:top="1280" w:right="220" w:bottom="980" w:left="580" w:header="0" w:footer="786" w:gutter="0"/>
          <w:pgBorders>
            <w:top w:val="none" w:sz="0" w:space="0"/>
            <w:left w:val="none" w:sz="0" w:space="0"/>
            <w:bottom w:val="none" w:sz="0" w:space="0"/>
            <w:right w:val="none" w:sz="0" w:space="0"/>
          </w:pgBorders>
          <w:cols w:space="720" w:num="1"/>
        </w:sectPr>
      </w:pPr>
    </w:p>
    <w:p>
      <w:pPr>
        <w:pStyle w:val="8"/>
        <w:spacing w:before="41" w:line="364" w:lineRule="auto"/>
        <w:ind w:left="219" w:right="328"/>
      </w:pPr>
      <w:r>
        <w:t xml:space="preserve">字和计算错误的内容，评标委员会可以书面形式（或有效电子数据电文）要求投标人作出必要的澄 </w:t>
      </w:r>
      <w:r>
        <w:rPr>
          <w:spacing w:val="-1"/>
        </w:rPr>
        <w:t>清、说明或者纠正。投标人的澄清、说明或者补正不得超出投标文件的范围或者改变投标文件的实质</w:t>
      </w:r>
      <w:r>
        <w:t>性内容。</w:t>
      </w:r>
    </w:p>
    <w:p>
      <w:pPr>
        <w:pStyle w:val="8"/>
        <w:spacing w:line="362" w:lineRule="auto"/>
        <w:ind w:left="219" w:right="448" w:firstLine="480"/>
      </w:pPr>
      <w:r>
        <w:t>投标供应商的澄清、说明或者补正应当由法定代表人或其授权的代表签字（或加盖公章） 后扫描上传提交。</w:t>
      </w:r>
    </w:p>
    <w:p>
      <w:pPr>
        <w:pStyle w:val="8"/>
        <w:spacing w:before="4" w:line="362" w:lineRule="auto"/>
        <w:ind w:left="219" w:right="328" w:firstLine="480"/>
      </w:pPr>
      <w:r>
        <w:t>授权代表对澄清、说明或者补正内容未签字确认的，将自行承担由此可能导致的对其不利的评审结果，评标委员会按少数服从多数原则对相关内容进行评判。</w:t>
      </w:r>
    </w:p>
    <w:p>
      <w:pPr>
        <w:pStyle w:val="8"/>
        <w:spacing w:before="5" w:line="364" w:lineRule="auto"/>
        <w:ind w:left="219" w:right="328" w:firstLine="480"/>
      </w:pPr>
      <w:r>
        <w:t>除邮件交互外，如政采云平台提供信息发布、澄清说明、数据交换等操作方式的，或者政采云系统平台有新的操作流程的，按其规定。</w:t>
      </w:r>
    </w:p>
    <w:p>
      <w:pPr>
        <w:pStyle w:val="8"/>
        <w:spacing w:before="66"/>
        <w:ind w:left="1032"/>
      </w:pPr>
      <w:r>
        <w:t>3、错误修正</w:t>
      </w:r>
    </w:p>
    <w:p>
      <w:pPr>
        <w:pStyle w:val="8"/>
        <w:spacing w:before="91" w:line="299" w:lineRule="exact"/>
        <w:ind w:left="1032"/>
      </w:pPr>
      <w:r>
        <w:t>投标文件报价出现前后不一致的，按照下列规定修正：</w:t>
      </w:r>
    </w:p>
    <w:p>
      <w:pPr>
        <w:pStyle w:val="19"/>
        <w:numPr>
          <w:ilvl w:val="1"/>
          <w:numId w:val="15"/>
        </w:numPr>
        <w:tabs>
          <w:tab w:val="left" w:pos="1604"/>
        </w:tabs>
        <w:spacing w:before="64" w:after="0" w:line="184" w:lineRule="auto"/>
        <w:ind w:left="552" w:right="1137" w:firstLine="636"/>
        <w:jc w:val="left"/>
        <w:rPr>
          <w:sz w:val="24"/>
        </w:rPr>
      </w:pPr>
      <w:r>
        <w:rPr>
          <w:spacing w:val="-3"/>
          <w:sz w:val="24"/>
        </w:rPr>
        <w:t>投标文件中开标一览表(报价表)内容与投标文件中相应内容不一致的，以开标一</w:t>
      </w:r>
      <w:r>
        <w:rPr>
          <w:spacing w:val="-2"/>
          <w:sz w:val="24"/>
        </w:rPr>
        <w:t>览表(报价表)为准；</w:t>
      </w:r>
    </w:p>
    <w:p>
      <w:pPr>
        <w:pStyle w:val="19"/>
        <w:numPr>
          <w:ilvl w:val="1"/>
          <w:numId w:val="15"/>
        </w:numPr>
        <w:tabs>
          <w:tab w:val="left" w:pos="1604"/>
        </w:tabs>
        <w:spacing w:before="8" w:after="0" w:line="422" w:lineRule="exact"/>
        <w:ind w:left="1604" w:right="0" w:hanging="416"/>
        <w:jc w:val="left"/>
        <w:rPr>
          <w:sz w:val="24"/>
        </w:rPr>
      </w:pPr>
      <w:r>
        <w:rPr>
          <w:sz w:val="24"/>
        </w:rPr>
        <w:t>大写金额和小写金额不一致的，以大写金额为准；</w:t>
      </w:r>
    </w:p>
    <w:p>
      <w:pPr>
        <w:pStyle w:val="19"/>
        <w:numPr>
          <w:ilvl w:val="1"/>
          <w:numId w:val="15"/>
        </w:numPr>
        <w:tabs>
          <w:tab w:val="left" w:pos="1604"/>
        </w:tabs>
        <w:spacing w:before="0" w:after="0" w:line="400" w:lineRule="exact"/>
        <w:ind w:left="1604" w:right="0" w:hanging="416"/>
        <w:jc w:val="left"/>
        <w:rPr>
          <w:sz w:val="24"/>
        </w:rPr>
      </w:pPr>
      <w:r>
        <w:rPr>
          <w:spacing w:val="-10"/>
          <w:sz w:val="24"/>
        </w:rPr>
        <w:t>单价金额小数点或者百分比有明显错位的，以开标一览表的总价为准，并修改单价；</w:t>
      </w:r>
    </w:p>
    <w:p>
      <w:pPr>
        <w:pStyle w:val="19"/>
        <w:numPr>
          <w:ilvl w:val="1"/>
          <w:numId w:val="15"/>
        </w:numPr>
        <w:tabs>
          <w:tab w:val="left" w:pos="1604"/>
        </w:tabs>
        <w:spacing w:before="0" w:after="0" w:line="391" w:lineRule="exact"/>
        <w:ind w:left="1604" w:right="0" w:hanging="416"/>
        <w:jc w:val="left"/>
        <w:rPr>
          <w:sz w:val="24"/>
        </w:rPr>
      </w:pPr>
      <w:r>
        <w:rPr>
          <w:sz w:val="24"/>
        </w:rPr>
        <w:t>总价金额与按单价汇总金额不一致的，以单价金额计算结果为准。</w:t>
      </w:r>
    </w:p>
    <w:p>
      <w:pPr>
        <w:pStyle w:val="8"/>
        <w:spacing w:line="218" w:lineRule="auto"/>
        <w:ind w:left="552" w:right="909" w:firstLine="480"/>
        <w:jc w:val="both"/>
      </w:pPr>
      <w:r>
        <w:t>同时出现两种以上不一致的，按照前款规定的顺序修正。修正后的报价按照财政部公布第 87 号令 《政府采购货物和服务招标投标管理办法》第五十一条第二款的规定经投标人确认后产生约束力，投标人不确认的，其投标无效。</w:t>
      </w:r>
    </w:p>
    <w:p>
      <w:pPr>
        <w:pStyle w:val="8"/>
        <w:spacing w:before="72" w:line="307" w:lineRule="exact"/>
        <w:ind w:left="1032"/>
      </w:pPr>
      <w:r>
        <w:t>4、比较与评价。</w:t>
      </w:r>
    </w:p>
    <w:p>
      <w:pPr>
        <w:pStyle w:val="8"/>
        <w:spacing w:before="21" w:line="218" w:lineRule="auto"/>
        <w:ind w:left="552" w:right="955" w:firstLine="480"/>
      </w:pPr>
      <w:r>
        <w:t>按采购文件中规定的评标方法和标准，对资格性检查和符合性检查合格的投标文件进行商务和技术评估，综合比较与评价。</w:t>
      </w:r>
    </w:p>
    <w:p>
      <w:pPr>
        <w:pStyle w:val="8"/>
        <w:spacing w:before="77"/>
        <w:ind w:left="1032"/>
      </w:pPr>
      <w:r>
        <w:t>5、按采购文件中规定的评标方法和标准，对投标人进行排序，并推荐中标候选人。</w:t>
      </w:r>
    </w:p>
    <w:p>
      <w:pPr>
        <w:pStyle w:val="8"/>
        <w:spacing w:before="102"/>
        <w:ind w:left="1032"/>
        <w:rPr>
          <w:b/>
        </w:rPr>
      </w:pPr>
      <w:r>
        <w:t>6、编写评标报告</w:t>
      </w:r>
      <w:r>
        <w:rPr>
          <w:b/>
        </w:rPr>
        <w:t>。</w:t>
      </w:r>
    </w:p>
    <w:p>
      <w:pPr>
        <w:pStyle w:val="7"/>
        <w:spacing w:before="125"/>
      </w:pPr>
      <w:bookmarkStart w:id="14" w:name="5、评价"/>
      <w:bookmarkEnd w:id="14"/>
      <w:r>
        <w:t>5、评价</w:t>
      </w:r>
    </w:p>
    <w:p>
      <w:pPr>
        <w:pStyle w:val="8"/>
        <w:spacing w:before="132"/>
        <w:ind w:left="1032"/>
      </w:pPr>
      <w:r>
        <w:t>采购代理机构对评标委员会评审专家进行评价。</w:t>
      </w:r>
    </w:p>
    <w:p>
      <w:pPr>
        <w:spacing w:before="1" w:line="440" w:lineRule="atLeast"/>
        <w:ind w:left="1032" w:right="5258" w:firstLine="0"/>
        <w:jc w:val="left"/>
        <w:rPr>
          <w:sz w:val="24"/>
        </w:rPr>
      </w:pPr>
      <w:bookmarkStart w:id="15" w:name="（三）投标人存在下列情况之一的，投标无效"/>
      <w:bookmarkEnd w:id="15"/>
      <w:r>
        <w:rPr>
          <w:b/>
          <w:sz w:val="24"/>
        </w:rPr>
        <w:t>（三）投标人存在下列情况之一的，投标无效</w:t>
      </w:r>
      <w:r>
        <w:rPr>
          <w:sz w:val="24"/>
        </w:rPr>
        <w:t>1、未按时上传电子投标文件的；</w:t>
      </w:r>
    </w:p>
    <w:p>
      <w:pPr>
        <w:pStyle w:val="8"/>
        <w:spacing w:before="18"/>
        <w:ind w:left="552" w:right="1051" w:firstLine="480"/>
      </w:pPr>
      <w:r>
        <w:t>2</w:t>
      </w:r>
      <w:r>
        <w:rPr>
          <w:spacing w:val="-13"/>
        </w:rPr>
        <w:t>、未按时解密电子投标文件的且未提供备份投标文件或未按时解密电子投标文件的且提供</w:t>
      </w:r>
      <w:r>
        <w:t>的备份投标文件无法打开的；</w:t>
      </w:r>
    </w:p>
    <w:p>
      <w:pPr>
        <w:pStyle w:val="8"/>
        <w:spacing w:before="117"/>
        <w:ind w:left="1032"/>
      </w:pPr>
      <w:r>
        <w:t>3、在资格证明文件或商务技术文件中出现投标报价的；</w:t>
      </w:r>
    </w:p>
    <w:p>
      <w:pPr>
        <w:pStyle w:val="8"/>
        <w:spacing w:before="132"/>
        <w:ind w:left="1032"/>
      </w:pPr>
      <w:r>
        <w:t>4、报价文件中报价的货物跟商务技术文件中的投标货物出现重大偏差的；</w:t>
      </w:r>
    </w:p>
    <w:p>
      <w:pPr>
        <w:pStyle w:val="8"/>
        <w:spacing w:before="132"/>
        <w:ind w:left="1032"/>
      </w:pPr>
      <w:r>
        <w:t>5、不具备招标文件中规定的资格要求的或资格证明文件提供不齐全的；</w:t>
      </w:r>
    </w:p>
    <w:p>
      <w:pPr>
        <w:pStyle w:val="8"/>
        <w:spacing w:before="134"/>
        <w:ind w:left="1032"/>
      </w:pPr>
      <w:r>
        <w:t>6、投标文件含有采购人不能接受的附加条件的；</w:t>
      </w:r>
    </w:p>
    <w:p>
      <w:pPr>
        <w:pStyle w:val="8"/>
        <w:spacing w:before="19"/>
        <w:ind w:left="552" w:right="907" w:firstLine="480"/>
      </w:pPr>
      <w:r>
        <w:t>7</w:t>
      </w:r>
      <w:r>
        <w:rPr>
          <w:spacing w:val="-10"/>
        </w:rPr>
        <w:t>、评标委员会认为投标人的报价明显低于其他通过符合性审查投标人的报价，有可能影响产品质量或者不能诚信履约的，应当要求其在评标现场合理的时间内提供书面说明，必要时</w:t>
      </w:r>
    </w:p>
    <w:p>
      <w:pPr>
        <w:spacing w:after="0"/>
        <w:sectPr>
          <w:pgSz w:w="11910" w:h="16840"/>
          <w:pgMar w:top="1280" w:right="220" w:bottom="980" w:left="580" w:header="0" w:footer="786" w:gutter="0"/>
          <w:pgBorders>
            <w:top w:val="none" w:sz="0" w:space="0"/>
            <w:left w:val="none" w:sz="0" w:space="0"/>
            <w:bottom w:val="none" w:sz="0" w:space="0"/>
            <w:right w:val="none" w:sz="0" w:space="0"/>
          </w:pgBorders>
          <w:cols w:space="720" w:num="1"/>
        </w:sectPr>
      </w:pPr>
    </w:p>
    <w:p>
      <w:pPr>
        <w:pStyle w:val="8"/>
        <w:spacing w:before="38"/>
        <w:ind w:left="552" w:right="907"/>
      </w:pPr>
      <w:r>
        <w:t>提交相关证明材料；投标人不能证明其报价合理性的，评标委员会应当将其作为无效投标处理；</w:t>
      </w:r>
    </w:p>
    <w:p>
      <w:pPr>
        <w:pStyle w:val="8"/>
        <w:spacing w:before="7"/>
        <w:ind w:left="1032"/>
      </w:pPr>
      <w:r>
        <w:t>8、报价超过招标文件中规定的预算金额或最高限价；</w:t>
      </w:r>
    </w:p>
    <w:p>
      <w:pPr>
        <w:pStyle w:val="8"/>
        <w:spacing w:before="124" w:line="242" w:lineRule="auto"/>
        <w:ind w:left="552" w:right="909" w:firstLine="480"/>
        <w:jc w:val="both"/>
      </w:pPr>
      <w:r>
        <w:t>9</w:t>
      </w:r>
      <w:r>
        <w:rPr>
          <w:spacing w:val="-10"/>
        </w:rPr>
        <w:t>、未实质性响应招标文件要求或者投标文件有采购人不能接受的附加条件的或者明显不符合招标文件要求的技术参数、质量标准，或者与招标文件中的技术指标、主要功能项目发生实质性偏离的；</w:t>
      </w:r>
    </w:p>
    <w:p>
      <w:pPr>
        <w:pStyle w:val="8"/>
        <w:spacing w:before="110"/>
        <w:ind w:left="1032"/>
      </w:pPr>
      <w:r>
        <w:t>10、投标文件提供虚假材料的；</w:t>
      </w:r>
    </w:p>
    <w:p>
      <w:pPr>
        <w:pStyle w:val="8"/>
        <w:spacing w:before="19"/>
        <w:ind w:left="552" w:right="955" w:firstLine="480"/>
      </w:pPr>
      <w:r>
        <w:t>11、符合中华人民共和国财政部令第87号《政府采购货物和服务招标投标管理办法》第三十七条情形之一的，视为投标人串通投标，其投标无效，并移送采购监管部门：</w:t>
      </w:r>
    </w:p>
    <w:p>
      <w:pPr>
        <w:pStyle w:val="19"/>
        <w:numPr>
          <w:ilvl w:val="0"/>
          <w:numId w:val="16"/>
        </w:numPr>
        <w:tabs>
          <w:tab w:val="left" w:pos="1657"/>
        </w:tabs>
        <w:spacing w:before="64" w:after="0" w:line="240" w:lineRule="auto"/>
        <w:ind w:left="1656" w:right="0" w:hanging="627"/>
        <w:jc w:val="left"/>
        <w:rPr>
          <w:sz w:val="24"/>
        </w:rPr>
      </w:pPr>
      <w:r>
        <w:rPr>
          <w:sz w:val="24"/>
        </w:rPr>
        <w:t>不同投标人的投标文件由同一单位或者个人编制；</w:t>
      </w:r>
    </w:p>
    <w:p>
      <w:pPr>
        <w:pStyle w:val="19"/>
        <w:numPr>
          <w:ilvl w:val="0"/>
          <w:numId w:val="16"/>
        </w:numPr>
        <w:tabs>
          <w:tab w:val="left" w:pos="1657"/>
        </w:tabs>
        <w:spacing w:before="36" w:after="0" w:line="240" w:lineRule="auto"/>
        <w:ind w:left="1656" w:right="0" w:hanging="627"/>
        <w:jc w:val="left"/>
        <w:rPr>
          <w:sz w:val="24"/>
        </w:rPr>
      </w:pPr>
      <w:r>
        <w:rPr>
          <w:sz w:val="24"/>
        </w:rPr>
        <w:t>不同投标人委托同一单位或者个人办理投标事宜；</w:t>
      </w:r>
    </w:p>
    <w:p>
      <w:pPr>
        <w:pStyle w:val="19"/>
        <w:numPr>
          <w:ilvl w:val="0"/>
          <w:numId w:val="16"/>
        </w:numPr>
        <w:tabs>
          <w:tab w:val="left" w:pos="1657"/>
        </w:tabs>
        <w:spacing w:before="34" w:after="0" w:line="240" w:lineRule="auto"/>
        <w:ind w:left="1656" w:right="0" w:hanging="627"/>
        <w:jc w:val="left"/>
        <w:rPr>
          <w:sz w:val="24"/>
        </w:rPr>
      </w:pPr>
      <w:r>
        <w:rPr>
          <w:sz w:val="24"/>
        </w:rPr>
        <w:t>不同投标人的投标文件载明的项目管理成员或者联系人员为同一人；</w:t>
      </w:r>
    </w:p>
    <w:p>
      <w:pPr>
        <w:pStyle w:val="19"/>
        <w:numPr>
          <w:ilvl w:val="0"/>
          <w:numId w:val="16"/>
        </w:numPr>
        <w:tabs>
          <w:tab w:val="left" w:pos="1657"/>
        </w:tabs>
        <w:spacing w:before="34" w:after="0" w:line="240" w:lineRule="auto"/>
        <w:ind w:left="1656" w:right="0" w:hanging="627"/>
        <w:jc w:val="left"/>
        <w:rPr>
          <w:sz w:val="24"/>
        </w:rPr>
      </w:pPr>
      <w:r>
        <w:rPr>
          <w:sz w:val="24"/>
        </w:rPr>
        <w:t>不同投标人的投标文件异常一致或者投标报价呈规律性差异；</w:t>
      </w:r>
    </w:p>
    <w:p>
      <w:pPr>
        <w:pStyle w:val="19"/>
        <w:numPr>
          <w:ilvl w:val="0"/>
          <w:numId w:val="16"/>
        </w:numPr>
        <w:tabs>
          <w:tab w:val="left" w:pos="1657"/>
        </w:tabs>
        <w:spacing w:before="34" w:after="0" w:line="392" w:lineRule="exact"/>
        <w:ind w:left="1656" w:right="0" w:hanging="627"/>
        <w:jc w:val="left"/>
        <w:rPr>
          <w:sz w:val="24"/>
        </w:rPr>
      </w:pPr>
      <w:r>
        <w:rPr>
          <w:sz w:val="24"/>
        </w:rPr>
        <w:t>不同投标人的投标文件相互混装；</w:t>
      </w:r>
    </w:p>
    <w:p>
      <w:pPr>
        <w:pStyle w:val="8"/>
        <w:ind w:left="552" w:right="955" w:firstLine="480"/>
      </w:pPr>
      <w:r>
        <w:t>12、不符合法律、法规和招标文件中规定的其他实质性要求的（招标文件中打“▲”内容及被拒绝的条款）。</w:t>
      </w:r>
    </w:p>
    <w:p>
      <w:pPr>
        <w:pStyle w:val="7"/>
        <w:spacing w:before="101"/>
      </w:pPr>
      <w:bookmarkStart w:id="16" w:name="（四）有下列情况之一的，本次招标作为废标处理"/>
      <w:bookmarkEnd w:id="16"/>
      <w:r>
        <w:t>（四）有下列情况之一的，本次招标作为废标处理</w:t>
      </w:r>
    </w:p>
    <w:p>
      <w:pPr>
        <w:pStyle w:val="8"/>
        <w:spacing w:before="132"/>
        <w:ind w:left="1032"/>
      </w:pPr>
      <w:r>
        <w:t>1、符合专业条件的供应商或者对招标文件作实质响应的供应商不足三家的；</w:t>
      </w:r>
    </w:p>
    <w:p>
      <w:pPr>
        <w:pStyle w:val="8"/>
        <w:spacing w:before="131"/>
        <w:ind w:left="1032"/>
      </w:pPr>
      <w:r>
        <w:t>2、出现影响采购公正的违法、违规行为的；</w:t>
      </w:r>
    </w:p>
    <w:p>
      <w:pPr>
        <w:pStyle w:val="8"/>
        <w:spacing w:before="134"/>
        <w:ind w:left="1032"/>
      </w:pPr>
      <w:r>
        <w:t>3、因重大变故，采购任务取消的；</w:t>
      </w:r>
    </w:p>
    <w:p>
      <w:pPr>
        <w:pStyle w:val="8"/>
        <w:spacing w:before="132"/>
        <w:ind w:left="1032"/>
      </w:pPr>
      <w:r>
        <w:t>4、法律、法规和招标文件规定的其他导致评标结果无效的。</w:t>
      </w:r>
    </w:p>
    <w:p>
      <w:pPr>
        <w:pStyle w:val="8"/>
        <w:spacing w:before="21" w:line="242" w:lineRule="auto"/>
        <w:ind w:left="552" w:right="988" w:firstLine="480"/>
      </w:pPr>
      <w:r>
        <w:rPr>
          <w:b/>
        </w:rPr>
        <w:t>（五</w:t>
      </w:r>
      <w:r>
        <w:rPr>
          <w:b/>
          <w:spacing w:val="-3"/>
        </w:rPr>
        <w:t>）</w:t>
      </w:r>
      <w:r>
        <w:rPr>
          <w:spacing w:val="-3"/>
        </w:rPr>
        <w:t>采购过程中出现以下情形，导致电子交易平台无法正常运行，或者无法保证电子交易的公平、公正和安全时，采购组织机构可中止电子交易活动：</w:t>
      </w:r>
    </w:p>
    <w:p>
      <w:pPr>
        <w:pStyle w:val="19"/>
        <w:numPr>
          <w:ilvl w:val="0"/>
          <w:numId w:val="17"/>
        </w:numPr>
        <w:tabs>
          <w:tab w:val="left" w:pos="1657"/>
        </w:tabs>
        <w:spacing w:before="59" w:after="0" w:line="240" w:lineRule="auto"/>
        <w:ind w:left="1656" w:right="0" w:hanging="627"/>
        <w:jc w:val="left"/>
        <w:rPr>
          <w:sz w:val="24"/>
        </w:rPr>
      </w:pPr>
      <w:r>
        <w:rPr>
          <w:sz w:val="24"/>
        </w:rPr>
        <w:t>电子交易平台发生故障而无法登录访问的；</w:t>
      </w:r>
    </w:p>
    <w:p>
      <w:pPr>
        <w:pStyle w:val="19"/>
        <w:numPr>
          <w:ilvl w:val="0"/>
          <w:numId w:val="17"/>
        </w:numPr>
        <w:tabs>
          <w:tab w:val="left" w:pos="1657"/>
        </w:tabs>
        <w:spacing w:before="36" w:after="0" w:line="240" w:lineRule="auto"/>
        <w:ind w:left="1656" w:right="0" w:hanging="627"/>
        <w:jc w:val="left"/>
        <w:rPr>
          <w:sz w:val="24"/>
        </w:rPr>
      </w:pPr>
      <w:r>
        <w:rPr>
          <w:sz w:val="24"/>
        </w:rPr>
        <w:t>电子交易平台应用或数据库出现错误，不能进行正常操作的；</w:t>
      </w:r>
    </w:p>
    <w:p>
      <w:pPr>
        <w:pStyle w:val="19"/>
        <w:numPr>
          <w:ilvl w:val="0"/>
          <w:numId w:val="17"/>
        </w:numPr>
        <w:tabs>
          <w:tab w:val="left" w:pos="1657"/>
        </w:tabs>
        <w:spacing w:before="33" w:after="0" w:line="240" w:lineRule="auto"/>
        <w:ind w:left="1656" w:right="0" w:hanging="627"/>
        <w:jc w:val="left"/>
        <w:rPr>
          <w:sz w:val="24"/>
        </w:rPr>
      </w:pPr>
      <w:r>
        <w:rPr>
          <w:sz w:val="24"/>
        </w:rPr>
        <w:t>电子交易平台发现严重安全漏洞，有潜在泄密危险的；</w:t>
      </w:r>
    </w:p>
    <w:p>
      <w:pPr>
        <w:pStyle w:val="19"/>
        <w:numPr>
          <w:ilvl w:val="0"/>
          <w:numId w:val="17"/>
        </w:numPr>
        <w:tabs>
          <w:tab w:val="left" w:pos="1657"/>
        </w:tabs>
        <w:spacing w:before="34" w:after="0" w:line="240" w:lineRule="auto"/>
        <w:ind w:left="1656" w:right="0" w:hanging="627"/>
        <w:jc w:val="left"/>
        <w:rPr>
          <w:sz w:val="24"/>
        </w:rPr>
      </w:pPr>
      <w:r>
        <w:rPr>
          <w:sz w:val="24"/>
        </w:rPr>
        <w:t>病毒发作导致不能进行正常操作的；</w:t>
      </w:r>
    </w:p>
    <w:p>
      <w:pPr>
        <w:pStyle w:val="19"/>
        <w:numPr>
          <w:ilvl w:val="0"/>
          <w:numId w:val="17"/>
        </w:numPr>
        <w:tabs>
          <w:tab w:val="left" w:pos="1657"/>
        </w:tabs>
        <w:spacing w:before="34" w:after="0" w:line="392" w:lineRule="exact"/>
        <w:ind w:left="1656" w:right="0" w:hanging="627"/>
        <w:jc w:val="left"/>
        <w:rPr>
          <w:sz w:val="24"/>
        </w:rPr>
      </w:pPr>
      <w:r>
        <w:rPr>
          <w:sz w:val="24"/>
        </w:rPr>
        <w:t>其他无法保证电子交易的公平、公正和安全的情况。</w:t>
      </w:r>
    </w:p>
    <w:p>
      <w:pPr>
        <w:pStyle w:val="8"/>
        <w:ind w:left="552" w:right="909" w:firstLine="480"/>
        <w:jc w:val="both"/>
      </w:pPr>
      <w:r>
        <w:t>出现前款规定情形，不影响采购公平、公正性的，采购组织机构可以待上述情形消除后继续组织电子交易活动，也可以决定某些环节以纸质形式进行；影响或可能影响采购公平、公正性的，应当重新采购。</w:t>
      </w:r>
    </w:p>
    <w:p>
      <w:pPr>
        <w:pStyle w:val="8"/>
        <w:ind w:left="552" w:right="1094" w:firstLine="480"/>
      </w:pPr>
      <w:r>
        <w:rPr>
          <w:spacing w:val="-12"/>
        </w:rPr>
        <w:t>废标后，采购人应当将废标理由通知所有投标人并重新组织招标；或者经主管部门批准， 采取其他方式组织采购。</w:t>
      </w:r>
    </w:p>
    <w:p>
      <w:pPr>
        <w:pStyle w:val="7"/>
        <w:spacing w:before="107"/>
      </w:pPr>
      <w:bookmarkStart w:id="17" w:name="（六）评标原则和评标办法"/>
      <w:bookmarkEnd w:id="17"/>
      <w:r>
        <w:t>（六）评标原则和评标办法</w:t>
      </w:r>
    </w:p>
    <w:p>
      <w:pPr>
        <w:pStyle w:val="8"/>
        <w:spacing w:before="144" w:line="242" w:lineRule="auto"/>
        <w:ind w:left="552" w:right="907" w:firstLine="480"/>
        <w:jc w:val="both"/>
      </w:pPr>
      <w:r>
        <w:t>1</w:t>
      </w:r>
      <w:r>
        <w:rPr>
          <w:spacing w:val="-10"/>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8"/>
        <w:spacing w:line="307" w:lineRule="exact"/>
        <w:ind w:left="1032"/>
      </w:pPr>
      <w:r>
        <w:t>2、评标委员会发现招标文件存在歧义、重大缺陷导致评标工作无法进行，或者招标文件内</w:t>
      </w:r>
    </w:p>
    <w:p>
      <w:pPr>
        <w:spacing w:after="0" w:line="307" w:lineRule="exact"/>
        <w:sectPr>
          <w:pgSz w:w="11910" w:h="16840"/>
          <w:pgMar w:top="1280" w:right="220" w:bottom="980" w:left="580" w:header="0" w:footer="786" w:gutter="0"/>
          <w:pgBorders>
            <w:top w:val="none" w:sz="0" w:space="0"/>
            <w:left w:val="none" w:sz="0" w:space="0"/>
            <w:bottom w:val="none" w:sz="0" w:space="0"/>
            <w:right w:val="none" w:sz="0" w:space="0"/>
          </w:pgBorders>
          <w:cols w:space="720" w:num="1"/>
        </w:sectPr>
      </w:pPr>
    </w:p>
    <w:p>
      <w:pPr>
        <w:pStyle w:val="8"/>
        <w:spacing w:before="41" w:line="242" w:lineRule="auto"/>
        <w:ind w:left="552" w:right="907"/>
      </w:pPr>
      <w:r>
        <w:t>容违反国家有关强制性规定的，应当停止评标工作，与采购人或者采购代理机构沟通并作书面记录。采购人或者采购代理机构确认后，应当修改招标文件，重新组织采购活动。</w:t>
      </w:r>
    </w:p>
    <w:p>
      <w:pPr>
        <w:pStyle w:val="8"/>
        <w:spacing w:before="108"/>
        <w:ind w:left="1032"/>
      </w:pPr>
      <w:r>
        <w:t>3、评标办法。具体评标内容及评分标准等详见《第三章：评标方法及评分标准》。</w:t>
      </w:r>
    </w:p>
    <w:p>
      <w:pPr>
        <w:pStyle w:val="7"/>
        <w:spacing w:before="132"/>
      </w:pPr>
      <w:bookmarkStart w:id="18" w:name="（七）评标过程的监控"/>
      <w:bookmarkEnd w:id="18"/>
      <w:r>
        <w:t>（七）评标过程的监控</w:t>
      </w:r>
    </w:p>
    <w:p>
      <w:pPr>
        <w:pStyle w:val="8"/>
        <w:spacing w:before="19"/>
        <w:ind w:left="552" w:right="955" w:firstLine="480"/>
      </w:pPr>
      <w:r>
        <w:t>本项目评标过程实行全程录音、录像监控，政府采购监管部门视情进行现场监督，投标人在评标过程中所进行的试图影响评标结果的不公正活动，可能导致其投标被拒绝。</w:t>
      </w:r>
    </w:p>
    <w:p>
      <w:pPr>
        <w:pStyle w:val="6"/>
        <w:spacing w:before="84"/>
        <w:ind w:left="4812"/>
      </w:pPr>
      <w:r>
        <w:t>六、定标</w:t>
      </w:r>
    </w:p>
    <w:p>
      <w:pPr>
        <w:pStyle w:val="8"/>
        <w:spacing w:before="10"/>
        <w:ind w:left="552" w:right="1015" w:firstLine="480"/>
      </w:pPr>
      <w:r>
        <w:t>1</w:t>
      </w:r>
      <w:r>
        <w:rPr>
          <w:spacing w:val="-12"/>
        </w:rPr>
        <w:t>、确定中标供应商。评标委员会根据采购单位的《授权意见确认书》，推荐中标候选人或</w:t>
      </w:r>
      <w:r>
        <w:rPr>
          <w:spacing w:val="-3"/>
        </w:rPr>
        <w:t xml:space="preserve">确定中标人。其中推荐中标候选人的，采购代理机构在评审结束后 </w:t>
      </w:r>
      <w:r>
        <w:t>2</w:t>
      </w:r>
      <w:r>
        <w:rPr>
          <w:spacing w:val="-5"/>
        </w:rPr>
        <w:t xml:space="preserve"> 个工作日内将评标报</w:t>
      </w:r>
    </w:p>
    <w:p>
      <w:pPr>
        <w:pStyle w:val="8"/>
        <w:ind w:left="552" w:right="1075"/>
      </w:pPr>
      <w:r>
        <w:t>告送采购人，采购人自收到评审报告之日起 5 个工作日内在评审报告推荐的中标候选人中按顺序确定中标人。</w:t>
      </w:r>
    </w:p>
    <w:p>
      <w:pPr>
        <w:pStyle w:val="8"/>
        <w:spacing w:before="1" w:line="242" w:lineRule="auto"/>
        <w:ind w:left="552" w:right="955" w:firstLine="480"/>
      </w:pPr>
      <w:r>
        <w:t>2、发布中标结果公告。采购代理机构应当自中标人确定之日起 2 个工作日内，在省级以上财政部门指定的媒体及相关网站上公告中标结果。</w:t>
      </w:r>
    </w:p>
    <w:p>
      <w:pPr>
        <w:pStyle w:val="8"/>
        <w:spacing w:before="89"/>
        <w:ind w:left="1032"/>
      </w:pPr>
      <w:r>
        <w:t>3、发出中标通知书。采购代理机构在发布中标结果的同时，向中标人发出中标通知书。</w:t>
      </w:r>
    </w:p>
    <w:p>
      <w:pPr>
        <w:pStyle w:val="6"/>
        <w:spacing w:before="128"/>
        <w:ind w:left="4112"/>
      </w:pPr>
      <w:r>
        <w:t>七、合同签订及公告</w:t>
      </w:r>
    </w:p>
    <w:p>
      <w:pPr>
        <w:pStyle w:val="7"/>
        <w:spacing w:before="104"/>
      </w:pPr>
      <w:bookmarkStart w:id="19" w:name="（一）签订合同"/>
      <w:bookmarkEnd w:id="19"/>
      <w:r>
        <w:t>（一）签订合同</w:t>
      </w:r>
    </w:p>
    <w:p>
      <w:pPr>
        <w:pStyle w:val="8"/>
        <w:spacing w:before="16" w:line="242" w:lineRule="auto"/>
        <w:ind w:left="552" w:right="907" w:firstLine="600"/>
        <w:jc w:val="both"/>
      </w:pPr>
      <w:r>
        <w:t>1、采购人应当自中标通知书发出之日起 30 日内，按照招标文件和中标人投标文件的规定，与中标人签订书面合同。所签订的合同不得对招标文件确定的事项和中标人投标文件作实质性修改。</w:t>
      </w:r>
    </w:p>
    <w:p>
      <w:pPr>
        <w:pStyle w:val="8"/>
        <w:spacing w:before="108"/>
        <w:ind w:left="1152"/>
      </w:pPr>
      <w:r>
        <w:t>2、采购人不得向中标人提出任何不合理的要求作为签订合同的条件。</w:t>
      </w:r>
    </w:p>
    <w:p>
      <w:pPr>
        <w:pStyle w:val="8"/>
        <w:spacing w:before="19" w:line="242" w:lineRule="auto"/>
        <w:ind w:left="552" w:right="1096" w:firstLine="600"/>
      </w:pPr>
      <w:r>
        <w:t>3</w:t>
      </w:r>
      <w:r>
        <w:rPr>
          <w:spacing w:val="-8"/>
        </w:rPr>
        <w:t>、中标供应商无正当理由拖延、拒签合同的,按《政府采购法》及等有关规定进行处理处罚。</w:t>
      </w:r>
    </w:p>
    <w:p>
      <w:pPr>
        <w:pStyle w:val="8"/>
        <w:spacing w:before="3" w:line="242" w:lineRule="auto"/>
        <w:ind w:left="552" w:right="907" w:firstLine="480"/>
        <w:jc w:val="both"/>
      </w:pPr>
      <w:r>
        <w:t>4</w:t>
      </w:r>
      <w:r>
        <w:rPr>
          <w:spacing w:val="-10"/>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8"/>
        <w:ind w:left="552" w:right="835" w:firstLine="480"/>
        <w:jc w:val="both"/>
      </w:pPr>
      <w:r>
        <w:t>5</w:t>
      </w:r>
      <w:r>
        <w:rPr>
          <w:spacing w:val="-18"/>
        </w:rPr>
        <w:t>、询问或者质疑事项可能影响中标结果的，采购人应当暂停签订合同，已经签订合同的， 应当中止履行合同（中标结果的质疑期为中标结果公告期限届满之日起七个工作日）。</w:t>
      </w:r>
    </w:p>
    <w:p>
      <w:pPr>
        <w:pStyle w:val="8"/>
        <w:spacing w:before="3"/>
        <w:rPr>
          <w:sz w:val="18"/>
        </w:rPr>
      </w:pPr>
    </w:p>
    <w:p>
      <w:pPr>
        <w:pStyle w:val="7"/>
        <w:ind w:left="975"/>
      </w:pPr>
      <w:bookmarkStart w:id="20" w:name="（二）合同公告及备案"/>
      <w:bookmarkEnd w:id="20"/>
      <w:r>
        <w:t>（二）合同公告及备案</w:t>
      </w:r>
    </w:p>
    <w:p>
      <w:pPr>
        <w:pStyle w:val="8"/>
        <w:spacing w:before="24"/>
        <w:ind w:left="552" w:right="1195" w:firstLine="480"/>
      </w:pPr>
      <w:r>
        <w:t>1、采购人应当自政府采购合同签订之日起 2 个工作日内，在省级以上财政部门指定的政府采购信息发布媒体及相关网站上公告。</w:t>
      </w:r>
    </w:p>
    <w:p>
      <w:pPr>
        <w:pStyle w:val="8"/>
        <w:spacing w:before="1" w:line="242" w:lineRule="auto"/>
        <w:ind w:left="552" w:right="955" w:firstLine="480"/>
      </w:pPr>
      <w:r>
        <w:t>2、采购人应当自政府采购合同签订之日起 7 个工作日内，将政府采购合同副本报同级人民政府财政部门备案以及采购代理机构存档。</w:t>
      </w:r>
    </w:p>
    <w:p>
      <w:pPr>
        <w:spacing w:after="0" w:line="242" w:lineRule="auto"/>
        <w:sectPr>
          <w:pgSz w:w="11910" w:h="16840"/>
          <w:pgMar w:top="1280" w:right="220" w:bottom="980" w:left="580" w:header="0" w:footer="786" w:gutter="0"/>
          <w:pgBorders>
            <w:top w:val="none" w:sz="0" w:space="0"/>
            <w:left w:val="none" w:sz="0" w:space="0"/>
            <w:bottom w:val="none" w:sz="0" w:space="0"/>
            <w:right w:val="none" w:sz="0" w:space="0"/>
          </w:pgBorders>
          <w:cols w:space="720" w:num="1"/>
        </w:sectPr>
      </w:pPr>
    </w:p>
    <w:p>
      <w:pPr>
        <w:pStyle w:val="2"/>
        <w:spacing w:before="90"/>
        <w:ind w:right="692"/>
      </w:pPr>
      <w:bookmarkStart w:id="21" w:name="第三章 评标办法及评分标准"/>
      <w:bookmarkEnd w:id="21"/>
      <w:r>
        <w:t>第三章 评标办法及评分标准</w:t>
      </w:r>
    </w:p>
    <w:p>
      <w:pPr>
        <w:pStyle w:val="8"/>
        <w:spacing w:before="251"/>
        <w:ind w:left="819"/>
      </w:pPr>
      <w:r>
        <w:t>一、采购代理机构将组织评标委员会，对投标人提供的投标文件进行综合评审。</w:t>
      </w:r>
    </w:p>
    <w:p>
      <w:pPr>
        <w:pStyle w:val="8"/>
        <w:spacing w:before="132"/>
        <w:ind w:left="819"/>
      </w:pPr>
      <w:r>
        <w:t>二、本次招标项目的评标方法为综合评分法，总计100分，其中商务技术</w:t>
      </w:r>
      <w:r>
        <w:rPr>
          <w:rFonts w:hint="eastAsia"/>
          <w:lang w:val="en-US" w:eastAsia="zh-CN"/>
        </w:rPr>
        <w:t>60</w:t>
      </w:r>
      <w:r>
        <w:t>分，报价</w:t>
      </w:r>
      <w:r>
        <w:rPr>
          <w:rFonts w:hint="eastAsia"/>
          <w:lang w:val="en-US" w:eastAsia="zh-CN"/>
        </w:rPr>
        <w:t>40</w:t>
      </w:r>
      <w:r>
        <w:t>分。</w:t>
      </w:r>
    </w:p>
    <w:p>
      <w:pPr>
        <w:pStyle w:val="8"/>
        <w:spacing w:before="132" w:line="345" w:lineRule="auto"/>
        <w:ind w:left="339" w:right="727" w:firstLine="201"/>
      </w:pPr>
      <w:r>
        <w:t>（一）商务技术文件中的客观分由评标委员会讨论后统一打分；其余在规定的分值内单独评定打分。具体评分见下表。</w:t>
      </w:r>
    </w:p>
    <w:p>
      <w:pPr>
        <w:pStyle w:val="8"/>
        <w:spacing w:line="343" w:lineRule="auto"/>
        <w:ind w:left="339" w:right="853" w:firstLine="316"/>
      </w:pPr>
      <w:r>
        <w:t>（二）各投标人商务技术文件得分按照评标委员会成员的独立评分结果汇总后的算术平均分计算，计算公式为：</w:t>
      </w:r>
    </w:p>
    <w:p>
      <w:pPr>
        <w:pStyle w:val="8"/>
        <w:ind w:left="540"/>
      </w:pPr>
      <w:r>
        <w:t>商务技术文件得分=评标委员会所有成员评分合计数/评标委员会组成人员数。</w:t>
      </w:r>
    </w:p>
    <w:p>
      <w:pPr>
        <w:pStyle w:val="8"/>
        <w:spacing w:before="128" w:line="343" w:lineRule="auto"/>
        <w:ind w:left="339" w:right="928" w:firstLine="480"/>
      </w:pPr>
      <w:r>
        <w:t>（三）</w:t>
      </w:r>
      <w:r>
        <w:rPr>
          <w:spacing w:val="-1"/>
        </w:rPr>
        <w:t>投标报价得分采用低价优先法计算，即满足招标文件要求且投标价格最低的投标报</w:t>
      </w:r>
      <w:r>
        <w:t>价为评标基准价，其报价得满分。其他投标人的投标报价得分按下列公式计算：</w:t>
      </w:r>
    </w:p>
    <w:p>
      <w:pPr>
        <w:pStyle w:val="8"/>
        <w:spacing w:before="1"/>
        <w:ind w:left="819"/>
      </w:pPr>
      <w:r>
        <w:rPr>
          <w:u w:val="single"/>
        </w:rPr>
        <w:t>投标报价得分=(评标基准价／投标报价) ×</w:t>
      </w:r>
      <w:r>
        <w:rPr>
          <w:rFonts w:hint="eastAsia"/>
          <w:u w:val="single"/>
          <w:lang w:val="en-US" w:eastAsia="zh-CN"/>
        </w:rPr>
        <w:t>40</w:t>
      </w:r>
      <w:r>
        <w:rPr>
          <w:u w:val="single"/>
        </w:rPr>
        <w:t>%×100 。</w:t>
      </w:r>
    </w:p>
    <w:p>
      <w:pPr>
        <w:pStyle w:val="8"/>
        <w:spacing w:before="132" w:line="343" w:lineRule="auto"/>
        <w:ind w:left="339" w:right="808" w:firstLine="480"/>
      </w:pPr>
      <w:r>
        <w:t>（四）政府采购政策及优惠：（1）关于小型、微型企业（简称小微企业）</w:t>
      </w:r>
      <w:r>
        <w:rPr>
          <w:spacing w:val="-3"/>
        </w:rPr>
        <w:t>投标：小微企业</w:t>
      </w:r>
      <w:r>
        <w:t>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等相关证明材料（评标委员会据此进行核查）、《产品适用政府采购政策情况表》（见附件），如投标人提供其他小微企业制造的货物，应同时提供制造商的《小微企业声明函（制造商）》和国家企业信用信息公示系统—— 小微企业名录”页面查询结果（查询时间为投标前一周内）等相关证明材料（评标委员会据此进行核查）；（2）</w:t>
      </w:r>
      <w:r>
        <w:rPr>
          <w:spacing w:val="-1"/>
        </w:rPr>
        <w:t>监狱企业参加政府采购活动时，应当提供由省级以上监狱管理局、戒毒管理</w:t>
      </w:r>
      <w:r>
        <w:t>局（含新疆生产建设兵团）出具的属于监狱企业的证明文件和《产品适用政府采购政策情况</w:t>
      </w:r>
    </w:p>
    <w:p>
      <w:pPr>
        <w:pStyle w:val="8"/>
        <w:spacing w:before="2" w:line="343" w:lineRule="auto"/>
        <w:ind w:left="339" w:right="808"/>
      </w:pPr>
      <w:r>
        <w:t>表》（见附件），视同小型、微型企业，享受小微企业政府采购优惠政策；（3）</w:t>
      </w:r>
      <w:r>
        <w:rPr>
          <w:spacing w:val="-3"/>
        </w:rPr>
        <w:t>残疾人福利性</w:t>
      </w:r>
      <w:r>
        <w:t>单位在参加政府采购活动时，应提供《残疾人福利性单位声明函》（见附件）和《产品适用政府采购政策情况表》（见附件），视同小型、微型企业，享受小微企业政府采购优惠政策。</w:t>
      </w:r>
    </w:p>
    <w:p>
      <w:pPr>
        <w:spacing w:before="1" w:line="343" w:lineRule="auto"/>
        <w:ind w:left="339" w:right="909" w:firstLine="480"/>
        <w:jc w:val="both"/>
        <w:rPr>
          <w:sz w:val="24"/>
        </w:rPr>
      </w:pPr>
      <w:r>
        <w:rPr>
          <w:sz w:val="24"/>
        </w:rPr>
        <w:t>具体优惠：</w:t>
      </w:r>
      <w:r>
        <w:rPr>
          <w:b/>
          <w:sz w:val="24"/>
          <w:u w:val="single"/>
        </w:rPr>
        <w:t>对于小型微型企业产品的价格给予6%的扣除</w:t>
      </w:r>
      <w:r>
        <w:rPr>
          <w:sz w:val="24"/>
        </w:rPr>
        <w:t>，用扣除后的价格计算评标基准价和投标报价。同一投标人（包括联合体），小微企业、监狱企业、残疾人福利性单位价格扣除优惠只享受一次，不得重复享受。</w:t>
      </w:r>
    </w:p>
    <w:p>
      <w:pPr>
        <w:pStyle w:val="8"/>
        <w:spacing w:before="1"/>
        <w:ind w:left="540"/>
      </w:pPr>
      <w:r>
        <w:t>注：得分以系统计算为准，保留2位小数。</w:t>
      </w:r>
    </w:p>
    <w:p>
      <w:pPr>
        <w:pStyle w:val="8"/>
        <w:spacing w:before="134" w:line="343" w:lineRule="auto"/>
        <w:ind w:left="339" w:right="928" w:firstLine="480"/>
      </w:pPr>
      <w:r>
        <w:t>三、在最大限度地满足招标文件实质性要求前提下，评标委员会按照招标文件中规定的各项因素进行综合评审后，以评标总得分最高的投标人为中标候选人。</w:t>
      </w:r>
    </w:p>
    <w:p>
      <w:pPr>
        <w:pStyle w:val="8"/>
        <w:spacing w:line="306" w:lineRule="exact"/>
        <w:ind w:left="819"/>
      </w:pPr>
      <w:r>
        <w:t>四、如综合得分相同，投标报价低者为先；如综合得分且投标报价相同的，货物类采购项</w:t>
      </w:r>
    </w:p>
    <w:p>
      <w:pPr>
        <w:spacing w:after="0" w:line="306" w:lineRule="exact"/>
        <w:sectPr>
          <w:headerReference r:id="rId8" w:type="default"/>
          <w:footerReference r:id="rId9" w:type="default"/>
          <w:pgSz w:w="11910" w:h="16840"/>
          <w:pgMar w:top="1420" w:right="220" w:bottom="1160" w:left="580" w:header="1230" w:footer="971" w:gutter="0"/>
          <w:pgBorders>
            <w:top w:val="none" w:sz="0" w:space="0"/>
            <w:left w:val="none" w:sz="0" w:space="0"/>
            <w:bottom w:val="none" w:sz="0" w:space="0"/>
            <w:right w:val="none" w:sz="0" w:space="0"/>
          </w:pgBorders>
          <w:pgNumType w:start="17"/>
          <w:cols w:space="720" w:num="1"/>
        </w:sectPr>
      </w:pPr>
    </w:p>
    <w:p>
      <w:pPr>
        <w:pStyle w:val="8"/>
        <w:spacing w:before="102"/>
        <w:ind w:left="339"/>
      </w:pPr>
      <w:r>
        <w:t>目以技术性能得分较高者为先，服务类采购项目以实力信誉及业绩得分较高者为先。</w:t>
      </w:r>
    </w:p>
    <w:p>
      <w:pPr>
        <w:pStyle w:val="8"/>
        <w:spacing w:before="134" w:line="343" w:lineRule="auto"/>
        <w:ind w:left="339" w:right="808" w:firstLine="480"/>
      </w:pPr>
      <w:r>
        <w:t>五、提供相同品牌产品的不同投标人参加同一合同项下投标的，按一家供应商认定</w:t>
      </w:r>
      <w:r>
        <w:rPr>
          <w:spacing w:val="-5"/>
        </w:rPr>
        <w:t xml:space="preserve">：（1） </w:t>
      </w:r>
      <w:r>
        <w:t>采用最低评标价法的采购项目，以其中通过资格审查、符合性审查且报价最低的参加评标；报价相同的，由评标委员会集体确定一个投标人参加评标，其他投标无效。（2）</w:t>
      </w:r>
      <w:r>
        <w:rPr>
          <w:spacing w:val="-3"/>
        </w:rPr>
        <w:t>使用综合评分法</w:t>
      </w:r>
      <w:r>
        <w:t>的采购项目，评审后得分最高的同品牌投标人获得中标人推荐资格；评审得分相同的，由评标委员会集体推荐一个投标人作为中标候选人，其他同品牌投标人不作为中标候选人。</w:t>
      </w:r>
    </w:p>
    <w:p>
      <w:pPr>
        <w:pStyle w:val="8"/>
        <w:spacing w:after="20" w:line="307" w:lineRule="exact"/>
        <w:ind w:left="699"/>
      </w:pPr>
      <w:r>
        <w:t>六、本次评分“商务技术分（</w:t>
      </w:r>
      <w:r>
        <w:rPr>
          <w:rFonts w:hint="eastAsia"/>
          <w:lang w:val="en-US" w:eastAsia="zh-CN"/>
        </w:rPr>
        <w:t>60</w:t>
      </w:r>
      <w:r>
        <w:t>分）”具体分值细化条款如下表：</w:t>
      </w:r>
    </w:p>
    <w:tbl>
      <w:tblPr>
        <w:tblStyle w:val="15"/>
        <w:tblW w:w="0" w:type="auto"/>
        <w:tblInd w:w="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1788"/>
        <w:gridCol w:w="1080"/>
        <w:gridCol w:w="5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079" w:type="dxa"/>
          </w:tcPr>
          <w:p>
            <w:pPr>
              <w:pStyle w:val="20"/>
              <w:spacing w:before="157"/>
              <w:ind w:left="174"/>
              <w:rPr>
                <w:b/>
                <w:sz w:val="24"/>
              </w:rPr>
            </w:pPr>
            <w:r>
              <w:rPr>
                <w:b/>
                <w:sz w:val="24"/>
              </w:rPr>
              <w:t>序号</w:t>
            </w:r>
          </w:p>
        </w:tc>
        <w:tc>
          <w:tcPr>
            <w:tcW w:w="1788" w:type="dxa"/>
          </w:tcPr>
          <w:p>
            <w:pPr>
              <w:pStyle w:val="20"/>
              <w:spacing w:before="123"/>
              <w:ind w:left="133"/>
              <w:rPr>
                <w:b/>
                <w:sz w:val="24"/>
              </w:rPr>
            </w:pPr>
            <w:r>
              <w:rPr>
                <w:b/>
                <w:sz w:val="24"/>
              </w:rPr>
              <w:t>评审因素</w:t>
            </w:r>
          </w:p>
        </w:tc>
        <w:tc>
          <w:tcPr>
            <w:tcW w:w="1080" w:type="dxa"/>
          </w:tcPr>
          <w:p>
            <w:pPr>
              <w:pStyle w:val="20"/>
              <w:spacing w:before="3"/>
              <w:ind w:left="309"/>
              <w:rPr>
                <w:b/>
                <w:sz w:val="24"/>
              </w:rPr>
            </w:pPr>
            <w:r>
              <w:rPr>
                <w:b/>
                <w:sz w:val="24"/>
              </w:rPr>
              <w:t>分值</w:t>
            </w:r>
          </w:p>
          <w:p>
            <w:pPr>
              <w:pStyle w:val="20"/>
              <w:spacing w:before="4" w:line="289" w:lineRule="exact"/>
              <w:ind w:left="189"/>
              <w:rPr>
                <w:b/>
                <w:sz w:val="24"/>
              </w:rPr>
            </w:pPr>
            <w:r>
              <w:rPr>
                <w:b/>
                <w:sz w:val="24"/>
              </w:rPr>
              <w:t>（分）</w:t>
            </w:r>
          </w:p>
        </w:tc>
        <w:tc>
          <w:tcPr>
            <w:tcW w:w="5550" w:type="dxa"/>
          </w:tcPr>
          <w:p>
            <w:pPr>
              <w:pStyle w:val="20"/>
              <w:spacing w:before="197"/>
              <w:ind w:left="111"/>
              <w:rPr>
                <w:b/>
                <w:sz w:val="24"/>
              </w:rPr>
            </w:pPr>
            <w:r>
              <w:rPr>
                <w:b/>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079" w:type="dxa"/>
          </w:tcPr>
          <w:p>
            <w:pPr>
              <w:pStyle w:val="20"/>
              <w:jc w:val="center"/>
              <w:rPr>
                <w:sz w:val="24"/>
              </w:rPr>
            </w:pPr>
          </w:p>
          <w:p>
            <w:pPr>
              <w:pStyle w:val="20"/>
              <w:jc w:val="center"/>
              <w:rPr>
                <w:sz w:val="24"/>
              </w:rPr>
            </w:pPr>
          </w:p>
          <w:p>
            <w:pPr>
              <w:pStyle w:val="20"/>
              <w:spacing w:before="7"/>
              <w:jc w:val="center"/>
              <w:rPr>
                <w:sz w:val="26"/>
              </w:rPr>
            </w:pPr>
          </w:p>
          <w:p>
            <w:pPr>
              <w:pStyle w:val="20"/>
              <w:ind w:left="203"/>
              <w:jc w:val="center"/>
              <w:rPr>
                <w:sz w:val="24"/>
              </w:rPr>
            </w:pPr>
            <w:r>
              <w:rPr>
                <w:sz w:val="24"/>
              </w:rPr>
              <w:t>1</w:t>
            </w:r>
          </w:p>
        </w:tc>
        <w:tc>
          <w:tcPr>
            <w:tcW w:w="1788" w:type="dxa"/>
          </w:tcPr>
          <w:p>
            <w:pPr>
              <w:pStyle w:val="20"/>
              <w:rPr>
                <w:sz w:val="24"/>
              </w:rPr>
            </w:pPr>
          </w:p>
          <w:p>
            <w:pPr>
              <w:pStyle w:val="20"/>
              <w:rPr>
                <w:sz w:val="24"/>
              </w:rPr>
            </w:pPr>
          </w:p>
          <w:p>
            <w:pPr>
              <w:pStyle w:val="20"/>
              <w:spacing w:before="9"/>
              <w:rPr>
                <w:sz w:val="23"/>
              </w:rPr>
            </w:pPr>
          </w:p>
          <w:p>
            <w:pPr>
              <w:pStyle w:val="20"/>
              <w:spacing w:before="1"/>
              <w:ind w:right="406"/>
              <w:jc w:val="right"/>
              <w:rPr>
                <w:sz w:val="24"/>
              </w:rPr>
            </w:pPr>
            <w:r>
              <w:rPr>
                <w:sz w:val="24"/>
              </w:rPr>
              <w:t>现状分析</w:t>
            </w:r>
          </w:p>
        </w:tc>
        <w:tc>
          <w:tcPr>
            <w:tcW w:w="1080" w:type="dxa"/>
          </w:tcPr>
          <w:p>
            <w:pPr>
              <w:pStyle w:val="20"/>
              <w:rPr>
                <w:sz w:val="24"/>
              </w:rPr>
            </w:pPr>
          </w:p>
          <w:p>
            <w:pPr>
              <w:pStyle w:val="20"/>
              <w:rPr>
                <w:sz w:val="24"/>
              </w:rPr>
            </w:pPr>
          </w:p>
          <w:p>
            <w:pPr>
              <w:pStyle w:val="20"/>
              <w:spacing w:before="7"/>
              <w:rPr>
                <w:sz w:val="26"/>
              </w:rPr>
            </w:pPr>
          </w:p>
          <w:p>
            <w:pPr>
              <w:pStyle w:val="20"/>
              <w:ind w:left="20"/>
              <w:jc w:val="center"/>
              <w:rPr>
                <w:rFonts w:hint="eastAsia" w:eastAsia="宋体"/>
                <w:sz w:val="24"/>
                <w:lang w:eastAsia="zh-CN"/>
              </w:rPr>
            </w:pPr>
            <w:r>
              <w:rPr>
                <w:rFonts w:hint="eastAsia"/>
                <w:sz w:val="24"/>
                <w:lang w:val="en-US" w:eastAsia="zh-CN"/>
              </w:rPr>
              <w:t>5</w:t>
            </w:r>
          </w:p>
        </w:tc>
        <w:tc>
          <w:tcPr>
            <w:tcW w:w="5550" w:type="dxa"/>
          </w:tcPr>
          <w:p>
            <w:pPr>
              <w:pStyle w:val="20"/>
              <w:spacing w:before="180" w:line="300" w:lineRule="auto"/>
              <w:ind w:left="106" w:right="82"/>
              <w:jc w:val="both"/>
              <w:rPr>
                <w:sz w:val="24"/>
              </w:rPr>
            </w:pPr>
            <w:r>
              <w:rPr>
                <w:spacing w:val="2"/>
                <w:sz w:val="24"/>
              </w:rPr>
              <w:t>对本次采购项目保洁与垃圾收运工作的现状调查与</w:t>
            </w:r>
            <w:r>
              <w:rPr>
                <w:spacing w:val="3"/>
                <w:sz w:val="24"/>
              </w:rPr>
              <w:t>问题剖析，并且是否提出合理化的设想和建议，根</w:t>
            </w:r>
            <w:r>
              <w:rPr>
                <w:spacing w:val="2"/>
                <w:sz w:val="24"/>
              </w:rPr>
              <w:t>据项目的了解是否深入详细、问题剖析是否全面深</w:t>
            </w:r>
            <w:r>
              <w:rPr>
                <w:spacing w:val="-8"/>
                <w:sz w:val="24"/>
              </w:rPr>
              <w:t>入、建议是否切实可行由评标委员会综合比较后酌情</w:t>
            </w:r>
            <w:r>
              <w:rPr>
                <w:spacing w:val="-10"/>
                <w:sz w:val="24"/>
              </w:rPr>
              <w:t>打分</w:t>
            </w:r>
            <w:r>
              <w:rPr>
                <w:spacing w:val="-9"/>
                <w:sz w:val="24"/>
              </w:rPr>
              <w:t>（0-</w:t>
            </w:r>
            <w:r>
              <w:rPr>
                <w:rFonts w:hint="eastAsia"/>
                <w:spacing w:val="-9"/>
                <w:sz w:val="24"/>
                <w:lang w:val="en-US" w:eastAsia="zh-CN"/>
              </w:rPr>
              <w:t>5</w:t>
            </w:r>
            <w:r>
              <w:rPr>
                <w:spacing w:val="-29"/>
                <w:sz w:val="24"/>
              </w:rPr>
              <w:t>分</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079" w:type="dxa"/>
            <w:vAlign w:val="center"/>
          </w:tcPr>
          <w:p>
            <w:pPr>
              <w:pStyle w:val="20"/>
              <w:ind w:left="203"/>
              <w:jc w:val="center"/>
              <w:rPr>
                <w:rFonts w:hint="eastAsia" w:eastAsia="宋体"/>
                <w:sz w:val="24"/>
                <w:lang w:val="en-US" w:eastAsia="zh-CN"/>
              </w:rPr>
            </w:pPr>
            <w:r>
              <w:rPr>
                <w:rFonts w:hint="eastAsia"/>
                <w:sz w:val="24"/>
                <w:lang w:val="en-US" w:eastAsia="zh-CN"/>
              </w:rPr>
              <w:t>2</w:t>
            </w:r>
          </w:p>
        </w:tc>
        <w:tc>
          <w:tcPr>
            <w:tcW w:w="1788" w:type="dxa"/>
            <w:vAlign w:val="center"/>
          </w:tcPr>
          <w:p>
            <w:pPr>
              <w:ind w:left="0" w:leftChars="0" w:right="0" w:rightChars="0"/>
              <w:jc w:val="center"/>
              <w:rPr>
                <w:rFonts w:cs="宋体" w:asciiTheme="minorEastAsia" w:hAnsiTheme="minorEastAsia" w:eastAsiaTheme="minorEastAsia"/>
                <w:sz w:val="21"/>
                <w:szCs w:val="21"/>
                <w:lang w:val="zh-CN" w:eastAsia="zh-CN" w:bidi="zh-CN"/>
              </w:rPr>
            </w:pPr>
            <w:r>
              <w:rPr>
                <w:rFonts w:hint="eastAsia" w:asciiTheme="minorEastAsia" w:hAnsiTheme="minorEastAsia" w:eastAsiaTheme="minorEastAsia"/>
                <w:sz w:val="21"/>
                <w:szCs w:val="21"/>
              </w:rPr>
              <w:t>质量管理体系认证</w:t>
            </w:r>
          </w:p>
        </w:tc>
        <w:tc>
          <w:tcPr>
            <w:tcW w:w="1080" w:type="dxa"/>
            <w:vAlign w:val="center"/>
          </w:tcPr>
          <w:p>
            <w:pPr>
              <w:ind w:left="0" w:leftChars="0" w:right="0" w:rightChars="0"/>
              <w:jc w:val="center"/>
              <w:rPr>
                <w:rFonts w:cs="宋体" w:asciiTheme="minorEastAsia" w:hAnsiTheme="minorEastAsia" w:eastAsiaTheme="minorEastAsia"/>
                <w:sz w:val="21"/>
                <w:szCs w:val="21"/>
                <w:lang w:val="zh-CN" w:eastAsia="zh-CN" w:bidi="zh-CN"/>
              </w:rPr>
            </w:pPr>
            <w:r>
              <w:rPr>
                <w:rFonts w:hint="eastAsia" w:asciiTheme="minorEastAsia" w:hAnsiTheme="minorEastAsia" w:eastAsiaTheme="minorEastAsia"/>
                <w:sz w:val="21"/>
                <w:szCs w:val="21"/>
              </w:rPr>
              <w:t>3</w:t>
            </w:r>
          </w:p>
        </w:tc>
        <w:tc>
          <w:tcPr>
            <w:tcW w:w="5550" w:type="dxa"/>
            <w:vAlign w:val="center"/>
          </w:tcPr>
          <w:p>
            <w:pPr>
              <w:ind w:left="0" w:leftChars="0" w:right="0" w:rightChars="0"/>
              <w:rPr>
                <w:rFonts w:cs="宋体" w:asciiTheme="minorEastAsia" w:hAnsiTheme="minorEastAsia" w:eastAsiaTheme="minorEastAsia"/>
                <w:sz w:val="21"/>
                <w:szCs w:val="21"/>
                <w:lang w:val="zh-CN" w:eastAsia="zh-CN" w:bidi="zh-CN"/>
              </w:rPr>
            </w:pPr>
            <w:r>
              <w:rPr>
                <w:rFonts w:hint="eastAsia" w:asciiTheme="minorEastAsia" w:hAnsiTheme="minorEastAsia" w:eastAsiaTheme="minorEastAsia"/>
                <w:sz w:val="21"/>
                <w:szCs w:val="21"/>
              </w:rPr>
              <w:t>投标人具备有效的质量管理体系认证、环境管理体系认证、职业健康管理体系认证证书的每个得1分，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1079" w:type="dxa"/>
            <w:vAlign w:val="center"/>
          </w:tcPr>
          <w:p>
            <w:pPr>
              <w:pStyle w:val="20"/>
              <w:spacing w:before="109"/>
              <w:ind w:left="203"/>
              <w:jc w:val="center"/>
              <w:rPr>
                <w:sz w:val="24"/>
              </w:rPr>
            </w:pPr>
            <w:r>
              <w:rPr>
                <w:rFonts w:hint="eastAsia"/>
                <w:sz w:val="24"/>
                <w:lang w:val="en-US" w:eastAsia="zh-CN"/>
              </w:rPr>
              <w:t>3</w:t>
            </w:r>
          </w:p>
        </w:tc>
        <w:tc>
          <w:tcPr>
            <w:tcW w:w="1788" w:type="dxa"/>
            <w:vMerge w:val="restart"/>
            <w:vAlign w:val="center"/>
          </w:tcPr>
          <w:p>
            <w:pPr>
              <w:pStyle w:val="20"/>
              <w:spacing w:before="168" w:line="380" w:lineRule="atLeast"/>
              <w:ind w:left="129" w:right="122"/>
              <w:jc w:val="center"/>
              <w:rPr>
                <w:sz w:val="24"/>
              </w:rPr>
            </w:pPr>
            <w:r>
              <w:rPr>
                <w:sz w:val="24"/>
              </w:rPr>
              <w:t>作业服务实施方案</w:t>
            </w:r>
          </w:p>
        </w:tc>
        <w:tc>
          <w:tcPr>
            <w:tcW w:w="1080" w:type="dxa"/>
            <w:vAlign w:val="center"/>
          </w:tcPr>
          <w:p>
            <w:pPr>
              <w:pStyle w:val="20"/>
              <w:spacing w:before="202"/>
              <w:ind w:left="345"/>
              <w:jc w:val="center"/>
              <w:rPr>
                <w:rFonts w:hint="default" w:eastAsia="宋体"/>
                <w:sz w:val="24"/>
                <w:lang w:val="en-US" w:eastAsia="zh-CN"/>
              </w:rPr>
            </w:pPr>
            <w:r>
              <w:rPr>
                <w:rFonts w:hint="eastAsia"/>
                <w:sz w:val="24"/>
                <w:lang w:val="en-US" w:eastAsia="zh-CN"/>
              </w:rPr>
              <w:t>15</w:t>
            </w:r>
          </w:p>
        </w:tc>
        <w:tc>
          <w:tcPr>
            <w:tcW w:w="5550" w:type="dxa"/>
          </w:tcPr>
          <w:p>
            <w:pPr>
              <w:pStyle w:val="20"/>
              <w:spacing w:before="64"/>
              <w:ind w:left="106" w:right="-44"/>
              <w:rPr>
                <w:sz w:val="24"/>
              </w:rPr>
            </w:pPr>
            <w:r>
              <w:rPr>
                <w:spacing w:val="12"/>
                <w:sz w:val="24"/>
              </w:rPr>
              <w:t>1</w:t>
            </w:r>
            <w:r>
              <w:rPr>
                <w:spacing w:val="2"/>
                <w:sz w:val="24"/>
              </w:rPr>
              <w:t>、针对本项目</w:t>
            </w:r>
            <w:r>
              <w:rPr>
                <w:rFonts w:hint="eastAsia"/>
                <w:spacing w:val="2"/>
                <w:sz w:val="24"/>
                <w:lang w:eastAsia="zh-CN"/>
              </w:rPr>
              <w:t>各区块、地段</w:t>
            </w:r>
            <w:r>
              <w:rPr>
                <w:spacing w:val="2"/>
                <w:sz w:val="24"/>
              </w:rPr>
              <w:t>制定的各类清扫保洁方案描述的全面</w:t>
            </w:r>
            <w:r>
              <w:rPr>
                <w:spacing w:val="-4"/>
                <w:sz w:val="24"/>
              </w:rPr>
              <w:t>性、合理性、规范性等，由评标委员会综合比较后酌</w:t>
            </w:r>
            <w:r>
              <w:rPr>
                <w:sz w:val="24"/>
              </w:rPr>
              <w:t>情打分（0-</w:t>
            </w:r>
            <w:r>
              <w:rPr>
                <w:rFonts w:hint="eastAsia"/>
                <w:sz w:val="24"/>
                <w:lang w:val="en-US" w:eastAsia="zh-CN"/>
              </w:rPr>
              <w:t>5</w:t>
            </w:r>
            <w:r>
              <w:rPr>
                <w:sz w:val="24"/>
              </w:rPr>
              <w:t xml:space="preserve"> 分）。</w:t>
            </w:r>
          </w:p>
          <w:p>
            <w:pPr>
              <w:pStyle w:val="20"/>
              <w:spacing w:before="42" w:line="237" w:lineRule="auto"/>
              <w:ind w:left="106" w:right="-44"/>
              <w:jc w:val="both"/>
              <w:rPr>
                <w:spacing w:val="-7"/>
                <w:sz w:val="24"/>
              </w:rPr>
            </w:pPr>
            <w:r>
              <w:rPr>
                <w:spacing w:val="12"/>
                <w:sz w:val="24"/>
              </w:rPr>
              <w:t>2</w:t>
            </w:r>
            <w:r>
              <w:rPr>
                <w:spacing w:val="2"/>
                <w:sz w:val="24"/>
              </w:rPr>
              <w:t>、针对本项目制定的各类垃圾收运方案描述的全面</w:t>
            </w:r>
            <w:r>
              <w:rPr>
                <w:spacing w:val="-7"/>
                <w:sz w:val="24"/>
              </w:rPr>
              <w:t>性、合理性、规范性等，由评标委员会综合比较后酌情打分（0-</w:t>
            </w:r>
            <w:r>
              <w:rPr>
                <w:rFonts w:hint="eastAsia"/>
                <w:spacing w:val="-7"/>
                <w:sz w:val="24"/>
                <w:lang w:val="en-US" w:eastAsia="zh-CN"/>
              </w:rPr>
              <w:t>5</w:t>
            </w:r>
            <w:r>
              <w:rPr>
                <w:spacing w:val="-7"/>
                <w:sz w:val="24"/>
              </w:rPr>
              <w:t xml:space="preserve"> 分）。</w:t>
            </w:r>
          </w:p>
          <w:p>
            <w:pPr>
              <w:pStyle w:val="20"/>
              <w:spacing w:before="42" w:line="237" w:lineRule="auto"/>
              <w:ind w:left="106" w:right="-44"/>
              <w:jc w:val="both"/>
              <w:rPr>
                <w:rFonts w:hint="eastAsia" w:eastAsia="宋体"/>
                <w:sz w:val="24"/>
                <w:lang w:val="en-US" w:eastAsia="zh-CN"/>
              </w:rPr>
            </w:pPr>
            <w:r>
              <w:rPr>
                <w:rFonts w:hint="eastAsia"/>
                <w:spacing w:val="-7"/>
                <w:sz w:val="24"/>
                <w:lang w:val="en-US" w:eastAsia="zh-CN"/>
              </w:rPr>
              <w:t>3、对于清扫保洁、垃圾收运等人员编排等的全面性、合理性、规范性等，</w:t>
            </w:r>
            <w:r>
              <w:rPr>
                <w:spacing w:val="-7"/>
                <w:sz w:val="24"/>
              </w:rPr>
              <w:t>由评标委员会综合比较后酌情打分（0-</w:t>
            </w:r>
            <w:r>
              <w:rPr>
                <w:rFonts w:hint="eastAsia"/>
                <w:spacing w:val="-7"/>
                <w:sz w:val="24"/>
                <w:lang w:val="en-US" w:eastAsia="zh-CN"/>
              </w:rPr>
              <w:t>5</w:t>
            </w:r>
            <w:r>
              <w:rPr>
                <w:spacing w:val="-7"/>
                <w:sz w:val="24"/>
              </w:rPr>
              <w:t xml:space="preserve"> 分）</w:t>
            </w:r>
          </w:p>
          <w:p>
            <w:pPr>
              <w:pStyle w:val="20"/>
              <w:spacing w:before="32"/>
              <w:ind w:left="106"/>
              <w:rPr>
                <w:sz w:val="24"/>
              </w:rPr>
            </w:pPr>
            <w:r>
              <w:rPr>
                <w:sz w:val="24"/>
              </w:rPr>
              <w:t>注：以上方案描述需包括作业计划、作业规程、作</w:t>
            </w:r>
          </w:p>
          <w:p>
            <w:pPr>
              <w:pStyle w:val="20"/>
              <w:spacing w:before="36" w:line="291" w:lineRule="exact"/>
              <w:ind w:left="106"/>
              <w:rPr>
                <w:sz w:val="24"/>
              </w:rPr>
            </w:pPr>
            <w:r>
              <w:rPr>
                <w:sz w:val="24"/>
              </w:rPr>
              <w:t>业细则、质量标准、培训方案等。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079" w:type="dxa"/>
            <w:vAlign w:val="center"/>
          </w:tcPr>
          <w:p>
            <w:pPr>
              <w:pStyle w:val="20"/>
              <w:spacing w:before="160"/>
              <w:ind w:left="203"/>
              <w:jc w:val="center"/>
              <w:rPr>
                <w:sz w:val="24"/>
              </w:rPr>
            </w:pPr>
            <w:r>
              <w:rPr>
                <w:rFonts w:hint="eastAsia"/>
                <w:sz w:val="24"/>
                <w:lang w:val="en-US" w:eastAsia="zh-CN"/>
              </w:rPr>
              <w:t>4</w:t>
            </w:r>
          </w:p>
        </w:tc>
        <w:tc>
          <w:tcPr>
            <w:tcW w:w="1788" w:type="dxa"/>
            <w:vAlign w:val="center"/>
          </w:tcPr>
          <w:p>
            <w:pPr>
              <w:pStyle w:val="20"/>
              <w:spacing w:before="11"/>
              <w:jc w:val="center"/>
              <w:rPr>
                <w:sz w:val="29"/>
              </w:rPr>
            </w:pPr>
          </w:p>
          <w:p>
            <w:pPr>
              <w:pStyle w:val="20"/>
              <w:spacing w:line="297" w:lineRule="auto"/>
              <w:ind w:right="166"/>
              <w:jc w:val="center"/>
              <w:rPr>
                <w:sz w:val="24"/>
              </w:rPr>
            </w:pPr>
            <w:r>
              <w:rPr>
                <w:sz w:val="24"/>
              </w:rPr>
              <w:t>安全保护突发应急预案</w:t>
            </w:r>
          </w:p>
        </w:tc>
        <w:tc>
          <w:tcPr>
            <w:tcW w:w="1080" w:type="dxa"/>
            <w:vAlign w:val="center"/>
          </w:tcPr>
          <w:p>
            <w:pPr>
              <w:pStyle w:val="20"/>
              <w:spacing w:before="163"/>
              <w:ind w:left="20"/>
              <w:jc w:val="center"/>
              <w:rPr>
                <w:rFonts w:hint="eastAsia" w:eastAsia="宋体"/>
                <w:sz w:val="24"/>
                <w:lang w:eastAsia="zh-CN"/>
              </w:rPr>
            </w:pPr>
            <w:r>
              <w:rPr>
                <w:rFonts w:hint="eastAsia"/>
                <w:sz w:val="24"/>
                <w:lang w:val="en-US" w:eastAsia="zh-CN"/>
              </w:rPr>
              <w:t>3</w:t>
            </w:r>
          </w:p>
        </w:tc>
        <w:tc>
          <w:tcPr>
            <w:tcW w:w="5550" w:type="dxa"/>
          </w:tcPr>
          <w:p>
            <w:pPr>
              <w:pStyle w:val="20"/>
              <w:spacing w:before="128" w:line="290" w:lineRule="exact"/>
              <w:ind w:left="106"/>
              <w:rPr>
                <w:sz w:val="24"/>
              </w:rPr>
            </w:pPr>
            <w:r>
              <w:rPr>
                <w:sz w:val="24"/>
              </w:rPr>
              <w:t>提供作业人员劳动保护依据、安全作业措施及应急</w:t>
            </w:r>
          </w:p>
          <w:p>
            <w:pPr>
              <w:pStyle w:val="20"/>
              <w:spacing w:before="2"/>
              <w:ind w:left="106"/>
              <w:rPr>
                <w:sz w:val="24"/>
              </w:rPr>
            </w:pPr>
            <w:r>
              <w:rPr>
                <w:spacing w:val="4"/>
                <w:sz w:val="24"/>
              </w:rPr>
              <w:t>方案。投标人制定科学、合理的安全教育、劳动保</w:t>
            </w:r>
          </w:p>
          <w:p>
            <w:pPr>
              <w:pStyle w:val="20"/>
              <w:spacing w:before="14" w:line="291" w:lineRule="exact"/>
              <w:ind w:left="106"/>
              <w:rPr>
                <w:sz w:val="24"/>
              </w:rPr>
            </w:pPr>
            <w:r>
              <w:rPr>
                <w:spacing w:val="3"/>
                <w:sz w:val="24"/>
              </w:rPr>
              <w:t>护及安全措施等突发应急预案，由评标委员会综合</w:t>
            </w:r>
          </w:p>
          <w:p>
            <w:pPr>
              <w:pStyle w:val="20"/>
              <w:spacing w:before="3"/>
              <w:ind w:left="106"/>
              <w:rPr>
                <w:sz w:val="24"/>
              </w:rPr>
            </w:pPr>
            <w:r>
              <w:rPr>
                <w:sz w:val="24"/>
              </w:rPr>
              <w:t>比较后酌情打分（0-</w:t>
            </w:r>
            <w:r>
              <w:rPr>
                <w:rFonts w:hint="eastAsia"/>
                <w:sz w:val="24"/>
                <w:lang w:val="en-US" w:eastAsia="zh-CN"/>
              </w:rPr>
              <w:t>3</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079" w:type="dxa"/>
          </w:tcPr>
          <w:p>
            <w:pPr>
              <w:pStyle w:val="20"/>
              <w:spacing w:before="2"/>
              <w:jc w:val="center"/>
              <w:rPr>
                <w:sz w:val="23"/>
              </w:rPr>
            </w:pPr>
          </w:p>
          <w:p>
            <w:pPr>
              <w:pStyle w:val="20"/>
              <w:spacing w:before="1"/>
              <w:ind w:left="203"/>
              <w:jc w:val="center"/>
              <w:rPr>
                <w:sz w:val="24"/>
              </w:rPr>
            </w:pPr>
            <w:r>
              <w:rPr>
                <w:rFonts w:hint="eastAsia"/>
                <w:sz w:val="24"/>
                <w:lang w:val="en-US" w:eastAsia="zh-CN"/>
              </w:rPr>
              <w:t>5</w:t>
            </w:r>
          </w:p>
        </w:tc>
        <w:tc>
          <w:tcPr>
            <w:tcW w:w="1788" w:type="dxa"/>
          </w:tcPr>
          <w:p>
            <w:pPr>
              <w:pStyle w:val="20"/>
              <w:spacing w:before="5"/>
              <w:rPr>
                <w:sz w:val="20"/>
              </w:rPr>
            </w:pPr>
          </w:p>
          <w:p>
            <w:pPr>
              <w:pStyle w:val="20"/>
              <w:ind w:right="406"/>
              <w:jc w:val="right"/>
              <w:rPr>
                <w:sz w:val="24"/>
              </w:rPr>
            </w:pPr>
            <w:r>
              <w:rPr>
                <w:sz w:val="24"/>
              </w:rPr>
              <w:t>服务承诺</w:t>
            </w:r>
          </w:p>
        </w:tc>
        <w:tc>
          <w:tcPr>
            <w:tcW w:w="1080" w:type="dxa"/>
          </w:tcPr>
          <w:p>
            <w:pPr>
              <w:pStyle w:val="20"/>
              <w:spacing w:before="2"/>
              <w:rPr>
                <w:sz w:val="23"/>
              </w:rPr>
            </w:pPr>
          </w:p>
          <w:p>
            <w:pPr>
              <w:pStyle w:val="20"/>
              <w:spacing w:before="1"/>
              <w:ind w:left="20"/>
              <w:jc w:val="center"/>
              <w:rPr>
                <w:rFonts w:hint="eastAsia" w:eastAsia="宋体"/>
                <w:sz w:val="24"/>
                <w:lang w:eastAsia="zh-CN"/>
              </w:rPr>
            </w:pPr>
            <w:r>
              <w:rPr>
                <w:rFonts w:hint="eastAsia"/>
                <w:sz w:val="24"/>
                <w:lang w:val="en-US" w:eastAsia="zh-CN"/>
              </w:rPr>
              <w:t>3</w:t>
            </w:r>
          </w:p>
        </w:tc>
        <w:tc>
          <w:tcPr>
            <w:tcW w:w="5550" w:type="dxa"/>
          </w:tcPr>
          <w:p>
            <w:pPr>
              <w:pStyle w:val="20"/>
              <w:spacing w:before="196" w:line="232" w:lineRule="auto"/>
              <w:ind w:left="111" w:right="-15"/>
              <w:rPr>
                <w:sz w:val="24"/>
              </w:rPr>
            </w:pPr>
            <w:r>
              <w:rPr>
                <w:spacing w:val="-8"/>
                <w:sz w:val="24"/>
              </w:rPr>
              <w:t>根据投标人提供的服务承诺情况，由评标委员会综合</w:t>
            </w:r>
            <w:r>
              <w:rPr>
                <w:spacing w:val="-10"/>
                <w:sz w:val="24"/>
              </w:rPr>
              <w:t>比较后酌情打分（0-</w:t>
            </w:r>
            <w:r>
              <w:rPr>
                <w:rFonts w:hint="eastAsia"/>
                <w:spacing w:val="-10"/>
                <w:sz w:val="24"/>
                <w:lang w:val="en-US" w:eastAsia="zh-CN"/>
              </w:rPr>
              <w:t>3</w:t>
            </w:r>
            <w:r>
              <w:rPr>
                <w:spacing w:val="-29"/>
                <w:sz w:val="24"/>
              </w:rPr>
              <w:t>分</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79" w:type="dxa"/>
          </w:tcPr>
          <w:p>
            <w:pPr>
              <w:pStyle w:val="20"/>
              <w:spacing w:before="10"/>
              <w:jc w:val="center"/>
              <w:rPr>
                <w:sz w:val="35"/>
              </w:rPr>
            </w:pPr>
          </w:p>
          <w:p>
            <w:pPr>
              <w:pStyle w:val="20"/>
              <w:ind w:left="203"/>
              <w:jc w:val="center"/>
              <w:rPr>
                <w:sz w:val="24"/>
              </w:rPr>
            </w:pPr>
            <w:r>
              <w:rPr>
                <w:rFonts w:hint="eastAsia"/>
                <w:sz w:val="24"/>
                <w:lang w:val="en-US" w:eastAsia="zh-CN"/>
              </w:rPr>
              <w:t>6</w:t>
            </w:r>
          </w:p>
        </w:tc>
        <w:tc>
          <w:tcPr>
            <w:tcW w:w="1788" w:type="dxa"/>
          </w:tcPr>
          <w:p>
            <w:pPr>
              <w:pStyle w:val="20"/>
              <w:spacing w:before="12"/>
              <w:rPr>
                <w:sz w:val="32"/>
              </w:rPr>
            </w:pPr>
          </w:p>
          <w:p>
            <w:pPr>
              <w:pStyle w:val="20"/>
              <w:ind w:right="406"/>
              <w:jc w:val="right"/>
              <w:rPr>
                <w:sz w:val="24"/>
              </w:rPr>
            </w:pPr>
            <w:r>
              <w:rPr>
                <w:sz w:val="24"/>
              </w:rPr>
              <w:t>项目管理</w:t>
            </w:r>
          </w:p>
        </w:tc>
        <w:tc>
          <w:tcPr>
            <w:tcW w:w="1080" w:type="dxa"/>
          </w:tcPr>
          <w:p>
            <w:pPr>
              <w:pStyle w:val="20"/>
              <w:spacing w:before="10"/>
              <w:rPr>
                <w:sz w:val="35"/>
              </w:rPr>
            </w:pPr>
          </w:p>
          <w:p>
            <w:pPr>
              <w:pStyle w:val="20"/>
              <w:ind w:left="409" w:right="389"/>
              <w:jc w:val="center"/>
              <w:rPr>
                <w:rFonts w:hint="default" w:eastAsia="宋体"/>
                <w:sz w:val="24"/>
                <w:lang w:val="en-US" w:eastAsia="zh-CN"/>
              </w:rPr>
            </w:pPr>
            <w:r>
              <w:rPr>
                <w:rFonts w:hint="eastAsia"/>
                <w:sz w:val="24"/>
                <w:lang w:val="en-US" w:eastAsia="zh-CN"/>
              </w:rPr>
              <w:t>6</w:t>
            </w:r>
          </w:p>
        </w:tc>
        <w:tc>
          <w:tcPr>
            <w:tcW w:w="5550" w:type="dxa"/>
          </w:tcPr>
          <w:p>
            <w:pPr>
              <w:pStyle w:val="20"/>
              <w:spacing w:before="72" w:line="300" w:lineRule="auto"/>
              <w:ind w:left="106" w:right="82"/>
              <w:rPr>
                <w:rFonts w:hint="eastAsia" w:eastAsia="宋体"/>
                <w:sz w:val="24"/>
                <w:lang w:eastAsia="zh-CN"/>
              </w:rPr>
            </w:pPr>
            <w:r>
              <w:rPr>
                <w:spacing w:val="14"/>
                <w:sz w:val="24"/>
              </w:rPr>
              <w:t>投标人针对本项目工作计划、管理制度和考核措</w:t>
            </w:r>
            <w:r>
              <w:rPr>
                <w:spacing w:val="22"/>
                <w:sz w:val="24"/>
              </w:rPr>
              <w:t>施， 由评标委员会综合比较后酌情打分</w:t>
            </w:r>
            <w:r>
              <w:rPr>
                <w:sz w:val="24"/>
              </w:rPr>
              <w:t>（</w:t>
            </w:r>
            <w:r>
              <w:rPr>
                <w:spacing w:val="-93"/>
                <w:sz w:val="24"/>
              </w:rPr>
              <w:t xml:space="preserve"> </w:t>
            </w:r>
            <w:r>
              <w:rPr>
                <w:spacing w:val="-10"/>
                <w:sz w:val="24"/>
              </w:rPr>
              <w:t>0-</w:t>
            </w:r>
            <w:r>
              <w:rPr>
                <w:rFonts w:hint="eastAsia"/>
                <w:spacing w:val="-10"/>
                <w:sz w:val="24"/>
                <w:lang w:val="en-US" w:eastAsia="zh-CN"/>
              </w:rPr>
              <w:t>6</w:t>
            </w:r>
          </w:p>
          <w:p>
            <w:pPr>
              <w:pStyle w:val="20"/>
              <w:spacing w:before="2"/>
              <w:ind w:left="106"/>
              <w:rPr>
                <w:sz w:val="24"/>
              </w:rPr>
            </w:pPr>
            <w:r>
              <w:rPr>
                <w:sz w:val="24"/>
              </w:rPr>
              <w:t>分）。</w:t>
            </w:r>
          </w:p>
        </w:tc>
      </w:tr>
    </w:tbl>
    <w:p>
      <w:pPr>
        <w:spacing w:after="0"/>
        <w:rPr>
          <w:sz w:val="24"/>
        </w:rPr>
        <w:sectPr>
          <w:pgSz w:w="11910" w:h="16840"/>
          <w:pgMar w:top="1420" w:right="220" w:bottom="1160" w:left="580" w:header="1230" w:footer="971" w:gutter="0"/>
          <w:pgBorders>
            <w:top w:val="none" w:sz="0" w:space="0"/>
            <w:left w:val="none" w:sz="0" w:space="0"/>
            <w:bottom w:val="none" w:sz="0" w:space="0"/>
            <w:right w:val="none" w:sz="0" w:space="0"/>
          </w:pgBorders>
          <w:cols w:space="720" w:num="1"/>
        </w:sectPr>
      </w:pPr>
    </w:p>
    <w:p>
      <w:pPr>
        <w:pStyle w:val="8"/>
        <w:rPr>
          <w:sz w:val="20"/>
        </w:rPr>
      </w:pPr>
      <w:r>
        <w:pict>
          <v:shape id="_x0000_s1028" o:spid="_x0000_s1028" o:spt="202" type="#_x0000_t202" style="position:absolute;left:0pt;margin-left:58.45pt;margin-top:70.75pt;height:706.45pt;width:466.5pt;mso-position-horizontal-relative:page;mso-position-vertical-relative:page;z-index:251684864;mso-width-relative:page;mso-height-relative:page;" filled="f" stroked="f" coordsize="21600,21600">
            <v:path/>
            <v:fill on="f" focussize="0,0"/>
            <v:stroke on="f"/>
            <v:imagedata o:title=""/>
            <o:lock v:ext="edit" aspectratio="f"/>
            <v:textbox inset="0mm,0mm,0mm,0mm">
              <w:txbxContent>
                <w:tbl>
                  <w:tblPr>
                    <w:tblStyle w:val="15"/>
                    <w:tblW w:w="913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2"/>
                    <w:gridCol w:w="1676"/>
                    <w:gridCol w:w="1013"/>
                    <w:gridCol w:w="5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1" w:hRule="atLeast"/>
                    </w:trPr>
                    <w:tc>
                      <w:tcPr>
                        <w:tcW w:w="1012" w:type="dxa"/>
                        <w:tcBorders>
                          <w:top w:val="single" w:color="000000" w:sz="4" w:space="0"/>
                          <w:left w:val="single" w:color="000000" w:sz="4" w:space="0"/>
                          <w:bottom w:val="single" w:color="auto" w:sz="4" w:space="0"/>
                          <w:right w:val="single" w:color="000000" w:sz="4" w:space="0"/>
                        </w:tcBorders>
                      </w:tcPr>
                      <w:p>
                        <w:pPr>
                          <w:jc w:val="center"/>
                        </w:pPr>
                      </w:p>
                      <w:p>
                        <w:pPr>
                          <w:jc w:val="center"/>
                        </w:pPr>
                      </w:p>
                      <w:p>
                        <w:pPr>
                          <w:jc w:val="center"/>
                          <w:rPr>
                            <w:rFonts w:hint="eastAsia" w:eastAsia="宋体"/>
                            <w:lang w:eastAsia="zh-CN"/>
                          </w:rPr>
                        </w:pPr>
                        <w:r>
                          <w:rPr>
                            <w:rFonts w:hint="eastAsia"/>
                            <w:lang w:val="en-US" w:eastAsia="zh-CN"/>
                          </w:rPr>
                          <w:t>7</w:t>
                        </w:r>
                      </w:p>
                    </w:tc>
                    <w:tc>
                      <w:tcPr>
                        <w:tcW w:w="1676" w:type="dxa"/>
                        <w:tcBorders>
                          <w:top w:val="single" w:color="000000" w:sz="4" w:space="0"/>
                          <w:left w:val="single" w:color="000000" w:sz="4" w:space="0"/>
                          <w:bottom w:val="single" w:color="auto" w:sz="4" w:space="0"/>
                          <w:right w:val="single" w:color="000000" w:sz="4" w:space="0"/>
                        </w:tcBorders>
                        <w:vAlign w:val="center"/>
                      </w:tcPr>
                      <w:p>
                        <w:pPr>
                          <w:ind w:left="0" w:leftChars="0" w:right="0" w:rightChars="0"/>
                          <w:jc w:val="center"/>
                        </w:pPr>
                        <w:r>
                          <w:rPr>
                            <w:rFonts w:hint="eastAsia" w:asciiTheme="minorEastAsia" w:hAnsiTheme="minorEastAsia" w:eastAsiaTheme="minorEastAsia"/>
                            <w:sz w:val="21"/>
                            <w:szCs w:val="21"/>
                          </w:rPr>
                          <w:t>人员配备情况</w:t>
                        </w:r>
                      </w:p>
                    </w:tc>
                    <w:tc>
                      <w:tcPr>
                        <w:tcW w:w="1013" w:type="dxa"/>
                        <w:tcBorders>
                          <w:top w:val="single" w:color="000000" w:sz="4" w:space="0"/>
                          <w:left w:val="single" w:color="000000" w:sz="4" w:space="0"/>
                          <w:bottom w:val="single" w:color="auto" w:sz="4" w:space="0"/>
                          <w:right w:val="single" w:color="000000" w:sz="4" w:space="0"/>
                        </w:tcBorders>
                        <w:vAlign w:val="center"/>
                      </w:tcPr>
                      <w:p>
                        <w:pPr>
                          <w:ind w:left="0" w:leftChars="0" w:right="0" w:rightChars="0"/>
                          <w:jc w:val="center"/>
                          <w:rPr>
                            <w:rFonts w:hint="eastAsia" w:eastAsiaTheme="minorEastAsia"/>
                            <w:lang w:eastAsia="zh-CN"/>
                          </w:rPr>
                        </w:pPr>
                        <w:r>
                          <w:rPr>
                            <w:rFonts w:hint="eastAsia" w:asciiTheme="minorEastAsia" w:hAnsiTheme="minorEastAsia" w:eastAsiaTheme="minorEastAsia"/>
                            <w:sz w:val="21"/>
                            <w:szCs w:val="21"/>
                            <w:lang w:val="en-US" w:eastAsia="zh-CN"/>
                          </w:rPr>
                          <w:t>4</w:t>
                        </w:r>
                      </w:p>
                    </w:tc>
                    <w:tc>
                      <w:tcPr>
                        <w:tcW w:w="5438" w:type="dxa"/>
                        <w:tcBorders>
                          <w:top w:val="single" w:color="000000" w:sz="4" w:space="0"/>
                          <w:left w:val="single" w:color="000000" w:sz="4" w:space="0"/>
                          <w:bottom w:val="single" w:color="auto" w:sz="4" w:space="0"/>
                          <w:right w:val="single" w:color="000000" w:sz="4" w:space="0"/>
                        </w:tcBorders>
                        <w:vAlign w:val="center"/>
                      </w:tcPr>
                      <w:p>
                        <w:pPr>
                          <w:ind w:left="88" w:leftChars="40" w:right="66" w:rightChars="3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1、根据招标文件要求设置各岗位人员配置情况，根据人员分工、工作流程细化、岗位职责等情况进行评分（0-</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 xml:space="preserve">）。一档 </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-2 分， 二档 1.9-1 分，三档 0.9-0 分</w:t>
                        </w:r>
                        <w:r>
                          <w:rPr>
                            <w:rFonts w:hint="eastAsia" w:asciiTheme="minorEastAsia" w:hAnsiTheme="minorEastAsia" w:eastAsiaTheme="minorEastAsia"/>
                            <w:sz w:val="21"/>
                            <w:szCs w:val="21"/>
                            <w:lang w:eastAsia="zh-CN"/>
                          </w:rPr>
                          <w:t>；且承诺项目负责人全年到场率不低于</w:t>
                        </w:r>
                        <w:r>
                          <w:rPr>
                            <w:rFonts w:hint="eastAsia" w:asciiTheme="minorEastAsia" w:hAnsiTheme="minorEastAsia" w:eastAsiaTheme="minorEastAsia"/>
                            <w:sz w:val="21"/>
                            <w:szCs w:val="21"/>
                            <w:lang w:val="en-US" w:eastAsia="zh-CN"/>
                          </w:rPr>
                          <w:t>80%另加2分，未做承诺的不得分。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5" w:hRule="atLeast"/>
                    </w:trPr>
                    <w:tc>
                      <w:tcPr>
                        <w:tcW w:w="1012" w:type="dxa"/>
                        <w:tcBorders>
                          <w:top w:val="single" w:color="auto" w:sz="4" w:space="0"/>
                          <w:left w:val="single" w:color="auto" w:sz="4" w:space="0"/>
                          <w:bottom w:val="single" w:color="auto" w:sz="4" w:space="0"/>
                          <w:right w:val="single" w:color="auto" w:sz="4" w:space="0"/>
                        </w:tcBorders>
                      </w:tcPr>
                      <w:p>
                        <w:pPr>
                          <w:jc w:val="center"/>
                        </w:pPr>
                      </w:p>
                      <w:p>
                        <w:pPr>
                          <w:jc w:val="center"/>
                        </w:pPr>
                      </w:p>
                      <w:p>
                        <w:pPr>
                          <w:jc w:val="center"/>
                        </w:pPr>
                      </w:p>
                      <w:p>
                        <w:pPr>
                          <w:jc w:val="center"/>
                        </w:pPr>
                      </w:p>
                      <w:p>
                        <w:pPr>
                          <w:jc w:val="center"/>
                        </w:pPr>
                      </w:p>
                      <w:p>
                        <w:pPr>
                          <w:jc w:val="center"/>
                        </w:pPr>
                        <w:r>
                          <w:t>8</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pPr>
                      </w:p>
                      <w:p>
                        <w:pPr>
                          <w:ind w:firstLine="220" w:firstLineChars="100"/>
                          <w:jc w:val="both"/>
                        </w:pPr>
                        <w:r>
                          <w:t>项目负责人</w:t>
                        </w:r>
                      </w:p>
                    </w:tc>
                    <w:tc>
                      <w:tcPr>
                        <w:tcW w:w="1013"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5438" w:type="dxa"/>
                        <w:tcBorders>
                          <w:top w:val="single" w:color="auto" w:sz="4" w:space="0"/>
                          <w:left w:val="single" w:color="auto" w:sz="4" w:space="0"/>
                          <w:bottom w:val="single" w:color="auto" w:sz="4" w:space="0"/>
                          <w:right w:val="single" w:color="auto" w:sz="4" w:space="0"/>
                        </w:tcBorders>
                      </w:tcPr>
                      <w:p>
                        <w:pPr>
                          <w:ind w:left="88" w:leftChars="40" w:right="66" w:rightChars="30"/>
                          <w:rPr>
                            <w:rFonts w:hint="eastAsia" w:asciiTheme="minorEastAsia" w:hAnsiTheme="minorEastAsia" w:eastAsiaTheme="minorEastAsia"/>
                            <w:color w:val="FF0000"/>
                            <w:sz w:val="21"/>
                            <w:szCs w:val="21"/>
                          </w:rPr>
                        </w:pPr>
                        <w:r>
                          <w:rPr>
                            <w:rFonts w:hint="eastAsia" w:asciiTheme="minorEastAsia" w:hAnsiTheme="minorEastAsia" w:eastAsiaTheme="minorEastAsia"/>
                            <w:sz w:val="21"/>
                            <w:szCs w:val="21"/>
                          </w:rPr>
                          <w:t>项目负责人必须在投标人公司有连续一年以上的社保缴纳</w:t>
                        </w:r>
                        <w:r>
                          <w:rPr>
                            <w:rFonts w:hint="eastAsia" w:asciiTheme="minorEastAsia" w:hAnsiTheme="minorEastAsia" w:eastAsiaTheme="minorEastAsia"/>
                            <w:color w:val="FF0000"/>
                            <w:sz w:val="21"/>
                            <w:szCs w:val="21"/>
                          </w:rPr>
                          <w:t>记录。</w:t>
                        </w:r>
                      </w:p>
                      <w:p>
                        <w:pPr>
                          <w:ind w:left="88" w:leftChars="40" w:right="66" w:rightChars="30"/>
                          <w:rPr>
                            <w:rFonts w:hint="eastAsia"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lang w:val="en-US" w:eastAsia="zh-CN"/>
                          </w:rPr>
                          <w:t>1</w:t>
                        </w:r>
                        <w:r>
                          <w:rPr>
                            <w:rFonts w:hint="eastAsia" w:asciiTheme="minorEastAsia" w:hAnsiTheme="minorEastAsia" w:eastAsiaTheme="minorEastAsia"/>
                            <w:color w:val="FF0000"/>
                            <w:sz w:val="21"/>
                            <w:szCs w:val="21"/>
                          </w:rPr>
                          <w:t>、拟任本项目的负责人具有环卫作业项目经理岗位证书且从业 2年以上的得 2 分。</w:t>
                        </w:r>
                      </w:p>
                      <w:p>
                        <w:pPr>
                          <w:ind w:left="88" w:leftChars="40" w:right="66" w:rightChars="30"/>
                          <w:rPr>
                            <w:rFonts w:hint="eastAsia" w:asciiTheme="minorEastAsia" w:hAnsiTheme="minorEastAsia" w:eastAsiaTheme="minorEastAsia"/>
                            <w:sz w:val="21"/>
                            <w:szCs w:val="21"/>
                          </w:rPr>
                        </w:pPr>
                        <w:r>
                          <w:rPr>
                            <w:rFonts w:hint="eastAsia" w:asciiTheme="minorEastAsia" w:hAnsiTheme="minorEastAsia" w:eastAsiaTheme="minorEastAsia"/>
                            <w:color w:val="FF0000"/>
                            <w:sz w:val="21"/>
                            <w:szCs w:val="21"/>
                          </w:rPr>
                          <w:t>注*投标文件中需提供相应职称和证书复印件。并提供项目负责人在投标人公司连续一年以上的社保缴纳证明，未提供的该项分值不得分。</w:t>
                        </w:r>
                        <w:r>
                          <w:rPr>
                            <w:rFonts w:hint="eastAsia" w:asciiTheme="minorEastAsia" w:hAnsiTheme="minorEastAsia" w:eastAsiaTheme="minorEastAsia"/>
                            <w:sz w:val="21"/>
                            <w:szCs w:val="21"/>
                            <w:lang w:eastAsia="zh-CN"/>
                          </w:rPr>
                          <w:t>且承诺项目负责人全年到场率不低于</w:t>
                        </w:r>
                        <w:r>
                          <w:rPr>
                            <w:rFonts w:hint="eastAsia" w:asciiTheme="minorEastAsia" w:hAnsiTheme="minorEastAsia" w:eastAsiaTheme="minorEastAsia"/>
                            <w:sz w:val="21"/>
                            <w:szCs w:val="21"/>
                            <w:lang w:val="en-US" w:eastAsia="zh-CN"/>
                          </w:rPr>
                          <w:t>80%另加2分，未做承诺的不得分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1012" w:type="dxa"/>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p>
                      <w:p>
                        <w:pPr>
                          <w:jc w:val="center"/>
                        </w:pPr>
                      </w:p>
                      <w:p>
                        <w:pPr>
                          <w:jc w:val="center"/>
                        </w:pPr>
                        <w:r>
                          <w:t>9</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pPr>
                      </w:p>
                      <w:p>
                        <w:pPr>
                          <w:jc w:val="center"/>
                        </w:pPr>
                        <w:r>
                          <w:t>公司业绩</w:t>
                        </w:r>
                      </w:p>
                    </w:tc>
                    <w:tc>
                      <w:tcPr>
                        <w:tcW w:w="1013"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p>
                    </w:tc>
                    <w:tc>
                      <w:tcPr>
                        <w:tcW w:w="5438" w:type="dxa"/>
                        <w:tcBorders>
                          <w:top w:val="single" w:color="auto" w:sz="4" w:space="0"/>
                          <w:left w:val="single" w:color="auto" w:sz="4" w:space="0"/>
                          <w:bottom w:val="single" w:color="auto" w:sz="4" w:space="0"/>
                          <w:right w:val="single" w:color="auto" w:sz="4" w:space="0"/>
                        </w:tcBorders>
                      </w:tcPr>
                      <w:p>
                        <w:pPr>
                          <w:rPr>
                            <w:rFonts w:hint="eastAsia"/>
                          </w:rPr>
                        </w:pPr>
                        <w:r>
                          <w:t>提供投标人自 201</w:t>
                        </w:r>
                        <w:r>
                          <w:rPr>
                            <w:rFonts w:hint="eastAsia"/>
                            <w:lang w:val="en-US" w:eastAsia="zh-CN"/>
                          </w:rPr>
                          <w:t>8</w:t>
                        </w:r>
                        <w:r>
                          <w:t xml:space="preserve"> 年 1 月 1 日（以合同签订时间为准）至今实施与本项目规模相当的同类项目（必须含城市道路清扫保洁</w:t>
                        </w:r>
                        <w:r>
                          <w:rPr>
                            <w:rFonts w:hint="eastAsia"/>
                            <w:lang w:eastAsia="zh-CN"/>
                          </w:rPr>
                          <w:t>或</w:t>
                        </w:r>
                        <w:r>
                          <w:t>垃圾清运</w:t>
                        </w:r>
                        <w:r>
                          <w:rPr>
                            <w:rFonts w:hint="eastAsia"/>
                            <w:lang w:eastAsia="zh-CN"/>
                          </w:rPr>
                          <w:t>，须为政府单位一类项目</w:t>
                        </w:r>
                        <w:r>
                          <w:t xml:space="preserve">），每提供一个业绩得 1 分，最高得 </w:t>
                        </w:r>
                        <w:r>
                          <w:rPr>
                            <w:rFonts w:hint="eastAsia"/>
                            <w:lang w:val="en-US" w:eastAsia="zh-CN"/>
                          </w:rPr>
                          <w:t>3</w:t>
                        </w:r>
                        <w:r>
                          <w:t xml:space="preserve">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7" w:hRule="atLeast"/>
                    </w:trPr>
                    <w:tc>
                      <w:tcPr>
                        <w:tcW w:w="1012" w:type="dxa"/>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r>
                          <w:t>10</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pPr>
                      </w:p>
                      <w:p>
                        <w:pPr>
                          <w:jc w:val="center"/>
                        </w:pPr>
                        <w:r>
                          <w:t>重大活</w:t>
                        </w:r>
                      </w:p>
                      <w:p>
                        <w:pPr>
                          <w:jc w:val="center"/>
                        </w:pPr>
                        <w:r>
                          <w:t>动检查评比</w:t>
                        </w:r>
                      </w:p>
                    </w:tc>
                    <w:tc>
                      <w:tcPr>
                        <w:tcW w:w="1013"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c>
                      <w:tcPr>
                        <w:tcW w:w="5438" w:type="dxa"/>
                        <w:tcBorders>
                          <w:top w:val="single" w:color="auto" w:sz="4" w:space="0"/>
                          <w:left w:val="single" w:color="auto" w:sz="4" w:space="0"/>
                          <w:bottom w:val="single" w:color="auto" w:sz="4" w:space="0"/>
                          <w:right w:val="single" w:color="auto" w:sz="4" w:space="0"/>
                        </w:tcBorders>
                      </w:tcPr>
                      <w:p/>
                      <w:p>
                        <w:r>
                          <w:t>迎接重大活动和检查评比的保障措施,根据提供的预案内容，有无具可操作性由评标委员会综合比较后酌情打分（0-</w:t>
                        </w:r>
                        <w:r>
                          <w:rPr>
                            <w:rFonts w:hint="eastAsia"/>
                            <w:lang w:val="en-US" w:eastAsia="zh-CN"/>
                          </w:rPr>
                          <w:t>3</w:t>
                        </w: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8" w:hRule="atLeast"/>
                    </w:trPr>
                    <w:tc>
                      <w:tcPr>
                        <w:tcW w:w="1012" w:type="dxa"/>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r>
                          <w:t>11</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pPr>
                      </w:p>
                      <w:p>
                        <w:pPr>
                          <w:jc w:val="center"/>
                        </w:pPr>
                      </w:p>
                      <w:p>
                        <w:pPr>
                          <w:jc w:val="center"/>
                        </w:pPr>
                        <w:r>
                          <w:t>优惠措施</w:t>
                        </w:r>
                      </w:p>
                    </w:tc>
                    <w:tc>
                      <w:tcPr>
                        <w:tcW w:w="1013" w:type="dxa"/>
                        <w:tcBorders>
                          <w:top w:val="single" w:color="auto" w:sz="4" w:space="0"/>
                          <w:left w:val="single" w:color="auto" w:sz="4" w:space="0"/>
                          <w:bottom w:val="single" w:color="auto" w:sz="4" w:space="0"/>
                          <w:right w:val="single" w:color="auto" w:sz="4" w:space="0"/>
                        </w:tcBorders>
                      </w:tcPr>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rPr>
                        </w:pPr>
                      </w:p>
                      <w:p>
                        <w:pPr>
                          <w:ind w:left="0" w:leftChars="0" w:right="0" w:rightChars="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p>
                    </w:tc>
                    <w:tc>
                      <w:tcPr>
                        <w:tcW w:w="5438" w:type="dxa"/>
                        <w:tcBorders>
                          <w:top w:val="single" w:color="auto" w:sz="4" w:space="0"/>
                          <w:left w:val="single" w:color="auto" w:sz="4" w:space="0"/>
                          <w:bottom w:val="single" w:color="auto" w:sz="4" w:space="0"/>
                          <w:right w:val="single" w:color="auto" w:sz="4" w:space="0"/>
                        </w:tcBorders>
                      </w:tcPr>
                      <w:p/>
                      <w:p>
                        <w:r>
                          <w:t>针对本项目提供的优惠条件、公司优势、当地公司设立情况等方案，由评标委员会综合比较后酌情</w:t>
                        </w:r>
                        <w:r>
                          <w:rPr>
                            <w:rFonts w:hint="eastAsia"/>
                            <w:lang w:eastAsia="zh-CN"/>
                          </w:rPr>
                          <w:t>打</w:t>
                        </w:r>
                        <w:r>
                          <w:t>（0</w:t>
                        </w:r>
                        <w:r>
                          <w:rPr>
                            <w:rFonts w:hint="eastAsia"/>
                            <w:lang w:val="en-US" w:eastAsia="zh-CN"/>
                          </w:rPr>
                          <w:t>-3</w:t>
                        </w: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1012"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pPr>
                        <w:r>
                          <w:rPr>
                            <w:rFonts w:hint="eastAsia"/>
                            <w:lang w:val="en-US"/>
                          </w:rPr>
                          <w:t>12</w:t>
                        </w:r>
                      </w:p>
                    </w:tc>
                    <w:tc>
                      <w:tcPr>
                        <w:tcW w:w="1676"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pPr>
                        <w:r>
                          <w:rPr>
                            <w:rFonts w:hint="eastAsia"/>
                          </w:rPr>
                          <w:t>车辆配备</w:t>
                        </w:r>
                      </w:p>
                    </w:tc>
                    <w:tc>
                      <w:tcPr>
                        <w:tcW w:w="1013"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p>
                    </w:tc>
                    <w:tc>
                      <w:tcPr>
                        <w:tcW w:w="5438" w:type="dxa"/>
                        <w:tcBorders>
                          <w:top w:val="single" w:color="auto" w:sz="4" w:space="0"/>
                          <w:left w:val="single" w:color="auto" w:sz="4" w:space="0"/>
                          <w:bottom w:val="single" w:color="auto" w:sz="4" w:space="0"/>
                          <w:right w:val="single" w:color="auto" w:sz="4" w:space="0"/>
                        </w:tcBorders>
                        <w:vAlign w:val="top"/>
                      </w:tcPr>
                      <w:p>
                        <w:pPr>
                          <w:ind w:left="0" w:leftChars="0" w:right="0" w:rightChars="0"/>
                          <w:rPr>
                            <w:rFonts w:hint="default" w:eastAsia="宋体"/>
                            <w:lang w:val="en-US" w:eastAsia="zh-CN"/>
                          </w:rPr>
                        </w:pPr>
                        <w:r>
                          <w:rPr>
                            <w:rFonts w:hint="eastAsia"/>
                          </w:rPr>
                          <w:t>根据</w:t>
                        </w:r>
                        <w:r>
                          <w:rPr>
                            <w:rFonts w:hint="eastAsia"/>
                            <w:lang w:eastAsia="zh-CN"/>
                          </w:rPr>
                          <w:t>招</w:t>
                        </w:r>
                        <w:r>
                          <w:rPr>
                            <w:rFonts w:hint="eastAsia"/>
                          </w:rPr>
                          <w:t>标文件中</w:t>
                        </w:r>
                        <w:r>
                          <w:rPr>
                            <w:rFonts w:hint="eastAsia"/>
                            <w:lang w:eastAsia="zh-CN"/>
                          </w:rPr>
                          <w:t>要求</w:t>
                        </w:r>
                        <w:r>
                          <w:rPr>
                            <w:rFonts w:hint="eastAsia"/>
                          </w:rPr>
                          <w:t>的本项目投入的车辆的打分</w:t>
                        </w:r>
                        <w:r>
                          <w:rPr>
                            <w:rFonts w:hint="eastAsia"/>
                            <w:lang w:eastAsia="zh-CN"/>
                          </w:rPr>
                          <w:t>必须为公司自有车辆且提供齐全的购置发票、车辆照片、牌照照片的得</w:t>
                        </w:r>
                        <w:r>
                          <w:rPr>
                            <w:rFonts w:hint="eastAsia"/>
                            <w:lang w:val="en-US" w:eastAsia="zh-CN"/>
                          </w:rPr>
                          <w:t>5分，不齐全不得分。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1012"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eastAsia="宋体"/>
                            <w:color w:val="FF0000"/>
                            <w:lang w:val="en-US" w:eastAsia="zh-CN"/>
                          </w:rPr>
                        </w:pPr>
                        <w:r>
                          <w:rPr>
                            <w:rFonts w:hint="eastAsia"/>
                            <w:color w:val="FF0000"/>
                            <w:lang w:val="en-US" w:eastAsia="zh-CN"/>
                          </w:rPr>
                          <w:t>13</w:t>
                        </w:r>
                      </w:p>
                    </w:tc>
                    <w:tc>
                      <w:tcPr>
                        <w:tcW w:w="1676"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FF0000"/>
                          </w:rPr>
                        </w:pPr>
                        <w:r>
                          <w:rPr>
                            <w:rFonts w:hint="eastAsia"/>
                            <w:color w:val="FF0000"/>
                            <w:sz w:val="21"/>
                            <w:szCs w:val="21"/>
                            <w:lang w:val="en-US"/>
                          </w:rPr>
                          <w:t>业主评价</w:t>
                        </w:r>
                      </w:p>
                    </w:tc>
                    <w:tc>
                      <w:tcPr>
                        <w:tcW w:w="1013"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olor w:val="FF0000"/>
                            <w:sz w:val="21"/>
                            <w:szCs w:val="21"/>
                            <w:lang w:val="en-US" w:eastAsia="zh-CN"/>
                          </w:rPr>
                        </w:pPr>
                        <w:r>
                          <w:rPr>
                            <w:rFonts w:hint="eastAsia" w:asciiTheme="minorEastAsia" w:hAnsiTheme="minorEastAsia" w:eastAsiaTheme="minorEastAsia"/>
                            <w:color w:val="FF0000"/>
                            <w:sz w:val="21"/>
                            <w:szCs w:val="21"/>
                            <w:lang w:val="en-US" w:eastAsia="zh-CN"/>
                          </w:rPr>
                          <w:t>3</w:t>
                        </w:r>
                      </w:p>
                    </w:tc>
                    <w:tc>
                      <w:tcPr>
                        <w:tcW w:w="5438" w:type="dxa"/>
                        <w:tcBorders>
                          <w:top w:val="single" w:color="auto" w:sz="4" w:space="0"/>
                          <w:left w:val="single" w:color="auto" w:sz="4" w:space="0"/>
                          <w:bottom w:val="single" w:color="auto" w:sz="4" w:space="0"/>
                          <w:right w:val="single" w:color="auto" w:sz="4" w:space="0"/>
                        </w:tcBorders>
                        <w:vAlign w:val="top"/>
                      </w:tcPr>
                      <w:p>
                        <w:pPr>
                          <w:ind w:left="0" w:leftChars="0" w:right="0" w:rightChars="0"/>
                          <w:rPr>
                            <w:color w:val="FF0000"/>
                          </w:rPr>
                        </w:pPr>
                        <w:r>
                          <w:rPr>
                            <w:rFonts w:hint="eastAsia"/>
                            <w:color w:val="FF0000"/>
                            <w:spacing w:val="-6"/>
                            <w:highlight w:val="none"/>
                            <w:lang w:val="en-US"/>
                          </w:rPr>
                          <w:t>投标人提供201</w:t>
                        </w:r>
                        <w:r>
                          <w:rPr>
                            <w:rFonts w:hint="eastAsia"/>
                            <w:color w:val="FF0000"/>
                            <w:spacing w:val="-6"/>
                            <w:highlight w:val="none"/>
                            <w:lang w:val="en-US" w:eastAsia="zh-CN"/>
                          </w:rPr>
                          <w:t>8</w:t>
                        </w:r>
                        <w:r>
                          <w:rPr>
                            <w:rFonts w:hint="eastAsia"/>
                            <w:color w:val="FF0000"/>
                            <w:spacing w:val="-6"/>
                            <w:highlight w:val="none"/>
                            <w:lang w:val="en-US"/>
                          </w:rPr>
                          <w:t>年1月1日至招标公告发布之日完成过垃圾清运或保洁类似服务业绩的业主评价意见，评价意见为优秀正面且有效的（加盖业主公章），每1个有效评价意见得1.5分，最高得3分。</w:t>
                        </w:r>
                      </w:p>
                    </w:tc>
                  </w:tr>
                </w:tbl>
                <w:p/>
              </w:txbxContent>
            </v:textbox>
          </v:shape>
        </w:pic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
        <w:rPr>
          <w:sz w:val="21"/>
        </w:rPr>
      </w:pPr>
    </w:p>
    <w:p>
      <w:pPr>
        <w:pStyle w:val="8"/>
        <w:ind w:right="919"/>
        <w:jc w:val="center"/>
        <w:sectPr>
          <w:headerReference r:id="rId10" w:type="default"/>
          <w:footerReference r:id="rId11" w:type="default"/>
          <w:pgSz w:w="11910" w:h="16840"/>
          <w:pgMar w:top="1420" w:right="220" w:bottom="1160" w:left="580" w:header="0" w:footer="971" w:gutter="0"/>
          <w:pgBorders>
            <w:top w:val="none" w:sz="0" w:space="0"/>
            <w:left w:val="none" w:sz="0" w:space="0"/>
            <w:bottom w:val="none" w:sz="0" w:space="0"/>
            <w:right w:val="none" w:sz="0" w:space="0"/>
          </w:pgBorders>
          <w:pgNumType w:start="19"/>
          <w:cols w:space="720" w:num="1"/>
        </w:sectPr>
      </w:pPr>
    </w:p>
    <w:p>
      <w:pPr>
        <w:pStyle w:val="8"/>
        <w:rPr>
          <w:sz w:val="20"/>
        </w:rPr>
      </w:pPr>
    </w:p>
    <w:p>
      <w:pPr>
        <w:pStyle w:val="8"/>
        <w:rPr>
          <w:sz w:val="20"/>
        </w:rPr>
      </w:pPr>
    </w:p>
    <w:p>
      <w:pPr>
        <w:pStyle w:val="8"/>
        <w:numPr>
          <w:ilvl w:val="0"/>
          <w:numId w:val="18"/>
        </w:numPr>
        <w:jc w:val="center"/>
        <w:rPr>
          <w:b/>
          <w:bCs/>
          <w:sz w:val="36"/>
          <w:szCs w:val="36"/>
        </w:rPr>
      </w:pPr>
      <w:r>
        <w:rPr>
          <w:rFonts w:hint="eastAsia"/>
          <w:b/>
          <w:bCs/>
          <w:sz w:val="36"/>
          <w:szCs w:val="36"/>
        </w:rPr>
        <w:t>公开招标需求</w:t>
      </w:r>
    </w:p>
    <w:p>
      <w:pPr>
        <w:pStyle w:val="6"/>
        <w:keepNext w:val="0"/>
        <w:keepLines w:val="0"/>
        <w:pageBreakBefore w:val="0"/>
        <w:widowControl w:val="0"/>
        <w:kinsoku/>
        <w:wordWrap/>
        <w:overflowPunct/>
        <w:topLinePunct w:val="0"/>
        <w:autoSpaceDE w:val="0"/>
        <w:autoSpaceDN w:val="0"/>
        <w:bidi w:val="0"/>
        <w:adjustRightInd/>
        <w:snapToGrid/>
        <w:spacing w:before="5" w:line="360" w:lineRule="exact"/>
        <w:ind w:left="620"/>
        <w:textAlignment w:val="auto"/>
        <w:rPr>
          <w:rFonts w:hint="eastAsia"/>
          <w:lang w:eastAsia="zh-CN"/>
        </w:rPr>
      </w:pPr>
      <w:r>
        <w:rPr>
          <w:rFonts w:hint="eastAsia"/>
          <w:lang w:eastAsia="zh-CN"/>
        </w:rPr>
        <w:t>一、项目概况</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579"/>
        <w:textAlignment w:val="auto"/>
      </w:pPr>
      <w:r>
        <w:t>1、项目名称：</w:t>
      </w:r>
      <w:r>
        <w:rPr>
          <w:rFonts w:hint="eastAsia"/>
          <w:lang w:eastAsia="zh-CN"/>
        </w:rPr>
        <w:t>温岭市滨海镇保洁环卫及垃圾清运项目</w:t>
      </w:r>
      <w:r>
        <w:t>采购</w:t>
      </w:r>
    </w:p>
    <w:p>
      <w:pPr>
        <w:pStyle w:val="8"/>
        <w:keepNext w:val="0"/>
        <w:keepLines w:val="0"/>
        <w:pageBreakBefore w:val="0"/>
        <w:widowControl w:val="0"/>
        <w:kinsoku/>
        <w:wordWrap/>
        <w:overflowPunct/>
        <w:topLinePunct w:val="0"/>
        <w:autoSpaceDE w:val="0"/>
        <w:autoSpaceDN w:val="0"/>
        <w:bidi w:val="0"/>
        <w:adjustRightInd/>
        <w:snapToGrid/>
        <w:spacing w:before="4" w:line="360" w:lineRule="exact"/>
        <w:ind w:left="579"/>
        <w:textAlignment w:val="auto"/>
      </w:pPr>
      <w:r>
        <w:t>2、项目预算：</w:t>
      </w:r>
      <w:r>
        <w:rPr>
          <w:rFonts w:hint="eastAsia"/>
          <w:lang w:val="en-US" w:eastAsia="zh-CN"/>
        </w:rPr>
        <w:t>1850000</w:t>
      </w:r>
      <w:r>
        <w:t>元</w:t>
      </w:r>
    </w:p>
    <w:p>
      <w:pPr>
        <w:pStyle w:val="6"/>
        <w:keepNext w:val="0"/>
        <w:keepLines w:val="0"/>
        <w:pageBreakBefore w:val="0"/>
        <w:widowControl w:val="0"/>
        <w:kinsoku/>
        <w:wordWrap/>
        <w:overflowPunct/>
        <w:topLinePunct w:val="0"/>
        <w:autoSpaceDE w:val="0"/>
        <w:autoSpaceDN w:val="0"/>
        <w:bidi w:val="0"/>
        <w:adjustRightInd/>
        <w:snapToGrid/>
        <w:spacing w:before="5" w:line="360" w:lineRule="exact"/>
        <w:ind w:left="620"/>
        <w:textAlignment w:val="auto"/>
      </w:pPr>
      <w:r>
        <w:t>二、项目实施范围和内容</w:t>
      </w:r>
    </w:p>
    <w:p>
      <w:pPr>
        <w:pStyle w:val="7"/>
        <w:keepNext w:val="0"/>
        <w:keepLines w:val="0"/>
        <w:pageBreakBefore w:val="0"/>
        <w:widowControl w:val="0"/>
        <w:kinsoku/>
        <w:wordWrap/>
        <w:overflowPunct/>
        <w:topLinePunct w:val="0"/>
        <w:autoSpaceDE w:val="0"/>
        <w:autoSpaceDN w:val="0"/>
        <w:bidi w:val="0"/>
        <w:adjustRightInd/>
        <w:snapToGrid/>
        <w:spacing w:before="3" w:line="360" w:lineRule="exact"/>
        <w:ind w:left="579"/>
        <w:textAlignment w:val="auto"/>
      </w:pPr>
      <w:r>
        <w:t>（一）、服务范围</w:t>
      </w:r>
    </w:p>
    <w:p>
      <w:pPr>
        <w:keepNext w:val="0"/>
        <w:keepLines w:val="0"/>
        <w:pageBreakBefore w:val="0"/>
        <w:widowControl w:val="0"/>
        <w:kinsoku/>
        <w:wordWrap/>
        <w:overflowPunct/>
        <w:topLinePunct w:val="0"/>
        <w:autoSpaceDE/>
        <w:autoSpaceDN/>
        <w:bidi w:val="0"/>
        <w:adjustRightInd/>
        <w:spacing w:line="390" w:lineRule="exact"/>
        <w:ind w:firstLine="880" w:firstLineChars="400"/>
        <w:textAlignment w:val="auto"/>
        <w:outlineLvl w:val="9"/>
        <w:rPr>
          <w:rFonts w:hint="eastAsia"/>
          <w:color w:val="FF0000"/>
          <w:lang w:eastAsia="zh-CN"/>
        </w:rPr>
      </w:pPr>
      <w:r>
        <w:t>项目实施范围：</w:t>
      </w:r>
      <w:r>
        <w:rPr>
          <w:rFonts w:hint="eastAsia"/>
          <w:lang w:eastAsia="zh-CN"/>
        </w:rPr>
        <w:t>（</w:t>
      </w:r>
      <w:r>
        <w:rPr>
          <w:rFonts w:hint="eastAsia"/>
          <w:lang w:val="en-US" w:eastAsia="zh-CN"/>
        </w:rPr>
        <w:t>1</w:t>
      </w:r>
      <w:r>
        <w:rPr>
          <w:rFonts w:hint="eastAsia"/>
          <w:color w:val="FF0000"/>
          <w:lang w:eastAsia="zh-CN"/>
        </w:rPr>
        <w:t>）</w:t>
      </w:r>
      <w:r>
        <w:rPr>
          <w:rFonts w:hint="eastAsia"/>
          <w:color w:val="auto"/>
          <w:lang w:eastAsia="zh-CN"/>
        </w:rPr>
        <w:t>清扫范围：</w:t>
      </w:r>
      <w:r>
        <w:rPr>
          <w:rFonts w:hint="eastAsia"/>
          <w:color w:val="FF0000"/>
          <w:lang w:eastAsia="zh-CN"/>
        </w:rPr>
        <w:t>《山金线（背街小巷、东楼村、镇靖村菜场周边区块、两村所有公园节点、镇政府停车场、公园）、</w:t>
      </w:r>
      <w:r>
        <w:rPr>
          <w:rFonts w:hint="eastAsia"/>
          <w:color w:val="FF0000"/>
        </w:rPr>
        <w:t>镇海路（海新村公园至工业区）长征线（明华齿轮厂至金山路段步行道和绿化），横河大道步行道和绿化</w:t>
      </w:r>
      <w:r>
        <w:rPr>
          <w:rFonts w:hint="eastAsia"/>
          <w:color w:val="FF0000"/>
          <w:lang w:eastAsia="zh-CN"/>
        </w:rPr>
        <w:t>带</w:t>
      </w:r>
      <w:r>
        <w:rPr>
          <w:rFonts w:hint="eastAsia"/>
          <w:color w:val="FF0000"/>
        </w:rPr>
        <w:t>、坦龙线（包括商业街，决心村到利欧老厂及永丰村入城口步行道</w:t>
      </w:r>
      <w:r>
        <w:rPr>
          <w:rFonts w:hint="eastAsia"/>
          <w:color w:val="FF0000"/>
          <w:lang w:eastAsia="zh-CN"/>
        </w:rPr>
        <w:t>、</w:t>
      </w:r>
      <w:r>
        <w:rPr>
          <w:rFonts w:hint="eastAsia"/>
          <w:color w:val="FF0000"/>
        </w:rPr>
        <w:t>绿化</w:t>
      </w:r>
      <w:r>
        <w:rPr>
          <w:rFonts w:hint="eastAsia"/>
          <w:color w:val="FF0000"/>
          <w:lang w:eastAsia="zh-CN"/>
        </w:rPr>
        <w:t>带及游步道、便民服务中心门口至主干道</w:t>
      </w:r>
      <w:r>
        <w:rPr>
          <w:rFonts w:hint="eastAsia"/>
          <w:color w:val="FF0000"/>
        </w:rPr>
        <w:t>）</w:t>
      </w:r>
      <w:r>
        <w:rPr>
          <w:rFonts w:hint="eastAsia"/>
          <w:color w:val="FF0000"/>
          <w:lang w:eastAsia="zh-CN"/>
        </w:rPr>
        <w:t>、</w:t>
      </w:r>
      <w:r>
        <w:rPr>
          <w:rFonts w:hint="eastAsia"/>
          <w:color w:val="FF0000"/>
        </w:rPr>
        <w:t>滨海大道</w:t>
      </w:r>
      <w:r>
        <w:rPr>
          <w:rFonts w:hint="eastAsia"/>
          <w:color w:val="FF0000"/>
          <w:lang w:eastAsia="zh-CN"/>
        </w:rPr>
        <w:t>、豪润花园、万通家园、滨海湾小区周边人行步道；</w:t>
      </w:r>
      <w:r>
        <w:rPr>
          <w:rFonts w:hint="eastAsia"/>
          <w:color w:val="FF0000"/>
        </w:rPr>
        <w:t>路面清扫范围包括机动车道、非机动车道、人行道绿化带、沿线建设节点、果壳箱、垃圾桶、小广告（包括牛皮癣）以及店面</w:t>
      </w:r>
      <w:r>
        <w:rPr>
          <w:rFonts w:hint="eastAsia"/>
          <w:color w:val="FF0000"/>
          <w:lang w:eastAsia="zh-CN"/>
        </w:rPr>
        <w:t>（户）门口》</w:t>
      </w:r>
    </w:p>
    <w:p>
      <w:pPr>
        <w:keepNext w:val="0"/>
        <w:keepLines w:val="0"/>
        <w:pageBreakBefore w:val="0"/>
        <w:widowControl w:val="0"/>
        <w:kinsoku/>
        <w:wordWrap/>
        <w:overflowPunct/>
        <w:topLinePunct w:val="0"/>
        <w:autoSpaceDE/>
        <w:autoSpaceDN/>
        <w:bidi w:val="0"/>
        <w:adjustRightInd/>
        <w:spacing w:line="390" w:lineRule="exact"/>
        <w:ind w:firstLine="440" w:firstLineChars="200"/>
        <w:textAlignment w:val="auto"/>
        <w:outlineLvl w:val="9"/>
        <w:rPr>
          <w:rFonts w:hint="eastAsia" w:ascii="宋体" w:hAnsi="宋体"/>
          <w:snapToGrid w:val="0"/>
          <w:kern w:val="0"/>
          <w:sz w:val="24"/>
        </w:rPr>
      </w:pPr>
      <w:r>
        <w:rPr>
          <w:rFonts w:hint="eastAsia"/>
          <w:lang w:eastAsia="zh-CN"/>
        </w:rPr>
        <w:t>（</w:t>
      </w:r>
      <w:r>
        <w:rPr>
          <w:rFonts w:hint="eastAsia"/>
          <w:lang w:val="en-US" w:eastAsia="zh-CN"/>
        </w:rPr>
        <w:t>2</w:t>
      </w:r>
      <w:r>
        <w:rPr>
          <w:rFonts w:hint="eastAsia"/>
          <w:lang w:eastAsia="zh-CN"/>
        </w:rPr>
        <w:t>）</w:t>
      </w:r>
      <w:r>
        <w:rPr>
          <w:rFonts w:hint="eastAsia" w:ascii="宋体" w:hAnsi="宋体"/>
          <w:snapToGrid w:val="0"/>
          <w:kern w:val="0"/>
          <w:sz w:val="24"/>
          <w:lang w:eastAsia="zh-CN"/>
        </w:rPr>
        <w:t>清运主要内容</w:t>
      </w:r>
      <w:r>
        <w:rPr>
          <w:rFonts w:hint="eastAsia" w:ascii="宋体" w:hAnsi="宋体"/>
          <w:snapToGrid w:val="0"/>
          <w:kern w:val="0"/>
          <w:sz w:val="24"/>
        </w:rPr>
        <w:t>:</w:t>
      </w:r>
    </w:p>
    <w:p>
      <w:pPr>
        <w:keepNext w:val="0"/>
        <w:keepLines w:val="0"/>
        <w:pageBreakBefore w:val="0"/>
        <w:widowControl w:val="0"/>
        <w:numPr>
          <w:ilvl w:val="0"/>
          <w:numId w:val="0"/>
        </w:numPr>
        <w:kinsoku/>
        <w:wordWrap/>
        <w:overflowPunct/>
        <w:topLinePunct w:val="0"/>
        <w:autoSpaceDE/>
        <w:autoSpaceDN/>
        <w:bidi w:val="0"/>
        <w:adjustRightInd/>
        <w:spacing w:line="390" w:lineRule="exact"/>
        <w:ind w:firstLine="480" w:firstLineChars="200"/>
        <w:textAlignment w:val="auto"/>
        <w:outlineLvl w:val="9"/>
        <w:rPr>
          <w:rFonts w:hint="eastAsia"/>
          <w:spacing w:val="-12"/>
          <w:lang w:val="en-US" w:eastAsia="zh-CN"/>
        </w:rPr>
      </w:pPr>
      <w:r>
        <w:rPr>
          <w:rFonts w:hint="eastAsia" w:ascii="宋体" w:hAnsi="宋体"/>
          <w:snapToGrid w:val="0"/>
          <w:kern w:val="0"/>
          <w:sz w:val="24"/>
          <w:lang w:eastAsia="zh-CN"/>
        </w:rPr>
        <w:t>①</w:t>
      </w:r>
      <w:r>
        <w:rPr>
          <w:rFonts w:hint="eastAsia" w:ascii="宋体" w:hAnsi="宋体"/>
          <w:snapToGrid w:val="0"/>
          <w:kern w:val="0"/>
          <w:sz w:val="24"/>
        </w:rPr>
        <w:t>滨海镇辖区内的生活垃圾，收集压缩线路各集中点的垃圾收集、分类、清运工作，运至垃圾焚烧厂处理；</w:t>
      </w:r>
      <w:r>
        <w:rPr>
          <w:rFonts w:hint="eastAsia" w:ascii="宋体" w:hAnsi="宋体"/>
          <w:snapToGrid w:val="0"/>
          <w:kern w:val="0"/>
          <w:sz w:val="24"/>
          <w:lang w:eastAsia="zh-CN"/>
        </w:rPr>
        <w:t>②</w:t>
      </w:r>
      <w:r>
        <w:rPr>
          <w:rFonts w:hint="eastAsia" w:ascii="宋体" w:hAnsi="宋体"/>
          <w:snapToGrid w:val="0"/>
          <w:kern w:val="0"/>
          <w:sz w:val="24"/>
        </w:rPr>
        <w:t>滨海镇辖区内的大件垃圾收集、分类处置、清运工作，运至垃圾焚烧厂处理。</w:t>
      </w:r>
      <w:r>
        <w:rPr>
          <w:rFonts w:hint="eastAsia" w:ascii="宋体" w:hAnsi="宋体"/>
          <w:snapToGrid w:val="0"/>
          <w:kern w:val="0"/>
          <w:sz w:val="24"/>
          <w:lang w:eastAsia="zh-CN"/>
        </w:rPr>
        <w:t>③</w:t>
      </w:r>
      <w:r>
        <w:rPr>
          <w:rFonts w:hint="eastAsia" w:ascii="宋体" w:hAnsi="宋体"/>
          <w:snapToGrid w:val="0"/>
          <w:kern w:val="0"/>
          <w:sz w:val="24"/>
        </w:rPr>
        <w:t>滨海镇辖区内的河道垃圾收集、分类处置、清运工作，运至垃圾焚烧厂处理。</w:t>
      </w:r>
      <w:r>
        <w:rPr>
          <w:rFonts w:hint="eastAsia" w:ascii="宋体" w:hAnsi="宋体"/>
          <w:snapToGrid w:val="0"/>
          <w:kern w:val="0"/>
          <w:sz w:val="24"/>
          <w:lang w:eastAsia="zh-CN"/>
        </w:rPr>
        <w:t>④</w:t>
      </w:r>
      <w:r>
        <w:rPr>
          <w:rFonts w:hint="eastAsia" w:ascii="宋体" w:hAnsi="宋体"/>
          <w:snapToGrid w:val="0"/>
          <w:kern w:val="0"/>
          <w:sz w:val="24"/>
        </w:rPr>
        <w:t>垃圾中转并负责垃圾装车外运及全部分类处理。</w:t>
      </w:r>
      <w:r>
        <w:rPr>
          <w:rFonts w:hint="eastAsia" w:ascii="宋体" w:hAnsi="宋体"/>
          <w:snapToGrid w:val="0"/>
          <w:kern w:val="0"/>
          <w:sz w:val="24"/>
          <w:lang w:eastAsia="zh-CN"/>
        </w:rPr>
        <w:t>⑤车辆停放</w:t>
      </w:r>
      <w:r>
        <w:rPr>
          <w:rFonts w:hint="eastAsia" w:ascii="宋体" w:hAnsi="宋体"/>
          <w:snapToGrid w:val="0"/>
          <w:kern w:val="0"/>
          <w:sz w:val="24"/>
        </w:rPr>
        <w:t>站及相关机械设备、车辆等的维修保养、年检、管理及安全工作；</w:t>
      </w:r>
      <w:r>
        <w:rPr>
          <w:rFonts w:hint="eastAsia" w:ascii="宋体" w:hAnsi="宋体"/>
          <w:snapToGrid w:val="0"/>
          <w:kern w:val="0"/>
          <w:sz w:val="24"/>
          <w:lang w:eastAsia="zh-CN"/>
        </w:rPr>
        <w:t>车辆停放</w:t>
      </w:r>
      <w:r>
        <w:rPr>
          <w:rFonts w:hint="eastAsia" w:ascii="宋体" w:hAnsi="宋体"/>
          <w:snapToGrid w:val="0"/>
          <w:kern w:val="0"/>
          <w:sz w:val="24"/>
        </w:rPr>
        <w:t>站场内的环境整治、保洁，确保中转站的环境清洁、整齐。</w:t>
      </w:r>
      <w:r>
        <w:rPr>
          <w:rFonts w:hint="eastAsia" w:ascii="宋体" w:hAnsi="宋体"/>
          <w:snapToGrid w:val="0"/>
          <w:kern w:val="0"/>
          <w:sz w:val="24"/>
          <w:lang w:eastAsia="zh-CN"/>
        </w:rPr>
        <w:t>⑥</w:t>
      </w:r>
      <w:r>
        <w:rPr>
          <w:rFonts w:hint="eastAsia" w:ascii="宋体" w:hAnsi="宋体"/>
          <w:snapToGrid w:val="0"/>
          <w:kern w:val="0"/>
          <w:sz w:val="24"/>
        </w:rPr>
        <w:t>各类清运车、</w:t>
      </w:r>
      <w:r>
        <w:rPr>
          <w:rFonts w:hint="eastAsia" w:ascii="宋体" w:hAnsi="宋体"/>
          <w:snapToGrid w:val="0"/>
          <w:kern w:val="0"/>
          <w:sz w:val="24"/>
          <w:lang w:eastAsia="zh-CN"/>
        </w:rPr>
        <w:t>洒水车、</w:t>
      </w:r>
      <w:r>
        <w:rPr>
          <w:rFonts w:hint="eastAsia" w:ascii="宋体" w:hAnsi="宋体"/>
          <w:snapToGrid w:val="0"/>
          <w:kern w:val="0"/>
          <w:sz w:val="24"/>
        </w:rPr>
        <w:t>铲车、打包机、</w:t>
      </w:r>
      <w:r>
        <w:rPr>
          <w:rFonts w:hint="eastAsia" w:ascii="宋体" w:hAnsi="宋体"/>
          <w:snapToGrid w:val="0"/>
          <w:kern w:val="0"/>
          <w:sz w:val="24"/>
          <w:lang w:eastAsia="zh-CN"/>
        </w:rPr>
        <w:t>小货车等车辆</w:t>
      </w:r>
      <w:r>
        <w:rPr>
          <w:rFonts w:hint="eastAsia" w:ascii="宋体" w:hAnsi="宋体"/>
          <w:snapToGrid w:val="0"/>
          <w:kern w:val="0"/>
          <w:sz w:val="24"/>
        </w:rPr>
        <w:t>的清洗。（车辆出站必须清洗）</w:t>
      </w:r>
      <w:r>
        <w:rPr>
          <w:rFonts w:hint="eastAsia" w:ascii="宋体" w:hAnsi="宋体"/>
          <w:snapToGrid w:val="0"/>
          <w:kern w:val="0"/>
          <w:sz w:val="24"/>
          <w:lang w:eastAsia="zh-CN"/>
        </w:rPr>
        <w:t>⑦</w:t>
      </w:r>
      <w:r>
        <w:rPr>
          <w:rFonts w:hint="eastAsia" w:ascii="宋体" w:hAnsi="宋体"/>
          <w:snapToGrid w:val="0"/>
          <w:kern w:val="0"/>
          <w:sz w:val="24"/>
        </w:rPr>
        <w:t>驾驶员、跟车小工及相关人员的管理及安全工作。</w:t>
      </w:r>
      <w:r>
        <w:rPr>
          <w:rFonts w:hint="eastAsia"/>
          <w:sz w:val="24"/>
          <w:szCs w:val="24"/>
          <w:lang w:val="en-US" w:eastAsia="zh-CN"/>
        </w:rPr>
        <w:t xml:space="preserve">垃圾车收集时须做好垃圾分类工作。                                 </w:t>
      </w:r>
      <w:r>
        <w:rPr>
          <w:rFonts w:hint="eastAsia"/>
          <w:spacing w:val="-12"/>
          <w:sz w:val="24"/>
          <w:szCs w:val="24"/>
          <w:lang w:val="en-US" w:eastAsia="zh-CN"/>
        </w:rPr>
        <w:t xml:space="preserve">                                </w:t>
      </w:r>
      <w:r>
        <w:rPr>
          <w:rFonts w:hint="eastAsia"/>
          <w:spacing w:val="-12"/>
          <w:lang w:val="en-US" w:eastAsia="zh-CN"/>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161" w:line="360" w:lineRule="exact"/>
        <w:ind w:firstLine="720" w:firstLineChars="300"/>
        <w:textAlignment w:val="auto"/>
      </w:pPr>
      <w:r>
        <w:t>道路总面积仅供参考，投标人须自行实地考察统计，对面积有争议的，不影响本项目最终报价。</w:t>
      </w:r>
    </w:p>
    <w:p>
      <w:pPr>
        <w:pStyle w:val="8"/>
        <w:keepNext w:val="0"/>
        <w:keepLines w:val="0"/>
        <w:pageBreakBefore w:val="0"/>
        <w:widowControl w:val="0"/>
        <w:kinsoku/>
        <w:wordWrap/>
        <w:overflowPunct/>
        <w:topLinePunct w:val="0"/>
        <w:autoSpaceDE w:val="0"/>
        <w:autoSpaceDN w:val="0"/>
        <w:bidi w:val="0"/>
        <w:adjustRightInd/>
        <w:snapToGrid/>
        <w:spacing w:before="161" w:line="360" w:lineRule="exact"/>
        <w:ind w:left="857"/>
        <w:textAlignment w:val="auto"/>
      </w:pPr>
      <w:r>
        <w:t>本项目保洁责任范围以外新增清扫路段，每处面积少于 2000 平方米（含）的，中标人要根据</w:t>
      </w:r>
    </w:p>
    <w:p>
      <w:pPr>
        <w:pStyle w:val="8"/>
        <w:keepNext w:val="0"/>
        <w:keepLines w:val="0"/>
        <w:pageBreakBefore w:val="0"/>
        <w:widowControl w:val="0"/>
        <w:kinsoku/>
        <w:wordWrap/>
        <w:overflowPunct/>
        <w:topLinePunct w:val="0"/>
        <w:autoSpaceDE w:val="0"/>
        <w:autoSpaceDN w:val="0"/>
        <w:bidi w:val="0"/>
        <w:adjustRightInd/>
        <w:snapToGrid/>
        <w:spacing w:before="158" w:line="360" w:lineRule="exact"/>
        <w:ind w:left="340" w:right="0"/>
        <w:textAlignment w:val="auto"/>
      </w:pPr>
      <w:r>
        <w:rPr>
          <w:spacing w:val="-13"/>
        </w:rPr>
        <w:t xml:space="preserve">采购人的指定，无条件接受清扫保洁任务，不得提出任何费用要求；新增道路面积在 </w:t>
      </w:r>
      <w:r>
        <w:rPr>
          <w:spacing w:val="-7"/>
        </w:rPr>
        <w:t>2000</w:t>
      </w:r>
      <w:r>
        <w:rPr>
          <w:spacing w:val="-12"/>
        </w:rPr>
        <w:t xml:space="preserve"> 平方米</w:t>
      </w:r>
      <w:r>
        <w:rPr>
          <w:spacing w:val="-10"/>
        </w:rPr>
        <w:t>以上的，另行协商。</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857"/>
        <w:textAlignment w:val="auto"/>
        <w:rPr>
          <w:sz w:val="21"/>
        </w:rPr>
      </w:pPr>
      <w:r>
        <w:t>本项目采购人指定的其他区域。</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339"/>
        <w:textAlignment w:val="auto"/>
      </w:pPr>
      <w:bookmarkStart w:id="22" w:name="（二）项目实施内容"/>
      <w:bookmarkEnd w:id="22"/>
      <w:r>
        <w:t>（二）项目实施内容</w:t>
      </w:r>
    </w:p>
    <w:p>
      <w:pPr>
        <w:pStyle w:val="8"/>
        <w:keepNext w:val="0"/>
        <w:keepLines w:val="0"/>
        <w:pageBreakBefore w:val="0"/>
        <w:widowControl w:val="0"/>
        <w:kinsoku/>
        <w:wordWrap/>
        <w:overflowPunct/>
        <w:topLinePunct w:val="0"/>
        <w:autoSpaceDE w:val="0"/>
        <w:autoSpaceDN w:val="0"/>
        <w:bidi w:val="0"/>
        <w:adjustRightInd/>
        <w:snapToGrid/>
        <w:spacing w:before="69" w:line="360" w:lineRule="exact"/>
        <w:ind w:left="339" w:firstLine="240" w:firstLineChars="100"/>
        <w:textAlignment w:val="auto"/>
      </w:pPr>
      <w:r>
        <w:t>1、市政道路人工和机械清扫保洁作业；</w:t>
      </w:r>
    </w:p>
    <w:p>
      <w:pPr>
        <w:pStyle w:val="8"/>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pPr>
      <w:r>
        <w:t>2、道路洒水、道路冲洗、道路降尘作业;</w:t>
      </w:r>
    </w:p>
    <w:p>
      <w:pPr>
        <w:pStyle w:val="8"/>
        <w:keepNext w:val="0"/>
        <w:keepLines w:val="0"/>
        <w:pageBreakBefore w:val="0"/>
        <w:widowControl w:val="0"/>
        <w:kinsoku/>
        <w:wordWrap/>
        <w:overflowPunct/>
        <w:topLinePunct w:val="0"/>
        <w:autoSpaceDE w:val="0"/>
        <w:autoSpaceDN w:val="0"/>
        <w:bidi w:val="0"/>
        <w:adjustRightInd/>
        <w:snapToGrid/>
        <w:spacing w:before="52" w:line="360" w:lineRule="exact"/>
        <w:ind w:left="339" w:firstLine="240" w:firstLineChars="100"/>
        <w:textAlignment w:val="auto"/>
      </w:pPr>
      <w:r>
        <w:t>3、道沿石面、人行道地面、广场地面的清洗作业；</w:t>
      </w:r>
    </w:p>
    <w:p>
      <w:pPr>
        <w:pStyle w:val="8"/>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pPr>
      <w:r>
        <w:t>4、垃圾箱、果屑箱的清掏清洗和维护；</w:t>
      </w:r>
    </w:p>
    <w:p>
      <w:pPr>
        <w:pStyle w:val="8"/>
        <w:keepNext w:val="0"/>
        <w:keepLines w:val="0"/>
        <w:pageBreakBefore w:val="0"/>
        <w:widowControl w:val="0"/>
        <w:kinsoku/>
        <w:wordWrap/>
        <w:overflowPunct/>
        <w:topLinePunct w:val="0"/>
        <w:autoSpaceDE w:val="0"/>
        <w:autoSpaceDN w:val="0"/>
        <w:bidi w:val="0"/>
        <w:adjustRightInd/>
        <w:snapToGrid/>
        <w:spacing w:before="52" w:line="360" w:lineRule="exact"/>
        <w:ind w:left="339" w:firstLine="240" w:firstLineChars="100"/>
        <w:textAlignment w:val="auto"/>
      </w:pPr>
      <w:r>
        <w:t>5、市政道路、人行道杂草清除清扫；</w:t>
      </w:r>
    </w:p>
    <w:p>
      <w:pPr>
        <w:pStyle w:val="8"/>
        <w:keepNext w:val="0"/>
        <w:keepLines w:val="0"/>
        <w:pageBreakBefore w:val="0"/>
        <w:widowControl w:val="0"/>
        <w:kinsoku/>
        <w:wordWrap/>
        <w:overflowPunct/>
        <w:topLinePunct w:val="0"/>
        <w:autoSpaceDE w:val="0"/>
        <w:autoSpaceDN w:val="0"/>
        <w:bidi w:val="0"/>
        <w:adjustRightInd/>
        <w:snapToGrid/>
        <w:spacing w:before="53" w:line="360" w:lineRule="exact"/>
        <w:ind w:left="339" w:right="808" w:firstLine="240" w:firstLineChars="100"/>
        <w:textAlignment w:val="auto"/>
      </w:pPr>
      <w:r>
        <w:t>6</w:t>
      </w:r>
      <w:r>
        <w:rPr>
          <w:spacing w:val="-3"/>
        </w:rPr>
        <w:t>、市政道路中央绿化隔离带、机非绿化隔离带及道路沿线两侧</w:t>
      </w:r>
      <w:r>
        <w:rPr>
          <w:rFonts w:hint="eastAsia"/>
          <w:spacing w:val="-3"/>
          <w:lang w:eastAsia="zh-CN"/>
        </w:rPr>
        <w:t>至廊下</w:t>
      </w:r>
      <w:r>
        <w:rPr>
          <w:spacing w:val="-9"/>
        </w:rPr>
        <w:t>保洁和</w:t>
      </w:r>
      <w:r>
        <w:rPr>
          <w:rFonts w:hint="eastAsia"/>
        </w:rPr>
        <w:t>小广告</w:t>
      </w:r>
      <w:r>
        <w:rPr>
          <w:spacing w:val="-9"/>
        </w:rPr>
        <w:t>“牛皮癣”清</w:t>
      </w:r>
      <w:r>
        <w:t>理；</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339" w:firstLine="240" w:firstLineChars="100"/>
        <w:textAlignment w:val="auto"/>
      </w:pPr>
      <w:r>
        <w:t>7、清扫保洁垃圾的清理清运；</w:t>
      </w:r>
    </w:p>
    <w:p>
      <w:pPr>
        <w:pStyle w:val="8"/>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pPr>
      <w:r>
        <w:t>8、零星散落无主垃圾、清扫保洁垃圾的清理清运。</w:t>
      </w:r>
    </w:p>
    <w:p>
      <w:pPr>
        <w:pStyle w:val="8"/>
        <w:keepNext w:val="0"/>
        <w:keepLines w:val="0"/>
        <w:pageBreakBefore w:val="0"/>
        <w:widowControl w:val="0"/>
        <w:kinsoku/>
        <w:wordWrap/>
        <w:overflowPunct/>
        <w:topLinePunct w:val="0"/>
        <w:autoSpaceDE w:val="0"/>
        <w:autoSpaceDN w:val="0"/>
        <w:bidi w:val="0"/>
        <w:adjustRightInd/>
        <w:snapToGrid/>
        <w:spacing w:before="4" w:line="360" w:lineRule="exact"/>
        <w:ind w:left="339" w:right="808" w:firstLine="240" w:firstLineChars="100"/>
        <w:textAlignment w:val="auto"/>
      </w:pPr>
      <w:r>
        <w:t>9、公交车亭清洁完后达到无污垢残留，确保站台设施无垃圾、无乱涂画和非法小广告，让站台面貌焕然一新。 （一月一次）</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339" w:right="928" w:firstLine="240" w:firstLineChars="100"/>
        <w:textAlignment w:val="auto"/>
      </w:pPr>
      <w:r>
        <w:t>10、护栏清洗工作要求先用清洁剂对护栏进行清洗，然后再用清水冲洗，保证护栏外不留张贴物及明显污物。清洗时应不损坏护栏附件与贴膜。（一月一次）</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339" w:right="928" w:firstLine="240" w:firstLineChars="100"/>
        <w:textAlignment w:val="auto"/>
        <w:rPr>
          <w:rFonts w:hint="eastAsia"/>
          <w:lang w:val="en-US" w:eastAsia="zh-CN"/>
        </w:rPr>
      </w:pPr>
      <w:r>
        <w:rPr>
          <w:rFonts w:hint="eastAsia"/>
          <w:lang w:val="en-US" w:eastAsia="zh-CN"/>
        </w:rPr>
        <w:t>11、大件垃圾的收集、清运及粉碎。</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339" w:right="928" w:firstLine="240" w:firstLineChars="100"/>
        <w:textAlignment w:val="auto"/>
        <w:rPr>
          <w:rFonts w:hint="eastAsia"/>
          <w:lang w:val="en-US" w:eastAsia="zh-CN"/>
        </w:rPr>
      </w:pPr>
      <w:r>
        <w:rPr>
          <w:rFonts w:hint="eastAsia"/>
          <w:lang w:val="en-US" w:eastAsia="zh-CN"/>
        </w:rPr>
        <w:t>12、对全镇范围内的生活垃圾清运至东部新区温岭绿能新能源有限公司进行统一焚烧。</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339" w:right="928" w:firstLine="241" w:firstLineChars="100"/>
        <w:textAlignment w:val="auto"/>
        <w:rPr>
          <w:b/>
          <w:bCs/>
        </w:rPr>
      </w:pPr>
      <w:r>
        <w:rPr>
          <w:b/>
          <w:bCs/>
        </w:rPr>
        <w:t>三、项目实施目标</w:t>
      </w:r>
    </w:p>
    <w:p>
      <w:pPr>
        <w:pStyle w:val="8"/>
        <w:keepNext w:val="0"/>
        <w:keepLines w:val="0"/>
        <w:pageBreakBefore w:val="0"/>
        <w:widowControl w:val="0"/>
        <w:kinsoku/>
        <w:wordWrap/>
        <w:overflowPunct/>
        <w:topLinePunct w:val="0"/>
        <w:autoSpaceDE w:val="0"/>
        <w:autoSpaceDN w:val="0"/>
        <w:bidi w:val="0"/>
        <w:adjustRightInd/>
        <w:snapToGrid/>
        <w:spacing w:before="158" w:line="360" w:lineRule="exact"/>
        <w:ind w:left="857"/>
        <w:textAlignment w:val="auto"/>
      </w:pPr>
      <w:r>
        <w:t>1、配置的人员（含车辆驾驶人员）、设备满足项目安全作业及质量要求，推行道路清扫保洁机</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40" w:leftChars="18" w:right="4337" w:firstLine="428" w:firstLineChars="200"/>
        <w:textAlignment w:val="auto"/>
        <w:rPr>
          <w:spacing w:val="-6"/>
        </w:rPr>
      </w:pPr>
      <w:r>
        <w:rPr>
          <w:spacing w:val="-13"/>
        </w:rPr>
        <w:t>械化；环卫设施干净整洁，数量满足需要，完好率不低</w:t>
      </w:r>
      <w:r>
        <w:rPr>
          <w:spacing w:val="-11"/>
        </w:rPr>
        <w:t>98</w:t>
      </w:r>
      <w:r>
        <w:rPr>
          <w:spacing w:val="-6"/>
        </w:rPr>
        <w:t>%。</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480" w:leftChars="218" w:right="4337" w:firstLine="432" w:firstLineChars="200"/>
        <w:textAlignment w:val="auto"/>
        <w:rPr>
          <w:spacing w:val="-12"/>
        </w:rPr>
      </w:pPr>
      <w:r>
        <w:rPr>
          <w:spacing w:val="-12"/>
        </w:rPr>
        <w:t>2、项目实施范围内的环境卫生状况明显提升。</w:t>
      </w:r>
    </w:p>
    <w:p>
      <w:pPr>
        <w:pStyle w:val="8"/>
        <w:keepNext w:val="0"/>
        <w:keepLines w:val="0"/>
        <w:pageBreakBefore w:val="0"/>
        <w:widowControl w:val="0"/>
        <w:numPr>
          <w:ilvl w:val="0"/>
          <w:numId w:val="19"/>
        </w:numPr>
        <w:kinsoku/>
        <w:wordWrap/>
        <w:overflowPunct/>
        <w:topLinePunct w:val="0"/>
        <w:autoSpaceDE w:val="0"/>
        <w:autoSpaceDN w:val="0"/>
        <w:bidi w:val="0"/>
        <w:adjustRightInd/>
        <w:snapToGrid/>
        <w:spacing w:line="360" w:lineRule="exact"/>
        <w:ind w:left="339" w:right="701" w:firstLine="518"/>
        <w:textAlignment w:val="auto"/>
      </w:pPr>
      <w:r>
        <w:rPr>
          <w:spacing w:val="-12"/>
        </w:rPr>
        <w:t>提高生活垃圾收集清运能力和作业质量，清运模式合理，垃圾日产日清，不留死角；逐步淘汰落后的露天生活垃圾收集方式，做到垃圾定点投放、不落地、无二次污染。</w:t>
      </w:r>
    </w:p>
    <w:p>
      <w:pPr>
        <w:pStyle w:val="8"/>
        <w:spacing w:before="1"/>
        <w:ind w:left="857"/>
      </w:pPr>
      <w:r>
        <w:t>4、全面推动实施垃圾分类收集作业。</w:t>
      </w:r>
    </w:p>
    <w:p>
      <w:pPr>
        <w:pStyle w:val="8"/>
        <w:spacing w:before="161" w:line="362" w:lineRule="auto"/>
        <w:ind w:left="857" w:right="5071"/>
        <w:rPr>
          <w:b/>
          <w:bCs/>
        </w:rPr>
      </w:pPr>
      <w:r>
        <w:rPr>
          <w:spacing w:val="-10"/>
        </w:rPr>
        <w:t>5</w:t>
      </w:r>
      <w:r>
        <w:rPr>
          <w:spacing w:val="-12"/>
        </w:rPr>
        <w:t>、制定完善的环卫应急预案，提高应急处理能力。</w:t>
      </w:r>
      <w:r>
        <w:rPr>
          <w:b/>
          <w:bCs/>
          <w:spacing w:val="-10"/>
        </w:rPr>
        <w:t>四、项目作业标准</w:t>
      </w:r>
    </w:p>
    <w:p>
      <w:pPr>
        <w:pStyle w:val="8"/>
        <w:spacing w:before="5"/>
        <w:ind w:left="857"/>
      </w:pPr>
      <w:r>
        <w:t>（一）清扫保洁作业质量标准</w:t>
      </w:r>
    </w:p>
    <w:p>
      <w:pPr>
        <w:pStyle w:val="8"/>
        <w:spacing w:before="158" w:line="364" w:lineRule="auto"/>
        <w:ind w:left="339" w:right="869" w:firstLine="518"/>
        <w:jc w:val="both"/>
      </w:pPr>
      <w:r>
        <w:rPr>
          <w:spacing w:val="-10"/>
        </w:rPr>
        <w:t>1</w:t>
      </w:r>
      <w:r>
        <w:rPr>
          <w:spacing w:val="-13"/>
        </w:rPr>
        <w:t>、普扫的卫生标准达到“七无五净”标准，即无杂物;无果皮壳；无纸屑，无烟蒂， 无塑料</w:t>
      </w:r>
      <w:r>
        <w:rPr>
          <w:spacing w:val="-12"/>
        </w:rPr>
        <w:t>袋；无淤泥积土；无污水；无堵塞窨井沟眼；无卫生死角。路面、路牙净，窨井沟眼净，树穴净， 边角净，绿化带、花坛周围净。</w:t>
      </w:r>
    </w:p>
    <w:p>
      <w:pPr>
        <w:pStyle w:val="8"/>
        <w:spacing w:line="364" w:lineRule="auto"/>
        <w:ind w:left="339" w:right="701" w:firstLine="518"/>
      </w:pPr>
      <w:r>
        <w:rPr>
          <w:spacing w:val="-10"/>
        </w:rPr>
        <w:t>2</w:t>
      </w:r>
      <w:r>
        <w:rPr>
          <w:spacing w:val="-12"/>
        </w:rPr>
        <w:t>、巡回保洁的卫生标准达到承包责任区域内无垃圾废弃物</w:t>
      </w:r>
      <w:r>
        <w:rPr>
          <w:spacing w:val="-10"/>
        </w:rPr>
        <w:t>（</w:t>
      </w:r>
      <w:r>
        <w:rPr>
          <w:spacing w:val="-12"/>
        </w:rPr>
        <w:t>包括烟头、纸屑、瓜果皮核、包装壳、塑料袋、砖瓦、石子等各类明显废弃物</w:t>
      </w:r>
      <w:r>
        <w:rPr>
          <w:spacing w:val="-11"/>
        </w:rPr>
        <w:t>）</w:t>
      </w:r>
      <w:r>
        <w:rPr>
          <w:spacing w:val="-12"/>
        </w:rPr>
        <w:t>；无散、袋装垃圾滞留路面及绿化带；果壳箱定时清洗及时加盖、关门；人行道、步阶、墙根、树穴无明显杂草、杂物。晴天路面无积水，无蚊蝇孽</w:t>
      </w:r>
      <w:r>
        <w:t>生，路两旁及隔离护栏下无淤泥，路面基本见本色。</w:t>
      </w:r>
    </w:p>
    <w:p>
      <w:pPr>
        <w:pStyle w:val="8"/>
        <w:spacing w:before="160"/>
        <w:ind w:left="857"/>
      </w:pPr>
      <w:r>
        <w:pict>
          <v:line id="_x0000_s1029" o:spid="_x0000_s1029" o:spt="20" style="position:absolute;left:0pt;margin-left:46.15pt;margin-top:31.75pt;height:56.45pt;width:107pt;mso-position-horizontal-relative:page;z-index:-251654144;mso-width-relative:page;mso-height-relative:page;" stroked="t" coordsize="21600,21600">
            <v:path arrowok="t"/>
            <v:fill focussize="0,0"/>
            <v:stroke weight="0.5pt" color="#000000"/>
            <v:imagedata o:title=""/>
            <o:lock v:ext="edit"/>
          </v:line>
        </w:pict>
      </w:r>
      <w:r>
        <w:t>3、道路及室外公共场所保洁等级及质量标准应符合下表规定：</w:t>
      </w:r>
    </w:p>
    <w:p>
      <w:pPr>
        <w:pStyle w:val="8"/>
        <w:spacing w:before="3"/>
        <w:rPr>
          <w:sz w:val="12"/>
        </w:rPr>
      </w:pPr>
    </w:p>
    <w:tbl>
      <w:tblPr>
        <w:tblStyle w:val="15"/>
        <w:tblW w:w="0" w:type="auto"/>
        <w:tblInd w:w="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0"/>
        <w:gridCol w:w="2100"/>
        <w:gridCol w:w="2112"/>
        <w:gridCol w:w="2150"/>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150" w:type="dxa"/>
          </w:tcPr>
          <w:p>
            <w:pPr>
              <w:pStyle w:val="20"/>
              <w:spacing w:before="3"/>
              <w:ind w:left="1126"/>
              <w:rPr>
                <w:sz w:val="24"/>
              </w:rPr>
            </w:pPr>
            <w:r>
              <w:rPr>
                <w:sz w:val="24"/>
              </w:rPr>
              <w:t>保洁等级</w:t>
            </w:r>
          </w:p>
          <w:p>
            <w:pPr>
              <w:pStyle w:val="20"/>
              <w:spacing w:before="3"/>
              <w:rPr>
                <w:sz w:val="34"/>
              </w:rPr>
            </w:pPr>
          </w:p>
          <w:p>
            <w:pPr>
              <w:pStyle w:val="20"/>
              <w:ind w:left="521"/>
              <w:rPr>
                <w:sz w:val="24"/>
              </w:rPr>
            </w:pPr>
            <w:r>
              <w:rPr>
                <w:sz w:val="24"/>
              </w:rPr>
              <w:t>质量</w:t>
            </w:r>
          </w:p>
        </w:tc>
        <w:tc>
          <w:tcPr>
            <w:tcW w:w="2100" w:type="dxa"/>
          </w:tcPr>
          <w:p>
            <w:pPr>
              <w:pStyle w:val="20"/>
              <w:rPr>
                <w:sz w:val="26"/>
              </w:rPr>
            </w:pPr>
          </w:p>
          <w:p>
            <w:pPr>
              <w:pStyle w:val="20"/>
              <w:spacing w:before="1"/>
              <w:ind w:left="522"/>
              <w:rPr>
                <w:sz w:val="24"/>
              </w:rPr>
            </w:pPr>
            <w:r>
              <w:rPr>
                <w:sz w:val="24"/>
              </w:rPr>
              <w:t>一类</w:t>
            </w:r>
          </w:p>
        </w:tc>
        <w:tc>
          <w:tcPr>
            <w:tcW w:w="2112" w:type="dxa"/>
          </w:tcPr>
          <w:p>
            <w:pPr>
              <w:pStyle w:val="20"/>
              <w:rPr>
                <w:sz w:val="26"/>
              </w:rPr>
            </w:pPr>
          </w:p>
          <w:p>
            <w:pPr>
              <w:pStyle w:val="20"/>
              <w:spacing w:before="1"/>
              <w:ind w:left="522"/>
              <w:rPr>
                <w:sz w:val="24"/>
              </w:rPr>
            </w:pPr>
            <w:r>
              <w:rPr>
                <w:sz w:val="24"/>
              </w:rPr>
              <w:t>二类</w:t>
            </w:r>
          </w:p>
        </w:tc>
        <w:tc>
          <w:tcPr>
            <w:tcW w:w="2150" w:type="dxa"/>
          </w:tcPr>
          <w:p>
            <w:pPr>
              <w:pStyle w:val="20"/>
              <w:rPr>
                <w:sz w:val="26"/>
              </w:rPr>
            </w:pPr>
          </w:p>
          <w:p>
            <w:pPr>
              <w:pStyle w:val="20"/>
              <w:spacing w:before="1"/>
              <w:ind w:left="522"/>
              <w:rPr>
                <w:sz w:val="24"/>
              </w:rPr>
            </w:pPr>
            <w:r>
              <w:rPr>
                <w:sz w:val="24"/>
              </w:rPr>
              <w:t>三类</w:t>
            </w:r>
          </w:p>
        </w:tc>
        <w:tc>
          <w:tcPr>
            <w:tcW w:w="1338" w:type="dxa"/>
          </w:tcPr>
          <w:p>
            <w:pPr>
              <w:pStyle w:val="20"/>
              <w:rPr>
                <w:sz w:val="26"/>
              </w:rPr>
            </w:pPr>
          </w:p>
          <w:p>
            <w:pPr>
              <w:pStyle w:val="20"/>
              <w:spacing w:before="1"/>
              <w:ind w:left="522"/>
              <w:rPr>
                <w:sz w:val="24"/>
              </w:rPr>
            </w:pPr>
            <w:r>
              <w:rPr>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150" w:type="dxa"/>
            <w:vMerge w:val="restart"/>
          </w:tcPr>
          <w:p>
            <w:pPr>
              <w:pStyle w:val="20"/>
              <w:spacing w:before="80"/>
              <w:ind w:left="521"/>
              <w:rPr>
                <w:sz w:val="24"/>
              </w:rPr>
            </w:pPr>
            <w:r>
              <w:rPr>
                <w:sz w:val="24"/>
              </w:rPr>
              <w:t>质量要求</w:t>
            </w:r>
          </w:p>
        </w:tc>
        <w:tc>
          <w:tcPr>
            <w:tcW w:w="2100" w:type="dxa"/>
            <w:vMerge w:val="restart"/>
          </w:tcPr>
          <w:p>
            <w:pPr>
              <w:pStyle w:val="20"/>
              <w:spacing w:before="1"/>
              <w:ind w:left="3"/>
              <w:rPr>
                <w:spacing w:val="-11"/>
                <w:sz w:val="24"/>
              </w:rPr>
            </w:pPr>
            <w:r>
              <w:rPr>
                <w:spacing w:val="-11"/>
                <w:sz w:val="24"/>
              </w:rPr>
              <w:t>①路面无垃圾、无杂</w:t>
            </w:r>
          </w:p>
          <w:p>
            <w:pPr>
              <w:pStyle w:val="20"/>
              <w:spacing w:before="79"/>
              <w:ind w:left="3"/>
              <w:rPr>
                <w:sz w:val="24"/>
              </w:rPr>
            </w:pPr>
            <w:r>
              <w:rPr>
                <w:sz w:val="24"/>
              </w:rPr>
              <w:t>物、无积泥、无污</w:t>
            </w:r>
          </w:p>
          <w:p>
            <w:pPr>
              <w:pStyle w:val="20"/>
              <w:spacing w:before="80"/>
              <w:ind w:left="3"/>
              <w:rPr>
                <w:sz w:val="24"/>
              </w:rPr>
            </w:pPr>
            <w:r>
              <w:rPr>
                <w:sz w:val="24"/>
              </w:rPr>
              <w:t>渍， 人行道无杂</w:t>
            </w:r>
          </w:p>
          <w:p>
            <w:pPr>
              <w:pStyle w:val="20"/>
              <w:spacing w:before="80"/>
              <w:ind w:left="3"/>
              <w:rPr>
                <w:sz w:val="24"/>
              </w:rPr>
            </w:pPr>
            <w:r>
              <w:rPr>
                <w:spacing w:val="-11"/>
                <w:sz w:val="24"/>
              </w:rPr>
              <w:t>草，晴天无积水，道</w:t>
            </w:r>
          </w:p>
          <w:p>
            <w:pPr>
              <w:pStyle w:val="20"/>
              <w:spacing w:before="79"/>
              <w:ind w:left="3"/>
              <w:rPr>
                <w:sz w:val="24"/>
              </w:rPr>
            </w:pPr>
            <w:r>
              <w:rPr>
                <w:sz w:val="24"/>
              </w:rPr>
              <w:t>路两侧 3 米内无废</w:t>
            </w:r>
          </w:p>
          <w:p>
            <w:pPr>
              <w:pStyle w:val="20"/>
              <w:spacing w:before="80"/>
              <w:ind w:left="3"/>
              <w:rPr>
                <w:sz w:val="24"/>
              </w:rPr>
            </w:pPr>
            <w:r>
              <w:rPr>
                <w:spacing w:val="-12"/>
                <w:sz w:val="24"/>
              </w:rPr>
              <w:t>土、垃圾。②人行道</w:t>
            </w:r>
          </w:p>
          <w:p>
            <w:pPr>
              <w:pStyle w:val="20"/>
              <w:spacing w:before="79"/>
              <w:ind w:left="3"/>
              <w:rPr>
                <w:sz w:val="24"/>
              </w:rPr>
            </w:pPr>
            <w:r>
              <w:rPr>
                <w:spacing w:val="-11"/>
                <w:sz w:val="24"/>
              </w:rPr>
              <w:t>板及各类井盖等处缝</w:t>
            </w:r>
          </w:p>
          <w:p>
            <w:pPr>
              <w:pStyle w:val="20"/>
              <w:spacing w:before="80"/>
              <w:ind w:left="3"/>
              <w:rPr>
                <w:sz w:val="24"/>
              </w:rPr>
            </w:pPr>
            <w:r>
              <w:rPr>
                <w:spacing w:val="-11"/>
                <w:sz w:val="24"/>
              </w:rPr>
              <w:t>隙、沟眼无垃圾，无</w:t>
            </w:r>
          </w:p>
          <w:p>
            <w:pPr>
              <w:pStyle w:val="20"/>
              <w:spacing w:before="80"/>
              <w:ind w:left="3"/>
              <w:rPr>
                <w:sz w:val="24"/>
              </w:rPr>
            </w:pPr>
            <w:r>
              <w:rPr>
                <w:spacing w:val="-12"/>
                <w:sz w:val="24"/>
              </w:rPr>
              <w:t>积泥嵌石。③道路绿</w:t>
            </w:r>
          </w:p>
          <w:p>
            <w:pPr>
              <w:pStyle w:val="20"/>
              <w:spacing w:before="79"/>
              <w:ind w:left="3"/>
              <w:rPr>
                <w:sz w:val="24"/>
              </w:rPr>
            </w:pPr>
            <w:r>
              <w:rPr>
                <w:spacing w:val="-11"/>
                <w:sz w:val="24"/>
              </w:rPr>
              <w:t>地、花坛、树圈保洁</w:t>
            </w:r>
          </w:p>
          <w:p>
            <w:pPr>
              <w:pStyle w:val="20"/>
              <w:spacing w:before="79"/>
              <w:ind w:left="3"/>
              <w:rPr>
                <w:spacing w:val="-11"/>
                <w:sz w:val="24"/>
              </w:rPr>
            </w:pPr>
            <w:r>
              <w:rPr>
                <w:spacing w:val="-11"/>
                <w:sz w:val="24"/>
              </w:rPr>
              <w:t>应与道路保洁同步，</w:t>
            </w:r>
          </w:p>
          <w:p>
            <w:pPr>
              <w:pStyle w:val="20"/>
              <w:spacing w:line="364" w:lineRule="auto"/>
              <w:ind w:left="3" w:right="3"/>
              <w:rPr>
                <w:sz w:val="24"/>
              </w:rPr>
            </w:pPr>
            <w:r>
              <w:rPr>
                <w:spacing w:val="-10"/>
                <w:sz w:val="24"/>
              </w:rPr>
              <w:t xml:space="preserve">做到无杂物、无垃 </w:t>
            </w:r>
            <w:r>
              <w:rPr>
                <w:spacing w:val="-11"/>
                <w:sz w:val="24"/>
              </w:rPr>
              <w:t>圾。④环卫设施</w:t>
            </w:r>
            <w:r>
              <w:rPr>
                <w:spacing w:val="-10"/>
                <w:sz w:val="24"/>
              </w:rPr>
              <w:t>（</w:t>
            </w:r>
            <w:r>
              <w:rPr>
                <w:spacing w:val="-14"/>
                <w:sz w:val="24"/>
              </w:rPr>
              <w:t>果</w:t>
            </w:r>
            <w:r>
              <w:rPr>
                <w:spacing w:val="-12"/>
                <w:sz w:val="24"/>
              </w:rPr>
              <w:t>壳箱、垃圾桶、垃圾</w:t>
            </w:r>
            <w:r>
              <w:rPr>
                <w:spacing w:val="-10"/>
                <w:sz w:val="24"/>
              </w:rPr>
              <w:t>房）</w:t>
            </w:r>
            <w:r>
              <w:rPr>
                <w:spacing w:val="-12"/>
                <w:sz w:val="24"/>
              </w:rPr>
              <w:t>设置整齐规范、无破损、歪斜、油漆</w:t>
            </w:r>
            <w:r>
              <w:rPr>
                <w:spacing w:val="-10"/>
                <w:sz w:val="24"/>
              </w:rPr>
              <w:t>剥落</w:t>
            </w:r>
            <w:r>
              <w:rPr>
                <w:spacing w:val="-12"/>
                <w:sz w:val="24"/>
              </w:rPr>
              <w:t>（</w:t>
            </w:r>
            <w:r>
              <w:rPr>
                <w:spacing w:val="-8"/>
                <w:sz w:val="24"/>
              </w:rPr>
              <w:t>或严重褪</w:t>
            </w:r>
          </w:p>
          <w:p>
            <w:pPr>
              <w:pStyle w:val="20"/>
              <w:spacing w:line="364" w:lineRule="auto"/>
              <w:ind w:left="3" w:right="3"/>
              <w:jc w:val="both"/>
              <w:rPr>
                <w:sz w:val="24"/>
              </w:rPr>
            </w:pPr>
            <w:r>
              <w:rPr>
                <w:spacing w:val="-10"/>
                <w:sz w:val="24"/>
              </w:rPr>
              <w:t>色）</w:t>
            </w:r>
            <w:r>
              <w:rPr>
                <w:spacing w:val="-12"/>
                <w:sz w:val="24"/>
              </w:rPr>
              <w:t>、垃圾满溢，表面清洁无污垢，周围地面无暴露垃圾、污</w:t>
            </w:r>
          </w:p>
          <w:p>
            <w:pPr>
              <w:pStyle w:val="20"/>
              <w:spacing w:line="307" w:lineRule="exact"/>
              <w:ind w:left="3"/>
              <w:rPr>
                <w:sz w:val="24"/>
              </w:rPr>
            </w:pPr>
            <w:r>
              <w:rPr>
                <w:sz w:val="24"/>
              </w:rPr>
              <w:t>水现象。</w:t>
            </w:r>
          </w:p>
        </w:tc>
        <w:tc>
          <w:tcPr>
            <w:tcW w:w="2112" w:type="dxa"/>
            <w:vMerge w:val="restart"/>
          </w:tcPr>
          <w:p>
            <w:pPr>
              <w:pStyle w:val="20"/>
              <w:spacing w:before="1"/>
              <w:ind w:left="3"/>
              <w:rPr>
                <w:sz w:val="24"/>
              </w:rPr>
            </w:pPr>
            <w:r>
              <w:rPr>
                <w:sz w:val="24"/>
              </w:rPr>
              <w:t>①路面无垃圾、污</w:t>
            </w:r>
          </w:p>
          <w:p>
            <w:pPr>
              <w:pStyle w:val="20"/>
              <w:spacing w:before="79"/>
              <w:ind w:left="3"/>
              <w:rPr>
                <w:sz w:val="24"/>
              </w:rPr>
            </w:pPr>
            <w:r>
              <w:rPr>
                <w:spacing w:val="-10"/>
                <w:sz w:val="24"/>
              </w:rPr>
              <w:t>渍、积泥较少，人行</w:t>
            </w:r>
          </w:p>
          <w:p>
            <w:pPr>
              <w:pStyle w:val="20"/>
              <w:spacing w:before="80"/>
              <w:ind w:left="3"/>
              <w:rPr>
                <w:sz w:val="24"/>
              </w:rPr>
            </w:pPr>
            <w:r>
              <w:rPr>
                <w:spacing w:val="-10"/>
                <w:sz w:val="24"/>
              </w:rPr>
              <w:t>道无杂草，晴天无积</w:t>
            </w:r>
          </w:p>
          <w:p>
            <w:pPr>
              <w:pStyle w:val="20"/>
              <w:spacing w:before="80"/>
              <w:ind w:left="3"/>
              <w:rPr>
                <w:sz w:val="24"/>
              </w:rPr>
            </w:pPr>
            <w:r>
              <w:rPr>
                <w:sz w:val="24"/>
              </w:rPr>
              <w:t>水，道路两侧 3 米</w:t>
            </w:r>
          </w:p>
          <w:p>
            <w:pPr>
              <w:pStyle w:val="20"/>
              <w:spacing w:before="79"/>
              <w:ind w:left="3"/>
              <w:rPr>
                <w:sz w:val="24"/>
              </w:rPr>
            </w:pPr>
            <w:r>
              <w:rPr>
                <w:sz w:val="24"/>
              </w:rPr>
              <w:t>内无垃圾。② 人行</w:t>
            </w:r>
          </w:p>
          <w:p>
            <w:pPr>
              <w:pStyle w:val="20"/>
              <w:spacing w:before="80"/>
              <w:ind w:left="3"/>
              <w:rPr>
                <w:sz w:val="24"/>
              </w:rPr>
            </w:pPr>
            <w:r>
              <w:rPr>
                <w:spacing w:val="-10"/>
                <w:sz w:val="24"/>
              </w:rPr>
              <w:t>道板及各类井盖等处</w:t>
            </w:r>
          </w:p>
          <w:p>
            <w:pPr>
              <w:pStyle w:val="20"/>
              <w:spacing w:before="79"/>
              <w:ind w:left="3"/>
              <w:rPr>
                <w:sz w:val="24"/>
              </w:rPr>
            </w:pPr>
            <w:r>
              <w:rPr>
                <w:spacing w:val="-10"/>
                <w:sz w:val="24"/>
              </w:rPr>
              <w:t>缝隙、沟眼无垃圾，</w:t>
            </w:r>
          </w:p>
          <w:p>
            <w:pPr>
              <w:pStyle w:val="20"/>
              <w:spacing w:before="80"/>
              <w:ind w:left="3"/>
              <w:rPr>
                <w:sz w:val="24"/>
              </w:rPr>
            </w:pPr>
            <w:r>
              <w:rPr>
                <w:spacing w:val="-10"/>
                <w:sz w:val="24"/>
              </w:rPr>
              <w:t>无积泥嵌石。③道路</w:t>
            </w:r>
          </w:p>
          <w:p>
            <w:pPr>
              <w:pStyle w:val="20"/>
              <w:spacing w:before="80"/>
              <w:ind w:left="3"/>
              <w:rPr>
                <w:sz w:val="24"/>
              </w:rPr>
            </w:pPr>
            <w:r>
              <w:rPr>
                <w:spacing w:val="-10"/>
                <w:sz w:val="24"/>
              </w:rPr>
              <w:t>绿地、花坛、树圈无</w:t>
            </w:r>
          </w:p>
          <w:p>
            <w:pPr>
              <w:pStyle w:val="20"/>
              <w:spacing w:before="79"/>
              <w:ind w:left="3"/>
              <w:rPr>
                <w:sz w:val="24"/>
              </w:rPr>
            </w:pPr>
            <w:r>
              <w:rPr>
                <w:spacing w:val="-10"/>
                <w:sz w:val="24"/>
              </w:rPr>
              <w:t>杂物、无垃圾。④环</w:t>
            </w:r>
          </w:p>
          <w:p>
            <w:pPr>
              <w:pStyle w:val="20"/>
              <w:spacing w:before="79"/>
              <w:ind w:left="3"/>
              <w:rPr>
                <w:spacing w:val="-11"/>
                <w:sz w:val="24"/>
              </w:rPr>
            </w:pPr>
            <w:r>
              <w:rPr>
                <w:spacing w:val="-11"/>
                <w:sz w:val="24"/>
              </w:rPr>
              <w:t>卫设施</w:t>
            </w:r>
            <w:r>
              <w:rPr>
                <w:spacing w:val="-10"/>
                <w:sz w:val="24"/>
              </w:rPr>
              <w:t>（</w:t>
            </w:r>
            <w:r>
              <w:rPr>
                <w:spacing w:val="-8"/>
                <w:sz w:val="24"/>
              </w:rPr>
              <w:t>果壳箱、垃</w:t>
            </w:r>
          </w:p>
          <w:p>
            <w:pPr>
              <w:pStyle w:val="20"/>
              <w:spacing w:line="364" w:lineRule="auto"/>
              <w:ind w:left="3" w:right="15"/>
              <w:rPr>
                <w:sz w:val="24"/>
              </w:rPr>
            </w:pPr>
            <w:r>
              <w:rPr>
                <w:spacing w:val="-11"/>
                <w:sz w:val="24"/>
              </w:rPr>
              <w:t>圾桶、垃圾房</w:t>
            </w:r>
            <w:r>
              <w:rPr>
                <w:spacing w:val="-10"/>
                <w:sz w:val="24"/>
              </w:rPr>
              <w:t>）</w:t>
            </w:r>
            <w:r>
              <w:rPr>
                <w:spacing w:val="-12"/>
                <w:sz w:val="24"/>
              </w:rPr>
              <w:t>设置整齐规范、无破损、</w:t>
            </w:r>
            <w:r>
              <w:rPr>
                <w:spacing w:val="-11"/>
                <w:sz w:val="24"/>
              </w:rPr>
              <w:t>歪斜、油漆剥落</w:t>
            </w:r>
            <w:r>
              <w:rPr>
                <w:spacing w:val="-10"/>
                <w:sz w:val="24"/>
              </w:rPr>
              <w:t>（</w:t>
            </w:r>
            <w:r>
              <w:rPr>
                <w:spacing w:val="-14"/>
                <w:sz w:val="24"/>
              </w:rPr>
              <w:t>或</w:t>
            </w:r>
            <w:r>
              <w:rPr>
                <w:spacing w:val="-11"/>
                <w:sz w:val="24"/>
              </w:rPr>
              <w:t>严重褪色</w:t>
            </w:r>
            <w:r>
              <w:rPr>
                <w:spacing w:val="-10"/>
                <w:sz w:val="24"/>
              </w:rPr>
              <w:t>）</w:t>
            </w:r>
            <w:r>
              <w:rPr>
                <w:spacing w:val="-11"/>
                <w:sz w:val="24"/>
              </w:rPr>
              <w:t>、垃圾满</w:t>
            </w:r>
            <w:r>
              <w:rPr>
                <w:spacing w:val="-10"/>
                <w:sz w:val="24"/>
              </w:rPr>
              <w:t xml:space="preserve">溢，表面清洁无污 </w:t>
            </w:r>
            <w:r>
              <w:rPr>
                <w:spacing w:val="-12"/>
                <w:sz w:val="24"/>
              </w:rPr>
              <w:t>垢，周围地面无暴露</w:t>
            </w:r>
            <w:r>
              <w:rPr>
                <w:spacing w:val="-10"/>
                <w:sz w:val="24"/>
              </w:rPr>
              <w:t>垃圾、污水现象。</w:t>
            </w:r>
          </w:p>
        </w:tc>
        <w:tc>
          <w:tcPr>
            <w:tcW w:w="2150" w:type="dxa"/>
            <w:vMerge w:val="restart"/>
          </w:tcPr>
          <w:p>
            <w:pPr>
              <w:pStyle w:val="20"/>
              <w:spacing w:before="1"/>
              <w:ind w:left="3"/>
              <w:rPr>
                <w:sz w:val="24"/>
              </w:rPr>
            </w:pPr>
            <w:r>
              <w:rPr>
                <w:sz w:val="24"/>
              </w:rPr>
              <w:t>①路面无垃圾、污</w:t>
            </w:r>
          </w:p>
          <w:p>
            <w:pPr>
              <w:pStyle w:val="20"/>
              <w:spacing w:before="79"/>
              <w:ind w:left="3"/>
              <w:rPr>
                <w:sz w:val="24"/>
              </w:rPr>
            </w:pPr>
            <w:r>
              <w:rPr>
                <w:spacing w:val="-10"/>
                <w:sz w:val="24"/>
              </w:rPr>
              <w:t>渍、积泥较少，人行</w:t>
            </w:r>
          </w:p>
          <w:p>
            <w:pPr>
              <w:pStyle w:val="20"/>
              <w:spacing w:before="80"/>
              <w:ind w:left="3"/>
              <w:rPr>
                <w:sz w:val="24"/>
              </w:rPr>
            </w:pPr>
            <w:r>
              <w:rPr>
                <w:spacing w:val="-10"/>
                <w:sz w:val="24"/>
              </w:rPr>
              <w:t>道杂草较少，道路两</w:t>
            </w:r>
          </w:p>
          <w:p>
            <w:pPr>
              <w:pStyle w:val="20"/>
              <w:spacing w:before="80"/>
              <w:ind w:left="3"/>
              <w:rPr>
                <w:sz w:val="24"/>
              </w:rPr>
            </w:pPr>
            <w:r>
              <w:rPr>
                <w:sz w:val="24"/>
              </w:rPr>
              <w:t>侧 3 米内无成堆垃</w:t>
            </w:r>
          </w:p>
          <w:p>
            <w:pPr>
              <w:pStyle w:val="20"/>
              <w:spacing w:before="79"/>
              <w:ind w:left="3"/>
              <w:rPr>
                <w:sz w:val="24"/>
              </w:rPr>
            </w:pPr>
            <w:r>
              <w:rPr>
                <w:spacing w:val="-10"/>
                <w:sz w:val="24"/>
              </w:rPr>
              <w:t>圾。②雨水井沟眼无</w:t>
            </w:r>
          </w:p>
          <w:p>
            <w:pPr>
              <w:pStyle w:val="20"/>
              <w:spacing w:before="80"/>
              <w:ind w:left="3"/>
              <w:rPr>
                <w:sz w:val="24"/>
              </w:rPr>
            </w:pPr>
            <w:r>
              <w:rPr>
                <w:spacing w:val="-10"/>
                <w:sz w:val="24"/>
              </w:rPr>
              <w:t>垃圾，无积泥嵌石。</w:t>
            </w:r>
          </w:p>
          <w:p>
            <w:pPr>
              <w:pStyle w:val="20"/>
              <w:spacing w:before="79"/>
              <w:ind w:left="3"/>
              <w:rPr>
                <w:sz w:val="24"/>
              </w:rPr>
            </w:pPr>
            <w:r>
              <w:rPr>
                <w:spacing w:val="-10"/>
                <w:sz w:val="24"/>
              </w:rPr>
              <w:t>③道路绿地、花坛、</w:t>
            </w:r>
          </w:p>
          <w:p>
            <w:pPr>
              <w:pStyle w:val="20"/>
              <w:spacing w:before="80"/>
              <w:ind w:left="3"/>
              <w:rPr>
                <w:sz w:val="24"/>
              </w:rPr>
            </w:pPr>
            <w:r>
              <w:rPr>
                <w:spacing w:val="-10"/>
                <w:sz w:val="24"/>
              </w:rPr>
              <w:t>树圈内无垃圾。④环</w:t>
            </w:r>
          </w:p>
          <w:p>
            <w:pPr>
              <w:pStyle w:val="20"/>
              <w:spacing w:before="80"/>
              <w:ind w:left="3"/>
              <w:rPr>
                <w:sz w:val="24"/>
              </w:rPr>
            </w:pPr>
            <w:r>
              <w:rPr>
                <w:spacing w:val="-11"/>
                <w:sz w:val="24"/>
              </w:rPr>
              <w:t>卫设施</w:t>
            </w:r>
            <w:r>
              <w:rPr>
                <w:spacing w:val="-10"/>
                <w:sz w:val="24"/>
              </w:rPr>
              <w:t>（</w:t>
            </w:r>
            <w:r>
              <w:rPr>
                <w:spacing w:val="-8"/>
                <w:sz w:val="24"/>
              </w:rPr>
              <w:t>果壳箱、垃</w:t>
            </w:r>
          </w:p>
          <w:p>
            <w:pPr>
              <w:pStyle w:val="20"/>
              <w:spacing w:before="79"/>
              <w:ind w:left="3"/>
              <w:rPr>
                <w:sz w:val="24"/>
              </w:rPr>
            </w:pPr>
            <w:r>
              <w:rPr>
                <w:spacing w:val="-11"/>
                <w:sz w:val="24"/>
              </w:rPr>
              <w:t>圾桶、垃圾房</w:t>
            </w:r>
            <w:r>
              <w:rPr>
                <w:spacing w:val="-10"/>
                <w:sz w:val="24"/>
              </w:rPr>
              <w:t>）</w:t>
            </w:r>
            <w:r>
              <w:rPr>
                <w:spacing w:val="-5"/>
                <w:sz w:val="24"/>
              </w:rPr>
              <w:t>设置</w:t>
            </w:r>
          </w:p>
          <w:p>
            <w:pPr>
              <w:pStyle w:val="20"/>
              <w:spacing w:before="79"/>
              <w:ind w:left="3"/>
              <w:rPr>
                <w:spacing w:val="-10"/>
                <w:sz w:val="24"/>
              </w:rPr>
            </w:pPr>
            <w:r>
              <w:rPr>
                <w:spacing w:val="-10"/>
                <w:sz w:val="24"/>
              </w:rPr>
              <w:t>整齐规范、无破损、</w:t>
            </w:r>
          </w:p>
          <w:p>
            <w:pPr>
              <w:pStyle w:val="20"/>
              <w:spacing w:line="364" w:lineRule="auto"/>
              <w:ind w:left="3" w:right="53"/>
              <w:jc w:val="both"/>
              <w:rPr>
                <w:sz w:val="24"/>
              </w:rPr>
            </w:pPr>
            <w:r>
              <w:rPr>
                <w:spacing w:val="-12"/>
                <w:sz w:val="24"/>
              </w:rPr>
              <w:t>歪斜、垃圾满溢，表面清洁无污垢，周围地面无暴露垃圾、污</w:t>
            </w:r>
            <w:r>
              <w:rPr>
                <w:spacing w:val="-9"/>
                <w:sz w:val="24"/>
              </w:rPr>
              <w:t>水现象。</w:t>
            </w:r>
          </w:p>
        </w:tc>
        <w:tc>
          <w:tcPr>
            <w:tcW w:w="1338" w:type="dxa"/>
          </w:tcPr>
          <w:p>
            <w:pPr>
              <w:pStyle w:val="20"/>
              <w:spacing w:before="1"/>
              <w:ind w:left="4"/>
              <w:rPr>
                <w:sz w:val="24"/>
              </w:rPr>
            </w:pPr>
            <w:r>
              <w:rPr>
                <w:sz w:val="24"/>
              </w:rPr>
              <w:t>① 路面无垃</w:t>
            </w:r>
          </w:p>
          <w:p>
            <w:pPr>
              <w:pStyle w:val="20"/>
              <w:spacing w:before="79"/>
              <w:ind w:left="4"/>
              <w:rPr>
                <w:sz w:val="24"/>
              </w:rPr>
            </w:pPr>
            <w:r>
              <w:rPr>
                <w:sz w:val="24"/>
              </w:rPr>
              <w:t>圾、无杂</w:t>
            </w:r>
          </w:p>
          <w:p>
            <w:pPr>
              <w:pStyle w:val="20"/>
              <w:spacing w:before="80"/>
              <w:ind w:left="4"/>
              <w:rPr>
                <w:sz w:val="24"/>
              </w:rPr>
            </w:pPr>
            <w:r>
              <w:rPr>
                <w:sz w:val="24"/>
              </w:rPr>
              <w:t>物、无积泥</w:t>
            </w:r>
          </w:p>
          <w:p>
            <w:pPr>
              <w:pStyle w:val="20"/>
              <w:spacing w:before="80"/>
              <w:ind w:left="4"/>
              <w:rPr>
                <w:sz w:val="24"/>
              </w:rPr>
            </w:pPr>
            <w:r>
              <w:rPr>
                <w:sz w:val="24"/>
              </w:rPr>
              <w:t>（沙石），</w:t>
            </w:r>
          </w:p>
          <w:p>
            <w:pPr>
              <w:pStyle w:val="20"/>
              <w:spacing w:before="79"/>
              <w:ind w:left="4"/>
              <w:rPr>
                <w:sz w:val="24"/>
              </w:rPr>
            </w:pPr>
            <w:r>
              <w:rPr>
                <w:sz w:val="24"/>
              </w:rPr>
              <w:t>晴天无积</w:t>
            </w:r>
          </w:p>
          <w:p>
            <w:pPr>
              <w:pStyle w:val="20"/>
              <w:spacing w:before="80"/>
              <w:ind w:left="4"/>
              <w:rPr>
                <w:sz w:val="24"/>
              </w:rPr>
            </w:pPr>
            <w:r>
              <w:rPr>
                <w:sz w:val="24"/>
              </w:rPr>
              <w:t>水。②雨水</w:t>
            </w:r>
          </w:p>
          <w:p>
            <w:pPr>
              <w:pStyle w:val="20"/>
              <w:spacing w:before="79"/>
              <w:ind w:left="4"/>
              <w:rPr>
                <w:sz w:val="24"/>
              </w:rPr>
            </w:pPr>
            <w:r>
              <w:rPr>
                <w:sz w:val="24"/>
              </w:rPr>
              <w:t>井沟眼畅通</w:t>
            </w:r>
          </w:p>
          <w:p>
            <w:pPr>
              <w:pStyle w:val="20"/>
              <w:spacing w:before="80"/>
              <w:ind w:left="4"/>
              <w:rPr>
                <w:sz w:val="24"/>
              </w:rPr>
            </w:pPr>
            <w:r>
              <w:rPr>
                <w:sz w:val="24"/>
              </w:rPr>
              <w:t>干净。③绿</w:t>
            </w:r>
          </w:p>
          <w:p>
            <w:pPr>
              <w:pStyle w:val="20"/>
              <w:spacing w:before="80"/>
              <w:ind w:left="4"/>
              <w:rPr>
                <w:sz w:val="24"/>
              </w:rPr>
            </w:pPr>
            <w:r>
              <w:rPr>
                <w:sz w:val="24"/>
              </w:rPr>
              <w:t>化内清洁无</w:t>
            </w:r>
          </w:p>
          <w:p>
            <w:pPr>
              <w:pStyle w:val="20"/>
              <w:spacing w:before="79"/>
              <w:ind w:left="4"/>
              <w:rPr>
                <w:sz w:val="24"/>
              </w:rPr>
            </w:pPr>
            <w:r>
              <w:rPr>
                <w:sz w:val="24"/>
              </w:rPr>
              <w:t>垃圾、杂</w:t>
            </w:r>
          </w:p>
          <w:p>
            <w:pPr>
              <w:pStyle w:val="20"/>
              <w:spacing w:before="79"/>
              <w:ind w:left="4"/>
              <w:rPr>
                <w:sz w:val="24"/>
              </w:rPr>
            </w:pPr>
            <w:r>
              <w:rPr>
                <w:sz w:val="24"/>
              </w:rPr>
              <w:t>物。④环卫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8" w:hRule="atLeast"/>
        </w:trPr>
        <w:tc>
          <w:tcPr>
            <w:tcW w:w="2150" w:type="dxa"/>
            <w:vMerge w:val="continue"/>
            <w:tcBorders>
              <w:bottom w:val="single" w:color="000000" w:sz="4" w:space="0"/>
            </w:tcBorders>
          </w:tcPr>
          <w:p>
            <w:pPr>
              <w:pStyle w:val="20"/>
              <w:rPr>
                <w:rFonts w:ascii="Times New Roman"/>
                <w:sz w:val="22"/>
              </w:rPr>
            </w:pPr>
          </w:p>
        </w:tc>
        <w:tc>
          <w:tcPr>
            <w:tcW w:w="2100" w:type="dxa"/>
            <w:vMerge w:val="continue"/>
            <w:tcBorders>
              <w:bottom w:val="single" w:color="000000" w:sz="4" w:space="0"/>
            </w:tcBorders>
          </w:tcPr>
          <w:p>
            <w:pPr>
              <w:pStyle w:val="20"/>
              <w:spacing w:line="307" w:lineRule="exact"/>
              <w:ind w:left="3"/>
              <w:rPr>
                <w:sz w:val="24"/>
              </w:rPr>
            </w:pPr>
          </w:p>
        </w:tc>
        <w:tc>
          <w:tcPr>
            <w:tcW w:w="2112" w:type="dxa"/>
            <w:vMerge w:val="continue"/>
            <w:tcBorders>
              <w:bottom w:val="single" w:color="000000" w:sz="4" w:space="0"/>
            </w:tcBorders>
          </w:tcPr>
          <w:p>
            <w:pPr>
              <w:pStyle w:val="20"/>
              <w:spacing w:line="364" w:lineRule="auto"/>
              <w:ind w:left="3" w:right="15"/>
              <w:rPr>
                <w:sz w:val="24"/>
              </w:rPr>
            </w:pPr>
          </w:p>
        </w:tc>
        <w:tc>
          <w:tcPr>
            <w:tcW w:w="2150" w:type="dxa"/>
            <w:vMerge w:val="continue"/>
            <w:tcBorders>
              <w:bottom w:val="single" w:color="000000" w:sz="4" w:space="0"/>
            </w:tcBorders>
          </w:tcPr>
          <w:p>
            <w:pPr>
              <w:pStyle w:val="20"/>
              <w:spacing w:line="364" w:lineRule="auto"/>
              <w:ind w:left="3" w:right="53"/>
              <w:jc w:val="both"/>
              <w:rPr>
                <w:sz w:val="24"/>
              </w:rPr>
            </w:pPr>
          </w:p>
        </w:tc>
        <w:tc>
          <w:tcPr>
            <w:tcW w:w="1338" w:type="dxa"/>
            <w:tcBorders>
              <w:left w:val="single" w:color="000000" w:sz="4" w:space="0"/>
              <w:bottom w:val="single" w:color="000000" w:sz="4" w:space="0"/>
              <w:right w:val="single" w:color="000000" w:sz="4" w:space="0"/>
            </w:tcBorders>
          </w:tcPr>
          <w:p>
            <w:pPr>
              <w:pStyle w:val="20"/>
              <w:spacing w:line="362" w:lineRule="auto"/>
              <w:ind w:left="4" w:right="393"/>
              <w:jc w:val="both"/>
              <w:rPr>
                <w:sz w:val="24"/>
              </w:rPr>
            </w:pPr>
            <w:r>
              <w:rPr>
                <w:spacing w:val="-13"/>
                <w:sz w:val="24"/>
              </w:rPr>
              <w:t>设施无破</w:t>
            </w:r>
            <w:r>
              <w:rPr>
                <w:spacing w:val="-8"/>
                <w:sz w:val="24"/>
              </w:rPr>
              <w:t>损， 箱</w:t>
            </w:r>
          </w:p>
          <w:p>
            <w:pPr>
              <w:pStyle w:val="20"/>
              <w:spacing w:before="1" w:line="364" w:lineRule="auto"/>
              <w:ind w:left="4" w:right="162"/>
              <w:jc w:val="both"/>
              <w:rPr>
                <w:sz w:val="24"/>
              </w:rPr>
            </w:pPr>
            <w:r>
              <w:rPr>
                <w:spacing w:val="-10"/>
                <w:sz w:val="24"/>
              </w:rPr>
              <w:t>（</w:t>
            </w:r>
            <w:r>
              <w:rPr>
                <w:spacing w:val="-11"/>
                <w:sz w:val="24"/>
              </w:rPr>
              <w:t>桶、房</w:t>
            </w:r>
            <w:r>
              <w:rPr>
                <w:spacing w:val="-16"/>
                <w:sz w:val="24"/>
              </w:rPr>
              <w:t xml:space="preserve">） </w:t>
            </w:r>
            <w:r>
              <w:rPr>
                <w:spacing w:val="-12"/>
                <w:sz w:val="24"/>
              </w:rPr>
              <w:t>表面及周边</w:t>
            </w:r>
            <w:r>
              <w:rPr>
                <w:spacing w:val="-7"/>
                <w:sz w:val="24"/>
              </w:rPr>
              <w:t>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169"/>
              <w:ind w:left="521"/>
              <w:rPr>
                <w:sz w:val="24"/>
              </w:rPr>
            </w:pPr>
            <w:r>
              <w:rPr>
                <w:sz w:val="24"/>
              </w:rPr>
              <w:t>保洁时间</w:t>
            </w:r>
          </w:p>
        </w:tc>
        <w:tc>
          <w:tcPr>
            <w:tcW w:w="2100" w:type="dxa"/>
            <w:tcBorders>
              <w:top w:val="single" w:color="000000" w:sz="4" w:space="0"/>
              <w:left w:val="single" w:color="000000" w:sz="4" w:space="0"/>
              <w:bottom w:val="single" w:color="000000" w:sz="4" w:space="0"/>
              <w:right w:val="single" w:color="000000" w:sz="4" w:space="0"/>
            </w:tcBorders>
          </w:tcPr>
          <w:p>
            <w:pPr>
              <w:pStyle w:val="20"/>
              <w:spacing w:before="169"/>
              <w:ind w:right="173"/>
              <w:jc w:val="right"/>
              <w:rPr>
                <w:sz w:val="24"/>
              </w:rPr>
            </w:pPr>
            <w:r>
              <w:rPr>
                <w:sz w:val="24"/>
              </w:rPr>
              <w:t>13 小时以上</w:t>
            </w:r>
          </w:p>
        </w:tc>
        <w:tc>
          <w:tcPr>
            <w:tcW w:w="2112" w:type="dxa"/>
            <w:tcBorders>
              <w:top w:val="single" w:color="000000" w:sz="4" w:space="0"/>
              <w:left w:val="single" w:color="000000" w:sz="4" w:space="0"/>
              <w:bottom w:val="single" w:color="000000" w:sz="4" w:space="0"/>
              <w:right w:val="single" w:color="000000" w:sz="4" w:space="0"/>
            </w:tcBorders>
          </w:tcPr>
          <w:p>
            <w:pPr>
              <w:pStyle w:val="20"/>
              <w:spacing w:before="169"/>
              <w:ind w:right="178"/>
              <w:jc w:val="right"/>
              <w:rPr>
                <w:sz w:val="24"/>
              </w:rPr>
            </w:pPr>
            <w:r>
              <w:rPr>
                <w:sz w:val="24"/>
              </w:rPr>
              <w:t>10 小时以上</w:t>
            </w:r>
          </w:p>
        </w:tc>
        <w:tc>
          <w:tcPr>
            <w:tcW w:w="2150" w:type="dxa"/>
            <w:tcBorders>
              <w:top w:val="single" w:color="000000" w:sz="4" w:space="0"/>
              <w:left w:val="single" w:color="000000" w:sz="4" w:space="0"/>
              <w:bottom w:val="single" w:color="000000" w:sz="4" w:space="0"/>
              <w:right w:val="single" w:color="000000" w:sz="4" w:space="0"/>
            </w:tcBorders>
          </w:tcPr>
          <w:p>
            <w:pPr>
              <w:pStyle w:val="20"/>
              <w:spacing w:before="169"/>
              <w:ind w:left="541" w:right="5"/>
              <w:jc w:val="center"/>
              <w:rPr>
                <w:sz w:val="24"/>
              </w:rPr>
            </w:pPr>
            <w:r>
              <w:rPr>
                <w:sz w:val="24"/>
              </w:rPr>
              <w:t>8 小时</w:t>
            </w:r>
          </w:p>
        </w:tc>
        <w:tc>
          <w:tcPr>
            <w:tcW w:w="1338" w:type="dxa"/>
            <w:tcBorders>
              <w:top w:val="single" w:color="000000" w:sz="4" w:space="0"/>
              <w:left w:val="single" w:color="000000" w:sz="4" w:space="0"/>
              <w:bottom w:val="single" w:color="000000" w:sz="4" w:space="0"/>
              <w:right w:val="single" w:color="000000" w:sz="4" w:space="0"/>
            </w:tcBorders>
          </w:tcPr>
          <w:p>
            <w:pPr>
              <w:pStyle w:val="20"/>
              <w:spacing w:before="169"/>
              <w:ind w:right="76"/>
              <w:jc w:val="right"/>
              <w:rPr>
                <w:sz w:val="24"/>
              </w:rPr>
            </w:pPr>
            <w:r>
              <w:rPr>
                <w:sz w:val="24"/>
              </w:rPr>
              <w:t>8 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6"/>
              <w:rPr>
                <w:sz w:val="18"/>
              </w:rPr>
            </w:pPr>
          </w:p>
          <w:p>
            <w:pPr>
              <w:pStyle w:val="20"/>
              <w:ind w:left="5"/>
              <w:rPr>
                <w:sz w:val="24"/>
              </w:rPr>
            </w:pPr>
            <w:r>
              <w:rPr>
                <w:sz w:val="24"/>
              </w:rPr>
              <w:t>有色垃圾滞留时间</w:t>
            </w:r>
          </w:p>
        </w:tc>
        <w:tc>
          <w:tcPr>
            <w:tcW w:w="2100" w:type="dxa"/>
            <w:tcBorders>
              <w:top w:val="single" w:color="000000" w:sz="4" w:space="0"/>
              <w:left w:val="single" w:color="000000" w:sz="4" w:space="0"/>
              <w:bottom w:val="single" w:color="000000" w:sz="4" w:space="0"/>
              <w:right w:val="single" w:color="000000" w:sz="4" w:space="0"/>
            </w:tcBorders>
          </w:tcPr>
          <w:p>
            <w:pPr>
              <w:pStyle w:val="20"/>
              <w:rPr>
                <w:sz w:val="24"/>
              </w:rPr>
            </w:pPr>
          </w:p>
          <w:p>
            <w:pPr>
              <w:pStyle w:val="20"/>
              <w:spacing w:before="162"/>
              <w:ind w:left="939"/>
              <w:rPr>
                <w:sz w:val="24"/>
              </w:rPr>
            </w:pPr>
            <w:r>
              <w:rPr>
                <w:sz w:val="24"/>
              </w:rPr>
              <w:t>10 分钟</w:t>
            </w:r>
          </w:p>
        </w:tc>
        <w:tc>
          <w:tcPr>
            <w:tcW w:w="2112" w:type="dxa"/>
            <w:tcBorders>
              <w:top w:val="single" w:color="000000" w:sz="4" w:space="0"/>
              <w:left w:val="single" w:color="000000" w:sz="4" w:space="0"/>
              <w:bottom w:val="single" w:color="000000" w:sz="4" w:space="0"/>
              <w:right w:val="single" w:color="000000" w:sz="4" w:space="0"/>
            </w:tcBorders>
          </w:tcPr>
          <w:p>
            <w:pPr>
              <w:pStyle w:val="20"/>
              <w:rPr>
                <w:sz w:val="24"/>
              </w:rPr>
            </w:pPr>
          </w:p>
          <w:p>
            <w:pPr>
              <w:pStyle w:val="20"/>
              <w:spacing w:before="162"/>
              <w:ind w:left="946"/>
              <w:rPr>
                <w:sz w:val="24"/>
              </w:rPr>
            </w:pPr>
            <w:r>
              <w:rPr>
                <w:sz w:val="24"/>
              </w:rPr>
              <w:t>15 分钟</w:t>
            </w:r>
          </w:p>
        </w:tc>
        <w:tc>
          <w:tcPr>
            <w:tcW w:w="2150" w:type="dxa"/>
            <w:tcBorders>
              <w:top w:val="single" w:color="000000" w:sz="4" w:space="0"/>
              <w:left w:val="single" w:color="000000" w:sz="4" w:space="0"/>
              <w:bottom w:val="single" w:color="000000" w:sz="4" w:space="0"/>
              <w:right w:val="single" w:color="000000" w:sz="4" w:space="0"/>
            </w:tcBorders>
          </w:tcPr>
          <w:p>
            <w:pPr>
              <w:pStyle w:val="20"/>
              <w:rPr>
                <w:sz w:val="24"/>
              </w:rPr>
            </w:pPr>
          </w:p>
          <w:p>
            <w:pPr>
              <w:pStyle w:val="20"/>
              <w:spacing w:before="162"/>
              <w:ind w:left="541" w:right="5"/>
              <w:jc w:val="center"/>
              <w:rPr>
                <w:sz w:val="24"/>
              </w:rPr>
            </w:pPr>
            <w:r>
              <w:rPr>
                <w:sz w:val="24"/>
              </w:rPr>
              <w:t>20 分钟</w:t>
            </w:r>
          </w:p>
        </w:tc>
        <w:tc>
          <w:tcPr>
            <w:tcW w:w="1338" w:type="dxa"/>
            <w:tcBorders>
              <w:top w:val="single" w:color="000000" w:sz="4" w:space="0"/>
              <w:left w:val="single" w:color="000000" w:sz="4" w:space="0"/>
              <w:bottom w:val="single" w:color="000000" w:sz="4" w:space="0"/>
              <w:right w:val="single" w:color="000000" w:sz="4" w:space="0"/>
            </w:tcBorders>
          </w:tcPr>
          <w:p>
            <w:pPr>
              <w:pStyle w:val="20"/>
              <w:rPr>
                <w:sz w:val="24"/>
              </w:rPr>
            </w:pPr>
          </w:p>
          <w:p>
            <w:pPr>
              <w:pStyle w:val="20"/>
              <w:spacing w:before="162"/>
              <w:ind w:right="109"/>
              <w:jc w:val="right"/>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5"/>
              <w:rPr>
                <w:sz w:val="18"/>
              </w:rPr>
            </w:pPr>
          </w:p>
          <w:p>
            <w:pPr>
              <w:pStyle w:val="20"/>
              <w:ind w:left="521"/>
              <w:rPr>
                <w:sz w:val="24"/>
              </w:rPr>
            </w:pPr>
            <w:r>
              <w:rPr>
                <w:sz w:val="24"/>
              </w:rPr>
              <w:t>洒水次数</w:t>
            </w:r>
          </w:p>
        </w:tc>
        <w:tc>
          <w:tcPr>
            <w:tcW w:w="2100" w:type="dxa"/>
            <w:tcBorders>
              <w:top w:val="single" w:color="000000" w:sz="4" w:space="0"/>
              <w:left w:val="single" w:color="000000" w:sz="4" w:space="0"/>
              <w:bottom w:val="single" w:color="000000" w:sz="4" w:space="0"/>
              <w:right w:val="single" w:color="000000" w:sz="4" w:space="0"/>
            </w:tcBorders>
          </w:tcPr>
          <w:p>
            <w:pPr>
              <w:pStyle w:val="20"/>
              <w:spacing w:before="5"/>
              <w:rPr>
                <w:sz w:val="18"/>
              </w:rPr>
            </w:pPr>
          </w:p>
          <w:p>
            <w:pPr>
              <w:pStyle w:val="20"/>
              <w:ind w:left="913"/>
              <w:rPr>
                <w:sz w:val="24"/>
              </w:rPr>
            </w:pPr>
            <w:r>
              <w:rPr>
                <w:sz w:val="24"/>
              </w:rPr>
              <w:t>2 次/天</w:t>
            </w:r>
          </w:p>
        </w:tc>
        <w:tc>
          <w:tcPr>
            <w:tcW w:w="2112" w:type="dxa"/>
            <w:tcBorders>
              <w:top w:val="single" w:color="000000" w:sz="4" w:space="0"/>
              <w:left w:val="single" w:color="000000" w:sz="4" w:space="0"/>
              <w:bottom w:val="single" w:color="000000" w:sz="4" w:space="0"/>
              <w:right w:val="single" w:color="000000" w:sz="4" w:space="0"/>
            </w:tcBorders>
          </w:tcPr>
          <w:p>
            <w:pPr>
              <w:pStyle w:val="20"/>
              <w:spacing w:before="5"/>
              <w:rPr>
                <w:sz w:val="18"/>
              </w:rPr>
            </w:pPr>
          </w:p>
          <w:p>
            <w:pPr>
              <w:pStyle w:val="20"/>
              <w:ind w:left="918"/>
              <w:rPr>
                <w:sz w:val="24"/>
              </w:rPr>
            </w:pPr>
            <w:r>
              <w:rPr>
                <w:sz w:val="24"/>
              </w:rPr>
              <w:t>1 次/天</w:t>
            </w:r>
          </w:p>
        </w:tc>
        <w:tc>
          <w:tcPr>
            <w:tcW w:w="2150" w:type="dxa"/>
            <w:tcBorders>
              <w:top w:val="single" w:color="000000" w:sz="4" w:space="0"/>
              <w:left w:val="single" w:color="000000" w:sz="4" w:space="0"/>
              <w:bottom w:val="single" w:color="000000" w:sz="4" w:space="0"/>
              <w:right w:val="single" w:color="000000" w:sz="4" w:space="0"/>
            </w:tcBorders>
          </w:tcPr>
          <w:p>
            <w:pPr>
              <w:pStyle w:val="20"/>
              <w:spacing w:before="3"/>
              <w:ind w:left="25" w:right="5"/>
              <w:jc w:val="center"/>
              <w:rPr>
                <w:sz w:val="24"/>
              </w:rPr>
            </w:pPr>
            <w:r>
              <w:rPr>
                <w:spacing w:val="-10"/>
                <w:sz w:val="24"/>
              </w:rPr>
              <w:t>巷道较窄，视情况而</w:t>
            </w:r>
          </w:p>
          <w:p>
            <w:pPr>
              <w:pStyle w:val="20"/>
              <w:spacing w:before="158"/>
              <w:ind w:left="17"/>
              <w:jc w:val="center"/>
              <w:rPr>
                <w:sz w:val="24"/>
              </w:rPr>
            </w:pPr>
            <w:r>
              <w:rPr>
                <w:sz w:val="24"/>
              </w:rPr>
              <w:t>定</w:t>
            </w:r>
          </w:p>
        </w:tc>
        <w:tc>
          <w:tcPr>
            <w:tcW w:w="1338" w:type="dxa"/>
            <w:tcBorders>
              <w:top w:val="single" w:color="000000" w:sz="4" w:space="0"/>
              <w:left w:val="single" w:color="000000" w:sz="4" w:space="0"/>
              <w:bottom w:val="single" w:color="000000" w:sz="4" w:space="0"/>
              <w:right w:val="single" w:color="000000" w:sz="4" w:space="0"/>
            </w:tcBorders>
          </w:tcPr>
          <w:p>
            <w:pPr>
              <w:pStyle w:val="20"/>
              <w:spacing w:before="5"/>
              <w:rPr>
                <w:sz w:val="18"/>
              </w:rPr>
            </w:pPr>
          </w:p>
          <w:p>
            <w:pPr>
              <w:pStyle w:val="20"/>
              <w:ind w:right="109"/>
              <w:jc w:val="right"/>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4"/>
              <w:rPr>
                <w:sz w:val="18"/>
              </w:rPr>
            </w:pPr>
          </w:p>
          <w:p>
            <w:pPr>
              <w:pStyle w:val="20"/>
              <w:ind w:left="521"/>
              <w:rPr>
                <w:sz w:val="24"/>
              </w:rPr>
            </w:pPr>
            <w:r>
              <w:rPr>
                <w:sz w:val="24"/>
              </w:rPr>
              <w:t>机扫次数</w:t>
            </w:r>
          </w:p>
        </w:tc>
        <w:tc>
          <w:tcPr>
            <w:tcW w:w="2100" w:type="dxa"/>
            <w:tcBorders>
              <w:top w:val="single" w:color="000000" w:sz="4" w:space="0"/>
              <w:left w:val="single" w:color="000000" w:sz="4" w:space="0"/>
              <w:bottom w:val="single" w:color="000000" w:sz="4" w:space="0"/>
              <w:right w:val="single" w:color="000000" w:sz="4" w:space="0"/>
            </w:tcBorders>
          </w:tcPr>
          <w:p>
            <w:pPr>
              <w:pStyle w:val="20"/>
              <w:spacing w:before="4"/>
              <w:rPr>
                <w:sz w:val="18"/>
              </w:rPr>
            </w:pPr>
          </w:p>
          <w:p>
            <w:pPr>
              <w:pStyle w:val="20"/>
              <w:ind w:left="913"/>
              <w:rPr>
                <w:sz w:val="24"/>
              </w:rPr>
            </w:pPr>
            <w:r>
              <w:rPr>
                <w:sz w:val="24"/>
              </w:rPr>
              <w:t>2 次/天</w:t>
            </w:r>
          </w:p>
        </w:tc>
        <w:tc>
          <w:tcPr>
            <w:tcW w:w="2112" w:type="dxa"/>
            <w:tcBorders>
              <w:top w:val="single" w:color="000000" w:sz="4" w:space="0"/>
              <w:left w:val="single" w:color="000000" w:sz="4" w:space="0"/>
              <w:bottom w:val="single" w:color="000000" w:sz="4" w:space="0"/>
              <w:right w:val="single" w:color="000000" w:sz="4" w:space="0"/>
            </w:tcBorders>
          </w:tcPr>
          <w:p>
            <w:pPr>
              <w:pStyle w:val="20"/>
              <w:spacing w:before="4"/>
              <w:rPr>
                <w:sz w:val="18"/>
              </w:rPr>
            </w:pPr>
          </w:p>
          <w:p>
            <w:pPr>
              <w:pStyle w:val="20"/>
              <w:ind w:left="918"/>
              <w:rPr>
                <w:sz w:val="24"/>
              </w:rPr>
            </w:pPr>
            <w:r>
              <w:rPr>
                <w:sz w:val="24"/>
              </w:rPr>
              <w:t>1 次/天</w:t>
            </w:r>
          </w:p>
        </w:tc>
        <w:tc>
          <w:tcPr>
            <w:tcW w:w="2150" w:type="dxa"/>
            <w:tcBorders>
              <w:top w:val="single" w:color="000000" w:sz="4" w:space="0"/>
              <w:left w:val="single" w:color="000000" w:sz="4" w:space="0"/>
              <w:bottom w:val="single" w:color="000000" w:sz="4" w:space="0"/>
              <w:right w:val="single" w:color="000000" w:sz="4" w:space="0"/>
            </w:tcBorders>
          </w:tcPr>
          <w:p>
            <w:pPr>
              <w:pStyle w:val="20"/>
              <w:spacing w:before="2"/>
              <w:ind w:left="25" w:right="5"/>
              <w:jc w:val="center"/>
              <w:rPr>
                <w:sz w:val="24"/>
              </w:rPr>
            </w:pPr>
            <w:r>
              <w:rPr>
                <w:spacing w:val="-10"/>
                <w:sz w:val="24"/>
              </w:rPr>
              <w:t>巷道较窄，视情况而</w:t>
            </w:r>
          </w:p>
          <w:p>
            <w:pPr>
              <w:pStyle w:val="20"/>
              <w:spacing w:before="158"/>
              <w:ind w:left="17"/>
              <w:jc w:val="center"/>
              <w:rPr>
                <w:sz w:val="24"/>
              </w:rPr>
            </w:pPr>
            <w:r>
              <w:rPr>
                <w:sz w:val="24"/>
              </w:rPr>
              <w:t>定</w:t>
            </w:r>
          </w:p>
        </w:tc>
        <w:tc>
          <w:tcPr>
            <w:tcW w:w="1338" w:type="dxa"/>
            <w:tcBorders>
              <w:top w:val="single" w:color="000000" w:sz="4" w:space="0"/>
              <w:left w:val="single" w:color="000000" w:sz="4" w:space="0"/>
              <w:bottom w:val="single" w:color="000000" w:sz="4" w:space="0"/>
              <w:right w:val="single" w:color="000000" w:sz="4" w:space="0"/>
            </w:tcBorders>
          </w:tcPr>
          <w:p>
            <w:pPr>
              <w:pStyle w:val="20"/>
              <w:spacing w:before="4"/>
              <w:rPr>
                <w:sz w:val="18"/>
              </w:rPr>
            </w:pPr>
          </w:p>
          <w:p>
            <w:pPr>
              <w:pStyle w:val="20"/>
              <w:ind w:right="109"/>
              <w:jc w:val="right"/>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6"/>
              <w:rPr>
                <w:sz w:val="18"/>
              </w:rPr>
            </w:pPr>
          </w:p>
          <w:p>
            <w:pPr>
              <w:pStyle w:val="20"/>
              <w:ind w:left="521"/>
              <w:rPr>
                <w:sz w:val="24"/>
              </w:rPr>
            </w:pPr>
            <w:r>
              <w:rPr>
                <w:sz w:val="24"/>
              </w:rPr>
              <w:t>路面冲洗</w:t>
            </w:r>
          </w:p>
        </w:tc>
        <w:tc>
          <w:tcPr>
            <w:tcW w:w="2100" w:type="dxa"/>
            <w:tcBorders>
              <w:top w:val="single" w:color="000000" w:sz="4" w:space="0"/>
              <w:left w:val="single" w:color="000000" w:sz="4" w:space="0"/>
              <w:bottom w:val="single" w:color="000000" w:sz="4" w:space="0"/>
              <w:right w:val="single" w:color="000000" w:sz="4" w:space="0"/>
            </w:tcBorders>
          </w:tcPr>
          <w:p>
            <w:pPr>
              <w:pStyle w:val="20"/>
              <w:spacing w:before="6"/>
              <w:rPr>
                <w:sz w:val="18"/>
              </w:rPr>
            </w:pPr>
          </w:p>
          <w:p>
            <w:pPr>
              <w:pStyle w:val="20"/>
              <w:ind w:right="260"/>
              <w:jc w:val="right"/>
              <w:rPr>
                <w:sz w:val="24"/>
              </w:rPr>
            </w:pPr>
            <w:r>
              <w:rPr>
                <w:sz w:val="24"/>
              </w:rPr>
              <w:t>每周 2 次</w:t>
            </w:r>
          </w:p>
        </w:tc>
        <w:tc>
          <w:tcPr>
            <w:tcW w:w="2112" w:type="dxa"/>
            <w:tcBorders>
              <w:top w:val="single" w:color="000000" w:sz="4" w:space="0"/>
              <w:left w:val="single" w:color="000000" w:sz="4" w:space="0"/>
              <w:bottom w:val="single" w:color="000000" w:sz="4" w:space="0"/>
              <w:right w:val="single" w:color="000000" w:sz="4" w:space="0"/>
            </w:tcBorders>
          </w:tcPr>
          <w:p>
            <w:pPr>
              <w:pStyle w:val="20"/>
              <w:spacing w:before="6"/>
              <w:rPr>
                <w:sz w:val="18"/>
              </w:rPr>
            </w:pPr>
          </w:p>
          <w:p>
            <w:pPr>
              <w:pStyle w:val="20"/>
              <w:ind w:right="267"/>
              <w:jc w:val="right"/>
              <w:rPr>
                <w:sz w:val="24"/>
              </w:rPr>
            </w:pPr>
            <w:r>
              <w:rPr>
                <w:sz w:val="24"/>
              </w:rPr>
              <w:t>每周 1 次</w:t>
            </w:r>
          </w:p>
        </w:tc>
        <w:tc>
          <w:tcPr>
            <w:tcW w:w="2150" w:type="dxa"/>
            <w:tcBorders>
              <w:top w:val="single" w:color="000000" w:sz="4" w:space="0"/>
              <w:left w:val="single" w:color="000000" w:sz="4" w:space="0"/>
              <w:bottom w:val="single" w:color="000000" w:sz="4" w:space="0"/>
              <w:right w:val="single" w:color="000000" w:sz="4" w:space="0"/>
            </w:tcBorders>
          </w:tcPr>
          <w:p>
            <w:pPr>
              <w:pStyle w:val="20"/>
              <w:spacing w:before="4"/>
              <w:ind w:left="25" w:right="5"/>
              <w:jc w:val="center"/>
              <w:rPr>
                <w:sz w:val="24"/>
              </w:rPr>
            </w:pPr>
            <w:r>
              <w:rPr>
                <w:spacing w:val="-10"/>
                <w:sz w:val="24"/>
              </w:rPr>
              <w:t>巷道较窄，视情况而</w:t>
            </w:r>
          </w:p>
          <w:p>
            <w:pPr>
              <w:pStyle w:val="20"/>
              <w:spacing w:before="158"/>
              <w:ind w:left="17"/>
              <w:jc w:val="center"/>
              <w:rPr>
                <w:sz w:val="24"/>
              </w:rPr>
            </w:pPr>
            <w:r>
              <w:rPr>
                <w:sz w:val="24"/>
              </w:rPr>
              <w:t>定</w:t>
            </w:r>
          </w:p>
        </w:tc>
        <w:tc>
          <w:tcPr>
            <w:tcW w:w="1338" w:type="dxa"/>
            <w:tcBorders>
              <w:top w:val="single" w:color="000000" w:sz="4" w:space="0"/>
              <w:left w:val="single" w:color="000000" w:sz="4" w:space="0"/>
              <w:bottom w:val="single" w:color="000000" w:sz="4" w:space="0"/>
              <w:right w:val="single" w:color="000000" w:sz="4" w:space="0"/>
            </w:tcBorders>
          </w:tcPr>
          <w:p>
            <w:pPr>
              <w:pStyle w:val="20"/>
              <w:spacing w:before="6"/>
              <w:rPr>
                <w:sz w:val="18"/>
              </w:rPr>
            </w:pPr>
          </w:p>
          <w:p>
            <w:pPr>
              <w:pStyle w:val="20"/>
              <w:ind w:right="109"/>
              <w:jc w:val="right"/>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1"/>
              <w:ind w:left="521"/>
              <w:rPr>
                <w:sz w:val="24"/>
              </w:rPr>
            </w:pPr>
            <w:r>
              <w:rPr>
                <w:sz w:val="24"/>
              </w:rPr>
              <w:t>清洗</w:t>
            </w:r>
          </w:p>
        </w:tc>
        <w:tc>
          <w:tcPr>
            <w:tcW w:w="2100" w:type="dxa"/>
            <w:tcBorders>
              <w:top w:val="single" w:color="000000" w:sz="4" w:space="0"/>
              <w:left w:val="single" w:color="000000" w:sz="4" w:space="0"/>
              <w:bottom w:val="single" w:color="000000" w:sz="4" w:space="0"/>
              <w:right w:val="single" w:color="000000" w:sz="4" w:space="0"/>
            </w:tcBorders>
          </w:tcPr>
          <w:p>
            <w:pPr>
              <w:pStyle w:val="20"/>
              <w:spacing w:before="1"/>
              <w:ind w:right="195"/>
              <w:jc w:val="right"/>
              <w:rPr>
                <w:sz w:val="24"/>
              </w:rPr>
            </w:pPr>
            <w:r>
              <w:rPr>
                <w:sz w:val="24"/>
              </w:rPr>
              <w:t>视情况而定</w:t>
            </w:r>
          </w:p>
        </w:tc>
        <w:tc>
          <w:tcPr>
            <w:tcW w:w="2112" w:type="dxa"/>
            <w:tcBorders>
              <w:top w:val="single" w:color="000000" w:sz="4" w:space="0"/>
              <w:left w:val="single" w:color="000000" w:sz="4" w:space="0"/>
              <w:bottom w:val="single" w:color="000000" w:sz="4" w:space="0"/>
              <w:right w:val="single" w:color="000000" w:sz="4" w:space="0"/>
            </w:tcBorders>
          </w:tcPr>
          <w:p>
            <w:pPr>
              <w:pStyle w:val="20"/>
              <w:spacing w:before="1"/>
              <w:ind w:right="200"/>
              <w:jc w:val="right"/>
              <w:rPr>
                <w:sz w:val="24"/>
              </w:rPr>
            </w:pPr>
            <w:r>
              <w:rPr>
                <w:sz w:val="24"/>
              </w:rPr>
              <w:t>视情况而定</w:t>
            </w:r>
          </w:p>
        </w:tc>
        <w:tc>
          <w:tcPr>
            <w:tcW w:w="2150" w:type="dxa"/>
            <w:tcBorders>
              <w:top w:val="single" w:color="000000" w:sz="4" w:space="0"/>
              <w:left w:val="single" w:color="000000" w:sz="4" w:space="0"/>
              <w:bottom w:val="single" w:color="000000" w:sz="4" w:space="0"/>
              <w:right w:val="single" w:color="000000" w:sz="4" w:space="0"/>
            </w:tcBorders>
          </w:tcPr>
          <w:p>
            <w:pPr>
              <w:pStyle w:val="20"/>
              <w:spacing w:before="1"/>
              <w:ind w:left="541" w:right="5"/>
              <w:jc w:val="center"/>
              <w:rPr>
                <w:sz w:val="24"/>
              </w:rPr>
            </w:pPr>
            <w:r>
              <w:rPr>
                <w:sz w:val="24"/>
              </w:rPr>
              <w:t>视情况而定</w:t>
            </w:r>
          </w:p>
        </w:tc>
        <w:tc>
          <w:tcPr>
            <w:tcW w:w="1338" w:type="dxa"/>
            <w:tcBorders>
              <w:top w:val="single" w:color="000000" w:sz="4" w:space="0"/>
              <w:left w:val="single" w:color="000000" w:sz="4" w:space="0"/>
              <w:bottom w:val="single" w:color="000000" w:sz="4" w:space="0"/>
              <w:right w:val="single" w:color="000000" w:sz="4" w:space="0"/>
            </w:tcBorders>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2150" w:type="dxa"/>
            <w:tcBorders>
              <w:top w:val="single" w:color="000000" w:sz="4" w:space="0"/>
              <w:left w:val="single" w:color="000000" w:sz="4" w:space="0"/>
              <w:bottom w:val="single" w:color="000000" w:sz="4" w:space="0"/>
              <w:right w:val="single" w:color="000000" w:sz="4" w:space="0"/>
            </w:tcBorders>
          </w:tcPr>
          <w:p>
            <w:pPr>
              <w:pStyle w:val="20"/>
              <w:spacing w:before="9"/>
              <w:rPr>
                <w:sz w:val="18"/>
              </w:rPr>
            </w:pPr>
          </w:p>
          <w:p>
            <w:pPr>
              <w:pStyle w:val="20"/>
              <w:ind w:left="521"/>
              <w:rPr>
                <w:sz w:val="24"/>
              </w:rPr>
            </w:pPr>
            <w:r>
              <w:rPr>
                <w:sz w:val="24"/>
              </w:rPr>
              <w:t>备注</w:t>
            </w:r>
          </w:p>
        </w:tc>
        <w:tc>
          <w:tcPr>
            <w:tcW w:w="6362" w:type="dxa"/>
            <w:gridSpan w:val="3"/>
            <w:tcBorders>
              <w:top w:val="single" w:color="000000" w:sz="4" w:space="0"/>
              <w:left w:val="single" w:color="000000" w:sz="4" w:space="0"/>
              <w:bottom w:val="single" w:color="000000" w:sz="4" w:space="0"/>
              <w:right w:val="single" w:color="000000" w:sz="4" w:space="0"/>
            </w:tcBorders>
          </w:tcPr>
          <w:p>
            <w:pPr>
              <w:pStyle w:val="20"/>
              <w:spacing w:before="7" w:line="362" w:lineRule="auto"/>
              <w:ind w:left="3066" w:right="7" w:hanging="3036"/>
              <w:rPr>
                <w:sz w:val="24"/>
              </w:rPr>
            </w:pPr>
            <w:r>
              <w:rPr>
                <w:spacing w:val="-12"/>
                <w:sz w:val="24"/>
              </w:rPr>
              <w:t xml:space="preserve">气温高于 </w:t>
            </w:r>
            <w:r>
              <w:rPr>
                <w:spacing w:val="-10"/>
                <w:sz w:val="24"/>
              </w:rPr>
              <w:t>30</w:t>
            </w:r>
            <w:r>
              <w:rPr>
                <w:spacing w:val="-12"/>
                <w:sz w:val="24"/>
              </w:rPr>
              <w:t xml:space="preserve">℃增加洒水次数，气温低于 </w:t>
            </w:r>
            <w:r>
              <w:rPr>
                <w:spacing w:val="-10"/>
                <w:sz w:val="24"/>
              </w:rPr>
              <w:t>2℃时应停止清洗和洒水</w:t>
            </w:r>
          </w:p>
        </w:tc>
        <w:tc>
          <w:tcPr>
            <w:tcW w:w="1338" w:type="dxa"/>
            <w:tcBorders>
              <w:top w:val="single" w:color="000000" w:sz="4" w:space="0"/>
              <w:left w:val="single" w:color="000000" w:sz="4" w:space="0"/>
              <w:bottom w:val="single" w:color="000000" w:sz="4" w:space="0"/>
              <w:right w:val="single" w:color="000000" w:sz="4" w:space="0"/>
            </w:tcBorders>
          </w:tcPr>
          <w:p>
            <w:pPr>
              <w:pStyle w:val="20"/>
              <w:spacing w:before="9"/>
              <w:rPr>
                <w:sz w:val="18"/>
              </w:rPr>
            </w:pPr>
          </w:p>
          <w:p>
            <w:pPr>
              <w:pStyle w:val="20"/>
              <w:ind w:right="54"/>
              <w:jc w:val="right"/>
              <w:rPr>
                <w:sz w:val="24"/>
              </w:rPr>
            </w:pPr>
            <w:r>
              <w:rPr>
                <w:sz w:val="24"/>
              </w:rPr>
              <w:t>------</w:t>
            </w:r>
          </w:p>
        </w:tc>
      </w:tr>
    </w:tbl>
    <w:p>
      <w:pPr>
        <w:pStyle w:val="8"/>
        <w:spacing w:line="304" w:lineRule="exact"/>
        <w:ind w:left="857"/>
      </w:pPr>
      <w:r>
        <w:t>4、路面废物控制指标表（表格中均为每 1000 ㎡）</w:t>
      </w:r>
    </w:p>
    <w:p>
      <w:pPr>
        <w:pStyle w:val="8"/>
        <w:spacing w:before="5"/>
        <w:rPr>
          <w:sz w:val="12"/>
        </w:rPr>
      </w:pPr>
    </w:p>
    <w:tbl>
      <w:tblPr>
        <w:tblStyle w:val="15"/>
        <w:tblW w:w="0" w:type="auto"/>
        <w:tblInd w:w="7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229"/>
        <w:gridCol w:w="1212"/>
        <w:gridCol w:w="1188"/>
        <w:gridCol w:w="1062"/>
        <w:gridCol w:w="1100"/>
        <w:gridCol w:w="1350"/>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59" w:type="dxa"/>
          </w:tcPr>
          <w:p>
            <w:pPr>
              <w:pStyle w:val="20"/>
              <w:spacing w:before="3"/>
              <w:rPr>
                <w:sz w:val="18"/>
              </w:rPr>
            </w:pPr>
          </w:p>
          <w:p>
            <w:pPr>
              <w:pStyle w:val="20"/>
              <w:ind w:left="16"/>
              <w:jc w:val="center"/>
              <w:rPr>
                <w:sz w:val="24"/>
              </w:rPr>
            </w:pPr>
            <w:r>
              <w:rPr>
                <w:spacing w:val="-12"/>
                <w:sz w:val="24"/>
              </w:rPr>
              <w:t>保洁等级</w:t>
            </w:r>
          </w:p>
        </w:tc>
        <w:tc>
          <w:tcPr>
            <w:tcW w:w="1229" w:type="dxa"/>
          </w:tcPr>
          <w:p>
            <w:pPr>
              <w:pStyle w:val="20"/>
              <w:spacing w:before="3"/>
              <w:rPr>
                <w:sz w:val="18"/>
              </w:rPr>
            </w:pPr>
          </w:p>
          <w:p>
            <w:pPr>
              <w:pStyle w:val="20"/>
              <w:ind w:left="38"/>
              <w:rPr>
                <w:sz w:val="24"/>
              </w:rPr>
            </w:pPr>
            <w:r>
              <w:rPr>
                <w:spacing w:val="-10"/>
                <w:sz w:val="24"/>
              </w:rPr>
              <w:t>果皮</w:t>
            </w:r>
            <w:r>
              <w:rPr>
                <w:spacing w:val="-12"/>
                <w:sz w:val="24"/>
              </w:rPr>
              <w:t>（</w:t>
            </w:r>
            <w:r>
              <w:rPr>
                <w:spacing w:val="-10"/>
                <w:sz w:val="24"/>
              </w:rPr>
              <w:t>片</w:t>
            </w:r>
            <w:r>
              <w:rPr>
                <w:sz w:val="24"/>
              </w:rPr>
              <w:t>）</w:t>
            </w:r>
          </w:p>
        </w:tc>
        <w:tc>
          <w:tcPr>
            <w:tcW w:w="1212" w:type="dxa"/>
          </w:tcPr>
          <w:p>
            <w:pPr>
              <w:pStyle w:val="20"/>
              <w:spacing w:before="1"/>
              <w:ind w:left="146"/>
              <w:rPr>
                <w:sz w:val="24"/>
              </w:rPr>
            </w:pPr>
            <w:r>
              <w:rPr>
                <w:sz w:val="24"/>
              </w:rPr>
              <w:t>纸屑塑膜</w:t>
            </w:r>
          </w:p>
          <w:p>
            <w:pPr>
              <w:pStyle w:val="20"/>
              <w:spacing w:before="158"/>
              <w:ind w:left="261"/>
              <w:rPr>
                <w:sz w:val="24"/>
              </w:rPr>
            </w:pPr>
            <w:r>
              <w:rPr>
                <w:sz w:val="24"/>
              </w:rPr>
              <w:t>（片）</w:t>
            </w:r>
          </w:p>
        </w:tc>
        <w:tc>
          <w:tcPr>
            <w:tcW w:w="1188" w:type="dxa"/>
          </w:tcPr>
          <w:p>
            <w:pPr>
              <w:pStyle w:val="20"/>
              <w:spacing w:before="1"/>
              <w:ind w:left="364"/>
              <w:rPr>
                <w:sz w:val="24"/>
              </w:rPr>
            </w:pPr>
            <w:r>
              <w:rPr>
                <w:sz w:val="24"/>
              </w:rPr>
              <w:t>烟蒂</w:t>
            </w:r>
          </w:p>
          <w:p>
            <w:pPr>
              <w:pStyle w:val="20"/>
              <w:spacing w:before="158"/>
              <w:ind w:left="249"/>
              <w:rPr>
                <w:sz w:val="24"/>
              </w:rPr>
            </w:pPr>
            <w:r>
              <w:rPr>
                <w:sz w:val="24"/>
              </w:rPr>
              <w:t>（个）</w:t>
            </w:r>
          </w:p>
        </w:tc>
        <w:tc>
          <w:tcPr>
            <w:tcW w:w="1062" w:type="dxa"/>
          </w:tcPr>
          <w:p>
            <w:pPr>
              <w:pStyle w:val="20"/>
              <w:spacing w:before="1"/>
              <w:ind w:left="299"/>
              <w:rPr>
                <w:sz w:val="24"/>
              </w:rPr>
            </w:pPr>
            <w:r>
              <w:rPr>
                <w:sz w:val="24"/>
              </w:rPr>
              <w:t>痰迹</w:t>
            </w:r>
          </w:p>
          <w:p>
            <w:pPr>
              <w:pStyle w:val="20"/>
              <w:spacing w:before="158"/>
              <w:ind w:left="184"/>
              <w:rPr>
                <w:sz w:val="24"/>
              </w:rPr>
            </w:pPr>
            <w:r>
              <w:rPr>
                <w:sz w:val="24"/>
              </w:rPr>
              <w:t>（处）</w:t>
            </w:r>
          </w:p>
        </w:tc>
        <w:tc>
          <w:tcPr>
            <w:tcW w:w="1100" w:type="dxa"/>
          </w:tcPr>
          <w:p>
            <w:pPr>
              <w:pStyle w:val="20"/>
              <w:spacing w:before="1"/>
              <w:ind w:left="320"/>
              <w:rPr>
                <w:sz w:val="24"/>
              </w:rPr>
            </w:pPr>
            <w:r>
              <w:rPr>
                <w:sz w:val="24"/>
              </w:rPr>
              <w:t>污水</w:t>
            </w:r>
          </w:p>
          <w:p>
            <w:pPr>
              <w:pStyle w:val="20"/>
              <w:spacing w:before="158"/>
              <w:ind w:left="204"/>
              <w:rPr>
                <w:sz w:val="24"/>
              </w:rPr>
            </w:pPr>
            <w:r>
              <w:rPr>
                <w:sz w:val="24"/>
              </w:rPr>
              <w:t>（㎡）</w:t>
            </w:r>
          </w:p>
        </w:tc>
        <w:tc>
          <w:tcPr>
            <w:tcW w:w="1350" w:type="dxa"/>
          </w:tcPr>
          <w:p>
            <w:pPr>
              <w:pStyle w:val="20"/>
              <w:spacing w:before="3"/>
              <w:rPr>
                <w:sz w:val="18"/>
              </w:rPr>
            </w:pPr>
          </w:p>
          <w:p>
            <w:pPr>
              <w:pStyle w:val="20"/>
              <w:ind w:left="98"/>
              <w:rPr>
                <w:sz w:val="24"/>
              </w:rPr>
            </w:pPr>
            <w:r>
              <w:rPr>
                <w:sz w:val="24"/>
              </w:rPr>
              <w:t>其他（处）</w:t>
            </w:r>
          </w:p>
        </w:tc>
        <w:tc>
          <w:tcPr>
            <w:tcW w:w="1375" w:type="dxa"/>
          </w:tcPr>
          <w:p>
            <w:pPr>
              <w:pStyle w:val="20"/>
              <w:spacing w:before="1"/>
              <w:ind w:left="3" w:right="-15"/>
              <w:rPr>
                <w:sz w:val="24"/>
              </w:rPr>
            </w:pPr>
            <w:r>
              <w:rPr>
                <w:spacing w:val="5"/>
                <w:sz w:val="24"/>
              </w:rPr>
              <w:t>滞 留 时 间</w:t>
            </w:r>
          </w:p>
          <w:p>
            <w:pPr>
              <w:pStyle w:val="20"/>
              <w:spacing w:before="158"/>
              <w:ind w:left="3"/>
              <w:rPr>
                <w:sz w:val="24"/>
              </w:rPr>
            </w:pP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59" w:type="dxa"/>
          </w:tcPr>
          <w:p>
            <w:pPr>
              <w:pStyle w:val="20"/>
              <w:spacing w:before="1"/>
              <w:ind w:left="18"/>
              <w:jc w:val="center"/>
              <w:rPr>
                <w:sz w:val="24"/>
              </w:rPr>
            </w:pPr>
            <w:r>
              <w:rPr>
                <w:sz w:val="24"/>
              </w:rPr>
              <w:t>一级</w:t>
            </w:r>
          </w:p>
        </w:tc>
        <w:tc>
          <w:tcPr>
            <w:tcW w:w="1229" w:type="dxa"/>
          </w:tcPr>
          <w:p>
            <w:pPr>
              <w:pStyle w:val="20"/>
              <w:spacing w:before="1"/>
              <w:ind w:left="520"/>
              <w:rPr>
                <w:sz w:val="24"/>
              </w:rPr>
            </w:pPr>
            <w:r>
              <w:rPr>
                <w:sz w:val="24"/>
              </w:rPr>
              <w:t>≤4</w:t>
            </w:r>
          </w:p>
        </w:tc>
        <w:tc>
          <w:tcPr>
            <w:tcW w:w="1212" w:type="dxa"/>
          </w:tcPr>
          <w:p>
            <w:pPr>
              <w:pStyle w:val="20"/>
              <w:spacing w:before="1"/>
              <w:ind w:left="520"/>
              <w:rPr>
                <w:sz w:val="24"/>
              </w:rPr>
            </w:pPr>
            <w:r>
              <w:rPr>
                <w:sz w:val="24"/>
              </w:rPr>
              <w:t>≤4</w:t>
            </w:r>
          </w:p>
        </w:tc>
        <w:tc>
          <w:tcPr>
            <w:tcW w:w="1188" w:type="dxa"/>
          </w:tcPr>
          <w:p>
            <w:pPr>
              <w:pStyle w:val="20"/>
              <w:spacing w:before="1"/>
              <w:ind w:left="520"/>
              <w:rPr>
                <w:sz w:val="24"/>
              </w:rPr>
            </w:pPr>
            <w:r>
              <w:rPr>
                <w:sz w:val="24"/>
              </w:rPr>
              <w:t>≤4</w:t>
            </w:r>
          </w:p>
        </w:tc>
        <w:tc>
          <w:tcPr>
            <w:tcW w:w="1062" w:type="dxa"/>
          </w:tcPr>
          <w:p>
            <w:pPr>
              <w:pStyle w:val="20"/>
              <w:spacing w:before="1"/>
              <w:ind w:left="520"/>
              <w:rPr>
                <w:sz w:val="24"/>
              </w:rPr>
            </w:pPr>
            <w:r>
              <w:rPr>
                <w:sz w:val="24"/>
              </w:rPr>
              <w:t>≤4</w:t>
            </w:r>
          </w:p>
        </w:tc>
        <w:tc>
          <w:tcPr>
            <w:tcW w:w="1100" w:type="dxa"/>
          </w:tcPr>
          <w:p>
            <w:pPr>
              <w:pStyle w:val="20"/>
              <w:spacing w:before="1"/>
              <w:ind w:left="39"/>
              <w:jc w:val="center"/>
              <w:rPr>
                <w:sz w:val="24"/>
              </w:rPr>
            </w:pPr>
            <w:r>
              <w:rPr>
                <w:sz w:val="24"/>
              </w:rPr>
              <w:t>无</w:t>
            </w:r>
          </w:p>
        </w:tc>
        <w:tc>
          <w:tcPr>
            <w:tcW w:w="1350" w:type="dxa"/>
          </w:tcPr>
          <w:p>
            <w:pPr>
              <w:pStyle w:val="20"/>
              <w:spacing w:before="1"/>
              <w:ind w:right="56"/>
              <w:jc w:val="center"/>
              <w:rPr>
                <w:sz w:val="24"/>
              </w:rPr>
            </w:pPr>
            <w:r>
              <w:rPr>
                <w:sz w:val="24"/>
              </w:rPr>
              <w:t>无</w:t>
            </w:r>
          </w:p>
        </w:tc>
        <w:tc>
          <w:tcPr>
            <w:tcW w:w="1375" w:type="dxa"/>
          </w:tcPr>
          <w:p>
            <w:pPr>
              <w:pStyle w:val="20"/>
              <w:spacing w:before="1"/>
              <w:ind w:right="377"/>
              <w:jc w:val="right"/>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59" w:type="dxa"/>
          </w:tcPr>
          <w:p>
            <w:pPr>
              <w:pStyle w:val="20"/>
              <w:spacing w:before="2"/>
              <w:ind w:left="18"/>
              <w:jc w:val="center"/>
              <w:rPr>
                <w:sz w:val="24"/>
              </w:rPr>
            </w:pPr>
            <w:r>
              <w:rPr>
                <w:sz w:val="24"/>
              </w:rPr>
              <w:t>二级</w:t>
            </w:r>
          </w:p>
        </w:tc>
        <w:tc>
          <w:tcPr>
            <w:tcW w:w="1229" w:type="dxa"/>
          </w:tcPr>
          <w:p>
            <w:pPr>
              <w:pStyle w:val="20"/>
              <w:spacing w:before="2"/>
              <w:ind w:left="520"/>
              <w:rPr>
                <w:sz w:val="24"/>
              </w:rPr>
            </w:pPr>
            <w:r>
              <w:rPr>
                <w:sz w:val="24"/>
              </w:rPr>
              <w:t>≤6</w:t>
            </w:r>
          </w:p>
        </w:tc>
        <w:tc>
          <w:tcPr>
            <w:tcW w:w="1212" w:type="dxa"/>
          </w:tcPr>
          <w:p>
            <w:pPr>
              <w:pStyle w:val="20"/>
              <w:spacing w:before="2"/>
              <w:ind w:left="520"/>
              <w:rPr>
                <w:sz w:val="24"/>
              </w:rPr>
            </w:pPr>
            <w:r>
              <w:rPr>
                <w:sz w:val="24"/>
              </w:rPr>
              <w:t>≤6</w:t>
            </w:r>
          </w:p>
        </w:tc>
        <w:tc>
          <w:tcPr>
            <w:tcW w:w="1188" w:type="dxa"/>
          </w:tcPr>
          <w:p>
            <w:pPr>
              <w:pStyle w:val="20"/>
              <w:spacing w:before="2"/>
              <w:ind w:left="520"/>
              <w:rPr>
                <w:sz w:val="24"/>
              </w:rPr>
            </w:pPr>
            <w:r>
              <w:rPr>
                <w:sz w:val="24"/>
              </w:rPr>
              <w:t>≤8</w:t>
            </w:r>
          </w:p>
        </w:tc>
        <w:tc>
          <w:tcPr>
            <w:tcW w:w="1062" w:type="dxa"/>
          </w:tcPr>
          <w:p>
            <w:pPr>
              <w:pStyle w:val="20"/>
              <w:spacing w:before="2"/>
              <w:ind w:left="520"/>
              <w:rPr>
                <w:sz w:val="24"/>
              </w:rPr>
            </w:pPr>
            <w:r>
              <w:rPr>
                <w:sz w:val="24"/>
              </w:rPr>
              <w:t>≤8</w:t>
            </w:r>
          </w:p>
        </w:tc>
        <w:tc>
          <w:tcPr>
            <w:tcW w:w="1100" w:type="dxa"/>
          </w:tcPr>
          <w:p>
            <w:pPr>
              <w:pStyle w:val="20"/>
              <w:spacing w:before="2"/>
              <w:ind w:left="5"/>
              <w:rPr>
                <w:sz w:val="24"/>
              </w:rPr>
            </w:pPr>
            <w:r>
              <w:rPr>
                <w:sz w:val="24"/>
              </w:rPr>
              <w:t>≤0.5</w:t>
            </w:r>
          </w:p>
        </w:tc>
        <w:tc>
          <w:tcPr>
            <w:tcW w:w="1350" w:type="dxa"/>
          </w:tcPr>
          <w:p>
            <w:pPr>
              <w:pStyle w:val="20"/>
              <w:spacing w:before="2"/>
              <w:ind w:left="496" w:right="444"/>
              <w:jc w:val="center"/>
              <w:rPr>
                <w:sz w:val="24"/>
              </w:rPr>
            </w:pPr>
            <w:r>
              <w:rPr>
                <w:sz w:val="24"/>
              </w:rPr>
              <w:t>≤2</w:t>
            </w:r>
          </w:p>
        </w:tc>
        <w:tc>
          <w:tcPr>
            <w:tcW w:w="1375" w:type="dxa"/>
          </w:tcPr>
          <w:p>
            <w:pPr>
              <w:pStyle w:val="20"/>
              <w:spacing w:before="2"/>
              <w:ind w:right="377"/>
              <w:jc w:val="right"/>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9" w:type="dxa"/>
          </w:tcPr>
          <w:p>
            <w:pPr>
              <w:pStyle w:val="20"/>
              <w:spacing w:before="1"/>
              <w:ind w:left="18"/>
              <w:jc w:val="center"/>
              <w:rPr>
                <w:sz w:val="24"/>
              </w:rPr>
            </w:pPr>
            <w:r>
              <w:rPr>
                <w:sz w:val="24"/>
              </w:rPr>
              <w:t>三级</w:t>
            </w:r>
          </w:p>
        </w:tc>
        <w:tc>
          <w:tcPr>
            <w:tcW w:w="1229" w:type="dxa"/>
          </w:tcPr>
          <w:p>
            <w:pPr>
              <w:pStyle w:val="20"/>
              <w:spacing w:before="1"/>
              <w:ind w:left="520"/>
              <w:rPr>
                <w:sz w:val="24"/>
              </w:rPr>
            </w:pPr>
            <w:r>
              <w:rPr>
                <w:sz w:val="24"/>
              </w:rPr>
              <w:t>≤8</w:t>
            </w:r>
          </w:p>
        </w:tc>
        <w:tc>
          <w:tcPr>
            <w:tcW w:w="1212" w:type="dxa"/>
          </w:tcPr>
          <w:p>
            <w:pPr>
              <w:pStyle w:val="20"/>
              <w:spacing w:before="1"/>
              <w:ind w:left="520"/>
              <w:rPr>
                <w:sz w:val="24"/>
              </w:rPr>
            </w:pPr>
            <w:r>
              <w:rPr>
                <w:sz w:val="24"/>
              </w:rPr>
              <w:t>≤10</w:t>
            </w:r>
          </w:p>
        </w:tc>
        <w:tc>
          <w:tcPr>
            <w:tcW w:w="1188" w:type="dxa"/>
          </w:tcPr>
          <w:p>
            <w:pPr>
              <w:pStyle w:val="20"/>
              <w:spacing w:before="1"/>
              <w:ind w:left="520"/>
              <w:rPr>
                <w:sz w:val="24"/>
              </w:rPr>
            </w:pPr>
            <w:r>
              <w:rPr>
                <w:sz w:val="24"/>
              </w:rPr>
              <w:t>≤10</w:t>
            </w:r>
          </w:p>
        </w:tc>
        <w:tc>
          <w:tcPr>
            <w:tcW w:w="1062" w:type="dxa"/>
          </w:tcPr>
          <w:p>
            <w:pPr>
              <w:pStyle w:val="20"/>
              <w:spacing w:before="1"/>
              <w:ind w:left="520"/>
              <w:rPr>
                <w:sz w:val="24"/>
              </w:rPr>
            </w:pPr>
            <w:r>
              <w:rPr>
                <w:sz w:val="24"/>
              </w:rPr>
              <w:t>≤10</w:t>
            </w:r>
          </w:p>
        </w:tc>
        <w:tc>
          <w:tcPr>
            <w:tcW w:w="1100" w:type="dxa"/>
          </w:tcPr>
          <w:p>
            <w:pPr>
              <w:pStyle w:val="20"/>
              <w:spacing w:before="1"/>
              <w:ind w:left="5"/>
              <w:rPr>
                <w:sz w:val="24"/>
              </w:rPr>
            </w:pPr>
            <w:r>
              <w:rPr>
                <w:sz w:val="24"/>
              </w:rPr>
              <w:t>≤1.5</w:t>
            </w:r>
          </w:p>
        </w:tc>
        <w:tc>
          <w:tcPr>
            <w:tcW w:w="1350" w:type="dxa"/>
          </w:tcPr>
          <w:p>
            <w:pPr>
              <w:pStyle w:val="20"/>
              <w:spacing w:before="1"/>
              <w:ind w:left="496" w:right="444"/>
              <w:jc w:val="center"/>
              <w:rPr>
                <w:sz w:val="24"/>
              </w:rPr>
            </w:pPr>
            <w:r>
              <w:rPr>
                <w:sz w:val="24"/>
              </w:rPr>
              <w:t>≤6</w:t>
            </w:r>
          </w:p>
        </w:tc>
        <w:tc>
          <w:tcPr>
            <w:tcW w:w="1375" w:type="dxa"/>
          </w:tcPr>
          <w:p>
            <w:pPr>
              <w:pStyle w:val="20"/>
              <w:spacing w:before="1"/>
              <w:ind w:right="377"/>
              <w:jc w:val="right"/>
              <w:rPr>
                <w:sz w:val="24"/>
              </w:rPr>
            </w:pPr>
            <w:r>
              <w:rPr>
                <w:sz w:val="24"/>
              </w:rPr>
              <w:t>≤50</w:t>
            </w:r>
          </w:p>
        </w:tc>
      </w:tr>
    </w:tbl>
    <w:p>
      <w:pPr>
        <w:pStyle w:val="8"/>
        <w:spacing w:line="299" w:lineRule="exact"/>
        <w:ind w:left="857"/>
      </w:pPr>
      <w:r>
        <w:t>5、桥面、通行隧道、公交站台的保洁质量与所在的道路保洁质量标准相同。</w:t>
      </w:r>
    </w:p>
    <w:p>
      <w:pPr>
        <w:pStyle w:val="8"/>
        <w:spacing w:before="158"/>
        <w:ind w:left="857"/>
      </w:pPr>
      <w:r>
        <w:t>6、清扫保洁时段：</w:t>
      </w:r>
    </w:p>
    <w:p>
      <w:pPr>
        <w:pStyle w:val="8"/>
        <w:spacing w:line="364" w:lineRule="auto"/>
        <w:ind w:left="339" w:right="931" w:firstLine="518"/>
        <w:rPr>
          <w:spacing w:val="-10"/>
        </w:rPr>
      </w:pPr>
      <w:r>
        <w:rPr>
          <w:spacing w:val="-10"/>
        </w:rPr>
        <w:t>所有道路按二类道路全天实行 10 小时（7:00-17:00）清扫保洁，确保每天 2 次以上普扫，第一次普扫在上午夏季为 6:00 前完成，冬季为 7:00 前完成；第二次普扫在下午夏季为 13:30 前完成（夏季高温可以调整为 15：30 前完成），冬季为 14:00 前完成；普扫结束后做好巡回保洁工作，交接班不得出现空档，责任区交界处清扫保洁各过界 10 米。</w:t>
      </w:r>
    </w:p>
    <w:p>
      <w:pPr>
        <w:pStyle w:val="8"/>
        <w:spacing w:line="364" w:lineRule="auto"/>
        <w:ind w:left="339" w:right="931" w:firstLine="518"/>
      </w:pPr>
      <w:r>
        <w:rPr>
          <w:spacing w:val="-10"/>
        </w:rPr>
        <w:t>7</w:t>
      </w:r>
      <w:r>
        <w:rPr>
          <w:spacing w:val="-12"/>
        </w:rPr>
        <w:t>、根据保洁时段和相关法规规定，合理的安排作业人员的班次，确保作业人员合理的休息时间，严禁作业人员长期在岗超负荷作业。</w:t>
      </w:r>
    </w:p>
    <w:p>
      <w:pPr>
        <w:pStyle w:val="8"/>
        <w:spacing w:line="362" w:lineRule="auto"/>
        <w:ind w:left="339" w:right="701" w:firstLine="518"/>
      </w:pPr>
      <w:r>
        <w:rPr>
          <w:spacing w:val="-10"/>
        </w:rPr>
        <w:t>8</w:t>
      </w:r>
      <w:r>
        <w:rPr>
          <w:spacing w:val="-12"/>
        </w:rPr>
        <w:t>、主动收集市民、相关部门、媒体对作业质量的反馈意见，积极处理相关投诉及问题，及时整</w:t>
      </w:r>
      <w:r>
        <w:rPr>
          <w:spacing w:val="-10"/>
        </w:rPr>
        <w:t>改（</w:t>
      </w:r>
      <w:r>
        <w:rPr>
          <w:spacing w:val="-23"/>
        </w:rPr>
        <w:t xml:space="preserve">简易问题 </w:t>
      </w:r>
      <w:r>
        <w:rPr>
          <w:spacing w:val="-4"/>
        </w:rPr>
        <w:t>30</w:t>
      </w:r>
      <w:r>
        <w:rPr>
          <w:spacing w:val="-23"/>
        </w:rPr>
        <w:t xml:space="preserve"> 分钟内整改完毕，较难处理的问题经采购人同意后在 </w:t>
      </w:r>
      <w:r>
        <w:t>6</w:t>
      </w:r>
      <w:r>
        <w:rPr>
          <w:spacing w:val="-19"/>
        </w:rPr>
        <w:t xml:space="preserve"> 个小时内处理完毕</w:t>
      </w:r>
      <w:r>
        <w:t>）</w:t>
      </w:r>
      <w:r>
        <w:rPr>
          <w:spacing w:val="-11"/>
        </w:rPr>
        <w:t xml:space="preserve"> 。</w:t>
      </w:r>
    </w:p>
    <w:p>
      <w:pPr>
        <w:pStyle w:val="8"/>
        <w:spacing w:before="4"/>
        <w:ind w:left="857"/>
      </w:pPr>
      <w:r>
        <w:t>（二）垃圾收集与清运作业质量标准</w:t>
      </w:r>
    </w:p>
    <w:p>
      <w:pPr>
        <w:pStyle w:val="8"/>
        <w:spacing w:before="8"/>
        <w:rPr>
          <w:sz w:val="18"/>
        </w:rPr>
      </w:pPr>
    </w:p>
    <w:p>
      <w:pPr>
        <w:pStyle w:val="8"/>
        <w:spacing w:before="1" w:line="369" w:lineRule="auto"/>
        <w:ind w:left="339" w:right="1288" w:firstLine="480"/>
      </w:pPr>
      <w:r>
        <w:t>1、收集与清运的垃圾类别包括所有的居民生活垃圾、商业垃圾、保洁后收集的各种垃圾、杂物、大小废弃物（例如废弃的马桶、席梦思、沙发等）。</w:t>
      </w:r>
    </w:p>
    <w:p>
      <w:pPr>
        <w:pStyle w:val="8"/>
        <w:spacing w:before="1" w:line="360" w:lineRule="auto"/>
        <w:ind w:left="339" w:right="1058" w:firstLine="480"/>
        <w:jc w:val="both"/>
      </w:pPr>
      <w:r>
        <w:rPr>
          <w:spacing w:val="7"/>
        </w:rPr>
        <w:t>2</w:t>
      </w:r>
      <w:r>
        <w:rPr>
          <w:spacing w:val="2"/>
        </w:rPr>
        <w:t>、根据垃圾的类型和数量，自行科学合理的配置垃圾收集和清运车辆的种类、规格和</w:t>
      </w:r>
      <w:r>
        <w:rPr>
          <w:spacing w:val="-8"/>
        </w:rPr>
        <w:t>数量，制定科学合理的行车路线，提高作业效率。所有垃圾必须做到日产日清，不得过夜</w:t>
      </w:r>
      <w:r>
        <w:t>（其</w:t>
      </w:r>
      <w:r>
        <w:rPr>
          <w:spacing w:val="-10"/>
        </w:rPr>
        <w:t>中居民生活垃圾、商业垃圾、保洁后收集的垃圾每日定时收集和清运次数不少于</w:t>
      </w:r>
      <w:r>
        <w:rPr>
          <w:rFonts w:hint="eastAsia"/>
          <w:spacing w:val="-10"/>
          <w:lang w:eastAsia="zh-CN"/>
        </w:rPr>
        <w:t>一</w:t>
      </w:r>
      <w:r>
        <w:rPr>
          <w:spacing w:val="-10"/>
        </w:rPr>
        <w:t>次，道路红</w:t>
      </w:r>
      <w:r>
        <w:rPr>
          <w:spacing w:val="-9"/>
        </w:rPr>
        <w:t xml:space="preserve">线 </w:t>
      </w:r>
      <w:r>
        <w:t>5</w:t>
      </w:r>
      <w:r>
        <w:rPr>
          <w:spacing w:val="-5"/>
        </w:rPr>
        <w:t xml:space="preserve"> 米以内的垃圾、杂物、废弃物、建筑垃圾</w:t>
      </w:r>
      <w:r>
        <w:rPr>
          <w:spacing w:val="-10"/>
        </w:rPr>
        <w:t>（</w:t>
      </w:r>
      <w:r>
        <w:rPr>
          <w:rFonts w:hint="eastAsia" w:ascii="微软雅黑" w:eastAsia="微软雅黑"/>
          <w:spacing w:val="-10"/>
        </w:rPr>
        <w:t>100</w:t>
      </w:r>
      <w:r>
        <w:rPr>
          <w:spacing w:val="-5"/>
        </w:rPr>
        <w:t>立方米内的）等发现后即时清</w:t>
      </w:r>
      <w:r>
        <w:rPr>
          <w:spacing w:val="-15"/>
        </w:rPr>
        <w:t>运</w:t>
      </w:r>
      <w:r>
        <w:rPr>
          <w:spacing w:val="-34"/>
        </w:rPr>
        <w:t>）</w:t>
      </w:r>
      <w:r>
        <w:t>。</w:t>
      </w:r>
    </w:p>
    <w:p>
      <w:pPr>
        <w:pStyle w:val="8"/>
        <w:spacing w:before="4" w:line="369" w:lineRule="auto"/>
        <w:ind w:left="339" w:right="1282" w:firstLine="480"/>
      </w:pPr>
      <w:r>
        <w:t>3、收集垃圾清运至</w:t>
      </w:r>
      <w:r>
        <w:rPr>
          <w:rFonts w:hint="eastAsia"/>
          <w:lang w:eastAsia="zh-CN"/>
        </w:rPr>
        <w:t>东部新区温岭绿能新能源有限公司进行处理</w:t>
      </w:r>
      <w:r>
        <w:t>。</w:t>
      </w:r>
    </w:p>
    <w:p>
      <w:pPr>
        <w:pStyle w:val="8"/>
        <w:spacing w:before="1"/>
        <w:ind w:left="819"/>
      </w:pPr>
      <w:r>
        <w:t>4、所有垃圾在清运的过程中做好防漏、防滴、防洒工作，杜绝二次污染的发生。</w:t>
      </w:r>
    </w:p>
    <w:p>
      <w:pPr>
        <w:pStyle w:val="8"/>
        <w:spacing w:before="165"/>
        <w:ind w:left="819"/>
      </w:pPr>
      <w:r>
        <w:t>5、积极开展垃圾分类分拣，宣传垃圾分类知识，提高市民垃圾分类意识。</w:t>
      </w:r>
    </w:p>
    <w:p>
      <w:pPr>
        <w:pStyle w:val="8"/>
        <w:spacing w:before="165"/>
        <w:ind w:left="857"/>
      </w:pPr>
      <w:r>
        <w:t>（三）机械清扫要求</w:t>
      </w:r>
    </w:p>
    <w:p>
      <w:pPr>
        <w:pStyle w:val="8"/>
        <w:spacing w:before="158" w:line="364" w:lineRule="auto"/>
        <w:ind w:left="339" w:right="768" w:firstLine="518"/>
        <w:jc w:val="both"/>
      </w:pPr>
      <w:r>
        <w:rPr>
          <w:spacing w:val="-12"/>
        </w:rPr>
        <w:t>按采购人要求路段实行“人工与机械相结合”，机扫到边、到位效果明显，路面无垃圾、无积泥、无沙石；作业期间刷盘到位，基本无扬尘，清扫途中无垃圾撒落；垃圾在指定地点倾倒，不得</w:t>
      </w:r>
      <w:r>
        <w:rPr>
          <w:spacing w:val="-15"/>
        </w:rPr>
        <w:t xml:space="preserve">随意倾倒、偷倒、乱倒垃圾；每次倾倒垃圾时间不得超过 </w:t>
      </w:r>
      <w:r>
        <w:rPr>
          <w:spacing w:val="-4"/>
        </w:rPr>
        <w:t>30</w:t>
      </w:r>
      <w:r>
        <w:rPr>
          <w:spacing w:val="-19"/>
        </w:rPr>
        <w:t xml:space="preserve"> 分钟；严格按照范围、路线、时间进行</w:t>
      </w:r>
      <w:r>
        <w:rPr>
          <w:spacing w:val="-12"/>
        </w:rPr>
        <w:t>机扫作业，不得随意变更。作业速度：机械清扫作业时速≤</w:t>
      </w:r>
      <w:r>
        <w:rPr>
          <w:spacing w:val="-11"/>
        </w:rPr>
        <w:t>10km/h</w:t>
      </w:r>
      <w:r>
        <w:t>。</w:t>
      </w:r>
    </w:p>
    <w:p>
      <w:pPr>
        <w:pStyle w:val="8"/>
        <w:spacing w:before="165"/>
        <w:ind w:left="857"/>
      </w:pPr>
      <w:r>
        <w:t>（四）路面冲洗作业</w:t>
      </w:r>
    </w:p>
    <w:p>
      <w:pPr>
        <w:pStyle w:val="8"/>
        <w:spacing w:before="1" w:line="369" w:lineRule="auto"/>
        <w:ind w:left="339" w:right="1288" w:firstLine="480"/>
      </w:pPr>
      <w:r>
        <w:t>1、路面冲洗作业包括：日常冲洗作业、应急冲洗作业。</w:t>
      </w:r>
    </w:p>
    <w:p>
      <w:pPr>
        <w:pStyle w:val="8"/>
        <w:spacing w:before="1" w:line="369" w:lineRule="auto"/>
        <w:ind w:left="339" w:right="1288" w:firstLine="480"/>
      </w:pPr>
      <w:r>
        <w:t>2、保洁区内所有道路（含人行道）路面冲洗见本色，路面日常冲洗作业时间应选择人流、车流较少的时间段，不得影响市民的正常生活。路面冲洗作业时，应制定合理有效的作业方案和作业规范，杜绝二次污染或安全事故。</w:t>
      </w:r>
    </w:p>
    <w:p>
      <w:pPr>
        <w:pStyle w:val="8"/>
        <w:spacing w:line="364" w:lineRule="auto"/>
        <w:ind w:left="339" w:right="701" w:firstLine="518"/>
      </w:pPr>
      <w:r>
        <w:rPr>
          <w:spacing w:val="-10"/>
        </w:rPr>
        <w:t>3</w:t>
      </w:r>
      <w:r>
        <w:rPr>
          <w:spacing w:val="-12"/>
        </w:rPr>
        <w:t>、根据保洁区内道路的实际情况，科学合理的配置不同规格的冲洗作业车辆，制定合理的冲洗行车路线，确保路面冲洗质量。</w:t>
      </w:r>
    </w:p>
    <w:p>
      <w:pPr>
        <w:pStyle w:val="8"/>
        <w:ind w:left="857"/>
      </w:pPr>
      <w:r>
        <w:t>4、根据采购人统一指挥和调配，承担特定时间、特定路段的临时应急冲洗作业。</w:t>
      </w:r>
    </w:p>
    <w:p>
      <w:pPr>
        <w:pStyle w:val="8"/>
        <w:spacing w:before="148" w:line="364" w:lineRule="auto"/>
        <w:ind w:left="339" w:right="701" w:firstLine="518"/>
      </w:pPr>
      <w:r>
        <w:rPr>
          <w:spacing w:val="-10"/>
        </w:rPr>
        <w:t>5</w:t>
      </w:r>
      <w:r>
        <w:rPr>
          <w:spacing w:val="-12"/>
        </w:rPr>
        <w:t>、制定科学合理的行车制度，作业过程中按规定车速行驶，严禁超速行驶、不文明驾驶以及违章停放，加强行车安全教育。</w:t>
      </w:r>
    </w:p>
    <w:p>
      <w:pPr>
        <w:pStyle w:val="8"/>
        <w:spacing w:line="306" w:lineRule="exact"/>
        <w:ind w:left="857"/>
      </w:pPr>
      <w:r>
        <w:t>（五）路面洒水作业</w:t>
      </w:r>
    </w:p>
    <w:p>
      <w:pPr>
        <w:pStyle w:val="8"/>
        <w:spacing w:before="158"/>
        <w:ind w:left="857"/>
      </w:pPr>
      <w:r>
        <w:t>1、路面洒水作业包括：日常洒水作业和应急洒水作业。</w:t>
      </w:r>
    </w:p>
    <w:p>
      <w:pPr>
        <w:pStyle w:val="8"/>
        <w:spacing w:before="160" w:line="364" w:lineRule="auto"/>
        <w:ind w:left="339" w:right="830" w:firstLine="518"/>
      </w:pPr>
      <w:r>
        <w:rPr>
          <w:spacing w:val="-10"/>
        </w:rPr>
        <w:t>2</w:t>
      </w:r>
      <w:r>
        <w:rPr>
          <w:spacing w:val="-13"/>
        </w:rPr>
        <w:t xml:space="preserve">、根据季节不同，科学合理的安排路面洒水次数，实施洒水降温、压尘作业；气温高于 </w:t>
      </w:r>
      <w:r>
        <w:rPr>
          <w:spacing w:val="-7"/>
        </w:rPr>
        <w:t xml:space="preserve">30℃ </w:t>
      </w:r>
      <w:r>
        <w:rPr>
          <w:spacing w:val="-12"/>
        </w:rPr>
        <w:t xml:space="preserve">增加洒水次数，气温低于 </w:t>
      </w:r>
      <w:r>
        <w:rPr>
          <w:spacing w:val="-10"/>
        </w:rPr>
        <w:t>2℃</w:t>
      </w:r>
      <w:r>
        <w:rPr>
          <w:spacing w:val="-11"/>
        </w:rPr>
        <w:t>时应停止清洗和洒水。</w:t>
      </w:r>
    </w:p>
    <w:p>
      <w:pPr>
        <w:pStyle w:val="8"/>
        <w:spacing w:line="306" w:lineRule="exact"/>
        <w:ind w:left="857"/>
      </w:pPr>
      <w:r>
        <w:t>3、根据道路不同，科学合理的配置洒水车的规格、数量，制定科学合理的行车作业路线。</w:t>
      </w:r>
    </w:p>
    <w:p>
      <w:pPr>
        <w:pStyle w:val="8"/>
        <w:spacing w:before="161" w:line="364" w:lineRule="auto"/>
        <w:ind w:left="339" w:right="701" w:firstLine="518"/>
      </w:pPr>
      <w:r>
        <w:rPr>
          <w:spacing w:val="-10"/>
        </w:rPr>
        <w:t>4</w:t>
      </w:r>
      <w:r>
        <w:rPr>
          <w:spacing w:val="-12"/>
        </w:rPr>
        <w:t>、洒水作业时间应选择人流、车流相对较少的时间段，不得影响市民的正常出行。道路洒水作业时，应实施合理有效的措施，控制洒水压力，避免因水压过高影响行人或社会车辆正常行驶，杜</w:t>
      </w:r>
      <w:r>
        <w:rPr>
          <w:spacing w:val="-11"/>
        </w:rPr>
        <w:t>绝二次污染或安全事故。</w:t>
      </w:r>
    </w:p>
    <w:p>
      <w:pPr>
        <w:pStyle w:val="8"/>
        <w:spacing w:line="307" w:lineRule="exact"/>
        <w:ind w:left="857"/>
      </w:pPr>
      <w:r>
        <w:t>5、根据采购人统一指挥和调配，承担特定时间、特定路段的临时应急洒水作业。</w:t>
      </w:r>
    </w:p>
    <w:p>
      <w:pPr>
        <w:pStyle w:val="8"/>
        <w:spacing w:before="158" w:line="362" w:lineRule="auto"/>
        <w:ind w:left="339" w:right="820" w:firstLine="518"/>
      </w:pPr>
      <w:r>
        <w:rPr>
          <w:spacing w:val="-10"/>
        </w:rPr>
        <w:t>6</w:t>
      </w:r>
      <w:r>
        <w:rPr>
          <w:spacing w:val="-13"/>
        </w:rPr>
        <w:t>、制定科学合理的行车制度，作业过程中按规定车速行驶，严禁超速行驶、 不文明驾驶以及</w:t>
      </w:r>
      <w:r>
        <w:rPr>
          <w:spacing w:val="-12"/>
        </w:rPr>
        <w:t>违章停放，加强行车安全教育。</w:t>
      </w:r>
    </w:p>
    <w:p>
      <w:pPr>
        <w:pStyle w:val="8"/>
        <w:spacing w:before="5"/>
        <w:ind w:left="857"/>
      </w:pPr>
      <w:r>
        <w:t>（六）垃圾桶（箱、坞）等垃圾收集装置清洗保洁作业</w:t>
      </w:r>
    </w:p>
    <w:p>
      <w:pPr>
        <w:pStyle w:val="8"/>
        <w:spacing w:before="158" w:line="364" w:lineRule="auto"/>
        <w:ind w:left="339" w:right="869" w:firstLine="518"/>
      </w:pPr>
      <w:r>
        <w:rPr>
          <w:spacing w:val="-10"/>
        </w:rPr>
        <w:t>1</w:t>
      </w:r>
      <w:r>
        <w:rPr>
          <w:spacing w:val="-12"/>
        </w:rPr>
        <w:t>、中标供应商在合同履行期间负责垃圾桶、果壳箱的保管、清洁和维护。采购人投放的垃圾桶、果壳箱如有破损</w:t>
      </w:r>
      <w:r>
        <w:rPr>
          <w:spacing w:val="-10"/>
        </w:rPr>
        <w:t>（</w:t>
      </w:r>
      <w:r>
        <w:rPr>
          <w:spacing w:val="-11"/>
        </w:rPr>
        <w:t>含第三方人为破损</w:t>
      </w:r>
      <w:r>
        <w:rPr>
          <w:spacing w:val="-10"/>
        </w:rPr>
        <w:t>）</w:t>
      </w:r>
      <w:r>
        <w:rPr>
          <w:spacing w:val="-13"/>
        </w:rPr>
        <w:t xml:space="preserve">与丢失情况，由中标供应商在 </w:t>
      </w:r>
      <w:r>
        <w:rPr>
          <w:spacing w:val="-4"/>
        </w:rPr>
        <w:t>12</w:t>
      </w:r>
      <w:r>
        <w:rPr>
          <w:spacing w:val="-13"/>
        </w:rPr>
        <w:t xml:space="preserve"> 小时内按原样式、规格、质量标准、配置要求予以免费维修或更换补齐。合同履行到期， 中标供应商须按原样式、规</w:t>
      </w:r>
      <w:r>
        <w:rPr>
          <w:spacing w:val="-12"/>
        </w:rPr>
        <w:t>格、质量标准、数量，将垃圾桶、果壳箱按采购人投放数量补齐，并与采购人办理相关移交手续。</w:t>
      </w:r>
    </w:p>
    <w:p>
      <w:pPr>
        <w:pStyle w:val="8"/>
        <w:spacing w:line="364" w:lineRule="auto"/>
        <w:ind w:left="339" w:right="821" w:firstLine="518"/>
      </w:pPr>
      <w:r>
        <w:rPr>
          <w:spacing w:val="-10"/>
        </w:rPr>
        <w:t>2</w:t>
      </w:r>
      <w:r>
        <w:rPr>
          <w:spacing w:val="-11"/>
        </w:rPr>
        <w:t>、所有垃圾桶</w:t>
      </w:r>
      <w:r>
        <w:rPr>
          <w:spacing w:val="-10"/>
        </w:rPr>
        <w:t>（箱</w:t>
      </w:r>
      <w:r>
        <w:t>）</w:t>
      </w:r>
      <w:r>
        <w:rPr>
          <w:spacing w:val="-14"/>
        </w:rPr>
        <w:t xml:space="preserve"> 、垃圾坞、密闭式垃圾收集装置内必须每日进行一次清洗、冲刷、消毒</w:t>
      </w:r>
      <w:r>
        <w:rPr>
          <w:spacing w:val="-12"/>
        </w:rPr>
        <w:t>及养护作业，确保所有投放的垃圾桶</w:t>
      </w:r>
      <w:r>
        <w:rPr>
          <w:spacing w:val="-10"/>
        </w:rPr>
        <w:t>（箱/坞）</w:t>
      </w:r>
      <w:r>
        <w:rPr>
          <w:spacing w:val="-12"/>
        </w:rPr>
        <w:t>的标志清晰、数量充分、内外整洁、无污垢、无积水、无异味、无破损，作业完毕后应及时加盖、关门，不得敞露。</w:t>
      </w:r>
    </w:p>
    <w:p>
      <w:pPr>
        <w:pStyle w:val="8"/>
        <w:spacing w:line="305" w:lineRule="exact"/>
        <w:ind w:left="857"/>
      </w:pPr>
      <w:r>
        <w:t>（七）重大节假日、突发事件、不可抗力、上级检查等保洁服务</w:t>
      </w:r>
    </w:p>
    <w:p>
      <w:pPr>
        <w:pStyle w:val="8"/>
        <w:spacing w:before="160" w:line="362" w:lineRule="auto"/>
        <w:ind w:left="339" w:right="820" w:firstLine="518"/>
      </w:pPr>
      <w:r>
        <w:rPr>
          <w:spacing w:val="-10"/>
        </w:rPr>
        <w:t>1</w:t>
      </w:r>
      <w:r>
        <w:rPr>
          <w:spacing w:val="-13"/>
        </w:rPr>
        <w:t>、遇有重大活动、上级检查或突发事件，中标供应商必须服从采购人统一指挥， 及时组织力</w:t>
      </w:r>
      <w:r>
        <w:rPr>
          <w:spacing w:val="-11"/>
        </w:rPr>
        <w:t>量做好环卫保洁保障工作</w:t>
      </w:r>
      <w:r>
        <w:rPr>
          <w:rFonts w:hint="eastAsia"/>
          <w:spacing w:val="-11"/>
          <w:lang w:eastAsia="zh-CN"/>
        </w:rPr>
        <w:t>，不得以任何理由拒绝或拖延</w:t>
      </w:r>
      <w:r>
        <w:rPr>
          <w:spacing w:val="-11"/>
        </w:rPr>
        <w:t>。</w:t>
      </w:r>
    </w:p>
    <w:p>
      <w:pPr>
        <w:pStyle w:val="8"/>
        <w:spacing w:line="362" w:lineRule="auto"/>
        <w:ind w:left="339" w:right="712" w:firstLine="518"/>
      </w:pPr>
      <w:r>
        <w:rPr>
          <w:spacing w:val="-10"/>
        </w:rPr>
        <w:t>2</w:t>
      </w:r>
      <w:r>
        <w:rPr>
          <w:spacing w:val="-12"/>
        </w:rPr>
        <w:t>、 遇有不可抗力因素（</w:t>
      </w:r>
      <w:r>
        <w:rPr>
          <w:spacing w:val="-11"/>
        </w:rPr>
        <w:t>台风、暴雨等</w:t>
      </w:r>
      <w:r>
        <w:rPr>
          <w:spacing w:val="-10"/>
        </w:rPr>
        <w:t>），</w:t>
      </w:r>
      <w:r>
        <w:rPr>
          <w:spacing w:val="-13"/>
        </w:rPr>
        <w:t>中标供应商应根据采购人要求进行调整，做好保洁</w:t>
      </w:r>
      <w:r>
        <w:rPr>
          <w:spacing w:val="-7"/>
        </w:rPr>
        <w:t>工作。</w:t>
      </w:r>
    </w:p>
    <w:p>
      <w:pPr>
        <w:pStyle w:val="8"/>
        <w:ind w:left="857"/>
      </w:pPr>
      <w:r>
        <w:t>（八）环卫作业车辆、设备的日常清洁养护作业</w:t>
      </w:r>
    </w:p>
    <w:p>
      <w:pPr>
        <w:pStyle w:val="8"/>
        <w:spacing w:before="154"/>
        <w:ind w:left="857"/>
      </w:pPr>
      <w:r>
        <w:t>1、所有工具应进行定时定点的清洗作业，统一放置，统一管理，保持整洁；</w:t>
      </w:r>
    </w:p>
    <w:p>
      <w:pPr>
        <w:pStyle w:val="8"/>
        <w:spacing w:before="161"/>
        <w:ind w:left="857"/>
      </w:pPr>
      <w:r>
        <w:t>2、所有作业车辆每日出车作业前应做好清洁工作方可上路作业；</w:t>
      </w:r>
    </w:p>
    <w:p>
      <w:pPr>
        <w:pStyle w:val="8"/>
        <w:spacing w:before="160"/>
        <w:ind w:left="857"/>
      </w:pPr>
      <w:r>
        <w:t>3、所有车辆、设备标志清晰，外观清洁，无污垢、污渍、锈迹等卫生问题，不得悬挂杂物。</w:t>
      </w:r>
    </w:p>
    <w:p>
      <w:pPr>
        <w:pStyle w:val="8"/>
        <w:keepNext w:val="0"/>
        <w:keepLines w:val="0"/>
        <w:pageBreakBefore w:val="0"/>
        <w:widowControl w:val="0"/>
        <w:kinsoku/>
        <w:wordWrap/>
        <w:overflowPunct/>
        <w:topLinePunct w:val="0"/>
        <w:autoSpaceDE w:val="0"/>
        <w:autoSpaceDN w:val="0"/>
        <w:bidi w:val="0"/>
        <w:adjustRightInd/>
        <w:snapToGrid/>
        <w:spacing w:before="154"/>
        <w:ind w:left="340" w:right="273" w:rightChars="124" w:firstLine="480" w:firstLineChars="200"/>
        <w:textAlignment w:val="auto"/>
        <w:rPr>
          <w:rFonts w:hint="default"/>
          <w:color w:val="FF0000"/>
          <w:lang w:val="en-US" w:eastAsia="zh-CN"/>
        </w:rPr>
      </w:pPr>
      <w:r>
        <w:rPr>
          <w:color w:val="C00000"/>
        </w:rPr>
        <w:t>4、</w:t>
      </w:r>
      <w:r>
        <w:rPr>
          <w:color w:val="auto"/>
        </w:rPr>
        <w:t>车辆至少配备：8 吨扫路车1辆；</w:t>
      </w:r>
      <w:r>
        <w:rPr>
          <w:rFonts w:hint="eastAsia"/>
          <w:color w:val="auto"/>
        </w:rPr>
        <w:t>大件垃圾收运的小货车</w:t>
      </w:r>
      <w:r>
        <w:rPr>
          <w:color w:val="auto"/>
        </w:rPr>
        <w:t>1 辆；</w:t>
      </w:r>
      <w:r>
        <w:rPr>
          <w:rFonts w:hint="eastAsia"/>
          <w:color w:val="auto"/>
          <w:lang w:val="en-US" w:eastAsia="zh-CN"/>
        </w:rPr>
        <w:t>5</w:t>
      </w:r>
      <w:r>
        <w:rPr>
          <w:color w:val="auto"/>
        </w:rPr>
        <w:t>吨洒水车 1 辆。</w:t>
      </w:r>
      <w:r>
        <w:rPr>
          <w:rFonts w:hint="eastAsia"/>
          <w:color w:val="auto"/>
          <w:lang w:eastAsia="zh-CN"/>
        </w:rPr>
        <w:t>（注：发包人免费提供</w:t>
      </w:r>
      <w:r>
        <w:rPr>
          <w:rFonts w:hint="eastAsia"/>
          <w:color w:val="auto"/>
          <w:lang w:val="en-US" w:eastAsia="zh-CN"/>
        </w:rPr>
        <w:t>4辆垃圾收集车，仅车辆保险费和车辆停放处电费由发包人承担，车辆、管理人员等其他一切费用如保养、油费、维修、水费等以及车辆停放处的管理费、清扫费、聘请的人员的工伤保险、工资等均由中标人负责，项目结束后车辆应完好归还发包人</w:t>
      </w:r>
      <w:r>
        <w:rPr>
          <w:rFonts w:hint="eastAsia"/>
          <w:color w:val="auto"/>
          <w:lang w:eastAsia="zh-CN"/>
        </w:rPr>
        <w:t>）；</w:t>
      </w:r>
      <w:r>
        <w:rPr>
          <w:rFonts w:hint="eastAsia"/>
          <w:color w:val="FF0000"/>
          <w:lang w:eastAsia="zh-CN"/>
        </w:rPr>
        <w:t>扫路车、洒水车必须按照投标承诺（对应车牌照）安排车辆，如未按照投标承诺，扫路车扣款</w:t>
      </w:r>
      <w:r>
        <w:rPr>
          <w:rFonts w:hint="eastAsia"/>
          <w:color w:val="FF0000"/>
          <w:lang w:val="en-US" w:eastAsia="zh-CN"/>
        </w:rPr>
        <w:t>1万元/月，洒水车扣款1万元/月，在月支付时直接扣除（征得业主同意更换车辆的除外）。</w:t>
      </w:r>
    </w:p>
    <w:p>
      <w:pPr>
        <w:pStyle w:val="8"/>
        <w:keepNext w:val="0"/>
        <w:keepLines w:val="0"/>
        <w:pageBreakBefore w:val="0"/>
        <w:widowControl w:val="0"/>
        <w:kinsoku/>
        <w:wordWrap/>
        <w:overflowPunct/>
        <w:topLinePunct w:val="0"/>
        <w:autoSpaceDE w:val="0"/>
        <w:autoSpaceDN w:val="0"/>
        <w:bidi w:val="0"/>
        <w:adjustRightInd/>
        <w:snapToGrid/>
        <w:spacing w:before="154"/>
        <w:ind w:left="340" w:right="273" w:rightChars="124" w:firstLine="480" w:firstLineChars="200"/>
        <w:textAlignment w:val="auto"/>
        <w:rPr>
          <w:rFonts w:hint="default"/>
          <w:color w:val="auto"/>
          <w:lang w:val="en-US" w:eastAsia="zh-CN"/>
        </w:rPr>
      </w:pPr>
      <w:r>
        <w:rPr>
          <w:rFonts w:hint="eastAsia"/>
          <w:color w:val="auto"/>
          <w:lang w:val="en-US" w:eastAsia="zh-CN"/>
        </w:rPr>
        <w:t>5、扫路车、洒水车必须安装行车记录仪，采购人现场督查和抽查相结合。</w:t>
      </w:r>
    </w:p>
    <w:p>
      <w:pPr>
        <w:pStyle w:val="8"/>
        <w:keepNext w:val="0"/>
        <w:keepLines w:val="0"/>
        <w:pageBreakBefore w:val="0"/>
        <w:widowControl w:val="0"/>
        <w:kinsoku/>
        <w:wordWrap/>
        <w:overflowPunct/>
        <w:topLinePunct w:val="0"/>
        <w:autoSpaceDE w:val="0"/>
        <w:autoSpaceDN w:val="0"/>
        <w:bidi w:val="0"/>
        <w:adjustRightInd/>
        <w:snapToGrid/>
        <w:spacing w:before="154"/>
        <w:ind w:left="340" w:right="273" w:rightChars="124" w:firstLine="480" w:firstLineChars="200"/>
        <w:textAlignment w:val="auto"/>
        <w:rPr>
          <w:rFonts w:hint="eastAsia"/>
          <w:color w:val="auto"/>
          <w:lang w:val="en-US" w:eastAsia="zh-CN"/>
        </w:rPr>
      </w:pPr>
      <w:r>
        <w:rPr>
          <w:rFonts w:hint="eastAsia"/>
          <w:color w:val="auto"/>
          <w:lang w:val="en-US" w:eastAsia="zh-CN"/>
        </w:rPr>
        <w:t>6、所有车辆的用水均不得使用消防水，一经发现，在支付水费的基础上再予以10000元/次罚款，多次告诫不予以整改，发包人有权单方面解除合同，并没收履约保证金。</w:t>
      </w:r>
    </w:p>
    <w:p>
      <w:pPr>
        <w:pStyle w:val="8"/>
        <w:keepNext w:val="0"/>
        <w:keepLines w:val="0"/>
        <w:pageBreakBefore w:val="0"/>
        <w:widowControl w:val="0"/>
        <w:kinsoku/>
        <w:wordWrap/>
        <w:overflowPunct/>
        <w:topLinePunct w:val="0"/>
        <w:autoSpaceDE w:val="0"/>
        <w:autoSpaceDN w:val="0"/>
        <w:bidi w:val="0"/>
        <w:adjustRightInd/>
        <w:snapToGrid/>
        <w:spacing w:before="154"/>
        <w:ind w:left="340" w:right="273" w:rightChars="124" w:firstLine="480" w:firstLineChars="200"/>
        <w:textAlignment w:val="auto"/>
        <w:rPr>
          <w:rFonts w:hint="default"/>
          <w:color w:val="auto"/>
          <w:lang w:val="en-US" w:eastAsia="zh-CN"/>
        </w:rPr>
      </w:pPr>
      <w:r>
        <w:rPr>
          <w:rFonts w:hint="eastAsia"/>
          <w:color w:val="auto"/>
          <w:lang w:val="en-US" w:eastAsia="zh-CN"/>
        </w:rPr>
        <w:t>7、在大件垃圾收集、清运过程中须做好安全措施，如发生人员、财产伤亡、损失，均由中标人自行负责。</w:t>
      </w:r>
    </w:p>
    <w:p>
      <w:pPr>
        <w:pStyle w:val="8"/>
        <w:spacing w:before="154"/>
        <w:ind w:left="857"/>
        <w:rPr>
          <w:b/>
          <w:bCs/>
        </w:rPr>
      </w:pPr>
      <w:r>
        <w:rPr>
          <w:b/>
          <w:bCs/>
        </w:rPr>
        <w:t>五、项目服务期限及要求</w:t>
      </w:r>
    </w:p>
    <w:p>
      <w:pPr>
        <w:pStyle w:val="8"/>
        <w:spacing w:line="306" w:lineRule="exact"/>
        <w:ind w:left="857"/>
      </w:pPr>
      <w:r>
        <w:rPr>
          <w:spacing w:val="-11"/>
        </w:rPr>
        <w:t>本项目经营期限为</w:t>
      </w:r>
      <w:r>
        <w:rPr>
          <w:rFonts w:hint="eastAsia"/>
          <w:spacing w:val="-11"/>
          <w:lang w:val="en-US" w:eastAsia="zh-CN"/>
        </w:rPr>
        <w:t>1+1+1年</w:t>
      </w:r>
      <w:r>
        <w:rPr>
          <w:spacing w:val="-11"/>
        </w:rPr>
        <w:t>。</w:t>
      </w:r>
    </w:p>
    <w:p>
      <w:pPr>
        <w:pStyle w:val="8"/>
        <w:spacing w:before="159" w:line="364" w:lineRule="auto"/>
        <w:ind w:left="339" w:right="821" w:firstLine="518"/>
      </w:pPr>
      <w:r>
        <w:rPr>
          <w:spacing w:val="-17"/>
        </w:rPr>
        <w:t xml:space="preserve">本项目中标后设定为期 </w:t>
      </w:r>
      <w:r>
        <w:t>5</w:t>
      </w:r>
      <w:r>
        <w:rPr>
          <w:spacing w:val="-19"/>
        </w:rPr>
        <w:t xml:space="preserve"> 天的交接过渡期，采购人有义务协助中标人熟悉实施区域、人员及设</w:t>
      </w:r>
      <w:r>
        <w:rPr>
          <w:spacing w:val="-12"/>
        </w:rPr>
        <w:t>施相关情况，但中标人不得以本项为由延长过渡期。</w:t>
      </w:r>
    </w:p>
    <w:p>
      <w:pPr>
        <w:pStyle w:val="8"/>
        <w:spacing w:before="1"/>
        <w:ind w:left="857"/>
      </w:pPr>
      <w:r>
        <w:rPr>
          <w:b/>
          <w:bCs/>
        </w:rPr>
        <w:t>六、环卫人员要求</w:t>
      </w:r>
    </w:p>
    <w:p>
      <w:pPr>
        <w:pStyle w:val="8"/>
        <w:keepNext w:val="0"/>
        <w:keepLines w:val="0"/>
        <w:pageBreakBefore w:val="0"/>
        <w:widowControl w:val="0"/>
        <w:kinsoku/>
        <w:wordWrap/>
        <w:overflowPunct/>
        <w:topLinePunct w:val="0"/>
        <w:autoSpaceDE w:val="0"/>
        <w:autoSpaceDN w:val="0"/>
        <w:bidi w:val="0"/>
        <w:adjustRightInd/>
        <w:snapToGrid/>
        <w:spacing w:before="158"/>
        <w:ind w:left="372" w:leftChars="169" w:right="273" w:rightChars="124" w:firstLine="480" w:firstLineChars="200"/>
        <w:textAlignment w:val="auto"/>
        <w:rPr>
          <w:color w:val="FF0000"/>
        </w:rPr>
      </w:pPr>
      <w:r>
        <w:rPr>
          <w:color w:val="FF0000"/>
        </w:rPr>
        <w:t>1</w:t>
      </w:r>
      <w:r>
        <w:rPr>
          <w:color w:val="auto"/>
        </w:rPr>
        <w:t>、</w:t>
      </w:r>
      <w:r>
        <w:rPr>
          <w:rFonts w:hint="eastAsia"/>
          <w:color w:val="auto"/>
          <w:lang w:eastAsia="zh-CN"/>
        </w:rPr>
        <w:t>清扫人员</w:t>
      </w:r>
      <w:r>
        <w:rPr>
          <w:color w:val="auto"/>
        </w:rPr>
        <w:t xml:space="preserve">至少配备 </w:t>
      </w:r>
      <w:r>
        <w:rPr>
          <w:rFonts w:hint="eastAsia"/>
          <w:color w:val="auto"/>
          <w:lang w:val="en-US" w:eastAsia="zh-CN"/>
        </w:rPr>
        <w:t>30</w:t>
      </w:r>
      <w:r>
        <w:rPr>
          <w:color w:val="auto"/>
        </w:rPr>
        <w:t>人，</w:t>
      </w:r>
      <w:r>
        <w:rPr>
          <w:rFonts w:hint="eastAsia"/>
          <w:color w:val="auto"/>
          <w:lang w:eastAsia="zh-CN"/>
        </w:rPr>
        <w:t>清运人员投标人根据实际要求合理配置，需满足项目需求，其中车辆驾驶人员必须具有相应车辆驾驶资格，一经发现不符合资格，发包人有权单方面解除合同并没收履约保证金，</w:t>
      </w:r>
      <w:r>
        <w:rPr>
          <w:rFonts w:hint="eastAsia"/>
          <w:color w:val="FF0000"/>
          <w:lang w:eastAsia="zh-CN"/>
        </w:rPr>
        <w:t>项目负责人必须按投标时承诺执行，如发现不符，扣款</w:t>
      </w:r>
      <w:r>
        <w:rPr>
          <w:rFonts w:hint="eastAsia"/>
          <w:color w:val="FF0000"/>
          <w:lang w:val="en-US" w:eastAsia="zh-CN"/>
        </w:rPr>
        <w:t>1万/月</w:t>
      </w:r>
      <w:r>
        <w:rPr>
          <w:rFonts w:hint="eastAsia"/>
          <w:color w:val="FF0000"/>
          <w:lang w:eastAsia="zh-CN"/>
        </w:rPr>
        <w:t>，</w:t>
      </w:r>
      <w:r>
        <w:rPr>
          <w:rFonts w:hint="eastAsia"/>
          <w:color w:val="FF0000"/>
          <w:lang w:val="en-US" w:eastAsia="zh-CN"/>
        </w:rPr>
        <w:t>在月支付时直接扣除（征得业主同意更换人员的除外）。</w:t>
      </w:r>
    </w:p>
    <w:p>
      <w:pPr>
        <w:pStyle w:val="8"/>
        <w:spacing w:before="160" w:line="362" w:lineRule="auto"/>
        <w:ind w:left="339" w:right="701" w:firstLine="518"/>
      </w:pPr>
      <w:r>
        <w:rPr>
          <w:spacing w:val="-10"/>
        </w:rPr>
        <w:t>2</w:t>
      </w:r>
      <w:r>
        <w:rPr>
          <w:spacing w:val="-12"/>
        </w:rPr>
        <w:t>、项目公司应当与录用人员签订劳动合同或劳务协议，按国家相关规定为职工缴纳社保、购买意外保险，发放高温补贴等政策规定的待遇，工资不得低于政府规定的最低工资标准。</w:t>
      </w:r>
    </w:p>
    <w:p>
      <w:pPr>
        <w:pStyle w:val="8"/>
        <w:spacing w:before="5" w:line="364" w:lineRule="auto"/>
        <w:ind w:left="857" w:right="3461"/>
        <w:rPr>
          <w:b/>
          <w:bCs/>
        </w:rPr>
      </w:pPr>
      <w:r>
        <w:rPr>
          <w:spacing w:val="-10"/>
        </w:rPr>
        <w:t>3</w:t>
      </w:r>
      <w:r>
        <w:rPr>
          <w:spacing w:val="-12"/>
        </w:rPr>
        <w:t>、项目公司要招录或辞退员工，应遵守国家和地方政府相关规定。</w:t>
      </w:r>
      <w:r>
        <w:rPr>
          <w:b/>
          <w:bCs/>
          <w:spacing w:val="-10"/>
        </w:rPr>
        <w:t>七、退出机制</w:t>
      </w:r>
    </w:p>
    <w:p>
      <w:pPr>
        <w:pStyle w:val="8"/>
        <w:spacing w:line="306" w:lineRule="exact"/>
        <w:ind w:left="857"/>
      </w:pPr>
      <w:r>
        <w:t>项目服务期内出现以下情况的，采购人有权解除服务合同。</w:t>
      </w:r>
    </w:p>
    <w:p>
      <w:pPr>
        <w:pStyle w:val="8"/>
        <w:spacing w:before="158" w:line="364" w:lineRule="auto"/>
        <w:ind w:left="339" w:right="823" w:firstLine="518"/>
      </w:pPr>
      <w:r>
        <w:rPr>
          <w:spacing w:val="-10"/>
        </w:rPr>
        <w:t>1</w:t>
      </w:r>
      <w:r>
        <w:rPr>
          <w:spacing w:val="-13"/>
        </w:rPr>
        <w:t>、乙方因机械、工具或技术、劳动等跟不上管理需要影响工作，未达到质量标准， 月考核一</w:t>
      </w:r>
      <w:r>
        <w:rPr>
          <w:spacing w:val="-12"/>
        </w:rPr>
        <w:t>年内连续两次不合格或累计三次不合格的，甲方有权单方终止本合同。</w:t>
      </w:r>
    </w:p>
    <w:p>
      <w:pPr>
        <w:pStyle w:val="8"/>
        <w:spacing w:line="306" w:lineRule="exact"/>
        <w:ind w:left="857"/>
      </w:pPr>
      <w:r>
        <w:t>2、项目公司无正当理由停止作业。</w:t>
      </w:r>
    </w:p>
    <w:p>
      <w:pPr>
        <w:pStyle w:val="8"/>
        <w:spacing w:before="161"/>
        <w:ind w:left="857"/>
      </w:pPr>
      <w:r>
        <w:t>3、发生其他严重影响温岭城市形象的事件，经查属项目公司责任的。</w:t>
      </w:r>
    </w:p>
    <w:p>
      <w:pPr>
        <w:pStyle w:val="8"/>
        <w:spacing w:before="160" w:line="362" w:lineRule="auto"/>
        <w:ind w:left="339" w:right="811" w:firstLine="518"/>
      </w:pPr>
      <w:r>
        <w:rPr>
          <w:spacing w:val="-12"/>
        </w:rPr>
        <w:t>以上退出情形，采购人有权没收履约保证金。项目公司须继续执行本项目相关要求直至采购人</w:t>
      </w:r>
      <w:r>
        <w:rPr>
          <w:spacing w:val="-11"/>
        </w:rPr>
        <w:t>找到新的接替服务企业。</w:t>
      </w:r>
    </w:p>
    <w:p>
      <w:pPr>
        <w:pStyle w:val="8"/>
        <w:spacing w:before="5"/>
        <w:ind w:left="857"/>
        <w:rPr>
          <w:b/>
          <w:bCs/>
        </w:rPr>
      </w:pPr>
      <w:r>
        <w:rPr>
          <w:b/>
          <w:bCs/>
        </w:rPr>
        <w:t>八、清扫保洁、垃圾收运等组织实施方案</w:t>
      </w:r>
    </w:p>
    <w:p>
      <w:pPr>
        <w:pStyle w:val="8"/>
        <w:spacing w:before="158"/>
        <w:ind w:left="857"/>
      </w:pPr>
      <w:r>
        <w:t>投标人应按照招标要求提交以下投标技术方案（包括但不限于以下各项）。</w:t>
      </w:r>
    </w:p>
    <w:p>
      <w:pPr>
        <w:pStyle w:val="8"/>
        <w:spacing w:before="161"/>
        <w:ind w:left="857"/>
      </w:pPr>
      <w:r>
        <w:t>（一）对本项目保洁与垃圾收运工作的现状调查与问题剖析。</w:t>
      </w:r>
    </w:p>
    <w:p>
      <w:pPr>
        <w:pStyle w:val="8"/>
        <w:spacing w:before="158" w:line="364" w:lineRule="auto"/>
        <w:ind w:left="339" w:right="811" w:firstLine="518"/>
      </w:pPr>
      <w:r>
        <w:rPr>
          <w:spacing w:val="-12"/>
        </w:rPr>
        <w:t>根据投标人对项目范围内城区道路保洁与垃圾收运现状情况、存在的问题和本项目清扫保洁的重点、难点等问题进行调查剖析，并针对性的提出合理化的设想和建议。</w:t>
      </w:r>
    </w:p>
    <w:p>
      <w:pPr>
        <w:pStyle w:val="8"/>
        <w:numPr>
          <w:ilvl w:val="0"/>
          <w:numId w:val="20"/>
        </w:numPr>
        <w:spacing w:line="306" w:lineRule="exact"/>
        <w:ind w:left="857"/>
      </w:pPr>
      <w:r>
        <w:t>项目管理服务机构设置方案、运作流程、监管方式、考核办法、规章制度、劳动保障、</w:t>
      </w:r>
    </w:p>
    <w:p>
      <w:pPr>
        <w:pStyle w:val="8"/>
        <w:spacing w:line="299" w:lineRule="exact"/>
        <w:ind w:firstLine="480" w:firstLineChars="200"/>
      </w:pPr>
      <w:r>
        <w:t>安全措施。</w:t>
      </w:r>
    </w:p>
    <w:p>
      <w:pPr>
        <w:pStyle w:val="8"/>
        <w:spacing w:before="158" w:line="364" w:lineRule="auto"/>
        <w:ind w:left="339" w:right="811" w:firstLine="518"/>
        <w:jc w:val="both"/>
      </w:pPr>
      <w:r>
        <w:rPr>
          <w:spacing w:val="-10"/>
        </w:rPr>
        <w:t>包括</w:t>
      </w:r>
      <w:r>
        <w:rPr>
          <w:spacing w:val="-12"/>
        </w:rPr>
        <w:t>（</w:t>
      </w:r>
      <w:r>
        <w:rPr>
          <w:spacing w:val="-10"/>
        </w:rPr>
        <w:t>但不限于）</w:t>
      </w:r>
      <w:r>
        <w:rPr>
          <w:spacing w:val="-12"/>
        </w:rPr>
        <w:t>拟为本项目在当地设立的组织机构设置、运作流程、公司内部管理与考核办法、激励与监督机制、信息反馈与处理机制、员工工资福利待遇与参加社会保险承诺、员工劳动保</w:t>
      </w:r>
      <w:r>
        <w:rPr>
          <w:spacing w:val="-11"/>
        </w:rPr>
        <w:t>护与安全生产措施等。</w:t>
      </w:r>
    </w:p>
    <w:p>
      <w:pPr>
        <w:pStyle w:val="8"/>
        <w:spacing w:line="364" w:lineRule="auto"/>
        <w:ind w:left="857" w:right="811"/>
      </w:pPr>
      <w:r>
        <w:rPr>
          <w:spacing w:val="-10"/>
        </w:rPr>
        <w:t>（三</w:t>
      </w:r>
      <w:r>
        <w:rPr>
          <w:spacing w:val="-12"/>
        </w:rPr>
        <w:t>）制定针对本项目的工作计划、实施方案及各项工作的操作规程、保洁标准与服务承诺。</w:t>
      </w:r>
      <w:r>
        <w:rPr>
          <w:spacing w:val="-10"/>
        </w:rPr>
        <w:t>1</w:t>
      </w:r>
      <w:r>
        <w:rPr>
          <w:spacing w:val="-12"/>
        </w:rPr>
        <w:t>、制定本项目的工作计划、实施方案、工作目标、工作思路、方法措施。</w:t>
      </w:r>
    </w:p>
    <w:p>
      <w:pPr>
        <w:pStyle w:val="8"/>
        <w:spacing w:line="364" w:lineRule="auto"/>
        <w:ind w:left="339" w:right="823" w:firstLine="518"/>
      </w:pPr>
      <w:r>
        <w:rPr>
          <w:spacing w:val="-10"/>
        </w:rPr>
        <w:t>2</w:t>
      </w:r>
      <w:r>
        <w:rPr>
          <w:spacing w:val="-13"/>
        </w:rPr>
        <w:t>、制定本项目拟配置的管理人员、作业人员、作业车辆等生产要素的数量与概况， 具体说明</w:t>
      </w:r>
      <w:r>
        <w:rPr>
          <w:spacing w:val="-12"/>
        </w:rPr>
        <w:t>各道路、各区块等配置情况。</w:t>
      </w:r>
    </w:p>
    <w:p>
      <w:pPr>
        <w:pStyle w:val="8"/>
        <w:spacing w:line="306" w:lineRule="exact"/>
        <w:ind w:left="857"/>
      </w:pPr>
      <w:r>
        <w:t>3、制定本项目具体的工作分工、班次与清扫时间的安排，要体现合理、精细、科学、高效。</w:t>
      </w:r>
    </w:p>
    <w:p>
      <w:pPr>
        <w:pStyle w:val="8"/>
        <w:spacing w:before="156" w:line="364" w:lineRule="auto"/>
        <w:ind w:left="339" w:right="701" w:firstLine="518"/>
      </w:pPr>
      <w:r>
        <w:rPr>
          <w:spacing w:val="-10"/>
        </w:rPr>
        <w:t>4</w:t>
      </w:r>
      <w:r>
        <w:rPr>
          <w:spacing w:val="-12"/>
        </w:rPr>
        <w:t>、制定承诺对本项目清扫保洁质量的控制和检查手段，提出相应的保洁质量保障措施，要体现</w:t>
      </w:r>
      <w:r>
        <w:rPr>
          <w:spacing w:val="-10"/>
        </w:rPr>
        <w:t>科学、合理、可靠。</w:t>
      </w:r>
    </w:p>
    <w:p>
      <w:pPr>
        <w:pStyle w:val="8"/>
        <w:spacing w:before="1"/>
        <w:ind w:left="857"/>
      </w:pPr>
      <w:r>
        <w:t>5、制定开展爱国卫生运动、多城联创、垃圾分类等相关清扫保洁工作落实的措施与承诺。</w:t>
      </w:r>
    </w:p>
    <w:p>
      <w:pPr>
        <w:pStyle w:val="8"/>
        <w:spacing w:before="158"/>
        <w:ind w:left="857"/>
      </w:pPr>
      <w:r>
        <w:t>6、制定车辆运行方案，要符合本项目道路保洁与垃圾清运、道路机扫洒水、人行道清洗等要</w:t>
      </w:r>
    </w:p>
    <w:p>
      <w:pPr>
        <w:pStyle w:val="8"/>
        <w:spacing w:before="161"/>
        <w:ind w:left="339"/>
      </w:pPr>
      <w:r>
        <w:t>求。</w:t>
      </w:r>
    </w:p>
    <w:p>
      <w:pPr>
        <w:pStyle w:val="8"/>
        <w:spacing w:before="158"/>
        <w:ind w:left="857"/>
      </w:pPr>
      <w:r>
        <w:t>7、制定应对突发性事件的响应与处置工作机制。</w:t>
      </w:r>
    </w:p>
    <w:p>
      <w:pPr>
        <w:pStyle w:val="8"/>
        <w:spacing w:before="161"/>
        <w:ind w:left="857"/>
      </w:pPr>
      <w:r>
        <w:t>8、保洁服务承诺。</w:t>
      </w:r>
    </w:p>
    <w:p>
      <w:pPr>
        <w:pStyle w:val="8"/>
        <w:spacing w:before="160"/>
        <w:ind w:left="857"/>
      </w:pPr>
      <w:r>
        <w:t>（四）专用车辆、作业机具及物资装备配置要求。</w:t>
      </w:r>
    </w:p>
    <w:p>
      <w:pPr>
        <w:pStyle w:val="8"/>
        <w:keepNext w:val="0"/>
        <w:keepLines w:val="0"/>
        <w:pageBreakBefore w:val="0"/>
        <w:widowControl w:val="0"/>
        <w:kinsoku/>
        <w:wordWrap/>
        <w:overflowPunct/>
        <w:topLinePunct w:val="0"/>
        <w:autoSpaceDE w:val="0"/>
        <w:autoSpaceDN w:val="0"/>
        <w:bidi w:val="0"/>
        <w:adjustRightInd/>
        <w:snapToGrid/>
        <w:spacing w:before="158"/>
        <w:ind w:left="340" w:right="273" w:rightChars="124" w:firstLine="480" w:firstLineChars="200"/>
        <w:textAlignment w:val="auto"/>
        <w:rPr>
          <w:rFonts w:hint="eastAsia" w:eastAsia="宋体"/>
          <w:lang w:eastAsia="zh-CN"/>
        </w:rPr>
      </w:pPr>
      <w:r>
        <w:t>1、需配置足够的人力（电动）保洁车</w:t>
      </w:r>
      <w:r>
        <w:rPr>
          <w:rFonts w:hint="eastAsia"/>
          <w:lang w:eastAsia="zh-CN"/>
        </w:rPr>
        <w:t>和保洁人员所使用的垃圾收集桶（根据保洁人员数量配置）</w:t>
      </w:r>
      <w:r>
        <w:t>，包括（但不限于）拟配置的其它作业机具、设备、作业</w:t>
      </w:r>
      <w:r>
        <w:rPr>
          <w:spacing w:val="-12"/>
        </w:rPr>
        <w:t>工具、易耗材料等物资的数量，办公场所、设施、设备的配置，各类人员的着装规范与劳动防护等</w:t>
      </w:r>
      <w:r>
        <w:rPr>
          <w:spacing w:val="-10"/>
        </w:rPr>
        <w:t>物资的配置。</w:t>
      </w:r>
      <w:r>
        <w:rPr>
          <w:rFonts w:hint="eastAsia"/>
          <w:spacing w:val="-10"/>
          <w:lang w:eastAsia="zh-CN"/>
        </w:rPr>
        <w:t>严禁使用周边居民自备的垃圾桶。</w:t>
      </w:r>
    </w:p>
    <w:p>
      <w:pPr>
        <w:pStyle w:val="8"/>
        <w:spacing w:line="306" w:lineRule="exact"/>
        <w:ind w:left="857"/>
        <w:rPr>
          <w:b/>
          <w:bCs/>
        </w:rPr>
      </w:pPr>
      <w:r>
        <w:rPr>
          <w:b/>
          <w:bCs/>
        </w:rPr>
        <w:t>九、其它要求</w:t>
      </w:r>
    </w:p>
    <w:p>
      <w:pPr>
        <w:pStyle w:val="8"/>
        <w:spacing w:before="161" w:line="364" w:lineRule="auto"/>
        <w:ind w:left="339" w:right="701" w:firstLine="518"/>
      </w:pPr>
      <w:r>
        <w:rPr>
          <w:spacing w:val="-10"/>
        </w:rPr>
        <w:t>1</w:t>
      </w:r>
      <w:r>
        <w:rPr>
          <w:spacing w:val="-12"/>
        </w:rPr>
        <w:t>、投标人的项目负责人应具有道路保洁实际工作三年以上经验</w:t>
      </w:r>
      <w:r>
        <w:rPr>
          <w:spacing w:val="-10"/>
        </w:rPr>
        <w:t>（</w:t>
      </w:r>
      <w:r>
        <w:rPr>
          <w:spacing w:val="-11"/>
        </w:rPr>
        <w:t>需提供相关证明</w:t>
      </w:r>
      <w:r>
        <w:rPr>
          <w:spacing w:val="-10"/>
        </w:rPr>
        <w:t>），</w:t>
      </w:r>
      <w:r>
        <w:rPr>
          <w:spacing w:val="-9"/>
        </w:rPr>
        <w:t>中标人在</w:t>
      </w:r>
      <w:r>
        <w:rPr>
          <w:spacing w:val="-13"/>
        </w:rPr>
        <w:t>承包期内，未经采购人的同意，不得变换项目负责人，如若不能兑现， 视同违约处理。</w:t>
      </w:r>
    </w:p>
    <w:p>
      <w:pPr>
        <w:pStyle w:val="8"/>
        <w:spacing w:line="364" w:lineRule="auto"/>
        <w:ind w:left="339" w:right="701" w:firstLine="518"/>
      </w:pPr>
      <w:r>
        <w:rPr>
          <w:spacing w:val="-10"/>
        </w:rPr>
        <w:t>2</w:t>
      </w:r>
      <w:r>
        <w:rPr>
          <w:spacing w:val="-12"/>
        </w:rPr>
        <w:t>、承包方式：本次招标项目采用清扫保洁作业总价承包，中标单位不得将本项目分包、转包、内部经济承包及变相经济转承包；一经发现，采购人有权责令其停止作业并取消承包资格，作违约处理，并承担由此引起的法律责任及一切经济损失。</w:t>
      </w:r>
    </w:p>
    <w:p>
      <w:pPr>
        <w:pStyle w:val="8"/>
        <w:spacing w:line="364" w:lineRule="auto"/>
        <w:ind w:left="339" w:right="770" w:firstLine="518"/>
      </w:pPr>
      <w:r>
        <w:rPr>
          <w:spacing w:val="-10"/>
        </w:rPr>
        <w:t>3</w:t>
      </w:r>
      <w:r>
        <w:rPr>
          <w:spacing w:val="-15"/>
        </w:rPr>
        <w:t xml:space="preserve">、履约保证金：中标供应商须向采购人提供中标价 </w:t>
      </w:r>
      <w:r>
        <w:rPr>
          <w:spacing w:val="-11"/>
        </w:rPr>
        <w:t>5</w:t>
      </w:r>
      <w:r>
        <w:rPr>
          <w:spacing w:val="-12"/>
        </w:rPr>
        <w:t>%的履约保证金，在服务期满且无异议情</w:t>
      </w:r>
      <w:r>
        <w:rPr>
          <w:spacing w:val="-29"/>
        </w:rPr>
        <w:t xml:space="preserve">况下 </w:t>
      </w:r>
      <w:r>
        <w:rPr>
          <w:spacing w:val="-4"/>
        </w:rPr>
        <w:t>15</w:t>
      </w:r>
      <w:r>
        <w:rPr>
          <w:spacing w:val="-20"/>
        </w:rPr>
        <w:t xml:space="preserve"> 天内退还履约保证金。如合同实施期内中标人未按照要求履行合同则履约保证金不予退还。</w:t>
      </w:r>
      <w:r>
        <w:rPr>
          <w:spacing w:val="-12"/>
        </w:rPr>
        <w:t>在合同实施期内如因中标人原因造成采购人财产损失的，采购人有权在履约保证金中扣除。</w:t>
      </w:r>
    </w:p>
    <w:p>
      <w:pPr>
        <w:pStyle w:val="8"/>
        <w:spacing w:line="304" w:lineRule="exact"/>
        <w:ind w:left="857"/>
      </w:pPr>
      <w:r>
        <w:t>4、付款方式：</w:t>
      </w:r>
    </w:p>
    <w:p>
      <w:pPr>
        <w:pStyle w:val="8"/>
        <w:keepNext w:val="0"/>
        <w:keepLines w:val="0"/>
        <w:pageBreakBefore w:val="0"/>
        <w:widowControl w:val="0"/>
        <w:kinsoku/>
        <w:wordWrap/>
        <w:overflowPunct/>
        <w:topLinePunct w:val="0"/>
        <w:autoSpaceDE w:val="0"/>
        <w:autoSpaceDN w:val="0"/>
        <w:bidi w:val="0"/>
        <w:adjustRightInd/>
        <w:snapToGrid/>
        <w:spacing w:line="299" w:lineRule="exact"/>
        <w:ind w:left="340" w:right="273" w:rightChars="124" w:firstLine="480" w:firstLineChars="200"/>
        <w:textAlignment w:val="auto"/>
      </w:pPr>
      <w:r>
        <w:t>按月</w:t>
      </w:r>
      <w:r>
        <w:rPr>
          <w:rFonts w:hint="eastAsia"/>
          <w:lang w:eastAsia="zh-CN"/>
        </w:rPr>
        <w:t>支付，按季结算</w:t>
      </w:r>
      <w:r>
        <w:t>，于次月的 1</w:t>
      </w:r>
      <w:r>
        <w:rPr>
          <w:rFonts w:hint="eastAsia"/>
          <w:lang w:val="en-US" w:eastAsia="zh-CN"/>
        </w:rPr>
        <w:t>0</w:t>
      </w:r>
      <w:r>
        <w:t xml:space="preserve"> 日前支付</w:t>
      </w:r>
      <w:r>
        <w:rPr>
          <w:rFonts w:hint="eastAsia"/>
          <w:lang w:eastAsia="zh-CN"/>
        </w:rPr>
        <w:t>上一月应付款的</w:t>
      </w:r>
      <w:r>
        <w:rPr>
          <w:rFonts w:hint="eastAsia"/>
          <w:lang w:val="en-US" w:eastAsia="zh-CN"/>
        </w:rPr>
        <w:t>70%，每季度结算根据考核支付该季应付剩余款项</w:t>
      </w:r>
      <w:r>
        <w:t>。</w:t>
      </w:r>
      <w:r>
        <w:rPr>
          <w:rFonts w:hint="eastAsia"/>
          <w:lang w:eastAsia="zh-CN"/>
        </w:rPr>
        <w:t>（季度考核按月考核累计）</w:t>
      </w:r>
      <w:r>
        <w:t>，若遇节假日顺延。</w:t>
      </w:r>
    </w:p>
    <w:p>
      <w:pPr>
        <w:pStyle w:val="8"/>
        <w:spacing w:before="158" w:line="364" w:lineRule="auto"/>
        <w:ind w:left="339" w:right="701" w:firstLine="518"/>
      </w:pPr>
      <w:r>
        <w:rPr>
          <w:spacing w:val="-10"/>
        </w:rPr>
        <w:t>5</w:t>
      </w:r>
      <w:r>
        <w:rPr>
          <w:spacing w:val="-12"/>
        </w:rPr>
        <w:t>、连续两个月考核不达标，或连续三次整改不到位，次月起终止合同，予以清退。相关责任按</w:t>
      </w:r>
      <w:r>
        <w:rPr>
          <w:spacing w:val="-11"/>
        </w:rPr>
        <w:t>合同及其他有关规定执行。</w:t>
      </w:r>
    </w:p>
    <w:p>
      <w:pPr>
        <w:pStyle w:val="8"/>
        <w:spacing w:line="306" w:lineRule="exact"/>
        <w:ind w:left="857"/>
      </w:pPr>
      <w:r>
        <w:t>6、招标文件中明确中标人有应急响应机制，建立应对遭遇恶劣天气环境卫生作业的应急机制</w:t>
      </w:r>
    </w:p>
    <w:p>
      <w:pPr>
        <w:pStyle w:val="8"/>
        <w:spacing w:before="160"/>
        <w:ind w:left="339"/>
      </w:pPr>
      <w:r>
        <w:t>（不涉及经费增加）。</w:t>
      </w:r>
    </w:p>
    <w:p>
      <w:pPr>
        <w:pStyle w:val="7"/>
        <w:spacing w:before="161" w:line="331" w:lineRule="auto"/>
        <w:ind w:left="339" w:right="1147" w:firstLine="480"/>
        <w:jc w:val="both"/>
      </w:pPr>
      <w:bookmarkStart w:id="23" w:name="7、为使中标人有足够的时间准备进场，自合同签订之日起给予中标单位 5天的时间筹备"/>
      <w:bookmarkEnd w:id="23"/>
      <w:r>
        <w:rPr>
          <w:b w:val="0"/>
          <w:spacing w:val="4"/>
        </w:rPr>
        <w:t>7</w:t>
      </w:r>
      <w:r>
        <w:rPr>
          <w:b w:val="0"/>
          <w:spacing w:val="7"/>
        </w:rPr>
        <w:t>、</w:t>
      </w:r>
      <w:r>
        <w:rPr>
          <w:spacing w:val="-1"/>
        </w:rPr>
        <w:t xml:space="preserve">为使中标人有足够的时间准备进场，自合同签订之日起给予中标单位 </w:t>
      </w:r>
      <w:r>
        <w:rPr>
          <w:spacing w:val="7"/>
        </w:rPr>
        <w:t>5</w:t>
      </w:r>
      <w:r>
        <w:rPr>
          <w:spacing w:val="-5"/>
        </w:rPr>
        <w:t>天的时间筹</w:t>
      </w:r>
      <w:r>
        <w:rPr>
          <w:spacing w:val="-8"/>
          <w:w w:val="95"/>
        </w:rPr>
        <w:t xml:space="preserve">备项目公司、设备、人员等；合同运行第一个月为过渡适应期，采购人协助中标人共同管理，   </w:t>
      </w:r>
      <w:r>
        <w:rPr>
          <w:spacing w:val="-8"/>
        </w:rPr>
        <w:t>不进行考核扣分，服务费按照月均中标价支付。</w:t>
      </w:r>
    </w:p>
    <w:p>
      <w:pPr>
        <w:pStyle w:val="8"/>
        <w:spacing w:before="1" w:line="364" w:lineRule="auto"/>
        <w:ind w:left="339" w:right="820" w:firstLine="518"/>
      </w:pPr>
      <w:r>
        <w:rPr>
          <w:spacing w:val="-10"/>
        </w:rPr>
        <w:t>8</w:t>
      </w:r>
      <w:r>
        <w:rPr>
          <w:spacing w:val="-11"/>
        </w:rPr>
        <w:t>、明确中标人</w:t>
      </w:r>
      <w:r>
        <w:rPr>
          <w:spacing w:val="-10"/>
        </w:rPr>
        <w:t>（</w:t>
      </w:r>
      <w:r>
        <w:rPr>
          <w:spacing w:val="-12"/>
        </w:rPr>
        <w:t>包括所有用工人员</w:t>
      </w:r>
      <w:r>
        <w:rPr>
          <w:spacing w:val="-10"/>
        </w:rPr>
        <w:t>）不得（</w:t>
      </w:r>
      <w:r>
        <w:rPr>
          <w:spacing w:val="-11"/>
        </w:rPr>
        <w:t>向服务对象</w:t>
      </w:r>
      <w:r>
        <w:rPr>
          <w:spacing w:val="-10"/>
        </w:rPr>
        <w:t>）</w:t>
      </w:r>
      <w:r>
        <w:rPr>
          <w:spacing w:val="-12"/>
        </w:rPr>
        <w:t>收取生活垃圾处置费， 否则按所收</w:t>
      </w:r>
      <w:r>
        <w:rPr>
          <w:spacing w:val="-11"/>
        </w:rPr>
        <w:t xml:space="preserve">金额的 </w:t>
      </w:r>
      <w:r>
        <w:rPr>
          <w:spacing w:val="-4"/>
        </w:rPr>
        <w:t>10</w:t>
      </w:r>
      <w:r>
        <w:rPr>
          <w:spacing w:val="-12"/>
        </w:rPr>
        <w:t xml:space="preserve"> 倍处罚。</w:t>
      </w:r>
    </w:p>
    <w:p>
      <w:pPr>
        <w:pStyle w:val="8"/>
        <w:spacing w:line="306" w:lineRule="exact"/>
        <w:ind w:left="857"/>
      </w:pPr>
      <w:r>
        <w:t>★</w:t>
      </w:r>
      <w:r>
        <w:rPr>
          <w:b/>
          <w:bCs/>
        </w:rPr>
        <w:t>十、员工劳动保障。</w:t>
      </w:r>
    </w:p>
    <w:p>
      <w:pPr>
        <w:pStyle w:val="8"/>
        <w:spacing w:before="161" w:line="364" w:lineRule="auto"/>
        <w:ind w:left="339" w:right="907" w:firstLine="518"/>
        <w:jc w:val="both"/>
      </w:pPr>
      <w:r>
        <w:rPr>
          <w:spacing w:val="-12"/>
        </w:rPr>
        <w:t>中标人所用员工自行向社会招聘，但录用的员工要求符合劳动法相关规定</w:t>
      </w:r>
      <w:r>
        <w:t>（</w:t>
      </w:r>
      <w:r>
        <w:rPr>
          <w:spacing w:val="-13"/>
        </w:rPr>
        <w:t xml:space="preserve"> 因环卫工作特殊性，从事一线保洁人员年龄第一年可适当放宽至 </w:t>
      </w:r>
      <w:r>
        <w:rPr>
          <w:spacing w:val="-4"/>
        </w:rPr>
        <w:t>68</w:t>
      </w:r>
      <w:r>
        <w:rPr>
          <w:spacing w:val="-14"/>
        </w:rPr>
        <w:t xml:space="preserve"> 周岁，一年内逐步调整至 </w:t>
      </w:r>
      <w:r>
        <w:rPr>
          <w:spacing w:val="-4"/>
        </w:rPr>
        <w:t>65</w:t>
      </w:r>
      <w:r>
        <w:rPr>
          <w:spacing w:val="-14"/>
        </w:rPr>
        <w:t xml:space="preserve"> 周岁内</w:t>
      </w:r>
      <w:r>
        <w:rPr>
          <w:spacing w:val="-10"/>
        </w:rPr>
        <w:t>），</w:t>
      </w:r>
      <w:r>
        <w:rPr>
          <w:spacing w:val="-5"/>
        </w:rPr>
        <w:t>身体</w:t>
      </w:r>
      <w:r>
        <w:rPr>
          <w:spacing w:val="-12"/>
        </w:rPr>
        <w:t>健康，必须与用工人员签订书面劳动</w:t>
      </w:r>
      <w:r>
        <w:rPr>
          <w:spacing w:val="-10"/>
        </w:rPr>
        <w:t>（劳务）</w:t>
      </w:r>
      <w:r>
        <w:rPr>
          <w:spacing w:val="-8"/>
        </w:rPr>
        <w:t>合同。</w:t>
      </w:r>
    </w:p>
    <w:p>
      <w:pPr>
        <w:pStyle w:val="8"/>
        <w:spacing w:line="364" w:lineRule="auto"/>
        <w:ind w:left="339" w:right="811" w:firstLine="518"/>
        <w:jc w:val="both"/>
      </w:pPr>
      <w:r>
        <w:rPr>
          <w:spacing w:val="-12"/>
        </w:rPr>
        <w:t>每月应按时、足额向用工人员支付相应的工资、福利、环卫津贴、高温费、加班费等待遇，保障员工的合法权益，不能低于温岭市当年最低工资标准，一经发现中标人未及时、足额支付的，在</w:t>
      </w:r>
      <w:r>
        <w:rPr>
          <w:spacing w:val="-13"/>
        </w:rPr>
        <w:t xml:space="preserve">中标人补足欠薪的基础上，采购人将按原欠薪额的 </w:t>
      </w:r>
      <w:r>
        <w:rPr>
          <w:spacing w:val="-7"/>
        </w:rPr>
        <w:t>200</w:t>
      </w:r>
      <w:r>
        <w:rPr>
          <w:spacing w:val="-12"/>
        </w:rPr>
        <w:t>% 对中标人进行扣罚。</w:t>
      </w:r>
    </w:p>
    <w:p>
      <w:pPr>
        <w:pStyle w:val="8"/>
        <w:spacing w:line="364" w:lineRule="auto"/>
        <w:ind w:left="857" w:right="2649"/>
      </w:pPr>
      <w:r>
        <w:rPr>
          <w:spacing w:val="-12"/>
        </w:rPr>
        <w:t>中标人必须执行《劳动法》、《劳动合同法》等有关员工保障的其它规定。工作人员着装统一，服装具有明显安全标识。</w:t>
      </w:r>
    </w:p>
    <w:p>
      <w:pPr>
        <w:pStyle w:val="8"/>
        <w:spacing w:line="364" w:lineRule="auto"/>
        <w:ind w:left="339" w:right="811" w:firstLine="518"/>
      </w:pPr>
      <w:r>
        <w:rPr>
          <w:spacing w:val="-12"/>
        </w:rPr>
        <w:t>★</w:t>
      </w:r>
      <w:r>
        <w:rPr>
          <w:b/>
          <w:bCs/>
          <w:spacing w:val="-12"/>
        </w:rPr>
        <w:t>十</w:t>
      </w:r>
      <w:r>
        <w:rPr>
          <w:rFonts w:hint="eastAsia"/>
          <w:b/>
          <w:bCs/>
          <w:spacing w:val="-12"/>
          <w:lang w:eastAsia="zh-CN"/>
        </w:rPr>
        <w:t>一</w:t>
      </w:r>
      <w:r>
        <w:rPr>
          <w:spacing w:val="-12"/>
        </w:rPr>
        <w:t>、中标人在承包期内，出现环卫工人集体上访的，采购人可以直接认定当月考核为不合</w:t>
      </w:r>
      <w:r>
        <w:rPr>
          <w:spacing w:val="-10"/>
        </w:rPr>
        <w:t>格（</w:t>
      </w:r>
      <w:r>
        <w:rPr>
          <w:spacing w:val="-12"/>
        </w:rPr>
        <w:t xml:space="preserve">考核得分小于 </w:t>
      </w:r>
      <w:r>
        <w:rPr>
          <w:spacing w:val="-5"/>
        </w:rPr>
        <w:t>90</w:t>
      </w:r>
      <w:r>
        <w:rPr>
          <w:spacing w:val="-16"/>
        </w:rPr>
        <w:t xml:space="preserve"> 分</w:t>
      </w:r>
      <w:r>
        <w:rPr>
          <w:spacing w:val="-11"/>
        </w:rPr>
        <w:t>）</w:t>
      </w:r>
      <w:r>
        <w:rPr>
          <w:spacing w:val="-12"/>
        </w:rPr>
        <w:t>，情节严重的，采购人有权终止合同并不予返还履约保证金。</w:t>
      </w:r>
    </w:p>
    <w:p>
      <w:pPr>
        <w:pStyle w:val="8"/>
        <w:spacing w:line="306" w:lineRule="exact"/>
        <w:ind w:left="857"/>
      </w:pPr>
      <w:r>
        <w:t>说明：带★是实质性条款，投标人必须响应，不得负偏离，否则为无效标。</w:t>
      </w:r>
    </w:p>
    <w:p>
      <w:pPr>
        <w:pStyle w:val="8"/>
      </w:pPr>
    </w:p>
    <w:p>
      <w:pPr>
        <w:pStyle w:val="8"/>
        <w:spacing w:before="11"/>
        <w:rPr>
          <w:sz w:val="22"/>
        </w:rPr>
      </w:pPr>
    </w:p>
    <w:p>
      <w:pPr>
        <w:pStyle w:val="2"/>
        <w:spacing w:before="0"/>
        <w:ind w:right="356"/>
      </w:pPr>
    </w:p>
    <w:p>
      <w:pPr>
        <w:pStyle w:val="2"/>
        <w:spacing w:before="0"/>
        <w:ind w:right="356"/>
      </w:pPr>
    </w:p>
    <w:p>
      <w:pPr>
        <w:pStyle w:val="2"/>
        <w:spacing w:before="0"/>
        <w:ind w:right="356"/>
      </w:pPr>
    </w:p>
    <w:p>
      <w:pPr>
        <w:pStyle w:val="2"/>
        <w:spacing w:before="0"/>
        <w:ind w:right="356"/>
      </w:pPr>
    </w:p>
    <w:p>
      <w:r>
        <w:br w:type="page"/>
      </w:r>
    </w:p>
    <w:p>
      <w:pPr>
        <w:pStyle w:val="8"/>
        <w:spacing w:line="357" w:lineRule="auto"/>
        <w:ind w:left="339" w:right="808" w:firstLine="588"/>
        <w:rPr>
          <w:rFonts w:hint="eastAsia" w:ascii="宋体" w:hAnsi="宋体" w:eastAsia="宋体" w:cs="宋体"/>
          <w:b/>
          <w:bCs/>
          <w:sz w:val="24"/>
          <w:szCs w:val="24"/>
          <w:lang w:eastAsia="zh-CN"/>
        </w:rPr>
      </w:pPr>
      <w:r>
        <w:rPr>
          <w:rFonts w:hint="eastAsia"/>
          <w:b/>
          <w:bCs/>
          <w:lang w:eastAsia="zh-CN"/>
        </w:rPr>
        <w:t>考核办法：</w:t>
      </w:r>
      <w:r>
        <w:t>甲方对乙方清扫质量进行不定期检查考核，每月检查满分为100分，90分为达标。合同期内，乙方当月检查成绩每低于达标分1分，甲方将从乙方的当月清扫保洁经费扣除</w:t>
      </w:r>
      <w:r>
        <w:rPr>
          <w:rFonts w:hint="eastAsia"/>
          <w:lang w:val="en-US" w:eastAsia="zh-CN"/>
        </w:rPr>
        <w:t>3</w:t>
      </w:r>
      <w:r>
        <w:t>000元。乙方服务质量月考连续两次不达标的，甲方有权终止合同</w:t>
      </w:r>
      <w:r>
        <w:rPr>
          <w:rFonts w:hint="eastAsia"/>
          <w:lang w:eastAsia="zh-CN"/>
        </w:rPr>
        <w:t>。（采购人有权根据实际情况对考评细则进行调整，中标人不得有异议）</w:t>
      </w:r>
    </w:p>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附件</w:t>
      </w:r>
      <w:r>
        <w:rPr>
          <w:rFonts w:hint="eastAsia" w:cs="宋体"/>
          <w:b/>
          <w:bCs/>
          <w:sz w:val="24"/>
          <w:szCs w:val="24"/>
          <w:lang w:val="en-US" w:eastAsia="zh-CN"/>
        </w:rPr>
        <w:t>1</w:t>
      </w:r>
      <w:r>
        <w:rPr>
          <w:rFonts w:hint="eastAsia" w:ascii="宋体" w:hAnsi="宋体" w:cs="宋体"/>
          <w:b/>
          <w:bCs/>
          <w:sz w:val="24"/>
          <w:szCs w:val="24"/>
          <w:lang w:eastAsia="zh-CN"/>
        </w:rPr>
        <w:t>：</w:t>
      </w:r>
    </w:p>
    <w:p>
      <w:pPr>
        <w:spacing w:before="173" w:after="28"/>
        <w:ind w:left="879" w:right="0" w:firstLine="0"/>
        <w:jc w:val="center"/>
        <w:rPr>
          <w:b/>
          <w:sz w:val="28"/>
          <w:szCs w:val="28"/>
        </w:rPr>
      </w:pPr>
      <w:r>
        <w:rPr>
          <w:b/>
          <w:sz w:val="28"/>
          <w:szCs w:val="28"/>
        </w:rPr>
        <w:t>考评细则（总分为100分）</w:t>
      </w:r>
    </w:p>
    <w:tbl>
      <w:tblPr>
        <w:tblStyle w:val="16"/>
        <w:tblW w:w="9540"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5"/>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top"/>
          </w:tcPr>
          <w:p>
            <w:pPr>
              <w:spacing w:before="173" w:after="28"/>
              <w:ind w:right="0"/>
              <w:jc w:val="center"/>
              <w:rPr>
                <w:rFonts w:hint="eastAsia" w:eastAsia="宋体"/>
                <w:b/>
                <w:sz w:val="24"/>
                <w:szCs w:val="24"/>
                <w:vertAlign w:val="baseline"/>
                <w:lang w:eastAsia="zh-CN"/>
              </w:rPr>
            </w:pPr>
            <w:r>
              <w:rPr>
                <w:rFonts w:hint="eastAsia"/>
                <w:b/>
                <w:sz w:val="24"/>
                <w:szCs w:val="24"/>
                <w:vertAlign w:val="baseline"/>
                <w:lang w:eastAsia="zh-CN"/>
              </w:rPr>
              <w:t>内容</w:t>
            </w:r>
          </w:p>
        </w:tc>
        <w:tc>
          <w:tcPr>
            <w:tcW w:w="4155" w:type="dxa"/>
            <w:noWrap w:val="0"/>
            <w:vAlign w:val="top"/>
          </w:tcPr>
          <w:p>
            <w:pPr>
              <w:spacing w:before="173" w:after="28"/>
              <w:ind w:right="0"/>
              <w:jc w:val="center"/>
              <w:rPr>
                <w:rFonts w:hint="eastAsia" w:eastAsia="宋体"/>
                <w:b/>
                <w:sz w:val="24"/>
                <w:szCs w:val="24"/>
                <w:vertAlign w:val="baseline"/>
                <w:lang w:eastAsia="zh-CN"/>
              </w:rPr>
            </w:pPr>
            <w:r>
              <w:rPr>
                <w:rFonts w:hint="eastAsia"/>
                <w:b/>
                <w:sz w:val="24"/>
                <w:szCs w:val="24"/>
                <w:vertAlign w:val="baseline"/>
                <w:lang w:eastAsia="zh-CN"/>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spacing w:before="173" w:after="28"/>
              <w:ind w:right="0"/>
              <w:jc w:val="both"/>
              <w:rPr>
                <w:rFonts w:hint="eastAsia" w:ascii="宋体" w:hAnsi="宋体" w:eastAsia="宋体" w:cs="宋体"/>
                <w:b/>
                <w:sz w:val="23"/>
                <w:szCs w:val="23"/>
                <w:vertAlign w:val="baseline"/>
              </w:rPr>
            </w:pPr>
            <w:r>
              <w:rPr>
                <w:rFonts w:hint="eastAsia" w:ascii="宋体" w:hAnsi="宋体" w:eastAsia="宋体" w:cs="宋体"/>
                <w:spacing w:val="-11"/>
                <w:sz w:val="23"/>
                <w:szCs w:val="23"/>
              </w:rPr>
              <w:t>路面无垃圾、无杂</w:t>
            </w:r>
            <w:r>
              <w:rPr>
                <w:rFonts w:hint="eastAsia" w:ascii="宋体" w:hAnsi="宋体" w:eastAsia="宋体" w:cs="宋体"/>
                <w:sz w:val="23"/>
                <w:szCs w:val="23"/>
              </w:rPr>
              <w:t>物、无积泥、无污渍， 人行道无杂</w:t>
            </w:r>
            <w:r>
              <w:rPr>
                <w:rFonts w:hint="eastAsia" w:ascii="宋体" w:hAnsi="宋体" w:eastAsia="宋体" w:cs="宋体"/>
                <w:spacing w:val="-11"/>
                <w:sz w:val="23"/>
                <w:szCs w:val="23"/>
              </w:rPr>
              <w:t>草，晴天无积水，道</w:t>
            </w:r>
            <w:r>
              <w:rPr>
                <w:rFonts w:hint="eastAsia" w:ascii="宋体" w:hAnsi="宋体" w:eastAsia="宋体" w:cs="宋体"/>
                <w:sz w:val="23"/>
                <w:szCs w:val="23"/>
              </w:rPr>
              <w:t>路两侧 3 米内无废</w:t>
            </w:r>
            <w:r>
              <w:rPr>
                <w:rFonts w:hint="eastAsia" w:ascii="宋体" w:hAnsi="宋体" w:eastAsia="宋体" w:cs="宋体"/>
                <w:spacing w:val="-12"/>
                <w:sz w:val="23"/>
                <w:szCs w:val="23"/>
              </w:rPr>
              <w:t>土、垃圾</w:t>
            </w:r>
          </w:p>
        </w:tc>
        <w:tc>
          <w:tcPr>
            <w:tcW w:w="4155" w:type="dxa"/>
            <w:noWrap w:val="0"/>
            <w:vAlign w:val="center"/>
          </w:tcPr>
          <w:p>
            <w:pPr>
              <w:spacing w:before="173" w:after="28"/>
              <w:ind w:right="0"/>
              <w:jc w:val="both"/>
              <w:rPr>
                <w:b/>
                <w:sz w:val="22"/>
                <w:szCs w:val="22"/>
                <w:vertAlign w:val="baseline"/>
              </w:rPr>
            </w:pPr>
            <w:r>
              <w:rPr>
                <w:rFonts w:hint="eastAsia"/>
                <w:sz w:val="22"/>
                <w:szCs w:val="22"/>
                <w:lang w:val="en-US" w:eastAsia="zh-CN"/>
              </w:rPr>
              <w:t>未按要求完成的，</w:t>
            </w:r>
            <w:r>
              <w:rPr>
                <w:sz w:val="22"/>
                <w:szCs w:val="22"/>
              </w:rPr>
              <w:t>每发现</w:t>
            </w:r>
            <w:r>
              <w:rPr>
                <w:rFonts w:hint="eastAsia"/>
                <w:sz w:val="22"/>
                <w:szCs w:val="22"/>
                <w:lang w:val="en-US" w:eastAsia="zh-CN"/>
              </w:rPr>
              <w:t>1</w:t>
            </w:r>
            <w:r>
              <w:rPr>
                <w:sz w:val="22"/>
                <w:szCs w:val="22"/>
              </w:rPr>
              <w:t>次，扣</w:t>
            </w:r>
            <w:r>
              <w:rPr>
                <w:rFonts w:hint="eastAsia"/>
                <w:sz w:val="22"/>
                <w:szCs w:val="22"/>
                <w:lang w:val="en-US" w:eastAsia="zh-CN"/>
              </w:rPr>
              <w:t>0.5</w:t>
            </w:r>
            <w:r>
              <w:rPr>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b/>
                <w:sz w:val="23"/>
                <w:szCs w:val="23"/>
                <w:vertAlign w:val="baseline"/>
              </w:rPr>
            </w:pPr>
            <w:r>
              <w:rPr>
                <w:rFonts w:hint="eastAsia" w:ascii="宋体" w:hAnsi="宋体" w:eastAsia="宋体" w:cs="宋体"/>
                <w:spacing w:val="-12"/>
                <w:sz w:val="23"/>
                <w:szCs w:val="23"/>
              </w:rPr>
              <w:t>人行道</w:t>
            </w:r>
            <w:r>
              <w:rPr>
                <w:rFonts w:hint="eastAsia" w:ascii="宋体" w:hAnsi="宋体" w:eastAsia="宋体" w:cs="宋体"/>
                <w:spacing w:val="-11"/>
                <w:sz w:val="23"/>
                <w:szCs w:val="23"/>
              </w:rPr>
              <w:t>板及各类井盖等处缝隙、沟眼无垃圾，无</w:t>
            </w:r>
            <w:r>
              <w:rPr>
                <w:rFonts w:hint="eastAsia" w:ascii="宋体" w:hAnsi="宋体" w:eastAsia="宋体" w:cs="宋体"/>
                <w:spacing w:val="-12"/>
                <w:sz w:val="23"/>
                <w:szCs w:val="23"/>
              </w:rPr>
              <w:t>积泥嵌石</w:t>
            </w:r>
          </w:p>
        </w:tc>
        <w:tc>
          <w:tcPr>
            <w:tcW w:w="4155" w:type="dxa"/>
            <w:noWrap w:val="0"/>
            <w:vAlign w:val="center"/>
          </w:tcPr>
          <w:p>
            <w:pPr>
              <w:spacing w:before="173" w:after="28"/>
              <w:ind w:right="0"/>
              <w:jc w:val="both"/>
              <w:rPr>
                <w:b/>
                <w:sz w:val="22"/>
                <w:szCs w:val="22"/>
                <w:vertAlign w:val="baseline"/>
              </w:rPr>
            </w:pPr>
            <w:r>
              <w:rPr>
                <w:rFonts w:hint="eastAsia"/>
                <w:sz w:val="22"/>
                <w:szCs w:val="22"/>
                <w:lang w:val="en-US" w:eastAsia="zh-CN"/>
              </w:rPr>
              <w:t>未按要求完成的，</w:t>
            </w:r>
            <w:r>
              <w:rPr>
                <w:sz w:val="22"/>
                <w:szCs w:val="22"/>
              </w:rPr>
              <w:t>每发现</w:t>
            </w:r>
            <w:r>
              <w:rPr>
                <w:rFonts w:hint="eastAsia"/>
                <w:sz w:val="22"/>
                <w:szCs w:val="22"/>
                <w:lang w:val="en-US" w:eastAsia="zh-CN"/>
              </w:rPr>
              <w:t>1</w:t>
            </w:r>
            <w:r>
              <w:rPr>
                <w:sz w:val="22"/>
                <w:szCs w:val="22"/>
              </w:rPr>
              <w:t>次，扣</w:t>
            </w:r>
            <w:r>
              <w:rPr>
                <w:rFonts w:hint="eastAsia"/>
                <w:sz w:val="22"/>
                <w:szCs w:val="22"/>
                <w:lang w:val="en-US" w:eastAsia="zh-CN"/>
              </w:rPr>
              <w:t>0.5</w:t>
            </w:r>
            <w:r>
              <w:rPr>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b/>
                <w:sz w:val="23"/>
                <w:szCs w:val="23"/>
                <w:vertAlign w:val="baseline"/>
              </w:rPr>
            </w:pPr>
            <w:r>
              <w:rPr>
                <w:rFonts w:hint="eastAsia" w:ascii="宋体" w:hAnsi="宋体" w:eastAsia="宋体" w:cs="宋体"/>
                <w:spacing w:val="-12"/>
                <w:sz w:val="23"/>
                <w:szCs w:val="23"/>
              </w:rPr>
              <w:t>道路绿</w:t>
            </w:r>
            <w:r>
              <w:rPr>
                <w:rFonts w:hint="eastAsia" w:ascii="宋体" w:hAnsi="宋体" w:eastAsia="宋体" w:cs="宋体"/>
                <w:spacing w:val="-11"/>
                <w:sz w:val="23"/>
                <w:szCs w:val="23"/>
              </w:rPr>
              <w:t>地、花坛、树圈保洁应与道路保洁同步，</w:t>
            </w:r>
            <w:r>
              <w:rPr>
                <w:rFonts w:hint="eastAsia" w:ascii="宋体" w:hAnsi="宋体" w:eastAsia="宋体" w:cs="宋体"/>
                <w:spacing w:val="-10"/>
                <w:sz w:val="23"/>
                <w:szCs w:val="23"/>
              </w:rPr>
              <w:t>做到无杂物、无垃</w:t>
            </w:r>
            <w:r>
              <w:rPr>
                <w:rFonts w:hint="eastAsia" w:ascii="宋体" w:hAnsi="宋体" w:eastAsia="宋体" w:cs="宋体"/>
                <w:spacing w:val="-11"/>
                <w:sz w:val="23"/>
                <w:szCs w:val="23"/>
              </w:rPr>
              <w:t>圾。</w:t>
            </w:r>
          </w:p>
        </w:tc>
        <w:tc>
          <w:tcPr>
            <w:tcW w:w="4155" w:type="dxa"/>
            <w:noWrap w:val="0"/>
            <w:vAlign w:val="center"/>
          </w:tcPr>
          <w:p>
            <w:pPr>
              <w:spacing w:before="173" w:after="28"/>
              <w:ind w:right="0"/>
              <w:jc w:val="both"/>
              <w:rPr>
                <w:b/>
                <w:sz w:val="22"/>
                <w:szCs w:val="22"/>
                <w:vertAlign w:val="baseline"/>
              </w:rPr>
            </w:pPr>
            <w:r>
              <w:rPr>
                <w:rFonts w:hint="eastAsia"/>
                <w:sz w:val="22"/>
                <w:szCs w:val="22"/>
                <w:lang w:val="en-US" w:eastAsia="zh-CN"/>
              </w:rPr>
              <w:t>未按要求完成的，</w:t>
            </w:r>
            <w:r>
              <w:rPr>
                <w:sz w:val="22"/>
                <w:szCs w:val="22"/>
              </w:rPr>
              <w:t>每发现</w:t>
            </w:r>
            <w:r>
              <w:rPr>
                <w:rFonts w:hint="eastAsia"/>
                <w:sz w:val="22"/>
                <w:szCs w:val="22"/>
                <w:lang w:val="en-US" w:eastAsia="zh-CN"/>
              </w:rPr>
              <w:t>1</w:t>
            </w:r>
            <w:r>
              <w:rPr>
                <w:sz w:val="22"/>
                <w:szCs w:val="22"/>
              </w:rPr>
              <w:t>次，扣</w:t>
            </w:r>
            <w:r>
              <w:rPr>
                <w:rFonts w:hint="eastAsia"/>
                <w:sz w:val="22"/>
                <w:szCs w:val="22"/>
                <w:lang w:val="en-US" w:eastAsia="zh-CN"/>
              </w:rPr>
              <w:t>0.5</w:t>
            </w:r>
            <w:r>
              <w:rPr>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rPr>
            </w:pPr>
            <w:r>
              <w:rPr>
                <w:rFonts w:hint="eastAsia" w:ascii="宋体" w:hAnsi="宋体" w:eastAsia="宋体" w:cs="宋体"/>
                <w:spacing w:val="-12"/>
                <w:sz w:val="23"/>
                <w:szCs w:val="23"/>
              </w:rPr>
              <w:t>环卫设施（果壳箱、垃圾桶、垃圾房）设置整齐规范、无破损、歪斜、油漆剥落（或严重褪色）、垃圾满溢，表面清洁无污垢，周围地面无暴露垃圾、污水现象。</w:t>
            </w:r>
          </w:p>
        </w:tc>
        <w:tc>
          <w:tcPr>
            <w:tcW w:w="4155" w:type="dxa"/>
            <w:noWrap w:val="0"/>
            <w:vAlign w:val="center"/>
          </w:tcPr>
          <w:p>
            <w:pPr>
              <w:pStyle w:val="20"/>
              <w:spacing w:before="80"/>
              <w:ind w:left="3"/>
              <w:rPr>
                <w:rFonts w:ascii="宋体" w:hAnsi="宋体" w:eastAsia="宋体" w:cs="宋体"/>
                <w:spacing w:val="-12"/>
                <w:sz w:val="23"/>
                <w:szCs w:val="23"/>
                <w:lang w:val="zh-CN" w:eastAsia="zh-CN"/>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0.5</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rPr>
            </w:pPr>
            <w:r>
              <w:rPr>
                <w:rFonts w:hint="eastAsia" w:ascii="宋体" w:hAnsi="宋体" w:eastAsia="宋体" w:cs="宋体"/>
                <w:spacing w:val="-12"/>
                <w:sz w:val="23"/>
                <w:szCs w:val="23"/>
              </w:rPr>
              <w:t>所有道路按二类道路全天实行 10 小时（7:00-17:00）清扫保洁，确保每天 2 次以上普扫</w:t>
            </w:r>
          </w:p>
        </w:tc>
        <w:tc>
          <w:tcPr>
            <w:tcW w:w="4155" w:type="dxa"/>
            <w:noWrap w:val="0"/>
            <w:vAlign w:val="center"/>
          </w:tcPr>
          <w:p>
            <w:pPr>
              <w:pStyle w:val="20"/>
              <w:spacing w:before="80"/>
              <w:ind w:left="3"/>
              <w:rPr>
                <w:rFonts w:ascii="宋体" w:hAnsi="宋体" w:eastAsia="宋体" w:cs="宋体"/>
                <w:spacing w:val="-12"/>
                <w:sz w:val="23"/>
                <w:szCs w:val="23"/>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rPr>
            </w:pPr>
            <w:r>
              <w:rPr>
                <w:rFonts w:hint="eastAsia" w:ascii="宋体" w:hAnsi="宋体" w:eastAsia="宋体" w:cs="宋体"/>
                <w:spacing w:val="-12"/>
                <w:sz w:val="23"/>
                <w:szCs w:val="23"/>
              </w:rPr>
              <w:t>普扫结束后做好巡回保洁工作，交接班不得出现空档，责任区交界处清扫保洁各过界 10 米</w:t>
            </w:r>
          </w:p>
        </w:tc>
        <w:tc>
          <w:tcPr>
            <w:tcW w:w="4155" w:type="dxa"/>
            <w:noWrap w:val="0"/>
            <w:vAlign w:val="center"/>
          </w:tcPr>
          <w:p>
            <w:pPr>
              <w:pStyle w:val="20"/>
              <w:spacing w:before="80"/>
              <w:ind w:left="3"/>
              <w:rPr>
                <w:rFonts w:ascii="宋体" w:hAnsi="宋体" w:eastAsia="宋体" w:cs="宋体"/>
                <w:spacing w:val="-12"/>
                <w:sz w:val="23"/>
                <w:szCs w:val="23"/>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0.5</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rPr>
            </w:pPr>
            <w:r>
              <w:rPr>
                <w:rFonts w:hint="eastAsia" w:ascii="宋体" w:hAnsi="宋体" w:eastAsia="宋体" w:cs="宋体"/>
                <w:spacing w:val="-12"/>
                <w:sz w:val="23"/>
                <w:szCs w:val="23"/>
              </w:rPr>
              <w:t>根据保洁时段和相关法规规定，合理的安排作业人员的班次，确保作业人员合理的休息时间，严禁作业人员长期在岗超负荷作业</w:t>
            </w:r>
          </w:p>
        </w:tc>
        <w:tc>
          <w:tcPr>
            <w:tcW w:w="4155" w:type="dxa"/>
            <w:noWrap w:val="0"/>
            <w:vAlign w:val="center"/>
          </w:tcPr>
          <w:p>
            <w:pPr>
              <w:pStyle w:val="20"/>
              <w:spacing w:before="80"/>
              <w:ind w:left="3"/>
              <w:rPr>
                <w:rFonts w:ascii="宋体" w:hAnsi="宋体" w:eastAsia="宋体" w:cs="宋体"/>
                <w:spacing w:val="-12"/>
                <w:sz w:val="23"/>
                <w:szCs w:val="23"/>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0.5</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rPr>
            </w:pPr>
            <w:r>
              <w:rPr>
                <w:rFonts w:hint="eastAsia" w:ascii="宋体" w:hAnsi="宋体" w:eastAsia="宋体" w:cs="宋体"/>
                <w:spacing w:val="-12"/>
                <w:sz w:val="23"/>
                <w:szCs w:val="23"/>
              </w:rPr>
              <w:t>主动收集市民、相关部门、媒体对作业质量的反馈意见，积极处理相关投诉及问题，及时整改</w:t>
            </w:r>
          </w:p>
        </w:tc>
        <w:tc>
          <w:tcPr>
            <w:tcW w:w="4155" w:type="dxa"/>
            <w:noWrap w:val="0"/>
            <w:vAlign w:val="center"/>
          </w:tcPr>
          <w:p>
            <w:pPr>
              <w:pStyle w:val="20"/>
              <w:spacing w:before="80"/>
              <w:ind w:left="3"/>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lang w:val="zh-CN" w:eastAsia="zh-CN"/>
              </w:rPr>
            </w:pPr>
            <w:r>
              <w:rPr>
                <w:rFonts w:hint="eastAsia" w:ascii="宋体" w:hAnsi="宋体" w:eastAsia="宋体" w:cs="宋体"/>
                <w:spacing w:val="-12"/>
                <w:sz w:val="23"/>
                <w:szCs w:val="23"/>
              </w:rPr>
              <w:t>按规定道路保洁员工作时，必须穿着安全工作服</w:t>
            </w:r>
          </w:p>
        </w:tc>
        <w:tc>
          <w:tcPr>
            <w:tcW w:w="4155" w:type="dxa"/>
            <w:noWrap w:val="0"/>
            <w:vAlign w:val="center"/>
          </w:tcPr>
          <w:p>
            <w:pPr>
              <w:pStyle w:val="20"/>
              <w:spacing w:before="80"/>
              <w:ind w:left="3"/>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未按要求完成的，每发现1人扣1分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rPr>
            </w:pPr>
            <w:r>
              <w:rPr>
                <w:rFonts w:hint="eastAsia" w:ascii="宋体" w:hAnsi="宋体" w:eastAsia="宋体" w:cs="宋体"/>
                <w:spacing w:val="-12"/>
                <w:sz w:val="23"/>
                <w:szCs w:val="23"/>
              </w:rPr>
              <w:t>所有垃圾桶（箱）、垃圾坞、密闭式垃圾收集装置内必须每日进行一次清洗、冲刷、消毒及养护作业，确保所有投放的垃圾桶（箱/坞）的标志清晰、数量充分、内外整洁、无污垢、无积水、无异味、无破损，作业完毕后应及时加盖、关门，不得敞露</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lang w:val="en-US" w:eastAsia="zh-CN" w:bidi="zh-CN"/>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2</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lang w:eastAsia="zh-CN"/>
              </w:rPr>
            </w:pPr>
            <w:r>
              <w:rPr>
                <w:rFonts w:hint="eastAsia" w:ascii="宋体" w:hAnsi="宋体" w:eastAsia="宋体" w:cs="宋体"/>
                <w:spacing w:val="-12"/>
                <w:sz w:val="23"/>
                <w:szCs w:val="23"/>
              </w:rPr>
              <w:t>根据季节不同，科学合理的安排路面洒水次数，实施洒水降温、压尘作业；气温高于 30℃ 增加洒水次数，气温低于 2℃时应停止清洗和洒水</w:t>
            </w:r>
          </w:p>
        </w:tc>
        <w:tc>
          <w:tcPr>
            <w:tcW w:w="4155" w:type="dxa"/>
            <w:noWrap w:val="0"/>
            <w:vAlign w:val="center"/>
          </w:tcPr>
          <w:p>
            <w:pPr>
              <w:pStyle w:val="20"/>
              <w:spacing w:before="80"/>
              <w:ind w:left="3"/>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3</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rPr>
                <w:rFonts w:hint="eastAsia" w:ascii="宋体" w:hAnsi="宋体" w:eastAsia="宋体" w:cs="宋体"/>
                <w:spacing w:val="-12"/>
                <w:sz w:val="23"/>
                <w:szCs w:val="23"/>
              </w:rPr>
            </w:pPr>
            <w:r>
              <w:rPr>
                <w:rFonts w:hint="eastAsia" w:ascii="宋体" w:hAnsi="宋体" w:eastAsia="宋体" w:cs="宋体"/>
                <w:spacing w:val="-12"/>
                <w:sz w:val="23"/>
                <w:szCs w:val="23"/>
              </w:rPr>
              <w:t>洒水作业时间应选择人流、车流相对较少的时间段，不得影响市民的正常出行。道路洒水作业时，应实施合理有效的措施，控制洒水压力，避免因水压过高影响行人或社会车辆正常行驶，杜绝二次污染或安全事故</w:t>
            </w:r>
          </w:p>
        </w:tc>
        <w:tc>
          <w:tcPr>
            <w:tcW w:w="4155" w:type="dxa"/>
            <w:noWrap w:val="0"/>
            <w:vAlign w:val="center"/>
          </w:tcPr>
          <w:p>
            <w:pPr>
              <w:pStyle w:val="20"/>
              <w:spacing w:before="80"/>
              <w:ind w:left="3"/>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未按要求完成的，</w:t>
            </w:r>
            <w:r>
              <w:rPr>
                <w:rFonts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次，扣</w:t>
            </w:r>
            <w:r>
              <w:rPr>
                <w:rFonts w:hint="eastAsia" w:ascii="宋体" w:hAnsi="宋体" w:eastAsia="宋体" w:cs="宋体"/>
                <w:spacing w:val="-12"/>
                <w:sz w:val="23"/>
                <w:szCs w:val="23"/>
                <w:lang w:val="en-US" w:eastAsia="zh-CN"/>
              </w:rPr>
              <w:t>2</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ascii="宋体" w:hAnsi="宋体" w:eastAsia="宋体" w:cs="宋体"/>
                <w:spacing w:val="-12"/>
                <w:sz w:val="23"/>
                <w:szCs w:val="23"/>
                <w:lang w:val="zh-CN" w:eastAsia="zh-CN" w:bidi="zh-CN"/>
              </w:rPr>
            </w:pPr>
            <w:r>
              <w:rPr>
                <w:rFonts w:hint="eastAsia" w:ascii="宋体" w:hAnsi="宋体" w:eastAsia="宋体" w:cs="宋体"/>
                <w:spacing w:val="-12"/>
                <w:sz w:val="23"/>
                <w:szCs w:val="23"/>
              </w:rPr>
              <w:t>建立24小时值班制度，遇突发事件随叫随到，并及时派人员进行处理</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lang w:val="en-US" w:eastAsia="zh-CN" w:bidi="zh-CN"/>
              </w:rPr>
            </w:pPr>
            <w:r>
              <w:rPr>
                <w:rFonts w:ascii="宋体" w:hAnsi="宋体" w:eastAsia="宋体" w:cs="宋体"/>
                <w:spacing w:val="-12"/>
                <w:sz w:val="23"/>
                <w:szCs w:val="23"/>
              </w:rPr>
              <w:t>遇突发事件未能及时派人员及进行处理， 一次扣</w:t>
            </w:r>
            <w:r>
              <w:rPr>
                <w:rFonts w:hint="eastAsia" w:ascii="宋体" w:hAnsi="宋体" w:eastAsia="宋体" w:cs="宋体"/>
                <w:spacing w:val="-12"/>
                <w:sz w:val="23"/>
                <w:szCs w:val="23"/>
                <w:lang w:val="en-US" w:eastAsia="zh-CN"/>
              </w:rPr>
              <w:t>2</w:t>
            </w:r>
            <w:r>
              <w:rPr>
                <w:rFonts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因保洁</w:t>
            </w:r>
            <w:r>
              <w:rPr>
                <w:rFonts w:hint="eastAsia" w:ascii="宋体" w:hAnsi="宋体" w:eastAsia="宋体" w:cs="宋体"/>
                <w:spacing w:val="-12"/>
                <w:sz w:val="23"/>
                <w:szCs w:val="23"/>
                <w:lang w:eastAsia="zh-CN"/>
              </w:rPr>
              <w:t>的</w:t>
            </w:r>
            <w:r>
              <w:rPr>
                <w:rFonts w:hint="eastAsia" w:ascii="宋体" w:hAnsi="宋体" w:eastAsia="宋体" w:cs="宋体"/>
                <w:spacing w:val="-12"/>
                <w:sz w:val="23"/>
                <w:szCs w:val="23"/>
              </w:rPr>
              <w:t>质量问题或不文明工作原因，市长投诉电话、新闻媒体曝光</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经查属实发生的，1次扣</w:t>
            </w:r>
            <w:r>
              <w:rPr>
                <w:rFonts w:hint="eastAsia" w:ascii="宋体" w:hAnsi="宋体" w:eastAsia="宋体" w:cs="宋体"/>
                <w:spacing w:val="-12"/>
                <w:sz w:val="23"/>
                <w:szCs w:val="23"/>
                <w:lang w:val="en-US" w:eastAsia="zh-CN"/>
              </w:rPr>
              <w:t>5</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Theme="minorEastAsia" w:hAnsiTheme="minorEastAsia" w:eastAsiaTheme="minorEastAsia"/>
                <w:color w:val="auto"/>
                <w:szCs w:val="21"/>
              </w:rPr>
              <w:t>所有环卫</w:t>
            </w:r>
            <w:r>
              <w:rPr>
                <w:rFonts w:asciiTheme="minorEastAsia" w:hAnsiTheme="minorEastAsia" w:eastAsiaTheme="minorEastAsia"/>
                <w:color w:val="auto"/>
                <w:szCs w:val="21"/>
              </w:rPr>
              <w:t>作业人员</w:t>
            </w:r>
            <w:r>
              <w:rPr>
                <w:rFonts w:hint="eastAsia" w:asciiTheme="minorEastAsia" w:hAnsiTheme="minorEastAsia" w:eastAsiaTheme="minorEastAsia"/>
                <w:color w:val="auto"/>
                <w:szCs w:val="21"/>
              </w:rPr>
              <w:t>职责清楚，分工明确</w:t>
            </w:r>
            <w:r>
              <w:rPr>
                <w:rFonts w:asciiTheme="minorEastAsia" w:hAnsiTheme="minorEastAsia" w:eastAsiaTheme="minorEastAsia"/>
                <w:color w:val="auto"/>
                <w:szCs w:val="21"/>
              </w:rPr>
              <w:t>，环</w:t>
            </w:r>
            <w:r>
              <w:rPr>
                <w:rFonts w:hint="eastAsia" w:asciiTheme="minorEastAsia" w:hAnsiTheme="minorEastAsia" w:eastAsiaTheme="minorEastAsia"/>
                <w:color w:val="auto"/>
                <w:szCs w:val="21"/>
              </w:rPr>
              <w:t>卫</w:t>
            </w:r>
            <w:r>
              <w:rPr>
                <w:rFonts w:asciiTheme="minorEastAsia" w:hAnsiTheme="minorEastAsia" w:eastAsiaTheme="minorEastAsia"/>
                <w:color w:val="auto"/>
                <w:szCs w:val="21"/>
              </w:rPr>
              <w:t>管理人员每日巡查有</w:t>
            </w:r>
            <w:r>
              <w:rPr>
                <w:rFonts w:hint="eastAsia" w:asciiTheme="minorEastAsia" w:hAnsiTheme="minorEastAsia" w:eastAsiaTheme="minorEastAsia"/>
                <w:color w:val="auto"/>
                <w:szCs w:val="21"/>
              </w:rPr>
              <w:t>日志</w:t>
            </w:r>
            <w:r>
              <w:rPr>
                <w:rFonts w:asciiTheme="minorEastAsia" w:hAnsiTheme="minorEastAsia" w:eastAsiaTheme="minorEastAsia"/>
                <w:color w:val="auto"/>
                <w:szCs w:val="21"/>
              </w:rPr>
              <w:t>，检查考核环卫作业人</w:t>
            </w:r>
            <w:r>
              <w:rPr>
                <w:rFonts w:hint="eastAsia" w:asciiTheme="minorEastAsia" w:hAnsiTheme="minorEastAsia" w:eastAsiaTheme="minorEastAsia"/>
                <w:color w:val="auto"/>
                <w:szCs w:val="21"/>
              </w:rPr>
              <w:t>员有</w:t>
            </w:r>
            <w:r>
              <w:rPr>
                <w:rFonts w:asciiTheme="minorEastAsia" w:hAnsiTheme="minorEastAsia" w:eastAsiaTheme="minorEastAsia"/>
                <w:color w:val="auto"/>
                <w:szCs w:val="21"/>
              </w:rPr>
              <w:t>台帐</w:t>
            </w:r>
            <w:r>
              <w:rPr>
                <w:rFonts w:hint="eastAsia" w:asciiTheme="minorEastAsia" w:hAnsiTheme="minorEastAsia" w:eastAsiaTheme="minorEastAsia"/>
                <w:color w:val="auto"/>
                <w:szCs w:val="21"/>
              </w:rPr>
              <w:t>。</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spacing w:val="-12"/>
                <w:sz w:val="23"/>
                <w:szCs w:val="23"/>
                <w:lang w:eastAsia="zh-CN"/>
              </w:rPr>
              <w:t>未做台账或虚做台账的发现每次扣</w:t>
            </w:r>
            <w:r>
              <w:rPr>
                <w:rFonts w:hint="eastAsia"/>
                <w:spacing w:val="-12"/>
                <w:sz w:val="23"/>
                <w:szCs w:val="23"/>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cs="仿宋" w:asciiTheme="minorEastAsia" w:hAnsiTheme="minorEastAsia" w:eastAsiaTheme="minorEastAsia"/>
                <w:color w:val="auto"/>
                <w:szCs w:val="21"/>
              </w:rPr>
              <w:t>中标人须于每月</w:t>
            </w:r>
            <w:r>
              <w:rPr>
                <w:rFonts w:hint="eastAsia" w:cs="仿宋" w:asciiTheme="minorEastAsia" w:hAnsiTheme="minorEastAsia" w:eastAsiaTheme="minorEastAsia"/>
                <w:color w:val="auto"/>
                <w:szCs w:val="21"/>
                <w:lang w:val="en-US" w:eastAsia="zh-CN"/>
              </w:rPr>
              <w:t>28</w:t>
            </w:r>
            <w:r>
              <w:rPr>
                <w:rFonts w:hint="eastAsia" w:cs="仿宋" w:asciiTheme="minorEastAsia" w:hAnsiTheme="minorEastAsia" w:eastAsiaTheme="minorEastAsia"/>
                <w:color w:val="auto"/>
                <w:szCs w:val="21"/>
                <w:lang w:eastAsia="zh-CN"/>
              </w:rPr>
              <w:t>号</w:t>
            </w:r>
            <w:r>
              <w:rPr>
                <w:rFonts w:hint="eastAsia" w:cs="仿宋" w:asciiTheme="minorEastAsia" w:hAnsiTheme="minorEastAsia" w:eastAsiaTheme="minorEastAsia"/>
                <w:color w:val="auto"/>
                <w:szCs w:val="21"/>
              </w:rPr>
              <w:t>前向采购人提交</w:t>
            </w:r>
            <w:r>
              <w:rPr>
                <w:rFonts w:hint="eastAsia" w:cs="仿宋" w:asciiTheme="minorEastAsia" w:hAnsiTheme="minorEastAsia" w:eastAsiaTheme="minorEastAsia"/>
                <w:color w:val="auto"/>
                <w:szCs w:val="21"/>
                <w:lang w:eastAsia="zh-CN"/>
              </w:rPr>
              <w:t>下</w:t>
            </w:r>
            <w:r>
              <w:rPr>
                <w:rFonts w:hint="eastAsia" w:cs="仿宋" w:asciiTheme="minorEastAsia" w:hAnsiTheme="minorEastAsia" w:eastAsiaTheme="minorEastAsia"/>
                <w:color w:val="auto"/>
                <w:szCs w:val="21"/>
              </w:rPr>
              <w:t>月环卫保洁出勤</w:t>
            </w:r>
            <w:r>
              <w:rPr>
                <w:rFonts w:hint="eastAsia" w:cs="仿宋" w:asciiTheme="minorEastAsia" w:hAnsiTheme="minorEastAsia" w:eastAsiaTheme="minorEastAsia"/>
                <w:color w:val="auto"/>
                <w:szCs w:val="21"/>
                <w:lang w:eastAsia="zh-CN"/>
              </w:rPr>
              <w:t>人员安排</w:t>
            </w:r>
            <w:r>
              <w:rPr>
                <w:rFonts w:hint="eastAsia" w:cs="仿宋" w:asciiTheme="minorEastAsia" w:hAnsiTheme="minorEastAsia" w:eastAsiaTheme="minorEastAsia"/>
                <w:color w:val="auto"/>
                <w:szCs w:val="21"/>
              </w:rPr>
              <w:t>和月环卫保洁计划（包括出勤人员名单、身份证及联系电话、车辆安排、出勤时间、现场负责人联系方式等）</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spacing w:val="-12"/>
                <w:sz w:val="23"/>
                <w:szCs w:val="23"/>
                <w:lang w:eastAsia="zh-CN"/>
              </w:rPr>
              <w:t>未及时上交安排计划的每次扣</w:t>
            </w:r>
            <w:r>
              <w:rPr>
                <w:rFonts w:hint="eastAsia"/>
                <w:spacing w:val="-12"/>
                <w:sz w:val="23"/>
                <w:szCs w:val="23"/>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cs="仿宋" w:asciiTheme="minorEastAsia" w:hAnsiTheme="minorEastAsia" w:eastAsiaTheme="minorEastAsia"/>
                <w:color w:val="auto"/>
                <w:szCs w:val="21"/>
                <w:lang w:eastAsia="zh-CN"/>
              </w:rPr>
              <w:t>每天在微信群发布工作动态</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spacing w:val="-12"/>
                <w:sz w:val="23"/>
                <w:szCs w:val="23"/>
                <w:lang w:eastAsia="zh-CN"/>
              </w:rPr>
              <w:t>每少发一次扣</w:t>
            </w:r>
            <w:r>
              <w:rPr>
                <w:rFonts w:hint="eastAsia"/>
                <w:spacing w:val="-12"/>
                <w:sz w:val="23"/>
                <w:szCs w:val="23"/>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Theme="minorEastAsia" w:hAnsiTheme="minorEastAsia" w:eastAsiaTheme="minorEastAsia"/>
                <w:color w:val="auto"/>
                <w:szCs w:val="21"/>
              </w:rPr>
              <w:t>环卫作业人员业务培训及安全健康教育每季度一次，有签到及培训记录，做好安全管理工作，不发生安全生产事故，发生负主责安全事故的（包括环卫作业车辆）</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Theme="minorEastAsia" w:hAnsiTheme="minorEastAsia" w:eastAsiaTheme="minorEastAsia"/>
                <w:color w:val="auto"/>
                <w:szCs w:val="21"/>
              </w:rPr>
              <w:t>造成死亡一人的扣20分，伤一人的扣5分，其他一般事故及违章扣2分。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Theme="minorEastAsia" w:hAnsiTheme="minorEastAsia" w:eastAsiaTheme="minorEastAsia"/>
                <w:color w:val="auto"/>
                <w:szCs w:val="21"/>
                <w:lang w:eastAsia="zh-CN"/>
              </w:rPr>
              <w:t>相关车辆如未安装行车记录仪</w:t>
            </w:r>
          </w:p>
        </w:tc>
        <w:tc>
          <w:tcPr>
            <w:tcW w:w="415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Theme="minorEastAsia" w:hAnsiTheme="minorEastAsia" w:eastAsiaTheme="minorEastAsia"/>
                <w:color w:val="auto"/>
                <w:szCs w:val="21"/>
                <w:lang w:eastAsia="zh-CN"/>
              </w:rPr>
              <w:t>每查到一次扣</w:t>
            </w:r>
            <w:r>
              <w:rPr>
                <w:rFonts w:hint="eastAsia" w:asciiTheme="minorEastAsia" w:hAnsiTheme="minorEastAsia" w:eastAsiaTheme="minorEastAsia"/>
                <w:color w:val="auto"/>
                <w:szCs w:val="21"/>
                <w:lang w:val="en-US" w:eastAsia="zh-CN"/>
              </w:rPr>
              <w:t>1分，第二次翻倍，以此类推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color w:val="auto"/>
              </w:rPr>
            </w:pPr>
            <w:r>
              <w:rPr>
                <w:rFonts w:hint="eastAsia"/>
                <w:color w:val="auto"/>
              </w:rPr>
              <w:t>发现环卫工人一人双岗现象的</w:t>
            </w:r>
          </w:p>
        </w:tc>
        <w:tc>
          <w:tcPr>
            <w:tcW w:w="4155" w:type="dxa"/>
            <w:noWrap w:val="0"/>
            <w:vAlign w:val="center"/>
          </w:tcPr>
          <w:p>
            <w:pPr>
              <w:pStyle w:val="20"/>
              <w:spacing w:before="80"/>
              <w:ind w:left="3" w:leftChars="0" w:right="0" w:rightChars="0"/>
              <w:rPr>
                <w:rFonts w:hint="eastAsia" w:asciiTheme="minorEastAsia" w:hAnsiTheme="minorEastAsia" w:eastAsiaTheme="minorEastAsia"/>
                <w:color w:val="auto"/>
                <w:szCs w:val="21"/>
                <w:lang w:eastAsia="zh-CN"/>
              </w:rPr>
            </w:pPr>
            <w:r>
              <w:rPr>
                <w:rFonts w:hint="eastAsia"/>
                <w:color w:val="auto"/>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color w:val="auto"/>
              </w:rPr>
            </w:pPr>
            <w:r>
              <w:rPr>
                <w:rFonts w:hint="eastAsia"/>
                <w:color w:val="auto"/>
              </w:rPr>
              <w:t>对已通报的环境卫生问题,未在当天内整改的每发现一次扣2分；3天内未彻底整改的,每发现一次扣5分。</w:t>
            </w:r>
          </w:p>
        </w:tc>
        <w:tc>
          <w:tcPr>
            <w:tcW w:w="4155" w:type="dxa"/>
            <w:noWrap w:val="0"/>
            <w:vAlign w:val="center"/>
          </w:tcPr>
          <w:p>
            <w:pPr>
              <w:pStyle w:val="20"/>
              <w:spacing w:before="80"/>
              <w:ind w:left="3" w:leftChars="0" w:right="0" w:rightChars="0"/>
              <w:rPr>
                <w:rFonts w:hint="eastAsia" w:asciiTheme="minorEastAsia" w:hAnsiTheme="minorEastAsia" w:eastAsiaTheme="minorEastAsia"/>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85" w:type="dxa"/>
            <w:noWrap w:val="0"/>
            <w:vAlign w:val="center"/>
          </w:tcPr>
          <w:p>
            <w:pPr>
              <w:pStyle w:val="20"/>
              <w:spacing w:before="80"/>
              <w:ind w:left="3" w:leftChars="0" w:right="0" w:rightChars="0"/>
              <w:rPr>
                <w:rFonts w:hint="eastAsia"/>
                <w:color w:val="auto"/>
              </w:rPr>
            </w:pPr>
            <w:r>
              <w:rPr>
                <w:rFonts w:hint="eastAsia"/>
                <w:color w:val="auto"/>
              </w:rPr>
              <w:t>因中标人管理或工作表现出色，受到上级领导或媒体点名表扬的。地市级及以上的加5分，县市级的加3分，街道的加1分。直接列入月考核加分，累计不超过5分。</w:t>
            </w:r>
          </w:p>
        </w:tc>
        <w:tc>
          <w:tcPr>
            <w:tcW w:w="4155" w:type="dxa"/>
            <w:noWrap w:val="0"/>
            <w:vAlign w:val="center"/>
          </w:tcPr>
          <w:p>
            <w:pPr>
              <w:pStyle w:val="20"/>
              <w:spacing w:before="80"/>
              <w:ind w:left="3" w:leftChars="0" w:right="0" w:rightChars="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加分项</w:t>
            </w:r>
          </w:p>
        </w:tc>
      </w:tr>
    </w:tbl>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b/>
          <w:bCs/>
          <w:sz w:val="24"/>
          <w:szCs w:val="24"/>
          <w:lang w:eastAsia="zh-CN"/>
        </w:rPr>
      </w:pPr>
      <w:r>
        <w:rPr>
          <w:b/>
          <w:sz w:val="28"/>
          <w:szCs w:val="28"/>
        </w:rPr>
        <w:br w:type="page"/>
      </w:r>
      <w:r>
        <w:rPr>
          <w:rFonts w:hint="eastAsia" w:ascii="宋体" w:hAnsi="宋体" w:cs="宋体"/>
          <w:b/>
          <w:bCs/>
          <w:sz w:val="24"/>
          <w:szCs w:val="24"/>
          <w:lang w:eastAsia="zh-CN"/>
        </w:rPr>
        <w:t>附件</w:t>
      </w:r>
      <w:r>
        <w:rPr>
          <w:rFonts w:hint="eastAsia" w:cs="宋体"/>
          <w:b/>
          <w:bCs/>
          <w:sz w:val="24"/>
          <w:szCs w:val="24"/>
          <w:lang w:val="en-US" w:eastAsia="zh-CN"/>
        </w:rPr>
        <w:t>2</w:t>
      </w:r>
      <w:r>
        <w:rPr>
          <w:rFonts w:hint="eastAsia" w:ascii="宋体" w:hAnsi="宋体" w:cs="宋体"/>
          <w:b/>
          <w:bCs/>
          <w:sz w:val="24"/>
          <w:szCs w:val="24"/>
          <w:lang w:eastAsia="zh-CN"/>
        </w:rPr>
        <w:t>：</w:t>
      </w:r>
    </w:p>
    <w:p>
      <w:pPr>
        <w:spacing w:before="173" w:after="28"/>
        <w:ind w:left="879" w:right="0" w:firstLine="0"/>
        <w:jc w:val="center"/>
        <w:rPr>
          <w:b/>
          <w:sz w:val="28"/>
          <w:szCs w:val="28"/>
        </w:rPr>
      </w:pPr>
      <w:r>
        <w:rPr>
          <w:b/>
          <w:sz w:val="28"/>
          <w:szCs w:val="28"/>
        </w:rPr>
        <w:t>考评细则（总分为100分）</w:t>
      </w:r>
    </w:p>
    <w:tbl>
      <w:tblPr>
        <w:tblStyle w:val="16"/>
        <w:tblW w:w="9540"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top"/>
          </w:tcPr>
          <w:p>
            <w:pPr>
              <w:spacing w:before="173" w:after="28"/>
              <w:ind w:right="0"/>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内容</w:t>
            </w:r>
          </w:p>
        </w:tc>
        <w:tc>
          <w:tcPr>
            <w:tcW w:w="4125" w:type="dxa"/>
            <w:noWrap w:val="0"/>
            <w:vAlign w:val="top"/>
          </w:tcPr>
          <w:p>
            <w:pPr>
              <w:spacing w:before="173" w:after="28"/>
              <w:ind w:right="0"/>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ind w:left="0" w:leftChars="0" w:right="0" w:rightChars="0"/>
              <w:jc w:val="both"/>
              <w:rPr>
                <w:rFonts w:hint="eastAsia" w:ascii="宋体" w:hAnsi="宋体" w:eastAsia="宋体" w:cs="宋体"/>
                <w:sz w:val="22"/>
                <w:szCs w:val="22"/>
                <w:lang w:val="zh-CN" w:eastAsia="zh-CN" w:bidi="zh-CN"/>
              </w:rPr>
            </w:pPr>
            <w:r>
              <w:rPr>
                <w:rFonts w:hint="eastAsia" w:ascii="宋体" w:hAnsi="宋体" w:eastAsia="宋体" w:cs="宋体"/>
                <w:b w:val="0"/>
                <w:bCs w:val="0"/>
                <w:kern w:val="2"/>
                <w:sz w:val="21"/>
                <w:szCs w:val="21"/>
                <w:u w:val="none"/>
                <w:lang w:val="en-US" w:eastAsia="zh-CN" w:bidi="ar-SA"/>
              </w:rPr>
              <w:t>垃圾要日产日清，做到垃圾桶不满溢</w:t>
            </w:r>
          </w:p>
        </w:tc>
        <w:tc>
          <w:tcPr>
            <w:tcW w:w="4125" w:type="dxa"/>
            <w:noWrap w:val="0"/>
            <w:vAlign w:val="center"/>
          </w:tcPr>
          <w:p>
            <w:pPr>
              <w:pStyle w:val="20"/>
              <w:spacing w:before="179"/>
              <w:ind w:left="0" w:leftChars="0" w:right="0" w:rightChars="0"/>
              <w:jc w:val="both"/>
              <w:rPr>
                <w:rFonts w:hint="eastAsia" w:ascii="宋体" w:hAnsi="宋体" w:eastAsia="宋体" w:cs="宋体"/>
                <w:sz w:val="22"/>
                <w:szCs w:val="22"/>
                <w:lang w:val="zh-CN" w:eastAsia="zh-CN" w:bidi="zh-CN"/>
              </w:rPr>
            </w:pPr>
            <w:r>
              <w:rPr>
                <w:rFonts w:hint="eastAsia"/>
                <w:sz w:val="22"/>
                <w:lang w:eastAsia="zh-CN"/>
              </w:rPr>
              <w:t>如果垃圾桶满溢</w:t>
            </w:r>
            <w:r>
              <w:rPr>
                <w:sz w:val="22"/>
              </w:rPr>
              <w:t>，</w:t>
            </w:r>
            <w:r>
              <w:rPr>
                <w:rFonts w:hint="eastAsia" w:ascii="宋体" w:hAnsi="宋体" w:eastAsia="宋体" w:cs="宋体"/>
                <w:b w:val="0"/>
                <w:bCs w:val="0"/>
                <w:kern w:val="2"/>
                <w:sz w:val="21"/>
                <w:szCs w:val="21"/>
                <w:u w:val="none"/>
                <w:lang w:val="en-US" w:eastAsia="zh-CN" w:bidi="ar-SA"/>
              </w:rPr>
              <w:t>垃圾桶四周有垃圾，</w:t>
            </w:r>
            <w:r>
              <w:rPr>
                <w:sz w:val="22"/>
              </w:rPr>
              <w:t>每发现1次，扣</w:t>
            </w:r>
            <w:r>
              <w:rPr>
                <w:rFonts w:hint="eastAsia"/>
                <w:sz w:val="22"/>
                <w:lang w:val="en-US" w:eastAsia="zh-CN"/>
              </w:rPr>
              <w:t>2</w:t>
            </w:r>
            <w:r>
              <w:rPr>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ind w:left="0" w:leftChars="0" w:right="0" w:rightChars="0"/>
              <w:jc w:val="both"/>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收集的垃圾要运到指定地点，严禁偷倒、焚烧、乱倒垃圾</w:t>
            </w:r>
          </w:p>
        </w:tc>
        <w:tc>
          <w:tcPr>
            <w:tcW w:w="4125" w:type="dxa"/>
            <w:noWrap w:val="0"/>
            <w:vAlign w:val="center"/>
          </w:tcPr>
          <w:p>
            <w:pPr>
              <w:pStyle w:val="20"/>
              <w:ind w:left="0" w:leftChars="0" w:right="0" w:rightChars="0"/>
              <w:jc w:val="both"/>
              <w:rPr>
                <w:rFonts w:hint="eastAsia" w:ascii="宋体" w:hAnsi="宋体" w:eastAsia="宋体" w:cs="宋体"/>
                <w:b w:val="0"/>
                <w:bCs w:val="0"/>
                <w:kern w:val="2"/>
                <w:sz w:val="21"/>
                <w:szCs w:val="21"/>
                <w:u w:val="none"/>
                <w:lang w:val="zh-CN" w:eastAsia="zh-CN" w:bidi="ar-SA"/>
              </w:rPr>
            </w:pPr>
            <w:r>
              <w:rPr>
                <w:rFonts w:hint="eastAsia" w:ascii="宋体" w:hAnsi="宋体" w:eastAsia="宋体" w:cs="宋体"/>
                <w:b w:val="0"/>
                <w:bCs w:val="0"/>
                <w:kern w:val="2"/>
                <w:sz w:val="21"/>
                <w:szCs w:val="21"/>
                <w:u w:val="none"/>
                <w:lang w:val="en-US" w:eastAsia="zh-CN" w:bidi="ar-SA"/>
              </w:rPr>
              <w:t>如随意处置垃圾，随处乱倒垃圾，每发现1次，扣2分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lang w:val="zh-CN" w:eastAsia="zh-CN" w:bidi="zh-CN"/>
              </w:rPr>
            </w:pPr>
            <w:r>
              <w:rPr>
                <w:rFonts w:hint="eastAsia" w:ascii="宋体" w:hAnsi="宋体" w:eastAsia="宋体" w:cs="宋体"/>
                <w:spacing w:val="-12"/>
                <w:sz w:val="23"/>
                <w:szCs w:val="23"/>
              </w:rPr>
              <w:t>保洁人员统一着装，服装整齐，未穿指定作服装或不规范的</w:t>
            </w:r>
            <w:r>
              <w:rPr>
                <w:rFonts w:hint="eastAsia" w:cs="宋体"/>
                <w:spacing w:val="-12"/>
                <w:sz w:val="23"/>
                <w:szCs w:val="23"/>
                <w:lang w:eastAsia="zh-CN"/>
              </w:rPr>
              <w:t>；</w:t>
            </w:r>
            <w:r>
              <w:rPr>
                <w:rFonts w:hint="eastAsia" w:ascii="宋体" w:hAnsi="宋体" w:eastAsia="宋体" w:cs="宋体"/>
                <w:spacing w:val="-12"/>
                <w:sz w:val="23"/>
                <w:szCs w:val="23"/>
              </w:rPr>
              <w:t>承揽作业按规定时间进行，发现保洁人员或环卫管理人员不在岗的</w:t>
            </w:r>
            <w:r>
              <w:rPr>
                <w:rFonts w:hint="eastAsia" w:cs="宋体"/>
                <w:spacing w:val="-12"/>
                <w:sz w:val="23"/>
                <w:szCs w:val="23"/>
                <w:lang w:eastAsia="zh-CN"/>
              </w:rPr>
              <w:t>；</w:t>
            </w:r>
            <w:r>
              <w:rPr>
                <w:rFonts w:hint="eastAsia" w:ascii="宋体" w:hAnsi="宋体" w:eastAsia="宋体" w:cs="宋体"/>
                <w:spacing w:val="-12"/>
                <w:sz w:val="23"/>
                <w:szCs w:val="23"/>
              </w:rPr>
              <w:t>扎堆聊天或故意与沿街业主无理争执。</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lang w:val="zh-CN" w:eastAsia="zh-CN" w:bidi="zh-CN"/>
              </w:rPr>
            </w:pPr>
            <w:r>
              <w:rPr>
                <w:rFonts w:hint="eastAsia" w:ascii="宋体" w:hAnsi="宋体" w:eastAsia="宋体" w:cs="宋体"/>
                <w:spacing w:val="-12"/>
                <w:sz w:val="23"/>
                <w:szCs w:val="23"/>
              </w:rPr>
              <w:t>经查属实发生的，1次扣</w:t>
            </w:r>
            <w:r>
              <w:rPr>
                <w:rFonts w:hint="eastAsia" w:ascii="宋体" w:hAnsi="宋体" w:eastAsia="宋体" w:cs="宋体"/>
                <w:spacing w:val="-12"/>
                <w:sz w:val="23"/>
                <w:szCs w:val="23"/>
                <w:lang w:val="en-US" w:eastAsia="zh-CN"/>
              </w:rPr>
              <w:t>1</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清运车辆应做到统一标识、分类清运。公司</w:t>
            </w:r>
            <w:r>
              <w:rPr>
                <w:rFonts w:hint="eastAsia" w:ascii="宋体" w:hAnsi="宋体" w:eastAsia="宋体" w:cs="宋体"/>
                <w:spacing w:val="-12"/>
                <w:sz w:val="23"/>
                <w:szCs w:val="23"/>
                <w:lang w:eastAsia="zh-CN"/>
              </w:rPr>
              <w:t>应</w:t>
            </w:r>
            <w:r>
              <w:rPr>
                <w:rFonts w:hint="eastAsia" w:ascii="宋体" w:hAnsi="宋体" w:eastAsia="宋体" w:cs="宋体"/>
                <w:spacing w:val="-12"/>
                <w:sz w:val="23"/>
                <w:szCs w:val="23"/>
              </w:rPr>
              <w:t>定期对清运车辆进行清洗、检修，保持车辆整洁、卫生、完好。</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val="en-US" w:eastAsia="zh-CN"/>
              </w:rPr>
              <w:t>未按要求完成的，</w:t>
            </w:r>
            <w:r>
              <w:rPr>
                <w:rFonts w:hint="eastAsia" w:ascii="宋体" w:hAnsi="宋体" w:eastAsia="宋体" w:cs="宋体"/>
                <w:spacing w:val="-12"/>
                <w:sz w:val="23"/>
                <w:szCs w:val="23"/>
              </w:rPr>
              <w:t>每发现</w:t>
            </w:r>
            <w:r>
              <w:rPr>
                <w:rFonts w:hint="eastAsia" w:ascii="宋体" w:hAnsi="宋体" w:eastAsia="宋体" w:cs="宋体"/>
                <w:spacing w:val="-12"/>
                <w:sz w:val="23"/>
                <w:szCs w:val="23"/>
                <w:lang w:val="en-US" w:eastAsia="zh-CN"/>
              </w:rPr>
              <w:t>1</w:t>
            </w:r>
            <w:r>
              <w:rPr>
                <w:rFonts w:hint="eastAsia" w:ascii="宋体" w:hAnsi="宋体" w:eastAsia="宋体" w:cs="宋体"/>
                <w:spacing w:val="-12"/>
                <w:sz w:val="23"/>
                <w:szCs w:val="23"/>
              </w:rPr>
              <w:t>次，扣</w:t>
            </w:r>
            <w:r>
              <w:rPr>
                <w:rFonts w:hint="eastAsia" w:ascii="宋体" w:hAnsi="宋体" w:eastAsia="宋体" w:cs="宋体"/>
                <w:spacing w:val="-12"/>
                <w:sz w:val="23"/>
                <w:szCs w:val="23"/>
                <w:lang w:val="en-US" w:eastAsia="zh-CN"/>
              </w:rPr>
              <w:t>1</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lang w:val="zh-CN" w:eastAsia="zh-CN"/>
              </w:rPr>
            </w:pPr>
            <w:r>
              <w:rPr>
                <w:rFonts w:hint="eastAsia" w:ascii="宋体" w:hAnsi="宋体" w:eastAsia="宋体" w:cs="宋体"/>
                <w:spacing w:val="-12"/>
                <w:sz w:val="23"/>
                <w:szCs w:val="23"/>
                <w:lang w:val="en-US" w:eastAsia="zh-CN"/>
              </w:rPr>
              <w:t>运输垃圾车运输时不能与其他货物混装</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eastAsia="zh-CN"/>
              </w:rPr>
              <w:t>如未按要求操作，每发现</w:t>
            </w:r>
            <w:r>
              <w:rPr>
                <w:rFonts w:hint="eastAsia" w:ascii="宋体" w:hAnsi="宋体" w:eastAsia="宋体" w:cs="宋体"/>
                <w:spacing w:val="-12"/>
                <w:sz w:val="23"/>
                <w:szCs w:val="23"/>
                <w:lang w:val="en-US" w:eastAsia="zh-CN"/>
              </w:rPr>
              <w:t>1</w:t>
            </w:r>
            <w:r>
              <w:rPr>
                <w:rFonts w:hint="eastAsia" w:ascii="宋体" w:hAnsi="宋体" w:eastAsia="宋体" w:cs="宋体"/>
                <w:spacing w:val="-12"/>
                <w:sz w:val="23"/>
                <w:szCs w:val="23"/>
                <w:lang w:eastAsia="zh-CN"/>
              </w:rPr>
              <w:t>次，</w:t>
            </w:r>
            <w:r>
              <w:rPr>
                <w:rFonts w:hint="eastAsia" w:ascii="宋体" w:hAnsi="宋体" w:eastAsia="宋体" w:cs="宋体"/>
                <w:spacing w:val="-12"/>
                <w:sz w:val="23"/>
                <w:szCs w:val="23"/>
              </w:rPr>
              <w:t>扣</w:t>
            </w:r>
            <w:r>
              <w:rPr>
                <w:rFonts w:hint="eastAsia" w:ascii="宋体" w:hAnsi="宋体" w:eastAsia="宋体" w:cs="宋体"/>
                <w:spacing w:val="-12"/>
                <w:sz w:val="23"/>
                <w:szCs w:val="23"/>
                <w:lang w:val="en-US" w:eastAsia="zh-CN"/>
              </w:rPr>
              <w:t>0.5</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lang w:val="zh-CN" w:eastAsia="zh-CN"/>
              </w:rPr>
            </w:pPr>
            <w:r>
              <w:rPr>
                <w:rFonts w:hint="eastAsia" w:ascii="宋体" w:hAnsi="宋体" w:eastAsia="宋体" w:cs="宋体"/>
                <w:spacing w:val="-12"/>
                <w:sz w:val="23"/>
                <w:szCs w:val="23"/>
              </w:rPr>
              <w:t>清运车辆</w:t>
            </w:r>
            <w:r>
              <w:rPr>
                <w:rFonts w:hint="eastAsia" w:ascii="宋体" w:hAnsi="宋体" w:eastAsia="宋体" w:cs="宋体"/>
                <w:spacing w:val="-12"/>
                <w:sz w:val="23"/>
                <w:szCs w:val="23"/>
                <w:lang w:eastAsia="zh-CN"/>
              </w:rPr>
              <w:t>运输时</w:t>
            </w:r>
            <w:r>
              <w:rPr>
                <w:rFonts w:hint="eastAsia" w:ascii="宋体" w:hAnsi="宋体" w:eastAsia="宋体" w:cs="宋体"/>
                <w:spacing w:val="-12"/>
                <w:sz w:val="23"/>
                <w:szCs w:val="23"/>
                <w:lang w:val="en-US" w:eastAsia="zh-CN"/>
              </w:rPr>
              <w:t>车斗应密闭，无泼洒滴漏，如果</w:t>
            </w:r>
            <w:r>
              <w:rPr>
                <w:rFonts w:hint="eastAsia" w:ascii="宋体" w:hAnsi="宋体" w:eastAsia="宋体" w:cs="宋体"/>
                <w:spacing w:val="-12"/>
                <w:sz w:val="23"/>
                <w:szCs w:val="23"/>
                <w:lang w:eastAsia="zh-CN"/>
              </w:rPr>
              <w:t>清运中沿途散落造成不良影响的</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lang w:val="en-US" w:eastAsia="zh-CN"/>
              </w:rPr>
            </w:pPr>
            <w:r>
              <w:rPr>
                <w:rFonts w:hint="eastAsia" w:ascii="宋体" w:hAnsi="宋体" w:eastAsia="宋体" w:cs="宋体"/>
                <w:spacing w:val="-12"/>
                <w:sz w:val="23"/>
                <w:szCs w:val="23"/>
                <w:lang w:eastAsia="zh-CN"/>
              </w:rPr>
              <w:t>经查属实发</w:t>
            </w:r>
            <w:r>
              <w:rPr>
                <w:rFonts w:hint="eastAsia" w:ascii="宋体" w:hAnsi="宋体" w:eastAsia="宋体" w:cs="宋体"/>
                <w:spacing w:val="-12"/>
                <w:sz w:val="23"/>
                <w:szCs w:val="23"/>
              </w:rPr>
              <w:t>生的</w:t>
            </w:r>
            <w:r>
              <w:rPr>
                <w:rFonts w:hint="eastAsia" w:ascii="宋体" w:hAnsi="宋体" w:eastAsia="宋体" w:cs="宋体"/>
                <w:spacing w:val="-12"/>
                <w:sz w:val="23"/>
                <w:szCs w:val="23"/>
                <w:lang w:eastAsia="zh-CN"/>
              </w:rPr>
              <w:t>，每一次扣</w:t>
            </w:r>
            <w:r>
              <w:rPr>
                <w:rFonts w:hint="eastAsia" w:ascii="宋体" w:hAnsi="宋体" w:eastAsia="宋体" w:cs="宋体"/>
                <w:spacing w:val="-12"/>
                <w:sz w:val="23"/>
                <w:szCs w:val="23"/>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清运车辆在装倒垃圾桶时应轻拿轻放，尽量做到不扰民，要防止垃圾倾倒时发生外溢掉落的现象，确保清运后投放点周围环境的整洁</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lang w:val="en-US" w:eastAsia="zh-CN" w:bidi="zh-CN"/>
              </w:rPr>
            </w:pPr>
            <w:r>
              <w:rPr>
                <w:rFonts w:hint="eastAsia" w:ascii="宋体" w:hAnsi="宋体" w:eastAsia="宋体" w:cs="宋体"/>
                <w:spacing w:val="-12"/>
                <w:sz w:val="23"/>
                <w:szCs w:val="23"/>
                <w:lang w:eastAsia="zh-CN"/>
              </w:rPr>
              <w:t>如未按要求操作，每发现</w:t>
            </w:r>
            <w:r>
              <w:rPr>
                <w:rFonts w:hint="eastAsia" w:ascii="宋体" w:hAnsi="宋体" w:eastAsia="宋体" w:cs="宋体"/>
                <w:spacing w:val="-12"/>
                <w:sz w:val="23"/>
                <w:szCs w:val="23"/>
                <w:lang w:val="en-US" w:eastAsia="zh-CN"/>
              </w:rPr>
              <w:t>1</w:t>
            </w:r>
            <w:r>
              <w:rPr>
                <w:rFonts w:hint="eastAsia" w:ascii="宋体" w:hAnsi="宋体" w:eastAsia="宋体" w:cs="宋体"/>
                <w:spacing w:val="-12"/>
                <w:sz w:val="23"/>
                <w:szCs w:val="23"/>
                <w:lang w:eastAsia="zh-CN"/>
              </w:rPr>
              <w:t>次，</w:t>
            </w:r>
            <w:r>
              <w:rPr>
                <w:rFonts w:hint="eastAsia" w:ascii="宋体" w:hAnsi="宋体" w:eastAsia="宋体" w:cs="宋体"/>
                <w:spacing w:val="-12"/>
                <w:sz w:val="23"/>
                <w:szCs w:val="23"/>
              </w:rPr>
              <w:t>扣</w:t>
            </w:r>
            <w:r>
              <w:rPr>
                <w:rFonts w:hint="eastAsia" w:ascii="宋体" w:hAnsi="宋体" w:eastAsia="宋体" w:cs="宋体"/>
                <w:spacing w:val="-12"/>
                <w:sz w:val="23"/>
                <w:szCs w:val="23"/>
                <w:lang w:val="en-US" w:eastAsia="zh-CN"/>
              </w:rPr>
              <w:t>1</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出现可腐烂和不可腐烂垃圾混投混运情况的</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lang w:eastAsia="zh-CN"/>
              </w:rPr>
              <w:t>经查属实发</w:t>
            </w:r>
            <w:r>
              <w:rPr>
                <w:rFonts w:hint="eastAsia" w:ascii="宋体" w:hAnsi="宋体" w:eastAsia="宋体" w:cs="宋体"/>
                <w:spacing w:val="-12"/>
                <w:sz w:val="23"/>
                <w:szCs w:val="23"/>
              </w:rPr>
              <w:t>生的</w:t>
            </w:r>
            <w:r>
              <w:rPr>
                <w:rFonts w:hint="eastAsia" w:ascii="宋体" w:hAnsi="宋体" w:eastAsia="宋体" w:cs="宋体"/>
                <w:spacing w:val="-12"/>
                <w:sz w:val="23"/>
                <w:szCs w:val="23"/>
                <w:lang w:eastAsia="zh-CN"/>
              </w:rPr>
              <w:t>，每一次扣</w:t>
            </w:r>
            <w:r>
              <w:rPr>
                <w:rFonts w:hint="eastAsia" w:ascii="宋体" w:hAnsi="宋体" w:eastAsia="宋体" w:cs="宋体"/>
                <w:spacing w:val="-12"/>
                <w:sz w:val="23"/>
                <w:szCs w:val="23"/>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各村垃极存放点清运工作要及时，无投诉现象</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如有投诉的，每次扣2分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清运过程中积极开展垃圾清运文明服务，和气处理不文明行为，不和各村清洁工、村民及村干部发生争吵事件</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如发生争吵事件，每</w:t>
            </w:r>
            <w:r>
              <w:rPr>
                <w:rFonts w:hint="eastAsia" w:ascii="宋体" w:hAnsi="宋体" w:eastAsia="宋体" w:cs="宋体"/>
                <w:spacing w:val="-12"/>
                <w:sz w:val="23"/>
                <w:szCs w:val="23"/>
                <w:lang w:eastAsia="zh-CN"/>
              </w:rPr>
              <w:t>次</w:t>
            </w:r>
            <w:r>
              <w:rPr>
                <w:rFonts w:hint="eastAsia" w:ascii="宋体" w:hAnsi="宋体" w:eastAsia="宋体" w:cs="宋体"/>
                <w:spacing w:val="-12"/>
                <w:sz w:val="23"/>
                <w:szCs w:val="23"/>
              </w:rPr>
              <w:t>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所有车辆遵守交通规则，定期维修保养，不带病行驶和作业</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未达要求的，每次扣</w:t>
            </w:r>
            <w:r>
              <w:rPr>
                <w:rFonts w:hint="eastAsia" w:ascii="宋体" w:hAnsi="宋体" w:eastAsia="宋体" w:cs="宋体"/>
                <w:spacing w:val="-12"/>
                <w:sz w:val="23"/>
                <w:szCs w:val="23"/>
                <w:lang w:val="en-US" w:eastAsia="zh-CN"/>
              </w:rPr>
              <w:t>2</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车辆设备按要求操作，违规使用或出现安全事故的</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lang w:eastAsia="zh-CN"/>
              </w:rPr>
              <w:t>经查属实发</w:t>
            </w:r>
            <w:r>
              <w:rPr>
                <w:rFonts w:hint="eastAsia" w:ascii="宋体" w:hAnsi="宋体" w:eastAsia="宋体" w:cs="宋体"/>
                <w:spacing w:val="-12"/>
                <w:sz w:val="23"/>
                <w:szCs w:val="23"/>
              </w:rPr>
              <w:t>生的</w:t>
            </w:r>
            <w:r>
              <w:rPr>
                <w:rFonts w:hint="eastAsia" w:ascii="宋体" w:hAnsi="宋体" w:eastAsia="宋体" w:cs="宋体"/>
                <w:spacing w:val="-12"/>
                <w:sz w:val="23"/>
                <w:szCs w:val="23"/>
                <w:lang w:eastAsia="zh-CN"/>
              </w:rPr>
              <w:t>，每一次扣</w:t>
            </w:r>
            <w:r>
              <w:rPr>
                <w:rFonts w:hint="eastAsia" w:ascii="宋体" w:hAnsi="宋体" w:eastAsia="宋体" w:cs="宋体"/>
                <w:spacing w:val="-12"/>
                <w:sz w:val="23"/>
                <w:szCs w:val="23"/>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操作或行驶过程中，尤其是进点装卸和进场倾倒时，撞坏和损坏垃圾点建筑</w:t>
            </w:r>
            <w:r>
              <w:rPr>
                <w:rFonts w:hint="eastAsia" w:ascii="宋体" w:hAnsi="宋体" w:eastAsia="宋体" w:cs="宋体"/>
                <w:spacing w:val="-12"/>
                <w:sz w:val="23"/>
                <w:szCs w:val="23"/>
                <w:lang w:eastAsia="zh-CN"/>
              </w:rPr>
              <w:t>或设备的</w:t>
            </w:r>
            <w:r>
              <w:rPr>
                <w:rFonts w:hint="eastAsia" w:ascii="宋体" w:hAnsi="宋体" w:eastAsia="宋体" w:cs="宋体"/>
                <w:spacing w:val="-12"/>
                <w:sz w:val="23"/>
                <w:szCs w:val="23"/>
              </w:rPr>
              <w:t>，</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除赔偿损失和维修费用外每次扣</w:t>
            </w:r>
            <w:r>
              <w:rPr>
                <w:rFonts w:hint="eastAsia" w:ascii="宋体" w:hAnsi="宋体" w:eastAsia="宋体" w:cs="宋体"/>
                <w:spacing w:val="-12"/>
                <w:sz w:val="23"/>
                <w:szCs w:val="23"/>
                <w:lang w:val="en-US" w:eastAsia="zh-CN"/>
              </w:rPr>
              <w:t>3</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做好作业员工的安全教育，预防安全事故，应建立各项规章制度</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无制度的视情况扣</w:t>
            </w:r>
            <w:r>
              <w:rPr>
                <w:rFonts w:hint="eastAsia" w:ascii="宋体" w:hAnsi="宋体" w:eastAsia="宋体" w:cs="宋体"/>
                <w:spacing w:val="-12"/>
                <w:sz w:val="23"/>
                <w:szCs w:val="23"/>
                <w:lang w:val="en-US" w:eastAsia="zh-CN"/>
              </w:rPr>
              <w:t>1-3</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在临时突击清理任务时，不听从</w:t>
            </w:r>
            <w:r>
              <w:rPr>
                <w:rFonts w:hint="eastAsia" w:ascii="宋体" w:hAnsi="宋体" w:eastAsia="宋体" w:cs="宋体"/>
                <w:spacing w:val="-12"/>
                <w:sz w:val="23"/>
                <w:szCs w:val="23"/>
                <w:lang w:eastAsia="zh-CN"/>
              </w:rPr>
              <w:t>滨海</w:t>
            </w:r>
            <w:r>
              <w:rPr>
                <w:rFonts w:hint="eastAsia" w:ascii="宋体" w:hAnsi="宋体" w:eastAsia="宋体" w:cs="宋体"/>
                <w:spacing w:val="-12"/>
                <w:sz w:val="23"/>
                <w:szCs w:val="23"/>
              </w:rPr>
              <w:t>镇人民政府调派的，或完成任务不彻底的</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ascii="宋体" w:hAnsi="宋体" w:eastAsia="宋体" w:cs="宋体"/>
                <w:spacing w:val="-12"/>
                <w:sz w:val="23"/>
                <w:szCs w:val="23"/>
              </w:rPr>
              <w:t>未达要求的，每次扣</w:t>
            </w:r>
            <w:r>
              <w:rPr>
                <w:rFonts w:hint="eastAsia" w:ascii="宋体" w:hAnsi="宋体" w:eastAsia="宋体" w:cs="宋体"/>
                <w:spacing w:val="-12"/>
                <w:sz w:val="23"/>
                <w:szCs w:val="23"/>
                <w:lang w:val="en-US" w:eastAsia="zh-CN"/>
              </w:rPr>
              <w:t>5</w:t>
            </w:r>
            <w:r>
              <w:rPr>
                <w:rFonts w:hint="eastAsia" w:ascii="宋体" w:hAnsi="宋体" w:eastAsia="宋体" w:cs="宋体"/>
                <w:spacing w:val="-12"/>
                <w:sz w:val="23"/>
                <w:szCs w:val="2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spacing w:val="-12"/>
                <w:sz w:val="23"/>
                <w:szCs w:val="23"/>
              </w:rPr>
              <w:t>大件垃圾处理要及时，并做好相关的安全工作。</w:t>
            </w:r>
          </w:p>
        </w:tc>
        <w:tc>
          <w:tcPr>
            <w:tcW w:w="4125" w:type="dxa"/>
            <w:noWrap w:val="0"/>
            <w:vAlign w:val="center"/>
          </w:tcPr>
          <w:p>
            <w:pPr>
              <w:pStyle w:val="20"/>
              <w:spacing w:before="80"/>
              <w:ind w:left="3" w:leftChars="0" w:right="0" w:rightChars="0"/>
              <w:rPr>
                <w:rFonts w:hint="eastAsia" w:ascii="宋体" w:hAnsi="宋体" w:eastAsia="宋体" w:cs="宋体"/>
                <w:spacing w:val="-12"/>
                <w:sz w:val="23"/>
                <w:szCs w:val="23"/>
              </w:rPr>
            </w:pPr>
            <w:r>
              <w:rPr>
                <w:rFonts w:hint="eastAsia"/>
                <w:spacing w:val="-12"/>
                <w:sz w:val="23"/>
                <w:szCs w:val="23"/>
              </w:rPr>
              <w:t>未达要求的，每次扣3分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spacing w:val="-12"/>
                <w:sz w:val="23"/>
                <w:szCs w:val="23"/>
              </w:rPr>
            </w:pPr>
            <w:r>
              <w:rPr>
                <w:rFonts w:hint="eastAsia" w:asciiTheme="minorEastAsia" w:hAnsiTheme="minorEastAsia" w:eastAsiaTheme="minorEastAsia"/>
                <w:color w:val="auto"/>
                <w:szCs w:val="21"/>
                <w:lang w:eastAsia="zh-CN"/>
              </w:rPr>
              <w:t>如易腐垃圾和其他垃圾混装被东部新区查扣并通报</w:t>
            </w:r>
          </w:p>
        </w:tc>
        <w:tc>
          <w:tcPr>
            <w:tcW w:w="4125" w:type="dxa"/>
            <w:noWrap w:val="0"/>
            <w:vAlign w:val="center"/>
          </w:tcPr>
          <w:p>
            <w:pPr>
              <w:pStyle w:val="20"/>
              <w:spacing w:before="80"/>
              <w:ind w:left="3" w:leftChars="0" w:right="0" w:rightChars="0"/>
              <w:rPr>
                <w:rFonts w:hint="eastAsia"/>
                <w:spacing w:val="-12"/>
                <w:sz w:val="23"/>
                <w:szCs w:val="23"/>
              </w:rPr>
            </w:pPr>
            <w:r>
              <w:rPr>
                <w:rFonts w:hint="eastAsia" w:asciiTheme="minorEastAsia" w:hAnsiTheme="minorEastAsia" w:eastAsiaTheme="minorEastAsia"/>
                <w:color w:val="auto"/>
                <w:szCs w:val="21"/>
                <w:lang w:eastAsia="zh-CN"/>
              </w:rPr>
              <w:t>每发生一次扣</w:t>
            </w:r>
            <w:r>
              <w:rPr>
                <w:rFonts w:hint="eastAsia" w:asciiTheme="minorEastAsia" w:hAnsiTheme="minorEastAsia" w:eastAsiaTheme="minorEastAsia"/>
                <w:color w:val="auto"/>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15" w:type="dxa"/>
            <w:noWrap w:val="0"/>
            <w:vAlign w:val="center"/>
          </w:tcPr>
          <w:p>
            <w:pPr>
              <w:pStyle w:val="20"/>
              <w:spacing w:before="80"/>
              <w:ind w:left="3" w:leftChars="0" w:right="0" w:rightChars="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工程车、施工场地或交通事故导致道路污染，未及时清扫、清运的</w:t>
            </w:r>
          </w:p>
        </w:tc>
        <w:tc>
          <w:tcPr>
            <w:tcW w:w="4125" w:type="dxa"/>
            <w:noWrap w:val="0"/>
            <w:vAlign w:val="center"/>
          </w:tcPr>
          <w:p>
            <w:pPr>
              <w:pStyle w:val="20"/>
              <w:spacing w:before="80"/>
              <w:ind w:left="3" w:leftChars="0" w:right="0" w:rightChars="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每次扣2分</w:t>
            </w:r>
          </w:p>
        </w:tc>
      </w:tr>
    </w:tbl>
    <w:p>
      <w:pPr>
        <w:spacing w:after="0"/>
        <w:rPr>
          <w:sz w:val="22"/>
        </w:rPr>
        <w:sectPr>
          <w:headerReference r:id="rId12" w:type="default"/>
          <w:footerReference r:id="rId13" w:type="default"/>
          <w:pgSz w:w="11910" w:h="16840"/>
          <w:pgMar w:top="1420" w:right="220" w:bottom="1160" w:left="580" w:header="1230" w:footer="971" w:gutter="0"/>
          <w:pgBorders>
            <w:top w:val="none" w:sz="0" w:space="0"/>
            <w:left w:val="none" w:sz="0" w:space="0"/>
            <w:bottom w:val="none" w:sz="0" w:space="0"/>
            <w:right w:val="none" w:sz="0" w:space="0"/>
          </w:pgBorders>
          <w:cols w:space="720" w:num="1"/>
        </w:sectPr>
      </w:pPr>
    </w:p>
    <w:p>
      <w:pPr>
        <w:pStyle w:val="8"/>
        <w:rPr>
          <w:b/>
          <w:sz w:val="20"/>
        </w:rPr>
      </w:pPr>
    </w:p>
    <w:p>
      <w:pPr>
        <w:pStyle w:val="2"/>
        <w:tabs>
          <w:tab w:val="left" w:pos="1899"/>
        </w:tabs>
        <w:spacing w:before="210"/>
        <w:ind w:left="99"/>
      </w:pPr>
      <w:r>
        <w:t>第五章</w:t>
      </w:r>
      <w:r>
        <w:tab/>
      </w:r>
      <w:bookmarkStart w:id="24" w:name="第五章政府采购合同主要条款指引"/>
      <w:bookmarkEnd w:id="24"/>
      <w:r>
        <w:t>政府采购合同主要条款指引</w:t>
      </w:r>
    </w:p>
    <w:p>
      <w:pPr>
        <w:pStyle w:val="8"/>
        <w:spacing w:before="11"/>
        <w:rPr>
          <w:b/>
          <w:sz w:val="29"/>
        </w:rPr>
      </w:pPr>
    </w:p>
    <w:p>
      <w:pPr>
        <w:pStyle w:val="8"/>
        <w:keepNext w:val="0"/>
        <w:keepLines w:val="0"/>
        <w:pageBreakBefore w:val="0"/>
        <w:widowControl w:val="0"/>
        <w:kinsoku/>
        <w:wordWrap/>
        <w:overflowPunct/>
        <w:topLinePunct w:val="0"/>
        <w:autoSpaceDE w:val="0"/>
        <w:autoSpaceDN w:val="0"/>
        <w:bidi w:val="0"/>
        <w:adjustRightInd/>
        <w:snapToGrid/>
        <w:spacing w:before="67" w:line="360" w:lineRule="exact"/>
        <w:ind w:left="903"/>
        <w:textAlignment w:val="auto"/>
        <w:rPr>
          <w:sz w:val="29"/>
        </w:rPr>
      </w:pPr>
      <w:r>
        <w:t>甲方：</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903"/>
        <w:textAlignment w:val="auto"/>
      </w:pPr>
      <w:r>
        <w:t>乙方：</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903"/>
        <w:textAlignment w:val="auto"/>
      </w:pPr>
      <w:r>
        <w:t>一、合同总则</w:t>
      </w:r>
    </w:p>
    <w:p>
      <w:pPr>
        <w:pStyle w:val="8"/>
        <w:keepNext w:val="0"/>
        <w:keepLines w:val="0"/>
        <w:pageBreakBefore w:val="0"/>
        <w:widowControl w:val="0"/>
        <w:kinsoku/>
        <w:wordWrap/>
        <w:overflowPunct/>
        <w:topLinePunct w:val="0"/>
        <w:autoSpaceDE w:val="0"/>
        <w:autoSpaceDN w:val="0"/>
        <w:bidi w:val="0"/>
        <w:adjustRightInd/>
        <w:snapToGrid/>
        <w:spacing w:before="136" w:line="360" w:lineRule="exact"/>
        <w:ind w:left="903" w:right="1324"/>
        <w:textAlignment w:val="auto"/>
      </w:pPr>
      <w:r>
        <w:t>本项目经公开招标，确定乙方。甲乙双方同意按照下面的条款和条件，签署本合同。1、合同文件：下列文件构成本合同的组成部分：</w:t>
      </w:r>
    </w:p>
    <w:p>
      <w:pPr>
        <w:pStyle w:val="19"/>
        <w:keepNext w:val="0"/>
        <w:keepLines w:val="0"/>
        <w:pageBreakBefore w:val="0"/>
        <w:widowControl w:val="0"/>
        <w:numPr>
          <w:ilvl w:val="0"/>
          <w:numId w:val="21"/>
        </w:numPr>
        <w:tabs>
          <w:tab w:val="left" w:pos="1829"/>
          <w:tab w:val="left" w:pos="1830"/>
        </w:tabs>
        <w:kinsoku/>
        <w:wordWrap/>
        <w:overflowPunct/>
        <w:topLinePunct w:val="0"/>
        <w:autoSpaceDE w:val="0"/>
        <w:autoSpaceDN w:val="0"/>
        <w:bidi w:val="0"/>
        <w:adjustRightInd/>
        <w:snapToGrid/>
        <w:spacing w:before="0" w:after="0" w:line="360" w:lineRule="exact"/>
        <w:ind w:left="1829" w:right="0" w:hanging="927"/>
        <w:jc w:val="left"/>
        <w:textAlignment w:val="auto"/>
        <w:rPr>
          <w:sz w:val="24"/>
        </w:rPr>
      </w:pPr>
      <w:r>
        <w:rPr>
          <w:sz w:val="24"/>
        </w:rPr>
        <w:t>合同补充条款或说明</w:t>
      </w:r>
    </w:p>
    <w:p>
      <w:pPr>
        <w:pStyle w:val="19"/>
        <w:keepNext w:val="0"/>
        <w:keepLines w:val="0"/>
        <w:pageBreakBefore w:val="0"/>
        <w:widowControl w:val="0"/>
        <w:numPr>
          <w:ilvl w:val="0"/>
          <w:numId w:val="21"/>
        </w:numPr>
        <w:tabs>
          <w:tab w:val="left" w:pos="1829"/>
          <w:tab w:val="left" w:pos="1830"/>
        </w:tabs>
        <w:kinsoku/>
        <w:wordWrap/>
        <w:overflowPunct/>
        <w:topLinePunct w:val="0"/>
        <w:autoSpaceDE w:val="0"/>
        <w:autoSpaceDN w:val="0"/>
        <w:bidi w:val="0"/>
        <w:adjustRightInd/>
        <w:snapToGrid/>
        <w:spacing w:before="139" w:after="0" w:line="360" w:lineRule="exact"/>
        <w:ind w:left="1829" w:right="0" w:hanging="927"/>
        <w:jc w:val="left"/>
        <w:textAlignment w:val="auto"/>
        <w:rPr>
          <w:sz w:val="24"/>
        </w:rPr>
      </w:pPr>
      <w:r>
        <w:rPr>
          <w:sz w:val="24"/>
        </w:rPr>
        <w:t>合同主要条款</w:t>
      </w:r>
    </w:p>
    <w:p>
      <w:pPr>
        <w:pStyle w:val="19"/>
        <w:keepNext w:val="0"/>
        <w:keepLines w:val="0"/>
        <w:pageBreakBefore w:val="0"/>
        <w:widowControl w:val="0"/>
        <w:numPr>
          <w:ilvl w:val="0"/>
          <w:numId w:val="21"/>
        </w:numPr>
        <w:tabs>
          <w:tab w:val="left" w:pos="1829"/>
          <w:tab w:val="left" w:pos="1830"/>
        </w:tabs>
        <w:kinsoku/>
        <w:wordWrap/>
        <w:overflowPunct/>
        <w:topLinePunct w:val="0"/>
        <w:autoSpaceDE w:val="0"/>
        <w:autoSpaceDN w:val="0"/>
        <w:bidi w:val="0"/>
        <w:adjustRightInd/>
        <w:snapToGrid/>
        <w:spacing w:before="137" w:after="0" w:line="360" w:lineRule="exact"/>
        <w:ind w:left="1829" w:right="0" w:hanging="927"/>
        <w:jc w:val="left"/>
        <w:textAlignment w:val="auto"/>
        <w:rPr>
          <w:sz w:val="24"/>
        </w:rPr>
      </w:pPr>
      <w:r>
        <w:rPr>
          <w:sz w:val="24"/>
        </w:rPr>
        <w:t>中标通知书</w:t>
      </w:r>
    </w:p>
    <w:p>
      <w:pPr>
        <w:pStyle w:val="19"/>
        <w:keepNext w:val="0"/>
        <w:keepLines w:val="0"/>
        <w:pageBreakBefore w:val="0"/>
        <w:widowControl w:val="0"/>
        <w:numPr>
          <w:ilvl w:val="0"/>
          <w:numId w:val="21"/>
        </w:numPr>
        <w:tabs>
          <w:tab w:val="left" w:pos="1829"/>
          <w:tab w:val="left" w:pos="1830"/>
        </w:tabs>
        <w:kinsoku/>
        <w:wordWrap/>
        <w:overflowPunct/>
        <w:topLinePunct w:val="0"/>
        <w:autoSpaceDE w:val="0"/>
        <w:autoSpaceDN w:val="0"/>
        <w:bidi w:val="0"/>
        <w:adjustRightInd/>
        <w:snapToGrid/>
        <w:spacing w:before="134" w:after="0" w:line="360" w:lineRule="exact"/>
        <w:ind w:left="1829" w:right="0" w:hanging="927"/>
        <w:jc w:val="left"/>
        <w:textAlignment w:val="auto"/>
        <w:rPr>
          <w:sz w:val="24"/>
        </w:rPr>
      </w:pPr>
      <w:r>
        <w:rPr>
          <w:sz w:val="24"/>
        </w:rPr>
        <w:t>招标文件</w:t>
      </w:r>
    </w:p>
    <w:p>
      <w:pPr>
        <w:pStyle w:val="19"/>
        <w:keepNext w:val="0"/>
        <w:keepLines w:val="0"/>
        <w:pageBreakBefore w:val="0"/>
        <w:widowControl w:val="0"/>
        <w:numPr>
          <w:ilvl w:val="0"/>
          <w:numId w:val="21"/>
        </w:numPr>
        <w:tabs>
          <w:tab w:val="left" w:pos="1829"/>
          <w:tab w:val="left" w:pos="1830"/>
        </w:tabs>
        <w:kinsoku/>
        <w:wordWrap/>
        <w:overflowPunct/>
        <w:topLinePunct w:val="0"/>
        <w:autoSpaceDE w:val="0"/>
        <w:autoSpaceDN w:val="0"/>
        <w:bidi w:val="0"/>
        <w:adjustRightInd/>
        <w:snapToGrid/>
        <w:spacing w:before="136" w:after="0" w:line="360" w:lineRule="exact"/>
        <w:ind w:left="1829" w:right="0" w:hanging="927"/>
        <w:jc w:val="left"/>
        <w:textAlignment w:val="auto"/>
        <w:rPr>
          <w:sz w:val="24"/>
        </w:rPr>
      </w:pPr>
      <w:r>
        <w:rPr>
          <w:sz w:val="24"/>
        </w:rPr>
        <w:t>承诺书</w:t>
      </w:r>
    </w:p>
    <w:p>
      <w:pPr>
        <w:pStyle w:val="19"/>
        <w:keepNext w:val="0"/>
        <w:keepLines w:val="0"/>
        <w:pageBreakBefore w:val="0"/>
        <w:widowControl w:val="0"/>
        <w:numPr>
          <w:ilvl w:val="0"/>
          <w:numId w:val="21"/>
        </w:numPr>
        <w:tabs>
          <w:tab w:val="left" w:pos="1829"/>
          <w:tab w:val="left" w:pos="1830"/>
        </w:tabs>
        <w:kinsoku/>
        <w:wordWrap/>
        <w:overflowPunct/>
        <w:topLinePunct w:val="0"/>
        <w:autoSpaceDE w:val="0"/>
        <w:autoSpaceDN w:val="0"/>
        <w:bidi w:val="0"/>
        <w:adjustRightInd/>
        <w:snapToGrid/>
        <w:spacing w:before="139" w:after="0" w:line="360" w:lineRule="exact"/>
        <w:ind w:left="1829" w:right="0" w:hanging="927"/>
        <w:jc w:val="left"/>
        <w:textAlignment w:val="auto"/>
        <w:rPr>
          <w:sz w:val="24"/>
        </w:rPr>
      </w:pPr>
      <w:r>
        <w:rPr>
          <w:sz w:val="24"/>
        </w:rPr>
        <w:t>投标文件</w:t>
      </w:r>
    </w:p>
    <w:p>
      <w:pPr>
        <w:pStyle w:val="19"/>
        <w:keepNext w:val="0"/>
        <w:keepLines w:val="0"/>
        <w:pageBreakBefore w:val="0"/>
        <w:widowControl w:val="0"/>
        <w:numPr>
          <w:ilvl w:val="0"/>
          <w:numId w:val="21"/>
        </w:numPr>
        <w:tabs>
          <w:tab w:val="left" w:pos="1829"/>
          <w:tab w:val="left" w:pos="1830"/>
        </w:tabs>
        <w:kinsoku/>
        <w:wordWrap/>
        <w:overflowPunct/>
        <w:topLinePunct w:val="0"/>
        <w:autoSpaceDE w:val="0"/>
        <w:autoSpaceDN w:val="0"/>
        <w:bidi w:val="0"/>
        <w:adjustRightInd/>
        <w:snapToGrid/>
        <w:spacing w:before="134" w:after="0" w:line="360" w:lineRule="exact"/>
        <w:ind w:left="1829" w:right="0" w:hanging="927"/>
        <w:jc w:val="left"/>
        <w:textAlignment w:val="auto"/>
        <w:rPr>
          <w:sz w:val="24"/>
        </w:rPr>
      </w:pPr>
      <w:r>
        <w:rPr>
          <w:sz w:val="24"/>
        </w:rPr>
        <w:t>履约保证金</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903"/>
        <w:textAlignment w:val="auto"/>
      </w:pPr>
      <w:r>
        <w:t>合同条款以上述条款的先后顺序作为依据。</w:t>
      </w:r>
    </w:p>
    <w:p>
      <w:pPr>
        <w:pStyle w:val="8"/>
        <w:keepNext w:val="0"/>
        <w:keepLines w:val="0"/>
        <w:pageBreakBefore w:val="0"/>
        <w:widowControl w:val="0"/>
        <w:kinsoku/>
        <w:wordWrap/>
        <w:overflowPunct/>
        <w:topLinePunct w:val="0"/>
        <w:autoSpaceDE w:val="0"/>
        <w:autoSpaceDN w:val="0"/>
        <w:bidi w:val="0"/>
        <w:adjustRightInd/>
        <w:snapToGrid/>
        <w:spacing w:before="136" w:line="360" w:lineRule="exact"/>
        <w:ind w:left="903"/>
        <w:textAlignment w:val="auto"/>
      </w:pPr>
      <w:r>
        <w:t>2、合同范围和条件：本合同的范围和条件应与上述规定的合同文件内容一致。</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898"/>
        <w:textAlignment w:val="auto"/>
      </w:pPr>
      <w:r>
        <w:t>3、服务和内容：本合同要求提供的服务和内容见合同附件。</w:t>
      </w:r>
    </w:p>
    <w:p>
      <w:pPr>
        <w:pStyle w:val="8"/>
        <w:keepNext w:val="0"/>
        <w:keepLines w:val="0"/>
        <w:pageBreakBefore w:val="0"/>
        <w:widowControl w:val="0"/>
        <w:kinsoku/>
        <w:wordWrap/>
        <w:overflowPunct/>
        <w:topLinePunct w:val="0"/>
        <w:autoSpaceDE w:val="0"/>
        <w:autoSpaceDN w:val="0"/>
        <w:bidi w:val="0"/>
        <w:adjustRightInd/>
        <w:snapToGrid/>
        <w:spacing w:before="136" w:line="360" w:lineRule="exact"/>
        <w:ind w:left="898"/>
        <w:textAlignment w:val="auto"/>
      </w:pPr>
      <w:r>
        <w:t>4、合同总价：本合同总价为</w:t>
      </w:r>
      <w:r>
        <w:rPr>
          <w:rFonts w:hint="eastAsia"/>
          <w:u w:val="single"/>
          <w:lang w:val="en-US" w:eastAsia="zh-CN"/>
        </w:rPr>
        <w:t xml:space="preserve">              </w:t>
      </w:r>
      <w:r>
        <w:t>元人民币，见《开标一览表》。</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903"/>
        <w:textAlignment w:val="auto"/>
      </w:pPr>
      <w:r>
        <w:t>5、付款方式：本合同的付款方式在合同主要条款中规定。</w:t>
      </w:r>
    </w:p>
    <w:p>
      <w:pPr>
        <w:pStyle w:val="8"/>
        <w:keepNext w:val="0"/>
        <w:keepLines w:val="0"/>
        <w:pageBreakBefore w:val="0"/>
        <w:widowControl w:val="0"/>
        <w:tabs>
          <w:tab w:val="left" w:pos="6655"/>
          <w:tab w:val="left" w:pos="7270"/>
          <w:tab w:val="left" w:pos="8609"/>
          <w:tab w:val="left" w:pos="9099"/>
        </w:tabs>
        <w:kinsoku/>
        <w:wordWrap/>
        <w:overflowPunct/>
        <w:topLinePunct w:val="0"/>
        <w:autoSpaceDE w:val="0"/>
        <w:autoSpaceDN w:val="0"/>
        <w:bidi w:val="0"/>
        <w:adjustRightInd/>
        <w:snapToGrid/>
        <w:spacing w:before="136" w:line="360" w:lineRule="exact"/>
        <w:ind w:left="922"/>
        <w:textAlignment w:val="auto"/>
      </w:pPr>
      <w:r>
        <w:rPr>
          <w:spacing w:val="4"/>
        </w:rPr>
        <w:t>6、</w:t>
      </w:r>
      <w:r>
        <w:t>合</w:t>
      </w:r>
      <w:r>
        <w:rPr>
          <w:spacing w:val="4"/>
        </w:rPr>
        <w:t>同期</w:t>
      </w:r>
      <w:r>
        <w:t>限</w:t>
      </w:r>
      <w:r>
        <w:rPr>
          <w:spacing w:val="4"/>
        </w:rPr>
        <w:t>：本</w:t>
      </w:r>
      <w:r>
        <w:t>合</w:t>
      </w:r>
      <w:r>
        <w:rPr>
          <w:spacing w:val="4"/>
        </w:rPr>
        <w:t>同承</w:t>
      </w:r>
      <w:r>
        <w:t>包</w:t>
      </w:r>
      <w:r>
        <w:rPr>
          <w:spacing w:val="4"/>
        </w:rPr>
        <w:t>期限</w:t>
      </w:r>
      <w:r>
        <w:t>为</w:t>
      </w:r>
      <w:r>
        <w:rPr>
          <w:spacing w:val="4"/>
        </w:rPr>
        <w:t>一年</w:t>
      </w:r>
      <w:r>
        <w:t>。（202</w:t>
      </w:r>
      <w:r>
        <w:rPr>
          <w:rFonts w:hint="eastAsia"/>
          <w:lang w:val="en-US" w:eastAsia="zh-CN"/>
        </w:rPr>
        <w:t>1</w:t>
      </w:r>
      <w:r>
        <w:t>年</w:t>
      </w:r>
      <w:r>
        <w:rPr>
          <w:rFonts w:hint="eastAsia"/>
          <w:lang w:val="en-US" w:eastAsia="zh-CN"/>
        </w:rPr>
        <w:t xml:space="preserve"> </w:t>
      </w:r>
      <w:r>
        <w:t>月</w:t>
      </w:r>
      <w:r>
        <w:tab/>
      </w:r>
      <w:r>
        <w:rPr>
          <w:spacing w:val="4"/>
        </w:rPr>
        <w:t>日</w:t>
      </w:r>
      <w:r>
        <w:t>-</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r>
        <w:rPr>
          <w:spacing w:val="-51"/>
        </w:rPr>
        <w:t>）</w:t>
      </w:r>
      <w:r>
        <w:t>。</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903"/>
        <w:textAlignment w:val="auto"/>
      </w:pPr>
      <w:r>
        <w:t>7、服务地点：温岭市</w:t>
      </w:r>
      <w:r>
        <w:rPr>
          <w:rFonts w:hint="eastAsia"/>
          <w:lang w:eastAsia="zh-CN"/>
        </w:rPr>
        <w:t>滨海</w:t>
      </w:r>
      <w:r>
        <w:t>镇</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340" w:right="102" w:firstLine="561"/>
        <w:textAlignment w:val="auto"/>
      </w:pPr>
      <w:r>
        <w:t>8、合同的生效：本合同经双方授权代表签署，双方加盖印章，且采购人收到中标人提交的相关履约保证金后生效。</w:t>
      </w:r>
    </w:p>
    <w:p>
      <w:pPr>
        <w:pStyle w:val="8"/>
        <w:keepNext w:val="0"/>
        <w:keepLines w:val="0"/>
        <w:pageBreakBefore w:val="0"/>
        <w:widowControl w:val="0"/>
        <w:kinsoku/>
        <w:wordWrap/>
        <w:overflowPunct/>
        <w:topLinePunct w:val="0"/>
        <w:autoSpaceDE w:val="0"/>
        <w:autoSpaceDN w:val="0"/>
        <w:bidi w:val="0"/>
        <w:adjustRightInd/>
        <w:snapToGrid/>
        <w:spacing w:before="4" w:line="360" w:lineRule="exact"/>
        <w:ind w:left="903"/>
        <w:textAlignment w:val="auto"/>
      </w:pPr>
      <w:r>
        <w:t>二、合同主要条款</w:t>
      </w:r>
    </w:p>
    <w:p>
      <w:pPr>
        <w:pStyle w:val="8"/>
        <w:keepNext w:val="0"/>
        <w:keepLines w:val="0"/>
        <w:pageBreakBefore w:val="0"/>
        <w:widowControl w:val="0"/>
        <w:kinsoku/>
        <w:wordWrap/>
        <w:overflowPunct/>
        <w:topLinePunct w:val="0"/>
        <w:autoSpaceDE w:val="0"/>
        <w:autoSpaceDN w:val="0"/>
        <w:bidi w:val="0"/>
        <w:adjustRightInd/>
        <w:snapToGrid/>
        <w:spacing w:before="5" w:line="360" w:lineRule="exact"/>
        <w:ind w:left="903"/>
        <w:textAlignment w:val="auto"/>
      </w:pPr>
      <w:r>
        <w:t>甲乙双方根据《中华人民共和国合同法》等有关法律法规和本合同的招标文件、投</w:t>
      </w:r>
    </w:p>
    <w:p>
      <w:pPr>
        <w:pStyle w:val="8"/>
        <w:keepNext w:val="0"/>
        <w:keepLines w:val="0"/>
        <w:pageBreakBefore w:val="0"/>
        <w:widowControl w:val="0"/>
        <w:kinsoku/>
        <w:wordWrap/>
        <w:overflowPunct/>
        <w:topLinePunct w:val="0"/>
        <w:autoSpaceDE w:val="0"/>
        <w:autoSpaceDN w:val="0"/>
        <w:bidi w:val="0"/>
        <w:adjustRightInd/>
        <w:snapToGrid/>
        <w:spacing w:before="40" w:line="360" w:lineRule="exact"/>
        <w:textAlignment w:val="auto"/>
      </w:pPr>
      <w:r>
        <w:t>标文件及相关承诺，经双方友好协商，同意签订本合同，共同遵守。</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textAlignment w:val="auto"/>
        <w:rPr>
          <w:sz w:val="20"/>
        </w:rPr>
      </w:pPr>
    </w:p>
    <w:p>
      <w:pPr>
        <w:pStyle w:val="8"/>
        <w:keepNext w:val="0"/>
        <w:keepLines w:val="0"/>
        <w:pageBreakBefore w:val="0"/>
        <w:widowControl w:val="0"/>
        <w:kinsoku/>
        <w:wordWrap/>
        <w:overflowPunct/>
        <w:topLinePunct w:val="0"/>
        <w:autoSpaceDE w:val="0"/>
        <w:autoSpaceDN w:val="0"/>
        <w:bidi w:val="0"/>
        <w:adjustRightInd/>
        <w:snapToGrid/>
        <w:spacing w:line="360" w:lineRule="exact"/>
        <w:ind w:left="664"/>
        <w:textAlignment w:val="auto"/>
      </w:pPr>
      <w:r>
        <w:t>第一条 名称</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3" w:right="1134"/>
        <w:textAlignment w:val="auto"/>
      </w:pPr>
      <w:r>
        <w:rPr>
          <w:rFonts w:hint="eastAsia"/>
          <w:lang w:eastAsia="zh-CN"/>
        </w:rPr>
        <w:t>温岭市滨海镇环卫保洁及垃圾清运项目采</w:t>
      </w:r>
      <w:r>
        <w:t>购</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3" w:right="1134"/>
        <w:textAlignment w:val="auto"/>
      </w:pPr>
      <w:r>
        <w:t>第二条 承包内容：</w:t>
      </w:r>
    </w:p>
    <w:p>
      <w:pPr>
        <w:pStyle w:val="8"/>
        <w:keepNext w:val="0"/>
        <w:keepLines w:val="0"/>
        <w:pageBreakBefore w:val="0"/>
        <w:widowControl w:val="0"/>
        <w:kinsoku/>
        <w:wordWrap/>
        <w:overflowPunct/>
        <w:topLinePunct w:val="0"/>
        <w:autoSpaceDE w:val="0"/>
        <w:autoSpaceDN w:val="0"/>
        <w:bidi w:val="0"/>
        <w:adjustRightInd/>
        <w:snapToGrid/>
        <w:spacing w:before="2" w:line="360" w:lineRule="exact"/>
        <w:ind w:left="664" w:right="4685"/>
        <w:textAlignment w:val="auto"/>
      </w:pPr>
      <w:r>
        <w:t>1、承包内容见招标文件采购需求内容。第三条 承包期限</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100" w:right="114" w:firstLine="556"/>
        <w:jc w:val="both"/>
        <w:textAlignment w:val="auto"/>
      </w:pPr>
      <w:r>
        <w:rPr>
          <w:spacing w:val="3"/>
        </w:rPr>
        <w:t>本合同承包期限：</w:t>
      </w:r>
      <w:r>
        <w:t>2020</w:t>
      </w:r>
      <w:r>
        <w:rPr>
          <w:spacing w:val="-10"/>
        </w:rPr>
        <w:t xml:space="preserve"> 年 月 日至 </w:t>
      </w:r>
      <w:r>
        <w:t>2021</w:t>
      </w:r>
      <w:r>
        <w:rPr>
          <w:spacing w:val="-6"/>
        </w:rPr>
        <w:t xml:space="preserve">年 月 日；本项目进场作业时间为 </w:t>
      </w:r>
      <w:r>
        <w:t>2020</w:t>
      </w:r>
      <w:r>
        <w:rPr>
          <w:spacing w:val="-15"/>
        </w:rPr>
        <w:t xml:space="preserve"> 年月 日，个别区域进场作业时间由采购人根据实际情况确定。</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664"/>
        <w:jc w:val="both"/>
        <w:textAlignment w:val="auto"/>
      </w:pPr>
      <w:r>
        <w:t>第四条 承包经费</w:t>
      </w:r>
    </w:p>
    <w:p>
      <w:pPr>
        <w:pStyle w:val="8"/>
        <w:keepNext w:val="0"/>
        <w:keepLines w:val="0"/>
        <w:pageBreakBefore w:val="0"/>
        <w:widowControl w:val="0"/>
        <w:kinsoku/>
        <w:wordWrap/>
        <w:overflowPunct/>
        <w:topLinePunct w:val="0"/>
        <w:autoSpaceDE w:val="0"/>
        <w:autoSpaceDN w:val="0"/>
        <w:bidi w:val="0"/>
        <w:adjustRightInd/>
        <w:snapToGrid/>
        <w:spacing w:before="127" w:line="360" w:lineRule="exact"/>
        <w:ind w:left="100" w:right="152" w:firstLine="564"/>
        <w:jc w:val="both"/>
        <w:textAlignment w:val="auto"/>
      </w:pPr>
      <w:r>
        <w:pict>
          <v:line id="_x0000_s1030" o:spid="_x0000_s1030" o:spt="20" style="position:absolute;left:0pt;margin-left:191.15pt;margin-top:20.2pt;height:0pt;width:333.25pt;mso-position-horizontal-relative:page;z-index:-251653120;mso-width-relative:page;mso-height-relative:page;" stroked="t" coordsize="21600,21600">
            <v:path arrowok="t"/>
            <v:fill focussize="0,0"/>
            <v:stroke weight="0.6pt" color="#000000"/>
            <v:imagedata o:title=""/>
            <o:lock v:ext="edit"/>
          </v:line>
        </w:pict>
      </w:r>
      <w:r>
        <w:rPr>
          <w:spacing w:val="9"/>
        </w:rPr>
        <w:t>（</w:t>
      </w:r>
      <w:r>
        <w:rPr>
          <w:spacing w:val="7"/>
        </w:rPr>
        <w:t>一</w:t>
      </w:r>
      <w:r>
        <w:rPr>
          <w:spacing w:val="-48"/>
        </w:rPr>
        <w:t>）</w:t>
      </w:r>
      <w:r>
        <w:rPr>
          <w:spacing w:val="4"/>
        </w:rPr>
        <w:t>承包经费：</w:t>
      </w:r>
      <w:r>
        <w:t>￥</w:t>
      </w:r>
      <w:r>
        <w:rPr>
          <w:spacing w:val="18"/>
        </w:rPr>
        <w:t>： 元</w:t>
      </w:r>
      <w:r>
        <w:rPr>
          <w:spacing w:val="9"/>
        </w:rPr>
        <w:t>（</w:t>
      </w:r>
      <w:r>
        <w:rPr>
          <w:spacing w:val="-1"/>
        </w:rPr>
        <w:t>人民币大写：仟  佰  拾 万 仟 佰  拾  元</w:t>
      </w:r>
      <w:r>
        <w:rPr>
          <w:rFonts w:hint="eastAsia"/>
          <w:spacing w:val="-1"/>
          <w:lang w:val="en-US" w:eastAsia="zh-CN"/>
        </w:rPr>
        <w:t xml:space="preserve"> </w:t>
      </w:r>
      <w:r>
        <w:rPr>
          <w:spacing w:val="-1"/>
        </w:rPr>
        <w:t>角</w:t>
      </w:r>
      <w:r>
        <w:rPr>
          <w:rFonts w:hint="eastAsia"/>
          <w:spacing w:val="-1"/>
          <w:lang w:val="en-US" w:eastAsia="zh-CN"/>
        </w:rPr>
        <w:t xml:space="preserve"> </w:t>
      </w:r>
      <w:r>
        <w:t>分）。</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100" w:right="137" w:firstLine="564"/>
        <w:jc w:val="both"/>
        <w:textAlignment w:val="auto"/>
      </w:pPr>
      <w:r>
        <w:rPr>
          <w:spacing w:val="7"/>
        </w:rPr>
        <w:t>（</w:t>
      </w:r>
      <w:r>
        <w:rPr>
          <w:spacing w:val="4"/>
        </w:rPr>
        <w:t>二</w:t>
      </w:r>
      <w:r>
        <w:rPr>
          <w:spacing w:val="-3"/>
        </w:rPr>
        <w:t>）</w:t>
      </w:r>
      <w:r>
        <w:rPr>
          <w:spacing w:val="4"/>
        </w:rPr>
        <w:t>承包经费由人工费</w:t>
      </w:r>
      <w:r>
        <w:rPr>
          <w:spacing w:val="7"/>
        </w:rPr>
        <w:t>（</w:t>
      </w:r>
      <w:r>
        <w:t>包括环卫工人工资、奖金、房租、劳保福利、社保、意</w:t>
      </w:r>
      <w:r>
        <w:rPr>
          <w:spacing w:val="4"/>
        </w:rPr>
        <w:t>外保险、工伤费、教育培训费、居住费及处理一切伤亡事故等费用</w:t>
      </w:r>
      <w:r>
        <w:rPr>
          <w:spacing w:val="-29"/>
        </w:rPr>
        <w:t>）</w:t>
      </w:r>
      <w:r>
        <w:t>、机械台班费</w:t>
      </w:r>
      <w:r>
        <w:rPr>
          <w:spacing w:val="19"/>
        </w:rPr>
        <w:t>（</w:t>
      </w:r>
      <w:r>
        <w:t>如</w:t>
      </w:r>
      <w:r>
        <w:rPr>
          <w:spacing w:val="4"/>
        </w:rPr>
        <w:t>有</w:t>
      </w:r>
      <w:r>
        <w:rPr>
          <w:spacing w:val="-3"/>
        </w:rPr>
        <w:t>）</w:t>
      </w:r>
      <w:r>
        <w:rPr>
          <w:spacing w:val="-4"/>
        </w:rPr>
        <w:t>、水电费、工具材料费、垃圾桶购置费、垃圾清运费、安全文明生产装备费</w:t>
      </w:r>
      <w:r>
        <w:rPr>
          <w:spacing w:val="7"/>
        </w:rPr>
        <w:t>（</w:t>
      </w:r>
      <w:r>
        <w:t>包括环</w:t>
      </w:r>
      <w:r>
        <w:rPr>
          <w:spacing w:val="-3"/>
        </w:rPr>
        <w:t>卫工人冬、夏装工作服、反光衣等</w:t>
      </w:r>
      <w:r>
        <w:rPr>
          <w:spacing w:val="-8"/>
        </w:rPr>
        <w:t>）</w:t>
      </w:r>
      <w:r>
        <w:rPr>
          <w:spacing w:val="-4"/>
        </w:rPr>
        <w:t>、企业应缴税金和应得利润、应急等完成合同所需的</w:t>
      </w:r>
      <w:r>
        <w:rPr>
          <w:spacing w:val="-5"/>
        </w:rPr>
        <w:t>一切本身和不可或缺的所有工作开支、政策性文件规定及合同包含的所有风险、责任等各项全部费用组成。</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100" w:right="245" w:firstLine="564"/>
        <w:textAlignment w:val="auto"/>
      </w:pPr>
      <w:r>
        <w:t>（三）承包经费按项目进度、检查验收结果和资金到账情况分次核拨，由乙方按甲方业务要求支配使用。</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664"/>
        <w:textAlignment w:val="auto"/>
      </w:pPr>
      <w:r>
        <w:t>（四）承包经费最终结算价依据中标通知书、投标文件、验收考核等要求计算。</w:t>
      </w:r>
    </w:p>
    <w:p>
      <w:pPr>
        <w:keepNext w:val="0"/>
        <w:keepLines w:val="0"/>
        <w:pageBreakBefore w:val="0"/>
        <w:widowControl w:val="0"/>
        <w:tabs>
          <w:tab w:val="left" w:pos="1681"/>
        </w:tabs>
        <w:kinsoku/>
        <w:wordWrap/>
        <w:overflowPunct/>
        <w:topLinePunct w:val="0"/>
        <w:autoSpaceDE w:val="0"/>
        <w:autoSpaceDN w:val="0"/>
        <w:bidi w:val="0"/>
        <w:adjustRightInd/>
        <w:snapToGrid/>
        <w:spacing w:before="109" w:line="360" w:lineRule="exact"/>
        <w:ind w:left="664" w:right="4254" w:firstLine="0"/>
        <w:jc w:val="left"/>
        <w:textAlignment w:val="auto"/>
        <w:rPr>
          <w:sz w:val="24"/>
        </w:rPr>
      </w:pPr>
      <w:bookmarkStart w:id="25" w:name="第四条付款方式：按招标文件规定执行。"/>
      <w:bookmarkEnd w:id="25"/>
      <w:r>
        <w:rPr>
          <w:b/>
          <w:sz w:val="24"/>
        </w:rPr>
        <w:t>第</w:t>
      </w:r>
      <w:r>
        <w:rPr>
          <w:rFonts w:hint="eastAsia"/>
          <w:b/>
          <w:sz w:val="24"/>
          <w:lang w:eastAsia="zh-CN"/>
        </w:rPr>
        <w:t>五</w:t>
      </w:r>
      <w:r>
        <w:rPr>
          <w:b/>
          <w:sz w:val="24"/>
        </w:rPr>
        <w:t>条</w:t>
      </w:r>
      <w:r>
        <w:rPr>
          <w:b/>
          <w:sz w:val="24"/>
        </w:rPr>
        <w:tab/>
      </w:r>
      <w:r>
        <w:rPr>
          <w:b/>
          <w:sz w:val="24"/>
        </w:rPr>
        <w:t>付款方式：按招标文件规定执行</w:t>
      </w:r>
      <w:r>
        <w:rPr>
          <w:b/>
          <w:spacing w:val="-15"/>
          <w:sz w:val="24"/>
        </w:rPr>
        <w:t>。</w:t>
      </w:r>
      <w:r>
        <w:rPr>
          <w:sz w:val="24"/>
        </w:rPr>
        <w:t>第</w:t>
      </w:r>
      <w:r>
        <w:rPr>
          <w:rFonts w:hint="eastAsia"/>
          <w:sz w:val="24"/>
          <w:lang w:eastAsia="zh-CN"/>
        </w:rPr>
        <w:t>六</w:t>
      </w:r>
      <w:r>
        <w:rPr>
          <w:sz w:val="24"/>
        </w:rPr>
        <w:t>条 承包方式</w:t>
      </w:r>
    </w:p>
    <w:p>
      <w:pPr>
        <w:pStyle w:val="8"/>
        <w:keepNext w:val="0"/>
        <w:keepLines w:val="0"/>
        <w:pageBreakBefore w:val="0"/>
        <w:widowControl w:val="0"/>
        <w:kinsoku/>
        <w:wordWrap/>
        <w:overflowPunct/>
        <w:topLinePunct w:val="0"/>
        <w:autoSpaceDE w:val="0"/>
        <w:autoSpaceDN w:val="0"/>
        <w:bidi w:val="0"/>
        <w:adjustRightInd/>
        <w:snapToGrid/>
        <w:spacing w:before="117" w:line="360" w:lineRule="exact"/>
        <w:ind w:left="100" w:right="153" w:firstLine="556"/>
        <w:jc w:val="both"/>
        <w:textAlignment w:val="auto"/>
      </w:pPr>
      <w:r>
        <w:rPr>
          <w:rFonts w:hint="eastAsia"/>
          <w:b/>
          <w:bCs/>
          <w:lang w:eastAsia="zh-CN"/>
        </w:rPr>
        <w:t>清扫</w:t>
      </w:r>
      <w:r>
        <w:rPr>
          <w:b/>
          <w:bCs/>
        </w:rPr>
        <w:t>采用全包干形式，即业务包干、经费包干方式</w:t>
      </w:r>
      <w:r>
        <w:rPr>
          <w:rFonts w:hint="eastAsia"/>
          <w:b/>
          <w:bCs/>
          <w:lang w:eastAsia="zh-CN"/>
        </w:rPr>
        <w:t>；清运采用计重方式，结算重量按实计算</w:t>
      </w:r>
      <w:r>
        <w:t>。甲方将清扫保洁</w:t>
      </w:r>
      <w:r>
        <w:rPr>
          <w:rFonts w:hint="eastAsia"/>
          <w:lang w:eastAsia="zh-CN"/>
        </w:rPr>
        <w:t>及垃圾清运</w:t>
      </w:r>
      <w:r>
        <w:t>业务及相应的经费</w:t>
      </w:r>
      <w:r>
        <w:rPr>
          <w:spacing w:val="-4"/>
        </w:rPr>
        <w:t>交给乙方，乙方按甲方的管理要求和标准组织清扫保洁</w:t>
      </w:r>
      <w:r>
        <w:rPr>
          <w:rFonts w:hint="eastAsia"/>
          <w:spacing w:val="-4"/>
          <w:lang w:eastAsia="zh-CN"/>
        </w:rPr>
        <w:t>、清运</w:t>
      </w:r>
      <w:r>
        <w:rPr>
          <w:spacing w:val="-4"/>
        </w:rPr>
        <w:t>工作，并接受甲方的指导、监督和检查验收。</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664"/>
        <w:jc w:val="both"/>
        <w:textAlignment w:val="auto"/>
      </w:pPr>
      <w:r>
        <w:t>第</w:t>
      </w:r>
      <w:r>
        <w:rPr>
          <w:rFonts w:hint="eastAsia"/>
          <w:lang w:eastAsia="zh-CN"/>
        </w:rPr>
        <w:t>七</w:t>
      </w:r>
      <w:r>
        <w:t>条 质量</w:t>
      </w:r>
    </w:p>
    <w:p>
      <w:pPr>
        <w:pStyle w:val="8"/>
        <w:keepNext w:val="0"/>
        <w:keepLines w:val="0"/>
        <w:pageBreakBefore w:val="0"/>
        <w:widowControl w:val="0"/>
        <w:kinsoku/>
        <w:wordWrap/>
        <w:overflowPunct/>
        <w:topLinePunct w:val="0"/>
        <w:autoSpaceDE w:val="0"/>
        <w:autoSpaceDN w:val="0"/>
        <w:bidi w:val="0"/>
        <w:adjustRightInd/>
        <w:snapToGrid/>
        <w:spacing w:before="127" w:line="360" w:lineRule="exact"/>
        <w:ind w:left="100" w:right="245" w:firstLine="564"/>
        <w:textAlignment w:val="auto"/>
      </w:pPr>
      <w:r>
        <w:rPr>
          <w:spacing w:val="-1"/>
        </w:rPr>
        <w:t>清扫保洁</w:t>
      </w:r>
      <w:r>
        <w:rPr>
          <w:rFonts w:hint="eastAsia"/>
          <w:spacing w:val="-1"/>
          <w:lang w:eastAsia="zh-CN"/>
        </w:rPr>
        <w:t>、清运</w:t>
      </w:r>
      <w:r>
        <w:rPr>
          <w:spacing w:val="-1"/>
        </w:rPr>
        <w:t>各项具体工作的质量标准和作业规范按甲方具体要求及甲方《招标文件》</w:t>
      </w:r>
      <w:r>
        <w:rPr>
          <w:spacing w:val="-15"/>
        </w:rPr>
        <w:t>中规定，乙方《投标文件》承诺的措施、方案、投入的人力、机械设备车辆，严格执行。</w:t>
      </w:r>
    </w:p>
    <w:p>
      <w:pPr>
        <w:pStyle w:val="8"/>
        <w:keepNext w:val="0"/>
        <w:keepLines w:val="0"/>
        <w:pageBreakBefore w:val="0"/>
        <w:widowControl w:val="0"/>
        <w:kinsoku/>
        <w:wordWrap/>
        <w:overflowPunct/>
        <w:topLinePunct w:val="0"/>
        <w:autoSpaceDE w:val="0"/>
        <w:autoSpaceDN w:val="0"/>
        <w:bidi w:val="0"/>
        <w:adjustRightInd/>
        <w:snapToGrid/>
        <w:spacing w:before="2" w:line="360" w:lineRule="exact"/>
        <w:ind w:left="664"/>
        <w:textAlignment w:val="auto"/>
      </w:pPr>
      <w:r>
        <w:t>第</w:t>
      </w:r>
      <w:r>
        <w:rPr>
          <w:rFonts w:hint="eastAsia"/>
          <w:lang w:eastAsia="zh-CN"/>
        </w:rPr>
        <w:t>八</w:t>
      </w:r>
      <w:r>
        <w:t>条 检查考评办法</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100" w:right="239" w:firstLine="516"/>
        <w:textAlignment w:val="auto"/>
      </w:pPr>
      <w:r>
        <w:rPr>
          <w:spacing w:val="-12"/>
        </w:rPr>
        <w:t xml:space="preserve">乙方应严格按照甲方具体要求及《招标文件》的规定，以及乙方《投标文件》承诺， </w:t>
      </w:r>
      <w:r>
        <w:rPr>
          <w:spacing w:val="-5"/>
        </w:rPr>
        <w:t>对承包区域进行清扫保洁。甲方具体的检查验收方法、内容、程序等按招标文件及《考核</w:t>
      </w:r>
    </w:p>
    <w:p>
      <w:pPr>
        <w:pStyle w:val="8"/>
        <w:keepNext w:val="0"/>
        <w:keepLines w:val="0"/>
        <w:pageBreakBefore w:val="0"/>
        <w:widowControl w:val="0"/>
        <w:kinsoku/>
        <w:wordWrap/>
        <w:overflowPunct/>
        <w:topLinePunct w:val="0"/>
        <w:autoSpaceDE w:val="0"/>
        <w:autoSpaceDN w:val="0"/>
        <w:bidi w:val="0"/>
        <w:adjustRightInd/>
        <w:snapToGrid/>
        <w:spacing w:before="38" w:line="360" w:lineRule="exact"/>
        <w:textAlignment w:val="auto"/>
      </w:pPr>
      <w:r>
        <w:t>细则》执行。</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第</w:t>
      </w:r>
      <w:r>
        <w:rPr>
          <w:rFonts w:hint="eastAsia"/>
          <w:lang w:eastAsia="zh-CN"/>
        </w:rPr>
        <w:t>九</w:t>
      </w:r>
      <w:r>
        <w:t>条 履约保证金</w:t>
      </w:r>
    </w:p>
    <w:p>
      <w:pPr>
        <w:pStyle w:val="8"/>
        <w:keepNext w:val="0"/>
        <w:keepLines w:val="0"/>
        <w:pageBreakBefore w:val="0"/>
        <w:widowControl w:val="0"/>
        <w:kinsoku/>
        <w:wordWrap/>
        <w:overflowPunct/>
        <w:topLinePunct w:val="0"/>
        <w:autoSpaceDE w:val="0"/>
        <w:autoSpaceDN w:val="0"/>
        <w:bidi w:val="0"/>
        <w:adjustRightInd/>
        <w:snapToGrid/>
        <w:spacing w:before="117" w:line="360" w:lineRule="exact"/>
        <w:ind w:left="100" w:right="152" w:firstLine="564"/>
        <w:textAlignment w:val="auto"/>
        <w:rPr>
          <w:rFonts w:hint="eastAsia" w:ascii="微软雅黑" w:eastAsia="微软雅黑"/>
        </w:rPr>
      </w:pPr>
      <w:r>
        <w:t>（一）</w:t>
      </w:r>
      <w:r>
        <w:rPr>
          <w:rFonts w:hint="eastAsia" w:ascii="微软雅黑" w:eastAsia="微软雅黑"/>
        </w:rPr>
        <w:t>中标供应商须向采购人提供中标价5%的履约保证金，服务期满后且无异议情况下15天内退还履约保证金。</w:t>
      </w:r>
    </w:p>
    <w:p>
      <w:pPr>
        <w:pStyle w:val="8"/>
        <w:keepNext w:val="0"/>
        <w:keepLines w:val="0"/>
        <w:pageBreakBefore w:val="0"/>
        <w:widowControl w:val="0"/>
        <w:kinsoku/>
        <w:wordWrap/>
        <w:overflowPunct/>
        <w:topLinePunct w:val="0"/>
        <w:autoSpaceDE w:val="0"/>
        <w:autoSpaceDN w:val="0"/>
        <w:bidi w:val="0"/>
        <w:adjustRightInd/>
        <w:snapToGrid/>
        <w:spacing w:before="18" w:line="360" w:lineRule="exact"/>
        <w:ind w:left="664"/>
        <w:textAlignment w:val="auto"/>
      </w:pPr>
      <w:r>
        <w:t>第</w:t>
      </w:r>
      <w:r>
        <w:rPr>
          <w:rFonts w:hint="eastAsia"/>
          <w:lang w:eastAsia="zh-CN"/>
        </w:rPr>
        <w:t>十</w:t>
      </w:r>
      <w:r>
        <w:t>条 权利和义务</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（一）甲方权利与义务</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100" w:right="245" w:firstLine="564"/>
        <w:textAlignment w:val="auto"/>
      </w:pPr>
      <w:r>
        <w:t>1</w:t>
      </w:r>
      <w:r>
        <w:rPr>
          <w:spacing w:val="-12"/>
        </w:rPr>
        <w:t>、甲方对乙方的清扫保洁</w:t>
      </w:r>
      <w:r>
        <w:rPr>
          <w:rFonts w:hint="eastAsia"/>
          <w:spacing w:val="-12"/>
          <w:lang w:eastAsia="zh-CN"/>
        </w:rPr>
        <w:t>、清运</w:t>
      </w:r>
      <w:r>
        <w:rPr>
          <w:spacing w:val="-12"/>
        </w:rPr>
        <w:t>业务进行全面的技术指导、检查、管理和监督，对检查中发现的环境卫生质量问题及时向乙方提出书面或口头改进意见，直至终止本合同。</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664"/>
        <w:textAlignment w:val="auto"/>
      </w:pPr>
      <w:r>
        <w:t>2、甲方对乙方违反《考核办法》中规定的行为进行处罚。</w:t>
      </w:r>
    </w:p>
    <w:p>
      <w:pPr>
        <w:pStyle w:val="8"/>
        <w:keepNext w:val="0"/>
        <w:keepLines w:val="0"/>
        <w:pageBreakBefore w:val="0"/>
        <w:widowControl w:val="0"/>
        <w:kinsoku/>
        <w:wordWrap/>
        <w:overflowPunct/>
        <w:topLinePunct w:val="0"/>
        <w:autoSpaceDE w:val="0"/>
        <w:autoSpaceDN w:val="0"/>
        <w:bidi w:val="0"/>
        <w:adjustRightInd/>
        <w:snapToGrid/>
        <w:spacing w:before="127" w:line="360" w:lineRule="exact"/>
        <w:ind w:left="664"/>
        <w:textAlignment w:val="auto"/>
      </w:pPr>
      <w:r>
        <w:t>3、甲方有权监督检查乙方落实安全防火和安全生产措施。</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102" w:firstLine="480" w:firstLineChars="200"/>
        <w:textAlignment w:val="auto"/>
      </w:pPr>
      <w:r>
        <w:t>4、甲方有权监督检查乙方对员工进行培训的情况，以提高清扫保洁</w:t>
      </w:r>
      <w:r>
        <w:rPr>
          <w:rFonts w:hint="eastAsia"/>
          <w:lang w:eastAsia="zh-CN"/>
        </w:rPr>
        <w:t>、清运</w:t>
      </w:r>
      <w:r>
        <w:t>服务的技</w:t>
      </w:r>
      <w:r>
        <w:rPr>
          <w:spacing w:val="-12"/>
        </w:rPr>
        <w:t>术水平</w:t>
      </w:r>
      <w:r>
        <w:t>。</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96" w:firstLine="480" w:firstLineChars="200"/>
        <w:textAlignment w:val="auto"/>
      </w:pPr>
      <w:r>
        <w:t>5、甲方应按清扫保洁</w:t>
      </w:r>
      <w:r>
        <w:rPr>
          <w:rFonts w:hint="eastAsia"/>
          <w:lang w:eastAsia="zh-CN"/>
        </w:rPr>
        <w:t>、清运</w:t>
      </w:r>
      <w:r>
        <w:t>质量和检查验收结果计算经费，扣除乙方因检查不合格应扣款后，将经费按期支付给乙方。</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6、甲方可要求乙方调整不合格员工。</w:t>
      </w:r>
    </w:p>
    <w:p>
      <w:pPr>
        <w:pStyle w:val="8"/>
        <w:keepNext w:val="0"/>
        <w:keepLines w:val="0"/>
        <w:pageBreakBefore w:val="0"/>
        <w:widowControl w:val="0"/>
        <w:kinsoku/>
        <w:wordWrap/>
        <w:overflowPunct/>
        <w:topLinePunct w:val="0"/>
        <w:autoSpaceDE w:val="0"/>
        <w:autoSpaceDN w:val="0"/>
        <w:bidi w:val="0"/>
        <w:adjustRightInd/>
        <w:snapToGrid/>
        <w:spacing w:before="137" w:line="360" w:lineRule="exact"/>
        <w:ind w:left="664"/>
        <w:textAlignment w:val="auto"/>
      </w:pPr>
      <w:r>
        <w:t>7、甲方可根据政策的变动并结合实际情况对《考核办法》进行修改和补充。</w:t>
      </w:r>
    </w:p>
    <w:p>
      <w:pPr>
        <w:pStyle w:val="8"/>
        <w:keepNext w:val="0"/>
        <w:keepLines w:val="0"/>
        <w:pageBreakBefore w:val="0"/>
        <w:widowControl w:val="0"/>
        <w:kinsoku/>
        <w:wordWrap/>
        <w:overflowPunct/>
        <w:topLinePunct w:val="0"/>
        <w:autoSpaceDE w:val="0"/>
        <w:autoSpaceDN w:val="0"/>
        <w:bidi w:val="0"/>
        <w:adjustRightInd/>
        <w:snapToGrid/>
        <w:spacing w:before="136" w:line="360" w:lineRule="exact"/>
        <w:ind w:left="100" w:right="149" w:firstLine="564"/>
        <w:jc w:val="both"/>
        <w:textAlignment w:val="auto"/>
      </w:pPr>
      <w:r>
        <w:t>8</w:t>
      </w:r>
      <w:r>
        <w:rPr>
          <w:spacing w:val="-10"/>
        </w:rPr>
        <w:t>、甲方应按时支付款项。本合同的清扫保洁经费由政府拨款和收取垃圾处置费，如因</w:t>
      </w:r>
      <w:r>
        <w:rPr>
          <w:spacing w:val="2"/>
        </w:rPr>
        <w:t>政策影响或其它原因，拨款未能及时到位，乙方不得以此为由而不履行本合同规定的义务。否则，甲方按规定扣罚。</w:t>
      </w:r>
    </w:p>
    <w:p>
      <w:pPr>
        <w:pStyle w:val="8"/>
        <w:keepNext w:val="0"/>
        <w:keepLines w:val="0"/>
        <w:pageBreakBefore w:val="0"/>
        <w:widowControl w:val="0"/>
        <w:kinsoku/>
        <w:wordWrap/>
        <w:overflowPunct/>
        <w:topLinePunct w:val="0"/>
        <w:autoSpaceDE w:val="0"/>
        <w:autoSpaceDN w:val="0"/>
        <w:bidi w:val="0"/>
        <w:adjustRightInd/>
        <w:snapToGrid/>
        <w:spacing w:before="6" w:line="360" w:lineRule="exact"/>
        <w:ind w:left="100" w:right="335" w:firstLine="564"/>
        <w:textAlignment w:val="auto"/>
        <w:rPr>
          <w:spacing w:val="-4"/>
        </w:rPr>
      </w:pPr>
      <w:r>
        <w:t>9</w:t>
      </w:r>
      <w:r>
        <w:rPr>
          <w:spacing w:val="-8"/>
        </w:rPr>
        <w:t>、服务期内甲方遇到各类检查、考核</w:t>
      </w:r>
      <w:r>
        <w:t>（</w:t>
      </w:r>
      <w:r>
        <w:rPr>
          <w:spacing w:val="-7"/>
        </w:rPr>
        <w:t>如上级部门检查、考核、督导等</w:t>
      </w:r>
      <w:r>
        <w:rPr>
          <w:spacing w:val="-17"/>
        </w:rPr>
        <w:t>），</w:t>
      </w:r>
      <w:r>
        <w:rPr>
          <w:spacing w:val="-4"/>
        </w:rPr>
        <w:t>乙方要无条件加班，甲方不另支付加班费，即此项造成的费用由乙方承担。</w:t>
      </w:r>
    </w:p>
    <w:p>
      <w:pPr>
        <w:pStyle w:val="8"/>
        <w:keepNext w:val="0"/>
        <w:keepLines w:val="0"/>
        <w:pageBreakBefore w:val="0"/>
        <w:widowControl w:val="0"/>
        <w:kinsoku/>
        <w:wordWrap/>
        <w:overflowPunct/>
        <w:topLinePunct w:val="0"/>
        <w:autoSpaceDE w:val="0"/>
        <w:autoSpaceDN w:val="0"/>
        <w:bidi w:val="0"/>
        <w:adjustRightInd/>
        <w:snapToGrid/>
        <w:spacing w:before="6" w:line="360" w:lineRule="exact"/>
        <w:ind w:left="100" w:right="335" w:firstLine="564"/>
        <w:textAlignment w:val="auto"/>
        <w:rPr>
          <w:rFonts w:hint="default" w:eastAsia="宋体"/>
          <w:lang w:val="en-US" w:eastAsia="zh-CN"/>
        </w:rPr>
      </w:pPr>
      <w:r>
        <w:rPr>
          <w:rFonts w:hint="eastAsia"/>
          <w:spacing w:val="-4"/>
          <w:lang w:val="en-US" w:eastAsia="zh-CN"/>
        </w:rPr>
        <w:t>10、如果市相关部门对环卫保洁有新的要求或规定，乙方要无条件接受并在1个月内调整到位，相对应月考核也将做适当的调整，乙方不得有异议。</w:t>
      </w:r>
    </w:p>
    <w:p>
      <w:pPr>
        <w:pStyle w:val="8"/>
        <w:keepNext w:val="0"/>
        <w:keepLines w:val="0"/>
        <w:pageBreakBefore w:val="0"/>
        <w:widowControl w:val="0"/>
        <w:kinsoku/>
        <w:wordWrap/>
        <w:overflowPunct/>
        <w:topLinePunct w:val="0"/>
        <w:autoSpaceDE w:val="0"/>
        <w:autoSpaceDN w:val="0"/>
        <w:bidi w:val="0"/>
        <w:adjustRightInd/>
        <w:snapToGrid/>
        <w:spacing w:before="4" w:line="360" w:lineRule="exact"/>
        <w:ind w:left="664"/>
        <w:textAlignment w:val="auto"/>
      </w:pPr>
      <w:r>
        <w:t>（二）乙方权利和义务</w:t>
      </w:r>
    </w:p>
    <w:p>
      <w:pPr>
        <w:pStyle w:val="8"/>
        <w:keepNext w:val="0"/>
        <w:keepLines w:val="0"/>
        <w:pageBreakBefore w:val="0"/>
        <w:widowControl w:val="0"/>
        <w:kinsoku/>
        <w:wordWrap/>
        <w:overflowPunct/>
        <w:topLinePunct w:val="0"/>
        <w:autoSpaceDE w:val="0"/>
        <w:autoSpaceDN w:val="0"/>
        <w:bidi w:val="0"/>
        <w:adjustRightInd/>
        <w:snapToGrid/>
        <w:spacing w:before="117" w:line="360" w:lineRule="exact"/>
        <w:ind w:left="664"/>
        <w:textAlignment w:val="auto"/>
      </w:pPr>
      <w:r>
        <w:t>1、乙方有权根据承包合同按期领取承包经费。</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2、乙方履行承诺的义务，并参加由甲方组织的检查和综合考评。</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3、乙方应接受甲方的检查监督及指导。</w:t>
      </w:r>
    </w:p>
    <w:p>
      <w:pPr>
        <w:pStyle w:val="8"/>
        <w:keepNext w:val="0"/>
        <w:keepLines w:val="0"/>
        <w:pageBreakBefore w:val="0"/>
        <w:widowControl w:val="0"/>
        <w:kinsoku/>
        <w:wordWrap/>
        <w:overflowPunct/>
        <w:topLinePunct w:val="0"/>
        <w:autoSpaceDE w:val="0"/>
        <w:autoSpaceDN w:val="0"/>
        <w:bidi w:val="0"/>
        <w:adjustRightInd/>
        <w:snapToGrid/>
        <w:spacing w:before="136" w:line="360" w:lineRule="exact"/>
        <w:ind w:left="100" w:right="365" w:firstLine="564"/>
        <w:textAlignment w:val="auto"/>
      </w:pPr>
      <w:r>
        <w:t>4、按甲方的要求开展工作，如有改变，乙方应提出书面申请，并征得甲方的书面同意。</w:t>
      </w:r>
    </w:p>
    <w:p>
      <w:pPr>
        <w:pStyle w:val="8"/>
        <w:keepNext w:val="0"/>
        <w:keepLines w:val="0"/>
        <w:pageBreakBefore w:val="0"/>
        <w:widowControl w:val="0"/>
        <w:kinsoku/>
        <w:wordWrap/>
        <w:overflowPunct/>
        <w:topLinePunct w:val="0"/>
        <w:autoSpaceDE w:val="0"/>
        <w:autoSpaceDN w:val="0"/>
        <w:bidi w:val="0"/>
        <w:adjustRightInd/>
        <w:snapToGrid/>
        <w:spacing w:before="5" w:line="360" w:lineRule="exact"/>
        <w:ind w:left="100" w:right="365" w:firstLine="564"/>
        <w:textAlignment w:val="auto"/>
      </w:pPr>
      <w:r>
        <w:t>5、特殊情况下（台风和暴雨等），乙方除应做好管辖地段保护工作外，还应服从甲方的统一指挥和调动，参加抢险救灾工作。</w:t>
      </w:r>
    </w:p>
    <w:p>
      <w:pPr>
        <w:pStyle w:val="8"/>
        <w:keepNext w:val="0"/>
        <w:keepLines w:val="0"/>
        <w:pageBreakBefore w:val="0"/>
        <w:widowControl w:val="0"/>
        <w:kinsoku/>
        <w:wordWrap/>
        <w:overflowPunct/>
        <w:topLinePunct w:val="0"/>
        <w:autoSpaceDE w:val="0"/>
        <w:autoSpaceDN w:val="0"/>
        <w:bidi w:val="0"/>
        <w:adjustRightInd/>
        <w:snapToGrid/>
        <w:spacing w:before="3" w:line="360" w:lineRule="exact"/>
        <w:ind w:left="100" w:right="79" w:firstLine="564"/>
        <w:textAlignment w:val="auto"/>
      </w:pPr>
      <w:r>
        <w:t>6、乙方根据本合同所承担的服务内容及“劳动法”有关规定，按实际上岗人数自行到有关部门申办用工手续、享受按国家有关规定的员工社会保险。并安排好属下人员的住</w:t>
      </w:r>
    </w:p>
    <w:p>
      <w:pPr>
        <w:pStyle w:val="8"/>
        <w:keepNext w:val="0"/>
        <w:keepLines w:val="0"/>
        <w:pageBreakBefore w:val="0"/>
        <w:widowControl w:val="0"/>
        <w:kinsoku/>
        <w:wordWrap/>
        <w:overflowPunct/>
        <w:topLinePunct w:val="0"/>
        <w:autoSpaceDE w:val="0"/>
        <w:autoSpaceDN w:val="0"/>
        <w:bidi w:val="0"/>
        <w:adjustRightInd/>
        <w:snapToGrid/>
        <w:spacing w:before="38" w:line="360" w:lineRule="exact"/>
        <w:ind w:left="100"/>
        <w:textAlignment w:val="auto"/>
      </w:pPr>
      <w:r>
        <w:t>宿和教育管理工作，如发生违法违纪事件，由乙方承担一切经济责任和法律责任。</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7、必须按有关法律规定为员工购买基本养老、医疗、工伤、生育、失业等保险；</w:t>
      </w:r>
    </w:p>
    <w:p>
      <w:pPr>
        <w:pStyle w:val="8"/>
        <w:keepNext w:val="0"/>
        <w:keepLines w:val="0"/>
        <w:pageBreakBefore w:val="0"/>
        <w:widowControl w:val="0"/>
        <w:kinsoku/>
        <w:wordWrap/>
        <w:overflowPunct/>
        <w:topLinePunct w:val="0"/>
        <w:autoSpaceDE w:val="0"/>
        <w:autoSpaceDN w:val="0"/>
        <w:bidi w:val="0"/>
        <w:adjustRightInd/>
        <w:snapToGrid/>
        <w:spacing w:before="138" w:line="360" w:lineRule="exact"/>
        <w:ind w:left="664"/>
        <w:textAlignment w:val="auto"/>
      </w:pPr>
      <w:r>
        <w:t>8、乙方应按甲方要求，为上岗工人购买统一的反光工作服。</w:t>
      </w:r>
    </w:p>
    <w:p>
      <w:pPr>
        <w:pStyle w:val="8"/>
        <w:keepNext w:val="0"/>
        <w:keepLines w:val="0"/>
        <w:pageBreakBefore w:val="0"/>
        <w:widowControl w:val="0"/>
        <w:kinsoku/>
        <w:wordWrap/>
        <w:overflowPunct/>
        <w:topLinePunct w:val="0"/>
        <w:autoSpaceDE w:val="0"/>
        <w:autoSpaceDN w:val="0"/>
        <w:bidi w:val="0"/>
        <w:adjustRightInd/>
        <w:snapToGrid/>
        <w:spacing w:before="135" w:line="360" w:lineRule="exact"/>
        <w:ind w:left="664"/>
        <w:textAlignment w:val="auto"/>
      </w:pPr>
      <w:r>
        <w:t>9、负责提供清扫保洁所需的全部设备、工具和材料。</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10、乙方负责安排骨干参加业务技术的培训学习。教育员工遵守交通法规。</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11、乙方负责作业过程中的事故处理和一切费用。</w:t>
      </w:r>
    </w:p>
    <w:p>
      <w:pPr>
        <w:pStyle w:val="8"/>
        <w:keepNext w:val="0"/>
        <w:keepLines w:val="0"/>
        <w:pageBreakBefore w:val="0"/>
        <w:widowControl w:val="0"/>
        <w:kinsoku/>
        <w:wordWrap/>
        <w:overflowPunct/>
        <w:topLinePunct w:val="0"/>
        <w:autoSpaceDE w:val="0"/>
        <w:autoSpaceDN w:val="0"/>
        <w:bidi w:val="0"/>
        <w:adjustRightInd/>
        <w:snapToGrid/>
        <w:spacing w:before="136" w:line="360" w:lineRule="exact"/>
        <w:ind w:left="664"/>
        <w:textAlignment w:val="auto"/>
      </w:pPr>
      <w:r>
        <w:t>12、乙方不得有弄虚作假及其不正当行为。</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100" w:right="245" w:firstLine="564"/>
        <w:textAlignment w:val="auto"/>
      </w:pPr>
      <w:r>
        <w:t>13、乙方应认真保管，维护好保洁区域上的环卫设施。教育员工不得在责任区外翻捡废品，干私活，侵犯他人利益。</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100" w:right="245" w:firstLine="564"/>
        <w:textAlignment w:val="auto"/>
      </w:pPr>
      <w:r>
        <w:t>14、乙方应严格遵守国家法律、法规的规定，做好社会治安综合治理和计划生育等工作，不得违反国家法律、法规和温岭市的有关规定。</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100" w:right="245" w:firstLine="564"/>
        <w:textAlignment w:val="auto"/>
      </w:pPr>
      <w:r>
        <w:t>15、在合同期内，因国家建设需要调整乙方管理服务任务时，乙方要服从大局，相应增减承包面积及经费。由此造成的经济损失，甲方不负赔偿责任。</w:t>
      </w:r>
    </w:p>
    <w:p>
      <w:pPr>
        <w:pStyle w:val="8"/>
        <w:keepNext w:val="0"/>
        <w:keepLines w:val="0"/>
        <w:pageBreakBefore w:val="0"/>
        <w:widowControl w:val="0"/>
        <w:kinsoku/>
        <w:wordWrap/>
        <w:overflowPunct/>
        <w:topLinePunct w:val="0"/>
        <w:autoSpaceDE w:val="0"/>
        <w:autoSpaceDN w:val="0"/>
        <w:bidi w:val="0"/>
        <w:adjustRightInd/>
        <w:snapToGrid/>
        <w:spacing w:before="1" w:line="360" w:lineRule="exact"/>
        <w:ind w:left="100" w:right="245" w:firstLine="564"/>
        <w:textAlignment w:val="auto"/>
      </w:pPr>
      <w:r>
        <w:t>16、乙方应遵守法律、法规和政策的规定，因以上原因使合同性质发生改变，甲方不负赔偿责任。</w:t>
      </w:r>
    </w:p>
    <w:p>
      <w:pPr>
        <w:pStyle w:val="8"/>
        <w:keepNext w:val="0"/>
        <w:keepLines w:val="0"/>
        <w:pageBreakBefore w:val="0"/>
        <w:widowControl w:val="0"/>
        <w:kinsoku/>
        <w:wordWrap/>
        <w:overflowPunct/>
        <w:topLinePunct w:val="0"/>
        <w:autoSpaceDE w:val="0"/>
        <w:autoSpaceDN w:val="0"/>
        <w:bidi w:val="0"/>
        <w:adjustRightInd/>
        <w:snapToGrid/>
        <w:spacing w:before="1" w:line="360" w:lineRule="exact"/>
        <w:ind w:left="664"/>
        <w:textAlignment w:val="auto"/>
      </w:pPr>
      <w:r>
        <w:t>第十</w:t>
      </w:r>
      <w:r>
        <w:rPr>
          <w:rFonts w:hint="eastAsia"/>
          <w:lang w:eastAsia="zh-CN"/>
        </w:rPr>
        <w:t>一</w:t>
      </w:r>
      <w:r>
        <w:t>条 合同组成</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100" w:right="330" w:firstLine="525"/>
        <w:textAlignment w:val="auto"/>
      </w:pPr>
      <w:r>
        <w:rPr>
          <w:spacing w:val="-10"/>
        </w:rPr>
        <w:t>承包合同由《招标文件》、《投标文件》、《考核办法》及附件为本合同的有效组成部分。</w:t>
      </w:r>
    </w:p>
    <w:p>
      <w:pPr>
        <w:pStyle w:val="8"/>
        <w:keepNext w:val="0"/>
        <w:keepLines w:val="0"/>
        <w:pageBreakBefore w:val="0"/>
        <w:widowControl w:val="0"/>
        <w:kinsoku/>
        <w:wordWrap/>
        <w:overflowPunct/>
        <w:topLinePunct w:val="0"/>
        <w:autoSpaceDE w:val="0"/>
        <w:autoSpaceDN w:val="0"/>
        <w:bidi w:val="0"/>
        <w:adjustRightInd/>
        <w:snapToGrid/>
        <w:spacing w:before="5" w:line="360" w:lineRule="exact"/>
        <w:ind w:left="664"/>
        <w:textAlignment w:val="auto"/>
      </w:pPr>
      <w:r>
        <w:t>第十</w:t>
      </w:r>
      <w:r>
        <w:rPr>
          <w:rFonts w:hint="eastAsia"/>
          <w:lang w:eastAsia="zh-CN"/>
        </w:rPr>
        <w:t>二</w:t>
      </w:r>
      <w:r>
        <w:t>条 违约责任</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（一）乙方违反甲方具体要求及《招标文件》规定的行为均属违约行为。甲方根据</w:t>
      </w:r>
    </w:p>
    <w:p>
      <w:pPr>
        <w:pStyle w:val="8"/>
        <w:keepNext w:val="0"/>
        <w:keepLines w:val="0"/>
        <w:pageBreakBefore w:val="0"/>
        <w:widowControl w:val="0"/>
        <w:kinsoku/>
        <w:wordWrap/>
        <w:overflowPunct/>
        <w:topLinePunct w:val="0"/>
        <w:autoSpaceDE w:val="0"/>
        <w:autoSpaceDN w:val="0"/>
        <w:bidi w:val="0"/>
        <w:adjustRightInd/>
        <w:snapToGrid/>
        <w:spacing w:before="2" w:line="360" w:lineRule="exact"/>
        <w:ind w:left="100"/>
        <w:textAlignment w:val="auto"/>
      </w:pPr>
      <w:r>
        <w:t>上述规定条款，视乙方违反规定的情节轻重，做出批评教育、警告、扣罚处理，情节严重</w:t>
      </w:r>
    </w:p>
    <w:p>
      <w:pPr>
        <w:pStyle w:val="8"/>
        <w:keepNext w:val="0"/>
        <w:keepLines w:val="0"/>
        <w:pageBreakBefore w:val="0"/>
        <w:widowControl w:val="0"/>
        <w:kinsoku/>
        <w:wordWrap/>
        <w:overflowPunct/>
        <w:topLinePunct w:val="0"/>
        <w:autoSpaceDE w:val="0"/>
        <w:autoSpaceDN w:val="0"/>
        <w:bidi w:val="0"/>
        <w:adjustRightInd/>
        <w:snapToGrid/>
        <w:spacing w:before="136" w:line="360" w:lineRule="exact"/>
        <w:ind w:left="100" w:right="354"/>
        <w:jc w:val="both"/>
        <w:textAlignment w:val="auto"/>
      </w:pPr>
      <w:r>
        <w:rPr>
          <w:spacing w:val="-9"/>
        </w:rPr>
        <w:t>者，甲方有权单方终止本合同，由乙方承担一切经济损失和法律责任。因乙方违约造成</w:t>
      </w:r>
      <w:r>
        <w:rPr>
          <w:spacing w:val="-5"/>
        </w:rPr>
        <w:t>甲方损失的，甲方从乙方缴纳的履约保证金中扣除。</w:t>
      </w:r>
    </w:p>
    <w:p>
      <w:pPr>
        <w:keepNext w:val="0"/>
        <w:keepLines w:val="0"/>
        <w:pageBreakBefore w:val="0"/>
        <w:widowControl w:val="0"/>
        <w:kinsoku/>
        <w:wordWrap/>
        <w:overflowPunct/>
        <w:topLinePunct w:val="0"/>
        <w:autoSpaceDE w:val="0"/>
        <w:autoSpaceDN w:val="0"/>
        <w:bidi w:val="0"/>
        <w:adjustRightInd/>
        <w:snapToGrid/>
        <w:spacing w:before="1" w:line="360" w:lineRule="exact"/>
        <w:ind w:left="100" w:right="245" w:firstLine="564"/>
        <w:jc w:val="both"/>
        <w:textAlignment w:val="auto"/>
        <w:rPr>
          <w:b/>
          <w:sz w:val="24"/>
        </w:rPr>
      </w:pPr>
      <w:r>
        <w:rPr>
          <w:sz w:val="24"/>
        </w:rPr>
        <w:t xml:space="preserve">（二）乙方因机械、工具或技术、劳动等跟不上管理需要影响工作，未达到质量标准， </w:t>
      </w:r>
      <w:r>
        <w:rPr>
          <w:b/>
          <w:sz w:val="24"/>
        </w:rPr>
        <w:t>月考核一年内连续两次不合格或累计三次不合格的，甲方有权单方终止本合同。</w:t>
      </w:r>
    </w:p>
    <w:p>
      <w:pPr>
        <w:pStyle w:val="8"/>
        <w:keepNext w:val="0"/>
        <w:keepLines w:val="0"/>
        <w:pageBreakBefore w:val="0"/>
        <w:widowControl w:val="0"/>
        <w:kinsoku/>
        <w:wordWrap/>
        <w:overflowPunct/>
        <w:topLinePunct w:val="0"/>
        <w:autoSpaceDE w:val="0"/>
        <w:autoSpaceDN w:val="0"/>
        <w:bidi w:val="0"/>
        <w:adjustRightInd/>
        <w:snapToGrid/>
        <w:spacing w:before="5" w:line="360" w:lineRule="exact"/>
        <w:ind w:left="100" w:right="148" w:firstLine="564"/>
        <w:jc w:val="both"/>
        <w:textAlignment w:val="auto"/>
      </w:pPr>
      <w:r>
        <w:t>（三</w:t>
      </w:r>
      <w:r>
        <w:rPr>
          <w:spacing w:val="-12"/>
        </w:rPr>
        <w:t>）</w:t>
      </w:r>
      <w:r>
        <w:rPr>
          <w:spacing w:val="-5"/>
        </w:rPr>
        <w:t>根据招标文件对本项目人员、机械、车辆的配备及要求，乙方如未按招标文件</w:t>
      </w:r>
      <w:r>
        <w:t>的要求和投标文件承诺配备的，甲方有权收回缺位费用，扣罚履约保证金，严重的直至终止采购合同。同时保留向乙方进一步索赔的权利，将乙方列入不诚信乙方黑名单， 三年内不得参加温岭市</w:t>
      </w:r>
      <w:r>
        <w:rPr>
          <w:rFonts w:hint="eastAsia"/>
          <w:lang w:eastAsia="zh-CN"/>
        </w:rPr>
        <w:t>滨海</w:t>
      </w:r>
      <w:r>
        <w:t>镇清扫保洁投标活动。</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664"/>
        <w:textAlignment w:val="auto"/>
      </w:pPr>
      <w:r>
        <w:t>乙方中标后采用更新，更好的车辆替换投标车辆的，经采购人审核同意，可以予以</w:t>
      </w:r>
    </w:p>
    <w:p>
      <w:pPr>
        <w:pStyle w:val="8"/>
        <w:keepNext w:val="0"/>
        <w:keepLines w:val="0"/>
        <w:pageBreakBefore w:val="0"/>
        <w:widowControl w:val="0"/>
        <w:kinsoku/>
        <w:wordWrap/>
        <w:overflowPunct/>
        <w:topLinePunct w:val="0"/>
        <w:autoSpaceDE w:val="0"/>
        <w:autoSpaceDN w:val="0"/>
        <w:bidi w:val="0"/>
        <w:adjustRightInd/>
        <w:snapToGrid/>
        <w:spacing w:before="38" w:line="360" w:lineRule="exact"/>
        <w:textAlignment w:val="auto"/>
      </w:pPr>
      <w:r>
        <w:t>更换。</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100" w:right="152" w:firstLine="564"/>
        <w:jc w:val="both"/>
        <w:textAlignment w:val="auto"/>
      </w:pPr>
      <w:r>
        <w:rPr>
          <w:spacing w:val="2"/>
        </w:rPr>
        <w:t>(四) 乙方道路清扫车</w:t>
      </w:r>
      <w:r>
        <w:rPr>
          <w:rFonts w:hint="eastAsia"/>
          <w:spacing w:val="2"/>
          <w:lang w:eastAsia="zh-CN"/>
        </w:rPr>
        <w:t>、清运车、洒水车</w:t>
      </w:r>
      <w:r>
        <w:rPr>
          <w:spacing w:val="2"/>
        </w:rPr>
        <w:t>弄虚作假没有实际扫地</w:t>
      </w:r>
      <w:r>
        <w:rPr>
          <w:rFonts w:hint="eastAsia"/>
          <w:spacing w:val="2"/>
          <w:lang w:eastAsia="zh-CN"/>
        </w:rPr>
        <w:t>、清运、洒水</w:t>
      </w:r>
      <w:r>
        <w:rPr>
          <w:spacing w:val="2"/>
        </w:rPr>
        <w:t>，一经发现，甲方有权扣除道路清扫车</w:t>
      </w:r>
      <w:r>
        <w:rPr>
          <w:rFonts w:hint="eastAsia"/>
          <w:spacing w:val="2"/>
          <w:lang w:eastAsia="zh-CN"/>
        </w:rPr>
        <w:t>等</w:t>
      </w:r>
      <w:r>
        <w:rPr>
          <w:spacing w:val="2"/>
        </w:rPr>
        <w:t>全年清扫费用，终止采购合同，没收履约保证金，保留向乙方进一步索赔的权利，将乙方列入不诚信乙方黑名单，三年内不得参加温岭市</w:t>
      </w:r>
      <w:r>
        <w:rPr>
          <w:rFonts w:hint="eastAsia"/>
          <w:spacing w:val="2"/>
          <w:lang w:eastAsia="zh-CN"/>
        </w:rPr>
        <w:t>滨海</w:t>
      </w:r>
      <w:r>
        <w:rPr>
          <w:spacing w:val="2"/>
        </w:rPr>
        <w:t>镇清扫保洁</w:t>
      </w:r>
      <w:r>
        <w:rPr>
          <w:rFonts w:hint="eastAsia"/>
          <w:spacing w:val="2"/>
          <w:lang w:eastAsia="zh-CN"/>
        </w:rPr>
        <w:t>等</w:t>
      </w:r>
      <w:r>
        <w:rPr>
          <w:spacing w:val="2"/>
        </w:rPr>
        <w:t>投标活动。</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100" w:right="153" w:firstLine="564"/>
        <w:jc w:val="both"/>
        <w:textAlignment w:val="auto"/>
      </w:pPr>
      <w:r>
        <w:rPr>
          <w:spacing w:val="2"/>
        </w:rPr>
        <w:t>(五) 本清扫保洁</w:t>
      </w:r>
      <w:r>
        <w:rPr>
          <w:rFonts w:hint="eastAsia"/>
          <w:spacing w:val="2"/>
          <w:lang w:eastAsia="zh-CN"/>
        </w:rPr>
        <w:t>、清运</w:t>
      </w:r>
      <w:r>
        <w:rPr>
          <w:spacing w:val="2"/>
        </w:rPr>
        <w:t>作业未经甲方同意外，乙方不得将本项目分包与转包，一经发现立即取消承包资格，作违约处理，并承担由此引起的法律责任及一切经济损失。</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100" w:right="152" w:firstLine="564"/>
        <w:jc w:val="both"/>
        <w:textAlignment w:val="auto"/>
      </w:pPr>
      <w:r>
        <w:t>（六）在本次招投标中担任项目负责人的，须专职，不得在温岭其它项目中担任项目负责人，本项目中标供应商项目负责人不得擅自变更，未经采购人同意，变更项目负责人的，扣罚 10 万元履约保证金；情节严重的，采购人可以无责任取消其中标资格及中标合同</w:t>
      </w:r>
      <w:r>
        <w:rPr>
          <w:rFonts w:hint="eastAsia"/>
          <w:lang w:eastAsia="zh-CN"/>
        </w:rPr>
        <w:t>并没收全部履约保证金</w:t>
      </w:r>
      <w:r>
        <w:t>。</w:t>
      </w:r>
    </w:p>
    <w:p>
      <w:pPr>
        <w:pStyle w:val="8"/>
        <w:keepNext w:val="0"/>
        <w:keepLines w:val="0"/>
        <w:pageBreakBefore w:val="0"/>
        <w:widowControl w:val="0"/>
        <w:kinsoku/>
        <w:wordWrap/>
        <w:overflowPunct/>
        <w:topLinePunct w:val="0"/>
        <w:autoSpaceDE w:val="0"/>
        <w:autoSpaceDN w:val="0"/>
        <w:bidi w:val="0"/>
        <w:adjustRightInd/>
        <w:snapToGrid/>
        <w:spacing w:before="57" w:line="360" w:lineRule="exact"/>
        <w:ind w:left="100" w:right="143" w:firstLine="564"/>
        <w:jc w:val="both"/>
        <w:textAlignment w:val="auto"/>
        <w:rPr>
          <w:spacing w:val="-2"/>
        </w:rPr>
      </w:pPr>
      <w:r>
        <w:rPr>
          <w:spacing w:val="4"/>
        </w:rPr>
        <w:t>（七</w:t>
      </w:r>
      <w:r>
        <w:rPr>
          <w:spacing w:val="-22"/>
        </w:rPr>
        <w:t>）</w:t>
      </w:r>
      <w:r>
        <w:rPr>
          <w:rFonts w:hint="eastAsia"/>
          <w:spacing w:val="-22"/>
          <w:lang w:eastAsia="zh-CN"/>
        </w:rPr>
        <w:t>若在报请采购人同意后</w:t>
      </w:r>
      <w:r>
        <w:rPr>
          <w:rFonts w:hint="eastAsia"/>
          <w:spacing w:val="-5"/>
          <w:lang w:eastAsia="zh-CN"/>
        </w:rPr>
        <w:t>新</w:t>
      </w:r>
      <w:r>
        <w:rPr>
          <w:spacing w:val="-5"/>
        </w:rPr>
        <w:t>购买的车辆，必须为</w:t>
      </w:r>
      <w:r>
        <w:rPr>
          <w:rFonts w:hint="eastAsia"/>
          <w:spacing w:val="-5"/>
          <w:lang w:eastAsia="zh-CN"/>
        </w:rPr>
        <w:t>无故障</w:t>
      </w:r>
      <w:r>
        <w:rPr>
          <w:spacing w:val="-5"/>
        </w:rPr>
        <w:t>车辆；乙方不履行本项要求，甲方可以按</w:t>
      </w:r>
      <w:r>
        <w:rPr>
          <w:spacing w:val="-4"/>
        </w:rPr>
        <w:t>1</w:t>
      </w:r>
      <w:r>
        <w:rPr>
          <w:rFonts w:hint="eastAsia"/>
          <w:spacing w:val="-4"/>
          <w:lang w:val="en-US" w:eastAsia="zh-CN"/>
        </w:rPr>
        <w:t>2</w:t>
      </w:r>
      <w:r>
        <w:t xml:space="preserve"> 万元每辆车的标准在履约保证金中进行扣罚，乙方拒不整改的，采购人可以无责任取消其中标资格及中标合同</w:t>
      </w:r>
      <w:r>
        <w:rPr>
          <w:rFonts w:hint="eastAsia"/>
          <w:lang w:eastAsia="zh-CN"/>
        </w:rPr>
        <w:t>并没收全部履约保证金</w:t>
      </w:r>
      <w:r>
        <w:rPr>
          <w:spacing w:val="-2"/>
        </w:rPr>
        <w:t>。</w:t>
      </w:r>
    </w:p>
    <w:p>
      <w:pPr>
        <w:pStyle w:val="8"/>
        <w:keepNext w:val="0"/>
        <w:keepLines w:val="0"/>
        <w:pageBreakBefore w:val="0"/>
        <w:widowControl w:val="0"/>
        <w:kinsoku/>
        <w:wordWrap/>
        <w:overflowPunct/>
        <w:topLinePunct w:val="0"/>
        <w:autoSpaceDE w:val="0"/>
        <w:autoSpaceDN w:val="0"/>
        <w:bidi w:val="0"/>
        <w:adjustRightInd/>
        <w:snapToGrid/>
        <w:spacing w:before="57" w:line="360" w:lineRule="exact"/>
        <w:ind w:left="100" w:right="143" w:firstLine="564"/>
        <w:jc w:val="both"/>
        <w:textAlignment w:val="auto"/>
        <w:rPr>
          <w:rFonts w:hint="eastAsia"/>
          <w:spacing w:val="-2"/>
          <w:lang w:val="en-US" w:eastAsia="zh-CN"/>
        </w:rPr>
      </w:pPr>
      <w:r>
        <w:rPr>
          <w:rFonts w:hint="eastAsia"/>
          <w:spacing w:val="-2"/>
          <w:lang w:eastAsia="zh-CN"/>
        </w:rPr>
        <w:t>（八）私接滨海镇范围外垃圾进行清运被查属实的，每发现一次直接在月进度款中扣</w:t>
      </w:r>
      <w:r>
        <w:rPr>
          <w:rFonts w:hint="eastAsia"/>
          <w:spacing w:val="-2"/>
          <w:lang w:val="en-US" w:eastAsia="zh-CN"/>
        </w:rPr>
        <w:t>5万元，屡不整改的加倍处罚并没收履约保证金。</w:t>
      </w:r>
    </w:p>
    <w:p>
      <w:pPr>
        <w:pStyle w:val="8"/>
        <w:keepNext w:val="0"/>
        <w:keepLines w:val="0"/>
        <w:pageBreakBefore w:val="0"/>
        <w:widowControl w:val="0"/>
        <w:kinsoku/>
        <w:wordWrap/>
        <w:overflowPunct/>
        <w:topLinePunct w:val="0"/>
        <w:autoSpaceDE w:val="0"/>
        <w:autoSpaceDN w:val="0"/>
        <w:bidi w:val="0"/>
        <w:adjustRightInd/>
        <w:snapToGrid/>
        <w:spacing w:before="57" w:line="360" w:lineRule="exact"/>
        <w:ind w:left="100" w:right="143" w:firstLine="564"/>
        <w:jc w:val="both"/>
        <w:textAlignment w:val="auto"/>
        <w:rPr>
          <w:rFonts w:hint="default" w:eastAsia="宋体"/>
          <w:lang w:val="en-US" w:eastAsia="zh-CN"/>
        </w:rPr>
      </w:pPr>
      <w:r>
        <w:rPr>
          <w:rFonts w:hint="eastAsia"/>
          <w:spacing w:val="-2"/>
          <w:lang w:val="en-US" w:eastAsia="zh-CN"/>
        </w:rPr>
        <w:t>（九）不得清运工业垃圾，</w:t>
      </w:r>
      <w:r>
        <w:rPr>
          <w:rFonts w:hint="eastAsia"/>
          <w:spacing w:val="-2"/>
          <w:lang w:eastAsia="zh-CN"/>
        </w:rPr>
        <w:t>每发现一次直接在月进度款中扣</w:t>
      </w:r>
      <w:r>
        <w:rPr>
          <w:rFonts w:hint="eastAsia"/>
          <w:spacing w:val="-2"/>
          <w:lang w:val="en-US" w:eastAsia="zh-CN"/>
        </w:rPr>
        <w:t>5万元，屡不整改的加倍处罚并没收履约保证金。</w:t>
      </w:r>
    </w:p>
    <w:p>
      <w:pPr>
        <w:pStyle w:val="8"/>
        <w:keepNext w:val="0"/>
        <w:keepLines w:val="0"/>
        <w:pageBreakBefore w:val="0"/>
        <w:widowControl w:val="0"/>
        <w:kinsoku/>
        <w:wordWrap/>
        <w:overflowPunct/>
        <w:topLinePunct w:val="0"/>
        <w:autoSpaceDE w:val="0"/>
        <w:autoSpaceDN w:val="0"/>
        <w:bidi w:val="0"/>
        <w:adjustRightInd/>
        <w:snapToGrid/>
        <w:spacing w:line="360" w:lineRule="exact"/>
        <w:ind w:left="664"/>
        <w:jc w:val="both"/>
        <w:textAlignment w:val="auto"/>
      </w:pPr>
      <w:r>
        <w:t>第十</w:t>
      </w:r>
      <w:r>
        <w:rPr>
          <w:rFonts w:hint="eastAsia"/>
          <w:lang w:eastAsia="zh-CN"/>
        </w:rPr>
        <w:t>三</w:t>
      </w:r>
      <w:r>
        <w:t>条 争议的解决</w:t>
      </w:r>
    </w:p>
    <w:p>
      <w:pPr>
        <w:pStyle w:val="8"/>
        <w:keepNext w:val="0"/>
        <w:keepLines w:val="0"/>
        <w:pageBreakBefore w:val="0"/>
        <w:widowControl w:val="0"/>
        <w:kinsoku/>
        <w:wordWrap/>
        <w:overflowPunct/>
        <w:topLinePunct w:val="0"/>
        <w:autoSpaceDE w:val="0"/>
        <w:autoSpaceDN w:val="0"/>
        <w:bidi w:val="0"/>
        <w:adjustRightInd/>
        <w:snapToGrid/>
        <w:spacing w:before="69" w:line="360" w:lineRule="exact"/>
        <w:ind w:left="100" w:right="143" w:firstLine="520"/>
        <w:textAlignment w:val="auto"/>
      </w:pPr>
      <w:r>
        <w:rPr>
          <w:spacing w:val="-5"/>
        </w:rPr>
        <w:t>在本合同执行过程中如发生争议，首先应本着友好的原则协商解决；协商未果的，甲</w:t>
      </w:r>
      <w:r>
        <w:rPr>
          <w:spacing w:val="-10"/>
        </w:rPr>
        <w:t>乙双方均可向合同签订地人民法院提起诉讼。</w:t>
      </w:r>
    </w:p>
    <w:p>
      <w:pPr>
        <w:pStyle w:val="8"/>
        <w:keepNext w:val="0"/>
        <w:keepLines w:val="0"/>
        <w:pageBreakBefore w:val="0"/>
        <w:widowControl w:val="0"/>
        <w:kinsoku/>
        <w:wordWrap/>
        <w:overflowPunct/>
        <w:topLinePunct w:val="0"/>
        <w:autoSpaceDE w:val="0"/>
        <w:autoSpaceDN w:val="0"/>
        <w:bidi w:val="0"/>
        <w:adjustRightInd/>
        <w:snapToGrid/>
        <w:spacing w:before="5" w:line="360" w:lineRule="exact"/>
        <w:ind w:left="664"/>
        <w:textAlignment w:val="auto"/>
      </w:pPr>
      <w:r>
        <w:t>第十</w:t>
      </w:r>
      <w:r>
        <w:rPr>
          <w:rFonts w:hint="eastAsia"/>
          <w:lang w:eastAsia="zh-CN"/>
        </w:rPr>
        <w:t>四</w:t>
      </w:r>
      <w:r>
        <w:t>条 合同生效及终止</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（一）合同生效：本合同自甲乙双方法定代表人签字、盖章之日起生效。</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（二）合同终止：本项目有下列情形的，采购人有权终止合同 。</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rPr>
          <w:spacing w:val="-17"/>
        </w:rPr>
      </w:pPr>
      <w:r>
        <w:rPr>
          <w:spacing w:val="-17"/>
        </w:rPr>
        <w:t>1、</w:t>
      </w:r>
      <w:r>
        <w:rPr>
          <w:spacing w:val="-6"/>
        </w:rPr>
        <w:t>本项目遇不可抗力影响或法律、法规、国家政策重大调整影响合同无法执行的；</w:t>
      </w:r>
    </w:p>
    <w:p>
      <w:pPr>
        <w:pStyle w:val="8"/>
        <w:keepNext w:val="0"/>
        <w:keepLines w:val="0"/>
        <w:pageBreakBefore w:val="0"/>
        <w:widowControl w:val="0"/>
        <w:kinsoku/>
        <w:wordWrap/>
        <w:overflowPunct/>
        <w:topLinePunct w:val="0"/>
        <w:autoSpaceDE w:val="0"/>
        <w:autoSpaceDN w:val="0"/>
        <w:bidi w:val="0"/>
        <w:adjustRightInd/>
        <w:snapToGrid/>
        <w:spacing w:before="124" w:line="360" w:lineRule="exact"/>
        <w:ind w:left="664"/>
        <w:textAlignment w:val="auto"/>
      </w:pPr>
      <w:r>
        <w:t>2</w:t>
      </w:r>
      <w:r>
        <w:rPr>
          <w:spacing w:val="-9"/>
        </w:rPr>
        <w:t>、实际投入人员、机械车辆与投标文件承诺不符合，拒不履行投标承诺的中标供应商</w:t>
      </w:r>
    </w:p>
    <w:p>
      <w:pPr>
        <w:pStyle w:val="8"/>
        <w:keepNext w:val="0"/>
        <w:keepLines w:val="0"/>
        <w:pageBreakBefore w:val="0"/>
        <w:widowControl w:val="0"/>
        <w:kinsoku/>
        <w:wordWrap/>
        <w:overflowPunct/>
        <w:topLinePunct w:val="0"/>
        <w:autoSpaceDE w:val="0"/>
        <w:autoSpaceDN w:val="0"/>
        <w:bidi w:val="0"/>
        <w:adjustRightInd/>
        <w:snapToGrid/>
        <w:spacing w:before="139" w:line="360" w:lineRule="exact"/>
        <w:ind w:left="100" w:right="82"/>
        <w:textAlignment w:val="auto"/>
      </w:pPr>
      <w:r>
        <w:t>（未按招标文件规定时间人员、机械车辆到位，达到解除合同条件的），采购人有权无责任终止采购合同，并没收其全部履约保证金。</w:t>
      </w:r>
    </w:p>
    <w:p>
      <w:pPr>
        <w:pStyle w:val="8"/>
        <w:keepNext w:val="0"/>
        <w:keepLines w:val="0"/>
        <w:pageBreakBefore w:val="0"/>
        <w:widowControl w:val="0"/>
        <w:kinsoku/>
        <w:wordWrap/>
        <w:overflowPunct/>
        <w:topLinePunct w:val="0"/>
        <w:autoSpaceDE w:val="0"/>
        <w:autoSpaceDN w:val="0"/>
        <w:bidi w:val="0"/>
        <w:adjustRightInd/>
        <w:snapToGrid/>
        <w:spacing w:before="5" w:line="360" w:lineRule="exact"/>
        <w:ind w:left="664"/>
        <w:textAlignment w:val="auto"/>
      </w:pPr>
      <w:r>
        <w:t>3、乙方对监管人员、考核成员有行贿或其它利益输送行为的。</w:t>
      </w:r>
    </w:p>
    <w:p>
      <w:pPr>
        <w:pStyle w:val="8"/>
        <w:keepNext w:val="0"/>
        <w:keepLines w:val="0"/>
        <w:pageBreakBefore w:val="0"/>
        <w:widowControl w:val="0"/>
        <w:kinsoku/>
        <w:wordWrap/>
        <w:overflowPunct/>
        <w:topLinePunct w:val="0"/>
        <w:autoSpaceDE w:val="0"/>
        <w:autoSpaceDN w:val="0"/>
        <w:bidi w:val="0"/>
        <w:adjustRightInd/>
        <w:snapToGrid/>
        <w:spacing w:before="134" w:line="360" w:lineRule="exact"/>
        <w:ind w:left="100" w:right="317" w:firstLine="564"/>
        <w:textAlignment w:val="auto"/>
      </w:pPr>
      <w:r>
        <w:t>4</w:t>
      </w:r>
      <w:r>
        <w:rPr>
          <w:spacing w:val="-13"/>
        </w:rPr>
        <w:t>、按相关法律、法规、招标文件规定及考核办法，有下列情形之一的，采购人有权终</w:t>
      </w:r>
      <w:r>
        <w:t>止合同：</w:t>
      </w:r>
    </w:p>
    <w:p>
      <w:pPr>
        <w:pStyle w:val="19"/>
        <w:keepNext w:val="0"/>
        <w:keepLines w:val="0"/>
        <w:pageBreakBefore w:val="0"/>
        <w:widowControl w:val="0"/>
        <w:numPr>
          <w:ilvl w:val="0"/>
          <w:numId w:val="22"/>
        </w:numPr>
        <w:tabs>
          <w:tab w:val="left" w:pos="1619"/>
          <w:tab w:val="left" w:pos="1620"/>
        </w:tabs>
        <w:kinsoku/>
        <w:wordWrap/>
        <w:overflowPunct/>
        <w:topLinePunct w:val="0"/>
        <w:autoSpaceDE w:val="0"/>
        <w:autoSpaceDN w:val="0"/>
        <w:bidi w:val="0"/>
        <w:adjustRightInd/>
        <w:snapToGrid/>
        <w:spacing w:before="0" w:after="0" w:line="360" w:lineRule="exact"/>
        <w:ind w:left="100" w:right="155" w:firstLine="554"/>
        <w:jc w:val="left"/>
        <w:textAlignment w:val="auto"/>
        <w:rPr>
          <w:sz w:val="24"/>
        </w:rPr>
      </w:pPr>
      <w:r>
        <w:rPr>
          <w:spacing w:val="-3"/>
          <w:sz w:val="24"/>
        </w:rPr>
        <w:t>全年有两次被严重警告或三次被警告</w:t>
      </w:r>
      <w:r>
        <w:rPr>
          <w:sz w:val="24"/>
        </w:rPr>
        <w:t>（</w:t>
      </w:r>
      <w:r>
        <w:rPr>
          <w:spacing w:val="-5"/>
          <w:sz w:val="24"/>
        </w:rPr>
        <w:t>含一次严重警告，两次警告</w:t>
      </w:r>
      <w:r>
        <w:rPr>
          <w:spacing w:val="-29"/>
          <w:sz w:val="24"/>
        </w:rPr>
        <w:t>）</w:t>
      </w:r>
      <w:r>
        <w:rPr>
          <w:sz w:val="24"/>
        </w:rPr>
        <w:t>的承</w:t>
      </w:r>
      <w:r>
        <w:rPr>
          <w:spacing w:val="-10"/>
          <w:sz w:val="24"/>
        </w:rPr>
        <w:t>包单位，采购人有权无责任终止采购合同，并没收其全部履约保证金。警告及严重警告情形</w:t>
      </w:r>
      <w:r>
        <w:rPr>
          <w:spacing w:val="-5"/>
          <w:sz w:val="24"/>
        </w:rPr>
        <w:t>具体见考核办法。</w:t>
      </w:r>
    </w:p>
    <w:p>
      <w:pPr>
        <w:pStyle w:val="19"/>
        <w:keepNext w:val="0"/>
        <w:keepLines w:val="0"/>
        <w:pageBreakBefore w:val="0"/>
        <w:widowControl w:val="0"/>
        <w:numPr>
          <w:ilvl w:val="0"/>
          <w:numId w:val="22"/>
        </w:numPr>
        <w:tabs>
          <w:tab w:val="left" w:pos="1619"/>
          <w:tab w:val="left" w:pos="1620"/>
        </w:tabs>
        <w:kinsoku/>
        <w:wordWrap/>
        <w:overflowPunct/>
        <w:topLinePunct w:val="0"/>
        <w:autoSpaceDE w:val="0"/>
        <w:autoSpaceDN w:val="0"/>
        <w:bidi w:val="0"/>
        <w:adjustRightInd/>
        <w:snapToGrid/>
        <w:spacing w:before="0" w:after="0" w:line="360" w:lineRule="exact"/>
        <w:ind w:left="1619" w:right="0" w:hanging="956"/>
        <w:jc w:val="left"/>
        <w:textAlignment w:val="auto"/>
        <w:rPr>
          <w:sz w:val="24"/>
        </w:rPr>
      </w:pPr>
      <w:r>
        <w:rPr>
          <w:sz w:val="24"/>
        </w:rPr>
        <w:t>违反安全管理、规范作业规定，造成重大伤亡或重大损失。</w:t>
      </w:r>
    </w:p>
    <w:p>
      <w:pPr>
        <w:pStyle w:val="19"/>
        <w:keepNext w:val="0"/>
        <w:keepLines w:val="0"/>
        <w:pageBreakBefore w:val="0"/>
        <w:widowControl w:val="0"/>
        <w:numPr>
          <w:ilvl w:val="0"/>
          <w:numId w:val="22"/>
        </w:numPr>
        <w:tabs>
          <w:tab w:val="left" w:pos="1619"/>
          <w:tab w:val="left" w:pos="1620"/>
        </w:tabs>
        <w:kinsoku/>
        <w:wordWrap/>
        <w:overflowPunct/>
        <w:topLinePunct w:val="0"/>
        <w:autoSpaceDE w:val="0"/>
        <w:autoSpaceDN w:val="0"/>
        <w:bidi w:val="0"/>
        <w:adjustRightInd/>
        <w:snapToGrid/>
        <w:spacing w:before="38" w:after="0" w:line="360" w:lineRule="exact"/>
        <w:ind w:left="1619" w:right="0" w:hanging="956"/>
        <w:jc w:val="left"/>
        <w:textAlignment w:val="auto"/>
        <w:rPr>
          <w:sz w:val="24"/>
        </w:rPr>
      </w:pPr>
      <w:r>
        <w:rPr>
          <w:sz w:val="24"/>
        </w:rPr>
        <w:t>经省、市级新闻媒体曝光，中标供应商为责任方，造成恶劣影响的。</w:t>
      </w:r>
    </w:p>
    <w:p>
      <w:pPr>
        <w:pStyle w:val="19"/>
        <w:keepNext w:val="0"/>
        <w:keepLines w:val="0"/>
        <w:pageBreakBefore w:val="0"/>
        <w:widowControl w:val="0"/>
        <w:numPr>
          <w:ilvl w:val="0"/>
          <w:numId w:val="22"/>
        </w:numPr>
        <w:tabs>
          <w:tab w:val="left" w:pos="1619"/>
          <w:tab w:val="left" w:pos="1620"/>
        </w:tabs>
        <w:kinsoku/>
        <w:wordWrap/>
        <w:overflowPunct/>
        <w:topLinePunct w:val="0"/>
        <w:autoSpaceDE w:val="0"/>
        <w:autoSpaceDN w:val="0"/>
        <w:bidi w:val="0"/>
        <w:adjustRightInd/>
        <w:snapToGrid/>
        <w:spacing w:before="136" w:after="0" w:line="360" w:lineRule="exact"/>
        <w:ind w:left="100" w:right="169" w:firstLine="540"/>
        <w:jc w:val="left"/>
        <w:textAlignment w:val="auto"/>
        <w:rPr>
          <w:sz w:val="24"/>
        </w:rPr>
      </w:pPr>
      <w:r>
        <w:rPr>
          <w:spacing w:val="-8"/>
          <w:sz w:val="24"/>
        </w:rPr>
        <w:t>经有关部门认定严重违反劳动法，造成恶劣影响的；或其它因违法经营受到</w:t>
      </w:r>
      <w:r>
        <w:rPr>
          <w:spacing w:val="-5"/>
          <w:sz w:val="24"/>
        </w:rPr>
        <w:t>刑事处罚或者责令停产停业、吊销许可证或者执照、较大数额罚款等行政处罚的。</w:t>
      </w:r>
    </w:p>
    <w:p>
      <w:pPr>
        <w:pStyle w:val="19"/>
        <w:keepNext w:val="0"/>
        <w:keepLines w:val="0"/>
        <w:pageBreakBefore w:val="0"/>
        <w:widowControl w:val="0"/>
        <w:numPr>
          <w:ilvl w:val="0"/>
          <w:numId w:val="22"/>
        </w:numPr>
        <w:tabs>
          <w:tab w:val="left" w:pos="1619"/>
          <w:tab w:val="left" w:pos="1620"/>
        </w:tabs>
        <w:kinsoku/>
        <w:wordWrap/>
        <w:overflowPunct/>
        <w:topLinePunct w:val="0"/>
        <w:autoSpaceDE w:val="0"/>
        <w:autoSpaceDN w:val="0"/>
        <w:bidi w:val="0"/>
        <w:adjustRightInd/>
        <w:snapToGrid/>
        <w:spacing w:before="4" w:after="0" w:line="360" w:lineRule="exact"/>
        <w:ind w:left="1619" w:right="0" w:hanging="956"/>
        <w:jc w:val="left"/>
        <w:textAlignment w:val="auto"/>
        <w:rPr>
          <w:sz w:val="24"/>
        </w:rPr>
      </w:pPr>
      <w:r>
        <w:rPr>
          <w:sz w:val="24"/>
        </w:rPr>
        <w:t>其它弄虚作假及其他不正当行为。</w:t>
      </w:r>
    </w:p>
    <w:p>
      <w:pPr>
        <w:pStyle w:val="19"/>
        <w:keepNext w:val="0"/>
        <w:keepLines w:val="0"/>
        <w:pageBreakBefore w:val="0"/>
        <w:widowControl w:val="0"/>
        <w:numPr>
          <w:ilvl w:val="0"/>
          <w:numId w:val="22"/>
        </w:numPr>
        <w:tabs>
          <w:tab w:val="left" w:pos="1619"/>
          <w:tab w:val="left" w:pos="1620"/>
        </w:tabs>
        <w:kinsoku/>
        <w:wordWrap/>
        <w:overflowPunct/>
        <w:topLinePunct w:val="0"/>
        <w:autoSpaceDE w:val="0"/>
        <w:autoSpaceDN w:val="0"/>
        <w:bidi w:val="0"/>
        <w:adjustRightInd/>
        <w:snapToGrid/>
        <w:spacing w:before="127" w:after="0" w:line="360" w:lineRule="exact"/>
        <w:ind w:left="1619" w:right="0" w:hanging="956"/>
        <w:jc w:val="left"/>
        <w:textAlignment w:val="auto"/>
        <w:rPr>
          <w:sz w:val="24"/>
        </w:rPr>
      </w:pPr>
      <w:r>
        <w:rPr>
          <w:sz w:val="24"/>
        </w:rPr>
        <w:t>合同履约期间，乙方法人组织破产，或重组变更法人主体的；</w:t>
      </w:r>
    </w:p>
    <w:p>
      <w:pPr>
        <w:pStyle w:val="19"/>
        <w:keepNext w:val="0"/>
        <w:keepLines w:val="0"/>
        <w:pageBreakBefore w:val="0"/>
        <w:widowControl w:val="0"/>
        <w:numPr>
          <w:ilvl w:val="0"/>
          <w:numId w:val="22"/>
        </w:numPr>
        <w:tabs>
          <w:tab w:val="left" w:pos="1619"/>
          <w:tab w:val="left" w:pos="1620"/>
        </w:tabs>
        <w:kinsoku/>
        <w:wordWrap/>
        <w:overflowPunct/>
        <w:topLinePunct w:val="0"/>
        <w:autoSpaceDE w:val="0"/>
        <w:autoSpaceDN w:val="0"/>
        <w:bidi w:val="0"/>
        <w:adjustRightInd/>
        <w:snapToGrid/>
        <w:spacing w:before="6" w:after="0" w:line="360" w:lineRule="exact"/>
        <w:ind w:left="664" w:right="428" w:hanging="29"/>
        <w:jc w:val="left"/>
        <w:textAlignment w:val="auto"/>
        <w:rPr>
          <w:sz w:val="24"/>
        </w:rPr>
      </w:pPr>
      <w:r>
        <w:rPr>
          <w:spacing w:val="-8"/>
          <w:sz w:val="24"/>
        </w:rPr>
        <w:t>根据招标文件及合同约定，终止合同的规定，其它法律规定的终止情形。5、合同期限届满时自行终止。</w:t>
      </w:r>
    </w:p>
    <w:p>
      <w:pPr>
        <w:pStyle w:val="8"/>
        <w:keepNext w:val="0"/>
        <w:keepLines w:val="0"/>
        <w:pageBreakBefore w:val="0"/>
        <w:widowControl w:val="0"/>
        <w:kinsoku/>
        <w:wordWrap/>
        <w:overflowPunct/>
        <w:topLinePunct w:val="0"/>
        <w:autoSpaceDE w:val="0"/>
        <w:autoSpaceDN w:val="0"/>
        <w:bidi w:val="0"/>
        <w:adjustRightInd/>
        <w:snapToGrid/>
        <w:spacing w:before="1" w:line="360" w:lineRule="exact"/>
        <w:ind w:left="664"/>
        <w:textAlignment w:val="auto"/>
      </w:pPr>
      <w:r>
        <w:t>第十</w:t>
      </w:r>
      <w:r>
        <w:rPr>
          <w:rFonts w:hint="eastAsia"/>
          <w:lang w:eastAsia="zh-CN"/>
        </w:rPr>
        <w:t>五</w:t>
      </w:r>
      <w:r>
        <w:t>条 合同的份数</w:t>
      </w:r>
    </w:p>
    <w:p>
      <w:pPr>
        <w:pStyle w:val="8"/>
        <w:keepNext w:val="0"/>
        <w:keepLines w:val="0"/>
        <w:pageBreakBefore w:val="0"/>
        <w:widowControl w:val="0"/>
        <w:kinsoku/>
        <w:wordWrap/>
        <w:overflowPunct/>
        <w:topLinePunct w:val="0"/>
        <w:autoSpaceDE w:val="0"/>
        <w:autoSpaceDN w:val="0"/>
        <w:bidi w:val="0"/>
        <w:adjustRightInd/>
        <w:snapToGrid/>
        <w:spacing w:before="58" w:line="360" w:lineRule="exact"/>
        <w:ind w:left="664"/>
        <w:textAlignment w:val="auto"/>
      </w:pPr>
      <w:r>
        <w:t>本合同一式六份，合同各方各执二份，其余备案用，具有同等法律效力。</w:t>
      </w:r>
    </w:p>
    <w:p>
      <w:pPr>
        <w:pStyle w:val="8"/>
        <w:keepNext w:val="0"/>
        <w:keepLines w:val="0"/>
        <w:pageBreakBefore w:val="0"/>
        <w:widowControl w:val="0"/>
        <w:kinsoku/>
        <w:wordWrap/>
        <w:overflowPunct/>
        <w:topLinePunct w:val="0"/>
        <w:autoSpaceDE w:val="0"/>
        <w:autoSpaceDN w:val="0"/>
        <w:bidi w:val="0"/>
        <w:adjustRightInd/>
        <w:snapToGrid/>
        <w:spacing w:before="9" w:line="360" w:lineRule="exact"/>
        <w:textAlignment w:val="auto"/>
      </w:pPr>
    </w:p>
    <w:tbl>
      <w:tblPr>
        <w:tblStyle w:val="15"/>
        <w:tblW w:w="0" w:type="auto"/>
        <w:tblInd w:w="1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02"/>
        <w:gridCol w:w="3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3302" w:type="dxa"/>
          </w:tcPr>
          <w:p>
            <w:pPr>
              <w:pStyle w:val="20"/>
              <w:keepNext w:val="0"/>
              <w:keepLines w:val="0"/>
              <w:pageBreakBefore w:val="0"/>
              <w:widowControl w:val="0"/>
              <w:tabs>
                <w:tab w:val="left" w:pos="925"/>
              </w:tabs>
              <w:kinsoku/>
              <w:wordWrap/>
              <w:overflowPunct/>
              <w:topLinePunct w:val="0"/>
              <w:autoSpaceDE w:val="0"/>
              <w:autoSpaceDN w:val="0"/>
              <w:bidi w:val="0"/>
              <w:adjustRightInd/>
              <w:snapToGrid/>
              <w:spacing w:line="360" w:lineRule="exact"/>
              <w:ind w:left="50"/>
              <w:textAlignment w:val="auto"/>
              <w:rPr>
                <w:sz w:val="24"/>
              </w:rPr>
            </w:pPr>
            <w:r>
              <w:rPr>
                <w:sz w:val="24"/>
              </w:rPr>
              <w:t>甲</w:t>
            </w:r>
            <w:r>
              <w:rPr>
                <w:sz w:val="24"/>
              </w:rPr>
              <w:tab/>
            </w:r>
            <w:r>
              <w:rPr>
                <w:sz w:val="24"/>
              </w:rPr>
              <w:t>方：（盖章）</w:t>
            </w:r>
          </w:p>
        </w:tc>
        <w:tc>
          <w:tcPr>
            <w:tcW w:w="3782" w:type="dxa"/>
          </w:tcPr>
          <w:p>
            <w:pPr>
              <w:pStyle w:val="20"/>
              <w:keepNext w:val="0"/>
              <w:keepLines w:val="0"/>
              <w:pageBreakBefore w:val="0"/>
              <w:widowControl w:val="0"/>
              <w:tabs>
                <w:tab w:val="left" w:pos="2291"/>
              </w:tabs>
              <w:kinsoku/>
              <w:wordWrap/>
              <w:overflowPunct/>
              <w:topLinePunct w:val="0"/>
              <w:autoSpaceDE w:val="0"/>
              <w:autoSpaceDN w:val="0"/>
              <w:bidi w:val="0"/>
              <w:adjustRightInd/>
              <w:snapToGrid/>
              <w:spacing w:line="360" w:lineRule="exact"/>
              <w:ind w:left="935"/>
              <w:textAlignment w:val="auto"/>
              <w:rPr>
                <w:sz w:val="24"/>
              </w:rPr>
            </w:pPr>
            <w:r>
              <w:rPr>
                <w:sz w:val="24"/>
              </w:rPr>
              <w:t>乙</w:t>
            </w:r>
            <w:r>
              <w:rPr>
                <w:sz w:val="24"/>
              </w:rPr>
              <w:tab/>
            </w:r>
            <w:r>
              <w:rPr>
                <w:sz w:val="24"/>
              </w:rPr>
              <w:t>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3302" w:type="dxa"/>
          </w:tcPr>
          <w:p>
            <w:pPr>
              <w:pStyle w:val="20"/>
              <w:keepNext w:val="0"/>
              <w:keepLines w:val="0"/>
              <w:pageBreakBefore w:val="0"/>
              <w:widowControl w:val="0"/>
              <w:kinsoku/>
              <w:wordWrap/>
              <w:overflowPunct/>
              <w:topLinePunct w:val="0"/>
              <w:autoSpaceDE w:val="0"/>
              <w:autoSpaceDN w:val="0"/>
              <w:bidi w:val="0"/>
              <w:adjustRightInd/>
              <w:snapToGrid/>
              <w:spacing w:before="49" w:line="360" w:lineRule="exact"/>
              <w:ind w:left="50"/>
              <w:textAlignment w:val="auto"/>
              <w:rPr>
                <w:sz w:val="24"/>
              </w:rPr>
            </w:pPr>
            <w:r>
              <w:rPr>
                <w:sz w:val="24"/>
              </w:rPr>
              <w:t>全权代表：（签字）</w:t>
            </w:r>
          </w:p>
        </w:tc>
        <w:tc>
          <w:tcPr>
            <w:tcW w:w="3782" w:type="dxa"/>
          </w:tcPr>
          <w:p>
            <w:pPr>
              <w:pStyle w:val="20"/>
              <w:keepNext w:val="0"/>
              <w:keepLines w:val="0"/>
              <w:pageBreakBefore w:val="0"/>
              <w:widowControl w:val="0"/>
              <w:kinsoku/>
              <w:wordWrap/>
              <w:overflowPunct/>
              <w:topLinePunct w:val="0"/>
              <w:autoSpaceDE w:val="0"/>
              <w:autoSpaceDN w:val="0"/>
              <w:bidi w:val="0"/>
              <w:adjustRightInd/>
              <w:snapToGrid/>
              <w:spacing w:before="49" w:line="360" w:lineRule="exact"/>
              <w:ind w:left="935"/>
              <w:textAlignment w:val="auto"/>
              <w:rPr>
                <w:sz w:val="24"/>
              </w:rPr>
            </w:pPr>
            <w:r>
              <w:rPr>
                <w:sz w:val="24"/>
              </w:rPr>
              <w:t>全权代表：（签字）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302" w:type="dxa"/>
          </w:tcPr>
          <w:p>
            <w:pPr>
              <w:pStyle w:val="20"/>
              <w:keepNext w:val="0"/>
              <w:keepLines w:val="0"/>
              <w:pageBreakBefore w:val="0"/>
              <w:widowControl w:val="0"/>
              <w:tabs>
                <w:tab w:val="left" w:pos="925"/>
              </w:tabs>
              <w:kinsoku/>
              <w:wordWrap/>
              <w:overflowPunct/>
              <w:topLinePunct w:val="0"/>
              <w:autoSpaceDE w:val="0"/>
              <w:autoSpaceDN w:val="0"/>
              <w:bidi w:val="0"/>
              <w:adjustRightInd/>
              <w:snapToGrid/>
              <w:spacing w:before="58" w:line="360" w:lineRule="exact"/>
              <w:ind w:left="50"/>
              <w:textAlignment w:val="auto"/>
              <w:rPr>
                <w:sz w:val="24"/>
              </w:rPr>
            </w:pPr>
            <w:r>
              <w:rPr>
                <w:sz w:val="24"/>
              </w:rPr>
              <w:t>地</w:t>
            </w:r>
            <w:r>
              <w:rPr>
                <w:sz w:val="24"/>
              </w:rPr>
              <w:tab/>
            </w:r>
            <w:r>
              <w:rPr>
                <w:sz w:val="24"/>
              </w:rPr>
              <w:t>址：</w:t>
            </w:r>
          </w:p>
        </w:tc>
        <w:tc>
          <w:tcPr>
            <w:tcW w:w="3782" w:type="dxa"/>
          </w:tcPr>
          <w:p>
            <w:pPr>
              <w:pStyle w:val="20"/>
              <w:keepNext w:val="0"/>
              <w:keepLines w:val="0"/>
              <w:pageBreakBefore w:val="0"/>
              <w:widowControl w:val="0"/>
              <w:tabs>
                <w:tab w:val="left" w:pos="2291"/>
              </w:tabs>
              <w:kinsoku/>
              <w:wordWrap/>
              <w:overflowPunct/>
              <w:topLinePunct w:val="0"/>
              <w:autoSpaceDE w:val="0"/>
              <w:autoSpaceDN w:val="0"/>
              <w:bidi w:val="0"/>
              <w:adjustRightInd/>
              <w:snapToGrid/>
              <w:spacing w:before="58" w:line="360" w:lineRule="exact"/>
              <w:ind w:left="935"/>
              <w:textAlignment w:val="auto"/>
              <w:rPr>
                <w:sz w:val="24"/>
              </w:rPr>
            </w:pPr>
            <w:r>
              <w:rPr>
                <w:sz w:val="24"/>
              </w:rPr>
              <w:t>地</w:t>
            </w:r>
            <w:r>
              <w:rPr>
                <w:sz w:val="24"/>
              </w:rPr>
              <w:tab/>
            </w:r>
            <w:r>
              <w:rPr>
                <w:sz w:val="24"/>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3302" w:type="dxa"/>
          </w:tcPr>
          <w:p>
            <w:pPr>
              <w:pStyle w:val="20"/>
              <w:keepNext w:val="0"/>
              <w:keepLines w:val="0"/>
              <w:pageBreakBefore w:val="0"/>
              <w:widowControl w:val="0"/>
              <w:kinsoku/>
              <w:wordWrap/>
              <w:overflowPunct/>
              <w:topLinePunct w:val="0"/>
              <w:autoSpaceDE w:val="0"/>
              <w:autoSpaceDN w:val="0"/>
              <w:bidi w:val="0"/>
              <w:adjustRightInd/>
              <w:snapToGrid/>
              <w:spacing w:before="57" w:line="360" w:lineRule="exact"/>
              <w:ind w:left="50"/>
              <w:textAlignment w:val="auto"/>
              <w:rPr>
                <w:sz w:val="24"/>
              </w:rPr>
            </w:pPr>
            <w:r>
              <w:rPr>
                <w:sz w:val="24"/>
              </w:rPr>
              <w:t>邮政编码：</w:t>
            </w:r>
          </w:p>
        </w:tc>
        <w:tc>
          <w:tcPr>
            <w:tcW w:w="3782" w:type="dxa"/>
          </w:tcPr>
          <w:p>
            <w:pPr>
              <w:pStyle w:val="20"/>
              <w:keepNext w:val="0"/>
              <w:keepLines w:val="0"/>
              <w:pageBreakBefore w:val="0"/>
              <w:widowControl w:val="0"/>
              <w:kinsoku/>
              <w:wordWrap/>
              <w:overflowPunct/>
              <w:topLinePunct w:val="0"/>
              <w:autoSpaceDE w:val="0"/>
              <w:autoSpaceDN w:val="0"/>
              <w:bidi w:val="0"/>
              <w:adjustRightInd/>
              <w:snapToGrid/>
              <w:spacing w:before="57" w:line="360" w:lineRule="exact"/>
              <w:ind w:left="935"/>
              <w:textAlignment w:val="auto"/>
              <w:rPr>
                <w:sz w:val="24"/>
              </w:rPr>
            </w:pPr>
            <w:r>
              <w:rPr>
                <w:sz w:val="24"/>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3302" w:type="dxa"/>
          </w:tcPr>
          <w:p>
            <w:pPr>
              <w:pStyle w:val="20"/>
              <w:keepNext w:val="0"/>
              <w:keepLines w:val="0"/>
              <w:pageBreakBefore w:val="0"/>
              <w:widowControl w:val="0"/>
              <w:tabs>
                <w:tab w:val="left" w:pos="925"/>
              </w:tabs>
              <w:kinsoku/>
              <w:wordWrap/>
              <w:overflowPunct/>
              <w:topLinePunct w:val="0"/>
              <w:autoSpaceDE w:val="0"/>
              <w:autoSpaceDN w:val="0"/>
              <w:bidi w:val="0"/>
              <w:adjustRightInd/>
              <w:snapToGrid/>
              <w:spacing w:before="60" w:line="360" w:lineRule="exact"/>
              <w:ind w:left="50"/>
              <w:textAlignment w:val="auto"/>
              <w:rPr>
                <w:sz w:val="24"/>
              </w:rPr>
            </w:pPr>
            <w:r>
              <w:rPr>
                <w:sz w:val="24"/>
              </w:rPr>
              <w:t>电</w:t>
            </w:r>
            <w:r>
              <w:rPr>
                <w:sz w:val="24"/>
              </w:rPr>
              <w:tab/>
            </w:r>
            <w:r>
              <w:rPr>
                <w:sz w:val="24"/>
              </w:rPr>
              <w:t>话：</w:t>
            </w:r>
          </w:p>
        </w:tc>
        <w:tc>
          <w:tcPr>
            <w:tcW w:w="3782" w:type="dxa"/>
          </w:tcPr>
          <w:p>
            <w:pPr>
              <w:pStyle w:val="20"/>
              <w:keepNext w:val="0"/>
              <w:keepLines w:val="0"/>
              <w:pageBreakBefore w:val="0"/>
              <w:widowControl w:val="0"/>
              <w:tabs>
                <w:tab w:val="left" w:pos="2291"/>
              </w:tabs>
              <w:kinsoku/>
              <w:wordWrap/>
              <w:overflowPunct/>
              <w:topLinePunct w:val="0"/>
              <w:autoSpaceDE w:val="0"/>
              <w:autoSpaceDN w:val="0"/>
              <w:bidi w:val="0"/>
              <w:adjustRightInd/>
              <w:snapToGrid/>
              <w:spacing w:before="60" w:line="360" w:lineRule="exact"/>
              <w:ind w:left="935"/>
              <w:textAlignment w:val="auto"/>
              <w:rPr>
                <w:sz w:val="24"/>
              </w:rPr>
            </w:pPr>
            <w:r>
              <w:rPr>
                <w:sz w:val="24"/>
              </w:rPr>
              <w:t>电</w:t>
            </w:r>
            <w:r>
              <w:rPr>
                <w:sz w:val="24"/>
              </w:rPr>
              <w:tab/>
            </w:r>
            <w:r>
              <w:rPr>
                <w:sz w:val="24"/>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302" w:type="dxa"/>
          </w:tcPr>
          <w:p>
            <w:pPr>
              <w:pStyle w:val="20"/>
              <w:keepNext w:val="0"/>
              <w:keepLines w:val="0"/>
              <w:pageBreakBefore w:val="0"/>
              <w:widowControl w:val="0"/>
              <w:tabs>
                <w:tab w:val="left" w:pos="925"/>
              </w:tabs>
              <w:kinsoku/>
              <w:wordWrap/>
              <w:overflowPunct/>
              <w:topLinePunct w:val="0"/>
              <w:autoSpaceDE w:val="0"/>
              <w:autoSpaceDN w:val="0"/>
              <w:bidi w:val="0"/>
              <w:adjustRightInd/>
              <w:snapToGrid/>
              <w:spacing w:before="58" w:line="360" w:lineRule="exact"/>
              <w:ind w:left="50"/>
              <w:textAlignment w:val="auto"/>
              <w:rPr>
                <w:sz w:val="24"/>
              </w:rPr>
            </w:pPr>
            <w:r>
              <w:rPr>
                <w:sz w:val="24"/>
              </w:rPr>
              <w:t>传</w:t>
            </w:r>
            <w:r>
              <w:rPr>
                <w:sz w:val="24"/>
              </w:rPr>
              <w:tab/>
            </w:r>
            <w:r>
              <w:rPr>
                <w:sz w:val="24"/>
              </w:rPr>
              <w:t>真：</w:t>
            </w:r>
          </w:p>
        </w:tc>
        <w:tc>
          <w:tcPr>
            <w:tcW w:w="3782" w:type="dxa"/>
          </w:tcPr>
          <w:p>
            <w:pPr>
              <w:pStyle w:val="20"/>
              <w:keepNext w:val="0"/>
              <w:keepLines w:val="0"/>
              <w:pageBreakBefore w:val="0"/>
              <w:widowControl w:val="0"/>
              <w:tabs>
                <w:tab w:val="left" w:pos="2291"/>
              </w:tabs>
              <w:kinsoku/>
              <w:wordWrap/>
              <w:overflowPunct/>
              <w:topLinePunct w:val="0"/>
              <w:autoSpaceDE w:val="0"/>
              <w:autoSpaceDN w:val="0"/>
              <w:bidi w:val="0"/>
              <w:adjustRightInd/>
              <w:snapToGrid/>
              <w:spacing w:before="58" w:line="360" w:lineRule="exact"/>
              <w:ind w:left="935"/>
              <w:textAlignment w:val="auto"/>
              <w:rPr>
                <w:sz w:val="24"/>
              </w:rPr>
            </w:pPr>
            <w:r>
              <w:rPr>
                <w:sz w:val="24"/>
              </w:rPr>
              <w:t>传</w:t>
            </w:r>
            <w:r>
              <w:rPr>
                <w:sz w:val="24"/>
              </w:rPr>
              <w:tab/>
            </w:r>
            <w:r>
              <w:rPr>
                <w:sz w:val="24"/>
              </w:rPr>
              <w:t>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302" w:type="dxa"/>
          </w:tcPr>
          <w:p>
            <w:pPr>
              <w:pStyle w:val="20"/>
              <w:keepNext w:val="0"/>
              <w:keepLines w:val="0"/>
              <w:pageBreakBefore w:val="0"/>
              <w:widowControl w:val="0"/>
              <w:kinsoku/>
              <w:wordWrap/>
              <w:overflowPunct/>
              <w:topLinePunct w:val="0"/>
              <w:autoSpaceDE w:val="0"/>
              <w:autoSpaceDN w:val="0"/>
              <w:bidi w:val="0"/>
              <w:adjustRightInd/>
              <w:snapToGrid/>
              <w:spacing w:before="57" w:line="360" w:lineRule="exact"/>
              <w:ind w:left="50"/>
              <w:textAlignment w:val="auto"/>
              <w:rPr>
                <w:sz w:val="24"/>
              </w:rPr>
            </w:pPr>
            <w:r>
              <w:rPr>
                <w:sz w:val="24"/>
              </w:rPr>
              <w:t>开户银行：</w:t>
            </w:r>
          </w:p>
        </w:tc>
        <w:tc>
          <w:tcPr>
            <w:tcW w:w="3782" w:type="dxa"/>
          </w:tcPr>
          <w:p>
            <w:pPr>
              <w:pStyle w:val="20"/>
              <w:keepNext w:val="0"/>
              <w:keepLines w:val="0"/>
              <w:pageBreakBefore w:val="0"/>
              <w:widowControl w:val="0"/>
              <w:kinsoku/>
              <w:wordWrap/>
              <w:overflowPunct/>
              <w:topLinePunct w:val="0"/>
              <w:autoSpaceDE w:val="0"/>
              <w:autoSpaceDN w:val="0"/>
              <w:bidi w:val="0"/>
              <w:adjustRightInd/>
              <w:snapToGrid/>
              <w:spacing w:before="57" w:line="360" w:lineRule="exact"/>
              <w:ind w:left="935"/>
              <w:textAlignment w:val="auto"/>
              <w:rPr>
                <w:sz w:val="24"/>
              </w:rPr>
            </w:pPr>
            <w:r>
              <w:rPr>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302" w:type="dxa"/>
          </w:tcPr>
          <w:p>
            <w:pPr>
              <w:pStyle w:val="20"/>
              <w:keepNext w:val="0"/>
              <w:keepLines w:val="0"/>
              <w:pageBreakBefore w:val="0"/>
              <w:widowControl w:val="0"/>
              <w:tabs>
                <w:tab w:val="left" w:pos="925"/>
              </w:tabs>
              <w:kinsoku/>
              <w:wordWrap/>
              <w:overflowPunct/>
              <w:topLinePunct w:val="0"/>
              <w:autoSpaceDE w:val="0"/>
              <w:autoSpaceDN w:val="0"/>
              <w:bidi w:val="0"/>
              <w:adjustRightInd/>
              <w:snapToGrid/>
              <w:spacing w:before="43" w:line="360" w:lineRule="exact"/>
              <w:ind w:left="50"/>
              <w:textAlignment w:val="auto"/>
              <w:rPr>
                <w:sz w:val="24"/>
              </w:rPr>
            </w:pPr>
            <w:r>
              <w:rPr>
                <w:sz w:val="24"/>
              </w:rPr>
              <w:t>帐</w:t>
            </w:r>
            <w:r>
              <w:rPr>
                <w:sz w:val="24"/>
              </w:rPr>
              <w:tab/>
            </w:r>
            <w:r>
              <w:rPr>
                <w:sz w:val="24"/>
              </w:rPr>
              <w:t>号：</w:t>
            </w:r>
          </w:p>
        </w:tc>
        <w:tc>
          <w:tcPr>
            <w:tcW w:w="3782" w:type="dxa"/>
          </w:tcPr>
          <w:p>
            <w:pPr>
              <w:pStyle w:val="20"/>
              <w:keepNext w:val="0"/>
              <w:keepLines w:val="0"/>
              <w:pageBreakBefore w:val="0"/>
              <w:widowControl w:val="0"/>
              <w:tabs>
                <w:tab w:val="left" w:pos="2291"/>
              </w:tabs>
              <w:kinsoku/>
              <w:wordWrap/>
              <w:overflowPunct/>
              <w:topLinePunct w:val="0"/>
              <w:autoSpaceDE w:val="0"/>
              <w:autoSpaceDN w:val="0"/>
              <w:bidi w:val="0"/>
              <w:adjustRightInd/>
              <w:snapToGrid/>
              <w:spacing w:before="43" w:line="360" w:lineRule="exact"/>
              <w:ind w:left="935"/>
              <w:textAlignment w:val="auto"/>
              <w:rPr>
                <w:sz w:val="24"/>
              </w:rPr>
            </w:pPr>
            <w:r>
              <w:rPr>
                <w:sz w:val="24"/>
              </w:rPr>
              <w:t>帐</w:t>
            </w:r>
            <w:r>
              <w:rPr>
                <w:sz w:val="24"/>
              </w:rPr>
              <w:tab/>
            </w:r>
            <w:r>
              <w:rPr>
                <w:sz w:val="24"/>
              </w:rPr>
              <w:t>号：</w:t>
            </w:r>
          </w:p>
        </w:tc>
      </w:tr>
    </w:tbl>
    <w:p>
      <w:pPr>
        <w:pStyle w:val="8"/>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8"/>
        <w:keepNext w:val="0"/>
        <w:keepLines w:val="0"/>
        <w:pageBreakBefore w:val="0"/>
        <w:widowControl w:val="0"/>
        <w:kinsoku/>
        <w:wordWrap/>
        <w:overflowPunct/>
        <w:topLinePunct w:val="0"/>
        <w:autoSpaceDE w:val="0"/>
        <w:autoSpaceDN w:val="0"/>
        <w:bidi w:val="0"/>
        <w:adjustRightInd/>
        <w:snapToGrid/>
        <w:spacing w:before="3" w:line="360" w:lineRule="exact"/>
        <w:textAlignment w:val="auto"/>
        <w:rPr>
          <w:sz w:val="25"/>
        </w:rPr>
      </w:pPr>
    </w:p>
    <w:p>
      <w:pPr>
        <w:pStyle w:val="7"/>
        <w:keepNext w:val="0"/>
        <w:keepLines w:val="0"/>
        <w:pageBreakBefore w:val="0"/>
        <w:widowControl w:val="0"/>
        <w:kinsoku/>
        <w:wordWrap/>
        <w:overflowPunct/>
        <w:topLinePunct w:val="0"/>
        <w:autoSpaceDE w:val="0"/>
        <w:autoSpaceDN w:val="0"/>
        <w:bidi w:val="0"/>
        <w:adjustRightInd/>
        <w:snapToGrid/>
        <w:spacing w:line="360" w:lineRule="exact"/>
        <w:ind w:left="664"/>
        <w:textAlignment w:val="auto"/>
      </w:pPr>
      <w:bookmarkStart w:id="26" w:name="注：本合同作为示范文本，具体以成交人与招标人所签定正式合同为准。"/>
      <w:bookmarkEnd w:id="26"/>
      <w:r>
        <w:rPr>
          <w:w w:val="95"/>
        </w:rPr>
        <w:t>注：本合同作为示范文本，具体以成交人与招标人所签定正式合同为准。</w:t>
      </w:r>
    </w:p>
    <w:p>
      <w:pPr>
        <w:spacing w:after="0"/>
        <w:sectPr>
          <w:headerReference r:id="rId14" w:type="default"/>
          <w:footerReference r:id="rId15" w:type="default"/>
          <w:pgSz w:w="11850" w:h="16790"/>
          <w:pgMar w:top="1400" w:right="840" w:bottom="900" w:left="1460" w:header="0" w:footer="719" w:gutter="0"/>
          <w:pgBorders>
            <w:top w:val="none" w:sz="0" w:space="0"/>
            <w:left w:val="none" w:sz="0" w:space="0"/>
            <w:bottom w:val="none" w:sz="0" w:space="0"/>
            <w:right w:val="none" w:sz="0" w:space="0"/>
          </w:pgBorders>
          <w:pgNumType w:start="34"/>
          <w:cols w:space="720" w:num="1"/>
        </w:sectPr>
      </w:pPr>
    </w:p>
    <w:p>
      <w:pPr>
        <w:spacing w:before="22"/>
        <w:ind w:left="2712" w:right="0" w:firstLine="0"/>
        <w:jc w:val="left"/>
        <w:rPr>
          <w:b/>
          <w:sz w:val="36"/>
        </w:rPr>
      </w:pPr>
      <w:r>
        <w:rPr>
          <w:b/>
          <w:sz w:val="36"/>
        </w:rPr>
        <w:t>第六章 投标文件格式附件</w:t>
      </w:r>
    </w:p>
    <w:p>
      <w:pPr>
        <w:pStyle w:val="8"/>
        <w:spacing w:before="9"/>
        <w:rPr>
          <w:b/>
          <w:sz w:val="16"/>
        </w:rPr>
      </w:pPr>
    </w:p>
    <w:p>
      <w:pPr>
        <w:spacing w:before="62"/>
        <w:ind w:left="552" w:right="0" w:firstLine="0"/>
        <w:jc w:val="left"/>
        <w:rPr>
          <w:b/>
          <w:sz w:val="28"/>
        </w:rPr>
      </w:pPr>
      <w:r>
        <w:rPr>
          <w:b/>
          <w:sz w:val="28"/>
        </w:rPr>
        <w:t>附件 1</w:t>
      </w:r>
    </w:p>
    <w:p>
      <w:pPr>
        <w:pStyle w:val="8"/>
        <w:rPr>
          <w:b/>
          <w:sz w:val="20"/>
        </w:rPr>
      </w:pPr>
    </w:p>
    <w:p>
      <w:pPr>
        <w:pStyle w:val="8"/>
        <w:rPr>
          <w:b/>
          <w:sz w:val="20"/>
        </w:rPr>
      </w:pPr>
    </w:p>
    <w:p>
      <w:pPr>
        <w:spacing w:before="201"/>
        <w:ind w:left="2819" w:right="2607" w:firstLine="0"/>
        <w:jc w:val="center"/>
        <w:rPr>
          <w:sz w:val="52"/>
        </w:rPr>
      </w:pPr>
      <w:r>
        <w:rPr>
          <w:sz w:val="52"/>
        </w:rPr>
        <w:t>项目名称</w:t>
      </w:r>
    </w:p>
    <w:p>
      <w:pPr>
        <w:pStyle w:val="8"/>
        <w:spacing w:before="9"/>
        <w:rPr>
          <w:sz w:val="37"/>
        </w:rPr>
      </w:pPr>
    </w:p>
    <w:p>
      <w:pPr>
        <w:spacing w:before="0"/>
        <w:ind w:left="2819" w:right="2470" w:firstLine="0"/>
        <w:jc w:val="center"/>
        <w:rPr>
          <w:sz w:val="36"/>
        </w:rPr>
      </w:pPr>
      <w:r>
        <w:rPr>
          <w:sz w:val="36"/>
        </w:rPr>
        <w:t>项目编号：</w:t>
      </w:r>
    </w:p>
    <w:p>
      <w:pPr>
        <w:pStyle w:val="8"/>
        <w:spacing w:before="4"/>
        <w:rPr>
          <w:sz w:val="33"/>
        </w:rPr>
      </w:pPr>
    </w:p>
    <w:p>
      <w:pPr>
        <w:spacing w:before="0" w:line="249" w:lineRule="auto"/>
        <w:ind w:left="4952" w:right="4713" w:firstLine="2"/>
        <w:jc w:val="both"/>
        <w:rPr>
          <w:sz w:val="84"/>
        </w:rPr>
      </w:pPr>
      <w:r>
        <w:rPr>
          <w:sz w:val="84"/>
        </w:rPr>
        <w:t>投标文件</w:t>
      </w:r>
    </w:p>
    <w:p>
      <w:pPr>
        <w:spacing w:before="297"/>
        <w:ind w:left="2819" w:right="2544" w:firstLine="0"/>
        <w:jc w:val="center"/>
        <w:rPr>
          <w:b/>
          <w:sz w:val="28"/>
        </w:rPr>
      </w:pPr>
      <w:r>
        <w:rPr>
          <w:sz w:val="28"/>
        </w:rPr>
        <w:t>（</w:t>
      </w:r>
      <w:r>
        <w:rPr>
          <w:b/>
          <w:sz w:val="28"/>
        </w:rPr>
        <w:t>资 格 证 明 文 件 ）</w:t>
      </w:r>
    </w:p>
    <w:p>
      <w:pPr>
        <w:tabs>
          <w:tab w:val="left" w:pos="2352"/>
        </w:tabs>
        <w:spacing w:before="239" w:line="228" w:lineRule="auto"/>
        <w:ind w:left="1272" w:right="5284" w:firstLine="0"/>
        <w:jc w:val="left"/>
        <w:rPr>
          <w:sz w:val="36"/>
        </w:rPr>
      </w:pPr>
      <w:r>
        <w:rPr>
          <w:sz w:val="36"/>
        </w:rPr>
        <w:t>投标人名称（盖公章</w:t>
      </w:r>
      <w:r>
        <w:rPr>
          <w:spacing w:val="-13"/>
          <w:sz w:val="36"/>
        </w:rPr>
        <w:t xml:space="preserve">）： </w:t>
      </w:r>
      <w:r>
        <w:rPr>
          <w:sz w:val="36"/>
        </w:rPr>
        <w:t>地</w:t>
      </w:r>
      <w:r>
        <w:rPr>
          <w:sz w:val="36"/>
        </w:rPr>
        <w:tab/>
      </w:r>
      <w:r>
        <w:rPr>
          <w:sz w:val="36"/>
        </w:rPr>
        <w:t>址：</w:t>
      </w:r>
    </w:p>
    <w:p>
      <w:pPr>
        <w:tabs>
          <w:tab w:val="left" w:pos="2352"/>
        </w:tabs>
        <w:spacing w:before="152"/>
        <w:ind w:left="1272" w:right="0" w:firstLine="0"/>
        <w:jc w:val="left"/>
        <w:rPr>
          <w:sz w:val="36"/>
        </w:rPr>
      </w:pPr>
      <w:r>
        <w:rPr>
          <w:sz w:val="36"/>
        </w:rPr>
        <w:t>时</w:t>
      </w:r>
      <w:r>
        <w:rPr>
          <w:sz w:val="36"/>
        </w:rPr>
        <w:tab/>
      </w:r>
      <w:r>
        <w:rPr>
          <w:sz w:val="36"/>
        </w:rPr>
        <w:t>间：</w:t>
      </w:r>
    </w:p>
    <w:p>
      <w:pPr>
        <w:spacing w:after="0"/>
        <w:jc w:val="left"/>
        <w:rPr>
          <w:sz w:val="36"/>
        </w:rPr>
        <w:sectPr>
          <w:headerReference r:id="rId16" w:type="default"/>
          <w:footerReference r:id="rId17" w:type="default"/>
          <w:pgSz w:w="11910" w:h="16840"/>
          <w:pgMar w:top="1400" w:right="820" w:bottom="980" w:left="580" w:header="0" w:footer="786" w:gutter="0"/>
          <w:pgBorders>
            <w:top w:val="none" w:sz="0" w:space="0"/>
            <w:left w:val="none" w:sz="0" w:space="0"/>
            <w:bottom w:val="none" w:sz="0" w:space="0"/>
            <w:right w:val="none" w:sz="0" w:space="0"/>
          </w:pgBorders>
          <w:pgNumType w:start="35"/>
          <w:cols w:space="720" w:num="1"/>
        </w:sectPr>
      </w:pPr>
    </w:p>
    <w:p>
      <w:pPr>
        <w:pStyle w:val="8"/>
        <w:rPr>
          <w:sz w:val="20"/>
        </w:rPr>
      </w:pPr>
    </w:p>
    <w:p>
      <w:pPr>
        <w:pStyle w:val="8"/>
        <w:rPr>
          <w:sz w:val="20"/>
        </w:rPr>
      </w:pPr>
    </w:p>
    <w:p>
      <w:pPr>
        <w:pStyle w:val="8"/>
        <w:rPr>
          <w:sz w:val="20"/>
        </w:rPr>
      </w:pPr>
    </w:p>
    <w:p>
      <w:pPr>
        <w:pStyle w:val="8"/>
        <w:spacing w:before="4"/>
        <w:rPr>
          <w:sz w:val="27"/>
        </w:rPr>
      </w:pPr>
    </w:p>
    <w:p>
      <w:pPr>
        <w:spacing w:before="49"/>
        <w:ind w:left="2819" w:right="2581" w:firstLine="0"/>
        <w:jc w:val="center"/>
        <w:rPr>
          <w:b/>
          <w:sz w:val="36"/>
        </w:rPr>
      </w:pPr>
      <w:r>
        <w:rPr>
          <w:b/>
          <w:sz w:val="36"/>
        </w:rPr>
        <w:t>资格证明文件目录</w:t>
      </w:r>
    </w:p>
    <w:p>
      <w:pPr>
        <w:pStyle w:val="8"/>
        <w:rPr>
          <w:b/>
          <w:sz w:val="36"/>
        </w:rPr>
      </w:pPr>
    </w:p>
    <w:p>
      <w:pPr>
        <w:pStyle w:val="8"/>
        <w:spacing w:before="12"/>
        <w:rPr>
          <w:b/>
          <w:sz w:val="43"/>
        </w:rPr>
      </w:pPr>
    </w:p>
    <w:p>
      <w:pPr>
        <w:pStyle w:val="8"/>
        <w:keepNext w:val="0"/>
        <w:keepLines w:val="0"/>
        <w:pageBreakBefore w:val="0"/>
        <w:widowControl w:val="0"/>
        <w:kinsoku/>
        <w:wordWrap/>
        <w:overflowPunct/>
        <w:topLinePunct w:val="0"/>
        <w:autoSpaceDE w:val="0"/>
        <w:autoSpaceDN w:val="0"/>
        <w:bidi w:val="0"/>
        <w:adjustRightInd/>
        <w:snapToGrid/>
        <w:spacing w:line="720" w:lineRule="auto"/>
        <w:ind w:left="1100"/>
        <w:textAlignment w:val="auto"/>
      </w:pPr>
      <w:r>
        <w:t>1、投标声明书（附件 2）</w:t>
      </w:r>
    </w:p>
    <w:p>
      <w:pPr>
        <w:pStyle w:val="8"/>
        <w:keepNext w:val="0"/>
        <w:keepLines w:val="0"/>
        <w:pageBreakBefore w:val="0"/>
        <w:widowControl w:val="0"/>
        <w:kinsoku/>
        <w:wordWrap/>
        <w:overflowPunct/>
        <w:topLinePunct w:val="0"/>
        <w:autoSpaceDE w:val="0"/>
        <w:autoSpaceDN w:val="0"/>
        <w:bidi w:val="0"/>
        <w:adjustRightInd/>
        <w:snapToGrid/>
        <w:spacing w:before="48" w:line="720" w:lineRule="auto"/>
        <w:ind w:left="1100"/>
        <w:textAlignment w:val="auto"/>
      </w:pPr>
      <w:r>
        <w:t>2、授权委托书（附件 3）（附上法定代表人及代理人的身份证正反面复印件）</w:t>
      </w:r>
    </w:p>
    <w:p>
      <w:pPr>
        <w:pStyle w:val="8"/>
        <w:keepNext w:val="0"/>
        <w:keepLines w:val="0"/>
        <w:pageBreakBefore w:val="0"/>
        <w:widowControl w:val="0"/>
        <w:kinsoku/>
        <w:wordWrap/>
        <w:overflowPunct/>
        <w:topLinePunct w:val="0"/>
        <w:autoSpaceDE w:val="0"/>
        <w:autoSpaceDN w:val="0"/>
        <w:bidi w:val="0"/>
        <w:adjustRightInd/>
        <w:snapToGrid/>
        <w:spacing w:before="45" w:line="720" w:lineRule="auto"/>
        <w:ind w:left="1100"/>
        <w:textAlignment w:val="auto"/>
      </w:pPr>
      <w:r>
        <w:t>3、法人或者其他组织的营业执照等复印件</w:t>
      </w:r>
    </w:p>
    <w:p>
      <w:pPr>
        <w:pStyle w:val="8"/>
        <w:keepNext w:val="0"/>
        <w:keepLines w:val="0"/>
        <w:pageBreakBefore w:val="0"/>
        <w:widowControl w:val="0"/>
        <w:kinsoku/>
        <w:wordWrap/>
        <w:overflowPunct/>
        <w:topLinePunct w:val="0"/>
        <w:autoSpaceDE w:val="0"/>
        <w:autoSpaceDN w:val="0"/>
        <w:bidi w:val="0"/>
        <w:adjustRightInd/>
        <w:snapToGrid/>
        <w:spacing w:before="48" w:line="720" w:lineRule="auto"/>
        <w:ind w:left="1100"/>
        <w:textAlignment w:val="auto"/>
      </w:pPr>
      <w:r>
        <w:t>4、财务状况报告，依法缴纳税收和社会保障资金的相关材料</w:t>
      </w:r>
    </w:p>
    <w:p>
      <w:pPr>
        <w:pStyle w:val="8"/>
        <w:keepNext w:val="0"/>
        <w:keepLines w:val="0"/>
        <w:pageBreakBefore w:val="0"/>
        <w:widowControl w:val="0"/>
        <w:kinsoku/>
        <w:wordWrap/>
        <w:overflowPunct/>
        <w:topLinePunct w:val="0"/>
        <w:autoSpaceDE w:val="0"/>
        <w:autoSpaceDN w:val="0"/>
        <w:bidi w:val="0"/>
        <w:adjustRightInd/>
        <w:snapToGrid/>
        <w:spacing w:before="48" w:line="720" w:lineRule="auto"/>
        <w:ind w:left="1100"/>
        <w:textAlignment w:val="auto"/>
      </w:pPr>
      <w:r>
        <w:t>5、具备履行合同所必需的设备和专业技术能力的证明材料</w:t>
      </w:r>
    </w:p>
    <w:p>
      <w:pPr>
        <w:pStyle w:val="8"/>
        <w:keepNext w:val="0"/>
        <w:keepLines w:val="0"/>
        <w:pageBreakBefore w:val="0"/>
        <w:widowControl w:val="0"/>
        <w:kinsoku/>
        <w:wordWrap/>
        <w:overflowPunct/>
        <w:topLinePunct w:val="0"/>
        <w:autoSpaceDE w:val="0"/>
        <w:autoSpaceDN w:val="0"/>
        <w:bidi w:val="0"/>
        <w:adjustRightInd/>
        <w:snapToGrid/>
        <w:spacing w:before="45" w:line="720" w:lineRule="auto"/>
        <w:ind w:left="1100"/>
        <w:textAlignment w:val="auto"/>
      </w:pPr>
      <w:r>
        <w:t>6、本项目要求的特定资质证书以及其他投标人认为需要提供的资料</w:t>
      </w:r>
    </w:p>
    <w:p>
      <w:pPr>
        <w:spacing w:after="0"/>
        <w:sectPr>
          <w:headerReference r:id="rId18" w:type="default"/>
          <w:footerReference r:id="rId19" w:type="default"/>
          <w:pgSz w:w="11910" w:h="16840"/>
          <w:pgMar w:top="1600" w:right="820" w:bottom="980" w:left="580" w:header="0" w:footer="786" w:gutter="0"/>
          <w:pgBorders>
            <w:top w:val="none" w:sz="0" w:space="0"/>
            <w:left w:val="none" w:sz="0" w:space="0"/>
            <w:bottom w:val="none" w:sz="0" w:space="0"/>
            <w:right w:val="none" w:sz="0" w:space="0"/>
          </w:pgBorders>
          <w:pgNumType w:start="36"/>
          <w:cols w:space="720" w:num="1"/>
        </w:sectPr>
      </w:pPr>
    </w:p>
    <w:p>
      <w:pPr>
        <w:spacing w:before="27"/>
        <w:ind w:left="2819" w:right="1943" w:firstLine="0"/>
        <w:jc w:val="center"/>
        <w:rPr>
          <w:b/>
          <w:sz w:val="32"/>
        </w:rPr>
      </w:pPr>
      <w:r>
        <w:rPr>
          <w:b/>
          <w:sz w:val="32"/>
        </w:rPr>
        <w:t>投标声明书</w:t>
      </w:r>
    </w:p>
    <w:p>
      <w:pPr>
        <w:pStyle w:val="8"/>
        <w:keepNext w:val="0"/>
        <w:keepLines w:val="0"/>
        <w:pageBreakBefore w:val="0"/>
        <w:widowControl w:val="0"/>
        <w:kinsoku/>
        <w:wordWrap/>
        <w:overflowPunct/>
        <w:topLinePunct w:val="0"/>
        <w:autoSpaceDE w:val="0"/>
        <w:autoSpaceDN w:val="0"/>
        <w:bidi w:val="0"/>
        <w:adjustRightInd/>
        <w:snapToGrid/>
        <w:spacing w:before="80" w:line="360" w:lineRule="auto"/>
        <w:ind w:left="1032"/>
        <w:textAlignment w:val="auto"/>
        <w:rPr>
          <w:rFonts w:hint="eastAsia"/>
          <w:u w:val="single"/>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80" w:line="360" w:lineRule="auto"/>
        <w:ind w:left="1032"/>
        <w:textAlignment w:val="auto"/>
      </w:pPr>
      <w:r>
        <w:rPr>
          <w:rFonts w:hint="eastAsia"/>
          <w:u w:val="single"/>
          <w:lang w:eastAsia="zh-CN"/>
        </w:rPr>
        <w:t>浙江科信联合工程项目管理咨询有限公司</w:t>
      </w:r>
      <w:r>
        <w:t>（采购代理机构名称）：</w:t>
      </w:r>
    </w:p>
    <w:p>
      <w:pPr>
        <w:pStyle w:val="8"/>
        <w:keepNext w:val="0"/>
        <w:keepLines w:val="0"/>
        <w:pageBreakBefore w:val="0"/>
        <w:widowControl w:val="0"/>
        <w:kinsoku/>
        <w:wordWrap/>
        <w:overflowPunct/>
        <w:topLinePunct w:val="0"/>
        <w:autoSpaceDE w:val="0"/>
        <w:autoSpaceDN w:val="0"/>
        <w:bidi w:val="0"/>
        <w:adjustRightInd/>
        <w:snapToGrid/>
        <w:spacing w:before="124" w:line="360" w:lineRule="auto"/>
        <w:ind w:left="1032"/>
        <w:textAlignment w:val="auto"/>
      </w:pPr>
      <w:r>
        <w:t>（投标人名称）系中华人民共和国合法企业，（经营地址）。</w:t>
      </w:r>
    </w:p>
    <w:p>
      <w:pPr>
        <w:pStyle w:val="8"/>
        <w:keepNext w:val="0"/>
        <w:keepLines w:val="0"/>
        <w:pageBreakBefore w:val="0"/>
        <w:widowControl w:val="0"/>
        <w:kinsoku/>
        <w:wordWrap/>
        <w:overflowPunct/>
        <w:topLinePunct w:val="0"/>
        <w:autoSpaceDE w:val="0"/>
        <w:autoSpaceDN w:val="0"/>
        <w:bidi w:val="0"/>
        <w:adjustRightInd/>
        <w:snapToGrid/>
        <w:spacing w:before="22" w:line="360" w:lineRule="auto"/>
        <w:ind w:left="552" w:right="309" w:firstLine="480"/>
        <w:jc w:val="both"/>
        <w:textAlignment w:val="auto"/>
      </w:pPr>
      <w:r>
        <w:t>我（</w:t>
      </w:r>
      <w:r>
        <w:rPr>
          <w:spacing w:val="34"/>
          <w:u w:val="single"/>
        </w:rPr>
        <w:t xml:space="preserve"> 姓名 </w:t>
      </w:r>
      <w:r>
        <w:t>）系（</w:t>
      </w:r>
      <w:r>
        <w:rPr>
          <w:spacing w:val="17"/>
          <w:u w:val="single"/>
        </w:rPr>
        <w:t xml:space="preserve"> 投标人名称 </w:t>
      </w:r>
      <w:r>
        <w:t>）的法定代表人，我公司自愿参加贵方组织的（</w:t>
      </w:r>
      <w:r>
        <w:rPr>
          <w:u w:val="single"/>
        </w:rPr>
        <w:t>招标</w:t>
      </w:r>
      <w:r>
        <w:rPr>
          <w:spacing w:val="-240"/>
          <w:u w:val="single"/>
        </w:rPr>
        <w:t>项</w:t>
      </w:r>
      <w:r>
        <w:rPr>
          <w:u w:val="single"/>
        </w:rPr>
        <w:t>目名称</w:t>
      </w:r>
      <w:r>
        <w:t>）（编号为）的投标，为此，我公司就本次投标有关事项郑重声明如下：</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552" w:right="307" w:firstLine="480"/>
        <w:jc w:val="both"/>
        <w:textAlignment w:val="auto"/>
      </w:pPr>
      <w:r>
        <w:t>1</w:t>
      </w:r>
      <w:r>
        <w:rPr>
          <w:spacing w:val="-10"/>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pStyle w:val="8"/>
        <w:keepNext w:val="0"/>
        <w:keepLines w:val="0"/>
        <w:pageBreakBefore w:val="0"/>
        <w:widowControl w:val="0"/>
        <w:kinsoku/>
        <w:wordWrap/>
        <w:overflowPunct/>
        <w:topLinePunct w:val="0"/>
        <w:autoSpaceDE w:val="0"/>
        <w:autoSpaceDN w:val="0"/>
        <w:bidi w:val="0"/>
        <w:adjustRightInd/>
        <w:snapToGrid/>
        <w:spacing w:before="2" w:line="360" w:lineRule="auto"/>
        <w:ind w:left="552" w:right="307" w:firstLine="480"/>
        <w:jc w:val="both"/>
        <w:textAlignment w:val="auto"/>
      </w:pPr>
      <w:r>
        <w:t>2</w:t>
      </w:r>
      <w:r>
        <w:rPr>
          <w:spacing w:val="-10"/>
        </w:rPr>
        <w:t>、我公司在参与投标前已详细审查了招标文件和所有相关资料，我方完全明白并认为此招</w:t>
      </w:r>
      <w:r>
        <w:rPr>
          <w:spacing w:val="6"/>
        </w:rPr>
        <w:t>标文件没有倾向性，也没有存在排斥潜在投标人的内容，我方同意招标文件的相关条款， 放弃对招标文件提出误解和质疑的一切权利。</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552" w:right="376" w:firstLine="480"/>
        <w:textAlignment w:val="auto"/>
      </w:pPr>
      <w:r>
        <w:t>3</w:t>
      </w:r>
      <w:r>
        <w:rPr>
          <w:spacing w:val="-12"/>
        </w:rPr>
        <w:t>、我公司不是采购人的附属机构；在获知本项目采购信息后，与采购人聘请的为此项目提供咨询服务的公司及其附属机构没有任何联系。</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552" w:right="307" w:firstLine="480"/>
        <w:jc w:val="both"/>
        <w:textAlignment w:val="auto"/>
      </w:pPr>
      <w:r>
        <w:t>4</w:t>
      </w:r>
      <w:r>
        <w:rPr>
          <w:spacing w:val="-10"/>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552" w:right="643" w:firstLine="480"/>
        <w:textAlignment w:val="auto"/>
      </w:pPr>
      <w:r>
        <w:t>5</w:t>
      </w:r>
      <w:r>
        <w:rPr>
          <w:spacing w:val="-12"/>
        </w:rPr>
        <w:t>、我公司严格履行政府采购合同，不降低合同约定的产品质量和服务，不擅自变更、中</w:t>
      </w:r>
      <w:r>
        <w:t>止、终止合同，或拒绝履行合同义务；</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552" w:right="415" w:firstLine="480"/>
        <w:textAlignment w:val="auto"/>
      </w:pPr>
      <w:r>
        <w:t>6</w:t>
      </w:r>
      <w:r>
        <w:rPr>
          <w:spacing w:val="-12"/>
        </w:rPr>
        <w:t>、以上事项如有虚假或隐瞒，我公司愿意承担一切后果，并不再寻求任何旨在减轻或免除</w:t>
      </w:r>
      <w:r>
        <w:t>法律责任的辩解。</w:t>
      </w:r>
    </w:p>
    <w:p>
      <w:pPr>
        <w:pStyle w:val="8"/>
      </w:pPr>
    </w:p>
    <w:p>
      <w:pPr>
        <w:pStyle w:val="8"/>
        <w:spacing w:before="12"/>
        <w:rPr>
          <w:sz w:val="32"/>
        </w:rPr>
      </w:pPr>
    </w:p>
    <w:p>
      <w:pPr>
        <w:pStyle w:val="8"/>
        <w:ind w:left="5019"/>
      </w:pPr>
      <w:r>
        <w:t>投标人名称(盖公章)：</w:t>
      </w:r>
    </w:p>
    <w:p>
      <w:pPr>
        <w:pStyle w:val="8"/>
        <w:spacing w:before="134" w:line="345" w:lineRule="auto"/>
        <w:ind w:left="5019" w:right="1888"/>
      </w:pPr>
      <w:r>
        <w:t>法定代表人或授权委托人(签字)： 日期：</w:t>
      </w:r>
    </w:p>
    <w:p>
      <w:pPr>
        <w:spacing w:after="0" w:line="345" w:lineRule="auto"/>
        <w:sectPr>
          <w:headerReference r:id="rId20" w:type="default"/>
          <w:pgSz w:w="11910" w:h="16840"/>
          <w:pgMar w:top="1760" w:right="820" w:bottom="980" w:left="580" w:header="1497" w:footer="786" w:gutter="0"/>
          <w:pgBorders>
            <w:top w:val="none" w:sz="0" w:space="0"/>
            <w:left w:val="none" w:sz="0" w:space="0"/>
            <w:bottom w:val="none" w:sz="0" w:space="0"/>
            <w:right w:val="none" w:sz="0" w:space="0"/>
          </w:pgBorders>
          <w:cols w:space="720" w:num="1"/>
        </w:sectPr>
      </w:pPr>
    </w:p>
    <w:p>
      <w:pPr>
        <w:pStyle w:val="8"/>
        <w:spacing w:before="11"/>
        <w:rPr>
          <w:sz w:val="9"/>
        </w:rPr>
      </w:pPr>
    </w:p>
    <w:p>
      <w:pPr>
        <w:pStyle w:val="5"/>
        <w:spacing w:before="54"/>
        <w:ind w:right="1943"/>
        <w:jc w:val="center"/>
      </w:pPr>
      <w:r>
        <w:t>授权委托书</w:t>
      </w:r>
    </w:p>
    <w:p>
      <w:pPr>
        <w:pStyle w:val="8"/>
        <w:rPr>
          <w:b/>
          <w:sz w:val="32"/>
        </w:rPr>
      </w:pPr>
    </w:p>
    <w:p>
      <w:pPr>
        <w:pStyle w:val="8"/>
        <w:tabs>
          <w:tab w:val="left" w:pos="2232"/>
        </w:tabs>
        <w:spacing w:before="229"/>
        <w:ind w:left="552"/>
      </w:pPr>
      <w:r>
        <w:rPr>
          <w:rFonts w:ascii="Times New Roman" w:eastAsia="Times New Roman"/>
          <w:u w:val="single"/>
        </w:rPr>
        <w:t xml:space="preserve"> </w:t>
      </w:r>
      <w:r>
        <w:rPr>
          <w:rFonts w:ascii="Times New Roman" w:eastAsia="Times New Roman"/>
          <w:u w:val="single"/>
        </w:rPr>
        <w:tab/>
      </w:r>
      <w:r>
        <w:rPr>
          <w:u w:val="single"/>
        </w:rPr>
        <w:t>（填写采购人单位名称）</w:t>
      </w:r>
      <w:r>
        <w:t>：</w:t>
      </w:r>
    </w:p>
    <w:p>
      <w:pPr>
        <w:pStyle w:val="8"/>
        <w:tabs>
          <w:tab w:val="left" w:pos="3552"/>
          <w:tab w:val="left" w:pos="6672"/>
        </w:tabs>
        <w:spacing w:before="108"/>
        <w:ind w:left="1032"/>
      </w:pPr>
      <w:r>
        <w:t>我单位全权委托</w:t>
      </w:r>
      <w:r>
        <w:tab/>
      </w:r>
      <w:r>
        <w:t>（身份证号：</w:t>
      </w:r>
      <w:r>
        <w:tab/>
      </w:r>
      <w:r>
        <w:t>）作为我单位合法代理人，参加</w:t>
      </w:r>
    </w:p>
    <w:p>
      <w:pPr>
        <w:pStyle w:val="8"/>
        <w:spacing w:before="185" w:line="343" w:lineRule="auto"/>
        <w:ind w:left="552" w:right="307"/>
        <w:jc w:val="both"/>
      </w:pPr>
      <w:r>
        <w:t>（填写政府采购项目名称及编号）投标活动，并办理上述项目所涉的投标文件签署、合同签订及项目实施等与之相关的投标全程各事项。该代理人的上述行为，均代表本单位，与本单</w:t>
      </w:r>
      <w:r>
        <w:rPr>
          <w:spacing w:val="-4"/>
        </w:rPr>
        <w:t>位的行为具有同等法律效力,本单位将承担该代理人行为的全部法律后果和法律责任。代理人无权转换委托权。</w:t>
      </w:r>
    </w:p>
    <w:p>
      <w:pPr>
        <w:pStyle w:val="8"/>
        <w:spacing w:before="106"/>
        <w:ind w:left="1040"/>
      </w:pPr>
      <w:r>
        <w:t>特此委托</w:t>
      </w:r>
    </w:p>
    <w:p>
      <w:pPr>
        <w:pStyle w:val="8"/>
      </w:pPr>
    </w:p>
    <w:p>
      <w:pPr>
        <w:pStyle w:val="8"/>
        <w:spacing w:before="6"/>
        <w:rPr>
          <w:sz w:val="30"/>
        </w:rPr>
      </w:pPr>
    </w:p>
    <w:p>
      <w:pPr>
        <w:pStyle w:val="8"/>
        <w:tabs>
          <w:tab w:val="left" w:pos="4639"/>
          <w:tab w:val="left" w:pos="5839"/>
          <w:tab w:val="left" w:pos="6559"/>
          <w:tab w:val="left" w:pos="7279"/>
        </w:tabs>
        <w:ind w:left="1040"/>
      </w:pPr>
      <w:r>
        <w:t>代理人姓名（签字）：</w:t>
      </w:r>
      <w:r>
        <w:tab/>
      </w:r>
      <w:r>
        <w:t>日期：</w:t>
      </w:r>
      <w:r>
        <w:tab/>
      </w:r>
      <w:r>
        <w:t>年</w:t>
      </w:r>
      <w:r>
        <w:tab/>
      </w:r>
      <w:r>
        <w:t>月</w:t>
      </w:r>
      <w:r>
        <w:tab/>
      </w:r>
      <w:r>
        <w:t>日</w:t>
      </w:r>
    </w:p>
    <w:p>
      <w:pPr>
        <w:pStyle w:val="8"/>
      </w:pPr>
    </w:p>
    <w:p>
      <w:pPr>
        <w:pStyle w:val="8"/>
      </w:pPr>
    </w:p>
    <w:p>
      <w:pPr>
        <w:pStyle w:val="8"/>
      </w:pPr>
    </w:p>
    <w:p>
      <w:pPr>
        <w:pStyle w:val="8"/>
      </w:pPr>
    </w:p>
    <w:p>
      <w:pPr>
        <w:pStyle w:val="8"/>
        <w:spacing w:before="10"/>
        <w:rPr>
          <w:sz w:val="18"/>
        </w:rPr>
      </w:pPr>
    </w:p>
    <w:p>
      <w:pPr>
        <w:pStyle w:val="8"/>
        <w:tabs>
          <w:tab w:val="left" w:pos="4639"/>
          <w:tab w:val="left" w:pos="5839"/>
          <w:tab w:val="left" w:pos="6559"/>
          <w:tab w:val="left" w:pos="7279"/>
        </w:tabs>
        <w:ind w:left="1040"/>
      </w:pPr>
      <w:r>
        <w:t>法定代表人（签字）：</w:t>
      </w:r>
      <w:r>
        <w:tab/>
      </w:r>
      <w:r>
        <w:t>日期：</w:t>
      </w:r>
      <w:r>
        <w:tab/>
      </w:r>
      <w:r>
        <w:t>年</w:t>
      </w:r>
      <w:r>
        <w:tab/>
      </w:r>
      <w:r>
        <w:t>月</w:t>
      </w:r>
      <w:r>
        <w:tab/>
      </w:r>
      <w:r>
        <w:t>日</w:t>
      </w:r>
    </w:p>
    <w:p>
      <w:pPr>
        <w:pStyle w:val="8"/>
        <w:spacing w:before="4"/>
        <w:rPr>
          <w:sz w:val="18"/>
        </w:rPr>
      </w:pPr>
    </w:p>
    <w:p>
      <w:pPr>
        <w:pStyle w:val="8"/>
        <w:ind w:right="309"/>
        <w:jc w:val="right"/>
      </w:pPr>
      <w:r>
        <w:t>（委托单位加盖公章）</w:t>
      </w:r>
    </w:p>
    <w:p>
      <w:pPr>
        <w:pStyle w:val="8"/>
      </w:pPr>
    </w:p>
    <w:p>
      <w:pPr>
        <w:pStyle w:val="8"/>
      </w:pPr>
    </w:p>
    <w:p>
      <w:pPr>
        <w:pStyle w:val="8"/>
      </w:pPr>
    </w:p>
    <w:p>
      <w:pPr>
        <w:pStyle w:val="8"/>
      </w:pPr>
    </w:p>
    <w:p>
      <w:pPr>
        <w:pStyle w:val="8"/>
        <w:spacing w:before="188" w:line="343" w:lineRule="auto"/>
        <w:ind w:left="1032" w:right="1898"/>
      </w:pPr>
      <w:r>
        <w:t>附：1、代理人身份证正反面复印件（本人签名、日期，单位加盖公章） 2、法定代表人身份证正反面复印件（本人签名、日期，单位加盖公章）</w:t>
      </w:r>
    </w:p>
    <w:p>
      <w:pPr>
        <w:spacing w:after="0" w:line="343" w:lineRule="auto"/>
        <w:sectPr>
          <w:headerReference r:id="rId21" w:type="default"/>
          <w:pgSz w:w="11910" w:h="16840"/>
          <w:pgMar w:top="1740" w:right="820" w:bottom="980" w:left="580" w:header="1464" w:footer="786" w:gutter="0"/>
          <w:pgBorders>
            <w:top w:val="none" w:sz="0" w:space="0"/>
            <w:left w:val="none" w:sz="0" w:space="0"/>
            <w:bottom w:val="none" w:sz="0" w:space="0"/>
            <w:right w:val="none" w:sz="0" w:space="0"/>
          </w:pgBorders>
          <w:cols w:space="720" w:num="1"/>
        </w:sectPr>
      </w:pPr>
    </w:p>
    <w:p>
      <w:pPr>
        <w:pStyle w:val="8"/>
        <w:spacing w:before="6"/>
        <w:rPr>
          <w:sz w:val="16"/>
        </w:rPr>
      </w:pPr>
    </w:p>
    <w:p>
      <w:pPr>
        <w:pStyle w:val="3"/>
      </w:pPr>
      <w:r>
        <w:t>项目名称</w:t>
      </w:r>
    </w:p>
    <w:p>
      <w:pPr>
        <w:pStyle w:val="4"/>
        <w:spacing w:before="449"/>
        <w:ind w:left="2819" w:right="2470"/>
        <w:jc w:val="center"/>
      </w:pPr>
      <w:r>
        <w:t>项目编号：</w:t>
      </w:r>
    </w:p>
    <w:p>
      <w:pPr>
        <w:pStyle w:val="8"/>
        <w:spacing w:before="2"/>
        <w:rPr>
          <w:sz w:val="33"/>
        </w:rPr>
      </w:pPr>
    </w:p>
    <w:p>
      <w:pPr>
        <w:spacing w:before="0" w:line="249" w:lineRule="auto"/>
        <w:ind w:left="4952" w:right="4713" w:firstLine="2"/>
        <w:jc w:val="both"/>
        <w:rPr>
          <w:sz w:val="84"/>
        </w:rPr>
      </w:pPr>
      <w:r>
        <w:rPr>
          <w:sz w:val="84"/>
        </w:rPr>
        <w:t>投标文件</w:t>
      </w:r>
    </w:p>
    <w:p>
      <w:pPr>
        <w:spacing w:before="297"/>
        <w:ind w:left="2819" w:right="2549" w:firstLine="0"/>
        <w:jc w:val="center"/>
        <w:rPr>
          <w:b/>
          <w:sz w:val="28"/>
        </w:rPr>
      </w:pPr>
      <w:r>
        <w:rPr>
          <w:sz w:val="28"/>
        </w:rPr>
        <w:t>（</w:t>
      </w:r>
      <w:r>
        <w:rPr>
          <w:sz w:val="24"/>
        </w:rPr>
        <w:t>商务技术文件</w:t>
      </w:r>
      <w:r>
        <w:rPr>
          <w:b/>
          <w:sz w:val="28"/>
        </w:rPr>
        <w:t>）</w:t>
      </w:r>
    </w:p>
    <w:p>
      <w:pPr>
        <w:pStyle w:val="4"/>
        <w:tabs>
          <w:tab w:val="left" w:pos="2352"/>
        </w:tabs>
        <w:spacing w:before="251" w:line="228" w:lineRule="auto"/>
        <w:ind w:right="5284"/>
      </w:pPr>
      <w:r>
        <w:t>投标人名称（盖公章</w:t>
      </w:r>
      <w:r>
        <w:rPr>
          <w:spacing w:val="-13"/>
        </w:rPr>
        <w:t xml:space="preserve">）： </w:t>
      </w:r>
      <w:r>
        <w:t>地</w:t>
      </w:r>
      <w:r>
        <w:tab/>
      </w:r>
      <w:r>
        <w:t>址：</w:t>
      </w:r>
    </w:p>
    <w:p>
      <w:pPr>
        <w:tabs>
          <w:tab w:val="left" w:pos="2352"/>
        </w:tabs>
        <w:spacing w:before="150"/>
        <w:ind w:left="1272" w:right="0" w:firstLine="0"/>
        <w:jc w:val="left"/>
        <w:rPr>
          <w:sz w:val="36"/>
        </w:rPr>
      </w:pPr>
      <w:r>
        <w:rPr>
          <w:sz w:val="36"/>
        </w:rPr>
        <w:t>时</w:t>
      </w:r>
      <w:r>
        <w:rPr>
          <w:sz w:val="36"/>
        </w:rPr>
        <w:tab/>
      </w:r>
      <w:r>
        <w:rPr>
          <w:sz w:val="36"/>
        </w:rPr>
        <w:t>间：</w:t>
      </w:r>
    </w:p>
    <w:p>
      <w:pPr>
        <w:spacing w:after="0"/>
        <w:jc w:val="left"/>
        <w:rPr>
          <w:sz w:val="36"/>
        </w:rPr>
        <w:sectPr>
          <w:headerReference r:id="rId22" w:type="default"/>
          <w:pgSz w:w="11910" w:h="16840"/>
          <w:pgMar w:top="1760" w:right="820" w:bottom="980" w:left="580" w:header="1497" w:footer="786" w:gutter="0"/>
          <w:pgBorders>
            <w:top w:val="none" w:sz="0" w:space="0"/>
            <w:left w:val="none" w:sz="0" w:space="0"/>
            <w:bottom w:val="none" w:sz="0" w:space="0"/>
            <w:right w:val="none" w:sz="0" w:space="0"/>
          </w:pgBorders>
          <w:cols w:space="720" w:num="1"/>
        </w:sectPr>
      </w:pPr>
    </w:p>
    <w:p>
      <w:pPr>
        <w:pStyle w:val="8"/>
        <w:spacing w:before="3"/>
        <w:rPr>
          <w:sz w:val="25"/>
        </w:rPr>
      </w:pPr>
    </w:p>
    <w:p>
      <w:pPr>
        <w:spacing w:before="62"/>
        <w:ind w:left="552" w:right="0" w:firstLine="0"/>
        <w:jc w:val="left"/>
        <w:rPr>
          <w:sz w:val="28"/>
        </w:rPr>
      </w:pPr>
      <w:r>
        <w:rPr>
          <w:sz w:val="28"/>
        </w:rPr>
        <w:t>（投标人根据投标文件内容自行编制）</w:t>
      </w:r>
    </w:p>
    <w:p>
      <w:pPr>
        <w:spacing w:after="0"/>
        <w:jc w:val="left"/>
        <w:rPr>
          <w:sz w:val="28"/>
        </w:rPr>
        <w:sectPr>
          <w:headerReference r:id="rId23" w:type="default"/>
          <w:footerReference r:id="rId24" w:type="default"/>
          <w:pgSz w:w="11910" w:h="16840"/>
          <w:pgMar w:top="1780" w:right="820" w:bottom="900" w:left="580" w:header="1476" w:footer="706" w:gutter="0"/>
          <w:pgBorders>
            <w:top w:val="none" w:sz="0" w:space="0"/>
            <w:left w:val="none" w:sz="0" w:space="0"/>
            <w:bottom w:val="none" w:sz="0" w:space="0"/>
            <w:right w:val="none" w:sz="0" w:space="0"/>
          </w:pgBorders>
          <w:pgNumType w:start="40"/>
          <w:cols w:space="720" w:num="1"/>
        </w:sectPr>
      </w:pPr>
    </w:p>
    <w:p>
      <w:pPr>
        <w:pStyle w:val="8"/>
        <w:rPr>
          <w:sz w:val="5"/>
        </w:rPr>
      </w:pPr>
    </w:p>
    <w:tbl>
      <w:tblPr>
        <w:tblStyle w:val="15"/>
        <w:tblW w:w="0" w:type="auto"/>
        <w:tblInd w:w="8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0"/>
        <w:gridCol w:w="1014"/>
        <w:gridCol w:w="1074"/>
        <w:gridCol w:w="1422"/>
        <w:gridCol w:w="352"/>
        <w:gridCol w:w="1218"/>
        <w:gridCol w:w="558"/>
        <w:gridCol w:w="971"/>
        <w:gridCol w:w="9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1950" w:type="dxa"/>
            <w:tcBorders>
              <w:bottom w:val="single" w:color="000000" w:sz="6" w:space="0"/>
              <w:right w:val="single" w:color="000000" w:sz="6" w:space="0"/>
            </w:tcBorders>
          </w:tcPr>
          <w:p>
            <w:pPr>
              <w:pStyle w:val="20"/>
              <w:spacing w:before="16"/>
              <w:ind w:right="265"/>
              <w:jc w:val="right"/>
              <w:rPr>
                <w:rFonts w:hint="eastAsia" w:ascii="微软雅黑" w:eastAsia="微软雅黑"/>
                <w:sz w:val="21"/>
              </w:rPr>
            </w:pPr>
            <w:r>
              <w:rPr>
                <w:rFonts w:hint="eastAsia" w:ascii="微软雅黑" w:eastAsia="微软雅黑"/>
                <w:w w:val="95"/>
                <w:sz w:val="21"/>
              </w:rPr>
              <w:t>投标人名称</w:t>
            </w:r>
          </w:p>
        </w:tc>
        <w:tc>
          <w:tcPr>
            <w:tcW w:w="7534" w:type="dxa"/>
            <w:gridSpan w:val="8"/>
            <w:tcBorders>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50" w:type="dxa"/>
            <w:tcBorders>
              <w:top w:val="single" w:color="000000" w:sz="6" w:space="0"/>
              <w:bottom w:val="single" w:color="000000" w:sz="6" w:space="0"/>
              <w:right w:val="single" w:color="000000" w:sz="6" w:space="0"/>
            </w:tcBorders>
          </w:tcPr>
          <w:p>
            <w:pPr>
              <w:pStyle w:val="20"/>
              <w:spacing w:before="21"/>
              <w:ind w:left="716"/>
              <w:rPr>
                <w:rFonts w:hint="eastAsia" w:ascii="微软雅黑" w:eastAsia="微软雅黑"/>
                <w:sz w:val="21"/>
              </w:rPr>
            </w:pPr>
            <w:r>
              <w:rPr>
                <w:rFonts w:hint="eastAsia" w:ascii="微软雅黑" w:eastAsia="微软雅黑"/>
                <w:sz w:val="21"/>
              </w:rPr>
              <w:t>注册地址</w:t>
            </w:r>
          </w:p>
        </w:tc>
        <w:tc>
          <w:tcPr>
            <w:tcW w:w="3862" w:type="dxa"/>
            <w:gridSpan w:val="4"/>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218" w:type="dxa"/>
            <w:tcBorders>
              <w:top w:val="single" w:color="000000" w:sz="6" w:space="0"/>
              <w:left w:val="single" w:color="000000" w:sz="6" w:space="0"/>
              <w:bottom w:val="single" w:color="000000" w:sz="6" w:space="0"/>
              <w:right w:val="single" w:color="000000" w:sz="6" w:space="0"/>
            </w:tcBorders>
          </w:tcPr>
          <w:p>
            <w:pPr>
              <w:pStyle w:val="20"/>
              <w:spacing w:before="21"/>
              <w:ind w:left="175" w:right="147"/>
              <w:jc w:val="center"/>
              <w:rPr>
                <w:rFonts w:hint="eastAsia" w:ascii="微软雅黑" w:eastAsia="微软雅黑"/>
                <w:sz w:val="21"/>
              </w:rPr>
            </w:pPr>
            <w:r>
              <w:rPr>
                <w:rFonts w:hint="eastAsia" w:ascii="微软雅黑" w:eastAsia="微软雅黑"/>
                <w:sz w:val="21"/>
              </w:rPr>
              <w:t>邮政编码</w:t>
            </w:r>
          </w:p>
        </w:tc>
        <w:tc>
          <w:tcPr>
            <w:tcW w:w="2454" w:type="dxa"/>
            <w:gridSpan w:val="3"/>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950" w:type="dxa"/>
            <w:vMerge w:val="restart"/>
            <w:tcBorders>
              <w:top w:val="single" w:color="000000" w:sz="6" w:space="0"/>
              <w:bottom w:val="single" w:color="000000" w:sz="6" w:space="0"/>
              <w:right w:val="single" w:color="000000" w:sz="6" w:space="0"/>
            </w:tcBorders>
          </w:tcPr>
          <w:p>
            <w:pPr>
              <w:pStyle w:val="20"/>
              <w:spacing w:before="4"/>
              <w:rPr>
                <w:sz w:val="26"/>
              </w:rPr>
            </w:pPr>
          </w:p>
          <w:p>
            <w:pPr>
              <w:pStyle w:val="20"/>
              <w:ind w:left="716"/>
              <w:rPr>
                <w:rFonts w:hint="eastAsia" w:ascii="微软雅黑" w:eastAsia="微软雅黑"/>
                <w:sz w:val="21"/>
              </w:rPr>
            </w:pPr>
            <w:r>
              <w:rPr>
                <w:rFonts w:hint="eastAsia" w:ascii="微软雅黑" w:eastAsia="微软雅黑"/>
                <w:sz w:val="21"/>
              </w:rPr>
              <w:t>联系方式</w:t>
            </w:r>
          </w:p>
        </w:tc>
        <w:tc>
          <w:tcPr>
            <w:tcW w:w="1014" w:type="dxa"/>
            <w:tcBorders>
              <w:top w:val="single" w:color="000000" w:sz="6" w:space="0"/>
              <w:left w:val="single" w:color="000000" w:sz="6" w:space="0"/>
              <w:bottom w:val="single" w:color="000000" w:sz="6" w:space="0"/>
              <w:right w:val="single" w:color="000000" w:sz="6" w:space="0"/>
            </w:tcBorders>
          </w:tcPr>
          <w:p>
            <w:pPr>
              <w:pStyle w:val="20"/>
              <w:spacing w:before="21"/>
              <w:ind w:left="329"/>
              <w:rPr>
                <w:rFonts w:hint="eastAsia" w:ascii="微软雅黑" w:eastAsia="微软雅黑"/>
                <w:sz w:val="21"/>
              </w:rPr>
            </w:pPr>
            <w:r>
              <w:rPr>
                <w:rFonts w:hint="eastAsia" w:ascii="微软雅黑" w:eastAsia="微软雅黑"/>
                <w:sz w:val="21"/>
              </w:rPr>
              <w:t>联系人</w:t>
            </w:r>
          </w:p>
        </w:tc>
        <w:tc>
          <w:tcPr>
            <w:tcW w:w="2848" w:type="dxa"/>
            <w:gridSpan w:val="3"/>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218" w:type="dxa"/>
            <w:tcBorders>
              <w:top w:val="single" w:color="000000" w:sz="6" w:space="0"/>
              <w:left w:val="single" w:color="000000" w:sz="6" w:space="0"/>
              <w:bottom w:val="single" w:color="000000" w:sz="6" w:space="0"/>
              <w:right w:val="single" w:color="000000" w:sz="6" w:space="0"/>
            </w:tcBorders>
          </w:tcPr>
          <w:p>
            <w:pPr>
              <w:pStyle w:val="20"/>
              <w:spacing w:before="21"/>
              <w:ind w:left="172" w:right="147"/>
              <w:jc w:val="center"/>
              <w:rPr>
                <w:rFonts w:hint="eastAsia" w:ascii="微软雅黑" w:eastAsia="微软雅黑"/>
                <w:sz w:val="21"/>
              </w:rPr>
            </w:pPr>
            <w:r>
              <w:rPr>
                <w:rFonts w:hint="eastAsia" w:ascii="微软雅黑" w:eastAsia="微软雅黑"/>
                <w:sz w:val="21"/>
              </w:rPr>
              <w:t>电 话</w:t>
            </w:r>
          </w:p>
        </w:tc>
        <w:tc>
          <w:tcPr>
            <w:tcW w:w="2454" w:type="dxa"/>
            <w:gridSpan w:val="3"/>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50" w:type="dxa"/>
            <w:vMerge w:val="continue"/>
            <w:tcBorders>
              <w:top w:val="nil"/>
              <w:bottom w:val="single" w:color="000000" w:sz="6" w:space="0"/>
              <w:right w:val="single" w:color="000000" w:sz="6" w:space="0"/>
            </w:tcBorders>
          </w:tcPr>
          <w:p>
            <w:pPr>
              <w:rPr>
                <w:sz w:val="2"/>
                <w:szCs w:val="2"/>
              </w:rPr>
            </w:pPr>
          </w:p>
        </w:tc>
        <w:tc>
          <w:tcPr>
            <w:tcW w:w="1014" w:type="dxa"/>
            <w:tcBorders>
              <w:top w:val="single" w:color="000000" w:sz="6" w:space="0"/>
              <w:left w:val="single" w:color="000000" w:sz="6" w:space="0"/>
              <w:bottom w:val="single" w:color="000000" w:sz="6" w:space="0"/>
              <w:right w:val="single" w:color="000000" w:sz="6" w:space="0"/>
            </w:tcBorders>
          </w:tcPr>
          <w:p>
            <w:pPr>
              <w:pStyle w:val="20"/>
              <w:spacing w:before="23"/>
              <w:ind w:left="329"/>
              <w:rPr>
                <w:rFonts w:hint="eastAsia" w:ascii="微软雅黑" w:eastAsia="微软雅黑"/>
                <w:sz w:val="21"/>
              </w:rPr>
            </w:pPr>
            <w:r>
              <w:rPr>
                <w:rFonts w:hint="eastAsia" w:ascii="微软雅黑" w:eastAsia="微软雅黑"/>
                <w:sz w:val="21"/>
              </w:rPr>
              <w:t>传 真</w:t>
            </w:r>
          </w:p>
        </w:tc>
        <w:tc>
          <w:tcPr>
            <w:tcW w:w="2848" w:type="dxa"/>
            <w:gridSpan w:val="3"/>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218" w:type="dxa"/>
            <w:tcBorders>
              <w:top w:val="single" w:color="000000" w:sz="6" w:space="0"/>
              <w:left w:val="single" w:color="000000" w:sz="6" w:space="0"/>
              <w:bottom w:val="single" w:color="000000" w:sz="6" w:space="0"/>
              <w:right w:val="single" w:color="000000" w:sz="6" w:space="0"/>
            </w:tcBorders>
          </w:tcPr>
          <w:p>
            <w:pPr>
              <w:pStyle w:val="20"/>
              <w:spacing w:before="23"/>
              <w:ind w:left="175" w:right="147"/>
              <w:jc w:val="center"/>
              <w:rPr>
                <w:rFonts w:hint="eastAsia" w:ascii="微软雅黑" w:eastAsia="微软雅黑"/>
                <w:sz w:val="21"/>
              </w:rPr>
            </w:pPr>
            <w:r>
              <w:rPr>
                <w:rFonts w:hint="eastAsia" w:ascii="微软雅黑" w:eastAsia="微软雅黑"/>
                <w:sz w:val="21"/>
              </w:rPr>
              <w:t>电子邮件</w:t>
            </w:r>
          </w:p>
        </w:tc>
        <w:tc>
          <w:tcPr>
            <w:tcW w:w="2454" w:type="dxa"/>
            <w:gridSpan w:val="3"/>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4" w:hRule="atLeast"/>
        </w:trPr>
        <w:tc>
          <w:tcPr>
            <w:tcW w:w="1950" w:type="dxa"/>
            <w:tcBorders>
              <w:top w:val="single" w:color="000000" w:sz="6" w:space="0"/>
              <w:bottom w:val="single" w:color="000000" w:sz="6" w:space="0"/>
              <w:right w:val="single" w:color="000000" w:sz="6" w:space="0"/>
            </w:tcBorders>
          </w:tcPr>
          <w:p>
            <w:pPr>
              <w:pStyle w:val="20"/>
              <w:spacing w:before="23"/>
              <w:ind w:right="265"/>
              <w:jc w:val="right"/>
              <w:rPr>
                <w:rFonts w:hint="eastAsia" w:ascii="微软雅黑" w:eastAsia="微软雅黑"/>
                <w:sz w:val="21"/>
              </w:rPr>
            </w:pPr>
            <w:r>
              <w:rPr>
                <w:rFonts w:hint="eastAsia" w:ascii="微软雅黑" w:eastAsia="微软雅黑"/>
                <w:w w:val="95"/>
                <w:sz w:val="21"/>
              </w:rPr>
              <w:t>法定代表人</w:t>
            </w:r>
          </w:p>
        </w:tc>
        <w:tc>
          <w:tcPr>
            <w:tcW w:w="1014" w:type="dxa"/>
            <w:tcBorders>
              <w:top w:val="single" w:color="000000" w:sz="6" w:space="0"/>
              <w:left w:val="single" w:color="000000" w:sz="6" w:space="0"/>
              <w:bottom w:val="single" w:color="000000" w:sz="6" w:space="0"/>
              <w:right w:val="single" w:color="000000" w:sz="6" w:space="0"/>
            </w:tcBorders>
          </w:tcPr>
          <w:p>
            <w:pPr>
              <w:pStyle w:val="20"/>
              <w:spacing w:before="23"/>
              <w:ind w:left="329"/>
              <w:rPr>
                <w:rFonts w:hint="eastAsia" w:ascii="微软雅黑" w:eastAsia="微软雅黑"/>
                <w:sz w:val="21"/>
              </w:rPr>
            </w:pPr>
            <w:r>
              <w:rPr>
                <w:rFonts w:hint="eastAsia" w:ascii="微软雅黑" w:eastAsia="微软雅黑"/>
                <w:sz w:val="21"/>
              </w:rPr>
              <w:t>姓名</w:t>
            </w:r>
          </w:p>
        </w:tc>
        <w:tc>
          <w:tcPr>
            <w:tcW w:w="1074" w:type="dxa"/>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pPr>
              <w:pStyle w:val="20"/>
              <w:spacing w:before="23"/>
              <w:ind w:left="307" w:right="219"/>
              <w:jc w:val="center"/>
              <w:rPr>
                <w:rFonts w:hint="eastAsia" w:ascii="微软雅黑" w:eastAsia="微软雅黑"/>
                <w:sz w:val="21"/>
              </w:rPr>
            </w:pPr>
            <w:r>
              <w:rPr>
                <w:rFonts w:hint="eastAsia" w:ascii="微软雅黑" w:eastAsia="微软雅黑"/>
                <w:sz w:val="21"/>
              </w:rPr>
              <w:t>技术职称</w:t>
            </w:r>
          </w:p>
        </w:tc>
        <w:tc>
          <w:tcPr>
            <w:tcW w:w="2128" w:type="dxa"/>
            <w:gridSpan w:val="3"/>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971" w:type="dxa"/>
            <w:tcBorders>
              <w:top w:val="single" w:color="000000" w:sz="6" w:space="0"/>
              <w:left w:val="single" w:color="000000" w:sz="6" w:space="0"/>
              <w:bottom w:val="single" w:color="000000" w:sz="6" w:space="0"/>
              <w:right w:val="single" w:color="000000" w:sz="6" w:space="0"/>
            </w:tcBorders>
          </w:tcPr>
          <w:p>
            <w:pPr>
              <w:pStyle w:val="20"/>
              <w:spacing w:before="23"/>
              <w:ind w:right="207"/>
              <w:jc w:val="right"/>
              <w:rPr>
                <w:rFonts w:hint="eastAsia" w:ascii="微软雅黑" w:eastAsia="微软雅黑"/>
                <w:sz w:val="21"/>
              </w:rPr>
            </w:pPr>
            <w:r>
              <w:rPr>
                <w:rFonts w:hint="eastAsia" w:ascii="微软雅黑" w:eastAsia="微软雅黑"/>
                <w:w w:val="95"/>
                <w:sz w:val="21"/>
              </w:rPr>
              <w:t>电话</w:t>
            </w:r>
          </w:p>
        </w:tc>
        <w:tc>
          <w:tcPr>
            <w:tcW w:w="925" w:type="dxa"/>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950" w:type="dxa"/>
            <w:tcBorders>
              <w:top w:val="single" w:color="000000" w:sz="6" w:space="0"/>
              <w:bottom w:val="single" w:color="000000" w:sz="6" w:space="0"/>
              <w:right w:val="single" w:color="000000" w:sz="6" w:space="0"/>
            </w:tcBorders>
          </w:tcPr>
          <w:p>
            <w:pPr>
              <w:pStyle w:val="20"/>
              <w:spacing w:before="22"/>
              <w:ind w:right="265"/>
              <w:jc w:val="right"/>
              <w:rPr>
                <w:rFonts w:hint="eastAsia" w:ascii="微软雅黑" w:eastAsia="微软雅黑"/>
                <w:sz w:val="21"/>
              </w:rPr>
            </w:pPr>
            <w:r>
              <w:rPr>
                <w:rFonts w:hint="eastAsia" w:ascii="微软雅黑" w:eastAsia="微软雅黑"/>
                <w:w w:val="95"/>
                <w:sz w:val="21"/>
              </w:rPr>
              <w:t>技术负责人</w:t>
            </w:r>
          </w:p>
        </w:tc>
        <w:tc>
          <w:tcPr>
            <w:tcW w:w="1014" w:type="dxa"/>
            <w:tcBorders>
              <w:top w:val="single" w:color="000000" w:sz="6" w:space="0"/>
              <w:left w:val="single" w:color="000000" w:sz="6" w:space="0"/>
              <w:bottom w:val="single" w:color="000000" w:sz="6" w:space="0"/>
              <w:right w:val="single" w:color="000000" w:sz="6" w:space="0"/>
            </w:tcBorders>
          </w:tcPr>
          <w:p>
            <w:pPr>
              <w:pStyle w:val="20"/>
              <w:spacing w:before="22"/>
              <w:ind w:left="329"/>
              <w:rPr>
                <w:rFonts w:hint="eastAsia" w:ascii="微软雅黑" w:eastAsia="微软雅黑"/>
                <w:sz w:val="21"/>
              </w:rPr>
            </w:pPr>
            <w:r>
              <w:rPr>
                <w:rFonts w:hint="eastAsia" w:ascii="微软雅黑" w:eastAsia="微软雅黑"/>
                <w:sz w:val="21"/>
              </w:rPr>
              <w:t>姓名</w:t>
            </w:r>
          </w:p>
        </w:tc>
        <w:tc>
          <w:tcPr>
            <w:tcW w:w="1074" w:type="dxa"/>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pPr>
              <w:pStyle w:val="20"/>
              <w:spacing w:before="22"/>
              <w:ind w:left="307" w:right="219"/>
              <w:jc w:val="center"/>
              <w:rPr>
                <w:rFonts w:hint="eastAsia" w:ascii="微软雅黑" w:eastAsia="微软雅黑"/>
                <w:sz w:val="21"/>
              </w:rPr>
            </w:pPr>
            <w:r>
              <w:rPr>
                <w:rFonts w:hint="eastAsia" w:ascii="微软雅黑" w:eastAsia="微软雅黑"/>
                <w:sz w:val="21"/>
              </w:rPr>
              <w:t>技术职称</w:t>
            </w:r>
          </w:p>
        </w:tc>
        <w:tc>
          <w:tcPr>
            <w:tcW w:w="2128" w:type="dxa"/>
            <w:gridSpan w:val="3"/>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971" w:type="dxa"/>
            <w:tcBorders>
              <w:top w:val="single" w:color="000000" w:sz="6" w:space="0"/>
              <w:left w:val="single" w:color="000000" w:sz="6" w:space="0"/>
              <w:bottom w:val="single" w:color="000000" w:sz="6" w:space="0"/>
              <w:right w:val="single" w:color="000000" w:sz="6" w:space="0"/>
            </w:tcBorders>
          </w:tcPr>
          <w:p>
            <w:pPr>
              <w:pStyle w:val="20"/>
              <w:spacing w:before="22"/>
              <w:ind w:right="207"/>
              <w:jc w:val="right"/>
              <w:rPr>
                <w:rFonts w:hint="eastAsia" w:ascii="微软雅黑" w:eastAsia="微软雅黑"/>
                <w:sz w:val="21"/>
              </w:rPr>
            </w:pPr>
            <w:r>
              <w:rPr>
                <w:rFonts w:hint="eastAsia" w:ascii="微软雅黑" w:eastAsia="微软雅黑"/>
                <w:w w:val="95"/>
                <w:sz w:val="21"/>
              </w:rPr>
              <w:t>电话</w:t>
            </w:r>
          </w:p>
        </w:tc>
        <w:tc>
          <w:tcPr>
            <w:tcW w:w="925" w:type="dxa"/>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950" w:type="dxa"/>
            <w:tcBorders>
              <w:top w:val="single" w:color="000000" w:sz="6" w:space="0"/>
              <w:bottom w:val="single" w:color="000000" w:sz="6" w:space="0"/>
              <w:right w:val="single" w:color="000000" w:sz="6" w:space="0"/>
            </w:tcBorders>
          </w:tcPr>
          <w:p>
            <w:pPr>
              <w:pStyle w:val="20"/>
              <w:spacing w:before="22"/>
              <w:ind w:left="716"/>
              <w:rPr>
                <w:rFonts w:hint="eastAsia" w:ascii="微软雅黑" w:eastAsia="微软雅黑"/>
                <w:sz w:val="21"/>
              </w:rPr>
            </w:pPr>
            <w:r>
              <w:rPr>
                <w:rFonts w:hint="eastAsia" w:ascii="微软雅黑" w:eastAsia="微软雅黑"/>
                <w:sz w:val="21"/>
              </w:rPr>
              <w:t>成立时间</w:t>
            </w:r>
          </w:p>
        </w:tc>
        <w:tc>
          <w:tcPr>
            <w:tcW w:w="2088" w:type="dxa"/>
            <w:gridSpan w:val="2"/>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5446" w:type="dxa"/>
            <w:gridSpan w:val="6"/>
            <w:tcBorders>
              <w:top w:val="single" w:color="000000" w:sz="6" w:space="0"/>
              <w:left w:val="single" w:color="000000" w:sz="6" w:space="0"/>
              <w:bottom w:val="single" w:color="000000" w:sz="6" w:space="0"/>
            </w:tcBorders>
          </w:tcPr>
          <w:p>
            <w:pPr>
              <w:pStyle w:val="20"/>
              <w:spacing w:before="22"/>
              <w:ind w:left="329"/>
              <w:rPr>
                <w:rFonts w:hint="eastAsia" w:ascii="微软雅黑" w:eastAsia="微软雅黑"/>
                <w:sz w:val="21"/>
              </w:rPr>
            </w:pPr>
            <w:r>
              <w:rPr>
                <w:rFonts w:hint="eastAsia" w:ascii="微软雅黑" w:eastAsia="微软雅黑"/>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50" w:type="dxa"/>
            <w:tcBorders>
              <w:top w:val="single" w:color="000000" w:sz="6" w:space="0"/>
              <w:bottom w:val="single" w:color="000000" w:sz="6" w:space="0"/>
              <w:right w:val="single" w:color="000000" w:sz="6" w:space="0"/>
            </w:tcBorders>
          </w:tcPr>
          <w:p>
            <w:pPr>
              <w:pStyle w:val="20"/>
              <w:spacing w:before="22"/>
              <w:ind w:left="716"/>
              <w:rPr>
                <w:rFonts w:hint="eastAsia" w:ascii="微软雅黑" w:eastAsia="微软雅黑"/>
                <w:sz w:val="21"/>
              </w:rPr>
            </w:pPr>
            <w:r>
              <w:rPr>
                <w:rFonts w:hint="eastAsia" w:ascii="微软雅黑" w:eastAsia="微软雅黑"/>
                <w:sz w:val="21"/>
              </w:rPr>
              <w:t>企业资质</w:t>
            </w:r>
          </w:p>
        </w:tc>
        <w:tc>
          <w:tcPr>
            <w:tcW w:w="2088" w:type="dxa"/>
            <w:gridSpan w:val="2"/>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422" w:type="dxa"/>
            <w:vMerge w:val="restart"/>
            <w:tcBorders>
              <w:top w:val="single" w:color="000000" w:sz="6" w:space="0"/>
              <w:left w:val="single" w:color="000000" w:sz="6" w:space="0"/>
              <w:bottom w:val="single" w:color="000000" w:sz="6" w:space="0"/>
              <w:right w:val="single" w:color="000000" w:sz="6" w:space="0"/>
            </w:tcBorders>
          </w:tcPr>
          <w:p>
            <w:pPr>
              <w:pStyle w:val="20"/>
              <w:rPr>
                <w:sz w:val="28"/>
              </w:rPr>
            </w:pPr>
          </w:p>
          <w:p>
            <w:pPr>
              <w:pStyle w:val="20"/>
              <w:rPr>
                <w:sz w:val="28"/>
              </w:rPr>
            </w:pPr>
          </w:p>
          <w:p>
            <w:pPr>
              <w:pStyle w:val="20"/>
              <w:rPr>
                <w:sz w:val="28"/>
              </w:rPr>
            </w:pPr>
          </w:p>
          <w:p>
            <w:pPr>
              <w:pStyle w:val="20"/>
              <w:spacing w:before="203"/>
              <w:ind w:left="329"/>
              <w:rPr>
                <w:rFonts w:hint="eastAsia" w:ascii="微软雅黑" w:eastAsia="微软雅黑"/>
                <w:sz w:val="21"/>
              </w:rPr>
            </w:pPr>
            <w:r>
              <w:rPr>
                <w:rFonts w:hint="eastAsia" w:ascii="微软雅黑" w:eastAsia="微软雅黑"/>
                <w:sz w:val="21"/>
              </w:rPr>
              <w:t>其中</w:t>
            </w:r>
          </w:p>
        </w:tc>
        <w:tc>
          <w:tcPr>
            <w:tcW w:w="2128" w:type="dxa"/>
            <w:gridSpan w:val="3"/>
            <w:tcBorders>
              <w:top w:val="single" w:color="000000" w:sz="6" w:space="0"/>
              <w:left w:val="single" w:color="000000" w:sz="6" w:space="0"/>
              <w:bottom w:val="single" w:color="000000" w:sz="6" w:space="0"/>
              <w:right w:val="single" w:color="000000" w:sz="6" w:space="0"/>
            </w:tcBorders>
          </w:tcPr>
          <w:p>
            <w:pPr>
              <w:pStyle w:val="20"/>
              <w:spacing w:before="22"/>
              <w:ind w:left="327"/>
              <w:rPr>
                <w:rFonts w:hint="eastAsia" w:ascii="微软雅黑" w:eastAsia="微软雅黑"/>
                <w:sz w:val="21"/>
              </w:rPr>
            </w:pPr>
            <w:r>
              <w:rPr>
                <w:rFonts w:hint="eastAsia" w:ascii="微软雅黑" w:eastAsia="微软雅黑"/>
                <w:sz w:val="21"/>
              </w:rPr>
              <w:t>项目负责人</w:t>
            </w:r>
          </w:p>
        </w:tc>
        <w:tc>
          <w:tcPr>
            <w:tcW w:w="1896" w:type="dxa"/>
            <w:gridSpan w:val="2"/>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50" w:type="dxa"/>
            <w:tcBorders>
              <w:top w:val="single" w:color="000000" w:sz="6" w:space="0"/>
              <w:bottom w:val="single" w:color="000000" w:sz="6" w:space="0"/>
              <w:right w:val="single" w:color="000000" w:sz="6" w:space="0"/>
            </w:tcBorders>
          </w:tcPr>
          <w:p>
            <w:pPr>
              <w:pStyle w:val="20"/>
              <w:spacing w:before="22"/>
              <w:ind w:right="265"/>
              <w:jc w:val="right"/>
              <w:rPr>
                <w:rFonts w:hint="eastAsia" w:ascii="微软雅黑" w:eastAsia="微软雅黑"/>
                <w:sz w:val="21"/>
              </w:rPr>
            </w:pPr>
            <w:r>
              <w:rPr>
                <w:rFonts w:hint="eastAsia" w:ascii="微软雅黑" w:eastAsia="微软雅黑"/>
                <w:w w:val="95"/>
                <w:sz w:val="21"/>
              </w:rPr>
              <w:t>营业执照号</w:t>
            </w:r>
          </w:p>
        </w:tc>
        <w:tc>
          <w:tcPr>
            <w:tcW w:w="2088" w:type="dxa"/>
            <w:gridSpan w:val="2"/>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422" w:type="dxa"/>
            <w:vMerge w:val="continue"/>
            <w:tcBorders>
              <w:top w:val="nil"/>
              <w:left w:val="single" w:color="000000" w:sz="6" w:space="0"/>
              <w:bottom w:val="single" w:color="000000" w:sz="6" w:space="0"/>
              <w:right w:val="single" w:color="000000" w:sz="6" w:space="0"/>
            </w:tcBorders>
          </w:tcPr>
          <w:p>
            <w:pPr>
              <w:rPr>
                <w:sz w:val="2"/>
                <w:szCs w:val="2"/>
              </w:rPr>
            </w:pPr>
          </w:p>
        </w:tc>
        <w:tc>
          <w:tcPr>
            <w:tcW w:w="2128" w:type="dxa"/>
            <w:gridSpan w:val="3"/>
            <w:tcBorders>
              <w:top w:val="single" w:color="000000" w:sz="6" w:space="0"/>
              <w:left w:val="single" w:color="000000" w:sz="6" w:space="0"/>
              <w:bottom w:val="single" w:color="000000" w:sz="6" w:space="0"/>
              <w:right w:val="single" w:color="000000" w:sz="6" w:space="0"/>
            </w:tcBorders>
          </w:tcPr>
          <w:p>
            <w:pPr>
              <w:pStyle w:val="20"/>
              <w:spacing w:before="22"/>
              <w:ind w:left="327"/>
              <w:rPr>
                <w:rFonts w:hint="eastAsia" w:ascii="微软雅黑" w:eastAsia="微软雅黑"/>
                <w:sz w:val="21"/>
              </w:rPr>
            </w:pPr>
            <w:r>
              <w:rPr>
                <w:rFonts w:hint="eastAsia" w:ascii="微软雅黑" w:eastAsia="微软雅黑"/>
                <w:sz w:val="21"/>
              </w:rPr>
              <w:t>高级职称人员</w:t>
            </w:r>
          </w:p>
        </w:tc>
        <w:tc>
          <w:tcPr>
            <w:tcW w:w="1896" w:type="dxa"/>
            <w:gridSpan w:val="2"/>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50" w:type="dxa"/>
            <w:tcBorders>
              <w:top w:val="single" w:color="000000" w:sz="6" w:space="0"/>
              <w:bottom w:val="single" w:color="000000" w:sz="6" w:space="0"/>
              <w:right w:val="single" w:color="000000" w:sz="6" w:space="0"/>
            </w:tcBorders>
          </w:tcPr>
          <w:p>
            <w:pPr>
              <w:pStyle w:val="20"/>
              <w:spacing w:before="22"/>
              <w:ind w:left="716"/>
              <w:rPr>
                <w:rFonts w:hint="eastAsia" w:ascii="微软雅黑" w:eastAsia="微软雅黑"/>
                <w:sz w:val="21"/>
              </w:rPr>
            </w:pPr>
            <w:r>
              <w:rPr>
                <w:rFonts w:hint="eastAsia" w:ascii="微软雅黑" w:eastAsia="微软雅黑"/>
                <w:sz w:val="21"/>
              </w:rPr>
              <w:t>注册资金</w:t>
            </w:r>
          </w:p>
        </w:tc>
        <w:tc>
          <w:tcPr>
            <w:tcW w:w="2088" w:type="dxa"/>
            <w:gridSpan w:val="2"/>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422" w:type="dxa"/>
            <w:vMerge w:val="continue"/>
            <w:tcBorders>
              <w:top w:val="nil"/>
              <w:left w:val="single" w:color="000000" w:sz="6" w:space="0"/>
              <w:bottom w:val="single" w:color="000000" w:sz="6" w:space="0"/>
              <w:right w:val="single" w:color="000000" w:sz="6" w:space="0"/>
            </w:tcBorders>
          </w:tcPr>
          <w:p>
            <w:pPr>
              <w:rPr>
                <w:sz w:val="2"/>
                <w:szCs w:val="2"/>
              </w:rPr>
            </w:pPr>
          </w:p>
        </w:tc>
        <w:tc>
          <w:tcPr>
            <w:tcW w:w="2128" w:type="dxa"/>
            <w:gridSpan w:val="3"/>
            <w:tcBorders>
              <w:top w:val="single" w:color="000000" w:sz="6" w:space="0"/>
              <w:left w:val="single" w:color="000000" w:sz="6" w:space="0"/>
              <w:bottom w:val="single" w:color="000000" w:sz="6" w:space="0"/>
              <w:right w:val="single" w:color="000000" w:sz="6" w:space="0"/>
            </w:tcBorders>
          </w:tcPr>
          <w:p>
            <w:pPr>
              <w:pStyle w:val="20"/>
              <w:spacing w:before="22"/>
              <w:ind w:left="327"/>
              <w:rPr>
                <w:rFonts w:hint="eastAsia" w:ascii="微软雅黑" w:eastAsia="微软雅黑"/>
                <w:sz w:val="21"/>
              </w:rPr>
            </w:pPr>
            <w:r>
              <w:rPr>
                <w:rFonts w:hint="eastAsia" w:ascii="微软雅黑" w:eastAsia="微软雅黑"/>
                <w:sz w:val="21"/>
              </w:rPr>
              <w:t>中级职称人员</w:t>
            </w:r>
          </w:p>
        </w:tc>
        <w:tc>
          <w:tcPr>
            <w:tcW w:w="1896" w:type="dxa"/>
            <w:gridSpan w:val="2"/>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1950" w:type="dxa"/>
            <w:tcBorders>
              <w:top w:val="single" w:color="000000" w:sz="6" w:space="0"/>
              <w:bottom w:val="single" w:color="000000" w:sz="6" w:space="0"/>
              <w:right w:val="single" w:color="000000" w:sz="6" w:space="0"/>
            </w:tcBorders>
          </w:tcPr>
          <w:p>
            <w:pPr>
              <w:pStyle w:val="20"/>
              <w:spacing w:before="21"/>
              <w:ind w:right="109"/>
              <w:jc w:val="right"/>
              <w:rPr>
                <w:rFonts w:hint="eastAsia" w:ascii="微软雅黑" w:eastAsia="微软雅黑"/>
                <w:sz w:val="21"/>
              </w:rPr>
            </w:pPr>
            <w:r>
              <w:rPr>
                <w:rFonts w:hint="eastAsia" w:ascii="微软雅黑" w:eastAsia="微软雅黑"/>
                <w:w w:val="95"/>
                <w:sz w:val="21"/>
              </w:rPr>
              <w:t>基本账户开户银行</w:t>
            </w:r>
          </w:p>
        </w:tc>
        <w:tc>
          <w:tcPr>
            <w:tcW w:w="2088" w:type="dxa"/>
            <w:gridSpan w:val="2"/>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422" w:type="dxa"/>
            <w:vMerge w:val="continue"/>
            <w:tcBorders>
              <w:top w:val="nil"/>
              <w:left w:val="single" w:color="000000" w:sz="6" w:space="0"/>
              <w:bottom w:val="single" w:color="000000" w:sz="6" w:space="0"/>
              <w:right w:val="single" w:color="000000" w:sz="6" w:space="0"/>
            </w:tcBorders>
          </w:tcPr>
          <w:p>
            <w:pPr>
              <w:rPr>
                <w:sz w:val="2"/>
                <w:szCs w:val="2"/>
              </w:rPr>
            </w:pPr>
          </w:p>
        </w:tc>
        <w:tc>
          <w:tcPr>
            <w:tcW w:w="2128" w:type="dxa"/>
            <w:gridSpan w:val="3"/>
            <w:tcBorders>
              <w:top w:val="single" w:color="000000" w:sz="6" w:space="0"/>
              <w:left w:val="single" w:color="000000" w:sz="6" w:space="0"/>
              <w:bottom w:val="single" w:color="000000" w:sz="6" w:space="0"/>
              <w:right w:val="single" w:color="000000" w:sz="6" w:space="0"/>
            </w:tcBorders>
          </w:tcPr>
          <w:p>
            <w:pPr>
              <w:pStyle w:val="20"/>
              <w:spacing w:before="21"/>
              <w:ind w:left="327"/>
              <w:rPr>
                <w:rFonts w:hint="eastAsia" w:ascii="微软雅黑" w:eastAsia="微软雅黑"/>
                <w:sz w:val="21"/>
              </w:rPr>
            </w:pPr>
            <w:r>
              <w:rPr>
                <w:rFonts w:hint="eastAsia" w:ascii="微软雅黑" w:eastAsia="微软雅黑"/>
                <w:sz w:val="21"/>
              </w:rPr>
              <w:t>初级职称人员</w:t>
            </w:r>
          </w:p>
        </w:tc>
        <w:tc>
          <w:tcPr>
            <w:tcW w:w="1896" w:type="dxa"/>
            <w:gridSpan w:val="2"/>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950" w:type="dxa"/>
            <w:tcBorders>
              <w:top w:val="single" w:color="000000" w:sz="6" w:space="0"/>
              <w:bottom w:val="single" w:color="000000" w:sz="6" w:space="0"/>
              <w:right w:val="single" w:color="000000" w:sz="6" w:space="0"/>
            </w:tcBorders>
          </w:tcPr>
          <w:p>
            <w:pPr>
              <w:pStyle w:val="20"/>
              <w:spacing w:before="21"/>
              <w:ind w:right="162"/>
              <w:jc w:val="right"/>
              <w:rPr>
                <w:rFonts w:hint="eastAsia" w:ascii="微软雅黑" w:eastAsia="微软雅黑"/>
                <w:sz w:val="21"/>
              </w:rPr>
            </w:pPr>
            <w:r>
              <w:rPr>
                <w:rFonts w:hint="eastAsia" w:ascii="微软雅黑" w:eastAsia="微软雅黑"/>
                <w:w w:val="95"/>
                <w:sz w:val="21"/>
              </w:rPr>
              <w:t>基本账户账号</w:t>
            </w:r>
          </w:p>
        </w:tc>
        <w:tc>
          <w:tcPr>
            <w:tcW w:w="2088" w:type="dxa"/>
            <w:gridSpan w:val="2"/>
            <w:tcBorders>
              <w:top w:val="single" w:color="000000" w:sz="6" w:space="0"/>
              <w:left w:val="single" w:color="000000" w:sz="6" w:space="0"/>
              <w:bottom w:val="single" w:color="000000" w:sz="6" w:space="0"/>
              <w:right w:val="single" w:color="000000" w:sz="6" w:space="0"/>
            </w:tcBorders>
          </w:tcPr>
          <w:p>
            <w:pPr>
              <w:pStyle w:val="20"/>
              <w:rPr>
                <w:rFonts w:ascii="Times New Roman"/>
                <w:sz w:val="20"/>
              </w:rPr>
            </w:pPr>
          </w:p>
        </w:tc>
        <w:tc>
          <w:tcPr>
            <w:tcW w:w="1422" w:type="dxa"/>
            <w:vMerge w:val="continue"/>
            <w:tcBorders>
              <w:top w:val="nil"/>
              <w:left w:val="single" w:color="000000" w:sz="6" w:space="0"/>
              <w:bottom w:val="single" w:color="000000" w:sz="6" w:space="0"/>
              <w:right w:val="single" w:color="000000" w:sz="6" w:space="0"/>
            </w:tcBorders>
          </w:tcPr>
          <w:p>
            <w:pPr>
              <w:rPr>
                <w:sz w:val="2"/>
                <w:szCs w:val="2"/>
              </w:rPr>
            </w:pPr>
          </w:p>
        </w:tc>
        <w:tc>
          <w:tcPr>
            <w:tcW w:w="2128" w:type="dxa"/>
            <w:gridSpan w:val="3"/>
            <w:tcBorders>
              <w:top w:val="single" w:color="000000" w:sz="6" w:space="0"/>
              <w:left w:val="single" w:color="000000" w:sz="6" w:space="0"/>
              <w:bottom w:val="single" w:color="000000" w:sz="6" w:space="0"/>
              <w:right w:val="single" w:color="000000" w:sz="6" w:space="0"/>
            </w:tcBorders>
          </w:tcPr>
          <w:p>
            <w:pPr>
              <w:pStyle w:val="20"/>
              <w:spacing w:before="21"/>
              <w:ind w:left="327"/>
              <w:rPr>
                <w:rFonts w:hint="eastAsia" w:ascii="微软雅黑" w:eastAsia="微软雅黑"/>
                <w:sz w:val="21"/>
              </w:rPr>
            </w:pPr>
            <w:r>
              <w:rPr>
                <w:rFonts w:hint="eastAsia" w:ascii="微软雅黑" w:eastAsia="微软雅黑"/>
                <w:sz w:val="21"/>
              </w:rPr>
              <w:t>技工</w:t>
            </w:r>
          </w:p>
        </w:tc>
        <w:tc>
          <w:tcPr>
            <w:tcW w:w="1896" w:type="dxa"/>
            <w:gridSpan w:val="2"/>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02" w:hRule="atLeast"/>
        </w:trPr>
        <w:tc>
          <w:tcPr>
            <w:tcW w:w="1950" w:type="dxa"/>
            <w:tcBorders>
              <w:top w:val="single" w:color="000000" w:sz="6" w:space="0"/>
              <w:bottom w:val="single" w:color="000000" w:sz="6" w:space="0"/>
              <w:right w:val="single" w:color="000000" w:sz="6" w:space="0"/>
            </w:tcBorders>
          </w:tcPr>
          <w:p>
            <w:pPr>
              <w:pStyle w:val="20"/>
              <w:spacing w:before="5"/>
              <w:rPr>
                <w:sz w:val="40"/>
              </w:rPr>
            </w:pPr>
          </w:p>
          <w:p>
            <w:pPr>
              <w:pStyle w:val="20"/>
              <w:ind w:left="330"/>
              <w:rPr>
                <w:rFonts w:hint="eastAsia" w:ascii="微软雅黑" w:eastAsia="微软雅黑"/>
                <w:sz w:val="21"/>
              </w:rPr>
            </w:pPr>
            <w:r>
              <w:rPr>
                <w:rFonts w:hint="eastAsia" w:ascii="微软雅黑" w:eastAsia="微软雅黑"/>
                <w:sz w:val="21"/>
              </w:rPr>
              <w:t>经营范围</w:t>
            </w:r>
          </w:p>
        </w:tc>
        <w:tc>
          <w:tcPr>
            <w:tcW w:w="7534" w:type="dxa"/>
            <w:gridSpan w:val="8"/>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4" w:hRule="atLeast"/>
        </w:trPr>
        <w:tc>
          <w:tcPr>
            <w:tcW w:w="1950" w:type="dxa"/>
            <w:tcBorders>
              <w:top w:val="single" w:color="000000" w:sz="6" w:space="0"/>
              <w:bottom w:val="single" w:color="000000" w:sz="6" w:space="0"/>
              <w:right w:val="single" w:color="000000" w:sz="6" w:space="0"/>
            </w:tcBorders>
          </w:tcPr>
          <w:p>
            <w:pPr>
              <w:pStyle w:val="20"/>
              <w:spacing w:line="372" w:lineRule="exact"/>
              <w:ind w:left="32"/>
              <w:rPr>
                <w:rFonts w:hint="eastAsia" w:ascii="微软雅黑" w:eastAsia="微软雅黑"/>
                <w:sz w:val="21"/>
              </w:rPr>
            </w:pPr>
            <w:r>
              <w:rPr>
                <w:rFonts w:hint="eastAsia" w:ascii="微软雅黑" w:eastAsia="微软雅黑"/>
                <w:sz w:val="21"/>
              </w:rPr>
              <w:t>资产构成情况及投标</w:t>
            </w:r>
          </w:p>
          <w:p>
            <w:pPr>
              <w:pStyle w:val="20"/>
              <w:spacing w:line="540" w:lineRule="atLeast"/>
              <w:ind w:left="663" w:right="4" w:hanging="632"/>
              <w:rPr>
                <w:rFonts w:hint="eastAsia" w:ascii="微软雅黑" w:eastAsia="微软雅黑"/>
                <w:sz w:val="21"/>
              </w:rPr>
            </w:pPr>
            <w:r>
              <w:rPr>
                <w:rFonts w:hint="eastAsia" w:ascii="微软雅黑" w:eastAsia="微软雅黑"/>
                <w:sz w:val="21"/>
              </w:rPr>
              <w:t>人投资参股的关联企业情况</w:t>
            </w:r>
          </w:p>
        </w:tc>
        <w:tc>
          <w:tcPr>
            <w:tcW w:w="7534" w:type="dxa"/>
            <w:gridSpan w:val="8"/>
            <w:tcBorders>
              <w:top w:val="single" w:color="000000" w:sz="6" w:space="0"/>
              <w:left w:val="single" w:color="000000" w:sz="6" w:space="0"/>
              <w:bottom w:val="single" w:color="000000" w:sz="6" w:space="0"/>
            </w:tcBorders>
          </w:tcPr>
          <w:p>
            <w:pPr>
              <w:pStyle w:val="2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77" w:hRule="atLeast"/>
        </w:trPr>
        <w:tc>
          <w:tcPr>
            <w:tcW w:w="1950" w:type="dxa"/>
            <w:tcBorders>
              <w:top w:val="single" w:color="000000" w:sz="6" w:space="0"/>
              <w:right w:val="single" w:color="000000" w:sz="6" w:space="0"/>
            </w:tcBorders>
          </w:tcPr>
          <w:p>
            <w:pPr>
              <w:pStyle w:val="20"/>
              <w:tabs>
                <w:tab w:val="left" w:pos="1345"/>
              </w:tabs>
              <w:spacing w:before="54"/>
              <w:ind w:left="716"/>
              <w:rPr>
                <w:rFonts w:hint="eastAsia" w:ascii="微软雅黑" w:eastAsia="微软雅黑"/>
                <w:sz w:val="21"/>
              </w:rPr>
            </w:pPr>
            <w:r>
              <w:rPr>
                <w:rFonts w:hint="eastAsia" w:ascii="微软雅黑" w:eastAsia="微软雅黑"/>
                <w:sz w:val="21"/>
              </w:rPr>
              <w:t>备</w:t>
            </w:r>
            <w:r>
              <w:rPr>
                <w:rFonts w:hint="eastAsia" w:ascii="微软雅黑" w:eastAsia="微软雅黑"/>
                <w:sz w:val="21"/>
              </w:rPr>
              <w:tab/>
            </w:r>
            <w:r>
              <w:rPr>
                <w:rFonts w:hint="eastAsia" w:ascii="微软雅黑" w:eastAsia="微软雅黑"/>
                <w:sz w:val="21"/>
              </w:rPr>
              <w:t>注</w:t>
            </w:r>
          </w:p>
        </w:tc>
        <w:tc>
          <w:tcPr>
            <w:tcW w:w="7534" w:type="dxa"/>
            <w:gridSpan w:val="8"/>
            <w:tcBorders>
              <w:top w:val="single" w:color="000000" w:sz="6" w:space="0"/>
              <w:left w:val="single" w:color="000000" w:sz="6" w:space="0"/>
            </w:tcBorders>
          </w:tcPr>
          <w:p>
            <w:pPr>
              <w:pStyle w:val="20"/>
              <w:rPr>
                <w:rFonts w:ascii="Times New Roman"/>
                <w:sz w:val="20"/>
              </w:rPr>
            </w:pPr>
          </w:p>
        </w:tc>
      </w:tr>
    </w:tbl>
    <w:p>
      <w:pPr>
        <w:pStyle w:val="8"/>
        <w:spacing w:before="126"/>
        <w:ind w:left="980"/>
      </w:pPr>
      <w:r>
        <w:t>投标人名称（盖公章）：</w:t>
      </w:r>
    </w:p>
    <w:p>
      <w:pPr>
        <w:pStyle w:val="8"/>
        <w:tabs>
          <w:tab w:val="left" w:pos="2179"/>
        </w:tabs>
        <w:spacing w:before="22" w:line="242" w:lineRule="auto"/>
        <w:ind w:left="980" w:right="5457"/>
      </w:pPr>
      <w:r>
        <w:t>法定代表人或代理人（签字或盖章</w:t>
      </w:r>
      <w:r>
        <w:rPr>
          <w:spacing w:val="-14"/>
        </w:rPr>
        <w:t xml:space="preserve">）： </w:t>
      </w:r>
      <w:r>
        <w:t>日</w:t>
      </w:r>
      <w:r>
        <w:tab/>
      </w:r>
      <w:r>
        <w:t>期：</w:t>
      </w:r>
    </w:p>
    <w:p>
      <w:pPr>
        <w:pStyle w:val="8"/>
        <w:rPr>
          <w:sz w:val="20"/>
        </w:rPr>
      </w:pPr>
    </w:p>
    <w:p>
      <w:pPr>
        <w:pStyle w:val="8"/>
        <w:rPr>
          <w:sz w:val="20"/>
        </w:rPr>
      </w:pPr>
    </w:p>
    <w:p>
      <w:pPr>
        <w:pStyle w:val="8"/>
        <w:rPr>
          <w:sz w:val="20"/>
        </w:rPr>
      </w:pPr>
    </w:p>
    <w:p>
      <w:pPr>
        <w:pStyle w:val="8"/>
        <w:rPr>
          <w:sz w:val="21"/>
        </w:rPr>
      </w:pPr>
    </w:p>
    <w:p>
      <w:pPr>
        <w:spacing w:before="93"/>
        <w:ind w:left="2819" w:right="2582" w:firstLine="0"/>
        <w:jc w:val="center"/>
        <w:rPr>
          <w:rFonts w:ascii="Times New Roman"/>
          <w:sz w:val="18"/>
        </w:rPr>
      </w:pPr>
      <w:r>
        <w:rPr>
          <w:rFonts w:ascii="Times New Roman"/>
          <w:sz w:val="18"/>
        </w:rPr>
        <w:t>38</w:t>
      </w:r>
    </w:p>
    <w:p>
      <w:pPr>
        <w:spacing w:after="0"/>
        <w:jc w:val="center"/>
        <w:rPr>
          <w:rFonts w:ascii="Times New Roman"/>
          <w:sz w:val="18"/>
        </w:rPr>
        <w:sectPr>
          <w:headerReference r:id="rId25" w:type="default"/>
          <w:pgSz w:w="11910" w:h="16840"/>
          <w:pgMar w:top="1880" w:right="820" w:bottom="900" w:left="580" w:header="1580" w:footer="706" w:gutter="0"/>
          <w:pgBorders>
            <w:top w:val="none" w:sz="0" w:space="0"/>
            <w:left w:val="none" w:sz="0" w:space="0"/>
            <w:bottom w:val="none" w:sz="0" w:space="0"/>
            <w:right w:val="none" w:sz="0" w:space="0"/>
          </w:pgBorders>
          <w:cols w:space="720" w:num="1"/>
        </w:sectPr>
      </w:pPr>
    </w:p>
    <w:p>
      <w:pPr>
        <w:snapToGrid w:val="0"/>
        <w:spacing w:beforeLines="50" w:after="50" w:line="360" w:lineRule="auto"/>
        <w:jc w:val="both"/>
        <w:rPr>
          <w:rFonts w:hint="default" w:ascii="宋体" w:hAnsi="宋体" w:eastAsia="宋体" w:cs="宋体"/>
          <w:b/>
          <w:bCs/>
          <w:color w:val="auto"/>
          <w:spacing w:val="21"/>
          <w:kern w:val="0"/>
          <w:sz w:val="32"/>
          <w:szCs w:val="32"/>
          <w:highlight w:val="none"/>
          <w:lang w:val="en-US" w:eastAsia="zh-CN"/>
        </w:rPr>
      </w:pPr>
      <w:r>
        <w:rPr>
          <w:rFonts w:hint="eastAsia" w:ascii="宋体" w:hAnsi="宋体" w:cs="宋体"/>
          <w:b/>
          <w:bCs/>
          <w:color w:val="auto"/>
          <w:spacing w:val="21"/>
          <w:kern w:val="0"/>
          <w:sz w:val="32"/>
          <w:szCs w:val="32"/>
          <w:highlight w:val="none"/>
          <w:lang w:eastAsia="zh-CN"/>
        </w:rPr>
        <w:t>附件</w:t>
      </w:r>
      <w:r>
        <w:rPr>
          <w:rFonts w:hint="eastAsia" w:ascii="宋体" w:hAnsi="宋体" w:cs="宋体"/>
          <w:b/>
          <w:bCs/>
          <w:color w:val="auto"/>
          <w:spacing w:val="21"/>
          <w:kern w:val="0"/>
          <w:sz w:val="32"/>
          <w:szCs w:val="32"/>
          <w:highlight w:val="none"/>
          <w:lang w:val="en-US" w:eastAsia="zh-CN"/>
        </w:rPr>
        <w:t>6</w:t>
      </w:r>
    </w:p>
    <w:p>
      <w:pPr>
        <w:snapToGrid w:val="0"/>
        <w:spacing w:beforeLines="50" w:after="50" w:line="360" w:lineRule="auto"/>
        <w:jc w:val="center"/>
        <w:rPr>
          <w:rFonts w:ascii="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项目实施人员一览表</w:t>
      </w:r>
    </w:p>
    <w:p>
      <w:pPr>
        <w:snapToGrid w:val="0"/>
        <w:spacing w:beforeLines="50" w:after="50" w:line="360" w:lineRule="auto"/>
        <w:ind w:firstLine="2400" w:firstLineChars="1000"/>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15"/>
        <w:tblpPr w:leftFromText="180" w:rightFromText="180" w:vertAnchor="text" w:horzAnchor="page" w:tblpX="1102" w:tblpY="4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55"/>
        <w:gridCol w:w="1335"/>
        <w:gridCol w:w="1183"/>
        <w:gridCol w:w="1419"/>
        <w:gridCol w:w="1419"/>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1" w:type="dxa"/>
            <w:noWrap w:val="0"/>
            <w:vAlign w:val="center"/>
          </w:tcPr>
          <w:p>
            <w:pPr>
              <w:pStyle w:val="21"/>
              <w:rPr>
                <w:rFonts w:hint="eastAsia" w:hAnsi="宋体"/>
                <w:color w:val="auto"/>
                <w:sz w:val="24"/>
                <w:szCs w:val="16"/>
                <w:highlight w:val="none"/>
              </w:rPr>
            </w:pPr>
            <w:r>
              <w:rPr>
                <w:rFonts w:hint="eastAsia" w:hAnsi="宋体"/>
                <w:color w:val="auto"/>
                <w:sz w:val="24"/>
                <w:szCs w:val="16"/>
                <w:highlight w:val="none"/>
              </w:rPr>
              <w:t>岗位名称</w:t>
            </w:r>
          </w:p>
        </w:tc>
        <w:tc>
          <w:tcPr>
            <w:tcW w:w="1455" w:type="dxa"/>
            <w:noWrap w:val="0"/>
            <w:vAlign w:val="center"/>
          </w:tcPr>
          <w:p>
            <w:pPr>
              <w:pStyle w:val="21"/>
              <w:rPr>
                <w:rFonts w:hint="eastAsia" w:hAnsi="宋体"/>
                <w:color w:val="auto"/>
                <w:sz w:val="24"/>
                <w:szCs w:val="16"/>
                <w:highlight w:val="none"/>
              </w:rPr>
            </w:pPr>
            <w:r>
              <w:rPr>
                <w:rFonts w:hint="eastAsia" w:hAnsi="宋体"/>
                <w:color w:val="auto"/>
                <w:sz w:val="24"/>
                <w:szCs w:val="16"/>
                <w:highlight w:val="none"/>
              </w:rPr>
              <w:t>姓名</w:t>
            </w:r>
          </w:p>
        </w:tc>
        <w:tc>
          <w:tcPr>
            <w:tcW w:w="1335" w:type="dxa"/>
            <w:noWrap w:val="0"/>
            <w:vAlign w:val="center"/>
          </w:tcPr>
          <w:p>
            <w:pPr>
              <w:pStyle w:val="21"/>
              <w:rPr>
                <w:rFonts w:hint="eastAsia" w:hAnsi="宋体"/>
                <w:color w:val="auto"/>
                <w:sz w:val="24"/>
                <w:szCs w:val="16"/>
                <w:highlight w:val="none"/>
              </w:rPr>
            </w:pPr>
            <w:r>
              <w:rPr>
                <w:rFonts w:hint="eastAsia" w:hAnsi="宋体"/>
                <w:color w:val="auto"/>
                <w:sz w:val="24"/>
                <w:szCs w:val="16"/>
                <w:highlight w:val="none"/>
              </w:rPr>
              <w:t>职位</w:t>
            </w:r>
          </w:p>
        </w:tc>
        <w:tc>
          <w:tcPr>
            <w:tcW w:w="1183" w:type="dxa"/>
            <w:noWrap w:val="0"/>
            <w:vAlign w:val="center"/>
          </w:tcPr>
          <w:p>
            <w:pPr>
              <w:pStyle w:val="21"/>
              <w:rPr>
                <w:rFonts w:hint="eastAsia" w:hAnsi="宋体"/>
                <w:color w:val="auto"/>
                <w:sz w:val="24"/>
                <w:szCs w:val="16"/>
                <w:highlight w:val="none"/>
              </w:rPr>
            </w:pPr>
            <w:r>
              <w:rPr>
                <w:rFonts w:hint="eastAsia" w:hAnsi="宋体"/>
                <w:color w:val="auto"/>
                <w:sz w:val="24"/>
                <w:szCs w:val="16"/>
                <w:highlight w:val="none"/>
              </w:rPr>
              <w:t>学历</w:t>
            </w:r>
          </w:p>
        </w:tc>
        <w:tc>
          <w:tcPr>
            <w:tcW w:w="1419" w:type="dxa"/>
            <w:noWrap w:val="0"/>
            <w:vAlign w:val="center"/>
          </w:tcPr>
          <w:p>
            <w:pPr>
              <w:pStyle w:val="21"/>
              <w:rPr>
                <w:rFonts w:hint="eastAsia" w:hAnsi="宋体"/>
                <w:color w:val="auto"/>
                <w:sz w:val="24"/>
                <w:szCs w:val="16"/>
                <w:highlight w:val="none"/>
              </w:rPr>
            </w:pPr>
            <w:r>
              <w:rPr>
                <w:rFonts w:hint="eastAsia" w:hAnsi="宋体"/>
                <w:color w:val="auto"/>
                <w:sz w:val="24"/>
                <w:szCs w:val="16"/>
                <w:highlight w:val="none"/>
              </w:rPr>
              <w:t>持何种资格证书</w:t>
            </w:r>
          </w:p>
        </w:tc>
        <w:tc>
          <w:tcPr>
            <w:tcW w:w="1419" w:type="dxa"/>
            <w:noWrap w:val="0"/>
            <w:vAlign w:val="center"/>
          </w:tcPr>
          <w:p>
            <w:pPr>
              <w:pStyle w:val="21"/>
              <w:rPr>
                <w:rFonts w:hint="eastAsia" w:hAnsi="宋体"/>
                <w:color w:val="auto"/>
                <w:sz w:val="24"/>
                <w:szCs w:val="16"/>
                <w:highlight w:val="none"/>
              </w:rPr>
            </w:pPr>
            <w:r>
              <w:rPr>
                <w:rFonts w:hint="eastAsia" w:hAnsi="宋体"/>
                <w:color w:val="auto"/>
                <w:sz w:val="24"/>
                <w:szCs w:val="16"/>
                <w:highlight w:val="none"/>
              </w:rPr>
              <w:t>证书编号</w:t>
            </w:r>
          </w:p>
        </w:tc>
        <w:tc>
          <w:tcPr>
            <w:tcW w:w="1188" w:type="dxa"/>
            <w:noWrap w:val="0"/>
            <w:vAlign w:val="center"/>
          </w:tcPr>
          <w:p>
            <w:pPr>
              <w:pStyle w:val="21"/>
              <w:rPr>
                <w:rFonts w:hint="eastAsia" w:hAnsi="宋体"/>
                <w:color w:val="auto"/>
                <w:sz w:val="24"/>
                <w:szCs w:val="16"/>
                <w:highlight w:val="none"/>
              </w:rPr>
            </w:pPr>
            <w:r>
              <w:rPr>
                <w:rFonts w:hint="eastAsia" w:hAnsi="宋体"/>
                <w:color w:val="auto"/>
                <w:sz w:val="24"/>
                <w:szCs w:val="16"/>
                <w:highlight w:val="none"/>
              </w:rPr>
              <w:t>本岗工龄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01" w:type="dxa"/>
            <w:noWrap w:val="0"/>
            <w:vAlign w:val="center"/>
          </w:tcPr>
          <w:p>
            <w:pPr>
              <w:pStyle w:val="21"/>
              <w:rPr>
                <w:rFonts w:hint="eastAsia" w:hAnsi="宋体" w:eastAsia="宋体"/>
                <w:color w:val="auto"/>
                <w:sz w:val="24"/>
                <w:szCs w:val="16"/>
                <w:highlight w:val="none"/>
                <w:lang w:eastAsia="zh-CN"/>
              </w:rPr>
            </w:pPr>
            <w:r>
              <w:rPr>
                <w:rFonts w:hint="eastAsia" w:hAnsi="宋体"/>
                <w:color w:val="auto"/>
                <w:sz w:val="24"/>
                <w:szCs w:val="16"/>
                <w:highlight w:val="none"/>
                <w:lang w:eastAsia="zh-CN"/>
              </w:rPr>
              <w:t>项目经理</w:t>
            </w: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21"/>
              <w:rPr>
                <w:rFonts w:hint="eastAsia" w:ascii="Times New Roman" w:hAnsi="宋体" w:eastAsia="宋体" w:cs="Times New Roman"/>
                <w:b/>
                <w:color w:val="auto"/>
                <w:kern w:val="2"/>
                <w:sz w:val="24"/>
                <w:szCs w:val="16"/>
                <w:highlight w:val="none"/>
                <w:lang w:val="en-US" w:eastAsia="zh-CN" w:bidi="ar-SA"/>
              </w:rPr>
            </w:pPr>
            <w:r>
              <w:rPr>
                <w:rFonts w:hint="eastAsia" w:hAnsi="宋体"/>
                <w:color w:val="auto"/>
                <w:sz w:val="24"/>
                <w:szCs w:val="16"/>
                <w:highlight w:val="none"/>
              </w:rPr>
              <w:t>其他人员</w:t>
            </w: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21"/>
              <w:rPr>
                <w:rFonts w:hint="eastAsia" w:ascii="Times New Roman" w:hAnsi="宋体" w:eastAsia="宋体" w:cs="Times New Roman"/>
                <w:b/>
                <w:color w:val="auto"/>
                <w:kern w:val="2"/>
                <w:sz w:val="24"/>
                <w:szCs w:val="16"/>
                <w:highlight w:val="none"/>
                <w:lang w:val="en-US" w:eastAsia="zh-CN" w:bidi="ar-SA"/>
              </w:rPr>
            </w:pPr>
            <w:r>
              <w:rPr>
                <w:rFonts w:hint="eastAsia" w:hAnsi="宋体"/>
                <w:color w:val="auto"/>
                <w:sz w:val="24"/>
                <w:szCs w:val="16"/>
                <w:highlight w:val="none"/>
              </w:rPr>
              <w:t>……</w:t>
            </w: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21"/>
              <w:rPr>
                <w:rFonts w:hint="eastAsia" w:hAnsi="宋体"/>
                <w:color w:val="auto"/>
                <w:sz w:val="24"/>
                <w:szCs w:val="16"/>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pStyle w:val="21"/>
              <w:rPr>
                <w:rFonts w:hint="eastAsia" w:hAnsi="宋体"/>
                <w:color w:val="auto"/>
                <w:sz w:val="24"/>
                <w:szCs w:val="16"/>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01" w:type="dxa"/>
            <w:noWrap w:val="0"/>
            <w:vAlign w:val="center"/>
          </w:tcPr>
          <w:p>
            <w:pPr>
              <w:spacing w:line="600" w:lineRule="exact"/>
              <w:jc w:val="center"/>
              <w:rPr>
                <w:rFonts w:hint="eastAsia" w:ascii="仿宋_GB2312" w:eastAsia="仿宋_GB2312"/>
                <w:color w:val="auto"/>
                <w:sz w:val="20"/>
                <w:szCs w:val="15"/>
                <w:highlight w:val="none"/>
              </w:rPr>
            </w:pPr>
          </w:p>
        </w:tc>
        <w:tc>
          <w:tcPr>
            <w:tcW w:w="1455" w:type="dxa"/>
            <w:noWrap w:val="0"/>
            <w:vAlign w:val="center"/>
          </w:tcPr>
          <w:p>
            <w:pPr>
              <w:spacing w:line="600" w:lineRule="exact"/>
              <w:jc w:val="center"/>
              <w:rPr>
                <w:rFonts w:hint="eastAsia" w:ascii="仿宋_GB2312" w:eastAsia="仿宋_GB2312"/>
                <w:color w:val="auto"/>
                <w:sz w:val="20"/>
                <w:szCs w:val="15"/>
                <w:highlight w:val="none"/>
              </w:rPr>
            </w:pPr>
          </w:p>
        </w:tc>
        <w:tc>
          <w:tcPr>
            <w:tcW w:w="1335" w:type="dxa"/>
            <w:noWrap w:val="0"/>
            <w:vAlign w:val="center"/>
          </w:tcPr>
          <w:p>
            <w:pPr>
              <w:spacing w:line="600" w:lineRule="exact"/>
              <w:jc w:val="center"/>
              <w:rPr>
                <w:rFonts w:hint="eastAsia" w:ascii="仿宋_GB2312" w:eastAsia="仿宋_GB2312"/>
                <w:color w:val="auto"/>
                <w:sz w:val="20"/>
                <w:szCs w:val="15"/>
                <w:highlight w:val="none"/>
              </w:rPr>
            </w:pPr>
          </w:p>
        </w:tc>
        <w:tc>
          <w:tcPr>
            <w:tcW w:w="1183"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419" w:type="dxa"/>
            <w:noWrap w:val="0"/>
            <w:vAlign w:val="center"/>
          </w:tcPr>
          <w:p>
            <w:pPr>
              <w:spacing w:line="600" w:lineRule="exact"/>
              <w:jc w:val="center"/>
              <w:rPr>
                <w:rFonts w:hint="eastAsia" w:ascii="仿宋_GB2312" w:eastAsia="仿宋_GB2312"/>
                <w:color w:val="auto"/>
                <w:sz w:val="20"/>
                <w:szCs w:val="15"/>
                <w:highlight w:val="none"/>
              </w:rPr>
            </w:pPr>
          </w:p>
        </w:tc>
        <w:tc>
          <w:tcPr>
            <w:tcW w:w="1188" w:type="dxa"/>
            <w:noWrap w:val="0"/>
            <w:vAlign w:val="center"/>
          </w:tcPr>
          <w:p>
            <w:pPr>
              <w:spacing w:line="600" w:lineRule="exact"/>
              <w:jc w:val="center"/>
              <w:rPr>
                <w:rFonts w:hint="eastAsia" w:ascii="仿宋_GB2312" w:eastAsia="仿宋_GB2312"/>
                <w:color w:val="auto"/>
                <w:sz w:val="20"/>
                <w:szCs w:val="15"/>
                <w:highlight w:val="none"/>
              </w:rPr>
            </w:pPr>
          </w:p>
        </w:tc>
      </w:tr>
    </w:tbl>
    <w:p>
      <w:pPr>
        <w:spacing w:line="360" w:lineRule="auto"/>
        <w:rPr>
          <w:rFonts w:ascii="宋体"/>
          <w:b/>
          <w:bCs/>
          <w:color w:val="auto"/>
          <w:highlight w:val="none"/>
        </w:rPr>
      </w:pPr>
      <w:r>
        <w:rPr>
          <w:rFonts w:hint="eastAsia" w:ascii="宋体" w:hAnsi="宋体" w:cs="宋体"/>
          <w:b/>
          <w:bCs/>
          <w:color w:val="auto"/>
          <w:highlight w:val="none"/>
        </w:rPr>
        <w:t>要求：</w:t>
      </w:r>
    </w:p>
    <w:p>
      <w:pPr>
        <w:spacing w:line="360" w:lineRule="auto"/>
        <w:ind w:left="437"/>
        <w:rPr>
          <w:rFonts w:ascii="宋体"/>
          <w:color w:val="auto"/>
          <w:highlight w:val="none"/>
        </w:rPr>
      </w:pPr>
      <w:r>
        <w:rPr>
          <w:rFonts w:hint="eastAsia" w:ascii="宋体" w:hAnsi="宋体" w:cs="宋体"/>
          <w:color w:val="auto"/>
          <w:highlight w:val="none"/>
        </w:rPr>
        <w:t>1.在填写时，如本表格不适合投标人的实际情况，可根据本表格式自行划表填写。</w:t>
      </w:r>
    </w:p>
    <w:p>
      <w:pPr>
        <w:pStyle w:val="22"/>
        <w:spacing w:line="360" w:lineRule="auto"/>
        <w:ind w:left="444" w:leftChars="202"/>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附人员证书复印件；</w:t>
      </w:r>
    </w:p>
    <w:p>
      <w:pPr>
        <w:pStyle w:val="22"/>
        <w:spacing w:line="360" w:lineRule="auto"/>
        <w:ind w:left="424" w:hanging="424" w:hangingChars="202"/>
        <w:rPr>
          <w:rFonts w:hint="eastAsia" w:ascii="宋体" w:hAnsi="宋体" w:cs="宋体"/>
          <w:color w:val="auto"/>
          <w:sz w:val="24"/>
          <w:szCs w:val="24"/>
          <w:highlight w:val="none"/>
        </w:rPr>
      </w:pPr>
      <w:r>
        <w:rPr>
          <w:rFonts w:hint="eastAsia" w:ascii="宋体" w:hAnsi="宋体" w:cs="宋体"/>
          <w:color w:val="auto"/>
          <w:highlight w:val="none"/>
        </w:rPr>
        <w:t>　　</w:t>
      </w:r>
      <w:r>
        <w:rPr>
          <w:rFonts w:ascii="宋体" w:hAnsi="宋体" w:cs="宋体"/>
          <w:color w:val="auto"/>
          <w:highlight w:val="none"/>
        </w:rPr>
        <w:t>3.</w:t>
      </w:r>
      <w:r>
        <w:rPr>
          <w:rFonts w:hint="eastAsia" w:ascii="宋体" w:hAnsi="宋体" w:cs="宋体"/>
          <w:color w:val="auto"/>
          <w:highlight w:val="none"/>
        </w:rPr>
        <w:t>出具</w:t>
      </w:r>
      <w:r>
        <w:rPr>
          <w:rFonts w:hint="eastAsia" w:ascii="宋体" w:hAnsi="宋体" w:cs="宋体"/>
          <w:color w:val="auto"/>
          <w:highlight w:val="none"/>
          <w:lang w:eastAsia="zh-CN"/>
        </w:rPr>
        <w:t>项目经理</w:t>
      </w:r>
      <w:r>
        <w:rPr>
          <w:rFonts w:hint="eastAsia" w:ascii="宋体" w:hAnsi="宋体" w:cs="宋体"/>
          <w:color w:val="auto"/>
          <w:highlight w:val="none"/>
        </w:rPr>
        <w:t>在本单位服务的外部证明，如：</w:t>
      </w:r>
      <w:r>
        <w:rPr>
          <w:rFonts w:hint="eastAsia" w:ascii="宋体" w:hAnsi="宋体" w:cs="宋体"/>
          <w:color w:val="auto"/>
          <w:highlight w:val="none"/>
          <w:lang w:val="en-US" w:eastAsia="zh-CN"/>
        </w:rPr>
        <w:t>投标截止前三个月</w:t>
      </w:r>
      <w:r>
        <w:rPr>
          <w:rFonts w:hint="eastAsia" w:ascii="宋体" w:hAnsi="宋体" w:cs="宋体"/>
          <w:color w:val="auto"/>
          <w:highlight w:val="none"/>
        </w:rPr>
        <w:t>的代缴个税税单、参加社会保险的《投保单》或《社会保险参保人员证明》等。</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360" w:lineRule="auto"/>
        <w:ind w:firstLine="424" w:firstLineChars="177"/>
        <w:rPr>
          <w:rFonts w:ascii="宋体"/>
          <w:color w:val="auto"/>
          <w:sz w:val="24"/>
          <w:szCs w:val="24"/>
          <w:highlight w:val="none"/>
        </w:rPr>
      </w:pPr>
      <w:r>
        <w:rPr>
          <w:rFonts w:hint="eastAsia" w:ascii="宋体" w:hAnsi="宋体" w:cs="宋体"/>
          <w:color w:val="auto"/>
          <w:sz w:val="24"/>
          <w:szCs w:val="24"/>
          <w:highlight w:val="none"/>
        </w:rPr>
        <w:t>法定代表人或代理人（</w:t>
      </w:r>
      <w:r>
        <w:rPr>
          <w:rFonts w:hint="eastAsia" w:ascii="宋体" w:hAnsi="宋体" w:cs="宋体"/>
          <w:color w:val="auto"/>
          <w:sz w:val="24"/>
          <w:szCs w:val="24"/>
          <w:highlight w:val="none"/>
          <w:lang w:eastAsia="zh-CN"/>
        </w:rPr>
        <w:t>签名或盖章</w:t>
      </w:r>
      <w:r>
        <w:rPr>
          <w:rFonts w:hint="eastAsia" w:ascii="宋体" w:hAnsi="宋体" w:cs="宋体"/>
          <w:color w:val="auto"/>
          <w:sz w:val="24"/>
          <w:szCs w:val="24"/>
          <w:highlight w:val="none"/>
        </w:rPr>
        <w:t>）：</w:t>
      </w:r>
    </w:p>
    <w:p>
      <w:pPr>
        <w:spacing w:line="360" w:lineRule="auto"/>
        <w:ind w:firstLine="435"/>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before="84"/>
        <w:ind w:left="2819" w:right="2576" w:firstLine="0"/>
        <w:jc w:val="center"/>
        <w:rPr>
          <w:b/>
          <w:sz w:val="32"/>
        </w:rPr>
        <w:sectPr>
          <w:headerReference r:id="rId26" w:type="default"/>
          <w:pgSz w:w="11910" w:h="16840"/>
          <w:pgMar w:top="1760" w:right="820" w:bottom="980" w:left="580" w:header="1497" w:footer="706" w:gutter="0"/>
          <w:pgBorders>
            <w:top w:val="none" w:sz="0" w:space="0"/>
            <w:left w:val="none" w:sz="0" w:space="0"/>
            <w:bottom w:val="none" w:sz="0" w:space="0"/>
            <w:right w:val="none" w:sz="0" w:space="0"/>
          </w:pgBorders>
          <w:cols w:space="720" w:num="1"/>
        </w:sectPr>
      </w:pPr>
    </w:p>
    <w:p>
      <w:pPr>
        <w:snapToGrid w:val="0"/>
        <w:spacing w:beforeLines="50" w:after="50" w:line="360" w:lineRule="auto"/>
        <w:jc w:val="both"/>
        <w:rPr>
          <w:rFonts w:hint="default" w:ascii="宋体" w:hAnsi="宋体" w:eastAsia="宋体" w:cs="宋体"/>
          <w:b/>
          <w:bCs/>
          <w:color w:val="auto"/>
          <w:spacing w:val="21"/>
          <w:kern w:val="0"/>
          <w:sz w:val="32"/>
          <w:szCs w:val="32"/>
          <w:highlight w:val="none"/>
          <w:lang w:val="en-US" w:eastAsia="zh-CN"/>
        </w:rPr>
      </w:pPr>
      <w:r>
        <w:rPr>
          <w:rFonts w:hint="eastAsia" w:ascii="宋体" w:hAnsi="宋体" w:cs="宋体"/>
          <w:b/>
          <w:bCs/>
          <w:color w:val="auto"/>
          <w:spacing w:val="21"/>
          <w:kern w:val="0"/>
          <w:sz w:val="32"/>
          <w:szCs w:val="32"/>
          <w:highlight w:val="none"/>
          <w:lang w:eastAsia="zh-CN"/>
        </w:rPr>
        <w:t>附件</w:t>
      </w:r>
      <w:r>
        <w:rPr>
          <w:rFonts w:hint="eastAsia" w:cs="宋体"/>
          <w:b/>
          <w:bCs/>
          <w:color w:val="auto"/>
          <w:spacing w:val="21"/>
          <w:kern w:val="0"/>
          <w:sz w:val="32"/>
          <w:szCs w:val="32"/>
          <w:highlight w:val="none"/>
          <w:lang w:val="en-US" w:eastAsia="zh-CN"/>
        </w:rPr>
        <w:t>7</w:t>
      </w:r>
    </w:p>
    <w:p>
      <w:pPr>
        <w:spacing w:before="84"/>
        <w:ind w:left="2819" w:right="2576" w:firstLine="0"/>
        <w:jc w:val="both"/>
        <w:rPr>
          <w:b/>
          <w:sz w:val="32"/>
        </w:rPr>
      </w:pPr>
    </w:p>
    <w:p>
      <w:pPr>
        <w:spacing w:before="84"/>
        <w:ind w:left="2819" w:right="2576" w:firstLine="0"/>
        <w:jc w:val="center"/>
        <w:rPr>
          <w:b/>
          <w:sz w:val="32"/>
        </w:rPr>
      </w:pPr>
      <w:r>
        <w:rPr>
          <w:b/>
          <w:sz w:val="32"/>
        </w:rPr>
        <w:t>技术、商务偏离表</w:t>
      </w:r>
    </w:p>
    <w:p>
      <w:pPr>
        <w:pStyle w:val="8"/>
        <w:spacing w:before="66" w:line="244" w:lineRule="auto"/>
        <w:ind w:left="552" w:right="355" w:firstLine="480"/>
      </w:pPr>
      <w:r>
        <w:t>为了采购人评议的需要，投标人若有偏离的应将偏离条款逐条提出或根据以下要求的格式提出偏差。投标人应对照招标文件要求在“偏离情况”栏注明“正偏离”、“负偏离”。</w:t>
      </w:r>
    </w:p>
    <w:p>
      <w:pPr>
        <w:pStyle w:val="8"/>
        <w:spacing w:before="6" w:after="4"/>
        <w:ind w:left="1032"/>
      </w:pPr>
      <w:r>
        <w:t>如投标人无偏离的可不填写本偏离表或在本页上写“无”，视为完全响应本次招标文件。</w:t>
      </w:r>
    </w:p>
    <w:tbl>
      <w:tblPr>
        <w:tblStyle w:val="15"/>
        <w:tblW w:w="0" w:type="auto"/>
        <w:tblInd w:w="79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9"/>
        <w:gridCol w:w="1189"/>
        <w:gridCol w:w="1978"/>
        <w:gridCol w:w="2130"/>
        <w:gridCol w:w="1468"/>
        <w:gridCol w:w="16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1" w:hRule="atLeast"/>
        </w:trPr>
        <w:tc>
          <w:tcPr>
            <w:tcW w:w="759" w:type="dxa"/>
            <w:tcBorders>
              <w:bottom w:val="single" w:color="000000" w:sz="6" w:space="0"/>
              <w:right w:val="single" w:color="000000" w:sz="6" w:space="0"/>
            </w:tcBorders>
          </w:tcPr>
          <w:p>
            <w:pPr>
              <w:pStyle w:val="20"/>
              <w:spacing w:before="75"/>
              <w:ind w:left="131" w:right="84"/>
              <w:jc w:val="center"/>
              <w:rPr>
                <w:sz w:val="24"/>
              </w:rPr>
            </w:pPr>
            <w:r>
              <w:rPr>
                <w:sz w:val="24"/>
              </w:rPr>
              <w:t>序号</w:t>
            </w:r>
          </w:p>
        </w:tc>
        <w:tc>
          <w:tcPr>
            <w:tcW w:w="1189" w:type="dxa"/>
            <w:tcBorders>
              <w:left w:val="single" w:color="000000" w:sz="6" w:space="0"/>
              <w:bottom w:val="single" w:color="000000" w:sz="6" w:space="0"/>
              <w:right w:val="single" w:color="000000" w:sz="6" w:space="0"/>
            </w:tcBorders>
          </w:tcPr>
          <w:p>
            <w:pPr>
              <w:pStyle w:val="20"/>
              <w:spacing w:before="75"/>
              <w:ind w:left="375"/>
              <w:rPr>
                <w:sz w:val="24"/>
              </w:rPr>
            </w:pPr>
            <w:r>
              <w:rPr>
                <w:sz w:val="24"/>
              </w:rPr>
              <w:t>内容</w:t>
            </w:r>
          </w:p>
        </w:tc>
        <w:tc>
          <w:tcPr>
            <w:tcW w:w="1978" w:type="dxa"/>
            <w:tcBorders>
              <w:left w:val="single" w:color="000000" w:sz="6" w:space="0"/>
              <w:bottom w:val="single" w:color="000000" w:sz="6" w:space="0"/>
              <w:right w:val="single" w:color="000000" w:sz="6" w:space="0"/>
            </w:tcBorders>
          </w:tcPr>
          <w:p>
            <w:pPr>
              <w:pStyle w:val="20"/>
              <w:spacing w:before="75"/>
              <w:ind w:left="287"/>
              <w:rPr>
                <w:sz w:val="24"/>
              </w:rPr>
            </w:pPr>
            <w:r>
              <w:rPr>
                <w:sz w:val="24"/>
              </w:rPr>
              <w:t>招标文件要求</w:t>
            </w:r>
          </w:p>
        </w:tc>
        <w:tc>
          <w:tcPr>
            <w:tcW w:w="2130" w:type="dxa"/>
            <w:tcBorders>
              <w:left w:val="single" w:color="000000" w:sz="6" w:space="0"/>
              <w:bottom w:val="single" w:color="000000" w:sz="6" w:space="0"/>
              <w:right w:val="single" w:color="000000" w:sz="6" w:space="0"/>
            </w:tcBorders>
          </w:tcPr>
          <w:p>
            <w:pPr>
              <w:pStyle w:val="20"/>
              <w:spacing w:before="75"/>
              <w:ind w:left="366"/>
              <w:rPr>
                <w:sz w:val="24"/>
              </w:rPr>
            </w:pPr>
            <w:r>
              <w:rPr>
                <w:sz w:val="24"/>
              </w:rPr>
              <w:t>投标文件响应</w:t>
            </w:r>
          </w:p>
        </w:tc>
        <w:tc>
          <w:tcPr>
            <w:tcW w:w="1468" w:type="dxa"/>
            <w:tcBorders>
              <w:left w:val="single" w:color="000000" w:sz="6" w:space="0"/>
              <w:bottom w:val="single" w:color="000000" w:sz="6" w:space="0"/>
              <w:right w:val="single" w:color="000000" w:sz="6" w:space="0"/>
            </w:tcBorders>
          </w:tcPr>
          <w:p>
            <w:pPr>
              <w:pStyle w:val="20"/>
              <w:spacing w:before="75"/>
              <w:ind w:left="274"/>
              <w:rPr>
                <w:sz w:val="24"/>
              </w:rPr>
            </w:pPr>
            <w:r>
              <w:rPr>
                <w:sz w:val="24"/>
              </w:rPr>
              <w:t>偏离情况</w:t>
            </w:r>
          </w:p>
        </w:tc>
        <w:tc>
          <w:tcPr>
            <w:tcW w:w="1683" w:type="dxa"/>
            <w:tcBorders>
              <w:left w:val="single" w:color="000000" w:sz="6" w:space="0"/>
              <w:bottom w:val="single" w:color="000000" w:sz="6" w:space="0"/>
            </w:tcBorders>
          </w:tcPr>
          <w:p>
            <w:pPr>
              <w:pStyle w:val="20"/>
              <w:spacing w:before="75"/>
              <w:ind w:left="600" w:right="540"/>
              <w:jc w:val="center"/>
              <w:rPr>
                <w:sz w:val="24"/>
              </w:rPr>
            </w:pPr>
            <w:r>
              <w:rPr>
                <w:sz w:val="24"/>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59" w:type="dxa"/>
            <w:tcBorders>
              <w:top w:val="single" w:color="000000" w:sz="6" w:space="0"/>
              <w:bottom w:val="single" w:color="000000" w:sz="6" w:space="0"/>
              <w:right w:val="single" w:color="000000" w:sz="6" w:space="0"/>
            </w:tcBorders>
          </w:tcPr>
          <w:p>
            <w:pPr>
              <w:pStyle w:val="20"/>
              <w:spacing w:before="49"/>
              <w:ind w:left="47"/>
              <w:jc w:val="center"/>
              <w:rPr>
                <w:sz w:val="24"/>
              </w:rPr>
            </w:pPr>
            <w:r>
              <w:rPr>
                <w:sz w:val="24"/>
              </w:rPr>
              <w:t>1</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bottom w:val="single" w:color="000000" w:sz="6" w:space="0"/>
            </w:tcBorders>
          </w:tcPr>
          <w:p>
            <w:pPr>
              <w:pStyle w:val="20"/>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0" w:hRule="atLeast"/>
        </w:trPr>
        <w:tc>
          <w:tcPr>
            <w:tcW w:w="759" w:type="dxa"/>
            <w:tcBorders>
              <w:top w:val="single" w:color="000000" w:sz="6" w:space="0"/>
              <w:bottom w:val="single" w:color="000000" w:sz="6" w:space="0"/>
              <w:right w:val="single" w:color="000000" w:sz="6" w:space="0"/>
            </w:tcBorders>
          </w:tcPr>
          <w:p>
            <w:pPr>
              <w:pStyle w:val="20"/>
              <w:spacing w:before="83"/>
              <w:ind w:left="47"/>
              <w:jc w:val="center"/>
              <w:rPr>
                <w:sz w:val="24"/>
              </w:rPr>
            </w:pPr>
            <w:r>
              <w:rPr>
                <w:sz w:val="24"/>
              </w:rPr>
              <w:t>2</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bottom w:val="single" w:color="000000" w:sz="6" w:space="0"/>
            </w:tcBorders>
          </w:tcPr>
          <w:p>
            <w:pPr>
              <w:pStyle w:val="20"/>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759" w:type="dxa"/>
            <w:tcBorders>
              <w:top w:val="single" w:color="000000" w:sz="6" w:space="0"/>
              <w:bottom w:val="single" w:color="000000" w:sz="6" w:space="0"/>
              <w:right w:val="single" w:color="000000" w:sz="6" w:space="0"/>
            </w:tcBorders>
          </w:tcPr>
          <w:p>
            <w:pPr>
              <w:pStyle w:val="20"/>
              <w:spacing w:before="98"/>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bottom w:val="single" w:color="000000" w:sz="6" w:space="0"/>
            </w:tcBorders>
          </w:tcPr>
          <w:p>
            <w:pPr>
              <w:pStyle w:val="20"/>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759" w:type="dxa"/>
            <w:tcBorders>
              <w:top w:val="single" w:color="000000" w:sz="6" w:space="0"/>
              <w:bottom w:val="single" w:color="000000" w:sz="6" w:space="0"/>
              <w:right w:val="single" w:color="000000" w:sz="6" w:space="0"/>
            </w:tcBorders>
          </w:tcPr>
          <w:p>
            <w:pPr>
              <w:pStyle w:val="20"/>
              <w:spacing w:before="102"/>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bottom w:val="single" w:color="000000" w:sz="6" w:space="0"/>
            </w:tcBorders>
          </w:tcPr>
          <w:p>
            <w:pPr>
              <w:pStyle w:val="20"/>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trPr>
        <w:tc>
          <w:tcPr>
            <w:tcW w:w="759" w:type="dxa"/>
            <w:tcBorders>
              <w:top w:val="single" w:color="000000" w:sz="6" w:space="0"/>
              <w:bottom w:val="single" w:color="000000" w:sz="6" w:space="0"/>
              <w:right w:val="single" w:color="000000" w:sz="6" w:space="0"/>
            </w:tcBorders>
          </w:tcPr>
          <w:p>
            <w:pPr>
              <w:pStyle w:val="20"/>
              <w:spacing w:before="101"/>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bottom w:val="single" w:color="000000" w:sz="6" w:space="0"/>
            </w:tcBorders>
          </w:tcPr>
          <w:p>
            <w:pPr>
              <w:pStyle w:val="20"/>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759" w:type="dxa"/>
            <w:tcBorders>
              <w:top w:val="single" w:color="000000" w:sz="6" w:space="0"/>
              <w:bottom w:val="single" w:color="000000" w:sz="6" w:space="0"/>
              <w:right w:val="single" w:color="000000" w:sz="6" w:space="0"/>
            </w:tcBorders>
          </w:tcPr>
          <w:p>
            <w:pPr>
              <w:pStyle w:val="20"/>
              <w:spacing w:before="86"/>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bottom w:val="single" w:color="000000" w:sz="6" w:space="0"/>
            </w:tcBorders>
          </w:tcPr>
          <w:p>
            <w:pPr>
              <w:pStyle w:val="20"/>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trPr>
        <w:tc>
          <w:tcPr>
            <w:tcW w:w="759" w:type="dxa"/>
            <w:tcBorders>
              <w:top w:val="single" w:color="000000" w:sz="6" w:space="0"/>
              <w:bottom w:val="single" w:color="000000" w:sz="6" w:space="0"/>
              <w:right w:val="single" w:color="000000" w:sz="6" w:space="0"/>
            </w:tcBorders>
          </w:tcPr>
          <w:p>
            <w:pPr>
              <w:pStyle w:val="20"/>
              <w:spacing w:before="102"/>
              <w:ind w:left="52"/>
              <w:jc w:val="center"/>
              <w:rPr>
                <w:sz w:val="24"/>
              </w:rPr>
            </w:pPr>
            <w:r>
              <w:rPr>
                <w:sz w:val="24"/>
              </w:rPr>
              <w:t>…</w:t>
            </w:r>
          </w:p>
        </w:tc>
        <w:tc>
          <w:tcPr>
            <w:tcW w:w="1189"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bottom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bottom w:val="single" w:color="000000" w:sz="6" w:space="0"/>
            </w:tcBorders>
          </w:tcPr>
          <w:p>
            <w:pPr>
              <w:pStyle w:val="20"/>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3" w:hRule="atLeast"/>
        </w:trPr>
        <w:tc>
          <w:tcPr>
            <w:tcW w:w="759" w:type="dxa"/>
            <w:tcBorders>
              <w:top w:val="single" w:color="000000" w:sz="6" w:space="0"/>
              <w:right w:val="single" w:color="000000" w:sz="6" w:space="0"/>
            </w:tcBorders>
          </w:tcPr>
          <w:p>
            <w:pPr>
              <w:pStyle w:val="20"/>
              <w:spacing w:before="100"/>
              <w:ind w:left="52"/>
              <w:jc w:val="center"/>
              <w:rPr>
                <w:sz w:val="24"/>
              </w:rPr>
            </w:pPr>
            <w:r>
              <w:rPr>
                <w:sz w:val="24"/>
              </w:rPr>
              <w:t>…</w:t>
            </w:r>
          </w:p>
        </w:tc>
        <w:tc>
          <w:tcPr>
            <w:tcW w:w="1189" w:type="dxa"/>
            <w:tcBorders>
              <w:top w:val="single" w:color="000000" w:sz="6" w:space="0"/>
              <w:left w:val="single" w:color="000000" w:sz="6" w:space="0"/>
              <w:right w:val="single" w:color="000000" w:sz="6" w:space="0"/>
            </w:tcBorders>
          </w:tcPr>
          <w:p>
            <w:pPr>
              <w:pStyle w:val="20"/>
              <w:rPr>
                <w:rFonts w:ascii="Times New Roman"/>
                <w:sz w:val="24"/>
              </w:rPr>
            </w:pPr>
          </w:p>
        </w:tc>
        <w:tc>
          <w:tcPr>
            <w:tcW w:w="1978" w:type="dxa"/>
            <w:tcBorders>
              <w:top w:val="single" w:color="000000" w:sz="6" w:space="0"/>
              <w:left w:val="single" w:color="000000" w:sz="6" w:space="0"/>
              <w:right w:val="single" w:color="000000" w:sz="6" w:space="0"/>
            </w:tcBorders>
          </w:tcPr>
          <w:p>
            <w:pPr>
              <w:pStyle w:val="20"/>
              <w:rPr>
                <w:rFonts w:ascii="Times New Roman"/>
                <w:sz w:val="24"/>
              </w:rPr>
            </w:pPr>
          </w:p>
        </w:tc>
        <w:tc>
          <w:tcPr>
            <w:tcW w:w="2130" w:type="dxa"/>
            <w:tcBorders>
              <w:top w:val="single" w:color="000000" w:sz="6" w:space="0"/>
              <w:left w:val="single" w:color="000000" w:sz="6" w:space="0"/>
              <w:right w:val="single" w:color="000000" w:sz="6" w:space="0"/>
            </w:tcBorders>
          </w:tcPr>
          <w:p>
            <w:pPr>
              <w:pStyle w:val="20"/>
              <w:rPr>
                <w:rFonts w:ascii="Times New Roman"/>
                <w:sz w:val="24"/>
              </w:rPr>
            </w:pPr>
          </w:p>
        </w:tc>
        <w:tc>
          <w:tcPr>
            <w:tcW w:w="1468" w:type="dxa"/>
            <w:tcBorders>
              <w:top w:val="single" w:color="000000" w:sz="6" w:space="0"/>
              <w:left w:val="single" w:color="000000" w:sz="6" w:space="0"/>
              <w:right w:val="single" w:color="000000" w:sz="6" w:space="0"/>
            </w:tcBorders>
          </w:tcPr>
          <w:p>
            <w:pPr>
              <w:pStyle w:val="20"/>
              <w:rPr>
                <w:rFonts w:ascii="Times New Roman"/>
                <w:sz w:val="24"/>
              </w:rPr>
            </w:pPr>
          </w:p>
        </w:tc>
        <w:tc>
          <w:tcPr>
            <w:tcW w:w="1683" w:type="dxa"/>
            <w:tcBorders>
              <w:top w:val="single" w:color="000000" w:sz="6" w:space="0"/>
              <w:left w:val="single" w:color="000000" w:sz="6" w:space="0"/>
            </w:tcBorders>
          </w:tcPr>
          <w:p>
            <w:pPr>
              <w:pStyle w:val="20"/>
              <w:rPr>
                <w:rFonts w:ascii="Times New Roman"/>
                <w:sz w:val="24"/>
              </w:rPr>
            </w:pPr>
          </w:p>
        </w:tc>
      </w:tr>
    </w:tbl>
    <w:p>
      <w:pPr>
        <w:pStyle w:val="8"/>
      </w:pPr>
    </w:p>
    <w:p>
      <w:pPr>
        <w:pStyle w:val="8"/>
        <w:spacing w:before="178"/>
        <w:ind w:left="972"/>
      </w:pPr>
      <w:r>
        <w:t>投标人名称（盖公章）：</w:t>
      </w:r>
    </w:p>
    <w:p>
      <w:pPr>
        <w:pStyle w:val="8"/>
        <w:tabs>
          <w:tab w:val="left" w:pos="2189"/>
        </w:tabs>
        <w:spacing w:before="187" w:line="340" w:lineRule="auto"/>
        <w:ind w:left="989" w:right="5457" w:hanging="10"/>
      </w:pPr>
      <w:r>
        <w:t>法定代表人或代理人（签字或盖章</w:t>
      </w:r>
      <w:r>
        <w:rPr>
          <w:spacing w:val="-13"/>
        </w:rPr>
        <w:t xml:space="preserve">）： </w:t>
      </w:r>
      <w:r>
        <w:t>日</w:t>
      </w:r>
      <w:r>
        <w:tab/>
      </w:r>
      <w:r>
        <w:t>期：</w:t>
      </w:r>
    </w:p>
    <w:p>
      <w:pPr>
        <w:spacing w:after="0" w:line="340" w:lineRule="auto"/>
        <w:sectPr>
          <w:pgSz w:w="11910" w:h="16840"/>
          <w:pgMar w:top="1760" w:right="820" w:bottom="980" w:left="580" w:header="1497" w:footer="706" w:gutter="0"/>
          <w:pgBorders>
            <w:top w:val="none" w:sz="0" w:space="0"/>
            <w:left w:val="none" w:sz="0" w:space="0"/>
            <w:bottom w:val="none" w:sz="0" w:space="0"/>
            <w:right w:val="none" w:sz="0" w:space="0"/>
          </w:pgBorders>
          <w:cols w:space="720" w:num="1"/>
        </w:sectPr>
      </w:pPr>
    </w:p>
    <w:p>
      <w:pPr>
        <w:pStyle w:val="5"/>
        <w:spacing w:before="84"/>
        <w:ind w:left="2350" w:right="2683"/>
        <w:jc w:val="center"/>
      </w:pPr>
      <w:r>
        <w:t>投标人类似项目实施情况一览表</w:t>
      </w:r>
    </w:p>
    <w:p>
      <w:pPr>
        <w:pStyle w:val="8"/>
        <w:rPr>
          <w:b/>
          <w:sz w:val="20"/>
        </w:rPr>
      </w:pPr>
    </w:p>
    <w:p>
      <w:pPr>
        <w:pStyle w:val="8"/>
        <w:spacing w:before="10"/>
        <w:rPr>
          <w:b/>
          <w:sz w:val="15"/>
        </w:rPr>
      </w:pPr>
    </w:p>
    <w:tbl>
      <w:tblPr>
        <w:tblStyle w:val="15"/>
        <w:tblW w:w="0" w:type="auto"/>
        <w:tblInd w:w="6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
        <w:gridCol w:w="1518"/>
        <w:gridCol w:w="1849"/>
        <w:gridCol w:w="1479"/>
        <w:gridCol w:w="1705"/>
        <w:gridCol w:w="2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9" w:hRule="atLeast"/>
        </w:trPr>
        <w:tc>
          <w:tcPr>
            <w:tcW w:w="634" w:type="dxa"/>
          </w:tcPr>
          <w:p>
            <w:pPr>
              <w:pStyle w:val="20"/>
              <w:spacing w:before="89" w:line="386" w:lineRule="auto"/>
              <w:ind w:left="153" w:right="223"/>
              <w:rPr>
                <w:b/>
                <w:sz w:val="24"/>
              </w:rPr>
            </w:pPr>
            <w:r>
              <w:rPr>
                <w:b/>
                <w:sz w:val="24"/>
              </w:rPr>
              <w:t>序号</w:t>
            </w:r>
          </w:p>
        </w:tc>
        <w:tc>
          <w:tcPr>
            <w:tcW w:w="1518" w:type="dxa"/>
          </w:tcPr>
          <w:p>
            <w:pPr>
              <w:pStyle w:val="20"/>
              <w:spacing w:before="4"/>
              <w:rPr>
                <w:b/>
                <w:sz w:val="22"/>
              </w:rPr>
            </w:pPr>
          </w:p>
          <w:p>
            <w:pPr>
              <w:pStyle w:val="20"/>
              <w:ind w:left="172"/>
              <w:rPr>
                <w:b/>
                <w:sz w:val="24"/>
              </w:rPr>
            </w:pPr>
            <w:r>
              <w:rPr>
                <w:b/>
                <w:sz w:val="24"/>
              </w:rPr>
              <w:t>项目名称</w:t>
            </w:r>
          </w:p>
        </w:tc>
        <w:tc>
          <w:tcPr>
            <w:tcW w:w="1849" w:type="dxa"/>
          </w:tcPr>
          <w:p>
            <w:pPr>
              <w:pStyle w:val="20"/>
              <w:spacing w:before="4"/>
              <w:rPr>
                <w:b/>
                <w:sz w:val="22"/>
              </w:rPr>
            </w:pPr>
          </w:p>
          <w:p>
            <w:pPr>
              <w:pStyle w:val="20"/>
              <w:ind w:left="312"/>
              <w:rPr>
                <w:b/>
                <w:sz w:val="24"/>
              </w:rPr>
            </w:pPr>
            <w:r>
              <w:rPr>
                <w:b/>
                <w:sz w:val="24"/>
              </w:rPr>
              <w:t>项目地址</w:t>
            </w:r>
          </w:p>
        </w:tc>
        <w:tc>
          <w:tcPr>
            <w:tcW w:w="1479" w:type="dxa"/>
          </w:tcPr>
          <w:p>
            <w:pPr>
              <w:pStyle w:val="20"/>
              <w:spacing w:before="4"/>
              <w:rPr>
                <w:b/>
                <w:sz w:val="22"/>
              </w:rPr>
            </w:pPr>
          </w:p>
          <w:p>
            <w:pPr>
              <w:pStyle w:val="20"/>
              <w:ind w:left="153"/>
              <w:rPr>
                <w:b/>
                <w:sz w:val="24"/>
              </w:rPr>
            </w:pPr>
            <w:r>
              <w:rPr>
                <w:b/>
                <w:sz w:val="24"/>
              </w:rPr>
              <w:t>合同总价</w:t>
            </w:r>
          </w:p>
        </w:tc>
        <w:tc>
          <w:tcPr>
            <w:tcW w:w="1705" w:type="dxa"/>
          </w:tcPr>
          <w:p>
            <w:pPr>
              <w:pStyle w:val="20"/>
              <w:spacing w:before="4"/>
              <w:rPr>
                <w:b/>
                <w:sz w:val="22"/>
              </w:rPr>
            </w:pPr>
          </w:p>
          <w:p>
            <w:pPr>
              <w:pStyle w:val="20"/>
              <w:ind w:left="251"/>
              <w:rPr>
                <w:b/>
                <w:sz w:val="24"/>
              </w:rPr>
            </w:pPr>
            <w:r>
              <w:rPr>
                <w:b/>
                <w:sz w:val="24"/>
              </w:rPr>
              <w:t>实施时间</w:t>
            </w:r>
          </w:p>
        </w:tc>
        <w:tc>
          <w:tcPr>
            <w:tcW w:w="2392" w:type="dxa"/>
          </w:tcPr>
          <w:p>
            <w:pPr>
              <w:pStyle w:val="20"/>
              <w:spacing w:before="89" w:line="386" w:lineRule="auto"/>
              <w:ind w:left="303" w:right="507" w:hanging="120"/>
              <w:rPr>
                <w:b/>
                <w:sz w:val="24"/>
              </w:rPr>
            </w:pPr>
            <w:r>
              <w:rPr>
                <w:b/>
                <w:sz w:val="24"/>
              </w:rPr>
              <w:t>项目单位名称及其联系人电话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634" w:type="dxa"/>
          </w:tcPr>
          <w:p>
            <w:pPr>
              <w:pStyle w:val="20"/>
              <w:spacing w:before="93"/>
              <w:ind w:right="172"/>
              <w:jc w:val="right"/>
              <w:rPr>
                <w:sz w:val="24"/>
              </w:rPr>
            </w:pPr>
            <w:r>
              <w:rPr>
                <w:sz w:val="24"/>
              </w:rPr>
              <w:t>1</w:t>
            </w:r>
          </w:p>
        </w:tc>
        <w:tc>
          <w:tcPr>
            <w:tcW w:w="1518" w:type="dxa"/>
          </w:tcPr>
          <w:p>
            <w:pPr>
              <w:pStyle w:val="20"/>
              <w:rPr>
                <w:rFonts w:ascii="Times New Roman"/>
                <w:sz w:val="22"/>
              </w:rPr>
            </w:pPr>
          </w:p>
        </w:tc>
        <w:tc>
          <w:tcPr>
            <w:tcW w:w="1849" w:type="dxa"/>
          </w:tcPr>
          <w:p>
            <w:pPr>
              <w:pStyle w:val="20"/>
              <w:rPr>
                <w:rFonts w:ascii="Times New Roman"/>
                <w:sz w:val="22"/>
              </w:rPr>
            </w:pPr>
          </w:p>
        </w:tc>
        <w:tc>
          <w:tcPr>
            <w:tcW w:w="1479" w:type="dxa"/>
          </w:tcPr>
          <w:p>
            <w:pPr>
              <w:pStyle w:val="20"/>
              <w:rPr>
                <w:rFonts w:ascii="Times New Roman"/>
                <w:sz w:val="22"/>
              </w:rPr>
            </w:pPr>
          </w:p>
        </w:tc>
        <w:tc>
          <w:tcPr>
            <w:tcW w:w="1705" w:type="dxa"/>
          </w:tcPr>
          <w:p>
            <w:pPr>
              <w:pStyle w:val="20"/>
              <w:rPr>
                <w:rFonts w:ascii="Times New Roman"/>
                <w:sz w:val="22"/>
              </w:rPr>
            </w:pPr>
          </w:p>
        </w:tc>
        <w:tc>
          <w:tcPr>
            <w:tcW w:w="2392"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634" w:type="dxa"/>
          </w:tcPr>
          <w:p>
            <w:pPr>
              <w:pStyle w:val="20"/>
              <w:spacing w:before="90"/>
              <w:ind w:right="172"/>
              <w:jc w:val="right"/>
              <w:rPr>
                <w:sz w:val="24"/>
              </w:rPr>
            </w:pPr>
            <w:r>
              <w:rPr>
                <w:sz w:val="24"/>
              </w:rPr>
              <w:t>2</w:t>
            </w:r>
          </w:p>
        </w:tc>
        <w:tc>
          <w:tcPr>
            <w:tcW w:w="1518" w:type="dxa"/>
          </w:tcPr>
          <w:p>
            <w:pPr>
              <w:pStyle w:val="20"/>
              <w:rPr>
                <w:rFonts w:ascii="Times New Roman"/>
                <w:sz w:val="22"/>
              </w:rPr>
            </w:pPr>
          </w:p>
        </w:tc>
        <w:tc>
          <w:tcPr>
            <w:tcW w:w="1849" w:type="dxa"/>
          </w:tcPr>
          <w:p>
            <w:pPr>
              <w:pStyle w:val="20"/>
              <w:rPr>
                <w:rFonts w:ascii="Times New Roman"/>
                <w:sz w:val="22"/>
              </w:rPr>
            </w:pPr>
          </w:p>
        </w:tc>
        <w:tc>
          <w:tcPr>
            <w:tcW w:w="1479" w:type="dxa"/>
          </w:tcPr>
          <w:p>
            <w:pPr>
              <w:pStyle w:val="20"/>
              <w:rPr>
                <w:rFonts w:ascii="Times New Roman"/>
                <w:sz w:val="22"/>
              </w:rPr>
            </w:pPr>
          </w:p>
        </w:tc>
        <w:tc>
          <w:tcPr>
            <w:tcW w:w="1705" w:type="dxa"/>
          </w:tcPr>
          <w:p>
            <w:pPr>
              <w:pStyle w:val="20"/>
              <w:rPr>
                <w:rFonts w:ascii="Times New Roman"/>
                <w:sz w:val="22"/>
              </w:rPr>
            </w:pPr>
          </w:p>
        </w:tc>
        <w:tc>
          <w:tcPr>
            <w:tcW w:w="2392"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634" w:type="dxa"/>
          </w:tcPr>
          <w:p>
            <w:pPr>
              <w:pStyle w:val="20"/>
              <w:spacing w:before="91"/>
              <w:ind w:right="172"/>
              <w:jc w:val="right"/>
              <w:rPr>
                <w:sz w:val="24"/>
              </w:rPr>
            </w:pPr>
            <w:r>
              <w:rPr>
                <w:sz w:val="24"/>
              </w:rPr>
              <w:t>3</w:t>
            </w:r>
          </w:p>
        </w:tc>
        <w:tc>
          <w:tcPr>
            <w:tcW w:w="1518" w:type="dxa"/>
          </w:tcPr>
          <w:p>
            <w:pPr>
              <w:pStyle w:val="20"/>
              <w:rPr>
                <w:rFonts w:ascii="Times New Roman"/>
                <w:sz w:val="22"/>
              </w:rPr>
            </w:pPr>
          </w:p>
        </w:tc>
        <w:tc>
          <w:tcPr>
            <w:tcW w:w="1849" w:type="dxa"/>
          </w:tcPr>
          <w:p>
            <w:pPr>
              <w:pStyle w:val="20"/>
              <w:rPr>
                <w:rFonts w:ascii="Times New Roman"/>
                <w:sz w:val="22"/>
              </w:rPr>
            </w:pPr>
          </w:p>
        </w:tc>
        <w:tc>
          <w:tcPr>
            <w:tcW w:w="1479" w:type="dxa"/>
          </w:tcPr>
          <w:p>
            <w:pPr>
              <w:pStyle w:val="20"/>
              <w:rPr>
                <w:rFonts w:ascii="Times New Roman"/>
                <w:sz w:val="22"/>
              </w:rPr>
            </w:pPr>
          </w:p>
        </w:tc>
        <w:tc>
          <w:tcPr>
            <w:tcW w:w="1705" w:type="dxa"/>
          </w:tcPr>
          <w:p>
            <w:pPr>
              <w:pStyle w:val="20"/>
              <w:rPr>
                <w:rFonts w:ascii="Times New Roman"/>
                <w:sz w:val="22"/>
              </w:rPr>
            </w:pPr>
          </w:p>
        </w:tc>
        <w:tc>
          <w:tcPr>
            <w:tcW w:w="2392"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634" w:type="dxa"/>
          </w:tcPr>
          <w:p>
            <w:pPr>
              <w:pStyle w:val="20"/>
              <w:spacing w:before="90"/>
              <w:ind w:right="208"/>
              <w:jc w:val="right"/>
              <w:rPr>
                <w:sz w:val="24"/>
              </w:rPr>
            </w:pPr>
            <w:r>
              <w:rPr>
                <w:sz w:val="24"/>
              </w:rPr>
              <w:t>…</w:t>
            </w:r>
          </w:p>
        </w:tc>
        <w:tc>
          <w:tcPr>
            <w:tcW w:w="1518" w:type="dxa"/>
          </w:tcPr>
          <w:p>
            <w:pPr>
              <w:pStyle w:val="20"/>
              <w:rPr>
                <w:rFonts w:ascii="Times New Roman"/>
                <w:sz w:val="22"/>
              </w:rPr>
            </w:pPr>
          </w:p>
        </w:tc>
        <w:tc>
          <w:tcPr>
            <w:tcW w:w="1849" w:type="dxa"/>
          </w:tcPr>
          <w:p>
            <w:pPr>
              <w:pStyle w:val="20"/>
              <w:rPr>
                <w:rFonts w:ascii="Times New Roman"/>
                <w:sz w:val="22"/>
              </w:rPr>
            </w:pPr>
          </w:p>
        </w:tc>
        <w:tc>
          <w:tcPr>
            <w:tcW w:w="1479" w:type="dxa"/>
          </w:tcPr>
          <w:p>
            <w:pPr>
              <w:pStyle w:val="20"/>
              <w:rPr>
                <w:rFonts w:ascii="Times New Roman"/>
                <w:sz w:val="22"/>
              </w:rPr>
            </w:pPr>
          </w:p>
        </w:tc>
        <w:tc>
          <w:tcPr>
            <w:tcW w:w="1705" w:type="dxa"/>
          </w:tcPr>
          <w:p>
            <w:pPr>
              <w:pStyle w:val="20"/>
              <w:rPr>
                <w:rFonts w:ascii="Times New Roman"/>
                <w:sz w:val="22"/>
              </w:rPr>
            </w:pPr>
          </w:p>
        </w:tc>
        <w:tc>
          <w:tcPr>
            <w:tcW w:w="2392"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34" w:type="dxa"/>
          </w:tcPr>
          <w:p>
            <w:pPr>
              <w:pStyle w:val="20"/>
              <w:rPr>
                <w:rFonts w:ascii="Times New Roman"/>
                <w:sz w:val="22"/>
              </w:rPr>
            </w:pPr>
          </w:p>
        </w:tc>
        <w:tc>
          <w:tcPr>
            <w:tcW w:w="1518" w:type="dxa"/>
          </w:tcPr>
          <w:p>
            <w:pPr>
              <w:pStyle w:val="20"/>
              <w:rPr>
                <w:rFonts w:ascii="Times New Roman"/>
                <w:sz w:val="22"/>
              </w:rPr>
            </w:pPr>
          </w:p>
        </w:tc>
        <w:tc>
          <w:tcPr>
            <w:tcW w:w="1849" w:type="dxa"/>
          </w:tcPr>
          <w:p>
            <w:pPr>
              <w:pStyle w:val="20"/>
              <w:rPr>
                <w:rFonts w:ascii="Times New Roman"/>
                <w:sz w:val="22"/>
              </w:rPr>
            </w:pPr>
          </w:p>
        </w:tc>
        <w:tc>
          <w:tcPr>
            <w:tcW w:w="1479" w:type="dxa"/>
          </w:tcPr>
          <w:p>
            <w:pPr>
              <w:pStyle w:val="20"/>
              <w:rPr>
                <w:rFonts w:ascii="Times New Roman"/>
                <w:sz w:val="22"/>
              </w:rPr>
            </w:pPr>
          </w:p>
        </w:tc>
        <w:tc>
          <w:tcPr>
            <w:tcW w:w="1705" w:type="dxa"/>
          </w:tcPr>
          <w:p>
            <w:pPr>
              <w:pStyle w:val="20"/>
              <w:rPr>
                <w:rFonts w:ascii="Times New Roman"/>
                <w:sz w:val="22"/>
              </w:rPr>
            </w:pPr>
          </w:p>
        </w:tc>
        <w:tc>
          <w:tcPr>
            <w:tcW w:w="2392"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634" w:type="dxa"/>
          </w:tcPr>
          <w:p>
            <w:pPr>
              <w:pStyle w:val="20"/>
              <w:rPr>
                <w:rFonts w:ascii="Times New Roman"/>
                <w:sz w:val="22"/>
              </w:rPr>
            </w:pPr>
          </w:p>
        </w:tc>
        <w:tc>
          <w:tcPr>
            <w:tcW w:w="1518" w:type="dxa"/>
          </w:tcPr>
          <w:p>
            <w:pPr>
              <w:pStyle w:val="20"/>
              <w:rPr>
                <w:rFonts w:ascii="Times New Roman"/>
                <w:sz w:val="22"/>
              </w:rPr>
            </w:pPr>
          </w:p>
        </w:tc>
        <w:tc>
          <w:tcPr>
            <w:tcW w:w="1849" w:type="dxa"/>
          </w:tcPr>
          <w:p>
            <w:pPr>
              <w:pStyle w:val="20"/>
              <w:rPr>
                <w:rFonts w:ascii="Times New Roman"/>
                <w:sz w:val="22"/>
              </w:rPr>
            </w:pPr>
          </w:p>
        </w:tc>
        <w:tc>
          <w:tcPr>
            <w:tcW w:w="1479" w:type="dxa"/>
          </w:tcPr>
          <w:p>
            <w:pPr>
              <w:pStyle w:val="20"/>
              <w:rPr>
                <w:rFonts w:ascii="Times New Roman"/>
                <w:sz w:val="22"/>
              </w:rPr>
            </w:pPr>
          </w:p>
        </w:tc>
        <w:tc>
          <w:tcPr>
            <w:tcW w:w="1705" w:type="dxa"/>
          </w:tcPr>
          <w:p>
            <w:pPr>
              <w:pStyle w:val="20"/>
              <w:rPr>
                <w:rFonts w:ascii="Times New Roman"/>
                <w:sz w:val="22"/>
              </w:rPr>
            </w:pPr>
          </w:p>
        </w:tc>
        <w:tc>
          <w:tcPr>
            <w:tcW w:w="2392" w:type="dxa"/>
          </w:tcPr>
          <w:p>
            <w:pPr>
              <w:pStyle w:val="20"/>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634" w:type="dxa"/>
          </w:tcPr>
          <w:p>
            <w:pPr>
              <w:pStyle w:val="20"/>
              <w:rPr>
                <w:rFonts w:ascii="Times New Roman"/>
                <w:sz w:val="22"/>
              </w:rPr>
            </w:pPr>
          </w:p>
        </w:tc>
        <w:tc>
          <w:tcPr>
            <w:tcW w:w="1518" w:type="dxa"/>
          </w:tcPr>
          <w:p>
            <w:pPr>
              <w:pStyle w:val="20"/>
              <w:rPr>
                <w:rFonts w:ascii="Times New Roman"/>
                <w:sz w:val="22"/>
              </w:rPr>
            </w:pPr>
          </w:p>
        </w:tc>
        <w:tc>
          <w:tcPr>
            <w:tcW w:w="1849" w:type="dxa"/>
          </w:tcPr>
          <w:p>
            <w:pPr>
              <w:pStyle w:val="20"/>
              <w:rPr>
                <w:rFonts w:ascii="Times New Roman"/>
                <w:sz w:val="22"/>
              </w:rPr>
            </w:pPr>
          </w:p>
        </w:tc>
        <w:tc>
          <w:tcPr>
            <w:tcW w:w="1479" w:type="dxa"/>
          </w:tcPr>
          <w:p>
            <w:pPr>
              <w:pStyle w:val="20"/>
              <w:rPr>
                <w:rFonts w:ascii="Times New Roman"/>
                <w:sz w:val="22"/>
              </w:rPr>
            </w:pPr>
          </w:p>
        </w:tc>
        <w:tc>
          <w:tcPr>
            <w:tcW w:w="1705" w:type="dxa"/>
          </w:tcPr>
          <w:p>
            <w:pPr>
              <w:pStyle w:val="20"/>
              <w:rPr>
                <w:rFonts w:ascii="Times New Roman"/>
                <w:sz w:val="22"/>
              </w:rPr>
            </w:pPr>
          </w:p>
        </w:tc>
        <w:tc>
          <w:tcPr>
            <w:tcW w:w="2392" w:type="dxa"/>
          </w:tcPr>
          <w:p>
            <w:pPr>
              <w:pStyle w:val="20"/>
              <w:rPr>
                <w:rFonts w:ascii="Times New Roman"/>
                <w:sz w:val="22"/>
              </w:rPr>
            </w:pPr>
          </w:p>
        </w:tc>
      </w:tr>
    </w:tbl>
    <w:p>
      <w:pPr>
        <w:pStyle w:val="8"/>
        <w:spacing w:before="12"/>
        <w:rPr>
          <w:b/>
          <w:sz w:val="10"/>
        </w:rPr>
      </w:pPr>
    </w:p>
    <w:p>
      <w:pPr>
        <w:spacing w:before="70"/>
        <w:ind w:left="552" w:right="0" w:firstLine="0"/>
        <w:jc w:val="left"/>
        <w:rPr>
          <w:b/>
          <w:sz w:val="21"/>
        </w:rPr>
      </w:pPr>
      <w:r>
        <w:rPr>
          <w:b/>
          <w:sz w:val="21"/>
        </w:rPr>
        <w:t>要求：</w:t>
      </w:r>
    </w:p>
    <w:p>
      <w:pPr>
        <w:pStyle w:val="8"/>
        <w:spacing w:before="12"/>
        <w:rPr>
          <w:b/>
          <w:sz w:val="20"/>
        </w:rPr>
      </w:pPr>
    </w:p>
    <w:p>
      <w:pPr>
        <w:pStyle w:val="19"/>
        <w:numPr>
          <w:ilvl w:val="1"/>
          <w:numId w:val="22"/>
        </w:numPr>
        <w:tabs>
          <w:tab w:val="left" w:pos="1153"/>
        </w:tabs>
        <w:spacing w:before="0" w:after="0" w:line="240" w:lineRule="auto"/>
        <w:ind w:left="1152" w:right="0" w:hanging="178"/>
        <w:jc w:val="left"/>
        <w:rPr>
          <w:sz w:val="21"/>
        </w:rPr>
      </w:pPr>
      <w:r>
        <w:rPr>
          <w:sz w:val="21"/>
        </w:rPr>
        <w:t>业绩证明应提供证明材料（根据招标要求填写）；</w:t>
      </w:r>
    </w:p>
    <w:p>
      <w:pPr>
        <w:pStyle w:val="19"/>
        <w:numPr>
          <w:ilvl w:val="1"/>
          <w:numId w:val="22"/>
        </w:numPr>
        <w:tabs>
          <w:tab w:val="left" w:pos="1153"/>
        </w:tabs>
        <w:spacing w:before="185" w:after="0" w:line="240" w:lineRule="auto"/>
        <w:ind w:left="1152" w:right="0" w:hanging="178"/>
        <w:jc w:val="left"/>
        <w:rPr>
          <w:sz w:val="21"/>
        </w:rPr>
      </w:pPr>
      <w:r>
        <w:rPr>
          <w:sz w:val="21"/>
        </w:rPr>
        <w:t>报价供应商可按此表格式复制。</w:t>
      </w:r>
    </w:p>
    <w:p>
      <w:pPr>
        <w:pStyle w:val="8"/>
      </w:pPr>
    </w:p>
    <w:p>
      <w:pPr>
        <w:pStyle w:val="8"/>
        <w:rPr>
          <w:sz w:val="19"/>
        </w:rPr>
      </w:pPr>
    </w:p>
    <w:p>
      <w:pPr>
        <w:pStyle w:val="8"/>
        <w:ind w:left="972"/>
      </w:pPr>
      <w:r>
        <w:t>投标人名称（盖公章）：</w:t>
      </w:r>
    </w:p>
    <w:p>
      <w:pPr>
        <w:pStyle w:val="8"/>
        <w:tabs>
          <w:tab w:val="left" w:pos="2189"/>
        </w:tabs>
        <w:spacing w:before="185" w:line="343" w:lineRule="auto"/>
        <w:ind w:left="989" w:right="5457" w:hanging="10"/>
      </w:pPr>
      <w:r>
        <w:t>法定代表人或代理人（签字或盖章</w:t>
      </w:r>
      <w:r>
        <w:rPr>
          <w:spacing w:val="-13"/>
        </w:rPr>
        <w:t xml:space="preserve">）： </w:t>
      </w:r>
      <w:r>
        <w:t>日</w:t>
      </w:r>
      <w:r>
        <w:tab/>
      </w:r>
      <w:r>
        <w:t>期：</w:t>
      </w:r>
    </w:p>
    <w:p>
      <w:pPr>
        <w:spacing w:after="0" w:line="343" w:lineRule="auto"/>
        <w:sectPr>
          <w:headerReference r:id="rId27" w:type="default"/>
          <w:pgSz w:w="11910" w:h="16840"/>
          <w:pgMar w:top="1760" w:right="820" w:bottom="980" w:left="580" w:header="1497" w:footer="706" w:gutter="0"/>
          <w:pgBorders>
            <w:top w:val="none" w:sz="0" w:space="0"/>
            <w:left w:val="none" w:sz="0" w:space="0"/>
            <w:bottom w:val="none" w:sz="0" w:space="0"/>
            <w:right w:val="none" w:sz="0" w:space="0"/>
          </w:pgBorders>
          <w:cols w:space="720" w:num="1"/>
        </w:sectPr>
      </w:pPr>
    </w:p>
    <w:p>
      <w:pPr>
        <w:pStyle w:val="8"/>
        <w:spacing w:before="6"/>
        <w:rPr>
          <w:sz w:val="16"/>
        </w:rPr>
      </w:pPr>
    </w:p>
    <w:p>
      <w:pPr>
        <w:pStyle w:val="3"/>
      </w:pPr>
      <w:r>
        <w:t>项目名称</w:t>
      </w:r>
    </w:p>
    <w:p>
      <w:pPr>
        <w:pStyle w:val="4"/>
        <w:spacing w:before="449"/>
        <w:ind w:left="2819" w:right="2470"/>
        <w:jc w:val="center"/>
      </w:pPr>
      <w:r>
        <w:t>项目编号：</w:t>
      </w:r>
    </w:p>
    <w:p>
      <w:pPr>
        <w:pStyle w:val="8"/>
        <w:spacing w:before="2"/>
        <w:rPr>
          <w:sz w:val="33"/>
        </w:rPr>
      </w:pPr>
    </w:p>
    <w:p>
      <w:pPr>
        <w:spacing w:before="0" w:line="304" w:lineRule="auto"/>
        <w:ind w:left="4966" w:right="4699" w:firstLine="2"/>
        <w:jc w:val="both"/>
        <w:rPr>
          <w:b/>
          <w:sz w:val="84"/>
        </w:rPr>
      </w:pPr>
      <w:r>
        <w:rPr>
          <w:b/>
          <w:w w:val="95"/>
          <w:sz w:val="84"/>
        </w:rPr>
        <w:t>报</w:t>
      </w:r>
      <w:r>
        <w:rPr>
          <w:b/>
          <w:sz w:val="84"/>
        </w:rPr>
        <w:t>价文</w:t>
      </w:r>
    </w:p>
    <w:p>
      <w:pPr>
        <w:spacing w:before="0" w:line="1001" w:lineRule="exact"/>
        <w:ind w:left="262" w:right="0" w:firstLine="0"/>
        <w:jc w:val="center"/>
        <w:rPr>
          <w:b/>
          <w:sz w:val="84"/>
        </w:rPr>
      </w:pPr>
      <w:r>
        <w:rPr>
          <w:b/>
          <w:w w:val="99"/>
          <w:sz w:val="84"/>
        </w:rPr>
        <w:t>件</w:t>
      </w:r>
    </w:p>
    <w:p>
      <w:pPr>
        <w:tabs>
          <w:tab w:val="left" w:pos="2352"/>
        </w:tabs>
        <w:spacing w:before="11" w:line="228" w:lineRule="auto"/>
        <w:ind w:left="1272" w:right="5284" w:firstLine="0"/>
        <w:jc w:val="left"/>
        <w:rPr>
          <w:sz w:val="36"/>
        </w:rPr>
      </w:pPr>
      <w:r>
        <w:rPr>
          <w:sz w:val="36"/>
        </w:rPr>
        <w:t>投标人名称（盖公章</w:t>
      </w:r>
      <w:r>
        <w:rPr>
          <w:spacing w:val="-13"/>
          <w:sz w:val="36"/>
        </w:rPr>
        <w:t xml:space="preserve">）： </w:t>
      </w:r>
      <w:r>
        <w:rPr>
          <w:sz w:val="36"/>
        </w:rPr>
        <w:t>地</w:t>
      </w:r>
      <w:r>
        <w:rPr>
          <w:sz w:val="36"/>
        </w:rPr>
        <w:tab/>
      </w:r>
      <w:r>
        <w:rPr>
          <w:sz w:val="36"/>
        </w:rPr>
        <w:t>址：</w:t>
      </w:r>
    </w:p>
    <w:p>
      <w:pPr>
        <w:tabs>
          <w:tab w:val="left" w:pos="2352"/>
        </w:tabs>
        <w:spacing w:before="150"/>
        <w:ind w:left="1272" w:right="0" w:firstLine="0"/>
        <w:jc w:val="left"/>
        <w:rPr>
          <w:sz w:val="36"/>
        </w:rPr>
      </w:pPr>
      <w:r>
        <w:rPr>
          <w:sz w:val="36"/>
        </w:rPr>
        <w:t>时</w:t>
      </w:r>
      <w:r>
        <w:rPr>
          <w:sz w:val="36"/>
        </w:rPr>
        <w:tab/>
      </w:r>
      <w:r>
        <w:rPr>
          <w:sz w:val="36"/>
        </w:rPr>
        <w:t>间：</w:t>
      </w:r>
    </w:p>
    <w:p>
      <w:pPr>
        <w:spacing w:after="0"/>
        <w:jc w:val="left"/>
        <w:rPr>
          <w:sz w:val="36"/>
        </w:rPr>
        <w:sectPr>
          <w:headerReference r:id="rId28" w:type="default"/>
          <w:pgSz w:w="11910" w:h="16840"/>
          <w:pgMar w:top="1760" w:right="820" w:bottom="980" w:left="580" w:header="1497" w:footer="706" w:gutter="0"/>
          <w:pgBorders>
            <w:top w:val="none" w:sz="0" w:space="0"/>
            <w:left w:val="none" w:sz="0" w:space="0"/>
            <w:bottom w:val="none" w:sz="0" w:space="0"/>
            <w:right w:val="none" w:sz="0" w:space="0"/>
          </w:pgBorders>
          <w:cols w:space="720" w:num="1"/>
        </w:sectPr>
      </w:pPr>
    </w:p>
    <w:p>
      <w:pPr>
        <w:pStyle w:val="5"/>
        <w:spacing w:before="43"/>
        <w:ind w:right="2471"/>
        <w:jc w:val="center"/>
      </w:pPr>
      <w:r>
        <w:t>报价文件目录</w:t>
      </w:r>
    </w:p>
    <w:p>
      <w:pPr>
        <w:pStyle w:val="8"/>
        <w:rPr>
          <w:b/>
          <w:sz w:val="20"/>
        </w:rPr>
      </w:pPr>
    </w:p>
    <w:p>
      <w:pPr>
        <w:keepNext w:val="0"/>
        <w:keepLines w:val="0"/>
        <w:pageBreakBefore w:val="0"/>
        <w:widowControl w:val="0"/>
        <w:kinsoku/>
        <w:wordWrap/>
        <w:overflowPunct/>
        <w:topLinePunct w:val="0"/>
        <w:autoSpaceDE w:val="0"/>
        <w:autoSpaceDN w:val="0"/>
        <w:bidi w:val="0"/>
        <w:adjustRightInd/>
        <w:snapToGrid/>
        <w:spacing w:before="199" w:line="360" w:lineRule="auto"/>
        <w:ind w:left="552" w:right="0" w:firstLine="0"/>
        <w:jc w:val="left"/>
        <w:textAlignment w:val="auto"/>
        <w:rPr>
          <w:sz w:val="23"/>
        </w:rPr>
      </w:pPr>
      <w:r>
        <w:rPr>
          <w:sz w:val="28"/>
        </w:rPr>
        <w:t>1、开标一览表；</w:t>
      </w:r>
    </w:p>
    <w:p>
      <w:pPr>
        <w:keepNext w:val="0"/>
        <w:keepLines w:val="0"/>
        <w:pageBreakBefore w:val="0"/>
        <w:widowControl w:val="0"/>
        <w:kinsoku/>
        <w:wordWrap/>
        <w:overflowPunct/>
        <w:topLinePunct w:val="0"/>
        <w:autoSpaceDE w:val="0"/>
        <w:autoSpaceDN w:val="0"/>
        <w:bidi w:val="0"/>
        <w:adjustRightInd/>
        <w:snapToGrid/>
        <w:spacing w:before="0" w:line="360" w:lineRule="auto"/>
        <w:ind w:left="552" w:right="0" w:firstLine="0"/>
        <w:jc w:val="left"/>
        <w:textAlignment w:val="auto"/>
        <w:rPr>
          <w:b/>
          <w:sz w:val="28"/>
        </w:rPr>
      </w:pPr>
      <w:r>
        <w:rPr>
          <w:b/>
          <w:sz w:val="28"/>
        </w:rPr>
        <w:t>下列内容如有可提供：</w:t>
      </w:r>
    </w:p>
    <w:p>
      <w:pPr>
        <w:keepNext w:val="0"/>
        <w:keepLines w:val="0"/>
        <w:pageBreakBefore w:val="0"/>
        <w:widowControl w:val="0"/>
        <w:kinsoku/>
        <w:wordWrap/>
        <w:overflowPunct/>
        <w:topLinePunct w:val="0"/>
        <w:autoSpaceDE w:val="0"/>
        <w:autoSpaceDN w:val="0"/>
        <w:bidi w:val="0"/>
        <w:adjustRightInd/>
        <w:snapToGrid/>
        <w:spacing w:before="211" w:line="360" w:lineRule="auto"/>
        <w:ind w:left="552" w:right="0" w:firstLine="0"/>
        <w:jc w:val="left"/>
        <w:textAlignment w:val="auto"/>
        <w:rPr>
          <w:sz w:val="28"/>
        </w:rPr>
      </w:pPr>
      <w:r>
        <w:rPr>
          <w:sz w:val="28"/>
        </w:rPr>
        <w:t>2、针对报价投标人认为其他需要说明的；</w:t>
      </w:r>
    </w:p>
    <w:p>
      <w:pPr>
        <w:keepNext w:val="0"/>
        <w:keepLines w:val="0"/>
        <w:pageBreakBefore w:val="0"/>
        <w:widowControl w:val="0"/>
        <w:kinsoku/>
        <w:wordWrap/>
        <w:overflowPunct/>
        <w:topLinePunct w:val="0"/>
        <w:autoSpaceDE w:val="0"/>
        <w:autoSpaceDN w:val="0"/>
        <w:bidi w:val="0"/>
        <w:adjustRightInd/>
        <w:snapToGrid/>
        <w:spacing w:before="207" w:line="360" w:lineRule="auto"/>
        <w:ind w:left="552" w:right="392" w:firstLine="0"/>
        <w:jc w:val="left"/>
        <w:textAlignment w:val="auto"/>
        <w:rPr>
          <w:sz w:val="28"/>
        </w:rPr>
      </w:pPr>
      <w:r>
        <w:rPr>
          <w:sz w:val="28"/>
        </w:rPr>
        <w:t>3</w:t>
      </w:r>
      <w:r>
        <w:rPr>
          <w:spacing w:val="-14"/>
          <w:sz w:val="28"/>
        </w:rPr>
        <w:t>、小微企业声明函以及国家企业信用信息公示系统——小微企业名录”页面查询</w:t>
      </w:r>
      <w:r>
        <w:rPr>
          <w:spacing w:val="-8"/>
          <w:sz w:val="28"/>
        </w:rPr>
        <w:t>结果</w:t>
      </w:r>
      <w:r>
        <w:rPr>
          <w:sz w:val="28"/>
        </w:rPr>
        <w:t>（</w:t>
      </w:r>
      <w:r>
        <w:rPr>
          <w:spacing w:val="-5"/>
          <w:sz w:val="28"/>
        </w:rPr>
        <w:t>截图上加盖单位公章</w:t>
      </w:r>
      <w:r>
        <w:rPr>
          <w:sz w:val="28"/>
        </w:rPr>
        <w:t>）；</w:t>
      </w:r>
    </w:p>
    <w:p>
      <w:pPr>
        <w:keepNext w:val="0"/>
        <w:keepLines w:val="0"/>
        <w:pageBreakBefore w:val="0"/>
        <w:widowControl w:val="0"/>
        <w:kinsoku/>
        <w:wordWrap/>
        <w:overflowPunct/>
        <w:topLinePunct w:val="0"/>
        <w:autoSpaceDE w:val="0"/>
        <w:autoSpaceDN w:val="0"/>
        <w:bidi w:val="0"/>
        <w:adjustRightInd/>
        <w:snapToGrid/>
        <w:spacing w:before="124" w:line="360" w:lineRule="auto"/>
        <w:ind w:left="552" w:right="0" w:firstLine="0"/>
        <w:jc w:val="left"/>
        <w:textAlignment w:val="auto"/>
        <w:rPr>
          <w:sz w:val="28"/>
        </w:rPr>
      </w:pPr>
      <w:r>
        <w:rPr>
          <w:sz w:val="28"/>
        </w:rPr>
        <w:t>4、残疾人福利性单位声明函；</w:t>
      </w:r>
    </w:p>
    <w:p>
      <w:pPr>
        <w:keepNext w:val="0"/>
        <w:keepLines w:val="0"/>
        <w:pageBreakBefore w:val="0"/>
        <w:widowControl w:val="0"/>
        <w:kinsoku/>
        <w:wordWrap/>
        <w:overflowPunct/>
        <w:topLinePunct w:val="0"/>
        <w:autoSpaceDE w:val="0"/>
        <w:autoSpaceDN w:val="0"/>
        <w:bidi w:val="0"/>
        <w:adjustRightInd/>
        <w:snapToGrid/>
        <w:spacing w:before="229" w:line="360" w:lineRule="auto"/>
        <w:ind w:left="552" w:right="295" w:firstLine="0"/>
        <w:jc w:val="left"/>
        <w:textAlignment w:val="auto"/>
        <w:rPr>
          <w:sz w:val="28"/>
        </w:rPr>
      </w:pPr>
      <w:r>
        <w:rPr>
          <w:sz w:val="28"/>
        </w:rPr>
        <w:t>5、省级以上监狱管理局、戒毒管理局（含新疆生产建设兵团）开具的属于监狱企业的证明文件。</w:t>
      </w:r>
    </w:p>
    <w:p>
      <w:pPr>
        <w:spacing w:after="0" w:line="340" w:lineRule="auto"/>
        <w:jc w:val="left"/>
        <w:rPr>
          <w:sz w:val="28"/>
        </w:rPr>
        <w:sectPr>
          <w:headerReference r:id="rId29" w:type="default"/>
          <w:pgSz w:w="11910" w:h="16840"/>
          <w:pgMar w:top="1380" w:right="820" w:bottom="980" w:left="580" w:header="0" w:footer="706" w:gutter="0"/>
          <w:pgBorders>
            <w:top w:val="none" w:sz="0" w:space="0"/>
            <w:left w:val="none" w:sz="0" w:space="0"/>
            <w:bottom w:val="none" w:sz="0" w:space="0"/>
            <w:right w:val="none" w:sz="0" w:space="0"/>
          </w:pgBorders>
          <w:cols w:space="720" w:num="1"/>
        </w:sectPr>
      </w:pPr>
    </w:p>
    <w:p>
      <w:pPr>
        <w:pStyle w:val="8"/>
        <w:spacing w:before="4"/>
        <w:rPr>
          <w:rFonts w:ascii="Times New Roman"/>
          <w:sz w:val="17"/>
        </w:rPr>
      </w:pPr>
    </w:p>
    <w:p>
      <w:pPr>
        <w:rPr>
          <w:b/>
          <w:sz w:val="28"/>
        </w:rPr>
      </w:pPr>
      <w:r>
        <w:rPr>
          <w:b/>
          <w:sz w:val="28"/>
        </w:rPr>
        <w:br w:type="page"/>
      </w:r>
    </w:p>
    <w:p>
      <w:pPr>
        <w:spacing w:before="50"/>
        <w:ind w:left="552" w:right="0" w:firstLine="0"/>
        <w:jc w:val="left"/>
        <w:rPr>
          <w:rFonts w:hint="eastAsia" w:eastAsia="宋体"/>
          <w:b/>
          <w:sz w:val="28"/>
          <w:lang w:eastAsia="zh-CN"/>
        </w:rPr>
      </w:pPr>
      <w:r>
        <w:rPr>
          <w:b/>
          <w:sz w:val="28"/>
        </w:rPr>
        <w:t>附件 1</w:t>
      </w:r>
      <w:r>
        <w:rPr>
          <w:rFonts w:hint="eastAsia"/>
          <w:b/>
          <w:sz w:val="28"/>
          <w:lang w:val="en-US" w:eastAsia="zh-CN"/>
        </w:rPr>
        <w:t>0</w:t>
      </w:r>
    </w:p>
    <w:p>
      <w:pPr>
        <w:spacing w:before="352"/>
        <w:ind w:right="0"/>
        <w:jc w:val="left"/>
        <w:rPr>
          <w:rFonts w:hint="default" w:eastAsia="宋体"/>
          <w:sz w:val="24"/>
          <w:szCs w:val="24"/>
          <w:lang w:val="en-US" w:eastAsia="zh-CN"/>
        </w:rPr>
      </w:pPr>
      <w:r>
        <w:rPr>
          <w:rFonts w:hint="eastAsia"/>
          <w:sz w:val="24"/>
          <w:szCs w:val="24"/>
          <w:lang w:val="en-US" w:eastAsia="zh-CN"/>
        </w:rPr>
        <w:t>项目编号：ZJKX-WLCG-2020-021</w:t>
      </w:r>
    </w:p>
    <w:p>
      <w:pPr>
        <w:spacing w:before="352"/>
        <w:ind w:left="552" w:right="0" w:firstLine="0"/>
        <w:jc w:val="left"/>
        <w:rPr>
          <w:rFonts w:hint="eastAsia" w:ascii="微软雅黑" w:eastAsia="微软雅黑"/>
          <w:b/>
          <w:sz w:val="36"/>
        </w:rPr>
      </w:pPr>
    </w:p>
    <w:p>
      <w:pPr>
        <w:spacing w:before="352"/>
        <w:ind w:left="552" w:right="0" w:firstLine="0"/>
        <w:jc w:val="left"/>
        <w:rPr>
          <w:rFonts w:hint="eastAsia" w:ascii="微软雅黑" w:eastAsia="微软雅黑"/>
          <w:b/>
          <w:sz w:val="36"/>
        </w:rPr>
      </w:pPr>
      <w:r>
        <w:rPr>
          <w:rFonts w:hint="eastAsia" w:ascii="微软雅黑" w:eastAsia="微软雅黑"/>
          <w:b/>
          <w:sz w:val="36"/>
        </w:rPr>
        <w:t>开标一览表</w:t>
      </w:r>
    </w:p>
    <w:p>
      <w:pPr>
        <w:spacing w:after="0"/>
        <w:jc w:val="left"/>
        <w:rPr>
          <w:rFonts w:hint="eastAsia" w:ascii="微软雅黑" w:eastAsia="微软雅黑"/>
          <w:sz w:val="36"/>
        </w:rPr>
        <w:sectPr>
          <w:headerReference r:id="rId30" w:type="default"/>
          <w:footerReference r:id="rId31" w:type="default"/>
          <w:type w:val="continuous"/>
          <w:pgSz w:w="11910" w:h="16840"/>
          <w:pgMar w:top="1600" w:right="820" w:bottom="280" w:left="580" w:header="720" w:footer="720" w:gutter="0"/>
          <w:pgBorders>
            <w:top w:val="none" w:sz="0" w:space="0"/>
            <w:left w:val="none" w:sz="0" w:space="0"/>
            <w:bottom w:val="none" w:sz="0" w:space="0"/>
            <w:right w:val="none" w:sz="0" w:space="0"/>
          </w:pgBorders>
          <w:cols w:equalWidth="0" w:num="2">
            <w:col w:w="3490" w:space="602"/>
            <w:col w:w="6418"/>
          </w:cols>
        </w:sectPr>
      </w:pPr>
    </w:p>
    <w:p>
      <w:pPr>
        <w:pStyle w:val="8"/>
        <w:spacing w:before="9" w:after="1"/>
        <w:rPr>
          <w:rFonts w:ascii="微软雅黑"/>
          <w:b/>
          <w:sz w:val="15"/>
        </w:rPr>
      </w:pPr>
    </w:p>
    <w:p>
      <w:pPr>
        <w:pStyle w:val="8"/>
        <w:spacing w:before="7"/>
        <w:rPr>
          <w:rFonts w:ascii="微软雅黑"/>
          <w:b/>
          <w:sz w:val="26"/>
        </w:rPr>
      </w:pPr>
    </w:p>
    <w:tbl>
      <w:tblPr>
        <w:tblStyle w:val="15"/>
        <w:tblW w:w="10855"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2295"/>
        <w:gridCol w:w="585"/>
        <w:gridCol w:w="1679"/>
        <w:gridCol w:w="1663"/>
        <w:gridCol w:w="1773"/>
        <w:gridCol w:w="163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60" w:type="dxa"/>
          </w:tcPr>
          <w:p>
            <w:pPr>
              <w:pStyle w:val="20"/>
              <w:spacing w:before="17" w:line="286" w:lineRule="exact"/>
              <w:ind w:left="131" w:right="125"/>
              <w:jc w:val="center"/>
              <w:rPr>
                <w:sz w:val="24"/>
              </w:rPr>
            </w:pPr>
            <w:r>
              <w:rPr>
                <w:sz w:val="24"/>
              </w:rPr>
              <w:t>序号</w:t>
            </w:r>
          </w:p>
        </w:tc>
        <w:tc>
          <w:tcPr>
            <w:tcW w:w="2880" w:type="dxa"/>
            <w:gridSpan w:val="2"/>
            <w:tcBorders>
              <w:top w:val="single" w:color="auto" w:sz="4" w:space="0"/>
            </w:tcBorders>
            <w:vAlign w:val="center"/>
          </w:tcPr>
          <w:p>
            <w:pPr>
              <w:pStyle w:val="20"/>
              <w:spacing w:before="17" w:line="286" w:lineRule="exact"/>
              <w:ind w:right="1000"/>
              <w:jc w:val="center"/>
              <w:rPr>
                <w:sz w:val="24"/>
              </w:rPr>
            </w:pPr>
            <w:r>
              <w:rPr>
                <w:sz w:val="24"/>
              </w:rPr>
              <w:t>标项内容</w:t>
            </w:r>
          </w:p>
        </w:tc>
        <w:tc>
          <w:tcPr>
            <w:tcW w:w="1679" w:type="dxa"/>
            <w:vAlign w:val="center"/>
          </w:tcPr>
          <w:p>
            <w:pPr>
              <w:pStyle w:val="20"/>
              <w:spacing w:before="17" w:line="286" w:lineRule="exact"/>
              <w:ind w:left="285" w:right="276"/>
              <w:jc w:val="center"/>
              <w:rPr>
                <w:rFonts w:hint="eastAsia" w:eastAsia="宋体"/>
                <w:sz w:val="24"/>
                <w:lang w:eastAsia="zh-CN"/>
              </w:rPr>
            </w:pPr>
            <w:r>
              <w:rPr>
                <w:rFonts w:hint="eastAsia"/>
                <w:sz w:val="24"/>
                <w:lang w:eastAsia="zh-CN"/>
              </w:rPr>
              <w:t>项目内容</w:t>
            </w:r>
          </w:p>
        </w:tc>
        <w:tc>
          <w:tcPr>
            <w:tcW w:w="1663" w:type="dxa"/>
            <w:vAlign w:val="center"/>
          </w:tcPr>
          <w:p>
            <w:pPr>
              <w:pStyle w:val="20"/>
              <w:spacing w:before="17" w:line="286" w:lineRule="exact"/>
              <w:ind w:left="285" w:leftChars="0" w:right="276" w:rightChars="0"/>
              <w:jc w:val="center"/>
              <w:rPr>
                <w:sz w:val="24"/>
              </w:rPr>
            </w:pPr>
            <w:r>
              <w:rPr>
                <w:rFonts w:hint="eastAsia"/>
                <w:sz w:val="24"/>
                <w:lang w:eastAsia="zh-CN"/>
              </w:rPr>
              <w:t>报价</w:t>
            </w:r>
            <w:r>
              <w:rPr>
                <w:sz w:val="24"/>
              </w:rPr>
              <w:t>金额</w:t>
            </w:r>
          </w:p>
        </w:tc>
        <w:tc>
          <w:tcPr>
            <w:tcW w:w="1773" w:type="dxa"/>
            <w:textDirection w:val="tbLrV"/>
            <w:vAlign w:val="center"/>
          </w:tcPr>
          <w:p>
            <w:pPr>
              <w:pStyle w:val="20"/>
              <w:spacing w:before="17" w:line="286" w:lineRule="exact"/>
              <w:ind w:left="113" w:leftChars="0" w:right="669" w:rightChars="0"/>
              <w:jc w:val="center"/>
              <w:rPr>
                <w:rFonts w:hint="eastAsia" w:eastAsia="宋体"/>
                <w:sz w:val="24"/>
                <w:lang w:eastAsia="zh-CN"/>
              </w:rPr>
            </w:pPr>
            <w:r>
              <w:rPr>
                <w:rFonts w:hint="eastAsia"/>
                <w:sz w:val="24"/>
                <w:lang w:eastAsia="zh-CN"/>
              </w:rPr>
              <w:t>总金额</w:t>
            </w:r>
          </w:p>
        </w:tc>
        <w:tc>
          <w:tcPr>
            <w:tcW w:w="1635" w:type="dxa"/>
            <w:vAlign w:val="center"/>
          </w:tcPr>
          <w:p>
            <w:pPr>
              <w:pStyle w:val="20"/>
              <w:spacing w:before="17" w:line="286" w:lineRule="exact"/>
              <w:ind w:right="0" w:rightChars="0"/>
              <w:jc w:val="center"/>
              <w:rPr>
                <w:rFonts w:hint="eastAsia" w:eastAsia="宋体"/>
                <w:sz w:val="24"/>
                <w:lang w:eastAsia="zh-CN"/>
              </w:rPr>
            </w:pPr>
            <w:r>
              <w:rPr>
                <w:rFonts w:hint="eastAsia"/>
                <w:sz w:val="24"/>
                <w:lang w:eastAsia="zh-CN"/>
              </w:rPr>
              <w:t>服务期限</w:t>
            </w:r>
          </w:p>
        </w:tc>
        <w:tc>
          <w:tcPr>
            <w:tcW w:w="765" w:type="dxa"/>
            <w:vAlign w:val="center"/>
          </w:tcPr>
          <w:p>
            <w:pPr>
              <w:pStyle w:val="20"/>
              <w:spacing w:before="17" w:line="286" w:lineRule="exact"/>
              <w:ind w:right="0" w:rightChars="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60" w:type="dxa"/>
            <w:vMerge w:val="restart"/>
            <w:vAlign w:val="center"/>
          </w:tcPr>
          <w:p>
            <w:pPr>
              <w:pStyle w:val="20"/>
              <w:spacing w:before="1"/>
              <w:jc w:val="center"/>
              <w:rPr>
                <w:b/>
                <w:sz w:val="26"/>
              </w:rPr>
            </w:pPr>
          </w:p>
          <w:p>
            <w:pPr>
              <w:pStyle w:val="20"/>
              <w:ind w:left="6"/>
              <w:jc w:val="center"/>
              <w:rPr>
                <w:sz w:val="24"/>
              </w:rPr>
            </w:pPr>
            <w:r>
              <w:rPr>
                <w:sz w:val="24"/>
              </w:rPr>
              <w:t>1</w:t>
            </w:r>
          </w:p>
        </w:tc>
        <w:tc>
          <w:tcPr>
            <w:tcW w:w="2880" w:type="dxa"/>
            <w:gridSpan w:val="2"/>
            <w:vMerge w:val="restart"/>
            <w:vAlign w:val="center"/>
          </w:tcPr>
          <w:p>
            <w:pPr>
              <w:pStyle w:val="20"/>
              <w:spacing w:before="174" w:line="249" w:lineRule="auto"/>
              <w:ind w:left="670" w:right="177" w:hanging="480"/>
              <w:jc w:val="center"/>
              <w:rPr>
                <w:rFonts w:hint="eastAsia"/>
                <w:sz w:val="24"/>
                <w:lang w:eastAsia="zh-CN"/>
              </w:rPr>
            </w:pPr>
            <w:r>
              <w:rPr>
                <w:rFonts w:hint="eastAsia"/>
                <w:sz w:val="24"/>
                <w:lang w:eastAsia="zh-CN"/>
              </w:rPr>
              <w:t>温岭市滨海镇环卫保洁</w:t>
            </w:r>
          </w:p>
          <w:p>
            <w:pPr>
              <w:pStyle w:val="20"/>
              <w:spacing w:before="174" w:line="249" w:lineRule="auto"/>
              <w:ind w:left="670" w:right="177" w:hanging="480"/>
              <w:jc w:val="center"/>
              <w:rPr>
                <w:sz w:val="24"/>
              </w:rPr>
            </w:pPr>
            <w:r>
              <w:rPr>
                <w:rFonts w:hint="eastAsia"/>
                <w:sz w:val="24"/>
                <w:lang w:eastAsia="zh-CN"/>
              </w:rPr>
              <w:t>及垃圾清运项目</w:t>
            </w:r>
          </w:p>
        </w:tc>
        <w:tc>
          <w:tcPr>
            <w:tcW w:w="1679" w:type="dxa"/>
            <w:vAlign w:val="center"/>
          </w:tcPr>
          <w:p>
            <w:pPr>
              <w:pStyle w:val="20"/>
              <w:ind w:left="285" w:right="279"/>
              <w:jc w:val="center"/>
              <w:rPr>
                <w:rFonts w:hint="default" w:eastAsia="宋体"/>
                <w:sz w:val="24"/>
                <w:lang w:val="en-US" w:eastAsia="zh-CN"/>
              </w:rPr>
            </w:pPr>
            <w:r>
              <w:rPr>
                <w:rFonts w:hint="eastAsia"/>
                <w:sz w:val="24"/>
                <w:lang w:val="en-US" w:eastAsia="zh-CN"/>
              </w:rPr>
              <w:t>垃圾清扫</w:t>
            </w:r>
          </w:p>
        </w:tc>
        <w:tc>
          <w:tcPr>
            <w:tcW w:w="1663" w:type="dxa"/>
            <w:vAlign w:val="top"/>
          </w:tcPr>
          <w:p>
            <w:pPr>
              <w:pStyle w:val="20"/>
              <w:spacing w:before="1"/>
              <w:jc w:val="center"/>
              <w:rPr>
                <w:b/>
                <w:sz w:val="26"/>
              </w:rPr>
            </w:pPr>
          </w:p>
          <w:p>
            <w:pPr>
              <w:pStyle w:val="20"/>
              <w:ind w:left="285" w:leftChars="0" w:right="279" w:rightChars="0"/>
              <w:jc w:val="center"/>
              <w:rPr>
                <w:rFonts w:hint="eastAsia"/>
                <w:sz w:val="24"/>
                <w:lang w:eastAsia="zh-CN"/>
              </w:rPr>
            </w:pPr>
            <w:r>
              <w:rPr>
                <w:rFonts w:hint="eastAsia"/>
                <w:sz w:val="24"/>
                <w:u w:val="single"/>
                <w:lang w:val="en-US" w:eastAsia="zh-CN"/>
              </w:rPr>
              <w:t xml:space="preserve">    </w:t>
            </w:r>
            <w:r>
              <w:rPr>
                <w:rFonts w:hint="eastAsia"/>
                <w:sz w:val="24"/>
                <w:lang w:val="en-US" w:eastAsia="zh-CN"/>
              </w:rPr>
              <w:t>万</w:t>
            </w:r>
            <w:r>
              <w:rPr>
                <w:sz w:val="24"/>
              </w:rPr>
              <w:t>元</w:t>
            </w:r>
          </w:p>
        </w:tc>
        <w:tc>
          <w:tcPr>
            <w:tcW w:w="1773" w:type="dxa"/>
            <w:vMerge w:val="restart"/>
            <w:vAlign w:val="center"/>
          </w:tcPr>
          <w:p>
            <w:pPr>
              <w:pStyle w:val="20"/>
              <w:spacing w:before="174" w:line="249" w:lineRule="auto"/>
              <w:ind w:left="0" w:leftChars="0" w:right="177" w:rightChars="0"/>
              <w:jc w:val="center"/>
              <w:rPr>
                <w:rFonts w:hint="default"/>
                <w:sz w:val="24"/>
                <w:lang w:val="en-US" w:eastAsia="zh-CN"/>
              </w:rPr>
            </w:pPr>
            <w:r>
              <w:rPr>
                <w:rFonts w:hint="eastAsia"/>
                <w:sz w:val="24"/>
                <w:u w:val="single"/>
                <w:lang w:val="en-US" w:eastAsia="zh-CN"/>
              </w:rPr>
              <w:t xml:space="preserve">    </w:t>
            </w:r>
            <w:r>
              <w:rPr>
                <w:rFonts w:hint="eastAsia"/>
                <w:sz w:val="24"/>
                <w:lang w:val="en-US" w:eastAsia="zh-CN"/>
              </w:rPr>
              <w:t>万元/年</w:t>
            </w:r>
          </w:p>
        </w:tc>
        <w:tc>
          <w:tcPr>
            <w:tcW w:w="1635" w:type="dxa"/>
            <w:vMerge w:val="restart"/>
            <w:vAlign w:val="center"/>
          </w:tcPr>
          <w:p>
            <w:pPr>
              <w:pStyle w:val="20"/>
              <w:spacing w:before="174" w:line="249" w:lineRule="auto"/>
              <w:ind w:right="177" w:rightChars="0"/>
              <w:jc w:val="center"/>
              <w:rPr>
                <w:rFonts w:hint="default"/>
                <w:sz w:val="24"/>
                <w:lang w:val="en-US" w:eastAsia="zh-CN"/>
              </w:rPr>
            </w:pPr>
            <w:r>
              <w:rPr>
                <w:rFonts w:hint="eastAsia" w:cs="宋体"/>
                <w:color w:val="auto"/>
                <w:kern w:val="0"/>
                <w:sz w:val="22"/>
                <w:szCs w:val="22"/>
                <w:highlight w:val="none"/>
                <w:lang w:val="en-US" w:eastAsia="zh-CN"/>
              </w:rPr>
              <w:t>一年</w:t>
            </w:r>
          </w:p>
        </w:tc>
        <w:tc>
          <w:tcPr>
            <w:tcW w:w="765" w:type="dxa"/>
            <w:vMerge w:val="restart"/>
            <w:vAlign w:val="center"/>
          </w:tcPr>
          <w:p>
            <w:pPr>
              <w:pStyle w:val="20"/>
              <w:spacing w:before="174" w:line="249" w:lineRule="auto"/>
              <w:ind w:left="670" w:leftChars="0" w:right="177" w:rightChars="0" w:hanging="480" w:firstLineChars="0"/>
              <w:jc w:val="center"/>
              <w:rPr>
                <w:rFonts w:hint="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460" w:type="dxa"/>
            <w:vMerge w:val="continue"/>
          </w:tcPr>
          <w:p>
            <w:pPr>
              <w:pStyle w:val="20"/>
              <w:ind w:left="6"/>
              <w:jc w:val="center"/>
              <w:rPr>
                <w:sz w:val="24"/>
              </w:rPr>
            </w:pPr>
          </w:p>
        </w:tc>
        <w:tc>
          <w:tcPr>
            <w:tcW w:w="2880" w:type="dxa"/>
            <w:gridSpan w:val="2"/>
            <w:vMerge w:val="continue"/>
          </w:tcPr>
          <w:p>
            <w:pPr>
              <w:pStyle w:val="20"/>
              <w:spacing w:before="174" w:line="249" w:lineRule="auto"/>
              <w:ind w:left="670" w:right="177" w:hanging="480"/>
              <w:rPr>
                <w:rFonts w:hint="eastAsia"/>
                <w:sz w:val="24"/>
                <w:lang w:eastAsia="zh-CN"/>
              </w:rPr>
            </w:pPr>
          </w:p>
        </w:tc>
        <w:tc>
          <w:tcPr>
            <w:tcW w:w="1679" w:type="dxa"/>
            <w:vMerge w:val="restart"/>
            <w:vAlign w:val="center"/>
          </w:tcPr>
          <w:p>
            <w:pPr>
              <w:pStyle w:val="20"/>
              <w:ind w:left="285" w:right="279"/>
              <w:jc w:val="center"/>
              <w:rPr>
                <w:rFonts w:hint="eastAsia"/>
                <w:sz w:val="24"/>
                <w:lang w:val="en-US" w:eastAsia="zh-CN"/>
              </w:rPr>
            </w:pPr>
            <w:r>
              <w:rPr>
                <w:rFonts w:hint="eastAsia"/>
                <w:sz w:val="24"/>
                <w:lang w:val="en-US" w:eastAsia="zh-CN"/>
              </w:rPr>
              <w:t>垃圾清运</w:t>
            </w:r>
          </w:p>
        </w:tc>
        <w:tc>
          <w:tcPr>
            <w:tcW w:w="1663" w:type="dxa"/>
            <w:vAlign w:val="center"/>
          </w:tcPr>
          <w:p>
            <w:pPr>
              <w:pStyle w:val="20"/>
              <w:spacing w:before="174" w:line="249" w:lineRule="auto"/>
              <w:ind w:right="177"/>
              <w:jc w:val="center"/>
              <w:rPr>
                <w:rFonts w:hint="default"/>
                <w:sz w:val="24"/>
                <w:lang w:val="en-US" w:eastAsia="zh-CN"/>
              </w:rPr>
            </w:pPr>
            <w:r>
              <w:rPr>
                <w:rFonts w:hint="eastAsia"/>
                <w:sz w:val="24"/>
                <w:u w:val="single"/>
                <w:lang w:val="en-US" w:eastAsia="zh-CN"/>
              </w:rPr>
              <w:t xml:space="preserve">    </w:t>
            </w:r>
            <w:r>
              <w:rPr>
                <w:rFonts w:hint="eastAsia"/>
                <w:sz w:val="24"/>
                <w:lang w:val="en-US" w:eastAsia="zh-CN"/>
              </w:rPr>
              <w:t>元/吨</w:t>
            </w:r>
          </w:p>
        </w:tc>
        <w:tc>
          <w:tcPr>
            <w:tcW w:w="1773" w:type="dxa"/>
            <w:vMerge w:val="continue"/>
            <w:vAlign w:val="center"/>
          </w:tcPr>
          <w:p>
            <w:pPr>
              <w:pStyle w:val="20"/>
              <w:spacing w:before="17" w:line="286" w:lineRule="exact"/>
              <w:ind w:left="0" w:leftChars="0" w:right="669" w:rightChars="0"/>
              <w:jc w:val="center"/>
              <w:rPr>
                <w:rFonts w:hint="eastAsia"/>
                <w:sz w:val="24"/>
                <w:lang w:val="en-US" w:eastAsia="zh-CN"/>
              </w:rPr>
            </w:pPr>
          </w:p>
        </w:tc>
        <w:tc>
          <w:tcPr>
            <w:tcW w:w="1635" w:type="dxa"/>
            <w:vMerge w:val="continue"/>
            <w:vAlign w:val="center"/>
          </w:tcPr>
          <w:p>
            <w:pPr>
              <w:pStyle w:val="20"/>
              <w:spacing w:before="174" w:line="249" w:lineRule="auto"/>
              <w:ind w:left="670" w:leftChars="0" w:right="177" w:rightChars="0" w:hanging="480" w:firstLineChars="0"/>
              <w:jc w:val="center"/>
              <w:rPr>
                <w:rFonts w:hint="eastAsia"/>
                <w:sz w:val="24"/>
                <w:lang w:val="en-US" w:eastAsia="zh-CN"/>
              </w:rPr>
            </w:pPr>
          </w:p>
        </w:tc>
        <w:tc>
          <w:tcPr>
            <w:tcW w:w="765" w:type="dxa"/>
            <w:vMerge w:val="continue"/>
            <w:vAlign w:val="top"/>
          </w:tcPr>
          <w:p>
            <w:pPr>
              <w:pStyle w:val="20"/>
              <w:spacing w:before="17" w:line="286" w:lineRule="exact"/>
              <w:ind w:left="332" w:leftChars="0" w:right="0" w:rightChars="0"/>
              <w:rPr>
                <w:rFonts w:hint="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0" w:type="dxa"/>
            <w:vMerge w:val="continue"/>
          </w:tcPr>
          <w:p>
            <w:pPr>
              <w:pStyle w:val="20"/>
              <w:ind w:left="6"/>
              <w:jc w:val="center"/>
              <w:rPr>
                <w:sz w:val="24"/>
              </w:rPr>
            </w:pPr>
          </w:p>
        </w:tc>
        <w:tc>
          <w:tcPr>
            <w:tcW w:w="2880" w:type="dxa"/>
            <w:gridSpan w:val="2"/>
            <w:vMerge w:val="continue"/>
          </w:tcPr>
          <w:p>
            <w:pPr>
              <w:pStyle w:val="20"/>
              <w:spacing w:before="174" w:line="249" w:lineRule="auto"/>
              <w:ind w:left="670" w:right="177" w:hanging="480"/>
              <w:rPr>
                <w:rFonts w:hint="eastAsia"/>
                <w:sz w:val="24"/>
                <w:lang w:eastAsia="zh-CN"/>
              </w:rPr>
            </w:pPr>
          </w:p>
        </w:tc>
        <w:tc>
          <w:tcPr>
            <w:tcW w:w="1679" w:type="dxa"/>
            <w:vMerge w:val="continue"/>
          </w:tcPr>
          <w:p>
            <w:pPr>
              <w:pStyle w:val="20"/>
              <w:ind w:left="285" w:right="279"/>
              <w:jc w:val="center"/>
              <w:rPr>
                <w:rFonts w:hint="eastAsia"/>
                <w:sz w:val="24"/>
                <w:lang w:val="en-US" w:eastAsia="zh-CN"/>
              </w:rPr>
            </w:pPr>
          </w:p>
        </w:tc>
        <w:tc>
          <w:tcPr>
            <w:tcW w:w="1663" w:type="dxa"/>
            <w:vAlign w:val="center"/>
          </w:tcPr>
          <w:p>
            <w:pPr>
              <w:pStyle w:val="20"/>
              <w:spacing w:before="174" w:line="249" w:lineRule="auto"/>
              <w:ind w:right="177"/>
              <w:jc w:val="center"/>
              <w:rPr>
                <w:rFonts w:hint="default"/>
                <w:sz w:val="24"/>
                <w:lang w:val="en-US" w:eastAsia="zh-CN"/>
              </w:rPr>
            </w:pPr>
            <w:r>
              <w:rPr>
                <w:rFonts w:hint="eastAsia"/>
                <w:sz w:val="24"/>
                <w:lang w:val="en-US" w:eastAsia="zh-CN"/>
              </w:rPr>
              <w:t>约2万吨</w:t>
            </w:r>
          </w:p>
        </w:tc>
        <w:tc>
          <w:tcPr>
            <w:tcW w:w="1773" w:type="dxa"/>
            <w:vMerge w:val="continue"/>
            <w:vAlign w:val="center"/>
          </w:tcPr>
          <w:p>
            <w:pPr>
              <w:pStyle w:val="20"/>
              <w:spacing w:before="17" w:line="286" w:lineRule="exact"/>
              <w:ind w:left="0" w:leftChars="0" w:right="669" w:rightChars="0"/>
              <w:jc w:val="center"/>
              <w:rPr>
                <w:rFonts w:hint="eastAsia"/>
                <w:sz w:val="24"/>
                <w:lang w:val="en-US" w:eastAsia="zh-CN"/>
              </w:rPr>
            </w:pPr>
          </w:p>
        </w:tc>
        <w:tc>
          <w:tcPr>
            <w:tcW w:w="1635" w:type="dxa"/>
            <w:vMerge w:val="continue"/>
            <w:vAlign w:val="center"/>
          </w:tcPr>
          <w:p>
            <w:pPr>
              <w:pStyle w:val="20"/>
              <w:spacing w:before="174" w:line="249" w:lineRule="auto"/>
              <w:ind w:left="670" w:leftChars="0" w:right="177" w:rightChars="0" w:hanging="480" w:firstLineChars="0"/>
              <w:jc w:val="center"/>
              <w:rPr>
                <w:rFonts w:hint="eastAsia"/>
                <w:sz w:val="24"/>
                <w:lang w:val="en-US" w:eastAsia="zh-CN"/>
              </w:rPr>
            </w:pPr>
          </w:p>
        </w:tc>
        <w:tc>
          <w:tcPr>
            <w:tcW w:w="765" w:type="dxa"/>
            <w:vMerge w:val="continue"/>
            <w:vAlign w:val="top"/>
          </w:tcPr>
          <w:p>
            <w:pPr>
              <w:pStyle w:val="20"/>
              <w:spacing w:before="17" w:line="286" w:lineRule="exact"/>
              <w:ind w:left="332" w:leftChars="0" w:right="0" w:rightChars="0"/>
              <w:rPr>
                <w:rFonts w:hint="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55" w:type="dxa"/>
            <w:gridSpan w:val="2"/>
            <w:vAlign w:val="center"/>
          </w:tcPr>
          <w:p>
            <w:pPr>
              <w:pStyle w:val="20"/>
              <w:spacing w:before="132" w:line="362" w:lineRule="auto"/>
              <w:ind w:left="814" w:right="319" w:hanging="480"/>
              <w:jc w:val="center"/>
              <w:rPr>
                <w:b/>
                <w:sz w:val="24"/>
              </w:rPr>
            </w:pPr>
            <w:r>
              <w:rPr>
                <w:b/>
                <w:sz w:val="24"/>
              </w:rPr>
              <w:t>投标总价（大写）</w:t>
            </w:r>
          </w:p>
        </w:tc>
        <w:tc>
          <w:tcPr>
            <w:tcW w:w="8100" w:type="dxa"/>
            <w:gridSpan w:val="6"/>
          </w:tcPr>
          <w:p>
            <w:pPr>
              <w:pStyle w:val="20"/>
              <w:rPr>
                <w:rFonts w:ascii="Times New Roman"/>
                <w:sz w:val="24"/>
              </w:rPr>
            </w:pPr>
          </w:p>
        </w:tc>
      </w:tr>
    </w:tbl>
    <w:p>
      <w:pPr>
        <w:pStyle w:val="8"/>
        <w:spacing w:before="67"/>
        <w:ind w:left="972"/>
      </w:pPr>
      <w:r>
        <w:t>投标人名称（盖公章）：</w:t>
      </w:r>
    </w:p>
    <w:p>
      <w:pPr>
        <w:pStyle w:val="8"/>
        <w:tabs>
          <w:tab w:val="left" w:pos="2189"/>
        </w:tabs>
        <w:spacing w:before="199" w:line="343" w:lineRule="auto"/>
        <w:ind w:left="989" w:right="5457" w:hanging="10"/>
      </w:pPr>
      <w:r>
        <w:t>法定代表人或代理人（签字或盖章</w:t>
      </w:r>
      <w:r>
        <w:rPr>
          <w:spacing w:val="-13"/>
        </w:rPr>
        <w:t xml:space="preserve">）： </w:t>
      </w:r>
      <w:r>
        <w:t>日</w:t>
      </w:r>
      <w:r>
        <w:tab/>
      </w:r>
      <w:r>
        <w:t>期：</w:t>
      </w:r>
    </w:p>
    <w:p>
      <w:pPr>
        <w:spacing w:after="0" w:line="343" w:lineRule="auto"/>
        <w:sectPr>
          <w:type w:val="continuous"/>
          <w:pgSz w:w="11910" w:h="16840"/>
          <w:pgMar w:top="1600" w:right="820" w:bottom="280" w:left="580" w:header="720" w:footer="720" w:gutter="0"/>
          <w:pgBorders>
            <w:top w:val="none" w:sz="0" w:space="0"/>
            <w:left w:val="none" w:sz="0" w:space="0"/>
            <w:bottom w:val="none" w:sz="0" w:space="0"/>
            <w:right w:val="none" w:sz="0" w:space="0"/>
          </w:pgBorders>
          <w:cols w:space="720" w:num="1"/>
        </w:sectPr>
      </w:pPr>
    </w:p>
    <w:p>
      <w:pPr>
        <w:spacing w:before="48"/>
        <w:ind w:left="219" w:right="0" w:firstLine="0"/>
        <w:jc w:val="left"/>
        <w:rPr>
          <w:b/>
          <w:sz w:val="28"/>
        </w:rPr>
      </w:pPr>
      <w:r>
        <w:rPr>
          <w:b/>
          <w:sz w:val="28"/>
        </w:rPr>
        <w:t>附件 1</w:t>
      </w:r>
      <w:r>
        <w:rPr>
          <w:rFonts w:hint="eastAsia"/>
          <w:b/>
          <w:sz w:val="28"/>
          <w:lang w:val="en-US" w:eastAsia="zh-CN"/>
        </w:rPr>
        <w:t>1</w:t>
      </w:r>
    </w:p>
    <w:p>
      <w:pPr>
        <w:pStyle w:val="8"/>
        <w:spacing w:before="7"/>
        <w:rPr>
          <w:b/>
          <w:sz w:val="36"/>
        </w:rPr>
      </w:pPr>
      <w:r>
        <w:br w:type="column"/>
      </w:r>
    </w:p>
    <w:p>
      <w:pPr>
        <w:spacing w:before="0"/>
        <w:ind w:left="219" w:right="0" w:firstLine="0"/>
        <w:jc w:val="left"/>
        <w:rPr>
          <w:b/>
          <w:sz w:val="32"/>
        </w:rPr>
      </w:pPr>
      <w:r>
        <w:rPr>
          <w:b/>
          <w:sz w:val="32"/>
        </w:rPr>
        <w:t>报价明细表</w:t>
      </w:r>
    </w:p>
    <w:p>
      <w:pPr>
        <w:spacing w:after="0"/>
        <w:jc w:val="left"/>
        <w:rPr>
          <w:sz w:val="32"/>
        </w:rPr>
        <w:sectPr>
          <w:headerReference r:id="rId32" w:type="default"/>
          <w:footerReference r:id="rId33" w:type="default"/>
          <w:pgSz w:w="11910" w:h="16840"/>
          <w:pgMar w:top="1360" w:right="820" w:bottom="980" w:left="580" w:header="0" w:footer="786" w:gutter="0"/>
          <w:pgBorders>
            <w:top w:val="none" w:sz="0" w:space="0"/>
            <w:left w:val="none" w:sz="0" w:space="0"/>
            <w:bottom w:val="none" w:sz="0" w:space="0"/>
            <w:right w:val="none" w:sz="0" w:space="0"/>
          </w:pgBorders>
          <w:pgNumType w:start="48"/>
          <w:cols w:equalWidth="0" w:num="2">
            <w:col w:w="1528" w:space="2993"/>
            <w:col w:w="5989"/>
          </w:cols>
        </w:sectPr>
      </w:pPr>
    </w:p>
    <w:tbl>
      <w:tblPr>
        <w:tblStyle w:val="15"/>
        <w:tblW w:w="0" w:type="auto"/>
        <w:tblInd w:w="1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2895"/>
        <w:gridCol w:w="1245"/>
        <w:gridCol w:w="1830"/>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4" w:type="dxa"/>
          </w:tcPr>
          <w:p>
            <w:pPr>
              <w:pStyle w:val="20"/>
              <w:spacing w:before="2"/>
              <w:ind w:right="209"/>
              <w:jc w:val="right"/>
              <w:rPr>
                <w:b/>
                <w:sz w:val="24"/>
              </w:rPr>
            </w:pPr>
            <w:r>
              <w:rPr>
                <w:b/>
                <w:w w:val="95"/>
                <w:sz w:val="24"/>
              </w:rPr>
              <w:t>序号</w:t>
            </w:r>
          </w:p>
        </w:tc>
        <w:tc>
          <w:tcPr>
            <w:tcW w:w="2895" w:type="dxa"/>
          </w:tcPr>
          <w:p>
            <w:pPr>
              <w:pStyle w:val="20"/>
              <w:spacing w:before="2"/>
              <w:ind w:left="966"/>
              <w:rPr>
                <w:b/>
                <w:sz w:val="24"/>
              </w:rPr>
            </w:pPr>
            <w:r>
              <w:rPr>
                <w:b/>
                <w:sz w:val="24"/>
              </w:rPr>
              <w:t>工作项目</w:t>
            </w:r>
          </w:p>
        </w:tc>
        <w:tc>
          <w:tcPr>
            <w:tcW w:w="1245" w:type="dxa"/>
          </w:tcPr>
          <w:p>
            <w:pPr>
              <w:pStyle w:val="20"/>
              <w:spacing w:before="2"/>
              <w:ind w:left="382"/>
              <w:rPr>
                <w:b/>
                <w:sz w:val="24"/>
              </w:rPr>
            </w:pPr>
            <w:r>
              <w:rPr>
                <w:b/>
                <w:sz w:val="24"/>
              </w:rPr>
              <w:t>单价</w:t>
            </w:r>
          </w:p>
        </w:tc>
        <w:tc>
          <w:tcPr>
            <w:tcW w:w="1830" w:type="dxa"/>
          </w:tcPr>
          <w:p>
            <w:pPr>
              <w:pStyle w:val="20"/>
              <w:spacing w:before="2"/>
              <w:ind w:left="654" w:right="643"/>
              <w:jc w:val="center"/>
              <w:rPr>
                <w:b/>
                <w:sz w:val="24"/>
              </w:rPr>
            </w:pPr>
            <w:r>
              <w:rPr>
                <w:b/>
                <w:sz w:val="24"/>
              </w:rPr>
              <w:t>数量</w:t>
            </w:r>
          </w:p>
        </w:tc>
        <w:tc>
          <w:tcPr>
            <w:tcW w:w="1740" w:type="dxa"/>
          </w:tcPr>
          <w:p>
            <w:pPr>
              <w:pStyle w:val="20"/>
              <w:spacing w:before="2"/>
              <w:ind w:left="607" w:right="600"/>
              <w:jc w:val="center"/>
              <w:rPr>
                <w:b/>
                <w:sz w:val="24"/>
              </w:rPr>
            </w:pPr>
            <w:r>
              <w:rPr>
                <w:b/>
                <w:sz w:val="24"/>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4" w:type="dxa"/>
          </w:tcPr>
          <w:p>
            <w:pPr>
              <w:pStyle w:val="20"/>
              <w:ind w:left="10"/>
              <w:jc w:val="center"/>
              <w:rPr>
                <w:b/>
                <w:sz w:val="24"/>
              </w:rPr>
            </w:pPr>
            <w:r>
              <w:rPr>
                <w:b/>
                <w:w w:val="99"/>
                <w:sz w:val="24"/>
              </w:rPr>
              <w:t>1</w:t>
            </w: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24" w:type="dxa"/>
          </w:tcPr>
          <w:p>
            <w:pPr>
              <w:pStyle w:val="20"/>
              <w:spacing w:before="1"/>
              <w:ind w:left="10"/>
              <w:jc w:val="center"/>
              <w:rPr>
                <w:b/>
                <w:sz w:val="24"/>
              </w:rPr>
            </w:pPr>
            <w:r>
              <w:rPr>
                <w:b/>
                <w:w w:val="99"/>
                <w:sz w:val="24"/>
              </w:rPr>
              <w:t>2</w:t>
            </w: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4" w:type="dxa"/>
          </w:tcPr>
          <w:p>
            <w:pPr>
              <w:pStyle w:val="20"/>
              <w:spacing w:before="2"/>
              <w:ind w:left="10"/>
              <w:jc w:val="center"/>
              <w:rPr>
                <w:b/>
                <w:sz w:val="24"/>
              </w:rPr>
            </w:pPr>
            <w:r>
              <w:rPr>
                <w:b/>
                <w:w w:val="99"/>
                <w:sz w:val="24"/>
              </w:rPr>
              <w:t>3</w:t>
            </w: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924" w:type="dxa"/>
          </w:tcPr>
          <w:p>
            <w:pPr>
              <w:pStyle w:val="20"/>
              <w:ind w:right="267"/>
              <w:jc w:val="right"/>
              <w:rPr>
                <w:b/>
                <w:sz w:val="24"/>
              </w:rPr>
            </w:pPr>
            <w:r>
              <w:rPr>
                <w:b/>
                <w:w w:val="95"/>
                <w:sz w:val="24"/>
              </w:rPr>
              <w:t>...</w:t>
            </w: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24" w:type="dxa"/>
          </w:tcPr>
          <w:p>
            <w:pPr>
              <w:pStyle w:val="20"/>
              <w:rPr>
                <w:rFonts w:ascii="Times New Roman"/>
                <w:sz w:val="24"/>
              </w:rPr>
            </w:pP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4" w:type="dxa"/>
          </w:tcPr>
          <w:p>
            <w:pPr>
              <w:pStyle w:val="20"/>
              <w:rPr>
                <w:rFonts w:ascii="Times New Roman"/>
                <w:sz w:val="24"/>
              </w:rPr>
            </w:pP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24" w:type="dxa"/>
          </w:tcPr>
          <w:p>
            <w:pPr>
              <w:pStyle w:val="20"/>
              <w:rPr>
                <w:rFonts w:ascii="Times New Roman"/>
                <w:sz w:val="24"/>
              </w:rPr>
            </w:pP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24" w:type="dxa"/>
          </w:tcPr>
          <w:p>
            <w:pPr>
              <w:pStyle w:val="20"/>
              <w:rPr>
                <w:rFonts w:ascii="Times New Roman"/>
                <w:sz w:val="24"/>
              </w:rPr>
            </w:pPr>
          </w:p>
        </w:tc>
        <w:tc>
          <w:tcPr>
            <w:tcW w:w="2895" w:type="dxa"/>
          </w:tcPr>
          <w:p>
            <w:pPr>
              <w:pStyle w:val="20"/>
              <w:rPr>
                <w:rFonts w:ascii="Times New Roman"/>
                <w:sz w:val="24"/>
              </w:rPr>
            </w:pPr>
          </w:p>
        </w:tc>
        <w:tc>
          <w:tcPr>
            <w:tcW w:w="1245" w:type="dxa"/>
          </w:tcPr>
          <w:p>
            <w:pPr>
              <w:pStyle w:val="20"/>
              <w:rPr>
                <w:rFonts w:ascii="Times New Roman"/>
                <w:sz w:val="24"/>
              </w:rPr>
            </w:pPr>
          </w:p>
        </w:tc>
        <w:tc>
          <w:tcPr>
            <w:tcW w:w="1830" w:type="dxa"/>
          </w:tcPr>
          <w:p>
            <w:pPr>
              <w:pStyle w:val="20"/>
              <w:rPr>
                <w:rFonts w:ascii="Times New Roman"/>
                <w:sz w:val="24"/>
              </w:rPr>
            </w:pPr>
          </w:p>
        </w:tc>
        <w:tc>
          <w:tcPr>
            <w:tcW w:w="1740" w:type="dxa"/>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819" w:type="dxa"/>
            <w:gridSpan w:val="2"/>
          </w:tcPr>
          <w:p>
            <w:pPr>
              <w:pStyle w:val="20"/>
              <w:rPr>
                <w:rFonts w:ascii="Times New Roman"/>
                <w:sz w:val="24"/>
              </w:rPr>
            </w:pPr>
          </w:p>
        </w:tc>
        <w:tc>
          <w:tcPr>
            <w:tcW w:w="4815" w:type="dxa"/>
            <w:gridSpan w:val="3"/>
          </w:tcPr>
          <w:p>
            <w:pPr>
              <w:pStyle w:val="20"/>
              <w:rPr>
                <w:rFonts w:ascii="Times New Roman"/>
                <w:sz w:val="24"/>
              </w:rPr>
            </w:pPr>
          </w:p>
        </w:tc>
      </w:tr>
    </w:tbl>
    <w:p>
      <w:pPr>
        <w:pStyle w:val="8"/>
        <w:rPr>
          <w:b/>
          <w:sz w:val="20"/>
        </w:rPr>
      </w:pPr>
    </w:p>
    <w:p>
      <w:pPr>
        <w:pStyle w:val="8"/>
        <w:rPr>
          <w:b/>
          <w:sz w:val="20"/>
        </w:rPr>
      </w:pPr>
    </w:p>
    <w:p>
      <w:pPr>
        <w:pStyle w:val="8"/>
        <w:rPr>
          <w:b/>
          <w:sz w:val="20"/>
        </w:rPr>
      </w:pPr>
    </w:p>
    <w:p>
      <w:pPr>
        <w:pStyle w:val="8"/>
        <w:spacing w:before="201"/>
        <w:ind w:left="2819" w:right="2240"/>
        <w:jc w:val="center"/>
        <w:rPr>
          <w:rFonts w:hint="eastAsia" w:ascii="微软雅黑" w:eastAsia="微软雅黑"/>
        </w:rPr>
      </w:pPr>
      <w:r>
        <w:rPr>
          <w:rFonts w:hint="eastAsia" w:ascii="微软雅黑" w:eastAsia="微软雅黑"/>
        </w:rPr>
        <w:t>投标人名称（单位公章）：</w:t>
      </w:r>
    </w:p>
    <w:p>
      <w:pPr>
        <w:pStyle w:val="8"/>
        <w:spacing w:before="18"/>
        <w:rPr>
          <w:rFonts w:ascii="微软雅黑"/>
          <w:sz w:val="25"/>
        </w:rPr>
      </w:pPr>
    </w:p>
    <w:p>
      <w:pPr>
        <w:pStyle w:val="8"/>
        <w:tabs>
          <w:tab w:val="left" w:pos="3864"/>
          <w:tab w:val="left" w:pos="4464"/>
        </w:tabs>
        <w:spacing w:line="499" w:lineRule="auto"/>
        <w:ind w:left="3264" w:right="2683"/>
        <w:jc w:val="center"/>
        <w:rPr>
          <w:rFonts w:hint="eastAsia" w:ascii="微软雅黑" w:eastAsia="微软雅黑"/>
        </w:rPr>
      </w:pPr>
      <w:r>
        <w:rPr>
          <w:rFonts w:hint="eastAsia" w:ascii="微软雅黑" w:eastAsia="微软雅黑"/>
        </w:rPr>
        <w:t>法定代表人或委托代理人（盖章或签名</w:t>
      </w:r>
      <w:r>
        <w:rPr>
          <w:rFonts w:hint="eastAsia" w:ascii="微软雅黑" w:eastAsia="微软雅黑"/>
          <w:spacing w:val="-9"/>
        </w:rPr>
        <w:t xml:space="preserve">）： </w:t>
      </w:r>
      <w:r>
        <w:rPr>
          <w:rFonts w:hint="eastAsia" w:ascii="微软雅黑" w:eastAsia="微软雅黑"/>
        </w:rPr>
        <w:t>年</w:t>
      </w:r>
      <w:r>
        <w:rPr>
          <w:rFonts w:hint="eastAsia" w:ascii="微软雅黑" w:eastAsia="微软雅黑"/>
        </w:rPr>
        <w:tab/>
      </w:r>
      <w:r>
        <w:rPr>
          <w:rFonts w:hint="eastAsia" w:ascii="微软雅黑" w:eastAsia="微软雅黑"/>
        </w:rPr>
        <w:t>月</w:t>
      </w:r>
      <w:r>
        <w:rPr>
          <w:rFonts w:hint="eastAsia" w:ascii="微软雅黑" w:eastAsia="微软雅黑"/>
        </w:rPr>
        <w:tab/>
      </w:r>
      <w:r>
        <w:rPr>
          <w:rFonts w:hint="eastAsia" w:ascii="微软雅黑" w:eastAsia="微软雅黑"/>
        </w:rPr>
        <w:t>日</w:t>
      </w:r>
    </w:p>
    <w:p>
      <w:pPr>
        <w:spacing w:after="0" w:line="499" w:lineRule="auto"/>
        <w:jc w:val="center"/>
        <w:rPr>
          <w:rFonts w:hint="eastAsia" w:ascii="微软雅黑" w:eastAsia="微软雅黑"/>
        </w:rPr>
        <w:sectPr>
          <w:type w:val="continuous"/>
          <w:pgSz w:w="11910" w:h="16840"/>
          <w:pgMar w:top="1600" w:right="820" w:bottom="280" w:left="580" w:header="720" w:footer="720" w:gutter="0"/>
          <w:pgBorders>
            <w:top w:val="none" w:sz="0" w:space="0"/>
            <w:left w:val="none" w:sz="0" w:space="0"/>
            <w:bottom w:val="none" w:sz="0" w:space="0"/>
            <w:right w:val="none" w:sz="0" w:space="0"/>
          </w:pgBorders>
          <w:cols w:space="720" w:num="1"/>
        </w:sectPr>
      </w:pPr>
    </w:p>
    <w:p>
      <w:pPr>
        <w:pStyle w:val="8"/>
        <w:spacing w:before="3"/>
        <w:rPr>
          <w:rFonts w:ascii="微软雅黑"/>
          <w:sz w:val="10"/>
        </w:rPr>
      </w:pPr>
    </w:p>
    <w:p>
      <w:pPr>
        <w:pStyle w:val="6"/>
        <w:spacing w:before="62"/>
        <w:rPr>
          <w:rFonts w:hint="default" w:eastAsia="宋体"/>
          <w:lang w:val="en-US" w:eastAsia="zh-CN"/>
        </w:rPr>
      </w:pPr>
      <w:r>
        <w:t xml:space="preserve">附件 </w:t>
      </w:r>
      <w:r>
        <w:rPr>
          <w:rFonts w:hint="eastAsia"/>
          <w:lang w:val="en-US" w:eastAsia="zh-CN"/>
        </w:rPr>
        <w:t>12</w:t>
      </w:r>
    </w:p>
    <w:p>
      <w:pPr>
        <w:pStyle w:val="8"/>
        <w:spacing w:before="5"/>
        <w:rPr>
          <w:b/>
          <w:sz w:val="36"/>
        </w:rPr>
      </w:pPr>
      <w:r>
        <w:br w:type="column"/>
      </w:r>
    </w:p>
    <w:p>
      <w:pPr>
        <w:ind w:left="552"/>
        <w:rPr>
          <w:rFonts w:hint="eastAsia" w:eastAsia="宋体"/>
          <w:sz w:val="32"/>
          <w:highlight w:val="none"/>
          <w:lang w:eastAsia="zh-CN"/>
        </w:rPr>
        <w:sectPr>
          <w:headerReference r:id="rId34" w:type="default"/>
          <w:footerReference r:id="rId35" w:type="default"/>
          <w:pgSz w:w="11910" w:h="16840"/>
          <w:pgMar w:top="1600" w:right="820" w:bottom="280" w:left="580" w:header="720" w:footer="720" w:gutter="0"/>
          <w:pgBorders>
            <w:top w:val="none" w:sz="0" w:space="0"/>
            <w:left w:val="none" w:sz="0" w:space="0"/>
            <w:bottom w:val="none" w:sz="0" w:space="0"/>
            <w:right w:val="none" w:sz="0" w:space="0"/>
          </w:pgBorders>
          <w:cols w:equalWidth="0" w:num="2">
            <w:col w:w="1576" w:space="2031"/>
            <w:col w:w="6903"/>
          </w:cols>
        </w:sectPr>
      </w:pPr>
      <w:r>
        <w:rPr>
          <w:rFonts w:hint="eastAsia"/>
          <w:b/>
          <w:sz w:val="32"/>
          <w:highlight w:val="none"/>
          <w:lang w:eastAsia="zh-CN"/>
        </w:rPr>
        <w:t>中小</w:t>
      </w:r>
      <w:r>
        <w:rPr>
          <w:b/>
          <w:sz w:val="32"/>
          <w:highlight w:val="none"/>
        </w:rPr>
        <w:t>企业声明</w:t>
      </w:r>
      <w:r>
        <w:rPr>
          <w:rFonts w:ascii="宋体" w:hAnsi="宋体" w:eastAsia="宋体" w:cs="宋体"/>
          <w:b/>
          <w:sz w:val="32"/>
          <w:highlight w:val="none"/>
        </w:rPr>
        <w:t>函</w:t>
      </w:r>
      <w:r>
        <w:rPr>
          <w:rFonts w:hint="eastAsia" w:ascii="宋体" w:hAnsi="宋体" w:eastAsia="宋体" w:cs="宋体"/>
          <w:b/>
          <w:sz w:val="32"/>
          <w:highlight w:val="none"/>
          <w:lang w:eastAsia="zh-CN"/>
        </w:rPr>
        <w:t>（</w:t>
      </w:r>
      <w:r>
        <w:rPr>
          <w:rFonts w:hint="eastAsia" w:cs="宋体"/>
          <w:b/>
          <w:sz w:val="32"/>
          <w:highlight w:val="none"/>
          <w:lang w:eastAsia="zh-CN"/>
        </w:rPr>
        <w:t>服务</w:t>
      </w:r>
      <w:r>
        <w:rPr>
          <w:rFonts w:hint="eastAsia" w:ascii="宋体" w:hAnsi="宋体" w:eastAsia="宋体" w:cs="宋体"/>
          <w:b/>
          <w:sz w:val="32"/>
          <w:highlight w:val="none"/>
          <w:lang w:eastAsia="zh-CN"/>
        </w:rPr>
        <w:t>）</w:t>
      </w: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firstLine="556" w:firstLineChars="200"/>
        <w:textAlignment w:val="auto"/>
        <w:rPr>
          <w:rFonts w:hint="eastAsia"/>
          <w:spacing w:val="19"/>
          <w:highlight w:val="none"/>
          <w:u w:val="single"/>
        </w:rPr>
      </w:pPr>
      <w:r>
        <w:rPr>
          <w:rFonts w:hint="eastAsia"/>
          <w:spacing w:val="19"/>
          <w:highlight w:val="none"/>
        </w:rPr>
        <w:t>本公司（联合体）郑重声明，根据《政府采购促进中小企业发展管理办法》（财库﹝2020﹞46 号）的规定，本公司（联合体）参加</w:t>
      </w:r>
      <w:r>
        <w:rPr>
          <w:rFonts w:hint="eastAsia"/>
          <w:spacing w:val="19"/>
          <w:highlight w:val="none"/>
          <w:u w:val="single"/>
        </w:rPr>
        <w:t>（采购人单位名称）</w:t>
      </w:r>
      <w:r>
        <w:rPr>
          <w:rFonts w:hint="eastAsia"/>
          <w:spacing w:val="19"/>
          <w:highlight w:val="none"/>
        </w:rPr>
        <w:t>的</w:t>
      </w:r>
      <w:r>
        <w:rPr>
          <w:rFonts w:hint="eastAsia"/>
          <w:spacing w:val="19"/>
          <w:highlight w:val="none"/>
          <w:u w:val="single"/>
        </w:rPr>
        <w:t>（本项目名称）</w:t>
      </w:r>
    </w:p>
    <w:p>
      <w:pPr>
        <w:pStyle w:val="8"/>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spacing w:val="19"/>
          <w:highlight w:val="none"/>
        </w:rPr>
      </w:pPr>
      <w:r>
        <w:rPr>
          <w:rFonts w:hint="eastAsia"/>
          <w:spacing w:val="19"/>
          <w:highlight w:val="none"/>
        </w:rPr>
        <w:t>采购活动，服务全部由符合政策要求的中小企业承接。相关企业（含联合体中的中小企业、签订分包意向协议的中小企业）的具体情况如下：</w:t>
      </w: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firstLine="556" w:firstLineChars="200"/>
        <w:textAlignment w:val="auto"/>
        <w:rPr>
          <w:rFonts w:hint="eastAsia"/>
          <w:spacing w:val="19"/>
          <w:highlight w:val="none"/>
        </w:rPr>
      </w:pPr>
      <w:r>
        <w:rPr>
          <w:rFonts w:hint="eastAsia"/>
          <w:spacing w:val="19"/>
          <w:highlight w:val="none"/>
          <w:lang w:val="en-US" w:eastAsia="zh-CN"/>
        </w:rPr>
        <w:t>1.</w:t>
      </w:r>
      <w:r>
        <w:rPr>
          <w:rFonts w:hint="eastAsia"/>
          <w:spacing w:val="19"/>
          <w:highlight w:val="none"/>
        </w:rPr>
        <w:t xml:space="preserve"> </w:t>
      </w:r>
      <w:r>
        <w:rPr>
          <w:rFonts w:hint="eastAsia"/>
          <w:spacing w:val="19"/>
          <w:highlight w:val="none"/>
          <w:u w:val="single"/>
          <w:lang w:eastAsia="zh-CN"/>
        </w:rPr>
        <w:t>温岭市滨海镇环卫保洁及垃圾清运项目</w:t>
      </w:r>
      <w:r>
        <w:rPr>
          <w:rFonts w:hint="eastAsia"/>
          <w:spacing w:val="19"/>
          <w:highlight w:val="none"/>
        </w:rPr>
        <w:t>，属于</w:t>
      </w:r>
      <w:r>
        <w:rPr>
          <w:rFonts w:hint="eastAsia"/>
          <w:spacing w:val="19"/>
          <w:highlight w:val="none"/>
          <w:u w:val="single"/>
        </w:rPr>
        <w:t>采购文件中明确的行业：其他未列明行业</w:t>
      </w:r>
      <w:r>
        <w:rPr>
          <w:rFonts w:hint="eastAsia"/>
          <w:spacing w:val="19"/>
          <w:highlight w:val="none"/>
        </w:rPr>
        <w:t>；承建（承接）企业为</w:t>
      </w:r>
      <w:r>
        <w:rPr>
          <w:rFonts w:hint="eastAsia"/>
          <w:spacing w:val="19"/>
          <w:highlight w:val="none"/>
          <w:u w:val="single"/>
        </w:rPr>
        <w:t xml:space="preserve"> </w:t>
      </w:r>
      <w:r>
        <w:rPr>
          <w:rFonts w:hint="eastAsia"/>
          <w:spacing w:val="19"/>
          <w:highlight w:val="none"/>
          <w:u w:val="single"/>
          <w:lang w:val="en-US" w:eastAsia="zh-CN"/>
        </w:rPr>
        <w:t xml:space="preserve">  </w:t>
      </w:r>
      <w:r>
        <w:rPr>
          <w:rFonts w:hint="eastAsia"/>
          <w:spacing w:val="19"/>
          <w:highlight w:val="none"/>
          <w:u w:val="single"/>
        </w:rPr>
        <w:t>（企业名称）</w:t>
      </w:r>
      <w:r>
        <w:rPr>
          <w:rFonts w:hint="eastAsia"/>
          <w:spacing w:val="19"/>
          <w:highlight w:val="none"/>
        </w:rPr>
        <w:t>，从业人员</w:t>
      </w:r>
      <w:r>
        <w:rPr>
          <w:rFonts w:hint="eastAsia"/>
          <w:spacing w:val="19"/>
          <w:highlight w:val="none"/>
          <w:u w:val="single"/>
        </w:rPr>
        <w:t xml:space="preserve"> </w:t>
      </w:r>
      <w:r>
        <w:rPr>
          <w:rFonts w:hint="eastAsia"/>
          <w:spacing w:val="19"/>
          <w:highlight w:val="none"/>
          <w:u w:val="single"/>
          <w:lang w:val="en-US" w:eastAsia="zh-CN"/>
        </w:rPr>
        <w:t xml:space="preserve">  </w:t>
      </w:r>
      <w:r>
        <w:rPr>
          <w:rFonts w:hint="eastAsia"/>
          <w:spacing w:val="19"/>
          <w:highlight w:val="none"/>
        </w:rPr>
        <w:t>人，营业收入为</w:t>
      </w:r>
      <w:r>
        <w:rPr>
          <w:rFonts w:hint="eastAsia"/>
          <w:spacing w:val="19"/>
          <w:highlight w:val="none"/>
          <w:u w:val="single"/>
          <w:lang w:val="en-US" w:eastAsia="zh-CN"/>
        </w:rPr>
        <w:t xml:space="preserve">  </w:t>
      </w:r>
      <w:r>
        <w:rPr>
          <w:rFonts w:hint="eastAsia"/>
          <w:spacing w:val="19"/>
          <w:highlight w:val="none"/>
          <w:u w:val="single"/>
        </w:rPr>
        <w:t xml:space="preserve"> </w:t>
      </w:r>
      <w:r>
        <w:rPr>
          <w:rFonts w:hint="eastAsia"/>
          <w:spacing w:val="19"/>
          <w:highlight w:val="none"/>
        </w:rPr>
        <w:t>万元，资产总额为</w:t>
      </w:r>
      <w:r>
        <w:rPr>
          <w:rFonts w:hint="eastAsia"/>
          <w:spacing w:val="19"/>
          <w:highlight w:val="none"/>
          <w:u w:val="single"/>
        </w:rPr>
        <w:t xml:space="preserve"> </w:t>
      </w:r>
      <w:r>
        <w:rPr>
          <w:rFonts w:hint="eastAsia"/>
          <w:spacing w:val="19"/>
          <w:highlight w:val="none"/>
          <w:u w:val="single"/>
          <w:lang w:val="en-US" w:eastAsia="zh-CN"/>
        </w:rPr>
        <w:t xml:space="preserve">   </w:t>
      </w:r>
      <w:r>
        <w:rPr>
          <w:rFonts w:hint="eastAsia"/>
          <w:spacing w:val="19"/>
          <w:highlight w:val="none"/>
        </w:rPr>
        <w:t>万元，属于</w:t>
      </w:r>
      <w:r>
        <w:rPr>
          <w:rFonts w:hint="eastAsia"/>
          <w:spacing w:val="19"/>
          <w:highlight w:val="none"/>
          <w:u w:val="single"/>
        </w:rPr>
        <w:t xml:space="preserve"> </w:t>
      </w:r>
      <w:r>
        <w:rPr>
          <w:rFonts w:hint="eastAsia"/>
          <w:spacing w:val="19"/>
          <w:highlight w:val="none"/>
          <w:u w:val="single"/>
          <w:lang w:val="en-US" w:eastAsia="zh-CN"/>
        </w:rPr>
        <w:t xml:space="preserve">    </w:t>
      </w:r>
      <w:r>
        <w:rPr>
          <w:rFonts w:hint="eastAsia"/>
          <w:spacing w:val="19"/>
          <w:highlight w:val="none"/>
          <w:u w:val="single"/>
        </w:rPr>
        <w:t>（中型企业、小型企业、微型企业）</w:t>
      </w:r>
      <w:r>
        <w:rPr>
          <w:rFonts w:hint="eastAsia"/>
          <w:spacing w:val="19"/>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400" w:lineRule="exact"/>
        <w:ind w:left="0" w:firstLine="556" w:firstLineChars="200"/>
        <w:textAlignment w:val="auto"/>
        <w:rPr>
          <w:rFonts w:hint="eastAsia"/>
          <w:spacing w:val="19"/>
          <w:highlight w:val="none"/>
        </w:rPr>
      </w:pPr>
      <w:r>
        <w:rPr>
          <w:rFonts w:hint="eastAsia"/>
          <w:spacing w:val="19"/>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firstLine="556" w:firstLineChars="200"/>
        <w:textAlignment w:val="auto"/>
        <w:rPr>
          <w:rFonts w:hint="eastAsia"/>
          <w:spacing w:val="19"/>
          <w:highlight w:val="none"/>
        </w:rPr>
      </w:pPr>
      <w:r>
        <w:rPr>
          <w:rFonts w:hint="eastAsia"/>
          <w:spacing w:val="19"/>
          <w:highlight w:val="none"/>
        </w:rPr>
        <w:t>以上企业，不属于大企业的分支机构，不存在控股股东为大企业的情形，也不存在与大企业的负责人为同一人的情形。</w:t>
      </w: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firstLine="556" w:firstLineChars="200"/>
        <w:textAlignment w:val="auto"/>
        <w:rPr>
          <w:rFonts w:hint="eastAsia"/>
          <w:spacing w:val="19"/>
          <w:highlight w:val="none"/>
        </w:rPr>
      </w:pPr>
      <w:r>
        <w:rPr>
          <w:rFonts w:hint="eastAsia"/>
          <w:spacing w:val="19"/>
          <w:highlight w:val="none"/>
        </w:rPr>
        <w:t>本企业对上述声明内容的真实性负责。如有虚假，将依法承担相应责任。</w:t>
      </w:r>
    </w:p>
    <w:p>
      <w:pPr>
        <w:pStyle w:val="8"/>
        <w:keepNext w:val="0"/>
        <w:keepLines w:val="0"/>
        <w:pageBreakBefore w:val="0"/>
        <w:widowControl w:val="0"/>
        <w:kinsoku/>
        <w:wordWrap/>
        <w:overflowPunct/>
        <w:topLinePunct w:val="0"/>
        <w:autoSpaceDE w:val="0"/>
        <w:autoSpaceDN w:val="0"/>
        <w:bidi w:val="0"/>
        <w:adjustRightInd/>
        <w:snapToGrid/>
        <w:spacing w:line="306" w:lineRule="exact"/>
        <w:ind w:left="0" w:firstLine="480" w:firstLineChars="200"/>
        <w:textAlignment w:val="auto"/>
        <w:rPr>
          <w:highlight w:val="none"/>
        </w:rPr>
      </w:pPr>
    </w:p>
    <w:p>
      <w:pPr>
        <w:pStyle w:val="8"/>
        <w:keepNext w:val="0"/>
        <w:keepLines w:val="0"/>
        <w:pageBreakBefore w:val="0"/>
        <w:widowControl w:val="0"/>
        <w:kinsoku/>
        <w:wordWrap/>
        <w:overflowPunct/>
        <w:topLinePunct w:val="0"/>
        <w:autoSpaceDE w:val="0"/>
        <w:autoSpaceDN w:val="0"/>
        <w:bidi w:val="0"/>
        <w:adjustRightInd/>
        <w:snapToGrid/>
        <w:ind w:left="0" w:firstLine="480" w:firstLineChars="200"/>
        <w:textAlignment w:val="auto"/>
        <w:rPr>
          <w:highlight w:val="none"/>
        </w:rPr>
      </w:pPr>
    </w:p>
    <w:p>
      <w:pPr>
        <w:pStyle w:val="8"/>
        <w:spacing w:before="9"/>
        <w:rPr>
          <w:sz w:val="20"/>
          <w:highlight w:val="none"/>
        </w:rPr>
      </w:pPr>
    </w:p>
    <w:p>
      <w:pPr>
        <w:pStyle w:val="8"/>
        <w:ind w:right="2815"/>
        <w:jc w:val="right"/>
        <w:rPr>
          <w:highlight w:val="none"/>
        </w:rPr>
      </w:pPr>
      <w:r>
        <w:rPr>
          <w:highlight w:val="none"/>
        </w:rPr>
        <w:t>投标人名称（盖公章）：</w:t>
      </w:r>
    </w:p>
    <w:p>
      <w:pPr>
        <w:pStyle w:val="8"/>
        <w:spacing w:before="187"/>
        <w:ind w:right="2882"/>
        <w:jc w:val="right"/>
        <w:rPr>
          <w:highlight w:val="none"/>
        </w:rPr>
      </w:pPr>
      <w:r>
        <w:rPr>
          <w:highlight w:val="none"/>
        </w:rPr>
        <w:t>日期：</w:t>
      </w:r>
    </w:p>
    <w:p>
      <w:pPr>
        <w:jc w:val="right"/>
        <w:rPr>
          <w:highlight w:val="none"/>
        </w:rPr>
      </w:pP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firstLine="556" w:firstLineChars="200"/>
        <w:textAlignment w:val="auto"/>
        <w:rPr>
          <w:rFonts w:hint="eastAsia" w:ascii="宋体" w:hAnsi="宋体" w:eastAsia="宋体" w:cs="宋体"/>
          <w:spacing w:val="19"/>
          <w:highlight w:val="none"/>
        </w:rPr>
      </w:pP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firstLine="556" w:firstLineChars="200"/>
        <w:textAlignment w:val="auto"/>
        <w:rPr>
          <w:rFonts w:hint="eastAsia" w:ascii="宋体" w:hAnsi="宋体" w:eastAsia="宋体" w:cs="宋体"/>
          <w:spacing w:val="19"/>
          <w:highlight w:val="none"/>
        </w:rPr>
      </w:pPr>
      <w:r>
        <w:rPr>
          <w:rFonts w:hint="eastAsia" w:ascii="宋体" w:hAnsi="宋体" w:eastAsia="宋体" w:cs="宋体"/>
          <w:spacing w:val="19"/>
          <w:highlight w:val="none"/>
        </w:rPr>
        <w:t>备注：从业人员、营业收入、资产总额填报上一年度数据，无上一年度数据的新成立企业可不填报。</w:t>
      </w:r>
    </w:p>
    <w:p>
      <w:pPr>
        <w:pStyle w:val="8"/>
        <w:keepNext w:val="0"/>
        <w:keepLines w:val="0"/>
        <w:pageBreakBefore w:val="0"/>
        <w:widowControl w:val="0"/>
        <w:kinsoku/>
        <w:wordWrap/>
        <w:overflowPunct/>
        <w:topLinePunct w:val="0"/>
        <w:autoSpaceDE w:val="0"/>
        <w:autoSpaceDN w:val="0"/>
        <w:bidi w:val="0"/>
        <w:adjustRightInd/>
        <w:snapToGrid/>
        <w:spacing w:line="500" w:lineRule="exact"/>
        <w:ind w:left="0" w:firstLine="556" w:firstLineChars="200"/>
        <w:textAlignment w:val="auto"/>
        <w:rPr>
          <w:rFonts w:hint="eastAsia" w:ascii="宋体" w:hAnsi="宋体" w:eastAsia="宋体" w:cs="宋体"/>
          <w:spacing w:val="19"/>
          <w:highlight w:val="none"/>
        </w:rPr>
        <w:sectPr>
          <w:type w:val="continuous"/>
          <w:pgSz w:w="11910" w:h="16840"/>
          <w:pgMar w:top="1600" w:right="820" w:bottom="280" w:left="580"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spacing w:val="19"/>
          <w:highlight w:val="none"/>
        </w:rPr>
        <w:t>投标人所属行业本采购文件明确可自行填写或从本项目附件中关于中小企业划型标准规定中选择填写。</w:t>
      </w:r>
    </w:p>
    <w:p>
      <w:pPr>
        <w:pStyle w:val="6"/>
        <w:spacing w:before="38"/>
        <w:rPr>
          <w:rFonts w:hint="eastAsia" w:eastAsia="宋体"/>
          <w:lang w:eastAsia="zh-CN"/>
        </w:rPr>
      </w:pPr>
      <w:r>
        <w:t>附件 1</w:t>
      </w:r>
      <w:r>
        <w:rPr>
          <w:rFonts w:hint="eastAsia"/>
          <w:lang w:val="en-US" w:eastAsia="zh-CN"/>
        </w:rPr>
        <w:t>3</w:t>
      </w:r>
    </w:p>
    <w:p>
      <w:pPr>
        <w:pStyle w:val="8"/>
        <w:spacing w:before="6"/>
        <w:rPr>
          <w:b/>
          <w:sz w:val="34"/>
        </w:rPr>
      </w:pPr>
      <w:r>
        <w:br w:type="column"/>
      </w:r>
    </w:p>
    <w:p>
      <w:pPr>
        <w:spacing w:before="1"/>
        <w:ind w:left="552" w:right="0" w:firstLine="0"/>
        <w:jc w:val="left"/>
        <w:rPr>
          <w:b/>
          <w:sz w:val="32"/>
        </w:rPr>
      </w:pPr>
      <w:r>
        <w:rPr>
          <w:b/>
          <w:sz w:val="32"/>
        </w:rPr>
        <w:t>残疾人福利性单位声明函</w:t>
      </w:r>
    </w:p>
    <w:p>
      <w:pPr>
        <w:spacing w:after="0"/>
        <w:jc w:val="left"/>
        <w:rPr>
          <w:sz w:val="32"/>
        </w:rPr>
        <w:sectPr>
          <w:headerReference r:id="rId36" w:type="default"/>
          <w:footerReference r:id="rId37" w:type="default"/>
          <w:pgSz w:w="11910" w:h="16840"/>
          <w:pgMar w:top="1420" w:right="820" w:bottom="980" w:left="580" w:header="0" w:footer="786" w:gutter="0"/>
          <w:pgBorders>
            <w:top w:val="none" w:sz="0" w:space="0"/>
            <w:left w:val="none" w:sz="0" w:space="0"/>
            <w:bottom w:val="none" w:sz="0" w:space="0"/>
            <w:right w:val="none" w:sz="0" w:space="0"/>
          </w:pgBorders>
          <w:pgNumType w:start="50"/>
          <w:cols w:equalWidth="0" w:num="2">
            <w:col w:w="1576" w:space="1253"/>
            <w:col w:w="7681"/>
          </w:cols>
        </w:sectPr>
      </w:pPr>
    </w:p>
    <w:p>
      <w:pPr>
        <w:pStyle w:val="8"/>
        <w:spacing w:before="135" w:line="321" w:lineRule="auto"/>
        <w:ind w:left="552" w:right="316" w:firstLine="504"/>
        <w:jc w:val="both"/>
      </w:pPr>
      <w:r>
        <w:t>本单位郑重声明，根据《财政部 民政部 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8"/>
        <w:spacing w:before="119"/>
        <w:ind w:left="1056"/>
      </w:pPr>
      <w:r>
        <w:t>本单位对上述声明的真实性负责。如有虚假，将依法承担相应责任。</w:t>
      </w:r>
    </w:p>
    <w:p>
      <w:pPr>
        <w:pStyle w:val="8"/>
      </w:pPr>
    </w:p>
    <w:p>
      <w:pPr>
        <w:pStyle w:val="8"/>
        <w:spacing w:before="6"/>
        <w:rPr>
          <w:sz w:val="18"/>
        </w:rPr>
      </w:pPr>
    </w:p>
    <w:p>
      <w:pPr>
        <w:pStyle w:val="8"/>
        <w:spacing w:before="1"/>
        <w:ind w:right="3487"/>
        <w:jc w:val="right"/>
      </w:pPr>
      <w:r>
        <w:t>投标人名称（盖公章）：</w:t>
      </w:r>
    </w:p>
    <w:p>
      <w:pPr>
        <w:pStyle w:val="8"/>
        <w:tabs>
          <w:tab w:val="left" w:pos="515"/>
        </w:tabs>
        <w:spacing w:before="148"/>
        <w:ind w:right="3441"/>
        <w:jc w:val="right"/>
      </w:pPr>
      <w:r>
        <w:t>日</w:t>
      </w:r>
      <w:r>
        <w:tab/>
      </w:r>
      <w:r>
        <w:rPr>
          <w:spacing w:val="12"/>
        </w:rPr>
        <w:t>期</w:t>
      </w:r>
      <w:r>
        <w:t>：</w:t>
      </w:r>
    </w:p>
    <w:p>
      <w:pPr>
        <w:spacing w:after="0"/>
        <w:jc w:val="right"/>
        <w:sectPr>
          <w:type w:val="continuous"/>
          <w:pgSz w:w="11910" w:h="16840"/>
          <w:pgMar w:top="1600" w:right="820" w:bottom="280" w:left="580" w:header="720" w:footer="720" w:gutter="0"/>
          <w:pgBorders>
            <w:top w:val="none" w:sz="0" w:space="0"/>
            <w:left w:val="none" w:sz="0" w:space="0"/>
            <w:bottom w:val="none" w:sz="0" w:space="0"/>
            <w:right w:val="none" w:sz="0" w:space="0"/>
          </w:pgBorders>
          <w:cols w:space="720" w:num="1"/>
        </w:sectPr>
      </w:pPr>
    </w:p>
    <w:p>
      <w:pPr>
        <w:pStyle w:val="8"/>
        <w:spacing w:before="5"/>
        <w:rPr>
          <w:sz w:val="17"/>
        </w:rPr>
      </w:pPr>
    </w:p>
    <w:p>
      <w:pPr>
        <w:pStyle w:val="6"/>
        <w:spacing w:before="62"/>
        <w:jc w:val="both"/>
        <w:rPr>
          <w:rFonts w:hint="eastAsia" w:eastAsia="宋体"/>
          <w:lang w:eastAsia="zh-CN"/>
        </w:rPr>
      </w:pPr>
      <w:r>
        <w:t>附件 1</w:t>
      </w:r>
      <w:r>
        <w:rPr>
          <w:rFonts w:hint="eastAsia"/>
          <w:lang w:val="en-US" w:eastAsia="zh-CN"/>
        </w:rPr>
        <w:t>4</w:t>
      </w:r>
    </w:p>
    <w:p>
      <w:pPr>
        <w:spacing w:before="193" w:line="422" w:lineRule="auto"/>
        <w:ind w:left="552" w:right="302" w:firstLine="559"/>
        <w:jc w:val="both"/>
        <w:rPr>
          <w:b/>
          <w:sz w:val="28"/>
        </w:rPr>
      </w:pPr>
      <w:r>
        <w:rPr>
          <w:b/>
          <w:sz w:val="28"/>
        </w:rPr>
        <w:t>说明：为确保采购项目顺利进行，已领取招标文件的供应商决定不参加本</w:t>
      </w:r>
      <w:r>
        <w:rPr>
          <w:b/>
          <w:spacing w:val="-2"/>
          <w:sz w:val="28"/>
        </w:rPr>
        <w:t xml:space="preserve">项目投标时，请于投标截止时间至少 </w:t>
      </w:r>
      <w:r>
        <w:rPr>
          <w:b/>
          <w:sz w:val="28"/>
        </w:rPr>
        <w:t>1</w:t>
      </w:r>
      <w:r>
        <w:rPr>
          <w:b/>
          <w:spacing w:val="-6"/>
          <w:sz w:val="28"/>
        </w:rPr>
        <w:t xml:space="preserve"> 个工作日前与我们书面确认</w:t>
      </w:r>
      <w:r>
        <w:rPr>
          <w:b/>
          <w:sz w:val="28"/>
        </w:rPr>
        <w:t>（确认函格</w:t>
      </w:r>
      <w:r>
        <w:rPr>
          <w:b/>
          <w:spacing w:val="1"/>
          <w:sz w:val="28"/>
        </w:rPr>
        <w:t>式如下</w:t>
      </w:r>
      <w:r>
        <w:rPr>
          <w:b/>
          <w:spacing w:val="3"/>
          <w:sz w:val="28"/>
        </w:rPr>
        <w:t>）</w:t>
      </w:r>
      <w:r>
        <w:rPr>
          <w:b/>
          <w:sz w:val="28"/>
        </w:rPr>
        <w:t>，可将填写完整的确认函加盖公章后发送至</w:t>
      </w:r>
      <w:r>
        <w:rPr>
          <w:rFonts w:hint="eastAsia"/>
          <w:b/>
          <w:sz w:val="28"/>
          <w:lang w:eastAsia="zh-CN"/>
        </w:rPr>
        <w:t>浙江科信联合工程项目管理咨询有限公司</w:t>
      </w:r>
      <w:r>
        <w:rPr>
          <w:b/>
          <w:spacing w:val="-14"/>
          <w:sz w:val="28"/>
        </w:rPr>
        <w:t xml:space="preserve"> </w:t>
      </w:r>
      <w:r>
        <w:rPr>
          <w:b/>
          <w:sz w:val="28"/>
        </w:rPr>
        <w:t>QQ</w:t>
      </w:r>
      <w:r>
        <w:rPr>
          <w:b/>
          <w:spacing w:val="-16"/>
          <w:sz w:val="28"/>
        </w:rPr>
        <w:t xml:space="preserve"> 邮箱：</w:t>
      </w:r>
      <w:r>
        <w:fldChar w:fldCharType="begin"/>
      </w:r>
      <w:r>
        <w:instrText xml:space="preserve"> HYPERLINK "mailto:532194026@qq.com" \h </w:instrText>
      </w:r>
      <w:r>
        <w:fldChar w:fldCharType="separate"/>
      </w:r>
      <w:r>
        <w:rPr>
          <w:rFonts w:hint="eastAsia"/>
          <w:b/>
          <w:sz w:val="28"/>
          <w:u w:val="single"/>
          <w:lang w:eastAsia="zh-CN"/>
        </w:rPr>
        <w:t>1191354184</w:t>
      </w:r>
      <w:r>
        <w:rPr>
          <w:b/>
          <w:sz w:val="28"/>
          <w:u w:val="single"/>
        </w:rPr>
        <w:t>@qq.com</w:t>
      </w:r>
      <w:r>
        <w:rPr>
          <w:b/>
          <w:sz w:val="28"/>
          <w:u w:val="single"/>
        </w:rPr>
        <w:fldChar w:fldCharType="end"/>
      </w:r>
      <w:r>
        <w:rPr>
          <w:b/>
          <w:spacing w:val="13"/>
          <w:sz w:val="28"/>
        </w:rPr>
        <w:t>。 谢谢配合！</w:t>
      </w:r>
    </w:p>
    <w:p>
      <w:pPr>
        <w:pStyle w:val="8"/>
        <w:spacing w:before="12"/>
        <w:rPr>
          <w:b/>
          <w:sz w:val="31"/>
        </w:rPr>
      </w:pPr>
    </w:p>
    <w:p>
      <w:pPr>
        <w:spacing w:before="0"/>
        <w:ind w:left="2819" w:right="2581" w:firstLine="0"/>
        <w:jc w:val="center"/>
        <w:rPr>
          <w:sz w:val="36"/>
        </w:rPr>
      </w:pPr>
      <w:r>
        <w:rPr>
          <w:sz w:val="36"/>
        </w:rPr>
        <w:t>确认函</w:t>
      </w:r>
    </w:p>
    <w:p>
      <w:pPr>
        <w:pStyle w:val="8"/>
        <w:rPr>
          <w:sz w:val="36"/>
        </w:rPr>
      </w:pPr>
    </w:p>
    <w:p>
      <w:pPr>
        <w:pStyle w:val="8"/>
        <w:rPr>
          <w:sz w:val="36"/>
        </w:rPr>
      </w:pPr>
    </w:p>
    <w:p>
      <w:pPr>
        <w:pStyle w:val="8"/>
        <w:rPr>
          <w:sz w:val="36"/>
        </w:rPr>
      </w:pPr>
    </w:p>
    <w:p>
      <w:pPr>
        <w:spacing w:before="256"/>
        <w:ind w:left="552" w:right="0" w:firstLine="0"/>
        <w:jc w:val="left"/>
        <w:rPr>
          <w:sz w:val="28"/>
        </w:rPr>
      </w:pPr>
      <w:r>
        <w:rPr>
          <w:rFonts w:hint="eastAsia"/>
          <w:b/>
          <w:sz w:val="28"/>
          <w:lang w:eastAsia="zh-CN"/>
        </w:rPr>
        <w:t>浙江科信联合工程项目管理咨询有限公司</w:t>
      </w:r>
      <w:r>
        <w:rPr>
          <w:sz w:val="28"/>
        </w:rPr>
        <w:t>：</w:t>
      </w:r>
    </w:p>
    <w:p>
      <w:pPr>
        <w:pStyle w:val="8"/>
        <w:spacing w:before="3"/>
        <w:rPr>
          <w:sz w:val="39"/>
        </w:rPr>
      </w:pPr>
    </w:p>
    <w:p>
      <w:pPr>
        <w:spacing w:before="0" w:line="614" w:lineRule="auto"/>
        <w:ind w:left="552" w:right="307" w:firstLine="967"/>
        <w:jc w:val="left"/>
        <w:rPr>
          <w:sz w:val="28"/>
        </w:rPr>
      </w:pPr>
      <w:r>
        <w:rPr>
          <w:sz w:val="28"/>
        </w:rPr>
        <w:t>我公司因原因，对于已报名的项目（项目编号），现决定自愿放弃参加投标活动。特发函向贵公司确认。</w:t>
      </w:r>
    </w:p>
    <w:p>
      <w:pPr>
        <w:pStyle w:val="8"/>
        <w:rPr>
          <w:sz w:val="28"/>
        </w:rPr>
      </w:pPr>
    </w:p>
    <w:p>
      <w:pPr>
        <w:pStyle w:val="8"/>
        <w:rPr>
          <w:sz w:val="28"/>
        </w:rPr>
      </w:pPr>
    </w:p>
    <w:p>
      <w:pPr>
        <w:pStyle w:val="8"/>
        <w:rPr>
          <w:sz w:val="28"/>
        </w:rPr>
      </w:pPr>
    </w:p>
    <w:p>
      <w:pPr>
        <w:pStyle w:val="8"/>
        <w:rPr>
          <w:sz w:val="28"/>
        </w:rPr>
      </w:pPr>
    </w:p>
    <w:p>
      <w:pPr>
        <w:pStyle w:val="8"/>
        <w:spacing w:before="2"/>
        <w:rPr>
          <w:sz w:val="20"/>
        </w:rPr>
      </w:pPr>
    </w:p>
    <w:p>
      <w:pPr>
        <w:spacing w:before="0" w:line="362" w:lineRule="auto"/>
        <w:ind w:left="8312" w:right="260" w:hanging="615"/>
        <w:jc w:val="left"/>
        <w:rPr>
          <w:sz w:val="28"/>
        </w:rPr>
      </w:pPr>
      <w:r>
        <w:rPr>
          <w:sz w:val="28"/>
        </w:rPr>
        <w:t>企业名称（盖章）： 日期：</w:t>
      </w:r>
    </w:p>
    <w:p>
      <w:pPr>
        <w:spacing w:after="0" w:line="362" w:lineRule="auto"/>
        <w:jc w:val="left"/>
        <w:rPr>
          <w:sz w:val="28"/>
        </w:rPr>
        <w:sectPr>
          <w:headerReference r:id="rId38" w:type="default"/>
          <w:pgSz w:w="11910" w:h="16840"/>
          <w:pgMar w:top="900" w:right="820" w:bottom="980" w:left="580" w:header="652" w:footer="786" w:gutter="0"/>
          <w:pgBorders>
            <w:top w:val="none" w:sz="0" w:space="0"/>
            <w:left w:val="none" w:sz="0" w:space="0"/>
            <w:bottom w:val="none" w:sz="0" w:space="0"/>
            <w:right w:val="none" w:sz="0" w:space="0"/>
          </w:pgBorders>
          <w:cols w:space="720" w:num="1"/>
        </w:sectPr>
      </w:pPr>
    </w:p>
    <w:p>
      <w:pPr>
        <w:pStyle w:val="8"/>
        <w:rPr>
          <w:sz w:val="20"/>
        </w:rPr>
      </w:pPr>
    </w:p>
    <w:p>
      <w:pPr>
        <w:pStyle w:val="8"/>
        <w:spacing w:before="11"/>
        <w:rPr>
          <w:sz w:val="28"/>
        </w:rPr>
      </w:pPr>
    </w:p>
    <w:p>
      <w:pPr>
        <w:spacing w:after="0"/>
        <w:rPr>
          <w:sz w:val="28"/>
        </w:rPr>
        <w:sectPr>
          <w:pgSz w:w="11910" w:h="16840"/>
          <w:pgMar w:top="900" w:right="820" w:bottom="980" w:left="580" w:header="652" w:footer="786" w:gutter="0"/>
          <w:pgBorders>
            <w:top w:val="none" w:sz="0" w:space="0"/>
            <w:left w:val="none" w:sz="0" w:space="0"/>
            <w:bottom w:val="none" w:sz="0" w:space="0"/>
            <w:right w:val="none" w:sz="0" w:space="0"/>
          </w:pgBorders>
          <w:cols w:space="720" w:num="1"/>
        </w:sectPr>
      </w:pPr>
    </w:p>
    <w:p>
      <w:pPr>
        <w:spacing w:before="62"/>
        <w:ind w:left="552" w:right="0" w:firstLine="0"/>
        <w:jc w:val="left"/>
        <w:rPr>
          <w:rFonts w:hint="eastAsia" w:eastAsia="宋体"/>
          <w:b/>
          <w:sz w:val="28"/>
          <w:lang w:eastAsia="zh-CN"/>
        </w:rPr>
      </w:pPr>
      <w:r>
        <w:rPr>
          <w:b/>
          <w:sz w:val="28"/>
        </w:rPr>
        <w:t>附件 1</w:t>
      </w:r>
      <w:r>
        <w:rPr>
          <w:rFonts w:hint="eastAsia"/>
          <w:b/>
          <w:sz w:val="28"/>
          <w:lang w:val="en-US" w:eastAsia="zh-CN"/>
        </w:rPr>
        <w:t>5</w:t>
      </w:r>
    </w:p>
    <w:p>
      <w:pPr>
        <w:pStyle w:val="8"/>
        <w:spacing w:before="1"/>
        <w:rPr>
          <w:b/>
          <w:sz w:val="35"/>
        </w:rPr>
      </w:pPr>
      <w:r>
        <w:br w:type="column"/>
      </w:r>
    </w:p>
    <w:p>
      <w:pPr>
        <w:spacing w:before="0"/>
        <w:ind w:left="552" w:right="0" w:firstLine="0"/>
        <w:jc w:val="left"/>
        <w:rPr>
          <w:sz w:val="36"/>
        </w:rPr>
      </w:pPr>
      <w:r>
        <w:rPr>
          <w:sz w:val="36"/>
        </w:rPr>
        <w:t>政府采购活动现场确认声明书</w:t>
      </w:r>
    </w:p>
    <w:p>
      <w:pPr>
        <w:spacing w:after="0"/>
        <w:jc w:val="left"/>
        <w:rPr>
          <w:sz w:val="36"/>
        </w:rPr>
        <w:sectPr>
          <w:type w:val="continuous"/>
          <w:pgSz w:w="11910" w:h="16840"/>
          <w:pgMar w:top="1600" w:right="820" w:bottom="280" w:left="580" w:header="720" w:footer="720" w:gutter="0"/>
          <w:pgBorders>
            <w:top w:val="none" w:sz="0" w:space="0"/>
            <w:left w:val="none" w:sz="0" w:space="0"/>
            <w:bottom w:val="none" w:sz="0" w:space="0"/>
            <w:right w:val="none" w:sz="0" w:space="0"/>
          </w:pgBorders>
          <w:cols w:equalWidth="0" w:num="2">
            <w:col w:w="1576" w:space="946"/>
            <w:col w:w="7988"/>
          </w:cols>
        </w:sectPr>
      </w:pPr>
    </w:p>
    <w:p>
      <w:pPr>
        <w:pStyle w:val="8"/>
        <w:spacing w:before="72"/>
        <w:ind w:left="694"/>
      </w:pPr>
      <w:r>
        <w:rPr>
          <w:rFonts w:hint="eastAsia"/>
          <w:u w:val="single"/>
          <w:lang w:eastAsia="zh-CN"/>
        </w:rPr>
        <w:t>浙江科信联合工程项目管理咨询有限公司</w:t>
      </w:r>
      <w:r>
        <w:rPr>
          <w:u w:val="single"/>
        </w:rPr>
        <w:t xml:space="preserve"> </w:t>
      </w:r>
      <w:r>
        <w:t>（采购组织机构名称）：</w:t>
      </w:r>
    </w:p>
    <w:p>
      <w:pPr>
        <w:pStyle w:val="8"/>
      </w:pPr>
    </w:p>
    <w:p>
      <w:pPr>
        <w:pStyle w:val="8"/>
        <w:spacing w:before="2"/>
        <w:rPr>
          <w:sz w:val="20"/>
        </w:rPr>
      </w:pPr>
    </w:p>
    <w:p>
      <w:pPr>
        <w:pStyle w:val="8"/>
        <w:tabs>
          <w:tab w:val="left" w:pos="5067"/>
          <w:tab w:val="left" w:pos="5619"/>
          <w:tab w:val="left" w:pos="8719"/>
          <w:tab w:val="left" w:pos="8832"/>
          <w:tab w:val="left" w:pos="8945"/>
        </w:tabs>
        <w:spacing w:line="379" w:lineRule="auto"/>
        <w:ind w:left="552" w:right="302" w:firstLine="504"/>
        <w:jc w:val="both"/>
      </w:pPr>
      <w:r>
        <w:rPr>
          <w:spacing w:val="12"/>
        </w:rPr>
        <w:t>本人经</w:t>
      </w:r>
      <w:r>
        <w:rPr>
          <w:spacing w:val="9"/>
        </w:rPr>
        <w:t>由</w:t>
      </w:r>
      <w:r>
        <w:rPr>
          <w:spacing w:val="9"/>
          <w:u w:val="single"/>
        </w:rPr>
        <w:t xml:space="preserve"> </w:t>
      </w:r>
      <w:r>
        <w:rPr>
          <w:spacing w:val="9"/>
          <w:u w:val="single"/>
        </w:rPr>
        <w:tab/>
      </w:r>
      <w:r>
        <w:rPr>
          <w:spacing w:val="9"/>
          <w:u w:val="single"/>
        </w:rPr>
        <w:tab/>
      </w:r>
      <w:r>
        <w:rPr>
          <w:spacing w:val="12"/>
          <w:u w:val="single"/>
        </w:rPr>
        <w:t>（单位</w:t>
      </w:r>
      <w:r>
        <w:rPr>
          <w:u w:val="single"/>
        </w:rPr>
        <w:t>）</w:t>
      </w:r>
      <w:r>
        <w:rPr>
          <w:spacing w:val="12"/>
        </w:rPr>
        <w:t>负责</w:t>
      </w:r>
      <w:r>
        <w:rPr>
          <w:spacing w:val="8"/>
        </w:rPr>
        <w:t>人</w:t>
      </w:r>
      <w:r>
        <w:rPr>
          <w:spacing w:val="8"/>
          <w:u w:val="single"/>
        </w:rPr>
        <w:t xml:space="preserve"> </w:t>
      </w:r>
      <w:r>
        <w:rPr>
          <w:spacing w:val="8"/>
          <w:u w:val="single"/>
        </w:rPr>
        <w:tab/>
      </w:r>
      <w:r>
        <w:rPr>
          <w:spacing w:val="8"/>
          <w:u w:val="single"/>
        </w:rPr>
        <w:tab/>
      </w:r>
      <w:r>
        <w:rPr>
          <w:spacing w:val="8"/>
          <w:u w:val="single"/>
        </w:rPr>
        <w:tab/>
      </w:r>
      <w:r>
        <w:rPr>
          <w:spacing w:val="16"/>
          <w:u w:val="single"/>
        </w:rPr>
        <w:t>（</w:t>
      </w:r>
      <w:r>
        <w:rPr>
          <w:spacing w:val="19"/>
          <w:u w:val="single"/>
        </w:rPr>
        <w:t>姓</w:t>
      </w:r>
      <w:r>
        <w:rPr>
          <w:spacing w:val="16"/>
          <w:u w:val="single"/>
        </w:rPr>
        <w:t>名</w:t>
      </w:r>
      <w:r>
        <w:rPr>
          <w:spacing w:val="7"/>
          <w:u w:val="single"/>
        </w:rPr>
        <w:t>）</w:t>
      </w:r>
      <w:r>
        <w:rPr>
          <w:spacing w:val="-15"/>
        </w:rPr>
        <w:t>合</w:t>
      </w:r>
      <w:r>
        <w:rPr>
          <w:spacing w:val="12"/>
        </w:rPr>
        <w:t>法授权参</w:t>
      </w:r>
      <w:r>
        <w:rPr>
          <w:spacing w:val="9"/>
        </w:rPr>
        <w:t>加</w:t>
      </w:r>
      <w:r>
        <w:rPr>
          <w:spacing w:val="9"/>
          <w:u w:val="single"/>
        </w:rPr>
        <w:t xml:space="preserve"> </w:t>
      </w:r>
      <w:r>
        <w:rPr>
          <w:spacing w:val="9"/>
          <w:u w:val="single"/>
        </w:rPr>
        <w:tab/>
      </w:r>
      <w:r>
        <w:rPr>
          <w:spacing w:val="12"/>
        </w:rPr>
        <w:t>项</w:t>
      </w:r>
      <w:r>
        <w:rPr>
          <w:spacing w:val="-27"/>
        </w:rPr>
        <w:t>目</w:t>
      </w:r>
      <w:r>
        <w:rPr>
          <w:spacing w:val="7"/>
        </w:rPr>
        <w:t>（</w:t>
      </w:r>
      <w:r>
        <w:rPr>
          <w:spacing w:val="12"/>
        </w:rPr>
        <w:t>项目编</w:t>
      </w:r>
      <w:r>
        <w:rPr>
          <w:spacing w:val="14"/>
        </w:rPr>
        <w:t>号</w:t>
      </w:r>
      <w:r>
        <w:rPr>
          <w:spacing w:val="-30"/>
        </w:rPr>
        <w:t>：</w:t>
      </w:r>
      <w:r>
        <w:rPr>
          <w:spacing w:val="-30"/>
          <w:u w:val="single"/>
        </w:rPr>
        <w:t xml:space="preserve"> </w:t>
      </w:r>
      <w:r>
        <w:rPr>
          <w:spacing w:val="-30"/>
          <w:u w:val="single"/>
        </w:rPr>
        <w:tab/>
      </w:r>
      <w:r>
        <w:rPr>
          <w:spacing w:val="-24"/>
        </w:rPr>
        <w:t>）</w:t>
      </w:r>
      <w:r>
        <w:rPr>
          <w:spacing w:val="16"/>
        </w:rPr>
        <w:t>政府采购</w:t>
      </w:r>
      <w:r>
        <w:rPr>
          <w:spacing w:val="-11"/>
        </w:rPr>
        <w:t>活</w:t>
      </w:r>
      <w:r>
        <w:rPr>
          <w:spacing w:val="14"/>
        </w:rPr>
        <w:t>动，</w:t>
      </w:r>
      <w:r>
        <w:rPr>
          <w:spacing w:val="12"/>
        </w:rPr>
        <w:t>经</w:t>
      </w:r>
      <w:r>
        <w:rPr>
          <w:spacing w:val="14"/>
        </w:rPr>
        <w:t>与本单位</w:t>
      </w:r>
      <w:r>
        <w:rPr>
          <w:spacing w:val="12"/>
        </w:rPr>
        <w:t>法</w:t>
      </w:r>
      <w:r>
        <w:rPr>
          <w:spacing w:val="14"/>
        </w:rPr>
        <w:t>人代表（负</w:t>
      </w:r>
      <w:r>
        <w:rPr>
          <w:spacing w:val="12"/>
        </w:rPr>
        <w:t>责</w:t>
      </w:r>
      <w:r>
        <w:rPr>
          <w:spacing w:val="14"/>
        </w:rPr>
        <w:t>人）联系</w:t>
      </w:r>
      <w:r>
        <w:rPr>
          <w:spacing w:val="12"/>
        </w:rPr>
        <w:t>确</w:t>
      </w:r>
      <w:r>
        <w:rPr>
          <w:spacing w:val="14"/>
        </w:rPr>
        <w:t>认，现就</w:t>
      </w:r>
      <w:r>
        <w:rPr>
          <w:spacing w:val="12"/>
        </w:rPr>
        <w:t>有</w:t>
      </w:r>
      <w:r>
        <w:rPr>
          <w:spacing w:val="14"/>
        </w:rPr>
        <w:t>关公平竞争</w:t>
      </w:r>
      <w:r>
        <w:rPr>
          <w:spacing w:val="12"/>
        </w:rPr>
        <w:t>事</w:t>
      </w:r>
      <w:r>
        <w:rPr>
          <w:spacing w:val="14"/>
        </w:rPr>
        <w:t>项郑重声</w:t>
      </w:r>
      <w:r>
        <w:rPr>
          <w:spacing w:val="12"/>
        </w:rPr>
        <w:t>明</w:t>
      </w:r>
      <w:r>
        <w:rPr>
          <w:spacing w:val="14"/>
        </w:rPr>
        <w:t>如下</w:t>
      </w:r>
      <w:r>
        <w:t>： 一、本单位与采购人之间</w:t>
      </w:r>
      <w:r>
        <w:rPr>
          <w:spacing w:val="-4"/>
        </w:rPr>
        <w:t xml:space="preserve"> </w:t>
      </w:r>
      <w:r>
        <w:t>□不存在利害关系 □存在下列利害关系</w:t>
      </w:r>
      <w:r>
        <w:rPr>
          <w:u w:val="single"/>
        </w:rPr>
        <w:t xml:space="preserve"> </w:t>
      </w:r>
      <w:r>
        <w:rPr>
          <w:u w:val="single"/>
        </w:rPr>
        <w:tab/>
      </w:r>
      <w:r>
        <w:rPr>
          <w:u w:val="single"/>
        </w:rPr>
        <w:tab/>
      </w:r>
      <w:r>
        <w:t>：</w:t>
      </w:r>
    </w:p>
    <w:p>
      <w:pPr>
        <w:pStyle w:val="8"/>
        <w:tabs>
          <w:tab w:val="left" w:pos="2472"/>
          <w:tab w:val="left" w:pos="4632"/>
        </w:tabs>
        <w:spacing w:line="306" w:lineRule="exact"/>
        <w:ind w:left="792"/>
      </w:pPr>
      <w:r>
        <w:t>A.投资关系</w:t>
      </w:r>
      <w:r>
        <w:tab/>
      </w:r>
      <w:r>
        <w:t>B.行政隶属关系</w:t>
      </w:r>
      <w:r>
        <w:tab/>
      </w:r>
      <w:r>
        <w:t>C.业务指导关系</w:t>
      </w:r>
    </w:p>
    <w:p>
      <w:pPr>
        <w:pStyle w:val="8"/>
        <w:tabs>
          <w:tab w:val="left" w:pos="4831"/>
          <w:tab w:val="left" w:pos="10029"/>
          <w:tab w:val="left" w:pos="10071"/>
        </w:tabs>
        <w:spacing w:before="177" w:line="379" w:lineRule="auto"/>
        <w:ind w:left="552" w:right="196" w:firstLine="240"/>
      </w:pPr>
      <w:r>
        <w:t>D.其他可能影响采购公正的利害关系</w:t>
      </w:r>
      <w:r>
        <w:rPr>
          <w:u w:val="single"/>
        </w:rPr>
        <w:t>（如有，请如实说明）</w:t>
      </w:r>
      <w:r>
        <w:rPr>
          <w:u w:val="single"/>
        </w:rPr>
        <w:tab/>
      </w:r>
      <w:r>
        <w:t>。</w:t>
      </w:r>
      <w:r>
        <w:rPr>
          <w:spacing w:val="12"/>
        </w:rPr>
        <w:t>二</w:t>
      </w:r>
      <w:r>
        <w:rPr>
          <w:spacing w:val="-41"/>
        </w:rPr>
        <w:t>、</w:t>
      </w:r>
      <w:r>
        <w:t>现已清楚知道参加本项目采购活动的其他所有供应商名称</w:t>
      </w:r>
      <w:r>
        <w:rPr>
          <w:spacing w:val="-56"/>
        </w:rPr>
        <w:t>，</w:t>
      </w:r>
      <w:r>
        <w:t>本单位 □与其他所有供应商之间均不存在利害关系</w:t>
      </w:r>
      <w:r>
        <w:rPr>
          <w:spacing w:val="-4"/>
        </w:rPr>
        <w:t xml:space="preserve"> </w:t>
      </w:r>
      <w:r>
        <w:t>□与</w:t>
      </w:r>
      <w:r>
        <w:rPr>
          <w:u w:val="single"/>
        </w:rPr>
        <w:t xml:space="preserve"> </w:t>
      </w:r>
      <w:r>
        <w:rPr>
          <w:u w:val="single"/>
        </w:rPr>
        <w:tab/>
      </w:r>
      <w:r>
        <w:rPr>
          <w:u w:val="single"/>
        </w:rPr>
        <w:t>（供应商名称</w:t>
      </w:r>
      <w:r>
        <w:rPr>
          <w:spacing w:val="-44"/>
          <w:u w:val="single"/>
        </w:rPr>
        <w:t>）</w:t>
      </w:r>
      <w:r>
        <w:t>之间存在下列利害关系</w:t>
      </w:r>
      <w:r>
        <w:rPr>
          <w:u w:val="single"/>
        </w:rPr>
        <w:t xml:space="preserve"> </w:t>
      </w:r>
      <w:r>
        <w:rPr>
          <w:u w:val="single"/>
        </w:rPr>
        <w:tab/>
      </w:r>
      <w:r>
        <w:rPr>
          <w:u w:val="single"/>
        </w:rPr>
        <w:tab/>
      </w:r>
      <w:r>
        <w:rPr>
          <w:spacing w:val="-17"/>
        </w:rPr>
        <w:t>：</w:t>
      </w:r>
    </w:p>
    <w:p>
      <w:pPr>
        <w:pStyle w:val="8"/>
        <w:spacing w:line="379" w:lineRule="auto"/>
        <w:ind w:left="792" w:right="4555"/>
      </w:pPr>
      <w:r>
        <w:t>A.法定代表人或负责人或实际控制人是同一人 B. 法定代表人或负责人或实际控制人是夫妻关系</w:t>
      </w:r>
    </w:p>
    <w:p>
      <w:pPr>
        <w:pStyle w:val="19"/>
        <w:numPr>
          <w:ilvl w:val="0"/>
          <w:numId w:val="23"/>
        </w:numPr>
        <w:tabs>
          <w:tab w:val="left" w:pos="1033"/>
        </w:tabs>
        <w:spacing w:before="0" w:after="0" w:line="240" w:lineRule="auto"/>
        <w:ind w:left="1032" w:right="0" w:hanging="243"/>
        <w:jc w:val="left"/>
        <w:rPr>
          <w:sz w:val="24"/>
        </w:rPr>
      </w:pPr>
      <w:r>
        <w:rPr>
          <w:sz w:val="24"/>
        </w:rPr>
        <w:t>法定代表人或负责人或实际控制人是直系血亲关系</w:t>
      </w:r>
    </w:p>
    <w:p>
      <w:pPr>
        <w:pStyle w:val="19"/>
        <w:numPr>
          <w:ilvl w:val="0"/>
          <w:numId w:val="23"/>
        </w:numPr>
        <w:tabs>
          <w:tab w:val="left" w:pos="1033"/>
        </w:tabs>
        <w:spacing w:before="172" w:after="0" w:line="379" w:lineRule="auto"/>
        <w:ind w:left="792" w:right="3021" w:firstLine="0"/>
        <w:jc w:val="left"/>
        <w:rPr>
          <w:sz w:val="24"/>
        </w:rPr>
      </w:pPr>
      <w:r>
        <w:rPr>
          <w:spacing w:val="-3"/>
          <w:sz w:val="24"/>
        </w:rPr>
        <w:t>法定代表人或负责人或实际控制人存在三代以内旁系血亲关系E.法定代表人或负责人或实际控制人存在近姻亲关系</w:t>
      </w:r>
    </w:p>
    <w:p>
      <w:pPr>
        <w:pStyle w:val="8"/>
        <w:spacing w:before="1" w:line="379" w:lineRule="auto"/>
        <w:ind w:left="792" w:right="2755"/>
      </w:pPr>
      <w:r>
        <w:t>F.法定代表人或负责人或实际控制人存在股份控制或实际控制关系G.存在共同直接或间接投资设立子公司、联营企业和合营企业情况</w:t>
      </w:r>
    </w:p>
    <w:p>
      <w:pPr>
        <w:pStyle w:val="19"/>
        <w:numPr>
          <w:ilvl w:val="0"/>
          <w:numId w:val="24"/>
        </w:numPr>
        <w:tabs>
          <w:tab w:val="left" w:pos="1036"/>
        </w:tabs>
        <w:spacing w:before="0" w:after="0" w:line="379" w:lineRule="auto"/>
        <w:ind w:left="552" w:right="362" w:firstLine="240"/>
        <w:jc w:val="left"/>
        <w:rPr>
          <w:sz w:val="24"/>
        </w:rPr>
      </w:pPr>
      <w:r>
        <w:rPr>
          <w:sz w:val="24"/>
        </w:rPr>
        <w:t>存在分级代理或代销关系、同一生产制造商关系、管理关系、重要业务（</w:t>
      </w:r>
      <w:r>
        <w:rPr>
          <w:spacing w:val="-5"/>
          <w:sz w:val="24"/>
        </w:rPr>
        <w:t>占主营业务收</w:t>
      </w:r>
      <w:r>
        <w:rPr>
          <w:spacing w:val="-30"/>
          <w:sz w:val="24"/>
        </w:rPr>
        <w:t xml:space="preserve">入 </w:t>
      </w:r>
      <w:r>
        <w:rPr>
          <w:sz w:val="24"/>
        </w:rPr>
        <w:t>50%以上）或重要财务往来关系（如融资）等其他实质性控制关系</w:t>
      </w:r>
    </w:p>
    <w:p>
      <w:pPr>
        <w:pStyle w:val="19"/>
        <w:numPr>
          <w:ilvl w:val="0"/>
          <w:numId w:val="24"/>
        </w:numPr>
        <w:tabs>
          <w:tab w:val="left" w:pos="1033"/>
          <w:tab w:val="left" w:pos="9792"/>
        </w:tabs>
        <w:spacing w:before="0" w:after="0" w:line="379" w:lineRule="auto"/>
        <w:ind w:left="552" w:right="475" w:firstLine="240"/>
        <w:jc w:val="left"/>
        <w:rPr>
          <w:sz w:val="24"/>
        </w:rPr>
      </w:pPr>
      <w:r>
        <w:rPr>
          <w:sz w:val="24"/>
        </w:rPr>
        <w:t>其他利害关系情况</w:t>
      </w:r>
      <w:r>
        <w:rPr>
          <w:sz w:val="24"/>
          <w:u w:val="single"/>
        </w:rPr>
        <w:t xml:space="preserve"> </w:t>
      </w:r>
      <w:r>
        <w:rPr>
          <w:sz w:val="24"/>
          <w:u w:val="single"/>
        </w:rPr>
        <w:tab/>
      </w:r>
      <w:r>
        <w:rPr>
          <w:spacing w:val="-17"/>
          <w:sz w:val="24"/>
        </w:rPr>
        <w:t>。</w:t>
      </w:r>
      <w:r>
        <w:rPr>
          <w:sz w:val="24"/>
        </w:rPr>
        <w:t>三、现已清楚知道并严格遵守政府采购法律法规和现场纪律。</w:t>
      </w:r>
    </w:p>
    <w:p>
      <w:pPr>
        <w:pStyle w:val="8"/>
        <w:tabs>
          <w:tab w:val="left" w:pos="3552"/>
          <w:tab w:val="left" w:pos="8832"/>
        </w:tabs>
        <w:spacing w:line="305" w:lineRule="exact"/>
        <w:ind w:left="552"/>
      </w:pPr>
      <w:r>
        <w:t>四、我发现</w:t>
      </w:r>
      <w:r>
        <w:rPr>
          <w:u w:val="single"/>
        </w:rPr>
        <w:t xml:space="preserve"> </w:t>
      </w:r>
      <w:r>
        <w:rPr>
          <w:u w:val="single"/>
        </w:rPr>
        <w:tab/>
      </w:r>
      <w:r>
        <w:t>供应商之间存在或可能存在上述第二条第</w:t>
      </w:r>
      <w:r>
        <w:rPr>
          <w:u w:val="single"/>
        </w:rPr>
        <w:t xml:space="preserve"> </w:t>
      </w:r>
      <w:r>
        <w:rPr>
          <w:u w:val="single"/>
        </w:rPr>
        <w:tab/>
      </w:r>
      <w:r>
        <w:t>项利害关系。</w:t>
      </w:r>
    </w:p>
    <w:p>
      <w:pPr>
        <w:pStyle w:val="8"/>
        <w:rPr>
          <w:sz w:val="26"/>
        </w:rPr>
      </w:pPr>
    </w:p>
    <w:p>
      <w:pPr>
        <w:pStyle w:val="8"/>
        <w:rPr>
          <w:sz w:val="26"/>
        </w:rPr>
      </w:pPr>
    </w:p>
    <w:p>
      <w:pPr>
        <w:pStyle w:val="8"/>
        <w:spacing w:before="2"/>
        <w:rPr>
          <w:sz w:val="31"/>
        </w:rPr>
      </w:pPr>
    </w:p>
    <w:p>
      <w:pPr>
        <w:pStyle w:val="8"/>
        <w:tabs>
          <w:tab w:val="left" w:pos="6432"/>
          <w:tab w:val="left" w:pos="6912"/>
        </w:tabs>
        <w:spacing w:line="491" w:lineRule="auto"/>
        <w:ind w:left="5110" w:right="2985" w:firstLine="21"/>
      </w:pPr>
      <w:r>
        <w:t>（供应商代表签名</w:t>
      </w:r>
      <w:r>
        <w:rPr>
          <w:spacing w:val="-13"/>
        </w:rPr>
        <w:t xml:space="preserve">）： </w:t>
      </w:r>
      <w:r>
        <w:t>日期：</w:t>
      </w:r>
      <w:r>
        <w:rPr>
          <w:spacing w:val="2"/>
        </w:rPr>
        <w:t xml:space="preserve"> </w:t>
      </w:r>
      <w:r>
        <w:t>年</w:t>
      </w:r>
      <w:r>
        <w:tab/>
      </w:r>
      <w:r>
        <w:t>月</w:t>
      </w:r>
      <w:r>
        <w:tab/>
      </w:r>
      <w:r>
        <w:t>日</w:t>
      </w:r>
    </w:p>
    <w:sectPr>
      <w:type w:val="continuous"/>
      <w:pgSz w:w="11910" w:h="16840"/>
      <w:pgMar w:top="1600" w:right="820" w:bottom="280" w:left="5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pict>
        <v:shape id="_x0000_s2049" o:spid="_x0000_s2049" o:spt="202" type="#_x0000_t202" style="position:absolute;left:0pt;margin-left:301.95pt;margin-top:791.7pt;height:11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6</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pict>
        <v:shape id="_x0000_s2069" o:spid="_x0000_s2069" o:spt="202" type="#_x0000_t202" style="position:absolute;left:0pt;margin-left:299.75pt;margin-top:791.7pt;height:11pt;width:13.1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46</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6" o:spid="_x0000_s2076" o:spt="202" type="#_x0000_t202" style="position:absolute;left:0pt;margin-left:299.75pt;margin-top:791.7pt;height:11pt;width:13.1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7" o:spid="_x0000_s2077" o:spt="202" type="#_x0000_t202" style="position:absolute;left:0pt;margin-left:299.75pt;margin-top:791.7pt;height:11pt;width:13.1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48</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8" o:spid="_x0000_s2078" o:spt="202" type="#_x0000_t202" style="position:absolute;left:0pt;margin-left:299.75pt;margin-top:791.7pt;height:11pt;width:13.1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49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9" o:spid="_x0000_s2079" o:spt="202" type="#_x0000_t202" style="position:absolute;left:0pt;margin-left:299.75pt;margin-top:791.7pt;height:11pt;width:13.1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50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81" o:spid="_x0000_s2081"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0" o:spid="_x0000_s2050" o:spt="202" type="#_x0000_t202" style="position:absolute;left:0pt;margin-left:299.75pt;margin-top:791.7pt;height:11pt;width:1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2" o:spid="_x0000_s2052" o:spt="202" type="#_x0000_t202" style="position:absolute;left:0pt;margin-left:291.25pt;margin-top:782.45pt;height:11pt;width:13.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17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3" o:spid="_x0000_s2053" o:spt="202" type="#_x0000_t202" style="position:absolute;left:0pt;margin-left:291.25pt;margin-top:782.45pt;height:11pt;width:13.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19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6" o:spid="_x0000_s2056" o:spt="202" type="#_x0000_t202" style="position:absolute;left:0pt;margin-left:291.25pt;margin-top:782.45pt;height:11pt;width:13.1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22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2" o:spid="_x0000_s2062" o:spt="202" type="#_x0000_t202" style="position:absolute;left:0pt;margin-left:302.75pt;margin-top:792.2pt;height:13.9pt;width:14.6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278" w:lineRule="exact"/>
                  <w:ind w:left="40" w:right="0" w:firstLine="0"/>
                  <w:jc w:val="left"/>
                  <w:rPr>
                    <w:rFonts w:ascii="微软雅黑"/>
                    <w:sz w:val="18"/>
                  </w:rPr>
                </w:pPr>
                <w:r>
                  <w:fldChar w:fldCharType="begin"/>
                </w:r>
                <w:r>
                  <w:rPr>
                    <w:rFonts w:ascii="微软雅黑"/>
                    <w:sz w:val="18"/>
                  </w:rPr>
                  <w:instrText xml:space="preserve"> PAGE </w:instrText>
                </w:r>
                <w:r>
                  <w:fldChar w:fldCharType="separate"/>
                </w:r>
                <w:r>
                  <w:t>34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299.75pt;margin-top:791.7pt;height:11pt;width:13.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35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299.75pt;margin-top:791.7pt;height:11pt;width:13.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rFonts w:ascii="黑体"/>
                    <w:sz w:val="18"/>
                  </w:rPr>
                </w:pPr>
                <w:r>
                  <w:fldChar w:fldCharType="begin"/>
                </w:r>
                <w:r>
                  <w:rPr>
                    <w:rFonts w:ascii="黑体"/>
                    <w:sz w:val="18"/>
                  </w:rPr>
                  <w:instrText xml:space="preserve"> PAGE </w:instrText>
                </w:r>
                <w:r>
                  <w:fldChar w:fldCharType="separate"/>
                </w:r>
                <w:r>
                  <w:t>36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line id="_x0000_s2051" o:spid="_x0000_s2051" o:spt="20" style="position:absolute;left:0pt;margin-left:69.5pt;margin-top:71.15pt;height:0pt;width:456.4pt;mso-position-horizontal-relative:page;mso-position-vertical-relative:page;z-index:-251655168;mso-width-relative:page;mso-height-relative:page;" filled="f" stroked="f" coordsize="21600,21600">
          <v:path arrowok="t"/>
          <v:fill on="f" focussize="0,0"/>
          <v:stroke on="f" weight="0.72pt"/>
          <v:imagedata o:title=""/>
          <o:lock v:ext="edit" aspectratio="f"/>
        </v:lin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8" o:spid="_x0000_s2068" o:spt="202" type="#_x0000_t202" style="position:absolute;left:0pt;margin-left:232.5pt;margin-top:72.8pt;height:17.95pt;width:130.4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359" w:lineRule="exact"/>
                  <w:ind w:left="20" w:right="0" w:firstLine="0"/>
                  <w:jc w:val="left"/>
                  <w:rPr>
                    <w:b/>
                    <w:sz w:val="32"/>
                  </w:rPr>
                </w:pPr>
                <w:r>
                  <w:rPr>
                    <w:b/>
                    <w:sz w:val="32"/>
                  </w:rPr>
                  <w:t>商务技术文件目录</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left:216.8pt;margin-top:77.95pt;height:17.95pt;width:140.9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359" w:lineRule="exact"/>
                  <w:ind w:left="20" w:right="0" w:firstLine="0"/>
                  <w:jc w:val="left"/>
                  <w:rPr>
                    <w:b/>
                    <w:sz w:val="32"/>
                  </w:rPr>
                </w:pPr>
                <w:r>
                  <w:rPr>
                    <w:b/>
                    <w:sz w:val="32"/>
                  </w:rPr>
                  <w:t>投标人基本情况表</w:t>
                </w:r>
              </w:p>
            </w:txbxContent>
          </v:textbox>
        </v:shape>
      </w:pict>
    </w:r>
    <w:r>
      <w:pict>
        <v:shape id="_x0000_s2071" o:spid="_x0000_s2071" o:spt="202" type="#_x0000_t202" style="position:absolute;left:0pt;margin-left:55.6pt;margin-top:79.6pt;height:16.05pt;width:43.3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b/>
                    <w:sz w:val="28"/>
                    <w:lang w:val="en-US" w:eastAsia="zh-CN"/>
                  </w:rPr>
                </w:pPr>
                <w:r>
                  <w:rPr>
                    <w:b/>
                    <w:sz w:val="28"/>
                  </w:rPr>
                  <w:t xml:space="preserve">附件 </w:t>
                </w:r>
                <w:r>
                  <w:rPr>
                    <w:rFonts w:hint="eastAsia"/>
                    <w:b/>
                    <w:sz w:val="28"/>
                    <w:lang w:val="en-US" w:eastAsia="zh-CN"/>
                  </w:rPr>
                  <w:t>5</w:t>
                </w:r>
              </w:p>
              <w:p>
                <w:pPr>
                  <w:pStyle w:val="13"/>
                  <w:rPr>
                    <w:rFonts w:hint="eastAsia"/>
                    <w:lang w:eastAsia="zh-CN"/>
                  </w:rPr>
                </w:pP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3" o:spid="_x0000_s2073" o:spt="202" type="#_x0000_t202" style="position:absolute;left:0pt;margin-left:55.6pt;margin-top:73.85pt;height:16.05pt;width:44.1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hint="eastAsia" w:eastAsia="宋体"/>
                    <w:b/>
                    <w:sz w:val="28"/>
                    <w:lang w:eastAsia="zh-CN"/>
                  </w:rPr>
                </w:pPr>
                <w:r>
                  <w:rPr>
                    <w:b/>
                    <w:sz w:val="28"/>
                  </w:rPr>
                  <w:t xml:space="preserve">附件 </w:t>
                </w:r>
                <w:r>
                  <w:rPr>
                    <w:rFonts w:hint="eastAsia"/>
                    <w:b/>
                    <w:sz w:val="28"/>
                    <w:lang w:val="en-US" w:eastAsia="zh-CN"/>
                  </w:rPr>
                  <w:t>8</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4" o:spid="_x0000_s2074" o:spt="202" type="#_x0000_t202" style="position:absolute;left:0pt;margin-left:55.6pt;margin-top:73.85pt;height:21.25pt;width:55.3pt;mso-position-horizontal-relative:page;mso-position-vertical-relative:page;z-index:-251638784;mso-width-relative:page;mso-height-relative:page;" filled="f" stroked="f" coordsize="21600,21600">
          <v:path/>
          <v:fill on="f" focussize="0,0"/>
          <v:stroke on="f"/>
          <v:imagedata o:title=""/>
          <o:lock v:ext="edit" aspectratio="f"/>
          <v:textbox inset="0mm,0mm,0mm,0mm">
            <w:txbxContent>
              <w:p>
                <w:pPr>
                  <w:spacing w:before="0" w:line="321" w:lineRule="exact"/>
                  <w:ind w:left="20" w:right="0" w:firstLine="0"/>
                  <w:jc w:val="left"/>
                  <w:rPr>
                    <w:rFonts w:hint="default" w:eastAsia="宋体"/>
                    <w:b/>
                    <w:sz w:val="28"/>
                    <w:lang w:val="en-US" w:eastAsia="zh-CN"/>
                  </w:rPr>
                </w:pPr>
                <w:r>
                  <w:rPr>
                    <w:b/>
                    <w:sz w:val="28"/>
                  </w:rPr>
                  <w:t xml:space="preserve">附件 </w:t>
                </w:r>
                <w:r>
                  <w:rPr>
                    <w:rFonts w:hint="eastAsia"/>
                    <w:b/>
                    <w:sz w:val="28"/>
                    <w:lang w:val="en-US" w:eastAsia="zh-CN"/>
                  </w:rPr>
                  <w:t>9</w:t>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80" o:spid="_x0000_s2080" o:spt="202" type="#_x0000_t202" style="position:absolute;left:0pt;margin-left:38.95pt;margin-top:31.6pt;height:15.15pt;width:7.8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line="303" w:lineRule="exact"/>
                  <w:ind w:left="20" w:right="0" w:firstLine="0"/>
                  <w:jc w:val="left"/>
                  <w:rPr>
                    <w:rFonts w:ascii="微软雅黑"/>
                    <w:sz w:val="2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line id="_x0000_s2057" o:spid="_x0000_s2057" o:spt="20" style="position:absolute;left:0pt;margin-left:69.5pt;margin-top:71.15pt;height:0pt;width:456.4pt;mso-position-horizontal-relative:page;mso-position-vertical-relative:page;z-index:-251651072;mso-width-relative:page;mso-height-relative:page;" stroked="t" coordsize="21600,21600">
          <v:path arrowok="t"/>
          <v:fill focussize="0,0"/>
          <v:stroke weight="0.72pt" color="#000000"/>
          <v:imagedata o:title=""/>
          <o:lock v:ext="edit"/>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5" o:spid="_x0000_s2065" o:spt="202" type="#_x0000_t202" style="position:absolute;left:0pt;margin-left:55.6pt;margin-top:73.85pt;height:16.05pt;width:44.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b/>
                    <w:sz w:val="28"/>
                  </w:rPr>
                </w:pPr>
                <w:r>
                  <w:rPr>
                    <w:b/>
                    <w:sz w:val="28"/>
                  </w:rPr>
                  <w:t>附件 2</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6" o:spid="_x0000_s2066" o:spt="202" type="#_x0000_t202" style="position:absolute;left:0pt;margin-left:55.6pt;margin-top:72.15pt;height:16.05pt;width:44.1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b/>
                    <w:sz w:val="28"/>
                  </w:rPr>
                </w:pPr>
                <w:r>
                  <w:rPr>
                    <w:b/>
                    <w:sz w:val="28"/>
                  </w:rPr>
                  <w:t>附件 3</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7" o:spid="_x0000_s2067" o:spt="202" type="#_x0000_t202" style="position:absolute;left:0pt;margin-left:55.6pt;margin-top:73.85pt;height:16.05pt;width:58.2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b/>
                    <w:sz w:val="28"/>
                  </w:rPr>
                </w:pPr>
                <w:r>
                  <w:rPr>
                    <w:b/>
                    <w:sz w:val="28"/>
                  </w:rPr>
                  <w:t>附件 4：</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466"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2" w:hanging="360"/>
      </w:pPr>
      <w:rPr>
        <w:rFonts w:hint="default"/>
        <w:lang w:val="zh-CN" w:eastAsia="zh-CN" w:bidi="zh-CN"/>
      </w:rPr>
    </w:lvl>
    <w:lvl w:ilvl="2" w:tentative="0">
      <w:start w:val="0"/>
      <w:numFmt w:val="bullet"/>
      <w:lvlText w:val="•"/>
      <w:lvlJc w:val="left"/>
      <w:pPr>
        <w:ind w:left="1845" w:hanging="360"/>
      </w:pPr>
      <w:rPr>
        <w:rFonts w:hint="default"/>
        <w:lang w:val="zh-CN" w:eastAsia="zh-CN" w:bidi="zh-CN"/>
      </w:rPr>
    </w:lvl>
    <w:lvl w:ilvl="3" w:tentative="0">
      <w:start w:val="0"/>
      <w:numFmt w:val="bullet"/>
      <w:lvlText w:val="•"/>
      <w:lvlJc w:val="left"/>
      <w:pPr>
        <w:ind w:left="2538" w:hanging="360"/>
      </w:pPr>
      <w:rPr>
        <w:rFonts w:hint="default"/>
        <w:lang w:val="zh-CN" w:eastAsia="zh-CN" w:bidi="zh-CN"/>
      </w:rPr>
    </w:lvl>
    <w:lvl w:ilvl="4" w:tentative="0">
      <w:start w:val="0"/>
      <w:numFmt w:val="bullet"/>
      <w:lvlText w:val="•"/>
      <w:lvlJc w:val="left"/>
      <w:pPr>
        <w:ind w:left="3231" w:hanging="360"/>
      </w:pPr>
      <w:rPr>
        <w:rFonts w:hint="default"/>
        <w:lang w:val="zh-CN" w:eastAsia="zh-CN" w:bidi="zh-CN"/>
      </w:rPr>
    </w:lvl>
    <w:lvl w:ilvl="5" w:tentative="0">
      <w:start w:val="0"/>
      <w:numFmt w:val="bullet"/>
      <w:lvlText w:val="•"/>
      <w:lvlJc w:val="left"/>
      <w:pPr>
        <w:ind w:left="3924" w:hanging="360"/>
      </w:pPr>
      <w:rPr>
        <w:rFonts w:hint="default"/>
        <w:lang w:val="zh-CN" w:eastAsia="zh-CN" w:bidi="zh-CN"/>
      </w:rPr>
    </w:lvl>
    <w:lvl w:ilvl="6" w:tentative="0">
      <w:start w:val="0"/>
      <w:numFmt w:val="bullet"/>
      <w:lvlText w:val="•"/>
      <w:lvlJc w:val="left"/>
      <w:pPr>
        <w:ind w:left="4617" w:hanging="360"/>
      </w:pPr>
      <w:rPr>
        <w:rFonts w:hint="default"/>
        <w:lang w:val="zh-CN" w:eastAsia="zh-CN" w:bidi="zh-CN"/>
      </w:rPr>
    </w:lvl>
    <w:lvl w:ilvl="7" w:tentative="0">
      <w:start w:val="0"/>
      <w:numFmt w:val="bullet"/>
      <w:lvlText w:val="•"/>
      <w:lvlJc w:val="left"/>
      <w:pPr>
        <w:ind w:left="5310" w:hanging="360"/>
      </w:pPr>
      <w:rPr>
        <w:rFonts w:hint="default"/>
        <w:lang w:val="zh-CN" w:eastAsia="zh-CN" w:bidi="zh-CN"/>
      </w:rPr>
    </w:lvl>
    <w:lvl w:ilvl="8" w:tentative="0">
      <w:start w:val="0"/>
      <w:numFmt w:val="bullet"/>
      <w:lvlText w:val="•"/>
      <w:lvlJc w:val="left"/>
      <w:pPr>
        <w:ind w:left="6003" w:hanging="360"/>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1656" w:hanging="627"/>
        <w:jc w:val="left"/>
      </w:pPr>
      <w:rPr>
        <w:rFonts w:hint="default" w:ascii="微软雅黑" w:hAnsi="微软雅黑" w:eastAsia="微软雅黑" w:cs="微软雅黑"/>
        <w:spacing w:val="-1"/>
        <w:w w:val="100"/>
        <w:sz w:val="22"/>
        <w:szCs w:val="22"/>
        <w:lang w:val="zh-CN" w:eastAsia="zh-CN" w:bidi="zh-CN"/>
      </w:rPr>
    </w:lvl>
    <w:lvl w:ilvl="1" w:tentative="0">
      <w:start w:val="0"/>
      <w:numFmt w:val="bullet"/>
      <w:lvlText w:val="•"/>
      <w:lvlJc w:val="left"/>
      <w:pPr>
        <w:ind w:left="2605" w:hanging="627"/>
      </w:pPr>
      <w:rPr>
        <w:rFonts w:hint="default"/>
        <w:lang w:val="zh-CN" w:eastAsia="zh-CN" w:bidi="zh-CN"/>
      </w:rPr>
    </w:lvl>
    <w:lvl w:ilvl="2" w:tentative="0">
      <w:start w:val="0"/>
      <w:numFmt w:val="bullet"/>
      <w:lvlText w:val="•"/>
      <w:lvlJc w:val="left"/>
      <w:pPr>
        <w:ind w:left="3550" w:hanging="627"/>
      </w:pPr>
      <w:rPr>
        <w:rFonts w:hint="default"/>
        <w:lang w:val="zh-CN" w:eastAsia="zh-CN" w:bidi="zh-CN"/>
      </w:rPr>
    </w:lvl>
    <w:lvl w:ilvl="3" w:tentative="0">
      <w:start w:val="0"/>
      <w:numFmt w:val="bullet"/>
      <w:lvlText w:val="•"/>
      <w:lvlJc w:val="left"/>
      <w:pPr>
        <w:ind w:left="4495" w:hanging="627"/>
      </w:pPr>
      <w:rPr>
        <w:rFonts w:hint="default"/>
        <w:lang w:val="zh-CN" w:eastAsia="zh-CN" w:bidi="zh-CN"/>
      </w:rPr>
    </w:lvl>
    <w:lvl w:ilvl="4" w:tentative="0">
      <w:start w:val="0"/>
      <w:numFmt w:val="bullet"/>
      <w:lvlText w:val="•"/>
      <w:lvlJc w:val="left"/>
      <w:pPr>
        <w:ind w:left="5440" w:hanging="627"/>
      </w:pPr>
      <w:rPr>
        <w:rFonts w:hint="default"/>
        <w:lang w:val="zh-CN" w:eastAsia="zh-CN" w:bidi="zh-CN"/>
      </w:rPr>
    </w:lvl>
    <w:lvl w:ilvl="5" w:tentative="0">
      <w:start w:val="0"/>
      <w:numFmt w:val="bullet"/>
      <w:lvlText w:val="•"/>
      <w:lvlJc w:val="left"/>
      <w:pPr>
        <w:ind w:left="6385" w:hanging="627"/>
      </w:pPr>
      <w:rPr>
        <w:rFonts w:hint="default"/>
        <w:lang w:val="zh-CN" w:eastAsia="zh-CN" w:bidi="zh-CN"/>
      </w:rPr>
    </w:lvl>
    <w:lvl w:ilvl="6" w:tentative="0">
      <w:start w:val="0"/>
      <w:numFmt w:val="bullet"/>
      <w:lvlText w:val="•"/>
      <w:lvlJc w:val="left"/>
      <w:pPr>
        <w:ind w:left="7330" w:hanging="627"/>
      </w:pPr>
      <w:rPr>
        <w:rFonts w:hint="default"/>
        <w:lang w:val="zh-CN" w:eastAsia="zh-CN" w:bidi="zh-CN"/>
      </w:rPr>
    </w:lvl>
    <w:lvl w:ilvl="7" w:tentative="0">
      <w:start w:val="0"/>
      <w:numFmt w:val="bullet"/>
      <w:lvlText w:val="•"/>
      <w:lvlJc w:val="left"/>
      <w:pPr>
        <w:ind w:left="8275" w:hanging="627"/>
      </w:pPr>
      <w:rPr>
        <w:rFonts w:hint="default"/>
        <w:lang w:val="zh-CN" w:eastAsia="zh-CN" w:bidi="zh-CN"/>
      </w:rPr>
    </w:lvl>
    <w:lvl w:ilvl="8" w:tentative="0">
      <w:start w:val="0"/>
      <w:numFmt w:val="bullet"/>
      <w:lvlText w:val="•"/>
      <w:lvlJc w:val="left"/>
      <w:pPr>
        <w:ind w:left="9220" w:hanging="627"/>
      </w:pPr>
      <w:rPr>
        <w:rFonts w:hint="default"/>
        <w:lang w:val="zh-CN" w:eastAsia="zh-CN" w:bidi="zh-CN"/>
      </w:rPr>
    </w:lvl>
  </w:abstractNum>
  <w:abstractNum w:abstractNumId="2">
    <w:nsid w:val="9E535C4D"/>
    <w:multiLevelType w:val="singleLevel"/>
    <w:tmpl w:val="9E535C4D"/>
    <w:lvl w:ilvl="0" w:tentative="0">
      <w:start w:val="4"/>
      <w:numFmt w:val="chineseCounting"/>
      <w:suff w:val="space"/>
      <w:lvlText w:val="第%1章"/>
      <w:lvlJc w:val="left"/>
      <w:rPr>
        <w:rFonts w:hint="eastAsia"/>
      </w:rPr>
    </w:lvl>
  </w:abstractNum>
  <w:abstractNum w:abstractNumId="3">
    <w:nsid w:val="B5E306ED"/>
    <w:multiLevelType w:val="multilevel"/>
    <w:tmpl w:val="B5E306ED"/>
    <w:lvl w:ilvl="0" w:tentative="0">
      <w:start w:val="1"/>
      <w:numFmt w:val="decimal"/>
      <w:lvlText w:val="%1."/>
      <w:lvlJc w:val="left"/>
      <w:pPr>
        <w:ind w:left="418" w:hanging="312"/>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116" w:hanging="312"/>
      </w:pPr>
      <w:rPr>
        <w:rFonts w:hint="default"/>
        <w:lang w:val="zh-CN" w:eastAsia="zh-CN" w:bidi="zh-CN"/>
      </w:rPr>
    </w:lvl>
    <w:lvl w:ilvl="2" w:tentative="0">
      <w:start w:val="0"/>
      <w:numFmt w:val="bullet"/>
      <w:lvlText w:val="•"/>
      <w:lvlJc w:val="left"/>
      <w:pPr>
        <w:ind w:left="1813" w:hanging="312"/>
      </w:pPr>
      <w:rPr>
        <w:rFonts w:hint="default"/>
        <w:lang w:val="zh-CN" w:eastAsia="zh-CN" w:bidi="zh-CN"/>
      </w:rPr>
    </w:lvl>
    <w:lvl w:ilvl="3" w:tentative="0">
      <w:start w:val="0"/>
      <w:numFmt w:val="bullet"/>
      <w:lvlText w:val="•"/>
      <w:lvlJc w:val="left"/>
      <w:pPr>
        <w:ind w:left="2510" w:hanging="312"/>
      </w:pPr>
      <w:rPr>
        <w:rFonts w:hint="default"/>
        <w:lang w:val="zh-CN" w:eastAsia="zh-CN" w:bidi="zh-CN"/>
      </w:rPr>
    </w:lvl>
    <w:lvl w:ilvl="4" w:tentative="0">
      <w:start w:val="0"/>
      <w:numFmt w:val="bullet"/>
      <w:lvlText w:val="•"/>
      <w:lvlJc w:val="left"/>
      <w:pPr>
        <w:ind w:left="3207" w:hanging="312"/>
      </w:pPr>
      <w:rPr>
        <w:rFonts w:hint="default"/>
        <w:lang w:val="zh-CN" w:eastAsia="zh-CN" w:bidi="zh-CN"/>
      </w:rPr>
    </w:lvl>
    <w:lvl w:ilvl="5" w:tentative="0">
      <w:start w:val="0"/>
      <w:numFmt w:val="bullet"/>
      <w:lvlText w:val="•"/>
      <w:lvlJc w:val="left"/>
      <w:pPr>
        <w:ind w:left="3904" w:hanging="312"/>
      </w:pPr>
      <w:rPr>
        <w:rFonts w:hint="default"/>
        <w:lang w:val="zh-CN" w:eastAsia="zh-CN" w:bidi="zh-CN"/>
      </w:rPr>
    </w:lvl>
    <w:lvl w:ilvl="6" w:tentative="0">
      <w:start w:val="0"/>
      <w:numFmt w:val="bullet"/>
      <w:lvlText w:val="•"/>
      <w:lvlJc w:val="left"/>
      <w:pPr>
        <w:ind w:left="4601" w:hanging="312"/>
      </w:pPr>
      <w:rPr>
        <w:rFonts w:hint="default"/>
        <w:lang w:val="zh-CN" w:eastAsia="zh-CN" w:bidi="zh-CN"/>
      </w:rPr>
    </w:lvl>
    <w:lvl w:ilvl="7" w:tentative="0">
      <w:start w:val="0"/>
      <w:numFmt w:val="bullet"/>
      <w:lvlText w:val="•"/>
      <w:lvlJc w:val="left"/>
      <w:pPr>
        <w:ind w:left="5298" w:hanging="312"/>
      </w:pPr>
      <w:rPr>
        <w:rFonts w:hint="default"/>
        <w:lang w:val="zh-CN" w:eastAsia="zh-CN" w:bidi="zh-CN"/>
      </w:rPr>
    </w:lvl>
    <w:lvl w:ilvl="8" w:tentative="0">
      <w:start w:val="0"/>
      <w:numFmt w:val="bullet"/>
      <w:lvlText w:val="•"/>
      <w:lvlJc w:val="left"/>
      <w:pPr>
        <w:ind w:left="5995" w:hanging="312"/>
      </w:pPr>
      <w:rPr>
        <w:rFonts w:hint="default"/>
        <w:lang w:val="zh-CN" w:eastAsia="zh-CN" w:bidi="zh-CN"/>
      </w:rPr>
    </w:lvl>
  </w:abstractNum>
  <w:abstractNum w:abstractNumId="4">
    <w:nsid w:val="BF205925"/>
    <w:multiLevelType w:val="multilevel"/>
    <w:tmpl w:val="BF205925"/>
    <w:lvl w:ilvl="0" w:tentative="0">
      <w:start w:val="1"/>
      <w:numFmt w:val="lowerLetter"/>
      <w:lvlText w:val="%1."/>
      <w:lvlJc w:val="left"/>
      <w:pPr>
        <w:ind w:left="106" w:hanging="241"/>
        <w:jc w:val="left"/>
      </w:pPr>
      <w:rPr>
        <w:rFonts w:hint="default" w:ascii="宋体" w:hAnsi="宋体" w:eastAsia="宋体" w:cs="宋体"/>
        <w:spacing w:val="-17"/>
        <w:w w:val="99"/>
        <w:sz w:val="22"/>
        <w:szCs w:val="22"/>
        <w:lang w:val="zh-CN" w:eastAsia="zh-CN" w:bidi="zh-CN"/>
      </w:rPr>
    </w:lvl>
    <w:lvl w:ilvl="1" w:tentative="0">
      <w:start w:val="0"/>
      <w:numFmt w:val="bullet"/>
      <w:lvlText w:val="•"/>
      <w:lvlJc w:val="left"/>
      <w:pPr>
        <w:ind w:left="828" w:hanging="241"/>
      </w:pPr>
      <w:rPr>
        <w:rFonts w:hint="default"/>
        <w:lang w:val="zh-CN" w:eastAsia="zh-CN" w:bidi="zh-CN"/>
      </w:rPr>
    </w:lvl>
    <w:lvl w:ilvl="2" w:tentative="0">
      <w:start w:val="0"/>
      <w:numFmt w:val="bullet"/>
      <w:lvlText w:val="•"/>
      <w:lvlJc w:val="left"/>
      <w:pPr>
        <w:ind w:left="1557" w:hanging="241"/>
      </w:pPr>
      <w:rPr>
        <w:rFonts w:hint="default"/>
        <w:lang w:val="zh-CN" w:eastAsia="zh-CN" w:bidi="zh-CN"/>
      </w:rPr>
    </w:lvl>
    <w:lvl w:ilvl="3" w:tentative="0">
      <w:start w:val="0"/>
      <w:numFmt w:val="bullet"/>
      <w:lvlText w:val="•"/>
      <w:lvlJc w:val="left"/>
      <w:pPr>
        <w:ind w:left="2286" w:hanging="241"/>
      </w:pPr>
      <w:rPr>
        <w:rFonts w:hint="default"/>
        <w:lang w:val="zh-CN" w:eastAsia="zh-CN" w:bidi="zh-CN"/>
      </w:rPr>
    </w:lvl>
    <w:lvl w:ilvl="4" w:tentative="0">
      <w:start w:val="0"/>
      <w:numFmt w:val="bullet"/>
      <w:lvlText w:val="•"/>
      <w:lvlJc w:val="left"/>
      <w:pPr>
        <w:ind w:left="3015" w:hanging="241"/>
      </w:pPr>
      <w:rPr>
        <w:rFonts w:hint="default"/>
        <w:lang w:val="zh-CN" w:eastAsia="zh-CN" w:bidi="zh-CN"/>
      </w:rPr>
    </w:lvl>
    <w:lvl w:ilvl="5" w:tentative="0">
      <w:start w:val="0"/>
      <w:numFmt w:val="bullet"/>
      <w:lvlText w:val="•"/>
      <w:lvlJc w:val="left"/>
      <w:pPr>
        <w:ind w:left="3744" w:hanging="241"/>
      </w:pPr>
      <w:rPr>
        <w:rFonts w:hint="default"/>
        <w:lang w:val="zh-CN" w:eastAsia="zh-CN" w:bidi="zh-CN"/>
      </w:rPr>
    </w:lvl>
    <w:lvl w:ilvl="6" w:tentative="0">
      <w:start w:val="0"/>
      <w:numFmt w:val="bullet"/>
      <w:lvlText w:val="•"/>
      <w:lvlJc w:val="left"/>
      <w:pPr>
        <w:ind w:left="4473" w:hanging="241"/>
      </w:pPr>
      <w:rPr>
        <w:rFonts w:hint="default"/>
        <w:lang w:val="zh-CN" w:eastAsia="zh-CN" w:bidi="zh-CN"/>
      </w:rPr>
    </w:lvl>
    <w:lvl w:ilvl="7" w:tentative="0">
      <w:start w:val="0"/>
      <w:numFmt w:val="bullet"/>
      <w:lvlText w:val="•"/>
      <w:lvlJc w:val="left"/>
      <w:pPr>
        <w:ind w:left="5202" w:hanging="241"/>
      </w:pPr>
      <w:rPr>
        <w:rFonts w:hint="default"/>
        <w:lang w:val="zh-CN" w:eastAsia="zh-CN" w:bidi="zh-CN"/>
      </w:rPr>
    </w:lvl>
    <w:lvl w:ilvl="8" w:tentative="0">
      <w:start w:val="0"/>
      <w:numFmt w:val="bullet"/>
      <w:lvlText w:val="•"/>
      <w:lvlJc w:val="left"/>
      <w:pPr>
        <w:ind w:left="5931" w:hanging="241"/>
      </w:pPr>
      <w:rPr>
        <w:rFonts w:hint="default"/>
        <w:lang w:val="zh-CN" w:eastAsia="zh-CN" w:bidi="zh-CN"/>
      </w:rPr>
    </w:lvl>
  </w:abstractNum>
  <w:abstractNum w:abstractNumId="5">
    <w:nsid w:val="C8879AEF"/>
    <w:multiLevelType w:val="multilevel"/>
    <w:tmpl w:val="C8879AEF"/>
    <w:lvl w:ilvl="0" w:tentative="0">
      <w:start w:val="1"/>
      <w:numFmt w:val="decimal"/>
      <w:lvlText w:val="（%1）"/>
      <w:lvlJc w:val="left"/>
      <w:pPr>
        <w:ind w:left="219"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09" w:hanging="601"/>
      </w:pPr>
      <w:rPr>
        <w:rFonts w:hint="default"/>
        <w:lang w:val="zh-CN" w:eastAsia="zh-CN" w:bidi="zh-CN"/>
      </w:rPr>
    </w:lvl>
    <w:lvl w:ilvl="2" w:tentative="0">
      <w:start w:val="0"/>
      <w:numFmt w:val="bullet"/>
      <w:lvlText w:val="•"/>
      <w:lvlJc w:val="left"/>
      <w:pPr>
        <w:ind w:left="2398" w:hanging="601"/>
      </w:pPr>
      <w:rPr>
        <w:rFonts w:hint="default"/>
        <w:lang w:val="zh-CN" w:eastAsia="zh-CN" w:bidi="zh-CN"/>
      </w:rPr>
    </w:lvl>
    <w:lvl w:ilvl="3" w:tentative="0">
      <w:start w:val="0"/>
      <w:numFmt w:val="bullet"/>
      <w:lvlText w:val="•"/>
      <w:lvlJc w:val="left"/>
      <w:pPr>
        <w:ind w:left="3487" w:hanging="601"/>
      </w:pPr>
      <w:rPr>
        <w:rFonts w:hint="default"/>
        <w:lang w:val="zh-CN" w:eastAsia="zh-CN" w:bidi="zh-CN"/>
      </w:rPr>
    </w:lvl>
    <w:lvl w:ilvl="4" w:tentative="0">
      <w:start w:val="0"/>
      <w:numFmt w:val="bullet"/>
      <w:lvlText w:val="•"/>
      <w:lvlJc w:val="left"/>
      <w:pPr>
        <w:ind w:left="4576" w:hanging="601"/>
      </w:pPr>
      <w:rPr>
        <w:rFonts w:hint="default"/>
        <w:lang w:val="zh-CN" w:eastAsia="zh-CN" w:bidi="zh-CN"/>
      </w:rPr>
    </w:lvl>
    <w:lvl w:ilvl="5" w:tentative="0">
      <w:start w:val="0"/>
      <w:numFmt w:val="bullet"/>
      <w:lvlText w:val="•"/>
      <w:lvlJc w:val="left"/>
      <w:pPr>
        <w:ind w:left="5665" w:hanging="601"/>
      </w:pPr>
      <w:rPr>
        <w:rFonts w:hint="default"/>
        <w:lang w:val="zh-CN" w:eastAsia="zh-CN" w:bidi="zh-CN"/>
      </w:rPr>
    </w:lvl>
    <w:lvl w:ilvl="6" w:tentative="0">
      <w:start w:val="0"/>
      <w:numFmt w:val="bullet"/>
      <w:lvlText w:val="•"/>
      <w:lvlJc w:val="left"/>
      <w:pPr>
        <w:ind w:left="6754" w:hanging="601"/>
      </w:pPr>
      <w:rPr>
        <w:rFonts w:hint="default"/>
        <w:lang w:val="zh-CN" w:eastAsia="zh-CN" w:bidi="zh-CN"/>
      </w:rPr>
    </w:lvl>
    <w:lvl w:ilvl="7" w:tentative="0">
      <w:start w:val="0"/>
      <w:numFmt w:val="bullet"/>
      <w:lvlText w:val="•"/>
      <w:lvlJc w:val="left"/>
      <w:pPr>
        <w:ind w:left="7843" w:hanging="601"/>
      </w:pPr>
      <w:rPr>
        <w:rFonts w:hint="default"/>
        <w:lang w:val="zh-CN" w:eastAsia="zh-CN" w:bidi="zh-CN"/>
      </w:rPr>
    </w:lvl>
    <w:lvl w:ilvl="8" w:tentative="0">
      <w:start w:val="0"/>
      <w:numFmt w:val="bullet"/>
      <w:lvlText w:val="•"/>
      <w:lvlJc w:val="left"/>
      <w:pPr>
        <w:ind w:left="8932" w:hanging="601"/>
      </w:pPr>
      <w:rPr>
        <w:rFonts w:hint="default"/>
        <w:lang w:val="zh-CN" w:eastAsia="zh-CN" w:bidi="zh-CN"/>
      </w:rPr>
    </w:lvl>
  </w:abstractNum>
  <w:abstractNum w:abstractNumId="6">
    <w:nsid w:val="CF092B84"/>
    <w:multiLevelType w:val="multilevel"/>
    <w:tmpl w:val="CF092B84"/>
    <w:lvl w:ilvl="0" w:tentative="0">
      <w:start w:val="1"/>
      <w:numFmt w:val="decimal"/>
      <w:lvlText w:val="%1."/>
      <w:lvlJc w:val="left"/>
      <w:pPr>
        <w:ind w:left="552" w:hanging="202"/>
        <w:jc w:val="left"/>
      </w:pPr>
      <w:rPr>
        <w:rFonts w:hint="default" w:ascii="微软雅黑" w:hAnsi="微软雅黑" w:eastAsia="微软雅黑" w:cs="微软雅黑"/>
        <w:w w:val="100"/>
        <w:sz w:val="22"/>
        <w:szCs w:val="22"/>
        <w:lang w:val="zh-CN" w:eastAsia="zh-CN" w:bidi="zh-CN"/>
      </w:rPr>
    </w:lvl>
    <w:lvl w:ilvl="1" w:tentative="0">
      <w:start w:val="0"/>
      <w:numFmt w:val="bullet"/>
      <w:lvlText w:val="•"/>
      <w:lvlJc w:val="left"/>
      <w:pPr>
        <w:ind w:left="1615" w:hanging="202"/>
      </w:pPr>
      <w:rPr>
        <w:rFonts w:hint="default"/>
        <w:lang w:val="zh-CN" w:eastAsia="zh-CN" w:bidi="zh-CN"/>
      </w:rPr>
    </w:lvl>
    <w:lvl w:ilvl="2" w:tentative="0">
      <w:start w:val="0"/>
      <w:numFmt w:val="bullet"/>
      <w:lvlText w:val="•"/>
      <w:lvlJc w:val="left"/>
      <w:pPr>
        <w:ind w:left="2670" w:hanging="202"/>
      </w:pPr>
      <w:rPr>
        <w:rFonts w:hint="default"/>
        <w:lang w:val="zh-CN" w:eastAsia="zh-CN" w:bidi="zh-CN"/>
      </w:rPr>
    </w:lvl>
    <w:lvl w:ilvl="3" w:tentative="0">
      <w:start w:val="0"/>
      <w:numFmt w:val="bullet"/>
      <w:lvlText w:val="•"/>
      <w:lvlJc w:val="left"/>
      <w:pPr>
        <w:ind w:left="3725" w:hanging="202"/>
      </w:pPr>
      <w:rPr>
        <w:rFonts w:hint="default"/>
        <w:lang w:val="zh-CN" w:eastAsia="zh-CN" w:bidi="zh-CN"/>
      </w:rPr>
    </w:lvl>
    <w:lvl w:ilvl="4" w:tentative="0">
      <w:start w:val="0"/>
      <w:numFmt w:val="bullet"/>
      <w:lvlText w:val="•"/>
      <w:lvlJc w:val="left"/>
      <w:pPr>
        <w:ind w:left="4780" w:hanging="202"/>
      </w:pPr>
      <w:rPr>
        <w:rFonts w:hint="default"/>
        <w:lang w:val="zh-CN" w:eastAsia="zh-CN" w:bidi="zh-CN"/>
      </w:rPr>
    </w:lvl>
    <w:lvl w:ilvl="5" w:tentative="0">
      <w:start w:val="0"/>
      <w:numFmt w:val="bullet"/>
      <w:lvlText w:val="•"/>
      <w:lvlJc w:val="left"/>
      <w:pPr>
        <w:ind w:left="5835" w:hanging="202"/>
      </w:pPr>
      <w:rPr>
        <w:rFonts w:hint="default"/>
        <w:lang w:val="zh-CN" w:eastAsia="zh-CN" w:bidi="zh-CN"/>
      </w:rPr>
    </w:lvl>
    <w:lvl w:ilvl="6" w:tentative="0">
      <w:start w:val="0"/>
      <w:numFmt w:val="bullet"/>
      <w:lvlText w:val="•"/>
      <w:lvlJc w:val="left"/>
      <w:pPr>
        <w:ind w:left="6890" w:hanging="202"/>
      </w:pPr>
      <w:rPr>
        <w:rFonts w:hint="default"/>
        <w:lang w:val="zh-CN" w:eastAsia="zh-CN" w:bidi="zh-CN"/>
      </w:rPr>
    </w:lvl>
    <w:lvl w:ilvl="7" w:tentative="0">
      <w:start w:val="0"/>
      <w:numFmt w:val="bullet"/>
      <w:lvlText w:val="•"/>
      <w:lvlJc w:val="left"/>
      <w:pPr>
        <w:ind w:left="7945" w:hanging="202"/>
      </w:pPr>
      <w:rPr>
        <w:rFonts w:hint="default"/>
        <w:lang w:val="zh-CN" w:eastAsia="zh-CN" w:bidi="zh-CN"/>
      </w:rPr>
    </w:lvl>
    <w:lvl w:ilvl="8" w:tentative="0">
      <w:start w:val="0"/>
      <w:numFmt w:val="bullet"/>
      <w:lvlText w:val="•"/>
      <w:lvlJc w:val="left"/>
      <w:pPr>
        <w:ind w:left="9000" w:hanging="202"/>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1656" w:hanging="627"/>
        <w:jc w:val="left"/>
      </w:pPr>
      <w:rPr>
        <w:rFonts w:hint="default" w:ascii="微软雅黑" w:hAnsi="微软雅黑" w:eastAsia="微软雅黑" w:cs="微软雅黑"/>
        <w:spacing w:val="-1"/>
        <w:w w:val="100"/>
        <w:sz w:val="22"/>
        <w:szCs w:val="22"/>
        <w:lang w:val="zh-CN" w:eastAsia="zh-CN" w:bidi="zh-CN"/>
      </w:rPr>
    </w:lvl>
    <w:lvl w:ilvl="1" w:tentative="0">
      <w:start w:val="0"/>
      <w:numFmt w:val="bullet"/>
      <w:lvlText w:val="•"/>
      <w:lvlJc w:val="left"/>
      <w:pPr>
        <w:ind w:left="2605" w:hanging="627"/>
      </w:pPr>
      <w:rPr>
        <w:rFonts w:hint="default"/>
        <w:lang w:val="zh-CN" w:eastAsia="zh-CN" w:bidi="zh-CN"/>
      </w:rPr>
    </w:lvl>
    <w:lvl w:ilvl="2" w:tentative="0">
      <w:start w:val="0"/>
      <w:numFmt w:val="bullet"/>
      <w:lvlText w:val="•"/>
      <w:lvlJc w:val="left"/>
      <w:pPr>
        <w:ind w:left="3550" w:hanging="627"/>
      </w:pPr>
      <w:rPr>
        <w:rFonts w:hint="default"/>
        <w:lang w:val="zh-CN" w:eastAsia="zh-CN" w:bidi="zh-CN"/>
      </w:rPr>
    </w:lvl>
    <w:lvl w:ilvl="3" w:tentative="0">
      <w:start w:val="0"/>
      <w:numFmt w:val="bullet"/>
      <w:lvlText w:val="•"/>
      <w:lvlJc w:val="left"/>
      <w:pPr>
        <w:ind w:left="4495" w:hanging="627"/>
      </w:pPr>
      <w:rPr>
        <w:rFonts w:hint="default"/>
        <w:lang w:val="zh-CN" w:eastAsia="zh-CN" w:bidi="zh-CN"/>
      </w:rPr>
    </w:lvl>
    <w:lvl w:ilvl="4" w:tentative="0">
      <w:start w:val="0"/>
      <w:numFmt w:val="bullet"/>
      <w:lvlText w:val="•"/>
      <w:lvlJc w:val="left"/>
      <w:pPr>
        <w:ind w:left="5440" w:hanging="627"/>
      </w:pPr>
      <w:rPr>
        <w:rFonts w:hint="default"/>
        <w:lang w:val="zh-CN" w:eastAsia="zh-CN" w:bidi="zh-CN"/>
      </w:rPr>
    </w:lvl>
    <w:lvl w:ilvl="5" w:tentative="0">
      <w:start w:val="0"/>
      <w:numFmt w:val="bullet"/>
      <w:lvlText w:val="•"/>
      <w:lvlJc w:val="left"/>
      <w:pPr>
        <w:ind w:left="6385" w:hanging="627"/>
      </w:pPr>
      <w:rPr>
        <w:rFonts w:hint="default"/>
        <w:lang w:val="zh-CN" w:eastAsia="zh-CN" w:bidi="zh-CN"/>
      </w:rPr>
    </w:lvl>
    <w:lvl w:ilvl="6" w:tentative="0">
      <w:start w:val="0"/>
      <w:numFmt w:val="bullet"/>
      <w:lvlText w:val="•"/>
      <w:lvlJc w:val="left"/>
      <w:pPr>
        <w:ind w:left="7330" w:hanging="627"/>
      </w:pPr>
      <w:rPr>
        <w:rFonts w:hint="default"/>
        <w:lang w:val="zh-CN" w:eastAsia="zh-CN" w:bidi="zh-CN"/>
      </w:rPr>
    </w:lvl>
    <w:lvl w:ilvl="7" w:tentative="0">
      <w:start w:val="0"/>
      <w:numFmt w:val="bullet"/>
      <w:lvlText w:val="•"/>
      <w:lvlJc w:val="left"/>
      <w:pPr>
        <w:ind w:left="8275" w:hanging="627"/>
      </w:pPr>
      <w:rPr>
        <w:rFonts w:hint="default"/>
        <w:lang w:val="zh-CN" w:eastAsia="zh-CN" w:bidi="zh-CN"/>
      </w:rPr>
    </w:lvl>
    <w:lvl w:ilvl="8" w:tentative="0">
      <w:start w:val="0"/>
      <w:numFmt w:val="bullet"/>
      <w:lvlText w:val="•"/>
      <w:lvlJc w:val="left"/>
      <w:pPr>
        <w:ind w:left="9220" w:hanging="627"/>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219" w:hanging="601"/>
        <w:jc w:val="left"/>
      </w:pPr>
      <w:rPr>
        <w:rFonts w:hint="default" w:ascii="宋体" w:hAnsi="宋体" w:eastAsia="宋体" w:cs="宋体"/>
        <w:spacing w:val="-17"/>
        <w:w w:val="100"/>
        <w:sz w:val="22"/>
        <w:szCs w:val="22"/>
        <w:lang w:val="zh-CN" w:eastAsia="zh-CN" w:bidi="zh-CN"/>
      </w:rPr>
    </w:lvl>
    <w:lvl w:ilvl="1" w:tentative="0">
      <w:start w:val="1"/>
      <w:numFmt w:val="decimal"/>
      <w:lvlText w:val="(%2)"/>
      <w:lvlJc w:val="left"/>
      <w:pPr>
        <w:ind w:left="552" w:hanging="416"/>
        <w:jc w:val="left"/>
      </w:pPr>
      <w:rPr>
        <w:rFonts w:hint="default" w:ascii="微软雅黑" w:hAnsi="微软雅黑" w:eastAsia="微软雅黑" w:cs="微软雅黑"/>
        <w:spacing w:val="-28"/>
        <w:w w:val="100"/>
        <w:sz w:val="24"/>
        <w:szCs w:val="24"/>
        <w:lang w:val="zh-CN" w:eastAsia="zh-CN" w:bidi="zh-CN"/>
      </w:rPr>
    </w:lvl>
    <w:lvl w:ilvl="2" w:tentative="0">
      <w:start w:val="0"/>
      <w:numFmt w:val="bullet"/>
      <w:lvlText w:val="•"/>
      <w:lvlJc w:val="left"/>
      <w:pPr>
        <w:ind w:left="1732" w:hanging="416"/>
      </w:pPr>
      <w:rPr>
        <w:rFonts w:hint="default"/>
        <w:lang w:val="zh-CN" w:eastAsia="zh-CN" w:bidi="zh-CN"/>
      </w:rPr>
    </w:lvl>
    <w:lvl w:ilvl="3" w:tentative="0">
      <w:start w:val="0"/>
      <w:numFmt w:val="bullet"/>
      <w:lvlText w:val="•"/>
      <w:lvlJc w:val="left"/>
      <w:pPr>
        <w:ind w:left="2904" w:hanging="416"/>
      </w:pPr>
      <w:rPr>
        <w:rFonts w:hint="default"/>
        <w:lang w:val="zh-CN" w:eastAsia="zh-CN" w:bidi="zh-CN"/>
      </w:rPr>
    </w:lvl>
    <w:lvl w:ilvl="4" w:tentative="0">
      <w:start w:val="0"/>
      <w:numFmt w:val="bullet"/>
      <w:lvlText w:val="•"/>
      <w:lvlJc w:val="left"/>
      <w:pPr>
        <w:ind w:left="4076" w:hanging="416"/>
      </w:pPr>
      <w:rPr>
        <w:rFonts w:hint="default"/>
        <w:lang w:val="zh-CN" w:eastAsia="zh-CN" w:bidi="zh-CN"/>
      </w:rPr>
    </w:lvl>
    <w:lvl w:ilvl="5" w:tentative="0">
      <w:start w:val="0"/>
      <w:numFmt w:val="bullet"/>
      <w:lvlText w:val="•"/>
      <w:lvlJc w:val="left"/>
      <w:pPr>
        <w:ind w:left="5248" w:hanging="416"/>
      </w:pPr>
      <w:rPr>
        <w:rFonts w:hint="default"/>
        <w:lang w:val="zh-CN" w:eastAsia="zh-CN" w:bidi="zh-CN"/>
      </w:rPr>
    </w:lvl>
    <w:lvl w:ilvl="6" w:tentative="0">
      <w:start w:val="0"/>
      <w:numFmt w:val="bullet"/>
      <w:lvlText w:val="•"/>
      <w:lvlJc w:val="left"/>
      <w:pPr>
        <w:ind w:left="6421" w:hanging="416"/>
      </w:pPr>
      <w:rPr>
        <w:rFonts w:hint="default"/>
        <w:lang w:val="zh-CN" w:eastAsia="zh-CN" w:bidi="zh-CN"/>
      </w:rPr>
    </w:lvl>
    <w:lvl w:ilvl="7" w:tentative="0">
      <w:start w:val="0"/>
      <w:numFmt w:val="bullet"/>
      <w:lvlText w:val="•"/>
      <w:lvlJc w:val="left"/>
      <w:pPr>
        <w:ind w:left="7593" w:hanging="416"/>
      </w:pPr>
      <w:rPr>
        <w:rFonts w:hint="default"/>
        <w:lang w:val="zh-CN" w:eastAsia="zh-CN" w:bidi="zh-CN"/>
      </w:rPr>
    </w:lvl>
    <w:lvl w:ilvl="8" w:tentative="0">
      <w:start w:val="0"/>
      <w:numFmt w:val="bullet"/>
      <w:lvlText w:val="•"/>
      <w:lvlJc w:val="left"/>
      <w:pPr>
        <w:ind w:left="8765" w:hanging="416"/>
      </w:pPr>
      <w:rPr>
        <w:rFonts w:hint="default"/>
        <w:lang w:val="zh-CN" w:eastAsia="zh-CN" w:bidi="zh-CN"/>
      </w:rPr>
    </w:lvl>
  </w:abstractNum>
  <w:abstractNum w:abstractNumId="9">
    <w:nsid w:val="F0E500C1"/>
    <w:multiLevelType w:val="singleLevel"/>
    <w:tmpl w:val="F0E500C1"/>
    <w:lvl w:ilvl="0" w:tentative="0">
      <w:start w:val="2"/>
      <w:numFmt w:val="chineseCounting"/>
      <w:suff w:val="nothing"/>
      <w:lvlText w:val="（%1）"/>
      <w:lvlJc w:val="left"/>
      <w:rPr>
        <w:rFonts w:hint="eastAsia"/>
      </w:rPr>
    </w:lvl>
  </w:abstractNum>
  <w:abstractNum w:abstractNumId="10">
    <w:nsid w:val="F4B5D9F5"/>
    <w:multiLevelType w:val="multilevel"/>
    <w:tmpl w:val="F4B5D9F5"/>
    <w:lvl w:ilvl="0" w:tentative="0">
      <w:start w:val="1"/>
      <w:numFmt w:val="decimal"/>
      <w:lvlText w:val="（%1）"/>
      <w:lvlJc w:val="left"/>
      <w:pPr>
        <w:ind w:left="130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81" w:hanging="601"/>
      </w:pPr>
      <w:rPr>
        <w:rFonts w:hint="default"/>
        <w:lang w:val="zh-CN" w:eastAsia="zh-CN" w:bidi="zh-CN"/>
      </w:rPr>
    </w:lvl>
    <w:lvl w:ilvl="2" w:tentative="0">
      <w:start w:val="0"/>
      <w:numFmt w:val="bullet"/>
      <w:lvlText w:val="•"/>
      <w:lvlJc w:val="left"/>
      <w:pPr>
        <w:ind w:left="3262" w:hanging="601"/>
      </w:pPr>
      <w:rPr>
        <w:rFonts w:hint="default"/>
        <w:lang w:val="zh-CN" w:eastAsia="zh-CN" w:bidi="zh-CN"/>
      </w:rPr>
    </w:lvl>
    <w:lvl w:ilvl="3" w:tentative="0">
      <w:start w:val="0"/>
      <w:numFmt w:val="bullet"/>
      <w:lvlText w:val="•"/>
      <w:lvlJc w:val="left"/>
      <w:pPr>
        <w:ind w:left="4243" w:hanging="601"/>
      </w:pPr>
      <w:rPr>
        <w:rFonts w:hint="default"/>
        <w:lang w:val="zh-CN" w:eastAsia="zh-CN" w:bidi="zh-CN"/>
      </w:rPr>
    </w:lvl>
    <w:lvl w:ilvl="4" w:tentative="0">
      <w:start w:val="0"/>
      <w:numFmt w:val="bullet"/>
      <w:lvlText w:val="•"/>
      <w:lvlJc w:val="left"/>
      <w:pPr>
        <w:ind w:left="5224" w:hanging="601"/>
      </w:pPr>
      <w:rPr>
        <w:rFonts w:hint="default"/>
        <w:lang w:val="zh-CN" w:eastAsia="zh-CN" w:bidi="zh-CN"/>
      </w:rPr>
    </w:lvl>
    <w:lvl w:ilvl="5" w:tentative="0">
      <w:start w:val="0"/>
      <w:numFmt w:val="bullet"/>
      <w:lvlText w:val="•"/>
      <w:lvlJc w:val="left"/>
      <w:pPr>
        <w:ind w:left="6205" w:hanging="601"/>
      </w:pPr>
      <w:rPr>
        <w:rFonts w:hint="default"/>
        <w:lang w:val="zh-CN" w:eastAsia="zh-CN" w:bidi="zh-CN"/>
      </w:rPr>
    </w:lvl>
    <w:lvl w:ilvl="6" w:tentative="0">
      <w:start w:val="0"/>
      <w:numFmt w:val="bullet"/>
      <w:lvlText w:val="•"/>
      <w:lvlJc w:val="left"/>
      <w:pPr>
        <w:ind w:left="7186" w:hanging="601"/>
      </w:pPr>
      <w:rPr>
        <w:rFonts w:hint="default"/>
        <w:lang w:val="zh-CN" w:eastAsia="zh-CN" w:bidi="zh-CN"/>
      </w:rPr>
    </w:lvl>
    <w:lvl w:ilvl="7" w:tentative="0">
      <w:start w:val="0"/>
      <w:numFmt w:val="bullet"/>
      <w:lvlText w:val="•"/>
      <w:lvlJc w:val="left"/>
      <w:pPr>
        <w:ind w:left="8167" w:hanging="601"/>
      </w:pPr>
      <w:rPr>
        <w:rFonts w:hint="default"/>
        <w:lang w:val="zh-CN" w:eastAsia="zh-CN" w:bidi="zh-CN"/>
      </w:rPr>
    </w:lvl>
    <w:lvl w:ilvl="8" w:tentative="0">
      <w:start w:val="0"/>
      <w:numFmt w:val="bullet"/>
      <w:lvlText w:val="•"/>
      <w:lvlJc w:val="left"/>
      <w:pPr>
        <w:ind w:left="9148" w:hanging="601"/>
      </w:pPr>
      <w:rPr>
        <w:rFonts w:hint="default"/>
        <w:lang w:val="zh-CN" w:eastAsia="zh-CN" w:bidi="zh-CN"/>
      </w:rPr>
    </w:lvl>
  </w:abstractNum>
  <w:abstractNum w:abstractNumId="11">
    <w:nsid w:val="0248C179"/>
    <w:multiLevelType w:val="multilevel"/>
    <w:tmpl w:val="0248C179"/>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44" w:hanging="241"/>
      </w:pPr>
      <w:rPr>
        <w:rFonts w:hint="default"/>
        <w:lang w:val="zh-CN" w:eastAsia="zh-CN" w:bidi="zh-CN"/>
      </w:rPr>
    </w:lvl>
    <w:lvl w:ilvl="2" w:tentative="0">
      <w:start w:val="0"/>
      <w:numFmt w:val="bullet"/>
      <w:lvlText w:val="•"/>
      <w:lvlJc w:val="left"/>
      <w:pPr>
        <w:ind w:left="1749" w:hanging="241"/>
      </w:pPr>
      <w:rPr>
        <w:rFonts w:hint="default"/>
        <w:lang w:val="zh-CN" w:eastAsia="zh-CN" w:bidi="zh-CN"/>
      </w:rPr>
    </w:lvl>
    <w:lvl w:ilvl="3" w:tentative="0">
      <w:start w:val="0"/>
      <w:numFmt w:val="bullet"/>
      <w:lvlText w:val="•"/>
      <w:lvlJc w:val="left"/>
      <w:pPr>
        <w:ind w:left="2454" w:hanging="241"/>
      </w:pPr>
      <w:rPr>
        <w:rFonts w:hint="default"/>
        <w:lang w:val="zh-CN" w:eastAsia="zh-CN" w:bidi="zh-CN"/>
      </w:rPr>
    </w:lvl>
    <w:lvl w:ilvl="4" w:tentative="0">
      <w:start w:val="0"/>
      <w:numFmt w:val="bullet"/>
      <w:lvlText w:val="•"/>
      <w:lvlJc w:val="left"/>
      <w:pPr>
        <w:ind w:left="3159" w:hanging="241"/>
      </w:pPr>
      <w:rPr>
        <w:rFonts w:hint="default"/>
        <w:lang w:val="zh-CN" w:eastAsia="zh-CN" w:bidi="zh-CN"/>
      </w:rPr>
    </w:lvl>
    <w:lvl w:ilvl="5" w:tentative="0">
      <w:start w:val="0"/>
      <w:numFmt w:val="bullet"/>
      <w:lvlText w:val="•"/>
      <w:lvlJc w:val="left"/>
      <w:pPr>
        <w:ind w:left="3864" w:hanging="241"/>
      </w:pPr>
      <w:rPr>
        <w:rFonts w:hint="default"/>
        <w:lang w:val="zh-CN" w:eastAsia="zh-CN" w:bidi="zh-CN"/>
      </w:rPr>
    </w:lvl>
    <w:lvl w:ilvl="6" w:tentative="0">
      <w:start w:val="0"/>
      <w:numFmt w:val="bullet"/>
      <w:lvlText w:val="•"/>
      <w:lvlJc w:val="left"/>
      <w:pPr>
        <w:ind w:left="4569" w:hanging="241"/>
      </w:pPr>
      <w:rPr>
        <w:rFonts w:hint="default"/>
        <w:lang w:val="zh-CN" w:eastAsia="zh-CN" w:bidi="zh-CN"/>
      </w:rPr>
    </w:lvl>
    <w:lvl w:ilvl="7" w:tentative="0">
      <w:start w:val="0"/>
      <w:numFmt w:val="bullet"/>
      <w:lvlText w:val="•"/>
      <w:lvlJc w:val="left"/>
      <w:pPr>
        <w:ind w:left="5274" w:hanging="241"/>
      </w:pPr>
      <w:rPr>
        <w:rFonts w:hint="default"/>
        <w:lang w:val="zh-CN" w:eastAsia="zh-CN" w:bidi="zh-CN"/>
      </w:rPr>
    </w:lvl>
    <w:lvl w:ilvl="8" w:tentative="0">
      <w:start w:val="0"/>
      <w:numFmt w:val="bullet"/>
      <w:lvlText w:val="•"/>
      <w:lvlJc w:val="left"/>
      <w:pPr>
        <w:ind w:left="5979" w:hanging="241"/>
      </w:pPr>
      <w:rPr>
        <w:rFonts w:hint="default"/>
        <w:lang w:val="zh-CN" w:eastAsia="zh-CN" w:bidi="zh-CN"/>
      </w:rPr>
    </w:lvl>
  </w:abstractNum>
  <w:abstractNum w:abstractNumId="12">
    <w:nsid w:val="03D62ECE"/>
    <w:multiLevelType w:val="multilevel"/>
    <w:tmpl w:val="03D62ECE"/>
    <w:lvl w:ilvl="0" w:tentative="0">
      <w:start w:val="0"/>
      <w:numFmt w:val="bullet"/>
      <w:lvlText w:val="■"/>
      <w:lvlJc w:val="left"/>
      <w:pPr>
        <w:ind w:left="466"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2" w:hanging="360"/>
      </w:pPr>
      <w:rPr>
        <w:rFonts w:hint="default"/>
        <w:lang w:val="zh-CN" w:eastAsia="zh-CN" w:bidi="zh-CN"/>
      </w:rPr>
    </w:lvl>
    <w:lvl w:ilvl="2" w:tentative="0">
      <w:start w:val="0"/>
      <w:numFmt w:val="bullet"/>
      <w:lvlText w:val="•"/>
      <w:lvlJc w:val="left"/>
      <w:pPr>
        <w:ind w:left="1845" w:hanging="360"/>
      </w:pPr>
      <w:rPr>
        <w:rFonts w:hint="default"/>
        <w:lang w:val="zh-CN" w:eastAsia="zh-CN" w:bidi="zh-CN"/>
      </w:rPr>
    </w:lvl>
    <w:lvl w:ilvl="3" w:tentative="0">
      <w:start w:val="0"/>
      <w:numFmt w:val="bullet"/>
      <w:lvlText w:val="•"/>
      <w:lvlJc w:val="left"/>
      <w:pPr>
        <w:ind w:left="2538" w:hanging="360"/>
      </w:pPr>
      <w:rPr>
        <w:rFonts w:hint="default"/>
        <w:lang w:val="zh-CN" w:eastAsia="zh-CN" w:bidi="zh-CN"/>
      </w:rPr>
    </w:lvl>
    <w:lvl w:ilvl="4" w:tentative="0">
      <w:start w:val="0"/>
      <w:numFmt w:val="bullet"/>
      <w:lvlText w:val="•"/>
      <w:lvlJc w:val="left"/>
      <w:pPr>
        <w:ind w:left="3231" w:hanging="360"/>
      </w:pPr>
      <w:rPr>
        <w:rFonts w:hint="default"/>
        <w:lang w:val="zh-CN" w:eastAsia="zh-CN" w:bidi="zh-CN"/>
      </w:rPr>
    </w:lvl>
    <w:lvl w:ilvl="5" w:tentative="0">
      <w:start w:val="0"/>
      <w:numFmt w:val="bullet"/>
      <w:lvlText w:val="•"/>
      <w:lvlJc w:val="left"/>
      <w:pPr>
        <w:ind w:left="3924" w:hanging="360"/>
      </w:pPr>
      <w:rPr>
        <w:rFonts w:hint="default"/>
        <w:lang w:val="zh-CN" w:eastAsia="zh-CN" w:bidi="zh-CN"/>
      </w:rPr>
    </w:lvl>
    <w:lvl w:ilvl="6" w:tentative="0">
      <w:start w:val="0"/>
      <w:numFmt w:val="bullet"/>
      <w:lvlText w:val="•"/>
      <w:lvlJc w:val="left"/>
      <w:pPr>
        <w:ind w:left="4617" w:hanging="360"/>
      </w:pPr>
      <w:rPr>
        <w:rFonts w:hint="default"/>
        <w:lang w:val="zh-CN" w:eastAsia="zh-CN" w:bidi="zh-CN"/>
      </w:rPr>
    </w:lvl>
    <w:lvl w:ilvl="7" w:tentative="0">
      <w:start w:val="0"/>
      <w:numFmt w:val="bullet"/>
      <w:lvlText w:val="•"/>
      <w:lvlJc w:val="left"/>
      <w:pPr>
        <w:ind w:left="5310" w:hanging="360"/>
      </w:pPr>
      <w:rPr>
        <w:rFonts w:hint="default"/>
        <w:lang w:val="zh-CN" w:eastAsia="zh-CN" w:bidi="zh-CN"/>
      </w:rPr>
    </w:lvl>
    <w:lvl w:ilvl="8" w:tentative="0">
      <w:start w:val="0"/>
      <w:numFmt w:val="bullet"/>
      <w:lvlText w:val="•"/>
      <w:lvlJc w:val="left"/>
      <w:pPr>
        <w:ind w:left="6003" w:hanging="360"/>
      </w:pPr>
      <w:rPr>
        <w:rFonts w:hint="default"/>
        <w:lang w:val="zh-CN" w:eastAsia="zh-CN" w:bidi="zh-CN"/>
      </w:rPr>
    </w:lvl>
  </w:abstractNum>
  <w:abstractNum w:abstractNumId="13">
    <w:nsid w:val="0D98D616"/>
    <w:multiLevelType w:val="singleLevel"/>
    <w:tmpl w:val="0D98D616"/>
    <w:lvl w:ilvl="0" w:tentative="0">
      <w:start w:val="3"/>
      <w:numFmt w:val="decimal"/>
      <w:suff w:val="nothing"/>
      <w:lvlText w:val="%1、"/>
      <w:lvlJc w:val="left"/>
    </w:lvl>
  </w:abstractNum>
  <w:abstractNum w:abstractNumId="14">
    <w:nsid w:val="0E640482"/>
    <w:multiLevelType w:val="multilevel"/>
    <w:tmpl w:val="0E640482"/>
    <w:lvl w:ilvl="0" w:tentative="0">
      <w:start w:val="3"/>
      <w:numFmt w:val="upperLetter"/>
      <w:lvlText w:val="%1."/>
      <w:lvlJc w:val="left"/>
      <w:pPr>
        <w:ind w:left="1032" w:hanging="24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87" w:hanging="243"/>
      </w:pPr>
      <w:rPr>
        <w:rFonts w:hint="default"/>
        <w:lang w:val="zh-CN" w:eastAsia="zh-CN" w:bidi="zh-CN"/>
      </w:rPr>
    </w:lvl>
    <w:lvl w:ilvl="2" w:tentative="0">
      <w:start w:val="0"/>
      <w:numFmt w:val="bullet"/>
      <w:lvlText w:val="•"/>
      <w:lvlJc w:val="left"/>
      <w:pPr>
        <w:ind w:left="2934" w:hanging="243"/>
      </w:pPr>
      <w:rPr>
        <w:rFonts w:hint="default"/>
        <w:lang w:val="zh-CN" w:eastAsia="zh-CN" w:bidi="zh-CN"/>
      </w:rPr>
    </w:lvl>
    <w:lvl w:ilvl="3" w:tentative="0">
      <w:start w:val="0"/>
      <w:numFmt w:val="bullet"/>
      <w:lvlText w:val="•"/>
      <w:lvlJc w:val="left"/>
      <w:pPr>
        <w:ind w:left="3881" w:hanging="243"/>
      </w:pPr>
      <w:rPr>
        <w:rFonts w:hint="default"/>
        <w:lang w:val="zh-CN" w:eastAsia="zh-CN" w:bidi="zh-CN"/>
      </w:rPr>
    </w:lvl>
    <w:lvl w:ilvl="4" w:tentative="0">
      <w:start w:val="0"/>
      <w:numFmt w:val="bullet"/>
      <w:lvlText w:val="•"/>
      <w:lvlJc w:val="left"/>
      <w:pPr>
        <w:ind w:left="4828" w:hanging="243"/>
      </w:pPr>
      <w:rPr>
        <w:rFonts w:hint="default"/>
        <w:lang w:val="zh-CN" w:eastAsia="zh-CN" w:bidi="zh-CN"/>
      </w:rPr>
    </w:lvl>
    <w:lvl w:ilvl="5" w:tentative="0">
      <w:start w:val="0"/>
      <w:numFmt w:val="bullet"/>
      <w:lvlText w:val="•"/>
      <w:lvlJc w:val="left"/>
      <w:pPr>
        <w:ind w:left="5775" w:hanging="243"/>
      </w:pPr>
      <w:rPr>
        <w:rFonts w:hint="default"/>
        <w:lang w:val="zh-CN" w:eastAsia="zh-CN" w:bidi="zh-CN"/>
      </w:rPr>
    </w:lvl>
    <w:lvl w:ilvl="6" w:tentative="0">
      <w:start w:val="0"/>
      <w:numFmt w:val="bullet"/>
      <w:lvlText w:val="•"/>
      <w:lvlJc w:val="left"/>
      <w:pPr>
        <w:ind w:left="6722" w:hanging="243"/>
      </w:pPr>
      <w:rPr>
        <w:rFonts w:hint="default"/>
        <w:lang w:val="zh-CN" w:eastAsia="zh-CN" w:bidi="zh-CN"/>
      </w:rPr>
    </w:lvl>
    <w:lvl w:ilvl="7" w:tentative="0">
      <w:start w:val="0"/>
      <w:numFmt w:val="bullet"/>
      <w:lvlText w:val="•"/>
      <w:lvlJc w:val="left"/>
      <w:pPr>
        <w:ind w:left="7669" w:hanging="243"/>
      </w:pPr>
      <w:rPr>
        <w:rFonts w:hint="default"/>
        <w:lang w:val="zh-CN" w:eastAsia="zh-CN" w:bidi="zh-CN"/>
      </w:rPr>
    </w:lvl>
    <w:lvl w:ilvl="8" w:tentative="0">
      <w:start w:val="0"/>
      <w:numFmt w:val="bullet"/>
      <w:lvlText w:val="•"/>
      <w:lvlJc w:val="left"/>
      <w:pPr>
        <w:ind w:left="8616" w:hanging="243"/>
      </w:pPr>
      <w:rPr>
        <w:rFonts w:hint="default"/>
        <w:lang w:val="zh-CN" w:eastAsia="zh-CN" w:bidi="zh-CN"/>
      </w:rPr>
    </w:lvl>
  </w:abstractNum>
  <w:abstractNum w:abstractNumId="15">
    <w:nsid w:val="2470EC97"/>
    <w:multiLevelType w:val="multilevel"/>
    <w:tmpl w:val="2470EC97"/>
    <w:lvl w:ilvl="0" w:tentative="0">
      <w:start w:val="1"/>
      <w:numFmt w:val="decimal"/>
      <w:lvlText w:val="（%1）"/>
      <w:lvlJc w:val="left"/>
      <w:pPr>
        <w:ind w:left="219"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09" w:hanging="601"/>
      </w:pPr>
      <w:rPr>
        <w:rFonts w:hint="default"/>
        <w:lang w:val="zh-CN" w:eastAsia="zh-CN" w:bidi="zh-CN"/>
      </w:rPr>
    </w:lvl>
    <w:lvl w:ilvl="2" w:tentative="0">
      <w:start w:val="0"/>
      <w:numFmt w:val="bullet"/>
      <w:lvlText w:val="•"/>
      <w:lvlJc w:val="left"/>
      <w:pPr>
        <w:ind w:left="2398" w:hanging="601"/>
      </w:pPr>
      <w:rPr>
        <w:rFonts w:hint="default"/>
        <w:lang w:val="zh-CN" w:eastAsia="zh-CN" w:bidi="zh-CN"/>
      </w:rPr>
    </w:lvl>
    <w:lvl w:ilvl="3" w:tentative="0">
      <w:start w:val="0"/>
      <w:numFmt w:val="bullet"/>
      <w:lvlText w:val="•"/>
      <w:lvlJc w:val="left"/>
      <w:pPr>
        <w:ind w:left="3487" w:hanging="601"/>
      </w:pPr>
      <w:rPr>
        <w:rFonts w:hint="default"/>
        <w:lang w:val="zh-CN" w:eastAsia="zh-CN" w:bidi="zh-CN"/>
      </w:rPr>
    </w:lvl>
    <w:lvl w:ilvl="4" w:tentative="0">
      <w:start w:val="0"/>
      <w:numFmt w:val="bullet"/>
      <w:lvlText w:val="•"/>
      <w:lvlJc w:val="left"/>
      <w:pPr>
        <w:ind w:left="4576" w:hanging="601"/>
      </w:pPr>
      <w:rPr>
        <w:rFonts w:hint="default"/>
        <w:lang w:val="zh-CN" w:eastAsia="zh-CN" w:bidi="zh-CN"/>
      </w:rPr>
    </w:lvl>
    <w:lvl w:ilvl="5" w:tentative="0">
      <w:start w:val="0"/>
      <w:numFmt w:val="bullet"/>
      <w:lvlText w:val="•"/>
      <w:lvlJc w:val="left"/>
      <w:pPr>
        <w:ind w:left="5665" w:hanging="601"/>
      </w:pPr>
      <w:rPr>
        <w:rFonts w:hint="default"/>
        <w:lang w:val="zh-CN" w:eastAsia="zh-CN" w:bidi="zh-CN"/>
      </w:rPr>
    </w:lvl>
    <w:lvl w:ilvl="6" w:tentative="0">
      <w:start w:val="0"/>
      <w:numFmt w:val="bullet"/>
      <w:lvlText w:val="•"/>
      <w:lvlJc w:val="left"/>
      <w:pPr>
        <w:ind w:left="6754" w:hanging="601"/>
      </w:pPr>
      <w:rPr>
        <w:rFonts w:hint="default"/>
        <w:lang w:val="zh-CN" w:eastAsia="zh-CN" w:bidi="zh-CN"/>
      </w:rPr>
    </w:lvl>
    <w:lvl w:ilvl="7" w:tentative="0">
      <w:start w:val="0"/>
      <w:numFmt w:val="bullet"/>
      <w:lvlText w:val="•"/>
      <w:lvlJc w:val="left"/>
      <w:pPr>
        <w:ind w:left="7843" w:hanging="601"/>
      </w:pPr>
      <w:rPr>
        <w:rFonts w:hint="default"/>
        <w:lang w:val="zh-CN" w:eastAsia="zh-CN" w:bidi="zh-CN"/>
      </w:rPr>
    </w:lvl>
    <w:lvl w:ilvl="8" w:tentative="0">
      <w:start w:val="0"/>
      <w:numFmt w:val="bullet"/>
      <w:lvlText w:val="•"/>
      <w:lvlJc w:val="left"/>
      <w:pPr>
        <w:ind w:left="8932" w:hanging="601"/>
      </w:pPr>
      <w:rPr>
        <w:rFonts w:hint="default"/>
        <w:lang w:val="zh-CN" w:eastAsia="zh-CN" w:bidi="zh-CN"/>
      </w:rPr>
    </w:lvl>
  </w:abstractNum>
  <w:abstractNum w:abstractNumId="16">
    <w:nsid w:val="25B654F3"/>
    <w:multiLevelType w:val="multilevel"/>
    <w:tmpl w:val="25B654F3"/>
    <w:lvl w:ilvl="0" w:tentative="0">
      <w:start w:val="0"/>
      <w:numFmt w:val="bullet"/>
      <w:lvlText w:val="■"/>
      <w:lvlJc w:val="left"/>
      <w:pPr>
        <w:ind w:left="466"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2" w:hanging="360"/>
      </w:pPr>
      <w:rPr>
        <w:rFonts w:hint="default"/>
        <w:lang w:val="zh-CN" w:eastAsia="zh-CN" w:bidi="zh-CN"/>
      </w:rPr>
    </w:lvl>
    <w:lvl w:ilvl="2" w:tentative="0">
      <w:start w:val="0"/>
      <w:numFmt w:val="bullet"/>
      <w:lvlText w:val="•"/>
      <w:lvlJc w:val="left"/>
      <w:pPr>
        <w:ind w:left="1845" w:hanging="360"/>
      </w:pPr>
      <w:rPr>
        <w:rFonts w:hint="default"/>
        <w:lang w:val="zh-CN" w:eastAsia="zh-CN" w:bidi="zh-CN"/>
      </w:rPr>
    </w:lvl>
    <w:lvl w:ilvl="3" w:tentative="0">
      <w:start w:val="0"/>
      <w:numFmt w:val="bullet"/>
      <w:lvlText w:val="•"/>
      <w:lvlJc w:val="left"/>
      <w:pPr>
        <w:ind w:left="2538" w:hanging="360"/>
      </w:pPr>
      <w:rPr>
        <w:rFonts w:hint="default"/>
        <w:lang w:val="zh-CN" w:eastAsia="zh-CN" w:bidi="zh-CN"/>
      </w:rPr>
    </w:lvl>
    <w:lvl w:ilvl="4" w:tentative="0">
      <w:start w:val="0"/>
      <w:numFmt w:val="bullet"/>
      <w:lvlText w:val="•"/>
      <w:lvlJc w:val="left"/>
      <w:pPr>
        <w:ind w:left="3231" w:hanging="360"/>
      </w:pPr>
      <w:rPr>
        <w:rFonts w:hint="default"/>
        <w:lang w:val="zh-CN" w:eastAsia="zh-CN" w:bidi="zh-CN"/>
      </w:rPr>
    </w:lvl>
    <w:lvl w:ilvl="5" w:tentative="0">
      <w:start w:val="0"/>
      <w:numFmt w:val="bullet"/>
      <w:lvlText w:val="•"/>
      <w:lvlJc w:val="left"/>
      <w:pPr>
        <w:ind w:left="3924" w:hanging="360"/>
      </w:pPr>
      <w:rPr>
        <w:rFonts w:hint="default"/>
        <w:lang w:val="zh-CN" w:eastAsia="zh-CN" w:bidi="zh-CN"/>
      </w:rPr>
    </w:lvl>
    <w:lvl w:ilvl="6" w:tentative="0">
      <w:start w:val="0"/>
      <w:numFmt w:val="bullet"/>
      <w:lvlText w:val="•"/>
      <w:lvlJc w:val="left"/>
      <w:pPr>
        <w:ind w:left="4617" w:hanging="360"/>
      </w:pPr>
      <w:rPr>
        <w:rFonts w:hint="default"/>
        <w:lang w:val="zh-CN" w:eastAsia="zh-CN" w:bidi="zh-CN"/>
      </w:rPr>
    </w:lvl>
    <w:lvl w:ilvl="7" w:tentative="0">
      <w:start w:val="0"/>
      <w:numFmt w:val="bullet"/>
      <w:lvlText w:val="•"/>
      <w:lvlJc w:val="left"/>
      <w:pPr>
        <w:ind w:left="5310" w:hanging="360"/>
      </w:pPr>
      <w:rPr>
        <w:rFonts w:hint="default"/>
        <w:lang w:val="zh-CN" w:eastAsia="zh-CN" w:bidi="zh-CN"/>
      </w:rPr>
    </w:lvl>
    <w:lvl w:ilvl="8" w:tentative="0">
      <w:start w:val="0"/>
      <w:numFmt w:val="bullet"/>
      <w:lvlText w:val="•"/>
      <w:lvlJc w:val="left"/>
      <w:pPr>
        <w:ind w:left="6003" w:hanging="360"/>
      </w:pPr>
      <w:rPr>
        <w:rFonts w:hint="default"/>
        <w:lang w:val="zh-CN" w:eastAsia="zh-CN" w:bidi="zh-CN"/>
      </w:rPr>
    </w:lvl>
  </w:abstractNum>
  <w:abstractNum w:abstractNumId="17">
    <w:nsid w:val="2A8F537B"/>
    <w:multiLevelType w:val="multilevel"/>
    <w:tmpl w:val="2A8F537B"/>
    <w:lvl w:ilvl="0" w:tentative="0">
      <w:start w:val="0"/>
      <w:numFmt w:val="bullet"/>
      <w:lvlText w:val="■"/>
      <w:lvlJc w:val="left"/>
      <w:pPr>
        <w:ind w:left="347"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44" w:hanging="241"/>
      </w:pPr>
      <w:rPr>
        <w:rFonts w:hint="default"/>
        <w:lang w:val="zh-CN" w:eastAsia="zh-CN" w:bidi="zh-CN"/>
      </w:rPr>
    </w:lvl>
    <w:lvl w:ilvl="2" w:tentative="0">
      <w:start w:val="0"/>
      <w:numFmt w:val="bullet"/>
      <w:lvlText w:val="•"/>
      <w:lvlJc w:val="left"/>
      <w:pPr>
        <w:ind w:left="1749" w:hanging="241"/>
      </w:pPr>
      <w:rPr>
        <w:rFonts w:hint="default"/>
        <w:lang w:val="zh-CN" w:eastAsia="zh-CN" w:bidi="zh-CN"/>
      </w:rPr>
    </w:lvl>
    <w:lvl w:ilvl="3" w:tentative="0">
      <w:start w:val="0"/>
      <w:numFmt w:val="bullet"/>
      <w:lvlText w:val="•"/>
      <w:lvlJc w:val="left"/>
      <w:pPr>
        <w:ind w:left="2454" w:hanging="241"/>
      </w:pPr>
      <w:rPr>
        <w:rFonts w:hint="default"/>
        <w:lang w:val="zh-CN" w:eastAsia="zh-CN" w:bidi="zh-CN"/>
      </w:rPr>
    </w:lvl>
    <w:lvl w:ilvl="4" w:tentative="0">
      <w:start w:val="0"/>
      <w:numFmt w:val="bullet"/>
      <w:lvlText w:val="•"/>
      <w:lvlJc w:val="left"/>
      <w:pPr>
        <w:ind w:left="3159" w:hanging="241"/>
      </w:pPr>
      <w:rPr>
        <w:rFonts w:hint="default"/>
        <w:lang w:val="zh-CN" w:eastAsia="zh-CN" w:bidi="zh-CN"/>
      </w:rPr>
    </w:lvl>
    <w:lvl w:ilvl="5" w:tentative="0">
      <w:start w:val="0"/>
      <w:numFmt w:val="bullet"/>
      <w:lvlText w:val="•"/>
      <w:lvlJc w:val="left"/>
      <w:pPr>
        <w:ind w:left="3864" w:hanging="241"/>
      </w:pPr>
      <w:rPr>
        <w:rFonts w:hint="default"/>
        <w:lang w:val="zh-CN" w:eastAsia="zh-CN" w:bidi="zh-CN"/>
      </w:rPr>
    </w:lvl>
    <w:lvl w:ilvl="6" w:tentative="0">
      <w:start w:val="0"/>
      <w:numFmt w:val="bullet"/>
      <w:lvlText w:val="•"/>
      <w:lvlJc w:val="left"/>
      <w:pPr>
        <w:ind w:left="4569" w:hanging="241"/>
      </w:pPr>
      <w:rPr>
        <w:rFonts w:hint="default"/>
        <w:lang w:val="zh-CN" w:eastAsia="zh-CN" w:bidi="zh-CN"/>
      </w:rPr>
    </w:lvl>
    <w:lvl w:ilvl="7" w:tentative="0">
      <w:start w:val="0"/>
      <w:numFmt w:val="bullet"/>
      <w:lvlText w:val="•"/>
      <w:lvlJc w:val="left"/>
      <w:pPr>
        <w:ind w:left="5274" w:hanging="241"/>
      </w:pPr>
      <w:rPr>
        <w:rFonts w:hint="default"/>
        <w:lang w:val="zh-CN" w:eastAsia="zh-CN" w:bidi="zh-CN"/>
      </w:rPr>
    </w:lvl>
    <w:lvl w:ilvl="8" w:tentative="0">
      <w:start w:val="0"/>
      <w:numFmt w:val="bullet"/>
      <w:lvlText w:val="•"/>
      <w:lvlJc w:val="left"/>
      <w:pPr>
        <w:ind w:left="5979" w:hanging="241"/>
      </w:pPr>
      <w:rPr>
        <w:rFonts w:hint="default"/>
        <w:lang w:val="zh-CN" w:eastAsia="zh-CN" w:bidi="zh-CN"/>
      </w:rPr>
    </w:lvl>
  </w:abstractNum>
  <w:abstractNum w:abstractNumId="18">
    <w:nsid w:val="46A08BB8"/>
    <w:multiLevelType w:val="multilevel"/>
    <w:tmpl w:val="46A08BB8"/>
    <w:lvl w:ilvl="0" w:tentative="0">
      <w:start w:val="8"/>
      <w:numFmt w:val="upperLetter"/>
      <w:lvlText w:val="%1."/>
      <w:lvlJc w:val="left"/>
      <w:pPr>
        <w:ind w:left="552" w:hanging="243"/>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555" w:hanging="243"/>
      </w:pPr>
      <w:rPr>
        <w:rFonts w:hint="default"/>
        <w:lang w:val="zh-CN" w:eastAsia="zh-CN" w:bidi="zh-CN"/>
      </w:rPr>
    </w:lvl>
    <w:lvl w:ilvl="2" w:tentative="0">
      <w:start w:val="0"/>
      <w:numFmt w:val="bullet"/>
      <w:lvlText w:val="•"/>
      <w:lvlJc w:val="left"/>
      <w:pPr>
        <w:ind w:left="2550" w:hanging="243"/>
      </w:pPr>
      <w:rPr>
        <w:rFonts w:hint="default"/>
        <w:lang w:val="zh-CN" w:eastAsia="zh-CN" w:bidi="zh-CN"/>
      </w:rPr>
    </w:lvl>
    <w:lvl w:ilvl="3" w:tentative="0">
      <w:start w:val="0"/>
      <w:numFmt w:val="bullet"/>
      <w:lvlText w:val="•"/>
      <w:lvlJc w:val="left"/>
      <w:pPr>
        <w:ind w:left="3545" w:hanging="243"/>
      </w:pPr>
      <w:rPr>
        <w:rFonts w:hint="default"/>
        <w:lang w:val="zh-CN" w:eastAsia="zh-CN" w:bidi="zh-CN"/>
      </w:rPr>
    </w:lvl>
    <w:lvl w:ilvl="4" w:tentative="0">
      <w:start w:val="0"/>
      <w:numFmt w:val="bullet"/>
      <w:lvlText w:val="•"/>
      <w:lvlJc w:val="left"/>
      <w:pPr>
        <w:ind w:left="4540" w:hanging="243"/>
      </w:pPr>
      <w:rPr>
        <w:rFonts w:hint="default"/>
        <w:lang w:val="zh-CN" w:eastAsia="zh-CN" w:bidi="zh-CN"/>
      </w:rPr>
    </w:lvl>
    <w:lvl w:ilvl="5" w:tentative="0">
      <w:start w:val="0"/>
      <w:numFmt w:val="bullet"/>
      <w:lvlText w:val="•"/>
      <w:lvlJc w:val="left"/>
      <w:pPr>
        <w:ind w:left="5535" w:hanging="243"/>
      </w:pPr>
      <w:rPr>
        <w:rFonts w:hint="default"/>
        <w:lang w:val="zh-CN" w:eastAsia="zh-CN" w:bidi="zh-CN"/>
      </w:rPr>
    </w:lvl>
    <w:lvl w:ilvl="6" w:tentative="0">
      <w:start w:val="0"/>
      <w:numFmt w:val="bullet"/>
      <w:lvlText w:val="•"/>
      <w:lvlJc w:val="left"/>
      <w:pPr>
        <w:ind w:left="6530" w:hanging="243"/>
      </w:pPr>
      <w:rPr>
        <w:rFonts w:hint="default"/>
        <w:lang w:val="zh-CN" w:eastAsia="zh-CN" w:bidi="zh-CN"/>
      </w:rPr>
    </w:lvl>
    <w:lvl w:ilvl="7" w:tentative="0">
      <w:start w:val="0"/>
      <w:numFmt w:val="bullet"/>
      <w:lvlText w:val="•"/>
      <w:lvlJc w:val="left"/>
      <w:pPr>
        <w:ind w:left="7525" w:hanging="243"/>
      </w:pPr>
      <w:rPr>
        <w:rFonts w:hint="default"/>
        <w:lang w:val="zh-CN" w:eastAsia="zh-CN" w:bidi="zh-CN"/>
      </w:rPr>
    </w:lvl>
    <w:lvl w:ilvl="8" w:tentative="0">
      <w:start w:val="0"/>
      <w:numFmt w:val="bullet"/>
      <w:lvlText w:val="•"/>
      <w:lvlJc w:val="left"/>
      <w:pPr>
        <w:ind w:left="8520" w:hanging="243"/>
      </w:pPr>
      <w:rPr>
        <w:rFonts w:hint="default"/>
        <w:lang w:val="zh-CN" w:eastAsia="zh-CN" w:bidi="zh-CN"/>
      </w:rPr>
    </w:lvl>
  </w:abstractNum>
  <w:abstractNum w:abstractNumId="19">
    <w:nsid w:val="4C1BAE26"/>
    <w:multiLevelType w:val="multilevel"/>
    <w:tmpl w:val="4C1BAE26"/>
    <w:lvl w:ilvl="0" w:tentative="0">
      <w:start w:val="1"/>
      <w:numFmt w:val="lowerLetter"/>
      <w:lvlText w:val="%1."/>
      <w:lvlJc w:val="left"/>
      <w:pPr>
        <w:ind w:left="1829" w:hanging="927"/>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49" w:hanging="927"/>
      </w:pPr>
      <w:rPr>
        <w:rFonts w:hint="default"/>
        <w:lang w:val="zh-CN" w:eastAsia="zh-CN" w:bidi="zh-CN"/>
      </w:rPr>
    </w:lvl>
    <w:lvl w:ilvl="2" w:tentative="0">
      <w:start w:val="0"/>
      <w:numFmt w:val="bullet"/>
      <w:lvlText w:val="•"/>
      <w:lvlJc w:val="left"/>
      <w:pPr>
        <w:ind w:left="3678" w:hanging="927"/>
      </w:pPr>
      <w:rPr>
        <w:rFonts w:hint="default"/>
        <w:lang w:val="zh-CN" w:eastAsia="zh-CN" w:bidi="zh-CN"/>
      </w:rPr>
    </w:lvl>
    <w:lvl w:ilvl="3" w:tentative="0">
      <w:start w:val="0"/>
      <w:numFmt w:val="bullet"/>
      <w:lvlText w:val="•"/>
      <w:lvlJc w:val="left"/>
      <w:pPr>
        <w:ind w:left="4607" w:hanging="927"/>
      </w:pPr>
      <w:rPr>
        <w:rFonts w:hint="default"/>
        <w:lang w:val="zh-CN" w:eastAsia="zh-CN" w:bidi="zh-CN"/>
      </w:rPr>
    </w:lvl>
    <w:lvl w:ilvl="4" w:tentative="0">
      <w:start w:val="0"/>
      <w:numFmt w:val="bullet"/>
      <w:lvlText w:val="•"/>
      <w:lvlJc w:val="left"/>
      <w:pPr>
        <w:ind w:left="5536" w:hanging="927"/>
      </w:pPr>
      <w:rPr>
        <w:rFonts w:hint="default"/>
        <w:lang w:val="zh-CN" w:eastAsia="zh-CN" w:bidi="zh-CN"/>
      </w:rPr>
    </w:lvl>
    <w:lvl w:ilvl="5" w:tentative="0">
      <w:start w:val="0"/>
      <w:numFmt w:val="bullet"/>
      <w:lvlText w:val="•"/>
      <w:lvlJc w:val="left"/>
      <w:pPr>
        <w:ind w:left="6465" w:hanging="927"/>
      </w:pPr>
      <w:rPr>
        <w:rFonts w:hint="default"/>
        <w:lang w:val="zh-CN" w:eastAsia="zh-CN" w:bidi="zh-CN"/>
      </w:rPr>
    </w:lvl>
    <w:lvl w:ilvl="6" w:tentative="0">
      <w:start w:val="0"/>
      <w:numFmt w:val="bullet"/>
      <w:lvlText w:val="•"/>
      <w:lvlJc w:val="left"/>
      <w:pPr>
        <w:ind w:left="7394" w:hanging="927"/>
      </w:pPr>
      <w:rPr>
        <w:rFonts w:hint="default"/>
        <w:lang w:val="zh-CN" w:eastAsia="zh-CN" w:bidi="zh-CN"/>
      </w:rPr>
    </w:lvl>
    <w:lvl w:ilvl="7" w:tentative="0">
      <w:start w:val="0"/>
      <w:numFmt w:val="bullet"/>
      <w:lvlText w:val="•"/>
      <w:lvlJc w:val="left"/>
      <w:pPr>
        <w:ind w:left="8323" w:hanging="927"/>
      </w:pPr>
      <w:rPr>
        <w:rFonts w:hint="default"/>
        <w:lang w:val="zh-CN" w:eastAsia="zh-CN" w:bidi="zh-CN"/>
      </w:rPr>
    </w:lvl>
    <w:lvl w:ilvl="8" w:tentative="0">
      <w:start w:val="0"/>
      <w:numFmt w:val="bullet"/>
      <w:lvlText w:val="•"/>
      <w:lvlJc w:val="left"/>
      <w:pPr>
        <w:ind w:left="9252" w:hanging="927"/>
      </w:pPr>
      <w:rPr>
        <w:rFonts w:hint="default"/>
        <w:lang w:val="zh-CN" w:eastAsia="zh-CN" w:bidi="zh-CN"/>
      </w:rPr>
    </w:lvl>
  </w:abstractNum>
  <w:abstractNum w:abstractNumId="20">
    <w:nsid w:val="4D4DC07F"/>
    <w:multiLevelType w:val="multilevel"/>
    <w:tmpl w:val="4D4DC07F"/>
    <w:lvl w:ilvl="0" w:tentative="0">
      <w:start w:val="1"/>
      <w:numFmt w:val="decimal"/>
      <w:lvlText w:val="（%1）"/>
      <w:lvlJc w:val="left"/>
      <w:pPr>
        <w:ind w:left="124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7" w:hanging="601"/>
      </w:pPr>
      <w:rPr>
        <w:rFonts w:hint="default"/>
        <w:lang w:val="zh-CN" w:eastAsia="zh-CN" w:bidi="zh-CN"/>
      </w:rPr>
    </w:lvl>
    <w:lvl w:ilvl="2" w:tentative="0">
      <w:start w:val="0"/>
      <w:numFmt w:val="bullet"/>
      <w:lvlText w:val="•"/>
      <w:lvlJc w:val="left"/>
      <w:pPr>
        <w:ind w:left="3214" w:hanging="601"/>
      </w:pPr>
      <w:rPr>
        <w:rFonts w:hint="default"/>
        <w:lang w:val="zh-CN" w:eastAsia="zh-CN" w:bidi="zh-CN"/>
      </w:rPr>
    </w:lvl>
    <w:lvl w:ilvl="3" w:tentative="0">
      <w:start w:val="0"/>
      <w:numFmt w:val="bullet"/>
      <w:lvlText w:val="•"/>
      <w:lvlJc w:val="left"/>
      <w:pPr>
        <w:ind w:left="4201" w:hanging="601"/>
      </w:pPr>
      <w:rPr>
        <w:rFonts w:hint="default"/>
        <w:lang w:val="zh-CN" w:eastAsia="zh-CN" w:bidi="zh-CN"/>
      </w:rPr>
    </w:lvl>
    <w:lvl w:ilvl="4" w:tentative="0">
      <w:start w:val="0"/>
      <w:numFmt w:val="bullet"/>
      <w:lvlText w:val="•"/>
      <w:lvlJc w:val="left"/>
      <w:pPr>
        <w:ind w:left="5188" w:hanging="601"/>
      </w:pPr>
      <w:rPr>
        <w:rFonts w:hint="default"/>
        <w:lang w:val="zh-CN" w:eastAsia="zh-CN" w:bidi="zh-CN"/>
      </w:rPr>
    </w:lvl>
    <w:lvl w:ilvl="5" w:tentative="0">
      <w:start w:val="0"/>
      <w:numFmt w:val="bullet"/>
      <w:lvlText w:val="•"/>
      <w:lvlJc w:val="left"/>
      <w:pPr>
        <w:ind w:left="6175" w:hanging="601"/>
      </w:pPr>
      <w:rPr>
        <w:rFonts w:hint="default"/>
        <w:lang w:val="zh-CN" w:eastAsia="zh-CN" w:bidi="zh-CN"/>
      </w:rPr>
    </w:lvl>
    <w:lvl w:ilvl="6" w:tentative="0">
      <w:start w:val="0"/>
      <w:numFmt w:val="bullet"/>
      <w:lvlText w:val="•"/>
      <w:lvlJc w:val="left"/>
      <w:pPr>
        <w:ind w:left="7162" w:hanging="601"/>
      </w:pPr>
      <w:rPr>
        <w:rFonts w:hint="default"/>
        <w:lang w:val="zh-CN" w:eastAsia="zh-CN" w:bidi="zh-CN"/>
      </w:rPr>
    </w:lvl>
    <w:lvl w:ilvl="7" w:tentative="0">
      <w:start w:val="0"/>
      <w:numFmt w:val="bullet"/>
      <w:lvlText w:val="•"/>
      <w:lvlJc w:val="left"/>
      <w:pPr>
        <w:ind w:left="8149" w:hanging="601"/>
      </w:pPr>
      <w:rPr>
        <w:rFonts w:hint="default"/>
        <w:lang w:val="zh-CN" w:eastAsia="zh-CN" w:bidi="zh-CN"/>
      </w:rPr>
    </w:lvl>
    <w:lvl w:ilvl="8" w:tentative="0">
      <w:start w:val="0"/>
      <w:numFmt w:val="bullet"/>
      <w:lvlText w:val="•"/>
      <w:lvlJc w:val="left"/>
      <w:pPr>
        <w:ind w:left="9136" w:hanging="601"/>
      </w:pPr>
      <w:rPr>
        <w:rFonts w:hint="default"/>
        <w:lang w:val="zh-CN" w:eastAsia="zh-CN" w:bidi="zh-CN"/>
      </w:rPr>
    </w:lvl>
  </w:abstractNum>
  <w:abstractNum w:abstractNumId="21">
    <w:nsid w:val="5A241D34"/>
    <w:multiLevelType w:val="multilevel"/>
    <w:tmpl w:val="5A241D34"/>
    <w:lvl w:ilvl="0" w:tentative="0">
      <w:start w:val="0"/>
      <w:numFmt w:val="bullet"/>
      <w:lvlText w:val="■"/>
      <w:lvlJc w:val="left"/>
      <w:pPr>
        <w:ind w:left="466"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2" w:hanging="360"/>
      </w:pPr>
      <w:rPr>
        <w:rFonts w:hint="default"/>
        <w:lang w:val="zh-CN" w:eastAsia="zh-CN" w:bidi="zh-CN"/>
      </w:rPr>
    </w:lvl>
    <w:lvl w:ilvl="2" w:tentative="0">
      <w:start w:val="0"/>
      <w:numFmt w:val="bullet"/>
      <w:lvlText w:val="•"/>
      <w:lvlJc w:val="left"/>
      <w:pPr>
        <w:ind w:left="1845" w:hanging="360"/>
      </w:pPr>
      <w:rPr>
        <w:rFonts w:hint="default"/>
        <w:lang w:val="zh-CN" w:eastAsia="zh-CN" w:bidi="zh-CN"/>
      </w:rPr>
    </w:lvl>
    <w:lvl w:ilvl="3" w:tentative="0">
      <w:start w:val="0"/>
      <w:numFmt w:val="bullet"/>
      <w:lvlText w:val="•"/>
      <w:lvlJc w:val="left"/>
      <w:pPr>
        <w:ind w:left="2538" w:hanging="360"/>
      </w:pPr>
      <w:rPr>
        <w:rFonts w:hint="default"/>
        <w:lang w:val="zh-CN" w:eastAsia="zh-CN" w:bidi="zh-CN"/>
      </w:rPr>
    </w:lvl>
    <w:lvl w:ilvl="4" w:tentative="0">
      <w:start w:val="0"/>
      <w:numFmt w:val="bullet"/>
      <w:lvlText w:val="•"/>
      <w:lvlJc w:val="left"/>
      <w:pPr>
        <w:ind w:left="3231" w:hanging="360"/>
      </w:pPr>
      <w:rPr>
        <w:rFonts w:hint="default"/>
        <w:lang w:val="zh-CN" w:eastAsia="zh-CN" w:bidi="zh-CN"/>
      </w:rPr>
    </w:lvl>
    <w:lvl w:ilvl="5" w:tentative="0">
      <w:start w:val="0"/>
      <w:numFmt w:val="bullet"/>
      <w:lvlText w:val="•"/>
      <w:lvlJc w:val="left"/>
      <w:pPr>
        <w:ind w:left="3924" w:hanging="360"/>
      </w:pPr>
      <w:rPr>
        <w:rFonts w:hint="default"/>
        <w:lang w:val="zh-CN" w:eastAsia="zh-CN" w:bidi="zh-CN"/>
      </w:rPr>
    </w:lvl>
    <w:lvl w:ilvl="6" w:tentative="0">
      <w:start w:val="0"/>
      <w:numFmt w:val="bullet"/>
      <w:lvlText w:val="•"/>
      <w:lvlJc w:val="left"/>
      <w:pPr>
        <w:ind w:left="4617" w:hanging="360"/>
      </w:pPr>
      <w:rPr>
        <w:rFonts w:hint="default"/>
        <w:lang w:val="zh-CN" w:eastAsia="zh-CN" w:bidi="zh-CN"/>
      </w:rPr>
    </w:lvl>
    <w:lvl w:ilvl="7" w:tentative="0">
      <w:start w:val="0"/>
      <w:numFmt w:val="bullet"/>
      <w:lvlText w:val="•"/>
      <w:lvlJc w:val="left"/>
      <w:pPr>
        <w:ind w:left="5310" w:hanging="360"/>
      </w:pPr>
      <w:rPr>
        <w:rFonts w:hint="default"/>
        <w:lang w:val="zh-CN" w:eastAsia="zh-CN" w:bidi="zh-CN"/>
      </w:rPr>
    </w:lvl>
    <w:lvl w:ilvl="8" w:tentative="0">
      <w:start w:val="0"/>
      <w:numFmt w:val="bullet"/>
      <w:lvlText w:val="•"/>
      <w:lvlJc w:val="left"/>
      <w:pPr>
        <w:ind w:left="6003" w:hanging="360"/>
      </w:pPr>
      <w:rPr>
        <w:rFonts w:hint="default"/>
        <w:lang w:val="zh-CN" w:eastAsia="zh-CN" w:bidi="zh-CN"/>
      </w:rPr>
    </w:lvl>
  </w:abstractNum>
  <w:abstractNum w:abstractNumId="22">
    <w:nsid w:val="60382F6E"/>
    <w:multiLevelType w:val="multilevel"/>
    <w:tmpl w:val="60382F6E"/>
    <w:lvl w:ilvl="0" w:tentative="0">
      <w:start w:val="1"/>
      <w:numFmt w:val="decimal"/>
      <w:lvlText w:val="（%1）"/>
      <w:lvlJc w:val="left"/>
      <w:pPr>
        <w:ind w:left="100" w:hanging="965"/>
        <w:jc w:val="left"/>
      </w:pPr>
      <w:rPr>
        <w:rFonts w:hint="default" w:ascii="宋体" w:hAnsi="宋体" w:eastAsia="宋体" w:cs="宋体"/>
        <w:spacing w:val="-29"/>
        <w:w w:val="100"/>
        <w:sz w:val="22"/>
        <w:szCs w:val="22"/>
        <w:lang w:val="zh-CN" w:eastAsia="zh-CN" w:bidi="zh-CN"/>
      </w:rPr>
    </w:lvl>
    <w:lvl w:ilvl="1" w:tentative="0">
      <w:start w:val="1"/>
      <w:numFmt w:val="decimal"/>
      <w:lvlText w:val="%2."/>
      <w:lvlJc w:val="left"/>
      <w:pPr>
        <w:ind w:left="1152" w:hanging="178"/>
        <w:jc w:val="left"/>
      </w:pPr>
      <w:rPr>
        <w:rFonts w:hint="default" w:ascii="微软雅黑" w:hAnsi="微软雅黑" w:eastAsia="微软雅黑" w:cs="微软雅黑"/>
        <w:spacing w:val="0"/>
        <w:w w:val="96"/>
        <w:sz w:val="19"/>
        <w:szCs w:val="19"/>
        <w:lang w:val="zh-CN" w:eastAsia="zh-CN" w:bidi="zh-CN"/>
      </w:rPr>
    </w:lvl>
    <w:lvl w:ilvl="2" w:tentative="0">
      <w:start w:val="0"/>
      <w:numFmt w:val="bullet"/>
      <w:lvlText w:val="•"/>
      <w:lvlJc w:val="left"/>
      <w:pPr>
        <w:ind w:left="2092" w:hanging="178"/>
      </w:pPr>
      <w:rPr>
        <w:rFonts w:hint="default"/>
        <w:lang w:val="zh-CN" w:eastAsia="zh-CN" w:bidi="zh-CN"/>
      </w:rPr>
    </w:lvl>
    <w:lvl w:ilvl="3" w:tentative="0">
      <w:start w:val="0"/>
      <w:numFmt w:val="bullet"/>
      <w:lvlText w:val="•"/>
      <w:lvlJc w:val="left"/>
      <w:pPr>
        <w:ind w:left="3024" w:hanging="178"/>
      </w:pPr>
      <w:rPr>
        <w:rFonts w:hint="default"/>
        <w:lang w:val="zh-CN" w:eastAsia="zh-CN" w:bidi="zh-CN"/>
      </w:rPr>
    </w:lvl>
    <w:lvl w:ilvl="4" w:tentative="0">
      <w:start w:val="0"/>
      <w:numFmt w:val="bullet"/>
      <w:lvlText w:val="•"/>
      <w:lvlJc w:val="left"/>
      <w:pPr>
        <w:ind w:left="3956" w:hanging="178"/>
      </w:pPr>
      <w:rPr>
        <w:rFonts w:hint="default"/>
        <w:lang w:val="zh-CN" w:eastAsia="zh-CN" w:bidi="zh-CN"/>
      </w:rPr>
    </w:lvl>
    <w:lvl w:ilvl="5" w:tentative="0">
      <w:start w:val="0"/>
      <w:numFmt w:val="bullet"/>
      <w:lvlText w:val="•"/>
      <w:lvlJc w:val="left"/>
      <w:pPr>
        <w:ind w:left="4888" w:hanging="178"/>
      </w:pPr>
      <w:rPr>
        <w:rFonts w:hint="default"/>
        <w:lang w:val="zh-CN" w:eastAsia="zh-CN" w:bidi="zh-CN"/>
      </w:rPr>
    </w:lvl>
    <w:lvl w:ilvl="6" w:tentative="0">
      <w:start w:val="0"/>
      <w:numFmt w:val="bullet"/>
      <w:lvlText w:val="•"/>
      <w:lvlJc w:val="left"/>
      <w:pPr>
        <w:ind w:left="5821" w:hanging="178"/>
      </w:pPr>
      <w:rPr>
        <w:rFonts w:hint="default"/>
        <w:lang w:val="zh-CN" w:eastAsia="zh-CN" w:bidi="zh-CN"/>
      </w:rPr>
    </w:lvl>
    <w:lvl w:ilvl="7" w:tentative="0">
      <w:start w:val="0"/>
      <w:numFmt w:val="bullet"/>
      <w:lvlText w:val="•"/>
      <w:lvlJc w:val="left"/>
      <w:pPr>
        <w:ind w:left="6753" w:hanging="178"/>
      </w:pPr>
      <w:rPr>
        <w:rFonts w:hint="default"/>
        <w:lang w:val="zh-CN" w:eastAsia="zh-CN" w:bidi="zh-CN"/>
      </w:rPr>
    </w:lvl>
    <w:lvl w:ilvl="8" w:tentative="0">
      <w:start w:val="0"/>
      <w:numFmt w:val="bullet"/>
      <w:lvlText w:val="•"/>
      <w:lvlJc w:val="left"/>
      <w:pPr>
        <w:ind w:left="7685" w:hanging="178"/>
      </w:pPr>
      <w:rPr>
        <w:rFonts w:hint="default"/>
        <w:lang w:val="zh-CN" w:eastAsia="zh-CN" w:bidi="zh-CN"/>
      </w:rPr>
    </w:lvl>
  </w:abstractNum>
  <w:abstractNum w:abstractNumId="23">
    <w:nsid w:val="72183CF9"/>
    <w:multiLevelType w:val="multilevel"/>
    <w:tmpl w:val="72183CF9"/>
    <w:lvl w:ilvl="0" w:tentative="0">
      <w:start w:val="0"/>
      <w:numFmt w:val="bullet"/>
      <w:lvlText w:val="■"/>
      <w:lvlJc w:val="left"/>
      <w:pPr>
        <w:ind w:left="466"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2" w:hanging="360"/>
      </w:pPr>
      <w:rPr>
        <w:rFonts w:hint="default"/>
        <w:lang w:val="zh-CN" w:eastAsia="zh-CN" w:bidi="zh-CN"/>
      </w:rPr>
    </w:lvl>
    <w:lvl w:ilvl="2" w:tentative="0">
      <w:start w:val="0"/>
      <w:numFmt w:val="bullet"/>
      <w:lvlText w:val="•"/>
      <w:lvlJc w:val="left"/>
      <w:pPr>
        <w:ind w:left="1845" w:hanging="360"/>
      </w:pPr>
      <w:rPr>
        <w:rFonts w:hint="default"/>
        <w:lang w:val="zh-CN" w:eastAsia="zh-CN" w:bidi="zh-CN"/>
      </w:rPr>
    </w:lvl>
    <w:lvl w:ilvl="3" w:tentative="0">
      <w:start w:val="0"/>
      <w:numFmt w:val="bullet"/>
      <w:lvlText w:val="•"/>
      <w:lvlJc w:val="left"/>
      <w:pPr>
        <w:ind w:left="2538" w:hanging="360"/>
      </w:pPr>
      <w:rPr>
        <w:rFonts w:hint="default"/>
        <w:lang w:val="zh-CN" w:eastAsia="zh-CN" w:bidi="zh-CN"/>
      </w:rPr>
    </w:lvl>
    <w:lvl w:ilvl="4" w:tentative="0">
      <w:start w:val="0"/>
      <w:numFmt w:val="bullet"/>
      <w:lvlText w:val="•"/>
      <w:lvlJc w:val="left"/>
      <w:pPr>
        <w:ind w:left="3231" w:hanging="360"/>
      </w:pPr>
      <w:rPr>
        <w:rFonts w:hint="default"/>
        <w:lang w:val="zh-CN" w:eastAsia="zh-CN" w:bidi="zh-CN"/>
      </w:rPr>
    </w:lvl>
    <w:lvl w:ilvl="5" w:tentative="0">
      <w:start w:val="0"/>
      <w:numFmt w:val="bullet"/>
      <w:lvlText w:val="•"/>
      <w:lvlJc w:val="left"/>
      <w:pPr>
        <w:ind w:left="3924" w:hanging="360"/>
      </w:pPr>
      <w:rPr>
        <w:rFonts w:hint="default"/>
        <w:lang w:val="zh-CN" w:eastAsia="zh-CN" w:bidi="zh-CN"/>
      </w:rPr>
    </w:lvl>
    <w:lvl w:ilvl="6" w:tentative="0">
      <w:start w:val="0"/>
      <w:numFmt w:val="bullet"/>
      <w:lvlText w:val="•"/>
      <w:lvlJc w:val="left"/>
      <w:pPr>
        <w:ind w:left="4617" w:hanging="360"/>
      </w:pPr>
      <w:rPr>
        <w:rFonts w:hint="default"/>
        <w:lang w:val="zh-CN" w:eastAsia="zh-CN" w:bidi="zh-CN"/>
      </w:rPr>
    </w:lvl>
    <w:lvl w:ilvl="7" w:tentative="0">
      <w:start w:val="0"/>
      <w:numFmt w:val="bullet"/>
      <w:lvlText w:val="•"/>
      <w:lvlJc w:val="left"/>
      <w:pPr>
        <w:ind w:left="5310" w:hanging="360"/>
      </w:pPr>
      <w:rPr>
        <w:rFonts w:hint="default"/>
        <w:lang w:val="zh-CN" w:eastAsia="zh-CN" w:bidi="zh-CN"/>
      </w:rPr>
    </w:lvl>
    <w:lvl w:ilvl="8" w:tentative="0">
      <w:start w:val="0"/>
      <w:numFmt w:val="bullet"/>
      <w:lvlText w:val="•"/>
      <w:lvlJc w:val="left"/>
      <w:pPr>
        <w:ind w:left="6003" w:hanging="360"/>
      </w:pPr>
      <w:rPr>
        <w:rFonts w:hint="default"/>
        <w:lang w:val="zh-CN" w:eastAsia="zh-CN" w:bidi="zh-CN"/>
      </w:rPr>
    </w:lvl>
  </w:abstractNum>
  <w:num w:numId="1">
    <w:abstractNumId w:val="6"/>
  </w:num>
  <w:num w:numId="2">
    <w:abstractNumId w:val="4"/>
  </w:num>
  <w:num w:numId="3">
    <w:abstractNumId w:val="3"/>
  </w:num>
  <w:num w:numId="4">
    <w:abstractNumId w:val="12"/>
  </w:num>
  <w:num w:numId="5">
    <w:abstractNumId w:val="16"/>
  </w:num>
  <w:num w:numId="6">
    <w:abstractNumId w:val="23"/>
  </w:num>
  <w:num w:numId="7">
    <w:abstractNumId w:val="11"/>
  </w:num>
  <w:num w:numId="8">
    <w:abstractNumId w:val="0"/>
  </w:num>
  <w:num w:numId="9">
    <w:abstractNumId w:val="17"/>
  </w:num>
  <w:num w:numId="10">
    <w:abstractNumId w:val="21"/>
  </w:num>
  <w:num w:numId="11">
    <w:abstractNumId w:val="5"/>
  </w:num>
  <w:num w:numId="12">
    <w:abstractNumId w:val="20"/>
  </w:num>
  <w:num w:numId="13">
    <w:abstractNumId w:val="10"/>
  </w:num>
  <w:num w:numId="14">
    <w:abstractNumId w:val="15"/>
  </w:num>
  <w:num w:numId="15">
    <w:abstractNumId w:val="8"/>
  </w:num>
  <w:num w:numId="16">
    <w:abstractNumId w:val="7"/>
  </w:num>
  <w:num w:numId="17">
    <w:abstractNumId w:val="1"/>
  </w:num>
  <w:num w:numId="18">
    <w:abstractNumId w:val="2"/>
  </w:num>
  <w:num w:numId="19">
    <w:abstractNumId w:val="13"/>
  </w:num>
  <w:num w:numId="20">
    <w:abstractNumId w:val="9"/>
  </w:num>
  <w:num w:numId="21">
    <w:abstractNumId w:val="19"/>
  </w:num>
  <w:num w:numId="22">
    <w:abstractNumId w:val="22"/>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2355837"/>
    <w:rsid w:val="030E01B7"/>
    <w:rsid w:val="034F2928"/>
    <w:rsid w:val="03576754"/>
    <w:rsid w:val="03803A02"/>
    <w:rsid w:val="03DA26A5"/>
    <w:rsid w:val="04C335CE"/>
    <w:rsid w:val="054368F1"/>
    <w:rsid w:val="06814177"/>
    <w:rsid w:val="068C331C"/>
    <w:rsid w:val="069F3BC7"/>
    <w:rsid w:val="07224DA3"/>
    <w:rsid w:val="07DD482F"/>
    <w:rsid w:val="08CF0E2C"/>
    <w:rsid w:val="08ED7025"/>
    <w:rsid w:val="0A25789A"/>
    <w:rsid w:val="0A6A629A"/>
    <w:rsid w:val="0B3A34E9"/>
    <w:rsid w:val="0BE34556"/>
    <w:rsid w:val="0F2540C9"/>
    <w:rsid w:val="10160EE3"/>
    <w:rsid w:val="10BF07B0"/>
    <w:rsid w:val="13C03CE3"/>
    <w:rsid w:val="13F015BE"/>
    <w:rsid w:val="15F50EC0"/>
    <w:rsid w:val="168F7D22"/>
    <w:rsid w:val="17CA65CA"/>
    <w:rsid w:val="17DF167B"/>
    <w:rsid w:val="18716F25"/>
    <w:rsid w:val="1928467D"/>
    <w:rsid w:val="198426AF"/>
    <w:rsid w:val="1A2975D8"/>
    <w:rsid w:val="1A3F329F"/>
    <w:rsid w:val="1BC22A96"/>
    <w:rsid w:val="1C2B3F88"/>
    <w:rsid w:val="1C6F5775"/>
    <w:rsid w:val="1D52537F"/>
    <w:rsid w:val="1D9B635A"/>
    <w:rsid w:val="1E676920"/>
    <w:rsid w:val="1E7E7E93"/>
    <w:rsid w:val="1F5C330F"/>
    <w:rsid w:val="1FC27987"/>
    <w:rsid w:val="217A1D28"/>
    <w:rsid w:val="218C3EC7"/>
    <w:rsid w:val="21C9082F"/>
    <w:rsid w:val="21CD1E1B"/>
    <w:rsid w:val="2209554D"/>
    <w:rsid w:val="22D72738"/>
    <w:rsid w:val="23B26890"/>
    <w:rsid w:val="23FB7F76"/>
    <w:rsid w:val="2477407C"/>
    <w:rsid w:val="25C1100C"/>
    <w:rsid w:val="25EF41E3"/>
    <w:rsid w:val="261B6EE1"/>
    <w:rsid w:val="26852C35"/>
    <w:rsid w:val="282D45FB"/>
    <w:rsid w:val="2875690C"/>
    <w:rsid w:val="28977A7A"/>
    <w:rsid w:val="29596D50"/>
    <w:rsid w:val="29E53087"/>
    <w:rsid w:val="2A087D46"/>
    <w:rsid w:val="2A0D3C07"/>
    <w:rsid w:val="2ABF1892"/>
    <w:rsid w:val="2B9C5F5F"/>
    <w:rsid w:val="2C484235"/>
    <w:rsid w:val="2D4525F9"/>
    <w:rsid w:val="2DBA2F11"/>
    <w:rsid w:val="2F135D73"/>
    <w:rsid w:val="2F6C080D"/>
    <w:rsid w:val="2F8F10BC"/>
    <w:rsid w:val="2FDA4522"/>
    <w:rsid w:val="30F83468"/>
    <w:rsid w:val="31A35394"/>
    <w:rsid w:val="32DA3554"/>
    <w:rsid w:val="32E9355E"/>
    <w:rsid w:val="33835643"/>
    <w:rsid w:val="354D4E2E"/>
    <w:rsid w:val="36AA5AEC"/>
    <w:rsid w:val="383F7529"/>
    <w:rsid w:val="388C36FB"/>
    <w:rsid w:val="39B42A86"/>
    <w:rsid w:val="3A3453F6"/>
    <w:rsid w:val="3AA536E0"/>
    <w:rsid w:val="3AB567AC"/>
    <w:rsid w:val="3BDE3F7C"/>
    <w:rsid w:val="3BE94BDA"/>
    <w:rsid w:val="3D4F6BF2"/>
    <w:rsid w:val="3E471582"/>
    <w:rsid w:val="3E9F580B"/>
    <w:rsid w:val="3F2A61F3"/>
    <w:rsid w:val="3FAE65B5"/>
    <w:rsid w:val="403E177F"/>
    <w:rsid w:val="42BC4BDD"/>
    <w:rsid w:val="42BF26DC"/>
    <w:rsid w:val="434B7D0F"/>
    <w:rsid w:val="442C044A"/>
    <w:rsid w:val="44FF06E6"/>
    <w:rsid w:val="462C02CC"/>
    <w:rsid w:val="46D71FE6"/>
    <w:rsid w:val="47645FD9"/>
    <w:rsid w:val="479C16D4"/>
    <w:rsid w:val="47F15442"/>
    <w:rsid w:val="49543DC1"/>
    <w:rsid w:val="4F4337FC"/>
    <w:rsid w:val="4FAB2261"/>
    <w:rsid w:val="4FCD667C"/>
    <w:rsid w:val="504A0744"/>
    <w:rsid w:val="52424C8F"/>
    <w:rsid w:val="52503A02"/>
    <w:rsid w:val="529B5AD6"/>
    <w:rsid w:val="52F90871"/>
    <w:rsid w:val="53086682"/>
    <w:rsid w:val="544A6DA4"/>
    <w:rsid w:val="54542687"/>
    <w:rsid w:val="54AB1514"/>
    <w:rsid w:val="54FC530D"/>
    <w:rsid w:val="575111CE"/>
    <w:rsid w:val="5783131E"/>
    <w:rsid w:val="585A074C"/>
    <w:rsid w:val="58D92936"/>
    <w:rsid w:val="59E24AD2"/>
    <w:rsid w:val="5A121ECA"/>
    <w:rsid w:val="5AB1182F"/>
    <w:rsid w:val="5B613695"/>
    <w:rsid w:val="5CE11A16"/>
    <w:rsid w:val="5D9B1BC7"/>
    <w:rsid w:val="5FD70E51"/>
    <w:rsid w:val="605B3830"/>
    <w:rsid w:val="60B43F83"/>
    <w:rsid w:val="60DF6952"/>
    <w:rsid w:val="616E19B8"/>
    <w:rsid w:val="62245E33"/>
    <w:rsid w:val="629675BD"/>
    <w:rsid w:val="63B807C4"/>
    <w:rsid w:val="64DC2706"/>
    <w:rsid w:val="663F1E84"/>
    <w:rsid w:val="66F33068"/>
    <w:rsid w:val="67E21EF7"/>
    <w:rsid w:val="68087CE9"/>
    <w:rsid w:val="68863F3A"/>
    <w:rsid w:val="68A47300"/>
    <w:rsid w:val="68CF42FA"/>
    <w:rsid w:val="68F841A4"/>
    <w:rsid w:val="69870F9B"/>
    <w:rsid w:val="69A27185"/>
    <w:rsid w:val="69BC5074"/>
    <w:rsid w:val="69F71BD3"/>
    <w:rsid w:val="6A462E5B"/>
    <w:rsid w:val="6AB872E0"/>
    <w:rsid w:val="6BDF5315"/>
    <w:rsid w:val="6BE51BD2"/>
    <w:rsid w:val="6C115464"/>
    <w:rsid w:val="6C7C587B"/>
    <w:rsid w:val="6D9D5184"/>
    <w:rsid w:val="6DDE2D9C"/>
    <w:rsid w:val="6E445903"/>
    <w:rsid w:val="6EC802E2"/>
    <w:rsid w:val="6F1D0862"/>
    <w:rsid w:val="6F4B2CC1"/>
    <w:rsid w:val="6F5B2922"/>
    <w:rsid w:val="6F923CD6"/>
    <w:rsid w:val="6FDF1AC7"/>
    <w:rsid w:val="7074742E"/>
    <w:rsid w:val="7184651B"/>
    <w:rsid w:val="73054438"/>
    <w:rsid w:val="7385553E"/>
    <w:rsid w:val="744B52E9"/>
    <w:rsid w:val="754601B3"/>
    <w:rsid w:val="75AB270C"/>
    <w:rsid w:val="76DA32A9"/>
    <w:rsid w:val="77456179"/>
    <w:rsid w:val="77B138F8"/>
    <w:rsid w:val="78BE4864"/>
    <w:rsid w:val="78DD17F4"/>
    <w:rsid w:val="793A6280"/>
    <w:rsid w:val="7B5B6A09"/>
    <w:rsid w:val="7C094ED6"/>
    <w:rsid w:val="7CFE75C5"/>
    <w:rsid w:val="7D1A27ED"/>
    <w:rsid w:val="7DEA0FFC"/>
    <w:rsid w:val="7E464412"/>
    <w:rsid w:val="7E6D494F"/>
    <w:rsid w:val="7EEC239B"/>
    <w:rsid w:val="7F236E42"/>
    <w:rsid w:val="7F5B3893"/>
    <w:rsid w:val="7FA33570"/>
    <w:rsid w:val="7FBD3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8"/>
      <w:ind w:left="2260" w:right="2683"/>
      <w:jc w:val="center"/>
      <w:outlineLvl w:val="1"/>
    </w:pPr>
    <w:rPr>
      <w:rFonts w:ascii="宋体" w:hAnsi="宋体" w:eastAsia="宋体" w:cs="宋体"/>
      <w:sz w:val="52"/>
      <w:szCs w:val="52"/>
      <w:lang w:val="zh-CN" w:eastAsia="zh-CN" w:bidi="zh-CN"/>
    </w:rPr>
  </w:style>
  <w:style w:type="paragraph" w:styleId="2">
    <w:name w:val="heading 2"/>
    <w:basedOn w:val="1"/>
    <w:next w:val="1"/>
    <w:qFormat/>
    <w:uiPriority w:val="1"/>
    <w:pPr>
      <w:spacing w:before="22"/>
      <w:jc w:val="center"/>
      <w:outlineLvl w:val="2"/>
    </w:pPr>
    <w:rPr>
      <w:rFonts w:ascii="宋体" w:hAnsi="宋体" w:eastAsia="宋体" w:cs="宋体"/>
      <w:b/>
      <w:bCs/>
      <w:sz w:val="36"/>
      <w:szCs w:val="36"/>
      <w:lang w:val="zh-CN" w:eastAsia="zh-CN" w:bidi="zh-CN"/>
    </w:rPr>
  </w:style>
  <w:style w:type="paragraph" w:styleId="4">
    <w:name w:val="heading 3"/>
    <w:basedOn w:val="1"/>
    <w:next w:val="1"/>
    <w:qFormat/>
    <w:uiPriority w:val="1"/>
    <w:pPr>
      <w:ind w:left="1272"/>
      <w:outlineLvl w:val="3"/>
    </w:pPr>
    <w:rPr>
      <w:rFonts w:ascii="宋体" w:hAnsi="宋体" w:eastAsia="宋体" w:cs="宋体"/>
      <w:sz w:val="36"/>
      <w:szCs w:val="36"/>
      <w:lang w:val="zh-CN" w:eastAsia="zh-CN" w:bidi="zh-CN"/>
    </w:rPr>
  </w:style>
  <w:style w:type="paragraph" w:styleId="5">
    <w:name w:val="heading 4"/>
    <w:basedOn w:val="1"/>
    <w:next w:val="1"/>
    <w:qFormat/>
    <w:uiPriority w:val="1"/>
    <w:pPr>
      <w:ind w:left="2819"/>
      <w:outlineLvl w:val="4"/>
    </w:pPr>
    <w:rPr>
      <w:rFonts w:ascii="宋体" w:hAnsi="宋体" w:eastAsia="宋体" w:cs="宋体"/>
      <w:b/>
      <w:bCs/>
      <w:sz w:val="32"/>
      <w:szCs w:val="32"/>
      <w:lang w:val="zh-CN" w:eastAsia="zh-CN" w:bidi="zh-CN"/>
    </w:rPr>
  </w:style>
  <w:style w:type="paragraph" w:styleId="6">
    <w:name w:val="heading 5"/>
    <w:basedOn w:val="1"/>
    <w:next w:val="1"/>
    <w:qFormat/>
    <w:uiPriority w:val="1"/>
    <w:pPr>
      <w:ind w:left="552"/>
      <w:outlineLvl w:val="5"/>
    </w:pPr>
    <w:rPr>
      <w:rFonts w:ascii="宋体" w:hAnsi="宋体" w:eastAsia="宋体" w:cs="宋体"/>
      <w:b/>
      <w:bCs/>
      <w:sz w:val="28"/>
      <w:szCs w:val="28"/>
      <w:lang w:val="zh-CN" w:eastAsia="zh-CN" w:bidi="zh-CN"/>
    </w:rPr>
  </w:style>
  <w:style w:type="paragraph" w:styleId="7">
    <w:name w:val="heading 6"/>
    <w:basedOn w:val="1"/>
    <w:next w:val="1"/>
    <w:qFormat/>
    <w:uiPriority w:val="1"/>
    <w:pPr>
      <w:ind w:left="1032"/>
      <w:outlineLvl w:val="6"/>
    </w:pPr>
    <w:rPr>
      <w:rFonts w:ascii="宋体" w:hAnsi="宋体" w:eastAsia="宋体" w:cs="宋体"/>
      <w:b/>
      <w:bCs/>
      <w:sz w:val="24"/>
      <w:szCs w:val="24"/>
      <w:lang w:val="zh-CN" w:eastAsia="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Body Text Indent"/>
    <w:basedOn w:val="1"/>
    <w:next w:val="1"/>
    <w:qFormat/>
    <w:uiPriority w:val="99"/>
    <w:pPr>
      <w:spacing w:after="120"/>
      <w:ind w:left="420" w:leftChars="200"/>
    </w:pPr>
    <w:rPr>
      <w:rFonts w:ascii="Times New Roman" w:hAnsi="Times New Roman"/>
      <w:kern w:val="0"/>
      <w:sz w:val="20"/>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14">
    <w:name w:val="Body Text First Indent 2"/>
    <w:basedOn w:val="9"/>
    <w:next w:val="1"/>
    <w:qFormat/>
    <w:uiPriority w:val="99"/>
    <w:pPr>
      <w:spacing w:line="300" w:lineRule="auto"/>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19" w:firstLine="480"/>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表格标题"/>
    <w:basedOn w:val="1"/>
    <w:qFormat/>
    <w:uiPriority w:val="0"/>
    <w:pPr>
      <w:jc w:val="center"/>
    </w:pPr>
    <w:rPr>
      <w:b/>
    </w:rPr>
  </w:style>
  <w:style w:type="paragraph" w:customStyle="1" w:styleId="22">
    <w:name w:val="正文_3_0"/>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header" Target="header20.xml"/><Relationship Id="rId37" Type="http://schemas.openxmlformats.org/officeDocument/2006/relationships/footer" Target="footer14.xml"/><Relationship Id="rId36" Type="http://schemas.openxmlformats.org/officeDocument/2006/relationships/header" Target="header19.xml"/><Relationship Id="rId35" Type="http://schemas.openxmlformats.org/officeDocument/2006/relationships/footer" Target="footer13.xml"/><Relationship Id="rId34" Type="http://schemas.openxmlformats.org/officeDocument/2006/relationships/header" Target="header18.xml"/><Relationship Id="rId33" Type="http://schemas.openxmlformats.org/officeDocument/2006/relationships/footer" Target="footer12.xml"/><Relationship Id="rId32" Type="http://schemas.openxmlformats.org/officeDocument/2006/relationships/header" Target="header17.xml"/><Relationship Id="rId31" Type="http://schemas.openxmlformats.org/officeDocument/2006/relationships/footer" Target="footer11.xml"/><Relationship Id="rId30" Type="http://schemas.openxmlformats.org/officeDocument/2006/relationships/header" Target="header16.xml"/><Relationship Id="rId3" Type="http://schemas.openxmlformats.org/officeDocument/2006/relationships/footnotes" Target="footnotes.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81"/>
    <customShpInfo spid="_x0000_s2050"/>
    <customShpInfo spid="_x0000_s2051"/>
    <customShpInfo spid="_x0000_s2052"/>
    <customShpInfo spid="_x0000_s2053"/>
    <customShpInfo spid="_x0000_s2057"/>
    <customShpInfo spid="_x0000_s2056"/>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3"/>
    <customShpInfo spid="_x0000_s2074"/>
    <customShpInfo spid="_x0000_s2076"/>
    <customShpInfo spid="_x0000_s2077"/>
    <customShpInfo spid="_x0000_s2078"/>
    <customShpInfo spid="_x0000_s2079"/>
    <customShpInfo spid="_x0000_s2080"/>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2020-09-10T00:42:00Z</dcterms:created>
  <dc:creator>S-mile</dc:creator>
  <cp:lastModifiedBy>王玺量</cp:lastModifiedBy>
  <cp:lastPrinted>2020-10-12T06:27:00Z</cp:lastPrinted>
  <dcterms:modified xsi:type="dcterms:W3CDTF">2021-12-10T08:49:37Z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WPS 文字</vt:lpwstr>
  </property>
  <property fmtid="{D5CDD505-2E9C-101B-9397-08002B2CF9AE}" pid="4" name="LastSaved">
    <vt:filetime>2020-09-10T00:00:00Z</vt:filetime>
  </property>
  <property fmtid="{D5CDD505-2E9C-101B-9397-08002B2CF9AE}" pid="5" name="KSOProductBuildVer">
    <vt:lpwstr>2052-11.1.0.11115</vt:lpwstr>
  </property>
  <property fmtid="{D5CDD505-2E9C-101B-9397-08002B2CF9AE}" pid="6" name="ICV">
    <vt:lpwstr>22DD7B5F48284BD5A5D1A46B21460ABF</vt:lpwstr>
  </property>
</Properties>
</file>