
<file path=[Content_Types].xml><?xml version="1.0" encoding="utf-8"?>
<Types xmlns="http://schemas.openxmlformats.org/package/2006/content-types">
  <Default ContentType="application/vnd.openxmlformats-officedocument.oleObject" Extension="bin"/>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rPr>
      </w:pPr>
      <w:bookmarkStart w:id="79" w:name="_GoBack"/>
      <w:bookmarkEnd w:id="79"/>
    </w:p>
    <w:p>
      <w:pPr>
        <w:spacing w:line="500" w:lineRule="exact"/>
      </w:pPr>
    </w:p>
    <w:p>
      <w:pPr>
        <w:spacing w:line="500" w:lineRule="exact"/>
      </w:pPr>
    </w:p>
    <w:p>
      <w:pPr>
        <w:spacing w:line="500" w:lineRule="exact"/>
        <w:rPr>
          <w:rFonts w:hint="eastAsia"/>
        </w:rPr>
      </w:pPr>
    </w:p>
    <w:p>
      <w:pPr>
        <w:spacing w:line="1000" w:lineRule="exact"/>
        <w:jc w:val="center"/>
        <w:rPr>
          <w:rFonts w:hint="eastAsia" w:ascii="黑体" w:eastAsia="黑体"/>
          <w:sz w:val="84"/>
          <w:szCs w:val="84"/>
        </w:rPr>
      </w:pPr>
      <w:r>
        <w:rPr>
          <w:rFonts w:hint="eastAsia" w:ascii="黑体" w:eastAsia="黑体"/>
          <w:sz w:val="84"/>
          <w:szCs w:val="84"/>
        </w:rPr>
        <w:t>政府采购</w:t>
      </w:r>
    </w:p>
    <w:p>
      <w:pPr>
        <w:spacing w:line="1000" w:lineRule="exact"/>
        <w:jc w:val="center"/>
        <w:rPr>
          <w:rFonts w:hint="eastAsia" w:ascii="黑体" w:eastAsia="黑体"/>
          <w:sz w:val="84"/>
          <w:szCs w:val="84"/>
        </w:rPr>
      </w:pPr>
      <w:r>
        <w:rPr>
          <w:rFonts w:hint="eastAsia" w:ascii="黑体" w:eastAsia="黑体"/>
          <w:sz w:val="84"/>
          <w:szCs w:val="84"/>
        </w:rPr>
        <w:t>招标文件</w:t>
      </w:r>
    </w:p>
    <w:p>
      <w:pPr>
        <w:spacing w:line="500" w:lineRule="exact"/>
        <w:jc w:val="center"/>
        <w:rPr>
          <w:rFonts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rPr>
          <w:rFonts w:ascii="宋体"/>
          <w:sz w:val="32"/>
          <w:u w:val="single"/>
        </w:rPr>
      </w:pPr>
      <w:r>
        <w:rPr>
          <w:rFonts w:hint="eastAsia" w:ascii="宋体"/>
          <w:sz w:val="32"/>
        </w:rPr>
        <w:t>采购编号:</w:t>
      </w:r>
      <w:r>
        <w:rPr>
          <w:rFonts w:hint="eastAsia" w:ascii="宋体"/>
          <w:sz w:val="32"/>
          <w:u w:val="single"/>
        </w:rPr>
        <w:t>NBZFCG2020X011G</w:t>
      </w:r>
    </w:p>
    <w:p>
      <w:pPr>
        <w:spacing w:line="500" w:lineRule="exact"/>
        <w:rPr>
          <w:rFonts w:hint="eastAsia" w:ascii="宋体"/>
          <w:sz w:val="32"/>
          <w:u w:val="single"/>
        </w:rPr>
      </w:pPr>
    </w:p>
    <w:p>
      <w:pPr>
        <w:spacing w:line="500" w:lineRule="exact"/>
        <w:rPr>
          <w:rFonts w:hint="eastAsia" w:ascii="宋体"/>
          <w:sz w:val="32"/>
          <w:u w:val="single"/>
        </w:rPr>
      </w:pPr>
      <w:r>
        <w:rPr>
          <w:rFonts w:hint="eastAsia" w:ascii="宋体"/>
          <w:sz w:val="32"/>
        </w:rPr>
        <w:t>项目名称:</w:t>
      </w:r>
      <w:r>
        <w:rPr>
          <w:rFonts w:hint="eastAsia" w:ascii="仿宋_GB2312" w:eastAsia="仿宋_GB2312"/>
          <w:sz w:val="24"/>
        </w:rPr>
        <w:t xml:space="preserve"> </w:t>
      </w:r>
      <w:r>
        <w:rPr>
          <w:rFonts w:hint="eastAsia" w:ascii="宋体"/>
          <w:sz w:val="32"/>
          <w:u w:val="single"/>
        </w:rPr>
        <w:t>宁波市“智慧财政”项目（基础平台与预算管理项目）</w:t>
      </w:r>
    </w:p>
    <w:p>
      <w:pPr>
        <w:spacing w:line="500" w:lineRule="exact"/>
        <w:ind w:left="40" w:firstLine="2730"/>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rPr>
      </w:pPr>
    </w:p>
    <w:p>
      <w:pPr>
        <w:pStyle w:val="16"/>
        <w:spacing w:line="500" w:lineRule="exact"/>
        <w:jc w:val="center"/>
        <w:rPr>
          <w:rFonts w:hint="eastAsia" w:ascii="宋体"/>
          <w:sz w:val="32"/>
        </w:rPr>
      </w:pPr>
      <w:r>
        <w:rPr>
          <w:rFonts w:hint="eastAsia" w:ascii="宋体"/>
          <w:sz w:val="32"/>
        </w:rPr>
        <w:t>宁波市政府采购中心</w:t>
      </w:r>
    </w:p>
    <w:p>
      <w:pPr>
        <w:pStyle w:val="16"/>
        <w:spacing w:line="500" w:lineRule="exact"/>
        <w:jc w:val="center"/>
        <w:rPr>
          <w:rFonts w:hint="eastAsia" w:ascii="宋体"/>
          <w:sz w:val="32"/>
        </w:rPr>
      </w:pPr>
      <w:r>
        <w:rPr>
          <w:rFonts w:hint="eastAsia" w:ascii="宋体"/>
          <w:sz w:val="32"/>
        </w:rPr>
        <w:t xml:space="preserve">二 0 二 0 年 </w:t>
      </w:r>
    </w:p>
    <w:p>
      <w:pPr>
        <w:tabs>
          <w:tab w:val="left" w:pos="105"/>
          <w:tab w:val="left" w:pos="735"/>
          <w:tab w:val="left" w:pos="945"/>
          <w:tab w:val="left" w:pos="3360"/>
        </w:tabs>
        <w:spacing w:line="500" w:lineRule="exact"/>
        <w:jc w:val="center"/>
        <w:rPr>
          <w:rFonts w:hint="eastAsia"/>
          <w:b/>
          <w:sz w:val="48"/>
        </w:rPr>
      </w:pPr>
    </w:p>
    <w:p>
      <w:pPr>
        <w:tabs>
          <w:tab w:val="left" w:pos="105"/>
          <w:tab w:val="left" w:pos="735"/>
          <w:tab w:val="left" w:pos="945"/>
          <w:tab w:val="left" w:pos="3360"/>
        </w:tabs>
        <w:spacing w:line="500" w:lineRule="exact"/>
        <w:rPr>
          <w:b/>
          <w:sz w:val="48"/>
        </w:rPr>
      </w:pPr>
    </w:p>
    <w:p>
      <w:pPr>
        <w:tabs>
          <w:tab w:val="left" w:pos="105"/>
          <w:tab w:val="left" w:pos="735"/>
          <w:tab w:val="left" w:pos="945"/>
          <w:tab w:val="left" w:pos="3360"/>
        </w:tabs>
        <w:spacing w:line="500" w:lineRule="exact"/>
        <w:jc w:val="center"/>
        <w:rPr>
          <w:rFonts w:hint="eastAsia"/>
          <w:b/>
          <w:sz w:val="48"/>
        </w:rPr>
      </w:pPr>
      <w:r>
        <w:rPr>
          <w:b/>
          <w:sz w:val="48"/>
        </w:rPr>
        <w:br w:type="page"/>
      </w:r>
    </w:p>
    <w:p>
      <w:pPr>
        <w:tabs>
          <w:tab w:val="left" w:pos="105"/>
          <w:tab w:val="left" w:pos="735"/>
          <w:tab w:val="left" w:pos="945"/>
          <w:tab w:val="left" w:pos="3360"/>
        </w:tabs>
        <w:spacing w:line="500" w:lineRule="exact"/>
        <w:jc w:val="center"/>
        <w:rPr>
          <w:rFonts w:hint="eastAsia"/>
          <w:b/>
          <w:sz w:val="48"/>
        </w:rPr>
      </w:pPr>
      <w:r>
        <w:rPr>
          <w:rFonts w:hint="eastAsia"/>
          <w:b/>
          <w:sz w:val="48"/>
        </w:rPr>
        <w:t>目  录</w:t>
      </w:r>
    </w:p>
    <w:p>
      <w:pPr>
        <w:tabs>
          <w:tab w:val="left" w:pos="105"/>
          <w:tab w:val="left" w:pos="735"/>
          <w:tab w:val="left" w:pos="945"/>
          <w:tab w:val="left" w:pos="3360"/>
        </w:tabs>
        <w:spacing w:line="500" w:lineRule="exact"/>
        <w:rPr>
          <w:rFonts w:hint="eastAsia" w:eastAsia="仿宋_GB2312"/>
          <w:sz w:val="32"/>
        </w:rPr>
      </w:pPr>
    </w:p>
    <w:p>
      <w:pPr>
        <w:tabs>
          <w:tab w:val="left" w:pos="105"/>
          <w:tab w:val="left" w:pos="735"/>
          <w:tab w:val="left" w:pos="945"/>
          <w:tab w:val="left" w:pos="3360"/>
        </w:tabs>
        <w:spacing w:line="500" w:lineRule="exact"/>
        <w:rPr>
          <w:rFonts w:ascii="宋体" w:hAnsi="宋体"/>
          <w:sz w:val="32"/>
        </w:rPr>
      </w:pPr>
      <w:r>
        <w:rPr>
          <w:rFonts w:hint="eastAsia" w:ascii="宋体" w:hAnsi="宋体"/>
          <w:sz w:val="32"/>
        </w:rPr>
        <w:t>第一章 专用部分</w:t>
      </w:r>
    </w:p>
    <w:p>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投标邀请（招标公告）</w:t>
      </w:r>
    </w:p>
    <w:p>
      <w:pPr>
        <w:tabs>
          <w:tab w:val="left" w:pos="105"/>
          <w:tab w:val="left" w:pos="945"/>
          <w:tab w:val="left" w:pos="3360"/>
        </w:tabs>
        <w:spacing w:line="500" w:lineRule="exact"/>
        <w:rPr>
          <w:rFonts w:hint="eastAsia" w:ascii="宋体" w:hAnsi="宋体"/>
          <w:sz w:val="32"/>
        </w:rPr>
      </w:pPr>
      <w:r>
        <w:rPr>
          <w:rFonts w:hint="eastAsia" w:ascii="宋体" w:hAnsi="宋体"/>
          <w:sz w:val="32"/>
        </w:rPr>
        <w:tab/>
      </w:r>
      <w:r>
        <w:rPr>
          <w:rFonts w:hint="eastAsia" w:ascii="宋体" w:hAnsi="宋体"/>
          <w:sz w:val="32"/>
        </w:rPr>
        <w:t xml:space="preserve">    第二部分  项目需求说明及评标标准</w:t>
      </w:r>
    </w:p>
    <w:p>
      <w:pPr>
        <w:tabs>
          <w:tab w:val="left" w:pos="105"/>
          <w:tab w:val="left" w:pos="735"/>
          <w:tab w:val="left" w:pos="945"/>
          <w:tab w:val="left" w:pos="3360"/>
        </w:tabs>
        <w:spacing w:line="500" w:lineRule="exact"/>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第二章 通用部分</w:t>
      </w:r>
    </w:p>
    <w:p>
      <w:pPr>
        <w:tabs>
          <w:tab w:val="left" w:pos="105"/>
          <w:tab w:val="left" w:pos="735"/>
          <w:tab w:val="left" w:pos="945"/>
          <w:tab w:val="left" w:pos="3360"/>
        </w:tabs>
        <w:spacing w:line="500" w:lineRule="exact"/>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pPr>
        <w:tabs>
          <w:tab w:val="left" w:pos="105"/>
          <w:tab w:val="left" w:pos="735"/>
          <w:tab w:val="left" w:pos="945"/>
          <w:tab w:val="left" w:pos="3360"/>
        </w:tabs>
        <w:spacing w:line="500" w:lineRule="exact"/>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pPr>
        <w:tabs>
          <w:tab w:val="left" w:pos="105"/>
          <w:tab w:val="left" w:pos="735"/>
          <w:tab w:val="left" w:pos="945"/>
          <w:tab w:val="left" w:pos="3360"/>
        </w:tabs>
        <w:spacing w:line="500" w:lineRule="exact"/>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pPr>
        <w:tabs>
          <w:tab w:val="left" w:pos="105"/>
          <w:tab w:val="left" w:pos="735"/>
          <w:tab w:val="left" w:pos="945"/>
          <w:tab w:val="left" w:pos="3360"/>
        </w:tabs>
        <w:spacing w:line="500" w:lineRule="exact"/>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pPr>
        <w:tabs>
          <w:tab w:val="left" w:pos="105"/>
          <w:tab w:val="left" w:pos="735"/>
          <w:tab w:val="left" w:pos="945"/>
          <w:tab w:val="left" w:pos="3360"/>
        </w:tabs>
        <w:spacing w:line="500" w:lineRule="exact"/>
        <w:rPr>
          <w:rFonts w:hint="eastAsia" w:ascii="仿宋_GB2312" w:eastAsia="仿宋_GB2312"/>
          <w:sz w:val="32"/>
        </w:rPr>
      </w:pPr>
    </w:p>
    <w:p>
      <w:pPr>
        <w:jc w:val="center"/>
        <w:rPr>
          <w:rFonts w:hint="eastAsia" w:ascii="仿宋_GB2312" w:eastAsia="仿宋_GB2312"/>
          <w:b/>
          <w:sz w:val="32"/>
        </w:rPr>
      </w:pPr>
      <w:r>
        <w:rPr>
          <w:rFonts w:eastAsia="黑体"/>
          <w:sz w:val="32"/>
        </w:rPr>
        <w:br w:type="page"/>
      </w:r>
      <w:r>
        <w:rPr>
          <w:rFonts w:hint="eastAsia" w:eastAsia="黑体"/>
          <w:sz w:val="32"/>
        </w:rPr>
        <w:t xml:space="preserve">第一部分 </w:t>
      </w:r>
      <w:r>
        <w:rPr>
          <w:rFonts w:hint="eastAsia" w:ascii="仿宋_GB2312" w:eastAsia="仿宋_GB2312"/>
          <w:b/>
          <w:sz w:val="32"/>
        </w:rPr>
        <w:t>投标邀请（招标公告）</w:t>
      </w:r>
    </w:p>
    <w:p>
      <w:pPr>
        <w:jc w:val="center"/>
        <w:rPr>
          <w:rFonts w:hint="eastAsia" w:ascii="宋体" w:hAnsi="宋体"/>
          <w:sz w:val="24"/>
          <w:szCs w:val="24"/>
        </w:rPr>
      </w:pPr>
      <w:r>
        <w:rPr>
          <w:rFonts w:hint="eastAsia" w:ascii="宋体" w:hAnsi="宋体"/>
          <w:sz w:val="24"/>
          <w:szCs w:val="24"/>
        </w:rPr>
        <w:t>日期：2020年6月10日</w:t>
      </w:r>
    </w:p>
    <w:p>
      <w:pPr>
        <w:rPr>
          <w:rFonts w:hint="eastAsia" w:ascii="宋体" w:hAnsi="宋体"/>
          <w:sz w:val="24"/>
          <w:szCs w:val="24"/>
        </w:rPr>
      </w:pPr>
    </w:p>
    <w:p>
      <w:pPr>
        <w:spacing w:line="440" w:lineRule="exact"/>
        <w:ind w:firstLine="480" w:firstLineChars="200"/>
        <w:rPr>
          <w:rFonts w:hint="eastAsia" w:ascii="宋体" w:hAnsi="宋体"/>
          <w:sz w:val="24"/>
          <w:szCs w:val="24"/>
        </w:rPr>
      </w:pPr>
      <w:r>
        <w:rPr>
          <w:rFonts w:hint="eastAsia" w:ascii="宋体" w:hAnsi="宋体"/>
          <w:sz w:val="24"/>
          <w:szCs w:val="24"/>
        </w:rPr>
        <w:t>宁波市政府采购中心就以下项目进行公开招标采购，现邀请合格供应商参加投标。</w:t>
      </w:r>
    </w:p>
    <w:p>
      <w:pPr>
        <w:numPr>
          <w:ilvl w:val="0"/>
          <w:numId w:val="1"/>
        </w:numPr>
        <w:spacing w:line="440" w:lineRule="exact"/>
        <w:ind w:firstLine="480" w:firstLineChars="200"/>
        <w:rPr>
          <w:rFonts w:hint="eastAsia" w:ascii="宋体" w:hAnsi="宋体"/>
          <w:sz w:val="24"/>
          <w:szCs w:val="24"/>
        </w:rPr>
      </w:pPr>
      <w:r>
        <w:rPr>
          <w:rFonts w:hint="eastAsia" w:ascii="宋体" w:hAnsi="宋体"/>
          <w:sz w:val="24"/>
          <w:szCs w:val="24"/>
        </w:rPr>
        <w:t>项目基本情况</w:t>
      </w:r>
    </w:p>
    <w:p>
      <w:pPr>
        <w:spacing w:line="440" w:lineRule="exact"/>
        <w:ind w:firstLine="420"/>
        <w:rPr>
          <w:rFonts w:hint="eastAsia" w:ascii="宋体" w:hAnsi="宋体"/>
          <w:sz w:val="24"/>
          <w:szCs w:val="24"/>
        </w:rPr>
      </w:pPr>
      <w:r>
        <w:rPr>
          <w:rFonts w:hint="eastAsia" w:ascii="宋体" w:hAnsi="宋体"/>
          <w:sz w:val="24"/>
          <w:szCs w:val="24"/>
        </w:rPr>
        <w:t>1、项目编号：NBZFCG2020X011G</w:t>
      </w:r>
    </w:p>
    <w:p>
      <w:pPr>
        <w:spacing w:line="440" w:lineRule="exact"/>
        <w:ind w:firstLine="480" w:firstLineChars="200"/>
        <w:rPr>
          <w:rFonts w:ascii="ˎ̥" w:hAnsi="ˎ̥"/>
          <w:sz w:val="24"/>
          <w:szCs w:val="24"/>
        </w:rPr>
      </w:pPr>
      <w:r>
        <w:rPr>
          <w:rFonts w:hint="eastAsia" w:ascii="宋体" w:hAnsi="宋体"/>
          <w:sz w:val="24"/>
          <w:szCs w:val="24"/>
        </w:rPr>
        <w:t>2、项目名称：</w:t>
      </w:r>
      <w:r>
        <w:rPr>
          <w:rFonts w:hint="eastAsia" w:ascii="ˎ̥" w:hAnsi="ˎ̥"/>
          <w:sz w:val="24"/>
          <w:szCs w:val="24"/>
        </w:rPr>
        <w:t>宁波市“智慧财政”项目（基础平台与预算管理项目）</w:t>
      </w:r>
    </w:p>
    <w:p>
      <w:pPr>
        <w:spacing w:line="440" w:lineRule="exact"/>
        <w:ind w:firstLine="480" w:firstLineChars="200"/>
        <w:rPr>
          <w:rFonts w:hint="eastAsia" w:ascii="宋体" w:hAnsi="宋体"/>
          <w:sz w:val="24"/>
          <w:szCs w:val="24"/>
        </w:rPr>
      </w:pPr>
      <w:r>
        <w:rPr>
          <w:rFonts w:hint="eastAsia" w:ascii="ˎ̥" w:hAnsi="ˎ̥"/>
          <w:sz w:val="24"/>
          <w:szCs w:val="24"/>
        </w:rPr>
        <w:t>3、</w:t>
      </w:r>
      <w:r>
        <w:rPr>
          <w:rFonts w:hint="eastAsia" w:ascii="宋体" w:hAnsi="宋体"/>
          <w:sz w:val="24"/>
          <w:szCs w:val="24"/>
        </w:rPr>
        <w:t>采购预算（最高限价）：2468万元。</w:t>
      </w:r>
    </w:p>
    <w:p>
      <w:pPr>
        <w:spacing w:line="440" w:lineRule="exact"/>
        <w:ind w:firstLine="480" w:firstLineChars="200"/>
        <w:rPr>
          <w:rFonts w:hint="eastAsia" w:ascii="宋体" w:hAnsi="宋体"/>
          <w:sz w:val="24"/>
          <w:szCs w:val="24"/>
        </w:rPr>
      </w:pPr>
      <w:r>
        <w:rPr>
          <w:rFonts w:hint="eastAsia" w:ascii="宋体" w:hAnsi="宋体"/>
          <w:sz w:val="24"/>
          <w:szCs w:val="24"/>
        </w:rPr>
        <w:t>4、采购需求：宁波市“智慧财政”项目（基础平台与预算管理项目），详见招标文件。</w:t>
      </w:r>
    </w:p>
    <w:p>
      <w:pPr>
        <w:numPr>
          <w:ilvl w:val="0"/>
          <w:numId w:val="2"/>
        </w:numPr>
        <w:spacing w:line="360" w:lineRule="atLeast"/>
        <w:ind w:firstLine="480" w:firstLineChars="200"/>
        <w:rPr>
          <w:rFonts w:hint="eastAsia" w:ascii="宋体" w:hAnsi="宋体"/>
          <w:sz w:val="24"/>
          <w:szCs w:val="24"/>
        </w:rPr>
      </w:pPr>
      <w:r>
        <w:rPr>
          <w:rFonts w:hint="eastAsia" w:ascii="宋体" w:hAnsi="宋体"/>
          <w:sz w:val="24"/>
          <w:szCs w:val="24"/>
        </w:rPr>
        <w:t>合同履行期限：合同签订起至2021年12月底，详见需求内容。</w:t>
      </w:r>
    </w:p>
    <w:p>
      <w:pPr>
        <w:numPr>
          <w:ilvl w:val="0"/>
          <w:numId w:val="2"/>
        </w:numPr>
        <w:spacing w:line="360" w:lineRule="atLeast"/>
        <w:ind w:firstLine="480" w:firstLineChars="200"/>
        <w:rPr>
          <w:rFonts w:ascii="宋体" w:hAnsi="宋体"/>
          <w:sz w:val="24"/>
          <w:szCs w:val="24"/>
        </w:rPr>
      </w:pPr>
      <w:r>
        <w:rPr>
          <w:rFonts w:hint="eastAsia" w:ascii="宋体" w:hAnsi="宋体"/>
          <w:sz w:val="24"/>
          <w:szCs w:val="24"/>
        </w:rPr>
        <w:t>联合体投标：不接受。</w:t>
      </w:r>
    </w:p>
    <w:p>
      <w:pPr>
        <w:spacing w:line="360" w:lineRule="atLeast"/>
        <w:ind w:firstLine="480" w:firstLineChars="200"/>
        <w:rPr>
          <w:rFonts w:hint="eastAsia" w:ascii="宋体" w:hAnsi="宋体"/>
          <w:sz w:val="24"/>
          <w:szCs w:val="24"/>
        </w:rPr>
      </w:pPr>
      <w:r>
        <w:rPr>
          <w:rFonts w:hint="eastAsia" w:ascii="宋体" w:hAnsi="宋体"/>
          <w:sz w:val="24"/>
          <w:szCs w:val="24"/>
        </w:rPr>
        <w:t>二、申请人的资格要求：</w:t>
      </w:r>
    </w:p>
    <w:p>
      <w:pPr>
        <w:numPr>
          <w:ilvl w:val="0"/>
          <w:numId w:val="3"/>
        </w:numPr>
        <w:spacing w:line="360" w:lineRule="atLeast"/>
        <w:ind w:firstLine="480" w:firstLineChars="200"/>
        <w:rPr>
          <w:rFonts w:hint="eastAsia" w:ascii="宋体" w:hAnsi="宋体"/>
          <w:sz w:val="24"/>
          <w:szCs w:val="24"/>
        </w:rPr>
      </w:pPr>
      <w:r>
        <w:rPr>
          <w:rFonts w:hint="eastAsia" w:ascii="宋体" w:hAnsi="宋体"/>
          <w:sz w:val="24"/>
          <w:szCs w:val="24"/>
        </w:rPr>
        <w:t>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pPr>
        <w:spacing w:line="360" w:lineRule="atLeast"/>
        <w:ind w:firstLine="480" w:firstLineChars="200"/>
        <w:rPr>
          <w:rFonts w:ascii="宋体" w:hAnsi="宋体"/>
          <w:sz w:val="24"/>
          <w:szCs w:val="24"/>
        </w:rPr>
      </w:pPr>
      <w:r>
        <w:rPr>
          <w:rFonts w:hint="eastAsia" w:ascii="宋体" w:hAnsi="宋体"/>
          <w:sz w:val="24"/>
          <w:szCs w:val="24"/>
        </w:rPr>
        <w:t>2、特定资格要求：</w:t>
      </w:r>
      <w:r>
        <w:rPr>
          <w:rFonts w:hint="eastAsia" w:ascii="宋体" w:hAnsi="宋体"/>
          <w:sz w:val="24"/>
          <w:szCs w:val="24"/>
          <w:u w:val="single"/>
        </w:rPr>
        <w:t>无。</w:t>
      </w:r>
    </w:p>
    <w:p>
      <w:pPr>
        <w:spacing w:line="440" w:lineRule="exact"/>
        <w:ind w:firstLine="480" w:firstLineChars="200"/>
        <w:rPr>
          <w:rFonts w:hint="eastAsia" w:ascii="宋体" w:hAnsi="宋体"/>
          <w:sz w:val="24"/>
          <w:szCs w:val="24"/>
        </w:rPr>
      </w:pPr>
      <w:r>
        <w:rPr>
          <w:rFonts w:hint="eastAsia" w:ascii="宋体" w:hAnsi="宋体"/>
          <w:sz w:val="24"/>
          <w:szCs w:val="24"/>
        </w:rPr>
        <w:t>三、获取招标文件：请到</w:t>
      </w:r>
      <w:r>
        <w:rPr>
          <w:rFonts w:hint="eastAsia" w:ascii="宋体" w:hAnsi="宋体"/>
          <w:sz w:val="24"/>
        </w:rPr>
        <w:t>浙江政府采购网(zfcg.czt.zj.gov.cn)或宁波政府采购网（www.nbzfcg.cn）</w:t>
      </w:r>
      <w:r>
        <w:rPr>
          <w:rFonts w:hint="eastAsia" w:ascii="宋体" w:hAnsi="宋体"/>
          <w:sz w:val="24"/>
          <w:szCs w:val="24"/>
        </w:rPr>
        <w:t>免费下载电子文件。</w:t>
      </w:r>
    </w:p>
    <w:p>
      <w:pPr>
        <w:spacing w:line="440" w:lineRule="exact"/>
        <w:ind w:firstLine="480" w:firstLineChars="200"/>
        <w:rPr>
          <w:rFonts w:hint="eastAsia" w:ascii="宋体" w:hAnsi="宋体"/>
          <w:sz w:val="24"/>
          <w:szCs w:val="24"/>
        </w:rPr>
      </w:pPr>
      <w:r>
        <w:rPr>
          <w:rFonts w:hint="eastAsia" w:ascii="宋体" w:hAnsi="宋体"/>
          <w:sz w:val="24"/>
          <w:szCs w:val="24"/>
        </w:rPr>
        <w:t>四、提交投标文件截止时间、开标时间和地点：</w:t>
      </w:r>
    </w:p>
    <w:p>
      <w:pPr>
        <w:spacing w:line="440" w:lineRule="exact"/>
        <w:ind w:firstLine="480" w:firstLineChars="200"/>
        <w:rPr>
          <w:rFonts w:hint="eastAsia" w:ascii="宋体" w:hAnsi="宋体"/>
          <w:sz w:val="24"/>
          <w:szCs w:val="24"/>
        </w:rPr>
      </w:pPr>
      <w:r>
        <w:rPr>
          <w:rFonts w:hint="eastAsia" w:ascii="宋体" w:hAnsi="宋体"/>
          <w:sz w:val="24"/>
          <w:szCs w:val="24"/>
        </w:rPr>
        <w:t>时间：2020年6月30日9：3</w:t>
      </w:r>
      <w:r>
        <w:rPr>
          <w:rFonts w:ascii="宋体" w:hAnsi="宋体"/>
          <w:sz w:val="24"/>
          <w:szCs w:val="24"/>
        </w:rPr>
        <w:t>0</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地点：宁波市鄞州区宁穿路1901号市行政服务中心四楼开标区（具体场所安排详见电子指示屏幕）。</w:t>
      </w:r>
    </w:p>
    <w:p>
      <w:pPr>
        <w:spacing w:line="440" w:lineRule="exact"/>
        <w:ind w:firstLine="480" w:firstLineChars="200"/>
        <w:rPr>
          <w:rFonts w:hint="eastAsia" w:ascii="宋体" w:hAnsi="宋体"/>
          <w:sz w:val="24"/>
          <w:szCs w:val="24"/>
        </w:rPr>
      </w:pPr>
      <w:r>
        <w:rPr>
          <w:rFonts w:hint="eastAsia" w:ascii="宋体" w:hAnsi="宋体"/>
          <w:sz w:val="24"/>
          <w:szCs w:val="24"/>
        </w:rPr>
        <w:t>五、公告期限：自公告之日起5个工作日。</w:t>
      </w:r>
    </w:p>
    <w:p>
      <w:pPr>
        <w:spacing w:line="440" w:lineRule="exact"/>
        <w:ind w:firstLine="480" w:firstLineChars="200"/>
        <w:rPr>
          <w:rFonts w:hint="eastAsia" w:ascii="宋体" w:hAnsi="宋体"/>
          <w:sz w:val="24"/>
          <w:szCs w:val="24"/>
        </w:rPr>
      </w:pPr>
      <w:r>
        <w:rPr>
          <w:rFonts w:hint="eastAsia" w:ascii="宋体" w:hAnsi="宋体"/>
          <w:sz w:val="24"/>
          <w:szCs w:val="24"/>
        </w:rPr>
        <w:t>六、其他补充事项：参加投标的供应商请于投标截止时间前在</w:t>
      </w:r>
      <w:r>
        <w:rPr>
          <w:rFonts w:hint="eastAsia" w:ascii="宋体" w:hAnsi="宋体"/>
          <w:sz w:val="24"/>
        </w:rPr>
        <w:t>浙江政府采购网(zfcg.czt.zj.gov.cn)完成供应商注册。</w:t>
      </w:r>
    </w:p>
    <w:p>
      <w:pPr>
        <w:spacing w:line="440" w:lineRule="exact"/>
        <w:ind w:firstLine="420"/>
        <w:rPr>
          <w:rFonts w:hint="eastAsia" w:ascii="宋体" w:hAnsi="宋体"/>
          <w:sz w:val="24"/>
          <w:szCs w:val="24"/>
        </w:rPr>
      </w:pPr>
      <w:r>
        <w:rPr>
          <w:rFonts w:hint="eastAsia" w:ascii="宋体" w:hAnsi="宋体"/>
          <w:sz w:val="24"/>
          <w:szCs w:val="24"/>
        </w:rPr>
        <w:t>七、对本次采购提出询问，请按以下方式。</w:t>
      </w:r>
    </w:p>
    <w:p>
      <w:pPr>
        <w:spacing w:line="440" w:lineRule="exact"/>
        <w:ind w:firstLine="645"/>
        <w:rPr>
          <w:rFonts w:hint="eastAsia" w:ascii="宋体" w:hAnsi="宋体"/>
          <w:sz w:val="24"/>
          <w:szCs w:val="24"/>
        </w:rPr>
      </w:pPr>
      <w:r>
        <w:rPr>
          <w:rFonts w:hint="eastAsia" w:ascii="宋体" w:hAnsi="宋体"/>
          <w:sz w:val="24"/>
          <w:szCs w:val="24"/>
        </w:rPr>
        <w:t>1、采购人：宁波市财政局，地址：宁波市中山西路19号，联系方式：徐先生/0574-89388082。</w:t>
      </w:r>
    </w:p>
    <w:p>
      <w:pPr>
        <w:spacing w:line="440" w:lineRule="exact"/>
        <w:ind w:firstLine="645"/>
        <w:rPr>
          <w:rFonts w:hint="eastAsia" w:ascii="宋体" w:hAnsi="宋体"/>
          <w:sz w:val="24"/>
          <w:szCs w:val="24"/>
        </w:rPr>
      </w:pPr>
      <w:r>
        <w:rPr>
          <w:rFonts w:hint="eastAsia" w:ascii="宋体" w:hAnsi="宋体"/>
          <w:sz w:val="24"/>
          <w:szCs w:val="24"/>
        </w:rPr>
        <w:t>2、集中采购机构：宁波市政府采购中心</w:t>
      </w:r>
    </w:p>
    <w:p>
      <w:pPr>
        <w:spacing w:line="440" w:lineRule="exact"/>
        <w:ind w:firstLine="645"/>
        <w:rPr>
          <w:rFonts w:hint="eastAsia" w:ascii="宋体" w:hAnsi="宋体"/>
          <w:sz w:val="24"/>
          <w:szCs w:val="24"/>
        </w:rPr>
      </w:pPr>
      <w:r>
        <w:rPr>
          <w:rFonts w:hint="eastAsia" w:ascii="宋体" w:hAnsi="宋体"/>
          <w:sz w:val="24"/>
          <w:szCs w:val="24"/>
        </w:rPr>
        <w:t>项目联系人：谢先生</w:t>
      </w:r>
      <w:r>
        <w:rPr>
          <w:rFonts w:hint="eastAsia" w:ascii="宋体" w:hAnsi="宋体"/>
          <w:sz w:val="24"/>
          <w:szCs w:val="24"/>
        </w:rPr>
        <w:tab/>
      </w:r>
      <w:r>
        <w:rPr>
          <w:rFonts w:hint="eastAsia" w:ascii="宋体" w:hAnsi="宋体"/>
          <w:sz w:val="24"/>
          <w:szCs w:val="24"/>
        </w:rPr>
        <w:t>TEL：0574-87187960</w:t>
      </w:r>
      <w:r>
        <w:rPr>
          <w:rFonts w:hint="eastAsia" w:ascii="宋体" w:hAnsi="宋体"/>
          <w:sz w:val="24"/>
          <w:szCs w:val="24"/>
        </w:rPr>
        <w:tab/>
      </w:r>
      <w:r>
        <w:rPr>
          <w:rFonts w:hint="eastAsia" w:ascii="宋体" w:hAnsi="宋体"/>
          <w:sz w:val="24"/>
          <w:szCs w:val="24"/>
        </w:rPr>
        <w:t>FAX：0574-87187961</w:t>
      </w:r>
    </w:p>
    <w:p>
      <w:pPr>
        <w:spacing w:line="440" w:lineRule="exact"/>
        <w:ind w:firstLine="645"/>
        <w:rPr>
          <w:rFonts w:hint="eastAsia" w:ascii="宋体" w:hAnsi="宋体"/>
          <w:sz w:val="24"/>
          <w:szCs w:val="24"/>
        </w:rPr>
      </w:pPr>
      <w:r>
        <w:rPr>
          <w:rFonts w:hint="eastAsia" w:ascii="宋体" w:hAnsi="宋体"/>
          <w:sz w:val="24"/>
          <w:szCs w:val="24"/>
        </w:rPr>
        <w:t>地址：宁波市鄞州区宁穿路1901号市行政服务中心五楼  邮编：315066</w:t>
      </w:r>
    </w:p>
    <w:p>
      <w:pPr>
        <w:spacing w:line="440" w:lineRule="exact"/>
        <w:jc w:val="center"/>
        <w:rPr>
          <w:rFonts w:ascii="宋体" w:hAnsi="宋体"/>
          <w:b/>
          <w:sz w:val="36"/>
        </w:rPr>
      </w:pPr>
      <w:r>
        <w:rPr>
          <w:rFonts w:eastAsia="黑体"/>
          <w:sz w:val="32"/>
        </w:rPr>
        <w:br w:type="page"/>
      </w:r>
      <w:r>
        <w:rPr>
          <w:rFonts w:hint="eastAsia" w:ascii="宋体" w:hAnsi="宋体"/>
          <w:b/>
          <w:sz w:val="36"/>
        </w:rPr>
        <w:t>第二部分  项目需求说明及评标标准</w:t>
      </w:r>
    </w:p>
    <w:p>
      <w:pPr>
        <w:spacing w:line="440" w:lineRule="exact"/>
        <w:rPr>
          <w:rFonts w:hint="eastAsia" w:ascii="宋体" w:hAnsi="宋体"/>
          <w:b/>
          <w:sz w:val="32"/>
        </w:rPr>
      </w:pPr>
    </w:p>
    <w:p>
      <w:pPr>
        <w:tabs>
          <w:tab w:val="left" w:pos="2520"/>
        </w:tabs>
        <w:ind w:left="1" w:hanging="1"/>
        <w:rPr>
          <w:rFonts w:hint="eastAsia"/>
          <w:b/>
          <w:sz w:val="28"/>
        </w:rPr>
      </w:pPr>
      <w:r>
        <w:rPr>
          <w:rFonts w:hint="eastAsia"/>
          <w:b/>
          <w:sz w:val="32"/>
        </w:rPr>
        <w:t>特别申明</w:t>
      </w:r>
      <w:r>
        <w:rPr>
          <w:rFonts w:hint="eastAsia"/>
          <w:b/>
          <w:sz w:val="28"/>
        </w:rPr>
        <w:t>：</w:t>
      </w:r>
    </w:p>
    <w:p>
      <w:pPr>
        <w:numPr>
          <w:ilvl w:val="0"/>
          <w:numId w:val="4"/>
        </w:numPr>
        <w:tabs>
          <w:tab w:val="left" w:pos="2520"/>
        </w:tabs>
        <w:ind w:left="1" w:hanging="1"/>
        <w:rPr>
          <w:rFonts w:hint="eastAsia"/>
          <w:b/>
          <w:sz w:val="24"/>
        </w:rPr>
      </w:pPr>
      <w:r>
        <w:rPr>
          <w:rFonts w:hint="eastAsia"/>
          <w:b/>
          <w:sz w:val="24"/>
        </w:rPr>
        <w:t>任何违反《政府采购法实施条例》第20条规定的要求均为无效采购需求。</w:t>
      </w:r>
    </w:p>
    <w:p>
      <w:pPr>
        <w:numPr>
          <w:ilvl w:val="0"/>
          <w:numId w:val="4"/>
        </w:numPr>
        <w:tabs>
          <w:tab w:val="left" w:pos="2520"/>
        </w:tabs>
        <w:ind w:left="1" w:hanging="1"/>
        <w:rPr>
          <w:rFonts w:hint="eastAsia"/>
          <w:b/>
          <w:sz w:val="24"/>
        </w:rPr>
      </w:pPr>
      <w:r>
        <w:rPr>
          <w:rFonts w:hint="eastAsia"/>
          <w:b/>
          <w:sz w:val="24"/>
        </w:rPr>
        <w:t>不得将注册资金、资产总额、营业收入、从业人员、利润、纳税额等供应商规模条件作为资格要求或者评审因素，不得将除进口产品以外的生产厂家的授权、承诺、证明、背书等作为资格要求。</w:t>
      </w:r>
    </w:p>
    <w:p>
      <w:pPr>
        <w:numPr>
          <w:ilvl w:val="0"/>
          <w:numId w:val="4"/>
        </w:numPr>
        <w:tabs>
          <w:tab w:val="left" w:pos="2520"/>
        </w:tabs>
        <w:ind w:left="1" w:hanging="1"/>
        <w:rPr>
          <w:rFonts w:hint="eastAsia"/>
          <w:b/>
          <w:sz w:val="24"/>
        </w:rPr>
      </w:pPr>
      <w:r>
        <w:rPr>
          <w:rFonts w:hint="eastAsia"/>
          <w:b/>
          <w:sz w:val="24"/>
        </w:rPr>
        <w:t>采购需求中出现的品牌型号仅供参考，欢迎其他相当的产品投标。</w:t>
      </w:r>
    </w:p>
    <w:p>
      <w:pPr>
        <w:numPr>
          <w:ilvl w:val="0"/>
          <w:numId w:val="4"/>
        </w:numPr>
        <w:tabs>
          <w:tab w:val="left" w:pos="2520"/>
        </w:tabs>
        <w:ind w:left="1" w:hanging="1"/>
        <w:rPr>
          <w:rFonts w:hint="eastAsia"/>
          <w:b/>
          <w:sz w:val="24"/>
        </w:rPr>
      </w:pPr>
      <w:r>
        <w:rPr>
          <w:rFonts w:hint="eastAsia"/>
          <w:b/>
          <w:sz w:val="24"/>
        </w:rPr>
        <w:t>非单一产品项目，以“</w:t>
      </w:r>
      <w:r>
        <w:rPr>
          <w:rFonts w:hint="eastAsia" w:ascii="宋体" w:hAnsi="宋体" w:cs="宋体"/>
          <w:b/>
          <w:sz w:val="24"/>
        </w:rPr>
        <w:t>※</w:t>
      </w:r>
      <w:r>
        <w:rPr>
          <w:rFonts w:hint="eastAsia"/>
          <w:b/>
          <w:sz w:val="24"/>
        </w:rPr>
        <w:t>”标识的为核心产品。</w:t>
      </w:r>
    </w:p>
    <w:p>
      <w:pPr>
        <w:numPr>
          <w:ilvl w:val="0"/>
          <w:numId w:val="4"/>
        </w:numPr>
        <w:tabs>
          <w:tab w:val="left" w:pos="2520"/>
        </w:tabs>
        <w:ind w:left="1" w:hanging="1"/>
        <w:rPr>
          <w:rFonts w:hint="eastAsia"/>
          <w:b/>
          <w:sz w:val="24"/>
        </w:rPr>
      </w:pPr>
      <w:r>
        <w:rPr>
          <w:rFonts w:hint="eastAsia"/>
          <w:b/>
          <w:sz w:val="24"/>
        </w:rPr>
        <w:t>以“</w:t>
      </w:r>
      <w:r>
        <w:rPr>
          <w:rFonts w:hint="eastAsia" w:ascii="宋体" w:hAnsi="宋体" w:cs="宋体"/>
          <w:szCs w:val="21"/>
        </w:rPr>
        <w:t>★</w:t>
      </w:r>
      <w:r>
        <w:rPr>
          <w:rFonts w:hint="eastAsia"/>
          <w:b/>
          <w:sz w:val="24"/>
        </w:rPr>
        <w:t>”标识的为重要采购需求条款。</w:t>
      </w:r>
    </w:p>
    <w:p>
      <w:pPr>
        <w:numPr>
          <w:ilvl w:val="0"/>
          <w:numId w:val="4"/>
        </w:numPr>
        <w:tabs>
          <w:tab w:val="left" w:pos="2520"/>
        </w:tabs>
        <w:ind w:left="1" w:hanging="1"/>
        <w:rPr>
          <w:rFonts w:hint="eastAsia"/>
          <w:b/>
          <w:sz w:val="24"/>
          <w:szCs w:val="22"/>
        </w:rPr>
      </w:pPr>
      <w:r>
        <w:rPr>
          <w:rFonts w:hint="eastAsia"/>
          <w:b/>
          <w:sz w:val="24"/>
        </w:rPr>
        <w:t>根据《关于促进自主创新进一步改进招标采购工作的意见》（甬资交管办[2019]1号）规定，若投标产品列入地级市及以上政府部门重点自主创新产品目录的，相应的资格审查和案例业绩评分视同完全满足（以投标文件中提供</w:t>
      </w:r>
      <w:r>
        <w:rPr>
          <w:rFonts w:hint="eastAsia"/>
          <w:b/>
          <w:sz w:val="24"/>
          <w:szCs w:val="22"/>
        </w:rPr>
        <w:t>地级市及以上政府部门重点自主创新产品目录证明材料为准）。</w:t>
      </w:r>
    </w:p>
    <w:p>
      <w:pPr>
        <w:numPr>
          <w:ilvl w:val="0"/>
          <w:numId w:val="4"/>
        </w:numPr>
        <w:tabs>
          <w:tab w:val="left" w:pos="2520"/>
        </w:tabs>
        <w:ind w:left="1" w:hanging="1"/>
        <w:rPr>
          <w:rFonts w:hint="eastAsia"/>
          <w:b/>
          <w:sz w:val="24"/>
        </w:rPr>
      </w:pPr>
      <w:r>
        <w:rPr>
          <w:rFonts w:hint="eastAsia"/>
          <w:b/>
          <w:sz w:val="24"/>
        </w:rPr>
        <w:t>针对本项目情况，各投标商均有30分钟的方案介绍时间。方案介绍按各标包的投标登记顺序进行。（本中心只提供VGA接口投影仪，笔记本、U盘、网络环境等请自备，讲标演示区域不准携带手机等通讯产品）</w:t>
      </w:r>
    </w:p>
    <w:p>
      <w:pPr>
        <w:tabs>
          <w:tab w:val="left" w:pos="2520"/>
        </w:tabs>
        <w:ind w:left="1" w:hanging="1"/>
        <w:rPr>
          <w:sz w:val="24"/>
        </w:rPr>
      </w:pPr>
    </w:p>
    <w:p>
      <w:pPr>
        <w:pStyle w:val="62"/>
        <w:ind w:firstLine="267" w:firstLineChars="83"/>
        <w:jc w:val="center"/>
        <w:rPr>
          <w:rFonts w:hint="eastAsia" w:ascii="Arial" w:hAnsi="Arial"/>
        </w:rPr>
      </w:pPr>
      <w:r>
        <w:rPr>
          <w:rFonts w:hint="eastAsia"/>
          <w:b/>
          <w:sz w:val="32"/>
        </w:rPr>
        <w:t>项目需求说明</w:t>
      </w:r>
      <w:r>
        <w:rPr>
          <w:rFonts w:hint="eastAsia"/>
          <w:b/>
          <w:sz w:val="28"/>
        </w:rPr>
        <w:t>：</w:t>
      </w:r>
    </w:p>
    <w:p>
      <w:pPr>
        <w:pStyle w:val="2"/>
        <w:rPr>
          <w:b/>
          <w:sz w:val="44"/>
          <w:szCs w:val="44"/>
        </w:rPr>
      </w:pPr>
      <w:r>
        <w:rPr>
          <w:rFonts w:hint="eastAsia"/>
          <w:b/>
          <w:sz w:val="44"/>
          <w:szCs w:val="44"/>
        </w:rPr>
        <w:t>一、项目背景</w:t>
      </w:r>
    </w:p>
    <w:p>
      <w:pPr>
        <w:spacing w:line="360" w:lineRule="auto"/>
        <w:ind w:firstLine="480" w:firstLineChars="200"/>
        <w:jc w:val="left"/>
        <w:rPr>
          <w:rFonts w:ascii="宋体" w:hAnsi="宋体"/>
          <w:sz w:val="24"/>
        </w:rPr>
      </w:pPr>
      <w:r>
        <w:rPr>
          <w:rFonts w:hint="eastAsia" w:ascii="宋体" w:hAnsi="宋体"/>
          <w:sz w:val="24"/>
        </w:rPr>
        <w:t>党的十九大从全局和战略的高度强调加快建立现代财政制度，明确提出要建立全面规范透明、标准科学、约束有力的预算制度，全面实施绩效管理。党的十九大提出的这些新要求，指明新时代深化预算制度改革的方向，是做好新时代财政工作的基本遵循，必须深入贯彻落实，信息化是实现这一目标的有力技术支撑。</w:t>
      </w:r>
    </w:p>
    <w:p>
      <w:pPr>
        <w:spacing w:line="360" w:lineRule="auto"/>
        <w:ind w:firstLine="480" w:firstLineChars="200"/>
        <w:jc w:val="left"/>
        <w:rPr>
          <w:rFonts w:ascii="宋体" w:hAnsi="宋体"/>
          <w:sz w:val="24"/>
        </w:rPr>
      </w:pPr>
      <w:r>
        <w:rPr>
          <w:rFonts w:hint="eastAsia" w:ascii="宋体" w:hAnsi="宋体"/>
          <w:sz w:val="24"/>
        </w:rPr>
        <w:t>财政部研究制定《财政信息化三年重点工作规划（2019-2021）》（财办〔2019〕34号），提出构建财政核心业务一体化系统、全面落实集中化部署、开展财政大数据应用、建立财政云平台等四个发展目标，立足财政工作全局，全面推进财政信息化支撑能力的提升。财政部从2020年起，将“财政核心业务一体化”改称“预算管理一体化”。</w:t>
      </w:r>
    </w:p>
    <w:p>
      <w:pPr>
        <w:spacing w:line="360" w:lineRule="auto"/>
        <w:ind w:firstLine="480" w:firstLineChars="200"/>
        <w:jc w:val="left"/>
        <w:rPr>
          <w:rFonts w:ascii="宋体" w:hAnsi="宋体"/>
          <w:sz w:val="24"/>
        </w:rPr>
      </w:pPr>
      <w:r>
        <w:rPr>
          <w:rFonts w:hint="eastAsia" w:ascii="宋体" w:hAnsi="宋体"/>
          <w:sz w:val="24"/>
        </w:rPr>
        <w:t>同时，按照《财政信息系统集中化推进工作方案》（财办〔2019〕30号）要求，各省级财政部门以已建的财政核心业务系统为依托，根据现代财政制度要求，改造完善现有财政核心业务系统，按照省级统建统管、系统集中统一的思路，推进主要业务系统的省级应用“大集中”，并逐步扩展覆盖市县乡的主体业务，打造业务规范化、应用一体化、数据集中化、监管综合化的现代财政信息系统体系，充分发挥信息化保障业务管理、强化资金管控、辅助科学决策的重要作用，进一步提升财政现代化管理水平。</w:t>
      </w:r>
    </w:p>
    <w:p>
      <w:pPr>
        <w:spacing w:line="360" w:lineRule="auto"/>
        <w:ind w:firstLine="480" w:firstLineChars="200"/>
        <w:jc w:val="left"/>
        <w:rPr>
          <w:rFonts w:ascii="宋体" w:hAnsi="宋体"/>
          <w:sz w:val="24"/>
        </w:rPr>
      </w:pPr>
      <w:r>
        <w:rPr>
          <w:rFonts w:hint="eastAsia" w:ascii="宋体" w:hAnsi="宋体"/>
          <w:sz w:val="24"/>
        </w:rPr>
        <w:t>根据浙江省和宁波市</w:t>
      </w:r>
      <w:r>
        <w:rPr>
          <w:rFonts w:hint="eastAsia" w:ascii="宋体" w:hAnsi="宋体" w:cs="宋体"/>
          <w:kern w:val="0"/>
          <w:sz w:val="24"/>
          <w:szCs w:val="24"/>
        </w:rPr>
        <w:t>关于推进政府服务改革、《宁波市深化“最多跑一次”改革推进政府数字化转型三年行动计划（2019-2021年）》等的</w:t>
      </w:r>
      <w:r>
        <w:rPr>
          <w:rFonts w:hint="eastAsia" w:ascii="宋体" w:hAnsi="宋体"/>
          <w:sz w:val="24"/>
        </w:rPr>
        <w:t>要求，财政部门要积极发挥作用，全面梳理部门间办事事项目录，编制办事指南和工作流程图，明确办事流程标准，并推进相关业务的数字化转型工作。</w:t>
      </w:r>
    </w:p>
    <w:p>
      <w:pPr>
        <w:spacing w:line="360" w:lineRule="auto"/>
        <w:ind w:firstLine="480" w:firstLineChars="200"/>
        <w:jc w:val="left"/>
        <w:rPr>
          <w:rFonts w:ascii="宋体" w:hAnsi="宋体"/>
          <w:sz w:val="24"/>
        </w:rPr>
      </w:pPr>
      <w:r>
        <w:rPr>
          <w:rFonts w:hint="eastAsia" w:ascii="宋体" w:hAnsi="宋体"/>
          <w:sz w:val="24"/>
        </w:rPr>
        <w:t>推进财政核心业务一体化系统建设是我市构建集中财力办大事财政政策体系的客观要求。构建集中财力办大事财政政策体系提出八方面的工作内容，涉及财政体制、制度规范、清单管理、绩效管理等各个方面，都需要通过系统来支撑。</w:t>
      </w:r>
    </w:p>
    <w:p>
      <w:pPr>
        <w:spacing w:line="360" w:lineRule="auto"/>
        <w:ind w:firstLine="480" w:firstLineChars="200"/>
        <w:jc w:val="left"/>
        <w:rPr>
          <w:rFonts w:ascii="宋体" w:hAnsi="宋体"/>
          <w:sz w:val="24"/>
        </w:rPr>
      </w:pPr>
      <w:r>
        <w:rPr>
          <w:rFonts w:hint="eastAsia" w:ascii="宋体" w:hAnsi="宋体"/>
          <w:sz w:val="24"/>
        </w:rPr>
        <w:t>宁波市作为财政核心业务一体化系统建设第二批实施单位，为严格贯彻落实党中央、财政部和省市两级政府的工作指示，立足我市实际，有效解决我市财政信息化发展中的问题，通过本项目的实施，实现由分散建设向一体化发展转变；由主要业务应用向财政业务全覆盖转变；由支撑日常业务处理向规范财政管理服务、促进财政科学决策转变，推动建立富有宁波特色的现代财政制度。</w:t>
      </w:r>
    </w:p>
    <w:p>
      <w:pPr>
        <w:pStyle w:val="2"/>
        <w:rPr>
          <w:b/>
          <w:sz w:val="44"/>
          <w:szCs w:val="44"/>
        </w:rPr>
      </w:pPr>
      <w:r>
        <w:rPr>
          <w:rFonts w:hint="eastAsia"/>
          <w:b/>
          <w:sz w:val="44"/>
          <w:szCs w:val="44"/>
        </w:rPr>
        <w:t>二、信息化现状</w:t>
      </w:r>
    </w:p>
    <w:p>
      <w:pPr>
        <w:spacing w:line="360" w:lineRule="auto"/>
        <w:ind w:firstLine="480" w:firstLineChars="200"/>
        <w:rPr>
          <w:rFonts w:ascii="宋体" w:hAnsi="宋体"/>
          <w:sz w:val="24"/>
          <w:szCs w:val="24"/>
        </w:rPr>
      </w:pPr>
      <w:r>
        <w:rPr>
          <w:rFonts w:hint="eastAsia" w:ascii="宋体" w:hAnsi="宋体"/>
          <w:sz w:val="24"/>
          <w:szCs w:val="24"/>
        </w:rPr>
        <w:t>围绕财政改革与发展要求，我市财政信息化</w:t>
      </w:r>
      <w:r>
        <w:rPr>
          <w:rFonts w:hint="eastAsia" w:hAnsi="宋体"/>
          <w:sz w:val="24"/>
          <w:szCs w:val="24"/>
        </w:rPr>
        <w:t>建设起步于</w:t>
      </w:r>
      <w:r>
        <w:rPr>
          <w:sz w:val="24"/>
          <w:szCs w:val="24"/>
        </w:rPr>
        <w:t>“</w:t>
      </w:r>
      <w:r>
        <w:rPr>
          <w:rFonts w:hint="eastAsia" w:hAnsi="宋体"/>
          <w:sz w:val="24"/>
          <w:szCs w:val="24"/>
        </w:rPr>
        <w:t>金财工程</w:t>
      </w:r>
      <w:r>
        <w:rPr>
          <w:sz w:val="24"/>
          <w:szCs w:val="24"/>
        </w:rPr>
        <w:t>”</w:t>
      </w:r>
      <w:r>
        <w:rPr>
          <w:rFonts w:hint="eastAsia" w:hAnsi="宋体"/>
          <w:sz w:val="24"/>
          <w:szCs w:val="24"/>
        </w:rPr>
        <w:t>项目，于</w:t>
      </w:r>
      <w:r>
        <w:rPr>
          <w:sz w:val="24"/>
          <w:szCs w:val="24"/>
        </w:rPr>
        <w:t>2006</w:t>
      </w:r>
      <w:r>
        <w:rPr>
          <w:rFonts w:hint="eastAsia" w:hAnsi="宋体"/>
          <w:sz w:val="24"/>
          <w:szCs w:val="24"/>
        </w:rPr>
        <w:t>年启动建设，</w:t>
      </w:r>
      <w:r>
        <w:rPr>
          <w:sz w:val="24"/>
          <w:szCs w:val="24"/>
        </w:rPr>
        <w:t>2007</w:t>
      </w:r>
      <w:r>
        <w:rPr>
          <w:rFonts w:hint="eastAsia" w:hAnsi="宋体"/>
          <w:sz w:val="24"/>
          <w:szCs w:val="24"/>
        </w:rPr>
        <w:t>年下半年建成基于部门预算、指标管理、国库支付、政府采购、统发工资、资产管理、总账核算等多个功能模块组成的“宁波市政府财政管理信息系统”，并正式上线运行，实现财政核心业务的一体化管理。</w:t>
      </w:r>
      <w:r>
        <w:rPr>
          <w:sz w:val="24"/>
          <w:szCs w:val="24"/>
        </w:rPr>
        <w:t>2011</w:t>
      </w:r>
      <w:r>
        <w:rPr>
          <w:rFonts w:hint="eastAsia" w:hAnsi="宋体"/>
          <w:sz w:val="24"/>
          <w:szCs w:val="24"/>
        </w:rPr>
        <w:t>年在市本级全面应用的基础上，按照分级部署的方式基本实现该系统在各区县（市）推广实施工作。</w:t>
      </w:r>
      <w:r>
        <w:rPr>
          <w:sz w:val="24"/>
          <w:szCs w:val="24"/>
        </w:rPr>
        <w:t>2012</w:t>
      </w:r>
      <w:r>
        <w:rPr>
          <w:rFonts w:hint="eastAsia" w:ascii="宋体" w:hAnsi="宋体"/>
          <w:sz w:val="24"/>
          <w:szCs w:val="24"/>
        </w:rPr>
        <w:t>年和2013年随着财政改革和管理的深入，相继开发公务卡、单位账户管理、动态监控等功能模块。</w:t>
      </w:r>
    </w:p>
    <w:p>
      <w:pPr>
        <w:spacing w:line="360" w:lineRule="auto"/>
        <w:ind w:firstLine="480" w:firstLineChars="200"/>
        <w:rPr>
          <w:rFonts w:ascii="宋体" w:hAnsi="宋体"/>
          <w:sz w:val="24"/>
          <w:szCs w:val="24"/>
        </w:rPr>
      </w:pPr>
      <w:r>
        <w:rPr>
          <w:rFonts w:hint="eastAsia" w:ascii="宋体" w:hAnsi="宋体"/>
          <w:sz w:val="24"/>
          <w:szCs w:val="24"/>
        </w:rPr>
        <w:t>2014年按照财政部推进国库支付电子化工作要求，我市开展国库支付电子化改革，实现财政、预算单位、人行、代理银行间的国库集中支付、资金清算、实拨、公务卡、对账、应急等电子化功能。在市级支付电子化全面应用的基础上，在区县（市）推广支付电子化。按照财政部提出在乡镇推广国库集中支付改革的要求，2016年完成系统在乡镇的推广实施工作。</w:t>
      </w:r>
    </w:p>
    <w:p>
      <w:pPr>
        <w:spacing w:line="360" w:lineRule="auto"/>
        <w:ind w:firstLine="480" w:firstLineChars="200"/>
        <w:rPr>
          <w:rFonts w:ascii="宋体" w:hAnsi="宋体"/>
          <w:sz w:val="24"/>
          <w:szCs w:val="24"/>
        </w:rPr>
      </w:pPr>
      <w:r>
        <w:rPr>
          <w:rFonts w:hint="eastAsia" w:ascii="宋体" w:hAnsi="宋体"/>
          <w:sz w:val="24"/>
          <w:szCs w:val="24"/>
        </w:rPr>
        <w:t>2016年为加快推进公共财政管理改革，提高预算管理的科学化精细化水平，启动基础信息库及部门预算管理升级改造项目，逐步支撑基本支出标准化。开展财政项目管理平台建设的开发建设工作，做好在试点区县（市）的推广实施工作。</w:t>
      </w:r>
    </w:p>
    <w:p>
      <w:pPr>
        <w:spacing w:line="360" w:lineRule="auto"/>
        <w:ind w:firstLine="480" w:firstLineChars="200"/>
        <w:rPr>
          <w:rFonts w:ascii="宋体" w:hAnsi="宋体"/>
          <w:sz w:val="24"/>
          <w:szCs w:val="24"/>
        </w:rPr>
      </w:pPr>
      <w:r>
        <w:rPr>
          <w:rFonts w:hint="eastAsia" w:ascii="宋体" w:hAnsi="宋体"/>
          <w:sz w:val="24"/>
          <w:szCs w:val="24"/>
        </w:rPr>
        <w:t>2017年实现非税收入征缴系统的全大市集中部署并接入政务服务网统一公共支付平台，建立财政部门、执收单位、代收机构、收款银行四方联网体系。</w:t>
      </w:r>
    </w:p>
    <w:p>
      <w:pPr>
        <w:spacing w:line="360" w:lineRule="auto"/>
        <w:ind w:firstLine="480" w:firstLineChars="200"/>
        <w:rPr>
          <w:rFonts w:ascii="宋体" w:hAnsi="宋体"/>
          <w:sz w:val="24"/>
          <w:szCs w:val="24"/>
        </w:rPr>
      </w:pPr>
      <w:r>
        <w:rPr>
          <w:rFonts w:hint="eastAsia" w:ascii="宋体" w:hAnsi="宋体"/>
          <w:sz w:val="24"/>
          <w:szCs w:val="24"/>
        </w:rPr>
        <w:t>2017年底根据财政改革和管理深化的要求对财信系统进行升级改造，改造功能包括：支出经济分类科目改革；适当调整集中支付范围划分标准，动态监控功能进行改造，改造政府采购的采购预算调整、采购计划、采购合同等功能，实现与预算指标、国库支付等无缝衔接，进一步提高系统的性能和稳定性。2018年实现政采云平台的对接。</w:t>
      </w:r>
    </w:p>
    <w:p>
      <w:pPr>
        <w:ind w:firstLine="480" w:firstLineChars="200"/>
      </w:pPr>
      <w:r>
        <w:rPr>
          <w:rFonts w:hint="eastAsia" w:ascii="宋体" w:hAnsi="宋体"/>
          <w:sz w:val="24"/>
          <w:szCs w:val="24"/>
        </w:rPr>
        <w:t>2018年分别实施全大市集中部署的部门决算网络版及政府财务报告综合管理系统。</w:t>
      </w:r>
    </w:p>
    <w:p>
      <w:pPr>
        <w:pStyle w:val="2"/>
        <w:rPr>
          <w:b/>
          <w:sz w:val="44"/>
          <w:szCs w:val="44"/>
        </w:rPr>
      </w:pPr>
      <w:r>
        <w:rPr>
          <w:rFonts w:hint="eastAsia"/>
          <w:b/>
          <w:sz w:val="44"/>
          <w:szCs w:val="44"/>
        </w:rPr>
        <w:t>三、存在的问题及差距</w:t>
      </w:r>
    </w:p>
    <w:p>
      <w:pPr>
        <w:spacing w:line="360" w:lineRule="auto"/>
        <w:ind w:firstLine="480" w:firstLineChars="200"/>
        <w:rPr>
          <w:rFonts w:ascii="宋体" w:hAnsi="宋体"/>
          <w:sz w:val="24"/>
          <w:szCs w:val="24"/>
        </w:rPr>
      </w:pPr>
      <w:r>
        <w:rPr>
          <w:rFonts w:hint="eastAsia" w:ascii="宋体" w:hAnsi="宋体"/>
          <w:sz w:val="24"/>
          <w:szCs w:val="24"/>
        </w:rPr>
        <w:t>我市“金财工程”项目于2006年启动建设，基本上实现财政核心业务的一体化管理。但是从当前财政管理与改革的要求相比，也存在着诸多问题和差距：</w:t>
      </w:r>
    </w:p>
    <w:p>
      <w:pPr>
        <w:spacing w:line="360" w:lineRule="auto"/>
        <w:ind w:firstLine="480" w:firstLineChars="200"/>
        <w:rPr>
          <w:rFonts w:ascii="宋体" w:hAnsi="宋体"/>
          <w:sz w:val="24"/>
          <w:szCs w:val="24"/>
        </w:rPr>
      </w:pPr>
      <w:r>
        <w:rPr>
          <w:rFonts w:hint="eastAsia" w:ascii="宋体" w:hAnsi="宋体"/>
          <w:sz w:val="24"/>
          <w:szCs w:val="24"/>
        </w:rPr>
        <w:t>（一）与十九大提出的建立现代财政制度要求相比</w:t>
      </w:r>
    </w:p>
    <w:p>
      <w:pPr>
        <w:spacing w:line="360" w:lineRule="auto"/>
        <w:ind w:firstLine="480" w:firstLineChars="200"/>
        <w:rPr>
          <w:rFonts w:ascii="宋体" w:hAnsi="宋体"/>
          <w:sz w:val="24"/>
          <w:szCs w:val="24"/>
        </w:rPr>
      </w:pPr>
      <w:r>
        <w:rPr>
          <w:rFonts w:hint="eastAsia" w:ascii="宋体" w:hAnsi="宋体"/>
          <w:sz w:val="24"/>
          <w:szCs w:val="24"/>
        </w:rPr>
        <w:t>1.难以形成以预算项目为主线的财政管理机制；没有实现项目库的滚动管理；缺少对项目全生命周期的管理；项目编制格式没有采用模板管理，不利于预算编制的规范统一以及以后支出标准的制定。</w:t>
      </w:r>
    </w:p>
    <w:p>
      <w:pPr>
        <w:spacing w:line="360" w:lineRule="auto"/>
        <w:ind w:firstLine="480" w:firstLineChars="200"/>
        <w:rPr>
          <w:rFonts w:ascii="宋体" w:hAnsi="宋体"/>
          <w:sz w:val="24"/>
          <w:szCs w:val="24"/>
        </w:rPr>
      </w:pPr>
      <w:r>
        <w:rPr>
          <w:rFonts w:hint="eastAsia" w:ascii="宋体" w:hAnsi="宋体"/>
          <w:sz w:val="24"/>
          <w:szCs w:val="24"/>
        </w:rPr>
        <w:t>2.无法支持建立全过程全覆盖预算绩效管理体系。效益是财政资金管理的核心，而实现财政资金使用效益的关键在于是否建立起事前审核、事中监管、事后评价的绩效管理机制。实现这一管理机制的前提，是建立起与预算项目相关联的绩效管理体系。由于没有形成以预算项目为主线的财政信息化管理机制，因此绩效管理没有基本落脚点。</w:t>
      </w:r>
    </w:p>
    <w:p>
      <w:pPr>
        <w:spacing w:line="360" w:lineRule="auto"/>
        <w:ind w:firstLine="480" w:firstLineChars="200"/>
        <w:rPr>
          <w:rFonts w:ascii="宋体" w:hAnsi="宋体"/>
          <w:sz w:val="24"/>
          <w:szCs w:val="24"/>
        </w:rPr>
      </w:pPr>
      <w:r>
        <w:rPr>
          <w:rFonts w:hint="eastAsia" w:ascii="宋体" w:hAnsi="宋体"/>
          <w:sz w:val="24"/>
          <w:szCs w:val="24"/>
        </w:rPr>
        <w:t>3.无法有效支持中长期财政收支规划，预算编审效率低。</w:t>
      </w:r>
    </w:p>
    <w:p>
      <w:pPr>
        <w:spacing w:line="360" w:lineRule="auto"/>
        <w:ind w:firstLine="480" w:firstLineChars="200"/>
        <w:rPr>
          <w:rFonts w:ascii="宋体" w:hAnsi="宋体"/>
          <w:sz w:val="24"/>
          <w:szCs w:val="24"/>
        </w:rPr>
      </w:pPr>
      <w:r>
        <w:rPr>
          <w:rFonts w:hint="eastAsia" w:ascii="宋体" w:hAnsi="宋体"/>
          <w:sz w:val="24"/>
          <w:szCs w:val="24"/>
        </w:rPr>
        <w:t>（二）与财政部预算管理一体化要求相比</w:t>
      </w:r>
    </w:p>
    <w:p>
      <w:pPr>
        <w:spacing w:line="360" w:lineRule="auto"/>
        <w:ind w:firstLine="480" w:firstLineChars="200"/>
        <w:rPr>
          <w:rFonts w:ascii="宋体" w:hAnsi="宋体"/>
          <w:sz w:val="24"/>
          <w:szCs w:val="24"/>
        </w:rPr>
      </w:pPr>
      <w:r>
        <w:rPr>
          <w:rFonts w:hint="eastAsia" w:ascii="宋体" w:hAnsi="宋体"/>
          <w:sz w:val="24"/>
          <w:szCs w:val="24"/>
        </w:rPr>
        <w:t>1.预算管理没有实现完全的一体化，单位会计核算没有实现与国库支付、资产管理模块的数据衔接；核算与决算、财务报告没有有效衔接。</w:t>
      </w:r>
    </w:p>
    <w:p>
      <w:pPr>
        <w:spacing w:line="360" w:lineRule="auto"/>
        <w:ind w:firstLine="480" w:firstLineChars="200"/>
        <w:rPr>
          <w:rFonts w:ascii="宋体" w:hAnsi="宋体"/>
          <w:sz w:val="24"/>
          <w:szCs w:val="24"/>
        </w:rPr>
      </w:pPr>
      <w:r>
        <w:rPr>
          <w:rFonts w:hint="eastAsia" w:ascii="宋体" w:hAnsi="宋体"/>
          <w:sz w:val="24"/>
          <w:szCs w:val="24"/>
        </w:rPr>
        <w:t xml:space="preserve">2.财政信息系统分级部署模式与财政管理的整体性、全局性要求不相适应，全市各级财政业务规范也不尽相同。 </w:t>
      </w:r>
    </w:p>
    <w:p>
      <w:pPr>
        <w:spacing w:line="360" w:lineRule="auto"/>
        <w:ind w:firstLine="480" w:firstLineChars="200"/>
        <w:rPr>
          <w:rFonts w:ascii="宋体" w:hAnsi="宋体"/>
          <w:sz w:val="24"/>
          <w:szCs w:val="24"/>
        </w:rPr>
      </w:pPr>
      <w:r>
        <w:rPr>
          <w:rFonts w:hint="eastAsia" w:ascii="宋体" w:hAnsi="宋体"/>
          <w:sz w:val="24"/>
          <w:szCs w:val="24"/>
        </w:rPr>
        <w:t>（三）与政府服务改革和政府数字化转型要求相比</w:t>
      </w:r>
    </w:p>
    <w:p>
      <w:pPr>
        <w:spacing w:line="360" w:lineRule="auto"/>
        <w:ind w:firstLine="480" w:firstLineChars="200"/>
        <w:rPr>
          <w:rFonts w:ascii="宋体" w:hAnsi="宋体"/>
          <w:sz w:val="24"/>
          <w:szCs w:val="24"/>
        </w:rPr>
      </w:pPr>
      <w:r>
        <w:rPr>
          <w:rFonts w:hint="eastAsia" w:ascii="宋体" w:hAnsi="宋体"/>
          <w:sz w:val="24"/>
          <w:szCs w:val="24"/>
        </w:rPr>
        <w:t>1.数字技术与政府履职没有达到深度融合。</w:t>
      </w:r>
    </w:p>
    <w:p>
      <w:pPr>
        <w:spacing w:line="360" w:lineRule="auto"/>
        <w:ind w:firstLine="480" w:firstLineChars="200"/>
        <w:rPr>
          <w:rFonts w:ascii="宋体" w:hAnsi="宋体"/>
          <w:sz w:val="24"/>
          <w:szCs w:val="24"/>
        </w:rPr>
      </w:pPr>
      <w:r>
        <w:rPr>
          <w:rFonts w:hint="eastAsia" w:ascii="宋体" w:hAnsi="宋体"/>
          <w:sz w:val="24"/>
          <w:szCs w:val="24"/>
        </w:rPr>
        <w:t>2.目前还没有实现“掌上办事”和“掌上办公”。</w:t>
      </w:r>
    </w:p>
    <w:p>
      <w:pPr>
        <w:spacing w:line="360" w:lineRule="auto"/>
        <w:ind w:firstLine="480" w:firstLineChars="200"/>
        <w:rPr>
          <w:rFonts w:ascii="宋体" w:hAnsi="宋体"/>
          <w:sz w:val="24"/>
          <w:szCs w:val="24"/>
        </w:rPr>
      </w:pPr>
      <w:r>
        <w:rPr>
          <w:rFonts w:hint="eastAsia" w:ascii="宋体" w:hAnsi="宋体"/>
          <w:sz w:val="24"/>
          <w:szCs w:val="24"/>
        </w:rPr>
        <w:t>（四）与自身的财政管理要求相比</w:t>
      </w:r>
    </w:p>
    <w:p>
      <w:pPr>
        <w:spacing w:line="360" w:lineRule="auto"/>
        <w:ind w:firstLine="480" w:firstLineChars="200"/>
        <w:rPr>
          <w:rFonts w:ascii="宋体" w:hAnsi="宋体"/>
          <w:sz w:val="24"/>
          <w:szCs w:val="24"/>
        </w:rPr>
      </w:pPr>
      <w:r>
        <w:rPr>
          <w:rFonts w:hint="eastAsia" w:ascii="宋体" w:hAnsi="宋体"/>
          <w:sz w:val="24"/>
          <w:szCs w:val="24"/>
        </w:rPr>
        <w:t>1.财政数据分析利用水平有限。</w:t>
      </w:r>
    </w:p>
    <w:p>
      <w:pPr>
        <w:spacing w:line="360" w:lineRule="auto"/>
        <w:ind w:firstLine="480" w:firstLineChars="200"/>
        <w:rPr>
          <w:rFonts w:ascii="宋体" w:hAnsi="宋体"/>
          <w:sz w:val="24"/>
          <w:szCs w:val="24"/>
        </w:rPr>
      </w:pPr>
      <w:r>
        <w:rPr>
          <w:rFonts w:hint="eastAsia" w:ascii="宋体" w:hAnsi="宋体"/>
          <w:sz w:val="24"/>
          <w:szCs w:val="24"/>
        </w:rPr>
        <w:t>2.项目管理信息化建设未完全实现，不利于项目预算科学精准编制和规范高效执行。</w:t>
      </w:r>
    </w:p>
    <w:p>
      <w:pPr>
        <w:spacing w:line="360" w:lineRule="auto"/>
        <w:ind w:firstLine="480" w:firstLineChars="200"/>
        <w:rPr>
          <w:rFonts w:ascii="宋体" w:hAnsi="宋体"/>
          <w:sz w:val="24"/>
          <w:szCs w:val="24"/>
        </w:rPr>
      </w:pPr>
      <w:r>
        <w:rPr>
          <w:rFonts w:hint="eastAsia" w:ascii="宋体" w:hAnsi="宋体"/>
          <w:sz w:val="24"/>
          <w:szCs w:val="24"/>
        </w:rPr>
        <w:t>（五）与信息技术支撑财政管理工作要求相比</w:t>
      </w:r>
    </w:p>
    <w:p>
      <w:pPr>
        <w:spacing w:line="360" w:lineRule="auto"/>
        <w:ind w:firstLine="480" w:firstLineChars="200"/>
        <w:rPr>
          <w:rFonts w:ascii="宋体" w:hAnsi="宋体"/>
          <w:sz w:val="24"/>
          <w:szCs w:val="24"/>
        </w:rPr>
      </w:pPr>
      <w:r>
        <w:rPr>
          <w:rFonts w:hint="eastAsia" w:ascii="宋体" w:hAnsi="宋体"/>
          <w:sz w:val="24"/>
          <w:szCs w:val="24"/>
        </w:rPr>
        <w:t>1.原有系统技术架构复杂度高，采用的技术已非主流；功能越多，系统的性能和稳定性越差；新的业务功能很难融入现有系统。</w:t>
      </w:r>
    </w:p>
    <w:p>
      <w:pPr>
        <w:spacing w:line="360" w:lineRule="auto"/>
        <w:ind w:firstLine="480" w:firstLineChars="200"/>
        <w:rPr>
          <w:rFonts w:ascii="宋体" w:hAnsi="宋体"/>
          <w:sz w:val="24"/>
          <w:szCs w:val="24"/>
        </w:rPr>
      </w:pPr>
      <w:r>
        <w:rPr>
          <w:rFonts w:hint="eastAsia" w:ascii="宋体" w:hAnsi="宋体"/>
          <w:sz w:val="24"/>
          <w:szCs w:val="24"/>
        </w:rPr>
        <w:t>2.覆盖到全大市包括区县（市）和乡镇财政的整体运维体系尚未完全形成，全大市统一的运维管理制度和应急流程尚未完全建立，在系统集中部署的情况下，需要全大市通盘考虑建设。</w:t>
      </w:r>
    </w:p>
    <w:p>
      <w:pPr>
        <w:spacing w:line="360" w:lineRule="auto"/>
        <w:ind w:firstLine="480" w:firstLineChars="200"/>
        <w:rPr>
          <w:rFonts w:ascii="宋体" w:hAnsi="宋体"/>
          <w:sz w:val="24"/>
          <w:szCs w:val="24"/>
        </w:rPr>
      </w:pPr>
      <w:r>
        <w:rPr>
          <w:rFonts w:hint="eastAsia" w:ascii="宋体" w:hAnsi="宋体"/>
          <w:sz w:val="24"/>
          <w:szCs w:val="24"/>
        </w:rPr>
        <w:t>3.我市当前使用的财政信息系统是以二级等保要求设计和定级而成，按照财政部要求，全大市进行集中后，等级保护需上升为三级。目前运行的应用系统，在访问控制、安全审计等方面存在不足。</w:t>
      </w:r>
    </w:p>
    <w:p>
      <w:pPr>
        <w:pStyle w:val="2"/>
        <w:rPr>
          <w:b/>
          <w:sz w:val="44"/>
          <w:szCs w:val="44"/>
        </w:rPr>
      </w:pPr>
      <w:r>
        <w:rPr>
          <w:rFonts w:hint="eastAsia"/>
          <w:b/>
          <w:sz w:val="44"/>
          <w:szCs w:val="44"/>
        </w:rPr>
        <w:t>四、项目概设及总体设计</w:t>
      </w:r>
    </w:p>
    <w:p>
      <w:pPr>
        <w:pStyle w:val="69"/>
        <w:tabs>
          <w:tab w:val="left" w:pos="5103"/>
        </w:tabs>
        <w:spacing w:line="360" w:lineRule="auto"/>
        <w:ind w:firstLine="480"/>
        <w:rPr>
          <w:rFonts w:ascii="宋体" w:hAnsi="宋体"/>
          <w:sz w:val="24"/>
          <w:szCs w:val="24"/>
        </w:rPr>
      </w:pPr>
      <w:r>
        <w:rPr>
          <w:rFonts w:hint="eastAsia" w:ascii="宋体" w:hAnsi="宋体"/>
          <w:sz w:val="24"/>
          <w:szCs w:val="24"/>
        </w:rPr>
        <w:t>根据宁波财政信息化现状，为解决当前存在的问题及差距，新时期财政信息系统应全面涵盖财政资金管理、评价、监督并与现代财政制度契合，立足财政资金管理，面向服务对象，依托政府大数据，实现财政管理的智慧化。</w:t>
      </w:r>
    </w:p>
    <w:p>
      <w:pPr>
        <w:pStyle w:val="69"/>
        <w:tabs>
          <w:tab w:val="left" w:pos="5103"/>
        </w:tabs>
        <w:spacing w:line="360" w:lineRule="auto"/>
        <w:ind w:firstLine="480"/>
        <w:rPr>
          <w:rFonts w:ascii="宋体" w:hAnsi="宋体"/>
          <w:sz w:val="24"/>
          <w:szCs w:val="24"/>
        </w:rPr>
      </w:pPr>
      <w:r>
        <w:rPr>
          <w:rFonts w:hint="eastAsia" w:ascii="宋体" w:hAnsi="宋体"/>
          <w:sz w:val="24"/>
          <w:szCs w:val="24"/>
        </w:rPr>
        <w:t>按以上设计思路确定宁波智慧财政概设如下图所示：</w:t>
      </w:r>
    </w:p>
    <w:p>
      <w:pPr>
        <w:tabs>
          <w:tab w:val="left" w:pos="5103"/>
        </w:tabs>
        <w:spacing w:line="360" w:lineRule="auto"/>
        <w:rPr>
          <w:rFonts w:ascii="宋体" w:hAnsi="宋体"/>
          <w:sz w:val="24"/>
          <w:szCs w:val="24"/>
        </w:rPr>
      </w:pPr>
      <w:r>
        <w:object>
          <v:shape id="_x0000_i1025" o:spt="75" type="#_x0000_t75" style="height:259.5pt;width:413.9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p>
      <w:pPr>
        <w:pStyle w:val="69"/>
        <w:tabs>
          <w:tab w:val="left" w:pos="5103"/>
        </w:tabs>
        <w:spacing w:line="360" w:lineRule="auto"/>
        <w:ind w:firstLine="480"/>
        <w:rPr>
          <w:rFonts w:ascii="宋体" w:hAnsi="宋体"/>
          <w:sz w:val="24"/>
          <w:szCs w:val="24"/>
        </w:rPr>
      </w:pPr>
      <w:r>
        <w:rPr>
          <w:rFonts w:hint="eastAsia" w:ascii="宋体" w:hAnsi="宋体"/>
          <w:sz w:val="24"/>
          <w:szCs w:val="24"/>
        </w:rPr>
        <w:t>根据宁波智慧财政概设，宁波市“智慧财政”项目总体设计和主要建设内容如下：</w:t>
      </w:r>
    </w:p>
    <w:p>
      <w:pPr>
        <w:pStyle w:val="69"/>
        <w:tabs>
          <w:tab w:val="left" w:pos="5103"/>
        </w:tabs>
        <w:spacing w:line="360" w:lineRule="auto"/>
        <w:ind w:firstLine="480"/>
        <w:rPr>
          <w:rFonts w:ascii="宋体" w:hAnsi="宋体"/>
          <w:sz w:val="24"/>
          <w:szCs w:val="24"/>
        </w:rPr>
      </w:pPr>
      <w:r>
        <w:rPr>
          <w:rFonts w:hint="eastAsia" w:ascii="宋体" w:hAnsi="宋体"/>
          <w:sz w:val="24"/>
          <w:szCs w:val="24"/>
        </w:rPr>
        <w:t>（一）系统改造升级主要内容：</w:t>
      </w:r>
    </w:p>
    <w:p>
      <w:pPr>
        <w:tabs>
          <w:tab w:val="left" w:pos="5103"/>
        </w:tabs>
        <w:spacing w:line="360" w:lineRule="auto"/>
        <w:ind w:left="480"/>
        <w:rPr>
          <w:rFonts w:ascii="宋体" w:hAnsi="宋体"/>
          <w:sz w:val="24"/>
          <w:szCs w:val="24"/>
        </w:rPr>
      </w:pPr>
      <w:r>
        <w:rPr>
          <w:rFonts w:hint="eastAsia" w:ascii="宋体" w:hAnsi="宋体"/>
          <w:sz w:val="24"/>
          <w:szCs w:val="24"/>
        </w:rPr>
        <w:t>系统改造升级是指根据标书要求，对系统实施的新建、扩建、升级。</w:t>
      </w:r>
    </w:p>
    <w:p>
      <w:pPr>
        <w:pStyle w:val="69"/>
        <w:tabs>
          <w:tab w:val="left" w:pos="5103"/>
        </w:tabs>
        <w:spacing w:line="360" w:lineRule="auto"/>
        <w:ind w:firstLine="480"/>
        <w:rPr>
          <w:rFonts w:ascii="宋体" w:hAnsi="宋体"/>
          <w:sz w:val="24"/>
          <w:szCs w:val="24"/>
        </w:rPr>
      </w:pPr>
      <w:r>
        <w:rPr>
          <w:rFonts w:hint="eastAsia" w:ascii="宋体" w:hAnsi="宋体"/>
          <w:sz w:val="24"/>
          <w:szCs w:val="24"/>
        </w:rPr>
        <w:t>1.建设基础信息库。将不同预算管理环节共同使用的基础信息统一管理，保证一体化系统中基础信息来源的一致性，便于统一控制要素和开展联动分析。</w:t>
      </w:r>
    </w:p>
    <w:p>
      <w:pPr>
        <w:pStyle w:val="69"/>
        <w:tabs>
          <w:tab w:val="left" w:pos="5103"/>
        </w:tabs>
        <w:spacing w:line="360" w:lineRule="auto"/>
        <w:ind w:firstLine="480"/>
        <w:rPr>
          <w:rFonts w:ascii="宋体" w:hAnsi="宋体"/>
          <w:sz w:val="24"/>
          <w:szCs w:val="24"/>
        </w:rPr>
      </w:pPr>
      <w:r>
        <w:rPr>
          <w:rFonts w:hint="eastAsia" w:ascii="宋体" w:hAnsi="宋体"/>
          <w:sz w:val="24"/>
          <w:szCs w:val="24"/>
        </w:rPr>
        <w:t>2.建设项目库。建立起以项目库为源头的项目全生命周期管理，全流程动态记录和反映项目信息变化情况。</w:t>
      </w:r>
    </w:p>
    <w:p>
      <w:pPr>
        <w:pStyle w:val="69"/>
        <w:tabs>
          <w:tab w:val="left" w:pos="5103"/>
        </w:tabs>
        <w:spacing w:line="360" w:lineRule="auto"/>
        <w:ind w:firstLine="480"/>
        <w:rPr>
          <w:rFonts w:ascii="宋体" w:hAnsi="宋体"/>
          <w:sz w:val="24"/>
          <w:szCs w:val="24"/>
        </w:rPr>
      </w:pPr>
      <w:r>
        <w:rPr>
          <w:rFonts w:hint="eastAsia" w:ascii="宋体" w:hAnsi="宋体"/>
          <w:sz w:val="24"/>
          <w:szCs w:val="24"/>
        </w:rPr>
        <w:t>3.优化财政业务流程，实现业务全生态设计。改造升级基础信息库、项目库、预算编制、预算执行、核算、决算和财务报告管理等预算管理业务子系统，实现流畅高效运转。</w:t>
      </w:r>
    </w:p>
    <w:p>
      <w:pPr>
        <w:pStyle w:val="69"/>
        <w:tabs>
          <w:tab w:val="left" w:pos="5103"/>
        </w:tabs>
        <w:spacing w:line="360" w:lineRule="auto"/>
        <w:ind w:firstLine="480"/>
        <w:rPr>
          <w:rFonts w:ascii="宋体" w:hAnsi="宋体"/>
          <w:sz w:val="24"/>
          <w:szCs w:val="24"/>
        </w:rPr>
      </w:pPr>
      <w:r>
        <w:rPr>
          <w:rFonts w:hint="eastAsia" w:ascii="宋体" w:hAnsi="宋体"/>
          <w:sz w:val="24"/>
          <w:szCs w:val="24"/>
        </w:rPr>
        <w:t>4.开展财政专项业务系统改造升级，提升财政专项业务管理能力。建设包含债务管理、财力管理等专项财政业务。</w:t>
      </w:r>
    </w:p>
    <w:p>
      <w:pPr>
        <w:pStyle w:val="69"/>
        <w:tabs>
          <w:tab w:val="left" w:pos="5103"/>
        </w:tabs>
        <w:spacing w:line="360" w:lineRule="auto"/>
        <w:ind w:firstLine="480"/>
        <w:rPr>
          <w:rFonts w:ascii="宋体" w:hAnsi="宋体"/>
          <w:sz w:val="24"/>
          <w:szCs w:val="24"/>
        </w:rPr>
      </w:pPr>
      <w:r>
        <w:rPr>
          <w:rFonts w:hint="eastAsia" w:ascii="宋体" w:hAnsi="宋体"/>
          <w:sz w:val="24"/>
          <w:szCs w:val="24"/>
        </w:rPr>
        <w:t>5.建设预算绩效管理系统。把绩效管理融入到预算管理的全过程。</w:t>
      </w:r>
    </w:p>
    <w:p>
      <w:pPr>
        <w:pStyle w:val="69"/>
        <w:tabs>
          <w:tab w:val="left" w:pos="5103"/>
        </w:tabs>
        <w:spacing w:line="360" w:lineRule="auto"/>
        <w:ind w:firstLine="480"/>
        <w:rPr>
          <w:rFonts w:ascii="宋体" w:hAnsi="宋体"/>
          <w:sz w:val="24"/>
          <w:szCs w:val="24"/>
        </w:rPr>
      </w:pPr>
      <w:r>
        <w:rPr>
          <w:rFonts w:hint="eastAsia" w:ascii="宋体" w:hAnsi="宋体"/>
          <w:sz w:val="24"/>
          <w:szCs w:val="24"/>
        </w:rPr>
        <w:t>6.建设财政监督系统。建立以风险控制为导向的财政监督体系。通过风险控制类型及不同阶段的风险控制手段，提高财政管理质效。强化流程控制，防范廉政风险。</w:t>
      </w:r>
    </w:p>
    <w:p>
      <w:pPr>
        <w:pStyle w:val="69"/>
        <w:tabs>
          <w:tab w:val="left" w:pos="5103"/>
        </w:tabs>
        <w:spacing w:line="360" w:lineRule="auto"/>
        <w:ind w:firstLine="480"/>
        <w:rPr>
          <w:rFonts w:ascii="宋体" w:hAnsi="宋体"/>
          <w:sz w:val="24"/>
          <w:szCs w:val="24"/>
        </w:rPr>
      </w:pPr>
      <w:r>
        <w:rPr>
          <w:rFonts w:hint="eastAsia" w:ascii="宋体" w:hAnsi="宋体"/>
          <w:sz w:val="24"/>
          <w:szCs w:val="24"/>
        </w:rPr>
        <w:t>7.建设安全可靠的数字档案。利用数字化手段，以财政的业务信息为核心，把各种载体的档案转化为数字化的档案信息，以数字化的形式存储，网络化的形式互联互通，利用系统对信息资源进行收集、整理、管理，形成数字档案提供共享利用。</w:t>
      </w:r>
    </w:p>
    <w:p>
      <w:pPr>
        <w:pStyle w:val="69"/>
        <w:tabs>
          <w:tab w:val="left" w:pos="5103"/>
        </w:tabs>
        <w:spacing w:line="360" w:lineRule="auto"/>
        <w:ind w:firstLine="480"/>
        <w:rPr>
          <w:rFonts w:ascii="宋体" w:hAnsi="宋体"/>
          <w:sz w:val="24"/>
          <w:szCs w:val="24"/>
        </w:rPr>
      </w:pPr>
      <w:r>
        <w:rPr>
          <w:rFonts w:hint="eastAsia" w:ascii="宋体" w:hAnsi="宋体"/>
          <w:sz w:val="24"/>
          <w:szCs w:val="24"/>
        </w:rPr>
        <w:t>8.实现全市集中化部署。按照市县乡三级“集中部署，分级管理”的模式，推进业务系统的全市集中化部署。</w:t>
      </w:r>
    </w:p>
    <w:p>
      <w:pPr>
        <w:pStyle w:val="69"/>
        <w:tabs>
          <w:tab w:val="left" w:pos="5103"/>
        </w:tabs>
        <w:spacing w:line="360" w:lineRule="auto"/>
        <w:ind w:firstLine="480"/>
        <w:rPr>
          <w:rFonts w:ascii="宋体" w:hAnsi="宋体"/>
          <w:sz w:val="24"/>
          <w:szCs w:val="24"/>
        </w:rPr>
      </w:pPr>
      <w:r>
        <w:rPr>
          <w:rFonts w:hint="eastAsia" w:ascii="宋体" w:hAnsi="宋体"/>
          <w:sz w:val="24"/>
          <w:szCs w:val="24"/>
        </w:rPr>
        <w:t>9.实现与上下级财政的数据对接。实时反映和上传我市预算管理数据。</w:t>
      </w:r>
    </w:p>
    <w:p>
      <w:pPr>
        <w:pStyle w:val="69"/>
        <w:tabs>
          <w:tab w:val="left" w:pos="5103"/>
        </w:tabs>
        <w:spacing w:line="360" w:lineRule="auto"/>
        <w:ind w:firstLine="480"/>
        <w:rPr>
          <w:rFonts w:ascii="宋体" w:hAnsi="宋体"/>
          <w:sz w:val="24"/>
          <w:szCs w:val="24"/>
        </w:rPr>
      </w:pPr>
      <w:r>
        <w:rPr>
          <w:rFonts w:hint="eastAsia" w:ascii="宋体" w:hAnsi="宋体"/>
          <w:sz w:val="24"/>
          <w:szCs w:val="24"/>
        </w:rPr>
        <w:t>10.充分保护原有优秀的投资成果，将符合当前实际工作需要的业务系统按照财政部业务规范和技术标准进行升级改造，融入项目整体。</w:t>
      </w:r>
    </w:p>
    <w:p>
      <w:pPr>
        <w:pStyle w:val="69"/>
        <w:tabs>
          <w:tab w:val="left" w:pos="5103"/>
        </w:tabs>
        <w:spacing w:line="360" w:lineRule="auto"/>
        <w:ind w:firstLine="480"/>
        <w:rPr>
          <w:rFonts w:ascii="宋体" w:hAnsi="宋体"/>
          <w:sz w:val="24"/>
          <w:szCs w:val="24"/>
        </w:rPr>
      </w:pPr>
      <w:r>
        <w:rPr>
          <w:rFonts w:hint="eastAsia" w:ascii="宋体" w:hAnsi="宋体"/>
          <w:sz w:val="24"/>
          <w:szCs w:val="24"/>
        </w:rPr>
        <w:t>（二）建设内外部服务平台</w:t>
      </w:r>
    </w:p>
    <w:p>
      <w:pPr>
        <w:pStyle w:val="69"/>
        <w:tabs>
          <w:tab w:val="left" w:pos="5103"/>
        </w:tabs>
        <w:spacing w:line="360" w:lineRule="auto"/>
        <w:ind w:firstLine="480"/>
        <w:rPr>
          <w:rFonts w:ascii="宋体" w:hAnsi="宋体"/>
          <w:sz w:val="24"/>
          <w:szCs w:val="24"/>
        </w:rPr>
      </w:pPr>
      <w:r>
        <w:rPr>
          <w:rFonts w:hint="eastAsia" w:ascii="宋体" w:hAnsi="宋体"/>
          <w:sz w:val="24"/>
          <w:szCs w:val="24"/>
        </w:rPr>
        <w:t>建设面向所有财政资金使用对象、面向各级财政、面向政府各级领导的内外部服务平台。实现一窗式服务，所有财政服务业务网上办理。建立财政生态圈，把财政的差异化服务融入到财政事务、流程节点和操作岗位。实现“用户通、数据通、流程通”，不仅要实现“最多跑一次”，更要实现“零次跑”。</w:t>
      </w:r>
    </w:p>
    <w:p>
      <w:pPr>
        <w:pStyle w:val="69"/>
        <w:tabs>
          <w:tab w:val="left" w:pos="5103"/>
        </w:tabs>
        <w:spacing w:line="360" w:lineRule="auto"/>
        <w:ind w:firstLine="480"/>
        <w:rPr>
          <w:rFonts w:ascii="宋体" w:hAnsi="宋体"/>
          <w:sz w:val="24"/>
          <w:szCs w:val="24"/>
        </w:rPr>
      </w:pPr>
      <w:r>
        <w:rPr>
          <w:rFonts w:hint="eastAsia" w:ascii="宋体" w:hAnsi="宋体"/>
          <w:sz w:val="24"/>
          <w:szCs w:val="24"/>
        </w:rPr>
        <w:t>（三）建设智慧财政分析系统</w:t>
      </w:r>
    </w:p>
    <w:p>
      <w:pPr>
        <w:pStyle w:val="69"/>
        <w:tabs>
          <w:tab w:val="left" w:pos="5103"/>
        </w:tabs>
        <w:spacing w:line="360" w:lineRule="auto"/>
        <w:ind w:firstLine="480"/>
        <w:rPr>
          <w:rFonts w:ascii="宋体" w:hAnsi="宋体"/>
          <w:sz w:val="24"/>
          <w:szCs w:val="24"/>
        </w:rPr>
      </w:pPr>
      <w:r>
        <w:rPr>
          <w:rFonts w:hint="eastAsia" w:ascii="宋体" w:hAnsi="宋体"/>
          <w:sz w:val="24"/>
          <w:szCs w:val="24"/>
        </w:rPr>
        <w:t>通过财政内外部数据的治理和服务，建设财政数据资源平台，开展财政大数据应用。提升财政对数据的汇聚、治理、分析、展现能力，充分发挥财政大数据在财政管理、政策完善、决策优化、风险预警等方面的积极作用。使“智慧财政”成为宁波“智慧城市”的有机组成部分。</w:t>
      </w:r>
    </w:p>
    <w:p>
      <w:pPr>
        <w:pStyle w:val="69"/>
        <w:tabs>
          <w:tab w:val="left" w:pos="5103"/>
        </w:tabs>
        <w:spacing w:line="360" w:lineRule="auto"/>
        <w:ind w:firstLine="480"/>
        <w:rPr>
          <w:rFonts w:ascii="宋体" w:hAnsi="宋体"/>
          <w:sz w:val="24"/>
          <w:szCs w:val="24"/>
        </w:rPr>
      </w:pPr>
      <w:r>
        <w:rPr>
          <w:rFonts w:hint="eastAsia" w:ascii="宋体" w:hAnsi="宋体"/>
          <w:sz w:val="24"/>
          <w:szCs w:val="24"/>
        </w:rPr>
        <w:t>（四）构建财政应用支撑平台</w:t>
      </w:r>
    </w:p>
    <w:p>
      <w:pPr>
        <w:pStyle w:val="69"/>
        <w:tabs>
          <w:tab w:val="left" w:pos="5103"/>
        </w:tabs>
        <w:spacing w:line="360" w:lineRule="auto"/>
        <w:ind w:firstLine="480"/>
        <w:rPr>
          <w:rFonts w:ascii="宋体" w:hAnsi="宋体"/>
          <w:sz w:val="24"/>
          <w:szCs w:val="24"/>
        </w:rPr>
      </w:pPr>
      <w:r>
        <w:rPr>
          <w:rFonts w:hint="eastAsia" w:ascii="宋体" w:hAnsi="宋体"/>
          <w:sz w:val="24"/>
          <w:szCs w:val="24"/>
        </w:rPr>
        <w:t>系统设计必须体现技术先进、应用灵活、对未来适应性强的特点。采用先进合适的技术架构和技术手段如微服务、云架构等，构建统一的应用支撑平台、基础服务平台等，有效支撑当前及未来的财政管理和改革。</w:t>
      </w:r>
    </w:p>
    <w:p>
      <w:pPr>
        <w:pStyle w:val="69"/>
        <w:tabs>
          <w:tab w:val="left" w:pos="5103"/>
        </w:tabs>
        <w:spacing w:line="360" w:lineRule="auto"/>
        <w:ind w:firstLine="480"/>
        <w:rPr>
          <w:rFonts w:ascii="宋体" w:hAnsi="宋体"/>
          <w:sz w:val="24"/>
          <w:szCs w:val="24"/>
        </w:rPr>
      </w:pPr>
      <w:r>
        <w:rPr>
          <w:rFonts w:hint="eastAsia" w:ascii="宋体" w:hAnsi="宋体"/>
          <w:sz w:val="24"/>
          <w:szCs w:val="24"/>
        </w:rPr>
        <w:t>（五）建设集中式的运维管理体系。实现运维模式集中化、统一化、主动化的转变，有效支撑全市大集中模式。</w:t>
      </w:r>
    </w:p>
    <w:p>
      <w:pPr>
        <w:spacing w:line="360" w:lineRule="auto"/>
        <w:ind w:firstLine="480" w:firstLineChars="200"/>
        <w:jc w:val="left"/>
        <w:rPr>
          <w:rFonts w:ascii="宋体" w:hAnsi="宋体"/>
          <w:sz w:val="24"/>
        </w:rPr>
      </w:pPr>
      <w:r>
        <w:rPr>
          <w:rFonts w:hint="eastAsia" w:ascii="宋体" w:hAnsi="宋体"/>
          <w:sz w:val="24"/>
          <w:szCs w:val="24"/>
        </w:rPr>
        <w:t>（六）建设稳定高效的安全保障体系。在现有全市网络安全基础上，统一规划适应集中化部署的系统安全体系，全面保障信息系统安全稳定、持续高效运行。</w:t>
      </w:r>
    </w:p>
    <w:p>
      <w:pPr>
        <w:pStyle w:val="2"/>
        <w:rPr>
          <w:b/>
          <w:sz w:val="44"/>
          <w:szCs w:val="44"/>
        </w:rPr>
      </w:pPr>
      <w:r>
        <w:rPr>
          <w:rFonts w:hint="eastAsia"/>
          <w:b/>
          <w:sz w:val="44"/>
          <w:szCs w:val="44"/>
        </w:rPr>
        <w:t>五、项目目标</w:t>
      </w:r>
    </w:p>
    <w:p>
      <w:pPr>
        <w:spacing w:line="360" w:lineRule="auto"/>
        <w:ind w:firstLine="480" w:firstLineChars="200"/>
        <w:jc w:val="left"/>
        <w:rPr>
          <w:rFonts w:ascii="宋体" w:hAnsi="宋体"/>
          <w:sz w:val="24"/>
        </w:rPr>
      </w:pPr>
      <w:r>
        <w:rPr>
          <w:rFonts w:hint="eastAsia" w:ascii="宋体" w:hAnsi="宋体"/>
          <w:sz w:val="24"/>
        </w:rPr>
        <w:t>项目目标由两方面组成：</w:t>
      </w:r>
    </w:p>
    <w:p>
      <w:pPr>
        <w:spacing w:line="360" w:lineRule="auto"/>
        <w:ind w:firstLine="480" w:firstLineChars="200"/>
        <w:jc w:val="left"/>
        <w:rPr>
          <w:rFonts w:ascii="宋体" w:hAnsi="宋体"/>
          <w:sz w:val="24"/>
        </w:rPr>
      </w:pPr>
      <w:r>
        <w:rPr>
          <w:rFonts w:hint="eastAsia" w:ascii="宋体" w:hAnsi="宋体"/>
          <w:sz w:val="24"/>
        </w:rPr>
        <w:t>（一）财政管理业务方面</w:t>
      </w:r>
    </w:p>
    <w:p>
      <w:pPr>
        <w:spacing w:line="360" w:lineRule="auto"/>
        <w:ind w:firstLine="480" w:firstLineChars="200"/>
        <w:jc w:val="left"/>
        <w:rPr>
          <w:rFonts w:ascii="宋体" w:hAnsi="宋体"/>
          <w:sz w:val="24"/>
        </w:rPr>
      </w:pPr>
      <w:r>
        <w:rPr>
          <w:rFonts w:hint="eastAsia" w:ascii="宋体" w:hAnsi="宋体" w:cs="宋体"/>
          <w:sz w:val="24"/>
          <w:szCs w:val="24"/>
        </w:rPr>
        <w:t>遵循财政部统一的业务规范，</w:t>
      </w:r>
      <w:r>
        <w:rPr>
          <w:rFonts w:hint="eastAsia" w:ascii="宋体" w:hAnsi="宋体"/>
          <w:sz w:val="24"/>
        </w:rPr>
        <w:t>以政府大数据为基础，以财政管理与服务标准化为立足点，以加强绩效管理为导向，以强化数字化监管为抓手，以实现财政收支动态平衡为核心，以提高财政资金使用效益、发挥财政职能作用为目标，提升中长期财政规划能力，优化整合现有流程，明晰岗责和权责关系，建设“管理现代、服务高效、监督有力、风险可控”面向使用对象的智慧型财政信息化生态系统，体现灵活科学的智能化财政业务支撑能力，实现我市财政系统的数字化转型。最终形成财政管理的六大体系——“高效便捷服务体系、职责明晰的权责体系、交互流畅的协同体系、清晰有序的岗责体系、刚柔相济的监管体系、科学智慧的决策体系”。</w:t>
      </w:r>
    </w:p>
    <w:p>
      <w:pPr>
        <w:spacing w:line="360" w:lineRule="auto"/>
        <w:ind w:firstLine="480" w:firstLineChars="200"/>
        <w:jc w:val="left"/>
        <w:rPr>
          <w:rFonts w:ascii="宋体" w:hAnsi="宋体"/>
          <w:sz w:val="24"/>
        </w:rPr>
      </w:pPr>
      <w:r>
        <w:rPr>
          <w:rFonts w:hint="eastAsia" w:ascii="宋体" w:hAnsi="宋体"/>
          <w:sz w:val="24"/>
        </w:rPr>
        <w:t>（二）技术方面</w:t>
      </w:r>
    </w:p>
    <w:p>
      <w:pPr>
        <w:spacing w:line="360" w:lineRule="auto"/>
        <w:ind w:firstLine="480" w:firstLineChars="200"/>
        <w:jc w:val="left"/>
        <w:rPr>
          <w:rFonts w:ascii="宋体" w:hAnsi="宋体"/>
          <w:sz w:val="24"/>
        </w:rPr>
      </w:pPr>
      <w:r>
        <w:rPr>
          <w:rFonts w:hint="eastAsia" w:ascii="宋体" w:hAnsi="宋体" w:cs="宋体"/>
          <w:sz w:val="24"/>
          <w:szCs w:val="24"/>
        </w:rPr>
        <w:t>遵循财政部统一的技术标准，基于Spring Cloud等云架构、分布式技术框架设计，借助互联网系统的设计理念打造面向微服务的应用架构，将基本稳定、共性的服务抽象成公共微服务作为整个财政应用运行的基础支撑环境，对公共微服务进行归类、聚合、编排，为财政业务系统提供服务能力，灵活高效地支撑业务和技术未来的变化。通过轻量化应用中间件技术,实现容器化部署，支撑全市集中部署模式。采用松耦合的服务结构，解决系统互连互通问题，提高业务、服务、数据的复用性和互操作性。通过数据治理和大数据开发技术，将多维度关系融入到可视化界面，为政府决策提供依据。支持智能化运维，建立高效、智能的运维体系。</w:t>
      </w:r>
    </w:p>
    <w:p>
      <w:pPr>
        <w:pStyle w:val="2"/>
        <w:rPr>
          <w:b/>
          <w:sz w:val="44"/>
          <w:szCs w:val="44"/>
        </w:rPr>
      </w:pPr>
      <w:r>
        <w:rPr>
          <w:rFonts w:hint="eastAsia"/>
          <w:b/>
          <w:sz w:val="44"/>
          <w:szCs w:val="44"/>
        </w:rPr>
        <w:t>六、项目进度</w:t>
      </w:r>
      <w:r>
        <w:rPr>
          <w:rFonts w:hint="eastAsia" w:ascii="Calibri" w:hAnsi="Calibri"/>
          <w:b/>
          <w:bCs/>
          <w:kern w:val="44"/>
          <w:sz w:val="44"/>
          <w:szCs w:val="44"/>
        </w:rPr>
        <w:t>★</w:t>
      </w:r>
    </w:p>
    <w:p>
      <w:pPr>
        <w:spacing w:line="360" w:lineRule="auto"/>
        <w:ind w:firstLine="480" w:firstLineChars="200"/>
        <w:jc w:val="left"/>
        <w:rPr>
          <w:rFonts w:ascii="宋体" w:hAnsi="宋体"/>
          <w:sz w:val="24"/>
        </w:rPr>
      </w:pPr>
      <w:r>
        <w:rPr>
          <w:rFonts w:hint="eastAsia" w:ascii="宋体" w:hAnsi="宋体"/>
          <w:sz w:val="24"/>
        </w:rPr>
        <w:t>中标方按照项目总体建设进度要求，分阶段制定合理的工作进度计划，并且根据招标方要求进行调整和细化，根据软件总集成职责协调其他标包中标方，给出具体安排及工期。</w:t>
      </w:r>
    </w:p>
    <w:p>
      <w:pPr>
        <w:spacing w:line="360" w:lineRule="auto"/>
        <w:ind w:firstLine="480" w:firstLineChars="200"/>
        <w:jc w:val="left"/>
        <w:rPr>
          <w:rFonts w:ascii="宋体" w:hAnsi="宋体"/>
          <w:sz w:val="24"/>
        </w:rPr>
      </w:pPr>
      <w:r>
        <w:rPr>
          <w:rFonts w:hint="eastAsia" w:ascii="宋体" w:hAnsi="宋体"/>
          <w:sz w:val="24"/>
        </w:rPr>
        <w:t>项目实施时间从双方签订合同起，中标方须在规定时间内完成本标包规定和要求的建设内容，具体包括：</w:t>
      </w:r>
    </w:p>
    <w:p>
      <w:pPr>
        <w:spacing w:line="360" w:lineRule="auto"/>
        <w:ind w:firstLine="480" w:firstLineChars="200"/>
        <w:jc w:val="left"/>
        <w:rPr>
          <w:rFonts w:ascii="宋体" w:hAnsi="宋体"/>
          <w:sz w:val="24"/>
        </w:rPr>
      </w:pPr>
      <w:r>
        <w:rPr>
          <w:rFonts w:hint="eastAsia" w:ascii="宋体" w:hAnsi="宋体"/>
          <w:sz w:val="24"/>
        </w:rPr>
        <w:t>（一）2020年10月，能够支撑部门预算编制的业务系统在市本级和试点区县（市）上线试运行；</w:t>
      </w:r>
    </w:p>
    <w:p>
      <w:pPr>
        <w:spacing w:line="360" w:lineRule="auto"/>
        <w:ind w:firstLine="480" w:firstLineChars="200"/>
        <w:jc w:val="left"/>
        <w:rPr>
          <w:rFonts w:ascii="宋体" w:hAnsi="宋体"/>
          <w:sz w:val="24"/>
        </w:rPr>
      </w:pPr>
      <w:r>
        <w:rPr>
          <w:rFonts w:hint="eastAsia" w:ascii="宋体" w:hAnsi="宋体"/>
          <w:sz w:val="24"/>
        </w:rPr>
        <w:t>（二）2021年1月，按照财政部汇总系统数据上报要求，实现与财政部汇总系统的对接，实现与各区县（市）数据的对接；</w:t>
      </w:r>
    </w:p>
    <w:p>
      <w:pPr>
        <w:spacing w:line="360" w:lineRule="auto"/>
        <w:ind w:firstLine="480" w:firstLineChars="200"/>
        <w:jc w:val="left"/>
        <w:rPr>
          <w:rFonts w:ascii="宋体" w:hAnsi="宋体"/>
          <w:sz w:val="24"/>
        </w:rPr>
      </w:pPr>
      <w:r>
        <w:rPr>
          <w:rFonts w:hint="eastAsia" w:ascii="宋体" w:hAnsi="宋体"/>
          <w:sz w:val="24"/>
        </w:rPr>
        <w:t>（三）2021年1月至6月，其他系统开发、测试、试运行、上线；</w:t>
      </w:r>
    </w:p>
    <w:p>
      <w:pPr>
        <w:spacing w:line="360" w:lineRule="auto"/>
        <w:ind w:firstLine="480" w:firstLineChars="200"/>
        <w:jc w:val="left"/>
        <w:rPr>
          <w:rFonts w:ascii="宋体" w:hAnsi="宋体"/>
          <w:sz w:val="24"/>
        </w:rPr>
      </w:pPr>
      <w:r>
        <w:rPr>
          <w:rFonts w:hint="eastAsia" w:ascii="宋体" w:hAnsi="宋体"/>
          <w:sz w:val="24"/>
        </w:rPr>
        <w:t>（四）2021年7月至12月，其他系统在市本级和试点区县（市）上线并全市推广应用。</w:t>
      </w:r>
    </w:p>
    <w:p>
      <w:pPr>
        <w:pStyle w:val="2"/>
        <w:rPr>
          <w:b/>
          <w:sz w:val="44"/>
          <w:szCs w:val="44"/>
        </w:rPr>
      </w:pPr>
      <w:r>
        <w:rPr>
          <w:rFonts w:hint="eastAsia"/>
          <w:b/>
          <w:sz w:val="44"/>
          <w:szCs w:val="44"/>
        </w:rPr>
        <w:t>七、设计及建设要求★</w:t>
      </w:r>
    </w:p>
    <w:p>
      <w:pPr>
        <w:pStyle w:val="7"/>
      </w:pPr>
      <w:r>
        <w:rPr>
          <w:rFonts w:hint="eastAsia"/>
        </w:rPr>
        <w:t>（一）统一业务规范和技术标准</w:t>
      </w:r>
    </w:p>
    <w:p>
      <w:pPr>
        <w:spacing w:line="360" w:lineRule="auto"/>
        <w:ind w:firstLine="480" w:firstLineChars="200"/>
        <w:rPr>
          <w:rFonts w:ascii="宋体" w:hAnsi="宋体"/>
          <w:sz w:val="24"/>
          <w:szCs w:val="24"/>
        </w:rPr>
      </w:pPr>
      <w:r>
        <w:rPr>
          <w:rFonts w:hint="eastAsia" w:ascii="宋体" w:hAnsi="宋体"/>
          <w:sz w:val="24"/>
          <w:szCs w:val="24"/>
        </w:rPr>
        <w:t>要求在全市集中部署模式下，根据财政部业务规范和技术标准要求，采用统一的规范和标准，建设业务规范、技术标准和数据标准符合财政部要求的业务应用系统和分析系统。</w:t>
      </w:r>
    </w:p>
    <w:p>
      <w:pPr>
        <w:pStyle w:val="7"/>
      </w:pPr>
      <w:r>
        <w:rPr>
          <w:rFonts w:hint="eastAsia"/>
        </w:rPr>
        <w:t>（二）遵循宁波“智慧财政”概设</w:t>
      </w:r>
    </w:p>
    <w:p>
      <w:pPr>
        <w:spacing w:line="360" w:lineRule="auto"/>
        <w:rPr>
          <w:rFonts w:ascii="宋体" w:hAnsi="宋体"/>
          <w:sz w:val="24"/>
          <w:szCs w:val="24"/>
        </w:rPr>
      </w:pPr>
      <w:r>
        <w:rPr>
          <w:rFonts w:hint="eastAsia" w:ascii="宋体" w:hAnsi="宋体"/>
          <w:sz w:val="24"/>
          <w:szCs w:val="24"/>
        </w:rPr>
        <w:t xml:space="preserve">    要求遵循宁波“智慧财政”概设，根据项目总体设计和建设要求，全面、深入理解业务需求，通过成熟、高效的方式对财政事务进行清分，归纳优化财政业务流程，设计和实施科学、合理的业务框架及技术框架，实现财政管理业务的应用支撑和数据支撑，高质量地完成项目目标。</w:t>
      </w:r>
    </w:p>
    <w:p>
      <w:pPr>
        <w:pStyle w:val="7"/>
      </w:pPr>
      <w:r>
        <w:rPr>
          <w:rFonts w:hint="eastAsia"/>
        </w:rPr>
        <w:t>（三）实现业务全生态设计</w:t>
      </w:r>
    </w:p>
    <w:p>
      <w:pPr>
        <w:spacing w:line="360" w:lineRule="auto"/>
        <w:ind w:firstLine="480" w:firstLineChars="200"/>
        <w:rPr>
          <w:rFonts w:ascii="宋体" w:hAnsi="宋体"/>
          <w:sz w:val="24"/>
          <w:szCs w:val="24"/>
        </w:rPr>
      </w:pPr>
      <w:r>
        <w:rPr>
          <w:rFonts w:hint="eastAsia" w:ascii="宋体" w:hAnsi="宋体"/>
          <w:sz w:val="24"/>
          <w:szCs w:val="24"/>
        </w:rPr>
        <w:t>构建财政信息系统业务全生态。实现同级财政部门与财政资金使用对象之间的互联互通，做到横向到边。实现上下级财政部门之间的数据与工作协同，做到纵向到底。根据数字政务要求，充分利用市公共资源平台，在数据共享基础上实现工作和服务的协同,将传统数据交互全面转向工作协同方式。真正将财政管理服务融入政府管理服务和决策,实现数字化转型。</w:t>
      </w:r>
    </w:p>
    <w:p>
      <w:pPr>
        <w:pStyle w:val="7"/>
      </w:pPr>
      <w:r>
        <w:rPr>
          <w:rFonts w:hint="eastAsia"/>
        </w:rPr>
        <w:t>（四）建设智慧型系统</w:t>
      </w:r>
    </w:p>
    <w:p>
      <w:pPr>
        <w:spacing w:line="360" w:lineRule="auto"/>
        <w:ind w:firstLine="480" w:firstLineChars="200"/>
        <w:rPr>
          <w:rFonts w:ascii="宋体" w:hAnsi="宋体"/>
          <w:sz w:val="24"/>
          <w:szCs w:val="24"/>
        </w:rPr>
      </w:pPr>
      <w:r>
        <w:rPr>
          <w:rFonts w:hint="eastAsia" w:ascii="宋体" w:hAnsi="宋体" w:cs="宋体"/>
          <w:kern w:val="0"/>
          <w:sz w:val="24"/>
          <w:szCs w:val="24"/>
        </w:rPr>
        <w:t>在业务应用的设计上体现智能化，通过借鉴人工智能，切实减轻财政干部简单重复工作。提供强大的业务应变能力，要求业务应用实现灵活、科学的高可配。要求采用先进的技术手段和灵活的技术方式，对业务变化和扩展提供快速、稳定和高效的支撑。要求在项目设计和实施中采用前瞻性、科学性的编码体系，保证前后台事务及数据的一致性、唯一性等，解决财政管理服务中的难点和痛点，实现按不同主题自动归集和展现。从传统的因业务需求引起的开发向服务配置模式转变。</w:t>
      </w:r>
    </w:p>
    <w:p>
      <w:pPr>
        <w:pStyle w:val="7"/>
      </w:pPr>
      <w:r>
        <w:rPr>
          <w:rFonts w:hint="eastAsia"/>
        </w:rPr>
        <w:t>（五）充分体现数据驱动型系统特点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要求在项目设计和实施过程中通过内生和外联等方式采集、存储财政业务管理相关数据，将数据进行科学分类和治理，对由数据汇集而成的信息进行整合和提炼，在数据的基础上通过数据技术手段形成科学、精准、自动化的分析和决策模型，进而通过结果及其应用改变业务管理方式，实现系统由原有的业务驱动到数据驱动的转变。</w:t>
      </w:r>
    </w:p>
    <w:p>
      <w:pPr>
        <w:pStyle w:val="7"/>
      </w:pPr>
      <w:r>
        <w:rPr>
          <w:rFonts w:hint="eastAsia"/>
        </w:rPr>
        <w:t>（六）建立起数据治理体系</w:t>
      </w:r>
    </w:p>
    <w:p>
      <w:pPr>
        <w:pStyle w:val="71"/>
        <w:widowControl/>
        <w:ind w:firstLine="480" w:firstLineChars="200"/>
        <w:rPr>
          <w:rFonts w:hAnsi="宋体"/>
          <w:sz w:val="24"/>
          <w:szCs w:val="24"/>
        </w:rPr>
      </w:pPr>
      <w:r>
        <w:rPr>
          <w:rFonts w:hint="eastAsia" w:hAnsi="宋体"/>
          <w:sz w:val="24"/>
          <w:szCs w:val="24"/>
        </w:rPr>
        <w:t>要求从数据发现、数据监督、数据控制、数据沟通、数据整合等多方面对财政相关数据的获取、处理和使用过程进行全方位的管控，形成从前端事务到后端数据的管理闭环，形成数据治理体系。确保系统间数据的一致性、完整性、可控性、正确性，实现提高数据质量、统一定义规则、推动业务改进等目的。</w:t>
      </w:r>
    </w:p>
    <w:p>
      <w:pPr>
        <w:pStyle w:val="71"/>
        <w:widowControl/>
        <w:ind w:firstLine="480" w:firstLineChars="200"/>
        <w:rPr>
          <w:rFonts w:hAnsi="宋体"/>
          <w:sz w:val="24"/>
          <w:szCs w:val="24"/>
        </w:rPr>
      </w:pPr>
      <w:r>
        <w:rPr>
          <w:rFonts w:hint="eastAsia" w:hAnsi="宋体"/>
          <w:sz w:val="24"/>
          <w:szCs w:val="24"/>
        </w:rPr>
        <w:t>要求通过科学、灵活的技术手段和方式建设财政数据治理相关应用，最终形成宁波财政数据治理体系。</w:t>
      </w:r>
    </w:p>
    <w:p>
      <w:pPr>
        <w:pStyle w:val="7"/>
      </w:pPr>
      <w:r>
        <w:rPr>
          <w:rFonts w:hint="eastAsia"/>
        </w:rPr>
        <w:t>（七）实现业务系统微服务化</w:t>
      </w:r>
    </w:p>
    <w:p>
      <w:pPr>
        <w:spacing w:line="360" w:lineRule="auto"/>
        <w:ind w:firstLine="480" w:firstLineChars="200"/>
        <w:rPr>
          <w:rFonts w:ascii="宋体" w:hAnsi="宋体" w:cs="宋体"/>
          <w:sz w:val="24"/>
        </w:rPr>
      </w:pPr>
      <w:r>
        <w:rPr>
          <w:rFonts w:hint="eastAsia" w:ascii="宋体" w:hAnsi="宋体" w:cs="宋体"/>
          <w:sz w:val="24"/>
        </w:rPr>
        <w:t>通过微服务在业务和技术层面进行全面解耦。要求中标方从业务场景、流程分析出发，建立市级、区县（市）、乡镇一体化业务能力模型，实现业务的横向到边、纵向到底的衔接。</w:t>
      </w:r>
    </w:p>
    <w:p>
      <w:pPr>
        <w:spacing w:line="360" w:lineRule="auto"/>
        <w:ind w:firstLine="480" w:firstLineChars="200"/>
        <w:rPr>
          <w:rFonts w:ascii="宋体" w:hAnsi="宋体" w:cs="宋体"/>
          <w:sz w:val="24"/>
        </w:rPr>
      </w:pPr>
      <w:r>
        <w:rPr>
          <w:rFonts w:hint="eastAsia" w:ascii="宋体" w:hAnsi="宋体" w:cs="宋体"/>
          <w:sz w:val="24"/>
        </w:rPr>
        <w:t>要求中标方将业务应用分解到微服务层面，构建应用与微服务之间的集成关系，保证微服务和数据的事务一致性。技术平台可平滑演进，支持核心技术组件的版本升级；底层和表层分离，通过对底层元素的配置和封装，为上层业务功能提供稳定的技术、业务和数据服务。</w:t>
      </w:r>
    </w:p>
    <w:p>
      <w:pPr>
        <w:pStyle w:val="7"/>
      </w:pPr>
      <w:r>
        <w:rPr>
          <w:rFonts w:hint="eastAsia"/>
        </w:rPr>
        <w:t>（八）大数据应用一体化</w:t>
      </w:r>
    </w:p>
    <w:p>
      <w:pPr>
        <w:spacing w:line="360" w:lineRule="auto"/>
        <w:ind w:firstLine="480" w:firstLineChars="200"/>
        <w:rPr>
          <w:rFonts w:hAnsi="宋体"/>
          <w:sz w:val="24"/>
          <w:szCs w:val="24"/>
        </w:rPr>
      </w:pPr>
      <w:r>
        <w:rPr>
          <w:rFonts w:hint="eastAsia" w:ascii="宋体" w:hAnsi="宋体" w:cs="宋体"/>
          <w:sz w:val="24"/>
        </w:rPr>
        <w:t>要求基于财政内外部数据，利用科学、灵活的大数据技术，</w:t>
      </w:r>
      <w:r>
        <w:rPr>
          <w:rFonts w:hint="eastAsia" w:hAnsi="宋体"/>
          <w:sz w:val="24"/>
          <w:szCs w:val="24"/>
        </w:rPr>
        <w:t>在大数据架构下通过数据治理、数据源管理、数据加工分析、分布式计算及存储、数据访问、数据应用等技术，形成多维多视角的画像体系和智慧分析模型，支持项目建设的财政业务处理、综合查询、风险监督、监管分析、决策支持等应用。</w:t>
      </w:r>
    </w:p>
    <w:p>
      <w:pPr>
        <w:pStyle w:val="7"/>
      </w:pPr>
      <w:r>
        <w:rPr>
          <w:rFonts w:hint="eastAsia"/>
        </w:rPr>
        <w:t>（九）实现数字政务</w:t>
      </w:r>
    </w:p>
    <w:p>
      <w:pPr>
        <w:spacing w:line="360" w:lineRule="auto"/>
        <w:ind w:firstLine="480" w:firstLineChars="200"/>
        <w:rPr>
          <w:rFonts w:hAnsi="宋体"/>
          <w:sz w:val="24"/>
          <w:szCs w:val="24"/>
        </w:rPr>
      </w:pPr>
      <w:r>
        <w:rPr>
          <w:rFonts w:hint="eastAsia" w:ascii="宋体" w:hAnsi="宋体" w:cs="宋体"/>
          <w:sz w:val="24"/>
        </w:rPr>
        <w:t>要求充分考虑并满足浙江省、宁波市数字政务建设相关要求，通过数据交换、数据治理、数据集成等技术手段，实现财政部门与外部门的数据协同和工作协同。</w:t>
      </w:r>
    </w:p>
    <w:p>
      <w:pPr>
        <w:pStyle w:val="7"/>
      </w:pPr>
      <w:r>
        <w:rPr>
          <w:rFonts w:hint="eastAsia"/>
        </w:rPr>
        <w:t>（十）利用已有信息化建设成果</w:t>
      </w:r>
    </w:p>
    <w:p>
      <w:pPr>
        <w:spacing w:line="360" w:lineRule="auto"/>
        <w:ind w:firstLine="420" w:firstLineChars="175"/>
        <w:rPr>
          <w:rFonts w:hAnsi="宋体"/>
          <w:sz w:val="24"/>
          <w:szCs w:val="24"/>
        </w:rPr>
      </w:pPr>
      <w:r>
        <w:rPr>
          <w:rFonts w:hint="eastAsia" w:ascii="宋体" w:hAnsi="宋体" w:cs="宋体"/>
          <w:sz w:val="24"/>
        </w:rPr>
        <w:t>充分利用宁波财政已有的信息化建设成果。充分利用历次信息化建设中积累的户籍、管理监控、会计核算、数字档案、地理信息、数据治理、多维度展示等技术框架和建设思路，构建新的“智慧财政”项目应用</w:t>
      </w:r>
      <w:r>
        <w:rPr>
          <w:rFonts w:hint="eastAsia" w:hAnsi="宋体"/>
          <w:sz w:val="24"/>
          <w:szCs w:val="24"/>
        </w:rPr>
        <w:t>。</w:t>
      </w:r>
    </w:p>
    <w:p>
      <w:pPr>
        <w:pStyle w:val="7"/>
      </w:pPr>
      <w:r>
        <w:rPr>
          <w:rFonts w:hint="eastAsia"/>
        </w:rPr>
        <w:t>（十一）加强项目组织实施</w:t>
      </w:r>
    </w:p>
    <w:p>
      <w:pPr>
        <w:spacing w:line="360" w:lineRule="auto"/>
        <w:ind w:firstLine="480" w:firstLineChars="200"/>
        <w:rPr>
          <w:rFonts w:hAnsi="宋体"/>
          <w:sz w:val="24"/>
          <w:szCs w:val="24"/>
        </w:rPr>
      </w:pPr>
      <w:r>
        <w:rPr>
          <w:rFonts w:hint="eastAsia" w:ascii="宋体" w:hAnsi="宋体" w:cs="宋体"/>
          <w:sz w:val="24"/>
        </w:rPr>
        <w:t>要求科学、合理地进行项目组织和实施，完成软件总集成服务、软件开发测试等项目管理过程，完成项目建设任务。</w:t>
      </w:r>
    </w:p>
    <w:p>
      <w:pPr>
        <w:pStyle w:val="7"/>
      </w:pPr>
      <w:r>
        <w:rPr>
          <w:rFonts w:hint="eastAsia"/>
        </w:rPr>
        <w:t>（十二）强化信息安全保障</w:t>
      </w:r>
    </w:p>
    <w:p>
      <w:pPr>
        <w:spacing w:line="360" w:lineRule="auto"/>
        <w:ind w:firstLine="480" w:firstLineChars="200"/>
        <w:rPr>
          <w:rFonts w:ascii="宋体" w:hAnsi="宋体"/>
          <w:sz w:val="24"/>
          <w:szCs w:val="24"/>
        </w:rPr>
      </w:pPr>
      <w:r>
        <w:rPr>
          <w:rFonts w:hint="eastAsia" w:ascii="宋体" w:hAnsi="宋体"/>
          <w:sz w:val="24"/>
          <w:szCs w:val="24"/>
        </w:rPr>
        <w:t>信息系统安全是电子政务建设的前提，也是项目建设的重要保障。按照信息系统安全等级保护三级的要求同步设计、同步建设,进一步强化项目的信息安全保障。要求选用的技术要从整体上支持系统安全性原则。</w:t>
      </w:r>
    </w:p>
    <w:p>
      <w:pPr>
        <w:pStyle w:val="7"/>
      </w:pPr>
      <w:r>
        <w:rPr>
          <w:rFonts w:hint="eastAsia"/>
        </w:rPr>
        <w:t>（十三）建立智能化纠错机制</w:t>
      </w:r>
    </w:p>
    <w:p>
      <w:pPr>
        <w:pStyle w:val="71"/>
        <w:widowControl/>
        <w:ind w:firstLine="504"/>
        <w:jc w:val="left"/>
        <w:rPr>
          <w:rFonts w:ascii="宋体" w:hAnsi="宋体"/>
          <w:sz w:val="24"/>
        </w:rPr>
      </w:pPr>
      <w:r>
        <w:rPr>
          <w:rFonts w:hint="eastAsia" w:ascii="宋体" w:hAnsi="宋体" w:cs="宋体"/>
          <w:sz w:val="24"/>
          <w:szCs w:val="24"/>
        </w:rPr>
        <w:t>为了保障项目的正常和高效运行，</w:t>
      </w:r>
      <w:r>
        <w:rPr>
          <w:rFonts w:hint="eastAsia" w:ascii="宋体" w:hAnsi="宋体"/>
          <w:sz w:val="24"/>
        </w:rPr>
        <w:t>要在项目建设过程中建立</w:t>
      </w:r>
      <w:r>
        <w:rPr>
          <w:rFonts w:hint="eastAsia" w:ascii="宋体" w:hAnsi="宋体" w:cs="宋体"/>
          <w:sz w:val="24"/>
          <w:szCs w:val="24"/>
        </w:rPr>
        <w:t>高效、智能化、集中式的系统检测机制。</w:t>
      </w:r>
      <w:r>
        <w:rPr>
          <w:rFonts w:hint="eastAsia" w:ascii="宋体" w:hAnsi="宋体"/>
          <w:sz w:val="24"/>
        </w:rPr>
        <w:t>要求采用多种技术手段和方式实现智能化运维。要求</w:t>
      </w:r>
      <w:r>
        <w:rPr>
          <w:rFonts w:hint="eastAsia" w:ascii="宋体" w:hAnsi="宋体" w:cs="宋体"/>
          <w:sz w:val="24"/>
          <w:szCs w:val="24"/>
        </w:rPr>
        <w:t>实现持续集成、持续发布、持续交付的开发运维一体化，同时</w:t>
      </w:r>
      <w:r>
        <w:rPr>
          <w:rFonts w:hint="eastAsia" w:ascii="宋体" w:hAnsi="宋体"/>
          <w:sz w:val="24"/>
        </w:rPr>
        <w:t>实现运维模式向集中管理、主动响应、统一服务的转变，有效支撑项目全市大集中模式下的运行管理。</w:t>
      </w:r>
    </w:p>
    <w:p>
      <w:pPr>
        <w:pStyle w:val="71"/>
        <w:widowControl/>
        <w:ind w:firstLine="504"/>
        <w:jc w:val="left"/>
        <w:rPr>
          <w:rFonts w:ascii="宋体" w:hAnsi="宋体"/>
          <w:sz w:val="24"/>
        </w:rPr>
      </w:pPr>
      <w:r>
        <w:rPr>
          <w:rFonts w:hint="eastAsia" w:ascii="宋体" w:hAnsi="宋体"/>
          <w:sz w:val="24"/>
        </w:rPr>
        <w:t>对系统使用过程中发生的业务错误，建立前台纠错机制，杜绝后台修改业务数据。</w:t>
      </w:r>
    </w:p>
    <w:p>
      <w:pPr>
        <w:pStyle w:val="2"/>
        <w:rPr>
          <w:b/>
          <w:sz w:val="44"/>
          <w:szCs w:val="44"/>
        </w:rPr>
      </w:pPr>
      <w:r>
        <w:rPr>
          <w:rFonts w:hint="eastAsia"/>
          <w:b/>
          <w:sz w:val="44"/>
          <w:szCs w:val="44"/>
        </w:rPr>
        <w:t>八、标包建设内容</w:t>
      </w:r>
      <w:r>
        <w:rPr>
          <w:b/>
          <w:sz w:val="44"/>
          <w:szCs w:val="44"/>
        </w:rPr>
        <w:t> </w:t>
      </w:r>
    </w:p>
    <w:p>
      <w:pPr>
        <w:spacing w:line="360" w:lineRule="auto"/>
        <w:ind w:firstLine="480" w:firstLineChars="200"/>
        <w:jc w:val="left"/>
        <w:rPr>
          <w:rFonts w:ascii="宋体" w:hAnsi="宋体"/>
          <w:sz w:val="24"/>
        </w:rPr>
      </w:pPr>
      <w:bookmarkStart w:id="0" w:name="_Toc35006790"/>
      <w:bookmarkStart w:id="1" w:name="_Toc35006161"/>
      <w:r>
        <w:rPr>
          <w:rFonts w:hint="eastAsia" w:ascii="宋体" w:hAnsi="宋体"/>
          <w:sz w:val="24"/>
        </w:rPr>
        <w:t>（一）全面支持科学化的预算管理，业务应用范围包括但不限于基础信息管理、项目库管理、预算编制、预算调整和调剂、结转结余、预算指标会计核算、年终结算、债务管理、财力管理等；应用支撑平台包括统一用户管理、统一权限管理、集中处理数据定义和规则、统一报表管理、统一流程管理、数字档案管理、交换平台、短信平台等。</w:t>
      </w:r>
    </w:p>
    <w:p>
      <w:pPr>
        <w:spacing w:line="360" w:lineRule="auto"/>
        <w:ind w:firstLine="480" w:firstLineChars="200"/>
        <w:jc w:val="left"/>
        <w:rPr>
          <w:rFonts w:ascii="宋体" w:hAnsi="宋体"/>
          <w:sz w:val="24"/>
        </w:rPr>
      </w:pPr>
      <w:r>
        <w:rPr>
          <w:rFonts w:hint="eastAsia" w:ascii="宋体" w:hAnsi="宋体"/>
          <w:sz w:val="24"/>
        </w:rPr>
        <w:t>（二）遵循“服务高效、管理科学”的原则，按照浙江省电子政务建设要求，建设财政内外部服务平台，包括但不限于内部服务平台、外部服务平台、预算单位服务平台等。</w:t>
      </w:r>
    </w:p>
    <w:p>
      <w:pPr>
        <w:spacing w:line="360" w:lineRule="auto"/>
        <w:ind w:firstLine="480" w:firstLineChars="200"/>
        <w:jc w:val="left"/>
        <w:rPr>
          <w:rFonts w:ascii="宋体" w:hAnsi="宋体"/>
          <w:sz w:val="24"/>
        </w:rPr>
      </w:pPr>
      <w:r>
        <w:rPr>
          <w:rFonts w:hint="eastAsia" w:ascii="宋体" w:hAnsi="宋体"/>
          <w:sz w:val="24"/>
        </w:rPr>
        <w:t>（三）参考当前国内外先进技术，完成宁波市“智慧财政”项目总集成。根据软件总集成服务要求，完成项目的基础服务建设，包括但不限于技术服务、业务服务、数据服务等开发和管理，集成其他标包的基础服务。完成标准规范编制和应用等工作，组织协调其他标包中标方同步开展工作，最终完成本标包的开发测试集成、项目上线推广、项目培训等。</w:t>
      </w:r>
    </w:p>
    <w:p>
      <w:pPr>
        <w:pStyle w:val="2"/>
        <w:rPr>
          <w:b/>
          <w:sz w:val="44"/>
          <w:szCs w:val="44"/>
        </w:rPr>
      </w:pPr>
      <w:r>
        <w:rPr>
          <w:rFonts w:hint="eastAsia"/>
          <w:b/>
          <w:sz w:val="44"/>
          <w:szCs w:val="44"/>
        </w:rPr>
        <w:t>九、业务需求</w:t>
      </w:r>
      <w:r>
        <w:rPr>
          <w:b/>
          <w:sz w:val="44"/>
          <w:szCs w:val="44"/>
        </w:rPr>
        <w:t> </w:t>
      </w:r>
    </w:p>
    <w:p>
      <w:pPr>
        <w:pStyle w:val="6"/>
      </w:pPr>
      <w:r>
        <w:rPr>
          <w:rFonts w:hint="eastAsia"/>
        </w:rPr>
        <w:t>（一）基础信息管理</w:t>
      </w:r>
    </w:p>
    <w:p>
      <w:pPr>
        <w:pStyle w:val="7"/>
      </w:pPr>
      <w:r>
        <w:rPr>
          <w:rFonts w:hint="eastAsia"/>
        </w:rPr>
        <w:t>1. 业务概述</w:t>
      </w:r>
    </w:p>
    <w:p>
      <w:pPr>
        <w:ind w:firstLine="420"/>
      </w:pPr>
      <w:r>
        <w:rPr>
          <w:rFonts w:hint="eastAsia" w:ascii="宋体" w:hAnsi="宋体"/>
        </w:rPr>
        <w:t>基础信息管理是</w:t>
      </w:r>
      <w:r>
        <w:rPr>
          <w:rFonts w:hint="eastAsia"/>
        </w:rPr>
        <w:t>支撑</w:t>
      </w:r>
      <w:r>
        <w:rPr>
          <w:rFonts w:hint="eastAsia" w:ascii="宋体" w:hAnsi="宋体"/>
        </w:rPr>
        <w:t>宁波市财政局财政核心业务一体化系统的</w:t>
      </w:r>
      <w:r>
        <w:rPr>
          <w:rFonts w:hint="eastAsia"/>
        </w:rPr>
        <w:t>基础和前提，对</w:t>
      </w:r>
      <w:r>
        <w:rPr>
          <w:rFonts w:hint="eastAsia" w:ascii="宋体" w:hAnsi="宋体"/>
        </w:rPr>
        <w:t>预算编制、预算执行等</w:t>
      </w:r>
      <w:r>
        <w:rPr>
          <w:rFonts w:hint="eastAsia"/>
        </w:rPr>
        <w:t>后续环节使用的各类基础信息进行统一的管理和维护，方便各业务环节对基础信息的共享共用。按照内容，</w:t>
      </w:r>
      <w:r>
        <w:rPr>
          <w:rFonts w:hint="eastAsia" w:ascii="宋体" w:hAnsi="宋体"/>
        </w:rPr>
        <w:t>基础信息分为</w:t>
      </w:r>
      <w:r>
        <w:rPr>
          <w:rFonts w:hint="eastAsia"/>
        </w:rPr>
        <w:t>单位信息、人员信息、资产信息、支出标准、政府收支分类科目、会计科目、政府非税收入项目信息、政府采购基础信息、账户信息、财政区划</w:t>
      </w:r>
      <w:r>
        <w:rPr>
          <w:rFonts w:hint="eastAsia" w:ascii="宋体" w:hAnsi="宋体"/>
        </w:rPr>
        <w:t>和配置管理等基本信息管理模块。基础信息管理实行动态维护，</w:t>
      </w:r>
      <w:r>
        <w:rPr>
          <w:rFonts w:hint="eastAsia"/>
        </w:rPr>
        <w:t>财政、部门、单位根据各自职责，按照文件、调研结果等分别维护各类基础信息，完成信息的申请、报送、审核、更新等相关工作。</w:t>
      </w:r>
    </w:p>
    <w:p>
      <w:pPr>
        <w:pStyle w:val="7"/>
      </w:pPr>
      <w:r>
        <w:rPr>
          <w:rFonts w:hint="eastAsia"/>
        </w:rPr>
        <w:t>2. 建设内容</w:t>
      </w:r>
    </w:p>
    <w:p>
      <w:pPr>
        <w:pStyle w:val="8"/>
      </w:pPr>
      <w:r>
        <w:rPr>
          <w:rFonts w:hint="eastAsia"/>
        </w:rPr>
        <w:t>单位信息管理</w:t>
      </w:r>
    </w:p>
    <w:p>
      <w:pPr>
        <w:ind w:firstLine="397"/>
        <w:rPr>
          <w:szCs w:val="24"/>
        </w:rPr>
      </w:pPr>
      <w:r>
        <w:rPr>
          <w:rFonts w:hint="eastAsia"/>
          <w:szCs w:val="24"/>
        </w:rPr>
        <w:t>单位信息模块主要管理纳入预算管理的各类单位基本信息，依据相关管理流程及规则进行维护管理。管理要素包括：（列入财政核心业务管理要素目录）单位名称、单位简称、单位代码、统一社会信用代码、单位行政级别、单位类型、人员编制数、实有人数、停用年度、国民经济行业分类、单位负责人、邮政编码、单位地址、（另行增设）经费供给方式、公用经费定额方式、主功能科目、单位负担的遗属人数、享受统筹医疗费子女人数、协辅警人数等。</w:t>
      </w:r>
    </w:p>
    <w:p>
      <w:pPr>
        <w:ind w:firstLine="420" w:firstLineChars="200"/>
        <w:rPr>
          <w:szCs w:val="24"/>
        </w:rPr>
      </w:pPr>
      <w:r>
        <w:rPr>
          <w:rFonts w:hint="eastAsia"/>
          <w:szCs w:val="24"/>
        </w:rPr>
        <w:t>主要业务包括预算单位新增、变更、撤销和信息调整。</w:t>
      </w:r>
    </w:p>
    <w:p>
      <w:pPr>
        <w:ind w:firstLine="525" w:firstLineChars="250"/>
      </w:pPr>
      <w:r>
        <w:rPr>
          <w:rFonts w:hint="eastAsia"/>
        </w:rPr>
        <w:t>新增和撤销基层预算单位</w:t>
      </w:r>
    </w:p>
    <w:p>
      <w:pPr>
        <w:ind w:firstLine="501" w:firstLineChars="239"/>
        <w:rPr>
          <w:szCs w:val="24"/>
        </w:rPr>
      </w:pPr>
      <w:r>
        <w:rPr>
          <w:rFonts w:ascii="宋体" w:hAnsi="宋体"/>
          <w:szCs w:val="24"/>
        </w:rPr>
        <w:t>1.</w:t>
      </w:r>
      <w:r>
        <w:rPr>
          <w:rFonts w:hint="eastAsia"/>
          <w:szCs w:val="24"/>
        </w:rPr>
        <w:t>部门提出新增和撤销单位申请。主管部门通过系统提出基层预算单位新增和撤销申请。</w:t>
      </w:r>
    </w:p>
    <w:p>
      <w:pPr>
        <w:ind w:firstLine="501" w:firstLineChars="239"/>
        <w:rPr>
          <w:rFonts w:ascii="宋体" w:hAnsi="宋体"/>
          <w:szCs w:val="24"/>
        </w:rPr>
      </w:pPr>
      <w:r>
        <w:rPr>
          <w:rFonts w:ascii="宋体" w:hAnsi="宋体"/>
          <w:szCs w:val="24"/>
        </w:rPr>
        <w:t>2.财政部门审核确认。财政部门对部门报送的新增和撤销基层预算单位申请按程序进行审核确定，并下发主管部门。</w:t>
      </w:r>
    </w:p>
    <w:p>
      <w:pPr>
        <w:ind w:firstLine="501" w:firstLineChars="239"/>
        <w:rPr>
          <w:rFonts w:ascii="宋体" w:hAnsi="宋体"/>
          <w:szCs w:val="24"/>
        </w:rPr>
      </w:pPr>
      <w:r>
        <w:rPr>
          <w:rFonts w:ascii="宋体" w:hAnsi="宋体"/>
          <w:szCs w:val="24"/>
        </w:rPr>
        <w:t>3.部门接收。主管部门对财政部门审核确定的新增和撤销基层预算单位信息进行接收，并下发单位。</w:t>
      </w:r>
    </w:p>
    <w:p>
      <w:pPr>
        <w:ind w:firstLine="501" w:firstLineChars="239"/>
        <w:rPr>
          <w:rFonts w:ascii="宋体" w:hAnsi="宋体"/>
          <w:szCs w:val="24"/>
        </w:rPr>
      </w:pPr>
      <w:r>
        <w:rPr>
          <w:rFonts w:ascii="宋体" w:hAnsi="宋体"/>
          <w:szCs w:val="24"/>
        </w:rPr>
        <w:t>4.单位接收。基层预算单位接收财政部门审核确认的新增和撤销单位信息。</w:t>
      </w:r>
    </w:p>
    <w:p>
      <w:pPr>
        <w:ind w:firstLine="501" w:firstLineChars="239"/>
        <w:rPr>
          <w:rFonts w:ascii="宋体" w:hAnsi="宋体"/>
          <w:szCs w:val="24"/>
        </w:rPr>
      </w:pPr>
      <w:r>
        <w:rPr>
          <w:rFonts w:ascii="宋体" w:hAnsi="宋体"/>
          <w:szCs w:val="24"/>
        </w:rPr>
        <w:t>5.维护单位信息。基层预算单位根据预算管理工作需要，对本单位信息进行管理和维护，填报单位信息表，确保本单位信息完整准确，报送主管部门审核。</w:t>
      </w:r>
    </w:p>
    <w:p>
      <w:pPr>
        <w:ind w:firstLine="501" w:firstLineChars="239"/>
        <w:rPr>
          <w:rFonts w:ascii="宋体" w:hAnsi="宋体"/>
          <w:szCs w:val="24"/>
        </w:rPr>
      </w:pPr>
      <w:r>
        <w:rPr>
          <w:rFonts w:ascii="宋体" w:hAnsi="宋体"/>
          <w:szCs w:val="24"/>
        </w:rPr>
        <w:t>6.部门审核。主管部门对基层预算单位报送的单位信息表进行审核，确认无误后报财政部门审核。</w:t>
      </w:r>
    </w:p>
    <w:p>
      <w:pPr>
        <w:ind w:firstLine="501" w:firstLineChars="239"/>
        <w:rPr>
          <w:rFonts w:ascii="宋体" w:hAnsi="宋体"/>
          <w:szCs w:val="24"/>
        </w:rPr>
      </w:pPr>
      <w:r>
        <w:rPr>
          <w:rFonts w:ascii="宋体" w:hAnsi="宋体"/>
          <w:szCs w:val="24"/>
        </w:rPr>
        <w:t>7.财政审核单位信息。财政部门对主管部门报送的本部门单位信息表进行审核，确认无误后入库，为项目测算等后续环节提供支持。</w:t>
      </w:r>
    </w:p>
    <w:p>
      <w:pPr>
        <w:rPr>
          <w:rFonts w:ascii="宋体" w:hAnsi="宋体"/>
        </w:rPr>
      </w:pPr>
    </w:p>
    <w:p>
      <w:pPr>
        <w:ind w:firstLine="315" w:firstLineChars="150"/>
      </w:pPr>
      <w:r>
        <w:rPr>
          <w:rFonts w:hint="eastAsia"/>
        </w:rPr>
        <w:t>单位信息变更</w:t>
      </w:r>
    </w:p>
    <w:p>
      <w:pPr>
        <w:ind w:firstLine="397"/>
        <w:rPr>
          <w:szCs w:val="24"/>
        </w:rPr>
      </w:pPr>
      <w:r>
        <w:rPr>
          <w:rFonts w:ascii="宋体" w:hAnsi="宋体"/>
          <w:szCs w:val="24"/>
        </w:rPr>
        <w:t>1.</w:t>
      </w:r>
      <w:r>
        <w:rPr>
          <w:rFonts w:hint="eastAsia"/>
          <w:szCs w:val="24"/>
        </w:rPr>
        <w:t>维护单位信息。基层预算单位根据预算管理工作需要，对本单位信息进行管理和维护，填报单位信息表，确保本单位信息完整准确，通过系统提交单位信息变更申请，报送主管部门审核。</w:t>
      </w:r>
    </w:p>
    <w:p>
      <w:pPr>
        <w:ind w:firstLine="397"/>
        <w:rPr>
          <w:szCs w:val="24"/>
        </w:rPr>
      </w:pPr>
      <w:r>
        <w:rPr>
          <w:rFonts w:ascii="宋体" w:hAnsi="宋体"/>
          <w:szCs w:val="24"/>
        </w:rPr>
        <w:t>2.</w:t>
      </w:r>
      <w:r>
        <w:rPr>
          <w:rFonts w:hint="eastAsia"/>
          <w:szCs w:val="24"/>
        </w:rPr>
        <w:t>部门审核。主管部门对基层预算单位报送的单位信息表进行审核，确认无误后报财政部门审核。</w:t>
      </w:r>
    </w:p>
    <w:p>
      <w:pPr>
        <w:ind w:firstLine="397"/>
        <w:rPr>
          <w:szCs w:val="24"/>
        </w:rPr>
      </w:pPr>
      <w:r>
        <w:rPr>
          <w:rFonts w:ascii="宋体" w:hAnsi="宋体"/>
          <w:szCs w:val="24"/>
        </w:rPr>
        <w:t>3.</w:t>
      </w:r>
      <w:r>
        <w:rPr>
          <w:rFonts w:hint="eastAsia"/>
          <w:szCs w:val="24"/>
        </w:rPr>
        <w:t>财政审核单位信息。财政部门对主管部门报送的本部门单位信息表进行审核，确认无误后入库，为项目测算等后续环节提供支持。</w:t>
      </w:r>
    </w:p>
    <w:p>
      <w:pPr>
        <w:pStyle w:val="75"/>
        <w:spacing w:line="400" w:lineRule="exact"/>
        <w:ind w:firstLine="0" w:firstLineChars="0"/>
        <w:rPr>
          <w:szCs w:val="24"/>
        </w:rPr>
      </w:pPr>
    </w:p>
    <w:p>
      <w:pPr>
        <w:pStyle w:val="8"/>
      </w:pPr>
      <w:r>
        <w:rPr>
          <w:rFonts w:hint="eastAsia"/>
        </w:rPr>
        <w:t>人员信息管理</w:t>
      </w:r>
    </w:p>
    <w:p>
      <w:pPr>
        <w:ind w:firstLine="420" w:firstLineChars="200"/>
      </w:pPr>
      <w:r>
        <w:rPr>
          <w:rFonts w:hint="eastAsia"/>
        </w:rPr>
        <w:t>人员信息模块主要管理纳入预算管理的各类单位的人员信息，管理要素包括但不限于列入财政核心业务管理要素目录的内容</w:t>
      </w:r>
      <w:r>
        <w:t>:</w:t>
      </w:r>
      <w:r>
        <w:rPr>
          <w:rFonts w:hint="eastAsia"/>
        </w:rPr>
        <w:t>姓名、身份证号、性别、国籍（地区）、民族、学历、在职人员来源、人员状态、参加工作时间、进入本单位时间、是否在编、人员身份、工龄、职务、职级、工资级别、技术等级、岗位工资级别、工资薪级、职务（职级）工资、级别（技术等级、薪级）工资、国家规定津补贴、地方出台津补贴、是否特殊岗位、是否工资统发、离退休时间、工资卡卡号、工资卡开户银行、公务卡卡号、公务卡开户银行等。</w:t>
      </w:r>
    </w:p>
    <w:p>
      <w:pPr>
        <w:ind w:firstLine="420" w:firstLineChars="200"/>
      </w:pPr>
      <w:r>
        <w:rPr>
          <w:rFonts w:hint="eastAsia"/>
        </w:rPr>
        <w:t>人员信息按照“行政与参公在职”、“事业在职”“离休”“行政退休”“事业退休”进行归类管理和展示对应的管理要素。入库人员实现全生命周期管理。</w:t>
      </w:r>
    </w:p>
    <w:p>
      <w:r>
        <w:rPr>
          <w:rFonts w:hint="eastAsia"/>
        </w:rPr>
        <w:t>业务流程说明</w:t>
      </w:r>
    </w:p>
    <w:p>
      <w:pPr>
        <w:ind w:firstLine="420" w:firstLineChars="200"/>
      </w:pPr>
      <w:r>
        <w:rPr>
          <w:rFonts w:hint="eastAsia"/>
        </w:rPr>
        <w:t>人员新增（未与市人社、市组织部联网，单位发起）</w:t>
      </w:r>
    </w:p>
    <w:p>
      <w:pPr>
        <w:ind w:firstLine="420" w:firstLineChars="200"/>
        <w:rPr>
          <w:szCs w:val="28"/>
        </w:rPr>
      </w:pPr>
      <w:r>
        <w:rPr>
          <w:rFonts w:ascii="宋体" w:hAnsi="宋体"/>
        </w:rPr>
        <w:t>1.新增</w:t>
      </w:r>
      <w:r>
        <w:rPr>
          <w:rFonts w:hint="eastAsia"/>
        </w:rPr>
        <w:t>人员信息上报。基层预算</w:t>
      </w:r>
      <w:r>
        <w:rPr>
          <w:rFonts w:hint="eastAsia"/>
          <w:szCs w:val="28"/>
        </w:rPr>
        <w:t>单位根据本单位新增人员情况，填报人员信息表，通过系统提交申请，报送主管部门审核。</w:t>
      </w:r>
    </w:p>
    <w:p>
      <w:pPr>
        <w:ind w:firstLine="420" w:firstLineChars="200"/>
        <w:rPr>
          <w:szCs w:val="28"/>
        </w:rPr>
      </w:pPr>
      <w:r>
        <w:rPr>
          <w:rFonts w:ascii="宋体" w:hAnsi="宋体"/>
          <w:szCs w:val="28"/>
        </w:rPr>
        <w:t>2.</w:t>
      </w:r>
      <w:r>
        <w:rPr>
          <w:rFonts w:hint="eastAsia"/>
          <w:szCs w:val="28"/>
        </w:rPr>
        <w:t>部门审核。主管部门对基层预算单位报送的新增人员信息表进行审核，确认无误后提交财政部门审核。</w:t>
      </w:r>
    </w:p>
    <w:p>
      <w:pPr>
        <w:ind w:firstLine="420" w:firstLineChars="200"/>
        <w:rPr>
          <w:szCs w:val="28"/>
        </w:rPr>
      </w:pPr>
      <w:r>
        <w:rPr>
          <w:rFonts w:ascii="宋体" w:hAnsi="宋体"/>
          <w:szCs w:val="28"/>
        </w:rPr>
        <w:t>3.</w:t>
      </w:r>
      <w:r>
        <w:rPr>
          <w:rFonts w:hint="eastAsia"/>
          <w:szCs w:val="28"/>
        </w:rPr>
        <w:t>财政审核。财政部门对主管部门报送的本部门人员信息表进行审核，确认无误后入库，为人员类项目预算编制和指标调整等后续环节提供支持。</w:t>
      </w:r>
    </w:p>
    <w:p/>
    <w:p>
      <w:r>
        <w:rPr>
          <w:rFonts w:hint="eastAsia"/>
        </w:rPr>
        <w:t>人员信息调整（与市组织部、市人社局联网）</w:t>
      </w:r>
    </w:p>
    <w:p>
      <w:pPr>
        <w:ind w:firstLine="420" w:firstLineChars="200"/>
        <w:rPr>
          <w:szCs w:val="28"/>
        </w:rPr>
      </w:pPr>
      <w:r>
        <w:rPr>
          <w:rFonts w:ascii="宋体" w:hAnsi="宋体"/>
        </w:rPr>
        <w:t>1.</w:t>
      </w:r>
      <w:r>
        <w:rPr>
          <w:rFonts w:hint="eastAsia"/>
          <w:szCs w:val="28"/>
        </w:rPr>
        <w:t>从组织、人社等部门获取人员信息</w:t>
      </w:r>
      <w:r>
        <w:rPr>
          <w:rFonts w:hint="eastAsia"/>
        </w:rPr>
        <w:t>。财政部门与市组织部的“市级机关统发工资系统”</w:t>
      </w:r>
      <w:r>
        <w:rPr>
          <w:rFonts w:hint="eastAsia"/>
          <w:szCs w:val="28"/>
        </w:rPr>
        <w:t>和市人社局的“宁波人事系统”衔接，获取人员有关信息，根据人员信息变动情况，自动计算变动金额</w:t>
      </w:r>
      <w:r>
        <w:rPr>
          <w:szCs w:val="28"/>
        </w:rPr>
        <w:t>,</w:t>
      </w:r>
      <w:r>
        <w:rPr>
          <w:rFonts w:hint="eastAsia"/>
          <w:szCs w:val="28"/>
        </w:rPr>
        <w:t>下发基层预算单位确认。</w:t>
      </w:r>
    </w:p>
    <w:p>
      <w:pPr>
        <w:ind w:firstLine="420" w:firstLineChars="200"/>
        <w:rPr>
          <w:rFonts w:ascii="宋体" w:hAnsi="宋体"/>
        </w:rPr>
      </w:pPr>
      <w:r>
        <w:rPr>
          <w:rFonts w:ascii="宋体" w:hAnsi="宋体"/>
        </w:rPr>
        <w:t>2.基层预算单位接收确认。基层预算单位对财政部门下发的人员信息进行接收，根据需要进行人员信息的补充完善后，重新计算变动金额，提交主管部门审核。</w:t>
      </w:r>
    </w:p>
    <w:p>
      <w:pPr>
        <w:ind w:firstLine="420" w:firstLineChars="200"/>
        <w:rPr>
          <w:szCs w:val="28"/>
        </w:rPr>
      </w:pPr>
      <w:r>
        <w:rPr>
          <w:rFonts w:ascii="宋体" w:hAnsi="宋体"/>
        </w:rPr>
        <w:t>3.</w:t>
      </w:r>
      <w:r>
        <w:rPr>
          <w:rFonts w:hint="eastAsia"/>
          <w:szCs w:val="28"/>
        </w:rPr>
        <w:t>部门审核。主管部门对基层预算单位报送的人员调整信息进行审核，确认无误后提交财政部门审核。</w:t>
      </w:r>
    </w:p>
    <w:p>
      <w:pPr>
        <w:ind w:firstLine="420" w:firstLineChars="200"/>
        <w:rPr>
          <w:szCs w:val="28"/>
        </w:rPr>
      </w:pPr>
      <w:r>
        <w:rPr>
          <w:rFonts w:ascii="宋体" w:hAnsi="宋体"/>
          <w:szCs w:val="28"/>
        </w:rPr>
        <w:t>4.</w:t>
      </w:r>
      <w:r>
        <w:rPr>
          <w:rFonts w:hint="eastAsia"/>
          <w:szCs w:val="28"/>
        </w:rPr>
        <w:t>财政审核。财政部门对主管部门报送的本部门人员信息表进行审核，确认无误后入库，为人员类项目预算编制和指标调整等后续环节提供支持。</w:t>
      </w:r>
    </w:p>
    <w:p>
      <w:pPr>
        <w:rPr>
          <w:rFonts w:ascii="宋体" w:hAnsi="宋体"/>
        </w:rPr>
      </w:pPr>
    </w:p>
    <w:p>
      <w:pPr>
        <w:pStyle w:val="8"/>
      </w:pPr>
      <w:r>
        <w:rPr>
          <w:rFonts w:hint="eastAsia"/>
        </w:rPr>
        <w:t>支出标准管理</w:t>
      </w:r>
    </w:p>
    <w:p>
      <w:pPr>
        <w:ind w:firstLine="420" w:firstLineChars="200"/>
        <w:rPr>
          <w:rFonts w:ascii="宋体" w:hAnsi="宋体"/>
        </w:rPr>
      </w:pPr>
      <w:r>
        <w:rPr>
          <w:rFonts w:hint="eastAsia" w:ascii="宋体" w:hAnsi="宋体" w:cs="仿宋"/>
        </w:rPr>
        <w:t>预算支出标准是指对预算事项合理分类并分别规定的支出预算编制标准。</w:t>
      </w:r>
      <w:r>
        <w:rPr>
          <w:rFonts w:hint="eastAsia"/>
        </w:rPr>
        <w:t>由财政部门会同有关部门，根据经济社会发展、国家政策变化、履职需要等情况，动态调整支出标准并在系统中维护。</w:t>
      </w:r>
      <w:r>
        <w:rPr>
          <w:rFonts w:hint="eastAsia" w:ascii="宋体" w:hAnsi="宋体"/>
        </w:rPr>
        <w:t>支出标准分为三类：法定标准、固定标准和暂定标准。</w:t>
      </w:r>
    </w:p>
    <w:p>
      <w:pPr>
        <w:ind w:firstLine="420" w:firstLineChars="200"/>
        <w:rPr>
          <w:rFonts w:ascii="宋体" w:hAnsi="宋体"/>
        </w:rPr>
      </w:pPr>
      <w:r>
        <w:rPr>
          <w:rFonts w:hint="eastAsia" w:ascii="宋体" w:hAnsi="宋体"/>
        </w:rPr>
        <w:t>支出标准的要素包括：支出标准名称、对应支出经济分类、计量单位、计算方式、支出标准值、启用状态。</w:t>
      </w:r>
    </w:p>
    <w:p>
      <w:pPr>
        <w:ind w:firstLine="420" w:firstLineChars="200"/>
        <w:rPr>
          <w:rFonts w:ascii="宋体" w:hAnsi="宋体"/>
        </w:rPr>
      </w:pPr>
      <w:r>
        <w:rPr>
          <w:rFonts w:hint="eastAsia" w:ascii="宋体" w:hAnsi="宋体" w:cs="仿宋"/>
        </w:rPr>
        <w:t>法定标准和固定标准由财政部门负责在系统内进行维护。暂定标准由各部门提出，财政部门根据需要确定是否在系统内进行维护并应用。</w:t>
      </w:r>
    </w:p>
    <w:p>
      <w:pPr>
        <w:ind w:firstLine="422" w:firstLineChars="200"/>
        <w:rPr>
          <w:rFonts w:ascii="宋体" w:hAnsi="宋体"/>
        </w:rPr>
      </w:pPr>
      <w:r>
        <w:rPr>
          <w:rFonts w:hint="eastAsia" w:ascii="宋体" w:hAnsi="宋体"/>
          <w:b/>
        </w:rPr>
        <w:t>法定标准</w:t>
      </w:r>
      <w:r>
        <w:rPr>
          <w:rFonts w:hint="eastAsia" w:ascii="宋体" w:hAnsi="宋体"/>
        </w:rPr>
        <w:t>：法律法规、财政部门文件、有关部门会同财政部门印发的文件中明确规定的、针对具体项目或经济事项的支出标准。主要包括：基本工资标准（行政参公综合管理类职务工资、职级工资、级别工资；**序列的职务工资、等级工资；事业人员的岗位工资、薪级工资）、国家规定的津贴补贴标准（特岗津贴、年中一次性奖金等）、离退休干部护理费、遗属生活困难补助费标准、已出台专门办法规定的会议费、培训费、差旅费、福利费、工会经费、车改补贴、公共交通经费等标准。</w:t>
      </w:r>
    </w:p>
    <w:p>
      <w:pPr>
        <w:ind w:firstLine="422" w:firstLineChars="200"/>
        <w:rPr>
          <w:rFonts w:ascii="宋体" w:hAnsi="宋体" w:cs="仿宋"/>
        </w:rPr>
      </w:pPr>
      <w:r>
        <w:rPr>
          <w:rFonts w:hint="eastAsia" w:ascii="宋体" w:hAnsi="宋体"/>
          <w:b/>
        </w:rPr>
        <w:t>固定标准</w:t>
      </w:r>
      <w:r>
        <w:rPr>
          <w:rFonts w:hint="eastAsia" w:ascii="宋体" w:hAnsi="宋体"/>
        </w:rPr>
        <w:t>：</w:t>
      </w:r>
      <w:r>
        <w:rPr>
          <w:rFonts w:hint="eastAsia" w:ascii="宋体" w:hAnsi="宋体" w:cs="仿宋"/>
        </w:rPr>
        <w:t>是指法律法规、财政部门文件、有关部门会同财政部门印发的文件中尚未明确规定的、由财政部门审核测算时掌握的、针对具体项目或经济事项的支出标准，主要</w:t>
      </w:r>
      <w:r>
        <w:rPr>
          <w:rFonts w:hint="eastAsia" w:ascii="宋体" w:hAnsi="宋体"/>
        </w:rPr>
        <w:t>用于核定项目整体或某项支出内容预算</w:t>
      </w:r>
      <w:r>
        <w:rPr>
          <w:rFonts w:hint="eastAsia" w:ascii="宋体" w:hAnsi="宋体" w:cs="仿宋"/>
        </w:rPr>
        <w:t>。如：人员类项目适用的行政参公人员的地方规范津补贴和目标考核奖标准、事业人员绩效工资和部门奖励基金标准、</w:t>
      </w:r>
      <w:r>
        <w:rPr>
          <w:rFonts w:hint="eastAsia" w:ascii="宋体" w:hAnsi="宋体"/>
        </w:rPr>
        <w:t>院校类事业单位生均标准、协辅警标准、</w:t>
      </w:r>
      <w:r>
        <w:rPr>
          <w:rFonts w:hint="eastAsia" w:ascii="宋体" w:hAnsi="宋体" w:cs="仿宋"/>
        </w:rPr>
        <w:t>审核测算运转类项目时按照分类分档方法所采用各类公用经费预算定额：试行标准化改革预算单位的公用经费单项定额、未试行标准化改革预算单位公用经费综合定额等。</w:t>
      </w:r>
    </w:p>
    <w:p>
      <w:pPr>
        <w:ind w:firstLine="422" w:firstLineChars="200"/>
        <w:rPr>
          <w:rFonts w:ascii="宋体" w:hAnsi="宋体" w:cs="仿宋"/>
        </w:rPr>
      </w:pPr>
      <w:r>
        <w:rPr>
          <w:rFonts w:hint="eastAsia" w:ascii="宋体" w:hAnsi="宋体" w:cs="仿宋"/>
          <w:b/>
        </w:rPr>
        <w:t>暂定标准</w:t>
      </w:r>
      <w:r>
        <w:rPr>
          <w:rFonts w:hint="eastAsia" w:ascii="宋体" w:hAnsi="宋体" w:cs="仿宋"/>
        </w:rPr>
        <w:t>：根据法定标准和固定标准暂时难以测算某个</w:t>
      </w:r>
      <w:r>
        <w:rPr>
          <w:rFonts w:hint="eastAsia" w:ascii="宋体" w:hAnsi="宋体"/>
        </w:rPr>
        <w:t>项目主要支出内容的，各部门根据工作需要和市场价格等因素申报预算，提出项目预算暂定标准。财政部门综合同类项目情况，结合财力统筹核定项目预算规模，由各部门根据核定的预算规模完善支出内容</w:t>
      </w:r>
      <w:r>
        <w:rPr>
          <w:rFonts w:hint="eastAsia" w:ascii="宋体" w:hAnsi="宋体" w:cs="仿宋"/>
        </w:rPr>
        <w:t>。主要是针对现有条件下难以统一确定支出标准的项目，如：房屋建筑物购建、基础设施建设、大型修缮、物资储备、土地补偿、安置补助、对社会保险基金补助、文物和陈列品购置等。</w:t>
      </w:r>
    </w:p>
    <w:p>
      <w:pPr>
        <w:ind w:firstLine="420" w:firstLineChars="200"/>
        <w:rPr>
          <w:rFonts w:ascii="宋体" w:hAnsi="宋体" w:cs="仿宋"/>
        </w:rPr>
      </w:pPr>
    </w:p>
    <w:p>
      <w:r>
        <w:rPr>
          <w:rFonts w:hint="eastAsia"/>
        </w:rPr>
        <w:t>业务流程说明</w:t>
      </w:r>
    </w:p>
    <w:p>
      <w:pPr>
        <w:ind w:firstLine="420" w:firstLineChars="200"/>
        <w:rPr>
          <w:szCs w:val="28"/>
        </w:rPr>
      </w:pPr>
      <w:r>
        <w:rPr>
          <w:rFonts w:ascii="宋体" w:hAnsi="宋体"/>
          <w:szCs w:val="28"/>
        </w:rPr>
        <w:t>1.</w:t>
      </w:r>
      <w:r>
        <w:rPr>
          <w:rFonts w:hint="eastAsia"/>
          <w:szCs w:val="28"/>
        </w:rPr>
        <w:t>提出暂定标准。测算某个项目主要支出内容难以应用法定标准和固定标准，各主管部门根据工作需要和市场价格等因素申报预算，提出项目预算暂定标准。财政部门根据需要维护进入系统。</w:t>
      </w:r>
    </w:p>
    <w:p>
      <w:pPr>
        <w:ind w:firstLine="420" w:firstLineChars="200"/>
        <w:rPr>
          <w:szCs w:val="28"/>
        </w:rPr>
      </w:pPr>
      <w:r>
        <w:rPr>
          <w:rFonts w:ascii="宋体" w:hAnsi="宋体"/>
          <w:szCs w:val="28"/>
        </w:rPr>
        <w:t>2.</w:t>
      </w:r>
      <w:r>
        <w:rPr>
          <w:rFonts w:hint="eastAsia"/>
          <w:szCs w:val="28"/>
        </w:rPr>
        <w:t>维护固定标准。财政部门根据项目以前年度执行等情况，可将暂定标准核定为固定标准。同时根据国家政策、社会经济发展情况、物价水平、财力状况等因素，适时调整固定标准，并在系统中动态维护。（</w:t>
      </w:r>
      <w:r>
        <w:rPr>
          <w:rFonts w:hint="eastAsia" w:ascii="宋体" w:hAnsi="宋体"/>
        </w:rPr>
        <w:t>高校生均标准、高中生均标准配置表和学生数录入表、公用经费标准化分类分档的单项标准）</w:t>
      </w:r>
    </w:p>
    <w:p>
      <w:pPr>
        <w:ind w:firstLine="420" w:firstLineChars="200"/>
        <w:rPr>
          <w:szCs w:val="28"/>
        </w:rPr>
      </w:pPr>
      <w:r>
        <w:rPr>
          <w:rFonts w:ascii="宋体" w:hAnsi="宋体"/>
          <w:szCs w:val="28"/>
        </w:rPr>
        <w:t>3.</w:t>
      </w:r>
      <w:r>
        <w:rPr>
          <w:rFonts w:hint="eastAsia"/>
          <w:szCs w:val="28"/>
        </w:rPr>
        <w:t>维护法定标准。财政部门根据国家政策、社会经济发展情况、物价水平、财力状况等因素适时调整法定标准，将正式发文的标准在系统中动态维护。</w:t>
      </w:r>
    </w:p>
    <w:p>
      <w:pPr>
        <w:ind w:firstLine="420" w:firstLineChars="200"/>
        <w:rPr>
          <w:szCs w:val="28"/>
        </w:rPr>
      </w:pPr>
    </w:p>
    <w:p>
      <w:r>
        <w:rPr>
          <w:rFonts w:hint="eastAsia"/>
        </w:rPr>
        <w:t>业务控制规则</w:t>
      </w:r>
    </w:p>
    <w:p>
      <w:pPr>
        <w:ind w:firstLine="420" w:firstLineChars="200"/>
        <w:rPr>
          <w:rFonts w:ascii="宋体" w:hAnsi="宋体" w:cs="仿宋"/>
        </w:rPr>
      </w:pPr>
      <w:r>
        <w:rPr>
          <w:rFonts w:hint="eastAsia" w:ascii="宋体" w:hAnsi="宋体" w:cs="仿宋"/>
        </w:rPr>
        <w:t>除特定情况外，法定标准既是预算编审的标准，也是预算执行的标准，执行过程中严禁超法定标准支出。固定标准和暂定标准是预算编审的标准，并作为预算执行的重要参考，执行过程中不作为支出的硬性标准。</w:t>
      </w:r>
    </w:p>
    <w:p>
      <w:pPr>
        <w:spacing w:line="360" w:lineRule="auto"/>
        <w:ind w:firstLine="420" w:firstLineChars="200"/>
        <w:rPr>
          <w:rFonts w:ascii="宋体" w:hAnsi="宋体" w:cs="仿宋"/>
        </w:rPr>
      </w:pPr>
      <w:r>
        <w:rPr>
          <w:rFonts w:hint="eastAsia" w:ascii="宋体" w:hAnsi="宋体" w:cs="仿宋"/>
        </w:rPr>
        <w:t>所有支出标准由市财政局维护一套通用标准，其他各级财政部门可以套用通用标准，也可以根据本地实际情况修改通用标准或提出自有的支出标准。</w:t>
      </w:r>
    </w:p>
    <w:p>
      <w:pPr>
        <w:spacing w:line="360" w:lineRule="auto"/>
        <w:ind w:firstLine="420" w:firstLineChars="200"/>
        <w:rPr>
          <w:rFonts w:hAnsi="宋体"/>
          <w:szCs w:val="24"/>
        </w:rPr>
      </w:pPr>
    </w:p>
    <w:p>
      <w:pPr>
        <w:pStyle w:val="8"/>
      </w:pPr>
      <w:r>
        <w:rPr>
          <w:rFonts w:hint="eastAsia"/>
        </w:rPr>
        <w:t>服务对象管理</w:t>
      </w:r>
    </w:p>
    <w:p>
      <w:pPr>
        <w:ind w:firstLine="420" w:firstLineChars="200"/>
        <w:rPr>
          <w:rFonts w:ascii="宋体" w:hAnsi="宋体"/>
          <w:szCs w:val="24"/>
        </w:rPr>
      </w:pPr>
      <w:r>
        <w:rPr>
          <w:rFonts w:hint="eastAsia" w:ascii="宋体" w:hAnsi="宋体"/>
          <w:szCs w:val="24"/>
        </w:rPr>
        <w:t>服务对象信息管理主要实现对通过互联网申报财政补助项目的服务对象（企业、个人、合作社等）相关基本信息进行增加、减少、修改、删除等功能，原则上用户操作必须经过</w:t>
      </w:r>
      <w:r>
        <w:rPr>
          <w:rFonts w:ascii="宋体" w:hAnsi="宋体"/>
          <w:szCs w:val="24"/>
        </w:rPr>
        <w:t>CA签名，并提供操作日志；特殊情况下，经相关业务处室审批，无CA用户也可以填报信息。填报的基本信息作为服务对象申报财政补助项目的依据。</w:t>
      </w:r>
    </w:p>
    <w:p>
      <w:pPr>
        <w:ind w:firstLine="420" w:firstLineChars="200"/>
        <w:rPr>
          <w:rFonts w:ascii="宋体" w:hAnsi="宋体"/>
          <w:szCs w:val="24"/>
        </w:rPr>
      </w:pPr>
      <w:r>
        <w:rPr>
          <w:rFonts w:hint="eastAsia" w:ascii="宋体" w:hAnsi="宋体"/>
          <w:szCs w:val="24"/>
        </w:rPr>
        <w:t>提供财政用户查询服务对象基本信息功能，可以追踪历史修改情况。</w:t>
      </w:r>
    </w:p>
    <w:p>
      <w:pPr>
        <w:ind w:firstLine="420" w:firstLineChars="200"/>
        <w:rPr>
          <w:rFonts w:ascii="宋体" w:hAnsi="宋体"/>
          <w:szCs w:val="24"/>
        </w:rPr>
      </w:pPr>
      <w:r>
        <w:rPr>
          <w:rFonts w:hint="eastAsia" w:ascii="宋体" w:hAnsi="宋体"/>
          <w:szCs w:val="24"/>
        </w:rPr>
        <w:t>企业的基本信息包含但不限于：企业名称，统一社会信用代码，企业类型，企业性质，企业规模，注册地址，设立时间，行业代码，银行信用等级，行业代码，经营类型，企业职工（包含姓名，身份证，年龄，学历，政治面貌，技术职称等），企业地址，法人代表，法人代表联系电话，主要负责人，主要负责人联系电话等；</w:t>
      </w:r>
    </w:p>
    <w:p>
      <w:pPr>
        <w:ind w:firstLine="420" w:firstLineChars="200"/>
        <w:rPr>
          <w:rFonts w:ascii="宋体" w:hAnsi="宋体"/>
          <w:szCs w:val="24"/>
        </w:rPr>
      </w:pPr>
      <w:r>
        <w:rPr>
          <w:rFonts w:hint="eastAsia" w:ascii="宋体" w:hAnsi="宋体"/>
          <w:szCs w:val="24"/>
        </w:rPr>
        <w:t>个人的基本信息包含但不限于：姓名，身份证，年龄，性别，民族，学历，政治面貌，技术职称，联系电话等；</w:t>
      </w:r>
    </w:p>
    <w:p>
      <w:pPr>
        <w:ind w:firstLine="420" w:firstLineChars="200"/>
        <w:rPr>
          <w:rFonts w:ascii="宋体" w:hAnsi="宋体"/>
          <w:szCs w:val="24"/>
        </w:rPr>
      </w:pPr>
      <w:r>
        <w:rPr>
          <w:rFonts w:hint="eastAsia" w:ascii="宋体" w:hAnsi="宋体"/>
          <w:szCs w:val="24"/>
        </w:rPr>
        <w:t>政府单位的基本信息包含但不限于：单位名称，统一社会信用代码，单位性质，行政级别，乡镇级别等；</w:t>
      </w:r>
    </w:p>
    <w:p>
      <w:pPr>
        <w:rPr>
          <w:szCs w:val="24"/>
        </w:rPr>
      </w:pPr>
      <w:r>
        <w:rPr>
          <w:rFonts w:hint="eastAsia" w:ascii="宋体" w:hAnsi="宋体"/>
          <w:szCs w:val="24"/>
        </w:rPr>
        <w:t>合作社除企业相关要素外，还需要提供合作社等级等。</w:t>
      </w:r>
    </w:p>
    <w:p>
      <w:pPr>
        <w:pStyle w:val="8"/>
      </w:pPr>
      <w:r>
        <w:rPr>
          <w:rFonts w:hint="eastAsia"/>
        </w:rPr>
        <w:t>专家机构管理</w:t>
      </w:r>
    </w:p>
    <w:p>
      <w:pPr>
        <w:ind w:firstLine="420" w:firstLineChars="200"/>
        <w:rPr>
          <w:rFonts w:ascii="宋体" w:hAnsi="宋体"/>
          <w:szCs w:val="24"/>
        </w:rPr>
      </w:pPr>
      <w:r>
        <w:rPr>
          <w:rFonts w:hint="eastAsia" w:hAnsi="宋体"/>
          <w:szCs w:val="24"/>
        </w:rPr>
        <w:t>建设专家库，</w:t>
      </w:r>
      <w:r>
        <w:rPr>
          <w:rFonts w:hint="eastAsia" w:ascii="宋体" w:hAnsi="宋体"/>
          <w:szCs w:val="24"/>
        </w:rPr>
        <w:t>专家管理主要负责专家信息的管理和维护，并处理专家入库申请、专家入库审核、专家选取。进入专家库的专家可以按照专长打标签。</w:t>
      </w:r>
    </w:p>
    <w:p>
      <w:pPr>
        <w:ind w:firstLine="420" w:firstLineChars="200"/>
        <w:rPr>
          <w:rFonts w:ascii="宋体" w:hAnsi="宋体"/>
          <w:szCs w:val="24"/>
        </w:rPr>
      </w:pPr>
      <w:r>
        <w:rPr>
          <w:rFonts w:hint="eastAsia" w:ascii="宋体" w:hAnsi="宋体"/>
          <w:szCs w:val="24"/>
        </w:rPr>
        <w:t>建设第三方机构库，第三方机构</w:t>
      </w:r>
      <w:r>
        <w:rPr>
          <w:rFonts w:ascii="宋体" w:hAnsi="宋体"/>
          <w:szCs w:val="24"/>
        </w:rPr>
        <w:t>管理</w:t>
      </w:r>
      <w:r>
        <w:rPr>
          <w:rFonts w:hint="eastAsia" w:ascii="宋体" w:hAnsi="宋体"/>
          <w:szCs w:val="24"/>
        </w:rPr>
        <w:t>主要是第三方机构信息的管理和维护，并处理第三方机构入库、第三方机构入库审核业务。</w:t>
      </w:r>
    </w:p>
    <w:p>
      <w:pPr>
        <w:ind w:firstLine="420"/>
        <w:rPr>
          <w:rFonts w:ascii="宋体" w:hAnsi="宋体"/>
          <w:szCs w:val="24"/>
        </w:rPr>
      </w:pPr>
      <w:r>
        <w:rPr>
          <w:rFonts w:hint="eastAsia" w:ascii="宋体" w:hAnsi="宋体"/>
          <w:szCs w:val="24"/>
        </w:rPr>
        <w:t>专家库和第三方机构库为项目评审、绩效评价、政府采购、财政监督等提供支持。</w:t>
      </w:r>
    </w:p>
    <w:p>
      <w:pPr>
        <w:rPr>
          <w:rFonts w:ascii="宋体" w:hAnsi="宋体"/>
          <w:szCs w:val="24"/>
        </w:rPr>
      </w:pPr>
    </w:p>
    <w:p>
      <w:pPr>
        <w:pStyle w:val="8"/>
      </w:pPr>
      <w:r>
        <w:rPr>
          <w:rFonts w:hint="eastAsia"/>
        </w:rPr>
        <w:t>其他基础信息管理</w:t>
      </w:r>
    </w:p>
    <w:p>
      <w:pPr>
        <w:ind w:firstLine="420" w:firstLineChars="200"/>
        <w:rPr>
          <w:rFonts w:ascii="宋体" w:hAnsi="宋体"/>
          <w:szCs w:val="24"/>
        </w:rPr>
      </w:pPr>
      <w:r>
        <w:rPr>
          <w:rFonts w:hint="eastAsia" w:ascii="宋体" w:hAnsi="宋体"/>
          <w:szCs w:val="24"/>
        </w:rPr>
        <w:t>对于其他基础数据，如资产信息、政府收支分类科目、会计科目、政府非税收入项目信息、政府采购基础信息、账户信息、财政区划、绩效指标和地方政府债券信息等，通过本模块提供标准的数据同步和数据共享接口，供其他业务模块调用。原则上，本模块基础信息由其他各业务模块维护；特殊情况下，本模块提供标准流程的修改功能。</w:t>
      </w:r>
    </w:p>
    <w:p>
      <w:pPr>
        <w:ind w:firstLine="420" w:firstLineChars="200"/>
        <w:rPr>
          <w:rFonts w:ascii="宋体" w:hAnsi="宋体"/>
          <w:szCs w:val="24"/>
        </w:rPr>
      </w:pPr>
      <w:r>
        <w:rPr>
          <w:rFonts w:hint="eastAsia" w:ascii="宋体" w:hAnsi="宋体"/>
          <w:szCs w:val="24"/>
        </w:rPr>
        <w:t>其他基础信息的数据同步和数据共享需提供灵活的权限配置功能、版本控制功能、日志记录功能，以及其他功能来保证基础信息的正确、实时、唯一等要求。</w:t>
      </w:r>
    </w:p>
    <w:p>
      <w:pPr>
        <w:ind w:firstLine="420" w:firstLineChars="200"/>
      </w:pPr>
      <w:r>
        <w:rPr>
          <w:rFonts w:hint="eastAsia"/>
        </w:rPr>
        <w:t>通过对基础信息的分类进行管理，同时设置详细的指标要素，并实现多种方式交叉组合查询、筛选、使用。</w:t>
      </w:r>
    </w:p>
    <w:p>
      <w:pPr>
        <w:pStyle w:val="8"/>
      </w:pPr>
      <w:r>
        <w:rPr>
          <w:rFonts w:hint="eastAsia"/>
        </w:rPr>
        <w:t>要素配置管理</w:t>
      </w:r>
    </w:p>
    <w:p>
      <w:pPr>
        <w:ind w:firstLine="420" w:firstLineChars="200"/>
        <w:rPr>
          <w:szCs w:val="24"/>
        </w:rPr>
      </w:pPr>
      <w:r>
        <w:rPr>
          <w:szCs w:val="24"/>
        </w:rPr>
        <w:t>*</w:t>
      </w:r>
      <w:r>
        <w:rPr>
          <w:rFonts w:hint="eastAsia"/>
          <w:szCs w:val="24"/>
        </w:rPr>
        <w:t>配置管理模块主要是一些基础要素的配置，在表层集中展示，根据用户的管理分类给予修改参数权限。配置内容包括预算单位适用的主功能科目、“三公”经费限额、人员类项目（工资、公积金、社保缴费、离退休经费等）和运转类公用经费项目的功能分类科目和经济分类科目之间的对应、公用经费各类定额配置、经济分类科目与政府采购品目对应、不同性质的人员对应的管理要素等。基础信息其他模块可以从配置管理模块中调用配置信息。</w:t>
      </w:r>
    </w:p>
    <w:p>
      <w:pPr>
        <w:ind w:firstLine="420" w:firstLineChars="200"/>
      </w:pPr>
    </w:p>
    <w:p>
      <w:pPr>
        <w:pStyle w:val="6"/>
      </w:pPr>
      <w:r>
        <w:rPr>
          <w:rFonts w:hint="eastAsia"/>
        </w:rPr>
        <w:t>（二）项目库管理</w:t>
      </w:r>
    </w:p>
    <w:p>
      <w:pPr>
        <w:pStyle w:val="69"/>
        <w:numPr>
          <w:ilvl w:val="1"/>
          <w:numId w:val="5"/>
        </w:numPr>
        <w:spacing w:before="200" w:after="200" w:line="400" w:lineRule="exact"/>
        <w:ind w:firstLineChars="0"/>
        <w:jc w:val="left"/>
        <w:outlineLvl w:val="2"/>
        <w:rPr>
          <w:rFonts w:ascii="黑体" w:hAnsi="黑体" w:eastAsia="黑体" w:cs="宋体"/>
          <w:vanish/>
          <w:sz w:val="30"/>
          <w:szCs w:val="32"/>
        </w:rPr>
      </w:pPr>
    </w:p>
    <w:p>
      <w:pPr>
        <w:pStyle w:val="7"/>
      </w:pPr>
      <w:r>
        <w:rPr>
          <w:rFonts w:hint="eastAsia"/>
        </w:rPr>
        <w:t>1. 业务概述</w:t>
      </w:r>
    </w:p>
    <w:p>
      <w:r>
        <w:rPr>
          <w:rFonts w:hint="eastAsia" w:cs="仿宋"/>
        </w:rPr>
        <w:t>项</w:t>
      </w:r>
      <w:r>
        <w:rPr>
          <w:rFonts w:hint="eastAsia"/>
        </w:rPr>
        <w:t>目库管理是预算管理的基础，预算项目是预算管理的基本单元，全部预算支出以预算项目的形式纳入项目库，实行全生命周期管理，主要分为前期谋划、项目储备、预算编制、项目实施、项目终止等阶段，全流程动态记录和反映项目信息变化情况。</w:t>
      </w:r>
    </w:p>
    <w:p>
      <w:r>
        <w:rPr>
          <w:rFonts w:hint="eastAsia"/>
        </w:rPr>
        <w:t>项目库常态化开展项目储备工作。预算编制时从预算储备项目中选取项目按顺序安排，项目实施过程中要动态记录和反映项目预算下达、预算调整调剂、预算执行等情况，项目结束和终止时要予以标记，形成项目画像和归档。项目从申报开始，与预算、指标、支付、核算、年结各个业务环节紧密衔接，项目预算情况能完整跟踪，通过系统能实现上下级项目关联，能完整看到项目全生命周期。</w:t>
      </w:r>
    </w:p>
    <w:p>
      <w:r>
        <w:rPr>
          <w:rFonts w:hint="eastAsia"/>
        </w:rPr>
        <w:t>宁波项目库根据需要分为市、县两级项目库，或市、县、乡三级项目库，转移支付项目实现上下级项目库对接，下级将上级转移支付项目的细化安排情况，在下级项目库反映。项目库包括部门项目、上级转移支付项目、对下转移支付项目和其他项目。其中，部门项目为部门、单位进行维护的项目，包括部门本级项目和部门下属单位项目；其他项目为除部门项目、上级转移支付项目、对下转移支付项目外财政部门进行维护的其他项目，包括预备费项目、部门预算待分项目、上缴上级支出项目、对附属单位补助支出项目等。</w:t>
      </w:r>
    </w:p>
    <w:p>
      <w:r>
        <w:t>项目按照预算支出性质和用途，分为人员类项目、运转类项目和特定目标类项目</w:t>
      </w:r>
      <w:r>
        <w:rPr>
          <w:rFonts w:hint="eastAsia"/>
        </w:rPr>
        <w:t>三类。人员类项目支出和运转类项目中的公用经费项目支出对应部门预算中的基本支出；其他运转类项目支出和特定目标类项目支出对应部门预算中的项目支出。</w:t>
      </w:r>
    </w:p>
    <w:p>
      <w:pPr>
        <w:pStyle w:val="7"/>
      </w:pPr>
      <w:r>
        <w:rPr>
          <w:rFonts w:hint="eastAsia"/>
        </w:rPr>
        <w:t>2. 建设内容</w:t>
      </w:r>
    </w:p>
    <w:p>
      <w:pPr>
        <w:pStyle w:val="8"/>
      </w:pPr>
      <w:r>
        <w:rPr>
          <w:rFonts w:hint="eastAsia"/>
        </w:rPr>
        <w:t>总体流程及规则</w:t>
      </w:r>
    </w:p>
    <w:p>
      <w:pPr>
        <w:ind w:firstLine="420" w:firstLineChars="200"/>
      </w:pPr>
      <w:r>
        <w:t>1.</w:t>
      </w:r>
      <w:r>
        <w:rPr>
          <w:rFonts w:hint="eastAsia" w:hAnsi="宋体"/>
        </w:rPr>
        <w:t>原则上</w:t>
      </w:r>
      <w:r>
        <w:rPr>
          <w:rFonts w:hint="eastAsia"/>
        </w:rPr>
        <w:t>项目储备从部门和单位发起，部门和单位应完成评审论证和内部审批程序后，才能将预算项目报送财政部门。财政部门审核通过的项目，作为预算储备项目，供预算编制时选取；退回修改的项目，部门和单位按照财政部门意见修改后作为预算储备项目；审核不通过的项目，不作为预算储备项目。</w:t>
      </w:r>
    </w:p>
    <w:p>
      <w:pPr>
        <w:ind w:firstLine="420" w:firstLineChars="200"/>
        <w:rPr>
          <w:szCs w:val="24"/>
        </w:rPr>
      </w:pPr>
      <w:r>
        <w:rPr>
          <w:szCs w:val="24"/>
        </w:rPr>
        <w:t>2.</w:t>
      </w:r>
      <w:r>
        <w:rPr>
          <w:rFonts w:hint="eastAsia" w:hAnsi="宋体"/>
          <w:szCs w:val="24"/>
        </w:rPr>
        <w:t>部门、单位的特定目标类项目和运转类其他运转类项目，由部门、单位结合本部门、本单位的职责和事业发展规划，提前研究谋划本部门、本单位下一年度运转类其他运转类项目及特定目标类支出需求。按照中期财政规划管理要求，参照以前年度预算安排等情况，组织项目申报，开展项目评审论证，根据评审报告和相关支出标准测算项目支出，上述项目经部门审核、财政审核后，形成预算储备项目，纳入项目库。</w:t>
      </w:r>
    </w:p>
    <w:p>
      <w:pPr>
        <w:ind w:firstLine="420" w:firstLineChars="200"/>
        <w:rPr>
          <w:szCs w:val="24"/>
        </w:rPr>
      </w:pPr>
      <w:r>
        <w:rPr>
          <w:szCs w:val="24"/>
        </w:rPr>
        <w:t>3.</w:t>
      </w:r>
      <w:r>
        <w:rPr>
          <w:rFonts w:hint="eastAsia" w:hAnsi="宋体"/>
          <w:szCs w:val="24"/>
        </w:rPr>
        <w:t>财政部门维护的特定目标类项目，包括转移支付项目、预备费项目、部门预算待分项目、债务还本项目、债务付息项目、市本级</w:t>
      </w:r>
      <w:r>
        <w:t>PPP</w:t>
      </w:r>
      <w:r>
        <w:rPr>
          <w:rFonts w:hint="eastAsia" w:hAnsi="宋体"/>
          <w:szCs w:val="24"/>
        </w:rPr>
        <w:t>项目、土地储备项目、全市债券项目等，由财政部门维护，经绩效审核后，纳入项目库作为预算储备项目。</w:t>
      </w:r>
    </w:p>
    <w:p>
      <w:pPr>
        <w:ind w:firstLine="420" w:firstLineChars="200"/>
        <w:rPr>
          <w:szCs w:val="24"/>
        </w:rPr>
      </w:pPr>
      <w:r>
        <w:rPr>
          <w:szCs w:val="24"/>
        </w:rPr>
        <w:t>4.</w:t>
      </w:r>
      <w:r>
        <w:rPr>
          <w:rFonts w:hint="eastAsia" w:hAnsi="宋体"/>
          <w:szCs w:val="24"/>
        </w:rPr>
        <w:t>项目储备维护方式，主要包括填报录入、其他系统接入等。</w:t>
      </w:r>
    </w:p>
    <w:p>
      <w:pPr>
        <w:ind w:firstLine="420" w:firstLineChars="200"/>
      </w:pPr>
      <w:r>
        <w:t>5.</w:t>
      </w:r>
      <w:r>
        <w:rPr>
          <w:rFonts w:hint="eastAsia"/>
        </w:rPr>
        <w:t>绩效目标是项目入库的前置条件，原则上，未按要求设定绩效目标或审核未通过的项目不得纳入项目库。对于新出台重大政策对应的项目需要开展事前绩效评估，评估结果作为申请入库的必要条件。</w:t>
      </w:r>
    </w:p>
    <w:p>
      <w:pPr>
        <w:ind w:firstLine="420" w:firstLineChars="200"/>
      </w:pPr>
      <w:r>
        <w:t>6.</w:t>
      </w:r>
      <w:r>
        <w:rPr>
          <w:rFonts w:hint="eastAsia"/>
        </w:rPr>
        <w:t>预算项目逐年滚动管理，经常性项目、延续性项目及当年未安排的预算储备项目，自动滚入下一年度储备。入库项目要规范、准确、完整填报相关信息，实行动态调整和定期清理。各级财政部门可根据需要自行配置部分清理规则。</w:t>
      </w:r>
    </w:p>
    <w:p>
      <w:pPr>
        <w:ind w:firstLine="420" w:firstLineChars="200"/>
      </w:pPr>
      <w:r>
        <w:t>7.</w:t>
      </w:r>
      <w:r>
        <w:rPr>
          <w:rFonts w:hint="eastAsia"/>
        </w:rPr>
        <w:t>项目申报主体分为预算单位、主管部门或其他特定单位、企业和个人等。</w:t>
      </w:r>
    </w:p>
    <w:p>
      <w:pPr>
        <w:ind w:firstLine="405"/>
      </w:pPr>
      <w:r>
        <w:t>8.</w:t>
      </w:r>
      <w:r>
        <w:rPr>
          <w:rFonts w:hint="eastAsia"/>
        </w:rPr>
        <w:t>项目申报支持主副表方式，项目元素支持关联关系和控制规则配置。</w:t>
      </w:r>
    </w:p>
    <w:p>
      <w:pPr>
        <w:ind w:firstLine="405"/>
      </w:pPr>
      <w:r>
        <w:t>9.</w:t>
      </w:r>
      <w:r>
        <w:rPr>
          <w:rFonts w:hint="eastAsia"/>
        </w:rPr>
        <w:t>实现与发改委、市自然资源和规划局、经信局、大数据等部门的项目管理系统对接。</w:t>
      </w:r>
    </w:p>
    <w:p>
      <w:r>
        <w:t>10.</w:t>
      </w:r>
      <w:r>
        <w:rPr>
          <w:rFonts w:hint="eastAsia"/>
        </w:rPr>
        <w:t>该业务涉及的要素至少涵盖《预算管理一体化要素目录》中的要素，还可根据实际情况进行扩展。</w:t>
      </w:r>
    </w:p>
    <w:p>
      <w:pPr>
        <w:pStyle w:val="8"/>
      </w:pPr>
      <w:r>
        <w:rPr>
          <w:rFonts w:hint="eastAsia"/>
        </w:rPr>
        <w:t>人员类项目</w:t>
      </w:r>
    </w:p>
    <w:p>
      <w:pPr>
        <w:spacing w:line="460" w:lineRule="exact"/>
        <w:ind w:firstLine="420" w:firstLineChars="200"/>
        <w:rPr>
          <w:rFonts w:ascii="宋体" w:hAnsi="宋体" w:cs="仿宋"/>
        </w:rPr>
      </w:pPr>
      <w:r>
        <w:rPr>
          <w:rFonts w:hint="eastAsia"/>
          <w:szCs w:val="28"/>
        </w:rPr>
        <w:t>人员类项目是指部门和单位有关人员的工资福利支出、对个人和家庭的补助支出项目。系统自动测算各部门、各单位人员类项目支出，部门、单位确认后纳入项目库作为预算储备项目。</w:t>
      </w:r>
      <w:r>
        <w:rPr>
          <w:rFonts w:hint="eastAsia" w:ascii="宋体" w:hAnsi="宋体"/>
        </w:rPr>
        <w:t>人员类项目管理遵循项目库管理的原则，以预算项目的形式纳入项目库，实行全生命周期管理</w:t>
      </w:r>
      <w:r>
        <w:rPr>
          <w:rFonts w:hint="eastAsia" w:ascii="宋体" w:hAnsi="宋体" w:cs="仿宋"/>
        </w:rPr>
        <w:t>。</w:t>
      </w:r>
    </w:p>
    <w:p>
      <w:pPr>
        <w:spacing w:line="460" w:lineRule="exact"/>
        <w:ind w:firstLine="420" w:firstLineChars="200"/>
        <w:rPr>
          <w:rFonts w:ascii="宋体" w:hAnsi="宋体" w:cs="仿宋"/>
        </w:rPr>
      </w:pPr>
      <w:r>
        <w:rPr>
          <w:rFonts w:hint="eastAsia"/>
          <w:szCs w:val="28"/>
        </w:rPr>
        <w:t>系统根据</w:t>
      </w:r>
      <w:r>
        <w:rPr>
          <w:rFonts w:hint="eastAsia" w:ascii="宋体" w:hAnsi="宋体"/>
        </w:rPr>
        <w:t>基层预算单位</w:t>
      </w:r>
      <w:r>
        <w:rPr>
          <w:rFonts w:hint="eastAsia"/>
          <w:szCs w:val="28"/>
        </w:rPr>
        <w:t>维护的</w:t>
      </w:r>
      <w:r>
        <w:rPr>
          <w:rFonts w:hint="eastAsia" w:ascii="宋体" w:hAnsi="宋体" w:cs="华文仿宋"/>
        </w:rPr>
        <w:t>单位、人员等基础信息，</w:t>
      </w:r>
      <w:r>
        <w:rPr>
          <w:rFonts w:hint="eastAsia"/>
          <w:szCs w:val="28"/>
        </w:rPr>
        <w:t>结合</w:t>
      </w:r>
      <w:r>
        <w:rPr>
          <w:rFonts w:hint="eastAsia" w:ascii="宋体" w:hAnsi="宋体" w:cs="华文仿宋"/>
        </w:rPr>
        <w:t>财政部门维护的人员类项目支出标准，</w:t>
      </w:r>
      <w:r>
        <w:rPr>
          <w:rFonts w:hint="eastAsia" w:ascii="宋体" w:hAnsi="宋体"/>
        </w:rPr>
        <w:t>系统自动生成的人员类项目。不能由人员信息和支出标准自动计算生成的项目，需要基层预算单位手工录入，完整填写项目要素，提交主管部门审核后，纳入项目库形成人员经费预算储备项目。</w:t>
      </w:r>
    </w:p>
    <w:p>
      <w:pPr>
        <w:spacing w:line="460" w:lineRule="exact"/>
        <w:ind w:firstLine="420" w:firstLineChars="200"/>
        <w:rPr>
          <w:rFonts w:ascii="宋体" w:hAnsi="宋体" w:cs="仿宋_GB2312"/>
        </w:rPr>
      </w:pPr>
    </w:p>
    <w:p>
      <w:pPr>
        <w:pStyle w:val="8"/>
      </w:pPr>
      <w:r>
        <w:rPr>
          <w:rFonts w:hint="eastAsia"/>
        </w:rPr>
        <w:t>运转类公用经费项目</w:t>
      </w:r>
    </w:p>
    <w:p>
      <w:pPr>
        <w:spacing w:line="460" w:lineRule="exact"/>
        <w:ind w:firstLine="420" w:firstLineChars="200"/>
        <w:rPr>
          <w:rFonts w:ascii="宋体" w:hAnsi="宋体" w:cs="仿宋"/>
        </w:rPr>
      </w:pPr>
      <w:r>
        <w:rPr>
          <w:rFonts w:hint="eastAsia"/>
          <w:szCs w:val="28"/>
        </w:rPr>
        <w:t>运转类公用经费项目是指部门和单位部门、单位为保障其机构自身正常运转、完成日常工作任务所发生的公用经费项目。</w:t>
      </w:r>
      <w:r>
        <w:rPr>
          <w:rFonts w:hint="eastAsia" w:ascii="宋体" w:hAnsi="宋体" w:cs="华文仿宋"/>
        </w:rPr>
        <w:t>公用经费项目按照定员定额方式管理，以人员编制、通用资产为计算对象，保障单位日常运转和基本履职需要。</w:t>
      </w:r>
      <w:r>
        <w:rPr>
          <w:rFonts w:hint="eastAsia" w:ascii="宋体" w:hAnsi="宋体"/>
        </w:rPr>
        <w:t>运转类公用经费项目管理遵循项目库管理的原则，以预算项目的形式纳入项目库，实行全生命周期管理</w:t>
      </w:r>
      <w:r>
        <w:rPr>
          <w:rFonts w:hint="eastAsia" w:ascii="宋体" w:hAnsi="宋体" w:cs="仿宋"/>
        </w:rPr>
        <w:t>。</w:t>
      </w:r>
    </w:p>
    <w:p>
      <w:pPr>
        <w:spacing w:line="460" w:lineRule="exact"/>
        <w:ind w:firstLine="420" w:firstLineChars="200"/>
        <w:rPr>
          <w:rFonts w:ascii="宋体" w:hAnsi="宋体"/>
        </w:rPr>
      </w:pPr>
      <w:r>
        <w:rPr>
          <w:rFonts w:ascii="宋体" w:hAnsi="宋体"/>
        </w:rPr>
        <w:t>1.系统根据单位类型（试行公用经费标准化的基层预算单位、</w:t>
      </w:r>
      <w:r>
        <w:rPr>
          <w:rFonts w:hint="eastAsia"/>
          <w:szCs w:val="28"/>
        </w:rPr>
        <w:t>实行公用经费综合定额的基层预算单和</w:t>
      </w:r>
      <w:r>
        <w:rPr>
          <w:rFonts w:hint="eastAsia" w:ascii="宋体" w:hAnsi="宋体"/>
        </w:rPr>
        <w:t>实行生均定额的市属高中等）自动生成的运转类公用经费项目。</w:t>
      </w:r>
    </w:p>
    <w:p>
      <w:pPr>
        <w:spacing w:line="460" w:lineRule="exact"/>
        <w:ind w:firstLine="420" w:firstLineChars="200"/>
        <w:rPr>
          <w:rFonts w:ascii="宋体" w:hAnsi="宋体"/>
        </w:rPr>
      </w:pPr>
      <w:r>
        <w:rPr>
          <w:rFonts w:ascii="宋体" w:hAnsi="宋体"/>
        </w:rPr>
        <w:t>2.实行生均定额的高等院校类事业单位和没有定额标准的其他单位，不能由系统自动计算生成的公用经费项目，需要基层预算单位填写项目要素（项目名称、项目总额、功能科目），提交主管部门审核后，纳入项目库形成公用经费预算储备项目。</w:t>
      </w:r>
    </w:p>
    <w:p>
      <w:pPr>
        <w:spacing w:line="460" w:lineRule="exact"/>
      </w:pPr>
    </w:p>
    <w:p>
      <w:pPr>
        <w:pStyle w:val="8"/>
      </w:pPr>
      <w:r>
        <w:rPr>
          <w:rFonts w:hint="eastAsia"/>
        </w:rPr>
        <w:t>其他运转类项目</w:t>
      </w:r>
    </w:p>
    <w:p>
      <w:pPr>
        <w:ind w:firstLine="420" w:firstLineChars="200"/>
        <w:rPr>
          <w:rFonts w:ascii="宋体" w:hAnsi="宋体" w:cs="华文仿宋"/>
          <w:szCs w:val="24"/>
        </w:rPr>
      </w:pPr>
      <w:r>
        <w:rPr>
          <w:rFonts w:hint="eastAsia" w:ascii="宋体" w:hAnsi="宋体" w:cs="华文仿宋"/>
          <w:szCs w:val="24"/>
        </w:rPr>
        <w:t>其他运转类项目是用于大型公用设施、大型专用设备、专业信息系统运行维护等的项目</w:t>
      </w:r>
      <w:r>
        <w:rPr>
          <w:rFonts w:hint="eastAsia" w:ascii="宋体" w:hAnsi="宋体"/>
          <w:szCs w:val="24"/>
        </w:rPr>
        <w:t>，</w:t>
      </w:r>
      <w:r>
        <w:rPr>
          <w:rFonts w:hint="eastAsia" w:ascii="宋体" w:hAnsi="宋体" w:cs="华文仿宋"/>
          <w:szCs w:val="24"/>
        </w:rPr>
        <w:t>主要以各类大型专用资产等为计算对象，保障单位管理的大型公用设施、大型专用设备、专业信息系统运行维护等方面的需要。</w:t>
      </w:r>
    </w:p>
    <w:p>
      <w:pPr>
        <w:ind w:firstLine="420" w:firstLineChars="200"/>
        <w:rPr>
          <w:rFonts w:ascii="宋体" w:hAnsi="宋体" w:cs="华文仿宋"/>
          <w:szCs w:val="24"/>
        </w:rPr>
      </w:pPr>
      <w:r>
        <w:rPr>
          <w:rFonts w:hint="eastAsia" w:ascii="宋体" w:hAnsi="宋体"/>
        </w:rPr>
        <w:t>按照项目库管理框架分为前期谋划、项目储备、预算编制、项目实施、</w:t>
      </w:r>
      <w:r>
        <w:rPr>
          <w:rFonts w:ascii="宋体" w:hAnsi="宋体" w:cs="华文仿宋"/>
          <w:szCs w:val="24"/>
        </w:rPr>
        <w:t>项目结束</w:t>
      </w:r>
      <w:r>
        <w:rPr>
          <w:rFonts w:hint="eastAsia" w:ascii="宋体" w:hAnsi="宋体" w:cs="华文仿宋"/>
          <w:szCs w:val="24"/>
        </w:rPr>
        <w:t>和终止等</w:t>
      </w:r>
      <w:r>
        <w:rPr>
          <w:rFonts w:hint="eastAsia" w:ascii="宋体" w:hAnsi="宋体"/>
        </w:rPr>
        <w:t>五个阶段</w:t>
      </w:r>
      <w:r>
        <w:rPr>
          <w:rFonts w:hint="eastAsia" w:ascii="宋体" w:hAnsi="宋体" w:cs="华文仿宋"/>
          <w:szCs w:val="24"/>
        </w:rPr>
        <w:t>。对于</w:t>
      </w:r>
      <w:r>
        <w:rPr>
          <w:rFonts w:ascii="宋体" w:hAnsi="宋体" w:cs="华文仿宋"/>
          <w:szCs w:val="24"/>
        </w:rPr>
        <w:t>项目结束</w:t>
      </w:r>
      <w:r>
        <w:rPr>
          <w:rFonts w:hint="eastAsia" w:ascii="宋体" w:hAnsi="宋体" w:cs="华文仿宋"/>
          <w:szCs w:val="24"/>
        </w:rPr>
        <w:t>和终止：其他运转类项目期限与相应的大型公用设施、大型专用设备、专业信息系统等的使用期一致，</w:t>
      </w:r>
      <w:r>
        <w:rPr>
          <w:rFonts w:hint="eastAsia" w:ascii="宋体" w:hAnsi="宋体" w:cs="仿宋_GB2312"/>
          <w:szCs w:val="24"/>
        </w:rPr>
        <w:t>单位应在项目年度预算最后一笔资金支付完成后，对项目年度预算标记“结束”</w:t>
      </w:r>
      <w:r>
        <w:rPr>
          <w:rFonts w:hint="eastAsia" w:ascii="宋体" w:hAnsi="宋体" w:cs="华文仿宋"/>
          <w:szCs w:val="24"/>
        </w:rPr>
        <w:t>；若大型公用设施、大型专用设备、专业信息系统等不再使用，项目应标记“终止”。</w:t>
      </w:r>
    </w:p>
    <w:p>
      <w:pPr>
        <w:pStyle w:val="8"/>
      </w:pPr>
      <w:r>
        <w:rPr>
          <w:rFonts w:hint="eastAsia"/>
        </w:rPr>
        <w:t>特定目标类项目</w:t>
      </w:r>
    </w:p>
    <w:p>
      <w:pPr>
        <w:ind w:firstLine="420" w:firstLineChars="200"/>
      </w:pPr>
      <w:r>
        <w:rPr>
          <w:rFonts w:hint="eastAsia"/>
        </w:rPr>
        <w:t>特定目标类项目是指部门和单位为完成其特定的工作任务和事业发展目标所发生的支出项目。除人员类项目和运转类项目外，其他预算项目作为特定目标类项目管理。特定目标类项目按申报主体主要包括预算单位申报、财政部门维护和其他企业个人申报等；按预算级次分为上级转移支付项目、本级支出项目和对下转移支付项目等；按支出性质不同主要分为政府投资项目、非政府投资项目、市本级</w:t>
      </w:r>
      <w:r>
        <w:t>PPP</w:t>
      </w:r>
      <w:r>
        <w:rPr>
          <w:rFonts w:hint="eastAsia"/>
        </w:rPr>
        <w:t>项目、土地储备项目、债券资金项目等。特定目标类项目范围应根据业务发展可扩展，申报储备模板和流程可定义。</w:t>
      </w:r>
      <w:r>
        <w:rPr>
          <w:rFonts w:hint="eastAsia" w:ascii="宋体" w:hAnsi="宋体"/>
        </w:rPr>
        <w:t>按照项目库管理框架分为前期谋划、项目储备、预算编制、项目实施、</w:t>
      </w:r>
      <w:r>
        <w:rPr>
          <w:rFonts w:ascii="宋体" w:hAnsi="宋体" w:cs="华文仿宋"/>
          <w:szCs w:val="24"/>
        </w:rPr>
        <w:t>项目结束</w:t>
      </w:r>
      <w:r>
        <w:rPr>
          <w:rFonts w:hint="eastAsia" w:ascii="宋体" w:hAnsi="宋体" w:cs="华文仿宋"/>
          <w:szCs w:val="24"/>
        </w:rPr>
        <w:t>和终止等</w:t>
      </w:r>
      <w:r>
        <w:rPr>
          <w:rFonts w:hint="eastAsia" w:ascii="宋体" w:hAnsi="宋体"/>
        </w:rPr>
        <w:t>五个阶段。</w:t>
      </w:r>
    </w:p>
    <w:p>
      <w:pPr>
        <w:ind w:firstLine="420" w:firstLineChars="200"/>
        <w:rPr>
          <w:rFonts w:ascii="宋体" w:hAnsi="宋体" w:cs="华文仿宋"/>
          <w:szCs w:val="24"/>
        </w:rPr>
      </w:pPr>
      <w:r>
        <w:rPr>
          <w:rFonts w:ascii="宋体" w:hAnsi="宋体" w:cs="华文仿宋"/>
          <w:szCs w:val="24"/>
        </w:rPr>
        <w:t>1.对于特定目标类项目中的对下级的转移支付项目，应</w:t>
      </w:r>
      <w:r>
        <w:rPr>
          <w:rFonts w:hint="eastAsia" w:ascii="宋体" w:hAnsi="宋体" w:cs="华文仿宋"/>
          <w:szCs w:val="24"/>
        </w:rPr>
        <w:t>做好上下级项目库管理工作的对接，项目的细化安排情况在下级项目库中反映。</w:t>
      </w:r>
    </w:p>
    <w:p>
      <w:pPr>
        <w:ind w:firstLine="420" w:firstLineChars="200"/>
        <w:rPr>
          <w:rFonts w:ascii="宋体" w:hAnsi="宋体"/>
          <w:szCs w:val="24"/>
        </w:rPr>
      </w:pPr>
      <w:r>
        <w:rPr>
          <w:rFonts w:ascii="宋体" w:hAnsi="宋体" w:cs="华文仿宋"/>
          <w:szCs w:val="24"/>
        </w:rPr>
        <w:t>2.</w:t>
      </w:r>
      <w:r>
        <w:rPr>
          <w:rFonts w:hint="eastAsia" w:ascii="宋体" w:hAnsi="宋体"/>
          <w:szCs w:val="24"/>
        </w:rPr>
        <w:t>具有一定收益，且能够实现预期收益与融资自求平衡的公益性项目，可以申请专项债券支持，没有收益的公益性项目和可以商业化运作的产业项目不得申请专项债券支持。申请专项债券支持的</w:t>
      </w:r>
      <w:r>
        <w:rPr>
          <w:rFonts w:hint="eastAsia" w:ascii="宋体" w:hAnsi="宋体" w:cs="华文仿宋"/>
          <w:szCs w:val="24"/>
        </w:rPr>
        <w:t>项目信息还应当包括经营期限、收益和融资平衡方案等情况。</w:t>
      </w:r>
    </w:p>
    <w:p>
      <w:pPr>
        <w:ind w:firstLine="420" w:firstLineChars="200"/>
        <w:rPr>
          <w:rFonts w:ascii="宋体" w:hAnsi="宋体" w:cs="华文仿宋"/>
          <w:szCs w:val="24"/>
        </w:rPr>
      </w:pPr>
      <w:r>
        <w:rPr>
          <w:rFonts w:ascii="宋体" w:hAnsi="宋体" w:cs="华文仿宋"/>
          <w:szCs w:val="24"/>
        </w:rPr>
        <w:t>3.</w:t>
      </w:r>
      <w:r>
        <w:rPr>
          <w:rFonts w:hint="eastAsia" w:ascii="宋体" w:hAnsi="宋体" w:cs="华文仿宋"/>
          <w:szCs w:val="24"/>
        </w:rPr>
        <w:t>对于专项债券安排的项目，项目实施单位应按照财政部门有关规定，定期将项目会计核算信息，包括项目收入、成本、还本、付息及结余等，经主管部门审核后报送财政部门。</w:t>
      </w:r>
    </w:p>
    <w:p>
      <w:pPr>
        <w:ind w:firstLine="420"/>
      </w:pPr>
      <w:r>
        <w:rPr>
          <w:rFonts w:ascii="宋体" w:hAnsi="宋体" w:cs="华文仿宋"/>
          <w:szCs w:val="24"/>
        </w:rPr>
        <w:t>4.对于政府投资项目的要求。（1）</w:t>
      </w:r>
      <w:r>
        <w:rPr>
          <w:rFonts w:hint="eastAsia"/>
        </w:rPr>
        <w:t>新增储备政府投资项目需要增加城乡建设处审核节点，并分为直接实施类、资本金注入类和其他类，同时附送项目审批、预可研、估算总投及资金来源等各类资料</w:t>
      </w:r>
      <w:r>
        <w:rPr>
          <w:rFonts w:hint="eastAsia" w:ascii="宋体" w:hAnsi="宋体" w:cs="华文仿宋"/>
          <w:szCs w:val="24"/>
        </w:rPr>
        <w:t>。（</w:t>
      </w:r>
      <w:r>
        <w:rPr>
          <w:rFonts w:ascii="宋体" w:hAnsi="宋体" w:cs="华文仿宋"/>
          <w:szCs w:val="24"/>
        </w:rPr>
        <w:t>2）</w:t>
      </w:r>
      <w:r>
        <w:rPr>
          <w:rFonts w:hint="eastAsia"/>
        </w:rPr>
        <w:t>需继续安排政府投资预算的项目信息需补录至项目库，经过主管部门审核后，一般项目由业务处室终审，较大项目由城乡建设处终审</w:t>
      </w:r>
      <w:r>
        <w:rPr>
          <w:rFonts w:hint="eastAsia" w:ascii="宋体" w:hAnsi="宋体" w:cs="华文仿宋"/>
          <w:szCs w:val="24"/>
        </w:rPr>
        <w:t>。（</w:t>
      </w:r>
      <w:r>
        <w:rPr>
          <w:rFonts w:ascii="宋体" w:hAnsi="宋体" w:cs="华文仿宋"/>
          <w:szCs w:val="24"/>
        </w:rPr>
        <w:t>3）</w:t>
      </w:r>
      <w:r>
        <w:rPr>
          <w:rFonts w:hint="eastAsia"/>
        </w:rPr>
        <w:t>已入库项目将根据项目推进情况，需要对已审核入库的数据项进行更新和修改，包括项目状态、</w:t>
      </w:r>
      <w:r>
        <w:rPr>
          <w:rFonts w:hint="eastAsia"/>
          <w:szCs w:val="32"/>
        </w:rPr>
        <w:t>项目合同执行情况和</w:t>
      </w:r>
      <w:r>
        <w:rPr>
          <w:rFonts w:hint="eastAsia"/>
        </w:rPr>
        <w:t>概算变化等，根据一般项目与较大项目分别发起流程进行审核。（</w:t>
      </w:r>
      <w:r>
        <w:t>4</w:t>
      </w:r>
      <w:r>
        <w:rPr>
          <w:rFonts w:hint="eastAsia"/>
        </w:rPr>
        <w:t>）政府投资项目除了</w:t>
      </w:r>
      <w:r>
        <w:rPr>
          <w:rFonts w:hint="eastAsia"/>
          <w:szCs w:val="32"/>
        </w:rPr>
        <w:t>项目基本情况外，还需要体现政府投资项目预算安排及支出、项目合同执行情况等信息。</w:t>
      </w:r>
    </w:p>
    <w:p>
      <w:pPr>
        <w:ind w:firstLine="420" w:firstLineChars="200"/>
        <w:rPr>
          <w:highlight w:val="yellow"/>
        </w:rPr>
      </w:pPr>
      <w:r>
        <w:t>5.PPP</w:t>
      </w:r>
      <w:r>
        <w:rPr>
          <w:rFonts w:hint="eastAsia"/>
        </w:rPr>
        <w:t>项目。系统自动从财政部</w:t>
      </w:r>
      <w:r>
        <w:t>PPP</w:t>
      </w:r>
      <w:r>
        <w:rPr>
          <w:rFonts w:hint="eastAsia"/>
        </w:rPr>
        <w:t>综合信息平台管理库“基础信息模块”中获取项目信息（包括项目名称、项目类型、总投资、合作期限、实施机构和回报机制），经</w:t>
      </w:r>
      <w:r>
        <w:t>PPP</w:t>
      </w:r>
      <w:r>
        <w:rPr>
          <w:rFonts w:hint="eastAsia"/>
        </w:rPr>
        <w:t>中心确认后提交预算局按其工作流程审核，通过后作为预算储备项目纳入预算项目库，系统自动加注“</w:t>
      </w:r>
      <w:r>
        <w:t>PPP</w:t>
      </w:r>
      <w:r>
        <w:rPr>
          <w:rFonts w:hint="eastAsia"/>
        </w:rPr>
        <w:t>项目”标识。除项目基本情况外，</w:t>
      </w:r>
      <w:r>
        <w:t>PPP</w:t>
      </w:r>
      <w:r>
        <w:rPr>
          <w:rFonts w:hint="eastAsia"/>
        </w:rPr>
        <w:t>项目还需要体现项目全生命周期预算安排及实际支出情况、合同执行过程中的调整情况、项目资产移交情况等信息。</w:t>
      </w:r>
    </w:p>
    <w:p>
      <w:pPr>
        <w:ind w:firstLine="420" w:firstLineChars="200"/>
      </w:pPr>
      <w:r>
        <w:t>PPP</w:t>
      </w:r>
      <w:r>
        <w:rPr>
          <w:rFonts w:hint="eastAsia"/>
        </w:rPr>
        <w:t>中心需要查看</w:t>
      </w:r>
      <w:r>
        <w:t>PPP</w:t>
      </w:r>
      <w:r>
        <w:rPr>
          <w:rFonts w:hint="eastAsia"/>
        </w:rPr>
        <w:t>项目预算编制情况、预算执行情况等信息的权限。</w:t>
      </w:r>
    </w:p>
    <w:p>
      <w:pPr>
        <w:ind w:firstLine="420" w:firstLineChars="200"/>
      </w:pPr>
      <w:r>
        <w:rPr>
          <w:rFonts w:hint="eastAsia"/>
        </w:rPr>
        <w:t>在</w:t>
      </w:r>
      <w:r>
        <w:t>PPP</w:t>
      </w:r>
      <w:r>
        <w:rPr>
          <w:rFonts w:hint="eastAsia"/>
        </w:rPr>
        <w:t>项目管理的预算执行、合同执行过程中的调整业务流程中，需要将项目的财政支出责任等信息导出至</w:t>
      </w:r>
      <w:r>
        <w:t>PPP</w:t>
      </w:r>
      <w:r>
        <w:rPr>
          <w:rFonts w:hint="eastAsia"/>
        </w:rPr>
        <w:t>综合信息平台相应模块。</w:t>
      </w:r>
    </w:p>
    <w:p>
      <w:pPr>
        <w:ind w:firstLine="420" w:firstLineChars="200"/>
      </w:pPr>
      <w:r>
        <w:t>6.</w:t>
      </w:r>
      <w:r>
        <w:rPr>
          <w:rFonts w:hint="eastAsia"/>
        </w:rPr>
        <w:t>土地储备项目。系统与市自然资源规划局土地储备全生命周期管理系统相衔接，获取相应项目信息和土地储备项目表格信息，包括续建项目和新增储备项目，同时全面反映项目名称、地块区位、储备期限等基本信息，以及预期土地出让收入、项目成本、收益和融资平衡方案、政府净收益等信息，并按项目统一配号、统一监管。</w:t>
      </w:r>
    </w:p>
    <w:p>
      <w:pPr>
        <w:ind w:firstLine="420" w:firstLineChars="200"/>
      </w:pPr>
      <w:r>
        <w:t xml:space="preserve">7. </w:t>
      </w:r>
      <w:r>
        <w:rPr>
          <w:rFonts w:hint="eastAsia"/>
        </w:rPr>
        <w:t>债券资金项目。填报对象为市本级、各区县（市）（含功能园区）债券资金使用单位，包括预算单位及各类国有企业等非预算单位；建立项目申报、债券需求申报、发行批次申报三级申报流程，完善债券项目库、发行备选库、债券发行库三库建设。申报新增债券需求信息应符合财政部要求，并能导入财政部地债系统。</w:t>
      </w:r>
    </w:p>
    <w:p>
      <w:pPr>
        <w:pStyle w:val="6"/>
      </w:pPr>
      <w:r>
        <w:rPr>
          <w:rFonts w:hint="eastAsia"/>
        </w:rPr>
        <w:t>（三）预算编制</w:t>
      </w:r>
    </w:p>
    <w:p>
      <w:pPr>
        <w:pStyle w:val="69"/>
        <w:numPr>
          <w:ilvl w:val="1"/>
          <w:numId w:val="5"/>
        </w:numPr>
        <w:spacing w:before="200" w:after="200" w:line="400" w:lineRule="exact"/>
        <w:ind w:firstLineChars="0"/>
        <w:jc w:val="left"/>
        <w:outlineLvl w:val="2"/>
        <w:rPr>
          <w:rFonts w:ascii="黑体" w:hAnsi="黑体" w:eastAsia="黑体" w:cs="宋体"/>
          <w:vanish/>
          <w:sz w:val="30"/>
          <w:szCs w:val="32"/>
        </w:rPr>
      </w:pPr>
    </w:p>
    <w:p>
      <w:pPr>
        <w:pStyle w:val="7"/>
        <w:numPr>
          <w:ilvl w:val="0"/>
          <w:numId w:val="6"/>
        </w:numPr>
      </w:pPr>
      <w:r>
        <w:rPr>
          <w:rFonts w:hint="eastAsia"/>
        </w:rPr>
        <w:t>政府预算</w:t>
      </w:r>
    </w:p>
    <w:p>
      <w:pPr>
        <w:pStyle w:val="8"/>
      </w:pPr>
      <w:r>
        <w:rPr>
          <w:rFonts w:hint="eastAsia"/>
        </w:rPr>
        <w:t>业务概述</w:t>
      </w:r>
    </w:p>
    <w:p>
      <w:pPr>
        <w:ind w:firstLine="420" w:firstLineChars="200"/>
      </w:pPr>
      <w:r>
        <w:rPr>
          <w:rFonts w:hint="eastAsia"/>
          <w:szCs w:val="28"/>
        </w:rPr>
        <w:t>政府预算是按照一定的法律程序编制和执行的年度财政收支计划，是政府组织和规范财政分配活动的重要工具。政府预算包括一般公共预算、政府性基金预算、国有资本经营预算、社会保险基金预算。</w:t>
      </w:r>
    </w:p>
    <w:p>
      <w:pPr>
        <w:pStyle w:val="8"/>
      </w:pPr>
      <w:r>
        <w:rPr>
          <w:rFonts w:hint="eastAsia"/>
        </w:rPr>
        <w:t>建设内容</w:t>
      </w:r>
    </w:p>
    <w:p>
      <w:pPr>
        <w:pStyle w:val="9"/>
      </w:pPr>
      <w:r>
        <w:rPr>
          <w:rFonts w:hint="eastAsia"/>
        </w:rPr>
        <w:t>一般公共预算</w:t>
      </w:r>
    </w:p>
    <w:p>
      <w:r>
        <w:rPr>
          <w:rFonts w:hint="eastAsia"/>
        </w:rPr>
        <w:t>一般公共预算由本级部门预算、转移支付预算和预备费等组成。一般公共预算支出规模控制本级部门预算支出、转移支付预算和预备费规模。转移支付预算包括一般性转移支付、专项转移支付、下级上解收入、上解上级支出、调入资金、调出资金、接受其他地区援助、援助其他地区支出、动用预算稳定调节基金、补充预算稳定调节基金等。</w:t>
      </w:r>
    </w:p>
    <w:p>
      <w:pPr>
        <w:ind w:firstLine="420"/>
      </w:pPr>
      <w:r>
        <w:rPr>
          <w:rFonts w:hint="eastAsia"/>
        </w:rPr>
        <w:t>一般公共预算收入预算包括本级一般公共预算收入（含税收收入和非税收入）、上级转移支付收入、下级上解收入、从政府性基金调入资金、从国有资本经营预算调入资金、其他调入资金、动用预算稳定调节基金、债务收入及债务转贷收入、上年结转收入等。一般公共预算支出预算包括本级一般公共预算支出、上解上级支出、对下级的税收返还和转移支付支出、债务转贷支出、债务还本支出、补充预算稳定调节基金等。</w:t>
      </w:r>
    </w:p>
    <w:p>
      <w:pPr>
        <w:ind w:firstLine="420"/>
      </w:pPr>
      <w:r>
        <w:rPr>
          <w:rFonts w:hint="eastAsia"/>
        </w:rPr>
        <w:t>财政部门将政府预算收入项目维护进项目库（或采用收入预算按报表管理，将政府预算收入进行维护，形成收入预算表），挑选列入预算并细化编制或汇总生成收入项目预算表。财政部门对列入预算的收入项目和支出项目进行审核确认后，汇总生成政府预算。主要包括：编制财政代编预算、财政审核、生成政府预算等流程。</w:t>
      </w:r>
    </w:p>
    <w:p>
      <w:pPr>
        <w:ind w:firstLine="420" w:firstLineChars="200"/>
        <w:rPr>
          <w:szCs w:val="28"/>
        </w:rPr>
      </w:pPr>
      <w:r>
        <w:rPr>
          <w:rFonts w:hint="eastAsia"/>
          <w:szCs w:val="28"/>
        </w:rPr>
        <w:t>（</w:t>
      </w:r>
      <w:r>
        <w:rPr>
          <w:szCs w:val="28"/>
        </w:rPr>
        <w:t>1</w:t>
      </w:r>
      <w:r>
        <w:rPr>
          <w:rFonts w:hint="eastAsia"/>
          <w:szCs w:val="28"/>
        </w:rPr>
        <w:t>）政府预算支出规模决定转移支付预算支出规模、本级部门预算支出规模和预备费支出规模。</w:t>
      </w:r>
    </w:p>
    <w:p>
      <w:pPr>
        <w:ind w:firstLine="420" w:firstLineChars="200"/>
        <w:rPr>
          <w:szCs w:val="28"/>
        </w:rPr>
      </w:pPr>
      <w:r>
        <w:rPr>
          <w:rFonts w:hint="eastAsia"/>
          <w:szCs w:val="28"/>
        </w:rPr>
        <w:t>（</w:t>
      </w:r>
      <w:r>
        <w:rPr>
          <w:szCs w:val="28"/>
        </w:rPr>
        <w:t>2</w:t>
      </w:r>
      <w:r>
        <w:rPr>
          <w:rFonts w:hint="eastAsia"/>
          <w:szCs w:val="28"/>
        </w:rPr>
        <w:t>）下级编制转移支付预算时，原则上按照上级提前下达的预计数编列转移支付预算收入。</w:t>
      </w:r>
    </w:p>
    <w:p>
      <w:pPr>
        <w:ind w:firstLine="420" w:firstLineChars="200"/>
        <w:rPr>
          <w:szCs w:val="28"/>
        </w:rPr>
      </w:pPr>
      <w:r>
        <w:rPr>
          <w:rFonts w:hint="eastAsia"/>
          <w:szCs w:val="28"/>
        </w:rPr>
        <w:t>（</w:t>
      </w:r>
      <w:r>
        <w:rPr>
          <w:szCs w:val="28"/>
        </w:rPr>
        <w:t>3</w:t>
      </w:r>
      <w:r>
        <w:rPr>
          <w:rFonts w:hint="eastAsia"/>
          <w:szCs w:val="28"/>
        </w:rPr>
        <w:t>）一般公共预算要遵循量入为出、收支平衡的原则，除预算法规定的情形外，不列赤字</w:t>
      </w:r>
    </w:p>
    <w:p>
      <w:pPr>
        <w:ind w:firstLine="420" w:firstLineChars="200"/>
        <w:rPr>
          <w:szCs w:val="28"/>
        </w:rPr>
      </w:pPr>
      <w:r>
        <w:rPr>
          <w:rFonts w:hint="eastAsia"/>
          <w:szCs w:val="28"/>
        </w:rPr>
        <w:t>（</w:t>
      </w:r>
      <w:r>
        <w:rPr>
          <w:szCs w:val="28"/>
        </w:rPr>
        <w:t>4</w:t>
      </w:r>
      <w:r>
        <w:rPr>
          <w:rFonts w:hint="eastAsia"/>
          <w:szCs w:val="28"/>
        </w:rPr>
        <w:t>）确保所有一般公共预算支出有对应的资金来源，无资金来源的不安排支出。</w:t>
      </w:r>
    </w:p>
    <w:p>
      <w:pPr>
        <w:ind w:firstLine="420" w:firstLineChars="200"/>
        <w:rPr>
          <w:szCs w:val="28"/>
        </w:rPr>
      </w:pPr>
      <w:r>
        <w:rPr>
          <w:rFonts w:hint="eastAsia"/>
          <w:szCs w:val="28"/>
        </w:rPr>
        <w:t>（</w:t>
      </w:r>
      <w:r>
        <w:rPr>
          <w:szCs w:val="28"/>
        </w:rPr>
        <w:t>5</w:t>
      </w:r>
      <w:r>
        <w:rPr>
          <w:rFonts w:hint="eastAsia"/>
          <w:szCs w:val="28"/>
        </w:rPr>
        <w:t>）一般公共预算按照政府收支分类科目编制，收入按收入分类编制到款级科目；支出按支出功能分类编制到项级科目，按支出经济分类编制到款级科目。</w:t>
      </w:r>
    </w:p>
    <w:p>
      <w:pPr>
        <w:ind w:firstLine="420" w:firstLineChars="200"/>
        <w:rPr>
          <w:szCs w:val="28"/>
        </w:rPr>
      </w:pPr>
      <w:r>
        <w:rPr>
          <w:rFonts w:hint="eastAsia"/>
          <w:szCs w:val="28"/>
        </w:rPr>
        <w:t>（</w:t>
      </w:r>
      <w:r>
        <w:rPr>
          <w:szCs w:val="28"/>
        </w:rPr>
        <w:t>6</w:t>
      </w:r>
      <w:r>
        <w:rPr>
          <w:rFonts w:hint="eastAsia"/>
          <w:szCs w:val="28"/>
        </w:rPr>
        <w:t>）上级编列的下级上解收入预算应与下级编列的上解上级支出预算的汇总数相等，如时间不允许，则可暂时科学合理预计，待预算年度开始后第一次编制预算调整方案时，将下级上解收入预算数调整为与下级编列的上解上级支出预算的汇总数相等。</w:t>
      </w:r>
    </w:p>
    <w:p>
      <w:pPr>
        <w:ind w:firstLine="420" w:firstLineChars="200"/>
        <w:rPr>
          <w:szCs w:val="28"/>
        </w:rPr>
      </w:pPr>
      <w:r>
        <w:rPr>
          <w:rFonts w:hint="eastAsia"/>
          <w:szCs w:val="28"/>
        </w:rPr>
        <w:t>（</w:t>
      </w:r>
      <w:r>
        <w:rPr>
          <w:szCs w:val="28"/>
        </w:rPr>
        <w:t>7</w:t>
      </w:r>
      <w:r>
        <w:rPr>
          <w:rFonts w:hint="eastAsia"/>
          <w:szCs w:val="28"/>
        </w:rPr>
        <w:t>）从政府性基金调入一般公共预算的资金，调入金额与政府性基金预算的调出金额相等。</w:t>
      </w:r>
    </w:p>
    <w:p>
      <w:pPr>
        <w:ind w:firstLine="420" w:firstLineChars="200"/>
        <w:rPr>
          <w:szCs w:val="28"/>
        </w:rPr>
      </w:pPr>
      <w:r>
        <w:rPr>
          <w:rFonts w:hint="eastAsia"/>
          <w:szCs w:val="28"/>
        </w:rPr>
        <w:t>（</w:t>
      </w:r>
      <w:r>
        <w:rPr>
          <w:szCs w:val="28"/>
        </w:rPr>
        <w:t>8</w:t>
      </w:r>
      <w:r>
        <w:rPr>
          <w:rFonts w:hint="eastAsia"/>
          <w:szCs w:val="28"/>
        </w:rPr>
        <w:t>）从国有资本经营预算调入一般公共预算的资金，调入金额应与国有资本经营预算的调出金额相等。</w:t>
      </w:r>
    </w:p>
    <w:p>
      <w:pPr>
        <w:ind w:firstLine="420" w:firstLineChars="200"/>
        <w:rPr>
          <w:szCs w:val="28"/>
        </w:rPr>
      </w:pPr>
      <w:r>
        <w:rPr>
          <w:rFonts w:hint="eastAsia"/>
          <w:szCs w:val="28"/>
        </w:rPr>
        <w:t>（</w:t>
      </w:r>
      <w:r>
        <w:rPr>
          <w:szCs w:val="28"/>
        </w:rPr>
        <w:t>9</w:t>
      </w:r>
      <w:r>
        <w:rPr>
          <w:rFonts w:hint="eastAsia"/>
          <w:szCs w:val="28"/>
        </w:rPr>
        <w:t>）在中央下达的本地区债务限额内编列债务收入，不得超过中央下达的限额。</w:t>
      </w:r>
    </w:p>
    <w:p>
      <w:pPr>
        <w:ind w:firstLine="420" w:firstLineChars="200"/>
        <w:rPr>
          <w:szCs w:val="28"/>
        </w:rPr>
      </w:pPr>
      <w:r>
        <w:rPr>
          <w:rFonts w:hint="eastAsia"/>
          <w:szCs w:val="28"/>
        </w:rPr>
        <w:t>（</w:t>
      </w:r>
      <w:r>
        <w:rPr>
          <w:szCs w:val="28"/>
        </w:rPr>
        <w:t>10</w:t>
      </w:r>
      <w:r>
        <w:rPr>
          <w:rFonts w:hint="eastAsia"/>
          <w:szCs w:val="28"/>
        </w:rPr>
        <w:t>）一般公共预算所有支出均按项目进行全生命周期管理，纳入项目库。</w:t>
      </w:r>
    </w:p>
    <w:p>
      <w:pPr>
        <w:ind w:firstLine="420" w:firstLineChars="200"/>
        <w:rPr>
          <w:szCs w:val="28"/>
        </w:rPr>
      </w:pPr>
      <w:r>
        <w:rPr>
          <w:rFonts w:hint="eastAsia"/>
          <w:szCs w:val="28"/>
        </w:rPr>
        <w:t>（</w:t>
      </w:r>
      <w:r>
        <w:rPr>
          <w:szCs w:val="28"/>
        </w:rPr>
        <w:t>11</w:t>
      </w:r>
      <w:r>
        <w:rPr>
          <w:rFonts w:hint="eastAsia"/>
          <w:szCs w:val="28"/>
        </w:rPr>
        <w:t>）在中央下达的本地区债务额度内编列专项债务收入，不得超过中央下达的额度。</w:t>
      </w:r>
    </w:p>
    <w:p>
      <w:pPr>
        <w:ind w:firstLine="420" w:firstLineChars="200"/>
        <w:rPr>
          <w:szCs w:val="28"/>
        </w:rPr>
      </w:pPr>
      <w:r>
        <w:rPr>
          <w:rFonts w:hint="eastAsia"/>
          <w:szCs w:val="28"/>
        </w:rPr>
        <w:t>（</w:t>
      </w:r>
      <w:r>
        <w:rPr>
          <w:szCs w:val="28"/>
        </w:rPr>
        <w:t>12</w:t>
      </w:r>
      <w:r>
        <w:rPr>
          <w:rFonts w:hint="eastAsia"/>
          <w:szCs w:val="28"/>
        </w:rPr>
        <w:t>）上级编列的债务转贷支出应与下级编列的债务转贷收入保持一致。</w:t>
      </w:r>
    </w:p>
    <w:p>
      <w:pPr>
        <w:ind w:firstLine="420" w:firstLineChars="200"/>
        <w:rPr>
          <w:szCs w:val="28"/>
        </w:rPr>
      </w:pPr>
      <w:r>
        <w:rPr>
          <w:rFonts w:hint="eastAsia"/>
          <w:szCs w:val="28"/>
        </w:rPr>
        <w:t>政府预算编制需要实现以下报表（包括但不限于）：《一般公共预算收支预算总表》《一般公共预算本级收入预算表》《一般公共预算上级补助收入预算表》《一般公共预算本级支出预算表》《一般公共预算本级支出预算支出功能分类明细表》《一般公共预算本级支出预算政府支出经济分类明细表》和《一般公共预算“三公”经费预算表》。</w:t>
      </w:r>
    </w:p>
    <w:p>
      <w:pPr>
        <w:pStyle w:val="9"/>
      </w:pPr>
      <w:r>
        <w:rPr>
          <w:rFonts w:hint="eastAsia"/>
        </w:rPr>
        <w:t>政府性基金预算</w:t>
      </w:r>
    </w:p>
    <w:p>
      <w:pPr>
        <w:ind w:firstLine="420"/>
      </w:pPr>
      <w:r>
        <w:rPr>
          <w:rFonts w:hint="eastAsia"/>
        </w:rPr>
        <w:t>政府预算是按照一定的法律程序编制和执行的年度财政收支计划，是政府组织和规范财政分配活动的重要工具。政府性基金预算属于政府预算的一部分，是对依照法律、行政法规的规定在一定期限内向特定对象征收、收取或者以其他方式筹集的资金，专项用于特定公共事业发展的收支预算，包括参照政府性基金管理或列入基金预算、具有特定用途的专项债券等财政资金。</w:t>
      </w:r>
    </w:p>
    <w:p>
      <w:pPr>
        <w:ind w:firstLine="420" w:firstLineChars="200"/>
      </w:pPr>
      <w:r>
        <w:rPr>
          <w:rFonts w:hint="eastAsia"/>
        </w:rPr>
        <w:t>政府性基金预算收入预算包括本级政府性基金收入、上级转移支付收入、债务收入及债务转贷收入、下级上解收入、上年结转收入等。政府性基金预算支出预算包括本级政府性基金预算支出、对下级转移支付支出、债务转贷支出、债务还本支出、调出资金、上解上级支出等。</w:t>
      </w:r>
    </w:p>
    <w:p>
      <w:r>
        <w:rPr>
          <w:rFonts w:hint="eastAsia"/>
        </w:rPr>
        <w:t>（一）政府性基金收入预算编制流程</w:t>
      </w:r>
    </w:p>
    <w:p>
      <w:pPr>
        <w:ind w:firstLine="412"/>
      </w:pPr>
      <w:r>
        <w:t>1.</w:t>
      </w:r>
      <w:r>
        <w:rPr>
          <w:rFonts w:hint="eastAsia"/>
        </w:rPr>
        <w:t>本级政府性基金收入，按部门预算编制中部门填报的政府性基金收入，以及市自然资源和规划局提供的土地出让收入，由财政部门根据历年基金收入征收情况，结合本年收入项目、标准等因素变化情况，科学预测编制。直接向部门预算取数。</w:t>
      </w:r>
    </w:p>
    <w:p>
      <w:pPr>
        <w:ind w:firstLine="412"/>
      </w:pPr>
      <w:r>
        <w:t>2.</w:t>
      </w:r>
      <w:r>
        <w:rPr>
          <w:rFonts w:hint="eastAsia"/>
        </w:rPr>
        <w:t>上级转移支付收入，按照按上级提前下达的转移支付预计数编列。直接向转移支付预算取数。</w:t>
      </w:r>
    </w:p>
    <w:p>
      <w:pPr>
        <w:ind w:firstLine="412"/>
      </w:pPr>
      <w:r>
        <w:t>3.</w:t>
      </w:r>
      <w:r>
        <w:rPr>
          <w:rFonts w:hint="eastAsia"/>
        </w:rPr>
        <w:t>政府专项债务收入应当在中央下达的本地区政府专项债务限额内根据需要编列，包括增加举借的政府专项债务收入和偿还本金的政府专项债务收入。</w:t>
      </w:r>
    </w:p>
    <w:p>
      <w:pPr>
        <w:ind w:firstLine="420"/>
      </w:pPr>
      <w:r>
        <w:t>4.</w:t>
      </w:r>
      <w:r>
        <w:rPr>
          <w:rFonts w:hint="eastAsia"/>
        </w:rPr>
        <w:t>政府专项债务转贷收入应当在上级下达的本地区专项债务限额内根据需要编列，与上级编列的政府专项债务转贷支出原则上保持一致，应当在政府性基金预算收入合计线下反映。</w:t>
      </w:r>
    </w:p>
    <w:p>
      <w:pPr>
        <w:ind w:firstLine="420"/>
      </w:pPr>
      <w:r>
        <w:t>5.</w:t>
      </w:r>
      <w:r>
        <w:rPr>
          <w:rFonts w:hint="eastAsia"/>
        </w:rPr>
        <w:t>下级上解收入，财政部门根据政策文件、上年度上解收入等测算编列。同时，上级应将分地区上解数告知下级。</w:t>
      </w:r>
    </w:p>
    <w:p>
      <w:pPr>
        <w:ind w:firstLine="420"/>
      </w:pPr>
      <w:r>
        <w:t>6.</w:t>
      </w:r>
      <w:r>
        <w:rPr>
          <w:rFonts w:hint="eastAsia"/>
        </w:rPr>
        <w:t>调入资金按照从其他预算调入政府性基金预算的资金数额编列。</w:t>
      </w:r>
    </w:p>
    <w:p>
      <w:pPr>
        <w:ind w:firstLine="420"/>
      </w:pPr>
      <w:r>
        <w:t>7.</w:t>
      </w:r>
      <w:r>
        <w:rPr>
          <w:rFonts w:hint="eastAsia"/>
        </w:rPr>
        <w:t>上年结转收入，财政部门根据预算执行情况等合理预计编列。待年度结束以后，根据对执行的审核结果，财政部门相应调整上年结转收入。</w:t>
      </w:r>
    </w:p>
    <w:p>
      <w:pPr>
        <w:ind w:firstLine="412"/>
      </w:pPr>
      <w:r>
        <w:rPr>
          <w:rFonts w:hint="eastAsia"/>
        </w:rPr>
        <w:t>（二）政府性基金支出预算编制流程</w:t>
      </w:r>
    </w:p>
    <w:p>
      <w:pPr>
        <w:ind w:firstLine="420"/>
      </w:pPr>
      <w:r>
        <w:t>1.</w:t>
      </w:r>
      <w:r>
        <w:rPr>
          <w:rFonts w:hint="eastAsia"/>
        </w:rPr>
        <w:t>本级政府性基金支出和对下级转移支付支出，按照部门预算和转移支付预算编制数填列，政府预算项目原则上和部门预算项目、转移支付项目保持一致，暂无法分解到具体实施项目、实施单位、地区的，编入财政待分配项目（包括部门预算待分配项目、转移支付待分配项目），执行中细化分解为具体实施项目、实施单位、地区。</w:t>
      </w:r>
    </w:p>
    <w:p>
      <w:pPr>
        <w:ind w:firstLine="420"/>
      </w:pPr>
      <w:r>
        <w:t>2.</w:t>
      </w:r>
      <w:r>
        <w:rPr>
          <w:rFonts w:hint="eastAsia"/>
        </w:rPr>
        <w:t>政府性基金调出资金，按照与预算统筹平衡情况编制。</w:t>
      </w:r>
    </w:p>
    <w:p>
      <w:pPr>
        <w:ind w:firstLine="420"/>
      </w:pPr>
      <w:r>
        <w:t>3.</w:t>
      </w:r>
      <w:r>
        <w:rPr>
          <w:rFonts w:hint="eastAsia"/>
        </w:rPr>
        <w:t>上解上级支出。对于上级已明确的上解支出政策及金额，下级必须如实编列；对于上级已明确上解支出政策，但未明确金额的，下级在编制预算前，应与上级充分沟通，结合上级告知的上解数科学合理预计。</w:t>
      </w:r>
    </w:p>
    <w:p>
      <w:pPr>
        <w:ind w:firstLine="420"/>
      </w:pPr>
      <w:r>
        <w:t>4.</w:t>
      </w:r>
      <w:r>
        <w:rPr>
          <w:rFonts w:hint="eastAsia"/>
        </w:rPr>
        <w:t>政府专项债务还本支出应当根据当年到期政府专项债务规模、政府性基金财力、调入专项收入等因素合理预计、妥善安排。</w:t>
      </w:r>
    </w:p>
    <w:p>
      <w:pPr>
        <w:ind w:firstLine="420" w:firstLineChars="200"/>
      </w:pPr>
      <w:r>
        <w:t>5.</w:t>
      </w:r>
      <w:r>
        <w:rPr>
          <w:rFonts w:hint="eastAsia"/>
        </w:rPr>
        <w:t>政府专项债务转贷支出根据上级下达的债务限额和下级的需求编列。</w:t>
      </w:r>
    </w:p>
    <w:p>
      <w:pPr>
        <w:ind w:firstLine="420" w:firstLineChars="200"/>
      </w:pPr>
    </w:p>
    <w:p>
      <w:pPr>
        <w:pStyle w:val="9"/>
      </w:pPr>
      <w:r>
        <w:rPr>
          <w:rFonts w:hint="eastAsia"/>
        </w:rPr>
        <w:t>国有资本经营预算</w:t>
      </w:r>
    </w:p>
    <w:p>
      <w:pPr>
        <w:ind w:firstLine="420" w:firstLineChars="200"/>
      </w:pPr>
      <w:r>
        <w:rPr>
          <w:rFonts w:hint="eastAsia"/>
        </w:rPr>
        <w:t>市属相关企业要严格按照规定的预算编制格式和编制方法，详细编制收支计划。详细编制支出项目计划，填报项目申报书。对支出项目计划要提供政策依据，资本性支出项目要报送可行性论证报告。</w:t>
      </w:r>
    </w:p>
    <w:p>
      <w:pPr>
        <w:ind w:firstLine="420" w:firstLineChars="200"/>
      </w:pPr>
      <w:r>
        <w:rPr>
          <w:rFonts w:hint="eastAsia"/>
        </w:rPr>
        <w:t>市级预算单位审核市属（一级）国有企业上报的材料，审核提出所属部门的国有资本收支预算并撰写预算编制说明，具体内容包括：预算收支规模、预算编制的主要依据；项目绩效考核及其有关责任的落实；预算资金支出重点，对申报项目的排序；预算编制工作情况等，另外详细说明每项支出预算数据的测算过程，对于一些需要特别说明的事项，应作出重点说明。市级预算单位按要求将有关材料报送市财政局相关业务处室，具体包括：书面报告；宁波市级预算单位国有资本经营预算表；编制说明；项目申报书及项目可行性报告；绩效目标；其他需要提供的说明材料。</w:t>
      </w:r>
    </w:p>
    <w:p>
      <w:pPr>
        <w:ind w:firstLine="420" w:firstLineChars="200"/>
      </w:pPr>
      <w:r>
        <w:rPr>
          <w:rFonts w:hint="eastAsia"/>
        </w:rPr>
        <w:t>市财政局相关业务处室对市预算单位上报的预算建议草案进行审核，由经济发展处汇总报局领导审定，在综合平衡后编制国有资本经营预算草案报预算局审核汇总，经市政府审定后报市人大。预算草案经市人代会通过后，市财政局在二十日内批复市预算单位；市预算单位在十五日内将预算批复到所监管企业，同时抄报市财政局备案。</w:t>
      </w:r>
    </w:p>
    <w:p>
      <w:r>
        <w:rPr>
          <w:rFonts w:hint="eastAsia"/>
        </w:rPr>
        <w:t>市预算单位提出本部门国有资本经营支出预算项目的绩效目标。</w:t>
      </w:r>
    </w:p>
    <w:p>
      <w:pPr>
        <w:pStyle w:val="9"/>
      </w:pPr>
      <w:r>
        <w:rPr>
          <w:rFonts w:hint="eastAsia"/>
        </w:rPr>
        <w:t>社会保险基金预算</w:t>
      </w:r>
    </w:p>
    <w:p>
      <w:pPr>
        <w:ind w:firstLine="420" w:firstLineChars="200"/>
      </w:pPr>
      <w:r>
        <w:rPr>
          <w:rFonts w:hint="eastAsia"/>
        </w:rPr>
        <w:t>我市使用财政部及省厅统一的社保基金预决算管理系统（</w:t>
      </w:r>
      <w:r>
        <w:t>RMIS</w:t>
      </w:r>
      <w:r>
        <w:rPr>
          <w:rFonts w:hint="eastAsia"/>
        </w:rPr>
        <w:t>网络版系统），按部、省的工作要求在我市“智慧财政”信息系统中预留充足的接口。将</w:t>
      </w:r>
      <w:r>
        <w:t>RMIS</w:t>
      </w:r>
      <w:r>
        <w:rPr>
          <w:rFonts w:hint="eastAsia"/>
        </w:rPr>
        <w:t>网络版系统导出的社保基金系列数据信息导入“智慧财政”信息系统，在“智慧财政”信息系统中自动生成供我局全面掌握基金预算执行情况数据表及上会的基金预决算数据和分析材料初稿。</w:t>
      </w:r>
    </w:p>
    <w:p>
      <w:pPr>
        <w:ind w:firstLine="420"/>
      </w:pPr>
      <w:r>
        <w:rPr>
          <w:rFonts w:hint="eastAsia"/>
        </w:rPr>
        <w:t>具体需生成的基金预决算数据和分析材料有：</w:t>
      </w:r>
    </w:p>
    <w:p>
      <w:pPr>
        <w:ind w:firstLine="420"/>
      </w:pPr>
      <w:r>
        <w:t>1</w:t>
      </w:r>
      <w:r>
        <w:rPr>
          <w:rFonts w:hint="eastAsia"/>
        </w:rPr>
        <w:t>、季度社保基金预算收入执行情况表。分为总表、基金收入、基金支出等</w:t>
      </w:r>
      <w:r>
        <w:t>3</w:t>
      </w:r>
      <w:r>
        <w:rPr>
          <w:rFonts w:hint="eastAsia"/>
        </w:rPr>
        <w:t>张表，取数自</w:t>
      </w:r>
      <w:r>
        <w:t>RIMS</w:t>
      </w:r>
      <w:r>
        <w:rPr>
          <w:rFonts w:hint="eastAsia"/>
        </w:rPr>
        <w:t>系统导出的当年度社保基金预算执行情况任务中季度数据，并实现按全大市汇总、分地区，分期间等查询条件进行查询统计，可供市局和各县区局统计使用。</w:t>
      </w:r>
    </w:p>
    <w:p>
      <w:pPr>
        <w:ind w:firstLine="420"/>
      </w:pPr>
      <w:r>
        <w:t>2</w:t>
      </w:r>
      <w:r>
        <w:rPr>
          <w:rFonts w:hint="eastAsia"/>
        </w:rPr>
        <w:t>、上半年社保基金预算执行情况表。分为半年度全市社保收入执行情况表、全市社保支出执行情况表、市级社保收入执行情况表、市级社保支出执行情况表等</w:t>
      </w:r>
      <w:r>
        <w:t>4</w:t>
      </w:r>
      <w:r>
        <w:rPr>
          <w:rFonts w:hint="eastAsia"/>
        </w:rPr>
        <w:t>张表，取数自</w:t>
      </w:r>
      <w:r>
        <w:t>RIMS</w:t>
      </w:r>
      <w:r>
        <w:rPr>
          <w:rFonts w:hint="eastAsia"/>
        </w:rPr>
        <w:t>系统导出的当年度社保基金预算执行情况任务中前二季度数据。</w:t>
      </w:r>
    </w:p>
    <w:p>
      <w:pPr>
        <w:ind w:firstLine="420"/>
      </w:pPr>
      <w:r>
        <w:t>3</w:t>
      </w:r>
      <w:r>
        <w:rPr>
          <w:rFonts w:hint="eastAsia"/>
        </w:rPr>
        <w:t>、年度社会保险基金预算表、社保基金预算执行及编制情况的分析说明。</w:t>
      </w:r>
    </w:p>
    <w:p>
      <w:pPr>
        <w:ind w:firstLine="420" w:firstLineChars="200"/>
      </w:pPr>
      <w:r>
        <w:t>4</w:t>
      </w:r>
      <w:r>
        <w:rPr>
          <w:rFonts w:hint="eastAsia"/>
        </w:rPr>
        <w:t>、年度社保基金决算表、社保基金决算草案和编制说明。由上一年度的基金收支情况表组成，分为全市和市级两套，共</w:t>
      </w:r>
      <w:r>
        <w:t>4</w:t>
      </w:r>
      <w:r>
        <w:rPr>
          <w:rFonts w:hint="eastAsia"/>
        </w:rPr>
        <w:t>张，具体有：全市社会保险基金预算收入决算表（表</w:t>
      </w:r>
      <w:r>
        <w:t>1</w:t>
      </w:r>
      <w:r>
        <w:rPr>
          <w:rFonts w:hint="eastAsia"/>
        </w:rPr>
        <w:t>）、全市社会保险基金预算支出决算表（表</w:t>
      </w:r>
      <w:r>
        <w:t>2</w:t>
      </w:r>
      <w:r>
        <w:rPr>
          <w:rFonts w:hint="eastAsia"/>
        </w:rPr>
        <w:t>）、市级社会保险基金预算收入决算表（表</w:t>
      </w:r>
      <w:r>
        <w:t>3</w:t>
      </w:r>
      <w:r>
        <w:rPr>
          <w:rFonts w:hint="eastAsia"/>
        </w:rPr>
        <w:t>）、市级社会保险基金预算支出决算表（表</w:t>
      </w:r>
      <w:r>
        <w:t>4</w:t>
      </w:r>
      <w:r>
        <w:rPr>
          <w:rFonts w:hint="eastAsia"/>
        </w:rPr>
        <w:t>）等。</w:t>
      </w:r>
    </w:p>
    <w:p>
      <w:pPr>
        <w:pStyle w:val="7"/>
      </w:pPr>
      <w:r>
        <w:rPr>
          <w:rFonts w:hint="eastAsia"/>
        </w:rPr>
        <w:t>2. 部门预算</w:t>
      </w:r>
    </w:p>
    <w:p>
      <w:pPr>
        <w:pStyle w:val="8"/>
      </w:pPr>
      <w:r>
        <w:rPr>
          <w:rFonts w:hint="eastAsia"/>
        </w:rPr>
        <w:t>业务概述</w:t>
      </w:r>
    </w:p>
    <w:p>
      <w:pPr>
        <w:ind w:firstLine="420" w:firstLineChars="200"/>
      </w:pPr>
      <w:r>
        <w:rPr>
          <w:rFonts w:hint="eastAsia"/>
        </w:rPr>
        <w:t>各部门预算由本部门及其所属各单位预算组成，单位预算是部门预算的组成部分。各单位按照年度部门预算编制要求，在预算编制阶段，负责编制本单位收入和支出预算建议，按规定报送主管部门。部门审核汇总各单位预算，编制形成部门预算建议，在规定时间内报送财政部门。财政部门对部门提出的预算项目和预算建议进行审核，确定预算“一下”控制数。部门将财政部门下达的预算控制数分解下达给各单位。各单位细化编制本单位的预算草案，按程序报送主管部门。部门汇总各单位预算草案，形成本部门预算草案，报送财政部门。财政部门审核汇总各部门预算草案后形成年度部门预算草案，作为政府预算的一部分，上报本级人大。</w:t>
      </w:r>
    </w:p>
    <w:p>
      <w:pPr>
        <w:ind w:firstLine="420" w:firstLineChars="200"/>
      </w:pPr>
      <w:r>
        <w:rPr>
          <w:rFonts w:hint="eastAsia"/>
        </w:rPr>
        <w:t>单位预算反映安排给本单位的一般公共预算、政府性基金预算、国有资本经营预算、财政专户管理资金和单位资金。部门预算反映安排给本部门及其所属单位的一般公共预算、政府性基金预算、国有资本经营预算、财政专户管理资金和单位资金。</w:t>
      </w:r>
    </w:p>
    <w:p>
      <w:pPr>
        <w:ind w:firstLine="420" w:firstLineChars="200"/>
      </w:pPr>
      <w:r>
        <w:rPr>
          <w:rFonts w:hint="eastAsia"/>
        </w:rPr>
        <w:t>部门预算收入包括财政拨款收入、财政专户管理资金收入和单位资金收入。</w:t>
      </w:r>
    </w:p>
    <w:p>
      <w:pPr>
        <w:ind w:firstLine="420" w:firstLineChars="200"/>
      </w:pPr>
      <w:r>
        <w:rPr>
          <w:rFonts w:hint="eastAsia"/>
        </w:rPr>
        <w:t>部门预算支出包括人员类项目支出、运转类项目支出和特定目标类项目支出。其中：人员类项目支出和运转类项目中的公用经费项目支出对应部门预算中的基本支出；运转类项目中的其他经费项目支出和特定目标类项目支出对应部门预算中的项目支出。</w:t>
      </w:r>
    </w:p>
    <w:p>
      <w:pPr>
        <w:ind w:firstLine="560"/>
        <w:rPr>
          <w:szCs w:val="28"/>
        </w:rPr>
      </w:pPr>
      <w:r>
        <w:rPr>
          <w:rFonts w:hint="eastAsia"/>
          <w:szCs w:val="28"/>
        </w:rPr>
        <w:t>（</w:t>
      </w:r>
      <w:r>
        <w:rPr>
          <w:szCs w:val="28"/>
        </w:rPr>
        <w:t>1</w:t>
      </w:r>
      <w:r>
        <w:rPr>
          <w:rFonts w:hint="eastAsia"/>
          <w:szCs w:val="28"/>
        </w:rPr>
        <w:t>）单位收入预算控制支出预算，支出预算不得超过收入预算。</w:t>
      </w:r>
    </w:p>
    <w:p>
      <w:pPr>
        <w:ind w:firstLine="560"/>
        <w:rPr>
          <w:szCs w:val="28"/>
        </w:rPr>
      </w:pPr>
      <w:r>
        <w:rPr>
          <w:rFonts w:hint="eastAsia"/>
          <w:szCs w:val="28"/>
        </w:rPr>
        <w:t>（</w:t>
      </w:r>
      <w:r>
        <w:rPr>
          <w:szCs w:val="28"/>
        </w:rPr>
        <w:t>2</w:t>
      </w:r>
      <w:r>
        <w:rPr>
          <w:rFonts w:hint="eastAsia"/>
          <w:szCs w:val="28"/>
        </w:rPr>
        <w:t>）单位财政拨款收入预算与财政拨款支出预算一致。</w:t>
      </w:r>
    </w:p>
    <w:p>
      <w:pPr>
        <w:ind w:firstLine="560"/>
        <w:rPr>
          <w:szCs w:val="28"/>
        </w:rPr>
      </w:pPr>
      <w:r>
        <w:rPr>
          <w:rFonts w:hint="eastAsia"/>
          <w:szCs w:val="28"/>
        </w:rPr>
        <w:t>（</w:t>
      </w:r>
      <w:r>
        <w:rPr>
          <w:szCs w:val="28"/>
        </w:rPr>
        <w:t>3</w:t>
      </w:r>
      <w:r>
        <w:rPr>
          <w:rFonts w:hint="eastAsia"/>
          <w:szCs w:val="28"/>
        </w:rPr>
        <w:t>）财政专户管理资金收入预算（含当年收入和预计结转结余收入）作为上限控制预算项目的财政专户管理资金支出规模，所有预算项目的财政专户管理资金支出不得超出单位财政专户管理资金收入。</w:t>
      </w:r>
    </w:p>
    <w:p>
      <w:pPr>
        <w:ind w:firstLine="560"/>
        <w:rPr>
          <w:szCs w:val="28"/>
        </w:rPr>
      </w:pPr>
      <w:r>
        <w:rPr>
          <w:rFonts w:hint="eastAsia"/>
          <w:szCs w:val="28"/>
        </w:rPr>
        <w:t>（</w:t>
      </w:r>
      <w:r>
        <w:rPr>
          <w:szCs w:val="28"/>
        </w:rPr>
        <w:t>4</w:t>
      </w:r>
      <w:r>
        <w:rPr>
          <w:rFonts w:hint="eastAsia"/>
          <w:szCs w:val="28"/>
        </w:rPr>
        <w:t>）单位资金收入预算（含当年收入和预计结转结余收入）作为上限控制申报预算项目的单位资金支出规模，所有预算项目的单位资金支出不得超出单位资金收入。</w:t>
      </w:r>
    </w:p>
    <w:p>
      <w:pPr>
        <w:ind w:firstLine="560"/>
        <w:rPr>
          <w:szCs w:val="28"/>
        </w:rPr>
      </w:pPr>
      <w:r>
        <w:rPr>
          <w:rFonts w:hint="eastAsia"/>
          <w:szCs w:val="28"/>
        </w:rPr>
        <w:t>（</w:t>
      </w:r>
      <w:r>
        <w:rPr>
          <w:szCs w:val="28"/>
        </w:rPr>
        <w:t>5</w:t>
      </w:r>
      <w:r>
        <w:rPr>
          <w:rFonts w:hint="eastAsia"/>
          <w:szCs w:val="28"/>
        </w:rPr>
        <w:t>）财政部门核定的部门预算财政拨款预算控制数总额严格限定在政府预算确定的本级支出预算规模以内。</w:t>
      </w:r>
    </w:p>
    <w:p>
      <w:pPr>
        <w:ind w:firstLine="560"/>
        <w:rPr>
          <w:szCs w:val="28"/>
        </w:rPr>
      </w:pPr>
      <w:r>
        <w:rPr>
          <w:rFonts w:hint="eastAsia"/>
          <w:szCs w:val="28"/>
        </w:rPr>
        <w:t>（</w:t>
      </w:r>
      <w:r>
        <w:rPr>
          <w:szCs w:val="28"/>
        </w:rPr>
        <w:t>6</w:t>
      </w:r>
      <w:r>
        <w:rPr>
          <w:rFonts w:hint="eastAsia"/>
          <w:szCs w:val="28"/>
        </w:rPr>
        <w:t>）部门下达给各单位的预算控制数总数不得超过财政部门下达的预算控制数。</w:t>
      </w:r>
    </w:p>
    <w:p>
      <w:pPr>
        <w:ind w:firstLine="560"/>
        <w:rPr>
          <w:szCs w:val="28"/>
        </w:rPr>
      </w:pPr>
      <w:r>
        <w:rPr>
          <w:rFonts w:hint="eastAsia"/>
          <w:szCs w:val="28"/>
        </w:rPr>
        <w:t>（</w:t>
      </w:r>
      <w:r>
        <w:rPr>
          <w:szCs w:val="28"/>
        </w:rPr>
        <w:t>7</w:t>
      </w:r>
      <w:r>
        <w:rPr>
          <w:rFonts w:hint="eastAsia"/>
          <w:szCs w:val="28"/>
        </w:rPr>
        <w:t>）所有支出有对应的资金来源。</w:t>
      </w:r>
    </w:p>
    <w:p>
      <w:pPr>
        <w:pStyle w:val="8"/>
      </w:pPr>
      <w:r>
        <w:rPr>
          <w:rFonts w:hint="eastAsia"/>
        </w:rPr>
        <w:t>建设内容</w:t>
      </w:r>
    </w:p>
    <w:p>
      <w:pPr>
        <w:ind w:firstLine="420" w:firstLineChars="200"/>
        <w:rPr>
          <w:rFonts w:cs="华文仿宋"/>
        </w:rPr>
      </w:pPr>
      <w:r>
        <w:t>1.</w:t>
      </w:r>
      <w:r>
        <w:rPr>
          <w:rFonts w:hint="eastAsia"/>
        </w:rPr>
        <w:t>人员类项目预算编制。</w:t>
      </w:r>
      <w:r>
        <w:t>（1）</w:t>
      </w:r>
      <w:r>
        <w:rPr>
          <w:rFonts w:hint="eastAsia" w:hAnsi="宋体"/>
        </w:rPr>
        <w:t>基层预算单位在项目储备库中选择人员类项目，结合单位性质、经费供给方式和单位其他收入来源，给每一个人员类项目配置资金性质。</w:t>
      </w:r>
      <w:r>
        <w:t>（2）</w:t>
      </w:r>
      <w:r>
        <w:rPr>
          <w:rFonts w:hint="eastAsia" w:hAnsi="宋体"/>
        </w:rPr>
        <w:t>市属公办高校填报《高校生均经费录入表》。</w:t>
      </w:r>
      <w:r>
        <w:t>（3）</w:t>
      </w:r>
      <w:r>
        <w:rPr>
          <w:rFonts w:hint="eastAsia" w:hAnsi="宋体"/>
        </w:rPr>
        <w:t>主管</w:t>
      </w:r>
      <w:r>
        <w:rPr>
          <w:rFonts w:hint="eastAsia" w:hAnsi="宋体" w:cs="仿宋_GB2312"/>
        </w:rPr>
        <w:t>部门、</w:t>
      </w:r>
      <w:r>
        <w:rPr>
          <w:rFonts w:hint="eastAsia" w:hAnsi="宋体" w:cs="华文仿宋"/>
        </w:rPr>
        <w:t>财政部门</w:t>
      </w:r>
      <w:r>
        <w:rPr>
          <w:rFonts w:hint="eastAsia" w:hAnsi="宋体" w:cs="仿宋_GB2312"/>
        </w:rPr>
        <w:t>按预算编制规定程序</w:t>
      </w:r>
      <w:r>
        <w:rPr>
          <w:rFonts w:hint="eastAsia" w:hAnsi="宋体" w:cs="华文仿宋"/>
        </w:rPr>
        <w:t>审核确认后，形成市级部门人员经费预算。</w:t>
      </w:r>
    </w:p>
    <w:p>
      <w:pPr>
        <w:ind w:firstLine="420" w:firstLineChars="200"/>
      </w:pPr>
      <w:r>
        <w:rPr>
          <w:rFonts w:cs="华文仿宋"/>
        </w:rPr>
        <w:t>2.</w:t>
      </w:r>
      <w:r>
        <w:rPr>
          <w:rFonts w:hint="eastAsia"/>
        </w:rPr>
        <w:t>公用经费预算编制。</w:t>
      </w:r>
      <w:r>
        <w:rPr>
          <w:rFonts w:hint="eastAsia" w:hAnsi="宋体"/>
        </w:rPr>
        <w:t>根据试行公用经费标准化的基层预算单位、</w:t>
      </w:r>
      <w:r>
        <w:rPr>
          <w:rFonts w:hint="eastAsia"/>
          <w:szCs w:val="28"/>
        </w:rPr>
        <w:t>实行公用经费综合定额的基层预算单位、</w:t>
      </w:r>
      <w:r>
        <w:rPr>
          <w:rFonts w:hint="eastAsia" w:hAnsi="宋体"/>
        </w:rPr>
        <w:t>实行生均定额的市属高中、实行生均定额的市属公办高校和其他单位等不同情况，分别在项目储备库中选择运转类公用经费项目在限额控制的范围内编制公用经费预算。</w:t>
      </w:r>
      <w:r>
        <w:rPr>
          <w:rFonts w:hint="eastAsia" w:hAnsi="宋体" w:cs="仿宋_GB2312"/>
        </w:rPr>
        <w:t>运转类公用经费项目需要新增资产的，按情况进行配备。涉及政府采购的，应当编制政府采购预算。</w:t>
      </w:r>
    </w:p>
    <w:p>
      <w:pPr>
        <w:ind w:firstLine="420" w:firstLineChars="200"/>
        <w:rPr>
          <w:rFonts w:cs="仿宋_GB2312"/>
          <w:szCs w:val="24"/>
        </w:rPr>
      </w:pPr>
      <w:r>
        <w:rPr>
          <w:rFonts w:cs="仿宋_GB2312"/>
          <w:szCs w:val="24"/>
        </w:rPr>
        <w:t>3.</w:t>
      </w:r>
      <w:r>
        <w:rPr>
          <w:rFonts w:hint="eastAsia" w:hAnsi="宋体"/>
          <w:szCs w:val="24"/>
        </w:rPr>
        <w:t>政府债务资金安排的项目预算纳入项目主管部门的部门预算。</w:t>
      </w:r>
      <w:r>
        <w:rPr>
          <w:rFonts w:hint="eastAsia" w:hAnsi="宋体" w:cs="仿宋_GB2312"/>
          <w:szCs w:val="24"/>
        </w:rPr>
        <w:t>专项债券资金安排的项目的主管部门和单位应做好政府专项债券项目收支预算编制，根据市场变化合理评估专项债券项目成本、预期收益和对应资产价值等，动态调整完善预算平衡方案，保持项目全生命周期收支平衡。</w:t>
      </w:r>
    </w:p>
    <w:p>
      <w:pPr>
        <w:ind w:firstLine="420" w:firstLineChars="200"/>
        <w:rPr>
          <w:rFonts w:cs="仿宋_GB2312"/>
          <w:szCs w:val="24"/>
        </w:rPr>
      </w:pPr>
      <w:r>
        <w:rPr>
          <w:szCs w:val="24"/>
        </w:rPr>
        <w:t>4.</w:t>
      </w:r>
      <w:r>
        <w:rPr>
          <w:rFonts w:hint="eastAsia" w:hAnsi="宋体"/>
          <w:szCs w:val="24"/>
        </w:rPr>
        <w:t>部门财政拨款结转资金，</w:t>
      </w:r>
      <w:r>
        <w:rPr>
          <w:rFonts w:hAnsi="宋体" w:cs="仿宋_GB2312"/>
          <w:szCs w:val="24"/>
        </w:rPr>
        <w:t>应当充分合理预计，编入单位下一年度</w:t>
      </w:r>
      <w:r>
        <w:rPr>
          <w:rFonts w:hint="eastAsia" w:hAnsi="宋体" w:cs="仿宋_GB2312"/>
          <w:szCs w:val="24"/>
        </w:rPr>
        <w:t>收入</w:t>
      </w:r>
      <w:r>
        <w:rPr>
          <w:rFonts w:hAnsi="宋体" w:cs="仿宋_GB2312"/>
          <w:szCs w:val="24"/>
        </w:rPr>
        <w:t>预算，继续按照原用途安排使用</w:t>
      </w:r>
      <w:r>
        <w:rPr>
          <w:rFonts w:hint="eastAsia" w:hAnsi="宋体" w:cs="仿宋_GB2312"/>
          <w:szCs w:val="24"/>
        </w:rPr>
        <w:t>。</w:t>
      </w:r>
      <w:r>
        <w:rPr>
          <w:rFonts w:hAnsi="宋体" w:cs="仿宋_GB2312"/>
          <w:szCs w:val="24"/>
        </w:rPr>
        <w:t>待年度结束后，经财政部门审核批准的财政拨款结转资金预算才可执行，不得按照财政拨款结转资金预计数执行。</w:t>
      </w:r>
      <w:r>
        <w:rPr>
          <w:rFonts w:hint="eastAsia" w:hAnsi="宋体" w:cs="仿宋_GB2312"/>
          <w:szCs w:val="24"/>
        </w:rPr>
        <w:t>财政拨款</w:t>
      </w:r>
      <w:r>
        <w:rPr>
          <w:rFonts w:hAnsi="宋体" w:cs="仿宋_GB2312"/>
          <w:szCs w:val="24"/>
        </w:rPr>
        <w:t>结余资金应当交回财政，不得作为收入编入单位下一年度预算。单位资金结转结余应当充分合理预计，全部编入单位下一年度</w:t>
      </w:r>
      <w:r>
        <w:rPr>
          <w:rFonts w:hint="eastAsia" w:hAnsi="宋体" w:cs="仿宋_GB2312"/>
          <w:szCs w:val="24"/>
        </w:rPr>
        <w:t>收入</w:t>
      </w:r>
      <w:r>
        <w:rPr>
          <w:rFonts w:hAnsi="宋体" w:cs="仿宋_GB2312"/>
          <w:szCs w:val="24"/>
        </w:rPr>
        <w:t>预算。</w:t>
      </w:r>
    </w:p>
    <w:p>
      <w:pPr>
        <w:ind w:firstLine="420" w:firstLineChars="200"/>
        <w:rPr>
          <w:rFonts w:cs="仿宋_GB2312"/>
          <w:szCs w:val="24"/>
        </w:rPr>
      </w:pPr>
      <w:r>
        <w:rPr>
          <w:rFonts w:cs="仿宋_GB2312"/>
          <w:szCs w:val="24"/>
        </w:rPr>
        <w:t>5.</w:t>
      </w:r>
      <w:r>
        <w:rPr>
          <w:rFonts w:hint="eastAsia" w:hAnsi="宋体" w:cs="仿宋_GB2312"/>
          <w:szCs w:val="24"/>
        </w:rPr>
        <w:t>部门预算支出经济分类科目为</w:t>
      </w:r>
      <w:r>
        <w:rPr>
          <w:rFonts w:hint="eastAsia" w:cs="仿宋_GB2312"/>
          <w:szCs w:val="24"/>
        </w:rPr>
        <w:t>“</w:t>
      </w:r>
      <w:r>
        <w:rPr>
          <w:rFonts w:cs="仿宋_GB2312"/>
          <w:szCs w:val="24"/>
        </w:rPr>
        <w:t>309</w:t>
      </w:r>
      <w:r>
        <w:rPr>
          <w:rFonts w:hAnsi="宋体" w:cs="仿宋_GB2312"/>
          <w:szCs w:val="24"/>
        </w:rPr>
        <w:t>资本性支出（基本建设）</w:t>
      </w:r>
      <w:r>
        <w:rPr>
          <w:rFonts w:hint="eastAsia" w:cs="仿宋_GB2312"/>
          <w:szCs w:val="24"/>
        </w:rPr>
        <w:t>”</w:t>
      </w:r>
      <w:r>
        <w:rPr>
          <w:rFonts w:hint="eastAsia" w:hAnsi="宋体" w:cs="仿宋_GB2312"/>
          <w:szCs w:val="24"/>
        </w:rPr>
        <w:t>、</w:t>
      </w:r>
      <w:r>
        <w:rPr>
          <w:rFonts w:hint="eastAsia" w:cs="仿宋_GB2312"/>
          <w:szCs w:val="24"/>
        </w:rPr>
        <w:t>“</w:t>
      </w:r>
      <w:r>
        <w:rPr>
          <w:rFonts w:cs="仿宋_GB2312"/>
          <w:szCs w:val="24"/>
        </w:rPr>
        <w:t>310</w:t>
      </w:r>
      <w:r>
        <w:rPr>
          <w:rFonts w:hAnsi="宋体" w:cs="仿宋_GB2312"/>
          <w:szCs w:val="24"/>
        </w:rPr>
        <w:t>资本性支出</w:t>
      </w:r>
      <w:r>
        <w:rPr>
          <w:rFonts w:hint="eastAsia" w:cs="仿宋_GB2312"/>
          <w:szCs w:val="24"/>
        </w:rPr>
        <w:t>”</w:t>
      </w:r>
      <w:r>
        <w:rPr>
          <w:rFonts w:hint="eastAsia" w:hAnsi="宋体" w:cs="仿宋_GB2312"/>
          <w:szCs w:val="24"/>
        </w:rPr>
        <w:t>、</w:t>
      </w:r>
      <w:r>
        <w:rPr>
          <w:rFonts w:hint="eastAsia" w:cs="仿宋_GB2312"/>
          <w:szCs w:val="24"/>
        </w:rPr>
        <w:t>“</w:t>
      </w:r>
      <w:r>
        <w:rPr>
          <w:rFonts w:cs="仿宋_GB2312"/>
          <w:szCs w:val="24"/>
        </w:rPr>
        <w:t>31101</w:t>
      </w:r>
      <w:r>
        <w:rPr>
          <w:rFonts w:hAnsi="宋体" w:cs="仿宋_GB2312"/>
          <w:szCs w:val="24"/>
        </w:rPr>
        <w:t>资本金注入</w:t>
      </w:r>
      <w:r>
        <w:rPr>
          <w:rFonts w:hint="eastAsia" w:cs="仿宋_GB2312"/>
          <w:szCs w:val="24"/>
        </w:rPr>
        <w:t>”</w:t>
      </w:r>
      <w:r>
        <w:rPr>
          <w:rFonts w:hint="eastAsia" w:hAnsi="宋体" w:cs="仿宋_GB2312"/>
          <w:szCs w:val="24"/>
        </w:rPr>
        <w:t>、</w:t>
      </w:r>
      <w:r>
        <w:rPr>
          <w:rFonts w:hint="eastAsia" w:cs="仿宋_GB2312"/>
          <w:szCs w:val="24"/>
        </w:rPr>
        <w:t>“</w:t>
      </w:r>
      <w:r>
        <w:rPr>
          <w:rFonts w:cs="仿宋_GB2312"/>
          <w:szCs w:val="24"/>
        </w:rPr>
        <w:t>31201</w:t>
      </w:r>
      <w:r>
        <w:rPr>
          <w:rFonts w:hAnsi="宋体" w:cs="仿宋_GB2312"/>
          <w:szCs w:val="24"/>
        </w:rPr>
        <w:t>资本金注入</w:t>
      </w:r>
      <w:r>
        <w:rPr>
          <w:rFonts w:hint="eastAsia" w:cs="仿宋_GB2312"/>
          <w:szCs w:val="24"/>
        </w:rPr>
        <w:t>”</w:t>
      </w:r>
      <w:r>
        <w:rPr>
          <w:rFonts w:hAnsi="宋体" w:cs="仿宋_GB2312"/>
          <w:szCs w:val="24"/>
        </w:rPr>
        <w:t>和</w:t>
      </w:r>
      <w:r>
        <w:rPr>
          <w:rFonts w:hint="eastAsia" w:cs="仿宋_GB2312"/>
          <w:szCs w:val="24"/>
        </w:rPr>
        <w:t>“</w:t>
      </w:r>
      <w:r>
        <w:rPr>
          <w:rFonts w:cs="仿宋_GB2312"/>
          <w:szCs w:val="24"/>
        </w:rPr>
        <w:t>31203</w:t>
      </w:r>
      <w:r>
        <w:rPr>
          <w:rFonts w:hAnsi="宋体" w:cs="仿宋_GB2312"/>
          <w:szCs w:val="24"/>
        </w:rPr>
        <w:t>政府投资基金股权投资</w:t>
      </w:r>
      <w:r>
        <w:rPr>
          <w:rFonts w:hint="eastAsia" w:cs="仿宋_GB2312"/>
          <w:szCs w:val="24"/>
        </w:rPr>
        <w:t>”</w:t>
      </w:r>
      <w:r>
        <w:rPr>
          <w:rFonts w:hAnsi="宋体" w:cs="仿宋_GB2312"/>
          <w:szCs w:val="24"/>
        </w:rPr>
        <w:t>并形成资产的，应</w:t>
      </w:r>
      <w:r>
        <w:rPr>
          <w:rFonts w:hint="eastAsia" w:hAnsi="宋体" w:cs="仿宋_GB2312"/>
          <w:szCs w:val="24"/>
        </w:rPr>
        <w:t>依据项目库资产配置信息编报资产配置预算，</w:t>
      </w:r>
      <w:r>
        <w:rPr>
          <w:rFonts w:hAnsi="宋体"/>
        </w:rPr>
        <w:t>进入预算</w:t>
      </w:r>
      <w:r>
        <w:rPr>
          <w:rFonts w:hint="eastAsia" w:hAnsi="宋体"/>
        </w:rPr>
        <w:t>管理</w:t>
      </w:r>
      <w:r>
        <w:rPr>
          <w:rFonts w:hAnsi="宋体"/>
        </w:rPr>
        <w:t>编制流程</w:t>
      </w:r>
      <w:r>
        <w:rPr>
          <w:rFonts w:hint="eastAsia" w:hAnsi="宋体"/>
        </w:rPr>
        <w:t>，</w:t>
      </w:r>
      <w:r>
        <w:rPr>
          <w:rFonts w:hAnsi="宋体"/>
        </w:rPr>
        <w:t>最后</w:t>
      </w:r>
      <w:r>
        <w:rPr>
          <w:rFonts w:hint="eastAsia" w:hAnsi="宋体"/>
        </w:rPr>
        <w:t>在</w:t>
      </w:r>
      <w:r>
        <w:rPr>
          <w:rFonts w:hAnsi="宋体"/>
        </w:rPr>
        <w:t>预算编制流程中</w:t>
      </w:r>
      <w:r>
        <w:rPr>
          <w:rFonts w:hint="eastAsia" w:hAnsi="宋体"/>
        </w:rPr>
        <w:t>生成《</w:t>
      </w:r>
      <w:r>
        <w:rPr>
          <w:rFonts w:hAnsi="宋体"/>
        </w:rPr>
        <w:t>新增资产预算表</w:t>
      </w:r>
      <w:r>
        <w:rPr>
          <w:rFonts w:hint="eastAsia" w:hAnsi="宋体"/>
        </w:rPr>
        <w:t>》</w:t>
      </w:r>
      <w:r>
        <w:rPr>
          <w:rFonts w:hint="eastAsia" w:hAnsi="宋体" w:cs="仿宋_GB2312"/>
          <w:szCs w:val="24"/>
        </w:rPr>
        <w:t>。</w:t>
      </w:r>
    </w:p>
    <w:p>
      <w:pPr>
        <w:ind w:firstLine="420" w:firstLineChars="200"/>
        <w:rPr>
          <w:rFonts w:cs="仿宋_GB2312"/>
          <w:szCs w:val="24"/>
        </w:rPr>
      </w:pPr>
      <w:r>
        <w:rPr>
          <w:rFonts w:cs="仿宋_GB2312"/>
          <w:szCs w:val="24"/>
        </w:rPr>
        <w:t>6.</w:t>
      </w:r>
      <w:r>
        <w:rPr>
          <w:rFonts w:hint="eastAsia" w:hAnsi="宋体" w:cs="仿宋_GB2312"/>
          <w:szCs w:val="24"/>
        </w:rPr>
        <w:t>部门预算运转类项目、特定目标类项目涉及政府采购的，应当编制政府采购预算。须</w:t>
      </w:r>
      <w:r>
        <w:rPr>
          <w:rFonts w:hint="eastAsia"/>
        </w:rPr>
        <w:t>单独设置审批流程。项目支出中有具体的预算项目，该预算项目与会计核算中的预算项目应一致，在采购申请编制过程中，以预算项目编号相关联，作为后续整个政府采购过程与部门预算管理的基础；基本支出中如涉及政府采购活动，以“基本支出”作为一个统一的项目来进行管理，政府采购预算指标不能超出基本支出。</w:t>
      </w:r>
    </w:p>
    <w:p>
      <w:pPr>
        <w:ind w:firstLine="420" w:firstLineChars="200"/>
        <w:rPr>
          <w:rFonts w:cs="仿宋_GB2312"/>
          <w:szCs w:val="24"/>
        </w:rPr>
      </w:pPr>
      <w:r>
        <w:rPr>
          <w:rFonts w:cs="仿宋_GB2312"/>
          <w:szCs w:val="24"/>
        </w:rPr>
        <w:t>7.</w:t>
      </w:r>
      <w:r>
        <w:rPr>
          <w:rFonts w:hint="eastAsia" w:hAnsi="宋体" w:cs="仿宋_GB2312"/>
          <w:szCs w:val="24"/>
        </w:rPr>
        <w:t>单位、部门应当按照要求填报政府购买服务项目预算</w:t>
      </w:r>
      <w:r>
        <w:rPr>
          <w:rFonts w:hAnsi="宋体" w:cs="仿宋_GB2312"/>
          <w:szCs w:val="24"/>
        </w:rPr>
        <w:t>。</w:t>
      </w:r>
      <w:r>
        <w:rPr>
          <w:rFonts w:hint="eastAsia"/>
          <w:szCs w:val="28"/>
        </w:rPr>
        <w:t>符合购买主体条件的部门在申报年度项目预算时，需要购买服务类项目的，必须勾选并填报购买服务项目支出预算表。通过业务处室初审、综合处复核，确定政府购买服务项目支出预算表，如有政府购买服务预算调整，由部门申请提交审核，调整表内数据。项目执行后可查找政府购买服务项目支出情况，生成政府购买服务信息表。</w:t>
      </w:r>
    </w:p>
    <w:p>
      <w:pPr>
        <w:ind w:firstLine="420" w:firstLineChars="200"/>
        <w:rPr>
          <w:rFonts w:cs="仿宋_GB2312"/>
          <w:szCs w:val="24"/>
        </w:rPr>
      </w:pPr>
      <w:r>
        <w:rPr>
          <w:rFonts w:cs="仿宋_GB2312"/>
          <w:szCs w:val="24"/>
        </w:rPr>
        <w:t>8.</w:t>
      </w:r>
      <w:r>
        <w:rPr>
          <w:rFonts w:hint="eastAsia" w:hAnsi="宋体" w:cs="仿宋_GB2312"/>
          <w:szCs w:val="24"/>
        </w:rPr>
        <w:t>部门预算支出经济分类涉及</w:t>
      </w:r>
      <w:r>
        <w:rPr>
          <w:rFonts w:hint="eastAsia" w:cs="仿宋_GB2312"/>
          <w:szCs w:val="24"/>
        </w:rPr>
        <w:t>“</w:t>
      </w:r>
      <w:r>
        <w:rPr>
          <w:rFonts w:hint="eastAsia" w:hAnsi="宋体" w:cs="仿宋_GB2312"/>
          <w:szCs w:val="24"/>
        </w:rPr>
        <w:t>三公</w:t>
      </w:r>
      <w:r>
        <w:rPr>
          <w:rFonts w:hint="eastAsia" w:cs="仿宋_GB2312"/>
          <w:szCs w:val="24"/>
        </w:rPr>
        <w:t>”</w:t>
      </w:r>
      <w:r>
        <w:rPr>
          <w:rFonts w:hint="eastAsia" w:hAnsi="宋体" w:cs="仿宋_GB2312"/>
          <w:szCs w:val="24"/>
        </w:rPr>
        <w:t>经费的，应当严格按照</w:t>
      </w:r>
      <w:r>
        <w:rPr>
          <w:rFonts w:hint="eastAsia" w:cs="仿宋_GB2312"/>
          <w:szCs w:val="24"/>
        </w:rPr>
        <w:t>“</w:t>
      </w:r>
      <w:r>
        <w:rPr>
          <w:rFonts w:hint="eastAsia" w:hAnsi="宋体" w:cs="仿宋_GB2312"/>
          <w:szCs w:val="24"/>
        </w:rPr>
        <w:t>三公</w:t>
      </w:r>
      <w:r>
        <w:rPr>
          <w:rFonts w:hint="eastAsia" w:cs="仿宋_GB2312"/>
          <w:szCs w:val="24"/>
        </w:rPr>
        <w:t>”</w:t>
      </w:r>
      <w:r>
        <w:rPr>
          <w:rFonts w:hint="eastAsia" w:hAnsi="宋体" w:cs="仿宋_GB2312"/>
          <w:szCs w:val="24"/>
        </w:rPr>
        <w:t>经费管理要求进行编制。</w:t>
      </w:r>
    </w:p>
    <w:p>
      <w:pPr>
        <w:ind w:firstLine="420" w:firstLineChars="200"/>
        <w:rPr>
          <w:szCs w:val="24"/>
        </w:rPr>
      </w:pPr>
      <w:r>
        <w:rPr>
          <w:rFonts w:cs="仿宋_GB2312"/>
          <w:szCs w:val="24"/>
        </w:rPr>
        <w:t>9.</w:t>
      </w:r>
      <w:r>
        <w:rPr>
          <w:rFonts w:hint="eastAsia"/>
          <w:szCs w:val="24"/>
        </w:rPr>
        <w:t>对于上级按项目法分配下达的转移支付项目预算，本级系统中的项目名称、预算金额等要素应与上级下达的保持一致，并将本级的项目代码和上级的项目代码进行关联，以便上级跟踪；本级将转移支付项目预算分解下达到部门预算时，项目也应与上级下达的项目保持一致，不得更改上级下达的项目名称。</w:t>
      </w:r>
    </w:p>
    <w:p>
      <w:pPr>
        <w:ind w:firstLine="420" w:firstLineChars="200"/>
      </w:pPr>
      <w:r>
        <w:t>10.</w:t>
      </w:r>
      <w:r>
        <w:rPr>
          <w:rFonts w:hint="eastAsia"/>
        </w:rPr>
        <w:t>对于政府投资项目预算。</w:t>
      </w:r>
      <w:r>
        <w:rPr>
          <w:rFonts w:hint="eastAsia"/>
          <w:szCs w:val="28"/>
        </w:rPr>
        <w:t>未列入项目库的项目无法启动编制年度政府投资预算，实现自动从项目库中带出审核所需项目资料，</w:t>
      </w:r>
      <w:r>
        <w:rPr>
          <w:rFonts w:hint="eastAsia"/>
        </w:rPr>
        <w:t>审核流程中增加城乡建设处复审环节。</w:t>
      </w:r>
    </w:p>
    <w:p>
      <w:pPr>
        <w:ind w:firstLine="420" w:firstLineChars="200"/>
      </w:pPr>
      <w:r>
        <w:rPr>
          <w:szCs w:val="24"/>
        </w:rPr>
        <w:t>11.</w:t>
      </w:r>
      <w:r>
        <w:rPr>
          <w:rFonts w:hint="eastAsia"/>
          <w:szCs w:val="24"/>
        </w:rPr>
        <w:t>对于市本级</w:t>
      </w:r>
      <w:r>
        <w:rPr>
          <w:szCs w:val="24"/>
        </w:rPr>
        <w:t>PPP</w:t>
      </w:r>
      <w:r>
        <w:rPr>
          <w:rFonts w:hint="eastAsia"/>
          <w:szCs w:val="24"/>
        </w:rPr>
        <w:t>项目预算编制。</w:t>
      </w:r>
      <w:r>
        <w:t>PPP</w:t>
      </w:r>
      <w:r>
        <w:rPr>
          <w:rFonts w:hint="eastAsia"/>
        </w:rPr>
        <w:t>项目完成采购后，由主管部门或实施机构发起预算编制，对于项目库中有“</w:t>
      </w:r>
      <w:r>
        <w:t>PPP</w:t>
      </w:r>
      <w:r>
        <w:rPr>
          <w:rFonts w:hint="eastAsia"/>
        </w:rPr>
        <w:t>项目”标识的项目，系统自动从财政部</w:t>
      </w:r>
      <w:r>
        <w:t>PPP</w:t>
      </w:r>
      <w:r>
        <w:rPr>
          <w:rFonts w:hint="eastAsia"/>
        </w:rPr>
        <w:t>综合信息平台管理库“采购阶段”模块中导入项目“财政支出责任”数据（包括股权支出和运营期支出），由主管部门或实施机构按</w:t>
      </w:r>
      <w:r>
        <w:t>PPP</w:t>
      </w:r>
      <w:r>
        <w:rPr>
          <w:rFonts w:hint="eastAsia"/>
        </w:rPr>
        <w:t>项目合同约定和项目进度编制上报</w:t>
      </w:r>
      <w:r>
        <w:t>PPP</w:t>
      </w:r>
      <w:r>
        <w:rPr>
          <w:rFonts w:hint="eastAsia"/>
        </w:rPr>
        <w:t>项目年度绩效目标、指标及年度预算，经相关业务处室审核后提交预算局汇总审核。</w:t>
      </w:r>
    </w:p>
    <w:p>
      <w:pPr>
        <w:ind w:firstLine="420" w:firstLineChars="200"/>
      </w:pPr>
      <w:r>
        <w:t>12.</w:t>
      </w:r>
      <w:r>
        <w:rPr>
          <w:rFonts w:hint="eastAsia"/>
        </w:rPr>
        <w:t>对于土地储备项目预算编制。年度预算申报，在预算二上时填报，由市自然规划局牵头，具体由市土地储备中心进行统一上报输入，相关信息从项目库储备项目中导入，由综合处审核后，形成土地储备项目年度预算。同时，在部门预算编制中增加土地储备类项目：一是功能科目：</w:t>
      </w:r>
      <w:r>
        <w:t>2120802</w:t>
      </w:r>
      <w:r>
        <w:rPr>
          <w:rFonts w:hint="eastAsia"/>
        </w:rPr>
        <w:t>国有土地使用权出让收入安排的支出—征地和拆迁补偿支出、</w:t>
      </w:r>
      <w:r>
        <w:t>2120801</w:t>
      </w:r>
      <w:r>
        <w:rPr>
          <w:rFonts w:hint="eastAsia"/>
        </w:rPr>
        <w:t>国有土地使用权出让收入安排的支出—土地开发支出；</w:t>
      </w:r>
      <w:r>
        <w:t>2121001</w:t>
      </w:r>
      <w:r>
        <w:rPr>
          <w:rFonts w:hint="eastAsia"/>
        </w:rPr>
        <w:t>国有土地收益基金安排的支出—征地和拆迁补偿支出、</w:t>
      </w:r>
      <w:r>
        <w:t>2121002</w:t>
      </w:r>
      <w:r>
        <w:rPr>
          <w:rFonts w:hint="eastAsia"/>
        </w:rPr>
        <w:t>国有土地收益基金安排的支出—土地开发支出；</w:t>
      </w:r>
      <w:r>
        <w:t>2121501</w:t>
      </w:r>
      <w:r>
        <w:rPr>
          <w:rFonts w:hint="eastAsia"/>
        </w:rPr>
        <w:t>土地储备专项债券收入安排的支出—征地和拆迁补偿支出、</w:t>
      </w:r>
      <w:r>
        <w:t>2121502</w:t>
      </w:r>
      <w:r>
        <w:rPr>
          <w:rFonts w:hint="eastAsia"/>
        </w:rPr>
        <w:t>土地储备专项债券收入安排的支出—土地开发支出。政府预算支出经济分类科目为</w:t>
      </w:r>
      <w:r>
        <w:t>50601</w:t>
      </w:r>
      <w:r>
        <w:rPr>
          <w:rFonts w:hint="eastAsia"/>
        </w:rPr>
        <w:t>—资本性支出（一）。部门预算支出经济分类科目为</w:t>
      </w:r>
      <w:r>
        <w:t>310</w:t>
      </w:r>
      <w:r>
        <w:rPr>
          <w:rFonts w:hint="eastAsia"/>
        </w:rPr>
        <w:t>资本性支出。</w:t>
      </w:r>
    </w:p>
    <w:p>
      <w:pPr>
        <w:ind w:firstLine="420" w:firstLineChars="200"/>
      </w:pPr>
      <w:r>
        <w:t xml:space="preserve">13. </w:t>
      </w:r>
      <w:r>
        <w:rPr>
          <w:rFonts w:hint="eastAsia" w:hAnsi="宋体"/>
        </w:rPr>
        <w:t>资产预算管理。资产预算管理是对单位资本性支出项目预算中形成的资产的计划管理，通过对单位资产可配置最高限额和</w:t>
      </w:r>
      <w:r>
        <w:rPr>
          <w:rFonts w:hAnsi="宋体"/>
        </w:rPr>
        <w:t>年度</w:t>
      </w:r>
      <w:r>
        <w:rPr>
          <w:rFonts w:hint="eastAsia" w:hAnsi="宋体"/>
        </w:rPr>
        <w:t>配置</w:t>
      </w:r>
      <w:r>
        <w:rPr>
          <w:rFonts w:hAnsi="宋体"/>
        </w:rPr>
        <w:t>计划</w:t>
      </w:r>
      <w:r>
        <w:rPr>
          <w:rFonts w:hint="eastAsia" w:hAnsi="宋体"/>
        </w:rPr>
        <w:t>的管理，规范和控制单位资产形成的源头。资产预算</w:t>
      </w:r>
      <w:r>
        <w:rPr>
          <w:rFonts w:hAnsi="宋体"/>
        </w:rPr>
        <w:t>管理包括了资产编制管理、资产配置计划和资产</w:t>
      </w:r>
      <w:r>
        <w:rPr>
          <w:rFonts w:hint="eastAsia" w:hAnsi="宋体"/>
        </w:rPr>
        <w:t>配置</w:t>
      </w:r>
      <w:r>
        <w:rPr>
          <w:rFonts w:hAnsi="宋体"/>
        </w:rPr>
        <w:t>预算</w:t>
      </w:r>
      <w:r>
        <w:rPr>
          <w:rFonts w:hint="eastAsia" w:hAnsi="宋体"/>
        </w:rPr>
        <w:t>。（</w:t>
      </w:r>
      <w:r>
        <w:t>1</w:t>
      </w:r>
      <w:r>
        <w:rPr>
          <w:rFonts w:hint="eastAsia" w:hAnsi="宋体"/>
        </w:rPr>
        <w:t>）资产编制</w:t>
      </w:r>
      <w:r>
        <w:rPr>
          <w:rFonts w:hAnsi="宋体"/>
        </w:rPr>
        <w:t>管理</w:t>
      </w:r>
      <w:r>
        <w:rPr>
          <w:rFonts w:hint="eastAsia" w:hAnsi="宋体"/>
        </w:rPr>
        <w:t>是对单位资产可配置最高限额的管理，是单位资产配置的重要参考依据。在每年编制部门预算之前，各单位根据相关资产配置标准，人员编制数、领导职数、办公面积、会议室数量等基本情况为依据拟申报资产编制限额表，经主管部门和财政部门确认后进入资产编制数据库。（</w:t>
      </w:r>
      <w:r>
        <w:t>2</w:t>
      </w:r>
      <w:r>
        <w:rPr>
          <w:rFonts w:hint="eastAsia" w:hAnsi="宋体"/>
        </w:rPr>
        <w:t>）资产</w:t>
      </w:r>
      <w:r>
        <w:rPr>
          <w:rFonts w:hAnsi="宋体"/>
        </w:rPr>
        <w:t>配置计划是</w:t>
      </w:r>
      <w:r>
        <w:rPr>
          <w:rFonts w:hint="eastAsia" w:hAnsi="宋体"/>
        </w:rPr>
        <w:t>资产购置预算的支撑，根据申报配置的资产类别分为标准资产配置计划和其他资产配置计划。其中，标准资产配置计划可通过资产编制、当年预算安排、资产存量等信息初步计算出某单位当年资产配置限额，该单位需在限额范围内根据实际需求申报配置计划；其他资产配置计划根据新增资产预算和项目需要申报。（</w:t>
      </w:r>
      <w:r>
        <w:t>3</w:t>
      </w:r>
      <w:r>
        <w:rPr>
          <w:rFonts w:hint="eastAsia" w:hAnsi="宋体"/>
        </w:rPr>
        <w:t>）资产</w:t>
      </w:r>
      <w:r>
        <w:rPr>
          <w:rFonts w:hAnsi="宋体"/>
        </w:rPr>
        <w:t>配置预算是指</w:t>
      </w:r>
      <w:r>
        <w:rPr>
          <w:rFonts w:hint="eastAsia" w:hAnsi="宋体"/>
        </w:rPr>
        <w:t>单位</w:t>
      </w:r>
      <w:r>
        <w:rPr>
          <w:rFonts w:hAnsi="宋体"/>
        </w:rPr>
        <w:t>根据资产配置年度计划批复，</w:t>
      </w:r>
      <w:r>
        <w:rPr>
          <w:rFonts w:hint="eastAsia" w:hAnsi="宋体"/>
        </w:rPr>
        <w:t>按</w:t>
      </w:r>
      <w:r>
        <w:rPr>
          <w:rFonts w:hAnsi="宋体"/>
        </w:rPr>
        <w:t>预算管理</w:t>
      </w:r>
      <w:r>
        <w:rPr>
          <w:rFonts w:hint="eastAsia" w:hAnsi="宋体"/>
        </w:rPr>
        <w:t>程序</w:t>
      </w:r>
      <w:r>
        <w:rPr>
          <w:rFonts w:hAnsi="宋体"/>
        </w:rPr>
        <w:t>编制资产经费预算，形成资产配置预算。</w:t>
      </w:r>
    </w:p>
    <w:p>
      <w:pPr>
        <w:ind w:firstLine="420" w:firstLineChars="200"/>
      </w:pPr>
      <w:r>
        <w:t>14.</w:t>
      </w:r>
      <w:r>
        <w:rPr>
          <w:rFonts w:hint="eastAsia"/>
        </w:rPr>
        <w:t>支持主副表方式填报，各类元素支持关联关系和控制规则配置。</w:t>
      </w:r>
    </w:p>
    <w:p>
      <w:pPr>
        <w:ind w:firstLine="420" w:firstLineChars="200"/>
      </w:pPr>
      <w:r>
        <w:t>15.</w:t>
      </w:r>
      <w:r>
        <w:rPr>
          <w:rFonts w:hint="eastAsia"/>
        </w:rPr>
        <w:t>该业务涉及的要素至少涵盖《预算管理一体化要素目录》中的要素，还可根据实际情况进行扩展。</w:t>
      </w:r>
    </w:p>
    <w:p/>
    <w:p>
      <w:pPr>
        <w:pStyle w:val="7"/>
      </w:pPr>
      <w:r>
        <w:rPr>
          <w:rFonts w:hint="eastAsia"/>
        </w:rPr>
        <w:t>3. 转移支付预算</w:t>
      </w:r>
    </w:p>
    <w:p>
      <w:pPr>
        <w:pStyle w:val="8"/>
      </w:pPr>
      <w:r>
        <w:rPr>
          <w:rFonts w:hint="eastAsia"/>
        </w:rPr>
        <w:t>业务概述</w:t>
      </w:r>
    </w:p>
    <w:p>
      <w:pPr>
        <w:ind w:firstLine="420" w:firstLineChars="200"/>
      </w:pPr>
      <w:r>
        <w:rPr>
          <w:rFonts w:hint="eastAsia"/>
        </w:rPr>
        <w:t>转移支付预算是政府预算的重要组成部分，包括转移支付收入预算和转移支付支出预算。财政部门自下而上、层层汇总本级政府和下级政府转移支付预算，上下级政府之间的转移支付收入支出，需要冲抵的相互冲抵，形成本地区内一般公共预算中的转移支付收支预算，作为政府预算草案的组成部分，报人大审议。</w:t>
      </w:r>
    </w:p>
    <w:p>
      <w:pPr>
        <w:ind w:firstLine="420" w:firstLineChars="200"/>
      </w:pPr>
      <w:r>
        <w:rPr>
          <w:rFonts w:hint="eastAsia"/>
        </w:rPr>
        <w:t>转移支付预算主要包括一般公共预算转移支付预算、政府性基金转移支付预算和国有资本经营预算转移支付预算。</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一般公共预算中的转移支付收入预算，由财政部门根据上级提前下达的一般公共预算转移支付数，以及根据财税体制和相关政策确定的其他一般公共预算转移支付收入编制；转移支付支出预算，由财政部门根据测算的本级财力状况和部门、下级申报的一般公共预算项目支出的审核情况进行编制。</w:t>
      </w:r>
    </w:p>
    <w:p>
      <w:pPr>
        <w:ind w:firstLine="420" w:firstLineChars="200"/>
        <w:rPr>
          <w:rFonts w:ascii="宋体" w:hAnsi="宋体" w:cs="仿宋_GB2312"/>
          <w:szCs w:val="21"/>
        </w:rPr>
      </w:pPr>
      <w:r>
        <w:rPr>
          <w:rFonts w:ascii="宋体" w:hAnsi="宋体" w:cs="仿宋_GB2312"/>
          <w:szCs w:val="21"/>
        </w:rPr>
        <w:t>2.政府性基金中的转移支付收入预算，由财政部门根据上级提前下达的政府性基金转移支付预计数，以及根据财税体制和相关政策确定的其他基金转移支付收入编制；转移支付支出预算，由财政部门会同主管部门根据基金项目支出的审核情况等进行编制。</w:t>
      </w:r>
    </w:p>
    <w:p>
      <w:pPr>
        <w:pStyle w:val="13"/>
        <w:ind w:firstLine="420"/>
        <w:rPr>
          <w:rFonts w:ascii="宋体" w:hAnsi="宋体" w:cs="仿宋_GB2312"/>
          <w:i w:val="0"/>
          <w:sz w:val="21"/>
          <w:szCs w:val="21"/>
        </w:rPr>
      </w:pPr>
      <w:r>
        <w:rPr>
          <w:rFonts w:ascii="宋体" w:hAnsi="宋体" w:cs="仿宋_GB2312"/>
          <w:i w:val="0"/>
          <w:sz w:val="21"/>
          <w:szCs w:val="21"/>
        </w:rPr>
        <w:t>3.国有资本经营预算中的转移支付收入预算，由财政部门根据上级政府提前下达的国有资本经营预算转移支付预计数，以及根据相关政策确定的其他国有资本经营预算转移支付收入编制；转移支付支出预算，由财政部门会同主管部门根据国有资本经营预算项目支出的审核情况进行编制。</w:t>
      </w:r>
    </w:p>
    <w:p/>
    <w:p>
      <w:pPr>
        <w:pStyle w:val="7"/>
      </w:pPr>
      <w:r>
        <w:rPr>
          <w:rFonts w:hint="eastAsia"/>
        </w:rPr>
        <w:t>4. 预算批复</w:t>
      </w:r>
    </w:p>
    <w:p>
      <w:pPr>
        <w:pStyle w:val="8"/>
      </w:pPr>
      <w:r>
        <w:rPr>
          <w:rFonts w:hint="eastAsia"/>
        </w:rPr>
        <w:t>业务概述</w:t>
      </w:r>
    </w:p>
    <w:p>
      <w:pPr>
        <w:ind w:firstLine="420" w:firstLineChars="200"/>
      </w:pPr>
      <w:r>
        <w:rPr>
          <w:rFonts w:hint="eastAsia"/>
        </w:rPr>
        <w:t>地方各级预算经由本级人大批准后，财政部门在规定时间内批复部门预算并下达转移支付预算，同时生成预算指标，登记预算指标账。财政部门、预算部门和单位应在规定时间内公开政府预算、部门预算及单位预算。</w:t>
      </w:r>
    </w:p>
    <w:p>
      <w:pPr>
        <w:pStyle w:val="8"/>
      </w:pPr>
      <w:r>
        <w:rPr>
          <w:rFonts w:hint="eastAsia"/>
        </w:rPr>
        <w:t>建设内容</w:t>
      </w:r>
    </w:p>
    <w:p>
      <w:pPr>
        <w:rPr>
          <w:b/>
        </w:rPr>
      </w:pPr>
      <w:r>
        <w:rPr>
          <w:rFonts w:hint="eastAsia"/>
          <w:b/>
        </w:rPr>
        <w:t>政府预算批复</w:t>
      </w:r>
    </w:p>
    <w:p>
      <w:pPr>
        <w:ind w:firstLine="420" w:firstLineChars="200"/>
      </w:pPr>
      <w:r>
        <w:rPr>
          <w:rFonts w:hint="eastAsia"/>
        </w:rPr>
        <w:t>地方各级预算经由本级人大批准后，财政部门在规定时间内批复部门预算并下达转移支付预算，同时生成预算指标，登记预算指标账。财政部门、预算部门和单位应在规定时间内公开政府预算、部门预算及单位预算。</w:t>
      </w:r>
    </w:p>
    <w:p>
      <w:pPr>
        <w:ind w:firstLine="420" w:firstLineChars="200"/>
      </w:pPr>
      <w:r>
        <w:rPr>
          <w:rFonts w:hint="eastAsia"/>
        </w:rPr>
        <w:t>主要包括以下流程：（</w:t>
      </w:r>
      <w:r>
        <w:t>1</w:t>
      </w:r>
      <w:r>
        <w:rPr>
          <w:rFonts w:hint="eastAsia"/>
        </w:rPr>
        <w:t>）</w:t>
      </w:r>
      <w:r>
        <w:rPr>
          <w:rFonts w:hint="eastAsia"/>
          <w:szCs w:val="28"/>
        </w:rPr>
        <w:t>生成政府预算草案，财政部门生成政府预算草案，应当包括《财政核心业务一体化管理规范》附件</w:t>
      </w:r>
      <w:r>
        <w:rPr>
          <w:szCs w:val="28"/>
        </w:rPr>
        <w:t>3</w:t>
      </w:r>
      <w:r>
        <w:rPr>
          <w:rFonts w:hint="eastAsia"/>
          <w:szCs w:val="28"/>
        </w:rPr>
        <w:t>的附表</w:t>
      </w:r>
      <w:r>
        <w:rPr>
          <w:szCs w:val="28"/>
        </w:rPr>
        <w:t>3</w:t>
      </w:r>
      <w:r>
        <w:rPr>
          <w:rFonts w:hint="eastAsia"/>
          <w:szCs w:val="28"/>
        </w:rPr>
        <w:t>、附表</w:t>
      </w:r>
      <w:r>
        <w:rPr>
          <w:szCs w:val="28"/>
        </w:rPr>
        <w:t>4</w:t>
      </w:r>
      <w:r>
        <w:rPr>
          <w:rFonts w:hint="eastAsia"/>
          <w:szCs w:val="28"/>
        </w:rPr>
        <w:t>。（</w:t>
      </w:r>
      <w:r>
        <w:rPr>
          <w:szCs w:val="28"/>
        </w:rPr>
        <w:t>2</w:t>
      </w:r>
      <w:r>
        <w:rPr>
          <w:rFonts w:hint="eastAsia"/>
          <w:szCs w:val="28"/>
        </w:rPr>
        <w:t>）提交人大审批。（</w:t>
      </w:r>
      <w:r>
        <w:rPr>
          <w:szCs w:val="28"/>
        </w:rPr>
        <w:t>3</w:t>
      </w:r>
      <w:r>
        <w:rPr>
          <w:rFonts w:hint="eastAsia"/>
          <w:szCs w:val="28"/>
        </w:rPr>
        <w:t>）人大审批。（</w:t>
      </w:r>
      <w:r>
        <w:rPr>
          <w:szCs w:val="28"/>
        </w:rPr>
        <w:t>4</w:t>
      </w:r>
      <w:r>
        <w:rPr>
          <w:rFonts w:hint="eastAsia"/>
          <w:szCs w:val="28"/>
        </w:rPr>
        <w:t>）生成指标，</w:t>
      </w:r>
      <w:r>
        <w:rPr>
          <w:rFonts w:hint="eastAsia"/>
        </w:rPr>
        <w:t>本级人大批准政府预算后，系统自动登记预算指标账，相应生成收入和支出预算指标。</w:t>
      </w:r>
    </w:p>
    <w:p>
      <w:pPr>
        <w:ind w:firstLine="420" w:firstLineChars="200"/>
      </w:pPr>
      <w:r>
        <w:rPr>
          <w:rFonts w:hint="eastAsia"/>
        </w:rPr>
        <w:t>政府预算批复需要实现以下报表（包括但不限于）：《一般公共预算收入预算表》《一般公共预算支出预算表》《本级一般公共预算收入预算表》《本级一般公共预算支出预算总表》《本级一般公共预算支出预算表》《本级一般公共预算基本支出表》《本级对下转移支付分项目表》《本级对下转移支付分地区表》《地方政府一般债务余额情况表》等</w:t>
      </w:r>
      <w:r>
        <w:t>9</w:t>
      </w:r>
      <w:r>
        <w:rPr>
          <w:rFonts w:hint="eastAsia"/>
        </w:rPr>
        <w:t>张报表。</w:t>
      </w:r>
    </w:p>
    <w:p>
      <w:pPr>
        <w:ind w:firstLine="420" w:firstLineChars="200"/>
      </w:pPr>
      <w:r>
        <w:rPr>
          <w:rFonts w:hint="eastAsia"/>
        </w:rPr>
        <w:t>报送人大报表《收支总表》《收入总表》《支出总表》《财政拨款收支总表》《一般公共预算支出表》《一般公共预算基本支出表》《一般公共预算“三公”经费支出表》《政府性基金预算支出表》《项目支出表》。</w:t>
      </w:r>
    </w:p>
    <w:p>
      <w:pPr>
        <w:ind w:firstLine="420" w:firstLineChars="200"/>
      </w:pPr>
      <w:r>
        <w:rPr>
          <w:rFonts w:hint="eastAsia" w:ascii="宋体" w:hAnsi="宋体" w:cs="仿宋_GB2312"/>
          <w:szCs w:val="24"/>
        </w:rPr>
        <w:t>政府预算公开数据的导出。按照预算公开要求自动生成报告及报表等，能够保存成</w:t>
      </w:r>
      <w:r>
        <w:rPr>
          <w:rFonts w:ascii="宋体" w:hAnsi="宋体" w:cs="仿宋_GB2312"/>
          <w:szCs w:val="24"/>
        </w:rPr>
        <w:t>PDF格式。</w:t>
      </w:r>
    </w:p>
    <w:p>
      <w:pPr>
        <w:rPr>
          <w:b/>
        </w:rPr>
      </w:pPr>
      <w:r>
        <w:rPr>
          <w:rFonts w:hint="eastAsia"/>
          <w:b/>
        </w:rPr>
        <w:t>转移支付预算下达</w:t>
      </w:r>
    </w:p>
    <w:p>
      <w:pPr>
        <w:ind w:firstLine="420" w:firstLineChars="200"/>
        <w:rPr>
          <w:rFonts w:ascii="宋体" w:hAnsi="宋体"/>
          <w:szCs w:val="24"/>
        </w:rPr>
      </w:pPr>
      <w:r>
        <w:rPr>
          <w:rFonts w:hint="eastAsia" w:ascii="宋体" w:hAnsi="宋体"/>
          <w:szCs w:val="24"/>
        </w:rPr>
        <w:t>本级政府预算经同级人大批准后，财政部门在法定时限内按程序将转移支付预算下达给下级政府。</w:t>
      </w:r>
    </w:p>
    <w:p>
      <w:pPr>
        <w:ind w:firstLine="420" w:firstLineChars="200"/>
        <w:rPr>
          <w:rFonts w:ascii="宋体" w:hAnsi="宋体" w:cs="仿宋_GB2312"/>
          <w:szCs w:val="24"/>
        </w:rPr>
      </w:pPr>
      <w:r>
        <w:rPr>
          <w:rFonts w:hint="eastAsia" w:ascii="宋体" w:hAnsi="宋体" w:cs="仿宋_GB2312"/>
          <w:szCs w:val="24"/>
        </w:rPr>
        <w:t>（</w:t>
      </w:r>
      <w:r>
        <w:rPr>
          <w:rFonts w:ascii="宋体" w:hAnsi="宋体" w:cs="仿宋_GB2312"/>
          <w:szCs w:val="24"/>
        </w:rPr>
        <w:t>1）本级政府预算草案经人大批准后，财政部门生</w:t>
      </w:r>
      <w:r>
        <w:rPr>
          <w:rFonts w:hint="eastAsia" w:ascii="宋体" w:hAnsi="宋体" w:cs="仿宋_GB2312"/>
          <w:szCs w:val="24"/>
        </w:rPr>
        <w:t>成转移支付支出预算指标，包括项目名称、项目代码、预算级次等信息。</w:t>
      </w:r>
    </w:p>
    <w:p>
      <w:pPr>
        <w:ind w:firstLine="420" w:firstLineChars="200"/>
        <w:rPr>
          <w:rFonts w:ascii="宋体" w:hAnsi="宋体" w:cs="仿宋_GB2312"/>
          <w:szCs w:val="24"/>
        </w:rPr>
      </w:pPr>
      <w:r>
        <w:rPr>
          <w:rFonts w:hint="eastAsia"/>
        </w:rPr>
        <w:t>（</w:t>
      </w:r>
      <w:r>
        <w:t>2</w:t>
      </w:r>
      <w:r>
        <w:rPr>
          <w:rFonts w:hint="eastAsia"/>
        </w:rPr>
        <w:t>）</w:t>
      </w:r>
      <w:r>
        <w:rPr>
          <w:rFonts w:ascii="宋体" w:hAnsi="宋体" w:cs="仿宋_GB2312"/>
          <w:szCs w:val="24"/>
        </w:rPr>
        <w:t>对于上级下达的转移支付预算，本级在系统中接收预算指标，项目名称、项目代码、预算级次等要素</w:t>
      </w:r>
      <w:r>
        <w:rPr>
          <w:rFonts w:hint="eastAsia" w:ascii="宋体" w:hAnsi="宋体" w:cs="仿宋_GB2312"/>
          <w:szCs w:val="24"/>
        </w:rPr>
        <w:t>保持不变，细化分解后下达用于本级部门预算支出或对下级的转移支付支出。其中，一般公共预算安排的共同事权转移支付和专项转移支付、政府性基金预算安排的转移支付、国有资本经营预算安排的转移支付，分解下达时继续关联上级下达的转移支付项目，确保在预算执行每个环节可追溯资金来源去向。</w:t>
      </w:r>
    </w:p>
    <w:p>
      <w:pPr>
        <w:ind w:firstLine="420" w:firstLineChars="200"/>
        <w:rPr>
          <w:rFonts w:ascii="宋体" w:hAnsi="宋体" w:cs="仿宋_GB2312"/>
          <w:szCs w:val="24"/>
        </w:rPr>
      </w:pPr>
      <w:r>
        <w:rPr>
          <w:rFonts w:hint="eastAsia" w:ascii="宋体" w:hAnsi="宋体" w:cs="仿宋_GB2312"/>
          <w:szCs w:val="24"/>
        </w:rPr>
        <w:t>（</w:t>
      </w:r>
      <w:r>
        <w:rPr>
          <w:rFonts w:ascii="宋体" w:hAnsi="宋体" w:cs="仿宋_GB2312"/>
          <w:szCs w:val="24"/>
        </w:rPr>
        <w:t>3）人大批复预算后，本级财力安排的未提前下达的转移支付预算，财政部门在系统中相应生成待分</w:t>
      </w:r>
      <w:r>
        <w:rPr>
          <w:rFonts w:hint="eastAsia" w:ascii="宋体" w:hAnsi="宋体" w:cs="仿宋_GB2312"/>
          <w:szCs w:val="24"/>
        </w:rPr>
        <w:t>配</w:t>
      </w:r>
      <w:r>
        <w:rPr>
          <w:rFonts w:ascii="宋体" w:hAnsi="宋体" w:cs="仿宋_GB2312"/>
          <w:szCs w:val="24"/>
        </w:rPr>
        <w:t>指标，指标信息包括项目名称、项目代码、预算级次等，细化分解后下达。一般公共预算安排的共同事权转移支付和专项转移支付、政府性基金预算安排的转移支付、国有资本经营预算安排的转移支付可根据相关要素全程追踪预算下达执行情况。</w:t>
      </w:r>
    </w:p>
    <w:p>
      <w:pPr>
        <w:ind w:firstLine="420" w:firstLineChars="200"/>
        <w:rPr>
          <w:rFonts w:ascii="宋体" w:hAnsi="宋体" w:cs="仿宋_GB2312"/>
          <w:szCs w:val="24"/>
        </w:rPr>
      </w:pPr>
      <w:r>
        <w:rPr>
          <w:rFonts w:hint="eastAsia" w:ascii="宋体" w:hAnsi="宋体" w:cs="仿宋_GB2312"/>
          <w:szCs w:val="24"/>
        </w:rPr>
        <w:t>（</w:t>
      </w:r>
      <w:r>
        <w:rPr>
          <w:rFonts w:ascii="宋体" w:hAnsi="宋体" w:cs="仿宋_GB2312"/>
          <w:szCs w:val="24"/>
        </w:rPr>
        <w:t>4）同一项转移支付既有按因素法分配的，也有项目法分配的，在下达预算文件时，必须分开列示。</w:t>
      </w:r>
    </w:p>
    <w:p>
      <w:pPr>
        <w:ind w:firstLine="420" w:firstLineChars="200"/>
        <w:rPr>
          <w:rFonts w:ascii="宋体" w:hAnsi="宋体" w:cs="仿宋_GB2312"/>
          <w:szCs w:val="24"/>
        </w:rPr>
      </w:pPr>
      <w:r>
        <w:rPr>
          <w:rFonts w:hint="eastAsia" w:ascii="宋体" w:hAnsi="宋体" w:cs="仿宋_GB2312"/>
          <w:szCs w:val="24"/>
        </w:rPr>
        <w:t>（</w:t>
      </w:r>
      <w:r>
        <w:rPr>
          <w:rFonts w:ascii="宋体" w:hAnsi="宋体" w:cs="仿宋_GB2312"/>
          <w:szCs w:val="24"/>
        </w:rPr>
        <w:t>5）上级下达转移支付预算时</w:t>
      </w:r>
      <w:r>
        <w:rPr>
          <w:rFonts w:hint="eastAsia" w:ascii="宋体" w:hAnsi="宋体" w:cs="仿宋_GB2312"/>
          <w:szCs w:val="24"/>
        </w:rPr>
        <w:t>应明确是否需要追踪。若明确需要追踪的，追踪信息包括转移支付项目的分配进度、分配时间、细化后的项目以及未分配预算停留的预算级次、财政内部机构和未分配状态持续时间、执行等情况，由系统自动按预算级次占比拆分支出、结余数。</w:t>
      </w:r>
    </w:p>
    <w:p>
      <w:pPr>
        <w:pStyle w:val="13"/>
        <w:rPr>
          <w:b/>
          <w:i w:val="0"/>
          <w:sz w:val="21"/>
        </w:rPr>
      </w:pPr>
      <w:r>
        <w:rPr>
          <w:rFonts w:hint="eastAsia"/>
          <w:b/>
          <w:i w:val="0"/>
          <w:sz w:val="21"/>
        </w:rPr>
        <w:t>部门预算批复</w:t>
      </w:r>
    </w:p>
    <w:p>
      <w:pPr>
        <w:ind w:firstLine="420" w:firstLineChars="200"/>
        <w:rPr>
          <w:rFonts w:ascii="宋体" w:hAnsi="宋体" w:cs="仿宋_GB2312"/>
          <w:szCs w:val="24"/>
        </w:rPr>
      </w:pPr>
      <w:r>
        <w:rPr>
          <w:rFonts w:hint="eastAsia" w:ascii="宋体" w:hAnsi="宋体" w:cs="仿宋_GB2312"/>
          <w:szCs w:val="24"/>
        </w:rPr>
        <w:t>部门预算批复是指本级政府预算经本级人大批准后，在法定时限内，财政部门向本级各部门批复预算，各部门向所属各单位批复预算。</w:t>
      </w:r>
    </w:p>
    <w:p>
      <w:pPr>
        <w:ind w:firstLine="420" w:firstLineChars="200"/>
        <w:rPr>
          <w:rFonts w:ascii="宋体" w:hAnsi="宋体" w:cs="仿宋_GB2312"/>
          <w:szCs w:val="24"/>
        </w:rPr>
      </w:pPr>
      <w:r>
        <w:rPr>
          <w:rFonts w:ascii="宋体" w:hAnsi="宋体" w:cs="仿宋_GB2312"/>
          <w:szCs w:val="24"/>
        </w:rPr>
        <w:t>1.财政部门应当在本级政府预算经本级人</w:t>
      </w:r>
      <w:r>
        <w:rPr>
          <w:rFonts w:hint="eastAsia" w:ascii="宋体" w:hAnsi="宋体" w:cs="仿宋_GB2312"/>
          <w:szCs w:val="24"/>
        </w:rPr>
        <w:t>大批准后</w:t>
      </w:r>
      <w:r>
        <w:rPr>
          <w:rFonts w:ascii="宋体" w:hAnsi="宋体" w:cs="仿宋_GB2312"/>
          <w:szCs w:val="24"/>
        </w:rPr>
        <w:t>20</w:t>
      </w:r>
      <w:r>
        <w:rPr>
          <w:rFonts w:hint="eastAsia" w:ascii="宋体" w:hAnsi="宋体" w:cs="仿宋_GB2312"/>
          <w:szCs w:val="24"/>
        </w:rPr>
        <w:t>日内向各部门批复预算。各部门应当在接到财政部门批复的本部门预算后</w:t>
      </w:r>
      <w:r>
        <w:rPr>
          <w:rFonts w:ascii="宋体" w:hAnsi="宋体" w:cs="仿宋_GB2312"/>
          <w:szCs w:val="24"/>
        </w:rPr>
        <w:t>15</w:t>
      </w:r>
      <w:r>
        <w:rPr>
          <w:rFonts w:hint="eastAsia" w:ascii="宋体" w:hAnsi="宋体" w:cs="仿宋_GB2312"/>
          <w:szCs w:val="24"/>
        </w:rPr>
        <w:t>日内向所属各单位批复预算。</w:t>
      </w:r>
    </w:p>
    <w:p>
      <w:pPr>
        <w:ind w:firstLine="420" w:firstLineChars="200"/>
        <w:rPr>
          <w:rFonts w:ascii="宋体" w:hAnsi="宋体" w:cs="仿宋_GB2312"/>
          <w:szCs w:val="24"/>
        </w:rPr>
      </w:pPr>
      <w:r>
        <w:rPr>
          <w:rFonts w:ascii="宋体" w:hAnsi="宋体" w:cs="仿宋_GB2312"/>
          <w:szCs w:val="24"/>
        </w:rPr>
        <w:t>2.预算年度开始后，本级预算草案在本级人大批准前，在财政部门审核确认的各部门“二上”预算指标内，部门可以安排下列支出：上年度结转的支出，参照上一年同期的预算支出数额安排必须支付的本年度人员类项目支出、运转类项目支出和特定目标类项目支出，法律规定必须履行支付义务的支出，以及用于自然灾害等突发事件处理的支出。</w:t>
      </w:r>
    </w:p>
    <w:p>
      <w:pPr>
        <w:ind w:firstLine="420" w:firstLineChars="200"/>
        <w:rPr>
          <w:rFonts w:ascii="宋体" w:hAnsi="宋体" w:cs="仿宋_GB2312"/>
          <w:szCs w:val="24"/>
        </w:rPr>
      </w:pPr>
      <w:r>
        <w:rPr>
          <w:rFonts w:ascii="宋体" w:hAnsi="宋体" w:cs="仿宋_GB2312"/>
          <w:szCs w:val="24"/>
        </w:rPr>
        <w:t>3.财政部门批复部门预算之后，在系统中生成各单位财政拨款预算指标、财政专户管理资金和单位资金预算指标。</w:t>
      </w:r>
    </w:p>
    <w:p>
      <w:pPr>
        <w:ind w:firstLine="420" w:firstLineChars="200"/>
        <w:rPr>
          <w:rFonts w:ascii="宋体" w:hAnsi="宋体" w:cs="仿宋_GB2312"/>
          <w:szCs w:val="24"/>
        </w:rPr>
      </w:pPr>
      <w:r>
        <w:rPr>
          <w:rFonts w:ascii="宋体" w:hAnsi="宋体" w:cs="仿宋_GB2312"/>
          <w:szCs w:val="24"/>
        </w:rPr>
        <w:t>4.</w:t>
      </w:r>
      <w:r>
        <w:rPr>
          <w:rFonts w:hint="eastAsia" w:ascii="宋体" w:hAnsi="宋体" w:cs="仿宋_GB2312"/>
          <w:szCs w:val="24"/>
        </w:rPr>
        <w:t>生成政府采购预算、资产配置预算、政府购买服务预算，分别作为政府采购、配置资产、购买服务等活动的控制依据。</w:t>
      </w:r>
    </w:p>
    <w:p>
      <w:pPr>
        <w:ind w:firstLine="420" w:firstLineChars="200"/>
        <w:rPr>
          <w:rFonts w:ascii="宋体" w:hAnsi="宋体" w:cs="仿宋_GB2312"/>
          <w:szCs w:val="24"/>
        </w:rPr>
      </w:pPr>
      <w:r>
        <w:rPr>
          <w:rFonts w:ascii="宋体" w:hAnsi="宋体" w:cs="仿宋_GB2312"/>
          <w:szCs w:val="24"/>
        </w:rPr>
        <w:t>5.</w:t>
      </w:r>
      <w:r>
        <w:rPr>
          <w:rFonts w:hint="eastAsia" w:ascii="宋体" w:hAnsi="宋体" w:cs="仿宋_GB2312"/>
          <w:szCs w:val="24"/>
        </w:rPr>
        <w:t>部门预算公开数据的导出。按照预算公开要求自动生成文字说明、报表等，能够保存成</w:t>
      </w:r>
      <w:r>
        <w:rPr>
          <w:rFonts w:ascii="宋体" w:hAnsi="宋体" w:cs="仿宋_GB2312"/>
          <w:szCs w:val="24"/>
        </w:rPr>
        <w:t>PDF格式。</w:t>
      </w:r>
    </w:p>
    <w:p>
      <w:pPr>
        <w:pStyle w:val="6"/>
      </w:pPr>
      <w:r>
        <w:rPr>
          <w:rFonts w:hint="eastAsia"/>
        </w:rPr>
        <w:t>（四）预算调整和调剂</w:t>
      </w:r>
    </w:p>
    <w:p>
      <w:pPr>
        <w:pStyle w:val="69"/>
        <w:numPr>
          <w:ilvl w:val="1"/>
          <w:numId w:val="5"/>
        </w:numPr>
        <w:spacing w:before="200" w:after="200"/>
        <w:ind w:firstLineChars="0"/>
        <w:jc w:val="left"/>
        <w:outlineLvl w:val="2"/>
        <w:rPr>
          <w:rFonts w:ascii="黑体" w:hAnsi="黑体" w:eastAsia="黑体" w:cs="宋体"/>
          <w:vanish/>
          <w:szCs w:val="21"/>
        </w:rPr>
      </w:pPr>
    </w:p>
    <w:p>
      <w:pPr>
        <w:pStyle w:val="7"/>
      </w:pPr>
      <w:r>
        <w:rPr>
          <w:rFonts w:hint="eastAsia"/>
        </w:rPr>
        <w:t>1. 政府预算调整</w:t>
      </w:r>
    </w:p>
    <w:p>
      <w:pPr>
        <w:pStyle w:val="8"/>
      </w:pPr>
      <w:r>
        <w:rPr>
          <w:rFonts w:hint="eastAsia"/>
        </w:rPr>
        <w:t>业务概述</w:t>
      </w:r>
    </w:p>
    <w:p>
      <w:pPr>
        <w:ind w:firstLine="420" w:firstLineChars="200"/>
        <w:rPr>
          <w:szCs w:val="21"/>
        </w:rPr>
      </w:pPr>
      <w:r>
        <w:rPr>
          <w:rFonts w:hint="eastAsia"/>
          <w:szCs w:val="21"/>
        </w:rPr>
        <w:t>按照预算法规定，经地方各级人大批准的地方各级政府预算，在执行中出现以下四种情形，应当进行预算调整，具体包括：需要增加或者减少预算总支出的、需要动用预算稳定调节基金的、需要调减预算安排的重点支出数额的、需要增加举借债务数额的。</w:t>
      </w:r>
    </w:p>
    <w:p>
      <w:pPr>
        <w:ind w:firstLine="420" w:firstLineChars="200"/>
        <w:rPr>
          <w:szCs w:val="21"/>
        </w:rPr>
      </w:pPr>
      <w:r>
        <w:rPr>
          <w:rFonts w:hint="eastAsia"/>
          <w:szCs w:val="21"/>
        </w:rPr>
        <w:t>在年度预算执行过程中，按照预算法规定需要进行预算调整时，财政部门在财政储备库中选取项目进行编报，如果储备库中没有所需项目，先在项目库中申报形成储备预算项目，编制预算调整方案，报人大审批后登记指标。</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1.经批准的预算调整方案，各级政府应当严格执行。未经上述规定的程序，各级政府不得</w:t>
      </w:r>
      <w:r>
        <w:rPr>
          <w:rFonts w:hint="eastAsia" w:ascii="宋体" w:hAnsi="宋体" w:cs="仿宋_GB2312"/>
          <w:szCs w:val="21"/>
        </w:rPr>
        <w:t>作出预算调整的决定。</w:t>
      </w:r>
    </w:p>
    <w:p>
      <w:pPr>
        <w:ind w:firstLine="420" w:firstLineChars="200"/>
        <w:rPr>
          <w:rFonts w:ascii="宋体" w:hAnsi="宋体" w:cs="仿宋_GB2312"/>
          <w:szCs w:val="21"/>
        </w:rPr>
      </w:pPr>
      <w:r>
        <w:rPr>
          <w:rFonts w:ascii="宋体" w:hAnsi="宋体" w:cs="仿宋_GB2312"/>
          <w:szCs w:val="21"/>
        </w:rPr>
        <w:t>2.地方各级预算的调整方案经批准后，由本级政府报上一级政府备案。</w:t>
      </w:r>
    </w:p>
    <w:p>
      <w:pPr>
        <w:ind w:firstLine="420" w:firstLineChars="200"/>
        <w:rPr>
          <w:rFonts w:ascii="宋体" w:hAnsi="宋体" w:cs="仿宋_GB2312"/>
          <w:szCs w:val="21"/>
        </w:rPr>
      </w:pPr>
      <w:r>
        <w:rPr>
          <w:rFonts w:ascii="宋体" w:hAnsi="宋体" w:cs="仿宋_GB2312"/>
          <w:szCs w:val="21"/>
        </w:rPr>
        <w:t>3.在政府预算执行中，地方各级政府因上级政府增加不需要本级政府提供配套资金的专项转移支付而引起的预算支出变化，不属于预算调整。</w:t>
      </w:r>
    </w:p>
    <w:p>
      <w:pPr>
        <w:ind w:firstLine="420" w:firstLineChars="200"/>
        <w:rPr>
          <w:rFonts w:ascii="宋体" w:hAnsi="宋体" w:cs="仿宋_GB2312"/>
          <w:szCs w:val="21"/>
        </w:rPr>
      </w:pPr>
      <w:r>
        <w:rPr>
          <w:rFonts w:ascii="宋体" w:hAnsi="宋体" w:cs="仿宋_GB2312"/>
          <w:szCs w:val="21"/>
        </w:rPr>
        <w:t>4.接受增加专项转移支付的县级以上地方各级政府应当向本级人大常委会报告有关情况。</w:t>
      </w:r>
    </w:p>
    <w:p>
      <w:pPr>
        <w:ind w:firstLine="420" w:firstLineChars="200"/>
        <w:rPr>
          <w:rFonts w:ascii="宋体" w:hAnsi="宋体" w:cs="仿宋_GB2312"/>
          <w:szCs w:val="21"/>
        </w:rPr>
      </w:pPr>
      <w:r>
        <w:rPr>
          <w:rFonts w:ascii="宋体" w:hAnsi="宋体" w:cs="仿宋_GB2312"/>
          <w:szCs w:val="21"/>
        </w:rPr>
        <w:t>5.为便于实时反馈各级政府的预算调整和调剂情况，</w:t>
      </w:r>
      <w:r>
        <w:rPr>
          <w:rFonts w:hint="eastAsia" w:ascii="宋体" w:hAnsi="宋体" w:cs="仿宋_GB2312"/>
          <w:szCs w:val="21"/>
        </w:rPr>
        <w:t>各级财政部门要在系统中设置《一般公共预算收支预算变动总表》、《政府性基金预算收支预算变动总表》、《国有资本经营预算收支预算变动总表》和《非财力转移支付项目预算分配和支出进度表》等报表（报表样式详见附录</w:t>
      </w:r>
      <w:r>
        <w:rPr>
          <w:rFonts w:ascii="宋体" w:hAnsi="宋体" w:cs="仿宋_GB2312"/>
          <w:szCs w:val="21"/>
        </w:rPr>
        <w:t>3附表4</w:t>
      </w:r>
      <w:r>
        <w:rPr>
          <w:rFonts w:hint="eastAsia" w:ascii="宋体" w:hAnsi="宋体" w:cs="仿宋_GB2312"/>
          <w:szCs w:val="21"/>
        </w:rPr>
        <w:t>，财政部可根据管理需要适时调整报表样式）。</w:t>
      </w:r>
    </w:p>
    <w:p>
      <w:pPr>
        <w:pStyle w:val="7"/>
      </w:pPr>
      <w:r>
        <w:rPr>
          <w:rFonts w:hint="eastAsia"/>
        </w:rPr>
        <w:t>2. 转移支付预算调剂</w:t>
      </w:r>
    </w:p>
    <w:p>
      <w:pPr>
        <w:pStyle w:val="8"/>
      </w:pPr>
      <w:r>
        <w:rPr>
          <w:rFonts w:hint="eastAsia"/>
        </w:rPr>
        <w:t>业务概述</w:t>
      </w:r>
    </w:p>
    <w:p>
      <w:pPr>
        <w:ind w:firstLine="420" w:firstLineChars="200"/>
        <w:rPr>
          <w:rFonts w:ascii="宋体" w:hAnsi="宋体" w:cs="仿宋_GB2312"/>
          <w:szCs w:val="21"/>
        </w:rPr>
      </w:pPr>
      <w:r>
        <w:rPr>
          <w:rFonts w:hint="eastAsia" w:ascii="宋体" w:hAnsi="宋体" w:cs="仿宋_GB2312"/>
          <w:szCs w:val="21"/>
        </w:rPr>
        <w:t>转移支付预算调剂是指预算执行中转移支付支出预算在不同预算科目、预算级次或者项目间的变动，主要包括上级下达转移支付调剂预算（上级对本级新增转移支付、上级对本级减少转移支付）、上下级转移支付科目</w:t>
      </w:r>
      <w:r>
        <w:rPr>
          <w:rFonts w:ascii="宋体" w:hAnsi="宋体" w:cs="仿宋_GB2312"/>
          <w:szCs w:val="21"/>
        </w:rPr>
        <w:t>/项目调剂、本级转移支付科目/项目调剂等。</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1.预算执行中，上下级政府间的转移支付预算下达、上解，可不作为预算调整事项，可由财政部门按照政府预算调剂事项处理。</w:t>
      </w:r>
    </w:p>
    <w:p>
      <w:pPr>
        <w:ind w:firstLine="420" w:firstLineChars="200"/>
        <w:rPr>
          <w:rFonts w:ascii="宋体" w:hAnsi="宋体" w:cs="仿宋_GB2312"/>
          <w:szCs w:val="21"/>
        </w:rPr>
      </w:pPr>
      <w:r>
        <w:rPr>
          <w:rFonts w:ascii="宋体" w:hAnsi="宋体" w:cs="仿宋_GB2312"/>
          <w:szCs w:val="21"/>
        </w:rPr>
        <w:t>2.上级对本级新增（减少）转移支付</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1）执行中接收上级新增下达的转移支付预算，相应</w:t>
      </w:r>
      <w:r>
        <w:rPr>
          <w:rFonts w:hint="eastAsia" w:ascii="宋体" w:hAnsi="宋体" w:cs="仿宋_GB2312"/>
          <w:szCs w:val="21"/>
        </w:rPr>
        <w:t>生成本级转移支付收入预算指标。</w:t>
      </w:r>
    </w:p>
    <w:p>
      <w:pPr>
        <w:ind w:firstLine="420" w:firstLineChars="200"/>
        <w:rPr>
          <w:rFonts w:ascii="宋体" w:hAnsi="宋体" w:cs="仿宋_GB2312"/>
          <w:szCs w:val="21"/>
        </w:rPr>
      </w:pPr>
      <w:r>
        <w:rPr>
          <w:rFonts w:hint="eastAsia" w:ascii="宋体" w:hAnsi="宋体" w:cs="仿宋_GB2312"/>
          <w:szCs w:val="21"/>
        </w:rPr>
        <w:t>对于上级新增下达的本级可统筹使用的一般性转移支付，由本级财政部门自主确定使用方向和项目，按预算级次分解，增加本级部门预算支出或对下级的转移支付支出。</w:t>
      </w:r>
    </w:p>
    <w:p>
      <w:pPr>
        <w:ind w:firstLine="420" w:firstLineChars="200"/>
        <w:rPr>
          <w:rFonts w:ascii="宋体" w:hAnsi="宋体" w:cs="仿宋_GB2312"/>
          <w:szCs w:val="21"/>
        </w:rPr>
      </w:pPr>
      <w:r>
        <w:rPr>
          <w:rFonts w:hint="eastAsia" w:ascii="宋体" w:hAnsi="宋体" w:cs="仿宋_GB2312"/>
          <w:szCs w:val="21"/>
        </w:rPr>
        <w:t>对于上级新增下达的共同事权转移支付、专项转移支付，按上级规定用途使用，由本级财政部门分配，增加本级部门预算支出或对下级的转移支付支出。</w:t>
      </w:r>
    </w:p>
    <w:p>
      <w:pPr>
        <w:ind w:firstLine="420" w:firstLineChars="200"/>
        <w:rPr>
          <w:rFonts w:ascii="宋体" w:hAnsi="宋体" w:cs="仿宋_GB2312"/>
          <w:szCs w:val="21"/>
        </w:rPr>
      </w:pPr>
      <w:r>
        <w:rPr>
          <w:rFonts w:hint="eastAsia" w:ascii="宋体" w:hAnsi="宋体" w:cs="仿宋_GB2312"/>
          <w:szCs w:val="21"/>
        </w:rPr>
        <w:t>对于地方在安排年初预算时已按规定人数和标准全额保障的基本公共服务领域共同事权转移支付项目，中央增量转移支付指标下达后优先用于地方的此项基本公共服务领域的共同事权项目。同时，地方财政可将增量同等额度的本级财政安排的年初预算调剂收回，并按规定程序报批后使用。</w:t>
      </w:r>
    </w:p>
    <w:p>
      <w:pPr>
        <w:ind w:firstLine="420" w:firstLineChars="200"/>
        <w:rPr>
          <w:rFonts w:ascii="宋体" w:hAnsi="宋体" w:cs="仿宋_GB2312"/>
          <w:szCs w:val="21"/>
        </w:rPr>
      </w:pPr>
      <w:r>
        <w:rPr>
          <w:rFonts w:hint="eastAsia" w:ascii="宋体" w:hAnsi="宋体" w:cs="仿宋_GB2312"/>
          <w:szCs w:val="21"/>
        </w:rPr>
        <w:t>对于上级新增下达的政府性基金转移支付、国有资本经营预算转移支付，比照专项转移支付管理，按上级规定用途使用，由本级财政部门分配，增加本级部门预算支出或对下级的转移支付支出。</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2）接收到上级减少转移支付预算</w:t>
      </w:r>
      <w:r>
        <w:rPr>
          <w:rFonts w:hint="eastAsia" w:ascii="宋体" w:hAnsi="宋体" w:cs="仿宋_GB2312"/>
          <w:szCs w:val="21"/>
        </w:rPr>
        <w:t>（负指标）</w:t>
      </w:r>
    </w:p>
    <w:p>
      <w:pPr>
        <w:ind w:firstLine="420" w:firstLineChars="200"/>
        <w:rPr>
          <w:rFonts w:ascii="宋体" w:hAnsi="宋体" w:cs="仿宋_GB2312"/>
          <w:szCs w:val="21"/>
        </w:rPr>
      </w:pPr>
      <w:r>
        <w:rPr>
          <w:rFonts w:hint="eastAsia" w:ascii="宋体" w:hAnsi="宋体" w:cs="仿宋_GB2312"/>
          <w:szCs w:val="21"/>
        </w:rPr>
        <w:t>接收到核减上级下达的转移支付预算（负指标）时，相应的上级转移支付预算未分配到本级部门或下级财政的，则冲减相应的上级转移支付预算。</w:t>
      </w:r>
    </w:p>
    <w:p>
      <w:pPr>
        <w:ind w:firstLine="420" w:firstLineChars="200"/>
        <w:rPr>
          <w:rFonts w:ascii="宋体" w:hAnsi="宋体" w:cs="仿宋_GB2312"/>
          <w:szCs w:val="21"/>
        </w:rPr>
      </w:pPr>
      <w:r>
        <w:rPr>
          <w:rFonts w:hint="eastAsia" w:ascii="宋体" w:hAnsi="宋体" w:cs="仿宋_GB2312"/>
          <w:szCs w:val="21"/>
        </w:rPr>
        <w:t>接收到核减上级下达的转移支付预算（负指标）时，已分配到本级部门或下级财政的，如未列支，则相应冲减部门预算支出预算或补助下级支出预算后，再冲减相应的上级转移支付收入预算；如已列支则通过追回资金或调剂预算等方式处理再冲减相应的上级转移支付预算。</w:t>
      </w:r>
    </w:p>
    <w:p>
      <w:pPr>
        <w:ind w:firstLine="420" w:firstLineChars="200"/>
        <w:rPr>
          <w:rFonts w:ascii="宋体" w:hAnsi="宋体" w:cs="仿宋_GB2312"/>
          <w:szCs w:val="21"/>
        </w:rPr>
      </w:pPr>
      <w:r>
        <w:rPr>
          <w:rFonts w:ascii="宋体" w:hAnsi="宋体" w:cs="仿宋_GB2312"/>
          <w:szCs w:val="21"/>
        </w:rPr>
        <w:t>3.本级新增（减少）对下级的转移支付</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1）预算执行中，对于上级新增下达的转移支付，本级应当在接到上级预算文件后30</w:t>
      </w:r>
      <w:r>
        <w:rPr>
          <w:rFonts w:hint="eastAsia" w:ascii="宋体" w:hAnsi="宋体" w:cs="仿宋_GB2312"/>
          <w:szCs w:val="21"/>
        </w:rPr>
        <w:t>日内下达。</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2）预算执行中，对于据实结算的转移支付项目，</w:t>
      </w:r>
      <w:r>
        <w:rPr>
          <w:rFonts w:hint="eastAsia" w:ascii="宋体" w:hAnsi="宋体" w:cs="仿宋_GB2312"/>
          <w:szCs w:val="21"/>
        </w:rPr>
        <w:t>已下达的转移支付预算大于结算数，下达负指标相应核减已下达的转移支付预算。对于审计、检查中发现问题需要收回预算的，则下达负指标，相应核减原下达的转移支付预算。</w:t>
      </w:r>
    </w:p>
    <w:p>
      <w:pPr>
        <w:ind w:firstLine="420" w:firstLineChars="200"/>
        <w:rPr>
          <w:rFonts w:ascii="宋体" w:hAnsi="宋体" w:cs="仿宋_GB2312"/>
          <w:szCs w:val="21"/>
        </w:rPr>
      </w:pPr>
      <w:r>
        <w:rPr>
          <w:rFonts w:ascii="宋体" w:hAnsi="宋体" w:cs="仿宋_GB2312"/>
          <w:szCs w:val="21"/>
        </w:rPr>
        <w:t>4.除上级明确可以统筹使用的转移支付</w:t>
      </w:r>
      <w:r>
        <w:rPr>
          <w:rFonts w:hint="eastAsia" w:ascii="宋体" w:hAnsi="宋体" w:cs="仿宋_GB2312"/>
          <w:szCs w:val="21"/>
        </w:rPr>
        <w:t>外，下级确需在不同转移支付项目、类级科目间调剂使用的，按程序报上级财政部门审批；审批同意后，上级财政部门下达转移支付预算调剂指标。款、项级科目间调剂使用的，由下级财政部门自行调剂。</w:t>
      </w:r>
    </w:p>
    <w:p>
      <w:pPr>
        <w:ind w:firstLine="420" w:firstLineChars="200"/>
        <w:rPr>
          <w:rFonts w:ascii="宋体" w:hAnsi="宋体" w:cs="仿宋_GB2312"/>
          <w:szCs w:val="21"/>
        </w:rPr>
      </w:pPr>
      <w:r>
        <w:rPr>
          <w:rFonts w:ascii="宋体" w:hAnsi="宋体" w:cs="仿宋_GB2312"/>
          <w:szCs w:val="21"/>
        </w:rPr>
        <w:t>5.预算执行中，年初未落实到项目、编入待分配的转移支付预算发生调剂，需分解落实到具体转移支付项目的，由财政部门办理，下达转移支付预算调剂指标；需报请政府批准的，由财政部门或者由财政部门会同相关部门报请政府批准后办理。</w:t>
      </w:r>
    </w:p>
    <w:p>
      <w:pPr>
        <w:ind w:firstLine="420" w:firstLineChars="200"/>
        <w:rPr>
          <w:rFonts w:ascii="宋体" w:hAnsi="宋体" w:cs="仿宋_GB2312"/>
          <w:szCs w:val="21"/>
        </w:rPr>
      </w:pPr>
      <w:r>
        <w:rPr>
          <w:rFonts w:ascii="宋体" w:hAnsi="宋体" w:cs="仿宋_GB2312"/>
          <w:szCs w:val="21"/>
        </w:rPr>
        <w:t>6.预算执行中，年初未落实到部门或地区的转移支付预算发生调剂，由相关部门、下级政府向本级财政部门提出，由本级财政部门审核办理；需报请本级政府批准的，由本级财政部门或者由本级财政部门会同相关部门报请本级政府批准后办理。</w:t>
      </w:r>
    </w:p>
    <w:p>
      <w:pPr>
        <w:ind w:firstLine="420" w:firstLineChars="200"/>
        <w:rPr>
          <w:rFonts w:ascii="宋体" w:hAnsi="宋体" w:cs="仿宋_GB2312"/>
          <w:szCs w:val="21"/>
        </w:rPr>
      </w:pPr>
      <w:r>
        <w:rPr>
          <w:rFonts w:ascii="宋体" w:hAnsi="宋体" w:cs="仿宋_GB2312"/>
          <w:szCs w:val="21"/>
        </w:rPr>
        <w:t>7.预算执行中，转移支付预算和部门预算之间</w:t>
      </w:r>
      <w:r>
        <w:rPr>
          <w:rFonts w:hint="eastAsia" w:ascii="宋体" w:hAnsi="宋体" w:cs="仿宋_GB2312"/>
          <w:szCs w:val="21"/>
        </w:rPr>
        <w:t>需要转列的（包括部门预算转列转移支付预算，以及转移支付预算转列部门预算），由财政部门按照预算调剂事项处理。</w:t>
      </w:r>
    </w:p>
    <w:p>
      <w:pPr>
        <w:ind w:firstLine="420" w:firstLineChars="200"/>
        <w:rPr>
          <w:rFonts w:ascii="宋体" w:hAnsi="宋体" w:cs="仿宋_GB2312"/>
          <w:szCs w:val="21"/>
        </w:rPr>
      </w:pPr>
      <w:r>
        <w:rPr>
          <w:rFonts w:ascii="宋体" w:hAnsi="宋体" w:cs="仿宋_GB2312"/>
          <w:szCs w:val="21"/>
        </w:rPr>
        <w:t>8.预算执行中，因隶属关系改变引起预算级次变化的，应当按照财政体制规定办理预算划转手续，由相关部门</w:t>
      </w:r>
      <w:r>
        <w:rPr>
          <w:rFonts w:hint="eastAsia" w:ascii="宋体" w:hAnsi="宋体" w:cs="仿宋_GB2312"/>
          <w:szCs w:val="21"/>
        </w:rPr>
        <w:t>和下级财政部门分别向本级财政部门提出，本级财政部门审核办理。</w:t>
      </w:r>
    </w:p>
    <w:p>
      <w:pPr>
        <w:ind w:firstLine="420" w:firstLineChars="200"/>
        <w:rPr>
          <w:rFonts w:ascii="宋体" w:hAnsi="宋体" w:cs="仿宋_GB2312"/>
          <w:szCs w:val="21"/>
        </w:rPr>
      </w:pPr>
      <w:r>
        <w:rPr>
          <w:rFonts w:ascii="宋体" w:hAnsi="宋体" w:cs="仿宋_GB2312"/>
          <w:szCs w:val="21"/>
        </w:rPr>
        <w:t>9.预算执行中，按规定不再安排使用的预算收回后，可以安排用于相关部门或者下级财政部门提出的增支。用于政策既定的项目、政策范围内应急救灾支出的，由本级财政部门审核办理；用于其他方面支出的，由本级财政部门或者本级财政部门会同相关部门报请本级政府批准后办理。</w:t>
      </w:r>
    </w:p>
    <w:p>
      <w:pPr>
        <w:rPr>
          <w:szCs w:val="21"/>
        </w:rPr>
      </w:pPr>
    </w:p>
    <w:p>
      <w:pPr>
        <w:pStyle w:val="7"/>
      </w:pPr>
      <w:r>
        <w:rPr>
          <w:rFonts w:hint="eastAsia"/>
        </w:rPr>
        <w:t>3. 部门预算调剂</w:t>
      </w:r>
    </w:p>
    <w:p>
      <w:pPr>
        <w:pStyle w:val="8"/>
      </w:pPr>
      <w:r>
        <w:rPr>
          <w:rFonts w:hint="eastAsia"/>
        </w:rPr>
        <w:t>业务概述</w:t>
      </w:r>
    </w:p>
    <w:p>
      <w:pPr>
        <w:ind w:firstLine="420" w:firstLineChars="200"/>
        <w:rPr>
          <w:rFonts w:ascii="宋体" w:hAnsi="宋体" w:cs="仿宋_GB2312"/>
          <w:szCs w:val="21"/>
        </w:rPr>
      </w:pPr>
      <w:r>
        <w:rPr>
          <w:rFonts w:hint="eastAsia" w:ascii="宋体" w:hAnsi="宋体" w:cs="仿宋_GB2312"/>
          <w:szCs w:val="21"/>
        </w:rPr>
        <w:t>部门预算批复后，应当强化预算约束，原则上不做调剂，但确需调剂的，按相关程序办理。</w:t>
      </w:r>
    </w:p>
    <w:p>
      <w:pPr>
        <w:ind w:firstLine="420" w:firstLineChars="200"/>
        <w:rPr>
          <w:rFonts w:ascii="宋体" w:hAnsi="宋体" w:cs="仿宋_GB2312"/>
          <w:szCs w:val="21"/>
        </w:rPr>
      </w:pPr>
      <w:r>
        <w:rPr>
          <w:rFonts w:hint="eastAsia" w:ascii="宋体" w:hAnsi="宋体" w:cs="仿宋_GB2312"/>
          <w:szCs w:val="21"/>
        </w:rPr>
        <w:t>部门预算调剂是指预算执行中对单位支出预算在不同预算科目、预算级次或者项目之间的变动。部门预算调剂情形主要包括单位预算限额内科目</w:t>
      </w:r>
      <w:r>
        <w:rPr>
          <w:rFonts w:ascii="宋体" w:hAnsi="宋体" w:cs="仿宋_GB2312"/>
          <w:szCs w:val="21"/>
        </w:rPr>
        <w:t>/预算级次/项目类别/项目等调剂、部门预算限额内单位之间科目/预算级次/项目类别/项目等调剂、预算限额内部门之间项目调剂、部门单位预算限额外年中追加（减）项目资金、年初待分项目细化分配和年中收回项目资金等等（年中追加人员类经费和运转类公用经费见基本支出预算）。</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1.预算调剂的情形</w:t>
      </w:r>
      <w:r>
        <w:rPr>
          <w:rFonts w:hint="eastAsia" w:ascii="宋体" w:hAnsi="宋体" w:cs="仿宋_GB2312"/>
          <w:szCs w:val="21"/>
        </w:rPr>
        <w:t>。</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1）人员编制数变动。根据编制部门印发的编制文件，对单位编制数进行调整而引起的预算增减。</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2）实有人数变动。根据组织部门和</w:t>
      </w:r>
      <w:r>
        <w:rPr>
          <w:rFonts w:hint="eastAsia" w:ascii="宋体" w:hAnsi="宋体" w:cs="仿宋_GB2312"/>
          <w:szCs w:val="21"/>
        </w:rPr>
        <w:t>人社部门批准的人员变动文件，对单位实有人员进行调整而引起的预算增减。</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3）机构职能调整。根据编制</w:t>
      </w:r>
      <w:r>
        <w:rPr>
          <w:rFonts w:hint="eastAsia" w:ascii="宋体" w:hAnsi="宋体" w:cs="仿宋_GB2312"/>
          <w:szCs w:val="21"/>
        </w:rPr>
        <w:t>等部门印发的职能调整文件，对单位职能进行调整，与职能相对应的财政拨款项目预算需要在单位之间划转的。</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4）政府出台增（减）支政策。年度执行中，上级政府、同级政府或上级部门新出台的涉及工资增资、运转类项目标准调整、增加工作任务等增支政策以及政府新出台压减“三公”经费等减支政策。</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5）发生自然灾害等突发事件，需要紧急进行处理的。</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6）上级政府、同级政府、财政部门规定的其他情形。</w:t>
      </w:r>
    </w:p>
    <w:p>
      <w:pPr>
        <w:ind w:firstLine="420" w:firstLineChars="200"/>
        <w:rPr>
          <w:rFonts w:ascii="宋体" w:hAnsi="宋体" w:cs="仿宋_GB2312"/>
          <w:szCs w:val="21"/>
        </w:rPr>
      </w:pPr>
      <w:r>
        <w:rPr>
          <w:rFonts w:ascii="宋体" w:hAnsi="宋体" w:cs="仿宋_GB2312"/>
          <w:szCs w:val="21"/>
        </w:rPr>
        <w:t>2.在部门预算限额以内，</w:t>
      </w:r>
      <w:r>
        <w:rPr>
          <w:rFonts w:hint="eastAsia" w:ascii="宋体" w:hAnsi="宋体" w:cs="仿宋_GB2312"/>
          <w:szCs w:val="21"/>
        </w:rPr>
        <w:t>涉及政府预算支出经济分类同一类级科目下（其中</w:t>
      </w:r>
      <w:r>
        <w:rPr>
          <w:rFonts w:ascii="宋体" w:hAnsi="宋体" w:cs="仿宋_GB2312"/>
          <w:szCs w:val="21"/>
        </w:rPr>
        <w:t>505</w:t>
      </w:r>
      <w:r>
        <w:rPr>
          <w:rFonts w:hint="eastAsia" w:ascii="宋体" w:hAnsi="宋体" w:cs="仿宋_GB2312"/>
          <w:szCs w:val="21"/>
        </w:rPr>
        <w:t>、</w:t>
      </w:r>
      <w:r>
        <w:rPr>
          <w:rFonts w:ascii="宋体" w:hAnsi="宋体" w:cs="仿宋_GB2312"/>
          <w:szCs w:val="21"/>
        </w:rPr>
        <w:t>506到款级</w:t>
      </w:r>
      <w:r>
        <w:rPr>
          <w:rFonts w:hint="eastAsia" w:ascii="宋体" w:hAnsi="宋体" w:cs="仿宋_GB2312"/>
          <w:szCs w:val="21"/>
        </w:rPr>
        <w:t>，</w:t>
      </w:r>
      <w:r>
        <w:rPr>
          <w:rFonts w:ascii="宋体" w:hAnsi="宋体" w:cs="仿宋_GB2312"/>
          <w:szCs w:val="21"/>
        </w:rPr>
        <w:t>下同</w:t>
      </w:r>
      <w:r>
        <w:rPr>
          <w:rFonts w:hint="eastAsia" w:ascii="宋体" w:hAnsi="宋体" w:cs="仿宋_GB2312"/>
          <w:szCs w:val="21"/>
        </w:rPr>
        <w:t>）不同款级科目调剂的，由部门（单位）按照财政部门规定办理。</w:t>
      </w:r>
    </w:p>
    <w:p>
      <w:pPr>
        <w:ind w:firstLine="420" w:firstLineChars="200"/>
        <w:rPr>
          <w:rFonts w:ascii="宋体" w:hAnsi="宋体" w:cs="仿宋_GB2312"/>
          <w:szCs w:val="21"/>
        </w:rPr>
      </w:pPr>
      <w:r>
        <w:rPr>
          <w:rFonts w:ascii="宋体" w:hAnsi="宋体" w:cs="仿宋_GB2312"/>
          <w:szCs w:val="21"/>
        </w:rPr>
        <w:t>3.单位在预算限额以内，涉及支出功能分类</w:t>
      </w:r>
      <w:r>
        <w:rPr>
          <w:rFonts w:hint="eastAsia" w:ascii="宋体" w:hAnsi="宋体" w:cs="仿宋_GB2312"/>
          <w:szCs w:val="21"/>
        </w:rPr>
        <w:t>类、款、项科目、政府预算支出经济分类类级科目和项目类别情况变化的，由单位提出调剂申请，同时在系统中调整相关项目信息，部门审核后报财政部门审核办理。</w:t>
      </w:r>
    </w:p>
    <w:p>
      <w:pPr>
        <w:ind w:firstLine="420" w:firstLineChars="200"/>
        <w:rPr>
          <w:rFonts w:ascii="宋体" w:hAnsi="宋体" w:cs="仿宋_GB2312"/>
          <w:szCs w:val="21"/>
        </w:rPr>
      </w:pPr>
      <w:r>
        <w:rPr>
          <w:rFonts w:ascii="宋体" w:hAnsi="宋体" w:cs="仿宋_GB2312"/>
          <w:szCs w:val="21"/>
        </w:rPr>
        <w:t>4.预算执行中，因人员变化、工作任务调整等情况，在部门预算限额以内，确需在人员类项目间、运转类项目间、特定目标类项目间调剂的，由单位</w:t>
      </w:r>
      <w:r>
        <w:rPr>
          <w:rFonts w:hint="eastAsia" w:ascii="宋体" w:hAnsi="宋体" w:cs="仿宋_GB2312"/>
          <w:szCs w:val="21"/>
        </w:rPr>
        <w:t>提出调剂申请，同时在系统中调整相关项目信息，部门审核后报财政部门审批。</w:t>
      </w:r>
    </w:p>
    <w:p>
      <w:pPr>
        <w:ind w:firstLine="420" w:firstLineChars="200"/>
        <w:rPr>
          <w:rFonts w:ascii="宋体" w:hAnsi="宋体" w:cs="仿宋_GB2312"/>
          <w:szCs w:val="21"/>
        </w:rPr>
      </w:pPr>
      <w:r>
        <w:rPr>
          <w:rFonts w:ascii="宋体" w:hAnsi="宋体" w:cs="仿宋_GB2312"/>
          <w:szCs w:val="21"/>
        </w:rPr>
        <w:t>5.部门在预算限额以内，确需在所属的不同单位间调剂的，由部门</w:t>
      </w:r>
      <w:r>
        <w:rPr>
          <w:rFonts w:hint="eastAsia" w:ascii="宋体" w:hAnsi="宋体" w:cs="仿宋_GB2312"/>
          <w:szCs w:val="21"/>
        </w:rPr>
        <w:t>提出调剂申请，同时在系统中调整相关项目信息，报财政部门审批。</w:t>
      </w:r>
    </w:p>
    <w:p>
      <w:pPr>
        <w:ind w:firstLine="420" w:firstLineChars="200"/>
        <w:rPr>
          <w:rFonts w:ascii="宋体" w:hAnsi="宋体" w:cs="仿宋_GB2312"/>
          <w:szCs w:val="21"/>
        </w:rPr>
      </w:pPr>
      <w:r>
        <w:rPr>
          <w:rFonts w:ascii="宋体" w:hAnsi="宋体" w:cs="仿宋_GB2312"/>
          <w:szCs w:val="21"/>
        </w:rPr>
        <w:t>6.预算执行中，因机构职能调整等原因，当年财政拨款预算需要在部门之间调剂的，由拟划入预算的部门新设相关项目或调增现有项目支出需求，由拟划出预算的部门取消相关项目或调减现有项目支出需求，并由</w:t>
      </w:r>
      <w:r>
        <w:rPr>
          <w:rFonts w:hint="eastAsia" w:ascii="宋体" w:hAnsi="宋体" w:cs="仿宋_GB2312"/>
          <w:szCs w:val="21"/>
        </w:rPr>
        <w:t>划入部门会同划出部门提出预算调剂申请，报财政部门审核办理。</w:t>
      </w:r>
    </w:p>
    <w:p>
      <w:pPr>
        <w:ind w:firstLine="420" w:firstLineChars="200"/>
        <w:rPr>
          <w:rFonts w:ascii="宋体" w:hAnsi="宋体" w:cs="仿宋_GB2312"/>
          <w:szCs w:val="21"/>
        </w:rPr>
      </w:pPr>
      <w:r>
        <w:rPr>
          <w:rFonts w:ascii="宋体" w:hAnsi="宋体" w:cs="仿宋_GB2312"/>
          <w:szCs w:val="21"/>
        </w:rPr>
        <w:t>7.预算执行中，</w:t>
      </w:r>
      <w:r>
        <w:rPr>
          <w:rFonts w:hint="eastAsia" w:ascii="宋体" w:hAnsi="宋体" w:cs="仿宋_GB2312"/>
          <w:szCs w:val="21"/>
        </w:rPr>
        <w:t>除科研项目外，不得改变上年财政拨款结转资金的用途，不需按原用途继续使用的，应当及时交回财政。除科研项目财政拨款结余资金外，其他财政拨款结余资金应当及时交回财政。</w:t>
      </w:r>
    </w:p>
    <w:p>
      <w:pPr>
        <w:ind w:firstLine="420" w:firstLineChars="200"/>
        <w:rPr>
          <w:rFonts w:ascii="宋体" w:hAnsi="宋体" w:cs="仿宋_GB2312"/>
          <w:szCs w:val="21"/>
        </w:rPr>
      </w:pPr>
      <w:r>
        <w:rPr>
          <w:rFonts w:ascii="宋体" w:hAnsi="宋体" w:cs="仿宋_GB2312"/>
          <w:szCs w:val="21"/>
        </w:rPr>
        <w:t>8.预算执行中，原列单位支出的预算</w:t>
      </w:r>
      <w:r>
        <w:rPr>
          <w:rFonts w:hint="eastAsia" w:ascii="宋体" w:hAnsi="宋体" w:cs="仿宋_GB2312"/>
          <w:szCs w:val="21"/>
        </w:rPr>
        <w:t>需要转列对下级转移支付预算的，由财政部门先收回单位支出预算，再由相关部门向财政部门提出申请，财政部门审核后办理。</w:t>
      </w:r>
    </w:p>
    <w:p>
      <w:pPr>
        <w:ind w:firstLine="420" w:firstLineChars="200"/>
        <w:rPr>
          <w:rFonts w:ascii="宋体" w:hAnsi="宋体" w:cs="仿宋_GB2312"/>
          <w:szCs w:val="21"/>
        </w:rPr>
      </w:pPr>
      <w:r>
        <w:rPr>
          <w:rFonts w:ascii="宋体" w:hAnsi="宋体" w:cs="仿宋_GB2312"/>
          <w:szCs w:val="21"/>
        </w:rPr>
        <w:t xml:space="preserve">9.预算执行中，年初未落实到部门的预算需要再细化的，由相关部门向财政部门申请，由财政部门审核办理；需报请政府批准的，由财政部门或者由财政部门会同相关部门报请政府批准后办理。  </w:t>
      </w:r>
    </w:p>
    <w:p>
      <w:pPr>
        <w:ind w:firstLine="420" w:firstLineChars="200"/>
        <w:rPr>
          <w:rFonts w:ascii="宋体" w:hAnsi="宋体" w:cs="仿宋_GB2312"/>
          <w:szCs w:val="21"/>
        </w:rPr>
      </w:pPr>
      <w:r>
        <w:rPr>
          <w:rFonts w:ascii="宋体" w:hAnsi="宋体" w:cs="仿宋_GB2312"/>
          <w:szCs w:val="21"/>
        </w:rPr>
        <w:t>10.对于政府新出台增（减）支政策，确需增（减）部门支出预算的，由部门向财政部门提出申请，财政部门根据增支（</w:t>
      </w:r>
      <w:r>
        <w:rPr>
          <w:rFonts w:hint="eastAsia" w:ascii="宋体" w:hAnsi="宋体" w:cs="仿宋_GB2312"/>
          <w:szCs w:val="21"/>
        </w:rPr>
        <w:t>减</w:t>
      </w:r>
      <w:r>
        <w:rPr>
          <w:rFonts w:ascii="宋体" w:hAnsi="宋体" w:cs="仿宋_GB2312"/>
          <w:szCs w:val="21"/>
        </w:rPr>
        <w:t>支）等有关规定审核办理，并追加（追减）部门支出预算。</w:t>
      </w:r>
    </w:p>
    <w:p>
      <w:pPr>
        <w:ind w:firstLine="420" w:firstLineChars="200"/>
        <w:rPr>
          <w:rFonts w:ascii="宋体" w:hAnsi="宋体" w:cs="仿宋_GB2312"/>
          <w:szCs w:val="21"/>
        </w:rPr>
      </w:pPr>
      <w:r>
        <w:rPr>
          <w:rFonts w:ascii="宋体" w:hAnsi="宋体" w:cs="仿宋_GB2312"/>
          <w:szCs w:val="21"/>
        </w:rPr>
        <w:t>11.</w:t>
      </w:r>
      <w:r>
        <w:rPr>
          <w:rFonts w:hint="eastAsia" w:ascii="宋体" w:hAnsi="宋体" w:cs="仿宋_GB2312"/>
          <w:szCs w:val="21"/>
        </w:rPr>
        <w:t>年中收回资金</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1）预算执行中，因项目</w:t>
      </w:r>
      <w:r>
        <w:rPr>
          <w:rFonts w:hint="eastAsia" w:ascii="宋体" w:hAnsi="宋体" w:cs="仿宋_GB2312"/>
          <w:szCs w:val="21"/>
        </w:rPr>
        <w:t>任务完成、项目提前终止、项目计划变更等原因，当年或以后年度不需要继续支出的项目财政结转结余资金，由部门向财政部门提出申请交回，财政部门审核办理，并核减相应项目预算。</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2）财政部门根据实际情况于年中收回部分项目资金。</w:t>
      </w:r>
    </w:p>
    <w:p>
      <w:pPr>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3）预算执行中，按规定收回的财政结转结余资金，可以安排用于相关部门或者下级财政部门提出的增支。</w:t>
      </w:r>
    </w:p>
    <w:p>
      <w:pPr>
        <w:ind w:firstLine="420" w:firstLineChars="200"/>
        <w:rPr>
          <w:rFonts w:ascii="宋体" w:hAnsi="宋体" w:cs="仿宋_GB2312"/>
          <w:szCs w:val="21"/>
        </w:rPr>
      </w:pPr>
      <w:r>
        <w:rPr>
          <w:rFonts w:ascii="宋体" w:hAnsi="宋体" w:cs="仿宋_GB2312"/>
          <w:szCs w:val="21"/>
        </w:rPr>
        <w:t>12.需要调整</w:t>
      </w:r>
      <w:r>
        <w:rPr>
          <w:rFonts w:hint="eastAsia" w:ascii="宋体" w:hAnsi="宋体" w:cs="仿宋_GB2312"/>
          <w:szCs w:val="21"/>
        </w:rPr>
        <w:t>专项债券资金用途的，报本级政府同意后，逐级汇总上报上级财政部门，最终由省级财政部门报省级政府同意后，向社会予以公告。</w:t>
      </w:r>
    </w:p>
    <w:p>
      <w:pPr>
        <w:ind w:firstLine="420" w:firstLineChars="200"/>
        <w:rPr>
          <w:rFonts w:ascii="宋体" w:hAnsi="宋体" w:cs="仿宋_GB2312"/>
          <w:szCs w:val="21"/>
        </w:rPr>
      </w:pPr>
      <w:r>
        <w:rPr>
          <w:rFonts w:ascii="宋体" w:hAnsi="宋体" w:cs="仿宋_GB2312"/>
          <w:szCs w:val="21"/>
        </w:rPr>
        <w:t>13.由财政部门审核办理和报请政府批准后办理的预算调剂事项，相关部门应当按照财政部门规定的时限提出预算调剂申请，说明预算调剂的事项、理由、预算科目、预算数、测算依据和绩效目标变动情况等，按程序审核办理后执行。</w:t>
      </w:r>
    </w:p>
    <w:p>
      <w:pPr>
        <w:ind w:firstLine="420" w:firstLineChars="200"/>
        <w:rPr>
          <w:rFonts w:ascii="宋体" w:hAnsi="宋体" w:cs="仿宋_GB2312"/>
          <w:szCs w:val="21"/>
        </w:rPr>
      </w:pPr>
      <w:r>
        <w:rPr>
          <w:rFonts w:ascii="宋体" w:hAnsi="宋体" w:cs="仿宋_GB2312"/>
          <w:szCs w:val="21"/>
        </w:rPr>
        <w:t>14.财政部门办理预算调剂文件，必须同步在系统中登记预算指标。预算文件签发后，系统</w:t>
      </w:r>
      <w:r>
        <w:rPr>
          <w:rFonts w:hint="eastAsia" w:ascii="宋体" w:hAnsi="宋体" w:cs="仿宋_GB2312"/>
          <w:szCs w:val="21"/>
        </w:rPr>
        <w:t>指标也相应完成调剂。</w:t>
      </w:r>
    </w:p>
    <w:p>
      <w:pPr>
        <w:ind w:firstLine="420" w:firstLineChars="200"/>
        <w:rPr>
          <w:rFonts w:ascii="宋体" w:hAnsi="宋体" w:cs="仿宋_GB2312"/>
          <w:szCs w:val="21"/>
        </w:rPr>
      </w:pPr>
      <w:r>
        <w:rPr>
          <w:rFonts w:ascii="宋体" w:hAnsi="宋体" w:cs="仿宋_GB2312"/>
          <w:szCs w:val="21"/>
        </w:rPr>
        <w:t>15.预算执行中，对于因年初预算编制不准确、项目管理不规范等，对财政已批复预算进行调剂且调剂金额达到年初预算一定比例以上的部门，应核减部门下一年度预算，具体办法由财政部门确定。</w:t>
      </w:r>
    </w:p>
    <w:p>
      <w:pPr>
        <w:ind w:firstLine="420" w:firstLineChars="200"/>
        <w:rPr>
          <w:rFonts w:ascii="宋体" w:hAnsi="宋体" w:cs="仿宋_GB2312"/>
          <w:szCs w:val="21"/>
        </w:rPr>
      </w:pPr>
      <w:r>
        <w:rPr>
          <w:rFonts w:ascii="宋体" w:hAnsi="宋体" w:cs="仿宋_GB2312"/>
          <w:szCs w:val="21"/>
        </w:rPr>
        <w:t>16．</w:t>
      </w:r>
      <w:r>
        <w:rPr>
          <w:rFonts w:hint="eastAsia" w:ascii="宋体" w:hAnsi="宋体" w:cs="仿宋_GB2312"/>
          <w:szCs w:val="21"/>
        </w:rPr>
        <w:t>预算执行过程中，人员信息定期更新信息完成终审后的数据，通过数据同步，完成人员类项目调整，同时自动形成人员经费调增（调减）指标。</w:t>
      </w:r>
    </w:p>
    <w:p>
      <w:pPr>
        <w:pStyle w:val="69"/>
        <w:keepNext/>
        <w:keepLines/>
        <w:numPr>
          <w:ilvl w:val="0"/>
          <w:numId w:val="7"/>
        </w:numPr>
        <w:spacing w:before="340" w:after="330"/>
        <w:ind w:firstLineChars="0"/>
        <w:outlineLvl w:val="0"/>
        <w:rPr>
          <w:b/>
          <w:bCs/>
          <w:vanish/>
          <w:kern w:val="44"/>
          <w:szCs w:val="21"/>
        </w:rPr>
      </w:pPr>
    </w:p>
    <w:p>
      <w:pPr>
        <w:pStyle w:val="6"/>
      </w:pPr>
      <w:r>
        <w:rPr>
          <w:rFonts w:hint="eastAsia"/>
        </w:rPr>
        <w:t>（五）结转结余</w:t>
      </w:r>
    </w:p>
    <w:p>
      <w:pPr>
        <w:pStyle w:val="13"/>
        <w:ind w:firstLine="420"/>
        <w:rPr>
          <w:rFonts w:ascii="宋体" w:hAnsi="宋体" w:cs="仿宋_GB2312"/>
          <w:i w:val="0"/>
          <w:sz w:val="21"/>
          <w:szCs w:val="21"/>
        </w:rPr>
      </w:pPr>
      <w:r>
        <w:rPr>
          <w:rFonts w:hint="eastAsia" w:ascii="宋体" w:hAnsi="宋体" w:cs="仿宋_GB2312"/>
          <w:i w:val="0"/>
          <w:sz w:val="21"/>
          <w:szCs w:val="21"/>
        </w:rPr>
        <w:t>近年来，各级财政部门按照国务院部署和要求，在清理结余资金、盘活存量资金方面做了大量工作，取得了一定成效，但从审计部门审计情况和部门决算反映情况来看，各级财政部门存量资金的数额依然较大，财政资金的使用效益未能有效发挥，结转结余资金管理仍然存在一些亟待解决问题，主要表现在：一是对部门和单位的预算执行的约束机制尚未形成，预算调剂没有规范的程序，预算单位“年初使劲要钱、执行中花不出去、花不完下年就调剂”的现象比较突出。二是结转资金使用与下年预算编制衔接不够，编制下年预算时，当年预算尚在执行中，无法确认年底的结转结余资金情况，部门预计结转资金相对随意，财政部门相应不能有效控制，造成一边资金结转下年继续使用，一边又继续安排预算，资金重复安排和闲置较多。三是部门清理交回结余资金不及时、不主动，大量结余资金沉淀在部门和单位。</w:t>
      </w:r>
    </w:p>
    <w:p>
      <w:pPr>
        <w:pStyle w:val="13"/>
        <w:ind w:firstLine="420"/>
        <w:rPr>
          <w:rFonts w:ascii="宋体" w:hAnsi="宋体" w:cs="仿宋_GB2312"/>
          <w:i w:val="0"/>
          <w:sz w:val="21"/>
          <w:szCs w:val="21"/>
        </w:rPr>
      </w:pPr>
      <w:r>
        <w:rPr>
          <w:rFonts w:hint="eastAsia" w:ascii="宋体" w:hAnsi="宋体" w:cs="仿宋_GB2312"/>
          <w:i w:val="0"/>
          <w:sz w:val="21"/>
          <w:szCs w:val="21"/>
        </w:rPr>
        <w:t>为此，《规范》提出建立结转结余资金统筹使用、规范调剂和自动收回等相关管理机制，进一步加强对结转结余资金的管理。</w:t>
      </w:r>
    </w:p>
    <w:p>
      <w:pPr>
        <w:pStyle w:val="69"/>
        <w:numPr>
          <w:ilvl w:val="1"/>
          <w:numId w:val="6"/>
        </w:numPr>
        <w:spacing w:before="200" w:after="200"/>
        <w:ind w:firstLineChars="0"/>
        <w:jc w:val="left"/>
        <w:outlineLvl w:val="2"/>
        <w:rPr>
          <w:rFonts w:ascii="黑体" w:hAnsi="黑体" w:eastAsia="黑体" w:cs="宋体"/>
          <w:vanish/>
          <w:szCs w:val="21"/>
        </w:rPr>
      </w:pPr>
    </w:p>
    <w:p>
      <w:pPr>
        <w:pStyle w:val="7"/>
      </w:pPr>
      <w:r>
        <w:rPr>
          <w:rFonts w:hint="eastAsia"/>
        </w:rPr>
        <w:t xml:space="preserve">1. </w:t>
      </w:r>
      <w:r>
        <w:t>财政资金</w:t>
      </w:r>
      <w:r>
        <w:rPr>
          <w:rFonts w:hint="eastAsia"/>
        </w:rPr>
        <w:t>结转结余</w:t>
      </w:r>
    </w:p>
    <w:p>
      <w:pPr>
        <w:pStyle w:val="8"/>
      </w:pPr>
      <w:r>
        <w:rPr>
          <w:rFonts w:hint="eastAsia"/>
        </w:rPr>
        <w:t>业务概述</w:t>
      </w:r>
    </w:p>
    <w:p>
      <w:pPr>
        <w:ind w:firstLine="420" w:firstLineChars="200"/>
        <w:rPr>
          <w:rFonts w:ascii="宋体" w:hAnsi="宋体" w:cs="仿宋_GB2312"/>
          <w:szCs w:val="21"/>
        </w:rPr>
      </w:pPr>
      <w:r>
        <w:rPr>
          <w:rFonts w:hint="eastAsia" w:ascii="宋体" w:hAnsi="宋体" w:cs="仿宋_GB2312"/>
          <w:szCs w:val="21"/>
        </w:rPr>
        <w:t>预算年度结束后，各部门、各单位对财政资金结转结余资金进行清理，对形成结转和结余的原因进行分析说明，并报财政部门。财政部门对财政资金结转结余进行确认。各级财政部门可根据需要自行配置部分清理规则。</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1.预算年度结束后，系统按项目自动计算财政资金结转结余，生成财政资金结转结余核批表。</w:t>
      </w:r>
    </w:p>
    <w:p>
      <w:pPr>
        <w:ind w:firstLine="420" w:firstLineChars="200"/>
        <w:rPr>
          <w:rFonts w:ascii="宋体" w:hAnsi="宋体" w:cs="仿宋_GB2312"/>
          <w:szCs w:val="21"/>
        </w:rPr>
      </w:pPr>
      <w:r>
        <w:rPr>
          <w:rFonts w:ascii="宋体" w:hAnsi="宋体" w:cs="仿宋_GB2312"/>
          <w:szCs w:val="21"/>
        </w:rPr>
        <w:t>2.一般公共预算结转结余计算口径为“当年预算指标数减去当年实际支出数”，由系统自动生成，有关信息要素与预算指标保持一致。</w:t>
      </w:r>
    </w:p>
    <w:p>
      <w:pPr>
        <w:ind w:firstLine="420" w:firstLineChars="200"/>
        <w:rPr>
          <w:rFonts w:ascii="宋体" w:hAnsi="宋体" w:cs="仿宋_GB2312"/>
          <w:szCs w:val="21"/>
        </w:rPr>
      </w:pPr>
      <w:r>
        <w:rPr>
          <w:rFonts w:hint="eastAsia" w:ascii="宋体" w:hAnsi="宋体" w:cs="仿宋_GB2312"/>
          <w:szCs w:val="21"/>
        </w:rPr>
        <w:t>政府性基金预算、国有资本经营预算实际收入大于或等于支出预算的，结转结余计算口径为“当年预算指标数减去当年实际支出数”，由系统自动生成，有关信息要素与预算指标保持一致。实际收入小于支出预算的，根据实际收入和支出情况核定结转结余。</w:t>
      </w:r>
    </w:p>
    <w:p>
      <w:pPr>
        <w:ind w:firstLine="420" w:firstLineChars="200"/>
        <w:rPr>
          <w:rFonts w:ascii="宋体" w:hAnsi="宋体" w:cs="仿宋_GB2312"/>
          <w:szCs w:val="21"/>
        </w:rPr>
      </w:pPr>
      <w:r>
        <w:rPr>
          <w:rFonts w:ascii="宋体" w:hAnsi="宋体" w:cs="仿宋_GB2312"/>
          <w:szCs w:val="21"/>
        </w:rPr>
        <w:t>3.单位在系统中对财政资金结转结余</w:t>
      </w:r>
      <w:r>
        <w:rPr>
          <w:rFonts w:hint="eastAsia" w:ascii="宋体" w:hAnsi="宋体" w:cs="仿宋_GB2312"/>
          <w:szCs w:val="21"/>
        </w:rPr>
        <w:t>核批表进行核对，按照财政部发布的新旧科目转换表进行新年度科目调整。</w:t>
      </w:r>
    </w:p>
    <w:p>
      <w:pPr>
        <w:ind w:firstLine="420" w:firstLineChars="200"/>
        <w:rPr>
          <w:rFonts w:ascii="宋体" w:hAnsi="宋体" w:cs="仿宋_GB2312"/>
          <w:szCs w:val="21"/>
        </w:rPr>
      </w:pPr>
      <w:r>
        <w:rPr>
          <w:rFonts w:ascii="宋体" w:hAnsi="宋体" w:cs="仿宋_GB2312"/>
          <w:szCs w:val="21"/>
        </w:rPr>
        <w:t>4.单位确认无误后将核批表报主管部门审核，主管部门审核后，汇总报送至财政部门。</w:t>
      </w:r>
    </w:p>
    <w:p>
      <w:pPr>
        <w:ind w:firstLine="420" w:firstLineChars="200"/>
        <w:rPr>
          <w:rFonts w:ascii="宋体" w:hAnsi="宋体" w:cs="仿宋_GB2312"/>
          <w:szCs w:val="21"/>
        </w:rPr>
      </w:pPr>
      <w:r>
        <w:rPr>
          <w:rFonts w:ascii="宋体" w:hAnsi="宋体" w:cs="仿宋_GB2312"/>
          <w:szCs w:val="21"/>
        </w:rPr>
        <w:t>5.财政部门审核主管部门报送的财政资金结转结余核批表。</w:t>
      </w:r>
    </w:p>
    <w:p>
      <w:pPr>
        <w:ind w:firstLine="420" w:firstLineChars="200"/>
        <w:rPr>
          <w:rFonts w:ascii="宋体" w:hAnsi="宋体" w:cs="仿宋_GB2312"/>
          <w:szCs w:val="21"/>
        </w:rPr>
      </w:pPr>
      <w:r>
        <w:rPr>
          <w:rFonts w:ascii="宋体" w:hAnsi="宋体" w:cs="仿宋_GB2312"/>
          <w:szCs w:val="21"/>
        </w:rPr>
        <w:t>6.系统按照财政部门审核通过后的财政资金结转结余核批表，生成财政资金结转指标和财政资金结余指标，并登记预算指标账。</w:t>
      </w:r>
    </w:p>
    <w:p>
      <w:pPr>
        <w:ind w:firstLine="420" w:firstLineChars="200"/>
        <w:rPr>
          <w:rFonts w:ascii="宋体" w:hAnsi="宋体" w:cs="仿宋_GB2312"/>
          <w:szCs w:val="21"/>
        </w:rPr>
      </w:pPr>
      <w:r>
        <w:rPr>
          <w:rFonts w:ascii="宋体" w:hAnsi="宋体" w:cs="仿宋_GB2312"/>
          <w:szCs w:val="21"/>
        </w:rPr>
        <w:t>7.财政部门发文对财政资金结余指标进行收回，系统根据发文注销财政资金结余指标，并登记预算指标账。</w:t>
      </w:r>
    </w:p>
    <w:p>
      <w:pPr>
        <w:ind w:firstLine="420" w:firstLineChars="200"/>
        <w:rPr>
          <w:rFonts w:ascii="宋体" w:hAnsi="宋体" w:cs="仿宋_GB2312"/>
          <w:szCs w:val="21"/>
        </w:rPr>
      </w:pPr>
      <w:r>
        <w:rPr>
          <w:rFonts w:ascii="宋体" w:hAnsi="宋体" w:cs="仿宋_GB2312"/>
          <w:szCs w:val="21"/>
        </w:rPr>
        <w:t>8.科研项目财政资金结余资金中符合相关条件的，报财政部门确认后，可在一定期限内由项目单位统筹安排用于科研活动的直接支出。</w:t>
      </w:r>
    </w:p>
    <w:p>
      <w:pPr>
        <w:ind w:firstLine="420" w:firstLineChars="200"/>
        <w:rPr>
          <w:rFonts w:ascii="宋体" w:hAnsi="宋体"/>
          <w:szCs w:val="21"/>
        </w:rPr>
      </w:pPr>
      <w:r>
        <w:rPr>
          <w:rFonts w:ascii="宋体" w:hAnsi="宋体" w:cs="仿宋_GB2312"/>
          <w:szCs w:val="21"/>
        </w:rPr>
        <w:t>9.</w:t>
      </w:r>
      <w:r>
        <w:rPr>
          <w:rFonts w:hint="eastAsia" w:ascii="宋体" w:hAnsi="宋体" w:cs="仿宋_GB2312"/>
          <w:szCs w:val="21"/>
        </w:rPr>
        <w:t>专项债券支持的项目结余资金，由财政收回用于偿还相应项目的债务本金和利息。</w:t>
      </w:r>
    </w:p>
    <w:p>
      <w:pPr>
        <w:pStyle w:val="7"/>
      </w:pPr>
      <w:r>
        <w:rPr>
          <w:rFonts w:hint="eastAsia"/>
        </w:rPr>
        <w:t>2. 单位资金结转结余</w:t>
      </w:r>
    </w:p>
    <w:p>
      <w:pPr>
        <w:pStyle w:val="8"/>
      </w:pPr>
      <w:r>
        <w:rPr>
          <w:rFonts w:hint="eastAsia"/>
        </w:rPr>
        <w:t>业务概述</w:t>
      </w:r>
    </w:p>
    <w:p>
      <w:pPr>
        <w:ind w:firstLine="420" w:firstLineChars="200"/>
        <w:rPr>
          <w:rFonts w:ascii="宋体" w:hAnsi="宋体" w:cs="仿宋_GB2312"/>
          <w:szCs w:val="21"/>
        </w:rPr>
      </w:pPr>
      <w:r>
        <w:rPr>
          <w:rFonts w:hint="eastAsia" w:ascii="宋体" w:hAnsi="宋体" w:cs="仿宋_GB2312"/>
          <w:szCs w:val="21"/>
        </w:rPr>
        <w:t>在预算年度结束后，各部门、各单位应对未用完的单位资金情况进行清理，并报财政部门。财政部门对单位资金的结转结余进行确认。</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1.预算年度结束后，系统根据单位实有资金余额生成</w:t>
      </w:r>
      <w:r>
        <w:rPr>
          <w:rFonts w:hint="eastAsia" w:ascii="宋体" w:hAnsi="宋体" w:cs="仿宋_GB2312"/>
          <w:szCs w:val="21"/>
        </w:rPr>
        <w:t>单位资金结转结余核批表。单位资金结转结余核批表包括单位信息、指标类型、资金性质等要素信息。</w:t>
      </w:r>
    </w:p>
    <w:p>
      <w:pPr>
        <w:ind w:firstLine="420" w:firstLineChars="200"/>
        <w:rPr>
          <w:rFonts w:ascii="宋体" w:hAnsi="宋体" w:cs="仿宋_GB2312"/>
          <w:szCs w:val="21"/>
        </w:rPr>
      </w:pPr>
      <w:r>
        <w:rPr>
          <w:rFonts w:ascii="宋体" w:hAnsi="宋体" w:cs="仿宋_GB2312"/>
          <w:szCs w:val="21"/>
        </w:rPr>
        <w:t>2.单位在系统中对</w:t>
      </w:r>
      <w:r>
        <w:rPr>
          <w:rFonts w:hint="eastAsia" w:ascii="宋体" w:hAnsi="宋体" w:cs="仿宋_GB2312"/>
          <w:szCs w:val="21"/>
        </w:rPr>
        <w:t>核批表进行核对确认，确认后报财政部门。需要主管部门审核的，由主管部门审核后，汇总报送财政部门。</w:t>
      </w:r>
    </w:p>
    <w:p>
      <w:pPr>
        <w:ind w:firstLine="420" w:firstLineChars="200"/>
        <w:rPr>
          <w:rFonts w:ascii="宋体" w:hAnsi="宋体" w:cs="仿宋_GB2312"/>
          <w:szCs w:val="21"/>
        </w:rPr>
      </w:pPr>
      <w:r>
        <w:rPr>
          <w:rFonts w:ascii="宋体" w:hAnsi="宋体" w:cs="仿宋_GB2312"/>
          <w:szCs w:val="21"/>
        </w:rPr>
        <w:t>3.财政部门对单位资金结转结余</w:t>
      </w:r>
      <w:r>
        <w:rPr>
          <w:rFonts w:hint="eastAsia" w:ascii="宋体" w:hAnsi="宋体" w:cs="仿宋_GB2312"/>
          <w:szCs w:val="21"/>
        </w:rPr>
        <w:t>核批表进行审核确认。</w:t>
      </w:r>
    </w:p>
    <w:p>
      <w:pPr>
        <w:ind w:firstLine="420" w:firstLineChars="200"/>
        <w:rPr>
          <w:rFonts w:ascii="宋体" w:hAnsi="宋体" w:cs="仿宋_GB2312"/>
          <w:szCs w:val="21"/>
        </w:rPr>
      </w:pPr>
      <w:r>
        <w:rPr>
          <w:rFonts w:ascii="宋体" w:hAnsi="宋体" w:cs="仿宋_GB2312"/>
          <w:szCs w:val="21"/>
        </w:rPr>
        <w:t>4.单位应将单位资金结转结余列入下一年度预算编报。</w:t>
      </w:r>
    </w:p>
    <w:p>
      <w:pPr>
        <w:pStyle w:val="7"/>
      </w:pPr>
      <w:r>
        <w:rPr>
          <w:rFonts w:hint="eastAsia"/>
        </w:rPr>
        <w:t>3. 专项转移支付结转结余管理</w:t>
      </w:r>
    </w:p>
    <w:p>
      <w:pPr>
        <w:pStyle w:val="8"/>
      </w:pPr>
      <w:r>
        <w:rPr>
          <w:rFonts w:hint="eastAsia"/>
        </w:rPr>
        <w:t>业务概述</w:t>
      </w:r>
    </w:p>
    <w:p>
      <w:pPr>
        <w:ind w:firstLine="420" w:firstLineChars="200"/>
        <w:rPr>
          <w:rFonts w:ascii="宋体" w:hAnsi="宋体" w:cs="仿宋_GB2312"/>
          <w:szCs w:val="21"/>
        </w:rPr>
      </w:pPr>
      <w:r>
        <w:rPr>
          <w:rFonts w:hint="eastAsia" w:ascii="宋体" w:hAnsi="宋体" w:cs="仿宋_GB2312"/>
          <w:szCs w:val="21"/>
        </w:rPr>
        <w:t>在预算年度结束后，下级财政应对专项转移支付结转结余资金情况进行清理并报上级财政。专项转移支付结转结余资金，包括一般公共预算安排的转移支付和政府性基金预算安排的转移支付。</w:t>
      </w:r>
    </w:p>
    <w:p>
      <w:pPr>
        <w:pStyle w:val="8"/>
      </w:pPr>
      <w:r>
        <w:rPr>
          <w:rFonts w:hint="eastAsia"/>
        </w:rPr>
        <w:t>建设内容</w:t>
      </w:r>
    </w:p>
    <w:p>
      <w:pPr>
        <w:ind w:firstLine="420" w:firstLineChars="200"/>
        <w:rPr>
          <w:rFonts w:ascii="宋体" w:hAnsi="宋体" w:cs="仿宋_GB2312"/>
          <w:szCs w:val="21"/>
        </w:rPr>
      </w:pPr>
      <w:r>
        <w:rPr>
          <w:rFonts w:ascii="宋体" w:hAnsi="宋体" w:cs="仿宋_GB2312"/>
          <w:szCs w:val="21"/>
        </w:rPr>
        <w:t>1.上级财政专项转移支付资金中，下级财政尚未分配到部门或地方，并连续结转两年的资金，应交回上级财政统筹使用。</w:t>
      </w:r>
    </w:p>
    <w:p>
      <w:pPr>
        <w:ind w:firstLine="420" w:firstLineChars="200"/>
        <w:rPr>
          <w:rFonts w:ascii="宋体" w:hAnsi="宋体" w:cs="仿宋_GB2312"/>
          <w:szCs w:val="21"/>
        </w:rPr>
      </w:pPr>
      <w:r>
        <w:rPr>
          <w:rFonts w:ascii="宋体" w:hAnsi="宋体" w:cs="仿宋_GB2312"/>
          <w:szCs w:val="21"/>
        </w:rPr>
        <w:t>2.</w:t>
      </w:r>
      <w:r>
        <w:rPr>
          <w:rFonts w:hint="eastAsia" w:ascii="宋体" w:hAnsi="宋体" w:cs="仿宋_GB2312"/>
          <w:szCs w:val="21"/>
        </w:rPr>
        <w:t>下级财政尚未分配到部门或地方，但未满两年的结转资金，可在不改变资金支出功能分类类级科目的基础上，调剂用于同一类级科目下的其他项目。</w:t>
      </w:r>
    </w:p>
    <w:p>
      <w:pPr>
        <w:ind w:firstLine="420" w:firstLineChars="200"/>
        <w:rPr>
          <w:rFonts w:ascii="宋体" w:hAnsi="宋体" w:cs="仿宋_GB2312"/>
          <w:szCs w:val="21"/>
        </w:rPr>
      </w:pPr>
      <w:r>
        <w:rPr>
          <w:rFonts w:ascii="宋体" w:hAnsi="宋体" w:cs="仿宋_GB2312"/>
          <w:szCs w:val="21"/>
        </w:rPr>
        <w:t>3.下级财政已分配到部门并结转两年以上的结余资金，由下级财政收回统筹使用。</w:t>
      </w:r>
    </w:p>
    <w:p>
      <w:pPr>
        <w:ind w:firstLine="420" w:firstLineChars="200"/>
        <w:rPr>
          <w:rFonts w:ascii="宋体" w:hAnsi="宋体" w:cs="仿宋_GB2312"/>
          <w:szCs w:val="21"/>
        </w:rPr>
      </w:pPr>
      <w:r>
        <w:rPr>
          <w:rFonts w:ascii="宋体" w:hAnsi="宋体" w:cs="仿宋_GB2312"/>
          <w:szCs w:val="21"/>
        </w:rPr>
        <w:t>4.各级财政应将专项转移支付结转结余资金交回、收回或用途调整有关情况及时汇报上级财政和业务主管部门。</w:t>
      </w:r>
    </w:p>
    <w:p>
      <w:pPr>
        <w:pStyle w:val="6"/>
      </w:pPr>
      <w:r>
        <w:rPr>
          <w:rFonts w:hint="eastAsia"/>
        </w:rPr>
        <w:t>（六）预算指标管理</w:t>
      </w:r>
    </w:p>
    <w:p>
      <w:pPr>
        <w:ind w:firstLine="420"/>
        <w:rPr>
          <w:sz w:val="24"/>
        </w:rPr>
      </w:pPr>
      <w:r>
        <w:rPr>
          <w:rFonts w:hint="eastAsia"/>
          <w:sz w:val="24"/>
        </w:rPr>
        <w:t>预算指标管理是预算管理业务的重要组成部分。采用会计核算复式记账法对预算指标管理业务或事项进行全生命周期运动过程记录，反映预算指标的增减、来源及状态，强化预算指标对支出的控制，实现预算指标全流程的“顺向可控，逆向可溯”的管理目标。</w:t>
      </w:r>
    </w:p>
    <w:p>
      <w:pPr>
        <w:ind w:firstLine="420"/>
      </w:pPr>
    </w:p>
    <w:p>
      <w:pPr>
        <w:ind w:firstLine="420"/>
      </w:pPr>
    </w:p>
    <w:p>
      <w:pPr>
        <w:pStyle w:val="69"/>
        <w:numPr>
          <w:ilvl w:val="1"/>
          <w:numId w:val="6"/>
        </w:numPr>
        <w:spacing w:before="200" w:after="200"/>
        <w:ind w:firstLineChars="0"/>
        <w:jc w:val="left"/>
        <w:outlineLvl w:val="2"/>
        <w:rPr>
          <w:rFonts w:ascii="黑体" w:hAnsi="黑体" w:eastAsia="黑体" w:cs="宋体"/>
          <w:vanish/>
          <w:szCs w:val="21"/>
        </w:rPr>
      </w:pPr>
    </w:p>
    <w:p>
      <w:pPr>
        <w:pStyle w:val="7"/>
      </w:pPr>
      <w:r>
        <w:rPr>
          <w:rFonts w:hint="eastAsia"/>
        </w:rPr>
        <w:t>1. 业务概述</w:t>
      </w:r>
    </w:p>
    <w:p>
      <w:pPr>
        <w:spacing w:line="440" w:lineRule="exact"/>
        <w:ind w:firstLine="482"/>
        <w:rPr>
          <w:szCs w:val="21"/>
        </w:rPr>
      </w:pPr>
      <w:r>
        <w:rPr>
          <w:rFonts w:hint="eastAsia"/>
          <w:szCs w:val="21"/>
        </w:rPr>
        <w:t>预算指标管理通过预算指标会计核算实现。复式记账会计分录以业务规则嵌入预算管理各个节点，预算指标管理事项和资金收支业务发生时，系统自动生成相应的预算指标帐会计凭证，实时反映预算指标全生命周期各个环节的运行情况。</w:t>
      </w:r>
    </w:p>
    <w:p>
      <w:pPr>
        <w:spacing w:line="440" w:lineRule="exact"/>
        <w:ind w:firstLine="482"/>
        <w:rPr>
          <w:szCs w:val="21"/>
        </w:rPr>
      </w:pPr>
      <w:r>
        <w:rPr>
          <w:rFonts w:hint="eastAsia"/>
          <w:szCs w:val="21"/>
        </w:rPr>
        <w:t>财政预算指标和单位资金预算指标，独立核算，自成控制体系。</w:t>
      </w:r>
    </w:p>
    <w:p>
      <w:pPr>
        <w:ind w:firstLine="420"/>
      </w:pPr>
    </w:p>
    <w:p>
      <w:pPr>
        <w:ind w:firstLine="420" w:firstLineChars="200"/>
        <w:rPr>
          <w:rFonts w:ascii="宋体" w:hAnsi="宋体"/>
          <w:szCs w:val="21"/>
        </w:rPr>
      </w:pPr>
    </w:p>
    <w:p>
      <w:pPr>
        <w:pStyle w:val="7"/>
      </w:pPr>
      <w:r>
        <w:rPr>
          <w:rFonts w:hint="eastAsia" w:ascii="宋体" w:hAnsi="宋体"/>
          <w:szCs w:val="21"/>
        </w:rPr>
        <w:t>2.</w:t>
      </w:r>
      <w:r>
        <w:rPr>
          <w:rFonts w:hint="eastAsia"/>
        </w:rPr>
        <w:t>建设内容</w:t>
      </w:r>
    </w:p>
    <w:p>
      <w:pPr>
        <w:ind w:firstLine="482"/>
        <w:rPr>
          <w:rFonts w:ascii="宋体" w:hAnsi="宋体"/>
          <w:szCs w:val="21"/>
        </w:rPr>
      </w:pPr>
      <w:r>
        <w:rPr>
          <w:rFonts w:hint="eastAsia" w:ascii="宋体" w:hAnsi="宋体"/>
          <w:szCs w:val="21"/>
        </w:rPr>
        <w:t>（一）预算指标会计核算</w:t>
      </w:r>
    </w:p>
    <w:p>
      <w:pPr>
        <w:ind w:firstLine="482"/>
        <w:rPr>
          <w:rFonts w:ascii="宋体" w:hAnsi="宋体"/>
          <w:szCs w:val="21"/>
        </w:rPr>
      </w:pPr>
      <w:r>
        <w:rPr>
          <w:rFonts w:ascii="宋体" w:hAnsi="宋体"/>
          <w:szCs w:val="21"/>
        </w:rPr>
        <w:t>1.</w:t>
      </w:r>
      <w:r>
        <w:rPr>
          <w:rFonts w:hint="eastAsia" w:ascii="宋体" w:hAnsi="宋体"/>
          <w:szCs w:val="21"/>
        </w:rPr>
        <w:t>预算指标账簿设置</w:t>
      </w:r>
    </w:p>
    <w:p>
      <w:pPr>
        <w:ind w:firstLine="482"/>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）依据会计法、预算法、会计基础工作规范等相关规定，根据管理需要设立预算指标会计账簿总账和分类明细账。</w:t>
      </w:r>
    </w:p>
    <w:p>
      <w:pPr>
        <w:ind w:firstLine="48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按照资金性质设置一般公共预算指标总账、政府性基金预算指标总账、国有资本经营预算指标总账、财政专户管理资金预算指标总账、单位资金预算指标总账。</w:t>
      </w:r>
    </w:p>
    <w:p>
      <w:pPr>
        <w:ind w:firstLine="482"/>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按照指标类型、资金性质、功能分类科目、政府预算支出经济分类科目、项目、单位等设置预算指标明细账。</w:t>
      </w:r>
    </w:p>
    <w:p>
      <w:pPr>
        <w:ind w:firstLine="482"/>
        <w:rPr>
          <w:rFonts w:ascii="宋体" w:hAnsi="宋体"/>
          <w:szCs w:val="21"/>
        </w:rPr>
      </w:pPr>
    </w:p>
    <w:p>
      <w:pPr>
        <w:ind w:firstLine="482"/>
        <w:rPr>
          <w:rFonts w:ascii="宋体" w:hAnsi="宋体"/>
          <w:b/>
          <w:szCs w:val="21"/>
        </w:rPr>
      </w:pPr>
      <w:r>
        <w:rPr>
          <w:rFonts w:ascii="宋体" w:hAnsi="宋体"/>
          <w:b/>
          <w:szCs w:val="21"/>
        </w:rPr>
        <w:t xml:space="preserve">2. </w:t>
      </w:r>
      <w:r>
        <w:rPr>
          <w:rFonts w:hint="eastAsia" w:ascii="宋体" w:hAnsi="宋体"/>
          <w:b/>
          <w:szCs w:val="21"/>
        </w:rPr>
        <w:t>预算指标账会计核算要素</w:t>
      </w:r>
    </w:p>
    <w:p>
      <w:pPr>
        <w:ind w:firstLine="482"/>
        <w:rPr>
          <w:rFonts w:ascii="宋体" w:hAnsi="宋体"/>
          <w:szCs w:val="21"/>
        </w:rPr>
      </w:pPr>
      <w:r>
        <w:rPr>
          <w:rFonts w:hint="eastAsia" w:ascii="宋体" w:hAnsi="宋体"/>
          <w:szCs w:val="21"/>
        </w:rPr>
        <w:t>（</w:t>
      </w:r>
      <w:r>
        <w:rPr>
          <w:rFonts w:ascii="宋体" w:hAnsi="宋体"/>
          <w:szCs w:val="21"/>
        </w:rPr>
        <w:t>1）预算指标会计科目</w:t>
      </w:r>
    </w:p>
    <w:p>
      <w:pPr>
        <w:ind w:firstLine="482"/>
        <w:rPr>
          <w:rFonts w:ascii="宋体" w:hAnsi="宋体"/>
          <w:szCs w:val="21"/>
        </w:rPr>
      </w:pPr>
      <w:r>
        <w:rPr>
          <w:rFonts w:hint="eastAsia" w:ascii="宋体" w:hAnsi="宋体"/>
          <w:szCs w:val="21"/>
        </w:rPr>
        <w:t>预算指标会计科目用于核算财政预算资金预算批复、预算调整变动、预算资金收支的全过程，预算指标一级核算科目按照财政部方案设置，分为财政收入预算类、收入指标类、财政支出预算类、支出指标类、支付类、指标负债类、结转核销类和指标结转结余类，底级核算科目与宁波市财政总预算会计核算科目相对应。</w:t>
      </w:r>
    </w:p>
    <w:p>
      <w:pPr>
        <w:ind w:firstLine="480"/>
        <w:rPr>
          <w:rFonts w:ascii="宋体" w:hAnsi="宋体"/>
          <w:szCs w:val="21"/>
        </w:rPr>
      </w:pPr>
      <w:r>
        <w:rPr>
          <w:rFonts w:hint="eastAsia" w:ascii="宋体" w:hAnsi="宋体"/>
          <w:szCs w:val="21"/>
        </w:rPr>
        <w:t>（</w:t>
      </w:r>
      <w:r>
        <w:rPr>
          <w:rFonts w:ascii="宋体" w:hAnsi="宋体"/>
          <w:szCs w:val="21"/>
        </w:rPr>
        <w:t>2）辅助核算</w:t>
      </w:r>
    </w:p>
    <w:p>
      <w:pPr>
        <w:ind w:firstLine="482"/>
        <w:rPr>
          <w:rFonts w:ascii="宋体" w:hAnsi="宋体"/>
          <w:szCs w:val="21"/>
        </w:rPr>
      </w:pPr>
      <w:r>
        <w:rPr>
          <w:rFonts w:hint="eastAsia" w:ascii="宋体" w:hAnsi="宋体"/>
          <w:szCs w:val="21"/>
        </w:rPr>
        <w:t>①预算指标会计核算要素。根据底级会计科目核算属性进行分类设置。应按照人大批复预算及预算指标分解、下达、调整调剂、预算执行信息进行辅助核算。</w:t>
      </w:r>
    </w:p>
    <w:p>
      <w:pPr>
        <w:ind w:firstLine="482"/>
        <w:rPr>
          <w:rFonts w:ascii="宋体" w:hAnsi="宋体"/>
          <w:szCs w:val="21"/>
        </w:rPr>
      </w:pPr>
      <w:r>
        <w:rPr>
          <w:rFonts w:hint="eastAsia" w:ascii="宋体" w:hAnsi="宋体"/>
          <w:szCs w:val="21"/>
        </w:rPr>
        <w:t>②新增预算指标批复下达时，系统应将预算指标的资金来源作为辅助会计核算项登记在相关会计记账凭证中。预算指标调整、调剂时，系统应将预算指标调整、调剂原因登记在相关会计记账凭证的摘要中。</w:t>
      </w:r>
    </w:p>
    <w:p>
      <w:pPr>
        <w:ind w:firstLine="482"/>
        <w:rPr>
          <w:rFonts w:ascii="宋体" w:hAnsi="宋体"/>
          <w:szCs w:val="21"/>
        </w:rPr>
      </w:pPr>
      <w:r>
        <w:rPr>
          <w:rFonts w:ascii="宋体" w:hAnsi="宋体"/>
          <w:b/>
          <w:szCs w:val="21"/>
        </w:rPr>
        <w:t>3.凭证生成。</w:t>
      </w:r>
      <w:r>
        <w:rPr>
          <w:rFonts w:hint="eastAsia" w:ascii="宋体" w:hAnsi="宋体"/>
          <w:szCs w:val="21"/>
        </w:rPr>
        <w:t>预算指标发生批复、分解、下达、调整、调剂、执行和年终结转结余等业务事项时，业务事项审核通过后，系统生成预算指标会计记账凭证。记账凭证原则上应以正式预算文件作为原始凭证。</w:t>
      </w:r>
    </w:p>
    <w:p>
      <w:pPr>
        <w:ind w:firstLine="482"/>
        <w:rPr>
          <w:rFonts w:ascii="宋体" w:hAnsi="宋体"/>
          <w:szCs w:val="21"/>
        </w:rPr>
      </w:pPr>
      <w:r>
        <w:rPr>
          <w:rFonts w:ascii="宋体" w:hAnsi="宋体"/>
          <w:b/>
          <w:szCs w:val="21"/>
        </w:rPr>
        <w:t>4.控制规则。</w:t>
      </w:r>
      <w:r>
        <w:rPr>
          <w:rFonts w:hint="eastAsia" w:ascii="宋体" w:hAnsi="宋体"/>
          <w:szCs w:val="21"/>
        </w:rPr>
        <w:t>预算指标账总的控制规则是科目余额控制，即“财政支出预算”余额控制“支出指标”，“支出指标”余额控制资金支付。以上科目借方余额不允许小于零，避免超支情况发生。</w:t>
      </w:r>
    </w:p>
    <w:p>
      <w:pPr>
        <w:ind w:firstLine="413" w:firstLineChars="196"/>
        <w:rPr>
          <w:szCs w:val="21"/>
        </w:rPr>
      </w:pPr>
      <w:r>
        <w:rPr>
          <w:b/>
          <w:szCs w:val="21"/>
        </w:rPr>
        <w:t>5.</w:t>
      </w:r>
      <w:r>
        <w:rPr>
          <w:rFonts w:hint="eastAsia"/>
          <w:b/>
          <w:szCs w:val="21"/>
        </w:rPr>
        <w:t>核算原则。</w:t>
      </w:r>
      <w:r>
        <w:rPr>
          <w:rFonts w:hint="eastAsia"/>
          <w:szCs w:val="21"/>
        </w:rPr>
        <w:t>预算指标会计记账凭证是系统自动化核算的结果，一经生成不得人为修改。确实有误的，系统应根据预算指标业务调整单据，以会计差错更正的方式，自动红字冲销旧账。</w:t>
      </w:r>
    </w:p>
    <w:p>
      <w:pPr>
        <w:ind w:firstLine="466" w:firstLineChars="222"/>
        <w:rPr>
          <w:rFonts w:ascii="宋体" w:hAnsi="宋体"/>
          <w:szCs w:val="21"/>
        </w:rPr>
      </w:pPr>
      <w:r>
        <w:rPr>
          <w:rFonts w:hint="eastAsia" w:ascii="宋体" w:hAnsi="宋体"/>
          <w:szCs w:val="21"/>
        </w:rPr>
        <w:t>（二）模块功能。</w:t>
      </w:r>
    </w:p>
    <w:p>
      <w:pPr>
        <w:ind w:firstLine="466" w:firstLineChars="222"/>
        <w:rPr>
          <w:rFonts w:ascii="宋体" w:hAnsi="宋体"/>
          <w:szCs w:val="21"/>
        </w:rPr>
      </w:pPr>
      <w:r>
        <w:rPr>
          <w:rFonts w:hint="eastAsia" w:ascii="宋体" w:hAnsi="宋体"/>
          <w:szCs w:val="21"/>
        </w:rPr>
        <w:t>预算指标管理模块的主要功能是指标记录、额度控制、账表查询和动态对账、</w:t>
      </w:r>
      <w:r>
        <w:rPr>
          <w:rFonts w:hint="eastAsia" w:ascii="宋体" w:hAnsi="宋体" w:cs="宋体"/>
          <w:kern w:val="0"/>
          <w:szCs w:val="21"/>
          <w:lang w:val="zh-CN"/>
        </w:rPr>
        <w:t>部门预算转指标、指标调整、指标核销、指标结转等功能</w:t>
      </w:r>
      <w:r>
        <w:rPr>
          <w:rFonts w:hint="eastAsia" w:ascii="宋体" w:hAnsi="宋体"/>
          <w:szCs w:val="21"/>
        </w:rPr>
        <w:t>。</w:t>
      </w:r>
    </w:p>
    <w:p>
      <w:pPr>
        <w:ind w:firstLine="482"/>
        <w:rPr>
          <w:rFonts w:ascii="宋体" w:hAnsi="宋体"/>
          <w:szCs w:val="21"/>
        </w:rPr>
      </w:pPr>
      <w:r>
        <w:rPr>
          <w:rFonts w:hint="eastAsia" w:ascii="宋体" w:hAnsi="宋体"/>
          <w:b/>
          <w:szCs w:val="21"/>
        </w:rPr>
        <w:t>指标记录</w:t>
      </w:r>
      <w:r>
        <w:rPr>
          <w:rFonts w:hint="eastAsia" w:ascii="宋体" w:hAnsi="宋体"/>
          <w:szCs w:val="21"/>
        </w:rPr>
        <w:t>：预算指标管理业务事项发生，通过预设规则自动生成记账凭证，实现对业务的会计记录。</w:t>
      </w:r>
    </w:p>
    <w:p>
      <w:pPr>
        <w:ind w:firstLine="482"/>
        <w:rPr>
          <w:rFonts w:ascii="宋体" w:hAnsi="宋体"/>
          <w:szCs w:val="21"/>
        </w:rPr>
      </w:pPr>
      <w:r>
        <w:rPr>
          <w:rFonts w:hint="eastAsia" w:ascii="宋体" w:hAnsi="宋体"/>
          <w:b/>
          <w:szCs w:val="21"/>
        </w:rPr>
        <w:t>额度控制</w:t>
      </w:r>
      <w:r>
        <w:rPr>
          <w:rFonts w:hint="eastAsia" w:ascii="宋体" w:hAnsi="宋体"/>
          <w:szCs w:val="21"/>
        </w:rPr>
        <w:t>：预算指标管理以额度控制表为业务额度的控制基础。额度控制表在记账凭证生成、修改、记账时随同变动，实时反映预算指标控制额度。</w:t>
      </w:r>
    </w:p>
    <w:p>
      <w:pPr>
        <w:ind w:firstLine="482"/>
        <w:rPr>
          <w:rFonts w:ascii="宋体" w:hAnsi="宋体"/>
          <w:szCs w:val="21"/>
        </w:rPr>
      </w:pPr>
      <w:r>
        <w:rPr>
          <w:rFonts w:hint="eastAsia" w:ascii="宋体" w:hAnsi="宋体"/>
          <w:b/>
          <w:szCs w:val="21"/>
        </w:rPr>
        <w:t>账表查询</w:t>
      </w:r>
      <w:r>
        <w:rPr>
          <w:rFonts w:hint="eastAsia" w:ascii="宋体" w:hAnsi="宋体"/>
          <w:szCs w:val="21"/>
        </w:rPr>
        <w:t>：在指标会计核算的基础上，生成指标账。借助辅助核算的要素，产生各种管理报表，如预算变动表、年初预算表、预算执行情况表等。同时通过账表查询功能，对下达区县（市）的中央和省级转移支付指标、市级转移支付指标，实现指标分配和资金支付情况的追踪查询。</w:t>
      </w:r>
    </w:p>
    <w:p>
      <w:pPr>
        <w:ind w:firstLine="482"/>
        <w:rPr>
          <w:rFonts w:ascii="宋体" w:hAnsi="宋体"/>
          <w:szCs w:val="21"/>
        </w:rPr>
      </w:pPr>
      <w:r>
        <w:rPr>
          <w:rFonts w:hint="eastAsia" w:ascii="宋体" w:hAnsi="宋体"/>
          <w:b/>
          <w:szCs w:val="21"/>
        </w:rPr>
        <w:t>动态对账</w:t>
      </w:r>
      <w:r>
        <w:rPr>
          <w:rFonts w:hint="eastAsia" w:ascii="宋体" w:hAnsi="宋体"/>
          <w:szCs w:val="21"/>
        </w:rPr>
        <w:t>：纵向建立市级财政管理的指标与中央、省级财政的转移支付指标对账、市级财政与区县（市）财政的转移支付指标对账；横向建立财政指标会计核算与总预算会计核算、单位资金指标会计核算和预算单位会计核算之间的相关科目余额的动态对账，为财政决算、上下级财政结算提供数据。</w:t>
      </w:r>
    </w:p>
    <w:p>
      <w:pPr>
        <w:widowControl/>
        <w:ind w:firstLine="420" w:firstLineChars="200"/>
        <w:jc w:val="left"/>
        <w:rPr>
          <w:rFonts w:ascii="宋体" w:hAnsi="宋体" w:cs="宋体"/>
          <w:kern w:val="0"/>
          <w:szCs w:val="21"/>
        </w:rPr>
      </w:pPr>
      <w:r>
        <w:rPr>
          <w:rFonts w:hint="eastAsia" w:ascii="宋体" w:hAnsi="宋体" w:cs="宋体"/>
          <w:kern w:val="0"/>
          <w:szCs w:val="21"/>
          <w:lang w:val="zh-CN"/>
        </w:rPr>
        <w:t>预算指标管理功能需覆盖宁波财政在预算管理过程中涉及到的全部业务流程。</w:t>
      </w:r>
    </w:p>
    <w:p>
      <w:pPr>
        <w:widowControl/>
        <w:ind w:firstLine="396" w:firstLineChars="200"/>
        <w:jc w:val="left"/>
        <w:rPr>
          <w:rFonts w:ascii="宋体" w:hAnsi="宋体" w:cs="仿宋_GB2312"/>
          <w:bCs/>
          <w:spacing w:val="-6"/>
          <w:kern w:val="0"/>
          <w:szCs w:val="21"/>
        </w:rPr>
      </w:pPr>
      <w:r>
        <w:rPr>
          <w:rFonts w:hint="eastAsia" w:ascii="宋体" w:hAnsi="宋体" w:cs="仿宋_GB2312"/>
          <w:bCs/>
          <w:spacing w:val="-6"/>
          <w:kern w:val="0"/>
          <w:szCs w:val="21"/>
        </w:rPr>
        <w:t>支持对指标相关信息的查询。</w:t>
      </w:r>
    </w:p>
    <w:p>
      <w:pPr>
        <w:rPr>
          <w:rFonts w:hAnsi="宋体" w:cs="宋体"/>
          <w:sz w:val="44"/>
          <w:szCs w:val="44"/>
        </w:rPr>
      </w:pPr>
    </w:p>
    <w:p>
      <w:pPr>
        <w:pStyle w:val="6"/>
      </w:pPr>
      <w:r>
        <w:rPr>
          <w:rFonts w:hint="eastAsia"/>
        </w:rPr>
        <w:t>（七）年终结算</w:t>
      </w:r>
    </w:p>
    <w:p>
      <w:pPr>
        <w:pStyle w:val="69"/>
        <w:numPr>
          <w:ilvl w:val="1"/>
          <w:numId w:val="6"/>
        </w:numPr>
        <w:spacing w:before="200" w:after="200" w:line="400" w:lineRule="exact"/>
        <w:ind w:firstLineChars="0"/>
        <w:jc w:val="left"/>
        <w:outlineLvl w:val="2"/>
        <w:rPr>
          <w:rFonts w:ascii="黑体" w:hAnsi="黑体" w:eastAsia="黑体" w:cs="宋体"/>
          <w:vanish/>
          <w:sz w:val="30"/>
          <w:szCs w:val="32"/>
        </w:rPr>
      </w:pPr>
    </w:p>
    <w:p>
      <w:pPr>
        <w:pStyle w:val="7"/>
      </w:pPr>
      <w:r>
        <w:rPr>
          <w:rFonts w:hint="eastAsia"/>
        </w:rPr>
        <w:t>1. 业务概述</w:t>
      </w:r>
    </w:p>
    <w:p>
      <w:pPr>
        <w:ind w:firstLine="420" w:firstLineChars="200"/>
        <w:rPr>
          <w:sz w:val="44"/>
          <w:szCs w:val="44"/>
        </w:rPr>
      </w:pPr>
      <w:r>
        <w:rPr>
          <w:rFonts w:hint="eastAsia"/>
        </w:rPr>
        <w:t>市财政与区县（市）财政年终结算是指按照现行财政管理体制，市财政与区县（市）财政在预算年度终了时，对年度内发生的收支执行情况和资金往来情况予以核算、了结，是对某一个算年度内市财政与区县（市）财政补助与上解情况的全面反映。</w:t>
      </w:r>
    </w:p>
    <w:p>
      <w:pPr>
        <w:ind w:firstLine="420" w:firstLineChars="200"/>
      </w:pPr>
      <w:r>
        <w:rPr>
          <w:rFonts w:hint="eastAsia"/>
        </w:rPr>
        <w:t>市财政与区县（市）财政年终结算包括结算补助和上解数预编、纳入年终结算事项申请、年终结算事项下达、年终结算办理、结算对账、结算单定稿，主要在市财政和区县（市）财政系统间交互传递办理。</w:t>
      </w:r>
    </w:p>
    <w:p>
      <w:pPr>
        <w:pStyle w:val="7"/>
      </w:pPr>
      <w:r>
        <w:rPr>
          <w:rFonts w:hint="eastAsia"/>
        </w:rPr>
        <w:t>2. 建设内容</w:t>
      </w:r>
    </w:p>
    <w:p>
      <w:pPr>
        <w:pStyle w:val="8"/>
      </w:pPr>
      <w:r>
        <w:rPr>
          <w:rFonts w:hint="eastAsia"/>
        </w:rPr>
        <w:t>结算补助和上解数预编</w:t>
      </w:r>
    </w:p>
    <w:p>
      <w:pPr>
        <w:ind w:firstLine="420" w:firstLineChars="200"/>
        <w:rPr>
          <w:sz w:val="44"/>
          <w:szCs w:val="44"/>
        </w:rPr>
      </w:pPr>
      <w:r>
        <w:rPr>
          <w:rFonts w:hint="eastAsia"/>
        </w:rPr>
        <w:t>结算补助和上解数预编是指根据现行的市对下财政管理体制，对纳入年终结算的补助和上解金额分地区分项目进行预编，对可以明确金额的结算事项按项目分区县（市）列明，对尚不能确定金额的结算事项列入待分配结算事项。</w:t>
      </w:r>
    </w:p>
    <w:p>
      <w:pPr>
        <w:pStyle w:val="8"/>
      </w:pPr>
      <w:r>
        <w:rPr>
          <w:rFonts w:hint="eastAsia"/>
        </w:rPr>
        <w:t>纳入年终结算事项申请</w:t>
      </w:r>
    </w:p>
    <w:p>
      <w:pPr>
        <w:ind w:firstLine="420" w:firstLineChars="200"/>
        <w:rPr>
          <w:sz w:val="44"/>
          <w:szCs w:val="44"/>
        </w:rPr>
      </w:pPr>
      <w:r>
        <w:rPr>
          <w:rFonts w:hint="eastAsia"/>
        </w:rPr>
        <w:t>纳入年终结算事项申请是指对于在预算年度内新增的需要纳入年终结算的事项，由财政业务处室和区县（市）财政局提出申请，报预算局审核后备案。</w:t>
      </w:r>
    </w:p>
    <w:p>
      <w:pPr>
        <w:pStyle w:val="8"/>
        <w:rPr>
          <w:szCs w:val="44"/>
        </w:rPr>
      </w:pPr>
      <w:r>
        <w:rPr>
          <w:rFonts w:hint="eastAsia"/>
        </w:rPr>
        <w:t>年终结算事项下达</w:t>
      </w:r>
    </w:p>
    <w:p>
      <w:pPr>
        <w:ind w:firstLine="420" w:firstLineChars="200"/>
        <w:rPr>
          <w:sz w:val="44"/>
          <w:szCs w:val="44"/>
        </w:rPr>
      </w:pPr>
      <w:r>
        <w:rPr>
          <w:rFonts w:hint="eastAsia"/>
        </w:rPr>
        <w:t>年终结算事项下达是指预算年度末，由预算局全面梳理市财政与区县（市）财政年终结算事项，报协管预算副局长审定后，印发年终结算办法的通知。</w:t>
      </w:r>
    </w:p>
    <w:p>
      <w:pPr>
        <w:pStyle w:val="8"/>
        <w:rPr>
          <w:sz w:val="44"/>
          <w:szCs w:val="44"/>
        </w:rPr>
      </w:pPr>
      <w:r>
        <w:rPr>
          <w:rFonts w:hint="eastAsia"/>
        </w:rPr>
        <w:t>年终结算事项办理</w:t>
      </w:r>
    </w:p>
    <w:p>
      <w:pPr>
        <w:pStyle w:val="13"/>
        <w:ind w:firstLine="480"/>
        <w:rPr>
          <w:i w:val="0"/>
          <w:sz w:val="21"/>
        </w:rPr>
      </w:pPr>
      <w:r>
        <w:rPr>
          <w:rFonts w:hint="eastAsia"/>
          <w:i w:val="0"/>
          <w:sz w:val="21"/>
        </w:rPr>
        <w:t>年终结算事项办理是指根据年终结算办法和年初预编的结算补助和上解数据，办理两级财政年终结算事项。</w:t>
      </w:r>
    </w:p>
    <w:p>
      <w:pPr>
        <w:pStyle w:val="8"/>
      </w:pPr>
      <w:r>
        <w:rPr>
          <w:rFonts w:hint="eastAsia"/>
        </w:rPr>
        <w:t>年终结算对账</w:t>
      </w:r>
    </w:p>
    <w:p>
      <w:pPr>
        <w:ind w:firstLine="420" w:firstLineChars="200"/>
      </w:pPr>
      <w:r>
        <w:rPr>
          <w:rFonts w:hint="eastAsia"/>
        </w:rPr>
        <w:t>年终结算对账是指区县（市）财政局根据接收的结算对账单核对结算数据并补充数据、反馈意见的过程。</w:t>
      </w:r>
    </w:p>
    <w:p>
      <w:pPr>
        <w:pStyle w:val="8"/>
      </w:pPr>
      <w:r>
        <w:rPr>
          <w:rFonts w:hint="eastAsia"/>
        </w:rPr>
        <w:t>年终结算定稿</w:t>
      </w:r>
    </w:p>
    <w:p>
      <w:pPr>
        <w:ind w:firstLine="420" w:firstLineChars="200"/>
      </w:pPr>
      <w:r>
        <w:rPr>
          <w:rFonts w:hint="eastAsia"/>
        </w:rPr>
        <w:t>年终结算定稿是指对经市财政和区县（市）财政共同核对无误后的结算单，市财政局盖章予以确认。</w:t>
      </w:r>
    </w:p>
    <w:p>
      <w:pPr>
        <w:pStyle w:val="6"/>
      </w:pPr>
      <w:r>
        <w:rPr>
          <w:rFonts w:hint="eastAsia"/>
        </w:rPr>
        <w:t>（八）债务管理</w:t>
      </w:r>
    </w:p>
    <w:p>
      <w:pPr>
        <w:pStyle w:val="7"/>
      </w:pPr>
      <w:r>
        <w:rPr>
          <w:rFonts w:hint="eastAsia"/>
        </w:rPr>
        <w:t>1. 业务概述</w:t>
      </w:r>
    </w:p>
    <w:p>
      <w:pPr>
        <w:ind w:firstLine="420" w:firstLineChars="200"/>
      </w:pPr>
      <w:r>
        <w:rPr>
          <w:rFonts w:hint="eastAsia"/>
        </w:rPr>
        <w:t>宁波市地方政府性债务管理涉及到政府债务预算管理（包括政府债务限额管理、政府债券项目库管理、政府债券需求计划管理）、政府债券管理、政府性债务管理、风险预警管理、债务绩效管理等五大业务领域。</w:t>
      </w:r>
    </w:p>
    <w:p>
      <w:pPr>
        <w:pStyle w:val="7"/>
      </w:pPr>
      <w:r>
        <w:rPr>
          <w:rFonts w:hint="eastAsia"/>
        </w:rPr>
        <w:t>2. 建设内容</w:t>
      </w:r>
    </w:p>
    <w:p>
      <w:pPr>
        <w:pStyle w:val="8"/>
      </w:pPr>
      <w:r>
        <w:rPr>
          <w:rFonts w:hint="eastAsia"/>
        </w:rPr>
        <w:t>债券项目管理</w:t>
      </w:r>
    </w:p>
    <w:p>
      <w:pPr>
        <w:ind w:firstLine="482"/>
      </w:pPr>
      <w:r>
        <w:rPr>
          <w:rFonts w:hint="eastAsia"/>
        </w:rPr>
        <w:t>填报对象为市本级、各区县（市）（含功能园区）债券资金使用单位，包括预算单位及各类国有企业等非预算单位；建立项目申报、债券需求申报、发行批次申报三级申报流程，完善债券项目库、发行备选库、债券发行库三库建设。申报新增债券需求信息应符合财政部要求，并能导入财政部地债系统。</w:t>
      </w:r>
    </w:p>
    <w:p>
      <w:pPr>
        <w:pStyle w:val="8"/>
      </w:pPr>
      <w:r>
        <w:rPr>
          <w:rFonts w:hint="eastAsia"/>
        </w:rPr>
        <w:t>债务限额管理</w:t>
      </w:r>
    </w:p>
    <w:p>
      <w:pPr>
        <w:ind w:firstLine="420" w:firstLineChars="200"/>
      </w:pPr>
      <w:r>
        <w:rPr>
          <w:rFonts w:hint="eastAsia"/>
        </w:rPr>
        <w:t>包括接收财政部下达我市的政府债务限额，市财政分配下达各区县（市）政府债务限额，各区县（市）接收市财政下达的债务限额。</w:t>
      </w:r>
    </w:p>
    <w:p>
      <w:pPr>
        <w:pStyle w:val="8"/>
      </w:pPr>
      <w:r>
        <w:rPr>
          <w:rFonts w:hint="eastAsia"/>
        </w:rPr>
        <w:t>债券项目预算编制</w:t>
      </w:r>
    </w:p>
    <w:p>
      <w:pPr>
        <w:ind w:firstLine="420" w:firstLineChars="200"/>
      </w:pPr>
      <w:r>
        <w:rPr>
          <w:rFonts w:hint="eastAsia"/>
        </w:rPr>
        <w:t>债券项目预算编制包括：在新增政府债务限额范围内，向市财政局申请债券资金使用额度。市本级新增一般债券资金安排的政府投资项目预算编制和市本级新增专项债券安排的政府投资项目预算编制。一般债券预算纳入一般公共预算，专项债券预算纳入政府性基金预算。</w:t>
      </w:r>
    </w:p>
    <w:p>
      <w:pPr>
        <w:pStyle w:val="8"/>
      </w:pPr>
      <w:r>
        <w:rPr>
          <w:rFonts w:hint="eastAsia"/>
        </w:rPr>
        <w:t>债券项目预算执行</w:t>
      </w:r>
    </w:p>
    <w:p>
      <w:pPr>
        <w:ind w:firstLine="420" w:firstLineChars="200"/>
      </w:pPr>
      <w:r>
        <w:rPr>
          <w:rFonts w:hint="eastAsia"/>
        </w:rPr>
        <w:t>政府债券发行后，相关资金按预算执行流程进行拨付，相关支出时间、支出经济类科目、功能类科目等信息按要求导入地债系统。同时各级债券资金使用部门和单位，录入一般</w:t>
      </w:r>
      <w:r>
        <w:t>/</w:t>
      </w:r>
      <w:r>
        <w:rPr>
          <w:rFonts w:hint="eastAsia"/>
        </w:rPr>
        <w:t>专项债券资金的使用情况，即债券资金在项目中的实际支出进度情况，以便财政部门及时掌握和监管债券资金的使用，并对债券的支出用途进行统计分析。</w:t>
      </w:r>
    </w:p>
    <w:p>
      <w:pPr>
        <w:pStyle w:val="8"/>
      </w:pPr>
      <w:r>
        <w:rPr>
          <w:rFonts w:hint="eastAsia"/>
        </w:rPr>
        <w:t>债券发行收入确认与转贷管理</w:t>
      </w:r>
    </w:p>
    <w:p>
      <w:pPr>
        <w:ind w:firstLine="420" w:firstLineChars="200"/>
      </w:pPr>
      <w:r>
        <w:rPr>
          <w:rFonts w:hint="eastAsia"/>
        </w:rPr>
        <w:t>根据我市政府债券发行结果确认债券发行收入，并按转贷协议分配政府债券收入至各区县（市），各区县（市）确认政府债券转贷信息。市财政做政府债券转贷支出，各区县（市）确认政府债券转贷收入。</w:t>
      </w:r>
    </w:p>
    <w:p>
      <w:pPr>
        <w:pStyle w:val="8"/>
      </w:pPr>
      <w:r>
        <w:rPr>
          <w:rFonts w:hint="eastAsia"/>
        </w:rPr>
        <w:t>还本付息资金上缴</w:t>
      </w:r>
    </w:p>
    <w:p>
      <w:pPr>
        <w:ind w:firstLine="420" w:firstLineChars="200"/>
      </w:pPr>
      <w:r>
        <w:rPr>
          <w:rFonts w:hint="eastAsia"/>
        </w:rPr>
        <w:t>债券发行后，为保证还本付息资金能顺利兑付，系统自动根据发行基础信息，按月提醒债券资金使用单位将项目专项收入按时上缴市国库，各单位发起，财政各业务处室初审，债务办复核，国库收入记账。</w:t>
      </w:r>
    </w:p>
    <w:p>
      <w:pPr>
        <w:pStyle w:val="8"/>
      </w:pPr>
      <w:r>
        <w:rPr>
          <w:rFonts w:hint="eastAsia"/>
        </w:rPr>
        <w:t>债券项目资产信息填报</w:t>
      </w:r>
    </w:p>
    <w:p>
      <w:pPr>
        <w:ind w:firstLine="420" w:firstLineChars="200"/>
      </w:pPr>
      <w:r>
        <w:rPr>
          <w:rFonts w:hint="eastAsia"/>
        </w:rPr>
        <w:t>债券项目对应资产信息，根据规范管理要求，需要按实清理盘点后登记备案。</w:t>
      </w:r>
    </w:p>
    <w:p>
      <w:pPr>
        <w:pStyle w:val="8"/>
      </w:pPr>
      <w:r>
        <w:rPr>
          <w:rFonts w:hint="eastAsia"/>
        </w:rPr>
        <w:t>债券项目资金使用/转贷协议签订</w:t>
      </w:r>
    </w:p>
    <w:p>
      <w:pPr>
        <w:ind w:firstLine="420" w:firstLineChars="200"/>
      </w:pPr>
      <w:r>
        <w:rPr>
          <w:rFonts w:hint="eastAsia"/>
        </w:rPr>
        <w:t>债券发行后，市财政局需和债券资金使用单位、区县（市）财政局分别签订新增</w:t>
      </w:r>
      <w:r>
        <w:t>/</w:t>
      </w:r>
      <w:r>
        <w:rPr>
          <w:rFonts w:hint="eastAsia"/>
        </w:rPr>
        <w:t>再融资债券资金使用</w:t>
      </w:r>
      <w:r>
        <w:t>/</w:t>
      </w:r>
      <w:r>
        <w:rPr>
          <w:rFonts w:hint="eastAsia"/>
        </w:rPr>
        <w:t>转贷协议，协议自动编号。</w:t>
      </w:r>
    </w:p>
    <w:p>
      <w:pPr>
        <w:pStyle w:val="8"/>
      </w:pPr>
      <w:bookmarkStart w:id="2" w:name="_Toc4539"/>
      <w:r>
        <w:rPr>
          <w:rFonts w:hint="eastAsia"/>
        </w:rPr>
        <w:t>与本项目其他子系统接口</w:t>
      </w:r>
      <w:bookmarkEnd w:id="2"/>
    </w:p>
    <w:p>
      <w:pPr>
        <w:ind w:firstLine="480"/>
      </w:pPr>
      <w:r>
        <w:rPr>
          <w:rFonts w:hint="eastAsia"/>
        </w:rPr>
        <w:t>基础信息库接口，可从地债系统导入存量债务信息、债券基础信息、支出转贷情况等，各项目单位实时通过外网实现债券资金支出信息实时填报及监控，切实提高债券资金使用效益。</w:t>
      </w:r>
    </w:p>
    <w:p>
      <w:pPr>
        <w:ind w:firstLine="480"/>
      </w:pPr>
      <w:r>
        <w:rPr>
          <w:rFonts w:hint="eastAsia"/>
        </w:rPr>
        <w:t>与预算编审接口，债券项目库，在新增债券需求申报时，各项目单位可通过外网实现项目基本信息及债券资金需求申报，并导入地债系统。直接从现有地债系统数据库中获取项目基础信息导入本项目系统，并在单位从外网申报新增债券项目及需求后，导入本项目系统，继而最终导入地债系统上报财政部。</w:t>
      </w:r>
    </w:p>
    <w:p>
      <w:pPr>
        <w:ind w:firstLine="420" w:firstLineChars="200"/>
      </w:pPr>
      <w:r>
        <w:rPr>
          <w:rFonts w:hint="eastAsia"/>
        </w:rPr>
        <w:t>与预算执行系统接口，新增</w:t>
      </w:r>
      <w:r>
        <w:t>/</w:t>
      </w:r>
      <w:r>
        <w:rPr>
          <w:rFonts w:hint="eastAsia"/>
        </w:rPr>
        <w:t>置换</w:t>
      </w:r>
      <w:r>
        <w:t>/</w:t>
      </w:r>
      <w:r>
        <w:rPr>
          <w:rFonts w:hint="eastAsia"/>
        </w:rPr>
        <w:t>再融资债券支出时，为提高效率，避免手工录入支出时间、支出金额、功能分类、经济分类时人为错误，从预算执行系统中导入债券支出信息，导入后根据预算执行中支出信息选择具体的支出债务项目即可。一笔国库集中支付系统支出信息只能对应一个债务项目。</w:t>
      </w:r>
    </w:p>
    <w:p>
      <w:pPr>
        <w:autoSpaceDE w:val="0"/>
        <w:autoSpaceDN w:val="0"/>
        <w:adjustRightInd w:val="0"/>
        <w:ind w:firstLine="420" w:firstLineChars="200"/>
        <w:jc w:val="left"/>
      </w:pPr>
      <w:r>
        <w:rPr>
          <w:rFonts w:hint="eastAsia"/>
        </w:rPr>
        <w:t>债券发行安排：债务系统编制债券发行计划等相关债券发行安排后，将债券发行安排信息发送至本项目系统。债券发行结果：债券发行成功后，债务系统将债券发行结果信息发送至本项目系统。</w:t>
      </w:r>
    </w:p>
    <w:p>
      <w:pPr>
        <w:pStyle w:val="8"/>
      </w:pPr>
      <w:r>
        <w:rPr>
          <w:rFonts w:hint="eastAsia"/>
        </w:rPr>
        <w:t>与支持发债机构系统接口</w:t>
      </w:r>
    </w:p>
    <w:p>
      <w:pPr>
        <w:ind w:firstLine="420" w:firstLineChars="200"/>
        <w:rPr>
          <w:rFonts w:ascii="宋体" w:hAnsi="宋体"/>
        </w:rPr>
      </w:pPr>
      <w:r>
        <w:rPr>
          <w:rFonts w:hint="eastAsia" w:ascii="宋体" w:hAnsi="宋体"/>
        </w:rPr>
        <w:t>预算执行环节，财政部门先向支持发债机构发送债券发行安排信息；支持发债机构成功发行债券后将债券发行结果信息发送至财政部门。</w:t>
      </w:r>
    </w:p>
    <w:p>
      <w:pPr>
        <w:pStyle w:val="8"/>
      </w:pPr>
      <w:r>
        <w:rPr>
          <w:rFonts w:hint="eastAsia"/>
        </w:rPr>
        <w:t>统计分析</w:t>
      </w:r>
    </w:p>
    <w:p>
      <w:pPr>
        <w:ind w:firstLine="420" w:firstLineChars="200"/>
        <w:rPr>
          <w:rFonts w:ascii="宋体" w:hAnsi="宋体"/>
        </w:rPr>
      </w:pPr>
      <w:r>
        <w:rPr>
          <w:rFonts w:hint="eastAsia"/>
        </w:rPr>
        <w:t>实现以下统计分析功能：债券限额测算、分地区未来月度</w:t>
      </w:r>
      <w:r>
        <w:t>/</w:t>
      </w:r>
      <w:r>
        <w:rPr>
          <w:rFonts w:hint="eastAsia"/>
        </w:rPr>
        <w:t>年度兑付情况表、分项目未来月度</w:t>
      </w:r>
      <w:r>
        <w:t>/</w:t>
      </w:r>
      <w:r>
        <w:rPr>
          <w:rFonts w:hint="eastAsia"/>
        </w:rPr>
        <w:t>年度兑付情况表、全国发行情况统计分析表、全国各省市地方债发行规模统计、分银行投标中标汇总表、政府债券发行情况汇总表、分承销商分年度债券发行情况统计、分批次债券发行情况统计、政府债券承销额排名表、政府债券还本付息统计（权责发生制）、政府债券发行费用明细表、</w:t>
      </w:r>
      <w:r>
        <w:rPr>
          <w:rFonts w:hint="eastAsia" w:ascii="宋体" w:hAnsi="宋体"/>
        </w:rPr>
        <w:t>新增</w:t>
      </w:r>
      <w:r>
        <w:rPr>
          <w:rFonts w:hint="eastAsia"/>
        </w:rPr>
        <w:t>债券</w:t>
      </w:r>
      <w:r>
        <w:rPr>
          <w:rFonts w:hint="eastAsia" w:ascii="宋体" w:hAnsi="宋体"/>
        </w:rPr>
        <w:t>资金分月使用情况表、政府债券历年发行、兑付情况统计、</w:t>
      </w:r>
      <w:r>
        <w:rPr>
          <w:rFonts w:hint="eastAsia"/>
        </w:rPr>
        <w:t>地方政府</w:t>
      </w:r>
      <w:r>
        <w:rPr>
          <w:rFonts w:hint="eastAsia" w:ascii="宋体" w:hAnsi="宋体"/>
        </w:rPr>
        <w:t>债券发行基础信息、地方政府债券转贷信息、地方政府债券承销机构投标情况表、地方政府债券承销机构中标情况表、</w:t>
      </w:r>
      <w:r>
        <w:rPr>
          <w:rFonts w:hint="eastAsia"/>
        </w:rPr>
        <w:t>政府债券</w:t>
      </w:r>
      <w:r>
        <w:rPr>
          <w:rFonts w:hint="eastAsia" w:ascii="宋体" w:hAnsi="宋体"/>
        </w:rPr>
        <w:t>兑付信息等。</w:t>
      </w:r>
    </w:p>
    <w:p>
      <w:pPr>
        <w:pStyle w:val="8"/>
      </w:pPr>
      <w:bookmarkStart w:id="3" w:name="_Toc489863805"/>
      <w:r>
        <w:rPr>
          <w:rFonts w:hint="eastAsia"/>
        </w:rPr>
        <w:t>外部数据采集</w:t>
      </w:r>
      <w:bookmarkEnd w:id="3"/>
      <w:r>
        <w:rPr>
          <w:rFonts w:hint="eastAsia"/>
        </w:rPr>
        <w:t>分析</w:t>
      </w:r>
    </w:p>
    <w:p>
      <w:pPr>
        <w:ind w:firstLine="420" w:firstLineChars="200"/>
      </w:pPr>
      <w:r>
        <w:rPr>
          <w:rFonts w:hint="eastAsia"/>
        </w:rPr>
        <w:t>实现手工采集数据导入系统，或利用外网爬虫技术，自动获取外部相关金融、债务信息，进行数据建模，统计分析。</w:t>
      </w:r>
    </w:p>
    <w:p>
      <w:pPr>
        <w:pStyle w:val="8"/>
      </w:pPr>
      <w:r>
        <w:rPr>
          <w:rFonts w:hint="eastAsia"/>
        </w:rPr>
        <w:t>短信接口</w:t>
      </w:r>
    </w:p>
    <w:p>
      <w:pPr>
        <w:ind w:firstLine="420" w:firstLineChars="200"/>
      </w:pPr>
      <w:r>
        <w:rPr>
          <w:rFonts w:hint="eastAsia"/>
        </w:rPr>
        <w:t>提供短信网关管理设置，为待办事项、到期提醒、风险预警等需要短信通知的功能提供短信服务通道。要求支持手动群发信息，进行督办。</w:t>
      </w:r>
    </w:p>
    <w:p>
      <w:pPr>
        <w:pStyle w:val="6"/>
      </w:pPr>
      <w:r>
        <w:rPr>
          <w:rFonts w:hint="eastAsia"/>
        </w:rPr>
        <w:t>（九）法规库</w:t>
      </w:r>
    </w:p>
    <w:p>
      <w:pPr>
        <w:pStyle w:val="7"/>
        <w:rPr>
          <w:b w:val="0"/>
          <w:bCs w:val="0"/>
          <w:sz w:val="21"/>
          <w:szCs w:val="20"/>
        </w:rPr>
      </w:pPr>
      <w:r>
        <w:rPr>
          <w:rFonts w:hint="eastAsia"/>
        </w:rPr>
        <w:t xml:space="preserve">1. </w:t>
      </w:r>
      <w:r>
        <w:rPr>
          <w:rFonts w:hint="eastAsia"/>
          <w:b w:val="0"/>
          <w:bCs w:val="0"/>
          <w:sz w:val="21"/>
          <w:szCs w:val="20"/>
        </w:rPr>
        <w:t>业务概述</w:t>
      </w:r>
    </w:p>
    <w:p>
      <w:pPr>
        <w:pStyle w:val="13"/>
        <w:ind w:firstLine="420"/>
        <w:rPr>
          <w:i w:val="0"/>
          <w:sz w:val="21"/>
        </w:rPr>
      </w:pPr>
      <w:r>
        <w:rPr>
          <w:rFonts w:hint="eastAsia"/>
          <w:i w:val="0"/>
          <w:sz w:val="21"/>
        </w:rPr>
        <w:t>财政法规库在文件内容上包括与财政相关的法律、法规、规章、行政规范性文件和其他涉财文件等。法规处牵头搭建法规库的基本框架，各职能处室按照“谁制定，谁负责”和“谁实施，谁负责”原则，负责具体法规文件的入库管理和效力维护等。对于涉及财政事项的宁波市地方性法规、宁波市政府规章、以市政府及市政府办公厅名义制发的规范性文件、外单位和我局联合行文的规范性文件、以我局名义制发的规范性文件，各业务处室必须及时纳入法规库管理。其他法规文件由各职能处室根据财政管理的需要确定是否纳入法规库。</w:t>
      </w:r>
    </w:p>
    <w:p>
      <w:pPr>
        <w:pStyle w:val="7"/>
      </w:pPr>
      <w:r>
        <w:rPr>
          <w:rFonts w:hint="eastAsia"/>
        </w:rPr>
        <w:t>2. 建设内容</w:t>
      </w:r>
    </w:p>
    <w:p>
      <w:pPr>
        <w:pStyle w:val="8"/>
      </w:pPr>
      <w:r>
        <w:rPr>
          <w:rFonts w:hint="eastAsia"/>
        </w:rPr>
        <w:t>入库管理</w:t>
      </w:r>
    </w:p>
    <w:p>
      <w:pPr>
        <w:ind w:firstLine="420" w:firstLineChars="200"/>
      </w:pPr>
      <w:r>
        <w:rPr>
          <w:rFonts w:hint="eastAsia"/>
        </w:rPr>
        <w:t>各职能处室将财政法规文件录入法规库，其中以我局名义制发的行政规范性文件，在公文系统发布之后自动导入法规库，其余类别的法规文件，由各职能处室手动导入。对导入的法规文件，按相应规则设置其对应的文件类别、业务类别、发文日期、有效期、实施日期、责任处室等。经处室负责人审核通过后，完成法规文件的入库。</w:t>
      </w:r>
    </w:p>
    <w:p>
      <w:pPr>
        <w:pStyle w:val="8"/>
      </w:pPr>
      <w:r>
        <w:rPr>
          <w:rFonts w:hint="eastAsia"/>
        </w:rPr>
        <w:t>效力维护</w:t>
      </w:r>
    </w:p>
    <w:p>
      <w:pPr>
        <w:ind w:firstLine="420" w:firstLineChars="200"/>
      </w:pPr>
      <w:r>
        <w:rPr>
          <w:rFonts w:hint="eastAsia"/>
        </w:rPr>
        <w:t>各职能处室根据法规文件的废止情况，对其有效标志、失效条款、失效时间、废止条款、废止时间等内容进行调整录入操作。</w:t>
      </w:r>
    </w:p>
    <w:p>
      <w:pPr>
        <w:pStyle w:val="8"/>
      </w:pPr>
      <w:r>
        <w:rPr>
          <w:rFonts w:hint="eastAsia"/>
        </w:rPr>
        <w:t>查询统计</w:t>
      </w:r>
    </w:p>
    <w:p>
      <w:pPr>
        <w:ind w:firstLine="420" w:firstLineChars="200"/>
      </w:pPr>
      <w:r>
        <w:rPr>
          <w:rFonts w:hint="eastAsia"/>
        </w:rPr>
        <w:t>系统用户可以通过业务类别、关键字等多种路径查询财政法规库，查阅法规文件的具体内容。实现按业务类别和按关键字等方式进行查询，提供页面快速搜索、根据条件排序、对查询结果进行二次查询等功能。</w:t>
      </w:r>
    </w:p>
    <w:p>
      <w:pPr>
        <w:pStyle w:val="8"/>
      </w:pPr>
      <w:r>
        <w:rPr>
          <w:rFonts w:hint="eastAsia"/>
        </w:rPr>
        <w:t>条文引用</w:t>
      </w:r>
    </w:p>
    <w:p>
      <w:pPr>
        <w:ind w:firstLine="420" w:firstLineChars="200"/>
      </w:pPr>
      <w:r>
        <w:rPr>
          <w:rFonts w:hint="eastAsia"/>
        </w:rPr>
        <w:t>用户在智慧财政系统的其他业务模块功能操作上，引用法规文件的具体内容作为相关业务事项的法律依据。实现用户引用时的相关信息提示功能。</w:t>
      </w:r>
    </w:p>
    <w:p>
      <w:pPr>
        <w:pStyle w:val="6"/>
      </w:pPr>
      <w:r>
        <w:rPr>
          <w:rFonts w:hint="eastAsia"/>
        </w:rPr>
        <w:t>（十）财力管理</w:t>
      </w:r>
    </w:p>
    <w:p>
      <w:pPr>
        <w:pStyle w:val="69"/>
        <w:numPr>
          <w:ilvl w:val="1"/>
          <w:numId w:val="6"/>
        </w:numPr>
        <w:spacing w:before="200" w:after="200" w:line="400" w:lineRule="exact"/>
        <w:ind w:firstLineChars="0"/>
        <w:jc w:val="left"/>
        <w:outlineLvl w:val="2"/>
        <w:rPr>
          <w:rFonts w:ascii="黑体" w:hAnsi="黑体" w:eastAsia="黑体" w:cs="宋体"/>
          <w:vanish/>
          <w:sz w:val="30"/>
          <w:szCs w:val="32"/>
        </w:rPr>
      </w:pPr>
    </w:p>
    <w:p>
      <w:pPr>
        <w:pStyle w:val="69"/>
        <w:numPr>
          <w:ilvl w:val="1"/>
          <w:numId w:val="6"/>
        </w:numPr>
        <w:spacing w:before="200" w:after="200" w:line="400" w:lineRule="exact"/>
        <w:ind w:firstLineChars="0"/>
        <w:jc w:val="left"/>
        <w:outlineLvl w:val="2"/>
        <w:rPr>
          <w:rFonts w:ascii="黑体" w:hAnsi="黑体" w:eastAsia="黑体" w:cs="宋体"/>
          <w:vanish/>
          <w:sz w:val="30"/>
          <w:szCs w:val="32"/>
        </w:rPr>
      </w:pPr>
    </w:p>
    <w:p>
      <w:pPr>
        <w:pStyle w:val="7"/>
      </w:pPr>
      <w:r>
        <w:rPr>
          <w:rFonts w:hint="eastAsia"/>
        </w:rPr>
        <w:t>1. 业务概述</w:t>
      </w:r>
    </w:p>
    <w:p>
      <w:pPr>
        <w:ind w:firstLine="420" w:firstLineChars="200"/>
      </w:pPr>
      <w:r>
        <w:rPr>
          <w:rFonts w:hint="eastAsia"/>
        </w:rPr>
        <w:t>财力主要是根据税务部门、自然资源部门、国资委、财政等部门提供的财力预测数据以及财政支出动态数据，实时测算财政财力情况，为领导决策提供参谋。财力管理主要分为年度财力平衡测算管理和下年度财力测算管理两个模块。年度财力平衡测算管理主要是根据年中执行情况，实时动态测算当年财政收支平衡情况，为确保财政收支平衡提供数据支持。下年度财力测算管理，主要是根据税务部门、自然资源部门、国资委、财政等部门提供的数据模型，对下年度财力情况进行综合测算。</w:t>
      </w:r>
    </w:p>
    <w:p>
      <w:pPr>
        <w:pStyle w:val="7"/>
      </w:pPr>
      <w:r>
        <w:rPr>
          <w:rFonts w:hint="eastAsia"/>
        </w:rPr>
        <w:t>2. 建设内容</w:t>
      </w:r>
    </w:p>
    <w:p>
      <w:pPr>
        <w:ind w:firstLine="420" w:firstLineChars="200"/>
      </w:pPr>
      <w:r>
        <w:t>1.</w:t>
      </w:r>
      <w:r>
        <w:rPr>
          <w:rFonts w:hint="eastAsia"/>
        </w:rPr>
        <w:t>年度财力平衡测算。根据税务部门、自然资源部门、国资委、财政等部门提供的财力预测数据以及财政支出动态数据，实时测算年度财政财力平衡情况，为领导决策提供参谋；</w:t>
      </w:r>
    </w:p>
    <w:p>
      <w:pPr>
        <w:ind w:firstLine="420" w:firstLineChars="200"/>
      </w:pPr>
      <w:r>
        <w:t>2.</w:t>
      </w:r>
      <w:r>
        <w:rPr>
          <w:rFonts w:hint="eastAsia"/>
        </w:rPr>
        <w:t>下年度财力测算。根据税务部门、自然资源部门、国资委、财政等部门提供的财力预测数据，综合测算下年度财政可用财力情况。</w:t>
      </w:r>
    </w:p>
    <w:p/>
    <w:p>
      <w:pPr>
        <w:pStyle w:val="6"/>
      </w:pPr>
      <w:r>
        <w:rPr>
          <w:rFonts w:hint="eastAsia"/>
        </w:rPr>
        <w:t>（十一）数字档案管理</w:t>
      </w:r>
    </w:p>
    <w:p>
      <w:pPr>
        <w:ind w:firstLine="420" w:firstLineChars="200"/>
      </w:pPr>
      <w:r>
        <w:rPr>
          <w:rFonts w:hint="eastAsia"/>
        </w:rPr>
        <w:t>建立电子影像、档案管理系统，把原来的纸质文档电子化，能够使更多的工作通过电子流程来实现，并有助于实现无纸化办公，能够改变档案资料的管理、调阅和流转模式，从而有助于精简人员和机构。</w:t>
      </w:r>
    </w:p>
    <w:p>
      <w:pPr>
        <w:ind w:firstLine="420" w:firstLineChars="200"/>
      </w:pPr>
      <w:r>
        <w:rPr>
          <w:rFonts w:hint="eastAsia"/>
        </w:rPr>
        <w:t>系统应实现电子影像的存储、修改、提取，归档、备份、查询等功能，并能管理对应纸质档案的位置。电子影像资料能够复用，避免重复提交，并能提供给第三方使用。</w:t>
      </w:r>
    </w:p>
    <w:p>
      <w:pPr>
        <w:ind w:firstLine="420" w:firstLineChars="200"/>
      </w:pPr>
      <w:r>
        <w:rPr>
          <w:rFonts w:hint="eastAsia"/>
        </w:rPr>
        <w:t>适配宁波财政已有的数字档案系统，能在电子档案系统中归档。</w:t>
      </w:r>
    </w:p>
    <w:p>
      <w:pPr>
        <w:ind w:firstLine="420" w:firstLineChars="200"/>
      </w:pPr>
      <w:r>
        <w:rPr>
          <w:rFonts w:hint="eastAsia"/>
        </w:rPr>
        <w:t>如果投标方采用第三方电子影像系统，需保证招标方在使用该软件时免受第三方在知识产权方面的起诉，并满足今后对电子影像系统的维护性需求及改善性需求。</w:t>
      </w:r>
    </w:p>
    <w:p>
      <w:pPr>
        <w:ind w:firstLine="420" w:firstLineChars="200"/>
      </w:pPr>
      <w:r>
        <w:rPr>
          <w:rFonts w:hint="eastAsia"/>
        </w:rPr>
        <w:t>影像扫描要便捷，支持集中扫描和前台分散实时扫描。</w:t>
      </w:r>
    </w:p>
    <w:p>
      <w:pPr>
        <w:ind w:firstLine="420" w:firstLineChars="200"/>
      </w:pPr>
    </w:p>
    <w:p>
      <w:pPr>
        <w:pStyle w:val="7"/>
      </w:pPr>
      <w:r>
        <w:rPr>
          <w:rFonts w:hint="eastAsia"/>
        </w:rPr>
        <w:t>1. 业务概述</w:t>
      </w:r>
    </w:p>
    <w:p>
      <w:pPr>
        <w:ind w:firstLine="420"/>
      </w:pPr>
      <w:r>
        <w:rPr>
          <w:rFonts w:hint="eastAsia"/>
        </w:rPr>
        <w:t>数字档案系统建立在现代信息技术基础上，利用数字化手段，以财政的业务信息为核心，把各种载体的档案转化为数字化的档案信息，以数字化的形式存储，网络化的形式互联互通，利用系统对信息资源进行收集、整理、管理，形成档案资源库提供利用，实现数据共享的软件系统。</w:t>
      </w:r>
    </w:p>
    <w:p>
      <w:pPr>
        <w:ind w:firstLine="420"/>
      </w:pPr>
      <w:r>
        <w:rPr>
          <w:rFonts w:hint="eastAsia"/>
        </w:rPr>
        <w:t>数字档案数据主要来源于公文、财政业务、表单、影像文件、文书、政策法规等，这些数据通过采集系统的多种归档方式进入电子档案资源库。数字档案管理包括：档案分类、日志管理、权限管理、临时授权申请、临时授权审批、业务档案迁移、档案鉴定、档案备份、档案销毁。档案服务与利用包括：档案统计、档案查阅、对外档案服务、</w:t>
      </w:r>
      <w:r>
        <w:t>CA</w:t>
      </w:r>
      <w:r>
        <w:rPr>
          <w:rFonts w:hint="eastAsia"/>
        </w:rPr>
        <w:t>认证、报表输出、档案借阅、实名认证。</w:t>
      </w:r>
    </w:p>
    <w:p>
      <w:pPr>
        <w:pStyle w:val="7"/>
      </w:pPr>
      <w:r>
        <w:rPr>
          <w:rFonts w:hint="eastAsia"/>
        </w:rPr>
        <w:t>2. 建设内容</w:t>
      </w:r>
    </w:p>
    <w:p>
      <w:pPr>
        <w:pStyle w:val="8"/>
      </w:pPr>
      <w:r>
        <w:rPr>
          <w:rFonts w:hint="eastAsia"/>
        </w:rPr>
        <w:t>数字档案采集系统</w:t>
      </w:r>
    </w:p>
    <w:p>
      <w:pPr>
        <w:ind w:firstLine="420"/>
      </w:pPr>
      <w:r>
        <w:rPr>
          <w:rFonts w:hint="eastAsia"/>
        </w:rPr>
        <w:t>档案采集主要完成对纸质资料的数字化采集、提交的主文档采集、附类资料采集、业务流转的审批信息采集、终审信息采集等处理功能。系统按照归档范围、归档节点等提供扫描、电子资料固化、完整性检查、二维码扫描、纸质资料定位、文档格式转换、批量采集等功能通过数字化采集，优化分类方法，既方便归档，又减轻工作负担。</w:t>
      </w:r>
    </w:p>
    <w:p>
      <w:pPr>
        <w:ind w:firstLine="420"/>
      </w:pPr>
      <w:r>
        <w:t>1.</w:t>
      </w:r>
      <w:r>
        <w:rPr>
          <w:rFonts w:hint="eastAsia"/>
        </w:rPr>
        <w:t>电子资料固化，根据业务提供的业务表样和采集的业务数据进行表单固化生成无法篡改档案。</w:t>
      </w:r>
    </w:p>
    <w:p>
      <w:pPr>
        <w:ind w:firstLine="420"/>
      </w:pPr>
      <w:r>
        <w:t>2.</w:t>
      </w:r>
      <w:r>
        <w:rPr>
          <w:rFonts w:hint="eastAsia"/>
        </w:rPr>
        <w:t>完整性检查，根据业务提供的归档范围，载体类型为电子资料即进行表单还原</w:t>
      </w:r>
      <w:r>
        <w:t>;</w:t>
      </w:r>
      <w:r>
        <w:rPr>
          <w:rFonts w:hint="eastAsia"/>
        </w:rPr>
        <w:t>载体类型为影像资料即进行高拍仪拍摄或文件上传。对必报资料是否齐全进行完整性检查。</w:t>
      </w:r>
    </w:p>
    <w:p>
      <w:pPr>
        <w:ind w:firstLine="420"/>
      </w:pPr>
      <w:r>
        <w:t>3.</w:t>
      </w:r>
      <w:r>
        <w:rPr>
          <w:rFonts w:hint="eastAsia"/>
        </w:rPr>
        <w:t>纸质定位初始化，根据业务提供的归档范围，载体类型为纸质的进行条码扫描，资料整理，文件目录导出，并对档案盒进行路径设置，便于后续纸质资料定位。</w:t>
      </w:r>
    </w:p>
    <w:p>
      <w:pPr>
        <w:ind w:firstLine="420"/>
      </w:pPr>
      <w:r>
        <w:t>4.</w:t>
      </w:r>
      <w:r>
        <w:rPr>
          <w:rFonts w:hint="eastAsia"/>
        </w:rPr>
        <w:t>文档格式转换，如采集的资料为影像资料且为文件上传时，需对文档转换成</w:t>
      </w:r>
      <w:r>
        <w:t>pdf</w:t>
      </w:r>
      <w:r>
        <w:rPr>
          <w:rFonts w:hint="eastAsia"/>
        </w:rPr>
        <w:t>格式的文档。</w:t>
      </w:r>
    </w:p>
    <w:p>
      <w:pPr>
        <w:ind w:firstLine="420"/>
      </w:pPr>
      <w:r>
        <w:t>5.</w:t>
      </w:r>
      <w:r>
        <w:rPr>
          <w:rFonts w:hint="eastAsia"/>
        </w:rPr>
        <w:t>批量采集，对业务系统产生的业务档案，可支持批量将资料提交至电子档案系统进行归档。</w:t>
      </w:r>
    </w:p>
    <w:p>
      <w:pPr>
        <w:ind w:firstLine="420"/>
      </w:pPr>
      <w:r>
        <w:t>6.</w:t>
      </w:r>
      <w:r>
        <w:rPr>
          <w:rFonts w:hint="eastAsia"/>
        </w:rPr>
        <w:t>手工录入，对部分档案除提供自动采集外，还需要提供补充录入功能，以便实现档案的应归尽归。</w:t>
      </w:r>
    </w:p>
    <w:p>
      <w:pPr>
        <w:pStyle w:val="8"/>
      </w:pPr>
      <w:r>
        <w:rPr>
          <w:rFonts w:hint="eastAsia"/>
        </w:rPr>
        <w:t>数字档案管理系统</w:t>
      </w:r>
    </w:p>
    <w:p>
      <w:pPr>
        <w:ind w:firstLine="420"/>
      </w:pPr>
      <w:r>
        <w:rPr>
          <w:rFonts w:hint="eastAsia"/>
        </w:rPr>
        <w:t>数字档案管理主要实现档案材料的鉴别、分类、整理、保管、转递、销毁、移交、数据备份、数据恢复、日志管理、版本控制、代办提醒等功能，主要由几大模块组成包括：业务管理、信息管理、纸质管理、系统维护、权限管理等。</w:t>
      </w:r>
    </w:p>
    <w:p>
      <w:pPr>
        <w:ind w:firstLine="420"/>
      </w:pPr>
      <w:r>
        <w:t>1.</w:t>
      </w:r>
      <w:r>
        <w:rPr>
          <w:rFonts w:hint="eastAsia"/>
        </w:rPr>
        <w:t>精细化权限控制，对文件和数据进行赋权，通过角色、组和用户的管理，实现按照单位、部门、上下级、功能模块、操作类型、档案资源等多方面多维度权限控制</w:t>
      </w:r>
    </w:p>
    <w:p>
      <w:pPr>
        <w:ind w:firstLine="420"/>
      </w:pPr>
      <w:r>
        <w:t>2.</w:t>
      </w:r>
      <w:r>
        <w:rPr>
          <w:rFonts w:hint="eastAsia"/>
        </w:rPr>
        <w:t>完善的日志跟踪，详细记录用户操作痕迹，包括查看、下载、打印、添加、删除、修改的内容时间。多版本控制方便展现修改前是什么，修改后变成什么。</w:t>
      </w:r>
    </w:p>
    <w:p>
      <w:pPr>
        <w:ind w:firstLine="420"/>
      </w:pPr>
      <w:r>
        <w:t>3.CA</w:t>
      </w:r>
      <w:r>
        <w:rPr>
          <w:rFonts w:hint="eastAsia"/>
        </w:rPr>
        <w:t>认证，数字档案最终签名签章后，按照档案管理相关规定进行归档导出。此时的格式规范按照档案管理的需要，签名签章后的电子文档不得修改和删除。</w:t>
      </w:r>
    </w:p>
    <w:p>
      <w:pPr>
        <w:ind w:firstLine="420"/>
      </w:pPr>
      <w:r>
        <w:t>4.</w:t>
      </w:r>
      <w:r>
        <w:rPr>
          <w:rFonts w:hint="eastAsia"/>
        </w:rPr>
        <w:t>档案销毁，对电子档案保管期限到期的纸质档案进行销毁，通过电子档案到期预警功能，然后由保管员进行销毁申请，审批通过后，打印销毁清单，再根据这份清单去销毁对应的纸质档案，其中销毁后对应的电子档案已经查阅不到。</w:t>
      </w:r>
    </w:p>
    <w:p>
      <w:pPr>
        <w:ind w:firstLine="420"/>
      </w:pPr>
      <w:r>
        <w:t>5.</w:t>
      </w:r>
      <w:r>
        <w:rPr>
          <w:rFonts w:hint="eastAsia"/>
        </w:rPr>
        <w:t>纸质资料整理，对电子档案整理后生成唯一的档案号，放至档案盒内并生成盒内目录，对档案盒进行路径设置，便于后续纸质调阅。</w:t>
      </w:r>
    </w:p>
    <w:p>
      <w:pPr>
        <w:ind w:firstLine="420"/>
      </w:pPr>
      <w:r>
        <w:t>6.</w:t>
      </w:r>
      <w:r>
        <w:rPr>
          <w:rFonts w:hint="eastAsia"/>
        </w:rPr>
        <w:t>纸质定位，对已经归档好的电子档案与实物纸质档案存放物理位置进行定位，从而通过电子档案准确、方便、快捷找到对应的纸质档案，方便取证调阅。</w:t>
      </w:r>
    </w:p>
    <w:p>
      <w:pPr>
        <w:ind w:firstLine="420"/>
      </w:pPr>
      <w:r>
        <w:t>7.</w:t>
      </w:r>
      <w:r>
        <w:rPr>
          <w:rFonts w:hint="eastAsia"/>
        </w:rPr>
        <w:t>版本控制，对表单固化的表样进行版本控制</w:t>
      </w:r>
      <w:r>
        <w:t>,</w:t>
      </w:r>
      <w:r>
        <w:rPr>
          <w:rFonts w:hint="eastAsia"/>
        </w:rPr>
        <w:t>调整表样后不会影响调整前的表单固化。</w:t>
      </w:r>
    </w:p>
    <w:p>
      <w:pPr>
        <w:ind w:firstLine="420"/>
      </w:pPr>
      <w:r>
        <w:t>8.</w:t>
      </w:r>
      <w:r>
        <w:rPr>
          <w:rFonts w:hint="eastAsia"/>
        </w:rPr>
        <w:t>数据备份恢复，对数据和文件按期进行备份，如出现紧急状况，可以立即恢复。</w:t>
      </w:r>
    </w:p>
    <w:p>
      <w:pPr>
        <w:pStyle w:val="8"/>
      </w:pPr>
      <w:r>
        <w:rPr>
          <w:rFonts w:hint="eastAsia"/>
        </w:rPr>
        <w:t>档案服务与利用</w:t>
      </w:r>
    </w:p>
    <w:p>
      <w:pPr>
        <w:ind w:firstLine="420"/>
      </w:pPr>
      <w:r>
        <w:rPr>
          <w:rFonts w:hint="eastAsia"/>
        </w:rPr>
        <w:t>数字档案服务与利用包括档案的统计及分析、完整性检查及预警、表报输出、数据共享、远程查档、网上借阅、网上检索、“</w:t>
      </w:r>
      <w:r>
        <w:t>CA</w:t>
      </w:r>
      <w:r>
        <w:rPr>
          <w:rFonts w:hint="eastAsia"/>
        </w:rPr>
        <w:t>签名</w:t>
      </w:r>
      <w:r>
        <w:t>+</w:t>
      </w:r>
      <w:r>
        <w:rPr>
          <w:rFonts w:hint="eastAsia"/>
        </w:rPr>
        <w:t>刷脸实名”、“全渠道归集</w:t>
      </w:r>
      <w:r>
        <w:t>+</w:t>
      </w:r>
      <w:r>
        <w:rPr>
          <w:rFonts w:hint="eastAsia"/>
        </w:rPr>
        <w:t>全业务利用”等。</w:t>
      </w:r>
    </w:p>
    <w:p>
      <w:pPr>
        <w:ind w:firstLine="420"/>
      </w:pPr>
      <w:r>
        <w:t>1.</w:t>
      </w:r>
      <w:r>
        <w:rPr>
          <w:rFonts w:hint="eastAsia"/>
        </w:rPr>
        <w:t>档案的统计及分析</w:t>
      </w:r>
    </w:p>
    <w:p>
      <w:pPr>
        <w:ind w:firstLine="420"/>
      </w:pPr>
      <w:r>
        <w:rPr>
          <w:rFonts w:hint="eastAsia"/>
        </w:rPr>
        <w:t>档案的统计分为两大类：一是综合性统计；二是专题统计。综合性统计主要指对全宗类、文书类、会计类、业务类、科技类、特种载体类的档案定期按一定要求输出统计表报。专题统计，可以跨档案类别通过时间、事件、项目、主题、业务类型、业务处室进行统计并输出相关的统计报表。</w:t>
      </w:r>
    </w:p>
    <w:p>
      <w:pPr>
        <w:ind w:firstLine="420"/>
      </w:pPr>
      <w:r>
        <w:rPr>
          <w:rFonts w:hint="eastAsia"/>
        </w:rPr>
        <w:t>档案分析，对档案统计整理的资料进行分析研究，最终形成档案统计结论，通过分析揭示档案和档案工作的内在联系及发展变化的规律，发现问题，为决策提供数据支撑。</w:t>
      </w:r>
    </w:p>
    <w:p>
      <w:pPr>
        <w:ind w:firstLine="420"/>
      </w:pPr>
      <w:r>
        <w:t>2.</w:t>
      </w:r>
      <w:r>
        <w:rPr>
          <w:rFonts w:hint="eastAsia"/>
        </w:rPr>
        <w:t>完整性检查及预警</w:t>
      </w:r>
    </w:p>
    <w:p>
      <w:pPr>
        <w:ind w:firstLine="420"/>
      </w:pPr>
      <w:r>
        <w:rPr>
          <w:rFonts w:hint="eastAsia"/>
        </w:rPr>
        <w:t>管理人员利用财政数字档案可以开展工作人员业务事项的合规审查；对分析决策指标进行档案溯源；并且能够根据档案库中相关档案间的数据比对分析进行风险提示。</w:t>
      </w:r>
    </w:p>
    <w:p>
      <w:pPr>
        <w:ind w:firstLine="420"/>
      </w:pPr>
      <w:r>
        <w:rPr>
          <w:rFonts w:hint="eastAsia"/>
        </w:rPr>
        <w:t>模块主要功能是对已归档的档案完整性进行检测预警，预警的范围包括三部分，（</w:t>
      </w:r>
      <w:r>
        <w:t>1</w:t>
      </w:r>
      <w:r>
        <w:rPr>
          <w:rFonts w:hint="eastAsia"/>
        </w:rPr>
        <w:t>）对所有的档案应归未归；（</w:t>
      </w:r>
      <w:r>
        <w:t>2</w:t>
      </w:r>
      <w:r>
        <w:rPr>
          <w:rFonts w:hint="eastAsia"/>
        </w:rPr>
        <w:t>）按户对每户用户的档案是否归齐进行检测，包括办理某个业务时，所缺少的附列资料；（</w:t>
      </w:r>
      <w:r>
        <w:t>3</w:t>
      </w:r>
      <w:r>
        <w:rPr>
          <w:rFonts w:hint="eastAsia"/>
        </w:rPr>
        <w:t>）已经归档的附列资料，哪些载体类型进行核对确认是否归档完整。</w:t>
      </w:r>
    </w:p>
    <w:p>
      <w:pPr>
        <w:ind w:firstLine="420"/>
      </w:pPr>
      <w:r>
        <w:t>3.</w:t>
      </w:r>
      <w:r>
        <w:rPr>
          <w:rFonts w:hint="eastAsia"/>
        </w:rPr>
        <w:t>“</w:t>
      </w:r>
      <w:r>
        <w:t>CA</w:t>
      </w:r>
      <w:r>
        <w:rPr>
          <w:rFonts w:hint="eastAsia"/>
        </w:rPr>
        <w:t>签名</w:t>
      </w:r>
      <w:r>
        <w:t>+</w:t>
      </w:r>
      <w:r>
        <w:rPr>
          <w:rFonts w:hint="eastAsia"/>
        </w:rPr>
        <w:t>刷脸实名”双重保障数字档案合法性</w:t>
      </w:r>
    </w:p>
    <w:p>
      <w:pPr>
        <w:ind w:firstLine="420"/>
      </w:pPr>
      <w:r>
        <w:rPr>
          <w:rFonts w:hint="eastAsia"/>
        </w:rPr>
        <w:t>数字档案的合法性是档案系统建设、数字档案应用的基石。数字档案的业务数据来源分为企业办事、自然人办事、预算单位办事（需要办事人员签字的事项）、主管部门办事、等类型。因此，在源头上需要从企业身份认证和自然人身份认证两方面来保障档案数据的合法性、真实性、完整性和不可抵赖性。</w:t>
      </w:r>
    </w:p>
    <w:p>
      <w:pPr>
        <w:ind w:firstLine="420"/>
      </w:pPr>
      <w:r>
        <w:rPr>
          <w:rFonts w:hint="eastAsia"/>
        </w:rPr>
        <w:t>随着国家政策的明确和技术的发展，这两方面保障已经可以通过</w:t>
      </w:r>
      <w:r>
        <w:t>CA</w:t>
      </w:r>
      <w:r>
        <w:rPr>
          <w:rFonts w:hint="eastAsia"/>
        </w:rPr>
        <w:t>证书以及实名认证技术去实现。同时，刷脸认证也已成为实名认证的方式，为办事人员接受。所以，宁波市财政数字档案系统的一大创新就是利用“</w:t>
      </w:r>
      <w:r>
        <w:t>CA</w:t>
      </w:r>
      <w:r>
        <w:rPr>
          <w:rFonts w:hint="eastAsia"/>
        </w:rPr>
        <w:t>签名</w:t>
      </w:r>
      <w:r>
        <w:t>+</w:t>
      </w:r>
      <w:r>
        <w:rPr>
          <w:rFonts w:hint="eastAsia"/>
        </w:rPr>
        <w:t>刷脸实名</w:t>
      </w:r>
      <w:r>
        <w:t>”</w:t>
      </w:r>
      <w:r>
        <w:rPr>
          <w:rFonts w:hint="eastAsia"/>
        </w:rPr>
        <w:t>在数据源头双重保障，确立数字档案的合法性。</w:t>
      </w:r>
    </w:p>
    <w:p>
      <w:pPr>
        <w:ind w:firstLine="420"/>
      </w:pPr>
      <w:r>
        <w:t>4.</w:t>
      </w:r>
      <w:r>
        <w:rPr>
          <w:rFonts w:hint="eastAsia"/>
        </w:rPr>
        <w:t>“全渠道归集</w:t>
      </w:r>
      <w:r>
        <w:t>+</w:t>
      </w:r>
      <w:r>
        <w:rPr>
          <w:rFonts w:hint="eastAsia"/>
        </w:rPr>
        <w:t>全业务利用”保证数字档案通用性</w:t>
      </w:r>
    </w:p>
    <w:p>
      <w:pPr>
        <w:ind w:firstLine="420"/>
      </w:pPr>
      <w:r>
        <w:rPr>
          <w:rFonts w:hint="eastAsia"/>
        </w:rPr>
        <w:t>数字档案的通用性是宁波市财政数字档案具备长期活力和生命力前提。宁波市财政数字档案系统建设是在对财政司相关政策充分理解和实践的基础上，梳理各类业务事项、梳理关联的表单和项目，最终在全渠道对全业务进行数字档案归集。同时通过对各业务系统的改造将已归档的数字档案智能化关联复用到各项业务事项办理的流程中去。通过数字档案的充分利用来提升数字档案的准确性，提高系统的生命力。</w:t>
      </w:r>
    </w:p>
    <w:p>
      <w:pPr>
        <w:ind w:firstLine="420"/>
      </w:pPr>
      <w:r>
        <w:rPr>
          <w:rFonts w:hint="eastAsia"/>
        </w:rPr>
        <w:t>同时，宁波市财政数字档案还将对外部门的共享资料进行交换、复用、归档。进一步提高纳税人的办事效率，体现出在大数据时代下的更大范畴的数字档案通用性。</w:t>
      </w:r>
    </w:p>
    <w:p>
      <w:pPr>
        <w:ind w:firstLine="420"/>
      </w:pPr>
      <w:r>
        <w:t>5.</w:t>
      </w:r>
      <w:r>
        <w:rPr>
          <w:rFonts w:hint="eastAsia"/>
        </w:rPr>
        <w:t>检索功能</w:t>
      </w:r>
    </w:p>
    <w:p>
      <w:pPr>
        <w:ind w:firstLine="420"/>
      </w:pPr>
      <w:r>
        <w:rPr>
          <w:rFonts w:hint="eastAsia"/>
        </w:rPr>
        <w:t>基于业务流程的检索，基于业务流程，对项目、资产、凭证、表报、台账等业务进行检索；多功能检索要求，提供多功能、全方位检索，包括全文检索、跨档案检索、模糊检索、一般检索、高级检索等。</w:t>
      </w:r>
    </w:p>
    <w:p>
      <w:pPr>
        <w:ind w:firstLine="420"/>
      </w:pPr>
      <w:r>
        <w:t>6.</w:t>
      </w:r>
      <w:r>
        <w:rPr>
          <w:rFonts w:hint="eastAsia"/>
        </w:rPr>
        <w:t>借阅功能</w:t>
      </w:r>
    </w:p>
    <w:p>
      <w:pPr>
        <w:ind w:firstLine="420"/>
      </w:pPr>
      <w:r>
        <w:rPr>
          <w:rFonts w:hint="eastAsia"/>
        </w:rPr>
        <w:t>数字档案可以进行跨业务处室、主管部门进行借阅查看。对已经归档的，且无权限查阅的档案进行借阅申请，对申请借阅的档案进行审批查阅；对已经归档的，且有权限查阅的档案可进行借阅记录提供直接查阅功能。</w:t>
      </w:r>
    </w:p>
    <w:p>
      <w:pPr>
        <w:ind w:firstLine="420"/>
      </w:pPr>
      <w:r>
        <w:t>7.</w:t>
      </w:r>
      <w:r>
        <w:rPr>
          <w:rFonts w:hint="eastAsia"/>
        </w:rPr>
        <w:t>实现档案共享，助力“最多跑一次改革”</w:t>
      </w:r>
    </w:p>
    <w:p>
      <w:pPr>
        <w:ind w:firstLine="420"/>
      </w:pPr>
      <w:r>
        <w:rPr>
          <w:rFonts w:hint="eastAsia"/>
        </w:rPr>
        <w:t>与外部门实现财政数字档案的共享。使办事人在办理跨部门业务时节省资料提交的工作量，提高资料准确性。助力“最多跑一次”改革的推进和深化，通过部门间档案复用的示范效应，促使政府上下对“整体政府”“整体性治理”理念的深切认同和深刻理解，转变和重构行政理念，面对服务对象时切实从部门自我角度转变到政府全局角度，积极主动打破部门、空间隔阂，打破思维定式，打通中梗阻，提升治理协同性。</w:t>
      </w:r>
    </w:p>
    <w:p>
      <w:pPr>
        <w:pStyle w:val="8"/>
      </w:pPr>
      <w:r>
        <w:rPr>
          <w:rFonts w:hint="eastAsia"/>
        </w:rPr>
        <w:t>数字档案资源库</w:t>
      </w:r>
    </w:p>
    <w:p>
      <w:pPr>
        <w:ind w:firstLine="420"/>
      </w:pPr>
      <w:r>
        <w:rPr>
          <w:rFonts w:hint="eastAsia"/>
        </w:rPr>
        <w:t>使用数据签名、签章等技术保障数据的唯一性，通过档案资源库对存储的</w:t>
      </w:r>
      <w:r>
        <w:t>XML</w:t>
      </w:r>
      <w:r>
        <w:rPr>
          <w:rFonts w:hint="eastAsia"/>
        </w:rPr>
        <w:t>、</w:t>
      </w:r>
      <w:r>
        <w:t>PDF</w:t>
      </w:r>
      <w:r>
        <w:rPr>
          <w:rFonts w:hint="eastAsia"/>
        </w:rPr>
        <w:t>进行描述和管理。实现档案即使脱离业务系统，也可通过档案资源库，依然可以查询和管理，保障档案的独立长久保存。</w:t>
      </w:r>
    </w:p>
    <w:p>
      <w:pPr>
        <w:ind w:firstLine="420"/>
      </w:pPr>
      <w:r>
        <w:t>1.</w:t>
      </w:r>
      <w:r>
        <w:rPr>
          <w:rFonts w:hint="eastAsia"/>
        </w:rPr>
        <w:t>生成</w:t>
      </w:r>
      <w:r>
        <w:t>XML</w:t>
      </w:r>
      <w:r>
        <w:rPr>
          <w:rFonts w:hint="eastAsia"/>
        </w:rPr>
        <w:t>、</w:t>
      </w:r>
      <w:r>
        <w:t>PDF</w:t>
      </w:r>
      <w:r>
        <w:rPr>
          <w:rFonts w:hint="eastAsia"/>
        </w:rPr>
        <w:t>文件</w:t>
      </w:r>
    </w:p>
    <w:p>
      <w:pPr>
        <w:ind w:firstLine="420"/>
      </w:pPr>
      <w:r>
        <w:rPr>
          <w:rFonts w:hint="eastAsia"/>
        </w:rPr>
        <w:t>将</w:t>
      </w:r>
      <w:r>
        <w:t>OA</w:t>
      </w:r>
      <w:r>
        <w:rPr>
          <w:rFonts w:hint="eastAsia"/>
        </w:rPr>
        <w:t>系统、财政业务系统等需要归档的业务系统数据按照归档的表单获取业务系统中的数据并生成</w:t>
      </w:r>
      <w:r>
        <w:t>XML</w:t>
      </w:r>
      <w:r>
        <w:rPr>
          <w:rFonts w:hint="eastAsia"/>
        </w:rPr>
        <w:t>、</w:t>
      </w:r>
      <w:r>
        <w:t>PDF</w:t>
      </w:r>
      <w:r>
        <w:rPr>
          <w:rFonts w:hint="eastAsia"/>
        </w:rPr>
        <w:t>文件。</w:t>
      </w:r>
    </w:p>
    <w:p>
      <w:pPr>
        <w:ind w:firstLine="420"/>
      </w:pPr>
      <w:r>
        <w:t>2.</w:t>
      </w:r>
      <w:r>
        <w:rPr>
          <w:rFonts w:hint="eastAsia"/>
        </w:rPr>
        <w:t>提供</w:t>
      </w:r>
      <w:r>
        <w:t>XML</w:t>
      </w:r>
      <w:r>
        <w:rPr>
          <w:rFonts w:hint="eastAsia"/>
        </w:rPr>
        <w:t>文件模糊检索</w:t>
      </w:r>
    </w:p>
    <w:p>
      <w:pPr>
        <w:ind w:firstLine="420"/>
      </w:pPr>
      <w:r>
        <w:rPr>
          <w:rFonts w:hint="eastAsia"/>
        </w:rPr>
        <w:t>基于</w:t>
      </w:r>
      <w:r>
        <w:t>XML</w:t>
      </w:r>
      <w:r>
        <w:rPr>
          <w:rFonts w:hint="eastAsia"/>
        </w:rPr>
        <w:t>的文档查询标准，在</w:t>
      </w:r>
      <w:r>
        <w:t>XML</w:t>
      </w:r>
      <w:r>
        <w:rPr>
          <w:rFonts w:hint="eastAsia"/>
        </w:rPr>
        <w:t>文档中可支持快速模糊关键字查内容检索，达到脱离业务系统，完成多功能的模糊检索。</w:t>
      </w:r>
    </w:p>
    <w:p>
      <w:pPr>
        <w:ind w:firstLine="420"/>
      </w:pPr>
      <w:r>
        <w:t>3.</w:t>
      </w:r>
      <w:r>
        <w:rPr>
          <w:rFonts w:hint="eastAsia"/>
        </w:rPr>
        <w:t>文件资料存储</w:t>
      </w:r>
      <w:r>
        <w:t>,</w:t>
      </w:r>
      <w:r>
        <w:rPr>
          <w:rFonts w:hint="eastAsia"/>
        </w:rPr>
        <w:t>保证文档的防篡改性。</w:t>
      </w:r>
    </w:p>
    <w:p>
      <w:pPr>
        <w:ind w:firstLine="420"/>
      </w:pPr>
      <w:r>
        <w:rPr>
          <w:rFonts w:hint="eastAsia"/>
        </w:rPr>
        <w:t>业务数据按照规则对表单还原并使用签名技术进行签名，保证电子资料的完整性和不可抵赖性</w:t>
      </w:r>
      <w:r>
        <w:t>;</w:t>
      </w:r>
      <w:r>
        <w:rPr>
          <w:rFonts w:hint="eastAsia"/>
        </w:rPr>
        <w:t>同时支持业务表单及相关纸质资料扫描采集为各位图像信息，统一存入电子档案库，形成资料库。</w:t>
      </w:r>
    </w:p>
    <w:p>
      <w:pPr>
        <w:ind w:firstLine="420"/>
      </w:pPr>
      <w:r>
        <w:t>4.</w:t>
      </w:r>
      <w:r>
        <w:rPr>
          <w:rFonts w:hint="eastAsia"/>
        </w:rPr>
        <w:t>档案注释</w:t>
      </w:r>
    </w:p>
    <w:p>
      <w:r>
        <w:rPr>
          <w:rFonts w:hint="eastAsia"/>
        </w:rPr>
        <w:t>对存档的</w:t>
      </w:r>
      <w:r>
        <w:t>XML</w:t>
      </w:r>
      <w:r>
        <w:rPr>
          <w:rFonts w:hint="eastAsia"/>
        </w:rPr>
        <w:t>文件、</w:t>
      </w:r>
      <w:r>
        <w:t>PDF</w:t>
      </w:r>
      <w:r>
        <w:rPr>
          <w:rFonts w:hint="eastAsia"/>
        </w:rPr>
        <w:t>文件按照业务系统中关键数据元素进行归档作为档案的注释，以便档案即使脱离业务系统，也可通过档案资源库中档案注释，依然可以查询和管理。</w:t>
      </w:r>
    </w:p>
    <w:p/>
    <w:p>
      <w:pPr>
        <w:pStyle w:val="6"/>
      </w:pPr>
      <w:r>
        <w:rPr>
          <w:rFonts w:hint="eastAsia"/>
        </w:rPr>
        <w:t>（十二）内外部服务平台</w:t>
      </w:r>
    </w:p>
    <w:p>
      <w:pPr>
        <w:pStyle w:val="7"/>
      </w:pPr>
      <w:r>
        <w:rPr>
          <w:rFonts w:hint="eastAsia"/>
        </w:rPr>
        <w:t>1. 业务概述</w:t>
      </w:r>
    </w:p>
    <w:p>
      <w:pPr>
        <w:ind w:firstLine="420" w:firstLineChars="200"/>
      </w:pPr>
      <w:r>
        <w:rPr>
          <w:rFonts w:hint="eastAsia"/>
        </w:rPr>
        <w:t>根据财政部《财政核心业务一体化系统实施方案》等文件要求，建设全大市集中部署的“宁波财政内外部服务平台”（以下简称“工作平台”），是以财政系统各级、各部门行政领导、工作人员、预算单位、企业和个人为服务对象，主要用于承载财政日常的办公、管理、服务、协调、监督和决策等业务信息系统，实现跨系统应用集成、内容集成、统一用户管理、统一身份认证、信息发布、统一审计等提供个性化服务、统一展现和多系统间的协同工作。</w:t>
      </w:r>
    </w:p>
    <w:p>
      <w:pPr>
        <w:pStyle w:val="7"/>
      </w:pPr>
      <w:r>
        <w:rPr>
          <w:rFonts w:hint="eastAsia"/>
        </w:rPr>
        <w:t>2. 建设内容</w:t>
      </w:r>
    </w:p>
    <w:p>
      <w:pPr>
        <w:ind w:firstLine="420" w:firstLineChars="200"/>
        <w:rPr>
          <w:rFonts w:ascii="宋体" w:hAnsi="宋体"/>
          <w:szCs w:val="21"/>
        </w:rPr>
      </w:pPr>
      <w:r>
        <w:rPr>
          <w:rFonts w:ascii="宋体" w:hAnsi="宋体"/>
          <w:szCs w:val="21"/>
        </w:rPr>
        <w:t>1.内部服务平台。主要服务对象财政系统各级、各部门行政领导、工作人员。实现统一认证登录，所有功能集中展示，办文、办事、办理业务可以无缝转换，多重身份角色可以随意切换。需对原有功能进行优化整合，并按需进行相关新功能的开发集成。</w:t>
      </w:r>
    </w:p>
    <w:p>
      <w:pPr>
        <w:ind w:firstLine="420" w:firstLineChars="200"/>
        <w:rPr>
          <w:rFonts w:ascii="宋体" w:hAnsi="宋体"/>
          <w:szCs w:val="21"/>
        </w:rPr>
      </w:pPr>
      <w:r>
        <w:rPr>
          <w:rFonts w:ascii="宋体" w:hAnsi="宋体"/>
          <w:szCs w:val="21"/>
        </w:rPr>
        <w:t>2.预算单位平台。主要服务对象各级预算单位。实现统一认证登录，所有功能集中展示，办事、办理业务可以无缝转换，多重身份角色可以随意切换。需对原有功能进行优化整合，并按需进行相关新功能的开发集成。</w:t>
      </w:r>
    </w:p>
    <w:p>
      <w:pPr>
        <w:ind w:firstLine="420" w:firstLineChars="200"/>
        <w:rPr>
          <w:rFonts w:ascii="宋体" w:hAnsi="宋体" w:cs="仿宋"/>
          <w:szCs w:val="21"/>
        </w:rPr>
      </w:pPr>
      <w:r>
        <w:rPr>
          <w:rFonts w:ascii="宋体" w:hAnsi="宋体"/>
          <w:kern w:val="0"/>
          <w:szCs w:val="21"/>
        </w:rPr>
        <w:t>3.外部服务平台。建设外部服务平台是我局财政信息化体系中的重要一环,强化“财为政服务”理念，为市领导、预算单位、主管部门、市级财政、区县（市）财政、乡级财政、自然人、企业、群团组织等提供高效便捷、交互流畅、可视化、可定制的外部服务平台。</w:t>
      </w:r>
      <w:r>
        <w:rPr>
          <w:rFonts w:hint="eastAsia" w:ascii="宋体" w:hAnsi="宋体"/>
          <w:kern w:val="0"/>
          <w:szCs w:val="21"/>
        </w:rPr>
        <w:t>技术上</w:t>
      </w:r>
      <w:r>
        <w:rPr>
          <w:rFonts w:ascii="宋体" w:hAnsi="宋体"/>
          <w:kern w:val="0"/>
          <w:szCs w:val="21"/>
        </w:rPr>
        <w:t>实现</w:t>
      </w:r>
      <w:r>
        <w:rPr>
          <w:rFonts w:hint="eastAsia" w:ascii="宋体" w:hAnsi="宋体"/>
          <w:kern w:val="0"/>
          <w:szCs w:val="21"/>
        </w:rPr>
        <w:t>与</w:t>
      </w:r>
      <w:r>
        <w:rPr>
          <w:rFonts w:ascii="宋体" w:hAnsi="宋体"/>
          <w:kern w:val="0"/>
          <w:szCs w:val="21"/>
        </w:rPr>
        <w:t>外部门系统对接</w:t>
      </w:r>
      <w:r>
        <w:rPr>
          <w:rFonts w:hint="eastAsia" w:ascii="宋体" w:hAnsi="宋体"/>
          <w:kern w:val="0"/>
          <w:szCs w:val="21"/>
        </w:rPr>
        <w:t>，</w:t>
      </w:r>
      <w:r>
        <w:rPr>
          <w:rFonts w:ascii="宋体" w:hAnsi="宋体"/>
          <w:kern w:val="0"/>
          <w:szCs w:val="21"/>
        </w:rPr>
        <w:t>数据实现共享、安全性能可靠、功能完整，内容包括但不限于：用户注册、债务、项目申报、基础信息、资料下载、信息发布、进度查询、我的任务等，并按需与其他外部系统进行相关集成。</w:t>
      </w:r>
    </w:p>
    <w:p>
      <w:pPr>
        <w:ind w:firstLine="420" w:firstLineChars="200"/>
        <w:rPr>
          <w:rFonts w:ascii="宋体" w:hAnsi="宋体"/>
          <w:szCs w:val="21"/>
        </w:rPr>
      </w:pPr>
      <w:r>
        <w:rPr>
          <w:rFonts w:ascii="宋体" w:hAnsi="宋体"/>
          <w:szCs w:val="21"/>
        </w:rPr>
        <w:t>4.统一部门管理。不同层级管理员可对管辖内的部门信息进行维护，增加、删除子部门，按需将部门信息同步至各应用系统中；</w:t>
      </w:r>
    </w:p>
    <w:p>
      <w:pPr>
        <w:ind w:firstLine="420" w:firstLineChars="200"/>
        <w:rPr>
          <w:rFonts w:ascii="宋体" w:hAnsi="宋体"/>
          <w:szCs w:val="21"/>
        </w:rPr>
      </w:pPr>
      <w:r>
        <w:rPr>
          <w:rFonts w:ascii="宋体" w:hAnsi="宋体"/>
          <w:szCs w:val="21"/>
        </w:rPr>
        <w:t>5.统一用户管理。不同层级管理员对管辖内的人员可统一进行用户信息的增、删、改操作，通过统一集中的用户管理，实现应用系统的用户基本信息的统一维护，按需将人员信息同步至各应用系统中；</w:t>
      </w:r>
    </w:p>
    <w:p>
      <w:pPr>
        <w:ind w:firstLine="420" w:firstLineChars="200"/>
        <w:rPr>
          <w:rFonts w:ascii="宋体" w:hAnsi="宋体"/>
          <w:szCs w:val="21"/>
        </w:rPr>
      </w:pPr>
      <w:r>
        <w:rPr>
          <w:rFonts w:ascii="宋体" w:hAnsi="宋体"/>
          <w:szCs w:val="21"/>
        </w:rPr>
        <w:t>6.统一单点登录。单点登录实现在多个应用系统中，用户只需要登录一次就可以访问所有拥有权限、相互信任的应用系统，不同的用户，根据不同权限，显示不同的业务模块。达到更快速、更稳定、更便捷的目的；</w:t>
      </w:r>
    </w:p>
    <w:p>
      <w:pPr>
        <w:ind w:firstLine="420" w:firstLineChars="200"/>
        <w:rPr>
          <w:rFonts w:ascii="宋体" w:hAnsi="宋体"/>
          <w:szCs w:val="21"/>
        </w:rPr>
      </w:pPr>
      <w:r>
        <w:rPr>
          <w:rFonts w:ascii="宋体" w:hAnsi="宋体"/>
          <w:szCs w:val="21"/>
        </w:rPr>
        <w:t>7.CA身份认证。用户登录门户时，门户借助CA身份认证系统、密码服务和密钥管理系统，通过使用数字证书和相关技术在系统内部加强用户操作的安全性、可靠性。</w:t>
      </w:r>
    </w:p>
    <w:p>
      <w:pPr>
        <w:ind w:firstLine="420" w:firstLineChars="200"/>
        <w:rPr>
          <w:rFonts w:ascii="宋体" w:hAnsi="宋体"/>
          <w:szCs w:val="21"/>
        </w:rPr>
      </w:pPr>
      <w:r>
        <w:rPr>
          <w:rFonts w:ascii="宋体" w:hAnsi="宋体"/>
          <w:szCs w:val="21"/>
        </w:rPr>
        <w:t>8.统一审计管理。完善用户登录、用户退出、用户管理等审计日志，要求对日志按重要程度、类型进行标识，增加重要操作日志记录，支持历史日志查询，日志要求进行数据签名及支持数据验签，满足财政审计要求。</w:t>
      </w:r>
    </w:p>
    <w:p>
      <w:pPr>
        <w:ind w:firstLine="420" w:firstLineChars="200"/>
        <w:rPr>
          <w:rFonts w:ascii="宋体" w:hAnsi="宋体"/>
          <w:kern w:val="0"/>
          <w:szCs w:val="21"/>
        </w:rPr>
      </w:pPr>
      <w:r>
        <w:rPr>
          <w:rFonts w:ascii="宋体" w:hAnsi="宋体"/>
          <w:kern w:val="0"/>
          <w:szCs w:val="21"/>
        </w:rPr>
        <w:t>9.</w:t>
      </w:r>
      <w:bookmarkStart w:id="4" w:name="_Toc11403821"/>
      <w:r>
        <w:rPr>
          <w:rFonts w:hint="eastAsia" w:ascii="宋体" w:hAnsi="宋体"/>
          <w:kern w:val="0"/>
          <w:szCs w:val="21"/>
        </w:rPr>
        <w:t>统一任务管理</w:t>
      </w:r>
      <w:bookmarkEnd w:id="4"/>
      <w:r>
        <w:rPr>
          <w:rFonts w:hint="eastAsia" w:ascii="宋体" w:hAnsi="宋体"/>
          <w:kern w:val="0"/>
          <w:szCs w:val="21"/>
        </w:rPr>
        <w:t>。统一任务管理，用户可依据任务模板针对某项日常性工作创建工作任务，任务创建后可实现对此项工作的可查看、可分享、可汇总、可分析、可追溯、可延续。实现工作逐级分配、任务分解、工作监管，对单项工作，从源头进行进度跟踪，对整个单位，从上到下俯瞰各处室所有人员的工作完成情况和工作饱和度；对日常工作过程及结果进行归档，使得日常工作都可以按照统计口径或一定的规范进行数据上报；对专题工作过程及结果进行归档，对于具体事项，可以按照数字档案通用的业务到事项到资料的方式进行非结构化数据的归档，为后续类似工作开展积累资料和经验；对历史工作资料的归档，为财政部门提供史料数字化归档服务。</w:t>
      </w:r>
    </w:p>
    <w:p>
      <w:pPr>
        <w:ind w:firstLine="420" w:firstLineChars="200"/>
        <w:rPr>
          <w:rFonts w:ascii="宋体" w:hAnsi="宋体"/>
          <w:kern w:val="0"/>
          <w:szCs w:val="21"/>
        </w:rPr>
      </w:pPr>
      <w:r>
        <w:rPr>
          <w:rFonts w:ascii="宋体" w:hAnsi="宋体"/>
          <w:kern w:val="0"/>
          <w:szCs w:val="21"/>
        </w:rPr>
        <w:t>10.</w:t>
      </w:r>
      <w:bookmarkStart w:id="5" w:name="_Toc11403825"/>
      <w:r>
        <w:rPr>
          <w:rFonts w:hint="eastAsia" w:ascii="宋体" w:hAnsi="宋体"/>
          <w:kern w:val="0"/>
          <w:szCs w:val="21"/>
        </w:rPr>
        <w:t>统一资料管理</w:t>
      </w:r>
      <w:bookmarkEnd w:id="5"/>
      <w:r>
        <w:rPr>
          <w:rFonts w:hint="eastAsia" w:ascii="宋体" w:hAnsi="宋体"/>
          <w:kern w:val="0"/>
          <w:szCs w:val="21"/>
        </w:rPr>
        <w:t>。统一资料管理是基于文档管理的一个应用，在任务管理时，将相关的文档进行统一归档，建立具有关联关系的文档库，可以为后续工作参考使用。需要具备以下功能：</w:t>
      </w:r>
      <w:bookmarkStart w:id="6" w:name="_Toc11403826"/>
      <w:r>
        <w:rPr>
          <w:rFonts w:hint="eastAsia" w:ascii="宋体" w:hAnsi="宋体"/>
          <w:kern w:val="0"/>
          <w:szCs w:val="21"/>
        </w:rPr>
        <w:t>文档上传</w:t>
      </w:r>
      <w:bookmarkEnd w:id="6"/>
      <w:r>
        <w:rPr>
          <w:rFonts w:hint="eastAsia" w:ascii="宋体" w:hAnsi="宋体"/>
          <w:kern w:val="0"/>
          <w:szCs w:val="21"/>
        </w:rPr>
        <w:t>：在任务执行过程中，被指派人员需要上传文档，系统会将文档与任务关联；</w:t>
      </w:r>
      <w:bookmarkStart w:id="7" w:name="_Toc11403827"/>
      <w:r>
        <w:rPr>
          <w:rFonts w:hint="eastAsia" w:ascii="宋体" w:hAnsi="宋体"/>
          <w:kern w:val="0"/>
          <w:szCs w:val="21"/>
        </w:rPr>
        <w:t>文档查询</w:t>
      </w:r>
      <w:bookmarkEnd w:id="7"/>
      <w:r>
        <w:rPr>
          <w:rFonts w:hint="eastAsia" w:ascii="宋体" w:hAnsi="宋体"/>
          <w:kern w:val="0"/>
          <w:szCs w:val="21"/>
        </w:rPr>
        <w:t>：对上传的文档，可实时进行在线预览。文档展现统一采用</w:t>
      </w:r>
      <w:r>
        <w:rPr>
          <w:rFonts w:ascii="宋体" w:hAnsi="宋体"/>
          <w:kern w:val="0"/>
          <w:szCs w:val="21"/>
        </w:rPr>
        <w:t>PDF方式，同时将原文件进行保留，便于追溯；</w:t>
      </w:r>
      <w:bookmarkStart w:id="8" w:name="_Toc11403828"/>
      <w:r>
        <w:rPr>
          <w:rFonts w:hint="eastAsia" w:ascii="宋体" w:hAnsi="宋体"/>
          <w:kern w:val="0"/>
          <w:szCs w:val="21"/>
        </w:rPr>
        <w:t>文档归档</w:t>
      </w:r>
      <w:bookmarkEnd w:id="8"/>
      <w:r>
        <w:rPr>
          <w:rFonts w:hint="eastAsia" w:ascii="宋体" w:hAnsi="宋体"/>
          <w:kern w:val="0"/>
          <w:szCs w:val="21"/>
        </w:rPr>
        <w:t>：对办结的任务，所产生的文档，可根据实际价值，进行文档的归档；</w:t>
      </w:r>
      <w:bookmarkStart w:id="9" w:name="_Toc11403829"/>
      <w:r>
        <w:rPr>
          <w:rFonts w:hint="eastAsia" w:ascii="宋体" w:hAnsi="宋体"/>
          <w:kern w:val="0"/>
          <w:szCs w:val="21"/>
        </w:rPr>
        <w:t>文档分享</w:t>
      </w:r>
      <w:bookmarkEnd w:id="9"/>
      <w:r>
        <w:rPr>
          <w:rFonts w:hint="eastAsia" w:ascii="宋体" w:hAnsi="宋体"/>
          <w:kern w:val="0"/>
          <w:szCs w:val="21"/>
        </w:rPr>
        <w:t>：对归档的文档，可进行分享及复用。</w:t>
      </w:r>
    </w:p>
    <w:p>
      <w:pPr>
        <w:ind w:firstLine="420" w:firstLineChars="200"/>
        <w:rPr>
          <w:rFonts w:ascii="宋体" w:hAnsi="宋体"/>
          <w:kern w:val="0"/>
          <w:szCs w:val="21"/>
        </w:rPr>
      </w:pPr>
      <w:r>
        <w:rPr>
          <w:rFonts w:ascii="宋体" w:hAnsi="宋体"/>
          <w:kern w:val="0"/>
          <w:szCs w:val="21"/>
        </w:rPr>
        <w:t>11.</w:t>
      </w:r>
      <w:bookmarkStart w:id="10" w:name="_Toc11403830"/>
      <w:r>
        <w:rPr>
          <w:rFonts w:hint="eastAsia" w:ascii="宋体" w:hAnsi="宋体"/>
          <w:kern w:val="0"/>
          <w:szCs w:val="21"/>
        </w:rPr>
        <w:t>统一消息管理</w:t>
      </w:r>
      <w:bookmarkEnd w:id="10"/>
      <w:r>
        <w:rPr>
          <w:rFonts w:hint="eastAsia" w:ascii="宋体" w:hAnsi="宋体"/>
          <w:kern w:val="0"/>
          <w:szCs w:val="21"/>
        </w:rPr>
        <w:t>。统一消息管理，实现工作人员之间与预算单位相关人员消息互通，并实现</w:t>
      </w:r>
      <w:r>
        <w:rPr>
          <w:rFonts w:ascii="宋体" w:hAnsi="宋体"/>
          <w:kern w:val="0"/>
          <w:szCs w:val="21"/>
        </w:rPr>
        <w:t>PC端和移动端的一体化消息应用、实时共享应用、消息主动推送。提供通用数据接口，为以后集成其他办公应用提供接口服务。</w:t>
      </w:r>
    </w:p>
    <w:p>
      <w:pPr>
        <w:ind w:firstLine="420" w:firstLineChars="200"/>
        <w:rPr>
          <w:rFonts w:ascii="宋体" w:hAnsi="宋体"/>
          <w:kern w:val="0"/>
          <w:szCs w:val="21"/>
        </w:rPr>
      </w:pPr>
      <w:r>
        <w:rPr>
          <w:rFonts w:ascii="宋体" w:hAnsi="宋体"/>
          <w:kern w:val="0"/>
          <w:szCs w:val="21"/>
        </w:rPr>
        <w:t>12.</w:t>
      </w:r>
      <w:r>
        <w:rPr>
          <w:rFonts w:hint="eastAsia" w:ascii="宋体" w:hAnsi="宋体"/>
          <w:color w:val="000000"/>
          <w:kern w:val="0"/>
          <w:szCs w:val="21"/>
        </w:rPr>
        <w:t>符合省、市政务服务要求</w:t>
      </w:r>
      <w:r>
        <w:rPr>
          <w:rFonts w:ascii="宋体" w:hAnsi="宋体"/>
          <w:kern w:val="0"/>
          <w:szCs w:val="21"/>
        </w:rPr>
        <w:t>。为深入贯彻落实市委市政府实施“最多跑一次”改革工作部署，加快推进服务事项“网上办”，实现“跑零次”的改革目标，满足“用户通、数据通、流程通”的要求。</w:t>
      </w:r>
    </w:p>
    <w:p>
      <w:pPr>
        <w:ind w:firstLine="420" w:firstLineChars="200"/>
        <w:rPr>
          <w:rFonts w:ascii="宋体" w:hAnsi="宋体"/>
          <w:kern w:val="0"/>
          <w:szCs w:val="21"/>
        </w:rPr>
      </w:pPr>
      <w:r>
        <w:rPr>
          <w:rFonts w:hint="eastAsia" w:ascii="宋体" w:hAnsi="宋体"/>
          <w:kern w:val="0"/>
          <w:szCs w:val="21"/>
        </w:rPr>
        <w:t>13.国有金融资本管理</w:t>
      </w:r>
    </w:p>
    <w:p>
      <w:pPr>
        <w:ind w:firstLine="420" w:firstLineChars="200"/>
        <w:rPr>
          <w:rFonts w:ascii="宋体" w:hAnsi="宋体"/>
          <w:kern w:val="0"/>
          <w:szCs w:val="21"/>
        </w:rPr>
      </w:pPr>
      <w:r>
        <w:rPr>
          <w:rFonts w:hint="eastAsia" w:ascii="宋体" w:hAnsi="宋体"/>
          <w:kern w:val="0"/>
          <w:szCs w:val="21"/>
        </w:rPr>
        <w:t>功能包括产权登记和财务管理，用户范围包括市本级、各区县（市）财政局、全大市金融企业。</w:t>
      </w:r>
    </w:p>
    <w:p>
      <w:pPr>
        <w:pStyle w:val="69"/>
        <w:numPr>
          <w:ilvl w:val="0"/>
          <w:numId w:val="8"/>
        </w:numPr>
        <w:ind w:firstLineChars="0"/>
        <w:rPr>
          <w:rFonts w:ascii="宋体" w:hAnsi="宋体"/>
          <w:kern w:val="0"/>
          <w:szCs w:val="21"/>
        </w:rPr>
      </w:pPr>
      <w:r>
        <w:rPr>
          <w:rFonts w:hint="eastAsia" w:ascii="宋体" w:hAnsi="宋体"/>
          <w:kern w:val="0"/>
          <w:szCs w:val="21"/>
        </w:rPr>
        <w:t>国有金融资本管理产权登记</w:t>
      </w:r>
    </w:p>
    <w:p>
      <w:pPr>
        <w:ind w:firstLine="420" w:firstLineChars="200"/>
        <w:rPr>
          <w:rFonts w:ascii="宋体" w:hAnsi="宋体"/>
          <w:kern w:val="0"/>
          <w:szCs w:val="21"/>
        </w:rPr>
      </w:pPr>
    </w:p>
    <w:p>
      <w:pPr>
        <w:ind w:firstLine="420" w:firstLineChars="200"/>
        <w:rPr>
          <w:rFonts w:ascii="宋体" w:hAnsi="宋体"/>
          <w:kern w:val="0"/>
          <w:szCs w:val="21"/>
        </w:rPr>
      </w:pPr>
      <w:r>
        <w:rPr>
          <w:rFonts w:hint="eastAsia" w:ascii="宋体" w:hAnsi="宋体"/>
          <w:kern w:val="0"/>
          <w:szCs w:val="21"/>
        </w:rPr>
        <w:t>包括产权登记信息报送及审核确认、产权登记证（表）打印。</w:t>
      </w:r>
    </w:p>
    <w:p>
      <w:pPr>
        <w:pStyle w:val="69"/>
        <w:numPr>
          <w:ilvl w:val="0"/>
          <w:numId w:val="8"/>
        </w:numPr>
        <w:ind w:firstLineChars="0"/>
        <w:rPr>
          <w:rFonts w:ascii="宋体" w:hAnsi="宋体"/>
          <w:kern w:val="0"/>
          <w:szCs w:val="21"/>
        </w:rPr>
      </w:pPr>
      <w:r>
        <w:rPr>
          <w:rFonts w:hint="eastAsia" w:ascii="宋体" w:hAnsi="宋体"/>
          <w:kern w:val="0"/>
          <w:szCs w:val="21"/>
        </w:rPr>
        <w:t>国有金融资本管理财务管理</w:t>
      </w:r>
    </w:p>
    <w:p>
      <w:pPr>
        <w:ind w:firstLine="420" w:firstLineChars="200"/>
        <w:rPr>
          <w:rFonts w:ascii="宋体" w:hAnsi="宋体"/>
          <w:kern w:val="0"/>
          <w:szCs w:val="21"/>
        </w:rPr>
      </w:pPr>
      <w:r>
        <w:rPr>
          <w:rFonts w:hint="eastAsia" w:ascii="宋体" w:hAnsi="宋体"/>
          <w:kern w:val="0"/>
          <w:szCs w:val="21"/>
        </w:rPr>
        <w:t>包括年度财务决算,季度财务快报,月度财务快报</w:t>
      </w:r>
    </w:p>
    <w:p>
      <w:pPr>
        <w:pStyle w:val="6"/>
      </w:pPr>
      <w:r>
        <w:rPr>
          <w:rFonts w:hint="eastAsia"/>
        </w:rPr>
        <w:t>（十三）短信平台</w:t>
      </w:r>
    </w:p>
    <w:p>
      <w:pPr>
        <w:pStyle w:val="7"/>
        <w:numPr>
          <w:ilvl w:val="0"/>
          <w:numId w:val="9"/>
        </w:numPr>
        <w:spacing w:line="374" w:lineRule="auto"/>
      </w:pPr>
      <w:r>
        <w:rPr>
          <w:rFonts w:hint="eastAsia"/>
        </w:rPr>
        <w:t>业务概述</w:t>
      </w:r>
    </w:p>
    <w:p>
      <w:pPr>
        <w:ind w:firstLine="420"/>
        <w:rPr>
          <w:kern w:val="0"/>
        </w:rPr>
      </w:pPr>
      <w:r>
        <w:rPr>
          <w:rFonts w:hint="eastAsia"/>
          <w:kern w:val="0"/>
        </w:rPr>
        <w:t>搭建一个集基础短信功能、短信安全维护、平台权限管理、系统信息管理等功能为一体，满足财政局应用系统和工作人员使用的新型短信平台。</w:t>
      </w:r>
    </w:p>
    <w:p>
      <w:pPr>
        <w:pStyle w:val="69"/>
        <w:ind w:left="360" w:firstLine="0" w:firstLineChars="0"/>
        <w:rPr>
          <w:rFonts w:ascii="宋体" w:hAnsi="宋体"/>
          <w:kern w:val="0"/>
          <w:szCs w:val="21"/>
        </w:rPr>
      </w:pPr>
    </w:p>
    <w:p>
      <w:pPr>
        <w:pStyle w:val="7"/>
      </w:pPr>
      <w:r>
        <w:rPr>
          <w:rFonts w:hint="eastAsia"/>
        </w:rPr>
        <w:t>2. 建设内容</w:t>
      </w:r>
    </w:p>
    <w:p>
      <w:pPr>
        <w:ind w:firstLine="420"/>
        <w:rPr>
          <w:kern w:val="0"/>
        </w:rPr>
      </w:pPr>
      <w:r>
        <w:rPr>
          <w:rFonts w:hint="eastAsia"/>
          <w:kern w:val="0"/>
        </w:rPr>
        <w:t>实现基础短信功能，包括短信发送、短信查询、短信统计、短信模板、短信定时、短信接口；实现短信安全维护：包括手机号过滤维护、敏感字维护、安全日志、短信熔断；实现平台权限管理：包括平台申请管理、申请审批管理、平台授权管理；实现系统信息管理：包括用户信息管理、运营商信息管理、第三方接入信息管理、数据备份管理；实现与财政内外部服务平台的集成。</w:t>
      </w:r>
    </w:p>
    <w:p>
      <w:pPr>
        <w:pStyle w:val="6"/>
      </w:pPr>
      <w:r>
        <w:rPr>
          <w:rFonts w:hint="eastAsia"/>
        </w:rPr>
        <w:t>（十四）应用支撑平台</w:t>
      </w:r>
    </w:p>
    <w:p>
      <w:pPr>
        <w:ind w:firstLine="420"/>
        <w:rPr>
          <w:kern w:val="0"/>
        </w:rPr>
      </w:pPr>
      <w:r>
        <w:rPr>
          <w:rFonts w:hint="eastAsia"/>
          <w:kern w:val="0"/>
        </w:rPr>
        <w:t>为更好地保证业务流程的通畅和业务工作的协同，更好地共享应用系统的数据同时提高系统的智能化水平，需要建设一个统一提供公共基础服务、集中处理数据定义和规则、统一业务文书管理、统一设置权限和用户、统一流程、统一报表、统一</w:t>
      </w:r>
      <w:r>
        <w:rPr>
          <w:kern w:val="0"/>
        </w:rPr>
        <w:t>CA</w:t>
      </w:r>
      <w:r>
        <w:rPr>
          <w:rFonts w:hint="eastAsia"/>
          <w:kern w:val="0"/>
        </w:rPr>
        <w:t>身份认证（多</w:t>
      </w:r>
      <w:r>
        <w:rPr>
          <w:kern w:val="0"/>
        </w:rPr>
        <w:t>CA</w:t>
      </w:r>
      <w:r>
        <w:rPr>
          <w:rFonts w:hint="eastAsia"/>
          <w:kern w:val="0"/>
        </w:rPr>
        <w:t>支持）、统一管理数据共享和交换等的公共基础支撑平台。</w:t>
      </w:r>
    </w:p>
    <w:p>
      <w:pPr>
        <w:pStyle w:val="7"/>
      </w:pPr>
      <w:r>
        <w:rPr>
          <w:rFonts w:hint="eastAsia"/>
        </w:rPr>
        <w:t>1. 通用报表、通用查询。</w:t>
      </w:r>
    </w:p>
    <w:p>
      <w:pPr>
        <w:ind w:firstLine="420" w:firstLineChars="200"/>
      </w:pPr>
      <w:r>
        <w:t>1.</w:t>
      </w:r>
      <w:r>
        <w:rPr>
          <w:rFonts w:hint="eastAsia"/>
        </w:rPr>
        <w:t>系统要提供灵活的通用报表定制、发布、维护工具，业务人员能够通过工具直观简单地定制各种报表，并发布给有权限的人员使用。</w:t>
      </w:r>
    </w:p>
    <w:p>
      <w:pPr>
        <w:ind w:firstLine="420" w:firstLineChars="200"/>
      </w:pPr>
      <w:r>
        <w:t>2.</w:t>
      </w:r>
      <w:r>
        <w:rPr>
          <w:rFonts w:hint="eastAsia"/>
        </w:rPr>
        <w:t>系统不仅要预置常用查询，还要求提供简单易用、功能强大的通用查询模块，使用户可以自定义查询并发布给有权限的人员使用。查询统计结果要能以表格、图形等形式直观明了地表现。</w:t>
      </w:r>
    </w:p>
    <w:p>
      <w:pPr>
        <w:ind w:firstLine="420" w:firstLineChars="200"/>
      </w:pPr>
      <w:r>
        <w:t>3.</w:t>
      </w:r>
      <w:r>
        <w:rPr>
          <w:rFonts w:hint="eastAsia"/>
        </w:rPr>
        <w:t>要求支持主流的第三方控件，优先支持国产软件。</w:t>
      </w:r>
    </w:p>
    <w:p>
      <w:pPr>
        <w:pStyle w:val="7"/>
      </w:pPr>
      <w:r>
        <w:rPr>
          <w:rFonts w:hint="eastAsia"/>
        </w:rPr>
        <w:t>2. 统一门户管理</w:t>
      </w:r>
    </w:p>
    <w:p>
      <w:pPr>
        <w:ind w:firstLine="420" w:firstLineChars="200"/>
      </w:pPr>
      <w:r>
        <w:rPr>
          <w:rFonts w:hint="eastAsia"/>
        </w:rPr>
        <w:t>统一门户管理的核心是实现业务系统应用集成和数据集成展示。包含门户配置功能，提供不同角色配置不同视图的功能，并提供多种集成的方式，结合角色的权限和页面流数据流的信息发布到相应的工作平台。并能提供门户各视图的监管功能，用于实时监控运行情况。具体功能需求包括实现单点登录、</w:t>
      </w:r>
      <w:r>
        <w:t>CA</w:t>
      </w:r>
      <w:r>
        <w:rPr>
          <w:rFonts w:hint="eastAsia"/>
        </w:rPr>
        <w:t>身份认证、统一用户管理、统一事项管理、应用集成、信息发布等。</w:t>
      </w:r>
    </w:p>
    <w:p>
      <w:pPr>
        <w:pStyle w:val="7"/>
      </w:pPr>
      <w:r>
        <w:rPr>
          <w:rFonts w:hint="eastAsia"/>
        </w:rPr>
        <w:t>3. 统一用户管理</w:t>
      </w:r>
    </w:p>
    <w:p>
      <w:pPr>
        <w:ind w:firstLine="420" w:firstLineChars="200"/>
      </w:pPr>
      <w:r>
        <w:rPr>
          <w:rFonts w:hint="eastAsia"/>
        </w:rPr>
        <w:t>根据招标方要求，改善横向纵向系统分散建设、集中化程度不高的现状，升级改造统一用户管理，层次上覆盖各级内部用户和外部用户，根据新要求优化用户分级管理和同步管理。</w:t>
      </w:r>
    </w:p>
    <w:p>
      <w:pPr>
        <w:ind w:firstLine="420" w:firstLineChars="200"/>
      </w:pPr>
      <w:r>
        <w:rPr>
          <w:rFonts w:hint="eastAsia"/>
        </w:rPr>
        <w:t>建立财政应用系统中涉及的内部用户和外部用户统一的用户管理，实现用户注册、用户身份存储、统一用户管理、身份信息同步、统一口令策略和其他服务等功能。</w:t>
      </w:r>
    </w:p>
    <w:p>
      <w:pPr>
        <w:ind w:firstLine="420" w:firstLineChars="200"/>
      </w:pPr>
      <w:r>
        <w:rPr>
          <w:rFonts w:hint="eastAsia"/>
        </w:rPr>
        <w:t>统一用户管理作为用户的认证、用户信息统一修改、用户密码修改的入口，根据财政区划、组织机构、用户等信息，统一管理和维护用户信息。</w:t>
      </w:r>
    </w:p>
    <w:p>
      <w:pPr>
        <w:pStyle w:val="7"/>
      </w:pPr>
      <w:r>
        <w:rPr>
          <w:rFonts w:hint="eastAsia"/>
        </w:rPr>
        <w:t>4. 统一权限管理</w:t>
      </w:r>
    </w:p>
    <w:p>
      <w:pPr>
        <w:ind w:firstLine="420" w:firstLineChars="200"/>
      </w:pPr>
      <w:r>
        <w:rPr>
          <w:rFonts w:hint="eastAsia"/>
        </w:rPr>
        <w:t>统一权限管理提高权限的集中管理，进一步加快各系统之间的信息共享与融合，便于信息资源利用，同时为业务能组件化管理提供权限服务支撑，避免在权限调整中存在用户权限放大的隐患。加快统一权限建设以确保系统人员、组织机构数据的一致性，利用权限分析功能，对人员权限进行全面监控与合规检测。</w:t>
      </w:r>
    </w:p>
    <w:p>
      <w:pPr>
        <w:pStyle w:val="7"/>
      </w:pPr>
      <w:r>
        <w:rPr>
          <w:rFonts w:hint="eastAsia"/>
        </w:rPr>
        <w:t>5. 统一流程管理</w:t>
      </w:r>
    </w:p>
    <w:p>
      <w:pPr>
        <w:ind w:firstLine="420" w:firstLineChars="200"/>
      </w:pPr>
      <w:r>
        <w:rPr>
          <w:rFonts w:hint="eastAsia"/>
        </w:rPr>
        <w:t>统一流程管理实现项目中业务流程的定义、运行、监控和管理，支持图形化的流程定义，支持通过、驳回、会签、转发、中止、挂起等核心操作，支持自定义表单、引入</w:t>
      </w:r>
      <w:r>
        <w:t>API</w:t>
      </w:r>
      <w:r>
        <w:rPr>
          <w:rFonts w:hint="eastAsia"/>
        </w:rPr>
        <w:t>接口等，支撑流程环节建模；支持各种复杂的流程如办公自动化收发文流程、预算指标支付业务流程、项目全生命周期管理业务流程，提供外部业务系统调用接口，业务系统可以快速基于工作流平台搭建应用。</w:t>
      </w:r>
    </w:p>
    <w:p>
      <w:pPr>
        <w:ind w:firstLine="420" w:firstLineChars="200"/>
      </w:pPr>
      <w:r>
        <w:rPr>
          <w:rFonts w:hint="eastAsia"/>
        </w:rPr>
        <w:t>实现全市一体化的统一流程管理，实现过程控制、质量控制和责任控制，使执法过程得到全面有效的监控。切实地对执法责任、廉政风险、绩效考核和信息公开起到支持作用。</w:t>
      </w:r>
    </w:p>
    <w:p>
      <w:pPr>
        <w:ind w:firstLine="420" w:firstLineChars="200"/>
      </w:pPr>
      <w:r>
        <w:rPr>
          <w:rFonts w:hint="eastAsia"/>
        </w:rPr>
        <w:t>能实现对工作流模型、岗位、人员组织、权限分配、流转时限、监控条件的定义和维护，支持工作流的退回、跳转、撤回、转办等机制。支持授权审批、批量审批、会签。</w:t>
      </w:r>
    </w:p>
    <w:p>
      <w:pPr>
        <w:pStyle w:val="7"/>
      </w:pPr>
      <w:r>
        <w:rPr>
          <w:rFonts w:hint="eastAsia"/>
        </w:rPr>
        <w:t>6. 统一基础数据</w:t>
      </w:r>
    </w:p>
    <w:p>
      <w:pPr>
        <w:ind w:firstLine="420" w:firstLineChars="200"/>
      </w:pPr>
      <w:r>
        <w:rPr>
          <w:rFonts w:hint="eastAsia"/>
        </w:rPr>
        <w:t>统一基础数据管理应实现业务系统公共基础数据的统一管理。需提供数据范围管理、变更管理、同步管理、变更查询等功能。</w:t>
      </w:r>
    </w:p>
    <w:p>
      <w:pPr>
        <w:pStyle w:val="7"/>
      </w:pPr>
      <w:r>
        <w:rPr>
          <w:rFonts w:hint="eastAsia"/>
        </w:rPr>
        <w:t>7. 数据交换平台</w:t>
      </w:r>
    </w:p>
    <w:p>
      <w:pPr>
        <w:ind w:firstLine="420" w:firstLineChars="200"/>
      </w:pPr>
      <w:r>
        <w:rPr>
          <w:rFonts w:hint="eastAsia"/>
        </w:rPr>
        <w:t>数据交换的主要目标是实现市财政与财政部的预算管理数据对接，实现市财政与外部门的数据共享，实现外部门到市财政的数据交换和集成。</w:t>
      </w:r>
    </w:p>
    <w:p>
      <w:pPr>
        <w:ind w:firstLine="420" w:firstLineChars="200"/>
      </w:pPr>
      <w:r>
        <w:rPr>
          <w:rFonts w:hint="eastAsia"/>
        </w:rPr>
        <w:t>业务系统运行时需要共享其它部门的数据资源，本项目建设的财政业务应用形成的数据资源可共享给其它部门和单位。</w:t>
      </w:r>
    </w:p>
    <w:p>
      <w:pPr>
        <w:ind w:firstLine="420" w:firstLineChars="200"/>
      </w:pPr>
      <w:r>
        <w:rPr>
          <w:rFonts w:hint="eastAsia"/>
        </w:rPr>
        <w:t>通过数据交换平台的传输及共享，提高信息资源的利用率，保证分布异构系统之间互联互通，完成数据的抽取、集中、加载、展现，构造统一的数据处理和交换。</w:t>
      </w:r>
    </w:p>
    <w:p/>
    <w:bookmarkEnd w:id="0"/>
    <w:bookmarkEnd w:id="1"/>
    <w:p>
      <w:pPr>
        <w:pStyle w:val="2"/>
        <w:rPr>
          <w:rFonts w:ascii="Calibri" w:hAnsi="Calibri"/>
          <w:b/>
          <w:bCs/>
          <w:kern w:val="44"/>
          <w:sz w:val="44"/>
          <w:szCs w:val="44"/>
        </w:rPr>
      </w:pPr>
      <w:r>
        <w:rPr>
          <w:rFonts w:hint="eastAsia" w:ascii="Calibri" w:hAnsi="Calibri"/>
          <w:b/>
          <w:bCs/>
          <w:kern w:val="44"/>
          <w:sz w:val="44"/>
          <w:szCs w:val="44"/>
        </w:rPr>
        <w:t>十、技术要求★</w:t>
      </w:r>
    </w:p>
    <w:p>
      <w:pPr>
        <w:pStyle w:val="3"/>
        <w:rPr>
          <w:rFonts w:ascii="Cambria" w:hAnsi="Cambria"/>
          <w:b/>
          <w:bCs/>
          <w:kern w:val="2"/>
          <w:sz w:val="28"/>
          <w:szCs w:val="28"/>
        </w:rPr>
      </w:pPr>
      <w:r>
        <w:rPr>
          <w:rFonts w:hint="eastAsia" w:ascii="Cambria" w:hAnsi="Cambria"/>
          <w:b/>
          <w:bCs/>
          <w:kern w:val="2"/>
          <w:sz w:val="28"/>
          <w:szCs w:val="28"/>
        </w:rPr>
        <w:t>（一）技术架构要求</w:t>
      </w:r>
    </w:p>
    <w:p>
      <w:pPr>
        <w:pStyle w:val="71"/>
        <w:widowControl/>
        <w:ind w:firstLine="560"/>
        <w:rPr>
          <w:rFonts w:ascii="宋体" w:hAnsi="宋体" w:cs="宋体"/>
          <w:sz w:val="24"/>
          <w:szCs w:val="24"/>
        </w:rPr>
      </w:pPr>
      <w:r>
        <w:rPr>
          <w:rFonts w:hint="eastAsia" w:ascii="宋体" w:hAnsi="宋体" w:cs="宋体"/>
          <w:sz w:val="24"/>
          <w:szCs w:val="24"/>
        </w:rPr>
        <w:t>要求技术架构具有灵活性、先进性，能够应对系统的变化和业务扩展，体现对当前和未来业务适应性。</w:t>
      </w:r>
    </w:p>
    <w:p>
      <w:pPr>
        <w:pStyle w:val="71"/>
        <w:widowControl/>
        <w:ind w:firstLine="560"/>
        <w:rPr>
          <w:rFonts w:ascii="宋体" w:hAnsi="宋体" w:cs="宋体"/>
          <w:sz w:val="24"/>
          <w:szCs w:val="24"/>
        </w:rPr>
      </w:pPr>
      <w:r>
        <w:rPr>
          <w:rFonts w:hint="eastAsia" w:ascii="宋体" w:hAnsi="宋体" w:cs="宋体"/>
          <w:sz w:val="24"/>
          <w:szCs w:val="24"/>
        </w:rPr>
        <w:t>项目总体技术架构，由数据层、资源层、构件层、应用服务层、表现层等多层级组成，通过开发工具和平台的使用，标准规范体系和过程管理体系贯穿于总体技术架构的各个层面中。要求表现层需要具有良好的兼容性，能够适用于多种客户端环境。</w:t>
      </w:r>
    </w:p>
    <w:p>
      <w:pPr>
        <w:pStyle w:val="71"/>
        <w:widowControl/>
        <w:ind w:firstLine="560"/>
        <w:rPr>
          <w:rFonts w:ascii="宋体" w:hAnsi="宋体" w:cs="宋体"/>
          <w:sz w:val="24"/>
          <w:szCs w:val="24"/>
        </w:rPr>
      </w:pPr>
      <w:r>
        <w:rPr>
          <w:rFonts w:hint="eastAsia" w:ascii="宋体" w:hAnsi="宋体" w:cs="宋体"/>
          <w:sz w:val="24"/>
          <w:szCs w:val="24"/>
        </w:rPr>
        <w:t>支持标准云服务，如分布式缓存、分布式消息、注册中心、配置中心等；支持公共业务能力和技术能力的服务化，支持通过标准协议将公共业务能力发布为云服务，并实现相应的服务生命周期管理功能。</w:t>
      </w:r>
    </w:p>
    <w:p>
      <w:pPr>
        <w:pStyle w:val="71"/>
        <w:widowControl/>
        <w:ind w:firstLine="560"/>
        <w:rPr>
          <w:rFonts w:ascii="宋体" w:hAnsi="宋体" w:cs="宋体"/>
          <w:sz w:val="24"/>
          <w:szCs w:val="24"/>
        </w:rPr>
      </w:pPr>
      <w:r>
        <w:rPr>
          <w:rFonts w:hint="eastAsia" w:ascii="宋体" w:hAnsi="宋体" w:cs="宋体"/>
          <w:sz w:val="24"/>
          <w:szCs w:val="24"/>
        </w:rPr>
        <w:t>支持自主创新的中间件、数据库、操作系统等。</w:t>
      </w:r>
    </w:p>
    <w:p>
      <w:pPr>
        <w:pStyle w:val="3"/>
        <w:rPr>
          <w:rFonts w:ascii="Cambria" w:hAnsi="Cambria"/>
          <w:b/>
          <w:bCs/>
          <w:kern w:val="2"/>
          <w:sz w:val="28"/>
          <w:szCs w:val="28"/>
        </w:rPr>
      </w:pPr>
      <w:r>
        <w:rPr>
          <w:rFonts w:hint="eastAsia" w:ascii="Cambria" w:hAnsi="Cambria"/>
          <w:b/>
          <w:bCs/>
          <w:kern w:val="2"/>
          <w:sz w:val="28"/>
          <w:szCs w:val="28"/>
        </w:rPr>
        <w:t>（二）基础服务要求</w:t>
      </w:r>
    </w:p>
    <w:p>
      <w:pPr>
        <w:pStyle w:val="4"/>
        <w:rPr>
          <w:b w:val="0"/>
          <w:bCs w:val="0"/>
        </w:rPr>
      </w:pPr>
      <w:bookmarkStart w:id="11" w:name="_Toc402788900"/>
      <w:bookmarkEnd w:id="11"/>
      <w:bookmarkStart w:id="12" w:name="_Toc405378639"/>
      <w:bookmarkEnd w:id="12"/>
      <w:bookmarkStart w:id="13" w:name="_Toc405378640"/>
      <w:bookmarkEnd w:id="13"/>
      <w:bookmarkStart w:id="14" w:name="_Toc405378638"/>
      <w:bookmarkEnd w:id="14"/>
      <w:bookmarkStart w:id="15" w:name="_Toc405378641"/>
      <w:r>
        <w:t>1.</w:t>
      </w:r>
      <w:r>
        <w:rPr>
          <w:rFonts w:hint="eastAsia"/>
        </w:rPr>
        <w:t>微服务技术要求</w:t>
      </w:r>
    </w:p>
    <w:p>
      <w:pPr>
        <w:pStyle w:val="71"/>
        <w:widowControl/>
        <w:ind w:firstLine="560"/>
        <w:rPr>
          <w:rFonts w:ascii="宋体" w:hAnsi="宋体" w:cs="宋体"/>
          <w:sz w:val="24"/>
          <w:szCs w:val="24"/>
        </w:rPr>
      </w:pPr>
      <w:r>
        <w:rPr>
          <w:rFonts w:hint="eastAsia" w:ascii="宋体" w:hAnsi="宋体" w:cs="宋体"/>
          <w:sz w:val="24"/>
          <w:szCs w:val="24"/>
        </w:rPr>
        <w:t>（1）微服务框架：采用Spring Cloud等主流微服务框架，支持与软件总集成方提供的微服务治理平台对接。</w:t>
      </w:r>
    </w:p>
    <w:p>
      <w:pPr>
        <w:pStyle w:val="71"/>
        <w:widowControl/>
        <w:ind w:firstLine="560"/>
        <w:rPr>
          <w:rFonts w:ascii="宋体" w:hAnsi="宋体" w:cs="宋体"/>
          <w:sz w:val="24"/>
          <w:szCs w:val="24"/>
        </w:rPr>
      </w:pPr>
      <w:r>
        <w:rPr>
          <w:rFonts w:hint="eastAsia" w:ascii="宋体" w:hAnsi="宋体" w:cs="宋体"/>
          <w:sz w:val="24"/>
          <w:szCs w:val="24"/>
        </w:rPr>
        <w:t>（2）微服务拆分：遵循业务独立，边界清晰的原则，保证单个微服务内部完成单一的业务功能。微服务之间松耦合，接口稳定，可以独立演进。</w:t>
      </w:r>
    </w:p>
    <w:p>
      <w:pPr>
        <w:pStyle w:val="71"/>
        <w:widowControl/>
        <w:ind w:firstLine="560"/>
        <w:rPr>
          <w:rFonts w:ascii="宋体" w:hAnsi="宋体" w:cs="宋体"/>
          <w:sz w:val="24"/>
          <w:szCs w:val="24"/>
        </w:rPr>
      </w:pPr>
      <w:r>
        <w:rPr>
          <w:rFonts w:hint="eastAsia" w:ascii="宋体" w:hAnsi="宋体" w:cs="宋体"/>
          <w:sz w:val="24"/>
          <w:szCs w:val="24"/>
        </w:rPr>
        <w:t>（3）层次化设计：公共微服务严格遵循服务契约定义，接口变更接受强管控；内部微服务仅限于本业务域访问，不允许跨业务访问。</w:t>
      </w:r>
    </w:p>
    <w:p>
      <w:pPr>
        <w:pStyle w:val="71"/>
        <w:widowControl/>
        <w:ind w:firstLine="560"/>
        <w:rPr>
          <w:rFonts w:ascii="宋体" w:hAnsi="宋体" w:cs="宋体"/>
          <w:sz w:val="24"/>
          <w:szCs w:val="24"/>
        </w:rPr>
      </w:pPr>
      <w:r>
        <w:rPr>
          <w:rFonts w:hint="eastAsia" w:ascii="宋体" w:hAnsi="宋体" w:cs="宋体"/>
          <w:sz w:val="24"/>
          <w:szCs w:val="24"/>
        </w:rPr>
        <w:t>（4）服务契约:服务契约符合 OpenAPI 标准；公共微服务提供显式服务契约；公共微服务的输入输出报文符合财政数据标准，支持 Restful访问协议；服务契约支持版本管理；服务契约通过软件开发平台进行统一管理；投标人要确保代码与契约的一致性。</w:t>
      </w:r>
    </w:p>
    <w:p>
      <w:pPr>
        <w:pStyle w:val="71"/>
        <w:widowControl/>
        <w:ind w:firstLine="560"/>
        <w:rPr>
          <w:rFonts w:ascii="宋体" w:hAnsi="宋体" w:cs="宋体"/>
          <w:sz w:val="24"/>
          <w:szCs w:val="24"/>
        </w:rPr>
      </w:pPr>
      <w:r>
        <w:rPr>
          <w:rFonts w:hint="eastAsia" w:ascii="宋体" w:hAnsi="宋体" w:cs="宋体"/>
          <w:sz w:val="24"/>
          <w:szCs w:val="24"/>
        </w:rPr>
        <w:t>（5）服务注册发现:支持服务的动态注册发现；支持对接提供的统一服务注册中心。</w:t>
      </w:r>
    </w:p>
    <w:p>
      <w:pPr>
        <w:pStyle w:val="71"/>
        <w:widowControl/>
        <w:ind w:firstLine="560"/>
        <w:rPr>
          <w:rFonts w:ascii="宋体" w:hAnsi="宋体" w:cs="宋体"/>
          <w:sz w:val="24"/>
          <w:szCs w:val="24"/>
        </w:rPr>
      </w:pPr>
      <w:r>
        <w:rPr>
          <w:rFonts w:hint="eastAsia" w:ascii="宋体" w:hAnsi="宋体" w:cs="宋体"/>
          <w:sz w:val="24"/>
          <w:szCs w:val="24"/>
        </w:rPr>
        <w:t>（6）服务治理能力:支持服务容错、服务限流、服务降级以及服务熔断等。</w:t>
      </w:r>
    </w:p>
    <w:p>
      <w:pPr>
        <w:pStyle w:val="71"/>
        <w:widowControl/>
        <w:ind w:firstLine="560"/>
        <w:rPr>
          <w:rFonts w:ascii="宋体" w:hAnsi="宋体" w:cs="宋体"/>
          <w:sz w:val="24"/>
          <w:szCs w:val="24"/>
        </w:rPr>
      </w:pPr>
      <w:r>
        <w:rPr>
          <w:rFonts w:hint="eastAsia" w:ascii="宋体" w:hAnsi="宋体" w:cs="宋体"/>
          <w:sz w:val="24"/>
          <w:szCs w:val="24"/>
        </w:rPr>
        <w:t>（7）分布式事务一致性:支持 TCC（Try/Confirm/Cancel）等分布式事务管理，支持完整的事务逻辑；保证服务调用的容错性、幂等性、可交换性。</w:t>
      </w:r>
    </w:p>
    <w:p>
      <w:pPr>
        <w:pStyle w:val="71"/>
        <w:widowControl/>
        <w:ind w:firstLine="560"/>
        <w:rPr>
          <w:rFonts w:ascii="宋体" w:hAnsi="宋体" w:cs="宋体"/>
          <w:sz w:val="24"/>
          <w:szCs w:val="24"/>
        </w:rPr>
      </w:pPr>
      <w:r>
        <w:rPr>
          <w:rFonts w:hint="eastAsia" w:ascii="宋体" w:hAnsi="宋体" w:cs="宋体"/>
          <w:sz w:val="24"/>
          <w:szCs w:val="24"/>
        </w:rPr>
        <w:t>（8）要求中标方提供统一的服务注册、服务发现、服务治理的微服务管理平台和管理规范。微服务平台需要能接入各种技术体系的服务，能接入多种协议的服务，能接入不同厂商发布的微服务。</w:t>
      </w:r>
    </w:p>
    <w:p>
      <w:pPr>
        <w:pStyle w:val="4"/>
        <w:rPr>
          <w:b w:val="0"/>
          <w:bCs w:val="0"/>
        </w:rPr>
      </w:pPr>
      <w:r>
        <w:t>2.</w:t>
      </w:r>
      <w:r>
        <w:rPr>
          <w:rFonts w:hint="eastAsia"/>
        </w:rPr>
        <w:t>容器技术要求</w:t>
      </w:r>
    </w:p>
    <w:p>
      <w:pPr>
        <w:pStyle w:val="71"/>
        <w:widowControl/>
        <w:ind w:firstLine="480" w:firstLineChars="200"/>
        <w:rPr>
          <w:rFonts w:ascii="宋体" w:hAnsi="宋体" w:cs="宋体"/>
          <w:sz w:val="24"/>
          <w:szCs w:val="24"/>
        </w:rPr>
      </w:pPr>
      <w:r>
        <w:rPr>
          <w:rFonts w:hint="eastAsia" w:ascii="宋体" w:hAnsi="宋体" w:cs="宋体"/>
          <w:sz w:val="24"/>
          <w:szCs w:val="24"/>
        </w:rPr>
        <w:t>（1）提供可视化企业级容器平台服务，实现全流程管控，支持一键发布、版本回滚、秒级扩容/缩容。</w:t>
      </w:r>
    </w:p>
    <w:p>
      <w:pPr>
        <w:pStyle w:val="71"/>
        <w:widowControl/>
        <w:ind w:firstLine="480" w:firstLineChars="200"/>
        <w:rPr>
          <w:rFonts w:ascii="宋体" w:hAnsi="宋体" w:cs="宋体"/>
          <w:sz w:val="24"/>
          <w:szCs w:val="24"/>
        </w:rPr>
      </w:pPr>
      <w:r>
        <w:rPr>
          <w:rFonts w:hint="eastAsia" w:ascii="宋体" w:hAnsi="宋体" w:cs="宋体"/>
          <w:sz w:val="24"/>
          <w:szCs w:val="24"/>
        </w:rPr>
        <w:t>（2）基于容器技术实现包含但不限于镜像管理、容器服务；镜像管理包括镜像的构建、存储、推送、同步等，容器服务包含集群创建、服务、配置秘钥并提供调度、编排、部署等功能以及相关资源的监控管理。</w:t>
      </w:r>
    </w:p>
    <w:p>
      <w:pPr>
        <w:pStyle w:val="71"/>
        <w:widowControl/>
        <w:ind w:firstLine="480" w:firstLineChars="200"/>
        <w:rPr>
          <w:rFonts w:ascii="宋体" w:hAnsi="宋体" w:cs="宋体"/>
          <w:sz w:val="24"/>
          <w:szCs w:val="24"/>
        </w:rPr>
      </w:pPr>
      <w:r>
        <w:rPr>
          <w:rFonts w:hint="eastAsia" w:ascii="宋体" w:hAnsi="宋体" w:cs="宋体"/>
          <w:sz w:val="24"/>
          <w:szCs w:val="24"/>
        </w:rPr>
        <w:t>（3）基于容器技术实现DevOps持续集成、持续发布、持续交付等开发运维一体化功能。</w:t>
      </w:r>
    </w:p>
    <w:p>
      <w:pPr>
        <w:pStyle w:val="4"/>
        <w:rPr>
          <w:b w:val="0"/>
          <w:bCs w:val="0"/>
        </w:rPr>
      </w:pPr>
      <w:r>
        <w:t>3.</w:t>
      </w:r>
      <w:r>
        <w:rPr>
          <w:rFonts w:hint="eastAsia"/>
        </w:rPr>
        <w:t>通用技术要求</w:t>
      </w:r>
    </w:p>
    <w:p>
      <w:pPr>
        <w:pStyle w:val="71"/>
        <w:widowControl/>
        <w:ind w:firstLine="480" w:firstLineChars="200"/>
        <w:rPr>
          <w:rFonts w:ascii="宋体" w:hAnsi="宋体" w:cs="宋体"/>
          <w:sz w:val="24"/>
          <w:szCs w:val="24"/>
        </w:rPr>
      </w:pPr>
      <w:r>
        <w:rPr>
          <w:rFonts w:hint="eastAsia" w:ascii="宋体" w:hAnsi="宋体" w:cs="宋体"/>
          <w:sz w:val="24"/>
          <w:szCs w:val="24"/>
        </w:rPr>
        <w:t>（1）系统要提供灵活的通用报表定制、发布、维护工具，业务人员能够通过工具直观简单地定制各种报表，并发布给有权限的人员使用。</w:t>
      </w:r>
    </w:p>
    <w:p>
      <w:pPr>
        <w:pStyle w:val="71"/>
        <w:widowControl/>
        <w:ind w:firstLine="480" w:firstLineChars="200"/>
        <w:rPr>
          <w:rFonts w:ascii="宋体" w:hAnsi="宋体" w:cs="宋体"/>
          <w:sz w:val="24"/>
          <w:szCs w:val="24"/>
        </w:rPr>
      </w:pPr>
      <w:r>
        <w:rPr>
          <w:rFonts w:hint="eastAsia" w:ascii="宋体" w:hAnsi="宋体" w:cs="宋体"/>
          <w:sz w:val="24"/>
          <w:szCs w:val="24"/>
        </w:rPr>
        <w:t>（2）系统不仅要预置常用查询，还要求提供简单易用、功能强大的通用查询模块，使用户可以自定义查询并发布给有权限的人员使用。查询统计结果要能以表格、图形等形式直观明了地表现。</w:t>
      </w:r>
    </w:p>
    <w:p>
      <w:pPr>
        <w:pStyle w:val="71"/>
        <w:widowControl/>
        <w:ind w:firstLine="480" w:firstLineChars="200"/>
      </w:pPr>
      <w:r>
        <w:rPr>
          <w:rFonts w:hint="eastAsia" w:ascii="宋体" w:hAnsi="宋体" w:cs="宋体"/>
          <w:sz w:val="24"/>
          <w:szCs w:val="24"/>
        </w:rPr>
        <w:t>（3）要求支持主流的第三方控件，优先支持国产软件。</w:t>
      </w:r>
      <w:bookmarkEnd w:id="15"/>
    </w:p>
    <w:p>
      <w:pPr>
        <w:pStyle w:val="3"/>
        <w:rPr>
          <w:rFonts w:ascii="Cambria" w:hAnsi="Cambria"/>
          <w:b/>
          <w:bCs/>
          <w:kern w:val="2"/>
          <w:sz w:val="28"/>
          <w:szCs w:val="28"/>
        </w:rPr>
      </w:pPr>
      <w:r>
        <w:rPr>
          <w:rFonts w:hint="eastAsia" w:ascii="Cambria" w:hAnsi="Cambria"/>
          <w:b/>
          <w:bCs/>
          <w:kern w:val="2"/>
          <w:sz w:val="28"/>
          <w:szCs w:val="28"/>
        </w:rPr>
        <w:t>（三）数据架构要求</w:t>
      </w:r>
    </w:p>
    <w:p>
      <w:pPr>
        <w:pStyle w:val="4"/>
        <w:rPr>
          <w:b w:val="0"/>
          <w:bCs w:val="0"/>
        </w:rPr>
      </w:pPr>
      <w:r>
        <w:t>1.</w:t>
      </w:r>
      <w:r>
        <w:rPr>
          <w:rFonts w:hint="eastAsia"/>
        </w:rPr>
        <w:t>数据标准设计要求</w:t>
      </w:r>
    </w:p>
    <w:p>
      <w:pPr>
        <w:pStyle w:val="71"/>
        <w:widowControl/>
        <w:ind w:firstLine="560"/>
        <w:rPr>
          <w:rFonts w:ascii="宋体" w:hAnsi="宋体" w:cs="宋体"/>
          <w:sz w:val="24"/>
          <w:szCs w:val="24"/>
        </w:rPr>
      </w:pPr>
      <w:r>
        <w:rPr>
          <w:rFonts w:hint="eastAsia" w:ascii="宋体" w:hAnsi="宋体" w:cs="宋体"/>
          <w:sz w:val="24"/>
          <w:szCs w:val="24"/>
        </w:rPr>
        <w:t>遵循财政部统一的业务规范、技术标准，根据财政部统一的财政业务要素管理规范，结合我市财政业务管理实际情况，对财政业务涉及的业务主体和对象、管理活动和管理特性等进行抽象提炼，在此基础上形成和确定本项目的数据标准。中标方必须承诺，如财政部业务规范和技术标准变更或更新，中标方应自觉按新规范和标准修正系统开发。</w:t>
      </w:r>
    </w:p>
    <w:p>
      <w:pPr>
        <w:pStyle w:val="71"/>
        <w:widowControl/>
        <w:ind w:firstLine="560"/>
        <w:rPr>
          <w:rFonts w:ascii="宋体" w:hAnsi="宋体" w:cs="宋体"/>
          <w:sz w:val="24"/>
          <w:szCs w:val="24"/>
        </w:rPr>
      </w:pPr>
      <w:r>
        <w:rPr>
          <w:rFonts w:hint="eastAsia" w:ascii="宋体" w:hAnsi="宋体" w:cs="宋体"/>
          <w:sz w:val="24"/>
          <w:szCs w:val="24"/>
        </w:rPr>
        <w:t>要求数据标准用于统一规范我市财政业务管理的数据，数据标准设计的同时，要求规划科学、合理的数据存储分布并加以实施，适应生产业务、统计查询和决策分析的发展需要。</w:t>
      </w:r>
    </w:p>
    <w:p>
      <w:pPr>
        <w:pStyle w:val="4"/>
        <w:rPr>
          <w:b w:val="0"/>
          <w:bCs w:val="0"/>
        </w:rPr>
      </w:pPr>
      <w:r>
        <w:t>2.</w:t>
      </w:r>
      <w:r>
        <w:rPr>
          <w:rFonts w:hint="eastAsia"/>
        </w:rPr>
        <w:t>数据架构设计要求</w:t>
      </w:r>
    </w:p>
    <w:p>
      <w:pPr>
        <w:pStyle w:val="71"/>
        <w:widowControl/>
        <w:ind w:firstLine="560"/>
        <w:rPr>
          <w:rFonts w:ascii="宋体" w:hAnsi="宋体" w:cs="宋体"/>
          <w:sz w:val="24"/>
          <w:szCs w:val="24"/>
        </w:rPr>
      </w:pPr>
      <w:r>
        <w:rPr>
          <w:rFonts w:hint="eastAsia" w:ascii="宋体" w:hAnsi="宋体" w:cs="宋体"/>
          <w:sz w:val="24"/>
          <w:szCs w:val="24"/>
        </w:rPr>
        <w:t>（1）数据架构要站在全局高度，把数据采集、存储、加工、分析、发布、废弃等各个环节进行一体化管理。</w:t>
      </w:r>
    </w:p>
    <w:p>
      <w:pPr>
        <w:pStyle w:val="71"/>
        <w:widowControl/>
        <w:ind w:firstLine="560"/>
        <w:rPr>
          <w:rFonts w:ascii="宋体" w:hAnsi="宋体" w:cs="宋体"/>
          <w:sz w:val="24"/>
          <w:szCs w:val="24"/>
        </w:rPr>
      </w:pPr>
      <w:r>
        <w:rPr>
          <w:rFonts w:hint="eastAsia" w:ascii="宋体" w:hAnsi="宋体" w:cs="宋体"/>
          <w:sz w:val="24"/>
          <w:szCs w:val="24"/>
        </w:rPr>
        <w:t>（2）数据库架构要符合财政部的技术规范。投标方必须提供数据库架构方案，从技术上阐述数据架构的设计方案，并详细说明理由。必须严格按照招标方对数据资产定义和管理、数据模型、数据标准、数据集成架构的顶层设计实施落地。</w:t>
      </w:r>
    </w:p>
    <w:p>
      <w:pPr>
        <w:pStyle w:val="71"/>
        <w:widowControl/>
        <w:ind w:firstLine="560"/>
        <w:rPr>
          <w:rFonts w:ascii="宋体" w:hAnsi="宋体" w:cs="宋体"/>
          <w:sz w:val="24"/>
          <w:szCs w:val="24"/>
        </w:rPr>
      </w:pPr>
      <w:r>
        <w:rPr>
          <w:rFonts w:hint="eastAsia" w:ascii="宋体" w:hAnsi="宋体" w:cs="宋体"/>
          <w:sz w:val="24"/>
          <w:szCs w:val="24"/>
        </w:rPr>
        <w:t>（3）数据逻辑分布是数据在业务各环节的创建、引用、修改或删除的关系，需严格遵从于应用架构。</w:t>
      </w:r>
      <w:bookmarkStart w:id="16" w:name="_Toc405378644"/>
      <w:bookmarkEnd w:id="16"/>
      <w:bookmarkStart w:id="17" w:name="_Toc405378645"/>
      <w:bookmarkEnd w:id="17"/>
      <w:bookmarkStart w:id="18" w:name="_Toc405378643"/>
      <w:bookmarkEnd w:id="18"/>
    </w:p>
    <w:p>
      <w:pPr>
        <w:pStyle w:val="71"/>
        <w:widowControl/>
        <w:ind w:firstLine="560"/>
        <w:rPr>
          <w:rFonts w:ascii="宋体" w:hAnsi="宋体" w:cs="宋体"/>
          <w:sz w:val="24"/>
          <w:szCs w:val="24"/>
        </w:rPr>
      </w:pPr>
      <w:r>
        <w:rPr>
          <w:rFonts w:hint="eastAsia" w:ascii="宋体" w:hAnsi="宋体" w:cs="宋体"/>
          <w:sz w:val="24"/>
          <w:szCs w:val="24"/>
        </w:rPr>
        <w:t>（4）支持灵活的数据采集方式及存储方式，能够快速、简便定义数据采集内容和格式，量化采集内容并进行合理存储。</w:t>
      </w:r>
    </w:p>
    <w:p>
      <w:pPr>
        <w:pStyle w:val="71"/>
        <w:widowControl/>
        <w:ind w:firstLine="560"/>
        <w:rPr>
          <w:rFonts w:ascii="宋体" w:hAnsi="宋体" w:cs="宋体"/>
          <w:sz w:val="24"/>
          <w:szCs w:val="24"/>
        </w:rPr>
      </w:pPr>
      <w:r>
        <w:rPr>
          <w:rFonts w:hint="eastAsia" w:ascii="宋体" w:hAnsi="宋体" w:cs="宋体"/>
          <w:sz w:val="24"/>
          <w:szCs w:val="24"/>
        </w:rPr>
        <w:t>（5）支持数据库读写分离；支持结构化数据和非结构化数据的分类存储；基于标准 SQL 与数据库交互，不依赖数据库专有特性；支持分库分表和数据库横向扩展。</w:t>
      </w:r>
    </w:p>
    <w:p>
      <w:pPr>
        <w:pStyle w:val="4"/>
        <w:rPr>
          <w:b w:val="0"/>
          <w:bCs w:val="0"/>
        </w:rPr>
      </w:pPr>
      <w:bookmarkStart w:id="19" w:name="_Toc405378622"/>
      <w:bookmarkEnd w:id="19"/>
      <w:r>
        <w:t>3.</w:t>
      </w:r>
      <w:r>
        <w:rPr>
          <w:rFonts w:hint="eastAsia"/>
        </w:rPr>
        <w:t>数据资源平台架构要求</w:t>
      </w:r>
    </w:p>
    <w:p>
      <w:pPr>
        <w:pStyle w:val="71"/>
        <w:widowControl/>
        <w:ind w:firstLine="480" w:firstLineChars="200"/>
        <w:rPr>
          <w:rFonts w:ascii="宋体" w:hAnsi="宋体"/>
          <w:sz w:val="24"/>
          <w:szCs w:val="24"/>
        </w:rPr>
      </w:pPr>
      <w:r>
        <w:rPr>
          <w:rFonts w:hint="eastAsia" w:ascii="宋体" w:hAnsi="宋体"/>
          <w:sz w:val="24"/>
          <w:szCs w:val="24"/>
        </w:rPr>
        <w:t>数据资源平台是开展财政业务及进行后续大数据应用的核心数据基础。财政数据资源平台涵盖全市各级财政的业务数据，总体包含财政内生数据和外部数据。</w:t>
      </w:r>
    </w:p>
    <w:p>
      <w:pPr>
        <w:pStyle w:val="71"/>
        <w:widowControl/>
        <w:ind w:firstLine="480" w:firstLineChars="200"/>
        <w:rPr>
          <w:rFonts w:hAnsi="宋体"/>
          <w:sz w:val="24"/>
          <w:szCs w:val="24"/>
        </w:rPr>
      </w:pPr>
      <w:r>
        <w:rPr>
          <w:rFonts w:hint="eastAsia" w:hAnsi="宋体"/>
          <w:sz w:val="24"/>
          <w:szCs w:val="24"/>
        </w:rPr>
        <w:t>要求数据资源平台支持多种数据类型，包括结构化数据、非结构化数据、文件数据等。</w:t>
      </w:r>
    </w:p>
    <w:p>
      <w:pPr>
        <w:pStyle w:val="71"/>
        <w:widowControl/>
        <w:ind w:firstLine="480" w:firstLineChars="200"/>
        <w:rPr>
          <w:rFonts w:hAnsi="宋体"/>
          <w:sz w:val="24"/>
          <w:szCs w:val="24"/>
        </w:rPr>
      </w:pPr>
      <w:r>
        <w:rPr>
          <w:rFonts w:hint="eastAsia" w:hAnsi="宋体"/>
          <w:sz w:val="24"/>
          <w:szCs w:val="24"/>
        </w:rPr>
        <w:t>要求数据资源平台支持当前数据库领域的主流数据库，包括但不限于</w:t>
      </w:r>
      <w:r>
        <w:rPr>
          <w:rFonts w:hAnsi="宋体"/>
          <w:sz w:val="24"/>
          <w:szCs w:val="24"/>
        </w:rPr>
        <w:t>Oracle</w:t>
      </w:r>
      <w:r>
        <w:rPr>
          <w:rFonts w:hint="eastAsia" w:hAnsi="宋体"/>
          <w:sz w:val="24"/>
          <w:szCs w:val="24"/>
        </w:rPr>
        <w:t>、</w:t>
      </w:r>
      <w:r>
        <w:rPr>
          <w:rFonts w:hAnsi="宋体"/>
          <w:sz w:val="24"/>
          <w:szCs w:val="24"/>
        </w:rPr>
        <w:t>DB2</w:t>
      </w:r>
      <w:r>
        <w:rPr>
          <w:rFonts w:hint="eastAsia" w:hAnsi="宋体"/>
          <w:sz w:val="24"/>
          <w:szCs w:val="24"/>
        </w:rPr>
        <w:t>、</w:t>
      </w:r>
      <w:r>
        <w:rPr>
          <w:rFonts w:hAnsi="宋体"/>
          <w:sz w:val="24"/>
          <w:szCs w:val="24"/>
        </w:rPr>
        <w:t>Sybase</w:t>
      </w:r>
      <w:r>
        <w:rPr>
          <w:rFonts w:hint="eastAsia" w:hAnsi="宋体"/>
          <w:sz w:val="24"/>
          <w:szCs w:val="24"/>
        </w:rPr>
        <w:t>、</w:t>
      </w:r>
      <w:r>
        <w:rPr>
          <w:rFonts w:hAnsi="宋体"/>
          <w:sz w:val="24"/>
          <w:szCs w:val="24"/>
        </w:rPr>
        <w:t>Mysql</w:t>
      </w:r>
      <w:r>
        <w:rPr>
          <w:rFonts w:hint="eastAsia" w:hAnsi="宋体"/>
          <w:sz w:val="24"/>
          <w:szCs w:val="24"/>
        </w:rPr>
        <w:t>等主流数据库、</w:t>
      </w:r>
      <w:r>
        <w:rPr>
          <w:rFonts w:hAnsi="宋体"/>
          <w:sz w:val="24"/>
          <w:szCs w:val="24"/>
        </w:rPr>
        <w:t>Kingbase</w:t>
      </w:r>
      <w:r>
        <w:rPr>
          <w:rFonts w:hint="eastAsia" w:hAnsi="宋体"/>
          <w:sz w:val="24"/>
          <w:szCs w:val="24"/>
        </w:rPr>
        <w:t>、</w:t>
      </w:r>
      <w:r>
        <w:rPr>
          <w:rFonts w:hAnsi="宋体"/>
          <w:sz w:val="24"/>
          <w:szCs w:val="24"/>
        </w:rPr>
        <w:t>DM</w:t>
      </w:r>
      <w:r>
        <w:rPr>
          <w:rFonts w:hint="eastAsia" w:hAnsi="宋体"/>
          <w:sz w:val="24"/>
          <w:szCs w:val="24"/>
        </w:rPr>
        <w:t>达梦、</w:t>
      </w:r>
      <w:r>
        <w:rPr>
          <w:rFonts w:hAnsi="宋体"/>
          <w:sz w:val="24"/>
          <w:szCs w:val="24"/>
        </w:rPr>
        <w:t>GBase</w:t>
      </w:r>
      <w:r>
        <w:rPr>
          <w:rFonts w:hint="eastAsia" w:hAnsi="宋体"/>
          <w:sz w:val="24"/>
          <w:szCs w:val="24"/>
        </w:rPr>
        <w:t>等。</w:t>
      </w:r>
    </w:p>
    <w:p>
      <w:pPr>
        <w:pStyle w:val="4"/>
        <w:rPr>
          <w:b w:val="0"/>
          <w:bCs w:val="0"/>
        </w:rPr>
      </w:pPr>
      <w:r>
        <w:t>4.</w:t>
      </w:r>
      <w:r>
        <w:rPr>
          <w:rFonts w:hint="eastAsia"/>
        </w:rPr>
        <w:t>大数据架构要求</w:t>
      </w:r>
    </w:p>
    <w:p>
      <w:pPr>
        <w:pStyle w:val="7"/>
      </w:pPr>
      <w:r>
        <w:rPr>
          <w:rFonts w:hint="eastAsia"/>
        </w:rPr>
        <w:t>（</w:t>
      </w:r>
      <w:r>
        <w:t>1</w:t>
      </w:r>
      <w:r>
        <w:rPr>
          <w:rFonts w:hint="eastAsia"/>
        </w:rPr>
        <w:t>）总体要求</w:t>
      </w:r>
    </w:p>
    <w:p>
      <w:pPr>
        <w:spacing w:line="360" w:lineRule="auto"/>
        <w:ind w:firstLine="480" w:firstLineChars="200"/>
        <w:rPr>
          <w:rFonts w:ascii="宋体" w:hAnsi="宋体" w:cs="宋体"/>
          <w:sz w:val="24"/>
        </w:rPr>
      </w:pPr>
      <w:r>
        <w:rPr>
          <w:rFonts w:hint="eastAsia" w:ascii="宋体" w:hAnsi="宋体" w:cs="宋体"/>
          <w:sz w:val="24"/>
        </w:rPr>
        <w:t>通过数据采集、数据预处理、分布式存储、NoSQL数据库、数据仓库、机器学习、并行计算、可视化等不同范畴和层面的技术，提供hadoop、spark等基础性的大数据技术服务，</w:t>
      </w:r>
      <w:r>
        <w:rPr>
          <w:rFonts w:hint="eastAsia" w:hAnsi="宋体"/>
          <w:sz w:val="24"/>
          <w:szCs w:val="24"/>
        </w:rPr>
        <w:t>支持本标包和其他标包要求的财政业务管理、综合查询、风险监督、数据分析、智能检索等数据应用功能。</w:t>
      </w:r>
    </w:p>
    <w:p>
      <w:pPr>
        <w:pStyle w:val="7"/>
      </w:pPr>
      <w:r>
        <w:rPr>
          <w:rFonts w:hint="eastAsia"/>
        </w:rPr>
        <w:t>（</w:t>
      </w:r>
      <w:r>
        <w:t>2</w:t>
      </w:r>
      <w:r>
        <w:rPr>
          <w:rFonts w:hint="eastAsia"/>
        </w:rPr>
        <w:t>）数据治理</w:t>
      </w:r>
    </w:p>
    <w:p>
      <w:pPr>
        <w:pStyle w:val="71"/>
        <w:widowControl/>
        <w:ind w:firstLine="480" w:firstLineChars="200"/>
        <w:rPr>
          <w:rFonts w:hAnsi="宋体"/>
          <w:sz w:val="24"/>
          <w:szCs w:val="24"/>
        </w:rPr>
      </w:pPr>
      <w:r>
        <w:rPr>
          <w:rFonts w:hint="eastAsia" w:hAnsi="宋体"/>
          <w:sz w:val="24"/>
          <w:szCs w:val="24"/>
        </w:rPr>
        <w:t>根据设计及建设要求，通过对数据的管控，建设数据治理体系模型，对数据进行复用、加工和分析，最终达到“统一基础数据规范，完善信息化标准体系”的目标。</w:t>
      </w:r>
    </w:p>
    <w:p>
      <w:pPr>
        <w:pStyle w:val="7"/>
      </w:pPr>
      <w:r>
        <w:rPr>
          <w:rFonts w:hint="eastAsia"/>
        </w:rPr>
        <w:t>（</w:t>
      </w:r>
      <w:r>
        <w:t>3</w:t>
      </w:r>
      <w:r>
        <w:rPr>
          <w:rFonts w:hint="eastAsia"/>
        </w:rPr>
        <w:t>）数据开发服务</w:t>
      </w:r>
    </w:p>
    <w:p>
      <w:pPr>
        <w:pStyle w:val="71"/>
        <w:widowControl/>
        <w:ind w:firstLine="480" w:firstLineChars="200"/>
        <w:rPr>
          <w:rFonts w:hAnsi="宋体"/>
          <w:sz w:val="24"/>
          <w:szCs w:val="24"/>
        </w:rPr>
      </w:pPr>
      <w:r>
        <w:rPr>
          <w:rFonts w:hint="eastAsia" w:hAnsi="宋体"/>
          <w:sz w:val="24"/>
          <w:szCs w:val="24"/>
        </w:rPr>
        <w:t>要求在财政内外部多种数据接入和全程管控的场景下，实现多数据源、不同采集方式的数据资源一体化的管理和开发，并提供统一、标准的数据服务能力。</w:t>
      </w:r>
    </w:p>
    <w:p>
      <w:pPr>
        <w:pStyle w:val="71"/>
        <w:widowControl/>
        <w:rPr>
          <w:rFonts w:hAnsi="宋体"/>
          <w:sz w:val="24"/>
          <w:szCs w:val="24"/>
        </w:rPr>
      </w:pPr>
      <w:r>
        <w:rPr>
          <w:rFonts w:hint="eastAsia" w:hAnsi="宋体"/>
          <w:sz w:val="24"/>
          <w:szCs w:val="24"/>
        </w:rPr>
        <w:t>通过大数据采集、大数据预处理、大数据存储、大数据分析挖掘、大数据可视化等核心技术，支持财政业务管理、综合查询、风险监督、数据分析、智能检索、多维多视角的画像体系等数据应用功能。</w:t>
      </w:r>
    </w:p>
    <w:p>
      <w:pPr>
        <w:pStyle w:val="3"/>
        <w:rPr>
          <w:rFonts w:ascii="Cambria" w:hAnsi="Cambria"/>
          <w:b/>
          <w:bCs/>
          <w:kern w:val="2"/>
          <w:sz w:val="28"/>
          <w:szCs w:val="28"/>
        </w:rPr>
      </w:pPr>
      <w:r>
        <w:rPr>
          <w:rFonts w:hint="eastAsia" w:ascii="Cambria" w:hAnsi="Cambria"/>
          <w:b/>
          <w:bCs/>
          <w:kern w:val="2"/>
          <w:sz w:val="28"/>
          <w:szCs w:val="28"/>
        </w:rPr>
        <w:t>（四）系统集成要求</w:t>
      </w:r>
    </w:p>
    <w:p>
      <w:pPr>
        <w:pStyle w:val="4"/>
        <w:rPr>
          <w:b w:val="0"/>
          <w:bCs w:val="0"/>
        </w:rPr>
      </w:pPr>
      <w:r>
        <w:t>1.</w:t>
      </w:r>
      <w:r>
        <w:rPr>
          <w:rFonts w:hint="eastAsia"/>
        </w:rPr>
        <w:t>中标方集成要求</w:t>
      </w:r>
    </w:p>
    <w:p>
      <w:pPr>
        <w:pStyle w:val="71"/>
        <w:widowControl/>
        <w:ind w:firstLine="480" w:firstLineChars="200"/>
        <w:rPr>
          <w:rFonts w:hAnsi="宋体"/>
          <w:sz w:val="24"/>
          <w:szCs w:val="24"/>
        </w:rPr>
      </w:pPr>
      <w:r>
        <w:rPr>
          <w:rFonts w:hint="eastAsia" w:ascii="宋体" w:hAnsi="宋体"/>
          <w:sz w:val="24"/>
          <w:szCs w:val="24"/>
        </w:rPr>
        <w:t>本标包</w:t>
      </w:r>
      <w:r>
        <w:rPr>
          <w:rFonts w:hint="eastAsia" w:hAnsi="宋体"/>
          <w:sz w:val="24"/>
          <w:szCs w:val="24"/>
        </w:rPr>
        <w:t>中标方作为软件总集成方，组织协调其他标包中标应用开发厂商充分理解招标方业务需求与技术要求，完成业务应用设计、开发、测试、联调和上线，共同达成本项目总体目标。</w:t>
      </w:r>
    </w:p>
    <w:p>
      <w:pPr>
        <w:pStyle w:val="4"/>
        <w:rPr>
          <w:b w:val="0"/>
          <w:bCs w:val="0"/>
        </w:rPr>
      </w:pPr>
      <w:r>
        <w:t>2.</w:t>
      </w:r>
      <w:r>
        <w:rPr>
          <w:rFonts w:hint="eastAsia"/>
        </w:rPr>
        <w:t>业务系统集成要求</w:t>
      </w:r>
    </w:p>
    <w:p>
      <w:pPr>
        <w:pStyle w:val="71"/>
        <w:widowControl/>
        <w:ind w:firstLine="420"/>
      </w:pPr>
      <w:r>
        <w:rPr>
          <w:rFonts w:hint="eastAsia" w:ascii="宋体" w:hAnsi="宋体"/>
          <w:sz w:val="24"/>
          <w:szCs w:val="24"/>
        </w:rPr>
        <w:t>本标包建设的业务应用系统</w:t>
      </w:r>
      <w:r>
        <w:rPr>
          <w:rFonts w:hint="eastAsia" w:ascii="宋体" w:hAnsi="宋体" w:cs="宋体"/>
          <w:sz w:val="24"/>
          <w:szCs w:val="24"/>
        </w:rPr>
        <w:t>需遵循招标方统一的UI风格要求、认证与权限管理要求、安全要求、运维与监控等要求。业务应用支持和现有的统一门户集成和对接。</w:t>
      </w:r>
    </w:p>
    <w:p>
      <w:pPr>
        <w:spacing w:line="360" w:lineRule="auto"/>
        <w:ind w:firstLine="480" w:firstLineChars="200"/>
        <w:rPr>
          <w:rFonts w:ascii="宋体" w:hAnsi="宋体"/>
          <w:sz w:val="24"/>
          <w:szCs w:val="24"/>
        </w:rPr>
      </w:pPr>
      <w:r>
        <w:rPr>
          <w:rFonts w:hint="eastAsia" w:ascii="宋体" w:hAnsi="宋体"/>
          <w:sz w:val="24"/>
          <w:szCs w:val="24"/>
        </w:rPr>
        <w:t>本标包各系统、其他标包各系统、本标包系统与其他标包系统之间服务调用须采用服务接口方式，符合招标方和本标包中标方的服务契约标准，支持服务容错、服务限流、服务降级以及服务熔断等治理功能，保证接口定义清晰、性能稳定、可演进。本标包各系统、其他标包各系统、本标包系统与其他标包系统之间数据交互需采用数据回写、数据同步、数据定向等多种方式。</w:t>
      </w:r>
    </w:p>
    <w:p>
      <w:pPr>
        <w:spacing w:line="360" w:lineRule="auto"/>
        <w:ind w:firstLine="480" w:firstLineChars="200"/>
        <w:rPr>
          <w:rFonts w:ascii="宋体" w:hAnsi="宋体"/>
          <w:sz w:val="24"/>
          <w:szCs w:val="24"/>
        </w:rPr>
      </w:pPr>
      <w:r>
        <w:rPr>
          <w:rFonts w:hint="eastAsia" w:ascii="宋体" w:hAnsi="宋体"/>
          <w:sz w:val="24"/>
          <w:szCs w:val="24"/>
        </w:rPr>
        <w:t>项目各业务系统的微服务支持容器化部署，须接受本标包中标方的微服务管理平台、容器管理平台的统一调度和管控。</w:t>
      </w:r>
    </w:p>
    <w:p>
      <w:pPr>
        <w:pStyle w:val="4"/>
        <w:rPr>
          <w:b w:val="0"/>
          <w:bCs w:val="0"/>
        </w:rPr>
      </w:pPr>
      <w:r>
        <w:t>3.</w:t>
      </w:r>
      <w:r>
        <w:rPr>
          <w:rFonts w:hint="eastAsia"/>
        </w:rPr>
        <w:t>与中央预算管理数据汇总系统对接</w:t>
      </w:r>
    </w:p>
    <w:p>
      <w:pPr>
        <w:spacing w:line="360" w:lineRule="auto"/>
        <w:ind w:firstLine="480" w:firstLineChars="200"/>
        <w:rPr>
          <w:rFonts w:ascii="宋体" w:hAnsi="宋体"/>
          <w:sz w:val="24"/>
          <w:szCs w:val="24"/>
        </w:rPr>
      </w:pPr>
      <w:r>
        <w:rPr>
          <w:rFonts w:hint="eastAsia" w:ascii="宋体" w:hAnsi="宋体"/>
          <w:sz w:val="24"/>
          <w:szCs w:val="24"/>
        </w:rPr>
        <w:t>项目建设的业务系统与财政部汇总系统进行数据交换。按照财政部《预算管理一体化技术标准》数据技术标准及全国数据汇总标准要求，将本标包及其他标包涉及的基础信息、项目信息、预算信息（包括预算编制、指标管理等）、收入信息、支出信息（包括部门支出预算执行、转移支付执行等）、会计核算、决算和财务报告等数据进行汇总后上传。</w:t>
      </w:r>
    </w:p>
    <w:p>
      <w:pPr>
        <w:spacing w:line="360" w:lineRule="auto"/>
        <w:ind w:firstLine="480" w:firstLineChars="200"/>
        <w:rPr>
          <w:rFonts w:ascii="宋体" w:hAnsi="宋体"/>
          <w:sz w:val="24"/>
          <w:szCs w:val="24"/>
        </w:rPr>
      </w:pPr>
      <w:r>
        <w:rPr>
          <w:rFonts w:hint="eastAsia" w:ascii="宋体" w:hAnsi="宋体"/>
          <w:sz w:val="24"/>
          <w:szCs w:val="24"/>
        </w:rPr>
        <w:t>要求支持基于数据库库表、文件的数据交换集成及交换目录服务管理；支持主动上传至财政部汇总系统和从财政部汇总系统通知下载等数据交换模式。详细的交换方式及规范依据财政部相关要求进行建设。</w:t>
      </w:r>
    </w:p>
    <w:p>
      <w:pPr>
        <w:pStyle w:val="4"/>
        <w:rPr>
          <w:b w:val="0"/>
          <w:bCs w:val="0"/>
        </w:rPr>
      </w:pPr>
      <w:r>
        <w:t>4.</w:t>
      </w:r>
      <w:r>
        <w:rPr>
          <w:rFonts w:hint="eastAsia"/>
        </w:rPr>
        <w:t>与现有系统集成要求</w:t>
      </w:r>
    </w:p>
    <w:p>
      <w:pPr>
        <w:spacing w:line="360" w:lineRule="auto"/>
        <w:ind w:firstLine="480" w:firstLineChars="200"/>
        <w:rPr>
          <w:rFonts w:ascii="宋体" w:hAnsi="宋体"/>
          <w:sz w:val="24"/>
          <w:szCs w:val="24"/>
        </w:rPr>
      </w:pPr>
      <w:r>
        <w:rPr>
          <w:rFonts w:hint="eastAsia" w:ascii="宋体" w:hAnsi="宋体"/>
          <w:sz w:val="24"/>
          <w:szCs w:val="24"/>
        </w:rPr>
        <w:t>接口遵循宁波市“智慧财政”项目外部接口标准等。</w:t>
      </w:r>
    </w:p>
    <w:p>
      <w:pPr>
        <w:spacing w:line="360" w:lineRule="auto"/>
        <w:ind w:firstLine="480" w:firstLineChars="200"/>
        <w:rPr>
          <w:rFonts w:ascii="宋体" w:hAnsi="宋体"/>
          <w:sz w:val="24"/>
          <w:szCs w:val="24"/>
        </w:rPr>
      </w:pPr>
      <w:r>
        <w:rPr>
          <w:rFonts w:hint="eastAsia" w:ascii="宋体" w:hAnsi="宋体"/>
          <w:sz w:val="24"/>
          <w:szCs w:val="24"/>
        </w:rPr>
        <w:t>按招标方要求，将符合当前实际工作需要的业务系统按照财政部业务规范和技术标准进行集成。</w:t>
      </w:r>
    </w:p>
    <w:p>
      <w:pPr>
        <w:pStyle w:val="3"/>
        <w:rPr>
          <w:rFonts w:ascii="Cambria" w:hAnsi="Cambria"/>
          <w:b/>
          <w:bCs/>
          <w:kern w:val="2"/>
          <w:sz w:val="28"/>
          <w:szCs w:val="28"/>
        </w:rPr>
      </w:pPr>
      <w:r>
        <w:rPr>
          <w:rFonts w:hint="eastAsia" w:ascii="Cambria" w:hAnsi="Cambria"/>
          <w:b/>
          <w:bCs/>
          <w:kern w:val="2"/>
          <w:sz w:val="28"/>
          <w:szCs w:val="28"/>
        </w:rPr>
        <w:t>（五）应用服务要求</w:t>
      </w:r>
    </w:p>
    <w:p>
      <w:pPr>
        <w:spacing w:line="360" w:lineRule="auto"/>
        <w:ind w:firstLine="480" w:firstLineChars="200"/>
        <w:rPr>
          <w:rFonts w:ascii="宋体" w:hAnsi="宋体"/>
          <w:sz w:val="24"/>
          <w:szCs w:val="24"/>
        </w:rPr>
      </w:pPr>
      <w:r>
        <w:rPr>
          <w:rFonts w:hint="eastAsia" w:ascii="宋体" w:hAnsi="宋体"/>
          <w:sz w:val="24"/>
          <w:szCs w:val="24"/>
        </w:rPr>
        <w:t>1.支撑财政业务的扩展性、复杂性，灵活、快速应对业务的不断变化。</w:t>
      </w:r>
    </w:p>
    <w:p>
      <w:pPr>
        <w:spacing w:line="360" w:lineRule="auto"/>
        <w:ind w:firstLine="480" w:firstLineChars="200"/>
        <w:rPr>
          <w:rFonts w:ascii="宋体" w:hAnsi="宋体"/>
          <w:sz w:val="24"/>
          <w:szCs w:val="24"/>
        </w:rPr>
      </w:pPr>
      <w:r>
        <w:rPr>
          <w:rFonts w:hint="eastAsia" w:ascii="宋体" w:hAnsi="宋体"/>
          <w:sz w:val="24"/>
          <w:szCs w:val="24"/>
        </w:rPr>
        <w:t>2.支持应用按服务进行拆分，将复杂到难以移动的单体业务，拆分为多个可以独立部署的服务，随着业务的增长对服务做定向扩容。</w:t>
      </w:r>
    </w:p>
    <w:p>
      <w:pPr>
        <w:spacing w:line="360" w:lineRule="auto"/>
        <w:ind w:firstLine="480" w:firstLineChars="200"/>
        <w:rPr>
          <w:rFonts w:ascii="宋体" w:hAnsi="宋体"/>
          <w:sz w:val="24"/>
          <w:szCs w:val="24"/>
        </w:rPr>
      </w:pPr>
      <w:r>
        <w:rPr>
          <w:rFonts w:hint="eastAsia" w:ascii="宋体" w:hAnsi="宋体"/>
          <w:sz w:val="24"/>
          <w:szCs w:val="24"/>
        </w:rPr>
        <w:t>3.实现服务的隔离性，可以隔离故障，提高整体的稳定性；单个业务服务的中断和故障，应不影响其他服务。</w:t>
      </w:r>
    </w:p>
    <w:p>
      <w:pPr>
        <w:spacing w:line="360" w:lineRule="auto"/>
        <w:ind w:firstLine="480" w:firstLineChars="200"/>
        <w:rPr>
          <w:rFonts w:ascii="宋体" w:hAnsi="宋体"/>
          <w:sz w:val="24"/>
          <w:szCs w:val="24"/>
        </w:rPr>
      </w:pPr>
      <w:r>
        <w:rPr>
          <w:rFonts w:hint="eastAsia" w:ascii="宋体" w:hAnsi="宋体"/>
          <w:sz w:val="24"/>
          <w:szCs w:val="24"/>
        </w:rPr>
        <w:t>4.实现服务的灰度发布和在线业务开通能力：当某级新增业务模块或新地区业务纳入管理后不能影响现有业务的运行；</w:t>
      </w:r>
    </w:p>
    <w:p>
      <w:pPr>
        <w:spacing w:line="360" w:lineRule="auto"/>
        <w:ind w:firstLine="480" w:firstLineChars="200"/>
        <w:rPr>
          <w:rFonts w:ascii="宋体" w:hAnsi="宋体"/>
          <w:sz w:val="24"/>
          <w:szCs w:val="24"/>
        </w:rPr>
      </w:pPr>
      <w:r>
        <w:rPr>
          <w:rFonts w:hint="eastAsia" w:ascii="宋体" w:hAnsi="宋体"/>
          <w:sz w:val="24"/>
          <w:szCs w:val="24"/>
        </w:rPr>
        <w:t>5.提供便捷的服务（API）管理能力，便于服务的注册、发现、调用以及升级维护等。</w:t>
      </w:r>
    </w:p>
    <w:p>
      <w:pPr>
        <w:pStyle w:val="3"/>
        <w:rPr>
          <w:rFonts w:ascii="Cambria" w:hAnsi="Cambria"/>
          <w:b/>
          <w:bCs/>
          <w:kern w:val="2"/>
          <w:sz w:val="28"/>
          <w:szCs w:val="28"/>
        </w:rPr>
      </w:pPr>
      <w:r>
        <w:rPr>
          <w:rFonts w:hint="eastAsia" w:ascii="Cambria" w:hAnsi="Cambria"/>
          <w:b/>
          <w:bCs/>
          <w:kern w:val="2"/>
          <w:sz w:val="28"/>
          <w:szCs w:val="28"/>
        </w:rPr>
        <w:t>（六）系统部署要求</w:t>
      </w:r>
    </w:p>
    <w:p>
      <w:pPr>
        <w:spacing w:line="360" w:lineRule="auto"/>
        <w:ind w:firstLine="480" w:firstLineChars="200"/>
        <w:rPr>
          <w:rFonts w:ascii="宋体" w:hAnsi="宋体"/>
          <w:sz w:val="24"/>
          <w:szCs w:val="24"/>
        </w:rPr>
      </w:pPr>
      <w:r>
        <w:rPr>
          <w:rFonts w:hint="eastAsia" w:ascii="宋体" w:hAnsi="宋体"/>
          <w:sz w:val="24"/>
          <w:szCs w:val="24"/>
        </w:rPr>
        <w:t>系统部署的总体要求是灵活、可扩展，根据招标方实际需求进行部署。</w:t>
      </w:r>
    </w:p>
    <w:p>
      <w:pPr>
        <w:spacing w:line="360" w:lineRule="auto"/>
        <w:ind w:firstLine="480" w:firstLineChars="200"/>
        <w:rPr>
          <w:rFonts w:ascii="宋体" w:hAnsi="宋体"/>
          <w:sz w:val="24"/>
          <w:szCs w:val="24"/>
        </w:rPr>
      </w:pPr>
      <w:r>
        <w:rPr>
          <w:rFonts w:hint="eastAsia" w:ascii="宋体" w:hAnsi="宋体"/>
          <w:sz w:val="24"/>
          <w:szCs w:val="24"/>
        </w:rPr>
        <w:t>1.性能可扩展</w:t>
      </w:r>
    </w:p>
    <w:p>
      <w:pPr>
        <w:spacing w:line="360" w:lineRule="auto"/>
        <w:ind w:firstLine="480" w:firstLineChars="200"/>
        <w:rPr>
          <w:rFonts w:ascii="宋体" w:hAnsi="宋体"/>
          <w:sz w:val="24"/>
          <w:szCs w:val="24"/>
        </w:rPr>
      </w:pPr>
      <w:r>
        <w:rPr>
          <w:rFonts w:hint="eastAsia" w:ascii="宋体" w:hAnsi="宋体"/>
          <w:sz w:val="24"/>
          <w:szCs w:val="24"/>
        </w:rPr>
        <w:t>系统部署应支持提升系统处理性能和容量，从部署架构上可通过集群部署方式提升系统的性能，即可以根据性能要求或容量要求水平增加集群节点，从而提高系统的处理容量，提升系统处理性能。</w:t>
      </w:r>
    </w:p>
    <w:p>
      <w:pPr>
        <w:spacing w:line="360" w:lineRule="auto"/>
        <w:ind w:firstLine="480" w:firstLineChars="200"/>
        <w:rPr>
          <w:rFonts w:ascii="宋体" w:hAnsi="宋体"/>
          <w:sz w:val="24"/>
          <w:szCs w:val="24"/>
        </w:rPr>
      </w:pPr>
      <w:r>
        <w:rPr>
          <w:rFonts w:hint="eastAsia" w:ascii="宋体" w:hAnsi="宋体"/>
          <w:sz w:val="24"/>
          <w:szCs w:val="24"/>
        </w:rPr>
        <w:t>2.系统高可用</w:t>
      </w:r>
    </w:p>
    <w:p>
      <w:pPr>
        <w:spacing w:line="360" w:lineRule="auto"/>
        <w:ind w:firstLine="480" w:firstLineChars="200"/>
        <w:rPr>
          <w:rFonts w:ascii="宋体" w:hAnsi="宋体"/>
          <w:sz w:val="24"/>
          <w:szCs w:val="24"/>
        </w:rPr>
      </w:pPr>
      <w:r>
        <w:rPr>
          <w:rFonts w:hint="eastAsia" w:ascii="宋体" w:hAnsi="宋体"/>
          <w:sz w:val="24"/>
          <w:szCs w:val="24"/>
        </w:rPr>
        <w:t>由于硬件出故障是有一定几率的（非常低），故为了将这种几率降到更低，系统在部署时需要同时部署在多台物理机器上，降低硬件出故障几率（多台物理机器同时出故障的几率=每台物理机器故障率的乘积），从而增加系统的高可用性。应用服务器的集群中会有多个节点，结合性能和高可用性，集群的多个节点必须建在不同的物理机器上。</w:t>
      </w:r>
    </w:p>
    <w:p>
      <w:pPr>
        <w:spacing w:line="360" w:lineRule="auto"/>
        <w:ind w:firstLine="480" w:firstLineChars="200"/>
        <w:rPr>
          <w:rFonts w:ascii="宋体" w:hAnsi="宋体"/>
          <w:sz w:val="24"/>
          <w:szCs w:val="24"/>
        </w:rPr>
      </w:pPr>
      <w:r>
        <w:rPr>
          <w:rFonts w:hint="eastAsia" w:ascii="宋体" w:hAnsi="宋体"/>
          <w:sz w:val="24"/>
          <w:szCs w:val="24"/>
        </w:rPr>
        <w:t>3.应急方案化</w:t>
      </w:r>
    </w:p>
    <w:p>
      <w:pPr>
        <w:spacing w:line="360" w:lineRule="auto"/>
        <w:ind w:firstLine="480" w:firstLineChars="200"/>
        <w:rPr>
          <w:rFonts w:ascii="宋体" w:hAnsi="宋体"/>
          <w:sz w:val="24"/>
          <w:szCs w:val="24"/>
        </w:rPr>
      </w:pPr>
      <w:r>
        <w:rPr>
          <w:rFonts w:hint="eastAsia" w:ascii="宋体" w:hAnsi="宋体"/>
          <w:sz w:val="24"/>
          <w:szCs w:val="24"/>
        </w:rPr>
        <w:t>虽然系统在考虑系统的部署方案时，需要尽量考虑采用高可用的集群部署，但有时候确实存在一些子系统或模块，因为某些原因不太支持高可用，那么这些子系统或模块在发生故障时就只能靠人工干预处理才能排除故障重新恢复服务，针对可能故障需要提供详尽的应急方案。</w:t>
      </w:r>
    </w:p>
    <w:p>
      <w:pPr>
        <w:pStyle w:val="2"/>
        <w:rPr>
          <w:rFonts w:ascii="Calibri" w:hAnsi="Calibri"/>
          <w:b/>
          <w:bCs/>
          <w:kern w:val="44"/>
          <w:sz w:val="44"/>
          <w:szCs w:val="44"/>
        </w:rPr>
      </w:pPr>
      <w:r>
        <w:rPr>
          <w:rFonts w:hint="eastAsia" w:ascii="Calibri" w:hAnsi="Calibri"/>
          <w:b/>
          <w:bCs/>
          <w:kern w:val="44"/>
          <w:sz w:val="44"/>
          <w:szCs w:val="44"/>
        </w:rPr>
        <w:t>十一、软件总集成服务要求</w:t>
      </w:r>
    </w:p>
    <w:p>
      <w:pPr>
        <w:pStyle w:val="71"/>
        <w:widowControl/>
        <w:ind w:firstLine="480" w:firstLineChars="200"/>
        <w:rPr>
          <w:rFonts w:hAnsi="宋体"/>
          <w:sz w:val="24"/>
          <w:szCs w:val="24"/>
        </w:rPr>
      </w:pPr>
      <w:r>
        <w:rPr>
          <w:rFonts w:hint="eastAsia" w:hAnsi="宋体"/>
          <w:sz w:val="24"/>
          <w:szCs w:val="24"/>
        </w:rPr>
        <w:t>本标包中标方为软件总集成服务商，软件总集成服务商在招标方组织和领导下开展各项工作并提供软件总集成服务，包括但不限于协调、监督并管理其他标包中标方完成业务应用设计、开发、测试、联调、上线和培训等工作，共同达成本项目总体目标。</w:t>
      </w:r>
    </w:p>
    <w:p>
      <w:pPr>
        <w:pStyle w:val="3"/>
        <w:rPr>
          <w:rFonts w:ascii="Cambria" w:hAnsi="Cambria"/>
          <w:b/>
          <w:bCs/>
          <w:kern w:val="2"/>
          <w:sz w:val="28"/>
          <w:szCs w:val="28"/>
        </w:rPr>
      </w:pPr>
      <w:r>
        <w:rPr>
          <w:rFonts w:hint="eastAsia" w:ascii="Cambria" w:hAnsi="Cambria"/>
          <w:b/>
          <w:bCs/>
          <w:kern w:val="2"/>
          <w:sz w:val="28"/>
          <w:szCs w:val="28"/>
        </w:rPr>
        <w:t>（一）项目管理要求</w:t>
      </w:r>
    </w:p>
    <w:p>
      <w:pPr>
        <w:pStyle w:val="71"/>
        <w:widowControl/>
        <w:ind w:firstLine="480" w:firstLineChars="200"/>
        <w:rPr>
          <w:rFonts w:hAnsi="宋体"/>
          <w:sz w:val="24"/>
          <w:szCs w:val="24"/>
        </w:rPr>
      </w:pPr>
      <w:r>
        <w:rPr>
          <w:rFonts w:hAnsi="宋体"/>
          <w:sz w:val="24"/>
          <w:szCs w:val="24"/>
        </w:rPr>
        <w:t>1.</w:t>
      </w:r>
      <w:r>
        <w:rPr>
          <w:rFonts w:hint="eastAsia" w:hAnsi="宋体"/>
          <w:sz w:val="24"/>
          <w:szCs w:val="24"/>
        </w:rPr>
        <w:t>软件总集成服务商在项目实施过程中，需对项目进行规范化管理，要有项目管理组织、项目人员配置计划、项目管理计划、项目进度计划、项目验收计划、风险防控管理等方案，确保工程实施质量。</w:t>
      </w:r>
    </w:p>
    <w:p>
      <w:pPr>
        <w:pStyle w:val="71"/>
        <w:widowControl/>
        <w:ind w:firstLine="480" w:firstLineChars="200"/>
        <w:rPr>
          <w:rFonts w:hAnsi="宋体"/>
          <w:sz w:val="24"/>
          <w:szCs w:val="24"/>
        </w:rPr>
      </w:pPr>
      <w:r>
        <w:rPr>
          <w:rFonts w:hAnsi="宋体"/>
          <w:sz w:val="24"/>
          <w:szCs w:val="24"/>
        </w:rPr>
        <w:t>2.</w:t>
      </w:r>
      <w:r>
        <w:rPr>
          <w:rFonts w:hint="eastAsia" w:hAnsi="宋体"/>
          <w:sz w:val="24"/>
          <w:szCs w:val="24"/>
        </w:rPr>
        <w:t>软件总集成服务商按照招标方要求具体负责项目总体的项目管理，技术和质量保证的工作，对本包所涉及到的设计和实施人员及具体工作进行总体管理，包括项目前期准备，制定项目管理计划，项目跟踪和汇报，对项目相关业务应用软件开发商管理协调。</w:t>
      </w:r>
    </w:p>
    <w:p>
      <w:pPr>
        <w:pStyle w:val="71"/>
        <w:widowControl/>
        <w:ind w:firstLine="480" w:firstLineChars="200"/>
        <w:rPr>
          <w:rFonts w:hAnsi="宋体"/>
          <w:sz w:val="24"/>
          <w:szCs w:val="24"/>
        </w:rPr>
      </w:pPr>
      <w:r>
        <w:rPr>
          <w:rFonts w:hAnsi="宋体"/>
          <w:sz w:val="24"/>
          <w:szCs w:val="24"/>
        </w:rPr>
        <w:t>3.</w:t>
      </w:r>
      <w:r>
        <w:rPr>
          <w:rFonts w:hint="eastAsia" w:hAnsi="宋体"/>
          <w:sz w:val="24"/>
          <w:szCs w:val="24"/>
        </w:rPr>
        <w:t>建立严格的质量保证体系，制定项目建设质量控制方案和实施措施，并督促落实各环节质量控制内容和目标；保证总体方案设计、验证与实施、系统运行与验收等各个阶段工作满足项目质量的要求。根据整个系统建设实施的工作计划，对阶段性工作成果进行审查和测试，并提交里程碑式工作成果。通过保证各阶段性成果的质量，最终保证整个项目的质量。</w:t>
      </w:r>
    </w:p>
    <w:p>
      <w:pPr>
        <w:pStyle w:val="71"/>
        <w:widowControl/>
        <w:ind w:firstLine="480" w:firstLineChars="200"/>
        <w:rPr>
          <w:rFonts w:hAnsi="宋体"/>
          <w:sz w:val="24"/>
          <w:szCs w:val="24"/>
        </w:rPr>
      </w:pPr>
      <w:r>
        <w:rPr>
          <w:rFonts w:hAnsi="宋体"/>
          <w:sz w:val="24"/>
          <w:szCs w:val="24"/>
        </w:rPr>
        <w:t>4.</w:t>
      </w:r>
      <w:r>
        <w:rPr>
          <w:rFonts w:hint="eastAsia" w:hAnsi="宋体"/>
          <w:sz w:val="24"/>
          <w:szCs w:val="24"/>
        </w:rPr>
        <w:t>总集协调机制的建立，建立市县乡三级联动</w:t>
      </w:r>
      <w:r>
        <w:rPr>
          <w:rFonts w:hAnsi="宋体"/>
          <w:sz w:val="24"/>
          <w:szCs w:val="24"/>
        </w:rPr>
        <w:t>24</w:t>
      </w:r>
      <w:r>
        <w:rPr>
          <w:rFonts w:hint="eastAsia" w:hAnsi="宋体"/>
          <w:sz w:val="24"/>
          <w:szCs w:val="24"/>
        </w:rPr>
        <w:t>小时的快速响应机制，按照“问题</w:t>
      </w:r>
      <w:r>
        <w:rPr>
          <w:rFonts w:hAnsi="宋体"/>
          <w:sz w:val="24"/>
          <w:szCs w:val="24"/>
        </w:rPr>
        <w:t>-</w:t>
      </w:r>
      <w:r>
        <w:rPr>
          <w:rFonts w:hint="eastAsia" w:hAnsi="宋体"/>
          <w:sz w:val="24"/>
          <w:szCs w:val="24"/>
        </w:rPr>
        <w:t>落实</w:t>
      </w:r>
      <w:r>
        <w:rPr>
          <w:rFonts w:hAnsi="宋体"/>
          <w:sz w:val="24"/>
          <w:szCs w:val="24"/>
        </w:rPr>
        <w:t>-</w:t>
      </w:r>
      <w:r>
        <w:rPr>
          <w:rFonts w:hint="eastAsia" w:hAnsi="宋体"/>
          <w:sz w:val="24"/>
          <w:szCs w:val="24"/>
        </w:rPr>
        <w:t>结果”为主线，建立明确的问题解决流程、识别和消除项目实施过程中的根本问题，以使生产环境的突发事件、质量事件等得到有效的遏制和解决。</w:t>
      </w:r>
    </w:p>
    <w:p>
      <w:pPr>
        <w:pStyle w:val="3"/>
        <w:rPr>
          <w:rFonts w:ascii="Cambria" w:hAnsi="Cambria"/>
          <w:b/>
          <w:bCs/>
          <w:kern w:val="2"/>
          <w:sz w:val="28"/>
          <w:szCs w:val="28"/>
        </w:rPr>
      </w:pPr>
      <w:r>
        <w:rPr>
          <w:rFonts w:hint="eastAsia" w:ascii="Cambria" w:hAnsi="Cambria"/>
          <w:b/>
          <w:bCs/>
          <w:kern w:val="2"/>
          <w:sz w:val="28"/>
          <w:szCs w:val="28"/>
        </w:rPr>
        <w:t>（二）集成实施管理</w:t>
      </w:r>
    </w:p>
    <w:p>
      <w:pPr>
        <w:spacing w:line="360" w:lineRule="auto"/>
        <w:ind w:firstLine="480" w:firstLineChars="200"/>
        <w:rPr>
          <w:rFonts w:ascii="宋体" w:hAnsi="宋体"/>
          <w:sz w:val="24"/>
          <w:szCs w:val="24"/>
        </w:rPr>
      </w:pPr>
      <w:r>
        <w:rPr>
          <w:rFonts w:hint="eastAsia" w:ascii="宋体" w:hAnsi="宋体"/>
          <w:sz w:val="24"/>
          <w:szCs w:val="24"/>
        </w:rPr>
        <w:t>为保障多厂家的有序合作与协同，软件总集成服务商应依据科学、成熟的项目管理经验，实现项目集成实施，并对其他标包各业务应用软件开发商开发、交付过程进行管控，保障项目进度与质量。</w:t>
      </w:r>
    </w:p>
    <w:p>
      <w:pPr>
        <w:spacing w:line="360" w:lineRule="auto"/>
        <w:ind w:firstLine="480" w:firstLineChars="200"/>
        <w:rPr>
          <w:rFonts w:ascii="宋体" w:hAnsi="宋体"/>
          <w:sz w:val="24"/>
          <w:szCs w:val="24"/>
        </w:rPr>
      </w:pPr>
      <w:r>
        <w:rPr>
          <w:rFonts w:hint="eastAsia" w:ascii="宋体" w:hAnsi="宋体"/>
          <w:sz w:val="24"/>
          <w:szCs w:val="24"/>
        </w:rPr>
        <w:t>要求软件总集成服务商给出科学、合理的集成设计方案，提出成熟可行的集成实施管理方案，按照宁波“智慧财政”的建设要求，集成实施管理须遵循以下基本集成原则：</w:t>
      </w:r>
    </w:p>
    <w:p>
      <w:pPr>
        <w:spacing w:line="360" w:lineRule="auto"/>
        <w:ind w:firstLine="480" w:firstLineChars="200"/>
        <w:rPr>
          <w:rFonts w:ascii="宋体" w:hAnsi="宋体"/>
          <w:sz w:val="24"/>
          <w:szCs w:val="24"/>
        </w:rPr>
      </w:pPr>
      <w:r>
        <w:rPr>
          <w:rFonts w:hint="eastAsia" w:ascii="宋体" w:hAnsi="宋体"/>
          <w:sz w:val="24"/>
          <w:szCs w:val="24"/>
        </w:rPr>
        <w:t>1.宁波“智慧财政”项目业务一体化技术要求；</w:t>
      </w:r>
    </w:p>
    <w:p>
      <w:pPr>
        <w:spacing w:line="360" w:lineRule="auto"/>
        <w:ind w:firstLine="480" w:firstLineChars="200"/>
        <w:rPr>
          <w:rFonts w:ascii="宋体" w:hAnsi="宋体"/>
          <w:sz w:val="24"/>
          <w:szCs w:val="24"/>
        </w:rPr>
      </w:pPr>
      <w:r>
        <w:rPr>
          <w:rFonts w:hint="eastAsia" w:ascii="宋体" w:hAnsi="宋体"/>
          <w:sz w:val="24"/>
          <w:szCs w:val="24"/>
        </w:rPr>
        <w:t>2.系统架构设计的开放性、稳定性和可扩展性；</w:t>
      </w:r>
    </w:p>
    <w:p>
      <w:pPr>
        <w:spacing w:line="360" w:lineRule="auto"/>
        <w:ind w:firstLine="480" w:firstLineChars="200"/>
        <w:rPr>
          <w:rFonts w:ascii="宋体" w:hAnsi="宋体"/>
          <w:sz w:val="24"/>
          <w:szCs w:val="24"/>
        </w:rPr>
      </w:pPr>
      <w:r>
        <w:rPr>
          <w:rFonts w:hint="eastAsia" w:ascii="宋体" w:hAnsi="宋体"/>
          <w:sz w:val="24"/>
          <w:szCs w:val="24"/>
        </w:rPr>
        <w:t>3.集成方案设计。</w:t>
      </w:r>
    </w:p>
    <w:p>
      <w:pPr>
        <w:spacing w:line="360" w:lineRule="auto"/>
        <w:ind w:firstLine="480" w:firstLineChars="200"/>
        <w:rPr>
          <w:rFonts w:ascii="宋体" w:hAnsi="宋体"/>
          <w:sz w:val="24"/>
          <w:szCs w:val="24"/>
        </w:rPr>
      </w:pPr>
      <w:r>
        <w:rPr>
          <w:rFonts w:hint="eastAsia" w:ascii="宋体" w:hAnsi="宋体"/>
          <w:sz w:val="24"/>
          <w:szCs w:val="24"/>
        </w:rPr>
        <w:t>根据项目的设计方案，拟定项目集成标准规范，组织各业务应用软件开发商共同完成整体集成方案与各业务应用系统的集成方案编制，用于指导整体项目的集成实施与管理。</w:t>
      </w:r>
    </w:p>
    <w:p>
      <w:pPr>
        <w:pStyle w:val="3"/>
        <w:rPr>
          <w:rFonts w:ascii="Cambria" w:hAnsi="Cambria"/>
          <w:b/>
          <w:bCs/>
          <w:kern w:val="2"/>
          <w:sz w:val="28"/>
          <w:szCs w:val="28"/>
        </w:rPr>
      </w:pPr>
      <w:r>
        <w:rPr>
          <w:rFonts w:hint="eastAsia" w:ascii="Cambria" w:hAnsi="Cambria"/>
          <w:b/>
          <w:bCs/>
          <w:kern w:val="2"/>
          <w:sz w:val="28"/>
          <w:szCs w:val="28"/>
        </w:rPr>
        <w:t>（三）集成实施</w:t>
      </w:r>
    </w:p>
    <w:p>
      <w:pPr>
        <w:snapToGrid w:val="0"/>
        <w:spacing w:line="360" w:lineRule="auto"/>
        <w:ind w:firstLine="360" w:firstLineChars="150"/>
        <w:rPr>
          <w:rFonts w:ascii="宋体" w:hAnsi="宋体"/>
          <w:sz w:val="24"/>
          <w:szCs w:val="24"/>
        </w:rPr>
      </w:pPr>
      <w:r>
        <w:rPr>
          <w:rFonts w:hint="eastAsia" w:ascii="宋体" w:hAnsi="宋体"/>
          <w:sz w:val="24"/>
          <w:szCs w:val="24"/>
        </w:rPr>
        <w:t>1.统筹指导提供商及各业务应用软件开发商制定各自的具体实施方案，包括实施步骤、实施计划、测试及应急预案等。</w:t>
      </w:r>
    </w:p>
    <w:p>
      <w:pPr>
        <w:snapToGrid w:val="0"/>
        <w:spacing w:line="360" w:lineRule="auto"/>
        <w:ind w:firstLine="360" w:firstLineChars="150"/>
        <w:rPr>
          <w:rFonts w:ascii="宋体" w:hAnsi="宋体"/>
          <w:sz w:val="24"/>
          <w:szCs w:val="24"/>
        </w:rPr>
      </w:pPr>
      <w:r>
        <w:rPr>
          <w:rFonts w:hint="eastAsia" w:ascii="宋体" w:hAnsi="宋体"/>
          <w:sz w:val="24"/>
          <w:szCs w:val="24"/>
        </w:rPr>
        <w:t>2.管理、协调、指导、监督各业务应用软件开发商按照统一的标准规范、建设目标、交付流程、建设时间开展工作。</w:t>
      </w:r>
    </w:p>
    <w:p>
      <w:pPr>
        <w:snapToGrid w:val="0"/>
        <w:spacing w:line="360" w:lineRule="auto"/>
        <w:ind w:firstLine="360" w:firstLineChars="150"/>
        <w:rPr>
          <w:rFonts w:ascii="宋体" w:hAnsi="宋体"/>
          <w:sz w:val="24"/>
          <w:szCs w:val="24"/>
        </w:rPr>
      </w:pPr>
      <w:r>
        <w:rPr>
          <w:rFonts w:hint="eastAsia" w:ascii="宋体" w:hAnsi="宋体"/>
          <w:sz w:val="24"/>
          <w:szCs w:val="24"/>
        </w:rPr>
        <w:t>3.统筹安排各业务应用系统的培训工作。</w:t>
      </w:r>
    </w:p>
    <w:p>
      <w:pPr>
        <w:snapToGrid w:val="0"/>
        <w:spacing w:line="360" w:lineRule="auto"/>
        <w:ind w:firstLine="360" w:firstLineChars="150"/>
        <w:rPr>
          <w:rFonts w:ascii="宋体" w:hAnsi="宋体"/>
          <w:sz w:val="24"/>
          <w:szCs w:val="24"/>
        </w:rPr>
      </w:pPr>
      <w:r>
        <w:rPr>
          <w:rFonts w:hint="eastAsia" w:ascii="宋体" w:hAnsi="宋体"/>
          <w:sz w:val="24"/>
          <w:szCs w:val="24"/>
        </w:rPr>
        <w:t xml:space="preserve">4.配合招标方完成业务应用系统的功能技术需求确认及业务应用软件开发商的功能技术方案审核；指导并管理业务应用软件开发商微服务化的开发、测试与部署。确保非功能性指标达到要求。 </w:t>
      </w:r>
    </w:p>
    <w:p>
      <w:pPr>
        <w:snapToGrid w:val="0"/>
        <w:spacing w:line="360" w:lineRule="auto"/>
        <w:ind w:firstLine="360" w:firstLineChars="150"/>
        <w:rPr>
          <w:rFonts w:ascii="宋体" w:hAnsi="宋体"/>
          <w:sz w:val="24"/>
          <w:szCs w:val="24"/>
        </w:rPr>
      </w:pPr>
      <w:r>
        <w:rPr>
          <w:rFonts w:hint="eastAsia" w:ascii="宋体" w:hAnsi="宋体"/>
          <w:sz w:val="24"/>
          <w:szCs w:val="24"/>
        </w:rPr>
        <w:t>5.对本项目相关厂商输出的与集成有关的项目建设文档进行符合性确认，判断是否符合本项目的集成规范，并提交招标方审核。</w:t>
      </w:r>
    </w:p>
    <w:p>
      <w:pPr>
        <w:snapToGrid w:val="0"/>
        <w:spacing w:line="360" w:lineRule="auto"/>
        <w:ind w:firstLine="360" w:firstLineChars="150"/>
        <w:rPr>
          <w:rFonts w:ascii="宋体" w:hAnsi="宋体"/>
          <w:sz w:val="24"/>
          <w:szCs w:val="24"/>
        </w:rPr>
      </w:pPr>
      <w:r>
        <w:rPr>
          <w:rFonts w:hint="eastAsia" w:ascii="宋体" w:hAnsi="宋体"/>
          <w:sz w:val="24"/>
          <w:szCs w:val="24"/>
        </w:rPr>
        <w:t>6.充分分析风险，制定应对措施，协调解决本项目集成过程中出现的各类问题，把控集成进度及质量。</w:t>
      </w:r>
    </w:p>
    <w:p>
      <w:pPr>
        <w:snapToGrid w:val="0"/>
        <w:spacing w:line="360" w:lineRule="auto"/>
        <w:ind w:firstLine="360" w:firstLineChars="150"/>
        <w:rPr>
          <w:rFonts w:ascii="宋体" w:hAnsi="宋体"/>
          <w:sz w:val="24"/>
          <w:szCs w:val="24"/>
        </w:rPr>
      </w:pPr>
      <w:r>
        <w:rPr>
          <w:rFonts w:hint="eastAsia" w:ascii="宋体" w:hAnsi="宋体"/>
          <w:sz w:val="24"/>
          <w:szCs w:val="24"/>
        </w:rPr>
        <w:t>7.集成风险分析及应对方案需包括风险环节、风险点、风险影响范围、化解风险的策略和手段、各方职责等。</w:t>
      </w:r>
    </w:p>
    <w:p>
      <w:pPr>
        <w:snapToGrid w:val="0"/>
        <w:spacing w:line="360" w:lineRule="auto"/>
        <w:ind w:firstLine="360" w:firstLineChars="150"/>
        <w:rPr>
          <w:rFonts w:ascii="宋体" w:hAnsi="宋体"/>
          <w:sz w:val="24"/>
          <w:szCs w:val="24"/>
        </w:rPr>
      </w:pPr>
      <w:r>
        <w:rPr>
          <w:rFonts w:hint="eastAsia" w:ascii="宋体" w:hAnsi="宋体"/>
          <w:sz w:val="24"/>
          <w:szCs w:val="24"/>
        </w:rPr>
        <w:t>8.软件总集成服务商须定期对包括集成建设及业务应用系统的开发、测试、实施等进展进行汇报，形式不限于日报、周报、月报、里程碑报告等。</w:t>
      </w:r>
    </w:p>
    <w:p>
      <w:pPr>
        <w:snapToGrid w:val="0"/>
        <w:spacing w:line="360" w:lineRule="auto"/>
        <w:ind w:firstLine="360" w:firstLineChars="150"/>
        <w:rPr>
          <w:rFonts w:ascii="宋体" w:hAnsi="宋体"/>
          <w:sz w:val="24"/>
          <w:szCs w:val="24"/>
        </w:rPr>
      </w:pPr>
      <w:r>
        <w:rPr>
          <w:rFonts w:hint="eastAsia" w:ascii="宋体" w:hAnsi="宋体"/>
          <w:sz w:val="24"/>
          <w:szCs w:val="24"/>
        </w:rPr>
        <w:t>9.集成中涉及的规范和标准问题，由招标方确认。</w:t>
      </w:r>
    </w:p>
    <w:p>
      <w:pPr>
        <w:pStyle w:val="3"/>
        <w:rPr>
          <w:rFonts w:ascii="Cambria" w:hAnsi="Cambria"/>
          <w:b/>
          <w:bCs/>
          <w:kern w:val="2"/>
          <w:sz w:val="28"/>
          <w:szCs w:val="28"/>
        </w:rPr>
      </w:pPr>
      <w:r>
        <w:rPr>
          <w:rFonts w:hint="eastAsia" w:ascii="Cambria" w:hAnsi="Cambria"/>
          <w:b/>
          <w:bCs/>
          <w:kern w:val="2"/>
          <w:sz w:val="28"/>
          <w:szCs w:val="28"/>
        </w:rPr>
        <w:t>（四）集成测试</w:t>
      </w:r>
    </w:p>
    <w:p>
      <w:pPr>
        <w:snapToGrid w:val="0"/>
        <w:spacing w:line="360" w:lineRule="auto"/>
        <w:ind w:firstLine="480" w:firstLineChars="200"/>
        <w:rPr>
          <w:rFonts w:ascii="宋体" w:hAnsi="宋体"/>
          <w:sz w:val="24"/>
          <w:szCs w:val="24"/>
        </w:rPr>
      </w:pPr>
      <w:r>
        <w:rPr>
          <w:rFonts w:hint="eastAsia" w:ascii="宋体" w:hAnsi="宋体"/>
          <w:sz w:val="24"/>
          <w:szCs w:val="24"/>
        </w:rPr>
        <w:t>业务应用之间存在错综复杂的业务依赖和数据联系。为确保达到规划设计要求，需要软件总集成服务商提供基于架构规范、开发标准、业务场景的系统集成测试，对项目建设的成果进行确认。</w:t>
      </w:r>
    </w:p>
    <w:p>
      <w:pPr>
        <w:snapToGrid w:val="0"/>
        <w:spacing w:line="360" w:lineRule="auto"/>
        <w:ind w:firstLine="480" w:firstLineChars="200"/>
        <w:rPr>
          <w:rFonts w:ascii="宋体" w:hAnsi="宋体"/>
          <w:sz w:val="24"/>
          <w:szCs w:val="24"/>
        </w:rPr>
      </w:pPr>
      <w:r>
        <w:rPr>
          <w:rFonts w:hint="eastAsia" w:ascii="宋体" w:hAnsi="宋体"/>
          <w:sz w:val="24"/>
          <w:szCs w:val="24"/>
        </w:rPr>
        <w:t>软件总集成服务商须对本项目集成的软硬件系统根据集成设计的要求与测试用例进行测试，包括本项目涉及的软硬产品及其安装质量、性能和配置进行集成测试，形成集成测试报告，包括集成测试方案设计、用例编写、集成测试执行、测试问题分析等。集成测试时根据实施的具体步骤进行，观测测试结果是否符合预期的正确结果。</w:t>
      </w:r>
    </w:p>
    <w:p>
      <w:pPr>
        <w:pStyle w:val="3"/>
        <w:rPr>
          <w:rFonts w:ascii="Cambria" w:hAnsi="Cambria"/>
          <w:b/>
          <w:bCs/>
          <w:kern w:val="2"/>
          <w:sz w:val="28"/>
          <w:szCs w:val="28"/>
        </w:rPr>
      </w:pPr>
      <w:r>
        <w:rPr>
          <w:rFonts w:hint="eastAsia" w:ascii="Cambria" w:hAnsi="Cambria"/>
          <w:b/>
          <w:bCs/>
          <w:kern w:val="2"/>
          <w:sz w:val="28"/>
          <w:szCs w:val="28"/>
        </w:rPr>
        <w:t>（五）集成验收</w:t>
      </w:r>
    </w:p>
    <w:p>
      <w:pPr>
        <w:snapToGrid w:val="0"/>
        <w:spacing w:line="360" w:lineRule="auto"/>
        <w:ind w:firstLine="480" w:firstLineChars="200"/>
        <w:rPr>
          <w:rFonts w:ascii="宋体" w:hAnsi="宋体"/>
          <w:sz w:val="24"/>
          <w:szCs w:val="24"/>
        </w:rPr>
      </w:pPr>
      <w:r>
        <w:rPr>
          <w:rFonts w:hint="eastAsia" w:ascii="宋体" w:hAnsi="宋体"/>
          <w:sz w:val="24"/>
          <w:szCs w:val="24"/>
        </w:rPr>
        <w:t>软件总集成服务商严格按照招标方相关规定和要求，组织将业务应用系统的全部有关系统说明书、安装手册、技术文件、资料、验收报告等文档及源代码存储介质交付招标方。</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1.验收评测工作主要包括：文档分析、方案制定、现场测试、问题单提交、测试报告输出。 </w:t>
      </w:r>
    </w:p>
    <w:p>
      <w:pPr>
        <w:snapToGrid w:val="0"/>
        <w:spacing w:line="360" w:lineRule="auto"/>
        <w:ind w:firstLine="480" w:firstLineChars="200"/>
        <w:rPr>
          <w:rFonts w:ascii="宋体" w:hAnsi="宋体"/>
          <w:sz w:val="24"/>
          <w:szCs w:val="24"/>
        </w:rPr>
      </w:pPr>
      <w:r>
        <w:rPr>
          <w:rFonts w:hint="eastAsia" w:ascii="宋体" w:hAnsi="宋体"/>
          <w:sz w:val="24"/>
          <w:szCs w:val="24"/>
        </w:rPr>
        <w:t>2.验收测试内容主要包括：功能度、安全可靠性、易用性、可扩充性、兼容性、效率、资源占用率、用户文档等。</w:t>
      </w:r>
    </w:p>
    <w:p>
      <w:pPr>
        <w:snapToGrid w:val="0"/>
        <w:spacing w:line="360" w:lineRule="auto"/>
        <w:ind w:firstLine="480" w:firstLineChars="200"/>
        <w:rPr>
          <w:rFonts w:ascii="宋体" w:hAnsi="宋体"/>
          <w:sz w:val="24"/>
          <w:szCs w:val="24"/>
        </w:rPr>
      </w:pPr>
      <w:r>
        <w:rPr>
          <w:rFonts w:hint="eastAsia" w:ascii="宋体" w:hAnsi="宋体"/>
          <w:sz w:val="24"/>
          <w:szCs w:val="24"/>
        </w:rPr>
        <w:t>3.文档验收标准包括：文档完备性、内容针对性、内容充分性、内容一致性、文字明确性、图表详实性、易读性、文档价值等。</w:t>
      </w:r>
    </w:p>
    <w:p>
      <w:pPr>
        <w:snapToGrid w:val="0"/>
        <w:spacing w:line="360" w:lineRule="auto"/>
        <w:ind w:firstLine="480" w:firstLineChars="200"/>
        <w:rPr>
          <w:rFonts w:ascii="宋体" w:hAnsi="宋体"/>
          <w:sz w:val="24"/>
          <w:szCs w:val="24"/>
        </w:rPr>
      </w:pPr>
      <w:r>
        <w:rPr>
          <w:rFonts w:hint="eastAsia" w:ascii="宋体" w:hAnsi="宋体"/>
          <w:sz w:val="24"/>
          <w:szCs w:val="24"/>
        </w:rPr>
        <w:t>软件总集成服务商需组织招标方评审的资料包括以下几部分：</w:t>
      </w:r>
    </w:p>
    <w:p>
      <w:pPr>
        <w:snapToGrid w:val="0"/>
        <w:spacing w:line="360" w:lineRule="auto"/>
        <w:ind w:firstLine="480" w:firstLineChars="200"/>
        <w:rPr>
          <w:rFonts w:ascii="宋体" w:hAnsi="宋体"/>
          <w:sz w:val="24"/>
          <w:szCs w:val="24"/>
        </w:rPr>
      </w:pPr>
      <w:r>
        <w:rPr>
          <w:rFonts w:hint="eastAsia" w:ascii="宋体" w:hAnsi="宋体"/>
          <w:sz w:val="24"/>
          <w:szCs w:val="24"/>
        </w:rPr>
        <w:t>1.基础资料：招标书、投标书、相关合同、有关批复文件、软件需求说明书、系统设计说明书、系统功能说明书、系统结构图、项目详细实施方案。</w:t>
      </w:r>
    </w:p>
    <w:p>
      <w:pPr>
        <w:snapToGrid w:val="0"/>
        <w:spacing w:line="360" w:lineRule="auto"/>
        <w:ind w:firstLine="480" w:firstLineChars="200"/>
        <w:rPr>
          <w:rFonts w:ascii="宋体" w:hAnsi="宋体"/>
          <w:sz w:val="24"/>
          <w:szCs w:val="24"/>
        </w:rPr>
      </w:pPr>
      <w:r>
        <w:rPr>
          <w:rFonts w:hint="eastAsia" w:ascii="宋体" w:hAnsi="宋体"/>
          <w:sz w:val="24"/>
          <w:szCs w:val="24"/>
        </w:rPr>
        <w:t>2.项目竣工资料：项目开工报告、项目实施报告、项目质量测试报告、项目检查报告、集成测试报告、过程材料清单、项目实施质量与安全检查记录、操作使用说明书、售后服务保证文件、培训文档等。</w:t>
      </w:r>
    </w:p>
    <w:p>
      <w:pPr>
        <w:pStyle w:val="2"/>
        <w:rPr>
          <w:rFonts w:ascii="Calibri" w:hAnsi="Calibri"/>
          <w:b/>
          <w:bCs/>
          <w:kern w:val="44"/>
          <w:sz w:val="44"/>
          <w:szCs w:val="44"/>
        </w:rPr>
      </w:pPr>
      <w:r>
        <w:rPr>
          <w:rFonts w:hint="eastAsia" w:ascii="Calibri" w:hAnsi="Calibri"/>
          <w:b/>
          <w:bCs/>
          <w:kern w:val="44"/>
          <w:sz w:val="44"/>
          <w:szCs w:val="44"/>
        </w:rPr>
        <w:t>十二、非功能性要求★</w:t>
      </w:r>
    </w:p>
    <w:p>
      <w:pPr>
        <w:pStyle w:val="4"/>
        <w:rPr>
          <w:b w:val="0"/>
          <w:bCs w:val="0"/>
        </w:rPr>
      </w:pPr>
      <w:r>
        <w:rPr>
          <w:rFonts w:hint="eastAsia"/>
        </w:rPr>
        <w:t>（一）可扩展性</w:t>
      </w:r>
    </w:p>
    <w:p>
      <w:pPr>
        <w:snapToGrid w:val="0"/>
        <w:spacing w:line="360" w:lineRule="auto"/>
        <w:ind w:firstLine="480" w:firstLineChars="200"/>
        <w:rPr>
          <w:rFonts w:ascii="宋体" w:hAnsi="宋体"/>
          <w:sz w:val="24"/>
          <w:szCs w:val="24"/>
        </w:rPr>
      </w:pPr>
      <w:r>
        <w:rPr>
          <w:rFonts w:hint="eastAsia" w:ascii="宋体" w:hAnsi="宋体"/>
          <w:sz w:val="24"/>
          <w:szCs w:val="24"/>
        </w:rPr>
        <w:t>在设计上必须具有适应业务变化的能力，当系统新增业务功能或现有业务功能改变时，应尽可能减少因业务变化造成的影响；系统应提供一个弹性的架构，支持使用配置而免编程的方式对业务流程、业务表单、查询统计等功能的定制与调整。</w:t>
      </w:r>
    </w:p>
    <w:p>
      <w:pPr>
        <w:pStyle w:val="4"/>
        <w:rPr>
          <w:b w:val="0"/>
          <w:bCs w:val="0"/>
        </w:rPr>
      </w:pPr>
      <w:r>
        <w:rPr>
          <w:rFonts w:hint="eastAsia"/>
        </w:rPr>
        <w:t>（二）易用性</w:t>
      </w:r>
    </w:p>
    <w:p>
      <w:pPr>
        <w:snapToGrid w:val="0"/>
        <w:spacing w:line="360" w:lineRule="auto"/>
        <w:ind w:firstLine="480" w:firstLineChars="200"/>
        <w:rPr>
          <w:rFonts w:ascii="宋体" w:hAnsi="宋体"/>
          <w:sz w:val="24"/>
          <w:szCs w:val="24"/>
        </w:rPr>
      </w:pPr>
      <w:r>
        <w:rPr>
          <w:rFonts w:hint="eastAsia" w:ascii="宋体" w:hAnsi="宋体"/>
          <w:sz w:val="24"/>
          <w:szCs w:val="24"/>
        </w:rPr>
        <w:t>系统运行过程中应稳定、可靠、安全、实用，人机界面友好，检索查询灵活快捷，在图表生成、多表头的多层展现、数据的树形展现等，要灵活美观，输入输出方便，常用操作有提示信息和快捷键支持。系统应符合用户操作习惯，提供高质量的用户体验。对于新用户或不常使用的用户通过简单培训即可上手使用。</w:t>
      </w:r>
    </w:p>
    <w:p>
      <w:pPr>
        <w:pStyle w:val="4"/>
        <w:rPr>
          <w:b w:val="0"/>
          <w:bCs w:val="0"/>
        </w:rPr>
      </w:pPr>
      <w:r>
        <w:rPr>
          <w:rFonts w:hint="eastAsia"/>
        </w:rPr>
        <w:t>（三）可移植性</w:t>
      </w:r>
    </w:p>
    <w:p>
      <w:pPr>
        <w:snapToGrid w:val="0"/>
        <w:spacing w:line="360" w:lineRule="auto"/>
        <w:ind w:firstLine="480" w:firstLineChars="200"/>
        <w:rPr>
          <w:rFonts w:ascii="宋体" w:hAnsi="宋体"/>
          <w:sz w:val="24"/>
          <w:szCs w:val="24"/>
        </w:rPr>
      </w:pPr>
      <w:r>
        <w:rPr>
          <w:rFonts w:hint="eastAsia" w:ascii="宋体" w:hAnsi="宋体"/>
          <w:sz w:val="24"/>
          <w:szCs w:val="24"/>
        </w:rPr>
        <w:t>系统设计应适用于所有常见操作系统、浏览器、应用服务器及数据库产品。</w:t>
      </w:r>
    </w:p>
    <w:p>
      <w:pPr>
        <w:pStyle w:val="4"/>
        <w:rPr>
          <w:b w:val="0"/>
          <w:bCs w:val="0"/>
        </w:rPr>
      </w:pPr>
      <w:r>
        <w:rPr>
          <w:rFonts w:hint="eastAsia"/>
        </w:rPr>
        <w:t>（四）稳定可靠性</w:t>
      </w:r>
    </w:p>
    <w:p>
      <w:pPr>
        <w:snapToGrid w:val="0"/>
        <w:spacing w:line="360" w:lineRule="auto"/>
        <w:ind w:firstLine="480" w:firstLineChars="200"/>
        <w:rPr>
          <w:rFonts w:ascii="宋体" w:hAnsi="宋体"/>
          <w:sz w:val="24"/>
          <w:szCs w:val="24"/>
        </w:rPr>
      </w:pPr>
      <w:r>
        <w:rPr>
          <w:rFonts w:hint="eastAsia" w:ascii="宋体" w:hAnsi="宋体"/>
          <w:sz w:val="24"/>
          <w:szCs w:val="24"/>
        </w:rPr>
        <w:t>在长期稳定运行状态下，业务应用系统资源占用量稳定，无突发性增长，无慢、卡、顿现象。</w:t>
      </w:r>
    </w:p>
    <w:p>
      <w:pPr>
        <w:snapToGrid w:val="0"/>
        <w:spacing w:line="360" w:lineRule="auto"/>
        <w:ind w:firstLine="480" w:firstLineChars="200"/>
        <w:rPr>
          <w:rFonts w:ascii="宋体" w:hAnsi="宋体"/>
          <w:sz w:val="24"/>
          <w:szCs w:val="24"/>
        </w:rPr>
      </w:pPr>
      <w:r>
        <w:rPr>
          <w:rFonts w:hint="eastAsia" w:ascii="宋体" w:hAnsi="宋体"/>
          <w:sz w:val="24"/>
          <w:szCs w:val="24"/>
        </w:rPr>
        <w:t>系统应保证在正常情况下和极端情况下业务逻辑的正确性。包括无单点故障，系统应不受任何单点故障的影响；系统应能够在一小时内从故障中恢复；建立硬件、数据库集群、应用服务器集群，Web服务器集群等多项冗余提高可靠性，故障时能够快速接管，保证访问的可靠性。</w:t>
      </w:r>
    </w:p>
    <w:p>
      <w:pPr>
        <w:pStyle w:val="4"/>
        <w:rPr>
          <w:b w:val="0"/>
          <w:bCs w:val="0"/>
        </w:rPr>
      </w:pPr>
      <w:r>
        <w:rPr>
          <w:rFonts w:hint="eastAsia"/>
        </w:rPr>
        <w:t>（五）可维护性</w:t>
      </w:r>
    </w:p>
    <w:p>
      <w:pPr>
        <w:snapToGrid w:val="0"/>
        <w:spacing w:line="360" w:lineRule="auto"/>
        <w:ind w:firstLine="480" w:firstLineChars="200"/>
        <w:rPr>
          <w:rFonts w:ascii="宋体" w:hAnsi="宋体"/>
          <w:sz w:val="24"/>
          <w:szCs w:val="24"/>
        </w:rPr>
      </w:pPr>
      <w:r>
        <w:rPr>
          <w:rFonts w:hint="eastAsia" w:ascii="宋体" w:hAnsi="宋体"/>
          <w:sz w:val="24"/>
          <w:szCs w:val="24"/>
        </w:rPr>
        <w:t>支持逐步应用成熟的商业PaaS平台及容器化管理工具等，对微服务进行全生命周期管理，实现微服务调度任务化管理，自动编排任务等，切实保障各业务支撑系统可靠、稳定、高效地运行。</w:t>
      </w:r>
    </w:p>
    <w:p>
      <w:pPr>
        <w:pStyle w:val="4"/>
        <w:rPr>
          <w:b w:val="0"/>
          <w:bCs w:val="0"/>
        </w:rPr>
      </w:pPr>
      <w:r>
        <w:rPr>
          <w:rFonts w:hint="eastAsia"/>
        </w:rPr>
        <w:t>（六）性能需求</w:t>
      </w:r>
    </w:p>
    <w:p>
      <w:pPr>
        <w:snapToGrid w:val="0"/>
        <w:spacing w:line="360" w:lineRule="auto"/>
        <w:ind w:firstLine="480" w:firstLineChars="200"/>
        <w:rPr>
          <w:rFonts w:ascii="宋体" w:hAnsi="宋体"/>
          <w:sz w:val="24"/>
          <w:szCs w:val="24"/>
        </w:rPr>
      </w:pPr>
      <w:r>
        <w:rPr>
          <w:rFonts w:hint="eastAsia" w:ascii="宋体" w:hAnsi="宋体"/>
          <w:sz w:val="24"/>
          <w:szCs w:val="24"/>
        </w:rPr>
        <w:t>采用轻量级技术，降低平台运行开销，用户界面跟应用逻辑代码分开，可以根据客户要求随时修改，增强操作响应速度。在合理的硬件资源支撑情况下，满足：</w:t>
      </w:r>
    </w:p>
    <w:p>
      <w:pPr>
        <w:snapToGrid w:val="0"/>
        <w:spacing w:line="360" w:lineRule="auto"/>
        <w:ind w:firstLine="480" w:firstLineChars="200"/>
        <w:rPr>
          <w:rFonts w:ascii="宋体" w:hAnsi="宋体"/>
          <w:sz w:val="24"/>
          <w:szCs w:val="24"/>
        </w:rPr>
      </w:pPr>
      <w:r>
        <w:rPr>
          <w:rFonts w:hint="eastAsia" w:ascii="宋体" w:hAnsi="宋体"/>
          <w:sz w:val="24"/>
          <w:szCs w:val="24"/>
        </w:rPr>
        <w:t>1.日常支持10000 用户以上在线使用，支持1000用户并发使用；</w:t>
      </w:r>
    </w:p>
    <w:p>
      <w:pPr>
        <w:snapToGrid w:val="0"/>
        <w:spacing w:line="360" w:lineRule="auto"/>
        <w:ind w:firstLine="480" w:firstLineChars="200"/>
        <w:rPr>
          <w:rFonts w:ascii="宋体" w:hAnsi="宋体"/>
          <w:sz w:val="24"/>
          <w:szCs w:val="24"/>
        </w:rPr>
      </w:pPr>
      <w:r>
        <w:rPr>
          <w:rFonts w:hint="eastAsia" w:ascii="宋体" w:hAnsi="宋体"/>
          <w:sz w:val="24"/>
          <w:szCs w:val="24"/>
        </w:rPr>
        <w:t>2.响应时间≤1秒，高峰期最大响应时间小于5秒；</w:t>
      </w:r>
    </w:p>
    <w:p>
      <w:pPr>
        <w:snapToGrid w:val="0"/>
        <w:spacing w:line="360" w:lineRule="auto"/>
        <w:ind w:firstLine="480" w:firstLineChars="200"/>
        <w:rPr>
          <w:rFonts w:ascii="宋体" w:hAnsi="宋体"/>
          <w:sz w:val="24"/>
          <w:szCs w:val="24"/>
        </w:rPr>
      </w:pPr>
      <w:r>
        <w:rPr>
          <w:rFonts w:hint="eastAsia" w:ascii="宋体" w:hAnsi="宋体"/>
          <w:sz w:val="24"/>
          <w:szCs w:val="24"/>
        </w:rPr>
        <w:t>3.事务处理操作平均≤2秒；</w:t>
      </w:r>
    </w:p>
    <w:p>
      <w:pPr>
        <w:snapToGrid w:val="0"/>
        <w:spacing w:line="360" w:lineRule="auto"/>
        <w:ind w:firstLine="480" w:firstLineChars="200"/>
        <w:rPr>
          <w:rFonts w:ascii="宋体" w:hAnsi="宋体"/>
          <w:sz w:val="24"/>
          <w:szCs w:val="24"/>
        </w:rPr>
      </w:pPr>
      <w:r>
        <w:rPr>
          <w:rFonts w:hint="eastAsia" w:ascii="宋体" w:hAnsi="宋体"/>
          <w:sz w:val="24"/>
          <w:szCs w:val="24"/>
        </w:rPr>
        <w:t>4.普通应用查询平均≤3秒；</w:t>
      </w:r>
    </w:p>
    <w:p>
      <w:pPr>
        <w:snapToGrid w:val="0"/>
        <w:spacing w:line="360" w:lineRule="auto"/>
        <w:ind w:firstLine="480" w:firstLineChars="200"/>
        <w:rPr>
          <w:rFonts w:ascii="宋体" w:hAnsi="宋体"/>
          <w:sz w:val="24"/>
          <w:szCs w:val="24"/>
        </w:rPr>
      </w:pPr>
      <w:r>
        <w:rPr>
          <w:rFonts w:hint="eastAsia" w:ascii="宋体" w:hAnsi="宋体"/>
          <w:sz w:val="24"/>
          <w:szCs w:val="24"/>
        </w:rPr>
        <w:t>5.统计分析类查询平均≤5秒；</w:t>
      </w:r>
    </w:p>
    <w:p>
      <w:pPr>
        <w:snapToGrid w:val="0"/>
        <w:spacing w:line="360" w:lineRule="auto"/>
        <w:ind w:firstLine="480" w:firstLineChars="200"/>
        <w:rPr>
          <w:rFonts w:ascii="宋体" w:hAnsi="宋体"/>
          <w:sz w:val="24"/>
          <w:szCs w:val="24"/>
        </w:rPr>
      </w:pPr>
      <w:r>
        <w:rPr>
          <w:rFonts w:hint="eastAsia" w:ascii="宋体" w:hAnsi="宋体"/>
          <w:sz w:val="24"/>
          <w:szCs w:val="24"/>
        </w:rPr>
        <w:t>6.业务流转时间不超过5秒；</w:t>
      </w:r>
    </w:p>
    <w:p>
      <w:pPr>
        <w:snapToGrid w:val="0"/>
        <w:spacing w:line="360" w:lineRule="auto"/>
        <w:ind w:firstLine="480" w:firstLineChars="200"/>
        <w:rPr>
          <w:rFonts w:ascii="宋体" w:hAnsi="宋体"/>
          <w:sz w:val="24"/>
          <w:szCs w:val="24"/>
        </w:rPr>
      </w:pPr>
      <w:r>
        <w:rPr>
          <w:rFonts w:hint="eastAsia" w:ascii="宋体" w:hAnsi="宋体"/>
          <w:sz w:val="24"/>
          <w:szCs w:val="24"/>
        </w:rPr>
        <w:t>7.平均日处理能力不低于5万笔（不计批量数据导入）。吞吐量（每月交易量、数据量、高峰期每日交易量、数据量）在保证性能的前提下，系统设计能够满足未来五年的交易高峰量。</w:t>
      </w:r>
    </w:p>
    <w:p>
      <w:pPr>
        <w:pStyle w:val="4"/>
        <w:rPr>
          <w:b w:val="0"/>
          <w:bCs w:val="0"/>
        </w:rPr>
      </w:pPr>
      <w:r>
        <w:rPr>
          <w:rFonts w:hint="eastAsia"/>
        </w:rPr>
        <w:t>（七）自主创新应用需求</w:t>
      </w:r>
    </w:p>
    <w:p>
      <w:pPr>
        <w:snapToGrid w:val="0"/>
        <w:spacing w:line="360" w:lineRule="auto"/>
        <w:ind w:firstLine="480" w:firstLineChars="200"/>
        <w:rPr>
          <w:rFonts w:ascii="宋体" w:hAnsi="宋体"/>
          <w:sz w:val="24"/>
          <w:szCs w:val="24"/>
        </w:rPr>
      </w:pPr>
      <w:r>
        <w:rPr>
          <w:rFonts w:hint="eastAsia" w:ascii="宋体" w:hAnsi="宋体"/>
          <w:sz w:val="24"/>
          <w:szCs w:val="24"/>
        </w:rPr>
        <w:t>根据国家相关政策及文件要求，适时开展自主创新应用，要求系统能够兼顾未来发展趋势，具有支持自主创新的云平台、服务器设备、数据库、中间件、客户端等的能力。</w:t>
      </w:r>
    </w:p>
    <w:p>
      <w:pPr>
        <w:pStyle w:val="2"/>
        <w:rPr>
          <w:rFonts w:ascii="Calibri" w:hAnsi="Calibri"/>
          <w:b/>
          <w:bCs/>
          <w:kern w:val="44"/>
          <w:sz w:val="44"/>
          <w:szCs w:val="44"/>
        </w:rPr>
      </w:pPr>
      <w:r>
        <w:rPr>
          <w:rFonts w:hint="eastAsia" w:ascii="Calibri" w:hAnsi="Calibri"/>
          <w:b/>
          <w:bCs/>
          <w:kern w:val="44"/>
          <w:sz w:val="44"/>
          <w:szCs w:val="44"/>
        </w:rPr>
        <w:t>十三、系统安全要求★</w:t>
      </w:r>
    </w:p>
    <w:p>
      <w:pPr>
        <w:spacing w:line="360" w:lineRule="auto"/>
        <w:ind w:firstLine="480" w:firstLineChars="200"/>
        <w:jc w:val="left"/>
        <w:rPr>
          <w:rFonts w:ascii="宋体" w:hAnsi="宋体"/>
          <w:sz w:val="24"/>
        </w:rPr>
      </w:pPr>
      <w:r>
        <w:rPr>
          <w:rFonts w:hint="eastAsia" w:ascii="宋体" w:hAnsi="宋体"/>
          <w:sz w:val="24"/>
        </w:rPr>
        <w:t>本项目是一个实时的资源型生产系统，对系统数据的保密性、完整性、可用性有较高的可靠性、安全性要求。整个系统的设计、开发、上线必须遵照信息安全等级保护三级的标准进行。</w:t>
      </w:r>
    </w:p>
    <w:p>
      <w:pPr>
        <w:spacing w:line="360" w:lineRule="auto"/>
        <w:ind w:firstLine="480" w:firstLineChars="200"/>
        <w:jc w:val="left"/>
        <w:rPr>
          <w:rFonts w:ascii="宋体" w:hAnsi="宋体"/>
          <w:sz w:val="24"/>
        </w:rPr>
      </w:pPr>
      <w:r>
        <w:rPr>
          <w:rFonts w:hint="eastAsia" w:ascii="宋体" w:hAnsi="宋体"/>
          <w:sz w:val="24"/>
        </w:rPr>
        <w:t>系统的设计、开发、建设时，要充分考虑物理层安全、网络层安全、操作系统安全、内容安全、应用层安全、PKI体系、安全集中管理的衔接，与甲方已部署的防病毒、防火墙、入侵检测、漏洞管理、日志审计、VPN、证书及授权等技术手段顺畅配合，构筑网络纵深防御体系，作好财政核心业务一体化应用系统安全、平稳、高效地运行。</w:t>
      </w:r>
    </w:p>
    <w:p>
      <w:pPr>
        <w:spacing w:line="360" w:lineRule="auto"/>
        <w:ind w:firstLine="480" w:firstLineChars="200"/>
        <w:jc w:val="left"/>
        <w:rPr>
          <w:rFonts w:ascii="宋体" w:hAnsi="宋体"/>
          <w:sz w:val="24"/>
        </w:rPr>
      </w:pPr>
      <w:r>
        <w:rPr>
          <w:rFonts w:hint="eastAsia" w:ascii="宋体" w:hAnsi="宋体"/>
          <w:sz w:val="24"/>
        </w:rPr>
        <w:t>项目建设需综合考虑，确保项目在身份鉴别、安全审计、恶意代码防范、访问控制、通信完整性、通信保密性、软件容错等方面达到信息安全三级等保要求，切实提升财政重要数据在产生、传输（通信）、使用、存储和销毁全生命周期的安全性。在项目开发建设及运行过程中，对等级测评、安全检查等工作中发现的设计、系统、代码等安全问题，必须及时进行整改。</w:t>
      </w:r>
    </w:p>
    <w:p>
      <w:pPr>
        <w:spacing w:line="360" w:lineRule="auto"/>
        <w:ind w:firstLine="480" w:firstLineChars="200"/>
        <w:jc w:val="left"/>
        <w:rPr>
          <w:rFonts w:ascii="宋体" w:hAnsi="宋体"/>
          <w:sz w:val="24"/>
        </w:rPr>
      </w:pPr>
      <w:r>
        <w:rPr>
          <w:rFonts w:hint="eastAsia" w:ascii="宋体" w:hAnsi="宋体"/>
          <w:sz w:val="24"/>
        </w:rPr>
        <w:t>依照三级等保要求，构建符合相应要求的安全计算环境，特别是对恶意代码防范中，采用免受恶意代码攻击的技术措施或主动免疫可信验证机制及时识别入侵和攻击行为，并将其有效阻断。例如在SQL语句的编写中，必须有SQL注入等行为的相应防范。在开发过程中，程序员及项目经理必须有防恶意代码意识和相应的技术水平。项目管理中，需有相应的恶意代码检查机制和措施。</w:t>
      </w:r>
    </w:p>
    <w:p>
      <w:pPr>
        <w:spacing w:line="360" w:lineRule="auto"/>
        <w:ind w:firstLine="480" w:firstLineChars="200"/>
        <w:jc w:val="left"/>
        <w:rPr>
          <w:rFonts w:ascii="宋体" w:hAnsi="宋体"/>
          <w:sz w:val="24"/>
        </w:rPr>
      </w:pPr>
      <w:r>
        <w:rPr>
          <w:rFonts w:hint="eastAsia" w:ascii="宋体" w:hAnsi="宋体"/>
          <w:sz w:val="24"/>
        </w:rPr>
        <w:t>在系统开发、测试、运行过程中，除了遵循三级等保要求，亦要根据《财政应用系统安全开发规范》，严格落实财政应用系统生命周期各阶段（包括：安全需求分析、系统安全设计、系统开发安全、系统安全测试和系统部署上线等阶段）需执行的安全控制及安全任务，加强应用系统的安全性，消除应用系统漏洞隐患，降低安全风险，减少安全事件发生。包括：</w:t>
      </w:r>
    </w:p>
    <w:p>
      <w:pPr>
        <w:spacing w:line="360" w:lineRule="auto"/>
        <w:ind w:firstLine="480" w:firstLineChars="200"/>
        <w:jc w:val="left"/>
        <w:rPr>
          <w:rFonts w:ascii="宋体" w:hAnsi="宋体"/>
          <w:sz w:val="24"/>
        </w:rPr>
      </w:pPr>
      <w:r>
        <w:rPr>
          <w:rFonts w:hint="eastAsia" w:ascii="宋体" w:hAnsi="宋体"/>
          <w:sz w:val="24"/>
        </w:rPr>
        <w:t>（一）在安全需求分析阶段，应按照安全功能调研表进行安全需求分析和功能调研工作，包括身份鉴别、访问控制、安全审计、软件容错、资源控制、数据完整性、数据保密性、数据备份恢复、剩余信息保护和个人信息保护，提出应用系统安全功能、数据和性能安全等方面的安全需求，形成《应用系统安全需求分析报告》。对财政业务逻辑、业务特点等进行深入分析，进一步梳理安全需求,应重点分析应用系统业务逻辑自身带来的数据被篡改或泄露后可能造成的经济损失及其之外的社会重大影响，进而加强应用系统安全性。</w:t>
      </w:r>
    </w:p>
    <w:p>
      <w:pPr>
        <w:spacing w:line="360" w:lineRule="auto"/>
        <w:ind w:firstLine="480" w:firstLineChars="200"/>
        <w:jc w:val="left"/>
        <w:rPr>
          <w:rFonts w:ascii="宋体" w:hAnsi="宋体"/>
          <w:sz w:val="24"/>
        </w:rPr>
      </w:pPr>
      <w:r>
        <w:rPr>
          <w:rFonts w:hint="eastAsia" w:ascii="宋体" w:hAnsi="宋体"/>
          <w:sz w:val="24"/>
        </w:rPr>
        <w:t>（二）在应用系统安全设计阶段，应按照规范开展设计工作，形成《应用系统安全设计报告》，报告内容包括但不限于业务功能、流程介绍、安全需求和安全设计等。</w:t>
      </w:r>
    </w:p>
    <w:p>
      <w:pPr>
        <w:spacing w:line="360" w:lineRule="auto"/>
        <w:ind w:firstLine="480" w:firstLineChars="200"/>
        <w:jc w:val="left"/>
        <w:rPr>
          <w:rFonts w:ascii="宋体" w:hAnsi="宋体"/>
          <w:sz w:val="24"/>
        </w:rPr>
      </w:pPr>
      <w:r>
        <w:rPr>
          <w:rFonts w:hint="eastAsia" w:ascii="宋体" w:hAnsi="宋体"/>
          <w:sz w:val="24"/>
        </w:rPr>
        <w:t>（三）在应用系统编码开发过程中，应根据开发语言、安全功能需求和所面临的安全风险，按照规范开展相关工作，遵循整体输入验证、避免溢出、接口检验、安全调用和规范配置的原则进行编码开发，从代码层减少安全漏洞隐患，提高应用系统安全性。</w:t>
      </w:r>
    </w:p>
    <w:p>
      <w:pPr>
        <w:spacing w:line="360" w:lineRule="auto"/>
        <w:ind w:firstLine="480" w:firstLineChars="200"/>
        <w:jc w:val="left"/>
        <w:rPr>
          <w:rFonts w:ascii="宋体" w:hAnsi="宋体"/>
          <w:sz w:val="24"/>
        </w:rPr>
      </w:pPr>
      <w:r>
        <w:rPr>
          <w:rFonts w:hint="eastAsia" w:ascii="宋体" w:hAnsi="宋体"/>
          <w:sz w:val="24"/>
        </w:rPr>
        <w:t>（四）安全测试工作应包括安全自测与上线前安全检测两部分，安全自测是指应用系统开发完成，软件开发商完成安全自测后，应用系统管理部门根据《应用系统安全需求分析报告》、《应用系统安全设计方案》组织开展源代码安全检测、安全功能测试等自测工作，确保应用系统安全设计与需求的一致性，并根据自测结果形成《应用系统安全自测报告》。应用系统上线前检测是指在应用系统上线运行前合理安排时间对应用系统开展安全检测工作，包括安全漏洞扫描、应用合规性检测、渗透测试、源代码审计、基础支撑环境安全基线检测等形成相关检测报告。应用系统开发商按照检测报告进行整改，待整改完成后进行复测验证，通过复测后方可上线运行，未通过上线前安全检测的应用系统，不能上线运行。</w:t>
      </w:r>
    </w:p>
    <w:p>
      <w:pPr>
        <w:spacing w:line="360" w:lineRule="auto"/>
        <w:ind w:firstLine="480" w:firstLineChars="200"/>
        <w:jc w:val="left"/>
        <w:rPr>
          <w:rFonts w:ascii="宋体" w:hAnsi="宋体"/>
          <w:sz w:val="24"/>
        </w:rPr>
      </w:pPr>
      <w:r>
        <w:rPr>
          <w:rFonts w:hint="eastAsia" w:ascii="宋体" w:hAnsi="宋体"/>
          <w:sz w:val="24"/>
        </w:rPr>
        <w:t>应用系统安全功能自测项包括但不限于：用户管理测试、用户登录测试、渗透性测试、系统管理测试、权限管理测试、访问控制功能测试、审计范围测试、审计信息保护测试、审计功能测试、剩余信息保护测试、通信完整性测试、通信保密性测试、抗抵赖测试、软件容错性测试、源代码审计等。</w:t>
      </w:r>
    </w:p>
    <w:p>
      <w:pPr>
        <w:pStyle w:val="2"/>
        <w:rPr>
          <w:rFonts w:ascii="Cambria" w:hAnsi="Cambria"/>
          <w:b/>
          <w:bCs/>
          <w:kern w:val="2"/>
          <w:sz w:val="28"/>
          <w:szCs w:val="28"/>
        </w:rPr>
      </w:pPr>
      <w:bookmarkStart w:id="20" w:name="_Toc259008492"/>
      <w:r>
        <w:rPr>
          <w:rFonts w:hint="eastAsia" w:ascii="Cambria" w:hAnsi="Cambria"/>
          <w:b/>
          <w:bCs/>
          <w:kern w:val="2"/>
          <w:sz w:val="28"/>
          <w:szCs w:val="28"/>
        </w:rPr>
        <w:t>十四、其他要</w:t>
      </w:r>
      <w:bookmarkEnd w:id="20"/>
      <w:r>
        <w:rPr>
          <w:rFonts w:hint="eastAsia" w:ascii="Cambria" w:hAnsi="Cambria"/>
          <w:b/>
          <w:bCs/>
          <w:kern w:val="2"/>
          <w:sz w:val="28"/>
          <w:szCs w:val="28"/>
        </w:rPr>
        <w:t>求</w:t>
      </w:r>
    </w:p>
    <w:p>
      <w:pPr>
        <w:pStyle w:val="3"/>
        <w:widowControl/>
        <w:tabs>
          <w:tab w:val="left" w:pos="567"/>
        </w:tabs>
        <w:spacing w:line="412" w:lineRule="auto"/>
        <w:rPr>
          <w:rFonts w:ascii="Cambria" w:hAnsi="Cambria"/>
          <w:b/>
          <w:bCs/>
          <w:kern w:val="2"/>
          <w:sz w:val="28"/>
          <w:szCs w:val="28"/>
        </w:rPr>
      </w:pPr>
      <w:bookmarkStart w:id="21" w:name="_Toc405378655"/>
      <w:bookmarkEnd w:id="21"/>
      <w:bookmarkStart w:id="22" w:name="_Toc402788910"/>
      <w:r>
        <w:rPr>
          <w:rFonts w:hint="eastAsia" w:ascii="Cambria" w:hAnsi="Cambria"/>
          <w:b/>
          <w:bCs/>
          <w:kern w:val="2"/>
          <w:sz w:val="28"/>
          <w:szCs w:val="28"/>
        </w:rPr>
        <w:t>（一）开发方式要求</w:t>
      </w:r>
      <w:bookmarkEnd w:id="22"/>
      <w:r>
        <w:rPr>
          <w:rFonts w:hint="eastAsia" w:ascii="Cambria" w:hAnsi="Cambria"/>
          <w:b/>
          <w:bCs/>
          <w:kern w:val="2"/>
          <w:sz w:val="28"/>
          <w:szCs w:val="28"/>
        </w:rPr>
        <w:t>★</w:t>
      </w:r>
    </w:p>
    <w:p>
      <w:pPr>
        <w:pStyle w:val="71"/>
        <w:widowControl/>
        <w:ind w:firstLine="420"/>
        <w:rPr>
          <w:rFonts w:ascii="宋体" w:hAnsi="宋体" w:cs="宋体"/>
          <w:sz w:val="24"/>
          <w:szCs w:val="24"/>
        </w:rPr>
      </w:pPr>
      <w:bookmarkStart w:id="23" w:name="_Toc154393931"/>
      <w:bookmarkEnd w:id="23"/>
      <w:bookmarkStart w:id="24" w:name="_Toc154145258"/>
      <w:bookmarkEnd w:id="24"/>
      <w:bookmarkStart w:id="25" w:name="_Toc155238190"/>
      <w:bookmarkEnd w:id="25"/>
      <w:bookmarkStart w:id="26" w:name="_Toc153868125"/>
      <w:bookmarkEnd w:id="26"/>
      <w:bookmarkStart w:id="27" w:name="_Toc107695015"/>
      <w:bookmarkEnd w:id="27"/>
      <w:bookmarkStart w:id="28" w:name="_Toc259008494"/>
      <w:bookmarkEnd w:id="28"/>
      <w:bookmarkStart w:id="29" w:name="_Toc402788911"/>
      <w:r>
        <w:rPr>
          <w:rFonts w:hint="eastAsia" w:ascii="宋体" w:hAnsi="宋体" w:cs="宋体"/>
          <w:sz w:val="24"/>
          <w:szCs w:val="24"/>
        </w:rPr>
        <w:t>本次系统开发采用现场开发的方式。</w:t>
      </w:r>
      <w:bookmarkEnd w:id="29"/>
      <w:r>
        <w:rPr>
          <w:rFonts w:hint="eastAsia" w:ascii="宋体" w:hAnsi="宋体" w:cs="宋体"/>
          <w:sz w:val="24"/>
          <w:szCs w:val="24"/>
        </w:rPr>
        <w:t>项目不允许转包分包。</w:t>
      </w:r>
    </w:p>
    <w:p>
      <w:pPr>
        <w:pStyle w:val="71"/>
        <w:widowControl/>
        <w:ind w:firstLine="420"/>
        <w:rPr>
          <w:rFonts w:ascii="宋体" w:hAnsi="宋体" w:cs="宋体"/>
          <w:sz w:val="24"/>
          <w:szCs w:val="24"/>
        </w:rPr>
      </w:pPr>
      <w:r>
        <w:rPr>
          <w:rFonts w:hint="eastAsia" w:ascii="宋体" w:hAnsi="宋体" w:cs="宋体"/>
          <w:sz w:val="24"/>
          <w:szCs w:val="24"/>
        </w:rPr>
        <w:t>在系统正式验收前，因政策和制度等因素导致的需求变化，引起需要对软件进行修改、变更累计工作量在项目总工作量的33%以内，视为中标方应承担的项目风险，不视为新增工作量，招标方不再另外支付费用。</w:t>
      </w:r>
    </w:p>
    <w:p>
      <w:pPr>
        <w:pStyle w:val="71"/>
        <w:widowControl/>
        <w:ind w:firstLine="420"/>
        <w:rPr>
          <w:rFonts w:ascii="宋体" w:hAnsi="宋体" w:cs="宋体"/>
          <w:sz w:val="24"/>
          <w:szCs w:val="24"/>
        </w:rPr>
      </w:pPr>
      <w:r>
        <w:rPr>
          <w:rFonts w:hint="eastAsia" w:ascii="宋体" w:hAnsi="宋体" w:cs="宋体"/>
          <w:sz w:val="24"/>
          <w:szCs w:val="24"/>
        </w:rPr>
        <w:t>在开发依据方面，必须严格以招标方需求为准（包括业务需求、技术需求、需求规格说明书），如果有不同意见或建议，可以提交招标方考虑，但必须以招标方认可的需求为准。</w:t>
      </w:r>
    </w:p>
    <w:p>
      <w:pPr>
        <w:pStyle w:val="71"/>
        <w:widowControl/>
        <w:ind w:firstLine="420"/>
        <w:rPr>
          <w:rFonts w:ascii="宋体" w:hAnsi="宋体" w:cs="宋体"/>
          <w:sz w:val="24"/>
          <w:szCs w:val="24"/>
        </w:rPr>
      </w:pPr>
      <w:r>
        <w:rPr>
          <w:rFonts w:hint="eastAsia" w:ascii="宋体" w:hAnsi="宋体" w:cs="宋体"/>
          <w:sz w:val="24"/>
          <w:szCs w:val="24"/>
        </w:rPr>
        <w:t>对招标书、投标书、合同、技术需求、业务需求、需求差异分析等各种文档中存在任何自相矛盾或表述不一致的地方，投标人应在投标前要求招标方澄清。如果投标人未在投标前要求招标方澄清，则在投标人中标之后，对这些不一致之处的理解，以招标方的解释为准。  在沟通配合方面，中标方必须及时响应招标方要求，及时排查解决问题</w:t>
      </w:r>
    </w:p>
    <w:p>
      <w:pPr>
        <w:pStyle w:val="3"/>
        <w:widowControl/>
        <w:tabs>
          <w:tab w:val="left" w:pos="567"/>
        </w:tabs>
        <w:spacing w:line="412" w:lineRule="auto"/>
        <w:rPr>
          <w:rFonts w:ascii="Cambria" w:hAnsi="Cambria"/>
          <w:b/>
          <w:bCs/>
          <w:kern w:val="2"/>
          <w:sz w:val="28"/>
          <w:szCs w:val="28"/>
        </w:rPr>
      </w:pPr>
      <w:bookmarkStart w:id="30" w:name="_Toc405378656"/>
      <w:bookmarkEnd w:id="30"/>
      <w:r>
        <w:rPr>
          <w:rFonts w:hint="eastAsia" w:ascii="Cambria" w:hAnsi="Cambria"/>
          <w:b/>
          <w:bCs/>
          <w:kern w:val="2"/>
          <w:sz w:val="28"/>
          <w:szCs w:val="28"/>
        </w:rPr>
        <w:t>（二）开发、测试环境要求</w:t>
      </w:r>
    </w:p>
    <w:p>
      <w:pPr>
        <w:pStyle w:val="71"/>
        <w:widowControl/>
        <w:ind w:firstLine="420"/>
        <w:rPr>
          <w:rFonts w:ascii="宋体" w:hAnsi="宋体" w:cs="宋体"/>
          <w:sz w:val="24"/>
          <w:szCs w:val="24"/>
        </w:rPr>
      </w:pPr>
      <w:bookmarkStart w:id="31" w:name="_Toc402788912"/>
      <w:bookmarkEnd w:id="31"/>
      <w:r>
        <w:rPr>
          <w:rFonts w:hint="eastAsia" w:ascii="宋体" w:hAnsi="宋体" w:cs="宋体"/>
          <w:sz w:val="24"/>
          <w:szCs w:val="24"/>
        </w:rPr>
        <w:t>各阶段开发、测试所需的基本环境（包括工作环境、网络环境、系统软件、硬件设备等）由招标方指定，由双方各自承担。</w:t>
      </w:r>
    </w:p>
    <w:p>
      <w:pPr>
        <w:pStyle w:val="3"/>
        <w:widowControl/>
        <w:tabs>
          <w:tab w:val="left" w:pos="567"/>
        </w:tabs>
        <w:spacing w:line="412" w:lineRule="auto"/>
        <w:rPr>
          <w:rFonts w:ascii="Cambria" w:hAnsi="Cambria"/>
          <w:b/>
          <w:bCs/>
          <w:kern w:val="2"/>
          <w:sz w:val="28"/>
          <w:szCs w:val="28"/>
        </w:rPr>
      </w:pPr>
      <w:bookmarkStart w:id="32" w:name="_Toc405378657"/>
      <w:bookmarkEnd w:id="32"/>
      <w:r>
        <w:rPr>
          <w:rFonts w:hint="eastAsia" w:ascii="Cambria" w:hAnsi="Cambria"/>
          <w:b/>
          <w:bCs/>
          <w:kern w:val="2"/>
          <w:sz w:val="28"/>
          <w:szCs w:val="28"/>
        </w:rPr>
        <w:t>（三）项目管理要求</w:t>
      </w:r>
    </w:p>
    <w:p>
      <w:pPr>
        <w:pStyle w:val="4"/>
        <w:widowControl/>
        <w:tabs>
          <w:tab w:val="left" w:pos="1080"/>
        </w:tabs>
        <w:spacing w:before="0" w:after="0"/>
        <w:rPr>
          <w:rFonts w:ascii="宋体" w:hAnsi="宋体" w:cs="宋体"/>
          <w:b w:val="0"/>
          <w:bCs w:val="0"/>
          <w:sz w:val="28"/>
          <w:szCs w:val="28"/>
        </w:rPr>
      </w:pPr>
      <w:bookmarkStart w:id="33" w:name="_Toc405378658"/>
      <w:bookmarkEnd w:id="33"/>
      <w:r>
        <w:rPr>
          <w:rFonts w:hint="eastAsia" w:ascii="宋体" w:hAnsi="宋体" w:cs="宋体"/>
          <w:sz w:val="28"/>
          <w:szCs w:val="28"/>
        </w:rPr>
        <w:t>1.投标人投标响应要求</w:t>
      </w:r>
    </w:p>
    <w:p>
      <w:pPr>
        <w:pStyle w:val="71"/>
        <w:widowControl/>
        <w:ind w:firstLine="420"/>
        <w:rPr>
          <w:rFonts w:ascii="宋体" w:hAnsi="宋体" w:cs="宋体"/>
          <w:sz w:val="24"/>
          <w:szCs w:val="24"/>
        </w:rPr>
      </w:pPr>
      <w:bookmarkStart w:id="34" w:name="_Toc402788913"/>
      <w:bookmarkEnd w:id="34"/>
      <w:r>
        <w:rPr>
          <w:rFonts w:hint="eastAsia" w:ascii="宋体" w:hAnsi="宋体" w:cs="宋体"/>
          <w:sz w:val="24"/>
          <w:szCs w:val="24"/>
        </w:rPr>
        <w:t>（1）投标人应就如何制定科学、完整、适合本项目的项目管理规范进行阐述。根据项目特点及应用设计制定严谨、可实施的项目计划。</w:t>
      </w:r>
    </w:p>
    <w:p>
      <w:pPr>
        <w:pStyle w:val="71"/>
        <w:widowControl/>
        <w:ind w:firstLine="420"/>
        <w:rPr>
          <w:rFonts w:ascii="宋体" w:hAnsi="宋体" w:cs="宋体"/>
          <w:sz w:val="24"/>
          <w:szCs w:val="24"/>
        </w:rPr>
      </w:pPr>
      <w:r>
        <w:rPr>
          <w:rFonts w:hint="eastAsia" w:ascii="宋体" w:hAnsi="宋体" w:cs="宋体"/>
          <w:sz w:val="24"/>
          <w:szCs w:val="24"/>
        </w:rPr>
        <w:t>（2）投标人应提交项目组组织架构、人员名单、人员简历和人员资质证书的原件或复印件等材料。提交组织及资源保障方案，组织设置合理有针对性、专业实施人员配备齐全、保障措施全面可实施。</w:t>
      </w:r>
    </w:p>
    <w:p>
      <w:pPr>
        <w:pStyle w:val="71"/>
        <w:widowControl/>
        <w:ind w:firstLine="420"/>
        <w:rPr>
          <w:rFonts w:ascii="宋体" w:hAnsi="宋体" w:cs="宋体"/>
          <w:sz w:val="24"/>
          <w:szCs w:val="24"/>
        </w:rPr>
      </w:pPr>
      <w:r>
        <w:rPr>
          <w:rFonts w:hint="eastAsia" w:ascii="宋体" w:hAnsi="宋体" w:cs="宋体"/>
          <w:sz w:val="24"/>
          <w:szCs w:val="24"/>
        </w:rPr>
        <w:t>（3）投标人应详细说明项目管理工具。</w:t>
      </w:r>
    </w:p>
    <w:p>
      <w:pPr>
        <w:pStyle w:val="71"/>
        <w:widowControl/>
        <w:ind w:firstLine="420"/>
        <w:rPr>
          <w:rFonts w:ascii="宋体" w:hAnsi="宋体" w:cs="宋体"/>
          <w:sz w:val="24"/>
          <w:szCs w:val="24"/>
        </w:rPr>
      </w:pPr>
      <w:r>
        <w:rPr>
          <w:rFonts w:hint="eastAsia" w:ascii="宋体" w:hAnsi="宋体" w:cs="宋体"/>
          <w:sz w:val="24"/>
          <w:szCs w:val="24"/>
        </w:rPr>
        <w:t>（4）投标人应就如何实现需求变更管理进行阐述。</w:t>
      </w:r>
    </w:p>
    <w:p>
      <w:pPr>
        <w:pStyle w:val="71"/>
        <w:widowControl/>
        <w:ind w:firstLine="420"/>
        <w:rPr>
          <w:rFonts w:ascii="宋体" w:hAnsi="宋体" w:cs="宋体"/>
          <w:sz w:val="24"/>
          <w:szCs w:val="24"/>
        </w:rPr>
      </w:pPr>
      <w:r>
        <w:rPr>
          <w:rFonts w:hint="eastAsia" w:ascii="宋体" w:hAnsi="宋体" w:cs="宋体"/>
          <w:sz w:val="24"/>
          <w:szCs w:val="24"/>
        </w:rPr>
        <w:t>（5）投标人应提交版本控制及发布方案，方案合理，针对不同的版本类型制定适合财政组织特点的制度流程，可实施。</w:t>
      </w:r>
    </w:p>
    <w:p>
      <w:pPr>
        <w:pStyle w:val="71"/>
        <w:widowControl/>
        <w:ind w:firstLine="420"/>
        <w:rPr>
          <w:rFonts w:ascii="宋体" w:hAnsi="宋体" w:cs="宋体"/>
          <w:sz w:val="24"/>
          <w:szCs w:val="24"/>
        </w:rPr>
      </w:pPr>
      <w:r>
        <w:rPr>
          <w:rFonts w:hint="eastAsia" w:ascii="宋体" w:hAnsi="宋体" w:cs="宋体"/>
          <w:sz w:val="24"/>
          <w:szCs w:val="24"/>
        </w:rPr>
        <w:t>（6）投标人应分析项目存在的各种风险，阐述应对策略和措施。</w:t>
      </w:r>
    </w:p>
    <w:p>
      <w:pPr>
        <w:pStyle w:val="71"/>
        <w:widowControl/>
        <w:ind w:firstLine="420"/>
        <w:rPr>
          <w:rFonts w:ascii="宋体" w:hAnsi="宋体" w:cs="宋体"/>
          <w:sz w:val="24"/>
          <w:szCs w:val="24"/>
        </w:rPr>
      </w:pPr>
      <w:r>
        <w:rPr>
          <w:rFonts w:hint="eastAsia" w:ascii="宋体" w:hAnsi="宋体" w:cs="宋体"/>
          <w:sz w:val="24"/>
          <w:szCs w:val="24"/>
        </w:rPr>
        <w:t>（7）投标人应阐述项目质量保证措施。</w:t>
      </w:r>
    </w:p>
    <w:p>
      <w:pPr>
        <w:pStyle w:val="4"/>
        <w:widowControl/>
        <w:tabs>
          <w:tab w:val="left" w:pos="1080"/>
        </w:tabs>
        <w:spacing w:before="0" w:after="0"/>
        <w:rPr>
          <w:rFonts w:ascii="宋体" w:hAnsi="宋体" w:cs="宋体"/>
          <w:b w:val="0"/>
          <w:bCs w:val="0"/>
          <w:sz w:val="28"/>
          <w:szCs w:val="28"/>
        </w:rPr>
      </w:pPr>
      <w:bookmarkStart w:id="35" w:name="_Toc276455379"/>
      <w:bookmarkEnd w:id="35"/>
      <w:bookmarkStart w:id="36" w:name="_Toc405378659"/>
      <w:r>
        <w:rPr>
          <w:rFonts w:hint="eastAsia" w:ascii="宋体" w:hAnsi="宋体" w:cs="宋体"/>
          <w:sz w:val="28"/>
          <w:szCs w:val="28"/>
        </w:rPr>
        <w:t>2.项目沟通管理</w:t>
      </w:r>
      <w:bookmarkEnd w:id="36"/>
    </w:p>
    <w:p>
      <w:pPr>
        <w:pStyle w:val="71"/>
        <w:widowControl/>
        <w:ind w:firstLine="420"/>
        <w:rPr>
          <w:rFonts w:ascii="宋体" w:hAnsi="宋体" w:cs="宋体"/>
          <w:sz w:val="24"/>
          <w:szCs w:val="24"/>
        </w:rPr>
      </w:pPr>
      <w:r>
        <w:rPr>
          <w:rFonts w:hint="eastAsia" w:ascii="宋体" w:hAnsi="宋体" w:cs="宋体"/>
          <w:sz w:val="24"/>
          <w:szCs w:val="24"/>
        </w:rPr>
        <w:t>项目实施过程中，中标方须通过建立制度化的沟通渠道等方式，加强与招标方的沟通。</w:t>
      </w:r>
    </w:p>
    <w:p>
      <w:pPr>
        <w:pStyle w:val="71"/>
        <w:widowControl/>
        <w:ind w:firstLine="420"/>
        <w:rPr>
          <w:rFonts w:ascii="宋体" w:hAnsi="宋体" w:cs="宋体"/>
          <w:sz w:val="24"/>
          <w:szCs w:val="24"/>
        </w:rPr>
      </w:pPr>
      <w:r>
        <w:rPr>
          <w:rFonts w:hint="eastAsia" w:ascii="宋体" w:hAnsi="宋体" w:cs="宋体"/>
          <w:sz w:val="24"/>
          <w:szCs w:val="24"/>
        </w:rPr>
        <w:t>首先，中标方须遵守招标方项目管理相关规定，接受招标方项目管理机构和项目负责人的领导，指定负责人与招标方保持沟通和协调。</w:t>
      </w:r>
    </w:p>
    <w:p>
      <w:pPr>
        <w:pStyle w:val="71"/>
        <w:widowControl/>
        <w:ind w:firstLine="420"/>
        <w:rPr>
          <w:rFonts w:ascii="宋体" w:hAnsi="宋体" w:cs="宋体"/>
          <w:sz w:val="24"/>
          <w:szCs w:val="24"/>
        </w:rPr>
      </w:pPr>
      <w:r>
        <w:rPr>
          <w:rFonts w:hint="eastAsia" w:ascii="宋体" w:hAnsi="宋体" w:cs="宋体"/>
          <w:sz w:val="24"/>
          <w:szCs w:val="24"/>
        </w:rPr>
        <w:t>其次，中标方须建立项目例会制度，就项目进展情况、存在的问题、需要协调的主要事项、下一阶段工作计划等与招标方进行适时的沟通协调。</w:t>
      </w:r>
    </w:p>
    <w:p>
      <w:pPr>
        <w:pStyle w:val="4"/>
        <w:widowControl/>
        <w:tabs>
          <w:tab w:val="left" w:pos="1080"/>
        </w:tabs>
        <w:spacing w:before="0" w:after="0"/>
        <w:rPr>
          <w:rFonts w:ascii="宋体" w:hAnsi="宋体" w:cs="宋体"/>
          <w:b w:val="0"/>
          <w:bCs w:val="0"/>
          <w:sz w:val="28"/>
          <w:szCs w:val="28"/>
        </w:rPr>
      </w:pPr>
      <w:bookmarkStart w:id="37" w:name="_Toc276455380"/>
      <w:bookmarkEnd w:id="37"/>
      <w:bookmarkStart w:id="38" w:name="_Toc405378660"/>
      <w:r>
        <w:rPr>
          <w:rFonts w:hint="eastAsia" w:ascii="宋体" w:hAnsi="宋体" w:cs="宋体"/>
          <w:sz w:val="28"/>
          <w:szCs w:val="28"/>
        </w:rPr>
        <w:t>3.项目进度管理</w:t>
      </w:r>
      <w:bookmarkEnd w:id="38"/>
    </w:p>
    <w:p>
      <w:pPr>
        <w:pStyle w:val="71"/>
        <w:widowControl/>
        <w:ind w:firstLine="420"/>
        <w:rPr>
          <w:rFonts w:ascii="宋体" w:hAnsi="宋体" w:cs="宋体"/>
          <w:sz w:val="24"/>
          <w:szCs w:val="24"/>
        </w:rPr>
      </w:pPr>
      <w:r>
        <w:rPr>
          <w:rFonts w:hint="eastAsia" w:ascii="宋体" w:hAnsi="宋体" w:cs="宋体"/>
          <w:sz w:val="24"/>
          <w:szCs w:val="24"/>
        </w:rPr>
        <w:t>（1）中标方须采用科学合理的方法确定进度目标，编制进度计划和资源供应计划，进行进度控制，在与质量、费用目标协调的基础上，实现工期目标。</w:t>
      </w:r>
    </w:p>
    <w:p>
      <w:pPr>
        <w:pStyle w:val="71"/>
        <w:widowControl/>
        <w:ind w:firstLine="420"/>
        <w:rPr>
          <w:rFonts w:ascii="宋体" w:hAnsi="宋体" w:cs="宋体"/>
          <w:sz w:val="24"/>
          <w:szCs w:val="24"/>
        </w:rPr>
      </w:pPr>
      <w:r>
        <w:rPr>
          <w:rFonts w:hint="eastAsia" w:ascii="宋体" w:hAnsi="宋体" w:cs="宋体"/>
          <w:sz w:val="24"/>
          <w:szCs w:val="24"/>
        </w:rPr>
        <w:t>（2）中标通知书下达后一个月内，中标方须向招标方提供详细、可行的实施方案，并做好项目实施的准备工作。项目进度要求以合同约定为准。</w:t>
      </w:r>
    </w:p>
    <w:p>
      <w:pPr>
        <w:pStyle w:val="71"/>
        <w:widowControl/>
        <w:ind w:firstLine="420"/>
        <w:rPr>
          <w:rFonts w:ascii="宋体" w:hAnsi="宋体" w:cs="宋体"/>
          <w:sz w:val="24"/>
          <w:szCs w:val="24"/>
        </w:rPr>
      </w:pPr>
      <w:r>
        <w:rPr>
          <w:rFonts w:hint="eastAsia" w:ascii="宋体" w:hAnsi="宋体" w:cs="宋体"/>
          <w:sz w:val="24"/>
          <w:szCs w:val="24"/>
        </w:rPr>
        <w:t>（3）中标方应按招标方要求，制定项目里程碑和进度计划。</w:t>
      </w:r>
    </w:p>
    <w:p>
      <w:pPr>
        <w:pStyle w:val="71"/>
        <w:widowControl/>
        <w:ind w:firstLine="420"/>
        <w:rPr>
          <w:rFonts w:ascii="宋体" w:hAnsi="宋体" w:cs="宋体"/>
          <w:sz w:val="24"/>
          <w:szCs w:val="24"/>
        </w:rPr>
      </w:pPr>
      <w:r>
        <w:rPr>
          <w:rFonts w:hint="eastAsia" w:ascii="宋体" w:hAnsi="宋体" w:cs="宋体"/>
          <w:sz w:val="24"/>
          <w:szCs w:val="24"/>
        </w:rPr>
        <w:t>（4）中标方制定的进度计划应细化到每个底层任务的工期不超过5个工作日。</w:t>
      </w:r>
    </w:p>
    <w:p>
      <w:pPr>
        <w:pStyle w:val="71"/>
        <w:widowControl/>
        <w:ind w:firstLine="420"/>
        <w:rPr>
          <w:rFonts w:ascii="宋体" w:hAnsi="宋体" w:cs="宋体"/>
          <w:sz w:val="24"/>
          <w:szCs w:val="24"/>
        </w:rPr>
      </w:pPr>
      <w:r>
        <w:rPr>
          <w:rFonts w:hint="eastAsia" w:ascii="宋体" w:hAnsi="宋体" w:cs="宋体"/>
          <w:sz w:val="24"/>
          <w:szCs w:val="24"/>
        </w:rPr>
        <w:t xml:space="preserve">（5）中标方应每周提交项目进度周报，更新详细进度计划。   </w:t>
      </w:r>
    </w:p>
    <w:p>
      <w:pPr>
        <w:pStyle w:val="4"/>
        <w:widowControl/>
        <w:tabs>
          <w:tab w:val="left" w:pos="1080"/>
        </w:tabs>
        <w:spacing w:before="0" w:after="0"/>
        <w:rPr>
          <w:rFonts w:ascii="宋体" w:hAnsi="宋体" w:cs="宋体"/>
          <w:b w:val="0"/>
          <w:bCs w:val="0"/>
          <w:sz w:val="28"/>
          <w:szCs w:val="28"/>
        </w:rPr>
      </w:pPr>
      <w:bookmarkStart w:id="39" w:name="_Toc405378661"/>
      <w:bookmarkEnd w:id="39"/>
      <w:r>
        <w:rPr>
          <w:rFonts w:hint="eastAsia" w:ascii="宋体" w:hAnsi="宋体" w:cs="宋体"/>
          <w:sz w:val="28"/>
          <w:szCs w:val="28"/>
        </w:rPr>
        <w:t>4.风险和问题管理要求</w:t>
      </w:r>
    </w:p>
    <w:p>
      <w:pPr>
        <w:pStyle w:val="71"/>
        <w:widowControl/>
        <w:ind w:firstLine="420"/>
        <w:rPr>
          <w:rFonts w:ascii="宋体" w:hAnsi="宋体" w:cs="宋体"/>
          <w:sz w:val="24"/>
          <w:szCs w:val="24"/>
        </w:rPr>
      </w:pPr>
      <w:r>
        <w:rPr>
          <w:rFonts w:hint="eastAsia" w:ascii="宋体" w:hAnsi="宋体" w:cs="宋体"/>
          <w:sz w:val="24"/>
          <w:szCs w:val="24"/>
        </w:rPr>
        <w:t>（1）中标方应对项目风险从识别到分析到应对措施提出完备的可行性方案，针对已出现的各类问题，中标方要制定有针对性的问题管理流程，保证问题顺利解决。</w:t>
      </w:r>
    </w:p>
    <w:p>
      <w:pPr>
        <w:pStyle w:val="71"/>
        <w:widowControl/>
        <w:ind w:firstLine="420"/>
        <w:rPr>
          <w:rFonts w:ascii="宋体" w:hAnsi="宋体" w:cs="宋体"/>
          <w:sz w:val="24"/>
          <w:szCs w:val="24"/>
        </w:rPr>
      </w:pPr>
      <w:r>
        <w:rPr>
          <w:rFonts w:hint="eastAsia" w:ascii="宋体" w:hAnsi="宋体" w:cs="宋体"/>
          <w:sz w:val="24"/>
          <w:szCs w:val="24"/>
        </w:rPr>
        <w:t>（2）中标方应制定跨项目问题解决中对可能出现的争议和冲突进行协调和解决的方案。</w:t>
      </w:r>
    </w:p>
    <w:p>
      <w:pPr>
        <w:pStyle w:val="71"/>
        <w:widowControl/>
        <w:ind w:firstLine="420"/>
        <w:rPr>
          <w:rFonts w:ascii="宋体" w:hAnsi="宋体" w:cs="宋体"/>
          <w:sz w:val="24"/>
          <w:szCs w:val="24"/>
        </w:rPr>
      </w:pPr>
      <w:r>
        <w:rPr>
          <w:rFonts w:hint="eastAsia" w:ascii="宋体" w:hAnsi="宋体" w:cs="宋体"/>
          <w:sz w:val="24"/>
          <w:szCs w:val="24"/>
        </w:rPr>
        <w:t>（3）中标方必须指定风险和问题负责人；制订和执行问题分析计划，监控和更新问题状态；</w:t>
      </w:r>
    </w:p>
    <w:p>
      <w:pPr>
        <w:pStyle w:val="71"/>
        <w:widowControl/>
        <w:ind w:firstLine="420"/>
        <w:rPr>
          <w:rFonts w:ascii="宋体" w:hAnsi="宋体" w:cs="宋体"/>
          <w:sz w:val="24"/>
          <w:szCs w:val="24"/>
        </w:rPr>
      </w:pPr>
      <w:r>
        <w:rPr>
          <w:rFonts w:hint="eastAsia" w:ascii="宋体" w:hAnsi="宋体" w:cs="宋体"/>
          <w:sz w:val="24"/>
          <w:szCs w:val="24"/>
        </w:rPr>
        <w:t>（4）中标方必须及时发现、处理项目执行过程中的风险和问题，向招标方汇报无法处理的风险和问题；</w:t>
      </w:r>
    </w:p>
    <w:p>
      <w:pPr>
        <w:pStyle w:val="71"/>
        <w:widowControl/>
        <w:ind w:firstLine="420"/>
        <w:rPr>
          <w:rFonts w:ascii="宋体" w:hAnsi="宋体" w:cs="宋体"/>
          <w:sz w:val="24"/>
          <w:szCs w:val="24"/>
        </w:rPr>
      </w:pPr>
      <w:r>
        <w:rPr>
          <w:rFonts w:hint="eastAsia" w:ascii="宋体" w:hAnsi="宋体" w:cs="宋体"/>
          <w:sz w:val="24"/>
          <w:szCs w:val="24"/>
        </w:rPr>
        <w:t>（5）中标方应定期汇总工程风险和问题，持续跟踪直至风险和问题关闭。</w:t>
      </w:r>
    </w:p>
    <w:p>
      <w:pPr>
        <w:pStyle w:val="4"/>
        <w:widowControl/>
        <w:tabs>
          <w:tab w:val="left" w:pos="1080"/>
        </w:tabs>
        <w:spacing w:before="0" w:after="0"/>
        <w:rPr>
          <w:rFonts w:ascii="宋体" w:hAnsi="宋体" w:cs="宋体"/>
          <w:b w:val="0"/>
          <w:bCs w:val="0"/>
          <w:sz w:val="28"/>
          <w:szCs w:val="28"/>
        </w:rPr>
      </w:pPr>
      <w:bookmarkStart w:id="40" w:name="_Toc405378662"/>
      <w:bookmarkEnd w:id="40"/>
      <w:r>
        <w:rPr>
          <w:rFonts w:hint="eastAsia" w:ascii="宋体" w:hAnsi="宋体" w:cs="宋体"/>
          <w:sz w:val="28"/>
          <w:szCs w:val="28"/>
        </w:rPr>
        <w:t>5.变更管理要求</w:t>
      </w:r>
    </w:p>
    <w:p>
      <w:pPr>
        <w:pStyle w:val="71"/>
        <w:widowControl/>
        <w:ind w:firstLine="420"/>
        <w:rPr>
          <w:rFonts w:ascii="宋体" w:hAnsi="宋体" w:cs="宋体"/>
          <w:sz w:val="24"/>
          <w:szCs w:val="24"/>
        </w:rPr>
      </w:pPr>
      <w:r>
        <w:rPr>
          <w:rFonts w:hint="eastAsia" w:ascii="宋体" w:hAnsi="宋体" w:cs="宋体"/>
          <w:sz w:val="24"/>
          <w:szCs w:val="24"/>
        </w:rPr>
        <w:t>变更类型主要包括:范围变更、业务需求变更、技术架构变更、进度变更、交付物变更。中标方应对变更进行有序控制，至少满足以下要求：</w:t>
      </w:r>
    </w:p>
    <w:p>
      <w:pPr>
        <w:pStyle w:val="71"/>
        <w:widowControl/>
        <w:ind w:firstLine="420"/>
        <w:rPr>
          <w:rFonts w:ascii="宋体" w:hAnsi="宋体" w:cs="宋体"/>
          <w:sz w:val="24"/>
          <w:szCs w:val="24"/>
        </w:rPr>
      </w:pPr>
      <w:r>
        <w:rPr>
          <w:rFonts w:hint="eastAsia" w:ascii="宋体" w:hAnsi="宋体" w:cs="宋体"/>
          <w:sz w:val="24"/>
          <w:szCs w:val="24"/>
        </w:rPr>
        <w:t>（1）中标方应制定招标方认可的变更管理规范。</w:t>
      </w:r>
    </w:p>
    <w:p>
      <w:pPr>
        <w:pStyle w:val="71"/>
        <w:widowControl/>
        <w:ind w:firstLine="420"/>
        <w:rPr>
          <w:rFonts w:ascii="宋体" w:hAnsi="宋体" w:cs="宋体"/>
          <w:sz w:val="24"/>
          <w:szCs w:val="24"/>
        </w:rPr>
      </w:pPr>
      <w:r>
        <w:rPr>
          <w:rFonts w:hint="eastAsia" w:ascii="宋体" w:hAnsi="宋体" w:cs="宋体"/>
          <w:sz w:val="24"/>
          <w:szCs w:val="24"/>
        </w:rPr>
        <w:t>（2）项目变更时，首先需要对变更的影响和范围进行评估，并评估其变更对其他相关项目的影响，经招标方确认后方可实施变更。</w:t>
      </w:r>
    </w:p>
    <w:p>
      <w:pPr>
        <w:pStyle w:val="71"/>
        <w:widowControl/>
        <w:ind w:firstLine="420"/>
        <w:rPr>
          <w:rFonts w:ascii="宋体" w:hAnsi="宋体" w:cs="宋体"/>
          <w:sz w:val="24"/>
          <w:szCs w:val="24"/>
        </w:rPr>
      </w:pPr>
      <w:r>
        <w:rPr>
          <w:rFonts w:hint="eastAsia" w:ascii="宋体" w:hAnsi="宋体" w:cs="宋体"/>
          <w:sz w:val="24"/>
          <w:szCs w:val="24"/>
        </w:rPr>
        <w:t>（3）中标方应确保对受影响的交付物按照新基准进行相应调整。</w:t>
      </w:r>
    </w:p>
    <w:p>
      <w:pPr>
        <w:pStyle w:val="71"/>
        <w:widowControl/>
        <w:ind w:firstLine="420"/>
        <w:rPr>
          <w:rFonts w:ascii="宋体" w:hAnsi="宋体" w:cs="宋体"/>
          <w:sz w:val="24"/>
          <w:szCs w:val="24"/>
        </w:rPr>
      </w:pPr>
      <w:r>
        <w:rPr>
          <w:rFonts w:hint="eastAsia" w:ascii="宋体" w:hAnsi="宋体" w:cs="宋体"/>
          <w:sz w:val="24"/>
          <w:szCs w:val="24"/>
        </w:rPr>
        <w:t>（4）项目终验前，在项目总工作量33%以内，招标方要求发生的变更，中标方应无条件接受,招标方不对此额外付费。</w:t>
      </w:r>
    </w:p>
    <w:p>
      <w:pPr>
        <w:pStyle w:val="4"/>
        <w:widowControl/>
        <w:tabs>
          <w:tab w:val="left" w:pos="1080"/>
        </w:tabs>
        <w:spacing w:before="0" w:after="0"/>
        <w:rPr>
          <w:rFonts w:ascii="宋体" w:hAnsi="宋体" w:cs="宋体"/>
          <w:b w:val="0"/>
          <w:bCs w:val="0"/>
          <w:sz w:val="28"/>
          <w:szCs w:val="28"/>
        </w:rPr>
      </w:pPr>
      <w:bookmarkStart w:id="41" w:name="_Toc405378663"/>
      <w:bookmarkEnd w:id="41"/>
      <w:r>
        <w:rPr>
          <w:rFonts w:hint="eastAsia" w:ascii="宋体" w:hAnsi="宋体" w:cs="宋体"/>
          <w:sz w:val="28"/>
          <w:szCs w:val="28"/>
        </w:rPr>
        <w:t>6.软件版本管理要求</w:t>
      </w:r>
    </w:p>
    <w:p>
      <w:pPr>
        <w:pStyle w:val="71"/>
        <w:widowControl/>
        <w:ind w:firstLine="420"/>
        <w:rPr>
          <w:rFonts w:ascii="宋体" w:hAnsi="宋体" w:cs="宋体"/>
          <w:sz w:val="24"/>
          <w:szCs w:val="24"/>
        </w:rPr>
      </w:pPr>
      <w:r>
        <w:rPr>
          <w:rFonts w:hint="eastAsia" w:ascii="宋体" w:hAnsi="宋体" w:cs="宋体"/>
          <w:sz w:val="24"/>
          <w:szCs w:val="24"/>
        </w:rPr>
        <w:t>软件版本管理至少应满足以下要求：</w:t>
      </w:r>
    </w:p>
    <w:p>
      <w:pPr>
        <w:pStyle w:val="71"/>
        <w:widowControl/>
        <w:ind w:firstLine="420"/>
        <w:rPr>
          <w:rFonts w:ascii="宋体" w:hAnsi="宋体" w:cs="宋体"/>
          <w:sz w:val="24"/>
          <w:szCs w:val="24"/>
        </w:rPr>
      </w:pPr>
      <w:r>
        <w:rPr>
          <w:rFonts w:hint="eastAsia" w:ascii="宋体" w:hAnsi="宋体" w:cs="宋体"/>
          <w:sz w:val="24"/>
          <w:szCs w:val="24"/>
        </w:rPr>
        <w:t>（1）中标方应制定软件版本管理规范；</w:t>
      </w:r>
    </w:p>
    <w:p>
      <w:pPr>
        <w:pStyle w:val="71"/>
        <w:widowControl/>
        <w:ind w:firstLine="420"/>
        <w:rPr>
          <w:rFonts w:ascii="宋体" w:hAnsi="宋体" w:cs="宋体"/>
          <w:sz w:val="24"/>
          <w:szCs w:val="24"/>
        </w:rPr>
      </w:pPr>
      <w:r>
        <w:rPr>
          <w:rFonts w:hint="eastAsia" w:ascii="宋体" w:hAnsi="宋体" w:cs="宋体"/>
          <w:sz w:val="24"/>
          <w:szCs w:val="24"/>
        </w:rPr>
        <w:t>（2）中标方应建立软件版本控制制度，至少包括：系统升级时的版本管理、补丁管理；明确当前补丁是否包括前期的所有补丁，还是递增的补丁；统一项目的版本号等。如果系统升级影响到其他项目，应提前通知招标方协调其他项目进行相应调整；</w:t>
      </w:r>
    </w:p>
    <w:p>
      <w:pPr>
        <w:pStyle w:val="71"/>
        <w:widowControl/>
        <w:ind w:firstLine="420"/>
        <w:rPr>
          <w:rFonts w:ascii="宋体" w:hAnsi="宋体" w:cs="宋体"/>
          <w:sz w:val="28"/>
          <w:szCs w:val="28"/>
        </w:rPr>
      </w:pPr>
      <w:r>
        <w:rPr>
          <w:rFonts w:hint="eastAsia" w:ascii="宋体" w:hAnsi="宋体" w:cs="宋体"/>
          <w:sz w:val="24"/>
          <w:szCs w:val="24"/>
        </w:rPr>
        <w:t>（3）中标方应提供具体版本控制的措施和方案。</w:t>
      </w:r>
    </w:p>
    <w:p>
      <w:pPr>
        <w:pStyle w:val="4"/>
        <w:widowControl/>
        <w:tabs>
          <w:tab w:val="left" w:pos="1080"/>
        </w:tabs>
        <w:spacing w:before="0" w:after="0"/>
        <w:rPr>
          <w:rFonts w:ascii="宋体" w:hAnsi="宋体" w:cs="宋体"/>
          <w:b w:val="0"/>
          <w:bCs w:val="0"/>
          <w:sz w:val="28"/>
          <w:szCs w:val="28"/>
        </w:rPr>
      </w:pPr>
      <w:bookmarkStart w:id="42" w:name="_Toc405378664"/>
      <w:bookmarkEnd w:id="42"/>
      <w:r>
        <w:rPr>
          <w:rFonts w:hint="eastAsia" w:ascii="宋体" w:hAnsi="宋体" w:cs="宋体"/>
          <w:sz w:val="28"/>
          <w:szCs w:val="28"/>
        </w:rPr>
        <w:t>7.主要交付成果物</w:t>
      </w:r>
    </w:p>
    <w:p>
      <w:pPr>
        <w:pStyle w:val="71"/>
        <w:widowControl/>
        <w:ind w:firstLine="420"/>
        <w:rPr>
          <w:rFonts w:ascii="宋体" w:hAnsi="宋体" w:cs="宋体"/>
          <w:sz w:val="24"/>
          <w:szCs w:val="24"/>
        </w:rPr>
      </w:pPr>
      <w:r>
        <w:rPr>
          <w:rFonts w:hint="eastAsia" w:ascii="宋体" w:hAnsi="宋体" w:cs="宋体"/>
          <w:sz w:val="24"/>
          <w:szCs w:val="24"/>
        </w:rPr>
        <w:t>宁波市财政局将从软件系统的实际操作、项目过程控制文档、分析设计文档、分析设计模型，阅读源代码等方面入手对交付成果物进行过程控制和审核。</w:t>
      </w:r>
    </w:p>
    <w:p>
      <w:pPr>
        <w:widowControl/>
        <w:spacing w:line="360" w:lineRule="auto"/>
        <w:ind w:firstLine="480" w:firstLineChars="200"/>
        <w:jc w:val="left"/>
        <w:rPr>
          <w:rFonts w:ascii="宋体" w:hAnsi="宋体"/>
          <w:kern w:val="0"/>
          <w:sz w:val="24"/>
          <w:szCs w:val="24"/>
        </w:rPr>
      </w:pPr>
      <w:r>
        <w:rPr>
          <w:rFonts w:hint="eastAsia" w:ascii="宋体" w:hAnsi="宋体"/>
          <w:sz w:val="24"/>
          <w:szCs w:val="24"/>
        </w:rPr>
        <w:t>要求中标</w:t>
      </w:r>
      <w:r>
        <w:rPr>
          <w:rFonts w:hint="eastAsia" w:ascii="宋体" w:hAnsi="宋体"/>
          <w:kern w:val="0"/>
          <w:sz w:val="24"/>
          <w:szCs w:val="24"/>
        </w:rPr>
        <w:t>供应商提交的成果包括并不局限于以下内容：</w:t>
      </w:r>
    </w:p>
    <w:p>
      <w:pPr>
        <w:pStyle w:val="71"/>
        <w:widowControl/>
        <w:ind w:firstLine="420"/>
        <w:rPr>
          <w:rFonts w:ascii="宋体" w:hAnsi="宋体" w:cs="宋体"/>
          <w:sz w:val="24"/>
          <w:szCs w:val="24"/>
        </w:rPr>
      </w:pPr>
      <w:r>
        <w:rPr>
          <w:rFonts w:hint="eastAsia" w:ascii="宋体" w:hAnsi="宋体" w:cs="宋体"/>
          <w:sz w:val="24"/>
          <w:szCs w:val="24"/>
        </w:rPr>
        <w:t>（1）需求分析说明书；</w:t>
      </w:r>
    </w:p>
    <w:p>
      <w:pPr>
        <w:pStyle w:val="71"/>
        <w:widowControl/>
        <w:ind w:firstLine="420"/>
        <w:rPr>
          <w:rFonts w:ascii="宋体" w:hAnsi="宋体" w:cs="宋体"/>
          <w:sz w:val="24"/>
          <w:szCs w:val="24"/>
        </w:rPr>
      </w:pPr>
      <w:r>
        <w:rPr>
          <w:rFonts w:hint="eastAsia" w:ascii="宋体" w:hAnsi="宋体" w:cs="宋体"/>
          <w:sz w:val="24"/>
          <w:szCs w:val="24"/>
        </w:rPr>
        <w:t>（2）概要设计说明书；</w:t>
      </w:r>
    </w:p>
    <w:p>
      <w:pPr>
        <w:pStyle w:val="71"/>
        <w:widowControl/>
        <w:ind w:firstLine="420"/>
        <w:rPr>
          <w:rFonts w:ascii="宋体" w:hAnsi="宋体" w:cs="宋体"/>
          <w:sz w:val="24"/>
          <w:szCs w:val="24"/>
        </w:rPr>
      </w:pPr>
      <w:r>
        <w:rPr>
          <w:rFonts w:hint="eastAsia" w:ascii="宋体" w:hAnsi="宋体" w:cs="宋体"/>
          <w:sz w:val="24"/>
          <w:szCs w:val="24"/>
        </w:rPr>
        <w:t>（3）详细设计说明书；</w:t>
      </w:r>
    </w:p>
    <w:p>
      <w:pPr>
        <w:pStyle w:val="71"/>
        <w:widowControl/>
        <w:ind w:firstLine="420"/>
        <w:rPr>
          <w:rFonts w:ascii="宋体" w:hAnsi="宋体" w:cs="宋体"/>
          <w:sz w:val="24"/>
          <w:szCs w:val="24"/>
        </w:rPr>
      </w:pPr>
      <w:r>
        <w:rPr>
          <w:rFonts w:hint="eastAsia" w:ascii="宋体" w:hAnsi="宋体" w:cs="宋体"/>
          <w:sz w:val="24"/>
          <w:szCs w:val="24"/>
        </w:rPr>
        <w:t>（4）测试计划、测试案例、测试报告；</w:t>
      </w:r>
    </w:p>
    <w:p>
      <w:pPr>
        <w:pStyle w:val="71"/>
        <w:widowControl/>
        <w:ind w:firstLine="420"/>
        <w:rPr>
          <w:rFonts w:ascii="宋体" w:hAnsi="宋体" w:cs="宋体"/>
          <w:sz w:val="24"/>
          <w:szCs w:val="24"/>
        </w:rPr>
      </w:pPr>
      <w:r>
        <w:rPr>
          <w:rFonts w:hint="eastAsia" w:ascii="宋体" w:hAnsi="宋体" w:cs="宋体"/>
          <w:sz w:val="24"/>
          <w:szCs w:val="24"/>
        </w:rPr>
        <w:t>（5）数据迁移程序详细设计报告和源码；</w:t>
      </w:r>
    </w:p>
    <w:p>
      <w:pPr>
        <w:pStyle w:val="71"/>
        <w:widowControl/>
        <w:ind w:firstLine="420"/>
        <w:rPr>
          <w:rFonts w:ascii="宋体" w:hAnsi="宋体" w:cs="宋体"/>
          <w:sz w:val="24"/>
          <w:szCs w:val="24"/>
        </w:rPr>
      </w:pPr>
      <w:r>
        <w:rPr>
          <w:rFonts w:hint="eastAsia" w:ascii="宋体" w:hAnsi="宋体" w:cs="宋体"/>
          <w:sz w:val="24"/>
          <w:szCs w:val="24"/>
        </w:rPr>
        <w:t>（6）数据迁移程序测试计划、测试案例、测试报告；</w:t>
      </w:r>
    </w:p>
    <w:p>
      <w:pPr>
        <w:pStyle w:val="71"/>
        <w:widowControl/>
        <w:ind w:firstLine="420"/>
        <w:rPr>
          <w:rFonts w:ascii="宋体" w:hAnsi="宋体" w:cs="宋体"/>
          <w:sz w:val="24"/>
          <w:szCs w:val="24"/>
        </w:rPr>
      </w:pPr>
      <w:r>
        <w:rPr>
          <w:rFonts w:hint="eastAsia" w:ascii="宋体" w:hAnsi="宋体" w:cs="宋体"/>
          <w:sz w:val="24"/>
          <w:szCs w:val="24"/>
        </w:rPr>
        <w:t>（7）数据迁移实施规划报告；</w:t>
      </w:r>
    </w:p>
    <w:p>
      <w:pPr>
        <w:pStyle w:val="71"/>
        <w:widowControl/>
        <w:ind w:firstLine="420"/>
        <w:rPr>
          <w:rFonts w:ascii="宋体" w:hAnsi="宋体" w:cs="宋体"/>
          <w:sz w:val="24"/>
          <w:szCs w:val="24"/>
        </w:rPr>
      </w:pPr>
      <w:r>
        <w:rPr>
          <w:rFonts w:hint="eastAsia" w:ascii="宋体" w:hAnsi="宋体" w:cs="宋体"/>
          <w:sz w:val="24"/>
          <w:szCs w:val="24"/>
        </w:rPr>
        <w:t>（8）可运行的系统；</w:t>
      </w:r>
    </w:p>
    <w:p>
      <w:pPr>
        <w:pStyle w:val="71"/>
        <w:widowControl/>
        <w:ind w:firstLine="420"/>
        <w:rPr>
          <w:rFonts w:ascii="宋体" w:hAnsi="宋体" w:cs="宋体"/>
          <w:sz w:val="24"/>
          <w:szCs w:val="24"/>
        </w:rPr>
      </w:pPr>
      <w:r>
        <w:rPr>
          <w:rFonts w:hint="eastAsia" w:ascii="宋体" w:hAnsi="宋体" w:cs="宋体"/>
          <w:sz w:val="24"/>
          <w:szCs w:val="24"/>
        </w:rPr>
        <w:t>（9）全部源代码和执行码；</w:t>
      </w:r>
    </w:p>
    <w:p>
      <w:pPr>
        <w:pStyle w:val="71"/>
        <w:widowControl/>
        <w:ind w:firstLine="420"/>
        <w:rPr>
          <w:rFonts w:ascii="宋体" w:hAnsi="宋体" w:cs="宋体"/>
          <w:sz w:val="24"/>
          <w:szCs w:val="24"/>
        </w:rPr>
      </w:pPr>
      <w:r>
        <w:rPr>
          <w:rFonts w:hint="eastAsia" w:ascii="宋体" w:hAnsi="宋体" w:cs="宋体"/>
          <w:sz w:val="24"/>
          <w:szCs w:val="24"/>
        </w:rPr>
        <w:t>（10）软件系统使用的全部软件工具的列表；</w:t>
      </w:r>
    </w:p>
    <w:p>
      <w:pPr>
        <w:pStyle w:val="71"/>
        <w:widowControl/>
        <w:ind w:firstLine="420"/>
        <w:rPr>
          <w:rFonts w:ascii="宋体" w:hAnsi="宋体" w:cs="宋体"/>
          <w:sz w:val="24"/>
          <w:szCs w:val="24"/>
        </w:rPr>
      </w:pPr>
      <w:r>
        <w:rPr>
          <w:rFonts w:hint="eastAsia" w:ascii="宋体" w:hAnsi="宋体" w:cs="宋体"/>
          <w:sz w:val="24"/>
          <w:szCs w:val="24"/>
        </w:rPr>
        <w:t>（11）各种培训教材、培训考核试题、培训光盘；</w:t>
      </w:r>
    </w:p>
    <w:p>
      <w:pPr>
        <w:pStyle w:val="71"/>
        <w:widowControl/>
        <w:ind w:firstLine="420"/>
        <w:rPr>
          <w:rFonts w:ascii="宋体" w:hAnsi="宋体" w:cs="宋体"/>
          <w:sz w:val="24"/>
          <w:szCs w:val="24"/>
        </w:rPr>
      </w:pPr>
      <w:r>
        <w:rPr>
          <w:rFonts w:hint="eastAsia" w:ascii="宋体" w:hAnsi="宋体" w:cs="宋体"/>
          <w:sz w:val="24"/>
          <w:szCs w:val="24"/>
        </w:rPr>
        <w:t>（12）发布说明；</w:t>
      </w:r>
    </w:p>
    <w:p>
      <w:pPr>
        <w:pStyle w:val="71"/>
        <w:widowControl/>
        <w:ind w:firstLine="420"/>
        <w:rPr>
          <w:rFonts w:ascii="宋体" w:hAnsi="宋体" w:cs="宋体"/>
          <w:sz w:val="24"/>
          <w:szCs w:val="24"/>
        </w:rPr>
      </w:pPr>
      <w:r>
        <w:rPr>
          <w:rFonts w:hint="eastAsia" w:ascii="宋体" w:hAnsi="宋体" w:cs="宋体"/>
          <w:sz w:val="24"/>
          <w:szCs w:val="24"/>
        </w:rPr>
        <w:t>（13）部署材料清单；</w:t>
      </w:r>
    </w:p>
    <w:p>
      <w:pPr>
        <w:pStyle w:val="71"/>
        <w:widowControl/>
        <w:ind w:firstLine="420"/>
        <w:rPr>
          <w:rFonts w:ascii="宋体" w:hAnsi="宋体" w:cs="宋体"/>
          <w:sz w:val="24"/>
          <w:szCs w:val="24"/>
        </w:rPr>
      </w:pPr>
      <w:r>
        <w:rPr>
          <w:rFonts w:hint="eastAsia" w:ascii="宋体" w:hAnsi="宋体" w:cs="宋体"/>
          <w:sz w:val="24"/>
          <w:szCs w:val="24"/>
        </w:rPr>
        <w:t>（14）系统安装手册（包括开发过程环境设置）；</w:t>
      </w:r>
    </w:p>
    <w:p>
      <w:pPr>
        <w:pStyle w:val="71"/>
        <w:widowControl/>
        <w:ind w:firstLine="420"/>
        <w:rPr>
          <w:rFonts w:ascii="宋体" w:hAnsi="宋体" w:cs="宋体"/>
          <w:sz w:val="24"/>
          <w:szCs w:val="24"/>
        </w:rPr>
      </w:pPr>
      <w:r>
        <w:rPr>
          <w:rFonts w:hint="eastAsia" w:ascii="宋体" w:hAnsi="宋体" w:cs="宋体"/>
          <w:sz w:val="24"/>
          <w:szCs w:val="24"/>
        </w:rPr>
        <w:t>（15）系统维护手册。</w:t>
      </w:r>
    </w:p>
    <w:p>
      <w:pPr>
        <w:pStyle w:val="3"/>
        <w:widowControl/>
        <w:tabs>
          <w:tab w:val="left" w:pos="567"/>
        </w:tabs>
        <w:spacing w:line="412" w:lineRule="auto"/>
        <w:rPr>
          <w:rFonts w:ascii="宋体" w:hAnsi="宋体" w:cs="宋体"/>
          <w:b/>
          <w:bCs/>
          <w:kern w:val="2"/>
          <w:sz w:val="28"/>
          <w:szCs w:val="28"/>
        </w:rPr>
      </w:pPr>
      <w:bookmarkStart w:id="43" w:name="_Toc405378665"/>
      <w:bookmarkEnd w:id="43"/>
      <w:r>
        <w:rPr>
          <w:rFonts w:hint="eastAsia" w:ascii="宋体" w:hAnsi="宋体" w:cs="宋体"/>
          <w:b/>
          <w:bCs/>
          <w:kern w:val="2"/>
          <w:sz w:val="28"/>
          <w:szCs w:val="28"/>
        </w:rPr>
        <w:t>（四）项目团队要求</w:t>
      </w:r>
    </w:p>
    <w:p>
      <w:pPr>
        <w:spacing w:line="360" w:lineRule="auto"/>
        <w:ind w:firstLine="480" w:firstLineChars="200"/>
        <w:rPr>
          <w:rFonts w:ascii="宋体" w:hAnsi="宋体"/>
          <w:sz w:val="24"/>
          <w:szCs w:val="24"/>
        </w:rPr>
      </w:pPr>
      <w:r>
        <w:rPr>
          <w:rFonts w:hint="eastAsia" w:ascii="宋体" w:hAnsi="宋体"/>
          <w:sz w:val="24"/>
          <w:szCs w:val="24"/>
        </w:rPr>
        <w:t>组建至少40人以上现场开发、维护和实施团队。</w:t>
      </w:r>
    </w:p>
    <w:p>
      <w:pPr>
        <w:spacing w:line="360" w:lineRule="auto"/>
        <w:ind w:firstLine="480" w:firstLineChars="200"/>
        <w:rPr>
          <w:rFonts w:ascii="宋体" w:hAnsi="宋体"/>
          <w:sz w:val="24"/>
          <w:szCs w:val="24"/>
        </w:rPr>
      </w:pPr>
      <w:r>
        <w:rPr>
          <w:rFonts w:hint="eastAsia" w:ascii="宋体" w:hAnsi="宋体"/>
          <w:sz w:val="24"/>
          <w:szCs w:val="24"/>
        </w:rPr>
        <w:t>项目组所有的人员必须遵守岗位职责和各项管理制度；项目组人员应相对稳定；未经招标方同意，不得更换项目经理和技术核心专家。</w:t>
      </w:r>
    </w:p>
    <w:p>
      <w:pPr>
        <w:spacing w:line="360" w:lineRule="auto"/>
        <w:ind w:firstLine="480" w:firstLineChars="200"/>
        <w:rPr>
          <w:rFonts w:ascii="宋体" w:hAnsi="宋体"/>
          <w:sz w:val="24"/>
          <w:szCs w:val="24"/>
        </w:rPr>
      </w:pPr>
      <w:r>
        <w:rPr>
          <w:rFonts w:hint="eastAsia" w:ascii="宋体" w:hAnsi="宋体"/>
          <w:sz w:val="24"/>
          <w:szCs w:val="24"/>
        </w:rPr>
        <w:t>1.在开发、试点和推广阶段，中标方实施人员数量、能力必须符合招标方的要求。</w:t>
      </w:r>
    </w:p>
    <w:p>
      <w:pPr>
        <w:spacing w:line="360" w:lineRule="auto"/>
        <w:ind w:firstLine="480" w:firstLineChars="200"/>
        <w:rPr>
          <w:rFonts w:ascii="宋体" w:hAnsi="宋体"/>
          <w:sz w:val="24"/>
          <w:szCs w:val="24"/>
        </w:rPr>
      </w:pPr>
      <w:r>
        <w:rPr>
          <w:rFonts w:hint="eastAsia" w:ascii="宋体" w:hAnsi="宋体"/>
          <w:sz w:val="24"/>
          <w:szCs w:val="24"/>
        </w:rPr>
        <w:t>2.如果招标方认为中标方在宁波现场的团队成员的水平不足以胜任工作要求的，中标方必须及时更换人员。如果在招标方提出人员更换要求后，中标方符合条件的更换人员未在两周内到位的，视同违约，招标方可以无条件地按每人20万元的标准在合同价款中扣除。</w:t>
      </w:r>
    </w:p>
    <w:p>
      <w:pPr>
        <w:spacing w:line="360" w:lineRule="auto"/>
        <w:ind w:firstLine="480" w:firstLineChars="200"/>
        <w:rPr>
          <w:rFonts w:ascii="宋体" w:hAnsi="宋体"/>
          <w:sz w:val="24"/>
          <w:szCs w:val="24"/>
        </w:rPr>
      </w:pPr>
      <w:r>
        <w:rPr>
          <w:rFonts w:hint="eastAsia" w:ascii="宋体" w:hAnsi="宋体"/>
          <w:sz w:val="24"/>
          <w:szCs w:val="24"/>
        </w:rPr>
        <w:t>3.中标方应保证项目队伍人员充足和人员结构合理，以便于项目顺利进行，并应任命一名全职项目经理。</w:t>
      </w:r>
    </w:p>
    <w:p>
      <w:pPr>
        <w:spacing w:line="360" w:lineRule="auto"/>
        <w:ind w:firstLine="480" w:firstLineChars="200"/>
        <w:rPr>
          <w:rFonts w:ascii="宋体" w:hAnsi="宋体"/>
          <w:sz w:val="24"/>
          <w:szCs w:val="24"/>
        </w:rPr>
      </w:pPr>
      <w:r>
        <w:rPr>
          <w:rFonts w:hint="eastAsia" w:ascii="宋体" w:hAnsi="宋体"/>
          <w:sz w:val="24"/>
          <w:szCs w:val="24"/>
        </w:rPr>
        <w:t>项目经理应具备以下条件：</w:t>
      </w:r>
    </w:p>
    <w:p>
      <w:pPr>
        <w:spacing w:line="360" w:lineRule="auto"/>
        <w:ind w:firstLine="480" w:firstLineChars="200"/>
        <w:rPr>
          <w:rFonts w:ascii="宋体" w:hAnsi="宋体"/>
          <w:sz w:val="24"/>
          <w:szCs w:val="24"/>
        </w:rPr>
      </w:pPr>
      <w:r>
        <w:rPr>
          <w:rFonts w:hint="eastAsia" w:ascii="宋体" w:hAnsi="宋体"/>
          <w:sz w:val="24"/>
          <w:szCs w:val="24"/>
        </w:rPr>
        <w:t>（1）具有10年以上IT项目管理工作经历；</w:t>
      </w:r>
    </w:p>
    <w:p>
      <w:pPr>
        <w:spacing w:line="360" w:lineRule="auto"/>
        <w:ind w:firstLine="480" w:firstLineChars="200"/>
        <w:rPr>
          <w:rFonts w:ascii="宋体" w:hAnsi="宋体"/>
          <w:sz w:val="24"/>
          <w:szCs w:val="24"/>
        </w:rPr>
      </w:pPr>
      <w:r>
        <w:rPr>
          <w:rFonts w:hint="eastAsia" w:ascii="宋体" w:hAnsi="宋体"/>
          <w:sz w:val="24"/>
          <w:szCs w:val="24"/>
        </w:rPr>
        <w:t>（2）具有大型信息系统软件开发项目管理经历；</w:t>
      </w:r>
    </w:p>
    <w:p>
      <w:pPr>
        <w:spacing w:line="360" w:lineRule="auto"/>
        <w:ind w:firstLine="480" w:firstLineChars="200"/>
        <w:rPr>
          <w:rFonts w:ascii="宋体" w:hAnsi="宋体"/>
          <w:sz w:val="24"/>
          <w:szCs w:val="24"/>
        </w:rPr>
      </w:pPr>
      <w:r>
        <w:rPr>
          <w:rFonts w:hint="eastAsia" w:ascii="宋体" w:hAnsi="宋体"/>
          <w:sz w:val="24"/>
          <w:szCs w:val="24"/>
        </w:rPr>
        <w:t>（3）具有优秀的计划、沟通和管理能力；</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熟悉财政业务。</w:t>
      </w:r>
    </w:p>
    <w:p>
      <w:pPr>
        <w:spacing w:line="360" w:lineRule="auto"/>
        <w:ind w:firstLine="480" w:firstLineChars="200"/>
        <w:rPr>
          <w:rFonts w:ascii="宋体" w:hAnsi="宋体"/>
          <w:sz w:val="24"/>
          <w:szCs w:val="24"/>
        </w:rPr>
      </w:pPr>
      <w:r>
        <w:rPr>
          <w:rFonts w:hint="eastAsia" w:ascii="宋体" w:hAnsi="宋体"/>
          <w:sz w:val="24"/>
          <w:szCs w:val="24"/>
        </w:rPr>
        <w:t>4.提交开发团队的成员名单及个人简历，并承诺在开发周期内的稳定。同时说明，系统内部资源的协调和调动方式。</w:t>
      </w:r>
    </w:p>
    <w:p>
      <w:pPr>
        <w:spacing w:line="360" w:lineRule="auto"/>
        <w:ind w:firstLine="480" w:firstLineChars="200"/>
        <w:rPr>
          <w:rFonts w:ascii="宋体" w:hAnsi="宋体"/>
          <w:sz w:val="24"/>
          <w:szCs w:val="24"/>
        </w:rPr>
      </w:pPr>
      <w:r>
        <w:rPr>
          <w:rFonts w:hint="eastAsia" w:ascii="宋体" w:hAnsi="宋体"/>
          <w:sz w:val="24"/>
          <w:szCs w:val="24"/>
        </w:rPr>
        <w:t>5.提交专门的开发计划、质量保证计划、项目实施方案。</w:t>
      </w:r>
    </w:p>
    <w:p>
      <w:pPr>
        <w:spacing w:line="360" w:lineRule="auto"/>
        <w:ind w:firstLine="480" w:firstLineChars="200"/>
        <w:rPr>
          <w:rFonts w:ascii="宋体" w:hAnsi="宋体" w:cs="宋体"/>
          <w:sz w:val="24"/>
          <w:szCs w:val="24"/>
        </w:rPr>
      </w:pPr>
      <w:r>
        <w:rPr>
          <w:rFonts w:hint="eastAsia" w:ascii="宋体" w:hAnsi="宋体" w:cs="宋体"/>
          <w:sz w:val="24"/>
          <w:szCs w:val="24"/>
        </w:rPr>
        <w:t>6.在项目参与人员（包括管理人员、开发人员等）方面，中标方务必确保相关人员的自身能力和工作态度等各个方面能满足项目的要求，对相关人员的选用和考评由招标方共同参与。</w:t>
      </w:r>
    </w:p>
    <w:p>
      <w:pPr>
        <w:spacing w:line="360" w:lineRule="auto"/>
        <w:ind w:firstLine="480" w:firstLineChars="200"/>
        <w:rPr>
          <w:rFonts w:ascii="宋体" w:hAnsi="宋体"/>
          <w:sz w:val="24"/>
          <w:szCs w:val="24"/>
        </w:rPr>
      </w:pPr>
      <w:r>
        <w:rPr>
          <w:rFonts w:hint="eastAsia" w:ascii="宋体" w:hAnsi="宋体" w:cs="宋体"/>
          <w:sz w:val="24"/>
          <w:szCs w:val="24"/>
        </w:rPr>
        <w:t>7.中标方要协助招标方培养系统运维技术力量，提交专门的培养计划和方案。招标方谈判时必须响应。除非不可抗力，保证核心技术人员的稳定，核心开发人员在系统推广应用完成之前，不能变动，整个项目人员的流失率不得超过30%。跟系统维护期内要求一致。</w:t>
      </w:r>
    </w:p>
    <w:p>
      <w:pPr>
        <w:pStyle w:val="3"/>
        <w:widowControl/>
        <w:tabs>
          <w:tab w:val="left" w:pos="567"/>
        </w:tabs>
        <w:spacing w:line="412" w:lineRule="auto"/>
        <w:rPr>
          <w:rFonts w:ascii="宋体" w:hAnsi="宋体" w:cs="宋体"/>
          <w:b/>
          <w:bCs/>
          <w:kern w:val="2"/>
          <w:sz w:val="28"/>
          <w:szCs w:val="28"/>
        </w:rPr>
      </w:pPr>
      <w:bookmarkStart w:id="44" w:name="_Toc402788914"/>
      <w:bookmarkEnd w:id="44"/>
      <w:bookmarkStart w:id="45" w:name="_Toc405378666"/>
      <w:r>
        <w:rPr>
          <w:rFonts w:hint="eastAsia" w:ascii="宋体" w:hAnsi="宋体" w:cs="宋体"/>
          <w:b/>
          <w:bCs/>
          <w:kern w:val="2"/>
          <w:sz w:val="28"/>
          <w:szCs w:val="28"/>
        </w:rPr>
        <w:t>（五）质量控制要求</w:t>
      </w:r>
      <w:bookmarkEnd w:id="45"/>
    </w:p>
    <w:p>
      <w:pPr>
        <w:pStyle w:val="71"/>
        <w:widowControl/>
        <w:ind w:firstLine="420"/>
        <w:rPr>
          <w:rFonts w:ascii="宋体" w:hAnsi="宋体" w:cs="宋体"/>
          <w:sz w:val="24"/>
          <w:szCs w:val="24"/>
        </w:rPr>
      </w:pPr>
      <w:r>
        <w:rPr>
          <w:rFonts w:hint="eastAsia" w:ascii="宋体" w:hAnsi="宋体" w:cs="宋体"/>
          <w:sz w:val="24"/>
          <w:szCs w:val="24"/>
        </w:rPr>
        <w:t>1.项目质量要求</w:t>
      </w:r>
    </w:p>
    <w:p>
      <w:pPr>
        <w:pStyle w:val="71"/>
        <w:widowControl/>
        <w:ind w:firstLine="420"/>
        <w:rPr>
          <w:rFonts w:ascii="宋体" w:hAnsi="宋体" w:cs="宋体"/>
          <w:sz w:val="24"/>
          <w:szCs w:val="24"/>
        </w:rPr>
      </w:pPr>
      <w:r>
        <w:rPr>
          <w:rFonts w:hint="eastAsia" w:ascii="宋体" w:hAnsi="宋体" w:cs="宋体"/>
          <w:sz w:val="24"/>
          <w:szCs w:val="24"/>
        </w:rPr>
        <w:t>（1）中标方应接受招标方的有关软件质量情况的监督，无条件接受招标方的要求和建议，并进行认真整改；</w:t>
      </w:r>
    </w:p>
    <w:p>
      <w:pPr>
        <w:pStyle w:val="71"/>
        <w:widowControl/>
        <w:ind w:firstLine="420"/>
        <w:rPr>
          <w:rFonts w:ascii="宋体" w:hAnsi="宋体" w:cs="宋体"/>
          <w:sz w:val="24"/>
          <w:szCs w:val="24"/>
        </w:rPr>
      </w:pPr>
      <w:r>
        <w:rPr>
          <w:rFonts w:hint="eastAsia" w:ascii="宋体" w:hAnsi="宋体" w:cs="宋体"/>
          <w:sz w:val="24"/>
          <w:szCs w:val="24"/>
        </w:rPr>
        <w:t>（2）中标方应制定项目质量管理制度，明确项目质量管理工作流程及发现、解决质量问题的方法；</w:t>
      </w:r>
    </w:p>
    <w:p>
      <w:pPr>
        <w:pStyle w:val="71"/>
        <w:widowControl/>
        <w:ind w:firstLine="420"/>
        <w:rPr>
          <w:rFonts w:ascii="宋体" w:hAnsi="宋体" w:cs="宋体"/>
          <w:sz w:val="24"/>
          <w:szCs w:val="24"/>
        </w:rPr>
      </w:pPr>
      <w:r>
        <w:rPr>
          <w:rFonts w:hint="eastAsia" w:ascii="宋体" w:hAnsi="宋体" w:cs="宋体"/>
          <w:sz w:val="24"/>
          <w:szCs w:val="24"/>
        </w:rPr>
        <w:t>（3）中标方应根据质量目标层层分解，制定分层次的质量职责，并明确责任人；</w:t>
      </w:r>
    </w:p>
    <w:p>
      <w:pPr>
        <w:pStyle w:val="71"/>
        <w:widowControl/>
        <w:ind w:firstLine="420"/>
        <w:rPr>
          <w:rFonts w:ascii="宋体" w:hAnsi="宋体" w:cs="宋体"/>
          <w:sz w:val="24"/>
          <w:szCs w:val="24"/>
        </w:rPr>
      </w:pPr>
      <w:r>
        <w:rPr>
          <w:rFonts w:hint="eastAsia" w:ascii="宋体" w:hAnsi="宋体" w:cs="宋体"/>
          <w:sz w:val="24"/>
          <w:szCs w:val="24"/>
        </w:rPr>
        <w:t>（4）中标方应明确项目质量目标、质量标准，定期举办质量保障评审会和技术研讨会，提供评估流程以确保软件质量，明确项目产出物的评审，确定评审的方式和时间；</w:t>
      </w:r>
    </w:p>
    <w:p>
      <w:pPr>
        <w:pStyle w:val="71"/>
        <w:widowControl/>
        <w:ind w:firstLine="420"/>
        <w:rPr>
          <w:rFonts w:ascii="宋体" w:hAnsi="宋体" w:cs="宋体"/>
          <w:sz w:val="24"/>
          <w:szCs w:val="24"/>
        </w:rPr>
      </w:pPr>
      <w:r>
        <w:rPr>
          <w:rFonts w:hint="eastAsia" w:ascii="宋体" w:hAnsi="宋体" w:cs="宋体"/>
          <w:sz w:val="24"/>
          <w:szCs w:val="24"/>
        </w:rPr>
        <w:t>2软件质量要求</w:t>
      </w:r>
    </w:p>
    <w:p>
      <w:pPr>
        <w:pStyle w:val="71"/>
        <w:widowControl/>
        <w:ind w:firstLine="420"/>
        <w:rPr>
          <w:rFonts w:ascii="宋体" w:hAnsi="宋体" w:cs="宋体"/>
          <w:sz w:val="24"/>
          <w:szCs w:val="24"/>
        </w:rPr>
      </w:pPr>
      <w:r>
        <w:rPr>
          <w:rFonts w:hint="eastAsia" w:ascii="宋体" w:hAnsi="宋体" w:cs="宋体"/>
          <w:sz w:val="24"/>
          <w:szCs w:val="24"/>
        </w:rPr>
        <w:t>（1）中标方应遵照招标方相关要求和确定的质量模型、度量要求和度量方法，制定软件质量测量计划、建立软件质量测量体系。</w:t>
      </w:r>
    </w:p>
    <w:p>
      <w:pPr>
        <w:pStyle w:val="71"/>
        <w:widowControl/>
        <w:ind w:firstLine="420"/>
        <w:rPr>
          <w:rFonts w:ascii="宋体" w:hAnsi="宋体" w:cs="宋体"/>
          <w:sz w:val="24"/>
          <w:szCs w:val="24"/>
        </w:rPr>
      </w:pPr>
      <w:r>
        <w:rPr>
          <w:rFonts w:hint="eastAsia" w:ascii="宋体" w:hAnsi="宋体" w:cs="宋体"/>
          <w:sz w:val="24"/>
          <w:szCs w:val="24"/>
        </w:rPr>
        <w:t>（2）应用架构设计、数据架构设计、基础设施架构设计、安全架构设计必须遵循财政部技术规范，满足招标方要求。</w:t>
      </w:r>
    </w:p>
    <w:p>
      <w:pPr>
        <w:pStyle w:val="3"/>
        <w:widowControl/>
        <w:tabs>
          <w:tab w:val="left" w:pos="567"/>
        </w:tabs>
        <w:spacing w:line="412" w:lineRule="auto"/>
        <w:rPr>
          <w:rFonts w:ascii="宋体" w:hAnsi="宋体" w:cs="宋体"/>
          <w:b/>
          <w:bCs/>
          <w:kern w:val="2"/>
          <w:sz w:val="28"/>
          <w:szCs w:val="28"/>
        </w:rPr>
      </w:pPr>
      <w:bookmarkStart w:id="46" w:name="_Toc259008496"/>
      <w:bookmarkEnd w:id="46"/>
      <w:bookmarkStart w:id="47" w:name="_Toc154145260"/>
      <w:bookmarkEnd w:id="47"/>
      <w:bookmarkStart w:id="48" w:name="_Toc107695017"/>
      <w:bookmarkEnd w:id="48"/>
      <w:bookmarkStart w:id="49" w:name="_Toc153868127"/>
      <w:bookmarkEnd w:id="49"/>
      <w:bookmarkStart w:id="50" w:name="_Toc402788915"/>
      <w:bookmarkEnd w:id="50"/>
      <w:bookmarkStart w:id="51" w:name="_Toc154393933"/>
      <w:bookmarkEnd w:id="51"/>
      <w:bookmarkStart w:id="52" w:name="_Toc405378667"/>
      <w:bookmarkEnd w:id="52"/>
      <w:bookmarkStart w:id="53" w:name="_Toc155238192"/>
      <w:r>
        <w:rPr>
          <w:rFonts w:hint="eastAsia" w:ascii="宋体" w:hAnsi="宋体" w:cs="宋体"/>
          <w:b/>
          <w:bCs/>
          <w:kern w:val="2"/>
          <w:sz w:val="28"/>
          <w:szCs w:val="28"/>
        </w:rPr>
        <w:t>（六）测试要求★</w:t>
      </w:r>
    </w:p>
    <w:p>
      <w:pPr>
        <w:pStyle w:val="71"/>
        <w:widowControl/>
        <w:ind w:firstLine="420"/>
        <w:rPr>
          <w:rFonts w:ascii="宋体" w:hAnsi="宋体" w:cs="宋体"/>
          <w:sz w:val="24"/>
          <w:szCs w:val="24"/>
        </w:rPr>
      </w:pPr>
      <w:r>
        <w:rPr>
          <w:rFonts w:hint="eastAsia" w:ascii="宋体" w:hAnsi="宋体" w:cs="宋体"/>
          <w:sz w:val="24"/>
          <w:szCs w:val="24"/>
        </w:rPr>
        <w:t>软件测试是保证软件质量、提高软件可靠性的重要手段。为保证本项目的开发质量，中标方必须确保做好各阶段的软件测试工作。对主体业务实现智能化自动测试。根据自动化测试要求，形成自动化测试案例库，完成自动化测试建设。</w:t>
      </w:r>
    </w:p>
    <w:p>
      <w:pPr>
        <w:pStyle w:val="4"/>
        <w:widowControl/>
        <w:tabs>
          <w:tab w:val="left" w:pos="1080"/>
        </w:tabs>
        <w:spacing w:before="0" w:after="0"/>
        <w:rPr>
          <w:rFonts w:ascii="宋体" w:hAnsi="宋体" w:cs="宋体"/>
          <w:b w:val="0"/>
          <w:bCs w:val="0"/>
          <w:sz w:val="28"/>
          <w:szCs w:val="28"/>
        </w:rPr>
      </w:pPr>
      <w:r>
        <w:rPr>
          <w:rFonts w:hint="eastAsia" w:ascii="宋体" w:hAnsi="宋体" w:cs="宋体"/>
          <w:sz w:val="28"/>
          <w:szCs w:val="28"/>
        </w:rPr>
        <w:t>1.投标人投标响应要求</w:t>
      </w:r>
    </w:p>
    <w:p>
      <w:pPr>
        <w:pStyle w:val="71"/>
        <w:widowControl/>
        <w:ind w:firstLine="420"/>
        <w:rPr>
          <w:rFonts w:ascii="宋体" w:hAnsi="宋体" w:cs="宋体"/>
          <w:sz w:val="24"/>
          <w:szCs w:val="24"/>
        </w:rPr>
      </w:pPr>
      <w:r>
        <w:rPr>
          <w:rFonts w:hint="eastAsia" w:ascii="宋体" w:hAnsi="宋体" w:cs="宋体"/>
          <w:sz w:val="24"/>
          <w:szCs w:val="24"/>
        </w:rPr>
        <w:t>（1）投标人应就如何做好本项目的软件测试工作进行阐述，重点对测试组织、测试计划、环境准备、测试过程、测试验证、测试工具、测试知识库、提交物以及投标人认为有必要说明的内容进行描述。</w:t>
      </w:r>
    </w:p>
    <w:p>
      <w:pPr>
        <w:pStyle w:val="71"/>
        <w:widowControl/>
        <w:ind w:firstLine="420"/>
        <w:rPr>
          <w:rFonts w:ascii="宋体" w:hAnsi="宋体" w:cs="宋体"/>
          <w:sz w:val="24"/>
          <w:szCs w:val="24"/>
        </w:rPr>
      </w:pPr>
      <w:r>
        <w:rPr>
          <w:rFonts w:hint="eastAsia" w:ascii="宋体" w:hAnsi="宋体" w:cs="宋体"/>
          <w:sz w:val="24"/>
          <w:szCs w:val="24"/>
        </w:rPr>
        <w:t>（2）投标人应对如何保证和验证各种类型的测试质量进行阐述。</w:t>
      </w:r>
    </w:p>
    <w:p>
      <w:pPr>
        <w:pStyle w:val="71"/>
        <w:widowControl/>
        <w:ind w:firstLine="420"/>
        <w:rPr>
          <w:rFonts w:ascii="宋体" w:hAnsi="宋体" w:cs="宋体"/>
          <w:sz w:val="24"/>
          <w:szCs w:val="24"/>
        </w:rPr>
      </w:pPr>
      <w:r>
        <w:rPr>
          <w:rFonts w:hint="eastAsia" w:ascii="宋体" w:hAnsi="宋体" w:cs="宋体"/>
          <w:sz w:val="24"/>
          <w:szCs w:val="24"/>
        </w:rPr>
        <w:t>（3）投标人应制定并提交本项目测试工作的总体计划和实施方案。</w:t>
      </w:r>
    </w:p>
    <w:p>
      <w:pPr>
        <w:pStyle w:val="71"/>
        <w:widowControl/>
        <w:ind w:firstLine="420"/>
        <w:rPr>
          <w:rFonts w:ascii="宋体" w:hAnsi="宋体" w:cs="宋体"/>
          <w:sz w:val="24"/>
          <w:szCs w:val="24"/>
        </w:rPr>
      </w:pPr>
      <w:r>
        <w:rPr>
          <w:rFonts w:hint="eastAsia" w:ascii="宋体" w:hAnsi="宋体" w:cs="宋体"/>
          <w:sz w:val="24"/>
          <w:szCs w:val="24"/>
        </w:rPr>
        <w:t>（4）投标人应就完成此项工作投入的人力资源状况、测试工具和测试环境等进行说明。</w:t>
      </w:r>
    </w:p>
    <w:p>
      <w:pPr>
        <w:pStyle w:val="4"/>
        <w:widowControl/>
        <w:tabs>
          <w:tab w:val="left" w:pos="1080"/>
        </w:tabs>
        <w:spacing w:before="0" w:after="0"/>
        <w:rPr>
          <w:rFonts w:ascii="宋体" w:hAnsi="宋体" w:cs="宋体"/>
          <w:b w:val="0"/>
          <w:bCs w:val="0"/>
          <w:sz w:val="28"/>
          <w:szCs w:val="28"/>
        </w:rPr>
      </w:pPr>
      <w:r>
        <w:rPr>
          <w:rFonts w:hint="eastAsia" w:ascii="宋体" w:hAnsi="宋体" w:cs="宋体"/>
          <w:sz w:val="28"/>
          <w:szCs w:val="28"/>
        </w:rPr>
        <w:t>2.总体要求</w:t>
      </w:r>
    </w:p>
    <w:p>
      <w:pPr>
        <w:pStyle w:val="71"/>
        <w:widowControl/>
        <w:ind w:firstLine="420"/>
        <w:rPr>
          <w:rFonts w:ascii="宋体" w:hAnsi="宋体" w:cs="宋体"/>
          <w:sz w:val="24"/>
          <w:szCs w:val="24"/>
        </w:rPr>
      </w:pPr>
      <w:r>
        <w:rPr>
          <w:rFonts w:hint="eastAsia" w:ascii="宋体" w:hAnsi="宋体" w:cs="宋体"/>
          <w:sz w:val="24"/>
          <w:szCs w:val="24"/>
        </w:rPr>
        <w:t>（1）本项目全面实施标准和规范化测试。中标方应完成全部业务功能、技术功能、安全功能和各种性能等各类测试的测试用例编写和实际数据采集工作。除非招标方同意，否则所有测试均以客观的测试用例和测试数据为准，不以个人主观判断作为测试标准。随着项目进度和各种变更，中标方应确保测试用例的更新；</w:t>
      </w:r>
    </w:p>
    <w:p>
      <w:pPr>
        <w:pStyle w:val="71"/>
        <w:widowControl/>
        <w:ind w:firstLine="420"/>
        <w:rPr>
          <w:rFonts w:ascii="宋体" w:hAnsi="宋体" w:cs="宋体"/>
          <w:sz w:val="24"/>
          <w:szCs w:val="24"/>
        </w:rPr>
      </w:pPr>
      <w:r>
        <w:rPr>
          <w:rFonts w:hint="eastAsia" w:ascii="宋体" w:hAnsi="宋体" w:cs="宋体"/>
          <w:sz w:val="24"/>
          <w:szCs w:val="24"/>
        </w:rPr>
        <w:t>（2）中标方应根据软件测试过程中的典型性问题、常见性问题和重要性问题建立软件测试知识库。</w:t>
      </w:r>
    </w:p>
    <w:p>
      <w:pPr>
        <w:pStyle w:val="71"/>
        <w:widowControl/>
        <w:ind w:firstLine="420"/>
        <w:rPr>
          <w:rFonts w:ascii="宋体" w:hAnsi="宋体" w:cs="宋体"/>
          <w:sz w:val="24"/>
          <w:szCs w:val="24"/>
        </w:rPr>
      </w:pPr>
      <w:r>
        <w:rPr>
          <w:rFonts w:hint="eastAsia" w:ascii="宋体" w:hAnsi="宋体" w:cs="宋体"/>
          <w:sz w:val="24"/>
          <w:szCs w:val="24"/>
        </w:rPr>
        <w:t>（3）如招标方委托第三方测试机构进行测试，中标方应予配合。</w:t>
      </w:r>
    </w:p>
    <w:p>
      <w:pPr>
        <w:pStyle w:val="71"/>
        <w:widowControl/>
        <w:ind w:firstLine="420"/>
        <w:rPr>
          <w:rFonts w:ascii="宋体" w:hAnsi="宋体" w:cs="宋体"/>
          <w:sz w:val="24"/>
          <w:szCs w:val="24"/>
        </w:rPr>
      </w:pPr>
      <w:r>
        <w:rPr>
          <w:rFonts w:hint="eastAsia" w:ascii="宋体" w:hAnsi="宋体" w:cs="宋体"/>
          <w:sz w:val="24"/>
          <w:szCs w:val="24"/>
        </w:rPr>
        <w:t>（4）中标方应提供测试所需工具，所提供测试工具应满足各测试项目的需要，招标方不对此额外付费。</w:t>
      </w:r>
    </w:p>
    <w:p>
      <w:pPr>
        <w:pStyle w:val="71"/>
        <w:widowControl/>
        <w:ind w:firstLine="420"/>
        <w:rPr>
          <w:rFonts w:ascii="宋体" w:hAnsi="宋体" w:cs="宋体"/>
          <w:sz w:val="24"/>
          <w:szCs w:val="24"/>
        </w:rPr>
      </w:pPr>
      <w:r>
        <w:rPr>
          <w:rFonts w:hint="eastAsia" w:ascii="宋体" w:hAnsi="宋体" w:cs="宋体"/>
          <w:sz w:val="24"/>
          <w:szCs w:val="24"/>
        </w:rPr>
        <w:t>（5）测试工作从总体上划分为中标方实验室环境的测试和招标方测试环境的测试。</w:t>
      </w:r>
    </w:p>
    <w:p>
      <w:pPr>
        <w:pStyle w:val="71"/>
        <w:widowControl/>
        <w:ind w:firstLine="420"/>
        <w:rPr>
          <w:rFonts w:ascii="宋体" w:hAnsi="宋体" w:cs="宋体"/>
          <w:sz w:val="24"/>
          <w:szCs w:val="24"/>
        </w:rPr>
      </w:pPr>
      <w:r>
        <w:rPr>
          <w:rFonts w:hint="eastAsia" w:ascii="宋体" w:hAnsi="宋体" w:cs="宋体"/>
          <w:sz w:val="24"/>
          <w:szCs w:val="24"/>
        </w:rPr>
        <w:t>（6）项目测试须按GB/T 15532-2008《计算机软件测试规范》和GB/T 9386-2008《计算机软件测试文档编制规范》进行软件检查、测试和文档的整理报送。中标方须保证对测试错误和缺陷进行及时修正、补充。</w:t>
      </w:r>
    </w:p>
    <w:p>
      <w:pPr>
        <w:pStyle w:val="71"/>
        <w:widowControl/>
        <w:ind w:firstLine="420"/>
        <w:rPr>
          <w:rFonts w:ascii="宋体" w:hAnsi="宋体" w:cs="宋体"/>
          <w:sz w:val="24"/>
          <w:szCs w:val="24"/>
        </w:rPr>
      </w:pPr>
      <w:r>
        <w:rPr>
          <w:rFonts w:hint="eastAsia" w:ascii="宋体" w:hAnsi="宋体" w:cs="宋体"/>
          <w:sz w:val="24"/>
          <w:szCs w:val="24"/>
        </w:rPr>
        <w:t>（7）为了提升交付效率以及避免人工测试可能造成的一些疏漏，中标方需要使用自动化测试技术，并且自动化测试覆盖率要满足一定的要求。</w:t>
      </w:r>
    </w:p>
    <w:p>
      <w:pPr>
        <w:pStyle w:val="4"/>
        <w:widowControl/>
        <w:tabs>
          <w:tab w:val="left" w:pos="1080"/>
        </w:tabs>
        <w:spacing w:before="0" w:after="0"/>
        <w:rPr>
          <w:rFonts w:ascii="宋体" w:hAnsi="宋体" w:cs="宋体"/>
          <w:b w:val="0"/>
          <w:bCs w:val="0"/>
          <w:sz w:val="28"/>
          <w:szCs w:val="28"/>
        </w:rPr>
      </w:pPr>
      <w:r>
        <w:rPr>
          <w:rFonts w:hint="eastAsia" w:ascii="宋体" w:hAnsi="宋体" w:cs="宋体"/>
          <w:sz w:val="28"/>
          <w:szCs w:val="28"/>
        </w:rPr>
        <w:t>3.测试准备</w:t>
      </w:r>
    </w:p>
    <w:p>
      <w:pPr>
        <w:pStyle w:val="71"/>
        <w:widowControl/>
        <w:ind w:firstLine="420"/>
        <w:rPr>
          <w:rFonts w:ascii="宋体" w:hAnsi="宋体" w:cs="宋体"/>
          <w:sz w:val="24"/>
          <w:szCs w:val="24"/>
        </w:rPr>
      </w:pPr>
      <w:r>
        <w:rPr>
          <w:rFonts w:hint="eastAsia" w:ascii="宋体" w:hAnsi="宋体" w:cs="宋体"/>
          <w:sz w:val="24"/>
          <w:szCs w:val="24"/>
        </w:rPr>
        <w:t>本项目的测试准备工作具体包括但不限于以下内容：</w:t>
      </w:r>
    </w:p>
    <w:p>
      <w:pPr>
        <w:pStyle w:val="71"/>
        <w:widowControl/>
        <w:ind w:firstLine="420"/>
        <w:rPr>
          <w:rFonts w:ascii="宋体" w:hAnsi="宋体" w:cs="宋体"/>
          <w:sz w:val="24"/>
          <w:szCs w:val="24"/>
        </w:rPr>
      </w:pPr>
      <w:r>
        <w:rPr>
          <w:rFonts w:hint="eastAsia" w:ascii="宋体" w:hAnsi="宋体" w:cs="宋体"/>
          <w:sz w:val="24"/>
          <w:szCs w:val="24"/>
        </w:rPr>
        <w:t>（1）测试计划</w:t>
      </w:r>
    </w:p>
    <w:p>
      <w:pPr>
        <w:pStyle w:val="71"/>
        <w:widowControl/>
        <w:ind w:firstLine="420"/>
        <w:rPr>
          <w:rFonts w:ascii="宋体" w:hAnsi="宋体" w:cs="宋体"/>
          <w:sz w:val="24"/>
          <w:szCs w:val="24"/>
        </w:rPr>
      </w:pPr>
      <w:r>
        <w:rPr>
          <w:rFonts w:hint="eastAsia" w:ascii="宋体" w:hAnsi="宋体" w:cs="宋体"/>
          <w:sz w:val="24"/>
          <w:szCs w:val="24"/>
        </w:rPr>
        <w:t>中标方应提前制定测试计划，主要包括测试阶段划分、测试方法、工作流程、人员分工、进度安排等内容。测试计划须经招标方确认；</w:t>
      </w:r>
    </w:p>
    <w:p>
      <w:pPr>
        <w:pStyle w:val="71"/>
        <w:widowControl/>
        <w:ind w:firstLine="420"/>
        <w:rPr>
          <w:rFonts w:ascii="宋体" w:hAnsi="宋体" w:cs="宋体"/>
          <w:sz w:val="24"/>
          <w:szCs w:val="24"/>
        </w:rPr>
      </w:pPr>
      <w:r>
        <w:rPr>
          <w:rFonts w:hint="eastAsia" w:ascii="宋体" w:hAnsi="宋体" w:cs="宋体"/>
          <w:sz w:val="24"/>
          <w:szCs w:val="24"/>
        </w:rPr>
        <w:t>（2）测试组织</w:t>
      </w:r>
    </w:p>
    <w:p>
      <w:pPr>
        <w:pStyle w:val="71"/>
        <w:widowControl/>
        <w:ind w:firstLine="420"/>
        <w:rPr>
          <w:rFonts w:ascii="宋体" w:hAnsi="宋体" w:cs="宋体"/>
          <w:sz w:val="24"/>
          <w:szCs w:val="24"/>
        </w:rPr>
      </w:pPr>
      <w:r>
        <w:rPr>
          <w:rFonts w:hint="eastAsia" w:ascii="宋体" w:hAnsi="宋体" w:cs="宋体"/>
          <w:sz w:val="24"/>
          <w:szCs w:val="24"/>
        </w:rPr>
        <w:t>中标方应成立专门的测试组织，人员必须由高级测试经理和5名以上专业的、有经验的软件测试工程师组成，并对工作岗位和职责进行明确；</w:t>
      </w:r>
    </w:p>
    <w:p>
      <w:pPr>
        <w:pStyle w:val="71"/>
        <w:widowControl/>
        <w:ind w:firstLine="420"/>
        <w:rPr>
          <w:rFonts w:ascii="宋体" w:hAnsi="宋体" w:cs="宋体"/>
          <w:sz w:val="24"/>
          <w:szCs w:val="24"/>
        </w:rPr>
      </w:pPr>
      <w:r>
        <w:rPr>
          <w:rFonts w:hint="eastAsia" w:ascii="宋体" w:hAnsi="宋体" w:cs="宋体"/>
          <w:sz w:val="24"/>
          <w:szCs w:val="24"/>
        </w:rPr>
        <w:t>（3）测试方案</w:t>
      </w:r>
    </w:p>
    <w:p>
      <w:pPr>
        <w:pStyle w:val="71"/>
        <w:widowControl/>
        <w:ind w:firstLine="420"/>
        <w:rPr>
          <w:rFonts w:ascii="宋体" w:hAnsi="宋体" w:cs="宋体"/>
          <w:sz w:val="24"/>
          <w:szCs w:val="24"/>
        </w:rPr>
      </w:pPr>
      <w:r>
        <w:rPr>
          <w:rFonts w:hint="eastAsia" w:ascii="宋体" w:hAnsi="宋体" w:cs="宋体"/>
          <w:sz w:val="24"/>
          <w:szCs w:val="24"/>
        </w:rPr>
        <w:t>中标方应对每种类型的测试制定单独的测试方案，内容至少包括测试内容、测试环境、数据要求、测试范围与主要内容、测试工具与测试方法、完成准则等内容。测试方案须经招标方确认。</w:t>
      </w:r>
    </w:p>
    <w:p>
      <w:pPr>
        <w:pStyle w:val="71"/>
        <w:widowControl/>
        <w:ind w:firstLine="420"/>
        <w:rPr>
          <w:rFonts w:ascii="宋体" w:hAnsi="宋体" w:cs="宋体"/>
          <w:sz w:val="24"/>
          <w:szCs w:val="24"/>
        </w:rPr>
      </w:pPr>
      <w:r>
        <w:rPr>
          <w:rFonts w:hint="eastAsia" w:ascii="宋体" w:hAnsi="宋体" w:cs="宋体"/>
          <w:sz w:val="24"/>
          <w:szCs w:val="24"/>
        </w:rPr>
        <w:t>测试类型包括但不限于：</w:t>
      </w:r>
    </w:p>
    <w:p>
      <w:pPr>
        <w:pStyle w:val="71"/>
        <w:widowControl/>
        <w:ind w:firstLine="420"/>
        <w:rPr>
          <w:rFonts w:ascii="宋体" w:hAnsi="宋体" w:cs="宋体"/>
          <w:sz w:val="24"/>
          <w:szCs w:val="24"/>
        </w:rPr>
      </w:pPr>
      <w:r>
        <w:rPr>
          <w:rFonts w:hint="eastAsia" w:ascii="宋体" w:hAnsi="宋体" w:cs="宋体"/>
          <w:sz w:val="24"/>
          <w:szCs w:val="24"/>
        </w:rPr>
        <w:t>中标方实验室环境完成的单元测试、功能测试、性能测试、安全测试、集成测试、实验室压力测试等；</w:t>
      </w:r>
    </w:p>
    <w:p>
      <w:pPr>
        <w:pStyle w:val="71"/>
        <w:widowControl/>
        <w:ind w:firstLine="420"/>
        <w:rPr>
          <w:rFonts w:ascii="宋体" w:hAnsi="宋体" w:cs="宋体"/>
          <w:sz w:val="24"/>
          <w:szCs w:val="24"/>
        </w:rPr>
      </w:pPr>
      <w:r>
        <w:rPr>
          <w:rFonts w:hint="eastAsia" w:ascii="宋体" w:hAnsi="宋体" w:cs="宋体"/>
          <w:sz w:val="24"/>
          <w:szCs w:val="24"/>
        </w:rPr>
        <w:t>招标方测试环境完成的大规模压力测试、用户测试、系统测试等。</w:t>
      </w:r>
    </w:p>
    <w:p>
      <w:pPr>
        <w:pStyle w:val="71"/>
        <w:widowControl/>
        <w:ind w:firstLine="420"/>
        <w:rPr>
          <w:rFonts w:ascii="宋体" w:hAnsi="宋体" w:cs="宋体"/>
          <w:sz w:val="24"/>
          <w:szCs w:val="24"/>
        </w:rPr>
      </w:pPr>
      <w:r>
        <w:rPr>
          <w:rFonts w:hint="eastAsia" w:ascii="宋体" w:hAnsi="宋体" w:cs="宋体"/>
          <w:sz w:val="24"/>
          <w:szCs w:val="24"/>
        </w:rPr>
        <w:t>（4）测试用例</w:t>
      </w:r>
    </w:p>
    <w:p>
      <w:pPr>
        <w:pStyle w:val="71"/>
        <w:widowControl/>
        <w:ind w:firstLine="420"/>
        <w:rPr>
          <w:rFonts w:ascii="宋体" w:hAnsi="宋体" w:cs="宋体"/>
          <w:sz w:val="24"/>
          <w:szCs w:val="24"/>
        </w:rPr>
      </w:pPr>
      <w:r>
        <w:rPr>
          <w:rFonts w:hint="eastAsia" w:ascii="宋体" w:hAnsi="宋体" w:cs="宋体"/>
          <w:sz w:val="24"/>
          <w:szCs w:val="24"/>
        </w:rPr>
        <w:t>中标方应提供各类测试所需测试用例，至少应满足以下要求：</w:t>
      </w:r>
    </w:p>
    <w:p>
      <w:pPr>
        <w:pStyle w:val="71"/>
        <w:widowControl/>
        <w:ind w:firstLine="420"/>
        <w:rPr>
          <w:rFonts w:ascii="宋体" w:hAnsi="宋体" w:cs="宋体"/>
          <w:sz w:val="24"/>
          <w:szCs w:val="24"/>
        </w:rPr>
      </w:pPr>
      <w:r>
        <w:rPr>
          <w:rFonts w:hint="eastAsia" w:ascii="宋体" w:hAnsi="宋体" w:cs="宋体"/>
          <w:sz w:val="24"/>
          <w:szCs w:val="24"/>
        </w:rPr>
        <w:t>①测试用例的目标清楚，并能满足软件质量管理各个方面的要求；</w:t>
      </w:r>
    </w:p>
    <w:p>
      <w:pPr>
        <w:pStyle w:val="71"/>
        <w:widowControl/>
        <w:ind w:firstLine="420"/>
        <w:rPr>
          <w:rFonts w:ascii="宋体" w:hAnsi="宋体" w:cs="宋体"/>
          <w:sz w:val="24"/>
          <w:szCs w:val="24"/>
        </w:rPr>
      </w:pPr>
      <w:r>
        <w:rPr>
          <w:rFonts w:hint="eastAsia" w:ascii="宋体" w:hAnsi="宋体" w:cs="宋体"/>
          <w:sz w:val="24"/>
          <w:szCs w:val="24"/>
        </w:rPr>
        <w:t>②测试用例的组织和分类设计思路正确、层次清晰、结构合理；</w:t>
      </w:r>
    </w:p>
    <w:p>
      <w:pPr>
        <w:pStyle w:val="71"/>
        <w:widowControl/>
        <w:ind w:firstLine="420"/>
        <w:rPr>
          <w:rFonts w:ascii="宋体" w:hAnsi="宋体" w:cs="宋体"/>
          <w:sz w:val="24"/>
          <w:szCs w:val="24"/>
        </w:rPr>
      </w:pPr>
      <w:r>
        <w:rPr>
          <w:rFonts w:hint="eastAsia" w:ascii="宋体" w:hAnsi="宋体" w:cs="宋体"/>
          <w:sz w:val="24"/>
          <w:szCs w:val="24"/>
        </w:rPr>
        <w:t>③测试用例应覆盖所有测试点、所有路径和所有已知的用户使用场景；</w:t>
      </w:r>
    </w:p>
    <w:p>
      <w:pPr>
        <w:pStyle w:val="71"/>
        <w:widowControl/>
        <w:ind w:firstLine="420"/>
        <w:rPr>
          <w:rFonts w:ascii="宋体" w:hAnsi="宋体" w:cs="宋体"/>
          <w:sz w:val="24"/>
          <w:szCs w:val="24"/>
        </w:rPr>
      </w:pPr>
      <w:r>
        <w:rPr>
          <w:rFonts w:hint="eastAsia" w:ascii="宋体" w:hAnsi="宋体" w:cs="宋体"/>
          <w:sz w:val="24"/>
          <w:szCs w:val="24"/>
        </w:rPr>
        <w:t>④应有充分的负面测试用例，测试各种异常和例外情况。</w:t>
      </w:r>
    </w:p>
    <w:p>
      <w:pPr>
        <w:pStyle w:val="71"/>
        <w:widowControl/>
        <w:ind w:firstLine="420"/>
        <w:rPr>
          <w:rFonts w:ascii="宋体" w:hAnsi="宋体" w:cs="宋体"/>
          <w:sz w:val="24"/>
          <w:szCs w:val="24"/>
        </w:rPr>
      </w:pPr>
      <w:r>
        <w:rPr>
          <w:rFonts w:hint="eastAsia" w:ascii="宋体" w:hAnsi="宋体" w:cs="宋体"/>
          <w:sz w:val="24"/>
          <w:szCs w:val="24"/>
        </w:rPr>
        <w:t>⑤应根据测试阶段和情况的变化，及时更新维护测试用例。</w:t>
      </w:r>
    </w:p>
    <w:p>
      <w:pPr>
        <w:pStyle w:val="71"/>
        <w:widowControl/>
        <w:ind w:firstLine="420"/>
        <w:rPr>
          <w:rFonts w:ascii="宋体" w:hAnsi="宋体" w:cs="宋体"/>
          <w:sz w:val="24"/>
          <w:szCs w:val="24"/>
        </w:rPr>
      </w:pPr>
      <w:r>
        <w:rPr>
          <w:rFonts w:hint="eastAsia" w:ascii="宋体" w:hAnsi="宋体" w:cs="宋体"/>
          <w:sz w:val="24"/>
          <w:szCs w:val="24"/>
        </w:rPr>
        <w:t>（5）测试数据</w:t>
      </w:r>
    </w:p>
    <w:p>
      <w:pPr>
        <w:pStyle w:val="71"/>
        <w:widowControl/>
        <w:ind w:firstLine="420"/>
        <w:rPr>
          <w:rFonts w:ascii="宋体" w:hAnsi="宋体" w:cs="宋体"/>
          <w:sz w:val="24"/>
          <w:szCs w:val="24"/>
        </w:rPr>
      </w:pPr>
      <w:r>
        <w:rPr>
          <w:rFonts w:hint="eastAsia" w:ascii="宋体" w:hAnsi="宋体" w:cs="宋体"/>
          <w:sz w:val="24"/>
          <w:szCs w:val="24"/>
        </w:rPr>
        <w:t>中标方应准备模拟测试数据，数据必须满足测试需求，覆盖被测业务和测试边界，满足完整性、一致性等要求。</w:t>
      </w:r>
    </w:p>
    <w:p>
      <w:pPr>
        <w:pStyle w:val="71"/>
        <w:widowControl/>
        <w:ind w:firstLine="420"/>
        <w:rPr>
          <w:rFonts w:ascii="宋体" w:hAnsi="宋体" w:cs="宋体"/>
          <w:sz w:val="24"/>
          <w:szCs w:val="24"/>
        </w:rPr>
      </w:pPr>
      <w:r>
        <w:rPr>
          <w:rFonts w:hint="eastAsia" w:ascii="宋体" w:hAnsi="宋体" w:cs="宋体"/>
          <w:sz w:val="24"/>
          <w:szCs w:val="24"/>
        </w:rPr>
        <w:t>中标方应按招标方指定的范围，采集测试所需实际数据，并进行整理，满足测试需要。中标方必须对相关数据进行保密。</w:t>
      </w:r>
    </w:p>
    <w:p>
      <w:pPr>
        <w:pStyle w:val="4"/>
        <w:widowControl/>
        <w:tabs>
          <w:tab w:val="left" w:pos="1080"/>
        </w:tabs>
        <w:spacing w:before="0" w:after="0"/>
        <w:rPr>
          <w:rFonts w:ascii="宋体" w:hAnsi="宋体" w:cs="宋体"/>
          <w:b w:val="0"/>
          <w:bCs w:val="0"/>
          <w:sz w:val="28"/>
          <w:szCs w:val="28"/>
        </w:rPr>
      </w:pPr>
      <w:r>
        <w:rPr>
          <w:rFonts w:hint="eastAsia" w:ascii="宋体" w:hAnsi="宋体" w:cs="宋体"/>
          <w:sz w:val="28"/>
          <w:szCs w:val="28"/>
        </w:rPr>
        <w:t xml:space="preserve">4.中标方实验室环境测试 </w:t>
      </w:r>
    </w:p>
    <w:p>
      <w:pPr>
        <w:pStyle w:val="71"/>
        <w:widowControl/>
        <w:ind w:firstLine="420"/>
        <w:rPr>
          <w:rFonts w:ascii="宋体" w:hAnsi="宋体" w:cs="宋体"/>
          <w:sz w:val="24"/>
          <w:szCs w:val="24"/>
        </w:rPr>
      </w:pPr>
      <w:r>
        <w:rPr>
          <w:rFonts w:hint="eastAsia" w:ascii="宋体" w:hAnsi="宋体" w:cs="宋体"/>
          <w:sz w:val="24"/>
          <w:szCs w:val="24"/>
        </w:rPr>
        <w:t>中标方实验室环境的各种测试工作包括但不限于：</w:t>
      </w:r>
    </w:p>
    <w:p>
      <w:pPr>
        <w:pStyle w:val="71"/>
        <w:widowControl/>
        <w:ind w:firstLine="420"/>
        <w:rPr>
          <w:rFonts w:ascii="宋体" w:hAnsi="宋体" w:cs="宋体"/>
          <w:sz w:val="24"/>
          <w:szCs w:val="24"/>
        </w:rPr>
      </w:pPr>
      <w:r>
        <w:rPr>
          <w:rFonts w:hint="eastAsia" w:ascii="宋体" w:hAnsi="宋体" w:cs="宋体"/>
          <w:sz w:val="24"/>
          <w:szCs w:val="24"/>
        </w:rPr>
        <w:t>（1）单元和单元集成测试</w:t>
      </w:r>
    </w:p>
    <w:p>
      <w:pPr>
        <w:pStyle w:val="71"/>
        <w:widowControl/>
        <w:ind w:firstLine="420"/>
        <w:rPr>
          <w:rFonts w:ascii="宋体" w:hAnsi="宋体" w:cs="宋体"/>
          <w:sz w:val="24"/>
          <w:szCs w:val="24"/>
        </w:rPr>
      </w:pPr>
      <w:r>
        <w:rPr>
          <w:rFonts w:hint="eastAsia" w:ascii="宋体" w:hAnsi="宋体" w:cs="宋体"/>
          <w:sz w:val="24"/>
          <w:szCs w:val="24"/>
        </w:rPr>
        <w:t>①中标方应对单元测试流程进行规范，制订一定的覆盖率指标和质量目标，来指导单元测试设计和执行；</w:t>
      </w:r>
    </w:p>
    <w:p>
      <w:pPr>
        <w:pStyle w:val="71"/>
        <w:widowControl/>
        <w:ind w:firstLine="420"/>
        <w:rPr>
          <w:rFonts w:ascii="宋体" w:hAnsi="宋体" w:cs="宋体"/>
          <w:sz w:val="24"/>
          <w:szCs w:val="24"/>
        </w:rPr>
      </w:pPr>
      <w:r>
        <w:rPr>
          <w:rFonts w:hint="eastAsia" w:ascii="宋体" w:hAnsi="宋体" w:cs="宋体"/>
          <w:sz w:val="24"/>
          <w:szCs w:val="24"/>
        </w:rPr>
        <w:t>②中标方应严格按照单元测试流程进行测试；</w:t>
      </w:r>
    </w:p>
    <w:p>
      <w:pPr>
        <w:pStyle w:val="71"/>
        <w:widowControl/>
        <w:ind w:firstLine="420"/>
        <w:rPr>
          <w:rFonts w:ascii="宋体" w:hAnsi="宋体" w:cs="宋体"/>
          <w:sz w:val="24"/>
          <w:szCs w:val="24"/>
        </w:rPr>
      </w:pPr>
      <w:r>
        <w:rPr>
          <w:rFonts w:hint="eastAsia" w:ascii="宋体" w:hAnsi="宋体" w:cs="宋体"/>
          <w:sz w:val="24"/>
          <w:szCs w:val="24"/>
        </w:rPr>
        <w:t>③单元测试通过后，中标方应提交《实验室环境单元和单元集成测试报告》、单元测试用例及相关文档。</w:t>
      </w:r>
    </w:p>
    <w:p>
      <w:pPr>
        <w:pStyle w:val="71"/>
        <w:widowControl/>
        <w:ind w:firstLine="420"/>
        <w:rPr>
          <w:rFonts w:ascii="宋体" w:hAnsi="宋体" w:cs="宋体"/>
          <w:sz w:val="24"/>
          <w:szCs w:val="24"/>
        </w:rPr>
      </w:pPr>
      <w:r>
        <w:rPr>
          <w:rFonts w:hint="eastAsia" w:ascii="宋体" w:hAnsi="宋体" w:cs="宋体"/>
          <w:sz w:val="24"/>
          <w:szCs w:val="24"/>
        </w:rPr>
        <w:t>（2）功能测试</w:t>
      </w:r>
    </w:p>
    <w:p>
      <w:pPr>
        <w:pStyle w:val="71"/>
        <w:widowControl/>
        <w:ind w:firstLine="420"/>
        <w:rPr>
          <w:rFonts w:ascii="宋体" w:hAnsi="宋体" w:cs="宋体"/>
          <w:sz w:val="24"/>
          <w:szCs w:val="24"/>
        </w:rPr>
      </w:pPr>
      <w:r>
        <w:rPr>
          <w:rFonts w:hint="eastAsia" w:ascii="宋体" w:hAnsi="宋体" w:cs="宋体"/>
          <w:sz w:val="24"/>
          <w:szCs w:val="24"/>
        </w:rPr>
        <w:t>功能测试是对产品的各项功能进行验证，根据功能测试用例，逐项测试，检查本项目是否达到招标方要求的功能。</w:t>
      </w:r>
    </w:p>
    <w:p>
      <w:pPr>
        <w:pStyle w:val="71"/>
        <w:widowControl/>
        <w:ind w:firstLine="420"/>
        <w:rPr>
          <w:rFonts w:ascii="宋体" w:hAnsi="宋体" w:cs="宋体"/>
          <w:sz w:val="24"/>
          <w:szCs w:val="24"/>
        </w:rPr>
      </w:pPr>
      <w:r>
        <w:rPr>
          <w:rFonts w:hint="eastAsia" w:ascii="宋体" w:hAnsi="宋体" w:cs="宋体"/>
          <w:sz w:val="24"/>
          <w:szCs w:val="24"/>
        </w:rPr>
        <w:t>①中标方应对系统的各项功能进行验证，逐项测试，检查产品是否达到招标方要求的功能；</w:t>
      </w:r>
    </w:p>
    <w:p>
      <w:pPr>
        <w:pStyle w:val="71"/>
        <w:widowControl/>
        <w:ind w:firstLine="420"/>
        <w:rPr>
          <w:rFonts w:ascii="宋体" w:hAnsi="宋体" w:cs="宋体"/>
          <w:sz w:val="24"/>
          <w:szCs w:val="24"/>
        </w:rPr>
      </w:pPr>
      <w:r>
        <w:rPr>
          <w:rFonts w:hint="eastAsia" w:ascii="宋体" w:hAnsi="宋体" w:cs="宋体"/>
          <w:sz w:val="24"/>
          <w:szCs w:val="24"/>
        </w:rPr>
        <w:t>②中标方应严格按照功能测试流程进行测试；</w:t>
      </w:r>
    </w:p>
    <w:p>
      <w:pPr>
        <w:pStyle w:val="71"/>
        <w:widowControl/>
        <w:ind w:firstLine="420"/>
        <w:rPr>
          <w:rFonts w:ascii="宋体" w:hAnsi="宋体" w:cs="宋体"/>
          <w:sz w:val="24"/>
          <w:szCs w:val="24"/>
        </w:rPr>
      </w:pPr>
      <w:r>
        <w:rPr>
          <w:rFonts w:hint="eastAsia" w:ascii="宋体" w:hAnsi="宋体" w:cs="宋体"/>
          <w:sz w:val="24"/>
          <w:szCs w:val="24"/>
        </w:rPr>
        <w:t>③功能测试通过后，中标方应提交《实验室环境功能测试报告》、功能测试用例及相关文档。</w:t>
      </w:r>
    </w:p>
    <w:p>
      <w:pPr>
        <w:pStyle w:val="71"/>
        <w:widowControl/>
        <w:ind w:firstLine="420"/>
        <w:rPr>
          <w:rFonts w:ascii="宋体" w:hAnsi="宋体" w:cs="宋体"/>
          <w:sz w:val="24"/>
          <w:szCs w:val="24"/>
        </w:rPr>
      </w:pPr>
      <w:r>
        <w:rPr>
          <w:rFonts w:hint="eastAsia" w:ascii="宋体" w:hAnsi="宋体" w:cs="宋体"/>
          <w:sz w:val="24"/>
          <w:szCs w:val="24"/>
        </w:rPr>
        <w:t>（3）性能测试</w:t>
      </w:r>
    </w:p>
    <w:p>
      <w:pPr>
        <w:pStyle w:val="71"/>
        <w:widowControl/>
        <w:ind w:firstLine="420"/>
        <w:rPr>
          <w:rFonts w:ascii="宋体" w:hAnsi="宋体" w:cs="宋体"/>
          <w:sz w:val="24"/>
          <w:szCs w:val="24"/>
        </w:rPr>
      </w:pPr>
      <w:r>
        <w:rPr>
          <w:rFonts w:hint="eastAsia" w:ascii="宋体" w:hAnsi="宋体" w:cs="宋体"/>
          <w:sz w:val="24"/>
          <w:szCs w:val="24"/>
        </w:rPr>
        <w:t>性能测试是通过自动化的测试工具模拟多种正常、峰值以及异常负载条件来对系统的各项性能指标进行测试。</w:t>
      </w:r>
    </w:p>
    <w:p>
      <w:pPr>
        <w:pStyle w:val="71"/>
        <w:widowControl/>
        <w:ind w:firstLine="420"/>
        <w:rPr>
          <w:rFonts w:ascii="宋体" w:hAnsi="宋体" w:cs="宋体"/>
          <w:sz w:val="24"/>
          <w:szCs w:val="24"/>
        </w:rPr>
      </w:pPr>
      <w:r>
        <w:rPr>
          <w:rFonts w:hint="eastAsia" w:ascii="宋体" w:hAnsi="宋体" w:cs="宋体"/>
          <w:sz w:val="24"/>
          <w:szCs w:val="24"/>
        </w:rPr>
        <w:t>①中标方应选用合适的测试工具，测试软件在正常、峰值以及异常负载条件下的各项性能指标，性能指标应满足招标方需求；</w:t>
      </w:r>
    </w:p>
    <w:p>
      <w:pPr>
        <w:pStyle w:val="71"/>
        <w:widowControl/>
        <w:ind w:firstLine="420"/>
        <w:rPr>
          <w:rFonts w:ascii="宋体" w:hAnsi="宋体" w:cs="宋体"/>
          <w:sz w:val="24"/>
          <w:szCs w:val="24"/>
        </w:rPr>
      </w:pPr>
      <w:r>
        <w:rPr>
          <w:rFonts w:hint="eastAsia" w:ascii="宋体" w:hAnsi="宋体" w:cs="宋体"/>
          <w:sz w:val="24"/>
          <w:szCs w:val="24"/>
        </w:rPr>
        <w:t>②中标方应严格按照性能测试流程进行测试；</w:t>
      </w:r>
    </w:p>
    <w:p>
      <w:pPr>
        <w:pStyle w:val="71"/>
        <w:widowControl/>
        <w:ind w:firstLine="420"/>
        <w:rPr>
          <w:rFonts w:ascii="宋体" w:hAnsi="宋体" w:cs="宋体"/>
          <w:sz w:val="24"/>
          <w:szCs w:val="24"/>
        </w:rPr>
      </w:pPr>
      <w:r>
        <w:rPr>
          <w:rFonts w:hint="eastAsia" w:ascii="宋体" w:hAnsi="宋体" w:cs="宋体"/>
          <w:sz w:val="24"/>
          <w:szCs w:val="24"/>
        </w:rPr>
        <w:t>③性能测试通过后，中标方应提交《实验室环境性能测试报告》、性能测试用例及相关文档。</w:t>
      </w:r>
    </w:p>
    <w:p>
      <w:pPr>
        <w:pStyle w:val="71"/>
        <w:widowControl/>
        <w:ind w:firstLine="420"/>
        <w:rPr>
          <w:rFonts w:ascii="宋体" w:hAnsi="宋体" w:cs="宋体"/>
          <w:sz w:val="24"/>
          <w:szCs w:val="24"/>
        </w:rPr>
      </w:pPr>
      <w:r>
        <w:rPr>
          <w:rFonts w:hint="eastAsia" w:ascii="宋体" w:hAnsi="宋体" w:cs="宋体"/>
          <w:sz w:val="24"/>
          <w:szCs w:val="24"/>
        </w:rPr>
        <w:t>（4）安全测试</w:t>
      </w:r>
    </w:p>
    <w:p>
      <w:pPr>
        <w:pStyle w:val="71"/>
        <w:widowControl/>
        <w:ind w:firstLine="420"/>
        <w:rPr>
          <w:rFonts w:ascii="宋体" w:hAnsi="宋体" w:cs="宋体"/>
          <w:sz w:val="24"/>
          <w:szCs w:val="24"/>
        </w:rPr>
      </w:pPr>
      <w:r>
        <w:rPr>
          <w:rFonts w:hint="eastAsia" w:ascii="宋体" w:hAnsi="宋体" w:cs="宋体"/>
          <w:sz w:val="24"/>
          <w:szCs w:val="24"/>
        </w:rPr>
        <w:t>安全测试是检查软件安全防范能力。</w:t>
      </w:r>
    </w:p>
    <w:p>
      <w:pPr>
        <w:pStyle w:val="71"/>
        <w:widowControl/>
        <w:ind w:firstLine="420"/>
        <w:rPr>
          <w:rFonts w:ascii="宋体" w:hAnsi="宋体" w:cs="宋体"/>
          <w:sz w:val="24"/>
          <w:szCs w:val="24"/>
        </w:rPr>
      </w:pPr>
      <w:r>
        <w:rPr>
          <w:rFonts w:hint="eastAsia" w:ascii="宋体" w:hAnsi="宋体" w:cs="宋体"/>
          <w:sz w:val="24"/>
          <w:szCs w:val="24"/>
        </w:rPr>
        <w:t>①中标方应采用静态和动态检测工具，对软件进行全面检测，以发现软件在设计和编码中的错误、疏忽和其它缺陷；</w:t>
      </w:r>
    </w:p>
    <w:p>
      <w:pPr>
        <w:pStyle w:val="71"/>
        <w:widowControl/>
        <w:ind w:firstLine="420"/>
        <w:rPr>
          <w:rFonts w:ascii="宋体" w:hAnsi="宋体" w:cs="宋体"/>
          <w:sz w:val="24"/>
          <w:szCs w:val="24"/>
        </w:rPr>
      </w:pPr>
      <w:r>
        <w:rPr>
          <w:rFonts w:hint="eastAsia" w:ascii="宋体" w:hAnsi="宋体" w:cs="宋体"/>
          <w:sz w:val="24"/>
          <w:szCs w:val="24"/>
        </w:rPr>
        <w:t>②中标方应全面测试软件的安全功能；</w:t>
      </w:r>
    </w:p>
    <w:p>
      <w:pPr>
        <w:pStyle w:val="71"/>
        <w:widowControl/>
        <w:ind w:firstLine="420"/>
        <w:rPr>
          <w:rFonts w:ascii="宋体" w:hAnsi="宋体" w:cs="宋体"/>
          <w:sz w:val="24"/>
          <w:szCs w:val="24"/>
        </w:rPr>
      </w:pPr>
      <w:r>
        <w:rPr>
          <w:rFonts w:hint="eastAsia" w:ascii="宋体" w:hAnsi="宋体" w:cs="宋体"/>
          <w:sz w:val="24"/>
          <w:szCs w:val="24"/>
        </w:rPr>
        <w:t>③安全测试通过后，中标方应提交《实验室环境安全测试报告》、安全测试用例及相关文档。</w:t>
      </w:r>
    </w:p>
    <w:p>
      <w:pPr>
        <w:pStyle w:val="71"/>
        <w:widowControl/>
        <w:ind w:firstLine="420"/>
        <w:rPr>
          <w:rFonts w:ascii="宋体" w:hAnsi="宋体" w:cs="宋体"/>
          <w:sz w:val="24"/>
          <w:szCs w:val="24"/>
        </w:rPr>
      </w:pPr>
      <w:r>
        <w:rPr>
          <w:rFonts w:hint="eastAsia" w:ascii="宋体" w:hAnsi="宋体" w:cs="宋体"/>
          <w:sz w:val="24"/>
          <w:szCs w:val="24"/>
        </w:rPr>
        <w:t>（5）压力测试</w:t>
      </w:r>
    </w:p>
    <w:p>
      <w:pPr>
        <w:pStyle w:val="71"/>
        <w:widowControl/>
        <w:ind w:firstLine="420"/>
        <w:rPr>
          <w:rFonts w:ascii="宋体" w:hAnsi="宋体" w:cs="宋体"/>
          <w:sz w:val="24"/>
          <w:szCs w:val="24"/>
        </w:rPr>
      </w:pPr>
      <w:r>
        <w:rPr>
          <w:rFonts w:hint="eastAsia" w:ascii="宋体" w:hAnsi="宋体" w:cs="宋体"/>
          <w:sz w:val="24"/>
          <w:szCs w:val="24"/>
        </w:rPr>
        <w:t xml:space="preserve">压力测试是模拟工作负荷对软件进行破坏性测试和强度稳定性测试，测试软件在一定硬件环境下的性能指标。 </w:t>
      </w:r>
    </w:p>
    <w:p>
      <w:pPr>
        <w:pStyle w:val="71"/>
        <w:widowControl/>
        <w:ind w:firstLine="420"/>
        <w:rPr>
          <w:rFonts w:ascii="宋体" w:hAnsi="宋体" w:cs="宋体"/>
          <w:sz w:val="24"/>
          <w:szCs w:val="24"/>
        </w:rPr>
      </w:pPr>
      <w:r>
        <w:rPr>
          <w:rFonts w:hint="eastAsia" w:ascii="宋体" w:hAnsi="宋体" w:cs="宋体"/>
          <w:sz w:val="24"/>
          <w:szCs w:val="24"/>
        </w:rPr>
        <w:t>①压力测试各类业务响应时间应当满足软件的性能要求；</w:t>
      </w:r>
    </w:p>
    <w:p>
      <w:pPr>
        <w:pStyle w:val="71"/>
        <w:widowControl/>
        <w:ind w:firstLine="420"/>
        <w:rPr>
          <w:rFonts w:ascii="宋体" w:hAnsi="宋体" w:cs="宋体"/>
          <w:sz w:val="24"/>
          <w:szCs w:val="24"/>
        </w:rPr>
      </w:pPr>
      <w:r>
        <w:rPr>
          <w:rFonts w:hint="eastAsia" w:ascii="宋体" w:hAnsi="宋体" w:cs="宋体"/>
          <w:sz w:val="24"/>
          <w:szCs w:val="24"/>
        </w:rPr>
        <w:t>②中标方应严格按照压力测试流程进行测试；；</w:t>
      </w:r>
    </w:p>
    <w:p>
      <w:pPr>
        <w:pStyle w:val="71"/>
        <w:widowControl/>
        <w:ind w:firstLine="420"/>
        <w:rPr>
          <w:rFonts w:ascii="宋体" w:hAnsi="宋体" w:cs="宋体"/>
          <w:sz w:val="24"/>
          <w:szCs w:val="24"/>
        </w:rPr>
      </w:pPr>
      <w:r>
        <w:rPr>
          <w:rFonts w:hint="eastAsia" w:ascii="宋体" w:hAnsi="宋体" w:cs="宋体"/>
          <w:sz w:val="24"/>
          <w:szCs w:val="24"/>
        </w:rPr>
        <w:t>③压力测试结束后，中标方提交《实验室环境压力测试报告》、压力测试用例及相关文档。</w:t>
      </w:r>
    </w:p>
    <w:p>
      <w:pPr>
        <w:pStyle w:val="4"/>
        <w:widowControl/>
        <w:tabs>
          <w:tab w:val="left" w:pos="1080"/>
        </w:tabs>
        <w:spacing w:before="0" w:after="0"/>
        <w:rPr>
          <w:rFonts w:ascii="宋体" w:hAnsi="宋体" w:cs="宋体"/>
          <w:b w:val="0"/>
          <w:bCs w:val="0"/>
          <w:sz w:val="28"/>
          <w:szCs w:val="28"/>
        </w:rPr>
      </w:pPr>
      <w:r>
        <w:rPr>
          <w:rFonts w:hint="eastAsia" w:ascii="宋体" w:hAnsi="宋体" w:cs="宋体"/>
          <w:sz w:val="28"/>
          <w:szCs w:val="28"/>
        </w:rPr>
        <w:t>5.招标方测试环境测试</w:t>
      </w:r>
    </w:p>
    <w:p>
      <w:pPr>
        <w:pStyle w:val="71"/>
        <w:widowControl/>
        <w:ind w:firstLine="420"/>
        <w:rPr>
          <w:rFonts w:ascii="宋体" w:hAnsi="宋体" w:cs="宋体"/>
          <w:sz w:val="24"/>
          <w:szCs w:val="24"/>
        </w:rPr>
      </w:pPr>
      <w:r>
        <w:rPr>
          <w:rFonts w:hint="eastAsia" w:ascii="宋体" w:hAnsi="宋体" w:cs="宋体"/>
          <w:sz w:val="24"/>
          <w:szCs w:val="24"/>
        </w:rPr>
        <w:t>实验室环境所有测试类型的《软件测试报告》经招标方确认，可进入招标方测试环境的测试。招标方测试环境所需设备由招标方提供，中标方负责安装部署。</w:t>
      </w:r>
    </w:p>
    <w:p>
      <w:pPr>
        <w:pStyle w:val="71"/>
        <w:widowControl/>
        <w:ind w:firstLine="420"/>
        <w:rPr>
          <w:rFonts w:ascii="宋体" w:hAnsi="宋体" w:cs="宋体"/>
          <w:sz w:val="24"/>
          <w:szCs w:val="24"/>
        </w:rPr>
      </w:pPr>
      <w:r>
        <w:rPr>
          <w:rFonts w:hint="eastAsia" w:ascii="宋体" w:hAnsi="宋体" w:cs="宋体"/>
          <w:sz w:val="24"/>
          <w:szCs w:val="24"/>
        </w:rPr>
        <w:t>中标方承担的工作包括但不限于以下内容：</w:t>
      </w:r>
    </w:p>
    <w:p>
      <w:pPr>
        <w:pStyle w:val="71"/>
        <w:widowControl/>
        <w:ind w:firstLine="420"/>
        <w:rPr>
          <w:rFonts w:ascii="宋体" w:hAnsi="宋体" w:cs="宋体"/>
          <w:sz w:val="24"/>
          <w:szCs w:val="24"/>
        </w:rPr>
      </w:pPr>
      <w:r>
        <w:rPr>
          <w:rFonts w:hint="eastAsia" w:ascii="宋体" w:hAnsi="宋体" w:cs="宋体"/>
          <w:sz w:val="24"/>
          <w:szCs w:val="24"/>
        </w:rPr>
        <w:t>（1）用户测试</w:t>
      </w:r>
    </w:p>
    <w:p>
      <w:pPr>
        <w:pStyle w:val="71"/>
        <w:widowControl/>
        <w:ind w:firstLine="420"/>
        <w:rPr>
          <w:rFonts w:ascii="宋体" w:hAnsi="宋体" w:cs="宋体"/>
          <w:sz w:val="24"/>
          <w:szCs w:val="24"/>
        </w:rPr>
      </w:pPr>
      <w:r>
        <w:rPr>
          <w:rFonts w:hint="eastAsia" w:ascii="宋体" w:hAnsi="宋体" w:cs="宋体"/>
          <w:sz w:val="24"/>
          <w:szCs w:val="24"/>
        </w:rPr>
        <w:t>①中标方应按招标方要求，准备测试方案、测试用例、测试数据。</w:t>
      </w:r>
    </w:p>
    <w:p>
      <w:pPr>
        <w:pStyle w:val="71"/>
        <w:widowControl/>
        <w:ind w:firstLine="420"/>
        <w:rPr>
          <w:rFonts w:ascii="宋体" w:hAnsi="宋体" w:cs="宋体"/>
          <w:sz w:val="24"/>
          <w:szCs w:val="24"/>
        </w:rPr>
      </w:pPr>
      <w:r>
        <w:rPr>
          <w:rFonts w:hint="eastAsia" w:ascii="宋体" w:hAnsi="宋体" w:cs="宋体"/>
          <w:sz w:val="24"/>
          <w:szCs w:val="24"/>
        </w:rPr>
        <w:t>②中标方应做好对用户测试结果的记录和问题的跟踪调试工作；</w:t>
      </w:r>
    </w:p>
    <w:p>
      <w:pPr>
        <w:pStyle w:val="71"/>
        <w:widowControl/>
        <w:ind w:firstLine="420"/>
        <w:rPr>
          <w:rFonts w:ascii="宋体" w:hAnsi="宋体" w:cs="宋体"/>
          <w:sz w:val="24"/>
          <w:szCs w:val="24"/>
        </w:rPr>
      </w:pPr>
      <w:r>
        <w:rPr>
          <w:rFonts w:hint="eastAsia" w:ascii="宋体" w:hAnsi="宋体" w:cs="宋体"/>
          <w:sz w:val="24"/>
          <w:szCs w:val="24"/>
        </w:rPr>
        <w:t>③中标方承担本测试阶段的所有费用；</w:t>
      </w:r>
    </w:p>
    <w:p>
      <w:pPr>
        <w:pStyle w:val="71"/>
        <w:widowControl/>
        <w:ind w:firstLine="420"/>
        <w:rPr>
          <w:rFonts w:ascii="宋体" w:hAnsi="宋体" w:cs="宋体"/>
          <w:sz w:val="24"/>
          <w:szCs w:val="24"/>
        </w:rPr>
      </w:pPr>
      <w:r>
        <w:rPr>
          <w:rFonts w:hint="eastAsia" w:ascii="宋体" w:hAnsi="宋体" w:cs="宋体"/>
          <w:sz w:val="24"/>
          <w:szCs w:val="24"/>
        </w:rPr>
        <w:t xml:space="preserve">④用户测试结束，中标方应提交《用户测试报告》、《用户测试反馈单》、测试用例及相关文档，由招标方确认。  </w:t>
      </w:r>
    </w:p>
    <w:p>
      <w:pPr>
        <w:pStyle w:val="71"/>
        <w:widowControl/>
        <w:ind w:firstLine="420"/>
        <w:rPr>
          <w:rFonts w:ascii="宋体" w:hAnsi="宋体" w:cs="宋体"/>
          <w:sz w:val="24"/>
          <w:szCs w:val="24"/>
        </w:rPr>
      </w:pPr>
      <w:r>
        <w:rPr>
          <w:rFonts w:hint="eastAsia" w:ascii="宋体" w:hAnsi="宋体" w:cs="宋体"/>
          <w:sz w:val="24"/>
          <w:szCs w:val="24"/>
        </w:rPr>
        <w:t>（2）安全测试</w:t>
      </w:r>
    </w:p>
    <w:p>
      <w:pPr>
        <w:pStyle w:val="71"/>
        <w:widowControl/>
        <w:ind w:firstLine="420"/>
        <w:rPr>
          <w:rFonts w:ascii="宋体" w:hAnsi="宋体" w:cs="宋体"/>
          <w:sz w:val="24"/>
          <w:szCs w:val="24"/>
        </w:rPr>
      </w:pPr>
      <w:r>
        <w:rPr>
          <w:rFonts w:hint="eastAsia" w:ascii="宋体" w:hAnsi="宋体" w:cs="宋体"/>
          <w:sz w:val="24"/>
          <w:szCs w:val="24"/>
        </w:rPr>
        <w:t>安全测试是检查软件安全防范能力。</w:t>
      </w:r>
    </w:p>
    <w:p>
      <w:pPr>
        <w:pStyle w:val="71"/>
        <w:widowControl/>
        <w:ind w:firstLine="420"/>
        <w:rPr>
          <w:rFonts w:ascii="宋体" w:hAnsi="宋体" w:cs="宋体"/>
          <w:sz w:val="24"/>
          <w:szCs w:val="24"/>
        </w:rPr>
      </w:pPr>
      <w:r>
        <w:rPr>
          <w:rFonts w:hint="eastAsia" w:ascii="宋体" w:hAnsi="宋体" w:cs="宋体"/>
          <w:sz w:val="24"/>
          <w:szCs w:val="24"/>
        </w:rPr>
        <w:t>①中标方应采用静态和动态检测工具，对软件进行全面检测，以发现软件在设计和编码中的错误、疏忽和其它缺陷；</w:t>
      </w:r>
    </w:p>
    <w:p>
      <w:pPr>
        <w:pStyle w:val="71"/>
        <w:widowControl/>
        <w:ind w:firstLine="420"/>
        <w:rPr>
          <w:rFonts w:ascii="宋体" w:hAnsi="宋体" w:cs="宋体"/>
          <w:sz w:val="24"/>
          <w:szCs w:val="24"/>
        </w:rPr>
      </w:pPr>
      <w:r>
        <w:rPr>
          <w:rFonts w:hint="eastAsia" w:ascii="宋体" w:hAnsi="宋体" w:cs="宋体"/>
          <w:sz w:val="24"/>
          <w:szCs w:val="24"/>
        </w:rPr>
        <w:t>②中标方应全面测试软件的安全功能；</w:t>
      </w:r>
    </w:p>
    <w:p>
      <w:pPr>
        <w:pStyle w:val="71"/>
        <w:widowControl/>
        <w:ind w:firstLine="420"/>
        <w:rPr>
          <w:rFonts w:ascii="宋体" w:hAnsi="宋体" w:cs="宋体"/>
          <w:sz w:val="24"/>
          <w:szCs w:val="24"/>
        </w:rPr>
      </w:pPr>
      <w:r>
        <w:rPr>
          <w:rFonts w:hint="eastAsia" w:ascii="宋体" w:hAnsi="宋体" w:cs="宋体"/>
          <w:sz w:val="24"/>
          <w:szCs w:val="24"/>
        </w:rPr>
        <w:t>③安全测试通过后，中标方应提交《用户环境安全测试报告》、安全测试用例及相关文档，招标方确认。</w:t>
      </w:r>
    </w:p>
    <w:p>
      <w:pPr>
        <w:pStyle w:val="71"/>
        <w:widowControl/>
        <w:ind w:firstLine="420"/>
        <w:rPr>
          <w:rFonts w:ascii="宋体" w:hAnsi="宋体" w:cs="宋体"/>
          <w:sz w:val="24"/>
          <w:szCs w:val="24"/>
        </w:rPr>
      </w:pPr>
      <w:r>
        <w:rPr>
          <w:rFonts w:hint="eastAsia" w:ascii="宋体" w:hAnsi="宋体" w:cs="宋体"/>
          <w:sz w:val="24"/>
          <w:szCs w:val="24"/>
        </w:rPr>
        <w:t>（3）压力测试</w:t>
      </w:r>
    </w:p>
    <w:p>
      <w:pPr>
        <w:pStyle w:val="71"/>
        <w:widowControl/>
        <w:ind w:firstLine="420"/>
        <w:rPr>
          <w:rFonts w:ascii="宋体" w:hAnsi="宋体" w:cs="宋体"/>
          <w:sz w:val="24"/>
          <w:szCs w:val="24"/>
        </w:rPr>
      </w:pPr>
      <w:r>
        <w:rPr>
          <w:rFonts w:hint="eastAsia" w:ascii="宋体" w:hAnsi="宋体" w:cs="宋体"/>
          <w:sz w:val="24"/>
          <w:szCs w:val="24"/>
        </w:rPr>
        <w:t>在招标方测试环境下，中标方必须对本项目的各项性能指标进行大规模压力测试。</w:t>
      </w:r>
    </w:p>
    <w:p>
      <w:pPr>
        <w:pStyle w:val="71"/>
        <w:widowControl/>
        <w:ind w:firstLine="420"/>
        <w:rPr>
          <w:rFonts w:ascii="宋体" w:hAnsi="宋体" w:cs="宋体"/>
          <w:sz w:val="24"/>
          <w:szCs w:val="24"/>
        </w:rPr>
      </w:pPr>
      <w:r>
        <w:rPr>
          <w:rFonts w:hint="eastAsia" w:ascii="宋体" w:hAnsi="宋体" w:cs="宋体"/>
          <w:sz w:val="24"/>
          <w:szCs w:val="24"/>
        </w:rPr>
        <w:t>①中标方应制定压力测试方案，明确压力测试的测试环境、压力规模、加压时间等，压力测试方案必须经招标方确认；</w:t>
      </w:r>
    </w:p>
    <w:p>
      <w:pPr>
        <w:pStyle w:val="71"/>
        <w:widowControl/>
        <w:ind w:firstLine="420"/>
        <w:rPr>
          <w:rFonts w:ascii="宋体" w:hAnsi="宋体" w:cs="宋体"/>
          <w:sz w:val="24"/>
          <w:szCs w:val="24"/>
        </w:rPr>
      </w:pPr>
      <w:r>
        <w:rPr>
          <w:rFonts w:hint="eastAsia" w:ascii="宋体" w:hAnsi="宋体" w:cs="宋体"/>
          <w:sz w:val="24"/>
          <w:szCs w:val="24"/>
        </w:rPr>
        <w:t>②中标方应严格按照压力测试流程进行测试；；</w:t>
      </w:r>
    </w:p>
    <w:p>
      <w:pPr>
        <w:pStyle w:val="71"/>
        <w:widowControl/>
        <w:ind w:firstLine="420"/>
        <w:rPr>
          <w:rFonts w:ascii="宋体" w:hAnsi="宋体" w:cs="宋体"/>
          <w:sz w:val="24"/>
          <w:szCs w:val="24"/>
        </w:rPr>
      </w:pPr>
      <w:r>
        <w:rPr>
          <w:rFonts w:hint="eastAsia" w:ascii="宋体" w:hAnsi="宋体" w:cs="宋体"/>
          <w:sz w:val="24"/>
          <w:szCs w:val="24"/>
        </w:rPr>
        <w:t>③压力测试结束后，中标方提交《用户环境压力测试报告》、压力测试用例及相关文档，须经招标方确认。</w:t>
      </w:r>
    </w:p>
    <w:p>
      <w:pPr>
        <w:pStyle w:val="71"/>
        <w:widowControl/>
        <w:ind w:firstLine="420"/>
        <w:rPr>
          <w:rFonts w:ascii="宋体" w:hAnsi="宋体" w:cs="宋体"/>
          <w:sz w:val="24"/>
          <w:szCs w:val="24"/>
        </w:rPr>
      </w:pPr>
      <w:r>
        <w:rPr>
          <w:rFonts w:hint="eastAsia" w:ascii="宋体" w:hAnsi="宋体" w:cs="宋体"/>
          <w:sz w:val="24"/>
          <w:szCs w:val="24"/>
        </w:rPr>
        <w:t>（4）系统测试。</w:t>
      </w:r>
    </w:p>
    <w:p>
      <w:pPr>
        <w:pStyle w:val="71"/>
        <w:widowControl/>
        <w:ind w:firstLine="420"/>
        <w:rPr>
          <w:rFonts w:ascii="宋体" w:hAnsi="宋体" w:cs="宋体"/>
          <w:sz w:val="24"/>
          <w:szCs w:val="24"/>
        </w:rPr>
      </w:pPr>
      <w:r>
        <w:rPr>
          <w:rFonts w:hint="eastAsia" w:ascii="宋体" w:hAnsi="宋体" w:cs="宋体"/>
          <w:sz w:val="24"/>
          <w:szCs w:val="24"/>
        </w:rPr>
        <w:t>①中标方必须严格按照系统测试流程进行系统测试，并做好对测试结果的记录和问题的跟踪调试工作；</w:t>
      </w:r>
    </w:p>
    <w:p>
      <w:pPr>
        <w:pStyle w:val="71"/>
        <w:widowControl/>
        <w:ind w:firstLine="420"/>
        <w:rPr>
          <w:rFonts w:ascii="宋体" w:hAnsi="宋体" w:cs="宋体"/>
          <w:sz w:val="24"/>
          <w:szCs w:val="24"/>
        </w:rPr>
      </w:pPr>
      <w:r>
        <w:rPr>
          <w:rFonts w:hint="eastAsia" w:ascii="宋体" w:hAnsi="宋体" w:cs="宋体"/>
          <w:sz w:val="24"/>
          <w:szCs w:val="24"/>
        </w:rPr>
        <w:t>②系统测试的主要内容包括：健壮性测试、性能测试等；</w:t>
      </w:r>
    </w:p>
    <w:p>
      <w:pPr>
        <w:pStyle w:val="71"/>
        <w:widowControl/>
        <w:ind w:firstLine="420"/>
        <w:rPr>
          <w:rFonts w:ascii="宋体" w:hAnsi="宋体" w:cs="宋体"/>
          <w:sz w:val="24"/>
          <w:szCs w:val="24"/>
        </w:rPr>
      </w:pPr>
      <w:r>
        <w:rPr>
          <w:rFonts w:hint="eastAsia" w:ascii="宋体" w:hAnsi="宋体" w:cs="宋体"/>
          <w:sz w:val="24"/>
          <w:szCs w:val="24"/>
        </w:rPr>
        <w:t>③系统测试通过后，中标方提交《用户环境系统测试报告》、系统测试用例及相关文档，由招标方确认。</w:t>
      </w:r>
    </w:p>
    <w:p>
      <w:pPr>
        <w:pStyle w:val="4"/>
        <w:widowControl/>
        <w:tabs>
          <w:tab w:val="left" w:pos="1080"/>
        </w:tabs>
        <w:spacing w:before="0" w:after="0"/>
        <w:rPr>
          <w:rFonts w:ascii="宋体" w:hAnsi="宋体" w:cs="宋体"/>
          <w:b w:val="0"/>
          <w:bCs w:val="0"/>
          <w:sz w:val="28"/>
          <w:szCs w:val="28"/>
        </w:rPr>
      </w:pPr>
      <w:r>
        <w:rPr>
          <w:rFonts w:hint="eastAsia" w:ascii="宋体" w:hAnsi="宋体" w:cs="宋体"/>
          <w:sz w:val="28"/>
          <w:szCs w:val="28"/>
        </w:rPr>
        <w:t>6.主要交付成果物</w:t>
      </w:r>
    </w:p>
    <w:p>
      <w:pPr>
        <w:pStyle w:val="71"/>
        <w:widowControl/>
        <w:ind w:firstLine="420"/>
        <w:rPr>
          <w:rFonts w:ascii="宋体" w:hAnsi="宋体" w:cs="宋体"/>
          <w:sz w:val="24"/>
          <w:szCs w:val="24"/>
        </w:rPr>
      </w:pPr>
      <w:r>
        <w:rPr>
          <w:rFonts w:hint="eastAsia" w:ascii="宋体" w:hAnsi="宋体" w:cs="宋体"/>
          <w:sz w:val="24"/>
          <w:szCs w:val="24"/>
        </w:rPr>
        <w:t>（1）测试方案和计划：应当包括各阶段各种测试类型的测试方案和计划。</w:t>
      </w:r>
    </w:p>
    <w:p>
      <w:pPr>
        <w:pStyle w:val="71"/>
        <w:widowControl/>
        <w:ind w:firstLine="420"/>
        <w:rPr>
          <w:rFonts w:ascii="宋体" w:hAnsi="宋体" w:cs="宋体"/>
          <w:sz w:val="24"/>
          <w:szCs w:val="24"/>
        </w:rPr>
      </w:pPr>
      <w:r>
        <w:rPr>
          <w:rFonts w:hint="eastAsia" w:ascii="宋体" w:hAnsi="宋体" w:cs="宋体"/>
          <w:sz w:val="24"/>
          <w:szCs w:val="24"/>
        </w:rPr>
        <w:t>（2）测试说明：应当包括测试标准和规范说明、测试设计说明、测试用例说明和测试规程说明。</w:t>
      </w:r>
    </w:p>
    <w:p>
      <w:pPr>
        <w:pStyle w:val="71"/>
        <w:widowControl/>
        <w:ind w:firstLine="420"/>
        <w:rPr>
          <w:rFonts w:ascii="宋体" w:hAnsi="宋体" w:cs="宋体"/>
          <w:sz w:val="24"/>
          <w:szCs w:val="24"/>
        </w:rPr>
      </w:pPr>
      <w:r>
        <w:rPr>
          <w:rFonts w:hint="eastAsia" w:ascii="宋体" w:hAnsi="宋体" w:cs="宋体"/>
          <w:sz w:val="24"/>
          <w:szCs w:val="24"/>
        </w:rPr>
        <w:t>（3）测试报告：应当包括各测试阶段和测试类型的测试报告。交付成果物应当满足科学性、完整性和准确性的要求。</w:t>
      </w:r>
    </w:p>
    <w:p>
      <w:pPr>
        <w:pStyle w:val="71"/>
        <w:widowControl/>
        <w:ind w:firstLine="420"/>
        <w:rPr>
          <w:rFonts w:ascii="宋体" w:hAnsi="宋体" w:cs="宋体"/>
          <w:sz w:val="24"/>
          <w:szCs w:val="24"/>
        </w:rPr>
      </w:pPr>
      <w:r>
        <w:rPr>
          <w:rFonts w:hint="eastAsia" w:ascii="宋体" w:hAnsi="宋体" w:cs="宋体"/>
          <w:sz w:val="24"/>
          <w:szCs w:val="24"/>
        </w:rPr>
        <w:t>（4）完成准则：中标方提供的所有测试类型的测试均已通过，并且《软件测试报告》和相关文档经招标方确认，视为软件测试完成。</w:t>
      </w:r>
    </w:p>
    <w:p/>
    <w:p>
      <w:pPr>
        <w:pStyle w:val="3"/>
        <w:widowControl/>
        <w:tabs>
          <w:tab w:val="left" w:pos="567"/>
        </w:tabs>
        <w:spacing w:line="412" w:lineRule="auto"/>
        <w:rPr>
          <w:rFonts w:ascii="宋体" w:hAnsi="宋体" w:cs="宋体"/>
          <w:b/>
          <w:bCs/>
          <w:kern w:val="2"/>
          <w:sz w:val="28"/>
          <w:szCs w:val="28"/>
        </w:rPr>
      </w:pPr>
      <w:r>
        <w:rPr>
          <w:rFonts w:hint="eastAsia" w:ascii="宋体" w:hAnsi="宋体" w:cs="宋体"/>
          <w:b/>
          <w:bCs/>
          <w:kern w:val="2"/>
          <w:sz w:val="28"/>
          <w:szCs w:val="28"/>
        </w:rPr>
        <w:t>（七）系统维护期要求</w:t>
      </w:r>
      <w:bookmarkEnd w:id="53"/>
    </w:p>
    <w:p>
      <w:pPr>
        <w:pStyle w:val="71"/>
        <w:widowControl/>
        <w:ind w:firstLine="420"/>
        <w:rPr>
          <w:rFonts w:ascii="宋体" w:hAnsi="宋体" w:cs="宋体"/>
          <w:sz w:val="24"/>
          <w:szCs w:val="24"/>
        </w:rPr>
      </w:pPr>
      <w:r>
        <w:rPr>
          <w:rFonts w:hint="eastAsia" w:ascii="宋体" w:hAnsi="宋体" w:cs="宋体"/>
          <w:sz w:val="24"/>
          <w:szCs w:val="24"/>
        </w:rPr>
        <w:t>1.自宁波市财政局对软件系统验收合格之日起，开发公司须提供并现场派驻不少于10名由宁波市财政局认可的技术人员，负责一年内的运行维护（包括软件升级、错误及维护性修改等，维护人员须常驻宁波，费用计入总价）。</w:t>
      </w:r>
    </w:p>
    <w:p>
      <w:pPr>
        <w:pStyle w:val="71"/>
        <w:widowControl/>
        <w:ind w:firstLine="420"/>
        <w:rPr>
          <w:rFonts w:ascii="宋体" w:hAnsi="宋体" w:cs="宋体"/>
          <w:sz w:val="24"/>
          <w:szCs w:val="24"/>
        </w:rPr>
      </w:pPr>
      <w:r>
        <w:rPr>
          <w:rFonts w:hint="eastAsia" w:ascii="宋体" w:hAnsi="宋体" w:cs="宋体"/>
          <w:sz w:val="24"/>
          <w:szCs w:val="24"/>
        </w:rPr>
        <w:t>在开发和维护期间的中标方人员变化必须经过宁波市财政局方面本项目的负责人同意。在服务期中一般不允许进行人员更换，如因特殊原因确实需要进行维护人员变换的，需提前通知局方并指定新更换的人员，在征得局方认可同意后，才能进行人员更换。在项目执行过程中，如局方认为项目小组中工程师未具备维护的基本能力或不遵守局方相应工作规定的，有权要求维护公司进行人员变换。</w:t>
      </w:r>
    </w:p>
    <w:p>
      <w:pPr>
        <w:pStyle w:val="71"/>
        <w:widowControl/>
        <w:ind w:firstLine="420"/>
        <w:rPr>
          <w:rFonts w:ascii="宋体" w:hAnsi="宋体" w:cs="宋体"/>
          <w:sz w:val="24"/>
          <w:szCs w:val="24"/>
        </w:rPr>
      </w:pPr>
      <w:r>
        <w:rPr>
          <w:rFonts w:hint="eastAsia" w:ascii="宋体" w:hAnsi="宋体" w:cs="宋体"/>
          <w:sz w:val="24"/>
          <w:szCs w:val="24"/>
        </w:rPr>
        <w:t>2.中标方必须提供详细的技术支持和服务方案。</w:t>
      </w:r>
    </w:p>
    <w:p>
      <w:pPr>
        <w:pStyle w:val="3"/>
        <w:widowControl/>
        <w:tabs>
          <w:tab w:val="left" w:pos="567"/>
        </w:tabs>
        <w:spacing w:line="412" w:lineRule="auto"/>
        <w:rPr>
          <w:rFonts w:ascii="宋体" w:hAnsi="宋体" w:cs="宋体"/>
          <w:b/>
          <w:bCs/>
          <w:kern w:val="2"/>
          <w:sz w:val="28"/>
          <w:szCs w:val="28"/>
        </w:rPr>
      </w:pPr>
      <w:bookmarkStart w:id="54" w:name="_Toc153868129"/>
      <w:bookmarkEnd w:id="54"/>
      <w:bookmarkStart w:id="55" w:name="_Toc154393935"/>
      <w:bookmarkEnd w:id="55"/>
      <w:bookmarkStart w:id="56" w:name="_Toc405378668"/>
      <w:bookmarkEnd w:id="56"/>
      <w:bookmarkStart w:id="57" w:name="_Toc402788917"/>
      <w:bookmarkEnd w:id="57"/>
      <w:bookmarkStart w:id="58" w:name="_Toc154145262"/>
      <w:bookmarkEnd w:id="58"/>
      <w:bookmarkStart w:id="59" w:name="_Toc155238194"/>
      <w:bookmarkEnd w:id="59"/>
      <w:bookmarkStart w:id="60" w:name="_Toc107695019"/>
      <w:bookmarkEnd w:id="60"/>
      <w:bookmarkStart w:id="61" w:name="_Toc259008498"/>
      <w:r>
        <w:rPr>
          <w:rFonts w:hint="eastAsia" w:ascii="宋体" w:hAnsi="宋体" w:cs="宋体"/>
          <w:b/>
          <w:bCs/>
          <w:kern w:val="2"/>
          <w:sz w:val="28"/>
          <w:szCs w:val="28"/>
        </w:rPr>
        <w:t>（八）所有权声明</w:t>
      </w:r>
      <w:bookmarkEnd w:id="61"/>
    </w:p>
    <w:p>
      <w:pPr>
        <w:pStyle w:val="71"/>
        <w:widowControl/>
        <w:ind w:firstLine="420"/>
        <w:rPr>
          <w:rFonts w:ascii="宋体" w:hAnsi="宋体" w:cs="宋体"/>
          <w:sz w:val="24"/>
          <w:szCs w:val="24"/>
        </w:rPr>
      </w:pPr>
      <w:r>
        <w:rPr>
          <w:rFonts w:hint="eastAsia" w:ascii="宋体" w:hAnsi="宋体" w:cs="宋体"/>
          <w:sz w:val="24"/>
          <w:szCs w:val="24"/>
        </w:rPr>
        <w:t>1.招标方对项目实施过程中所产生的所有成果（包括发明、发现、可运行系统、源代码及相关技术资料、文档等）享有所有权（永久使用权、复制权和修改权等）。除本项目工作所需外，未经招标方书面同意，中标方不得擅自使用、复制招标方的商标、标志、数据信息、文档及其他资料。</w:t>
      </w:r>
    </w:p>
    <w:p>
      <w:pPr>
        <w:pStyle w:val="71"/>
        <w:widowControl/>
        <w:ind w:firstLine="420"/>
        <w:rPr>
          <w:rFonts w:ascii="宋体" w:hAnsi="宋体" w:cs="宋体"/>
          <w:sz w:val="24"/>
          <w:szCs w:val="24"/>
        </w:rPr>
      </w:pPr>
      <w:r>
        <w:rPr>
          <w:rFonts w:hint="eastAsia" w:ascii="宋体" w:hAnsi="宋体" w:cs="宋体"/>
          <w:sz w:val="24"/>
          <w:szCs w:val="24"/>
        </w:rPr>
        <w:t>2.中标方应保证在本项目中所有预装和为本项目安装的软件为在中国境内具有合法版权或使用权的正版软件且无质量瑕疵。</w:t>
      </w:r>
    </w:p>
    <w:p>
      <w:pPr>
        <w:pStyle w:val="71"/>
        <w:widowControl/>
        <w:ind w:firstLine="420"/>
        <w:rPr>
          <w:rFonts w:ascii="宋体" w:hAnsi="宋体" w:cs="宋体"/>
          <w:sz w:val="24"/>
          <w:szCs w:val="24"/>
        </w:rPr>
      </w:pPr>
      <w:r>
        <w:rPr>
          <w:rFonts w:hint="eastAsia" w:ascii="宋体" w:hAnsi="宋体" w:cs="宋体"/>
          <w:sz w:val="24"/>
          <w:szCs w:val="24"/>
        </w:rPr>
        <w:t>3.中标方应保证其所提供的产品及服务不侵犯第三方的知识产权，否则，由此给招标方造成的一切损失由中标方承担。</w:t>
      </w:r>
    </w:p>
    <w:p>
      <w:pPr>
        <w:pStyle w:val="2"/>
        <w:rPr>
          <w:rFonts w:ascii="Cambria" w:hAnsi="Cambria"/>
          <w:b/>
          <w:bCs/>
          <w:kern w:val="2"/>
          <w:sz w:val="28"/>
          <w:szCs w:val="28"/>
        </w:rPr>
      </w:pPr>
      <w:r>
        <w:rPr>
          <w:rFonts w:hint="eastAsia" w:ascii="Cambria" w:hAnsi="Cambria"/>
          <w:b/>
          <w:bCs/>
          <w:kern w:val="2"/>
          <w:sz w:val="28"/>
          <w:szCs w:val="28"/>
        </w:rPr>
        <w:t>十五、上线运行、培训和推广</w:t>
      </w:r>
    </w:p>
    <w:p>
      <w:pPr>
        <w:pStyle w:val="3"/>
        <w:widowControl/>
        <w:tabs>
          <w:tab w:val="left" w:pos="567"/>
        </w:tabs>
        <w:spacing w:line="412" w:lineRule="auto"/>
        <w:rPr>
          <w:rFonts w:ascii="宋体" w:hAnsi="宋体" w:cs="宋体"/>
          <w:b/>
          <w:bCs/>
          <w:kern w:val="2"/>
          <w:sz w:val="28"/>
          <w:szCs w:val="28"/>
        </w:rPr>
      </w:pPr>
      <w:r>
        <w:rPr>
          <w:rFonts w:hint="eastAsia" w:ascii="宋体" w:hAnsi="宋体" w:cs="宋体"/>
          <w:b/>
          <w:bCs/>
          <w:kern w:val="2"/>
          <w:sz w:val="28"/>
          <w:szCs w:val="28"/>
        </w:rPr>
        <w:t>（一）上线运行要求</w:t>
      </w:r>
    </w:p>
    <w:p>
      <w:pPr>
        <w:pStyle w:val="71"/>
        <w:widowControl/>
        <w:ind w:firstLine="420"/>
        <w:rPr>
          <w:rFonts w:ascii="宋体" w:hAnsi="宋体" w:cs="宋体"/>
          <w:sz w:val="24"/>
          <w:szCs w:val="24"/>
        </w:rPr>
      </w:pPr>
      <w:r>
        <w:rPr>
          <w:rFonts w:hint="eastAsia" w:ascii="宋体" w:hAnsi="宋体" w:cs="宋体"/>
          <w:sz w:val="24"/>
          <w:szCs w:val="24"/>
        </w:rPr>
        <w:t>本项目的上线运行是指完成软件测试后，移植到生产环境下的运行。</w:t>
      </w:r>
    </w:p>
    <w:p>
      <w:pPr>
        <w:pStyle w:val="71"/>
        <w:widowControl/>
        <w:ind w:firstLine="420"/>
        <w:rPr>
          <w:rFonts w:ascii="宋体" w:hAnsi="宋体" w:cs="宋体"/>
          <w:sz w:val="24"/>
          <w:szCs w:val="24"/>
        </w:rPr>
      </w:pPr>
      <w:r>
        <w:rPr>
          <w:rFonts w:hint="eastAsia" w:ascii="宋体" w:hAnsi="宋体" w:cs="宋体"/>
          <w:sz w:val="24"/>
          <w:szCs w:val="24"/>
        </w:rPr>
        <w:t xml:space="preserve"> 1.中标方应完成运行前的环境准备工作，制定《上线运行工作总体实施方案》。</w:t>
      </w:r>
    </w:p>
    <w:p>
      <w:pPr>
        <w:pStyle w:val="71"/>
        <w:widowControl/>
        <w:ind w:firstLine="420"/>
        <w:rPr>
          <w:rFonts w:ascii="宋体" w:hAnsi="宋体" w:cs="宋体"/>
          <w:sz w:val="24"/>
          <w:szCs w:val="24"/>
        </w:rPr>
      </w:pPr>
      <w:r>
        <w:rPr>
          <w:rFonts w:hint="eastAsia" w:ascii="宋体" w:hAnsi="宋体" w:cs="宋体"/>
          <w:sz w:val="24"/>
          <w:szCs w:val="24"/>
        </w:rPr>
        <w:t xml:space="preserve"> 2.中标方应按照招标方确定的上线单位的范围和规模以及工作量大小，充分准备各类资源（人员、设备、用户手册、系统维护手册等），并进行合理配置，能够满足招标方上线工作的要求。</w:t>
      </w:r>
    </w:p>
    <w:p>
      <w:pPr>
        <w:pStyle w:val="71"/>
        <w:widowControl/>
        <w:ind w:firstLine="420"/>
        <w:rPr>
          <w:rFonts w:ascii="宋体" w:hAnsi="宋体" w:cs="宋体"/>
          <w:sz w:val="24"/>
          <w:szCs w:val="24"/>
        </w:rPr>
      </w:pPr>
      <w:r>
        <w:rPr>
          <w:rFonts w:hint="eastAsia" w:ascii="宋体" w:hAnsi="宋体" w:cs="宋体"/>
          <w:sz w:val="24"/>
          <w:szCs w:val="24"/>
        </w:rPr>
        <w:t xml:space="preserve"> 3.中标方应承担项目包含系统的安装部署、系统联调、和其他相关系统接口联调和日常技术支持等工作。</w:t>
      </w:r>
    </w:p>
    <w:p>
      <w:pPr>
        <w:pStyle w:val="71"/>
        <w:widowControl/>
        <w:ind w:firstLine="420"/>
        <w:rPr>
          <w:rFonts w:ascii="宋体" w:hAnsi="宋体" w:cs="宋体"/>
          <w:sz w:val="24"/>
          <w:szCs w:val="24"/>
        </w:rPr>
      </w:pPr>
      <w:r>
        <w:rPr>
          <w:rFonts w:hint="eastAsia" w:ascii="宋体" w:hAnsi="宋体" w:cs="宋体"/>
          <w:sz w:val="24"/>
          <w:szCs w:val="24"/>
        </w:rPr>
        <w:t xml:space="preserve"> 4.中标方应负责收集软件运行过程中发现的问题和用户的二次需求，修改完善应用软件功能，优化系统性能。</w:t>
      </w:r>
    </w:p>
    <w:p>
      <w:pPr>
        <w:pStyle w:val="71"/>
        <w:widowControl/>
        <w:ind w:firstLine="420"/>
        <w:rPr>
          <w:rFonts w:ascii="宋体" w:hAnsi="宋体" w:cs="宋体"/>
          <w:sz w:val="24"/>
          <w:szCs w:val="24"/>
        </w:rPr>
      </w:pPr>
      <w:r>
        <w:rPr>
          <w:rFonts w:hint="eastAsia" w:ascii="宋体" w:hAnsi="宋体" w:cs="宋体"/>
          <w:sz w:val="24"/>
          <w:szCs w:val="24"/>
        </w:rPr>
        <w:t xml:space="preserve"> 5.中标方应承担发现问题、提交问题、修改问题的责任，按照宁波市财政局统一的问题处理流程执行，问题处理清单须经招标方确认。</w:t>
      </w:r>
    </w:p>
    <w:p>
      <w:pPr>
        <w:pStyle w:val="71"/>
        <w:widowControl/>
        <w:ind w:firstLine="420"/>
        <w:rPr>
          <w:rFonts w:ascii="宋体" w:hAnsi="宋体" w:cs="宋体"/>
          <w:sz w:val="24"/>
          <w:szCs w:val="24"/>
        </w:rPr>
      </w:pPr>
      <w:r>
        <w:rPr>
          <w:rFonts w:hint="eastAsia" w:ascii="宋体" w:hAnsi="宋体" w:cs="宋体"/>
          <w:sz w:val="24"/>
          <w:szCs w:val="24"/>
        </w:rPr>
        <w:t xml:space="preserve"> 6.中标方开发的软件存在缺陷或中标方配合不到位等原因，导致试运行工作失败或延期，责任由中标方承担。</w:t>
      </w:r>
    </w:p>
    <w:p>
      <w:pPr>
        <w:pStyle w:val="3"/>
        <w:widowControl/>
        <w:tabs>
          <w:tab w:val="left" w:pos="567"/>
        </w:tabs>
        <w:spacing w:line="412" w:lineRule="auto"/>
        <w:rPr>
          <w:rFonts w:ascii="宋体" w:hAnsi="宋体" w:cs="宋体"/>
          <w:b/>
          <w:bCs/>
          <w:kern w:val="2"/>
          <w:sz w:val="28"/>
          <w:szCs w:val="28"/>
        </w:rPr>
      </w:pPr>
      <w:r>
        <w:rPr>
          <w:rFonts w:hint="eastAsia" w:ascii="宋体" w:hAnsi="宋体" w:cs="宋体"/>
          <w:b/>
          <w:bCs/>
          <w:kern w:val="2"/>
          <w:sz w:val="28"/>
          <w:szCs w:val="28"/>
        </w:rPr>
        <w:t>（二）培训要求</w:t>
      </w:r>
    </w:p>
    <w:p>
      <w:pPr>
        <w:pStyle w:val="71"/>
        <w:widowControl/>
        <w:ind w:firstLine="504"/>
        <w:jc w:val="left"/>
        <w:rPr>
          <w:rFonts w:ascii="宋体" w:hAnsi="宋体" w:cs="宋体"/>
          <w:sz w:val="24"/>
          <w:szCs w:val="24"/>
        </w:rPr>
      </w:pPr>
      <w:r>
        <w:rPr>
          <w:rFonts w:hint="eastAsia" w:ascii="宋体" w:hAnsi="宋体" w:cs="宋体"/>
          <w:sz w:val="24"/>
          <w:szCs w:val="24"/>
        </w:rPr>
        <w:t xml:space="preserve"> 1.本项目的培训，是指中标方对招标方要求的使用和维护该软件的人员进行培训。</w:t>
      </w:r>
    </w:p>
    <w:p>
      <w:pPr>
        <w:pStyle w:val="71"/>
        <w:widowControl/>
        <w:ind w:firstLine="504"/>
        <w:jc w:val="left"/>
        <w:rPr>
          <w:rFonts w:ascii="宋体" w:hAnsi="宋体" w:cs="宋体"/>
          <w:sz w:val="24"/>
          <w:szCs w:val="24"/>
        </w:rPr>
      </w:pPr>
      <w:r>
        <w:rPr>
          <w:rFonts w:hint="eastAsia" w:ascii="宋体" w:hAnsi="宋体" w:cs="宋体"/>
          <w:sz w:val="24"/>
          <w:szCs w:val="24"/>
        </w:rPr>
        <w:t>中标供应商有义务无偿培训招标方的技术人员，实现招标方的自我支持能力以及源代码级的自我维护能力。</w:t>
      </w:r>
    </w:p>
    <w:p>
      <w:pPr>
        <w:pStyle w:val="71"/>
        <w:widowControl/>
        <w:ind w:firstLine="504"/>
        <w:jc w:val="left"/>
        <w:rPr>
          <w:rFonts w:ascii="宋体" w:hAnsi="宋体" w:cs="宋体"/>
          <w:sz w:val="24"/>
          <w:szCs w:val="24"/>
        </w:rPr>
      </w:pPr>
      <w:r>
        <w:rPr>
          <w:rFonts w:hint="eastAsia" w:ascii="宋体" w:hAnsi="宋体" w:cs="宋体"/>
          <w:sz w:val="24"/>
          <w:szCs w:val="24"/>
        </w:rPr>
        <w:t xml:space="preserve"> 2.培训由中标方负责师资及教材，由招标方提供场地和培训设备并负责组织实施。中标方必须派出用户认可的具有相关专业资格和实际工作经验的教师及辅导人员进行培训，主要培训教员至少应具有三年的同等内容的教学经验。</w:t>
      </w:r>
    </w:p>
    <w:p>
      <w:pPr>
        <w:pStyle w:val="71"/>
        <w:widowControl/>
        <w:ind w:firstLine="504"/>
        <w:jc w:val="left"/>
        <w:rPr>
          <w:rFonts w:ascii="宋体" w:hAnsi="宋体" w:cs="宋体"/>
          <w:sz w:val="24"/>
          <w:szCs w:val="24"/>
        </w:rPr>
      </w:pPr>
      <w:r>
        <w:rPr>
          <w:rFonts w:hint="eastAsia" w:ascii="宋体" w:hAnsi="宋体" w:cs="宋体"/>
          <w:sz w:val="24"/>
          <w:szCs w:val="24"/>
        </w:rPr>
        <w:t xml:space="preserve"> 3.中标方应详细制定人员培训方案，包括培训目的、培训时间安排、人数、次数、教材编写（列出教材基本内容）、培训课程（包括课程介绍）、培训师资情况（包括教师简历）、培训组织方式等。</w:t>
      </w:r>
    </w:p>
    <w:p>
      <w:pPr>
        <w:pStyle w:val="71"/>
        <w:widowControl/>
        <w:ind w:firstLine="504"/>
        <w:jc w:val="lef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4"/>
          <w:szCs w:val="24"/>
          <w:highlight w:val="yellow"/>
        </w:rPr>
        <w:t>4.培训费用分别单列，并计入总报价。</w:t>
      </w:r>
    </w:p>
    <w:p>
      <w:pPr>
        <w:pStyle w:val="3"/>
        <w:widowControl/>
        <w:tabs>
          <w:tab w:val="left" w:pos="567"/>
        </w:tabs>
        <w:spacing w:line="412" w:lineRule="auto"/>
        <w:rPr>
          <w:rFonts w:ascii="宋体" w:hAnsi="宋体" w:cs="宋体"/>
          <w:b/>
          <w:bCs/>
          <w:kern w:val="2"/>
          <w:sz w:val="28"/>
          <w:szCs w:val="28"/>
        </w:rPr>
      </w:pPr>
      <w:r>
        <w:rPr>
          <w:rFonts w:hint="eastAsia" w:ascii="宋体" w:hAnsi="宋体" w:cs="宋体"/>
          <w:b/>
          <w:bCs/>
          <w:kern w:val="2"/>
          <w:sz w:val="28"/>
          <w:szCs w:val="28"/>
        </w:rPr>
        <w:t>（三）推广</w:t>
      </w:r>
    </w:p>
    <w:p>
      <w:pPr>
        <w:pStyle w:val="71"/>
        <w:widowControl/>
        <w:ind w:firstLine="504"/>
        <w:jc w:val="left"/>
        <w:rPr>
          <w:rFonts w:ascii="宋体" w:hAnsi="宋体" w:cs="宋体"/>
          <w:sz w:val="24"/>
          <w:szCs w:val="24"/>
        </w:rPr>
      </w:pPr>
      <w:r>
        <w:rPr>
          <w:rFonts w:hint="eastAsia" w:ascii="宋体" w:hAnsi="宋体" w:cs="宋体"/>
          <w:sz w:val="24"/>
          <w:szCs w:val="24"/>
        </w:rPr>
        <w:t>1.在软件系统推广应用时，中标方必须根据招标方要求同步完成原宁波市财政系统历史数据的迁移，保证新老系统的顺利切换。同时需解决项目包含系统与其他应用系统的接口问题，保证正常运行。</w:t>
      </w:r>
    </w:p>
    <w:p>
      <w:pPr>
        <w:pStyle w:val="71"/>
        <w:widowControl/>
        <w:ind w:firstLine="504"/>
        <w:jc w:val="left"/>
        <w:rPr>
          <w:rFonts w:ascii="宋体" w:hAnsi="宋体" w:cs="宋体"/>
          <w:sz w:val="24"/>
          <w:szCs w:val="24"/>
        </w:rPr>
      </w:pPr>
      <w:r>
        <w:rPr>
          <w:rFonts w:hint="eastAsia" w:ascii="宋体" w:hAnsi="宋体" w:cs="宋体"/>
          <w:sz w:val="24"/>
          <w:szCs w:val="24"/>
        </w:rPr>
        <w:t>2.中标方应详细制定推广方案，推广费用分别单列，并计入总报价。</w:t>
      </w:r>
    </w:p>
    <w:p>
      <w:pPr>
        <w:pStyle w:val="2"/>
        <w:rPr>
          <w:rFonts w:ascii="宋体" w:hAnsi="宋体" w:cs="宋体"/>
          <w:b/>
          <w:bCs/>
          <w:kern w:val="2"/>
          <w:sz w:val="28"/>
          <w:szCs w:val="28"/>
        </w:rPr>
      </w:pPr>
      <w:r>
        <w:rPr>
          <w:rFonts w:hint="eastAsia" w:ascii="宋体" w:hAnsi="宋体" w:cs="宋体"/>
          <w:b/>
          <w:bCs/>
          <w:kern w:val="2"/>
          <w:sz w:val="28"/>
          <w:szCs w:val="28"/>
        </w:rPr>
        <w:t>十六、运维要求</w:t>
      </w:r>
    </w:p>
    <w:p>
      <w:pPr>
        <w:pStyle w:val="71"/>
        <w:widowControl/>
        <w:ind w:firstLine="504"/>
        <w:jc w:val="left"/>
        <w:rPr>
          <w:rFonts w:ascii="宋体" w:hAnsi="宋体" w:cs="宋体"/>
          <w:sz w:val="24"/>
          <w:szCs w:val="24"/>
        </w:rPr>
      </w:pPr>
      <w:r>
        <w:rPr>
          <w:rFonts w:hint="eastAsia" w:ascii="宋体" w:hAnsi="宋体" w:cs="宋体"/>
          <w:sz w:val="24"/>
          <w:szCs w:val="24"/>
        </w:rPr>
        <w:t>为了保持项目的正常和高效运行，要建立高效、智能的运维服务体系。</w:t>
      </w:r>
      <w:r>
        <w:rPr>
          <w:rFonts w:hint="eastAsia" w:ascii="宋体" w:hAnsi="宋体"/>
          <w:sz w:val="24"/>
        </w:rPr>
        <w:t>对运维工作实行规范化、流程化管理，提高运维工作效率，确保问题快速定位并解决，信息安全可控可查，不断优化运行效率和性能，提高决策能力、管理能力和应急能力，实现自动化运维。</w:t>
      </w:r>
    </w:p>
    <w:p>
      <w:pPr>
        <w:pStyle w:val="3"/>
        <w:widowControl/>
        <w:tabs>
          <w:tab w:val="left" w:pos="567"/>
        </w:tabs>
        <w:spacing w:line="412" w:lineRule="auto"/>
        <w:rPr>
          <w:rFonts w:ascii="宋体" w:hAnsi="宋体" w:cs="宋体"/>
          <w:b/>
          <w:sz w:val="24"/>
        </w:rPr>
      </w:pPr>
      <w:r>
        <w:rPr>
          <w:rFonts w:hint="eastAsia" w:ascii="宋体" w:hAnsi="宋体" w:cs="宋体"/>
          <w:b/>
          <w:sz w:val="24"/>
        </w:rPr>
        <w:t>（一）投标方承担的主要运维任务</w:t>
      </w:r>
    </w:p>
    <w:p>
      <w:pPr>
        <w:pStyle w:val="71"/>
        <w:widowControl/>
        <w:ind w:firstLine="504"/>
        <w:jc w:val="left"/>
        <w:rPr>
          <w:rFonts w:ascii="宋体" w:hAnsi="宋体" w:cs="宋体"/>
          <w:sz w:val="24"/>
          <w:szCs w:val="24"/>
        </w:rPr>
      </w:pPr>
      <w:r>
        <w:rPr>
          <w:rFonts w:hint="eastAsia" w:ascii="宋体" w:hAnsi="宋体" w:cs="宋体"/>
          <w:sz w:val="24"/>
          <w:szCs w:val="24"/>
        </w:rPr>
        <w:t>1.负责技术支持，及时解答并处理全市用户使用系统过程中的问题。</w:t>
      </w:r>
    </w:p>
    <w:p>
      <w:pPr>
        <w:pStyle w:val="71"/>
        <w:widowControl/>
        <w:ind w:firstLine="504"/>
        <w:jc w:val="left"/>
        <w:rPr>
          <w:rFonts w:ascii="宋体" w:hAnsi="宋体" w:cs="宋体"/>
          <w:sz w:val="24"/>
          <w:szCs w:val="24"/>
        </w:rPr>
      </w:pPr>
      <w:r>
        <w:rPr>
          <w:rFonts w:hint="eastAsia" w:ascii="宋体" w:hAnsi="宋体" w:cs="宋体"/>
          <w:sz w:val="24"/>
          <w:szCs w:val="24"/>
        </w:rPr>
        <w:t>2.使用宁波财政局ITSM运维管理系统，记录每项技术支持工作，并将各类问题整理归类，录入ITSM知识库中。★</w:t>
      </w:r>
    </w:p>
    <w:p>
      <w:pPr>
        <w:pStyle w:val="71"/>
        <w:widowControl/>
        <w:ind w:firstLine="504"/>
        <w:jc w:val="left"/>
        <w:rPr>
          <w:rFonts w:ascii="宋体" w:hAnsi="宋体" w:cs="宋体"/>
          <w:sz w:val="24"/>
          <w:szCs w:val="24"/>
        </w:rPr>
      </w:pPr>
      <w:r>
        <w:rPr>
          <w:rFonts w:hint="eastAsia" w:ascii="宋体" w:hAnsi="宋体" w:cs="宋体"/>
          <w:sz w:val="24"/>
          <w:szCs w:val="24"/>
        </w:rPr>
        <w:t>3.对系统日常运行中所出现的问题进行处理，并且按月整理所处理的问题，编制报告。技术类问题报电子财税管理中心，业务类问题报预算局。</w:t>
      </w:r>
    </w:p>
    <w:p>
      <w:pPr>
        <w:pStyle w:val="71"/>
        <w:widowControl/>
        <w:ind w:firstLine="504"/>
        <w:jc w:val="left"/>
        <w:rPr>
          <w:rFonts w:ascii="宋体" w:hAnsi="宋体" w:cs="宋体"/>
          <w:sz w:val="24"/>
          <w:szCs w:val="24"/>
        </w:rPr>
      </w:pPr>
      <w:r>
        <w:rPr>
          <w:rFonts w:hint="eastAsia" w:ascii="宋体" w:hAnsi="宋体" w:cs="宋体"/>
          <w:sz w:val="24"/>
          <w:szCs w:val="24"/>
        </w:rPr>
        <w:t>4.有计划地修复系统运行过程中发现的故障问题。</w:t>
      </w:r>
    </w:p>
    <w:p>
      <w:pPr>
        <w:pStyle w:val="71"/>
        <w:widowControl/>
        <w:ind w:firstLine="504"/>
        <w:jc w:val="left"/>
        <w:rPr>
          <w:rFonts w:ascii="宋体" w:hAnsi="宋体" w:cs="宋体"/>
          <w:sz w:val="24"/>
          <w:szCs w:val="24"/>
        </w:rPr>
      </w:pPr>
      <w:r>
        <w:rPr>
          <w:rFonts w:hint="eastAsia" w:ascii="宋体" w:hAnsi="宋体" w:cs="宋体"/>
          <w:sz w:val="24"/>
          <w:szCs w:val="24"/>
        </w:rPr>
        <w:t>5.根据业务需求变动，分析业务需求，制定实现方案并实施开发测试。</w:t>
      </w:r>
    </w:p>
    <w:p>
      <w:pPr>
        <w:pStyle w:val="71"/>
        <w:widowControl/>
        <w:ind w:firstLine="504"/>
        <w:jc w:val="left"/>
        <w:rPr>
          <w:rFonts w:ascii="宋体" w:hAnsi="宋体" w:cs="宋体"/>
          <w:sz w:val="24"/>
          <w:szCs w:val="24"/>
        </w:rPr>
      </w:pPr>
      <w:r>
        <w:rPr>
          <w:rFonts w:hint="eastAsia" w:ascii="宋体" w:hAnsi="宋体" w:cs="宋体"/>
          <w:sz w:val="24"/>
          <w:szCs w:val="24"/>
        </w:rPr>
        <w:t>6.处理系统的突发事件，使得这些系统能够在最短的时间内恢复正常运转。</w:t>
      </w:r>
    </w:p>
    <w:p>
      <w:pPr>
        <w:pStyle w:val="71"/>
        <w:widowControl/>
        <w:ind w:firstLine="504"/>
        <w:jc w:val="left"/>
        <w:rPr>
          <w:rFonts w:ascii="宋体" w:hAnsi="宋体" w:cs="宋体"/>
          <w:sz w:val="24"/>
          <w:szCs w:val="24"/>
        </w:rPr>
      </w:pPr>
      <w:r>
        <w:rPr>
          <w:rFonts w:hint="eastAsia" w:ascii="宋体" w:hAnsi="宋体" w:cs="宋体"/>
          <w:sz w:val="24"/>
          <w:szCs w:val="24"/>
        </w:rPr>
        <w:t>7.根据招标方要求进行数据维护。每月对数据进行合法性检查，根据检查结果配合宁波财政局完成数据清洗，保证数据质量。对用户提交的数据修改单进行处理并反馈结果。</w:t>
      </w:r>
    </w:p>
    <w:p>
      <w:pPr>
        <w:pStyle w:val="71"/>
        <w:widowControl/>
        <w:ind w:firstLine="504"/>
        <w:jc w:val="left"/>
        <w:rPr>
          <w:rFonts w:ascii="宋体" w:hAnsi="宋体" w:cs="宋体"/>
          <w:sz w:val="24"/>
          <w:szCs w:val="24"/>
        </w:rPr>
      </w:pPr>
      <w:r>
        <w:rPr>
          <w:rFonts w:hint="eastAsia" w:ascii="宋体" w:hAnsi="宋体" w:cs="宋体"/>
          <w:sz w:val="24"/>
          <w:szCs w:val="24"/>
        </w:rPr>
        <w:t>8.系统日常维护与健康状态检查。</w:t>
      </w:r>
    </w:p>
    <w:p>
      <w:pPr>
        <w:pStyle w:val="71"/>
        <w:widowControl/>
        <w:ind w:firstLine="504"/>
        <w:jc w:val="left"/>
        <w:rPr>
          <w:rFonts w:ascii="宋体" w:hAnsi="宋体" w:cs="宋体"/>
          <w:sz w:val="24"/>
          <w:szCs w:val="24"/>
        </w:rPr>
      </w:pPr>
      <w:r>
        <w:rPr>
          <w:rFonts w:hint="eastAsia" w:ascii="宋体" w:hAnsi="宋体" w:cs="宋体"/>
          <w:sz w:val="24"/>
          <w:szCs w:val="24"/>
        </w:rPr>
        <w:t>9.协助、配合招标方完成系统相关的网络、应用中间件架构调整。</w:t>
      </w:r>
    </w:p>
    <w:p>
      <w:pPr>
        <w:pStyle w:val="71"/>
        <w:widowControl/>
        <w:ind w:firstLine="504"/>
        <w:jc w:val="left"/>
        <w:rPr>
          <w:rFonts w:ascii="宋体" w:hAnsi="宋体" w:cs="宋体"/>
          <w:sz w:val="24"/>
          <w:szCs w:val="24"/>
        </w:rPr>
      </w:pPr>
      <w:r>
        <w:rPr>
          <w:rFonts w:hint="eastAsia" w:ascii="宋体" w:hAnsi="宋体" w:cs="宋体"/>
          <w:sz w:val="24"/>
          <w:szCs w:val="24"/>
        </w:rPr>
        <w:t>10.根据实际工作，修改、维护好系统后台及系统中间层。</w:t>
      </w:r>
    </w:p>
    <w:p>
      <w:pPr>
        <w:pStyle w:val="3"/>
        <w:widowControl/>
        <w:tabs>
          <w:tab w:val="left" w:pos="567"/>
        </w:tabs>
        <w:spacing w:line="412" w:lineRule="auto"/>
        <w:rPr>
          <w:rFonts w:ascii="宋体" w:hAnsi="宋体" w:cs="宋体"/>
          <w:b/>
          <w:sz w:val="24"/>
        </w:rPr>
      </w:pPr>
      <w:r>
        <w:rPr>
          <w:rFonts w:hint="eastAsia" w:ascii="宋体" w:hAnsi="宋体" w:cs="宋体"/>
          <w:b/>
          <w:sz w:val="24"/>
        </w:rPr>
        <w:t>（二）运维的主要交付物</w:t>
      </w:r>
    </w:p>
    <w:p>
      <w:pPr>
        <w:pStyle w:val="71"/>
        <w:widowControl/>
        <w:ind w:firstLine="504"/>
        <w:jc w:val="left"/>
        <w:rPr>
          <w:rFonts w:ascii="宋体" w:hAnsi="宋体" w:cs="宋体"/>
          <w:sz w:val="24"/>
          <w:szCs w:val="24"/>
        </w:rPr>
      </w:pPr>
      <w:r>
        <w:rPr>
          <w:rFonts w:hint="eastAsia" w:ascii="宋体" w:hAnsi="宋体" w:cs="宋体"/>
          <w:sz w:val="24"/>
          <w:szCs w:val="24"/>
        </w:rPr>
        <w:t>1.应用系统源代码</w:t>
      </w:r>
    </w:p>
    <w:p>
      <w:pPr>
        <w:pStyle w:val="71"/>
        <w:widowControl/>
        <w:ind w:firstLine="504"/>
        <w:jc w:val="left"/>
        <w:rPr>
          <w:rFonts w:ascii="宋体" w:hAnsi="宋体" w:cs="宋体"/>
          <w:sz w:val="24"/>
          <w:szCs w:val="24"/>
        </w:rPr>
      </w:pPr>
      <w:r>
        <w:rPr>
          <w:rFonts w:hint="eastAsia" w:ascii="宋体" w:hAnsi="宋体" w:cs="宋体"/>
          <w:sz w:val="24"/>
          <w:szCs w:val="24"/>
        </w:rPr>
        <w:t>系统生产环境的系统源代码，包括但不仅限于下表所述内容：</w:t>
      </w:r>
    </w:p>
    <w:tbl>
      <w:tblPr>
        <w:tblStyle w:val="23"/>
        <w:tblW w:w="0" w:type="auto"/>
        <w:tblInd w:w="108" w:type="dxa"/>
        <w:tblLayout w:type="fixed"/>
        <w:tblCellMar>
          <w:top w:w="0" w:type="dxa"/>
          <w:left w:w="108" w:type="dxa"/>
          <w:bottom w:w="0" w:type="dxa"/>
          <w:right w:w="108" w:type="dxa"/>
        </w:tblCellMar>
      </w:tblPr>
      <w:tblGrid>
        <w:gridCol w:w="3207"/>
        <w:gridCol w:w="1833"/>
        <w:gridCol w:w="2700"/>
      </w:tblGrid>
      <w:tr>
        <w:tc>
          <w:tcPr>
            <w:tcW w:w="3207"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交付物名称</w:t>
            </w:r>
          </w:p>
        </w:tc>
        <w:tc>
          <w:tcPr>
            <w:tcW w:w="1833" w:type="dxa"/>
            <w:tcBorders>
              <w:top w:val="single" w:color="000000" w:sz="4" w:space="0"/>
              <w:left w:val="nil"/>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介质形式</w:t>
            </w:r>
          </w:p>
        </w:tc>
        <w:tc>
          <w:tcPr>
            <w:tcW w:w="2700" w:type="dxa"/>
            <w:tcBorders>
              <w:top w:val="single" w:color="000000" w:sz="4" w:space="0"/>
              <w:left w:val="nil"/>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备注</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 Html</w:t>
            </w:r>
          </w:p>
        </w:tc>
        <w:tc>
          <w:tcPr>
            <w:tcW w:w="1833"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270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前端页面</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2"/>
              <w:widowControl/>
              <w:rPr>
                <w:rFonts w:ascii="宋体" w:hAnsi="宋体" w:eastAsia="宋体" w:cs="宋体"/>
                <w:kern w:val="2"/>
                <w:sz w:val="24"/>
                <w:szCs w:val="24"/>
              </w:rPr>
            </w:pPr>
            <w:r>
              <w:rPr>
                <w:rFonts w:hint="eastAsia" w:ascii="宋体" w:hAnsi="宋体" w:eastAsia="宋体" w:cs="宋体"/>
                <w:kern w:val="2"/>
                <w:sz w:val="24"/>
                <w:szCs w:val="24"/>
              </w:rPr>
              <w:t>*. Jsp</w:t>
            </w:r>
          </w:p>
        </w:tc>
        <w:tc>
          <w:tcPr>
            <w:tcW w:w="1833"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270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表示逻辑脚本</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 Js</w:t>
            </w:r>
          </w:p>
        </w:tc>
        <w:tc>
          <w:tcPr>
            <w:tcW w:w="1833"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270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页面逻辑脚本</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 Java</w:t>
            </w:r>
          </w:p>
        </w:tc>
        <w:tc>
          <w:tcPr>
            <w:tcW w:w="1833"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270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服务器程序</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 Sql</w:t>
            </w:r>
          </w:p>
        </w:tc>
        <w:tc>
          <w:tcPr>
            <w:tcW w:w="1833"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270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数据库脚本</w:t>
            </w:r>
          </w:p>
        </w:tc>
      </w:tr>
    </w:tbl>
    <w:p>
      <w:pPr>
        <w:pStyle w:val="71"/>
        <w:widowControl/>
        <w:ind w:firstLine="504"/>
        <w:jc w:val="left"/>
        <w:rPr>
          <w:rFonts w:ascii="宋体" w:hAnsi="宋体" w:cs="宋体"/>
          <w:sz w:val="24"/>
          <w:szCs w:val="24"/>
        </w:rPr>
      </w:pPr>
      <w:r>
        <w:rPr>
          <w:rFonts w:hint="eastAsia" w:ascii="宋体" w:hAnsi="宋体" w:cs="宋体"/>
          <w:sz w:val="24"/>
          <w:szCs w:val="24"/>
        </w:rPr>
        <w:t>2.应用系统目标代码</w:t>
      </w:r>
    </w:p>
    <w:p>
      <w:pPr>
        <w:pStyle w:val="71"/>
        <w:widowControl/>
        <w:ind w:firstLine="504"/>
        <w:jc w:val="left"/>
        <w:rPr>
          <w:rFonts w:ascii="宋体" w:hAnsi="宋体" w:cs="宋体"/>
          <w:sz w:val="24"/>
          <w:szCs w:val="24"/>
        </w:rPr>
      </w:pPr>
      <w:r>
        <w:rPr>
          <w:rFonts w:hint="eastAsia" w:ascii="宋体" w:hAnsi="宋体" w:cs="宋体"/>
          <w:sz w:val="24"/>
          <w:szCs w:val="24"/>
        </w:rPr>
        <w:t>上线系统目标代码，包括但不仅限于下表所述内容：</w:t>
      </w:r>
    </w:p>
    <w:tbl>
      <w:tblPr>
        <w:tblStyle w:val="23"/>
        <w:tblW w:w="0" w:type="auto"/>
        <w:tblInd w:w="108" w:type="dxa"/>
        <w:tblLayout w:type="fixed"/>
        <w:tblCellMar>
          <w:top w:w="0" w:type="dxa"/>
          <w:left w:w="108" w:type="dxa"/>
          <w:bottom w:w="0" w:type="dxa"/>
          <w:right w:w="108" w:type="dxa"/>
        </w:tblCellMar>
      </w:tblPr>
      <w:tblGrid>
        <w:gridCol w:w="3207"/>
        <w:gridCol w:w="1260"/>
        <w:gridCol w:w="1890"/>
        <w:gridCol w:w="1972"/>
      </w:tblGrid>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交付物名称</w:t>
            </w:r>
          </w:p>
        </w:tc>
        <w:tc>
          <w:tcPr>
            <w:tcW w:w="1260" w:type="dxa"/>
            <w:tcBorders>
              <w:top w:val="single" w:color="000000" w:sz="4" w:space="0"/>
              <w:left w:val="nil"/>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介质形式</w:t>
            </w:r>
          </w:p>
        </w:tc>
        <w:tc>
          <w:tcPr>
            <w:tcW w:w="1890" w:type="dxa"/>
            <w:tcBorders>
              <w:top w:val="single" w:color="000000" w:sz="4" w:space="0"/>
              <w:left w:val="nil"/>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产生阶段</w:t>
            </w:r>
          </w:p>
        </w:tc>
        <w:tc>
          <w:tcPr>
            <w:tcW w:w="1972" w:type="dxa"/>
            <w:tcBorders>
              <w:top w:val="single" w:color="000000" w:sz="4" w:space="0"/>
              <w:left w:val="nil"/>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备注</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 Jar</w:t>
            </w:r>
          </w:p>
        </w:tc>
        <w:tc>
          <w:tcPr>
            <w:tcW w:w="126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189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开发阶段</w:t>
            </w:r>
          </w:p>
        </w:tc>
        <w:tc>
          <w:tcPr>
            <w:tcW w:w="1972"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部署组件包</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2"/>
              <w:widowControl/>
              <w:rPr>
                <w:rFonts w:ascii="宋体" w:hAnsi="宋体" w:eastAsia="宋体" w:cs="宋体"/>
                <w:kern w:val="2"/>
                <w:sz w:val="24"/>
                <w:szCs w:val="24"/>
              </w:rPr>
            </w:pPr>
            <w:r>
              <w:rPr>
                <w:rFonts w:hint="eastAsia" w:ascii="宋体" w:hAnsi="宋体" w:eastAsia="宋体" w:cs="宋体"/>
                <w:kern w:val="2"/>
                <w:sz w:val="24"/>
                <w:szCs w:val="24"/>
              </w:rPr>
              <w:t>*. Class</w:t>
            </w:r>
          </w:p>
        </w:tc>
        <w:tc>
          <w:tcPr>
            <w:tcW w:w="126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189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开发阶段</w:t>
            </w:r>
          </w:p>
        </w:tc>
        <w:tc>
          <w:tcPr>
            <w:tcW w:w="1972"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后台类</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top"/>
          </w:tcPr>
          <w:p>
            <w:pPr>
              <w:pStyle w:val="72"/>
              <w:widowControl/>
              <w:rPr>
                <w:rFonts w:ascii="宋体" w:hAnsi="宋体" w:eastAsia="宋体" w:cs="宋体"/>
                <w:kern w:val="2"/>
                <w:sz w:val="24"/>
                <w:szCs w:val="24"/>
              </w:rPr>
            </w:pPr>
            <w:r>
              <w:rPr>
                <w:rFonts w:hint="eastAsia" w:ascii="宋体" w:hAnsi="宋体" w:eastAsia="宋体" w:cs="宋体"/>
                <w:kern w:val="2"/>
                <w:sz w:val="24"/>
                <w:szCs w:val="24"/>
              </w:rPr>
              <w:t>数据库安装脚本</w:t>
            </w:r>
          </w:p>
        </w:tc>
        <w:tc>
          <w:tcPr>
            <w:tcW w:w="126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c>
          <w:tcPr>
            <w:tcW w:w="1890"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开发阶段</w:t>
            </w:r>
          </w:p>
        </w:tc>
        <w:tc>
          <w:tcPr>
            <w:tcW w:w="1972" w:type="dxa"/>
            <w:tcBorders>
              <w:top w:val="single" w:color="000000" w:sz="4" w:space="0"/>
              <w:left w:val="nil"/>
              <w:bottom w:val="single" w:color="000000" w:sz="4" w:space="0"/>
              <w:right w:val="single" w:color="000000" w:sz="4" w:space="0"/>
            </w:tcBorders>
            <w:noWrap w:val="0"/>
            <w:vAlign w:val="top"/>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数据库安装</w:t>
            </w:r>
          </w:p>
        </w:tc>
      </w:tr>
    </w:tbl>
    <w:p>
      <w:pPr>
        <w:pStyle w:val="71"/>
        <w:widowControl/>
        <w:ind w:firstLine="504"/>
        <w:jc w:val="left"/>
        <w:rPr>
          <w:rFonts w:ascii="宋体" w:hAnsi="宋体" w:cs="宋体"/>
          <w:sz w:val="24"/>
          <w:szCs w:val="24"/>
        </w:rPr>
      </w:pPr>
      <w:r>
        <w:rPr>
          <w:rFonts w:hint="eastAsia" w:ascii="宋体" w:hAnsi="宋体" w:cs="宋体"/>
          <w:sz w:val="24"/>
          <w:szCs w:val="24"/>
        </w:rPr>
        <w:t>3.开发过程文档</w:t>
      </w:r>
    </w:p>
    <w:tbl>
      <w:tblPr>
        <w:tblStyle w:val="23"/>
        <w:tblW w:w="0" w:type="auto"/>
        <w:tblInd w:w="108" w:type="dxa"/>
        <w:tblLayout w:type="fixed"/>
        <w:tblCellMar>
          <w:top w:w="0" w:type="dxa"/>
          <w:left w:w="108" w:type="dxa"/>
          <w:bottom w:w="0" w:type="dxa"/>
          <w:right w:w="108" w:type="dxa"/>
        </w:tblCellMar>
      </w:tblPr>
      <w:tblGrid>
        <w:gridCol w:w="3207"/>
        <w:gridCol w:w="2013"/>
      </w:tblGrid>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交付物名称</w:t>
            </w:r>
          </w:p>
        </w:tc>
        <w:tc>
          <w:tcPr>
            <w:tcW w:w="2013" w:type="dxa"/>
            <w:tcBorders>
              <w:top w:val="single" w:color="000000" w:sz="4" w:space="0"/>
              <w:left w:val="nil"/>
              <w:bottom w:val="single" w:color="000000" w:sz="4" w:space="0"/>
              <w:right w:val="single" w:color="000000" w:sz="4" w:space="0"/>
            </w:tcBorders>
            <w:shd w:val="clear" w:color="auto" w:fill="D9D9D9"/>
            <w:noWrap w:val="0"/>
            <w:vAlign w:val="top"/>
          </w:tcPr>
          <w:p>
            <w:pPr>
              <w:pStyle w:val="71"/>
              <w:widowControl/>
              <w:jc w:val="center"/>
              <w:rPr>
                <w:rFonts w:ascii="宋体" w:hAnsi="宋体" w:eastAsia="宋体" w:cs="宋体"/>
                <w:kern w:val="2"/>
                <w:sz w:val="24"/>
                <w:szCs w:val="24"/>
              </w:rPr>
            </w:pPr>
            <w:r>
              <w:rPr>
                <w:rFonts w:hint="eastAsia" w:ascii="宋体" w:hAnsi="宋体" w:eastAsia="宋体" w:cs="宋体"/>
                <w:kern w:val="2"/>
                <w:sz w:val="24"/>
                <w:szCs w:val="24"/>
              </w:rPr>
              <w:t>介质形式</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center"/>
          </w:tcPr>
          <w:p>
            <w:pPr>
              <w:pStyle w:val="73"/>
              <w:widowControl/>
              <w:spacing w:line="360" w:lineRule="auto"/>
              <w:rPr>
                <w:rFonts w:ascii="宋体" w:hAnsi="宋体" w:eastAsia="宋体" w:cs="宋体"/>
                <w:kern w:val="2"/>
                <w:sz w:val="24"/>
                <w:szCs w:val="24"/>
              </w:rPr>
            </w:pPr>
            <w:r>
              <w:rPr>
                <w:rFonts w:hint="eastAsia" w:ascii="宋体" w:hAnsi="宋体" w:eastAsia="宋体" w:cs="宋体"/>
                <w:kern w:val="2"/>
                <w:sz w:val="24"/>
                <w:szCs w:val="24"/>
              </w:rPr>
              <w:t>《需求规格说明书》</w:t>
            </w:r>
          </w:p>
        </w:tc>
        <w:tc>
          <w:tcPr>
            <w:tcW w:w="2013" w:type="dxa"/>
            <w:tcBorders>
              <w:top w:val="single" w:color="000000" w:sz="4" w:space="0"/>
              <w:left w:val="nil"/>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书面、电子</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《系统概要设计说明书》</w:t>
            </w:r>
          </w:p>
        </w:tc>
        <w:tc>
          <w:tcPr>
            <w:tcW w:w="2013" w:type="dxa"/>
            <w:tcBorders>
              <w:top w:val="single" w:color="000000" w:sz="4" w:space="0"/>
              <w:left w:val="nil"/>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《系统详细设计说明书》</w:t>
            </w:r>
          </w:p>
        </w:tc>
        <w:tc>
          <w:tcPr>
            <w:tcW w:w="2013" w:type="dxa"/>
            <w:tcBorders>
              <w:top w:val="single" w:color="000000" w:sz="4" w:space="0"/>
              <w:left w:val="nil"/>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《用户操作手册》</w:t>
            </w:r>
          </w:p>
        </w:tc>
        <w:tc>
          <w:tcPr>
            <w:tcW w:w="2013" w:type="dxa"/>
            <w:tcBorders>
              <w:top w:val="single" w:color="000000" w:sz="4" w:space="0"/>
              <w:left w:val="nil"/>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《系统验收计划》</w:t>
            </w:r>
          </w:p>
        </w:tc>
        <w:tc>
          <w:tcPr>
            <w:tcW w:w="2013" w:type="dxa"/>
            <w:tcBorders>
              <w:top w:val="single" w:color="000000" w:sz="4" w:space="0"/>
              <w:left w:val="nil"/>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电子</w:t>
            </w:r>
          </w:p>
        </w:tc>
      </w:tr>
      <w:tr>
        <w:tblPrEx>
          <w:tblCellMar>
            <w:top w:w="0" w:type="dxa"/>
            <w:left w:w="108" w:type="dxa"/>
            <w:bottom w:w="0" w:type="dxa"/>
            <w:right w:w="108" w:type="dxa"/>
          </w:tblCellMar>
        </w:tblPrEx>
        <w:tc>
          <w:tcPr>
            <w:tcW w:w="3207" w:type="dxa"/>
            <w:tcBorders>
              <w:top w:val="single" w:color="000000" w:sz="4" w:space="0"/>
              <w:left w:val="single" w:color="000000" w:sz="4" w:space="0"/>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《系统验收报告》</w:t>
            </w:r>
          </w:p>
        </w:tc>
        <w:tc>
          <w:tcPr>
            <w:tcW w:w="2013" w:type="dxa"/>
            <w:tcBorders>
              <w:top w:val="single" w:color="000000" w:sz="4" w:space="0"/>
              <w:left w:val="nil"/>
              <w:bottom w:val="single" w:color="000000" w:sz="4" w:space="0"/>
              <w:right w:val="single" w:color="000000" w:sz="4" w:space="0"/>
            </w:tcBorders>
            <w:noWrap w:val="0"/>
            <w:vAlign w:val="center"/>
          </w:tcPr>
          <w:p>
            <w:pPr>
              <w:pStyle w:val="71"/>
              <w:widowControl/>
              <w:rPr>
                <w:rFonts w:ascii="宋体" w:hAnsi="宋体" w:eastAsia="宋体" w:cs="宋体"/>
                <w:kern w:val="2"/>
                <w:sz w:val="24"/>
                <w:szCs w:val="24"/>
              </w:rPr>
            </w:pPr>
            <w:r>
              <w:rPr>
                <w:rFonts w:hint="eastAsia" w:ascii="宋体" w:hAnsi="宋体" w:eastAsia="宋体" w:cs="宋体"/>
                <w:kern w:val="2"/>
                <w:sz w:val="24"/>
                <w:szCs w:val="24"/>
              </w:rPr>
              <w:t>书面、电子</w:t>
            </w:r>
          </w:p>
        </w:tc>
      </w:tr>
    </w:tbl>
    <w:p>
      <w:pPr>
        <w:pStyle w:val="71"/>
        <w:widowControl/>
        <w:ind w:left="420"/>
        <w:rPr>
          <w:rFonts w:ascii="宋体" w:hAnsi="宋体" w:cs="宋体"/>
          <w:sz w:val="24"/>
          <w:szCs w:val="24"/>
        </w:rPr>
      </w:pPr>
      <w:r>
        <w:rPr>
          <w:rFonts w:hint="eastAsia" w:ascii="宋体" w:hAnsi="宋体" w:cs="宋体"/>
          <w:sz w:val="24"/>
          <w:szCs w:val="24"/>
        </w:rPr>
        <w:t>4.支持文档</w:t>
      </w:r>
    </w:p>
    <w:tbl>
      <w:tblPr>
        <w:tblStyle w:val="23"/>
        <w:tblW w:w="0" w:type="auto"/>
        <w:tblInd w:w="0" w:type="dxa"/>
        <w:tblLayout w:type="fixed"/>
        <w:tblCellMar>
          <w:top w:w="0" w:type="dxa"/>
          <w:left w:w="108" w:type="dxa"/>
          <w:bottom w:w="0" w:type="dxa"/>
          <w:right w:w="108" w:type="dxa"/>
        </w:tblCellMar>
      </w:tblPr>
      <w:tblGrid>
        <w:gridCol w:w="7488"/>
      </w:tblGrid>
      <w:tr>
        <w:tblPrEx>
          <w:tblCellMar>
            <w:top w:w="0" w:type="dxa"/>
            <w:left w:w="108" w:type="dxa"/>
            <w:bottom w:w="0" w:type="dxa"/>
            <w:right w:w="108" w:type="dxa"/>
          </w:tblCellMar>
        </w:tblPrEx>
        <w:tc>
          <w:tcPr>
            <w:tcW w:w="7488" w:type="dxa"/>
            <w:tcBorders>
              <w:top w:val="single" w:color="000000" w:sz="4" w:space="0"/>
              <w:left w:val="single" w:color="000000" w:sz="4" w:space="0"/>
              <w:bottom w:val="single" w:color="000000" w:sz="4" w:space="0"/>
              <w:right w:val="single" w:color="000000" w:sz="4" w:space="0"/>
            </w:tcBorders>
            <w:shd w:val="clear" w:color="auto" w:fill="7F7F7F"/>
            <w:noWrap w:val="0"/>
            <w:vAlign w:val="top"/>
          </w:tcPr>
          <w:p>
            <w:pPr>
              <w:pStyle w:val="71"/>
              <w:widowControl/>
              <w:jc w:val="center"/>
              <w:rPr>
                <w:rFonts w:ascii="宋体" w:hAnsi="宋体" w:cs="宋体"/>
                <w:kern w:val="2"/>
                <w:sz w:val="28"/>
                <w:szCs w:val="28"/>
              </w:rPr>
            </w:pPr>
            <w:r>
              <w:rPr>
                <w:rFonts w:hint="eastAsia" w:ascii="宋体" w:hAnsi="宋体" w:cs="宋体"/>
                <w:kern w:val="2"/>
                <w:sz w:val="28"/>
                <w:szCs w:val="28"/>
              </w:rPr>
              <w:t>交付物名称</w:t>
            </w:r>
          </w:p>
        </w:tc>
      </w:tr>
      <w:tr>
        <w:tblPrEx>
          <w:tblCellMar>
            <w:top w:w="0" w:type="dxa"/>
            <w:left w:w="108" w:type="dxa"/>
            <w:bottom w:w="0" w:type="dxa"/>
            <w:right w:w="108" w:type="dxa"/>
          </w:tblCellMar>
        </w:tblPrEx>
        <w:tc>
          <w:tcPr>
            <w:tcW w:w="7488" w:type="dxa"/>
            <w:tcBorders>
              <w:top w:val="single" w:color="000000" w:sz="4" w:space="0"/>
              <w:left w:val="single" w:color="000000" w:sz="4" w:space="0"/>
              <w:bottom w:val="single" w:color="000000" w:sz="4" w:space="0"/>
              <w:right w:val="single" w:color="000000" w:sz="4" w:space="0"/>
            </w:tcBorders>
            <w:noWrap w:val="0"/>
            <w:vAlign w:val="top"/>
          </w:tcPr>
          <w:p>
            <w:pPr>
              <w:pStyle w:val="71"/>
              <w:widowControl/>
              <w:tabs>
                <w:tab w:val="left" w:pos="360"/>
              </w:tabs>
              <w:rPr>
                <w:rFonts w:ascii="宋体" w:hAnsi="宋体" w:eastAsia="宋体" w:cs="宋体"/>
                <w:kern w:val="2"/>
                <w:sz w:val="24"/>
                <w:szCs w:val="24"/>
              </w:rPr>
            </w:pPr>
            <w:r>
              <w:rPr>
                <w:rFonts w:hint="eastAsia" w:ascii="宋体" w:hAnsi="宋体" w:eastAsia="宋体" w:cs="宋体"/>
                <w:kern w:val="2"/>
                <w:sz w:val="24"/>
                <w:szCs w:val="24"/>
              </w:rPr>
              <w:t>（1）问题修改清单（按月）</w:t>
            </w:r>
          </w:p>
          <w:p>
            <w:pPr>
              <w:pStyle w:val="71"/>
              <w:widowControl/>
              <w:tabs>
                <w:tab w:val="left" w:pos="360"/>
              </w:tabs>
              <w:rPr>
                <w:rFonts w:ascii="宋体" w:hAnsi="宋体" w:eastAsia="宋体" w:cs="宋体"/>
                <w:kern w:val="2"/>
                <w:sz w:val="24"/>
                <w:szCs w:val="24"/>
              </w:rPr>
            </w:pPr>
            <w:r>
              <w:rPr>
                <w:rFonts w:hint="eastAsia" w:ascii="宋体" w:hAnsi="宋体" w:eastAsia="宋体" w:cs="宋体"/>
                <w:kern w:val="2"/>
                <w:sz w:val="24"/>
                <w:szCs w:val="24"/>
              </w:rPr>
              <w:t>（2）数据质量检查实现（按次）</w:t>
            </w:r>
          </w:p>
          <w:p>
            <w:pPr>
              <w:pStyle w:val="71"/>
              <w:widowControl/>
              <w:tabs>
                <w:tab w:val="left" w:pos="360"/>
              </w:tabs>
              <w:rPr>
                <w:rFonts w:ascii="宋体" w:hAnsi="宋体" w:eastAsia="宋体" w:cs="宋体"/>
                <w:kern w:val="2"/>
                <w:sz w:val="24"/>
                <w:szCs w:val="24"/>
              </w:rPr>
            </w:pPr>
            <w:r>
              <w:rPr>
                <w:rFonts w:hint="eastAsia" w:ascii="宋体" w:hAnsi="宋体" w:eastAsia="宋体" w:cs="宋体"/>
                <w:kern w:val="2"/>
                <w:sz w:val="24"/>
                <w:szCs w:val="24"/>
              </w:rPr>
              <w:t>（3）数据质量检查结果（按月）</w:t>
            </w:r>
          </w:p>
          <w:p>
            <w:pPr>
              <w:pStyle w:val="71"/>
              <w:widowControl/>
              <w:tabs>
                <w:tab w:val="left" w:pos="360"/>
              </w:tabs>
              <w:rPr>
                <w:rFonts w:ascii="宋体" w:hAnsi="宋体" w:eastAsia="宋体" w:cs="宋体"/>
                <w:kern w:val="2"/>
                <w:sz w:val="24"/>
                <w:szCs w:val="24"/>
              </w:rPr>
            </w:pPr>
            <w:r>
              <w:rPr>
                <w:rFonts w:hint="eastAsia" w:ascii="宋体" w:hAnsi="宋体" w:eastAsia="宋体" w:cs="宋体"/>
                <w:kern w:val="2"/>
                <w:sz w:val="24"/>
                <w:szCs w:val="24"/>
              </w:rPr>
              <w:t>（4）健康状态结果（按次）</w:t>
            </w:r>
          </w:p>
          <w:p>
            <w:pPr>
              <w:pStyle w:val="71"/>
              <w:widowControl/>
              <w:tabs>
                <w:tab w:val="left" w:pos="360"/>
              </w:tabs>
              <w:rPr>
                <w:rFonts w:ascii="宋体" w:hAnsi="宋体" w:eastAsia="宋体" w:cs="宋体"/>
                <w:kern w:val="2"/>
                <w:sz w:val="24"/>
                <w:szCs w:val="24"/>
              </w:rPr>
            </w:pPr>
            <w:r>
              <w:rPr>
                <w:rFonts w:hint="eastAsia" w:ascii="宋体" w:hAnsi="宋体" w:eastAsia="宋体" w:cs="宋体"/>
                <w:kern w:val="2"/>
                <w:sz w:val="24"/>
                <w:szCs w:val="24"/>
              </w:rPr>
              <w:t>（5）升级计划（按次）</w:t>
            </w:r>
          </w:p>
          <w:p>
            <w:pPr>
              <w:pStyle w:val="71"/>
              <w:widowControl/>
              <w:tabs>
                <w:tab w:val="left" w:pos="360"/>
              </w:tabs>
              <w:rPr>
                <w:rFonts w:ascii="宋体" w:hAnsi="宋体" w:eastAsia="宋体" w:cs="宋体"/>
                <w:kern w:val="2"/>
                <w:sz w:val="24"/>
                <w:szCs w:val="24"/>
              </w:rPr>
            </w:pPr>
            <w:r>
              <w:rPr>
                <w:rFonts w:hint="eastAsia" w:ascii="宋体" w:hAnsi="宋体" w:eastAsia="宋体" w:cs="宋体"/>
                <w:kern w:val="2"/>
                <w:sz w:val="24"/>
                <w:szCs w:val="24"/>
              </w:rPr>
              <w:t>（6）升级报告（按次）</w:t>
            </w:r>
          </w:p>
          <w:p>
            <w:pPr>
              <w:pStyle w:val="71"/>
              <w:widowControl/>
              <w:tabs>
                <w:tab w:val="left" w:pos="360"/>
              </w:tabs>
              <w:rPr>
                <w:rFonts w:ascii="宋体" w:hAnsi="宋体" w:cs="宋体"/>
                <w:kern w:val="2"/>
                <w:sz w:val="28"/>
                <w:szCs w:val="28"/>
              </w:rPr>
            </w:pPr>
            <w:r>
              <w:rPr>
                <w:rFonts w:hint="eastAsia" w:ascii="宋体" w:hAnsi="宋体" w:eastAsia="宋体" w:cs="宋体"/>
                <w:kern w:val="2"/>
                <w:sz w:val="24"/>
                <w:szCs w:val="24"/>
              </w:rPr>
              <w:t>（7）月度报告（包括系统状况、相关统计分析、本月主要工作内容、下月主要工作安排）（按月）</w:t>
            </w:r>
          </w:p>
        </w:tc>
      </w:tr>
    </w:tbl>
    <w:p>
      <w:pPr>
        <w:pStyle w:val="71"/>
        <w:widowControl/>
        <w:ind w:firstLine="425"/>
        <w:rPr>
          <w:rFonts w:ascii="宋体" w:hAnsi="宋体" w:cs="宋体"/>
          <w:sz w:val="28"/>
          <w:szCs w:val="28"/>
        </w:rPr>
      </w:pPr>
      <w:r>
        <w:rPr>
          <w:rFonts w:hint="eastAsia" w:ascii="宋体" w:hAnsi="宋体" w:cs="宋体"/>
          <w:sz w:val="24"/>
          <w:szCs w:val="24"/>
        </w:rPr>
        <w:t>注：按次提交的文档是指，当工作发生时，文档需要提交，否则不需要</w:t>
      </w:r>
      <w:r>
        <w:rPr>
          <w:rFonts w:hint="eastAsia" w:ascii="宋体" w:hAnsi="宋体" w:cs="宋体"/>
          <w:sz w:val="28"/>
          <w:szCs w:val="28"/>
        </w:rPr>
        <w:t>。</w:t>
      </w:r>
      <w:bookmarkStart w:id="62" w:name="_Toc145764462"/>
      <w:bookmarkEnd w:id="62"/>
      <w:bookmarkStart w:id="63" w:name="_Toc145764463"/>
      <w:bookmarkEnd w:id="63"/>
      <w:bookmarkStart w:id="64" w:name="_Toc145764461"/>
      <w:bookmarkEnd w:id="64"/>
    </w:p>
    <w:p>
      <w:pPr>
        <w:pStyle w:val="62"/>
        <w:ind w:firstLine="0" w:firstLineChars="0"/>
        <w:rPr>
          <w:rFonts w:hint="eastAsia" w:ascii="宋体" w:hAnsi="宋体" w:cs="Tahoma"/>
          <w:color w:val="000000"/>
        </w:rPr>
      </w:pPr>
    </w:p>
    <w:p>
      <w:pPr>
        <w:pStyle w:val="62"/>
        <w:ind w:firstLine="0" w:firstLineChars="0"/>
        <w:rPr>
          <w:rFonts w:hint="eastAsia" w:eastAsia="黑体"/>
          <w:b/>
          <w:bCs/>
          <w:sz w:val="30"/>
        </w:rPr>
      </w:pPr>
    </w:p>
    <w:p>
      <w:pPr>
        <w:pStyle w:val="21"/>
      </w:pPr>
      <w:r>
        <w:br w:type="page"/>
      </w:r>
      <w:r>
        <w:t>评标</w:t>
      </w:r>
      <w:r>
        <w:rPr>
          <w:rFonts w:hint="eastAsia"/>
        </w:rPr>
        <w:t>标准与评标</w:t>
      </w:r>
      <w:r>
        <w:t>办法</w:t>
      </w:r>
    </w:p>
    <w:p>
      <w:pPr>
        <w:pStyle w:val="59"/>
        <w:spacing w:line="440" w:lineRule="exact"/>
        <w:rPr>
          <w:rFonts w:ascii="宋体" w:hAnsi="宋体"/>
          <w:color w:val="000000"/>
          <w:szCs w:val="24"/>
        </w:rPr>
      </w:pPr>
      <w:r>
        <w:rPr>
          <w:rFonts w:hint="eastAsia" w:ascii="宋体" w:hAnsi="宋体"/>
          <w:color w:val="000000"/>
          <w:szCs w:val="24"/>
        </w:rPr>
        <w:t>一、评标原则</w:t>
      </w:r>
    </w:p>
    <w:p>
      <w:pPr>
        <w:tabs>
          <w:tab w:val="left" w:pos="780"/>
        </w:tabs>
        <w:spacing w:line="440" w:lineRule="exact"/>
        <w:ind w:firstLine="638" w:firstLineChars="266"/>
        <w:rPr>
          <w:rFonts w:hint="eastAsia"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pPr>
        <w:tabs>
          <w:tab w:val="left" w:pos="780"/>
        </w:tabs>
        <w:spacing w:line="440" w:lineRule="exact"/>
        <w:ind w:firstLine="638" w:firstLineChars="266"/>
        <w:rPr>
          <w:rFonts w:hint="eastAsia"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pPr>
        <w:tabs>
          <w:tab w:val="left" w:pos="780"/>
        </w:tabs>
        <w:spacing w:line="440" w:lineRule="exact"/>
        <w:ind w:firstLine="638" w:firstLineChars="266"/>
        <w:rPr>
          <w:rFonts w:hint="eastAsia"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pPr>
        <w:pStyle w:val="59"/>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pPr>
        <w:spacing w:line="440" w:lineRule="exact"/>
        <w:ind w:firstLine="560"/>
        <w:rPr>
          <w:rFonts w:ascii="宋体" w:hAnsi="宋体"/>
          <w:color w:val="000000"/>
          <w:sz w:val="24"/>
        </w:rPr>
      </w:pPr>
      <w:r>
        <w:rPr>
          <w:rFonts w:hint="eastAsia" w:ascii="宋体" w:hAnsi="宋体"/>
          <w:color w:val="000000"/>
          <w:sz w:val="24"/>
        </w:rPr>
        <w:t>资格审查由招标人负责，符合性审查及评审由评审委员会负责。凡出现以下情况之一的投标文件将被视为无效标，不进入技术评议及综合打分：</w:t>
      </w:r>
    </w:p>
    <w:p>
      <w:pPr>
        <w:numPr>
          <w:ilvl w:val="1"/>
          <w:numId w:val="10"/>
        </w:numPr>
        <w:spacing w:line="440" w:lineRule="exact"/>
        <w:rPr>
          <w:rFonts w:hint="eastAsia" w:ascii="宋体" w:hAnsi="宋体"/>
          <w:sz w:val="24"/>
        </w:rPr>
      </w:pPr>
      <w:r>
        <w:rPr>
          <w:rFonts w:hint="eastAsia" w:ascii="宋体" w:hAnsi="宋体"/>
          <w:sz w:val="24"/>
        </w:rPr>
        <w:t>符合下列条件之一的，资格性审查不合格：</w:t>
      </w:r>
    </w:p>
    <w:p>
      <w:pPr>
        <w:numPr>
          <w:ilvl w:val="0"/>
          <w:numId w:val="11"/>
        </w:numPr>
        <w:spacing w:line="440" w:lineRule="exact"/>
        <w:ind w:left="900"/>
        <w:rPr>
          <w:rFonts w:hint="eastAsia" w:ascii="宋体" w:hAnsi="宋体"/>
          <w:sz w:val="24"/>
        </w:rPr>
      </w:pPr>
      <w:r>
        <w:rPr>
          <w:rFonts w:hint="eastAsia" w:ascii="宋体" w:hAnsi="宋体"/>
          <w:sz w:val="24"/>
        </w:rPr>
        <w:t>不符合政府采购法第22条第1款之规定；</w:t>
      </w:r>
    </w:p>
    <w:p>
      <w:pPr>
        <w:numPr>
          <w:ilvl w:val="0"/>
          <w:numId w:val="11"/>
        </w:numPr>
        <w:spacing w:line="440" w:lineRule="exact"/>
        <w:ind w:left="900"/>
        <w:rPr>
          <w:rFonts w:hint="eastAsia"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信用中国www.creditchina.gov.cn”网站查询数据为准，打印不合格投标人的查询记录网页一并作为资格审查资料存档）</w:t>
      </w:r>
      <w:r>
        <w:rPr>
          <w:rFonts w:hint="eastAsia" w:ascii="宋体" w:hAnsi="宋体"/>
          <w:sz w:val="24"/>
        </w:rPr>
        <w:t>；</w:t>
      </w:r>
    </w:p>
    <w:p>
      <w:pPr>
        <w:spacing w:line="440" w:lineRule="exact"/>
        <w:ind w:left="900"/>
        <w:rPr>
          <w:rFonts w:hint="eastAsia" w:ascii="宋体" w:hAnsi="宋体"/>
          <w:sz w:val="24"/>
        </w:rPr>
      </w:pPr>
      <w:r>
        <w:rPr>
          <w:rFonts w:hint="eastAsia" w:ascii="宋体" w:hAnsi="宋体"/>
          <w:sz w:val="24"/>
        </w:rPr>
        <w:t>（3）不符合特定资格条件的（若有）；</w:t>
      </w:r>
    </w:p>
    <w:p>
      <w:pPr>
        <w:spacing w:line="440" w:lineRule="exact"/>
        <w:ind w:left="900"/>
        <w:rPr>
          <w:rFonts w:hint="eastAsia" w:ascii="宋体" w:hAnsi="宋体"/>
          <w:sz w:val="24"/>
        </w:rPr>
      </w:pPr>
      <w:r>
        <w:rPr>
          <w:rFonts w:hint="eastAsia" w:ascii="宋体" w:hAnsi="宋体"/>
          <w:sz w:val="24"/>
        </w:rPr>
        <w:t>（4）未按规定缴纳投标保证金（若有）。</w:t>
      </w:r>
    </w:p>
    <w:p>
      <w:pPr>
        <w:numPr>
          <w:ilvl w:val="1"/>
          <w:numId w:val="10"/>
        </w:numPr>
        <w:spacing w:line="440" w:lineRule="exact"/>
        <w:rPr>
          <w:rFonts w:hint="eastAsia" w:ascii="宋体" w:hAnsi="宋体"/>
          <w:sz w:val="24"/>
        </w:rPr>
      </w:pPr>
      <w:r>
        <w:rPr>
          <w:rFonts w:hint="eastAsia" w:ascii="宋体" w:hAnsi="宋体"/>
          <w:sz w:val="24"/>
        </w:rPr>
        <w:t>符合下列条件之一的，符合性审查不合格：</w:t>
      </w:r>
    </w:p>
    <w:p>
      <w:pPr>
        <w:numPr>
          <w:ilvl w:val="0"/>
          <w:numId w:val="12"/>
        </w:numPr>
        <w:spacing w:line="440" w:lineRule="exact"/>
        <w:ind w:left="900"/>
        <w:rPr>
          <w:rFonts w:hint="eastAsia" w:ascii="宋体" w:hAnsi="宋体"/>
          <w:b/>
          <w:sz w:val="24"/>
          <w:szCs w:val="22"/>
        </w:rPr>
      </w:pPr>
      <w:r>
        <w:rPr>
          <w:rFonts w:hint="eastAsia" w:ascii="宋体" w:hAnsi="宋体"/>
          <w:b/>
          <w:sz w:val="24"/>
        </w:rPr>
        <w:t>未按要求提供</w:t>
      </w:r>
      <w:r>
        <w:rPr>
          <w:rFonts w:hint="eastAsia" w:ascii="宋体" w:hAnsi="宋体"/>
          <w:b/>
          <w:color w:val="FF0000"/>
          <w:sz w:val="24"/>
        </w:rPr>
        <w:t>诚信投标承诺书、</w:t>
      </w:r>
      <w:r>
        <w:rPr>
          <w:rFonts w:hint="eastAsia" w:ascii="宋体" w:hAnsi="宋体"/>
          <w:b/>
          <w:color w:val="FF0000"/>
          <w:sz w:val="24"/>
          <w:szCs w:val="22"/>
        </w:rPr>
        <w:t>投标函、开标一览表、投标分项报价表的</w:t>
      </w:r>
      <w:r>
        <w:rPr>
          <w:rFonts w:hint="eastAsia" w:ascii="宋体" w:hAnsi="宋体"/>
          <w:b/>
          <w:sz w:val="24"/>
          <w:szCs w:val="22"/>
        </w:rPr>
        <w:t>；</w:t>
      </w:r>
    </w:p>
    <w:p>
      <w:pPr>
        <w:numPr>
          <w:ilvl w:val="0"/>
          <w:numId w:val="12"/>
        </w:numPr>
        <w:spacing w:line="440" w:lineRule="exact"/>
        <w:ind w:left="900"/>
        <w:rPr>
          <w:rFonts w:hint="eastAsia" w:ascii="宋体" w:hAnsi="宋体"/>
          <w:b/>
          <w:bCs/>
          <w:sz w:val="24"/>
        </w:rPr>
      </w:pPr>
      <w:r>
        <w:rPr>
          <w:rFonts w:hint="eastAsia" w:ascii="宋体" w:hAnsi="宋体"/>
          <w:b/>
          <w:bCs/>
          <w:sz w:val="24"/>
        </w:rPr>
        <w:t>投标有效期少于招标文件要求的；</w:t>
      </w:r>
    </w:p>
    <w:p>
      <w:pPr>
        <w:spacing w:line="440" w:lineRule="exact"/>
        <w:ind w:left="900"/>
        <w:rPr>
          <w:rFonts w:hint="eastAsia" w:ascii="宋体" w:hAnsi="宋体"/>
          <w:b/>
          <w:bCs/>
          <w:sz w:val="24"/>
        </w:rPr>
      </w:pPr>
      <w:r>
        <w:rPr>
          <w:rFonts w:hint="eastAsia" w:ascii="宋体" w:hAnsi="宋体"/>
          <w:b/>
          <w:bCs/>
          <w:sz w:val="24"/>
        </w:rPr>
        <w:t>（3）</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pPr>
        <w:spacing w:line="440" w:lineRule="exact"/>
        <w:ind w:left="900"/>
        <w:rPr>
          <w:rFonts w:hint="eastAsia" w:ascii="宋体" w:hAnsi="宋体"/>
          <w:b/>
          <w:bCs/>
          <w:sz w:val="24"/>
        </w:rPr>
      </w:pPr>
      <w:r>
        <w:rPr>
          <w:rFonts w:hint="eastAsia" w:ascii="宋体" w:hAnsi="宋体"/>
          <w:b/>
          <w:bCs/>
          <w:sz w:val="24"/>
        </w:rPr>
        <w:t>（4）投标文件未按要求编制，内容缺失、不完整，导致无法评审的；</w:t>
      </w:r>
    </w:p>
    <w:p>
      <w:pPr>
        <w:spacing w:line="440" w:lineRule="exact"/>
        <w:ind w:left="900"/>
        <w:rPr>
          <w:rFonts w:hint="eastAsia" w:ascii="宋体" w:hAnsi="宋体"/>
          <w:b/>
          <w:bCs/>
          <w:sz w:val="24"/>
        </w:rPr>
      </w:pPr>
      <w:r>
        <w:rPr>
          <w:rFonts w:hint="eastAsia" w:ascii="宋体" w:hAnsi="宋体"/>
          <w:b/>
          <w:bCs/>
          <w:sz w:val="24"/>
        </w:rPr>
        <w:t>（5）投标价格错误且不同意按招标文件要求进行修正的；</w:t>
      </w:r>
    </w:p>
    <w:p>
      <w:pPr>
        <w:spacing w:line="440" w:lineRule="exact"/>
        <w:ind w:left="840" w:leftChars="400"/>
        <w:rPr>
          <w:rFonts w:hint="eastAsia" w:ascii="宋体" w:hAnsi="宋体"/>
          <w:b/>
          <w:color w:val="FF0000"/>
          <w:sz w:val="24"/>
        </w:rPr>
      </w:pPr>
      <w:r>
        <w:rPr>
          <w:rFonts w:hint="eastAsia" w:ascii="宋体" w:hAnsi="宋体"/>
          <w:b/>
          <w:color w:val="FF0000"/>
          <w:sz w:val="24"/>
        </w:rPr>
        <w:t>（6）投标人应做好详细的投标成本测算，有下列情形之一的，视为投标人不能证明其报价合理性：</w:t>
      </w:r>
    </w:p>
    <w:p>
      <w:pPr>
        <w:spacing w:line="440" w:lineRule="exact"/>
        <w:ind w:left="840" w:leftChars="400"/>
        <w:rPr>
          <w:rFonts w:hint="eastAsia" w:ascii="宋体" w:hAnsi="宋体"/>
          <w:b/>
          <w:sz w:val="24"/>
        </w:rPr>
      </w:pPr>
      <w:r>
        <w:rPr>
          <w:rFonts w:hint="eastAsia" w:ascii="宋体" w:hAnsi="宋体"/>
          <w:b/>
          <w:color w:val="FF0000"/>
          <w:sz w:val="24"/>
        </w:rPr>
        <w:t>（i）对于低于采购预算（或最高限价）70%的投标报价，投标人未在投标文件中提供成本测算资料的；</w:t>
      </w:r>
    </w:p>
    <w:p>
      <w:pPr>
        <w:spacing w:line="440" w:lineRule="exact"/>
        <w:ind w:left="840" w:leftChars="400"/>
        <w:rPr>
          <w:rFonts w:hint="eastAsia" w:ascii="宋体" w:hAnsi="宋体"/>
          <w:b/>
          <w:color w:val="FF0000"/>
          <w:sz w:val="24"/>
        </w:rPr>
      </w:pPr>
      <w:r>
        <w:rPr>
          <w:rFonts w:hint="eastAsia" w:ascii="宋体" w:hAnsi="宋体"/>
          <w:b/>
          <w:color w:val="FF0000"/>
          <w:sz w:val="24"/>
        </w:rPr>
        <w:t>（ii）评审委员会半数以上成员认为投标人的报价明显过低时，投标人未在1小时内向评审委员会提供成本测算资料的；</w:t>
      </w:r>
    </w:p>
    <w:p>
      <w:pPr>
        <w:spacing w:line="440" w:lineRule="exact"/>
        <w:ind w:left="840" w:leftChars="400"/>
        <w:rPr>
          <w:rFonts w:hint="eastAsia" w:ascii="宋体" w:hAnsi="宋体"/>
          <w:b/>
          <w:color w:val="FF0000"/>
          <w:sz w:val="24"/>
        </w:rPr>
      </w:pPr>
      <w:r>
        <w:rPr>
          <w:rFonts w:hint="eastAsia" w:ascii="宋体" w:hAnsi="宋体"/>
          <w:b/>
          <w:color w:val="FF0000"/>
          <w:sz w:val="24"/>
        </w:rPr>
        <w:t>（iii）投标人虽然提供了成本测算资料，但评审委员会半数以上成员认为其成本测算依据不合理的。</w:t>
      </w:r>
    </w:p>
    <w:p>
      <w:pPr>
        <w:spacing w:line="440" w:lineRule="exact"/>
        <w:ind w:left="900"/>
        <w:rPr>
          <w:rFonts w:hint="eastAsia" w:ascii="宋体" w:hAnsi="宋体"/>
          <w:b/>
          <w:bCs/>
          <w:sz w:val="24"/>
        </w:rPr>
      </w:pPr>
      <w:r>
        <w:rPr>
          <w:rFonts w:hint="eastAsia" w:ascii="宋体" w:hAnsi="宋体"/>
          <w:b/>
          <w:bCs/>
          <w:sz w:val="24"/>
        </w:rPr>
        <w:t>（7）出现招标文件规定作无效标处理的其他情形。</w:t>
      </w:r>
    </w:p>
    <w:p>
      <w:pPr>
        <w:numPr>
          <w:ilvl w:val="1"/>
          <w:numId w:val="10"/>
        </w:numPr>
        <w:spacing w:line="440" w:lineRule="exact"/>
        <w:rPr>
          <w:rFonts w:ascii="宋体" w:hAnsi="宋体"/>
          <w:sz w:val="24"/>
        </w:rPr>
      </w:pPr>
      <w:r>
        <w:rPr>
          <w:rFonts w:hint="eastAsia" w:ascii="宋体" w:hAnsi="宋体"/>
          <w:sz w:val="24"/>
        </w:rPr>
        <w:t>法律、法规和规章规定的其他情形。</w:t>
      </w:r>
    </w:p>
    <w:p>
      <w:pPr>
        <w:spacing w:line="440" w:lineRule="exact"/>
        <w:rPr>
          <w:rFonts w:hint="eastAsia" w:ascii="宋体" w:hAnsi="宋体"/>
          <w:color w:val="000000"/>
          <w:sz w:val="24"/>
        </w:rPr>
      </w:pPr>
      <w:r>
        <w:rPr>
          <w:rFonts w:hint="eastAsia" w:ascii="宋体" w:hAnsi="宋体"/>
          <w:color w:val="000000"/>
          <w:sz w:val="24"/>
        </w:rPr>
        <w:t>三、</w:t>
      </w:r>
      <w:r>
        <w:rPr>
          <w:rFonts w:hint="eastAsia" w:ascii="宋体" w:hAnsi="宋体"/>
          <w:b/>
          <w:color w:val="000000"/>
          <w:sz w:val="24"/>
        </w:rPr>
        <w:t>废标</w:t>
      </w:r>
    </w:p>
    <w:p>
      <w:pPr>
        <w:spacing w:line="440" w:lineRule="exact"/>
        <w:ind w:firstLine="480" w:firstLineChars="200"/>
        <w:rPr>
          <w:rFonts w:hint="eastAsia" w:ascii="宋体" w:hAnsi="宋体"/>
          <w:color w:val="000000"/>
          <w:sz w:val="24"/>
        </w:rPr>
      </w:pPr>
      <w:r>
        <w:rPr>
          <w:rFonts w:hint="eastAsia" w:ascii="宋体" w:hAnsi="宋体"/>
          <w:color w:val="000000"/>
          <w:sz w:val="24"/>
        </w:rPr>
        <w:t>凡出现以下情况之一的，本项目废标：</w:t>
      </w:r>
    </w:p>
    <w:p>
      <w:pPr>
        <w:spacing w:line="440" w:lineRule="exact"/>
        <w:ind w:firstLine="480" w:firstLineChars="200"/>
        <w:rPr>
          <w:rFonts w:hint="eastAsia"/>
          <w:color w:val="000000"/>
          <w:sz w:val="24"/>
        </w:rPr>
      </w:pPr>
      <w:r>
        <w:rPr>
          <w:rFonts w:hint="eastAsia"/>
          <w:color w:val="000000"/>
          <w:sz w:val="24"/>
        </w:rPr>
        <w:t>（1）合格</w:t>
      </w:r>
      <w:r>
        <w:rPr>
          <w:rFonts w:hint="eastAsia" w:ascii="宋体" w:hAnsi="宋体"/>
          <w:sz w:val="24"/>
          <w:szCs w:val="24"/>
        </w:rPr>
        <w:t>投标人不足三家的（</w:t>
      </w:r>
      <w:r>
        <w:rPr>
          <w:rFonts w:hint="eastAsia" w:ascii="宋体" w:hAnsi="宋体"/>
          <w:b/>
          <w:bCs/>
          <w:sz w:val="24"/>
          <w:szCs w:val="24"/>
        </w:rPr>
        <w:t>单一产品项目：相同品牌的多家投标人按一家投标人计算，非单一产品项目：所有打“</w:t>
      </w:r>
      <w:r>
        <w:rPr>
          <w:rFonts w:hint="eastAsia" w:ascii="宋体" w:hAnsi="宋体" w:cs="宋体"/>
          <w:b/>
          <w:bCs/>
          <w:sz w:val="24"/>
          <w:szCs w:val="24"/>
        </w:rPr>
        <w:t>※</w:t>
      </w:r>
      <w:r>
        <w:rPr>
          <w:rFonts w:hint="eastAsia" w:ascii="宋体" w:hAnsi="宋体"/>
          <w:b/>
          <w:bCs/>
          <w:sz w:val="24"/>
          <w:szCs w:val="24"/>
        </w:rPr>
        <w:t>”</w:t>
      </w:r>
      <w:r>
        <w:rPr>
          <w:rFonts w:hint="eastAsia" w:ascii="宋体" w:hAnsi="宋体" w:cs="宋体"/>
          <w:b/>
          <w:bCs/>
          <w:sz w:val="24"/>
          <w:szCs w:val="24"/>
        </w:rPr>
        <w:t>核心产品的品牌均相同的</w:t>
      </w:r>
      <w:r>
        <w:rPr>
          <w:rFonts w:hint="eastAsia" w:ascii="宋体" w:hAnsi="宋体"/>
          <w:b/>
          <w:bCs/>
          <w:sz w:val="24"/>
          <w:szCs w:val="24"/>
        </w:rPr>
        <w:t>多家投标人按一家投标人计算</w:t>
      </w:r>
      <w:r>
        <w:rPr>
          <w:rFonts w:hint="eastAsia" w:ascii="宋体" w:hAnsi="宋体"/>
          <w:sz w:val="24"/>
          <w:szCs w:val="24"/>
        </w:rPr>
        <w:t>）</w:t>
      </w:r>
      <w:r>
        <w:rPr>
          <w:rFonts w:hint="eastAsia"/>
          <w:color w:val="000000"/>
          <w:sz w:val="24"/>
        </w:rPr>
        <w:t>；</w:t>
      </w:r>
    </w:p>
    <w:p>
      <w:pPr>
        <w:spacing w:line="440" w:lineRule="exact"/>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sz w:val="24"/>
        </w:rPr>
        <w:t>法律法规规定的其他情形。</w:t>
      </w:r>
    </w:p>
    <w:p>
      <w:pPr>
        <w:tabs>
          <w:tab w:val="left" w:pos="0"/>
        </w:tabs>
        <w:spacing w:line="500" w:lineRule="exact"/>
        <w:rPr>
          <w:rFonts w:hint="eastAsia" w:ascii="宋体" w:hAnsi="宋体"/>
          <w:color w:val="000000"/>
          <w:sz w:val="24"/>
          <w:szCs w:val="24"/>
        </w:rPr>
      </w:pPr>
      <w:r>
        <w:rPr>
          <w:rFonts w:hint="eastAsia" w:ascii="宋体" w:hAnsi="宋体"/>
          <w:color w:val="000000"/>
          <w:sz w:val="24"/>
          <w:szCs w:val="24"/>
        </w:rPr>
        <w:t>四、投标不足三家后续处理</w:t>
      </w:r>
    </w:p>
    <w:p>
      <w:pPr>
        <w:tabs>
          <w:tab w:val="left" w:pos="0"/>
        </w:tabs>
        <w:spacing w:line="500" w:lineRule="exact"/>
        <w:rPr>
          <w:rFonts w:hint="eastAsia"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1、投标供应商不足三家的，评审专家须重点审查招标公告时间和程序是否符合规定，供应商资格条件、采购需求和评审标准是否存在</w:t>
      </w:r>
      <w:r>
        <w:rPr>
          <w:rFonts w:ascii="宋体" w:hAnsi="宋体"/>
          <w:color w:val="000000"/>
          <w:sz w:val="24"/>
          <w:szCs w:val="24"/>
        </w:rPr>
        <w:t>不合理条款</w:t>
      </w:r>
      <w:r>
        <w:rPr>
          <w:rFonts w:hint="eastAsia" w:ascii="宋体" w:hAnsi="宋体"/>
          <w:color w:val="000000"/>
          <w:sz w:val="24"/>
          <w:szCs w:val="24"/>
        </w:rPr>
        <w:t>，并出具审查意见和修改建议。存在不合理条款的，应按审查意见和建议修改招标文件后重新组织招标。没有不合理条款的，按以下原则处理：</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（1）单个标包预算金额不到公开招标数额标准：</w:t>
      </w:r>
      <w:r>
        <w:rPr>
          <w:rFonts w:hint="eastAsia" w:ascii="宋体" w:hAnsi="宋体"/>
          <w:sz w:val="24"/>
        </w:rPr>
        <w:t>2家供应商具有竞争性的，可以</w:t>
      </w:r>
      <w:r>
        <w:rPr>
          <w:rFonts w:hint="eastAsia"/>
          <w:sz w:val="24"/>
        </w:rPr>
        <w:t>根据</w:t>
      </w:r>
      <w:r>
        <w:rPr>
          <w:rFonts w:hint="eastAsia" w:ascii="宋体" w:hAnsi="宋体"/>
          <w:sz w:val="24"/>
        </w:rPr>
        <w:t>“浙财采监字[2007]2号”文件规定继续按原程序进行2家供应商评审，或者比照竞争性磋商（综合评分法适用），或者比照竞争性谈判（最低评标价法适用）；1家供应商可以进行单一来源采购</w:t>
      </w:r>
      <w:r>
        <w:rPr>
          <w:rFonts w:hint="eastAsia" w:ascii="宋体" w:hAnsi="宋体"/>
          <w:sz w:val="24"/>
          <w:szCs w:val="24"/>
        </w:rPr>
        <w:t>。</w:t>
      </w:r>
    </w:p>
    <w:p>
      <w:pPr>
        <w:spacing w:line="500" w:lineRule="exact"/>
        <w:ind w:firstLine="425"/>
        <w:rPr>
          <w:rFonts w:hint="eastAsia" w:ascii="宋体" w:hAnsi="宋体"/>
          <w:sz w:val="24"/>
          <w:szCs w:val="24"/>
        </w:rPr>
      </w:pPr>
      <w:r>
        <w:rPr>
          <w:rFonts w:hint="eastAsia" w:ascii="宋体" w:hAnsi="宋体"/>
          <w:sz w:val="24"/>
          <w:szCs w:val="24"/>
        </w:rPr>
        <w:t>（2）其他情形的，后续程序终止，除采购任务取消外，招标人将重新组织招标或依法经同级财政部门批准采取其他方式组织采购。</w:t>
      </w:r>
    </w:p>
    <w:p>
      <w:pPr>
        <w:spacing w:line="500" w:lineRule="exact"/>
        <w:ind w:firstLine="425"/>
        <w:rPr>
          <w:rFonts w:hint="eastAsia" w:ascii="宋体" w:hAnsi="宋体"/>
          <w:sz w:val="24"/>
          <w:szCs w:val="24"/>
        </w:rPr>
      </w:pPr>
      <w:r>
        <w:rPr>
          <w:rFonts w:hint="eastAsia" w:ascii="宋体" w:hAnsi="宋体"/>
          <w:sz w:val="24"/>
          <w:szCs w:val="24"/>
        </w:rPr>
        <w:t>2、竞争性谈判（磋商）程序：</w:t>
      </w:r>
    </w:p>
    <w:p>
      <w:pPr>
        <w:spacing w:line="500" w:lineRule="exact"/>
        <w:ind w:firstLine="425"/>
        <w:rPr>
          <w:rFonts w:hint="eastAsia" w:ascii="宋体" w:hAnsi="宋体"/>
          <w:sz w:val="24"/>
          <w:szCs w:val="24"/>
        </w:rPr>
      </w:pPr>
      <w:r>
        <w:rPr>
          <w:rFonts w:hint="eastAsia" w:ascii="宋体" w:hAnsi="宋体"/>
          <w:sz w:val="24"/>
          <w:szCs w:val="24"/>
        </w:rPr>
        <w:t>（1）招标项目的评审委员会转为竞争性谈判（磋商）的评审小组；</w:t>
      </w:r>
    </w:p>
    <w:p>
      <w:pPr>
        <w:spacing w:line="500" w:lineRule="exact"/>
        <w:ind w:firstLine="425"/>
        <w:rPr>
          <w:rFonts w:hint="eastAsia" w:ascii="宋体" w:hAnsi="宋体"/>
          <w:sz w:val="24"/>
          <w:szCs w:val="24"/>
        </w:rPr>
      </w:pPr>
      <w:r>
        <w:rPr>
          <w:rFonts w:hint="eastAsia" w:ascii="宋体" w:hAnsi="宋体"/>
          <w:sz w:val="24"/>
          <w:szCs w:val="24"/>
        </w:rPr>
        <w:t>（2）评审小组确认原招标文件为竞争性谈判（磋商）文件；</w:t>
      </w:r>
    </w:p>
    <w:p>
      <w:pPr>
        <w:spacing w:line="500" w:lineRule="exact"/>
        <w:ind w:firstLine="425"/>
        <w:rPr>
          <w:rFonts w:hint="eastAsia" w:ascii="宋体" w:hAnsi="宋体"/>
          <w:sz w:val="24"/>
          <w:szCs w:val="24"/>
        </w:rPr>
      </w:pPr>
      <w:r>
        <w:rPr>
          <w:rFonts w:hint="eastAsia" w:ascii="宋体" w:hAnsi="宋体"/>
          <w:sz w:val="24"/>
          <w:szCs w:val="24"/>
        </w:rPr>
        <w:t>（3）供应商的投标文件转为竞争性谈判（磋商）的首次响应文件；</w:t>
      </w:r>
    </w:p>
    <w:p>
      <w:pPr>
        <w:spacing w:line="500" w:lineRule="exact"/>
        <w:ind w:firstLine="425"/>
        <w:rPr>
          <w:rFonts w:hint="eastAsia" w:ascii="宋体" w:hAnsi="宋体"/>
          <w:sz w:val="24"/>
        </w:rPr>
      </w:pPr>
      <w:r>
        <w:rPr>
          <w:rFonts w:hint="eastAsia" w:ascii="宋体" w:hAnsi="宋体"/>
          <w:sz w:val="24"/>
          <w:szCs w:val="24"/>
        </w:rPr>
        <w:t>（4）评审小组</w:t>
      </w:r>
      <w:r>
        <w:rPr>
          <w:rFonts w:ascii="宋体" w:hAnsi="宋体"/>
          <w:sz w:val="24"/>
        </w:rPr>
        <w:t>所有成员应当集中与单一供应商分别进行谈判</w:t>
      </w:r>
      <w:r>
        <w:rPr>
          <w:rFonts w:hint="eastAsia" w:ascii="宋体" w:hAnsi="宋体"/>
          <w:sz w:val="24"/>
        </w:rPr>
        <w:t>（磋商）</w:t>
      </w:r>
      <w:r>
        <w:rPr>
          <w:rFonts w:ascii="宋体" w:hAnsi="宋体"/>
          <w:sz w:val="24"/>
        </w:rPr>
        <w:t>，并给予所有参加谈判</w:t>
      </w:r>
      <w:r>
        <w:rPr>
          <w:rFonts w:hint="eastAsia" w:ascii="宋体" w:hAnsi="宋体"/>
          <w:sz w:val="24"/>
        </w:rPr>
        <w:t>（磋商）</w:t>
      </w:r>
      <w:r>
        <w:rPr>
          <w:rFonts w:ascii="宋体" w:hAnsi="宋体"/>
          <w:sz w:val="24"/>
        </w:rPr>
        <w:t>的供应商平等的谈判</w:t>
      </w:r>
      <w:r>
        <w:rPr>
          <w:rFonts w:hint="eastAsia" w:ascii="宋体" w:hAnsi="宋体"/>
          <w:sz w:val="24"/>
        </w:rPr>
        <w:t>（磋商）</w:t>
      </w:r>
      <w:r>
        <w:rPr>
          <w:rFonts w:ascii="宋体" w:hAnsi="宋体"/>
          <w:sz w:val="24"/>
        </w:rPr>
        <w:t>机会</w:t>
      </w:r>
      <w:r>
        <w:rPr>
          <w:rFonts w:hint="eastAsia" w:ascii="宋体" w:hAnsi="宋体"/>
          <w:sz w:val="24"/>
        </w:rPr>
        <w:t>；</w:t>
      </w:r>
    </w:p>
    <w:p>
      <w:pPr>
        <w:spacing w:line="500" w:lineRule="exact"/>
        <w:ind w:firstLine="425"/>
        <w:rPr>
          <w:rFonts w:hint="eastAsia" w:ascii="宋体" w:hAnsi="宋体"/>
          <w:sz w:val="24"/>
        </w:rPr>
      </w:pPr>
      <w:r>
        <w:rPr>
          <w:rFonts w:hint="eastAsia" w:ascii="宋体" w:hAnsi="宋体"/>
          <w:sz w:val="24"/>
          <w:szCs w:val="24"/>
        </w:rPr>
        <w:t>（5）</w:t>
      </w:r>
      <w:r>
        <w:rPr>
          <w:rFonts w:ascii="宋体" w:hAnsi="宋体"/>
          <w:sz w:val="24"/>
        </w:rPr>
        <w:t>谈判</w:t>
      </w:r>
      <w:r>
        <w:rPr>
          <w:rFonts w:hint="eastAsia" w:ascii="宋体" w:hAnsi="宋体"/>
          <w:sz w:val="24"/>
        </w:rPr>
        <w:t>（磋商）</w:t>
      </w:r>
      <w:r>
        <w:rPr>
          <w:rFonts w:ascii="宋体" w:hAnsi="宋体"/>
          <w:sz w:val="24"/>
        </w:rPr>
        <w:t>结束后，</w:t>
      </w:r>
      <w:r>
        <w:rPr>
          <w:rFonts w:hint="eastAsia" w:ascii="宋体" w:hAnsi="宋体"/>
          <w:sz w:val="24"/>
        </w:rPr>
        <w:t>评审小组</w:t>
      </w:r>
      <w:r>
        <w:rPr>
          <w:rFonts w:ascii="宋体" w:hAnsi="宋体"/>
          <w:sz w:val="24"/>
        </w:rPr>
        <w:t>应当要求所有继续参加谈判的供应商在规定时间内提交最后报价</w:t>
      </w:r>
      <w:r>
        <w:rPr>
          <w:rFonts w:hint="eastAsia" w:ascii="宋体" w:hAnsi="宋体"/>
          <w:sz w:val="24"/>
        </w:rPr>
        <w:t>。</w:t>
      </w:r>
    </w:p>
    <w:p>
      <w:pPr>
        <w:spacing w:line="500" w:lineRule="exact"/>
        <w:ind w:firstLine="425"/>
        <w:rPr>
          <w:rFonts w:hint="eastAsia" w:ascii="宋体" w:hAnsi="宋体"/>
          <w:sz w:val="24"/>
          <w:szCs w:val="24"/>
        </w:rPr>
      </w:pPr>
      <w:r>
        <w:rPr>
          <w:rFonts w:hint="eastAsia" w:ascii="宋体" w:hAnsi="宋体"/>
          <w:sz w:val="24"/>
        </w:rPr>
        <w:t>（6）竞争性谈判按照最低评标价法确定成交供应商，竞争性磋商按照综合评分法确定成交供应商。</w:t>
      </w:r>
    </w:p>
    <w:p>
      <w:pPr>
        <w:spacing w:line="500" w:lineRule="exact"/>
        <w:ind w:firstLine="425"/>
        <w:rPr>
          <w:rFonts w:hint="eastAsia" w:ascii="宋体" w:hAnsi="宋体"/>
          <w:sz w:val="24"/>
          <w:szCs w:val="24"/>
        </w:rPr>
      </w:pPr>
      <w:r>
        <w:rPr>
          <w:rFonts w:hint="eastAsia" w:ascii="宋体" w:hAnsi="宋体"/>
          <w:sz w:val="24"/>
          <w:szCs w:val="24"/>
        </w:rPr>
        <w:t>3、单一来源采购程序：</w:t>
      </w:r>
    </w:p>
    <w:p>
      <w:pPr>
        <w:spacing w:line="500" w:lineRule="exact"/>
        <w:ind w:firstLine="425"/>
        <w:rPr>
          <w:rFonts w:hint="eastAsia" w:ascii="宋体" w:hAnsi="宋体"/>
          <w:sz w:val="24"/>
          <w:szCs w:val="24"/>
        </w:rPr>
      </w:pPr>
      <w:r>
        <w:rPr>
          <w:rFonts w:hint="eastAsia" w:ascii="宋体" w:hAnsi="宋体"/>
          <w:sz w:val="24"/>
          <w:szCs w:val="24"/>
        </w:rPr>
        <w:t>（1）招标项目的评审委员会转为单一来源采购的评审小组；</w:t>
      </w:r>
    </w:p>
    <w:p>
      <w:pPr>
        <w:spacing w:line="500" w:lineRule="exact"/>
        <w:ind w:firstLine="425"/>
        <w:rPr>
          <w:rFonts w:hint="eastAsia" w:ascii="宋体" w:hAnsi="宋体"/>
          <w:sz w:val="24"/>
          <w:szCs w:val="24"/>
        </w:rPr>
      </w:pPr>
      <w:r>
        <w:rPr>
          <w:rFonts w:hint="eastAsia" w:ascii="宋体" w:hAnsi="宋体"/>
          <w:sz w:val="24"/>
          <w:szCs w:val="24"/>
        </w:rPr>
        <w:t>（2）评审小组确认原招标文件为单一来源采购文件；</w:t>
      </w:r>
    </w:p>
    <w:p>
      <w:pPr>
        <w:spacing w:line="500" w:lineRule="exact"/>
        <w:ind w:firstLine="425"/>
        <w:rPr>
          <w:rFonts w:hint="eastAsia" w:ascii="宋体" w:hAnsi="宋体"/>
          <w:sz w:val="24"/>
          <w:szCs w:val="24"/>
        </w:rPr>
      </w:pPr>
      <w:r>
        <w:rPr>
          <w:rFonts w:hint="eastAsia" w:ascii="宋体" w:hAnsi="宋体"/>
          <w:sz w:val="24"/>
          <w:szCs w:val="24"/>
        </w:rPr>
        <w:t>（3）供应商的投标文件转为单一来源采购的首次响应文件；</w:t>
      </w:r>
    </w:p>
    <w:p>
      <w:pPr>
        <w:spacing w:line="500" w:lineRule="exact"/>
        <w:ind w:firstLine="425"/>
        <w:rPr>
          <w:rFonts w:hint="eastAsia" w:ascii="宋体" w:hAnsi="宋体"/>
          <w:sz w:val="24"/>
        </w:rPr>
      </w:pPr>
      <w:r>
        <w:rPr>
          <w:rFonts w:hint="eastAsia" w:ascii="宋体" w:hAnsi="宋体"/>
          <w:sz w:val="24"/>
          <w:szCs w:val="24"/>
        </w:rPr>
        <w:t>（4）评审小组</w:t>
      </w:r>
      <w:r>
        <w:rPr>
          <w:rFonts w:ascii="宋体" w:hAnsi="宋体"/>
          <w:sz w:val="24"/>
        </w:rPr>
        <w:t>与供应商</w:t>
      </w:r>
      <w:r>
        <w:rPr>
          <w:rFonts w:hint="eastAsia" w:ascii="宋体" w:hAnsi="宋体"/>
          <w:sz w:val="24"/>
        </w:rPr>
        <w:t>协商确定合理的成交价格。</w:t>
      </w:r>
    </w:p>
    <w:p>
      <w:pPr>
        <w:spacing w:line="440" w:lineRule="exact"/>
        <w:rPr>
          <w:rFonts w:hint="eastAsia" w:ascii="宋体" w:hAnsi="宋体"/>
          <w:color w:val="000000"/>
          <w:sz w:val="24"/>
        </w:rPr>
      </w:pPr>
      <w:r>
        <w:rPr>
          <w:rFonts w:hint="eastAsia" w:ascii="宋体" w:hAnsi="宋体"/>
          <w:color w:val="000000"/>
          <w:sz w:val="24"/>
        </w:rPr>
        <w:t>五、评审程序</w:t>
      </w:r>
    </w:p>
    <w:p>
      <w:pPr>
        <w:spacing w:line="440" w:lineRule="exact"/>
        <w:rPr>
          <w:rFonts w:hint="eastAsia" w:ascii="宋体" w:hAnsi="宋体"/>
          <w:color w:val="000000"/>
          <w:sz w:val="24"/>
        </w:rPr>
      </w:pPr>
      <w:r>
        <w:rPr>
          <w:rFonts w:hint="eastAsia" w:ascii="宋体" w:hAnsi="宋体"/>
          <w:color w:val="000000"/>
          <w:sz w:val="24"/>
        </w:rPr>
        <w:t>1、招标人工作人员按评审委员会名单核对评委身份，组织评委及监管等人员签到。</w:t>
      </w:r>
    </w:p>
    <w:p>
      <w:pPr>
        <w:spacing w:line="440" w:lineRule="exact"/>
        <w:rPr>
          <w:rFonts w:hint="eastAsia" w:ascii="宋体" w:hAnsi="宋体"/>
          <w:color w:val="000000"/>
          <w:sz w:val="24"/>
        </w:rPr>
      </w:pPr>
      <w:r>
        <w:rPr>
          <w:rFonts w:hint="eastAsia" w:ascii="宋体" w:hAnsi="宋体"/>
          <w:color w:val="000000"/>
          <w:sz w:val="24"/>
        </w:rPr>
        <w:t>2、招标人工作人员宣布评审纪律，征询评委有无回避情形；</w:t>
      </w:r>
    </w:p>
    <w:p>
      <w:pPr>
        <w:spacing w:line="440" w:lineRule="exact"/>
        <w:rPr>
          <w:rFonts w:hint="eastAsia" w:ascii="宋体" w:hAnsi="宋体"/>
          <w:color w:val="000000"/>
          <w:sz w:val="24"/>
        </w:rPr>
      </w:pPr>
      <w:r>
        <w:rPr>
          <w:rFonts w:hint="eastAsia" w:ascii="宋体" w:hAnsi="宋体"/>
          <w:color w:val="000000"/>
          <w:sz w:val="24"/>
        </w:rPr>
        <w:t>3、评审委员会确定评审组长，负责组织主持评审活动；</w:t>
      </w:r>
    </w:p>
    <w:p>
      <w:pPr>
        <w:spacing w:line="440" w:lineRule="exact"/>
        <w:rPr>
          <w:rFonts w:hint="eastAsia" w:ascii="宋体" w:hAnsi="宋体"/>
          <w:color w:val="000000"/>
          <w:sz w:val="24"/>
        </w:rPr>
      </w:pPr>
      <w:r>
        <w:rPr>
          <w:rFonts w:hint="eastAsia" w:ascii="宋体" w:hAnsi="宋体"/>
          <w:color w:val="000000"/>
          <w:sz w:val="24"/>
        </w:rPr>
        <w:t>4、招标人工作人员对每个评委评审情况进行复核，有差错的、或</w:t>
      </w:r>
      <w:r>
        <w:rPr>
          <w:rFonts w:hint="eastAsia" w:ascii="宋体" w:hAnsi="宋体"/>
          <w:b/>
          <w:bCs/>
          <w:color w:val="000000"/>
          <w:sz w:val="24"/>
        </w:rPr>
        <w:t>畸高畸低</w:t>
      </w:r>
      <w:r>
        <w:rPr>
          <w:rFonts w:hint="eastAsia" w:ascii="宋体" w:hAnsi="宋体"/>
          <w:color w:val="000000"/>
          <w:sz w:val="24"/>
        </w:rPr>
        <w:t>的，提醒评委进行修正，评委拒绝修正的，提交评委会按少数服从多数原则集体决定，并记入评审记录内。情节严重的，报监管部门处理。</w:t>
      </w:r>
    </w:p>
    <w:p>
      <w:pPr>
        <w:spacing w:line="440" w:lineRule="exact"/>
        <w:rPr>
          <w:rFonts w:hint="eastAsia" w:ascii="宋体" w:hAnsi="宋体"/>
          <w:color w:val="000000"/>
          <w:sz w:val="24"/>
        </w:rPr>
      </w:pPr>
      <w:r>
        <w:rPr>
          <w:rFonts w:hint="eastAsia" w:ascii="宋体" w:hAnsi="宋体"/>
          <w:color w:val="000000"/>
          <w:sz w:val="24"/>
        </w:rPr>
        <w:t>5、招标人工作人员协助做好价格分和评审情况的计算、汇总工作。</w:t>
      </w:r>
    </w:p>
    <w:p>
      <w:pPr>
        <w:spacing w:line="440" w:lineRule="exact"/>
        <w:rPr>
          <w:rFonts w:hint="eastAsia" w:ascii="宋体" w:hAnsi="宋体"/>
          <w:color w:val="000000"/>
          <w:sz w:val="24"/>
        </w:rPr>
      </w:pPr>
      <w:r>
        <w:rPr>
          <w:rFonts w:hint="eastAsia" w:ascii="宋体" w:hAnsi="宋体"/>
          <w:color w:val="000000"/>
          <w:sz w:val="24"/>
        </w:rPr>
        <w:t>6、评审委员会形成评标报告，应由全体成员签字确认。有保留意见的可以在评标报告中申明，未申明且拒绝签字的视同默认评标报告并载明此情形。</w:t>
      </w:r>
    </w:p>
    <w:p>
      <w:pPr>
        <w:spacing w:line="440" w:lineRule="exact"/>
        <w:rPr>
          <w:rFonts w:hint="eastAsia" w:ascii="宋体" w:hAnsi="宋体"/>
          <w:color w:val="000000"/>
          <w:sz w:val="24"/>
        </w:rPr>
      </w:pPr>
      <w:r>
        <w:rPr>
          <w:rFonts w:hint="eastAsia" w:ascii="宋体" w:hAnsi="宋体"/>
          <w:color w:val="000000"/>
          <w:sz w:val="24"/>
        </w:rPr>
        <w:t>7、招标人工作人员宣布会议结束。</w:t>
      </w:r>
    </w:p>
    <w:p>
      <w:pPr>
        <w:spacing w:line="440" w:lineRule="exact"/>
        <w:rPr>
          <w:rFonts w:ascii="宋体" w:hAnsi="宋体"/>
          <w:color w:val="000000"/>
          <w:sz w:val="24"/>
        </w:rPr>
      </w:pPr>
      <w:r>
        <w:rPr>
          <w:rFonts w:hint="eastAsia" w:ascii="宋体" w:hAnsi="宋体"/>
          <w:color w:val="000000"/>
          <w:sz w:val="24"/>
        </w:rPr>
        <w:t>六、评标方法</w:t>
      </w:r>
    </w:p>
    <w:p>
      <w:pPr>
        <w:spacing w:line="440" w:lineRule="exact"/>
        <w:ind w:firstLine="560"/>
        <w:rPr>
          <w:rFonts w:ascii="宋体" w:hAnsi="宋体"/>
          <w:color w:val="000000"/>
          <w:sz w:val="24"/>
        </w:rPr>
      </w:pPr>
      <w:r>
        <w:rPr>
          <w:rFonts w:hint="eastAsia" w:ascii="宋体" w:hAnsi="宋体"/>
          <w:color w:val="000000"/>
          <w:sz w:val="24"/>
        </w:rPr>
        <w:t>以招标文件要求为基础，考虑各项相关因素的影响，将相关因素以定量计算的方法转换成分数表示形式，以</w:t>
      </w:r>
      <w:r>
        <w:rPr>
          <w:rFonts w:ascii="宋体" w:hAnsi="宋体"/>
          <w:color w:val="000000"/>
          <w:sz w:val="24"/>
        </w:rPr>
        <w:t>评标</w:t>
      </w:r>
      <w:r>
        <w:rPr>
          <w:rFonts w:hint="eastAsia" w:ascii="宋体" w:hAnsi="宋体"/>
          <w:color w:val="000000"/>
          <w:sz w:val="24"/>
        </w:rPr>
        <w:t>得</w:t>
      </w:r>
      <w:r>
        <w:rPr>
          <w:rFonts w:ascii="宋体" w:hAnsi="宋体"/>
          <w:color w:val="000000"/>
          <w:sz w:val="24"/>
        </w:rPr>
        <w:t>分</w:t>
      </w:r>
      <w:r>
        <w:rPr>
          <w:rFonts w:hint="eastAsia" w:ascii="宋体" w:hAnsi="宋体"/>
          <w:color w:val="000000"/>
          <w:sz w:val="24"/>
        </w:rPr>
        <w:t>高低</w:t>
      </w:r>
      <w:r>
        <w:rPr>
          <w:rFonts w:ascii="宋体" w:hAnsi="宋体"/>
          <w:color w:val="000000"/>
          <w:sz w:val="24"/>
        </w:rPr>
        <w:t>确定评标结果顺序。</w:t>
      </w:r>
    </w:p>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本次招标的评标采用综合评分法。</w:t>
      </w:r>
    </w:p>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综合评分法：根据本项目招标文件的要求，按照本办法规定的内容和分值设置，对投标人的投标文件中进行评分，最终得出该投标的总分；按评估分自高向低次序排出评标结果排序。</w:t>
      </w:r>
    </w:p>
    <w:p>
      <w:pPr>
        <w:spacing w:line="440" w:lineRule="exact"/>
        <w:rPr>
          <w:rFonts w:ascii="宋体" w:hAnsi="宋体"/>
          <w:color w:val="000000"/>
          <w:sz w:val="24"/>
        </w:rPr>
      </w:pPr>
      <w:r>
        <w:rPr>
          <w:rFonts w:hint="eastAsia" w:ascii="宋体" w:hAnsi="宋体"/>
          <w:color w:val="000000"/>
          <w:sz w:val="24"/>
        </w:rPr>
        <w:t>七、评标细则</w:t>
      </w:r>
    </w:p>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首先根据招标文件的完整性、有效性及资格等方面进行审查，通过审查的投标文件才能进入综合比较与评议。</w:t>
      </w:r>
    </w:p>
    <w:p>
      <w:pPr>
        <w:spacing w:line="440" w:lineRule="exact"/>
        <w:rPr>
          <w:rFonts w:ascii="宋体" w:hAnsi="宋体"/>
          <w:color w:val="000000"/>
          <w:sz w:val="24"/>
        </w:rPr>
      </w:pPr>
      <w:r>
        <w:rPr>
          <w:rFonts w:ascii="宋体" w:hAnsi="宋体"/>
          <w:color w:val="000000"/>
          <w:sz w:val="24"/>
        </w:rPr>
        <w:t xml:space="preserve">    (一)  </w:t>
      </w:r>
      <w:r>
        <w:rPr>
          <w:rFonts w:hint="eastAsia" w:ascii="宋体" w:hAnsi="宋体"/>
          <w:color w:val="000000"/>
          <w:sz w:val="24"/>
        </w:rPr>
        <w:t>评分标准</w:t>
      </w:r>
    </w:p>
    <w:p>
      <w:pPr>
        <w:rPr>
          <w:rFonts w:hint="eastAsia" w:ascii="宋体"/>
          <w:color w:val="000000"/>
          <w:sz w:val="24"/>
        </w:rPr>
      </w:pPr>
      <w:r>
        <w:rPr>
          <w:rFonts w:hint="eastAsia" w:ascii="宋体"/>
          <w:color w:val="000000"/>
          <w:sz w:val="24"/>
        </w:rPr>
        <w:t>评分表</w:t>
      </w:r>
    </w:p>
    <w:tbl>
      <w:tblPr>
        <w:tblStyle w:val="23"/>
        <w:tblW w:w="0" w:type="auto"/>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8"/>
        <w:gridCol w:w="1402"/>
        <w:gridCol w:w="583"/>
        <w:gridCol w:w="6930"/>
      </w:tblGrid>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488" w:type="dxa"/>
            <w:tcBorders>
              <w:top w:val="single" w:color="auto" w:sz="12" w:space="0"/>
              <w:left w:val="single" w:color="auto" w:sz="12" w:space="0"/>
              <w:bottom w:val="single" w:color="auto" w:sz="4" w:space="0"/>
              <w:right w:val="single" w:color="auto" w:sz="4" w:space="0"/>
            </w:tcBorders>
            <w:noWrap w:val="0"/>
            <w:vAlign w:val="top"/>
          </w:tcPr>
          <w:p>
            <w:pPr>
              <w:jc w:val="center"/>
              <w:rPr>
                <w:rFonts w:ascii="宋体"/>
                <w:b/>
                <w:color w:val="000000"/>
              </w:rPr>
            </w:pPr>
            <w:r>
              <w:rPr>
                <w:rFonts w:hint="eastAsia"/>
                <w:b/>
                <w:bCs/>
              </w:rPr>
              <w:t>序号</w:t>
            </w:r>
          </w:p>
        </w:tc>
        <w:tc>
          <w:tcPr>
            <w:tcW w:w="1402"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color w:val="000000"/>
                <w:szCs w:val="21"/>
                <w:lang w:val="zh-CN"/>
              </w:rPr>
            </w:pPr>
            <w:r>
              <w:rPr>
                <w:rFonts w:hint="eastAsia" w:ascii="宋体" w:hAnsi="宋体" w:eastAsia="宋体" w:cs="宋体"/>
                <w:b/>
                <w:bCs/>
              </w:rPr>
              <w:t>评审因素</w:t>
            </w:r>
          </w:p>
        </w:tc>
        <w:tc>
          <w:tcPr>
            <w:tcW w:w="583"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color w:val="000000"/>
                <w:szCs w:val="21"/>
                <w:lang w:val="zh-CN"/>
              </w:rPr>
            </w:pPr>
            <w:r>
              <w:rPr>
                <w:rFonts w:hint="eastAsia" w:ascii="宋体" w:hAnsi="宋体" w:eastAsia="宋体" w:cs="宋体"/>
                <w:b/>
                <w:bCs/>
              </w:rPr>
              <w:t>分值</w:t>
            </w:r>
          </w:p>
        </w:tc>
        <w:tc>
          <w:tcPr>
            <w:tcW w:w="6930"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color w:val="000000"/>
                <w:szCs w:val="21"/>
                <w:lang w:val="zh-CN"/>
              </w:rPr>
            </w:pPr>
            <w:r>
              <w:rPr>
                <w:rFonts w:hint="eastAsia" w:ascii="宋体" w:hAnsi="宋体" w:eastAsia="宋体" w:cs="宋体"/>
                <w:b/>
                <w:bCs/>
              </w:rPr>
              <w:t>评审要点及说明</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88" w:type="dxa"/>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1</w:t>
            </w:r>
          </w:p>
        </w:tc>
        <w:tc>
          <w:tcPr>
            <w:tcW w:w="1402"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价格</w:t>
            </w:r>
          </w:p>
        </w:tc>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10</w:t>
            </w:r>
          </w:p>
        </w:tc>
        <w:tc>
          <w:tcPr>
            <w:tcW w:w="6930" w:type="dxa"/>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color w:val="000000"/>
                <w:sz w:val="18"/>
                <w:szCs w:val="18"/>
                <w:lang w:val="zh-CN"/>
              </w:rPr>
            </w:pPr>
            <w:r>
              <w:rPr>
                <w:rFonts w:hint="eastAsia" w:ascii="宋体" w:hAnsi="宋体" w:cs="宋体"/>
                <w:color w:val="000000"/>
                <w:sz w:val="18"/>
                <w:szCs w:val="18"/>
                <w:lang w:val="zh-CN"/>
              </w:rPr>
              <w:t>一、投标人为小微企业且投标产品(或服务)为小微企业生产的，该产品(或服务)投标价格给予6%的价格扣除后参与评审（专门面向小微企业招标项目不适用）。</w:t>
            </w:r>
          </w:p>
          <w:p>
            <w:pPr>
              <w:rPr>
                <w:rFonts w:ascii="宋体" w:hAnsi="宋体" w:cs="宋体"/>
                <w:color w:val="000000"/>
                <w:sz w:val="18"/>
                <w:szCs w:val="18"/>
                <w:lang w:val="zh-CN"/>
              </w:rPr>
            </w:pPr>
            <w:r>
              <w:rPr>
                <w:rFonts w:hint="eastAsia" w:ascii="宋体" w:hAnsi="宋体" w:cs="宋体"/>
                <w:color w:val="000000"/>
                <w:sz w:val="18"/>
                <w:szCs w:val="18"/>
                <w:lang w:val="zh-CN"/>
              </w:rPr>
              <w:t>二、基准价为满足招标文件要求的最低评审价格，报价得分=（基准价/评审价格）*价格分值。</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488" w:type="dxa"/>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2</w:t>
            </w:r>
          </w:p>
        </w:tc>
        <w:tc>
          <w:tcPr>
            <w:tcW w:w="1402"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技术</w:t>
            </w:r>
          </w:p>
        </w:tc>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66</w:t>
            </w:r>
          </w:p>
        </w:tc>
        <w:tc>
          <w:tcPr>
            <w:tcW w:w="6930" w:type="dxa"/>
            <w:tcBorders>
              <w:top w:val="single" w:color="auto" w:sz="4" w:space="0"/>
              <w:left w:val="single" w:color="auto" w:sz="4" w:space="0"/>
              <w:bottom w:val="single" w:color="auto" w:sz="4" w:space="0"/>
              <w:right w:val="single" w:color="auto" w:sz="12" w:space="0"/>
            </w:tcBorders>
            <w:noWrap w:val="0"/>
            <w:vAlign w:val="top"/>
          </w:tcPr>
          <w:p>
            <w:pPr>
              <w:pStyle w:val="69"/>
              <w:numPr>
                <w:ilvl w:val="0"/>
                <w:numId w:val="13"/>
              </w:numPr>
              <w:ind w:firstLineChars="0"/>
              <w:rPr>
                <w:rFonts w:ascii="宋体" w:hAnsi="宋体" w:eastAsia="宋体" w:cs="宋体"/>
                <w:color w:val="000000"/>
                <w:sz w:val="18"/>
                <w:szCs w:val="18"/>
                <w:lang w:val="zh-CN"/>
              </w:rPr>
            </w:pPr>
            <w:r>
              <w:rPr>
                <w:rFonts w:hint="eastAsia" w:ascii="宋体" w:hAnsi="宋体" w:eastAsia="宋体" w:cs="宋体"/>
                <w:color w:val="000000"/>
                <w:sz w:val="18"/>
                <w:szCs w:val="18"/>
                <w:lang w:val="zh-CN"/>
              </w:rPr>
              <w:t>需求分析18分：</w:t>
            </w:r>
          </w:p>
          <w:p>
            <w:pPr>
              <w:rPr>
                <w:rFonts w:ascii="宋体" w:hAnsi="宋体" w:cs="宋体"/>
                <w:color w:val="000000"/>
                <w:sz w:val="18"/>
                <w:szCs w:val="18"/>
                <w:lang w:val="zh-CN"/>
              </w:rPr>
            </w:pPr>
            <w:r>
              <w:rPr>
                <w:rFonts w:hint="eastAsia" w:ascii="宋体" w:hAnsi="宋体" w:cs="宋体"/>
                <w:color w:val="000000"/>
                <w:sz w:val="18"/>
                <w:szCs w:val="18"/>
                <w:lang w:val="zh-CN"/>
              </w:rPr>
              <w:t>1、通过对业务需求的分析，形成合理化建议，体现对需求的深入理解，重点阐述业务需求框架以及对基础信息库、项目库、</w:t>
            </w:r>
            <w:r>
              <w:rPr>
                <w:rFonts w:hint="eastAsia" w:ascii="宋体" w:hAnsi="宋体" w:cs="宋体"/>
                <w:sz w:val="18"/>
                <w:szCs w:val="18"/>
                <w:lang w:val="zh-CN"/>
              </w:rPr>
              <w:t>预算管理</w:t>
            </w:r>
            <w:r>
              <w:rPr>
                <w:rFonts w:hint="eastAsia" w:ascii="宋体" w:hAnsi="宋体" w:cs="宋体"/>
                <w:color w:val="000000"/>
                <w:sz w:val="18"/>
                <w:szCs w:val="18"/>
                <w:lang w:val="zh-CN"/>
              </w:rPr>
              <w:t>的业务理解5分：需求</w:t>
            </w:r>
            <w:r>
              <w:rPr>
                <w:rFonts w:ascii="宋体" w:hAnsi="宋体" w:cs="宋体"/>
                <w:color w:val="000000"/>
                <w:sz w:val="18"/>
                <w:szCs w:val="18"/>
                <w:lang w:val="zh-CN"/>
              </w:rPr>
              <w:t>分析准确、</w:t>
            </w:r>
            <w:r>
              <w:rPr>
                <w:rFonts w:hint="eastAsia" w:ascii="宋体" w:hAnsi="宋体" w:cs="宋体"/>
                <w:color w:val="000000"/>
                <w:sz w:val="18"/>
                <w:szCs w:val="18"/>
                <w:lang w:val="zh-CN"/>
              </w:rPr>
              <w:t>透彻、</w:t>
            </w:r>
            <w:r>
              <w:rPr>
                <w:rFonts w:ascii="宋体" w:hAnsi="宋体" w:cs="宋体"/>
                <w:color w:val="000000"/>
                <w:sz w:val="18"/>
                <w:szCs w:val="18"/>
                <w:lang w:val="zh-CN"/>
              </w:rPr>
              <w:t>针对性强，</w:t>
            </w:r>
            <w:r>
              <w:rPr>
                <w:rFonts w:hint="eastAsia" w:ascii="宋体" w:hAnsi="宋体" w:cs="宋体"/>
                <w:color w:val="000000"/>
                <w:sz w:val="18"/>
                <w:szCs w:val="18"/>
                <w:lang w:val="zh-CN"/>
              </w:rPr>
              <w:t>完全</w:t>
            </w:r>
            <w:r>
              <w:rPr>
                <w:rFonts w:ascii="宋体" w:hAnsi="宋体" w:cs="宋体"/>
                <w:color w:val="000000"/>
                <w:sz w:val="18"/>
                <w:szCs w:val="18"/>
                <w:lang w:val="zh-CN"/>
              </w:rPr>
              <w:t>满足项目需求的</w:t>
            </w:r>
            <w:r>
              <w:rPr>
                <w:rFonts w:hint="eastAsia" w:ascii="宋体" w:hAnsi="宋体" w:cs="宋体"/>
                <w:color w:val="000000"/>
                <w:sz w:val="18"/>
                <w:szCs w:val="18"/>
                <w:lang w:val="zh-CN"/>
              </w:rPr>
              <w:t>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2、业务流程梳理及设计：根据对财政业务的理解，提出合理的业务流程梳理方法，并给出梳理结果5分：方法科学、合理</w:t>
            </w:r>
            <w:r>
              <w:rPr>
                <w:rFonts w:ascii="宋体" w:hAnsi="宋体" w:cs="宋体"/>
                <w:color w:val="000000"/>
                <w:sz w:val="18"/>
                <w:szCs w:val="18"/>
                <w:lang w:val="zh-CN"/>
              </w:rPr>
              <w:t>，</w:t>
            </w:r>
            <w:r>
              <w:rPr>
                <w:rFonts w:hint="eastAsia" w:ascii="宋体" w:hAnsi="宋体" w:cs="宋体"/>
                <w:color w:val="000000"/>
                <w:sz w:val="18"/>
                <w:szCs w:val="18"/>
                <w:lang w:val="zh-CN"/>
              </w:rPr>
              <w:t>结果完全</w:t>
            </w:r>
            <w:r>
              <w:rPr>
                <w:rFonts w:ascii="宋体" w:hAnsi="宋体" w:cs="宋体"/>
                <w:color w:val="000000"/>
                <w:sz w:val="18"/>
                <w:szCs w:val="18"/>
                <w:lang w:val="zh-CN"/>
              </w:rPr>
              <w:t>满足项目需求</w:t>
            </w:r>
            <w:r>
              <w:rPr>
                <w:rFonts w:hint="eastAsia" w:ascii="宋体" w:hAnsi="宋体" w:cs="宋体"/>
                <w:color w:val="000000"/>
                <w:sz w:val="18"/>
                <w:szCs w:val="18"/>
                <w:lang w:val="zh-CN"/>
              </w:rPr>
              <w:t>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3、财政全生态的理解和设计：根据对财政业务及招标需求的理解，阐述对财政全生态的理解</w:t>
            </w:r>
            <w:r>
              <w:rPr>
                <w:rFonts w:ascii="宋体" w:hAnsi="宋体" w:cs="宋体"/>
                <w:color w:val="000000"/>
                <w:sz w:val="18"/>
                <w:szCs w:val="18"/>
                <w:lang w:val="zh-CN"/>
              </w:rPr>
              <w:t>和</w:t>
            </w:r>
            <w:r>
              <w:rPr>
                <w:rFonts w:hint="eastAsia" w:ascii="宋体" w:hAnsi="宋体" w:cs="宋体"/>
                <w:color w:val="000000"/>
                <w:sz w:val="18"/>
                <w:szCs w:val="18"/>
                <w:lang w:val="zh-CN"/>
              </w:rPr>
              <w:t>设计3分：需求</w:t>
            </w:r>
            <w:r>
              <w:rPr>
                <w:rFonts w:ascii="宋体" w:hAnsi="宋体" w:cs="宋体"/>
                <w:color w:val="000000"/>
                <w:sz w:val="18"/>
                <w:szCs w:val="18"/>
                <w:lang w:val="zh-CN"/>
              </w:rPr>
              <w:t>分析准确、</w:t>
            </w:r>
            <w:r>
              <w:rPr>
                <w:rFonts w:hint="eastAsia" w:ascii="宋体" w:hAnsi="宋体" w:cs="宋体"/>
                <w:color w:val="000000"/>
                <w:sz w:val="18"/>
                <w:szCs w:val="18"/>
                <w:lang w:val="zh-CN"/>
              </w:rPr>
              <w:t>透彻</w:t>
            </w:r>
            <w:r>
              <w:rPr>
                <w:rFonts w:ascii="宋体" w:hAnsi="宋体" w:cs="宋体"/>
                <w:color w:val="000000"/>
                <w:sz w:val="18"/>
                <w:szCs w:val="18"/>
                <w:lang w:val="zh-CN"/>
              </w:rPr>
              <w:t>、针对性强，设计</w:t>
            </w:r>
            <w:r>
              <w:rPr>
                <w:rFonts w:hint="eastAsia" w:ascii="宋体" w:hAnsi="宋体" w:cs="宋体"/>
                <w:color w:val="000000"/>
                <w:sz w:val="18"/>
                <w:szCs w:val="18"/>
                <w:lang w:val="zh-CN"/>
              </w:rPr>
              <w:t>完全</w:t>
            </w:r>
            <w:r>
              <w:rPr>
                <w:rFonts w:ascii="宋体" w:hAnsi="宋体" w:cs="宋体"/>
                <w:color w:val="000000"/>
                <w:sz w:val="18"/>
                <w:szCs w:val="18"/>
                <w:lang w:val="zh-CN"/>
              </w:rPr>
              <w:t>满足项目需求</w:t>
            </w:r>
            <w:r>
              <w:rPr>
                <w:rFonts w:hint="eastAsia" w:ascii="宋体" w:hAnsi="宋体" w:cs="宋体"/>
                <w:color w:val="000000"/>
                <w:sz w:val="18"/>
                <w:szCs w:val="18"/>
                <w:lang w:val="zh-CN"/>
              </w:rPr>
              <w:t>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4、智慧型</w:t>
            </w:r>
            <w:r>
              <w:rPr>
                <w:rFonts w:ascii="宋体" w:hAnsi="宋体" w:cs="宋体"/>
                <w:color w:val="000000"/>
                <w:sz w:val="18"/>
                <w:szCs w:val="18"/>
                <w:lang w:val="zh-CN"/>
              </w:rPr>
              <w:t>系统</w:t>
            </w:r>
            <w:r>
              <w:rPr>
                <w:rFonts w:hint="eastAsia" w:ascii="宋体" w:hAnsi="宋体" w:cs="宋体"/>
                <w:color w:val="000000"/>
                <w:sz w:val="18"/>
                <w:szCs w:val="18"/>
                <w:lang w:val="zh-CN"/>
              </w:rPr>
              <w:t>：根据</w:t>
            </w:r>
            <w:r>
              <w:rPr>
                <w:rFonts w:ascii="宋体" w:hAnsi="宋体" w:cs="宋体"/>
                <w:color w:val="000000"/>
                <w:sz w:val="18"/>
                <w:szCs w:val="18"/>
                <w:lang w:val="zh-CN"/>
              </w:rPr>
              <w:t>对</w:t>
            </w:r>
            <w:r>
              <w:rPr>
                <w:rFonts w:hint="eastAsia" w:ascii="宋体" w:hAnsi="宋体" w:cs="宋体"/>
                <w:color w:val="000000"/>
                <w:sz w:val="18"/>
                <w:szCs w:val="18"/>
                <w:lang w:val="zh-CN"/>
              </w:rPr>
              <w:t>财政业务及招标需求的理解，阐述</w:t>
            </w:r>
            <w:r>
              <w:rPr>
                <w:rFonts w:hint="eastAsia" w:ascii="宋体" w:hAnsi="宋体" w:cs="宋体"/>
                <w:sz w:val="18"/>
                <w:szCs w:val="18"/>
                <w:lang w:val="zh-CN"/>
              </w:rPr>
              <w:t>智慧型</w:t>
            </w:r>
            <w:r>
              <w:rPr>
                <w:rFonts w:ascii="宋体" w:hAnsi="宋体" w:cs="宋体"/>
                <w:sz w:val="18"/>
                <w:szCs w:val="18"/>
                <w:lang w:val="zh-CN"/>
              </w:rPr>
              <w:t>系统设计的细节和要点，</w:t>
            </w:r>
            <w:r>
              <w:rPr>
                <w:rFonts w:hint="eastAsia" w:ascii="宋体" w:hAnsi="宋体" w:cs="宋体"/>
                <w:sz w:val="18"/>
                <w:szCs w:val="18"/>
                <w:lang w:val="zh-CN"/>
              </w:rPr>
              <w:t>不限于</w:t>
            </w:r>
            <w:r>
              <w:rPr>
                <w:rFonts w:ascii="宋体" w:hAnsi="宋体" w:cs="宋体"/>
                <w:sz w:val="18"/>
                <w:szCs w:val="18"/>
                <w:lang w:val="zh-CN"/>
              </w:rPr>
              <w:t>体现</w:t>
            </w:r>
            <w:r>
              <w:rPr>
                <w:rFonts w:hint="eastAsia" w:ascii="宋体" w:hAnsi="宋体" w:cs="宋体"/>
                <w:sz w:val="18"/>
                <w:szCs w:val="18"/>
                <w:lang w:val="zh-CN"/>
              </w:rPr>
              <w:t>编码设计的科学性、前瞻性等5分</w:t>
            </w:r>
            <w:r>
              <w:rPr>
                <w:rFonts w:hint="eastAsia" w:ascii="宋体" w:hAnsi="宋体" w:cs="宋体"/>
                <w:color w:val="000000"/>
                <w:sz w:val="18"/>
                <w:szCs w:val="18"/>
                <w:lang w:val="zh-CN"/>
              </w:rPr>
              <w:t>：方案完整清晰、合理，针对性强，完全满足要求得满分，其他由评委综合评定扣分。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二、总体设计12分：</w:t>
            </w:r>
          </w:p>
          <w:p>
            <w:pPr>
              <w:rPr>
                <w:rFonts w:ascii="宋体" w:hAnsi="宋体" w:cs="宋体"/>
                <w:color w:val="000000"/>
                <w:sz w:val="18"/>
                <w:szCs w:val="18"/>
                <w:lang w:val="zh-CN"/>
              </w:rPr>
            </w:pPr>
            <w:r>
              <w:rPr>
                <w:rFonts w:hint="eastAsia" w:ascii="宋体" w:hAnsi="宋体" w:cs="宋体"/>
                <w:color w:val="000000"/>
                <w:sz w:val="18"/>
                <w:szCs w:val="18"/>
                <w:lang w:val="zh-CN"/>
              </w:rPr>
              <w:t>1、总体技术架构：要</w:t>
            </w:r>
            <w:r>
              <w:rPr>
                <w:rFonts w:hint="eastAsia" w:ascii="宋体" w:hAnsi="宋体" w:cs="宋体"/>
                <w:sz w:val="18"/>
                <w:szCs w:val="18"/>
                <w:lang w:val="zh-CN"/>
              </w:rPr>
              <w:t>求阐述项目总体架构设计的特</w:t>
            </w:r>
            <w:r>
              <w:rPr>
                <w:rFonts w:hint="eastAsia" w:ascii="宋体" w:hAnsi="宋体" w:cs="宋体"/>
                <w:color w:val="000000"/>
                <w:sz w:val="18"/>
                <w:szCs w:val="18"/>
                <w:lang w:val="zh-CN"/>
              </w:rPr>
              <w:t>点，符合宁波市“智慧</w:t>
            </w:r>
            <w:r>
              <w:rPr>
                <w:rFonts w:ascii="宋体" w:hAnsi="宋体" w:cs="宋体"/>
                <w:color w:val="000000"/>
                <w:sz w:val="18"/>
                <w:szCs w:val="18"/>
                <w:lang w:val="zh-CN"/>
              </w:rPr>
              <w:t>财政</w:t>
            </w:r>
            <w:r>
              <w:rPr>
                <w:rFonts w:hint="eastAsia" w:ascii="宋体" w:hAnsi="宋体" w:cs="宋体"/>
                <w:color w:val="000000"/>
                <w:sz w:val="18"/>
                <w:szCs w:val="18"/>
                <w:lang w:val="zh-CN"/>
              </w:rPr>
              <w:t>”项目建设要求6分：方案完整清晰、合理，针对性强，完全满足要求得满分，其他由评委综合评定扣分。</w:t>
            </w:r>
          </w:p>
          <w:p>
            <w:pPr>
              <w:rPr>
                <w:rFonts w:ascii="宋体" w:hAnsi="宋体" w:eastAsia="宋体" w:cs="宋体"/>
                <w:color w:val="000000"/>
                <w:sz w:val="18"/>
                <w:szCs w:val="18"/>
                <w:lang w:val="zh-CN"/>
              </w:rPr>
            </w:pPr>
            <w:r>
              <w:rPr>
                <w:rFonts w:hint="eastAsia" w:ascii="宋体" w:hAnsi="宋体" w:cs="宋体"/>
                <w:color w:val="000000"/>
                <w:sz w:val="18"/>
                <w:szCs w:val="18"/>
                <w:lang w:val="zh-CN"/>
              </w:rPr>
              <w:t>2、应用支撑平台：结合招标需求以及对业务的理解，阐述应用支撑平台设计方案3分：方案完整清晰、合理，针对性强，完全满足要求得满分，其他由评委综合评定扣分</w:t>
            </w:r>
            <w:r>
              <w:rPr>
                <w:rFonts w:hint="eastAsia" w:ascii="宋体" w:hAnsi="宋体" w:eastAsia="宋体" w:cs="宋体"/>
                <w:color w:val="000000"/>
                <w:sz w:val="18"/>
                <w:szCs w:val="18"/>
                <w:lang w:val="zh-CN"/>
              </w:rPr>
              <w:t>。</w:t>
            </w:r>
          </w:p>
          <w:p>
            <w:pPr>
              <w:rPr>
                <w:rFonts w:ascii="宋体" w:hAnsi="宋体" w:cs="宋体"/>
                <w:color w:val="000000"/>
                <w:sz w:val="18"/>
                <w:szCs w:val="18"/>
                <w:lang w:val="zh-CN"/>
              </w:rPr>
            </w:pPr>
            <w:r>
              <w:rPr>
                <w:rFonts w:hint="eastAsia" w:ascii="宋体" w:hAnsi="宋体" w:cs="宋体"/>
                <w:color w:val="000000"/>
                <w:sz w:val="18"/>
                <w:szCs w:val="18"/>
                <w:lang w:val="zh-CN"/>
              </w:rPr>
              <w:t>3、内外部服务平台：结合招标需求以及对业务的理解，阐述内外部服务平台设计方案3分：方案完整清晰、合理，针对性强，完全满足要求得满分，其他由评委综合评定扣分。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三、数据设计12分：</w:t>
            </w:r>
          </w:p>
          <w:p>
            <w:pPr>
              <w:rPr>
                <w:rFonts w:ascii="宋体" w:hAnsi="宋体" w:cs="宋体"/>
                <w:sz w:val="18"/>
                <w:szCs w:val="18"/>
                <w:lang w:val="zh-CN"/>
              </w:rPr>
            </w:pPr>
            <w:r>
              <w:rPr>
                <w:rFonts w:hint="eastAsia" w:ascii="宋体" w:hAnsi="宋体" w:cs="宋体"/>
                <w:color w:val="000000"/>
                <w:sz w:val="18"/>
                <w:szCs w:val="18"/>
                <w:lang w:val="zh-CN"/>
              </w:rPr>
              <w:t>1、数据治理设计：要求</w:t>
            </w:r>
            <w:r>
              <w:rPr>
                <w:rFonts w:hint="eastAsia" w:ascii="宋体" w:hAnsi="宋体" w:cs="宋体"/>
                <w:sz w:val="18"/>
                <w:szCs w:val="18"/>
                <w:lang w:val="zh-CN"/>
              </w:rPr>
              <w:t>阐述项目总体数据治理的详细设计方案6分：方案完整清晰、合理，针对性强，完全满足要求得满分，其他由评委综合评定扣分。</w:t>
            </w:r>
          </w:p>
          <w:p>
            <w:pPr>
              <w:rPr>
                <w:rFonts w:ascii="宋体" w:hAnsi="宋体" w:cs="宋体"/>
                <w:color w:val="000000"/>
                <w:sz w:val="18"/>
                <w:szCs w:val="18"/>
                <w:lang w:val="zh-CN"/>
              </w:rPr>
            </w:pPr>
            <w:r>
              <w:rPr>
                <w:rFonts w:hint="eastAsia" w:ascii="宋体" w:hAnsi="宋体" w:cs="宋体"/>
                <w:sz w:val="18"/>
                <w:szCs w:val="18"/>
                <w:lang w:val="zh-CN"/>
              </w:rPr>
              <w:t>2、数据协同及应用设计：要求阐述本标包涉及的数据协同及应用的</w:t>
            </w:r>
            <w:r>
              <w:rPr>
                <w:rFonts w:hint="eastAsia" w:ascii="宋体" w:hAnsi="宋体" w:cs="宋体"/>
                <w:color w:val="000000"/>
                <w:sz w:val="18"/>
                <w:szCs w:val="18"/>
                <w:lang w:val="zh-CN"/>
              </w:rPr>
              <w:t>详细设计方案6分：方案完整清晰、合理，针对性强，完全满足要求满分，其他由评委综合评定扣分。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四、集成设计5分：</w:t>
            </w:r>
          </w:p>
          <w:p>
            <w:pPr>
              <w:wordWrap w:val="0"/>
              <w:rPr>
                <w:rFonts w:ascii="宋体" w:hAnsi="宋体" w:cs="宋体"/>
                <w:color w:val="000000"/>
                <w:sz w:val="18"/>
                <w:szCs w:val="18"/>
                <w:lang w:val="zh-CN"/>
              </w:rPr>
            </w:pPr>
            <w:r>
              <w:rPr>
                <w:rFonts w:ascii="宋体" w:hAnsi="宋体" w:cs="宋体"/>
                <w:color w:val="000000"/>
                <w:sz w:val="18"/>
                <w:szCs w:val="18"/>
                <w:lang w:val="zh-CN"/>
              </w:rPr>
              <w:t>1</w:t>
            </w:r>
            <w:r>
              <w:rPr>
                <w:rFonts w:hint="eastAsia" w:ascii="宋体" w:hAnsi="宋体" w:cs="宋体"/>
                <w:color w:val="000000"/>
                <w:sz w:val="18"/>
                <w:szCs w:val="18"/>
                <w:lang w:val="zh-CN"/>
              </w:rPr>
              <w:t>、集成方案：要求对总集成方案进行描述</w:t>
            </w:r>
            <w:r>
              <w:rPr>
                <w:rFonts w:hint="eastAsia" w:ascii="宋体" w:hAnsi="宋体" w:eastAsia="宋体" w:cs="宋体"/>
                <w:color w:val="000000"/>
                <w:sz w:val="18"/>
                <w:szCs w:val="18"/>
                <w:lang w:val="zh-CN"/>
              </w:rPr>
              <w:t>，</w:t>
            </w:r>
            <w:r>
              <w:rPr>
                <w:rFonts w:hint="eastAsia" w:ascii="宋体" w:hAnsi="宋体" w:cs="宋体"/>
                <w:color w:val="000000"/>
                <w:sz w:val="18"/>
                <w:szCs w:val="18"/>
                <w:lang w:val="zh-CN"/>
              </w:rPr>
              <w:t>阐述各个系统之间的集成方案，包括现有系统、改造升级系统5分：方案完整清晰、合理，针对性强，完全满足要求得满分，其他由评委综合评定扣分。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五、其他要求8分：</w:t>
            </w:r>
          </w:p>
          <w:p>
            <w:pPr>
              <w:rPr>
                <w:rFonts w:ascii="宋体" w:hAnsi="宋体" w:cs="宋体"/>
                <w:color w:val="000000"/>
                <w:sz w:val="18"/>
                <w:szCs w:val="18"/>
                <w:lang w:val="zh-CN"/>
              </w:rPr>
            </w:pPr>
            <w:r>
              <w:rPr>
                <w:rFonts w:ascii="宋体" w:hAnsi="宋体" w:cs="宋体"/>
                <w:color w:val="000000"/>
                <w:sz w:val="18"/>
                <w:szCs w:val="18"/>
                <w:lang w:val="zh-CN"/>
              </w:rPr>
              <w:t>1</w:t>
            </w:r>
            <w:r>
              <w:rPr>
                <w:rFonts w:hint="eastAsia" w:ascii="宋体" w:hAnsi="宋体" w:cs="宋体"/>
                <w:color w:val="000000"/>
                <w:sz w:val="18"/>
                <w:szCs w:val="18"/>
                <w:lang w:val="zh-CN"/>
              </w:rPr>
              <w:t>、充分考虑数字政务进行系统设计5分：方案完整清晰、合理，针对性强，完全满足要求得满分，其他由评委综合评定扣分。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2、充分利用已有的信息化建设成果方案3分：方案完整清晰、合理，针对性强，完全满足要求得满分，其他由评委综合评定扣分。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六、安全方案3分：</w:t>
            </w:r>
          </w:p>
          <w:p>
            <w:pPr>
              <w:ind w:left="9" w:hanging="9" w:hangingChars="5"/>
              <w:rPr>
                <w:rFonts w:ascii="宋体" w:hAnsi="宋体" w:cs="宋体"/>
                <w:color w:val="000000"/>
                <w:sz w:val="18"/>
                <w:szCs w:val="18"/>
                <w:lang w:val="zh-CN"/>
              </w:rPr>
            </w:pPr>
            <w:r>
              <w:rPr>
                <w:rFonts w:hint="eastAsia" w:ascii="宋体" w:hAnsi="宋体" w:cs="宋体"/>
                <w:color w:val="000000"/>
                <w:sz w:val="18"/>
                <w:szCs w:val="18"/>
                <w:lang w:val="zh-CN"/>
              </w:rPr>
              <w:t>1、系统安全方案：根据项目需求，提供信息安全体系设计方案，重点阐述数据安全、身份认证安全、行为认证安全3分：方案完整清晰、合理，针对性强，完全满足要求得满分，其他由评委综合评定扣分。</w:t>
            </w:r>
          </w:p>
          <w:p>
            <w:pPr>
              <w:pStyle w:val="69"/>
              <w:tabs>
                <w:tab w:val="right" w:pos="6714"/>
              </w:tabs>
              <w:wordWrap w:val="0"/>
              <w:ind w:firstLine="0" w:firstLineChars="0"/>
              <w:rPr>
                <w:rFonts w:ascii="宋体" w:hAnsi="宋体" w:eastAsia="宋体" w:cs="宋体"/>
                <w:color w:val="000000"/>
                <w:sz w:val="18"/>
                <w:szCs w:val="18"/>
                <w:lang w:val="zh-CN"/>
              </w:rPr>
            </w:pPr>
            <w:r>
              <w:rPr>
                <w:rFonts w:hint="eastAsia" w:ascii="宋体" w:hAnsi="宋体" w:eastAsia="宋体" w:cs="宋体"/>
                <w:color w:val="000000"/>
                <w:sz w:val="18"/>
                <w:szCs w:val="18"/>
                <w:lang w:val="zh-CN"/>
              </w:rPr>
              <w:t>七、实施方案8分：</w:t>
            </w:r>
          </w:p>
          <w:p>
            <w:pPr>
              <w:pStyle w:val="69"/>
              <w:wordWrap w:val="0"/>
              <w:ind w:left="50" w:firstLine="0" w:firstLineChars="0"/>
              <w:jc w:val="left"/>
              <w:rPr>
                <w:rFonts w:ascii="宋体" w:hAnsi="宋体" w:eastAsia="宋体" w:cs="宋体"/>
                <w:color w:val="000000"/>
                <w:sz w:val="18"/>
                <w:szCs w:val="18"/>
                <w:lang w:val="zh-CN"/>
              </w:rPr>
            </w:pPr>
            <w:r>
              <w:rPr>
                <w:rFonts w:hint="eastAsia" w:ascii="宋体" w:hAnsi="宋体" w:eastAsia="宋体" w:cs="宋体"/>
                <w:color w:val="000000"/>
                <w:sz w:val="18"/>
                <w:szCs w:val="18"/>
                <w:lang w:val="zh-CN"/>
              </w:rPr>
              <w:t>1、实施方案的完整性、对项目任务分解计划安排的可行性合理性2分：内容至少包括方案分解详细，时间安排合理、具可操作性：方案完整清晰、合理、针对性强，完全满足要求得满分，其他由评委综合评定扣分。</w:t>
            </w:r>
          </w:p>
          <w:p>
            <w:pPr>
              <w:tabs>
                <w:tab w:val="right" w:pos="6714"/>
              </w:tabs>
              <w:rPr>
                <w:rFonts w:ascii="宋体" w:hAnsi="宋体" w:cs="宋体"/>
                <w:color w:val="000000"/>
                <w:sz w:val="18"/>
                <w:szCs w:val="18"/>
                <w:lang w:val="zh-CN"/>
              </w:rPr>
            </w:pPr>
            <w:r>
              <w:rPr>
                <w:rFonts w:hint="eastAsia" w:ascii="宋体" w:hAnsi="宋体" w:cs="宋体"/>
                <w:color w:val="000000"/>
                <w:sz w:val="18"/>
                <w:szCs w:val="18"/>
                <w:lang w:val="zh-CN"/>
              </w:rPr>
              <w:t>2、智能化运维6分：根据招标需求及业务理解，阐</w:t>
            </w:r>
            <w:r>
              <w:rPr>
                <w:rFonts w:hint="eastAsia" w:ascii="宋体" w:hAnsi="宋体" w:cs="宋体"/>
                <w:sz w:val="18"/>
                <w:szCs w:val="18"/>
                <w:lang w:val="zh-CN"/>
              </w:rPr>
              <w:t>述本标包涉及的智能化运维体系</w:t>
            </w:r>
            <w:r>
              <w:rPr>
                <w:rFonts w:hint="eastAsia" w:ascii="宋体" w:hAnsi="宋体" w:cs="宋体"/>
                <w:color w:val="000000"/>
                <w:sz w:val="18"/>
                <w:szCs w:val="18"/>
                <w:lang w:val="zh-CN"/>
              </w:rPr>
              <w:t>的详细设计方案6分：方案完整响应项目需求,设计先进、合理，技术成熟，可操作性强得满分，其他由评委综合评定扣分。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488" w:type="dxa"/>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3</w:t>
            </w:r>
          </w:p>
        </w:tc>
        <w:tc>
          <w:tcPr>
            <w:tcW w:w="1402"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服务</w:t>
            </w:r>
          </w:p>
        </w:tc>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8</w:t>
            </w:r>
          </w:p>
        </w:tc>
        <w:tc>
          <w:tcPr>
            <w:tcW w:w="6930" w:type="dxa"/>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color w:val="000000"/>
                <w:sz w:val="18"/>
                <w:szCs w:val="18"/>
                <w:lang w:val="zh-CN"/>
              </w:rPr>
            </w:pPr>
            <w:r>
              <w:rPr>
                <w:rFonts w:hint="eastAsia" w:ascii="宋体" w:hAnsi="宋体" w:cs="宋体"/>
                <w:color w:val="000000"/>
                <w:sz w:val="18"/>
                <w:szCs w:val="18"/>
                <w:lang w:val="zh-CN"/>
              </w:rPr>
              <w:t>1、售后服务方案1分：包括服务响应时间、响应程度、解决问题的能力、紧急故障处理预案、培训、技术指导等综合评价。</w:t>
            </w:r>
          </w:p>
          <w:p>
            <w:pPr>
              <w:rPr>
                <w:rFonts w:ascii="宋体" w:hAnsi="宋体" w:cs="宋体"/>
                <w:color w:val="000000"/>
                <w:sz w:val="18"/>
                <w:szCs w:val="18"/>
                <w:lang w:val="zh-CN"/>
              </w:rPr>
            </w:pPr>
            <w:r>
              <w:rPr>
                <w:rFonts w:hint="eastAsia" w:ascii="宋体" w:hAnsi="宋体" w:cs="宋体"/>
                <w:color w:val="000000"/>
                <w:sz w:val="18"/>
                <w:szCs w:val="18"/>
                <w:lang w:val="zh-CN"/>
              </w:rPr>
              <w:t>2、项目组人员4分：</w:t>
            </w:r>
          </w:p>
          <w:p>
            <w:pPr>
              <w:rPr>
                <w:rFonts w:ascii="宋体" w:hAnsi="宋体" w:eastAsia="宋体" w:cs="宋体"/>
                <w:color w:val="000000"/>
                <w:sz w:val="18"/>
                <w:szCs w:val="18"/>
                <w:lang w:val="zh-CN"/>
              </w:rPr>
            </w:pPr>
            <w:r>
              <w:rPr>
                <w:rFonts w:hint="eastAsia" w:ascii="宋体" w:hAnsi="宋体" w:cs="宋体"/>
                <w:color w:val="000000"/>
                <w:sz w:val="18"/>
                <w:szCs w:val="18"/>
                <w:lang w:val="zh-CN"/>
              </w:rPr>
              <w:t>（1）派驻本项目的项目经理资质、经验及业绩，要求</w:t>
            </w:r>
            <w:r>
              <w:rPr>
                <w:rFonts w:ascii="宋体" w:hAnsi="宋体" w:cs="宋体"/>
                <w:color w:val="000000"/>
                <w:sz w:val="18"/>
                <w:szCs w:val="18"/>
                <w:lang w:val="zh-CN"/>
              </w:rPr>
              <w:t>熟悉财政业务，</w:t>
            </w:r>
            <w:r>
              <w:rPr>
                <w:rFonts w:hint="eastAsia" w:ascii="宋体" w:hAnsi="宋体" w:cs="宋体"/>
                <w:color w:val="000000"/>
                <w:sz w:val="18"/>
                <w:szCs w:val="18"/>
                <w:lang w:val="zh-CN"/>
              </w:rPr>
              <w:t>要求在近</w:t>
            </w:r>
            <w:r>
              <w:rPr>
                <w:rFonts w:ascii="宋体" w:hAnsi="宋体" w:cs="宋体"/>
                <w:color w:val="000000"/>
                <w:sz w:val="18"/>
                <w:szCs w:val="18"/>
                <w:lang w:val="zh-CN"/>
              </w:rPr>
              <w:t>5</w:t>
            </w:r>
            <w:r>
              <w:rPr>
                <w:rFonts w:hint="eastAsia" w:ascii="宋体" w:hAnsi="宋体" w:cs="宋体"/>
                <w:color w:val="000000"/>
                <w:sz w:val="18"/>
                <w:szCs w:val="18"/>
                <w:lang w:val="zh-CN"/>
              </w:rPr>
              <w:t>年内（</w:t>
            </w:r>
            <w:r>
              <w:rPr>
                <w:rFonts w:hint="eastAsia" w:ascii="宋体" w:hAnsi="宋体" w:cs="宋体"/>
                <w:color w:val="000000"/>
                <w:sz w:val="18"/>
                <w:szCs w:val="18"/>
              </w:rPr>
              <w:t>201</w:t>
            </w:r>
            <w:r>
              <w:rPr>
                <w:rFonts w:ascii="宋体" w:hAnsi="宋体" w:cs="宋体"/>
                <w:color w:val="000000"/>
                <w:sz w:val="18"/>
                <w:szCs w:val="18"/>
              </w:rPr>
              <w:t>5</w:t>
            </w:r>
            <w:r>
              <w:rPr>
                <w:rFonts w:hint="eastAsia" w:ascii="宋体" w:hAnsi="宋体" w:cs="宋体"/>
                <w:color w:val="000000"/>
                <w:sz w:val="18"/>
                <w:szCs w:val="18"/>
              </w:rPr>
              <w:t>年以来）</w:t>
            </w:r>
            <w:r>
              <w:rPr>
                <w:rFonts w:hint="eastAsia" w:ascii="宋体" w:hAnsi="宋体" w:cs="宋体"/>
                <w:color w:val="000000"/>
                <w:sz w:val="18"/>
                <w:szCs w:val="18"/>
                <w:lang w:val="zh-CN"/>
              </w:rPr>
              <w:t>在副省级城市（含）以上</w:t>
            </w:r>
            <w:r>
              <w:rPr>
                <w:rFonts w:ascii="宋体" w:hAnsi="宋体" w:cs="宋体"/>
                <w:sz w:val="18"/>
                <w:szCs w:val="18"/>
                <w:lang w:val="zh-CN"/>
              </w:rPr>
              <w:t>财政部门</w:t>
            </w:r>
            <w:r>
              <w:rPr>
                <w:rFonts w:hint="eastAsia" w:ascii="宋体" w:hAnsi="宋体" w:cs="宋体"/>
                <w:sz w:val="18"/>
                <w:szCs w:val="18"/>
                <w:lang w:val="zh-CN"/>
              </w:rPr>
              <w:t>软件开发项目中</w:t>
            </w:r>
            <w:r>
              <w:rPr>
                <w:rFonts w:hint="eastAsia" w:ascii="宋体" w:hAnsi="宋体" w:cs="宋体"/>
                <w:color w:val="000000"/>
                <w:sz w:val="18"/>
                <w:szCs w:val="18"/>
                <w:lang w:val="zh-CN"/>
              </w:rPr>
              <w:t>担任项目经理（提供以上案例的合同复印件和用户证明），此项1分</w:t>
            </w:r>
            <w:r>
              <w:rPr>
                <w:rFonts w:hint="eastAsia" w:ascii="宋体" w:hAnsi="宋体" w:eastAsia="宋体" w:cs="宋体"/>
                <w:color w:val="000000"/>
                <w:sz w:val="18"/>
                <w:szCs w:val="18"/>
                <w:lang w:val="zh-CN"/>
              </w:rPr>
              <w:t>。</w:t>
            </w:r>
          </w:p>
          <w:p>
            <w:pPr>
              <w:rPr>
                <w:rFonts w:hint="eastAsia" w:ascii="宋体" w:hAnsi="宋体" w:eastAsia="宋体" w:cs="宋体"/>
                <w:color w:val="000000"/>
                <w:sz w:val="18"/>
                <w:szCs w:val="18"/>
                <w:lang w:val="zh-CN"/>
              </w:rPr>
            </w:pPr>
            <w:r>
              <w:rPr>
                <w:rFonts w:hint="eastAsia" w:ascii="宋体" w:hAnsi="宋体" w:cs="宋体"/>
                <w:color w:val="000000"/>
                <w:sz w:val="18"/>
                <w:szCs w:val="18"/>
                <w:lang w:val="zh-CN"/>
              </w:rPr>
              <w:t>（2）项目小组人员的项目经验、人员配备情况，要求在近</w:t>
            </w:r>
            <w:r>
              <w:rPr>
                <w:rFonts w:ascii="宋体" w:hAnsi="宋体" w:cs="宋体"/>
                <w:color w:val="000000"/>
                <w:sz w:val="18"/>
                <w:szCs w:val="18"/>
                <w:lang w:val="zh-CN"/>
              </w:rPr>
              <w:t>5</w:t>
            </w:r>
            <w:r>
              <w:rPr>
                <w:rFonts w:hint="eastAsia" w:ascii="宋体" w:hAnsi="宋体" w:cs="宋体"/>
                <w:color w:val="000000"/>
                <w:sz w:val="18"/>
                <w:szCs w:val="18"/>
                <w:lang w:val="zh-CN"/>
              </w:rPr>
              <w:t>年内（201</w:t>
            </w:r>
            <w:r>
              <w:rPr>
                <w:rFonts w:ascii="宋体" w:hAnsi="宋体" w:cs="宋体"/>
                <w:color w:val="000000"/>
                <w:sz w:val="18"/>
                <w:szCs w:val="18"/>
                <w:lang w:val="zh-CN"/>
              </w:rPr>
              <w:t>5</w:t>
            </w:r>
            <w:r>
              <w:rPr>
                <w:rFonts w:hint="eastAsia" w:ascii="宋体" w:hAnsi="宋体" w:cs="宋体"/>
                <w:color w:val="000000"/>
                <w:sz w:val="18"/>
                <w:szCs w:val="18"/>
                <w:lang w:val="zh-CN"/>
              </w:rPr>
              <w:t>年以来）在</w:t>
            </w:r>
            <w:r>
              <w:rPr>
                <w:rFonts w:hint="eastAsia" w:ascii="宋体" w:hAnsi="宋体" w:cs="宋体"/>
                <w:sz w:val="18"/>
                <w:szCs w:val="18"/>
                <w:lang w:val="zh-CN"/>
              </w:rPr>
              <w:t>副省级城市以上（含副省级）</w:t>
            </w:r>
            <w:r>
              <w:rPr>
                <w:rFonts w:ascii="宋体" w:hAnsi="宋体" w:cs="宋体"/>
                <w:sz w:val="18"/>
                <w:szCs w:val="18"/>
                <w:lang w:val="zh-CN"/>
              </w:rPr>
              <w:t>财政部门</w:t>
            </w:r>
            <w:r>
              <w:rPr>
                <w:rFonts w:hint="eastAsia" w:ascii="宋体" w:hAnsi="宋体" w:cs="宋体"/>
                <w:sz w:val="18"/>
                <w:szCs w:val="18"/>
                <w:lang w:val="zh-CN"/>
              </w:rPr>
              <w:t>软件开发项目中承担项目</w:t>
            </w:r>
            <w:r>
              <w:rPr>
                <w:rFonts w:hint="eastAsia" w:ascii="宋体" w:hAnsi="宋体" w:cs="宋体"/>
                <w:color w:val="000000"/>
                <w:sz w:val="18"/>
                <w:szCs w:val="18"/>
                <w:lang w:val="zh-CN"/>
              </w:rPr>
              <w:t>开发工作，每人0.1分，最高</w:t>
            </w:r>
            <w:r>
              <w:rPr>
                <w:rFonts w:ascii="宋体" w:hAnsi="宋体" w:cs="宋体"/>
                <w:color w:val="000000"/>
                <w:sz w:val="18"/>
                <w:szCs w:val="18"/>
                <w:lang w:val="zh-CN"/>
              </w:rPr>
              <w:t>3</w:t>
            </w:r>
            <w:r>
              <w:rPr>
                <w:rFonts w:hint="eastAsia" w:ascii="宋体" w:hAnsi="宋体" w:cs="宋体"/>
                <w:color w:val="000000"/>
                <w:sz w:val="18"/>
                <w:szCs w:val="18"/>
                <w:lang w:val="zh-CN"/>
              </w:rPr>
              <w:t>分(提供以上案例的合同复印件和用户证明)</w:t>
            </w:r>
            <w:r>
              <w:rPr>
                <w:rFonts w:hint="eastAsia" w:ascii="宋体" w:hAnsi="宋体" w:eastAsia="宋体" w:cs="宋体"/>
                <w:color w:val="000000"/>
                <w:sz w:val="18"/>
                <w:szCs w:val="18"/>
                <w:lang w:val="zh-CN"/>
              </w:rPr>
              <w:t>。</w:t>
            </w:r>
          </w:p>
          <w:p>
            <w:pPr>
              <w:rPr>
                <w:rFonts w:ascii="宋体" w:hAnsi="宋体" w:cs="宋体"/>
                <w:color w:val="000000"/>
                <w:sz w:val="18"/>
                <w:szCs w:val="18"/>
                <w:lang w:val="zh-CN"/>
              </w:rPr>
            </w:pPr>
            <w:r>
              <w:rPr>
                <w:rFonts w:hint="eastAsia" w:ascii="宋体" w:hAnsi="宋体" w:cs="宋体"/>
                <w:color w:val="000000"/>
                <w:sz w:val="18"/>
                <w:szCs w:val="18"/>
                <w:lang w:val="zh-CN"/>
              </w:rPr>
              <w:t>3、本地服务支持3分：根据本地服务设施和本地服务人员的数量、经验、资质等综合评价。</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88" w:type="dxa"/>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4</w:t>
            </w:r>
          </w:p>
        </w:tc>
        <w:tc>
          <w:tcPr>
            <w:tcW w:w="1402"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商务</w:t>
            </w:r>
          </w:p>
        </w:tc>
        <w:tc>
          <w:tcPr>
            <w:tcW w:w="583" w:type="dxa"/>
            <w:tcBorders>
              <w:top w:val="single" w:color="auto" w:sz="4" w:space="0"/>
              <w:left w:val="single" w:color="auto" w:sz="4" w:space="0"/>
              <w:bottom w:val="single" w:color="auto" w:sz="4" w:space="0"/>
              <w:right w:val="single" w:color="auto" w:sz="4" w:space="0"/>
            </w:tcBorders>
            <w:noWrap w:val="0"/>
            <w:vAlign w:val="center"/>
          </w:tcPr>
          <w:p>
            <w:pPr>
              <w:tabs>
                <w:tab w:val="left" w:pos="2040"/>
              </w:tabs>
              <w:ind w:left="-34"/>
              <w:jc w:val="center"/>
              <w:rPr>
                <w:rFonts w:ascii="宋体" w:hAnsi="宋体" w:cs="宋体"/>
                <w:color w:val="000000"/>
                <w:sz w:val="18"/>
                <w:szCs w:val="18"/>
                <w:lang w:val="zh-CN"/>
              </w:rPr>
            </w:pPr>
            <w:r>
              <w:rPr>
                <w:rFonts w:hint="eastAsia" w:ascii="宋体" w:hAnsi="宋体" w:cs="宋体"/>
                <w:color w:val="000000"/>
                <w:sz w:val="18"/>
                <w:szCs w:val="18"/>
                <w:lang w:val="zh-CN"/>
              </w:rPr>
              <w:t>5</w:t>
            </w:r>
          </w:p>
        </w:tc>
        <w:tc>
          <w:tcPr>
            <w:tcW w:w="6930" w:type="dxa"/>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color w:val="000000"/>
                <w:sz w:val="18"/>
                <w:szCs w:val="18"/>
                <w:lang w:val="zh-CN"/>
              </w:rPr>
            </w:pPr>
            <w:r>
              <w:rPr>
                <w:rFonts w:hint="eastAsia" w:ascii="宋体" w:hAnsi="宋体" w:cs="宋体"/>
                <w:color w:val="000000"/>
                <w:sz w:val="18"/>
                <w:szCs w:val="18"/>
                <w:lang w:val="zh-CN"/>
              </w:rPr>
              <w:t>1、同类业绩2分：根据投标人近5年（合同签订日期自2015年1月1日）以来在副省级（含）及以上城</w:t>
            </w:r>
            <w:r>
              <w:rPr>
                <w:rFonts w:hint="eastAsia" w:ascii="宋体" w:hAnsi="宋体" w:cs="宋体"/>
                <w:sz w:val="18"/>
                <w:szCs w:val="18"/>
                <w:lang w:val="zh-CN"/>
              </w:rPr>
              <w:t>市</w:t>
            </w:r>
            <w:r>
              <w:rPr>
                <w:rFonts w:ascii="宋体" w:hAnsi="宋体" w:cs="宋体"/>
                <w:sz w:val="18"/>
                <w:szCs w:val="18"/>
                <w:lang w:val="zh-CN"/>
              </w:rPr>
              <w:t>财政部门</w:t>
            </w:r>
            <w:r>
              <w:rPr>
                <w:rFonts w:hint="eastAsia" w:ascii="宋体" w:hAnsi="宋体" w:cs="宋体"/>
                <w:sz w:val="18"/>
                <w:szCs w:val="18"/>
                <w:lang w:val="zh-CN"/>
              </w:rPr>
              <w:t>软件开发项目</w:t>
            </w:r>
            <w:r>
              <w:rPr>
                <w:rFonts w:hint="eastAsia" w:ascii="宋体" w:hAnsi="宋体" w:cs="宋体"/>
                <w:color w:val="000000"/>
                <w:sz w:val="18"/>
                <w:szCs w:val="18"/>
                <w:lang w:val="zh-CN"/>
              </w:rPr>
              <w:t>，1个1分，最多2分。提供合同和用户证明（两项不全的不得分），用户证明包括验收、完工、使用证明等材料。</w:t>
            </w:r>
          </w:p>
          <w:p>
            <w:pPr>
              <w:rPr>
                <w:rFonts w:ascii="宋体" w:hAnsi="宋体" w:cs="宋体"/>
                <w:color w:val="000000"/>
                <w:sz w:val="18"/>
                <w:szCs w:val="18"/>
                <w:lang w:val="zh-CN"/>
              </w:rPr>
            </w:pPr>
            <w:r>
              <w:rPr>
                <w:rFonts w:hint="eastAsia" w:ascii="宋体" w:hAnsi="宋体" w:cs="宋体"/>
                <w:color w:val="000000"/>
                <w:sz w:val="18"/>
                <w:szCs w:val="18"/>
                <w:lang w:val="zh-CN"/>
              </w:rPr>
              <w:t>2、投标人具有CMMI3级及以上认证证书得0.5分。</w:t>
            </w:r>
          </w:p>
          <w:p>
            <w:pPr>
              <w:rPr>
                <w:rFonts w:ascii="宋体" w:hAnsi="宋体" w:cs="宋体"/>
                <w:color w:val="000000"/>
                <w:sz w:val="18"/>
                <w:szCs w:val="18"/>
                <w:lang w:val="zh-CN"/>
              </w:rPr>
            </w:pPr>
            <w:r>
              <w:rPr>
                <w:rFonts w:hint="eastAsia" w:ascii="宋体" w:hAnsi="宋体" w:cs="宋体"/>
                <w:color w:val="000000"/>
                <w:sz w:val="18"/>
                <w:szCs w:val="18"/>
                <w:lang w:val="zh-CN"/>
              </w:rPr>
              <w:t>3、投标人具有</w:t>
            </w:r>
            <w:r>
              <w:rPr>
                <w:rFonts w:ascii="宋体" w:hAnsi="宋体" w:cs="宋体"/>
                <w:color w:val="000000"/>
                <w:sz w:val="18"/>
                <w:szCs w:val="18"/>
                <w:lang w:val="zh-CN"/>
              </w:rPr>
              <w:t>高新技术企业认证证书得</w:t>
            </w:r>
            <w:r>
              <w:rPr>
                <w:rFonts w:hint="eastAsia" w:ascii="宋体" w:hAnsi="宋体" w:cs="宋体"/>
                <w:color w:val="000000"/>
                <w:sz w:val="18"/>
                <w:szCs w:val="18"/>
                <w:lang w:val="zh-CN"/>
              </w:rPr>
              <w:t>0.5分。</w:t>
            </w:r>
          </w:p>
          <w:p>
            <w:pPr>
              <w:rPr>
                <w:rFonts w:ascii="宋体" w:hAnsi="宋体" w:cs="宋体"/>
                <w:color w:val="000000"/>
                <w:sz w:val="18"/>
                <w:szCs w:val="18"/>
                <w:lang w:val="zh-CN"/>
              </w:rPr>
            </w:pPr>
            <w:r>
              <w:rPr>
                <w:rFonts w:hint="eastAsia" w:ascii="宋体" w:hAnsi="宋体" w:cs="宋体"/>
                <w:color w:val="000000"/>
                <w:sz w:val="18"/>
                <w:szCs w:val="18"/>
                <w:lang w:val="zh-CN"/>
              </w:rPr>
              <w:t>4、投标人具有“守合同重信用”公示证明的得0.5分（以投标截止日在公示期内，盖有政府部门公章的证书为准）。</w:t>
            </w:r>
          </w:p>
          <w:p>
            <w:pPr>
              <w:rPr>
                <w:rFonts w:ascii="宋体" w:hAnsi="宋体" w:cs="宋体"/>
                <w:color w:val="000000"/>
                <w:sz w:val="18"/>
                <w:szCs w:val="18"/>
                <w:lang w:val="zh-CN"/>
              </w:rPr>
            </w:pPr>
            <w:r>
              <w:rPr>
                <w:rFonts w:hint="eastAsia" w:ascii="宋体" w:hAnsi="宋体" w:cs="宋体"/>
                <w:color w:val="000000"/>
                <w:sz w:val="18"/>
                <w:szCs w:val="18"/>
                <w:lang w:val="zh-CN"/>
              </w:rPr>
              <w:t>5、投标人具有质量管理体系认证证书的得0.5分。</w:t>
            </w:r>
          </w:p>
          <w:p>
            <w:pPr>
              <w:rPr>
                <w:rFonts w:ascii="宋体" w:hAnsi="宋体" w:cs="宋体"/>
                <w:color w:val="000000"/>
                <w:sz w:val="18"/>
                <w:szCs w:val="18"/>
                <w:lang w:val="zh-CN"/>
              </w:rPr>
            </w:pPr>
            <w:r>
              <w:rPr>
                <w:rFonts w:hint="eastAsia" w:ascii="宋体" w:hAnsi="宋体" w:cs="宋体"/>
                <w:color w:val="000000"/>
                <w:sz w:val="18"/>
                <w:szCs w:val="18"/>
                <w:lang w:val="zh-CN"/>
              </w:rPr>
              <w:t>6、标书编制</w:t>
            </w:r>
            <w:r>
              <w:rPr>
                <w:rFonts w:ascii="宋体" w:hAnsi="宋体" w:cs="宋体"/>
                <w:color w:val="000000"/>
                <w:sz w:val="18"/>
                <w:szCs w:val="18"/>
                <w:lang w:val="zh-CN"/>
              </w:rPr>
              <w:t>1</w:t>
            </w:r>
            <w:r>
              <w:rPr>
                <w:rFonts w:hint="eastAsia" w:ascii="宋体" w:hAnsi="宋体" w:cs="宋体"/>
                <w:color w:val="000000"/>
                <w:sz w:val="18"/>
                <w:szCs w:val="18"/>
                <w:lang w:val="zh-CN"/>
              </w:rPr>
              <w:t>分：编排装订整齐清晰合理，节约环保双面印制。</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488" w:type="dxa"/>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5</w:t>
            </w:r>
          </w:p>
        </w:tc>
        <w:tc>
          <w:tcPr>
            <w:tcW w:w="1402"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讲标答辩</w:t>
            </w:r>
          </w:p>
        </w:tc>
        <w:tc>
          <w:tcPr>
            <w:tcW w:w="583"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10</w:t>
            </w:r>
          </w:p>
        </w:tc>
        <w:tc>
          <w:tcPr>
            <w:tcW w:w="6930" w:type="dxa"/>
            <w:tcBorders>
              <w:top w:val="single" w:color="auto" w:sz="4" w:space="0"/>
              <w:left w:val="single" w:color="auto" w:sz="4" w:space="0"/>
              <w:bottom w:val="single" w:color="auto" w:sz="12" w:space="0"/>
              <w:right w:val="single" w:color="auto" w:sz="12"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针对设计方案进行现场讲解（PPT）及现场演示（可以用系统原型操作或其他方式进行演示），认真解答评委提出的问题，评委从以下两方面进行评分：</w:t>
            </w:r>
          </w:p>
          <w:p>
            <w:pPr>
              <w:jc w:val="left"/>
              <w:rPr>
                <w:rFonts w:ascii="宋体" w:hAnsi="宋体" w:cs="宋体"/>
                <w:color w:val="000000"/>
                <w:sz w:val="18"/>
                <w:szCs w:val="18"/>
                <w:lang w:val="zh-CN"/>
              </w:rPr>
            </w:pPr>
            <w:r>
              <w:rPr>
                <w:rFonts w:hint="eastAsia" w:ascii="宋体" w:hAnsi="宋体" w:cs="宋体"/>
                <w:color w:val="000000"/>
                <w:sz w:val="18"/>
                <w:szCs w:val="18"/>
                <w:lang w:val="zh-CN"/>
              </w:rPr>
              <w:t>1、体现业务智能化、可扩展性设计5分：系统设计清晰合理，完全满足要求，针对性强得满分，其他由评委综合评定扣分。</w:t>
            </w:r>
          </w:p>
          <w:p>
            <w:pPr>
              <w:rPr>
                <w:rFonts w:ascii="宋体" w:hAnsi="宋体" w:cs="宋体"/>
                <w:color w:val="000000"/>
                <w:sz w:val="18"/>
                <w:szCs w:val="18"/>
                <w:lang w:val="zh-CN"/>
              </w:rPr>
            </w:pPr>
            <w:r>
              <w:rPr>
                <w:rFonts w:hint="eastAsia" w:ascii="宋体" w:hAnsi="宋体" w:cs="宋体"/>
                <w:color w:val="000000"/>
                <w:sz w:val="18"/>
                <w:szCs w:val="18"/>
                <w:lang w:val="zh-CN"/>
              </w:rPr>
              <w:t>2、体现系统部署的灵活性、系统对未来业务的适应性5分：系统设计清晰合理，完全满足要求，针对性强得满分，其他由评委综合评定扣分。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488" w:type="dxa"/>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6</w:t>
            </w:r>
          </w:p>
        </w:tc>
        <w:tc>
          <w:tcPr>
            <w:tcW w:w="1402" w:type="dxa"/>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政府采购政策分</w:t>
            </w:r>
          </w:p>
        </w:tc>
        <w:tc>
          <w:tcPr>
            <w:tcW w:w="583"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s="宋体"/>
                <w:color w:val="000000"/>
                <w:sz w:val="18"/>
                <w:szCs w:val="18"/>
                <w:lang w:val="zh-CN"/>
              </w:rPr>
            </w:pPr>
            <w:r>
              <w:rPr>
                <w:rFonts w:hint="eastAsia" w:ascii="宋体" w:hAnsi="宋体" w:cs="宋体"/>
                <w:color w:val="000000"/>
                <w:sz w:val="18"/>
                <w:szCs w:val="18"/>
                <w:lang w:val="zh-CN"/>
              </w:rPr>
              <w:t>1</w:t>
            </w:r>
          </w:p>
        </w:tc>
        <w:tc>
          <w:tcPr>
            <w:tcW w:w="6930" w:type="dxa"/>
            <w:tcBorders>
              <w:top w:val="single" w:color="auto" w:sz="4" w:space="0"/>
              <w:left w:val="single" w:color="auto" w:sz="4" w:space="0"/>
              <w:bottom w:val="single" w:color="auto" w:sz="12" w:space="0"/>
              <w:right w:val="single" w:color="auto" w:sz="12" w:space="0"/>
            </w:tcBorders>
            <w:noWrap w:val="0"/>
            <w:vAlign w:val="center"/>
          </w:tcPr>
          <w:p>
            <w:pPr>
              <w:rPr>
                <w:rFonts w:ascii="宋体" w:hAnsi="宋体" w:cs="宋体"/>
                <w:color w:val="000000"/>
                <w:sz w:val="18"/>
                <w:szCs w:val="18"/>
                <w:lang w:val="zh-CN"/>
              </w:rPr>
            </w:pPr>
            <w:r>
              <w:rPr>
                <w:rFonts w:hint="eastAsia" w:ascii="宋体" w:hAnsi="宋体" w:cs="宋体"/>
                <w:color w:val="000000"/>
                <w:sz w:val="18"/>
                <w:szCs w:val="18"/>
                <w:lang w:val="zh-CN"/>
              </w:rPr>
              <w:t>投标人是国家认定的不发达地区或少数民族地区企业的1分。</w:t>
            </w:r>
          </w:p>
          <w:p>
            <w:pPr>
              <w:rPr>
                <w:rFonts w:ascii="宋体" w:hAnsi="宋体" w:cs="宋体"/>
                <w:color w:val="000000"/>
                <w:sz w:val="18"/>
                <w:szCs w:val="18"/>
                <w:lang w:val="zh-CN"/>
              </w:rPr>
            </w:pPr>
            <w:r>
              <w:rPr>
                <w:rFonts w:hint="eastAsia" w:ascii="宋体" w:hAnsi="宋体" w:cs="宋体"/>
                <w:color w:val="000000"/>
                <w:sz w:val="18"/>
                <w:szCs w:val="18"/>
                <w:lang w:val="zh-CN"/>
              </w:rPr>
              <w:t>监狱企业和残疾人福利性单位视同小微企业。</w:t>
            </w:r>
          </w:p>
        </w:tc>
      </w:tr>
    </w:tbl>
    <w:p>
      <w:pPr>
        <w:pStyle w:val="20"/>
        <w:spacing w:line="360" w:lineRule="atLeast"/>
        <w:rPr>
          <w:rFonts w:hint="eastAsia"/>
          <w:b/>
          <w:bCs/>
        </w:rPr>
      </w:pPr>
      <w:r>
        <w:rPr>
          <w:rFonts w:hint="eastAsia"/>
          <w:b/>
          <w:bCs/>
        </w:rPr>
        <w:t>注：投标文件中应当提供所有涉及评分的有关证明材料复印件。人员</w:t>
      </w:r>
      <w:r>
        <w:rPr>
          <w:b/>
          <w:bCs/>
        </w:rPr>
        <w:t>包括与</w:t>
      </w:r>
      <w:r>
        <w:rPr>
          <w:rFonts w:hint="eastAsia"/>
          <w:b/>
          <w:bCs/>
        </w:rPr>
        <w:t>投标人</w:t>
      </w:r>
      <w:r>
        <w:rPr>
          <w:b/>
          <w:bCs/>
        </w:rPr>
        <w:t>建立劳动关系的职工和劳务派遣用工</w:t>
      </w:r>
      <w:r>
        <w:rPr>
          <w:rFonts w:hint="eastAsia"/>
          <w:b/>
          <w:bCs/>
        </w:rPr>
        <w:t>，应当提供社保缴纳证明、劳务派遣合同（若有）。未提供或提供不清的不得分，原件中标后视情备查。</w:t>
      </w:r>
    </w:p>
    <w:p>
      <w:pPr>
        <w:ind w:left="420"/>
        <w:rPr>
          <w:rFonts w:hint="eastAsia"/>
          <w:sz w:val="24"/>
        </w:rPr>
      </w:pPr>
      <w:r>
        <w:rPr>
          <w:rFonts w:hint="eastAsia"/>
          <w:sz w:val="24"/>
        </w:rPr>
        <w:t>（二）评分办法</w:t>
      </w:r>
    </w:p>
    <w:p>
      <w:pPr>
        <w:spacing w:line="440" w:lineRule="exact"/>
        <w:ind w:firstLine="480"/>
        <w:rPr>
          <w:rFonts w:hint="eastAsia"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pPr>
        <w:spacing w:line="440" w:lineRule="exact"/>
        <w:ind w:firstLine="480"/>
        <w:rPr>
          <w:rFonts w:hint="eastAsia" w:ascii="宋体" w:hAnsi="宋体"/>
          <w:sz w:val="24"/>
        </w:rPr>
      </w:pPr>
      <w:r>
        <w:rPr>
          <w:rFonts w:hint="eastAsia"/>
          <w:sz w:val="24"/>
        </w:rPr>
        <w:t>统计、汇总所有评委对每一份投标文件的评分，然后用算术平均法求出每一份投标文件非价格部分的平均得分。</w:t>
      </w:r>
    </w:p>
    <w:p>
      <w:pPr>
        <w:numPr>
          <w:ilvl w:val="0"/>
          <w:numId w:val="14"/>
        </w:numPr>
        <w:spacing w:line="440" w:lineRule="exact"/>
        <w:rPr>
          <w:rFonts w:ascii="宋体" w:hAnsi="宋体"/>
          <w:b/>
          <w:sz w:val="24"/>
        </w:rPr>
      </w:pPr>
      <w:r>
        <w:rPr>
          <w:rFonts w:hint="eastAsia" w:ascii="宋体" w:hAnsi="宋体"/>
          <w:b/>
          <w:sz w:val="24"/>
        </w:rPr>
        <w:t>价格</w:t>
      </w:r>
      <w:r>
        <w:rPr>
          <w:rFonts w:ascii="宋体" w:hAnsi="宋体"/>
          <w:b/>
          <w:sz w:val="24"/>
        </w:rPr>
        <w:t>部分</w:t>
      </w:r>
    </w:p>
    <w:p>
      <w:pPr>
        <w:spacing w:line="440" w:lineRule="exact"/>
        <w:ind w:left="718"/>
        <w:rPr>
          <w:rFonts w:hint="eastAsia" w:ascii="宋体" w:hAnsi="宋体"/>
          <w:sz w:val="24"/>
        </w:rPr>
      </w:pPr>
      <w:r>
        <w:rPr>
          <w:rFonts w:hint="eastAsia" w:ascii="宋体" w:hAnsi="宋体"/>
          <w:sz w:val="24"/>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pPr>
        <w:numPr>
          <w:ilvl w:val="0"/>
          <w:numId w:val="14"/>
        </w:numPr>
        <w:spacing w:line="440" w:lineRule="exact"/>
        <w:rPr>
          <w:rFonts w:ascii="宋体" w:hAnsi="宋体"/>
          <w:b/>
          <w:sz w:val="24"/>
        </w:rPr>
      </w:pPr>
      <w:r>
        <w:rPr>
          <w:rFonts w:hint="eastAsia" w:ascii="宋体" w:hAnsi="宋体"/>
          <w:b/>
          <w:sz w:val="24"/>
        </w:rPr>
        <w:t>其他</w:t>
      </w:r>
      <w:r>
        <w:rPr>
          <w:rFonts w:ascii="宋体" w:hAnsi="宋体"/>
          <w:b/>
          <w:sz w:val="24"/>
        </w:rPr>
        <w:t>部分</w:t>
      </w:r>
    </w:p>
    <w:p>
      <w:pPr>
        <w:spacing w:line="440" w:lineRule="exact"/>
        <w:ind w:left="735"/>
        <w:rPr>
          <w:rFonts w:hint="eastAsia"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pPr>
        <w:numPr>
          <w:ilvl w:val="0"/>
          <w:numId w:val="14"/>
        </w:numPr>
        <w:spacing w:line="440" w:lineRule="exact"/>
        <w:rPr>
          <w:rFonts w:ascii="宋体" w:hAnsi="宋体"/>
          <w:b/>
          <w:sz w:val="24"/>
        </w:rPr>
      </w:pPr>
      <w:r>
        <w:rPr>
          <w:rFonts w:ascii="宋体" w:hAnsi="宋体"/>
          <w:b/>
          <w:sz w:val="24"/>
        </w:rPr>
        <w:t>最终得分与中标人的确定</w:t>
      </w:r>
    </w:p>
    <w:p>
      <w:pPr>
        <w:numPr>
          <w:ilvl w:val="0"/>
          <w:numId w:val="15"/>
        </w:numPr>
        <w:spacing w:line="440" w:lineRule="exact"/>
        <w:rPr>
          <w:rFonts w:hint="eastAsia" w:ascii="宋体" w:hAnsi="宋体"/>
          <w:sz w:val="24"/>
        </w:rPr>
      </w:pPr>
      <w:r>
        <w:rPr>
          <w:rFonts w:hint="eastAsia" w:ascii="宋体" w:hAnsi="宋体"/>
          <w:sz w:val="24"/>
        </w:rPr>
        <w:t>各投标人最终分按以下方法进行计算：最终得分＝价格得分+其他得分；</w:t>
      </w:r>
    </w:p>
    <w:p>
      <w:pPr>
        <w:numPr>
          <w:ilvl w:val="0"/>
          <w:numId w:val="15"/>
        </w:numPr>
        <w:spacing w:line="440" w:lineRule="exact"/>
        <w:rPr>
          <w:rFonts w:hint="eastAsia" w:ascii="宋体" w:hAnsi="宋体"/>
          <w:sz w:val="24"/>
        </w:rPr>
      </w:pPr>
      <w:r>
        <w:rPr>
          <w:rFonts w:hint="eastAsia" w:ascii="宋体" w:hAnsi="宋体"/>
          <w:sz w:val="24"/>
        </w:rPr>
        <w:t>各投标人的最终得分若出现并列分，则由报价低的排列在前，报价也相同的则由技术得分高的排列在前，价格和技术得分均相同的则由</w:t>
      </w:r>
      <w:r>
        <w:rPr>
          <w:rFonts w:hint="eastAsia" w:ascii="宋体" w:hAnsi="宋体" w:cs="宋体"/>
          <w:sz w:val="24"/>
          <w:szCs w:val="24"/>
        </w:rPr>
        <w:t>随机抽取的方式确定</w:t>
      </w:r>
      <w:r>
        <w:rPr>
          <w:rFonts w:hint="eastAsia" w:ascii="宋体" w:hAnsi="宋体"/>
          <w:sz w:val="24"/>
        </w:rPr>
        <w:t>。</w:t>
      </w:r>
    </w:p>
    <w:p>
      <w:pPr>
        <w:pStyle w:val="62"/>
        <w:spacing w:line="440" w:lineRule="exact"/>
        <w:ind w:firstLine="480"/>
        <w:rPr>
          <w:rFonts w:hint="eastAsia" w:eastAsia="黑体"/>
          <w:sz w:val="32"/>
        </w:rPr>
      </w:pPr>
      <w:r>
        <w:rPr>
          <w:rFonts w:hint="eastAsia"/>
        </w:rPr>
        <w:t>评审委员会在审标、询标的基础上根据事先制定的评标办法对各投标人的投标文件进行评定，评出最高得分的投标人为推荐中标人。推荐中标人公示无异议的将被确定为中标人；</w:t>
      </w:r>
      <w:r>
        <w:rPr>
          <w:rFonts w:hint="eastAsia"/>
          <w:b/>
          <w:bCs/>
        </w:rPr>
        <w:t>推荐中标人的投标文件若存在以不真实材料来谋取评审优势的，将失去中标资格，由得分次高的投标人为推荐中标人进行公示，以次类推（需重新招标的除外）</w:t>
      </w:r>
      <w:r>
        <w:rPr>
          <w:rFonts w:hint="eastAsia"/>
        </w:rPr>
        <w:t>。确定中标人后由招标人向中标人发出中标通知书。</w:t>
      </w:r>
    </w:p>
    <w:p>
      <w:pPr>
        <w:tabs>
          <w:tab w:val="left" w:pos="105"/>
          <w:tab w:val="left" w:pos="735"/>
          <w:tab w:val="left" w:pos="945"/>
          <w:tab w:val="left" w:pos="3360"/>
        </w:tabs>
        <w:spacing w:line="500" w:lineRule="exact"/>
        <w:jc w:val="center"/>
        <w:rPr>
          <w:rFonts w:hint="eastAsia"/>
          <w:b/>
          <w:sz w:val="28"/>
          <w:szCs w:val="28"/>
        </w:rPr>
      </w:pPr>
      <w:r>
        <w:rPr>
          <w:rFonts w:hint="eastAsia"/>
          <w:b/>
          <w:sz w:val="28"/>
          <w:szCs w:val="28"/>
        </w:rPr>
        <w:br w:type="page"/>
      </w:r>
      <w:r>
        <w:rPr>
          <w:rFonts w:hint="eastAsia"/>
          <w:b/>
          <w:sz w:val="28"/>
          <w:szCs w:val="28"/>
        </w:rPr>
        <w:t>第三部分  投标人须知资料表</w:t>
      </w:r>
    </w:p>
    <w:tbl>
      <w:tblPr>
        <w:tblStyle w:val="23"/>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8"/>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序号</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内  容</w:t>
            </w:r>
          </w:p>
        </w:tc>
        <w:tc>
          <w:tcPr>
            <w:tcW w:w="6735"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1</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招标人情况</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招标人名称：宁波市政府采购中心</w:t>
            </w:r>
          </w:p>
          <w:p>
            <w:pPr>
              <w:tabs>
                <w:tab w:val="left" w:pos="105"/>
                <w:tab w:val="left" w:pos="735"/>
                <w:tab w:val="left" w:pos="945"/>
                <w:tab w:val="left" w:pos="3360"/>
              </w:tabs>
              <w:rPr>
                <w:rFonts w:ascii="宋体" w:hAnsi="宋体"/>
                <w:szCs w:val="21"/>
              </w:rPr>
            </w:pPr>
            <w:r>
              <w:rPr>
                <w:rFonts w:hint="eastAsia" w:ascii="宋体" w:hAnsi="宋体"/>
                <w:szCs w:val="21"/>
              </w:rPr>
              <w:t>开户行：中国建设银行宁波东城支行</w:t>
            </w:r>
          </w:p>
          <w:p>
            <w:pPr>
              <w:tabs>
                <w:tab w:val="left" w:pos="105"/>
                <w:tab w:val="left" w:pos="735"/>
                <w:tab w:val="left" w:pos="945"/>
                <w:tab w:val="left" w:pos="3360"/>
              </w:tabs>
              <w:rPr>
                <w:rFonts w:ascii="宋体" w:hAnsi="宋体"/>
                <w:szCs w:val="21"/>
              </w:rPr>
            </w:pPr>
            <w:r>
              <w:rPr>
                <w:rFonts w:hint="eastAsia" w:ascii="宋体" w:hAnsi="宋体"/>
                <w:szCs w:val="21"/>
              </w:rPr>
              <w:t>银行帐号：33150198367100000022</w:t>
            </w:r>
          </w:p>
          <w:p>
            <w:pPr>
              <w:tabs>
                <w:tab w:val="left" w:pos="105"/>
                <w:tab w:val="left" w:pos="735"/>
                <w:tab w:val="left" w:pos="945"/>
                <w:tab w:val="left" w:pos="3360"/>
              </w:tabs>
              <w:rPr>
                <w:rFonts w:ascii="宋体" w:hAnsi="宋体" w:eastAsia="宋体"/>
                <w:szCs w:val="21"/>
              </w:rPr>
            </w:pPr>
            <w:r>
              <w:rPr>
                <w:rFonts w:hint="eastAsia" w:ascii="宋体" w:hAnsi="宋体"/>
                <w:szCs w:val="21"/>
              </w:rPr>
              <w:t>质疑接收：</w:t>
            </w:r>
            <w:r>
              <w:rPr>
                <w:rFonts w:hint="eastAsia" w:ascii="宋体" w:hAnsi="宋体" w:eastAsia="宋体"/>
                <w:szCs w:val="21"/>
              </w:rPr>
              <w:t>谢</w:t>
            </w:r>
            <w:r>
              <w:rPr>
                <w:rFonts w:hint="eastAsia" w:ascii="宋体" w:hAnsi="宋体"/>
                <w:szCs w:val="21"/>
              </w:rPr>
              <w:t>先生TEL：0574-8718</w:t>
            </w:r>
            <w:r>
              <w:rPr>
                <w:rFonts w:hint="eastAsia" w:ascii="宋体" w:hAnsi="宋体" w:eastAsia="宋体"/>
                <w:szCs w:val="21"/>
              </w:rPr>
              <w:t>7960</w:t>
            </w:r>
            <w:r>
              <w:rPr>
                <w:rFonts w:hint="eastAsia" w:ascii="宋体" w:hAnsi="宋体"/>
                <w:szCs w:val="21"/>
              </w:rPr>
              <w:t xml:space="preserve"> FAX：</w:t>
            </w:r>
            <w:r>
              <w:rPr>
                <w:rFonts w:hint="eastAsia" w:ascii="宋体" w:hAnsi="宋体" w:eastAsia="宋体"/>
                <w:szCs w:val="21"/>
              </w:rPr>
              <w:t>0574-</w:t>
            </w:r>
            <w:r>
              <w:rPr>
                <w:rFonts w:hint="eastAsia" w:ascii="宋体" w:hAnsi="宋体"/>
                <w:szCs w:val="21"/>
              </w:rPr>
              <w:t>87187961</w:t>
            </w:r>
          </w:p>
          <w:p>
            <w:pPr>
              <w:tabs>
                <w:tab w:val="left" w:pos="105"/>
                <w:tab w:val="left" w:pos="735"/>
                <w:tab w:val="left" w:pos="945"/>
                <w:tab w:val="left" w:pos="3360"/>
              </w:tabs>
              <w:rPr>
                <w:rFonts w:hint="eastAsia" w:ascii="宋体" w:hAnsi="宋体"/>
                <w:szCs w:val="21"/>
              </w:rPr>
            </w:pPr>
            <w:r>
              <w:rPr>
                <w:rFonts w:hint="eastAsia" w:ascii="宋体" w:hAnsi="宋体"/>
                <w:szCs w:val="21"/>
              </w:rPr>
              <w:t>地址：宁波市鄞州区宁穿路1901号市行政服务中心</w:t>
            </w:r>
            <w:r>
              <w:rPr>
                <w:rFonts w:hint="eastAsia" w:ascii="宋体" w:hAnsi="宋体" w:eastAsia="宋体"/>
                <w:szCs w:val="21"/>
              </w:rPr>
              <w:t>五</w:t>
            </w:r>
            <w:r>
              <w:rPr>
                <w:rFonts w:hint="eastAsia" w:ascii="宋体" w:hAnsi="宋体"/>
                <w:szCs w:val="21"/>
              </w:rPr>
              <w:t>楼</w:t>
            </w:r>
          </w:p>
          <w:p>
            <w:pPr>
              <w:tabs>
                <w:tab w:val="left" w:pos="105"/>
                <w:tab w:val="left" w:pos="735"/>
                <w:tab w:val="left" w:pos="945"/>
                <w:tab w:val="left" w:pos="3360"/>
              </w:tabs>
              <w:rPr>
                <w:rFonts w:hint="eastAsia" w:ascii="宋体" w:hAnsi="宋体"/>
                <w:szCs w:val="21"/>
              </w:rPr>
            </w:pPr>
            <w:r>
              <w:rPr>
                <w:rFonts w:hint="eastAsia" w:ascii="宋体" w:hAnsi="宋体"/>
                <w:szCs w:val="21"/>
              </w:rPr>
              <w:t>邮编：315066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2</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采购方式</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3</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进口产品投标</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w:t>
            </w:r>
            <w:r>
              <w:rPr>
                <w:rFonts w:hint="eastAsia" w:ascii="宋体" w:hAnsi="宋体"/>
                <w:szCs w:val="21"/>
              </w:rPr>
              <w:t>不接受；</w:t>
            </w:r>
            <w:r>
              <w:rPr>
                <w:rFonts w:hint="eastAsia" w:ascii="宋体" w:hAnsi="宋体"/>
                <w:szCs w:val="21"/>
                <w:bdr w:val="single" w:color="auto" w:sz="4" w:space="0"/>
              </w:rPr>
              <w:t xml:space="preserve">  </w:t>
            </w:r>
            <w:r>
              <w:rPr>
                <w:rFonts w:hint="eastAsia" w:ascii="宋体" w:hAnsi="宋体"/>
                <w:szCs w:val="21"/>
              </w:rPr>
              <w:t>接受，已经同级财政部门批准。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4</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eastAsia="宋体"/>
                <w:szCs w:val="21"/>
                <w:lang w:bidi="ar"/>
              </w:rPr>
              <w:t>联合体投标</w:t>
            </w:r>
          </w:p>
        </w:tc>
        <w:tc>
          <w:tcPr>
            <w:tcW w:w="6735" w:type="dxa"/>
            <w:noWrap w:val="0"/>
            <w:vAlign w:val="center"/>
          </w:tcPr>
          <w:p>
            <w:pPr>
              <w:tabs>
                <w:tab w:val="left" w:pos="105"/>
                <w:tab w:val="left" w:pos="735"/>
                <w:tab w:val="left" w:pos="945"/>
                <w:tab w:val="left" w:pos="3360"/>
              </w:tabs>
              <w:rPr>
                <w:rFonts w:hint="eastAsia" w:ascii="宋体" w:hAnsi="宋体" w:eastAsia="宋体"/>
                <w:szCs w:val="21"/>
                <w:u w:val="single"/>
              </w:rPr>
            </w:pPr>
            <w:r>
              <w:rPr>
                <w:rFonts w:hint="eastAsia" w:ascii="宋体" w:hAnsi="宋体" w:eastAsia="宋体"/>
                <w:szCs w:val="21"/>
                <w:bdr w:val="single" w:color="auto" w:sz="4" w:space="0"/>
                <w:lang w:bidi="ar"/>
              </w:rPr>
              <w:t>√</w:t>
            </w:r>
            <w:r>
              <w:rPr>
                <w:rFonts w:hint="eastAsia" w:ascii="宋体" w:hAnsi="宋体" w:eastAsia="宋体"/>
                <w:szCs w:val="21"/>
                <w:lang w:bidi="ar"/>
              </w:rPr>
              <w:t>不接受；</w:t>
            </w:r>
            <w:r>
              <w:rPr>
                <w:rFonts w:hint="eastAsia" w:ascii="宋体" w:hAnsi="宋体"/>
                <w:szCs w:val="21"/>
                <w:bdr w:val="single" w:color="auto" w:sz="4" w:space="0"/>
              </w:rPr>
              <w:t xml:space="preserve">  </w:t>
            </w:r>
            <w:r>
              <w:rPr>
                <w:rFonts w:hint="eastAsia" w:ascii="宋体" w:hAnsi="宋体" w:eastAsia="宋体"/>
                <w:szCs w:val="21"/>
                <w:lang w:bidi="ar"/>
              </w:rPr>
              <w:t>接受，最多</w:t>
            </w:r>
            <w:r>
              <w:rPr>
                <w:rFonts w:hint="eastAsia" w:ascii="宋体" w:hAnsi="宋体" w:eastAsia="宋体"/>
                <w:szCs w:val="21"/>
                <w:u w:val="single"/>
                <w:lang w:bidi="ar"/>
              </w:rPr>
              <w:t xml:space="preserve">  </w:t>
            </w:r>
            <w:r>
              <w:rPr>
                <w:rFonts w:hint="eastAsia" w:ascii="宋体" w:hAnsi="宋体" w:eastAsia="宋体"/>
                <w:szCs w:val="21"/>
                <w:lang w:bidi="ar"/>
              </w:rPr>
              <w:t>家，联合体要求：XXX。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5</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专门面向中小微企业招标</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 xml:space="preserve">  </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6</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集中现场考察(答疑)</w:t>
            </w:r>
          </w:p>
        </w:tc>
        <w:tc>
          <w:tcPr>
            <w:tcW w:w="6735" w:type="dxa"/>
            <w:noWrap w:val="0"/>
            <w:vAlign w:val="center"/>
          </w:tcPr>
          <w:p>
            <w:pPr>
              <w:kinsoku w:val="0"/>
              <w:overflowPunct w:val="0"/>
              <w:autoSpaceDE w:val="0"/>
              <w:autoSpaceDN w:val="0"/>
              <w:snapToGrid w:val="0"/>
              <w:spacing w:line="320" w:lineRule="exact"/>
              <w:ind w:left="31" w:leftChars="15"/>
              <w:rPr>
                <w:rFonts w:hint="eastAsia" w:ascii="宋体" w:hAnsi="宋体" w:eastAsia="宋体"/>
                <w:szCs w:val="21"/>
              </w:rPr>
            </w:pPr>
            <w:r>
              <w:rPr>
                <w:rFonts w:hint="eastAsia" w:ascii="宋体" w:hAnsi="宋体"/>
                <w:szCs w:val="21"/>
                <w:bdr w:val="single" w:color="auto" w:sz="4" w:space="0"/>
              </w:rPr>
              <w:t>√</w:t>
            </w:r>
            <w:r>
              <w:rPr>
                <w:rFonts w:hint="eastAsia" w:ascii="宋体" w:hAnsi="宋体"/>
                <w:szCs w:val="21"/>
              </w:rPr>
              <w:t>无；</w:t>
            </w:r>
            <w:r>
              <w:rPr>
                <w:rFonts w:hint="eastAsia" w:ascii="宋体" w:hAnsi="宋体"/>
                <w:szCs w:val="21"/>
                <w:bdr w:val="single" w:color="auto" w:sz="4" w:space="0"/>
              </w:rPr>
              <w:t xml:space="preserve">  </w:t>
            </w:r>
            <w:r>
              <w:rPr>
                <w:rFonts w:hint="eastAsia" w:ascii="宋体" w:hAnsi="宋体"/>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7</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样品</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w:t>
            </w:r>
            <w:r>
              <w:rPr>
                <w:rFonts w:hint="eastAsia" w:ascii="宋体" w:hAnsi="宋体"/>
                <w:szCs w:val="21"/>
              </w:rPr>
              <w:t>无；</w:t>
            </w:r>
            <w:r>
              <w:rPr>
                <w:rFonts w:hint="eastAsia" w:ascii="宋体" w:hAnsi="宋体"/>
                <w:szCs w:val="21"/>
                <w:bdr w:val="single" w:color="auto" w:sz="4" w:space="0"/>
              </w:rPr>
              <w:t xml:space="preserve">  </w:t>
            </w:r>
            <w:r>
              <w:rPr>
                <w:rFonts w:hint="eastAsia" w:ascii="宋体" w:hAnsi="宋体"/>
                <w:szCs w:val="21"/>
              </w:rPr>
              <w:t>有，具体要求见需求说明。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8</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讲标与演示</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 xml:space="preserve">  </w:t>
            </w:r>
            <w:r>
              <w:rPr>
                <w:rFonts w:hint="eastAsia" w:ascii="宋体" w:hAnsi="宋体"/>
                <w:szCs w:val="21"/>
              </w:rPr>
              <w:t>无；</w:t>
            </w:r>
            <w:r>
              <w:rPr>
                <w:rFonts w:hint="eastAsia" w:ascii="宋体" w:hAnsi="宋体"/>
                <w:szCs w:val="21"/>
                <w:bdr w:val="single" w:color="auto" w:sz="4" w:space="0"/>
              </w:rPr>
              <w:t>√</w:t>
            </w:r>
            <w:r>
              <w:rPr>
                <w:rFonts w:hint="eastAsia" w:ascii="宋体" w:hAnsi="宋体"/>
                <w:szCs w:val="21"/>
              </w:rPr>
              <w:t>有，具体要求见需求说明。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9</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备选报价方案</w:t>
            </w:r>
          </w:p>
        </w:tc>
        <w:tc>
          <w:tcPr>
            <w:tcW w:w="6735" w:type="dxa"/>
            <w:noWrap w:val="0"/>
            <w:vAlign w:val="center"/>
          </w:tcPr>
          <w:p>
            <w:pPr>
              <w:tabs>
                <w:tab w:val="left" w:pos="105"/>
                <w:tab w:val="left" w:pos="735"/>
                <w:tab w:val="left" w:pos="945"/>
                <w:tab w:val="left" w:pos="3360"/>
              </w:tabs>
              <w:rPr>
                <w:rFonts w:hint="eastAsia" w:ascii="宋体" w:hAnsi="宋体" w:eastAsia="宋体"/>
                <w:szCs w:val="21"/>
              </w:rPr>
            </w:pPr>
            <w:r>
              <w:rPr>
                <w:rFonts w:hint="eastAsia" w:ascii="宋体" w:hAnsi="宋体"/>
                <w:szCs w:val="21"/>
                <w:bdr w:val="single" w:color="auto" w:sz="4" w:space="0"/>
              </w:rPr>
              <w:t>√</w:t>
            </w:r>
            <w:r>
              <w:rPr>
                <w:rFonts w:hint="eastAsia" w:ascii="宋体" w:hAnsi="宋体"/>
                <w:szCs w:val="21"/>
              </w:rPr>
              <w:t>不接受；</w:t>
            </w:r>
            <w:r>
              <w:rPr>
                <w:rFonts w:hint="eastAsia" w:ascii="宋体" w:hAnsi="宋体"/>
                <w:szCs w:val="21"/>
                <w:bdr w:val="single" w:color="auto" w:sz="4" w:space="0"/>
              </w:rPr>
              <w:t xml:space="preserve">  </w:t>
            </w:r>
            <w:r>
              <w:rPr>
                <w:rFonts w:hint="eastAsia" w:ascii="宋体" w:hAnsi="宋体"/>
                <w:szCs w:val="21"/>
              </w:rPr>
              <w:t>接受，</w:t>
            </w:r>
            <w:r>
              <w:rPr>
                <w:rFonts w:hint="eastAsia" w:ascii="宋体" w:hAnsi="宋体"/>
                <w:b/>
                <w:bCs/>
                <w:szCs w:val="21"/>
              </w:rPr>
              <w:t>投标文件未明确主备方案的视为无效标</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10</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交货（服务）对象及地点</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eastAsia="宋体"/>
                <w:szCs w:val="21"/>
              </w:rPr>
              <w:t>采购人</w:t>
            </w:r>
            <w:r>
              <w:rPr>
                <w:rFonts w:hint="eastAsia" w:ascii="宋体" w:hAnsi="宋体"/>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11</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现场投标文件接收时间</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2020年</w:t>
            </w:r>
            <w:r>
              <w:rPr>
                <w:rFonts w:hint="eastAsia" w:ascii="宋体" w:hAnsi="宋体" w:eastAsia="宋体"/>
                <w:szCs w:val="21"/>
              </w:rPr>
              <w:t>6</w:t>
            </w:r>
            <w:r>
              <w:rPr>
                <w:rFonts w:hint="eastAsia" w:ascii="宋体" w:hAnsi="宋体"/>
                <w:szCs w:val="21"/>
              </w:rPr>
              <w:t>月</w:t>
            </w:r>
            <w:r>
              <w:rPr>
                <w:rFonts w:hint="eastAsia" w:ascii="宋体" w:hAnsi="宋体" w:eastAsia="宋体"/>
                <w:szCs w:val="21"/>
              </w:rPr>
              <w:t>30</w:t>
            </w:r>
            <w:r>
              <w:rPr>
                <w:rFonts w:hint="eastAsia" w:ascii="宋体" w:hAnsi="宋体"/>
                <w:szCs w:val="21"/>
              </w:rPr>
              <w:t>日9:0</w:t>
            </w:r>
            <w:r>
              <w:rPr>
                <w:rFonts w:ascii="宋体" w:hAnsi="宋体"/>
                <w:szCs w:val="21"/>
              </w:rPr>
              <w:t>0</w:t>
            </w:r>
            <w:r>
              <w:rPr>
                <w:rFonts w:hint="eastAsia" w:ascii="宋体" w:hAnsi="宋体"/>
                <w:szCs w:val="21"/>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12</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投标文件份数</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纸质正本1份 、纸质副本</w:t>
            </w:r>
            <w:r>
              <w:rPr>
                <w:rFonts w:hint="eastAsia" w:ascii="宋体" w:hAnsi="宋体" w:eastAsia="宋体"/>
                <w:szCs w:val="21"/>
              </w:rPr>
              <w:t>7</w:t>
            </w:r>
            <w:r>
              <w:rPr>
                <w:rFonts w:hint="eastAsia" w:ascii="宋体" w:hAnsi="宋体"/>
                <w:szCs w:val="21"/>
              </w:rPr>
              <w:t>份、电子文档1份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13</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投标有效期</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开标后90天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14</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b/>
                <w:szCs w:val="21"/>
              </w:rPr>
              <w:t>招标文件工本费及中标服务费</w:t>
            </w:r>
          </w:p>
        </w:tc>
        <w:tc>
          <w:tcPr>
            <w:tcW w:w="6735" w:type="dxa"/>
            <w:noWrap w:val="0"/>
            <w:vAlign w:val="center"/>
          </w:tcPr>
          <w:p>
            <w:pPr>
              <w:tabs>
                <w:tab w:val="left" w:pos="105"/>
                <w:tab w:val="left" w:pos="735"/>
                <w:tab w:val="left" w:pos="945"/>
                <w:tab w:val="left" w:pos="3360"/>
              </w:tabs>
              <w:rPr>
                <w:rFonts w:hint="eastAsia" w:ascii="宋体" w:hAnsi="宋体"/>
                <w:b/>
                <w:szCs w:val="21"/>
              </w:rPr>
            </w:pPr>
            <w:r>
              <w:rPr>
                <w:rFonts w:hint="eastAsia" w:ascii="宋体" w:hAnsi="宋体"/>
                <w:bCs/>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15</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szCs w:val="21"/>
              </w:rPr>
            </w:pPr>
            <w:r>
              <w:rPr>
                <w:rFonts w:hint="eastAsia" w:ascii="宋体" w:hAnsi="宋体"/>
                <w:szCs w:val="21"/>
              </w:rPr>
              <w:t>投标保证金</w:t>
            </w:r>
          </w:p>
        </w:tc>
        <w:tc>
          <w:tcPr>
            <w:tcW w:w="6735" w:type="dxa"/>
            <w:noWrap w:val="0"/>
            <w:vAlign w:val="center"/>
          </w:tcPr>
          <w:p>
            <w:pPr>
              <w:tabs>
                <w:tab w:val="left" w:pos="105"/>
                <w:tab w:val="left" w:pos="735"/>
                <w:tab w:val="left" w:pos="945"/>
                <w:tab w:val="left" w:pos="3360"/>
              </w:tabs>
              <w:rPr>
                <w:rFonts w:hint="eastAsia" w:ascii="宋体" w:hAnsi="宋体" w:eastAsia="宋体"/>
                <w:szCs w:val="21"/>
              </w:rPr>
            </w:pPr>
            <w:r>
              <w:rPr>
                <w:rFonts w:hint="eastAsia" w:ascii="宋体" w:hAnsi="宋体"/>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48" w:type="dxa"/>
            <w:noWrap w:val="0"/>
            <w:vAlign w:val="center"/>
          </w:tcPr>
          <w:p>
            <w:pPr>
              <w:tabs>
                <w:tab w:val="left" w:pos="105"/>
                <w:tab w:val="left" w:pos="735"/>
                <w:tab w:val="left" w:pos="945"/>
                <w:tab w:val="left" w:pos="3360"/>
              </w:tabs>
              <w:spacing w:line="500" w:lineRule="exact"/>
              <w:jc w:val="center"/>
              <w:rPr>
                <w:rFonts w:ascii="宋体" w:hAnsi="宋体" w:eastAsia="宋体"/>
                <w:szCs w:val="21"/>
              </w:rPr>
            </w:pPr>
            <w:r>
              <w:rPr>
                <w:rFonts w:hint="eastAsia" w:ascii="宋体" w:hAnsi="宋体"/>
                <w:szCs w:val="21"/>
              </w:rPr>
              <w:t>16</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履约保证金</w:t>
            </w:r>
          </w:p>
        </w:tc>
        <w:tc>
          <w:tcPr>
            <w:tcW w:w="6735" w:type="dxa"/>
            <w:noWrap w:val="0"/>
            <w:vAlign w:val="center"/>
          </w:tcPr>
          <w:p>
            <w:pPr>
              <w:tabs>
                <w:tab w:val="left" w:pos="105"/>
                <w:tab w:val="left" w:pos="735"/>
                <w:tab w:val="left" w:pos="945"/>
                <w:tab w:val="left" w:pos="3360"/>
              </w:tabs>
              <w:rPr>
                <w:rFonts w:ascii="宋体" w:hAnsi="宋体" w:eastAsia="宋体"/>
                <w:szCs w:val="21"/>
              </w:rPr>
            </w:pPr>
            <w:r>
              <w:rPr>
                <w:rFonts w:hint="eastAsia" w:ascii="宋体" w:hAnsi="宋体"/>
                <w:szCs w:val="21"/>
                <w:bdr w:val="single" w:color="auto" w:sz="4" w:space="0"/>
              </w:rPr>
              <w:t xml:space="preserve">  </w:t>
            </w:r>
            <w:r>
              <w:rPr>
                <w:rFonts w:hint="eastAsia" w:ascii="宋体" w:hAnsi="宋体"/>
                <w:szCs w:val="21"/>
              </w:rPr>
              <w:t>不收取；</w:t>
            </w:r>
            <w:r>
              <w:rPr>
                <w:rFonts w:hint="eastAsia" w:ascii="宋体" w:hAnsi="宋体"/>
                <w:szCs w:val="21"/>
                <w:bdr w:val="single" w:color="auto" w:sz="4" w:space="0"/>
              </w:rPr>
              <w:t xml:space="preserve">  √</w:t>
            </w:r>
            <w:r>
              <w:rPr>
                <w:rFonts w:hint="eastAsia" w:ascii="宋体" w:hAnsi="宋体"/>
                <w:szCs w:val="21"/>
              </w:rPr>
              <w:t>收取，合同金额的5%，合同签订时向采购人提供到账或履约担保。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noWrap w:val="0"/>
            <w:vAlign w:val="center"/>
          </w:tcPr>
          <w:p>
            <w:pPr>
              <w:tabs>
                <w:tab w:val="left" w:pos="105"/>
                <w:tab w:val="left" w:pos="735"/>
                <w:tab w:val="left" w:pos="945"/>
                <w:tab w:val="left" w:pos="3360"/>
              </w:tabs>
              <w:spacing w:line="500" w:lineRule="exact"/>
              <w:jc w:val="center"/>
              <w:rPr>
                <w:rFonts w:ascii="宋体" w:hAnsi="宋体" w:eastAsia="宋体"/>
                <w:szCs w:val="21"/>
              </w:rPr>
            </w:pPr>
            <w:r>
              <w:rPr>
                <w:rFonts w:hint="eastAsia" w:ascii="宋体" w:hAnsi="宋体"/>
                <w:szCs w:val="21"/>
              </w:rPr>
              <w:t>17</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采购资金支付方式、时间和条件</w:t>
            </w:r>
          </w:p>
        </w:tc>
        <w:tc>
          <w:tcPr>
            <w:tcW w:w="6735" w:type="dxa"/>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 xml:space="preserve">  </w:t>
            </w:r>
            <w:r>
              <w:rPr>
                <w:rFonts w:hint="eastAsia" w:ascii="宋体" w:hAnsi="宋体"/>
                <w:szCs w:val="21"/>
              </w:rPr>
              <w:t>一次性支付：验收合格后15日内一次性支付合同金额的100%；</w:t>
            </w:r>
          </w:p>
          <w:p>
            <w:pPr>
              <w:tabs>
                <w:tab w:val="left" w:pos="105"/>
                <w:tab w:val="left" w:pos="735"/>
                <w:tab w:val="left" w:pos="945"/>
                <w:tab w:val="left" w:pos="3360"/>
              </w:tabs>
              <w:rPr>
                <w:rFonts w:ascii="宋体" w:hAnsi="宋体"/>
                <w:szCs w:val="21"/>
              </w:rPr>
            </w:pPr>
            <w:r>
              <w:rPr>
                <w:rFonts w:hint="eastAsia" w:ascii="宋体" w:hAnsi="宋体"/>
                <w:szCs w:val="21"/>
                <w:bdr w:val="single" w:color="auto" w:sz="4" w:space="0"/>
              </w:rPr>
              <w:t>√</w:t>
            </w:r>
            <w:r>
              <w:rPr>
                <w:rFonts w:hint="eastAsia" w:ascii="宋体" w:hAnsi="宋体"/>
                <w:szCs w:val="21"/>
              </w:rPr>
              <w:t>分批支付：合同签订后15日内支付合同金额的</w:t>
            </w:r>
            <w:r>
              <w:rPr>
                <w:rFonts w:ascii="宋体" w:hAnsi="宋体"/>
                <w:szCs w:val="21"/>
              </w:rPr>
              <w:t>20</w:t>
            </w:r>
            <w:r>
              <w:rPr>
                <w:rFonts w:hint="eastAsia" w:ascii="宋体" w:hAnsi="宋体"/>
                <w:szCs w:val="21"/>
              </w:rPr>
              <w:t>%</w:t>
            </w:r>
            <w:r>
              <w:rPr>
                <w:rFonts w:hint="eastAsia" w:ascii="宋体" w:hAnsi="宋体" w:eastAsia="宋体"/>
                <w:szCs w:val="21"/>
              </w:rPr>
              <w:t>，系统</w:t>
            </w:r>
            <w:r>
              <w:rPr>
                <w:rFonts w:ascii="宋体" w:hAnsi="宋体" w:eastAsia="宋体"/>
                <w:szCs w:val="21"/>
              </w:rPr>
              <w:t>首期上线</w:t>
            </w:r>
            <w:r>
              <w:rPr>
                <w:rFonts w:hint="eastAsia" w:ascii="宋体" w:hAnsi="宋体" w:eastAsia="宋体"/>
                <w:szCs w:val="21"/>
              </w:rPr>
              <w:t>20日</w:t>
            </w:r>
            <w:r>
              <w:rPr>
                <w:rFonts w:ascii="宋体" w:hAnsi="宋体" w:eastAsia="宋体"/>
                <w:szCs w:val="21"/>
              </w:rPr>
              <w:t>内支付合同金额的</w:t>
            </w:r>
            <w:r>
              <w:rPr>
                <w:rFonts w:hint="eastAsia" w:ascii="宋体" w:hAnsi="宋体" w:eastAsia="宋体"/>
                <w:szCs w:val="21"/>
              </w:rPr>
              <w:t>20</w:t>
            </w:r>
            <w:r>
              <w:rPr>
                <w:rFonts w:ascii="宋体" w:hAnsi="宋体" w:eastAsia="宋体"/>
                <w:szCs w:val="21"/>
              </w:rPr>
              <w:t>%，</w:t>
            </w:r>
            <w:r>
              <w:rPr>
                <w:rFonts w:hint="eastAsia" w:ascii="宋体" w:hAnsi="宋体" w:eastAsia="宋体"/>
                <w:szCs w:val="21"/>
              </w:rPr>
              <w:t>系统</w:t>
            </w:r>
            <w:r>
              <w:rPr>
                <w:rFonts w:ascii="宋体" w:hAnsi="宋体" w:eastAsia="宋体"/>
                <w:szCs w:val="21"/>
              </w:rPr>
              <w:t>全部上线</w:t>
            </w:r>
            <w:r>
              <w:rPr>
                <w:rFonts w:hint="eastAsia" w:ascii="宋体" w:hAnsi="宋体" w:eastAsia="宋体"/>
                <w:szCs w:val="21"/>
              </w:rPr>
              <w:t>20日</w:t>
            </w:r>
            <w:r>
              <w:rPr>
                <w:rFonts w:ascii="宋体" w:hAnsi="宋体" w:eastAsia="宋体"/>
                <w:szCs w:val="21"/>
              </w:rPr>
              <w:t>内支付合同金额的</w:t>
            </w:r>
            <w:r>
              <w:rPr>
                <w:rFonts w:hint="eastAsia" w:ascii="宋体" w:hAnsi="宋体" w:eastAsia="宋体"/>
                <w:szCs w:val="21"/>
              </w:rPr>
              <w:t>25</w:t>
            </w:r>
            <w:r>
              <w:rPr>
                <w:rFonts w:ascii="宋体" w:hAnsi="宋体" w:eastAsia="宋体"/>
                <w:szCs w:val="21"/>
              </w:rPr>
              <w:t>%，</w:t>
            </w:r>
            <w:r>
              <w:rPr>
                <w:rFonts w:hint="eastAsia" w:ascii="宋体" w:hAnsi="宋体"/>
                <w:szCs w:val="21"/>
              </w:rPr>
              <w:t>系统验收合格后15日内支付合同金额的</w:t>
            </w:r>
            <w:r>
              <w:rPr>
                <w:rFonts w:ascii="宋体" w:hAnsi="宋体"/>
                <w:szCs w:val="21"/>
              </w:rPr>
              <w:t>3</w:t>
            </w:r>
            <w:r>
              <w:rPr>
                <w:rFonts w:hint="eastAsia" w:ascii="宋体" w:hAnsi="宋体"/>
                <w:szCs w:val="21"/>
              </w:rPr>
              <w:t>0%，</w:t>
            </w:r>
            <w:r>
              <w:rPr>
                <w:rFonts w:hint="eastAsia" w:ascii="宋体" w:hAnsi="宋体" w:eastAsia="宋体"/>
                <w:szCs w:val="21"/>
              </w:rPr>
              <w:t>约定</w:t>
            </w:r>
            <w:r>
              <w:rPr>
                <w:rFonts w:ascii="宋体" w:hAnsi="宋体" w:eastAsia="宋体"/>
                <w:szCs w:val="21"/>
              </w:rPr>
              <w:t>的</w:t>
            </w:r>
            <w:r>
              <w:rPr>
                <w:rFonts w:ascii="宋体" w:hAnsi="宋体"/>
                <w:szCs w:val="21"/>
              </w:rPr>
              <w:t>运维</w:t>
            </w:r>
            <w:r>
              <w:rPr>
                <w:rFonts w:hint="eastAsia" w:ascii="宋体" w:hAnsi="宋体" w:eastAsia="宋体"/>
                <w:szCs w:val="21"/>
              </w:rPr>
              <w:t>期</w:t>
            </w:r>
            <w:r>
              <w:rPr>
                <w:rFonts w:ascii="宋体" w:hAnsi="宋体" w:eastAsia="宋体"/>
                <w:szCs w:val="21"/>
              </w:rPr>
              <w:t>结束</w:t>
            </w:r>
            <w:r>
              <w:rPr>
                <w:rFonts w:ascii="宋体" w:hAnsi="宋体"/>
                <w:szCs w:val="21"/>
              </w:rPr>
              <w:t>后</w:t>
            </w:r>
            <w:r>
              <w:rPr>
                <w:rFonts w:hint="eastAsia" w:ascii="宋体" w:hAnsi="宋体" w:eastAsia="宋体"/>
                <w:szCs w:val="21"/>
              </w:rPr>
              <w:t>15日</w:t>
            </w:r>
            <w:r>
              <w:rPr>
                <w:rFonts w:ascii="宋体" w:hAnsi="宋体" w:eastAsia="宋体"/>
                <w:szCs w:val="21"/>
              </w:rPr>
              <w:t>内支付合同金额的</w:t>
            </w:r>
            <w:r>
              <w:rPr>
                <w:rFonts w:hint="eastAsia" w:ascii="宋体" w:hAnsi="宋体" w:eastAsia="宋体"/>
                <w:szCs w:val="21"/>
              </w:rPr>
              <w:t>5</w:t>
            </w:r>
            <w:r>
              <w:rPr>
                <w:rFonts w:ascii="宋体" w:hAnsi="宋体" w:eastAsia="宋体"/>
                <w:szCs w:val="21"/>
              </w:rPr>
              <w:t>%</w:t>
            </w:r>
            <w:r>
              <w:rPr>
                <w:rFonts w:hint="eastAsia" w:ascii="宋体" w:hAnsi="宋体"/>
                <w:szCs w:val="21"/>
              </w:rPr>
              <w:t>。</w:t>
            </w:r>
            <w:r>
              <w:rPr>
                <w:rFonts w:hint="eastAsia" w:ascii="宋体" w:hAnsi="宋体"/>
                <w:szCs w:val="21"/>
                <w:bdr w:val="single" w:color="auto" w:sz="4" w:space="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noWrap w:val="0"/>
            <w:vAlign w:val="center"/>
          </w:tcPr>
          <w:p>
            <w:pPr>
              <w:tabs>
                <w:tab w:val="left" w:pos="105"/>
                <w:tab w:val="left" w:pos="735"/>
                <w:tab w:val="left" w:pos="945"/>
                <w:tab w:val="left" w:pos="3360"/>
              </w:tabs>
              <w:spacing w:line="500" w:lineRule="exact"/>
              <w:jc w:val="center"/>
              <w:rPr>
                <w:rFonts w:ascii="宋体" w:hAnsi="宋体" w:eastAsia="宋体"/>
                <w:szCs w:val="21"/>
              </w:rPr>
            </w:pPr>
            <w:r>
              <w:rPr>
                <w:rFonts w:hint="eastAsia" w:ascii="宋体" w:hAnsi="宋体"/>
                <w:szCs w:val="21"/>
              </w:rPr>
              <w:t>18</w:t>
            </w:r>
          </w:p>
        </w:tc>
        <w:tc>
          <w:tcPr>
            <w:tcW w:w="1768" w:type="dxa"/>
            <w:noWrap w:val="0"/>
            <w:vAlign w:val="center"/>
          </w:tcPr>
          <w:p>
            <w:pPr>
              <w:tabs>
                <w:tab w:val="left" w:pos="105"/>
                <w:tab w:val="left" w:pos="735"/>
                <w:tab w:val="left" w:pos="945"/>
                <w:tab w:val="left" w:pos="3360"/>
              </w:tabs>
              <w:spacing w:line="500" w:lineRule="exact"/>
              <w:jc w:val="center"/>
              <w:rPr>
                <w:rFonts w:hint="eastAsia" w:ascii="宋体" w:hAnsi="宋体" w:eastAsia="宋体"/>
                <w:szCs w:val="21"/>
              </w:rPr>
            </w:pPr>
            <w:r>
              <w:rPr>
                <w:rFonts w:hint="eastAsia" w:ascii="宋体" w:hAnsi="宋体"/>
                <w:szCs w:val="21"/>
              </w:rPr>
              <w:t>其他</w:t>
            </w:r>
          </w:p>
        </w:tc>
        <w:tc>
          <w:tcPr>
            <w:tcW w:w="6735" w:type="dxa"/>
            <w:noWrap w:val="0"/>
            <w:vAlign w:val="center"/>
          </w:tcPr>
          <w:p>
            <w:pPr>
              <w:tabs>
                <w:tab w:val="left" w:pos="105"/>
                <w:tab w:val="left" w:pos="735"/>
                <w:tab w:val="left" w:pos="945"/>
                <w:tab w:val="left" w:pos="3360"/>
              </w:tabs>
              <w:rPr>
                <w:rFonts w:hint="eastAsia" w:ascii="宋体" w:hAnsi="宋体" w:eastAsia="宋体"/>
                <w:szCs w:val="21"/>
              </w:rPr>
            </w:pPr>
            <w:r>
              <w:rPr>
                <w:rFonts w:hint="eastAsia" w:ascii="宋体" w:hAnsi="宋体"/>
                <w:szCs w:val="21"/>
              </w:rPr>
              <w:t>无</w:t>
            </w:r>
          </w:p>
        </w:tc>
      </w:tr>
    </w:tbl>
    <w:p/>
    <w:p>
      <w:pPr>
        <w:spacing w:line="500" w:lineRule="exact"/>
        <w:jc w:val="center"/>
        <w:rPr>
          <w:rFonts w:hint="eastAsia" w:eastAsia="黑体"/>
          <w:b/>
          <w:sz w:val="32"/>
        </w:rPr>
      </w:pPr>
      <w:r>
        <w:rPr>
          <w:rFonts w:eastAsia="黑体"/>
          <w:sz w:val="32"/>
        </w:rPr>
        <w:br w:type="page"/>
      </w:r>
      <w:r>
        <w:rPr>
          <w:rFonts w:hint="eastAsia" w:eastAsia="黑体"/>
          <w:b/>
          <w:sz w:val="32"/>
        </w:rPr>
        <w:t>第四部分    投标人须知</w:t>
      </w:r>
    </w:p>
    <w:p>
      <w:pPr>
        <w:spacing w:line="500" w:lineRule="exact"/>
        <w:jc w:val="center"/>
        <w:rPr>
          <w:rFonts w:ascii="宋体" w:hAnsi="宋体"/>
          <w:b/>
          <w:sz w:val="24"/>
          <w:szCs w:val="24"/>
        </w:rPr>
      </w:pPr>
      <w:r>
        <w:rPr>
          <w:rFonts w:hint="eastAsia" w:ascii="宋体" w:hAnsi="宋体"/>
          <w:b/>
          <w:sz w:val="24"/>
          <w:szCs w:val="24"/>
        </w:rPr>
        <w:t>A 总则</w:t>
      </w:r>
    </w:p>
    <w:p>
      <w:pPr>
        <w:spacing w:line="500" w:lineRule="exact"/>
        <w:rPr>
          <w:rFonts w:hint="eastAsia" w:ascii="宋体" w:hAnsi="宋体"/>
          <w:sz w:val="24"/>
          <w:szCs w:val="24"/>
        </w:rPr>
      </w:pPr>
      <w:r>
        <w:rPr>
          <w:rFonts w:hint="eastAsia" w:ascii="宋体" w:hAnsi="宋体"/>
          <w:sz w:val="24"/>
          <w:szCs w:val="24"/>
        </w:rPr>
        <w:t xml:space="preserve">    1、适用范围</w:t>
      </w:r>
    </w:p>
    <w:p>
      <w:pPr>
        <w:spacing w:line="500" w:lineRule="exact"/>
        <w:ind w:firstLine="480" w:firstLineChars="200"/>
        <w:rPr>
          <w:rFonts w:hint="eastAsia" w:ascii="宋体" w:hAnsi="宋体"/>
          <w:sz w:val="24"/>
          <w:szCs w:val="24"/>
        </w:rPr>
      </w:pPr>
      <w:r>
        <w:rPr>
          <w:rFonts w:hint="eastAsia" w:ascii="宋体" w:hAnsi="宋体"/>
          <w:sz w:val="24"/>
          <w:szCs w:val="24"/>
        </w:rPr>
        <w:t>1．1 本招标文件适用于投标邀请（招标公告）中所述项目的采购。</w:t>
      </w:r>
    </w:p>
    <w:p>
      <w:pPr>
        <w:spacing w:line="500" w:lineRule="exact"/>
        <w:ind w:firstLine="480" w:firstLineChars="200"/>
        <w:rPr>
          <w:rFonts w:hint="eastAsia" w:ascii="宋体" w:hAnsi="宋体"/>
          <w:sz w:val="24"/>
          <w:szCs w:val="24"/>
        </w:rPr>
      </w:pPr>
      <w:r>
        <w:rPr>
          <w:rFonts w:hint="eastAsia" w:ascii="宋体" w:hAnsi="宋体"/>
          <w:sz w:val="24"/>
          <w:szCs w:val="24"/>
        </w:rPr>
        <w:t>2、定义</w:t>
      </w:r>
    </w:p>
    <w:p>
      <w:pPr>
        <w:spacing w:line="500" w:lineRule="exact"/>
        <w:ind w:firstLine="480" w:firstLineChars="200"/>
        <w:rPr>
          <w:rFonts w:hint="eastAsia" w:ascii="宋体" w:hAnsi="宋体"/>
          <w:sz w:val="24"/>
          <w:szCs w:val="24"/>
        </w:rPr>
      </w:pPr>
      <w:r>
        <w:rPr>
          <w:rFonts w:hint="eastAsia" w:ascii="宋体" w:hAnsi="宋体"/>
          <w:sz w:val="24"/>
          <w:szCs w:val="24"/>
        </w:rPr>
        <w:t>2．1 “采购人”系指依法进行政府采购的国家机关、事业单位、团体组织。</w:t>
      </w:r>
    </w:p>
    <w:p>
      <w:pPr>
        <w:spacing w:line="500" w:lineRule="exact"/>
        <w:ind w:firstLine="480" w:firstLineChars="200"/>
        <w:rPr>
          <w:rFonts w:hint="eastAsia" w:ascii="宋体" w:hAnsi="宋体"/>
          <w:sz w:val="24"/>
          <w:szCs w:val="24"/>
        </w:rPr>
      </w:pPr>
      <w:r>
        <w:rPr>
          <w:rFonts w:hint="eastAsia" w:ascii="宋体" w:hAnsi="宋体"/>
          <w:sz w:val="24"/>
          <w:szCs w:val="24"/>
        </w:rPr>
        <w:t>2．2 “集中采购机构”即宁波市政府采购中心，系指统一组织实施纳入政府采购目录项目采购活动的非营利事业法人。</w:t>
      </w:r>
    </w:p>
    <w:p>
      <w:pPr>
        <w:spacing w:line="500" w:lineRule="exact"/>
        <w:ind w:firstLine="480" w:firstLineChars="200"/>
        <w:rPr>
          <w:rFonts w:hint="eastAsia" w:ascii="宋体" w:hAnsi="宋体"/>
          <w:sz w:val="24"/>
          <w:szCs w:val="24"/>
        </w:rPr>
      </w:pPr>
      <w:r>
        <w:rPr>
          <w:rFonts w:hint="eastAsia" w:ascii="宋体" w:hAnsi="宋体"/>
          <w:sz w:val="24"/>
          <w:szCs w:val="24"/>
        </w:rPr>
        <w:t>2．3 “招标人”系指组织本次招标活动的集中采购机构。</w:t>
      </w:r>
    </w:p>
    <w:p>
      <w:pPr>
        <w:spacing w:line="500" w:lineRule="exact"/>
        <w:ind w:firstLine="480" w:firstLineChars="200"/>
        <w:rPr>
          <w:rFonts w:hint="eastAsia" w:ascii="宋体" w:hAnsi="宋体"/>
          <w:sz w:val="24"/>
          <w:szCs w:val="24"/>
        </w:rPr>
      </w:pPr>
      <w:r>
        <w:rPr>
          <w:rFonts w:hint="eastAsia" w:ascii="宋体" w:hAnsi="宋体"/>
          <w:sz w:val="24"/>
          <w:szCs w:val="24"/>
        </w:rPr>
        <w:t>2．4 “投标人”系指参加本次招标活动符合资格条件的供应商。</w:t>
      </w:r>
    </w:p>
    <w:p>
      <w:pPr>
        <w:spacing w:line="500" w:lineRule="exact"/>
        <w:ind w:firstLine="480" w:firstLineChars="200"/>
        <w:rPr>
          <w:rFonts w:hint="eastAsia" w:ascii="宋体" w:hAnsi="宋体"/>
          <w:sz w:val="24"/>
          <w:szCs w:val="24"/>
        </w:rPr>
      </w:pPr>
      <w:r>
        <w:rPr>
          <w:rFonts w:hint="eastAsia" w:ascii="宋体" w:hAnsi="宋体"/>
          <w:sz w:val="24"/>
          <w:szCs w:val="24"/>
        </w:rPr>
        <w:t>2．5 “投标人代理人”系指参加本次投标活动的投标人授权代表。</w:t>
      </w:r>
    </w:p>
    <w:p>
      <w:pPr>
        <w:spacing w:line="500" w:lineRule="exact"/>
        <w:ind w:firstLine="480" w:firstLineChars="200"/>
        <w:rPr>
          <w:rFonts w:hint="eastAsia" w:ascii="宋体" w:hAnsi="宋体"/>
          <w:sz w:val="24"/>
          <w:szCs w:val="24"/>
        </w:rPr>
      </w:pPr>
      <w:r>
        <w:rPr>
          <w:rFonts w:hint="eastAsia" w:ascii="宋体" w:hAnsi="宋体"/>
          <w:sz w:val="24"/>
          <w:szCs w:val="24"/>
        </w:rPr>
        <w:t>3、合格的投标人和投标产品</w:t>
      </w:r>
    </w:p>
    <w:p>
      <w:pPr>
        <w:spacing w:line="500" w:lineRule="exact"/>
        <w:ind w:firstLine="480" w:firstLineChars="200"/>
        <w:rPr>
          <w:rFonts w:hint="eastAsia" w:ascii="宋体" w:hAnsi="宋体"/>
          <w:sz w:val="24"/>
          <w:szCs w:val="24"/>
        </w:rPr>
      </w:pPr>
      <w:r>
        <w:rPr>
          <w:rFonts w:hint="eastAsia" w:ascii="宋体" w:hAnsi="宋体"/>
          <w:sz w:val="24"/>
          <w:szCs w:val="24"/>
        </w:rPr>
        <w:t>3．1合格的投标人应具备以下条件：</w:t>
      </w:r>
    </w:p>
    <w:p>
      <w:pPr>
        <w:spacing w:line="500" w:lineRule="exact"/>
        <w:ind w:firstLine="480" w:firstLineChars="200"/>
        <w:rPr>
          <w:rFonts w:hint="eastAsia" w:ascii="宋体" w:hAnsi="宋体"/>
          <w:sz w:val="24"/>
          <w:szCs w:val="24"/>
        </w:rPr>
      </w:pPr>
      <w:r>
        <w:rPr>
          <w:rFonts w:hint="eastAsia" w:ascii="宋体" w:hAnsi="宋体"/>
          <w:sz w:val="24"/>
          <w:szCs w:val="24"/>
        </w:rPr>
        <w:t>3．1．1 符合《政府采购法》第二十二条第一款规定的关于供应商基本资格条件。</w:t>
      </w:r>
    </w:p>
    <w:p>
      <w:pPr>
        <w:spacing w:line="500" w:lineRule="exact"/>
        <w:ind w:firstLine="480" w:firstLineChars="200"/>
        <w:rPr>
          <w:rFonts w:hint="eastAsia" w:ascii="宋体" w:hAnsi="宋体"/>
          <w:sz w:val="24"/>
          <w:szCs w:val="24"/>
        </w:rPr>
      </w:pPr>
      <w:r>
        <w:rPr>
          <w:rFonts w:hint="eastAsia" w:ascii="宋体" w:hAnsi="宋体"/>
          <w:sz w:val="24"/>
          <w:szCs w:val="24"/>
        </w:rPr>
        <w:t>3．1．2 投标人应遵守中国的有关法律、法规和规章。</w:t>
      </w:r>
    </w:p>
    <w:p>
      <w:pPr>
        <w:spacing w:line="500" w:lineRule="exact"/>
        <w:ind w:firstLine="480" w:firstLineChars="200"/>
        <w:rPr>
          <w:rFonts w:hint="eastAsia" w:ascii="宋体" w:hAnsi="宋体"/>
          <w:sz w:val="24"/>
          <w:szCs w:val="24"/>
        </w:rPr>
      </w:pPr>
      <w:r>
        <w:rPr>
          <w:rFonts w:hint="eastAsia" w:ascii="宋体" w:hAnsi="宋体"/>
          <w:sz w:val="24"/>
          <w:szCs w:val="24"/>
        </w:rPr>
        <w:t>3．1．3 有能力提供本次招标产品并符合投标邀请（招标公告）中规定资质要求的合法营销资格的国内企事业单位，均可参加投标（</w:t>
      </w:r>
      <w:r>
        <w:rPr>
          <w:rFonts w:hint="eastAsia" w:ascii="宋体" w:hAnsi="宋体"/>
          <w:b/>
          <w:bCs/>
          <w:sz w:val="24"/>
          <w:szCs w:val="24"/>
        </w:rPr>
        <w:t>电信、银行、保险等行业实行许可证管理的本地分支机构可直接参与投标，其他类型分公司投标的须提供公司的授权</w:t>
      </w:r>
      <w:r>
        <w:rPr>
          <w:rFonts w:hint="eastAsia" w:ascii="宋体" w:hAnsi="宋体"/>
          <w:sz w:val="24"/>
          <w:szCs w:val="24"/>
        </w:rPr>
        <w:t>）。</w:t>
      </w:r>
    </w:p>
    <w:p>
      <w:pPr>
        <w:spacing w:line="500" w:lineRule="exact"/>
        <w:ind w:firstLine="480" w:firstLineChars="200"/>
        <w:rPr>
          <w:rFonts w:hint="eastAsia" w:ascii="宋体" w:hAnsi="宋体"/>
          <w:sz w:val="24"/>
          <w:szCs w:val="24"/>
        </w:rPr>
      </w:pPr>
      <w:r>
        <w:rPr>
          <w:rFonts w:hint="eastAsia" w:ascii="宋体" w:hAnsi="宋体"/>
          <w:sz w:val="24"/>
          <w:szCs w:val="24"/>
        </w:rPr>
        <w:t xml:space="preserve">3．1．4 </w:t>
      </w:r>
      <w:r>
        <w:rPr>
          <w:rFonts w:ascii="宋体" w:hAnsi="宋体"/>
          <w:sz w:val="24"/>
          <w:szCs w:val="24"/>
        </w:rPr>
        <w:t>投标人与采购人</w:t>
      </w:r>
      <w:r>
        <w:rPr>
          <w:rFonts w:hint="eastAsia" w:ascii="宋体" w:hAnsi="宋体"/>
          <w:sz w:val="24"/>
          <w:szCs w:val="24"/>
        </w:rPr>
        <w:t>一般</w:t>
      </w:r>
      <w:r>
        <w:rPr>
          <w:rFonts w:ascii="宋体" w:hAnsi="宋体"/>
          <w:sz w:val="24"/>
          <w:szCs w:val="24"/>
        </w:rPr>
        <w:t>应无任何直接或间接的关联</w:t>
      </w:r>
      <w:r>
        <w:rPr>
          <w:rFonts w:hint="eastAsia" w:ascii="宋体" w:hAnsi="宋体"/>
          <w:sz w:val="24"/>
          <w:szCs w:val="24"/>
        </w:rPr>
        <w:t>。</w:t>
      </w:r>
      <w:r>
        <w:rPr>
          <w:rFonts w:hint="eastAsia" w:ascii="宋体" w:hAnsi="宋体"/>
          <w:b/>
          <w:bCs/>
          <w:sz w:val="24"/>
          <w:szCs w:val="24"/>
        </w:rPr>
        <w:t>有关联的，投标人应当在投标截止时间3日前告知招标人，在“诚信投标承诺书”中如实说明，并提供关联关系材料。</w:t>
      </w:r>
    </w:p>
    <w:p>
      <w:pPr>
        <w:spacing w:line="500" w:lineRule="exact"/>
        <w:ind w:firstLine="480" w:firstLineChars="200"/>
        <w:rPr>
          <w:rFonts w:hint="eastAsia" w:ascii="宋体" w:hAnsi="宋体"/>
          <w:sz w:val="24"/>
          <w:szCs w:val="24"/>
        </w:rPr>
      </w:pPr>
      <w:r>
        <w:rPr>
          <w:rFonts w:hint="eastAsia" w:ascii="宋体" w:hAnsi="宋体"/>
          <w:sz w:val="24"/>
          <w:szCs w:val="24"/>
        </w:rPr>
        <w:t>3．1．5 投标人存在下列关联关系情形之一的，不得参加同一标包投标：</w:t>
      </w:r>
    </w:p>
    <w:p>
      <w:pPr>
        <w:spacing w:line="500" w:lineRule="exact"/>
        <w:ind w:firstLine="482" w:firstLineChars="200"/>
        <w:rPr>
          <w:rFonts w:hint="eastAsia" w:ascii="宋体" w:hAnsi="宋体"/>
          <w:b/>
          <w:bCs/>
          <w:sz w:val="24"/>
          <w:szCs w:val="24"/>
        </w:rPr>
      </w:pPr>
      <w:r>
        <w:rPr>
          <w:rFonts w:hint="eastAsia" w:ascii="宋体" w:hAnsi="宋体"/>
          <w:b/>
          <w:bCs/>
          <w:sz w:val="24"/>
          <w:szCs w:val="24"/>
        </w:rPr>
        <w:t>（1）单位负责人（含法定代表人、实际控制人）是同一人的供应商；</w:t>
      </w:r>
    </w:p>
    <w:p>
      <w:pPr>
        <w:spacing w:line="500" w:lineRule="exact"/>
        <w:ind w:firstLine="482" w:firstLineChars="200"/>
        <w:rPr>
          <w:rFonts w:hint="eastAsia" w:ascii="宋体" w:hAnsi="宋体"/>
          <w:b/>
          <w:bCs/>
          <w:sz w:val="24"/>
          <w:szCs w:val="24"/>
        </w:rPr>
      </w:pPr>
      <w:r>
        <w:rPr>
          <w:rFonts w:hint="eastAsia" w:ascii="宋体" w:hAnsi="宋体"/>
          <w:b/>
          <w:bCs/>
          <w:sz w:val="24"/>
          <w:szCs w:val="24"/>
        </w:rPr>
        <w:t>（2）母公司、直接或间接控股的被投资公司；</w:t>
      </w:r>
    </w:p>
    <w:p>
      <w:pPr>
        <w:spacing w:line="500" w:lineRule="exact"/>
        <w:ind w:firstLine="482" w:firstLineChars="200"/>
        <w:rPr>
          <w:rFonts w:hint="eastAsia"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3．1．6 一个投标人对一个标包只能提交一个投标文件。</w:t>
      </w:r>
    </w:p>
    <w:p>
      <w:pPr>
        <w:spacing w:line="500" w:lineRule="exact"/>
        <w:ind w:firstLine="480" w:firstLineChars="200"/>
        <w:rPr>
          <w:rFonts w:hint="eastAsia" w:ascii="宋体" w:hAnsi="宋体"/>
          <w:sz w:val="24"/>
          <w:szCs w:val="24"/>
        </w:rPr>
      </w:pPr>
      <w:r>
        <w:rPr>
          <w:rFonts w:hint="eastAsia" w:ascii="宋体" w:hAnsi="宋体"/>
          <w:sz w:val="24"/>
          <w:szCs w:val="24"/>
        </w:rPr>
        <w:t>3．1．7 投标人代理人只能接受一个投标人委托参加投标。</w:t>
      </w:r>
    </w:p>
    <w:p>
      <w:pPr>
        <w:spacing w:line="500" w:lineRule="exact"/>
        <w:ind w:firstLine="480" w:firstLineChars="200"/>
        <w:rPr>
          <w:rFonts w:hint="eastAsia" w:ascii="宋体" w:hAnsi="宋体"/>
          <w:sz w:val="24"/>
          <w:szCs w:val="24"/>
        </w:rPr>
      </w:pPr>
      <w:r>
        <w:rPr>
          <w:rFonts w:hint="eastAsia" w:ascii="宋体" w:hAnsi="宋体"/>
          <w:sz w:val="24"/>
          <w:szCs w:val="24"/>
        </w:rPr>
        <w:t>3．1．8 如投标人代理人不是法定代表人，须持有《法定代表人授权书》（</w:t>
      </w:r>
      <w:r>
        <w:rPr>
          <w:rFonts w:hint="eastAsia" w:ascii="宋体" w:hAnsi="宋体"/>
          <w:b/>
          <w:bCs/>
          <w:sz w:val="24"/>
          <w:szCs w:val="24"/>
        </w:rPr>
        <w:t>统一格式，金融、保险、电信等分支机构投标的可由分支机构负责人签署授权书</w:t>
      </w:r>
      <w:r>
        <w:rPr>
          <w:rFonts w:hint="eastAsia" w:ascii="宋体" w:hAnsi="宋体"/>
          <w:sz w:val="24"/>
          <w:szCs w:val="24"/>
        </w:rPr>
        <w:t>）。</w:t>
      </w:r>
    </w:p>
    <w:p>
      <w:pPr>
        <w:spacing w:line="500" w:lineRule="exact"/>
        <w:ind w:firstLine="480" w:firstLineChars="200"/>
        <w:rPr>
          <w:rFonts w:hint="eastAsia" w:ascii="宋体" w:hAnsi="宋体"/>
          <w:sz w:val="24"/>
          <w:szCs w:val="24"/>
        </w:rPr>
      </w:pPr>
      <w:r>
        <w:rPr>
          <w:rFonts w:hint="eastAsia" w:ascii="宋体" w:hAnsi="宋体"/>
          <w:sz w:val="24"/>
          <w:szCs w:val="24"/>
        </w:rPr>
        <w:t>3．1．9 除招标文件有规定外，两个或两个以上供应商可以组成一个投标联合体，以一个投标人的身份参加投标。</w:t>
      </w:r>
    </w:p>
    <w:p>
      <w:pPr>
        <w:spacing w:line="500" w:lineRule="exact"/>
        <w:ind w:firstLine="480" w:firstLineChars="200"/>
        <w:rPr>
          <w:rFonts w:hint="eastAsia"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pPr>
        <w:spacing w:line="500" w:lineRule="exact"/>
        <w:ind w:firstLine="480" w:firstLineChars="200"/>
        <w:rPr>
          <w:rFonts w:hint="eastAsia"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pPr>
        <w:spacing w:line="500" w:lineRule="exact"/>
        <w:ind w:firstLine="480" w:firstLineChars="200"/>
        <w:rPr>
          <w:rFonts w:hint="eastAsia"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pPr>
        <w:spacing w:line="500" w:lineRule="exact"/>
        <w:ind w:firstLine="480" w:firstLineChars="200"/>
        <w:rPr>
          <w:rFonts w:hint="eastAsia" w:ascii="宋体" w:hAnsi="宋体"/>
          <w:sz w:val="24"/>
          <w:szCs w:val="24"/>
        </w:rPr>
      </w:pPr>
      <w:r>
        <w:rPr>
          <w:rFonts w:hint="eastAsia" w:ascii="宋体" w:hAnsi="宋体"/>
          <w:sz w:val="24"/>
          <w:szCs w:val="24"/>
        </w:rPr>
        <w:t>3．2合格的投标产品或服务</w:t>
      </w:r>
    </w:p>
    <w:p>
      <w:pPr>
        <w:spacing w:line="500" w:lineRule="exact"/>
        <w:ind w:firstLine="480" w:firstLineChars="200"/>
        <w:rPr>
          <w:rFonts w:hint="eastAsia" w:ascii="宋体" w:hAnsi="宋体"/>
          <w:sz w:val="24"/>
          <w:szCs w:val="24"/>
        </w:rPr>
      </w:pPr>
      <w:r>
        <w:rPr>
          <w:rFonts w:hint="eastAsia" w:ascii="宋体" w:hAnsi="宋体"/>
          <w:sz w:val="24"/>
          <w:szCs w:val="24"/>
        </w:rPr>
        <w:t>3.2.1应该是中国境内生产的产品或提供的服务。</w:t>
      </w:r>
    </w:p>
    <w:p>
      <w:pPr>
        <w:spacing w:line="500" w:lineRule="exact"/>
        <w:ind w:firstLine="480" w:firstLineChars="200"/>
        <w:rPr>
          <w:rFonts w:hint="eastAsia"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pPr>
        <w:spacing w:line="500" w:lineRule="exact"/>
        <w:ind w:firstLine="480" w:firstLineChars="200"/>
        <w:rPr>
          <w:rFonts w:hint="eastAsia"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pPr>
        <w:spacing w:line="500" w:lineRule="exact"/>
        <w:ind w:firstLine="480" w:firstLineChars="200"/>
        <w:rPr>
          <w:rFonts w:hint="eastAsia"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pPr>
        <w:spacing w:line="500" w:lineRule="exact"/>
        <w:ind w:firstLine="420"/>
        <w:rPr>
          <w:rFonts w:hint="eastAsia" w:ascii="宋体" w:hAnsi="宋体"/>
          <w:sz w:val="24"/>
          <w:szCs w:val="24"/>
        </w:rPr>
      </w:pPr>
      <w:r>
        <w:rPr>
          <w:rFonts w:hint="eastAsia" w:ascii="宋体" w:hAnsi="宋体"/>
          <w:sz w:val="24"/>
          <w:szCs w:val="24"/>
        </w:rPr>
        <w:t xml:space="preserve"> 4、投标费用</w:t>
      </w:r>
    </w:p>
    <w:p>
      <w:pPr>
        <w:spacing w:line="500" w:lineRule="exact"/>
        <w:ind w:firstLine="420"/>
        <w:rPr>
          <w:rFonts w:hint="eastAsia" w:ascii="宋体" w:hAnsi="宋体"/>
          <w:sz w:val="24"/>
          <w:szCs w:val="24"/>
        </w:rPr>
      </w:pPr>
      <w:r>
        <w:rPr>
          <w:rFonts w:hint="eastAsia" w:ascii="宋体" w:hAnsi="宋体"/>
          <w:sz w:val="24"/>
          <w:szCs w:val="24"/>
        </w:rPr>
        <w:t>4．1 无论投标结果如何，投标人自行承担所有与参加投标有关的全部费用。</w:t>
      </w:r>
    </w:p>
    <w:p>
      <w:pPr>
        <w:spacing w:line="500" w:lineRule="exact"/>
        <w:ind w:firstLine="420"/>
        <w:rPr>
          <w:rFonts w:hint="eastAsia" w:ascii="宋体" w:hAnsi="宋体"/>
          <w:sz w:val="24"/>
          <w:szCs w:val="24"/>
        </w:rPr>
      </w:pPr>
      <w:r>
        <w:rPr>
          <w:rFonts w:hint="eastAsia" w:ascii="宋体" w:hAnsi="宋体"/>
          <w:sz w:val="24"/>
          <w:szCs w:val="24"/>
        </w:rPr>
        <w:t>5、信息公告媒体</w:t>
      </w:r>
    </w:p>
    <w:p>
      <w:pPr>
        <w:spacing w:line="500" w:lineRule="exact"/>
        <w:ind w:firstLine="420"/>
        <w:rPr>
          <w:rFonts w:hint="eastAsia" w:ascii="宋体" w:hAnsi="宋体"/>
          <w:sz w:val="24"/>
          <w:szCs w:val="24"/>
        </w:rPr>
      </w:pPr>
      <w:r>
        <w:rPr>
          <w:rFonts w:hint="eastAsia" w:ascii="宋体" w:hAnsi="宋体"/>
          <w:sz w:val="24"/>
          <w:szCs w:val="24"/>
        </w:rPr>
        <w:t xml:space="preserve">5．1 </w:t>
      </w:r>
      <w:r>
        <w:rPr>
          <w:rFonts w:hint="eastAsia" w:ascii="宋体" w:hAnsi="宋体"/>
          <w:sz w:val="24"/>
        </w:rPr>
        <w:t>浙江政府采购网(zfcg.czt.zj.gov.cn)和宁波政府采购网(www.nbzfcg.cn)</w:t>
      </w:r>
      <w:r>
        <w:rPr>
          <w:rFonts w:hint="eastAsia" w:ascii="宋体" w:hAnsi="宋体"/>
          <w:sz w:val="24"/>
          <w:szCs w:val="24"/>
        </w:rPr>
        <w:t>为政府采购监督管理部门指定的政府采购信息发布媒体。本次政府采购活动有关信息均在该网站上予以公布，公布信息视同送达所有潜在投标人。</w:t>
      </w:r>
    </w:p>
    <w:p>
      <w:pPr>
        <w:spacing w:line="500" w:lineRule="exact"/>
        <w:ind w:firstLine="420"/>
        <w:rPr>
          <w:rFonts w:hint="eastAsia" w:ascii="宋体" w:hAnsi="宋体"/>
          <w:sz w:val="24"/>
          <w:szCs w:val="24"/>
        </w:rPr>
      </w:pPr>
      <w:r>
        <w:rPr>
          <w:rFonts w:hint="eastAsia" w:ascii="宋体" w:hAnsi="宋体"/>
          <w:sz w:val="24"/>
          <w:szCs w:val="24"/>
        </w:rPr>
        <w:t>5.2 投标前供应商应在</w:t>
      </w:r>
      <w:r>
        <w:rPr>
          <w:rFonts w:hint="eastAsia" w:ascii="宋体" w:hAnsi="宋体"/>
          <w:sz w:val="24"/>
        </w:rPr>
        <w:t>浙江政府采购网(zfcg.czt.zj.gov.cn)</w:t>
      </w:r>
      <w:r>
        <w:rPr>
          <w:rFonts w:hint="eastAsia" w:ascii="宋体" w:hAnsi="宋体"/>
          <w:sz w:val="24"/>
          <w:szCs w:val="24"/>
        </w:rPr>
        <w:t>上完成供应商注册工作。</w:t>
      </w:r>
    </w:p>
    <w:p>
      <w:pPr>
        <w:spacing w:line="500" w:lineRule="exact"/>
        <w:ind w:firstLine="420"/>
        <w:jc w:val="center"/>
        <w:rPr>
          <w:rFonts w:hint="eastAsia" w:ascii="宋体" w:hAnsi="宋体"/>
          <w:b/>
          <w:sz w:val="24"/>
          <w:szCs w:val="24"/>
        </w:rPr>
      </w:pPr>
    </w:p>
    <w:p>
      <w:pPr>
        <w:spacing w:line="500" w:lineRule="exact"/>
        <w:ind w:firstLine="420"/>
        <w:jc w:val="center"/>
        <w:rPr>
          <w:rFonts w:hint="eastAsia" w:ascii="宋体" w:hAnsi="宋体"/>
          <w:b/>
          <w:sz w:val="24"/>
          <w:szCs w:val="24"/>
        </w:rPr>
      </w:pPr>
      <w:r>
        <w:rPr>
          <w:rFonts w:hint="eastAsia" w:ascii="宋体" w:hAnsi="宋体"/>
          <w:b/>
          <w:sz w:val="24"/>
          <w:szCs w:val="24"/>
        </w:rPr>
        <w:t>B   招标文件</w:t>
      </w:r>
    </w:p>
    <w:p>
      <w:pPr>
        <w:spacing w:line="500" w:lineRule="exact"/>
        <w:ind w:firstLine="420"/>
        <w:rPr>
          <w:rFonts w:hint="eastAsia" w:ascii="宋体" w:hAnsi="宋体"/>
          <w:sz w:val="24"/>
          <w:szCs w:val="24"/>
        </w:rPr>
      </w:pPr>
      <w:r>
        <w:rPr>
          <w:rFonts w:hint="eastAsia" w:ascii="宋体" w:hAnsi="宋体"/>
          <w:sz w:val="24"/>
          <w:szCs w:val="24"/>
        </w:rPr>
        <w:t xml:space="preserve"> 6、招标文件</w:t>
      </w:r>
    </w:p>
    <w:p>
      <w:pPr>
        <w:spacing w:line="500" w:lineRule="exact"/>
        <w:ind w:firstLine="420"/>
        <w:rPr>
          <w:rFonts w:hint="eastAsia" w:ascii="宋体" w:hAnsi="宋体"/>
          <w:sz w:val="24"/>
          <w:szCs w:val="24"/>
        </w:rPr>
      </w:pPr>
      <w:r>
        <w:rPr>
          <w:rFonts w:hint="eastAsia" w:ascii="宋体" w:hAnsi="宋体"/>
          <w:sz w:val="24"/>
          <w:szCs w:val="24"/>
        </w:rPr>
        <w:t xml:space="preserve"> 6．1招标文件由招标文件总目录所列内容组成。</w:t>
      </w:r>
    </w:p>
    <w:p>
      <w:pPr>
        <w:spacing w:line="500" w:lineRule="exact"/>
        <w:ind w:firstLine="420"/>
        <w:rPr>
          <w:rFonts w:hint="eastAsia" w:ascii="宋体" w:hAnsi="宋体"/>
          <w:sz w:val="24"/>
          <w:szCs w:val="24"/>
        </w:rPr>
      </w:pPr>
      <w:r>
        <w:rPr>
          <w:rFonts w:hint="eastAsia" w:ascii="宋体" w:hAnsi="宋体"/>
          <w:sz w:val="24"/>
          <w:szCs w:val="24"/>
        </w:rPr>
        <w:t xml:space="preserve"> 6．2投标人应详细阅读招标文件的全部内容。不按招标文件的要求提供的投标文件和资料，则可能被视为无效标而导致投标被拒绝。</w:t>
      </w:r>
    </w:p>
    <w:p>
      <w:pPr>
        <w:spacing w:line="500" w:lineRule="exact"/>
        <w:ind w:firstLine="420"/>
        <w:rPr>
          <w:rFonts w:hint="eastAsia" w:ascii="宋体" w:hAnsi="宋体"/>
          <w:b/>
          <w:sz w:val="24"/>
          <w:szCs w:val="24"/>
        </w:rPr>
      </w:pPr>
      <w:r>
        <w:rPr>
          <w:rFonts w:hint="eastAsia" w:ascii="宋体" w:hAnsi="宋体"/>
          <w:sz w:val="24"/>
          <w:szCs w:val="24"/>
        </w:rPr>
        <w:t xml:space="preserve"> 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起7个工作日内，以书面形式（加盖单位公章）向招标人提出质疑请求、理由及事实证据材料。</w:t>
      </w:r>
    </w:p>
    <w:p>
      <w:pPr>
        <w:spacing w:line="500" w:lineRule="exact"/>
        <w:ind w:firstLine="420"/>
        <w:rPr>
          <w:rFonts w:hint="eastAsia" w:ascii="宋体" w:hAnsi="宋体"/>
          <w:sz w:val="24"/>
          <w:szCs w:val="24"/>
        </w:rPr>
      </w:pPr>
      <w:r>
        <w:rPr>
          <w:rFonts w:hint="eastAsia" w:ascii="宋体" w:hAnsi="宋体"/>
          <w:sz w:val="24"/>
          <w:szCs w:val="24"/>
        </w:rPr>
        <w:t>6．4投标人可在投标截止时间5日前，对招标文件如有疑问要求澄清的，可用书面形式通知招标人，招标人应用书面作答（包括网上公告形式）。如有必要，可将答复内容包括原提出的问题（但不标明问题查询的来源），分发给所有取得同一招标文件投标人。</w:t>
      </w:r>
    </w:p>
    <w:p>
      <w:pPr>
        <w:spacing w:line="500" w:lineRule="exact"/>
        <w:ind w:firstLine="420"/>
        <w:rPr>
          <w:rFonts w:hint="eastAsia" w:ascii="宋体" w:hAnsi="宋体"/>
          <w:sz w:val="24"/>
          <w:szCs w:val="24"/>
        </w:rPr>
      </w:pPr>
      <w:r>
        <w:rPr>
          <w:rFonts w:hint="eastAsia" w:ascii="宋体" w:hAnsi="宋体"/>
          <w:sz w:val="24"/>
          <w:szCs w:val="24"/>
        </w:rPr>
        <w:t>6．5招标人在投标截止时间前，可对招标文件做必要的澄清或修改，并在指定的政府采购信息发布媒体上发布补充公告。该澄清或者修改的内容为招标文件的组成部分。</w:t>
      </w:r>
    </w:p>
    <w:p>
      <w:pPr>
        <w:spacing w:line="500" w:lineRule="exact"/>
        <w:ind w:firstLine="420"/>
        <w:rPr>
          <w:rFonts w:hint="eastAsia"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pPr>
        <w:spacing w:line="500" w:lineRule="exact"/>
        <w:jc w:val="center"/>
        <w:rPr>
          <w:rFonts w:hint="eastAsia" w:ascii="宋体" w:hAnsi="宋体"/>
          <w:b/>
          <w:sz w:val="24"/>
          <w:szCs w:val="24"/>
        </w:rPr>
      </w:pPr>
      <w:r>
        <w:rPr>
          <w:rFonts w:hint="eastAsia" w:ascii="宋体" w:hAnsi="宋体"/>
          <w:b/>
          <w:sz w:val="24"/>
          <w:szCs w:val="24"/>
        </w:rPr>
        <w:t>C  投标文件</w:t>
      </w:r>
    </w:p>
    <w:p>
      <w:pPr>
        <w:spacing w:line="50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7、投标文件语言和计量单位</w:t>
      </w:r>
    </w:p>
    <w:p>
      <w:pPr>
        <w:pStyle w:val="14"/>
        <w:rPr>
          <w:rFonts w:hint="eastAsia" w:ascii="宋体" w:hAnsi="宋体"/>
          <w:sz w:val="24"/>
          <w:szCs w:val="24"/>
        </w:rPr>
      </w:pPr>
      <w:r>
        <w:rPr>
          <w:rFonts w:hint="eastAsia" w:ascii="宋体" w:hAnsi="宋体"/>
          <w:sz w:val="24"/>
          <w:szCs w:val="24"/>
        </w:rPr>
        <w:t xml:space="preserve"> 7．1投标文件应用中文书写。投标文件中所附或所引用的原件不是中文时，应附中文译本。</w:t>
      </w:r>
    </w:p>
    <w:p>
      <w:pPr>
        <w:pStyle w:val="14"/>
        <w:ind w:firstLine="480" w:firstLineChars="200"/>
        <w:rPr>
          <w:rFonts w:hint="eastAsia" w:ascii="宋体" w:hAnsi="宋体"/>
          <w:sz w:val="24"/>
          <w:szCs w:val="24"/>
        </w:rPr>
      </w:pPr>
      <w:r>
        <w:rPr>
          <w:rFonts w:hint="eastAsia" w:ascii="宋体" w:hAnsi="宋体"/>
          <w:sz w:val="24"/>
          <w:szCs w:val="24"/>
        </w:rPr>
        <w:t>7．2投标文件中所使用的计量单位，除招标文件中有特殊要求外，应采用国家法定计量单位。</w:t>
      </w:r>
    </w:p>
    <w:p>
      <w:pPr>
        <w:spacing w:line="500" w:lineRule="exact"/>
        <w:ind w:firstLine="420"/>
        <w:rPr>
          <w:rFonts w:hint="eastAsia" w:ascii="宋体" w:hAnsi="宋体"/>
          <w:sz w:val="24"/>
          <w:szCs w:val="24"/>
        </w:rPr>
      </w:pPr>
      <w:r>
        <w:rPr>
          <w:rFonts w:hint="eastAsia" w:ascii="宋体" w:hAnsi="宋体"/>
          <w:sz w:val="24"/>
          <w:szCs w:val="24"/>
        </w:rPr>
        <w:t xml:space="preserve"> 8、投标文件的制作</w:t>
      </w:r>
    </w:p>
    <w:p>
      <w:pPr>
        <w:spacing w:line="500" w:lineRule="exact"/>
        <w:ind w:firstLine="540" w:firstLineChars="225"/>
        <w:rPr>
          <w:rFonts w:hint="eastAsia" w:ascii="宋体" w:hAnsi="宋体"/>
          <w:sz w:val="24"/>
          <w:szCs w:val="24"/>
        </w:rPr>
      </w:pPr>
      <w:r>
        <w:rPr>
          <w:rFonts w:hint="eastAsia" w:ascii="宋体" w:hAnsi="宋体"/>
          <w:sz w:val="24"/>
          <w:szCs w:val="24"/>
        </w:rPr>
        <w:t>8．1投标文件按招标文件要求制作、编码、装订成册。</w:t>
      </w:r>
    </w:p>
    <w:p>
      <w:pPr>
        <w:tabs>
          <w:tab w:val="left" w:pos="0"/>
        </w:tabs>
        <w:spacing w:line="500" w:lineRule="exact"/>
        <w:rPr>
          <w:rFonts w:hint="eastAsia" w:ascii="宋体" w:hAnsi="宋体"/>
          <w:sz w:val="24"/>
          <w:szCs w:val="24"/>
        </w:rPr>
      </w:pPr>
      <w:r>
        <w:rPr>
          <w:rFonts w:hint="eastAsia" w:ascii="宋体" w:hAnsi="宋体"/>
          <w:sz w:val="24"/>
          <w:szCs w:val="24"/>
        </w:rPr>
        <w:tab/>
      </w:r>
      <w:r>
        <w:rPr>
          <w:rFonts w:hint="eastAsia" w:ascii="宋体" w:hAnsi="宋体"/>
          <w:sz w:val="24"/>
          <w:szCs w:val="24"/>
        </w:rPr>
        <w:t>8.2投标文件附件由投标人视情自行编制。</w:t>
      </w:r>
    </w:p>
    <w:p>
      <w:pPr>
        <w:numPr>
          <w:ilvl w:val="0"/>
          <w:numId w:val="16"/>
        </w:numPr>
        <w:tabs>
          <w:tab w:val="left" w:pos="0"/>
        </w:tabs>
        <w:spacing w:line="500" w:lineRule="exact"/>
        <w:ind w:firstLine="420"/>
        <w:rPr>
          <w:rFonts w:hint="eastAsia" w:ascii="宋体" w:hAnsi="宋体"/>
          <w:sz w:val="24"/>
          <w:szCs w:val="24"/>
        </w:rPr>
      </w:pPr>
      <w:r>
        <w:rPr>
          <w:rFonts w:hint="eastAsia" w:ascii="宋体" w:hAnsi="宋体"/>
          <w:sz w:val="24"/>
          <w:szCs w:val="24"/>
        </w:rPr>
        <w:t>投标文件电子文档（用于存档、查询等）</w:t>
      </w:r>
    </w:p>
    <w:p>
      <w:pPr>
        <w:tabs>
          <w:tab w:val="left" w:pos="0"/>
        </w:tabs>
        <w:spacing w:line="500" w:lineRule="exact"/>
        <w:rPr>
          <w:rFonts w:hint="eastAsia" w:ascii="宋体" w:hAnsi="宋体"/>
          <w:sz w:val="24"/>
          <w:szCs w:val="24"/>
        </w:rPr>
      </w:pPr>
      <w:r>
        <w:rPr>
          <w:rFonts w:hint="eastAsia" w:ascii="宋体" w:hAnsi="宋体"/>
          <w:sz w:val="24"/>
          <w:szCs w:val="24"/>
        </w:rPr>
        <w:tab/>
      </w:r>
      <w:r>
        <w:rPr>
          <w:rFonts w:hint="eastAsia" w:ascii="宋体" w:hAnsi="宋体"/>
          <w:sz w:val="24"/>
          <w:szCs w:val="24"/>
        </w:rPr>
        <w:t>投标文件电子文档按照“投标人须知资料表”要求提供，一般提供WORD格式（无需盖章），有关资质证书和检测报告提供扫描件等图片，请以U盘或光盘等存储介质单独密封提交(封面注明“投标文件电子文档”及项目编号、项目名称、投标人名称)。</w:t>
      </w:r>
    </w:p>
    <w:p>
      <w:pPr>
        <w:tabs>
          <w:tab w:val="left" w:pos="0"/>
        </w:tabs>
        <w:spacing w:line="500" w:lineRule="exact"/>
        <w:ind w:firstLine="420"/>
        <w:rPr>
          <w:rFonts w:hint="eastAsia" w:ascii="宋体" w:hAnsi="宋体"/>
          <w:sz w:val="24"/>
          <w:szCs w:val="24"/>
        </w:rPr>
      </w:pPr>
      <w:r>
        <w:rPr>
          <w:rFonts w:hint="eastAsia" w:ascii="宋体" w:hAnsi="宋体"/>
          <w:sz w:val="24"/>
          <w:szCs w:val="24"/>
        </w:rPr>
        <w:tab/>
      </w:r>
      <w:r>
        <w:rPr>
          <w:rFonts w:hint="eastAsia" w:ascii="宋体" w:hAnsi="宋体"/>
          <w:sz w:val="24"/>
          <w:szCs w:val="24"/>
        </w:rPr>
        <w:t xml:space="preserve"> 10、投标报价</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10．1投标人要按投标产品数量、价格表的内容要求完整填写。</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10．2对于非标准产品的投标，还应填报报价明细表（报价明细表格式由投标人自行设计）。</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10．3所有投标均以人民币报价，投标人如需用外汇购入某些投标产品，须折合人民币计入总报价中，同时提供美金报价、折扣率、与人民币比值。</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10．4除招标文件中有特殊规定外，招标人不接受任何选择报价，投标人对每一种产品只允许有一个报价。</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10．5最低报价不能作为中标的保证。</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11、投标保证金</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11．1投标人应按“投标人须知资料表”规定提供投标保证金。</w:t>
      </w:r>
    </w:p>
    <w:p>
      <w:pPr>
        <w:tabs>
          <w:tab w:val="left" w:pos="0"/>
        </w:tabs>
        <w:spacing w:line="500" w:lineRule="exact"/>
        <w:rPr>
          <w:rFonts w:hint="eastAsia" w:ascii="宋体" w:hAnsi="宋体"/>
          <w:sz w:val="24"/>
          <w:szCs w:val="24"/>
        </w:rPr>
      </w:pPr>
      <w:r>
        <w:rPr>
          <w:rFonts w:hint="eastAsia" w:ascii="宋体" w:hAnsi="宋体"/>
          <w:sz w:val="24"/>
          <w:szCs w:val="24"/>
        </w:rPr>
        <w:tab/>
      </w:r>
      <w:r>
        <w:rPr>
          <w:rFonts w:hint="eastAsia" w:ascii="宋体" w:hAnsi="宋体"/>
          <w:sz w:val="24"/>
          <w:szCs w:val="24"/>
        </w:rPr>
        <w:t>11．2投标保证金缴纳不接受现金，可采用下列形式之一：</w:t>
      </w:r>
    </w:p>
    <w:p>
      <w:pPr>
        <w:numPr>
          <w:ilvl w:val="0"/>
          <w:numId w:val="17"/>
        </w:numPr>
        <w:tabs>
          <w:tab w:val="left" w:pos="0"/>
        </w:tabs>
        <w:spacing w:line="500" w:lineRule="exact"/>
        <w:ind w:left="0" w:firstLine="420"/>
        <w:rPr>
          <w:rFonts w:hint="eastAsia" w:ascii="宋体" w:hAnsi="宋体"/>
          <w:sz w:val="24"/>
          <w:szCs w:val="24"/>
        </w:rPr>
      </w:pPr>
      <w:r>
        <w:rPr>
          <w:rFonts w:hint="eastAsia" w:ascii="宋体" w:hAnsi="宋体"/>
          <w:sz w:val="24"/>
          <w:szCs w:val="24"/>
        </w:rPr>
        <w:t>电汇、支票、或网上银行转帐</w:t>
      </w:r>
    </w:p>
    <w:p>
      <w:pPr>
        <w:spacing w:line="500" w:lineRule="exact"/>
        <w:ind w:firstLine="420" w:firstLineChars="175"/>
        <w:rPr>
          <w:rFonts w:hint="eastAsia" w:ascii="宋体" w:hAnsi="宋体"/>
          <w:sz w:val="24"/>
          <w:szCs w:val="24"/>
        </w:rPr>
      </w:pPr>
      <w:r>
        <w:rPr>
          <w:rFonts w:hint="eastAsia" w:ascii="宋体" w:hAnsi="宋体"/>
          <w:sz w:val="24"/>
          <w:szCs w:val="24"/>
        </w:rPr>
        <w:t>在投标截止时前，由投标人银行账户转账方式缴付到宁波市政府采购中心指定帐户，投标时凭银行回执复印件出具收据。</w:t>
      </w:r>
    </w:p>
    <w:p>
      <w:pPr>
        <w:numPr>
          <w:ilvl w:val="0"/>
          <w:numId w:val="17"/>
        </w:numPr>
        <w:tabs>
          <w:tab w:val="left" w:pos="0"/>
        </w:tabs>
        <w:spacing w:line="500" w:lineRule="exact"/>
        <w:ind w:left="0" w:firstLine="420"/>
        <w:rPr>
          <w:rFonts w:hint="eastAsia" w:ascii="宋体" w:hAnsi="宋体"/>
          <w:sz w:val="24"/>
          <w:szCs w:val="24"/>
        </w:rPr>
      </w:pPr>
      <w:r>
        <w:rPr>
          <w:rFonts w:hint="eastAsia" w:ascii="宋体" w:hAnsi="宋体"/>
          <w:sz w:val="24"/>
          <w:szCs w:val="24"/>
        </w:rPr>
        <w:t>保函（统一格式）</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有效期应比投标文件的有效期长30天，投标商在投标时单独提交原件1份，复印件装订在投标文件内。</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11．3投标保证金退还条件。</w:t>
      </w:r>
    </w:p>
    <w:p>
      <w:pPr>
        <w:numPr>
          <w:ilvl w:val="0"/>
          <w:numId w:val="18"/>
        </w:numPr>
        <w:tabs>
          <w:tab w:val="left" w:pos="0"/>
        </w:tabs>
        <w:spacing w:line="500" w:lineRule="exact"/>
        <w:ind w:firstLine="420"/>
        <w:rPr>
          <w:rFonts w:hint="eastAsia" w:ascii="宋体" w:hAnsi="宋体"/>
          <w:sz w:val="24"/>
          <w:szCs w:val="24"/>
        </w:rPr>
      </w:pPr>
      <w:r>
        <w:rPr>
          <w:rFonts w:hint="eastAsia" w:ascii="宋体" w:hAnsi="宋体"/>
          <w:sz w:val="24"/>
          <w:szCs w:val="24"/>
        </w:rPr>
        <w:t>中标方的投标保证金在与买方签订合同并提交履约保证金后。</w:t>
      </w:r>
    </w:p>
    <w:p>
      <w:pPr>
        <w:numPr>
          <w:ilvl w:val="0"/>
          <w:numId w:val="18"/>
        </w:numPr>
        <w:tabs>
          <w:tab w:val="left" w:pos="0"/>
        </w:tabs>
        <w:spacing w:line="500" w:lineRule="exact"/>
        <w:ind w:firstLine="420"/>
        <w:rPr>
          <w:rFonts w:hint="eastAsia" w:ascii="宋体" w:hAnsi="宋体"/>
          <w:sz w:val="24"/>
          <w:szCs w:val="24"/>
        </w:rPr>
      </w:pPr>
      <w:r>
        <w:rPr>
          <w:rFonts w:hint="eastAsia" w:ascii="宋体" w:hAnsi="宋体"/>
          <w:sz w:val="24"/>
          <w:szCs w:val="24"/>
        </w:rPr>
        <w:t>未中标投标人的投标保证金在中标结果公告后。</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11．4投标人在符合退还条件并向招标人提交《保证金退还申请表》后5个工作日内以转帐方式无息退还投标保证金。</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11．5发生下列情况之一，保证金将作为违约金全部不予退还。</w:t>
      </w:r>
    </w:p>
    <w:p>
      <w:pPr>
        <w:numPr>
          <w:ilvl w:val="0"/>
          <w:numId w:val="19"/>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《政府采购法》第77条规定之情形的。</w:t>
      </w:r>
    </w:p>
    <w:p>
      <w:pPr>
        <w:numPr>
          <w:ilvl w:val="0"/>
          <w:numId w:val="19"/>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在投标截止时间后，投标人撤回其投标。</w:t>
      </w:r>
    </w:p>
    <w:p>
      <w:pPr>
        <w:numPr>
          <w:ilvl w:val="0"/>
          <w:numId w:val="19"/>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中标方不按本须知第25条规定签约。</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12、投标文件的有效期、签署及规定</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12．1在投标有效期内，投标文件应保持有效。</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12．2在特殊情况下，招标人可与投标人协商延长投标标书的有效期。这种要求和答复都应以书面的形式进行。投标保证金的有效期也相应延长。投标人可以拒绝接受延期要求而不致被没收保证金。同意延长有效期的投标人不能修改投标文件。</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12．3投标文件的正本必须以不褪色的墨水填写或打印，注明“正本”字样，副本可用复印件。</w:t>
      </w:r>
    </w:p>
    <w:p>
      <w:pPr>
        <w:tabs>
          <w:tab w:val="left" w:pos="0"/>
        </w:tabs>
        <w:spacing w:line="500" w:lineRule="exact"/>
        <w:ind w:firstLine="420"/>
        <w:rPr>
          <w:rFonts w:ascii="宋体" w:hAnsi="宋体"/>
          <w:sz w:val="24"/>
          <w:szCs w:val="24"/>
        </w:rPr>
      </w:pPr>
      <w:r>
        <w:rPr>
          <w:rFonts w:hint="eastAsia" w:ascii="宋体" w:hAnsi="宋体"/>
          <w:sz w:val="24"/>
          <w:szCs w:val="24"/>
        </w:rPr>
        <w:t xml:space="preserve"> 12．4投标文件的正、副本份数按“投标人须知资料表”中规定。如果正本与副本不符，以正本为准。</w:t>
      </w:r>
    </w:p>
    <w:p>
      <w:pPr>
        <w:tabs>
          <w:tab w:val="left" w:pos="0"/>
        </w:tabs>
        <w:spacing w:line="500" w:lineRule="exact"/>
        <w:rPr>
          <w:rFonts w:hint="eastAsia" w:ascii="宋体" w:hAnsi="宋体"/>
          <w:sz w:val="24"/>
          <w:szCs w:val="24"/>
        </w:rPr>
      </w:pPr>
      <w:r>
        <w:rPr>
          <w:rFonts w:hint="eastAsia" w:ascii="宋体" w:hAnsi="宋体"/>
          <w:sz w:val="24"/>
          <w:szCs w:val="24"/>
        </w:rPr>
        <w:t xml:space="preserve">    </w:t>
      </w:r>
      <w:r>
        <w:rPr>
          <w:rFonts w:ascii="宋体" w:hAnsi="宋体"/>
          <w:sz w:val="24"/>
          <w:szCs w:val="24"/>
        </w:rPr>
        <w:t>12</w:t>
      </w:r>
      <w:r>
        <w:rPr>
          <w:rFonts w:hint="eastAsia" w:ascii="宋体" w:hAnsi="宋体"/>
          <w:sz w:val="24"/>
          <w:szCs w:val="24"/>
        </w:rPr>
        <w:t>．5投标文件必须由法定代表人或授权代表以不褪色的墨水签署。</w:t>
      </w:r>
    </w:p>
    <w:p>
      <w:pPr>
        <w:tabs>
          <w:tab w:val="left" w:pos="0"/>
        </w:tabs>
        <w:spacing w:line="500" w:lineRule="exact"/>
        <w:rPr>
          <w:rFonts w:hint="eastAsia" w:ascii="宋体" w:hAnsi="宋体"/>
          <w:sz w:val="24"/>
          <w:szCs w:val="24"/>
        </w:rPr>
      </w:pPr>
      <w:r>
        <w:rPr>
          <w:rFonts w:hint="eastAsia" w:ascii="宋体" w:hAnsi="宋体"/>
          <w:sz w:val="24"/>
          <w:szCs w:val="24"/>
        </w:rPr>
        <w:tab/>
      </w:r>
      <w:r>
        <w:rPr>
          <w:rFonts w:hint="eastAsia" w:ascii="宋体" w:hAnsi="宋体"/>
          <w:sz w:val="24"/>
          <w:szCs w:val="24"/>
        </w:rPr>
        <w:t xml:space="preserve"> </w:t>
      </w:r>
      <w:r>
        <w:rPr>
          <w:rFonts w:ascii="宋体" w:hAnsi="宋体"/>
          <w:sz w:val="24"/>
          <w:szCs w:val="24"/>
        </w:rPr>
        <w:t>12</w:t>
      </w:r>
      <w:r>
        <w:rPr>
          <w:rFonts w:hint="eastAsia" w:ascii="宋体" w:hAnsi="宋体"/>
          <w:sz w:val="24"/>
          <w:szCs w:val="24"/>
        </w:rPr>
        <w:t>．6投标文件不得涂改和增删，如有修改错漏处，必须由同一签署人签字或盖章。因字迹潦草或表达不清所引起的后果由投标人负责。</w:t>
      </w:r>
    </w:p>
    <w:p>
      <w:pPr>
        <w:tabs>
          <w:tab w:val="left" w:pos="0"/>
        </w:tabs>
        <w:spacing w:line="500" w:lineRule="exact"/>
        <w:rPr>
          <w:rFonts w:hint="eastAsia" w:ascii="宋体" w:hAnsi="宋体"/>
          <w:sz w:val="24"/>
          <w:szCs w:val="24"/>
        </w:rPr>
      </w:pPr>
      <w:r>
        <w:rPr>
          <w:rFonts w:hint="eastAsia" w:ascii="宋体" w:hAnsi="宋体"/>
          <w:sz w:val="24"/>
          <w:szCs w:val="24"/>
        </w:rPr>
        <w:t xml:space="preserve">     12.7除采购需求说明要求另行提供原件审查外，投标人</w:t>
      </w:r>
      <w:r>
        <w:rPr>
          <w:rFonts w:hint="eastAsia" w:ascii="宋体" w:hAnsi="宋体"/>
          <w:color w:val="000000"/>
          <w:sz w:val="24"/>
        </w:rPr>
        <w:t>在投标文件所提供的资格、技术审查所需证明材料复印件应清晰、完整，否则后果由投标人自负。</w:t>
      </w:r>
    </w:p>
    <w:p>
      <w:pPr>
        <w:tabs>
          <w:tab w:val="left" w:pos="0"/>
        </w:tabs>
        <w:spacing w:line="500" w:lineRule="exact"/>
        <w:ind w:firstLine="420"/>
        <w:jc w:val="center"/>
        <w:rPr>
          <w:rFonts w:hint="eastAsia" w:ascii="宋体" w:hAnsi="宋体"/>
          <w:b/>
          <w:sz w:val="24"/>
          <w:szCs w:val="24"/>
        </w:rPr>
      </w:pPr>
      <w:r>
        <w:rPr>
          <w:rFonts w:hint="eastAsia" w:ascii="宋体" w:hAnsi="宋体"/>
          <w:b/>
          <w:sz w:val="24"/>
          <w:szCs w:val="24"/>
        </w:rPr>
        <w:t>D投标文件的递交</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13、投标文件的密封及递交</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13．1投标文件应按以下方法分别装袋密封：</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13．1．1投标文件正本密封袋内装投标文件正本。封口处应有法定代表人或者投标人代表的签字（签章），或者投标人公章。封皮上写明采购编号、招标项目名称、投标人名称，并注明“投标文件正本”字样。</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13．1．2投标文件副本密封袋内装投标文件副本。封口处应有法定代表人或者投标人代表的签字（签章），或者投标人公章。封皮上写明采购编号、招标项目名称、投标人名称，并注明“投标文件副本”字样。</w:t>
      </w:r>
    </w:p>
    <w:p>
      <w:pPr>
        <w:tabs>
          <w:tab w:val="left" w:pos="0"/>
        </w:tabs>
        <w:spacing w:line="500" w:lineRule="exact"/>
        <w:ind w:firstLine="420"/>
        <w:rPr>
          <w:rFonts w:hint="eastAsia" w:ascii="宋体" w:hAnsi="宋体"/>
          <w:sz w:val="24"/>
          <w:szCs w:val="24"/>
        </w:rPr>
      </w:pPr>
      <w:r>
        <w:rPr>
          <w:rFonts w:hint="eastAsia" w:ascii="宋体" w:hAnsi="宋体"/>
          <w:sz w:val="24"/>
          <w:szCs w:val="24"/>
        </w:rPr>
        <w:tab/>
      </w:r>
      <w:r>
        <w:rPr>
          <w:rFonts w:hint="eastAsia" w:ascii="宋体" w:hAnsi="宋体"/>
          <w:sz w:val="24"/>
          <w:szCs w:val="24"/>
        </w:rPr>
        <w:t xml:space="preserve"> 13．1．3电子文档（如果要求提交）须单独密封，封口处应有法定代表人或投标人代表的签字或投标人公章。封皮上写明项目编号、项目名称及投标人全称，并注明“电子文档”字样。</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13．2 如果投标人未按上述要求密封及加写标记，招标人对投标文件的误投和提前启封概不负责。</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13．3投标文件必须在投标截止时间前派人送达到指定的投标地点，在投标截止时间以后送达的投标文件，招标人拒绝接收。</w:t>
      </w:r>
    </w:p>
    <w:p>
      <w:pPr>
        <w:tabs>
          <w:tab w:val="left" w:pos="0"/>
        </w:tabs>
        <w:spacing w:line="500" w:lineRule="exact"/>
        <w:ind w:firstLine="570"/>
        <w:rPr>
          <w:rFonts w:hint="eastAsia" w:ascii="宋体" w:hAnsi="宋体"/>
          <w:sz w:val="24"/>
          <w:szCs w:val="24"/>
        </w:rPr>
      </w:pPr>
      <w:r>
        <w:rPr>
          <w:rFonts w:hint="eastAsia" w:ascii="宋体" w:hAnsi="宋体"/>
          <w:sz w:val="24"/>
          <w:szCs w:val="24"/>
        </w:rPr>
        <w:t>14．投标文件的补充、修改和撤回</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14．1</w:t>
      </w:r>
      <w:r>
        <w:rPr>
          <w:rFonts w:hint="eastAsia" w:ascii="宋体" w:hAnsi="宋体"/>
          <w:b/>
          <w:bCs/>
          <w:sz w:val="24"/>
          <w:szCs w:val="24"/>
        </w:rPr>
        <w:t>投标文件提交以后，投标文件不得更换。</w:t>
      </w:r>
      <w:r>
        <w:rPr>
          <w:rFonts w:hint="eastAsia" w:ascii="宋体" w:hAnsi="宋体"/>
          <w:sz w:val="24"/>
          <w:szCs w:val="24"/>
        </w:rPr>
        <w:t>如果投标人提出书面修改和撤销投标要求，在投标截止时间前送达招标人者有效。</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14．2投标人补充、修改投标文件的书面村料，须密封送达招标人，同时应在封皮上注明“补充、修改投标文件（并注明采购编号）”字样。</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14．3撤回投标应以加盖投标人公章的书面（或传真、电子图片）形式通知招标人，投标文件予以退还。如采取传真（电子图片）形式撤回投标，随后必须补充正式纸质文件。</w:t>
      </w:r>
      <w:r>
        <w:rPr>
          <w:rFonts w:hint="eastAsia" w:ascii="宋体" w:hAnsi="宋体"/>
          <w:b/>
          <w:bCs/>
          <w:sz w:val="24"/>
          <w:szCs w:val="24"/>
        </w:rPr>
        <w:t>撤回投标后，不得再参加本次投标。</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14．4  投标截止时间后投标人不得撤销投标。</w:t>
      </w:r>
    </w:p>
    <w:p>
      <w:pPr>
        <w:tabs>
          <w:tab w:val="left" w:pos="0"/>
        </w:tabs>
        <w:spacing w:line="500" w:lineRule="exact"/>
        <w:ind w:firstLine="420"/>
        <w:jc w:val="center"/>
        <w:rPr>
          <w:rFonts w:hint="eastAsia" w:ascii="宋体" w:hAnsi="宋体"/>
          <w:b/>
          <w:sz w:val="24"/>
          <w:szCs w:val="24"/>
        </w:rPr>
      </w:pPr>
      <w:r>
        <w:rPr>
          <w:rFonts w:hint="eastAsia" w:ascii="宋体" w:hAnsi="宋体"/>
          <w:b/>
          <w:sz w:val="24"/>
          <w:szCs w:val="24"/>
        </w:rPr>
        <w:t>E  开标及评标</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15．开标</w:t>
      </w:r>
    </w:p>
    <w:p>
      <w:pPr>
        <w:tabs>
          <w:tab w:val="left" w:pos="0"/>
        </w:tabs>
        <w:spacing w:line="500" w:lineRule="exact"/>
        <w:ind w:firstLine="480"/>
        <w:rPr>
          <w:rFonts w:hint="eastAsia" w:ascii="宋体" w:hAnsi="宋体"/>
          <w:sz w:val="24"/>
          <w:szCs w:val="24"/>
        </w:rPr>
      </w:pPr>
      <w:r>
        <w:rPr>
          <w:rFonts w:hint="eastAsia" w:ascii="宋体" w:hAnsi="宋体"/>
          <w:sz w:val="24"/>
          <w:szCs w:val="24"/>
        </w:rPr>
        <w:t>15．1  投标人授权代表应参加开标仪式并签到，需要参加项目讲标（答辩）的，原则上不超过三人，并在投标时提供参会人员名单。</w:t>
      </w:r>
    </w:p>
    <w:p>
      <w:pPr>
        <w:tabs>
          <w:tab w:val="left" w:pos="0"/>
        </w:tabs>
        <w:spacing w:line="500" w:lineRule="exact"/>
        <w:ind w:firstLine="480"/>
        <w:rPr>
          <w:rFonts w:hint="eastAsia" w:ascii="宋体" w:hAnsi="宋体"/>
          <w:sz w:val="24"/>
          <w:szCs w:val="24"/>
        </w:rPr>
      </w:pPr>
      <w:r>
        <w:rPr>
          <w:rFonts w:hint="eastAsia" w:ascii="宋体" w:hAnsi="宋体"/>
          <w:sz w:val="24"/>
          <w:szCs w:val="24"/>
        </w:rPr>
        <w:t>15．2  招标人按招标文件规定的时间、地点主持公开开标。开标仪式由招标人主持，采购人、投标人和有关方面代表参加。</w:t>
      </w:r>
    </w:p>
    <w:p>
      <w:pPr>
        <w:tabs>
          <w:tab w:val="left" w:pos="0"/>
        </w:tabs>
        <w:spacing w:line="500" w:lineRule="exact"/>
        <w:ind w:firstLine="480"/>
        <w:rPr>
          <w:rFonts w:hint="eastAsia" w:ascii="宋体" w:hAnsi="宋体"/>
          <w:sz w:val="24"/>
          <w:szCs w:val="24"/>
        </w:rPr>
      </w:pPr>
      <w:r>
        <w:rPr>
          <w:rFonts w:hint="eastAsia" w:ascii="宋体" w:hAnsi="宋体"/>
          <w:sz w:val="24"/>
          <w:szCs w:val="24"/>
        </w:rPr>
        <w:t>15．3  开标程序</w:t>
      </w:r>
    </w:p>
    <w:p>
      <w:pPr>
        <w:tabs>
          <w:tab w:val="left" w:pos="0"/>
        </w:tabs>
        <w:spacing w:line="500" w:lineRule="exact"/>
        <w:ind w:firstLine="480"/>
        <w:rPr>
          <w:rFonts w:hint="eastAsia" w:ascii="宋体" w:hAnsi="宋体"/>
          <w:sz w:val="24"/>
        </w:rPr>
      </w:pPr>
      <w:r>
        <w:rPr>
          <w:rFonts w:hint="eastAsia" w:ascii="宋体" w:hAnsi="宋体"/>
          <w:sz w:val="24"/>
          <w:szCs w:val="24"/>
        </w:rPr>
        <w:t>15.3.1</w:t>
      </w:r>
      <w:r>
        <w:rPr>
          <w:rFonts w:hint="eastAsia" w:ascii="宋体" w:hAnsi="宋体"/>
          <w:sz w:val="24"/>
        </w:rPr>
        <w:t>开标时间到，</w:t>
      </w:r>
      <w:r>
        <w:rPr>
          <w:rFonts w:hint="eastAsia" w:ascii="宋体" w:hAnsi="宋体"/>
          <w:sz w:val="24"/>
          <w:szCs w:val="24"/>
        </w:rPr>
        <w:t>唱标人宣布会议开始和开标纪律</w:t>
      </w:r>
      <w:r>
        <w:rPr>
          <w:rFonts w:hint="eastAsia" w:ascii="宋体" w:hAnsi="宋体"/>
          <w:sz w:val="24"/>
        </w:rPr>
        <w:t>，公布揭标人、唱标人、记录人、公证人员（如委托）等有关工作人员名单。</w:t>
      </w:r>
    </w:p>
    <w:p>
      <w:pPr>
        <w:tabs>
          <w:tab w:val="left" w:pos="0"/>
        </w:tabs>
        <w:spacing w:line="500" w:lineRule="exact"/>
        <w:ind w:firstLine="480"/>
        <w:rPr>
          <w:rFonts w:hint="eastAsia" w:ascii="宋体" w:hAnsi="宋体"/>
          <w:sz w:val="24"/>
        </w:rPr>
      </w:pPr>
      <w:r>
        <w:rPr>
          <w:rFonts w:hint="eastAsia" w:ascii="宋体" w:hAnsi="宋体"/>
          <w:sz w:val="24"/>
        </w:rPr>
        <w:t>15.3.2</w:t>
      </w:r>
      <w:r>
        <w:rPr>
          <w:rFonts w:hint="eastAsia" w:ascii="宋体" w:hAnsi="宋体"/>
          <w:sz w:val="24"/>
          <w:szCs w:val="24"/>
        </w:rPr>
        <w:t>唱标人</w:t>
      </w:r>
      <w:r>
        <w:rPr>
          <w:rFonts w:hint="eastAsia" w:ascii="宋体" w:hAnsi="宋体"/>
          <w:sz w:val="24"/>
        </w:rPr>
        <w:t>根据“供应商投标登记表”宣布参加投标的供应商数量。</w:t>
      </w:r>
    </w:p>
    <w:p>
      <w:pPr>
        <w:tabs>
          <w:tab w:val="left" w:pos="0"/>
        </w:tabs>
        <w:spacing w:line="500" w:lineRule="exact"/>
        <w:ind w:firstLine="480"/>
        <w:rPr>
          <w:rFonts w:hint="eastAsia" w:ascii="宋体" w:hAnsi="宋体"/>
          <w:sz w:val="24"/>
          <w:szCs w:val="24"/>
        </w:rPr>
      </w:pPr>
      <w:r>
        <w:rPr>
          <w:rFonts w:hint="eastAsia" w:ascii="宋体" w:hAnsi="宋体"/>
          <w:sz w:val="24"/>
          <w:szCs w:val="24"/>
        </w:rPr>
        <w:t>15.3.3</w:t>
      </w:r>
      <w:r>
        <w:rPr>
          <w:rFonts w:hint="eastAsia" w:ascii="宋体" w:hAnsi="宋体"/>
          <w:sz w:val="24"/>
        </w:rPr>
        <w:t>由公证人员或按“供应商投标登记表”顺序</w:t>
      </w:r>
      <w:r>
        <w:rPr>
          <w:rFonts w:hint="eastAsia" w:ascii="宋体" w:hAnsi="宋体"/>
          <w:b/>
          <w:bCs/>
          <w:sz w:val="24"/>
        </w:rPr>
        <w:t>前2名的投标人代表</w:t>
      </w:r>
      <w:r>
        <w:rPr>
          <w:rFonts w:hint="eastAsia" w:ascii="宋体" w:hAnsi="宋体"/>
          <w:sz w:val="24"/>
        </w:rPr>
        <w:t>查验投标文件是否密封，密封有问题的投标人代表可以现场查验其投标文件是否与其提交时一致，有提前启封嫌疑的，开标暂停，报监管部门调查处理。</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15.3.4</w:t>
      </w:r>
      <w:r>
        <w:rPr>
          <w:rFonts w:hint="eastAsia" w:ascii="宋体" w:hAnsi="宋体"/>
          <w:sz w:val="24"/>
        </w:rPr>
        <w:t>揭标</w:t>
      </w:r>
      <w:r>
        <w:rPr>
          <w:rFonts w:hint="eastAsia" w:ascii="宋体" w:hAnsi="宋体"/>
          <w:sz w:val="24"/>
          <w:szCs w:val="24"/>
        </w:rPr>
        <w:t>人按照“供应商投标登记表”顺序当场逐个拆封投标文件，</w:t>
      </w:r>
      <w:r>
        <w:rPr>
          <w:rFonts w:hint="eastAsia" w:ascii="宋体" w:hAnsi="宋体"/>
          <w:sz w:val="24"/>
        </w:rPr>
        <w:t>唱标人</w:t>
      </w:r>
      <w:r>
        <w:rPr>
          <w:rFonts w:hint="eastAsia" w:ascii="宋体" w:hAnsi="宋体"/>
          <w:sz w:val="24"/>
          <w:szCs w:val="24"/>
        </w:rPr>
        <w:t>宣读《开标一览表》有关内容、以及投标修改撤回等情况，并由记录人做唱标记录，</w:t>
      </w:r>
      <w:r>
        <w:rPr>
          <w:rFonts w:hint="eastAsia" w:ascii="宋体" w:hAnsi="宋体"/>
          <w:sz w:val="24"/>
        </w:rPr>
        <w:t>揭标人、唱标人、记录人等有关人员对开标记录进行签字确认</w:t>
      </w:r>
      <w:r>
        <w:rPr>
          <w:rFonts w:hint="eastAsia" w:ascii="宋体" w:hAnsi="宋体"/>
          <w:sz w:val="24"/>
          <w:szCs w:val="24"/>
        </w:rPr>
        <w:t>。</w:t>
      </w:r>
    </w:p>
    <w:p>
      <w:pPr>
        <w:tabs>
          <w:tab w:val="left" w:pos="0"/>
        </w:tabs>
        <w:spacing w:line="500" w:lineRule="exact"/>
        <w:ind w:firstLine="420"/>
        <w:rPr>
          <w:rFonts w:hint="eastAsia" w:ascii="宋体" w:hAnsi="宋体"/>
          <w:sz w:val="24"/>
          <w:szCs w:val="24"/>
        </w:rPr>
      </w:pPr>
      <w:r>
        <w:rPr>
          <w:rFonts w:hint="eastAsia" w:ascii="宋体" w:hAnsi="宋体"/>
          <w:sz w:val="24"/>
          <w:szCs w:val="24"/>
        </w:rPr>
        <w:t>15.3.5开标活动委托公证的，公证人员对开标活动全过程进行公证记录，并提供公证词。</w:t>
      </w:r>
    </w:p>
    <w:p>
      <w:pPr>
        <w:tabs>
          <w:tab w:val="left" w:pos="0"/>
        </w:tabs>
        <w:spacing w:line="500" w:lineRule="exact"/>
        <w:ind w:firstLine="420"/>
        <w:rPr>
          <w:rFonts w:hint="eastAsia" w:ascii="宋体" w:hAnsi="宋体"/>
          <w:sz w:val="24"/>
          <w:szCs w:val="24"/>
        </w:rPr>
      </w:pPr>
      <w:r>
        <w:rPr>
          <w:rFonts w:hint="eastAsia" w:ascii="宋体" w:hAnsi="宋体"/>
          <w:sz w:val="24"/>
          <w:szCs w:val="24"/>
        </w:rPr>
        <w:t>15.3.6</w:t>
      </w:r>
      <w:r>
        <w:rPr>
          <w:rFonts w:hint="eastAsia" w:ascii="宋体" w:hAnsi="宋体"/>
          <w:sz w:val="24"/>
        </w:rPr>
        <w:t>唱标人</w:t>
      </w:r>
      <w:r>
        <w:rPr>
          <w:rFonts w:hint="eastAsia" w:ascii="宋体" w:hAnsi="宋体"/>
          <w:sz w:val="24"/>
          <w:szCs w:val="24"/>
        </w:rPr>
        <w:t>宣布开标会议结束，并保管好所有投标文件。</w:t>
      </w:r>
    </w:p>
    <w:p>
      <w:pPr>
        <w:tabs>
          <w:tab w:val="left" w:pos="0"/>
        </w:tabs>
        <w:spacing w:line="500" w:lineRule="exact"/>
        <w:ind w:firstLine="420"/>
        <w:rPr>
          <w:rFonts w:hint="eastAsia" w:ascii="宋体" w:hAnsi="宋体"/>
          <w:sz w:val="24"/>
          <w:szCs w:val="24"/>
        </w:rPr>
      </w:pPr>
      <w:r>
        <w:rPr>
          <w:rFonts w:hint="eastAsia" w:ascii="宋体" w:hAnsi="宋体"/>
          <w:sz w:val="24"/>
          <w:szCs w:val="24"/>
        </w:rPr>
        <w:t>16．对投标文件的初审</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16．1初审内容为投标文件是否符合招标文件的要求、内容是否完整、有无计算错误，文件签署是否齐全及验证保证金。</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16．2对价格错误，评审委员会按下述原则修正：</w:t>
      </w:r>
    </w:p>
    <w:p>
      <w:pPr>
        <w:numPr>
          <w:ilvl w:val="0"/>
          <w:numId w:val="20"/>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开标一览表与分项报价表等投标文件相应内容不一致的，以开标一览表为准；</w:t>
      </w:r>
    </w:p>
    <w:p>
      <w:pPr>
        <w:numPr>
          <w:ilvl w:val="0"/>
          <w:numId w:val="20"/>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大写金额与小写金额不一致的，以大写金额为准；</w:t>
      </w:r>
    </w:p>
    <w:p>
      <w:pPr>
        <w:numPr>
          <w:ilvl w:val="0"/>
          <w:numId w:val="20"/>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单价金额小数点或者百分比有明显错位的，以开标一览表的总价为准，并修改单价；</w:t>
      </w:r>
    </w:p>
    <w:p>
      <w:pPr>
        <w:numPr>
          <w:ilvl w:val="0"/>
          <w:numId w:val="20"/>
        </w:numPr>
        <w:tabs>
          <w:tab w:val="left" w:pos="0"/>
          <w:tab w:val="clear" w:pos="945"/>
        </w:tabs>
        <w:spacing w:line="500" w:lineRule="exact"/>
        <w:ind w:left="0" w:firstLine="420"/>
        <w:rPr>
          <w:rFonts w:hint="eastAsia" w:ascii="宋体" w:hAnsi="宋体"/>
          <w:sz w:val="24"/>
          <w:szCs w:val="24"/>
        </w:rPr>
      </w:pPr>
      <w:r>
        <w:rPr>
          <w:rFonts w:hint="eastAsia" w:ascii="宋体" w:hAnsi="宋体"/>
          <w:sz w:val="24"/>
          <w:szCs w:val="24"/>
        </w:rPr>
        <w:t>总价金额与按单价汇总金额不一致的，以单价金额计算结果为准；</w:t>
      </w:r>
    </w:p>
    <w:p>
      <w:pPr>
        <w:spacing w:line="500" w:lineRule="exact"/>
        <w:ind w:firstLine="480" w:firstLineChars="200"/>
        <w:rPr>
          <w:rFonts w:hint="eastAsia"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同时出现两种以上不一致的，按照前款规定的顺序修正。修正后的报价经投标人确认后产生约束力，投标人不确认的，其投标无效。</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16．3投标文件内容有歧义或不一致的，按不利于投标人作出认定。</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16．4招标人对投标文件的判定，只依据投标内容本身，不依靠开标后的任何外来证明。</w:t>
      </w:r>
    </w:p>
    <w:p>
      <w:pPr>
        <w:tabs>
          <w:tab w:val="left" w:pos="0"/>
        </w:tabs>
        <w:spacing w:line="500" w:lineRule="exact"/>
        <w:ind w:firstLine="540" w:firstLineChars="225"/>
        <w:rPr>
          <w:rFonts w:hint="eastAsia" w:ascii="宋体" w:hAnsi="宋体"/>
          <w:sz w:val="24"/>
          <w:szCs w:val="24"/>
        </w:rPr>
      </w:pPr>
      <w:r>
        <w:rPr>
          <w:rFonts w:hint="eastAsia" w:ascii="宋体" w:hAnsi="宋体"/>
          <w:sz w:val="24"/>
          <w:szCs w:val="24"/>
        </w:rPr>
        <w:t>17．讲标（答辩）及投标的澄清</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17.1需要讲标（答辩）的，招标人工作人员应核对投标人讲标（答辩）人员，依次逐个带领投标人代表进出讲标（答辩）场所。</w:t>
      </w:r>
    </w:p>
    <w:p>
      <w:pPr>
        <w:tabs>
          <w:tab w:val="left" w:pos="0"/>
        </w:tabs>
        <w:spacing w:line="500" w:lineRule="exact"/>
        <w:ind w:firstLine="420"/>
        <w:rPr>
          <w:rFonts w:hint="eastAsia" w:ascii="宋体" w:hAnsi="宋体"/>
          <w:sz w:val="24"/>
          <w:szCs w:val="24"/>
        </w:rPr>
      </w:pPr>
      <w:r>
        <w:rPr>
          <w:rFonts w:hint="eastAsia" w:ascii="宋体" w:hAnsi="宋体"/>
          <w:sz w:val="24"/>
          <w:szCs w:val="24"/>
        </w:rPr>
        <w:t>17．2招标人有权就投标文件中含混之处向投标人提出询问或澄清要求，投标人应当按照招标人通知的时间、地点进行答疑和澄清。</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17．3必要时招标人可要求投标人就澄清的问题作书面回答，该书面回答应有投标全权代表的签章，并将作为投标内容的一部分。</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17．4投标人对投标文件的澄清不得改变投标价格及实质内容。</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18．比较及评价</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18．1招标人根据招标产品特点组建评审委员会，对具备实质性响应的投标文件进行评估和比较。评审委员会由招标人、产品需求方、技术、经济、法律专家和其他有关方面的代表组成。</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18．2评标标准及评标方法详细见招标文件第二部分。</w:t>
      </w:r>
    </w:p>
    <w:p>
      <w:pPr>
        <w:spacing w:line="500" w:lineRule="exact"/>
        <w:rPr>
          <w:rFonts w:hint="eastAsia" w:ascii="宋体" w:hAnsi="宋体"/>
          <w:sz w:val="24"/>
          <w:szCs w:val="24"/>
        </w:rPr>
      </w:pPr>
      <w:r>
        <w:rPr>
          <w:rFonts w:hint="eastAsia" w:ascii="宋体" w:hAnsi="宋体"/>
          <w:sz w:val="24"/>
          <w:szCs w:val="24"/>
        </w:rPr>
        <w:t xml:space="preserve">     19．评标过程保密</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19．1开标之后，直到评标结束，凡是属于审查、澄清、评价和比较投标的有关资料以及授标意向等，均不得向投标人或其他无关的人员透露。</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19．</w:t>
      </w:r>
      <w:r>
        <w:rPr>
          <w:rFonts w:ascii="宋体" w:hAnsi="宋体"/>
          <w:sz w:val="24"/>
          <w:szCs w:val="24"/>
        </w:rPr>
        <w:t xml:space="preserve">2 </w:t>
      </w:r>
      <w:r>
        <w:rPr>
          <w:rFonts w:hint="eastAsia" w:ascii="宋体" w:hAnsi="宋体"/>
          <w:sz w:val="24"/>
          <w:szCs w:val="24"/>
        </w:rPr>
        <w:t>在评标期间，投标人企图影响招标人的任何活动，将导致投标被拒绝，并承担相应法律责任。</w:t>
      </w:r>
    </w:p>
    <w:p>
      <w:pPr>
        <w:tabs>
          <w:tab w:val="left" w:pos="0"/>
          <w:tab w:val="left" w:pos="3321"/>
        </w:tabs>
        <w:spacing w:line="500" w:lineRule="exact"/>
        <w:ind w:firstLine="420"/>
        <w:rPr>
          <w:rFonts w:hint="eastAsia" w:ascii="宋体" w:hAnsi="宋体"/>
          <w:b/>
          <w:sz w:val="24"/>
          <w:szCs w:val="24"/>
        </w:rPr>
      </w:pPr>
      <w:r>
        <w:rPr>
          <w:rFonts w:hint="eastAsia" w:ascii="宋体" w:hAnsi="宋体"/>
          <w:sz w:val="24"/>
          <w:szCs w:val="24"/>
        </w:rPr>
        <w:tab/>
      </w:r>
      <w:r>
        <w:rPr>
          <w:rFonts w:hint="eastAsia" w:ascii="宋体" w:hAnsi="宋体"/>
          <w:b/>
          <w:sz w:val="24"/>
          <w:szCs w:val="24"/>
        </w:rPr>
        <w:t>F  授予合同</w:t>
      </w:r>
    </w:p>
    <w:p>
      <w:pPr>
        <w:tabs>
          <w:tab w:val="left" w:pos="0"/>
        </w:tabs>
        <w:spacing w:line="500" w:lineRule="exact"/>
        <w:rPr>
          <w:rFonts w:hint="eastAsia" w:ascii="宋体" w:hAnsi="宋体"/>
          <w:sz w:val="24"/>
          <w:szCs w:val="24"/>
        </w:rPr>
      </w:pPr>
      <w:r>
        <w:rPr>
          <w:rFonts w:hint="eastAsia" w:ascii="宋体" w:hAnsi="宋体"/>
          <w:sz w:val="24"/>
          <w:szCs w:val="24"/>
        </w:rPr>
        <w:t xml:space="preserve">    20、公示及定标</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20．1评标结果公示。招标人在评标结束后，评标结果在政府采购监督管理部门指定媒体上公示，投标人可询问自身评审综合得分与排序。</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20．3接受最终审查的预中标方，应当予以配合并提供所需的有关资料。</w:t>
      </w:r>
    </w:p>
    <w:p>
      <w:pPr>
        <w:tabs>
          <w:tab w:val="left" w:pos="0"/>
        </w:tabs>
        <w:ind w:firstLine="420"/>
        <w:rPr>
          <w:rFonts w:hint="eastAsia" w:ascii="宋体" w:hAnsi="宋体"/>
          <w:sz w:val="24"/>
          <w:szCs w:val="24"/>
        </w:rPr>
      </w:pPr>
      <w:r>
        <w:rPr>
          <w:rFonts w:hint="eastAsia" w:ascii="宋体" w:hAnsi="宋体"/>
          <w:sz w:val="24"/>
          <w:szCs w:val="24"/>
        </w:rPr>
        <w:t xml:space="preserve"> 21．招标人在授标时有变更数量的权力</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在向投标人授予中标通知书时，招标人有权按有关规定变更数量和服务的内容。</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22．中标通知</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22．1在投标有效期内，招标人以书面形式（包括网站公布）通知所选定的中标方。</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22．2中标通知书将是合同的一个组成部分。</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23．签订合同</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23．1中标方应按规定的时间、地点与买方签订中标经济合同，否则按开标后撤回投标处理。</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23．2招标文件，中标方的投标文件及评标过程中有关澄清文件均应作为合同附件。</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24．履约保证金</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24．1中标方在收到中标通知书后，应在规定的时间内，向买方提供履约保证金，履约保证金金额不超过合同金额的5%。</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24．2中标方如未按第23</w:t>
      </w:r>
      <w:r>
        <w:rPr>
          <w:rFonts w:ascii="宋体" w:hAnsi="宋体"/>
          <w:sz w:val="24"/>
          <w:szCs w:val="24"/>
        </w:rPr>
        <w:t>.</w:t>
      </w:r>
      <w:r>
        <w:rPr>
          <w:rFonts w:hint="eastAsia" w:ascii="宋体" w:hAnsi="宋体"/>
          <w:sz w:val="24"/>
          <w:szCs w:val="24"/>
        </w:rPr>
        <w:t>1及24</w:t>
      </w:r>
      <w:r>
        <w:rPr>
          <w:rFonts w:ascii="宋体" w:hAnsi="宋体"/>
          <w:sz w:val="24"/>
          <w:szCs w:val="24"/>
        </w:rPr>
        <w:t>.</w:t>
      </w:r>
      <w:r>
        <w:rPr>
          <w:rFonts w:hint="eastAsia" w:ascii="宋体" w:hAnsi="宋体"/>
          <w:sz w:val="24"/>
          <w:szCs w:val="24"/>
        </w:rPr>
        <w:t>1条的规定办理，招标人有权撤销其中标资格并没收投标保证金。在这种情况下，招标人可另选中标方或另行招标。</w:t>
      </w:r>
    </w:p>
    <w:p>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24．3履约保证金在合同履行完毕后无息退还（招标文件有约定的，从其约定）。</w:t>
      </w:r>
    </w:p>
    <w:p>
      <w:pPr>
        <w:tabs>
          <w:tab w:val="left" w:pos="0"/>
        </w:tabs>
        <w:spacing w:line="500" w:lineRule="exact"/>
        <w:ind w:firstLine="480"/>
        <w:rPr>
          <w:rFonts w:hint="eastAsia" w:ascii="宋体" w:hAnsi="宋体"/>
          <w:sz w:val="24"/>
          <w:szCs w:val="24"/>
        </w:rPr>
      </w:pPr>
      <w:r>
        <w:rPr>
          <w:rFonts w:hint="eastAsia" w:ascii="宋体" w:hAnsi="宋体"/>
          <w:sz w:val="24"/>
          <w:szCs w:val="24"/>
        </w:rPr>
        <w:tab/>
      </w:r>
    </w:p>
    <w:p>
      <w:pPr>
        <w:pStyle w:val="4"/>
        <w:spacing w:before="0" w:after="0" w:line="360" w:lineRule="auto"/>
        <w:jc w:val="center"/>
        <w:rPr>
          <w:rFonts w:hint="eastAsia" w:ascii="宋体" w:hAnsi="宋体"/>
          <w:b w:val="0"/>
          <w:bCs w:val="0"/>
          <w:sz w:val="24"/>
          <w:szCs w:val="24"/>
        </w:rPr>
      </w:pPr>
      <w:bookmarkStart w:id="65" w:name="_Toc2583661"/>
      <w:bookmarkStart w:id="66" w:name="_Toc518923100"/>
      <w:r>
        <w:rPr>
          <w:rFonts w:hint="eastAsia" w:ascii="宋体" w:hAnsi="宋体"/>
          <w:sz w:val="24"/>
          <w:szCs w:val="24"/>
        </w:rPr>
        <w:t>G  风险监督</w:t>
      </w:r>
    </w:p>
    <w:p>
      <w:pPr>
        <w:pStyle w:val="4"/>
        <w:spacing w:before="0" w:after="0" w:line="360" w:lineRule="auto"/>
        <w:rPr>
          <w:rFonts w:hint="eastAsia" w:ascii="宋体" w:hAnsi="宋体"/>
          <w:b w:val="0"/>
          <w:bCs w:val="0"/>
          <w:sz w:val="24"/>
          <w:szCs w:val="24"/>
        </w:rPr>
      </w:pPr>
      <w:r>
        <w:rPr>
          <w:rFonts w:hint="eastAsia" w:ascii="宋体" w:hAnsi="宋体"/>
          <w:b w:val="0"/>
          <w:bCs w:val="0"/>
          <w:sz w:val="24"/>
          <w:szCs w:val="24"/>
        </w:rPr>
        <w:t>25.廉洁自律规定</w:t>
      </w:r>
      <w:bookmarkEnd w:id="65"/>
      <w:bookmarkEnd w:id="66"/>
    </w:p>
    <w:p>
      <w:pPr>
        <w:spacing w:line="360" w:lineRule="auto"/>
        <w:ind w:left="900" w:hanging="900" w:hangingChars="375"/>
        <w:rPr>
          <w:rFonts w:hint="eastAsia" w:ascii="宋体" w:hAnsi="宋体"/>
          <w:sz w:val="24"/>
          <w:szCs w:val="24"/>
        </w:rPr>
      </w:pPr>
      <w:r>
        <w:rPr>
          <w:rFonts w:hint="eastAsia" w:ascii="宋体" w:hAnsi="宋体"/>
          <w:sz w:val="24"/>
          <w:szCs w:val="24"/>
        </w:rPr>
        <w:t>25.1   集中采购机构工作人员不得与采购人、供应商恶意串通。</w:t>
      </w:r>
    </w:p>
    <w:p>
      <w:pPr>
        <w:spacing w:line="360" w:lineRule="auto"/>
        <w:ind w:left="900" w:hanging="900" w:hangingChars="375"/>
        <w:rPr>
          <w:rFonts w:hint="eastAsia" w:ascii="宋体" w:hAnsi="宋体"/>
          <w:sz w:val="24"/>
          <w:szCs w:val="24"/>
        </w:rPr>
      </w:pPr>
      <w:r>
        <w:rPr>
          <w:rFonts w:hint="eastAsia" w:ascii="宋体" w:hAnsi="宋体"/>
          <w:sz w:val="24"/>
          <w:szCs w:val="24"/>
        </w:rPr>
        <w:t>25.2   集中采购机构工作人员不得接受采购人或者供应商组织的宴请、旅游、娱乐，不得收受礼品、现金、有价证券等，不得向采购人或者供应商报销应当由个人承担的费用。</w:t>
      </w:r>
    </w:p>
    <w:p>
      <w:pPr>
        <w:pStyle w:val="4"/>
        <w:spacing w:before="0" w:after="0" w:line="360" w:lineRule="auto"/>
        <w:rPr>
          <w:rFonts w:hint="eastAsia" w:ascii="宋体" w:hAnsi="宋体"/>
          <w:b w:val="0"/>
          <w:bCs w:val="0"/>
          <w:sz w:val="24"/>
          <w:szCs w:val="24"/>
        </w:rPr>
      </w:pPr>
      <w:bookmarkStart w:id="67" w:name="_Toc518923101"/>
      <w:bookmarkStart w:id="68" w:name="_Toc2583662"/>
      <w:r>
        <w:rPr>
          <w:rFonts w:hint="eastAsia" w:ascii="宋体" w:hAnsi="宋体"/>
          <w:b w:val="0"/>
          <w:bCs w:val="0"/>
          <w:sz w:val="24"/>
          <w:szCs w:val="24"/>
        </w:rPr>
        <w:t>26.人员回避</w:t>
      </w:r>
      <w:bookmarkEnd w:id="67"/>
      <w:bookmarkEnd w:id="68"/>
    </w:p>
    <w:p>
      <w:pPr>
        <w:spacing w:line="360" w:lineRule="auto"/>
        <w:ind w:left="900" w:hanging="900" w:hangingChars="375"/>
        <w:rPr>
          <w:rFonts w:hint="eastAsia" w:ascii="宋体" w:hAnsi="宋体"/>
          <w:sz w:val="24"/>
          <w:szCs w:val="24"/>
        </w:rPr>
      </w:pPr>
      <w:r>
        <w:rPr>
          <w:rFonts w:hint="eastAsia" w:ascii="宋体" w:hAnsi="宋体"/>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p>
      <w:pPr>
        <w:pStyle w:val="4"/>
        <w:spacing w:before="0" w:after="0" w:line="360" w:lineRule="auto"/>
        <w:rPr>
          <w:rFonts w:hint="eastAsia" w:ascii="宋体" w:hAnsi="宋体"/>
          <w:b w:val="0"/>
          <w:bCs w:val="0"/>
          <w:sz w:val="24"/>
          <w:szCs w:val="24"/>
        </w:rPr>
      </w:pPr>
      <w:bookmarkStart w:id="69" w:name="_Toc518923102"/>
      <w:bookmarkStart w:id="70" w:name="_Toc2583663"/>
      <w:r>
        <w:rPr>
          <w:rFonts w:hint="eastAsia" w:ascii="宋体" w:hAnsi="宋体"/>
          <w:b w:val="0"/>
          <w:bCs w:val="0"/>
          <w:sz w:val="24"/>
          <w:szCs w:val="24"/>
        </w:rPr>
        <w:t>27.质疑的提出与接收</w:t>
      </w:r>
      <w:bookmarkEnd w:id="69"/>
      <w:bookmarkEnd w:id="70"/>
    </w:p>
    <w:p>
      <w:pPr>
        <w:spacing w:line="360" w:lineRule="auto"/>
        <w:ind w:left="850" w:hanging="849" w:hangingChars="354"/>
        <w:rPr>
          <w:rFonts w:hint="eastAsia" w:ascii="宋体" w:hAnsi="宋体"/>
          <w:sz w:val="24"/>
          <w:szCs w:val="24"/>
        </w:rPr>
      </w:pPr>
      <w:r>
        <w:rPr>
          <w:rFonts w:hint="eastAsia" w:ascii="宋体" w:hAnsi="宋体"/>
          <w:sz w:val="24"/>
          <w:szCs w:val="24"/>
        </w:rPr>
        <w:t>27.1  投标人认为招标文件、招标过程和中标结果使自己的权益受到损害的，可以根据《中华人民共和国政府采购法》、《中华人民共和国政府采购法实施条例》和《政府采购质疑和投诉办法》的有关规定，依法向集中采购机构提出质疑。</w:t>
      </w:r>
    </w:p>
    <w:p>
      <w:pPr>
        <w:spacing w:line="360" w:lineRule="auto"/>
        <w:ind w:left="850" w:hanging="849" w:hangingChars="354"/>
        <w:rPr>
          <w:rFonts w:hint="eastAsia" w:ascii="宋体" w:hAnsi="宋体"/>
          <w:sz w:val="24"/>
          <w:szCs w:val="24"/>
        </w:rPr>
      </w:pPr>
      <w:r>
        <w:rPr>
          <w:rFonts w:hint="eastAsia" w:ascii="宋体" w:hAnsi="宋体"/>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pPr>
        <w:spacing w:line="360" w:lineRule="auto"/>
        <w:ind w:left="851" w:leftChars="68" w:hanging="708" w:hangingChars="295"/>
        <w:rPr>
          <w:rFonts w:hint="eastAsia" w:ascii="宋体" w:hAnsi="宋体"/>
          <w:sz w:val="24"/>
          <w:szCs w:val="24"/>
        </w:rPr>
      </w:pPr>
      <w:r>
        <w:rPr>
          <w:rFonts w:hint="eastAsia" w:ascii="宋体" w:hAnsi="宋体"/>
          <w:sz w:val="24"/>
          <w:szCs w:val="24"/>
        </w:rPr>
        <w:t xml:space="preserve">      超出法定质疑期提交的质疑将被拒绝。</w:t>
      </w:r>
    </w:p>
    <w:p>
      <w:pPr>
        <w:spacing w:line="360" w:lineRule="auto"/>
        <w:ind w:left="851" w:leftChars="405" w:hanging="1"/>
        <w:rPr>
          <w:rFonts w:hint="eastAsia"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pPr>
        <w:spacing w:line="360" w:lineRule="auto"/>
        <w:ind w:left="851" w:leftChars="68" w:hanging="708" w:hangingChars="295"/>
        <w:rPr>
          <w:rFonts w:hint="eastAsia" w:ascii="宋体" w:hAnsi="宋体"/>
          <w:sz w:val="24"/>
          <w:szCs w:val="24"/>
        </w:rPr>
      </w:pPr>
      <w:r>
        <w:rPr>
          <w:rFonts w:hint="eastAsia" w:ascii="宋体" w:hAnsi="宋体"/>
          <w:sz w:val="24"/>
          <w:szCs w:val="24"/>
        </w:rPr>
        <w:t>27.3  质疑函接收联系人、联系电话和通讯地址见投标资料表。</w:t>
      </w:r>
    </w:p>
    <w:p>
      <w:pPr>
        <w:spacing w:line="500" w:lineRule="exact"/>
        <w:ind w:firstLine="425"/>
        <w:jc w:val="center"/>
        <w:rPr>
          <w:rFonts w:hint="eastAsia" w:ascii="黑体" w:eastAsia="黑体"/>
          <w:sz w:val="32"/>
          <w:szCs w:val="32"/>
        </w:rPr>
      </w:pPr>
      <w:r>
        <w:rPr>
          <w:rFonts w:hint="eastAsia" w:ascii="宋体" w:hAnsi="宋体"/>
          <w:sz w:val="24"/>
          <w:szCs w:val="24"/>
        </w:rPr>
        <w:br w:type="page"/>
      </w:r>
      <w:r>
        <w:rPr>
          <w:rFonts w:hint="eastAsia" w:ascii="黑体" w:eastAsia="黑体"/>
          <w:sz w:val="32"/>
          <w:szCs w:val="32"/>
        </w:rPr>
        <w:t>第五部分 合同格式</w:t>
      </w:r>
    </w:p>
    <w:p>
      <w:pPr>
        <w:spacing w:line="500" w:lineRule="exact"/>
        <w:rPr>
          <w:rFonts w:hint="eastAsia" w:eastAsia="黑体"/>
          <w:sz w:val="32"/>
          <w:u w:val="single"/>
        </w:rPr>
      </w:pPr>
    </w:p>
    <w:p>
      <w:pPr>
        <w:spacing w:line="460" w:lineRule="exact"/>
        <w:jc w:val="center"/>
        <w:rPr>
          <w:rFonts w:hint="eastAsia" w:ascii="宋体"/>
          <w:b/>
          <w:sz w:val="36"/>
        </w:rPr>
      </w:pPr>
      <w:r>
        <w:rPr>
          <w:rFonts w:hint="eastAsia" w:ascii="宋体"/>
          <w:b/>
          <w:sz w:val="36"/>
        </w:rPr>
        <w:t>宁波市政府采购合同（参考格式）</w:t>
      </w:r>
    </w:p>
    <w:p>
      <w:pPr>
        <w:spacing w:line="460" w:lineRule="exact"/>
        <w:jc w:val="center"/>
        <w:rPr>
          <w:rFonts w:hint="eastAsia" w:ascii="宋体"/>
          <w:bCs/>
          <w:i/>
          <w:iCs/>
          <w:sz w:val="28"/>
        </w:rPr>
      </w:pPr>
    </w:p>
    <w:p>
      <w:pPr>
        <w:spacing w:line="460" w:lineRule="exact"/>
        <w:rPr>
          <w:rFonts w:hint="eastAsia" w:ascii="宋体" w:hAnsi="宋体"/>
          <w:sz w:val="24"/>
          <w:szCs w:val="24"/>
        </w:rPr>
      </w:pPr>
      <w:r>
        <w:rPr>
          <w:rFonts w:hint="eastAsia" w:ascii="宋体" w:hAnsi="宋体"/>
          <w:sz w:val="24"/>
          <w:szCs w:val="24"/>
        </w:rPr>
        <w:t>采购编号：NBZFCG                           签订日期：</w:t>
      </w:r>
    </w:p>
    <w:p>
      <w:pPr>
        <w:spacing w:line="460" w:lineRule="exact"/>
        <w:rPr>
          <w:rFonts w:hint="eastAsia" w:ascii="宋体" w:hAnsi="宋体"/>
          <w:sz w:val="24"/>
          <w:szCs w:val="24"/>
        </w:rPr>
      </w:pPr>
      <w:r>
        <w:rPr>
          <w:rFonts w:hint="eastAsia" w:ascii="宋体" w:hAnsi="宋体"/>
          <w:sz w:val="24"/>
          <w:szCs w:val="24"/>
        </w:rPr>
        <w:t>合同地点：                                 完工日期：</w:t>
      </w:r>
    </w:p>
    <w:p>
      <w:pPr>
        <w:spacing w:line="460" w:lineRule="exact"/>
        <w:rPr>
          <w:rFonts w:hint="eastAsia" w:ascii="宋体" w:hAnsi="宋体"/>
          <w:sz w:val="24"/>
          <w:szCs w:val="24"/>
        </w:rPr>
      </w:pPr>
      <w:r>
        <w:rPr>
          <w:rFonts w:hint="eastAsia" w:ascii="宋体" w:hAnsi="宋体"/>
          <w:sz w:val="24"/>
          <w:szCs w:val="24"/>
        </w:rPr>
        <w:t>采购人（甲方）：</w:t>
      </w:r>
    </w:p>
    <w:p>
      <w:pPr>
        <w:spacing w:line="460" w:lineRule="exact"/>
        <w:rPr>
          <w:rFonts w:hint="eastAsia" w:ascii="宋体" w:hAnsi="宋体"/>
          <w:sz w:val="24"/>
          <w:szCs w:val="24"/>
        </w:rPr>
      </w:pPr>
      <w:r>
        <w:rPr>
          <w:rFonts w:hint="eastAsia" w:ascii="宋体" w:hAnsi="宋体"/>
          <w:sz w:val="24"/>
          <w:szCs w:val="24"/>
        </w:rPr>
        <w:t>供应商（乙方）：</w:t>
      </w:r>
    </w:p>
    <w:p>
      <w:pPr>
        <w:spacing w:line="460" w:lineRule="exact"/>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甲、乙双方根据《中华人民共和国合同法》、《中华人民共和国政府采购法》和宁波市政府采购有关办法，同意按照下述的条款和条件，签署本合同。</w:t>
      </w:r>
    </w:p>
    <w:p>
      <w:pPr>
        <w:pStyle w:val="15"/>
        <w:snapToGrid w:val="0"/>
        <w:spacing w:line="240" w:lineRule="auto"/>
        <w:rPr>
          <w:rFonts w:hAnsi="宋体"/>
          <w:b/>
        </w:rPr>
      </w:pPr>
      <w:r>
        <w:rPr>
          <w:rFonts w:hAnsi="宋体"/>
          <w:b/>
        </w:rPr>
        <w:t>一、</w:t>
      </w:r>
      <w:r>
        <w:rPr>
          <w:rFonts w:hint="eastAsia" w:hAnsi="宋体"/>
          <w:b/>
        </w:rPr>
        <w:t>合同标的</w:t>
      </w:r>
    </w:p>
    <w:p>
      <w:pPr>
        <w:pStyle w:val="15"/>
        <w:snapToGrid w:val="0"/>
        <w:spacing w:line="240" w:lineRule="auto"/>
        <w:rPr>
          <w:rFonts w:hAnsi="宋体"/>
        </w:rPr>
      </w:pPr>
      <w:r>
        <w:rPr>
          <w:rFonts w:hAnsi="宋体"/>
        </w:rPr>
        <w:t xml:space="preserve">1. </w:t>
      </w:r>
      <w:r>
        <w:rPr>
          <w:rFonts w:hint="eastAsia" w:hAnsi="宋体"/>
        </w:rPr>
        <w:t>标的清单</w:t>
      </w:r>
      <w:r>
        <w:rPr>
          <w:rFonts w:hAnsi="宋体"/>
        </w:rPr>
        <w:t>：</w:t>
      </w:r>
    </w:p>
    <w:p>
      <w:pPr>
        <w:pStyle w:val="15"/>
        <w:snapToGrid w:val="0"/>
        <w:spacing w:line="240" w:lineRule="auto"/>
        <w:rPr>
          <w:rFonts w:hAnsi="宋体"/>
          <w:b/>
        </w:rPr>
      </w:pPr>
      <w:r>
        <w:rPr>
          <w:rFonts w:hAnsi="宋体"/>
          <w:b/>
        </w:rPr>
        <w:t>二、合同金额</w:t>
      </w:r>
    </w:p>
    <w:p>
      <w:pPr>
        <w:pStyle w:val="15"/>
        <w:snapToGrid w:val="0"/>
        <w:spacing w:line="240" w:lineRule="auto"/>
        <w:ind w:left="410" w:hanging="410" w:hangingChars="171"/>
        <w:jc w:val="left"/>
        <w:rPr>
          <w:rFonts w:hAnsi="宋体"/>
        </w:rPr>
      </w:pPr>
      <w:r>
        <w:rPr>
          <w:rFonts w:hAnsi="宋体"/>
        </w:rPr>
        <w:t xml:space="preserve"> 本合同金额为（大写）：____________________________________元（￥_______________元）人民币。</w:t>
      </w:r>
    </w:p>
    <w:p>
      <w:pPr>
        <w:pStyle w:val="15"/>
        <w:snapToGrid w:val="0"/>
        <w:spacing w:line="240" w:lineRule="auto"/>
        <w:rPr>
          <w:rFonts w:hAnsi="宋体"/>
          <w:b/>
        </w:rPr>
      </w:pPr>
      <w:r>
        <w:rPr>
          <w:rFonts w:hAnsi="宋体"/>
          <w:b/>
        </w:rPr>
        <w:t>三、技术资料</w:t>
      </w:r>
    </w:p>
    <w:p>
      <w:pPr>
        <w:pStyle w:val="15"/>
        <w:snapToGrid w:val="0"/>
        <w:spacing w:line="240" w:lineRule="auto"/>
        <w:ind w:left="410" w:hanging="410" w:hangingChars="171"/>
        <w:rPr>
          <w:rFonts w:hAnsi="宋体"/>
        </w:rPr>
      </w:pPr>
      <w:r>
        <w:rPr>
          <w:rFonts w:hAnsi="宋体"/>
        </w:rPr>
        <w:t>1</w:t>
      </w:r>
      <w:r>
        <w:rPr>
          <w:rFonts w:hint="eastAsia" w:hAnsi="宋体"/>
        </w:rPr>
        <w:t>.</w:t>
      </w:r>
      <w:r>
        <w:rPr>
          <w:rFonts w:hAnsi="宋体"/>
        </w:rPr>
        <w:t>乙方应按招标文件规定的时间向甲方提供使用</w:t>
      </w:r>
      <w:r>
        <w:rPr>
          <w:rFonts w:hint="eastAsia" w:hAnsi="宋体"/>
        </w:rPr>
        <w:t>标的</w:t>
      </w:r>
      <w:r>
        <w:rPr>
          <w:rFonts w:hAnsi="宋体"/>
        </w:rPr>
        <w:t>有关技术资料。</w:t>
      </w:r>
    </w:p>
    <w:p>
      <w:pPr>
        <w:pStyle w:val="15"/>
        <w:snapToGrid w:val="0"/>
        <w:spacing w:line="240" w:lineRule="auto"/>
        <w:ind w:left="410" w:hanging="410" w:hangingChars="171"/>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line="240" w:lineRule="auto"/>
        <w:ind w:left="412" w:hanging="412" w:hangingChars="171"/>
        <w:rPr>
          <w:rFonts w:hAnsi="宋体"/>
          <w:b/>
        </w:rPr>
      </w:pPr>
      <w:r>
        <w:rPr>
          <w:rFonts w:hAnsi="宋体"/>
          <w:b/>
        </w:rPr>
        <w:t>四、知识产权</w:t>
      </w:r>
    </w:p>
    <w:p>
      <w:pPr>
        <w:pStyle w:val="15"/>
        <w:snapToGrid w:val="0"/>
        <w:spacing w:line="240" w:lineRule="auto"/>
        <w:rPr>
          <w:rFonts w:hAnsi="宋体"/>
          <w:bCs/>
        </w:rPr>
      </w:pPr>
      <w:r>
        <w:rPr>
          <w:rFonts w:hAnsi="宋体"/>
        </w:rPr>
        <w:t>乙方应保证所提供的</w:t>
      </w:r>
      <w:r>
        <w:rPr>
          <w:rFonts w:hint="eastAsia" w:hAnsi="宋体"/>
        </w:rPr>
        <w:t>标的</w:t>
      </w:r>
      <w:r>
        <w:rPr>
          <w:rFonts w:hAnsi="宋体"/>
        </w:rPr>
        <w:t>或其任何一部分均不会侵犯任何第三方的知识产权</w:t>
      </w:r>
      <w:r>
        <w:rPr>
          <w:rFonts w:hAnsi="宋体"/>
          <w:bCs/>
        </w:rPr>
        <w:t>。</w:t>
      </w:r>
    </w:p>
    <w:p>
      <w:pPr>
        <w:pStyle w:val="15"/>
        <w:snapToGrid w:val="0"/>
        <w:spacing w:line="240" w:lineRule="auto"/>
        <w:rPr>
          <w:rFonts w:hAnsi="宋体"/>
          <w:u w:val="single"/>
        </w:rPr>
      </w:pPr>
      <w:r>
        <w:rPr>
          <w:rFonts w:hAnsi="宋体"/>
          <w:b/>
        </w:rPr>
        <w:t>五、产权担保</w:t>
      </w:r>
    </w:p>
    <w:p>
      <w:pPr>
        <w:pStyle w:val="15"/>
        <w:snapToGrid w:val="0"/>
        <w:spacing w:line="240" w:lineRule="auto"/>
        <w:ind w:left="408" w:hanging="408" w:hangingChars="170"/>
        <w:rPr>
          <w:rFonts w:hAnsi="宋体"/>
          <w:u w:val="single"/>
        </w:rPr>
      </w:pPr>
      <w:r>
        <w:rPr>
          <w:rFonts w:hAnsi="宋体"/>
        </w:rPr>
        <w:t>乙方保证所交付的</w:t>
      </w:r>
      <w:r>
        <w:rPr>
          <w:rFonts w:hint="eastAsia" w:hAnsi="宋体"/>
        </w:rPr>
        <w:t>标的</w:t>
      </w:r>
      <w:r>
        <w:rPr>
          <w:rFonts w:hAnsi="宋体"/>
        </w:rPr>
        <w:t>的所有权完全属于乙方且无任何抵押、查封等产权瑕疵。</w:t>
      </w:r>
    </w:p>
    <w:p>
      <w:pPr>
        <w:pStyle w:val="15"/>
        <w:snapToGrid w:val="0"/>
        <w:spacing w:line="240" w:lineRule="auto"/>
        <w:ind w:left="410" w:hanging="410" w:hangingChars="170"/>
        <w:rPr>
          <w:rFonts w:hAnsi="宋体"/>
          <w:b/>
        </w:rPr>
      </w:pPr>
      <w:r>
        <w:rPr>
          <w:rFonts w:hAnsi="宋体"/>
          <w:b/>
        </w:rPr>
        <w:t>六、履约保证金</w:t>
      </w:r>
    </w:p>
    <w:p>
      <w:pPr>
        <w:pStyle w:val="15"/>
        <w:snapToGrid w:val="0"/>
        <w:spacing w:line="240" w:lineRule="auto"/>
        <w:ind w:left="408" w:hanging="408" w:hangingChars="170"/>
        <w:rPr>
          <w:rFonts w:hAnsi="宋体"/>
        </w:rPr>
      </w:pPr>
      <w:r>
        <w:rPr>
          <w:rFonts w:hAnsi="宋体"/>
        </w:rPr>
        <w:t>乙方交纳人民币</w:t>
      </w:r>
      <w:r>
        <w:rPr>
          <w:rFonts w:hint="eastAsia" w:hAnsi="宋体"/>
          <w:b/>
          <w:u w:val="single"/>
        </w:rPr>
        <w:t xml:space="preserve">          </w:t>
      </w:r>
      <w:r>
        <w:rPr>
          <w:rFonts w:hAnsi="宋体"/>
        </w:rPr>
        <w:t>元作为本合同的履约保证金。</w:t>
      </w:r>
    </w:p>
    <w:p>
      <w:pPr>
        <w:pStyle w:val="15"/>
        <w:snapToGrid w:val="0"/>
        <w:spacing w:line="240" w:lineRule="auto"/>
        <w:ind w:left="410" w:hanging="410" w:hangingChars="170"/>
        <w:rPr>
          <w:rFonts w:hAnsi="宋体"/>
          <w:b/>
        </w:rPr>
      </w:pPr>
      <w:r>
        <w:rPr>
          <w:rFonts w:hint="eastAsia" w:hAnsi="宋体"/>
          <w:b/>
        </w:rPr>
        <w:t>七、转包或分包</w:t>
      </w:r>
    </w:p>
    <w:p>
      <w:pPr>
        <w:snapToGrid w:val="0"/>
        <w:spacing w:before="156" w:beforeLines="50" w:after="156" w:afterLines="50"/>
        <w:rPr>
          <w:rFonts w:ascii="宋体" w:hAnsi="宋体"/>
          <w:sz w:val="24"/>
        </w:rPr>
      </w:pPr>
      <w:r>
        <w:rPr>
          <w:rFonts w:ascii="宋体" w:hAnsi="宋体"/>
          <w:sz w:val="24"/>
        </w:rPr>
        <w:t>1</w:t>
      </w:r>
      <w:r>
        <w:rPr>
          <w:rFonts w:hint="eastAsia" w:ascii="宋体" w:hAnsi="宋体"/>
          <w:sz w:val="24"/>
        </w:rPr>
        <w:t>.本合同范围的标的，应由</w:t>
      </w:r>
      <w:r>
        <w:rPr>
          <w:rFonts w:ascii="宋体" w:hAnsi="宋体"/>
          <w:sz w:val="24"/>
        </w:rPr>
        <w:t>乙</w:t>
      </w:r>
      <w:r>
        <w:rPr>
          <w:rFonts w:hint="eastAsia" w:ascii="宋体" w:hAnsi="宋体"/>
          <w:sz w:val="24"/>
        </w:rPr>
        <w:t>方直接供应，不得转让他人供应；</w:t>
      </w:r>
    </w:p>
    <w:p>
      <w:pPr>
        <w:snapToGrid w:val="0"/>
        <w:spacing w:before="156" w:beforeLines="50" w:after="156" w:afterLines="50"/>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方不得将本合同范围的标的全部或部分分包给他人供应；</w:t>
      </w:r>
    </w:p>
    <w:p>
      <w:pPr>
        <w:snapToGrid w:val="0"/>
        <w:spacing w:before="156" w:beforeLines="50" w:after="156" w:afterLines="50"/>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15"/>
        <w:snapToGrid w:val="0"/>
        <w:spacing w:line="240" w:lineRule="auto"/>
        <w:rPr>
          <w:rFonts w:hAnsi="宋体"/>
          <w:b/>
        </w:rPr>
      </w:pPr>
      <w:r>
        <w:rPr>
          <w:rFonts w:hint="eastAsia" w:hAnsi="宋体"/>
          <w:b/>
        </w:rPr>
        <w:t>八</w:t>
      </w:r>
      <w:r>
        <w:rPr>
          <w:rFonts w:hAnsi="宋体"/>
          <w:b/>
        </w:rPr>
        <w:t>、</w:t>
      </w:r>
      <w:r>
        <w:rPr>
          <w:rFonts w:hint="eastAsia" w:hAnsi="宋体"/>
          <w:b/>
        </w:rPr>
        <w:t>标的履约时间</w:t>
      </w:r>
      <w:r>
        <w:rPr>
          <w:rFonts w:hAnsi="宋体"/>
          <w:b/>
        </w:rPr>
        <w:t>、</w:t>
      </w:r>
      <w:r>
        <w:rPr>
          <w:rFonts w:hint="eastAsia" w:hAnsi="宋体"/>
          <w:b/>
        </w:rPr>
        <w:t>履约</w:t>
      </w:r>
      <w:r>
        <w:rPr>
          <w:rFonts w:hAnsi="宋体"/>
          <w:b/>
        </w:rPr>
        <w:t>方式及</w:t>
      </w:r>
      <w:r>
        <w:rPr>
          <w:rFonts w:hint="eastAsia" w:hAnsi="宋体"/>
          <w:b/>
        </w:rPr>
        <w:t>履约</w:t>
      </w:r>
      <w:r>
        <w:rPr>
          <w:rFonts w:hAnsi="宋体"/>
          <w:b/>
        </w:rPr>
        <w:t>地点</w:t>
      </w:r>
    </w:p>
    <w:p>
      <w:pPr>
        <w:pStyle w:val="15"/>
        <w:snapToGrid w:val="0"/>
        <w:spacing w:line="240" w:lineRule="auto"/>
        <w:rPr>
          <w:rFonts w:hAnsi="宋体"/>
          <w:bCs/>
          <w:color w:val="000000"/>
        </w:rPr>
      </w:pPr>
      <w:r>
        <w:rPr>
          <w:rFonts w:hAnsi="宋体"/>
          <w:bCs/>
        </w:rPr>
        <w:t>1</w:t>
      </w:r>
      <w:r>
        <w:rPr>
          <w:rFonts w:hint="eastAsia" w:hAnsi="宋体"/>
          <w:bCs/>
        </w:rPr>
        <w:t>.</w:t>
      </w:r>
      <w:r>
        <w:rPr>
          <w:rFonts w:hAnsi="宋体"/>
          <w:bCs/>
        </w:rPr>
        <w:t xml:space="preserve"> </w:t>
      </w:r>
      <w:r>
        <w:rPr>
          <w:rFonts w:hint="eastAsia" w:hAnsi="宋体"/>
          <w:bCs/>
        </w:rPr>
        <w:t>履约时间</w:t>
      </w:r>
      <w:r>
        <w:rPr>
          <w:rFonts w:hAnsi="宋体"/>
          <w:bCs/>
        </w:rPr>
        <w:t>：</w:t>
      </w:r>
    </w:p>
    <w:p>
      <w:pPr>
        <w:pStyle w:val="15"/>
        <w:snapToGrid w:val="0"/>
        <w:spacing w:line="240" w:lineRule="auto"/>
        <w:rPr>
          <w:rFonts w:hAnsi="宋体"/>
          <w:bCs/>
          <w:color w:val="000000"/>
        </w:rPr>
      </w:pPr>
      <w:r>
        <w:rPr>
          <w:rFonts w:hAnsi="宋体"/>
          <w:bCs/>
          <w:color w:val="000000"/>
        </w:rPr>
        <w:t>2</w:t>
      </w:r>
      <w:r>
        <w:rPr>
          <w:rFonts w:hint="eastAsia" w:hAnsi="宋体"/>
          <w:bCs/>
          <w:color w:val="000000"/>
        </w:rPr>
        <w:t>.</w:t>
      </w:r>
      <w:r>
        <w:rPr>
          <w:rFonts w:hAnsi="宋体"/>
          <w:bCs/>
          <w:color w:val="000000"/>
        </w:rPr>
        <w:t xml:space="preserve"> </w:t>
      </w:r>
      <w:r>
        <w:rPr>
          <w:rFonts w:hint="eastAsia" w:hAnsi="宋体"/>
          <w:bCs/>
          <w:color w:val="000000"/>
        </w:rPr>
        <w:t>履约</w:t>
      </w:r>
      <w:r>
        <w:rPr>
          <w:rFonts w:hAnsi="宋体"/>
          <w:bCs/>
          <w:color w:val="000000"/>
        </w:rPr>
        <w:t>方式：</w:t>
      </w:r>
    </w:p>
    <w:p>
      <w:pPr>
        <w:pStyle w:val="15"/>
        <w:snapToGrid w:val="0"/>
        <w:spacing w:line="240" w:lineRule="auto"/>
        <w:rPr>
          <w:rFonts w:hAnsi="宋体"/>
          <w:b/>
          <w:color w:val="000000"/>
        </w:rPr>
      </w:pPr>
      <w:r>
        <w:rPr>
          <w:rFonts w:hAnsi="宋体"/>
          <w:bCs/>
          <w:color w:val="000000"/>
        </w:rPr>
        <w:t>3</w:t>
      </w:r>
      <w:r>
        <w:rPr>
          <w:rFonts w:hint="eastAsia" w:hAnsi="宋体"/>
          <w:bCs/>
          <w:color w:val="000000"/>
        </w:rPr>
        <w:t>.</w:t>
      </w:r>
      <w:r>
        <w:rPr>
          <w:rFonts w:hAnsi="宋体"/>
          <w:bCs/>
          <w:color w:val="000000"/>
        </w:rPr>
        <w:t xml:space="preserve"> </w:t>
      </w:r>
      <w:r>
        <w:rPr>
          <w:rFonts w:hint="eastAsia" w:hAnsi="宋体"/>
          <w:bCs/>
          <w:color w:val="000000"/>
        </w:rPr>
        <w:t>履约</w:t>
      </w:r>
      <w:r>
        <w:rPr>
          <w:rFonts w:hAnsi="宋体"/>
          <w:bCs/>
          <w:color w:val="000000"/>
        </w:rPr>
        <w:t>地点：</w:t>
      </w:r>
    </w:p>
    <w:p>
      <w:pPr>
        <w:pStyle w:val="15"/>
        <w:snapToGrid w:val="0"/>
        <w:spacing w:line="240" w:lineRule="auto"/>
        <w:rPr>
          <w:rFonts w:hAnsi="宋体"/>
          <w:b/>
          <w:color w:val="000000"/>
        </w:rPr>
      </w:pPr>
      <w:r>
        <w:rPr>
          <w:rFonts w:hint="eastAsia" w:hAnsi="宋体"/>
          <w:b/>
          <w:color w:val="000000"/>
        </w:rPr>
        <w:t>九</w:t>
      </w:r>
      <w:r>
        <w:rPr>
          <w:rFonts w:hAnsi="宋体"/>
          <w:b/>
          <w:color w:val="000000"/>
        </w:rPr>
        <w:t>、</w:t>
      </w:r>
      <w:r>
        <w:rPr>
          <w:rFonts w:hint="eastAsia" w:hAnsi="宋体"/>
          <w:b/>
          <w:color w:val="000000"/>
        </w:rPr>
        <w:t>合同</w:t>
      </w:r>
      <w:r>
        <w:rPr>
          <w:rFonts w:hAnsi="宋体"/>
          <w:b/>
          <w:color w:val="000000"/>
        </w:rPr>
        <w:t>款支付</w:t>
      </w:r>
    </w:p>
    <w:p>
      <w:pPr>
        <w:pStyle w:val="15"/>
        <w:snapToGrid w:val="0"/>
        <w:spacing w:line="240" w:lineRule="auto"/>
        <w:rPr>
          <w:rFonts w:hAnsi="宋体"/>
          <w:bCs/>
        </w:rPr>
      </w:pPr>
      <w:r>
        <w:rPr>
          <w:rFonts w:hAnsi="宋体"/>
          <w:bCs/>
        </w:rPr>
        <w:t>1</w:t>
      </w:r>
      <w:r>
        <w:rPr>
          <w:rFonts w:hint="eastAsia" w:hAnsi="宋体"/>
          <w:bCs/>
        </w:rPr>
        <w:t>.</w:t>
      </w:r>
      <w:r>
        <w:rPr>
          <w:rFonts w:hAnsi="宋体"/>
          <w:bCs/>
        </w:rPr>
        <w:t xml:space="preserve"> 付款方式：</w:t>
      </w:r>
    </w:p>
    <w:p>
      <w:pPr>
        <w:pStyle w:val="15"/>
        <w:snapToGrid w:val="0"/>
        <w:spacing w:line="240" w:lineRule="auto"/>
        <w:ind w:left="480" w:hanging="480" w:hangingChars="200"/>
        <w:rPr>
          <w:rFonts w:hAnsi="宋体"/>
          <w:bCs/>
        </w:rPr>
      </w:pPr>
      <w:r>
        <w:rPr>
          <w:rFonts w:hAnsi="宋体"/>
          <w:bCs/>
        </w:rPr>
        <w:t>2</w:t>
      </w:r>
      <w:r>
        <w:rPr>
          <w:rFonts w:hint="eastAsia" w:hAnsi="宋体"/>
          <w:bCs/>
        </w:rPr>
        <w:t>.</w:t>
      </w:r>
      <w:r>
        <w:rPr>
          <w:rFonts w:hAnsi="宋体"/>
        </w:rPr>
        <w:t>当采购数量与实际使用数量不一致时，乙</w:t>
      </w:r>
      <w:r>
        <w:rPr>
          <w:rFonts w:hint="eastAsia" w:hAnsi="宋体"/>
        </w:rPr>
        <w:t>方</w:t>
      </w:r>
      <w:r>
        <w:rPr>
          <w:rFonts w:hAnsi="宋体"/>
        </w:rPr>
        <w:t>应根据实际使用量</w:t>
      </w:r>
      <w:r>
        <w:rPr>
          <w:rFonts w:hint="eastAsia" w:hAnsi="宋体"/>
        </w:rPr>
        <w:t>提供</w:t>
      </w:r>
      <w:r>
        <w:rPr>
          <w:rFonts w:hAnsi="宋体"/>
        </w:rPr>
        <w:t>，合同的最终结算金额按实际使用量乘以成交单价进行计算。</w:t>
      </w:r>
    </w:p>
    <w:p>
      <w:pPr>
        <w:snapToGrid w:val="0"/>
        <w:spacing w:before="156" w:beforeLines="50" w:after="156" w:afterLines="50"/>
        <w:rPr>
          <w:rFonts w:ascii="宋体" w:hAnsi="宋体"/>
          <w:b/>
          <w:sz w:val="24"/>
        </w:rPr>
      </w:pPr>
      <w:r>
        <w:rPr>
          <w:rFonts w:hint="eastAsia" w:ascii="宋体" w:hAnsi="宋体"/>
          <w:b/>
          <w:sz w:val="24"/>
        </w:rPr>
        <w:t>十、税费</w:t>
      </w:r>
    </w:p>
    <w:p>
      <w:pPr>
        <w:snapToGrid w:val="0"/>
        <w:spacing w:before="156" w:beforeLines="50" w:after="156" w:afterLines="50"/>
        <w:rPr>
          <w:rFonts w:ascii="宋体" w:hAnsi="宋体"/>
          <w:sz w:val="24"/>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15"/>
        <w:snapToGrid w:val="0"/>
        <w:spacing w:line="240" w:lineRule="auto"/>
        <w:ind w:left="412" w:hanging="412" w:hangingChars="171"/>
        <w:rPr>
          <w:rFonts w:hAnsi="宋体"/>
        </w:rPr>
      </w:pPr>
      <w:r>
        <w:rPr>
          <w:rFonts w:hAnsi="宋体"/>
          <w:b/>
        </w:rPr>
        <w:t>十</w:t>
      </w:r>
      <w:r>
        <w:rPr>
          <w:rFonts w:hint="eastAsia" w:hAnsi="宋体"/>
          <w:b/>
        </w:rPr>
        <w:t>一</w:t>
      </w:r>
      <w:r>
        <w:rPr>
          <w:rFonts w:hAnsi="宋体"/>
          <w:b/>
        </w:rPr>
        <w:t>、质量保证及售后服务</w:t>
      </w:r>
    </w:p>
    <w:p>
      <w:pPr>
        <w:pStyle w:val="15"/>
        <w:snapToGrid w:val="0"/>
        <w:spacing w:line="240" w:lineRule="auto"/>
        <w:ind w:left="410" w:hanging="410" w:hangingChars="171"/>
        <w:rPr>
          <w:rFonts w:hAnsi="宋体"/>
        </w:rPr>
      </w:pPr>
      <w:r>
        <w:rPr>
          <w:rFonts w:hAnsi="宋体"/>
        </w:rPr>
        <w:t>1</w:t>
      </w:r>
      <w:r>
        <w:rPr>
          <w:rFonts w:hint="eastAsia" w:hAnsi="宋体"/>
        </w:rPr>
        <w:t>.</w:t>
      </w:r>
      <w:r>
        <w:rPr>
          <w:rFonts w:hAnsi="宋体"/>
        </w:rPr>
        <w:t xml:space="preserve"> 乙方应按招标文件规定的</w:t>
      </w:r>
      <w:r>
        <w:rPr>
          <w:rFonts w:hint="eastAsia" w:hAnsi="宋体"/>
        </w:rPr>
        <w:t>标的</w:t>
      </w:r>
      <w:r>
        <w:rPr>
          <w:rFonts w:hAnsi="宋体"/>
        </w:rPr>
        <w:t>性能、技术要求、质量标准向甲方提供未经使用的全新产品。</w:t>
      </w:r>
    </w:p>
    <w:p>
      <w:pPr>
        <w:pStyle w:val="15"/>
        <w:snapToGrid w:val="0"/>
        <w:spacing w:line="240" w:lineRule="auto"/>
        <w:ind w:left="480" w:hanging="480" w:hangingChars="200"/>
        <w:rPr>
          <w:rFonts w:hAnsi="宋体"/>
        </w:rPr>
      </w:pPr>
      <w:r>
        <w:rPr>
          <w:rFonts w:hAnsi="宋体"/>
        </w:rPr>
        <w:t>2</w:t>
      </w:r>
      <w:r>
        <w:rPr>
          <w:rFonts w:hint="eastAsia" w:hAnsi="宋体"/>
        </w:rPr>
        <w:t>.</w:t>
      </w:r>
      <w:r>
        <w:rPr>
          <w:rFonts w:hAnsi="宋体"/>
        </w:rPr>
        <w:t xml:space="preserve"> 乙方提供的</w:t>
      </w:r>
      <w:r>
        <w:rPr>
          <w:rFonts w:hint="eastAsia" w:hAnsi="宋体"/>
        </w:rPr>
        <w:t>标的</w:t>
      </w:r>
      <w:r>
        <w:rPr>
          <w:rFonts w:hAnsi="宋体"/>
        </w:rPr>
        <w:t>在质</w:t>
      </w:r>
      <w:r>
        <w:rPr>
          <w:rFonts w:hint="eastAsia" w:hAnsi="宋体"/>
        </w:rPr>
        <w:t>保</w:t>
      </w:r>
      <w:r>
        <w:rPr>
          <w:rFonts w:hAnsi="宋体"/>
        </w:rPr>
        <w:t>期内因货物本身的质量问题发生故障，乙方应负责免费更换。对达不到技术要求者，根据实际情况，经双方协商，可按以下办法处理：</w:t>
      </w:r>
    </w:p>
    <w:p>
      <w:pPr>
        <w:pStyle w:val="15"/>
        <w:snapToGrid w:val="0"/>
        <w:spacing w:line="240" w:lineRule="auto"/>
        <w:ind w:firstLine="420"/>
        <w:rPr>
          <w:rFonts w:hAnsi="宋体"/>
        </w:rPr>
      </w:pPr>
      <w:r>
        <w:rPr>
          <w:rFonts w:hAnsi="宋体"/>
        </w:rPr>
        <w:t>⑴更换：由乙方承担所发生的全部费用。</w:t>
      </w:r>
    </w:p>
    <w:p>
      <w:pPr>
        <w:pStyle w:val="15"/>
        <w:snapToGrid w:val="0"/>
        <w:spacing w:line="240" w:lineRule="auto"/>
        <w:ind w:firstLine="420"/>
        <w:rPr>
          <w:rFonts w:hAnsi="宋体"/>
        </w:rPr>
      </w:pPr>
      <w:r>
        <w:rPr>
          <w:rFonts w:hAnsi="宋体"/>
        </w:rPr>
        <w:t>⑵贬值处理：由甲乙双方合议定价。</w:t>
      </w:r>
    </w:p>
    <w:p>
      <w:pPr>
        <w:pStyle w:val="15"/>
        <w:snapToGrid w:val="0"/>
        <w:spacing w:line="240" w:lineRule="auto"/>
        <w:ind w:left="420" w:leftChars="200"/>
        <w:rPr>
          <w:rFonts w:hAnsi="宋体"/>
        </w:rPr>
      </w:pPr>
      <w:r>
        <w:rPr>
          <w:rFonts w:hAnsi="宋体"/>
        </w:rPr>
        <w:t>⑶退货处理：乙方应退还甲方支付的合同款，同时应承担该</w:t>
      </w:r>
      <w:r>
        <w:rPr>
          <w:rFonts w:hint="eastAsia" w:hAnsi="宋体"/>
        </w:rPr>
        <w:t>标的</w:t>
      </w:r>
      <w:r>
        <w:rPr>
          <w:rFonts w:hAnsi="宋体"/>
        </w:rPr>
        <w:t>的直接费用（运输、保险、检验、货款利息及银行手续费等）。</w:t>
      </w:r>
    </w:p>
    <w:p>
      <w:pPr>
        <w:pStyle w:val="15"/>
        <w:snapToGrid w:val="0"/>
        <w:spacing w:line="240" w:lineRule="auto"/>
        <w:rPr>
          <w:rFonts w:hAnsi="宋体"/>
        </w:rPr>
      </w:pPr>
      <w:r>
        <w:rPr>
          <w:rFonts w:hAnsi="宋体"/>
        </w:rPr>
        <w:t>3</w:t>
      </w:r>
      <w:r>
        <w:rPr>
          <w:rFonts w:hint="eastAsia" w:hAnsi="宋体"/>
        </w:rPr>
        <w:t>.</w:t>
      </w:r>
      <w:r>
        <w:rPr>
          <w:rFonts w:hAnsi="宋体"/>
        </w:rPr>
        <w:t xml:space="preserve"> 如在使用过程中发生质量问题，乙方在接到甲方通知后</w:t>
      </w:r>
      <w:r>
        <w:rPr>
          <w:rFonts w:hAnsi="宋体"/>
          <w:color w:val="000000"/>
        </w:rPr>
        <w:t>在</w:t>
      </w:r>
      <w:r>
        <w:rPr>
          <w:rFonts w:hAnsi="宋体"/>
          <w:color w:val="000000"/>
          <w:u w:val="single"/>
        </w:rPr>
        <w:t xml:space="preserve">     </w:t>
      </w:r>
      <w:r>
        <w:rPr>
          <w:rFonts w:hAnsi="宋体"/>
          <w:color w:val="000000"/>
        </w:rPr>
        <w:t>小时</w:t>
      </w:r>
      <w:r>
        <w:rPr>
          <w:rFonts w:hAnsi="宋体"/>
        </w:rPr>
        <w:t>内到达甲方现场。</w:t>
      </w:r>
    </w:p>
    <w:p>
      <w:pPr>
        <w:pStyle w:val="15"/>
        <w:snapToGrid w:val="0"/>
        <w:spacing w:line="240" w:lineRule="auto"/>
        <w:rPr>
          <w:rFonts w:hAnsi="宋体"/>
        </w:rPr>
      </w:pPr>
      <w:r>
        <w:rPr>
          <w:rFonts w:hAnsi="宋体"/>
        </w:rPr>
        <w:t>4</w:t>
      </w:r>
      <w:r>
        <w:rPr>
          <w:rFonts w:hint="eastAsia" w:hAnsi="宋体"/>
        </w:rPr>
        <w:t>.</w:t>
      </w:r>
      <w:r>
        <w:rPr>
          <w:rFonts w:hAnsi="宋体"/>
        </w:rPr>
        <w:t xml:space="preserve"> 在质保期内，乙方应对</w:t>
      </w:r>
      <w:r>
        <w:rPr>
          <w:rFonts w:hint="eastAsia" w:hAnsi="宋体"/>
        </w:rPr>
        <w:t>标的</w:t>
      </w:r>
      <w:r>
        <w:rPr>
          <w:rFonts w:hAnsi="宋体"/>
        </w:rPr>
        <w:t>出现的质量及安全问题负责处理解决并承担一切费用。</w:t>
      </w:r>
    </w:p>
    <w:p>
      <w:pPr>
        <w:pStyle w:val="15"/>
        <w:snapToGrid w:val="0"/>
        <w:spacing w:line="240" w:lineRule="auto"/>
        <w:rPr>
          <w:rFonts w:hAnsi="宋体"/>
          <w:color w:val="000000"/>
        </w:rPr>
      </w:pPr>
      <w:r>
        <w:rPr>
          <w:rFonts w:hAnsi="宋体"/>
        </w:rPr>
        <w:t>5</w:t>
      </w:r>
      <w:r>
        <w:rPr>
          <w:rFonts w:hint="eastAsia" w:hAnsi="宋体"/>
        </w:rPr>
        <w:t>.</w:t>
      </w:r>
      <w:r>
        <w:rPr>
          <w:rFonts w:hAnsi="宋体"/>
          <w:color w:val="000000"/>
        </w:rPr>
        <w:t>上述的</w:t>
      </w:r>
      <w:r>
        <w:rPr>
          <w:rFonts w:hint="eastAsia" w:hAnsi="宋体"/>
        </w:rPr>
        <w:t>标的</w:t>
      </w:r>
      <w:r>
        <w:rPr>
          <w:rFonts w:hAnsi="宋体"/>
          <w:color w:val="000000"/>
        </w:rPr>
        <w:t>免费保修期为</w:t>
      </w:r>
      <w:r>
        <w:rPr>
          <w:rFonts w:hAnsi="宋体"/>
          <w:color w:val="000000"/>
          <w:u w:val="single"/>
        </w:rPr>
        <w:t xml:space="preserve">     </w:t>
      </w:r>
      <w:r>
        <w:rPr>
          <w:rFonts w:hAnsi="宋体"/>
          <w:color w:val="000000"/>
        </w:rPr>
        <w:t>年，因人为因素出现的故障不在免费保修范围内。超过保修期的</w:t>
      </w:r>
      <w:r>
        <w:rPr>
          <w:rFonts w:hint="eastAsia" w:hAnsi="宋体"/>
          <w:color w:val="000000"/>
        </w:rPr>
        <w:t>产品</w:t>
      </w:r>
      <w:r>
        <w:rPr>
          <w:rFonts w:hAnsi="宋体"/>
          <w:color w:val="000000"/>
        </w:rPr>
        <w:t>，终生维修，维修时只收部件成本费。</w:t>
      </w:r>
    </w:p>
    <w:p>
      <w:pPr>
        <w:pStyle w:val="15"/>
        <w:snapToGrid w:val="0"/>
        <w:spacing w:line="240" w:lineRule="auto"/>
        <w:rPr>
          <w:rFonts w:hAnsi="宋体"/>
          <w:b/>
        </w:rPr>
      </w:pPr>
      <w:r>
        <w:rPr>
          <w:rFonts w:hAnsi="宋体"/>
          <w:b/>
        </w:rPr>
        <w:t>十</w:t>
      </w:r>
      <w:r>
        <w:rPr>
          <w:rFonts w:hint="eastAsia" w:hAnsi="宋体"/>
          <w:b/>
        </w:rPr>
        <w:t>二</w:t>
      </w:r>
      <w:r>
        <w:rPr>
          <w:rFonts w:hAnsi="宋体"/>
          <w:b/>
        </w:rPr>
        <w:t>、调试和验收</w:t>
      </w:r>
    </w:p>
    <w:p>
      <w:pPr>
        <w:pStyle w:val="15"/>
        <w:snapToGrid w:val="0"/>
        <w:spacing w:line="240" w:lineRule="auto"/>
        <w:jc w:val="left"/>
        <w:rPr>
          <w:rFonts w:hAnsi="宋体"/>
        </w:rPr>
      </w:pPr>
      <w:r>
        <w:rPr>
          <w:rFonts w:hAnsi="宋体"/>
        </w:rPr>
        <w:t>1</w:t>
      </w:r>
      <w:r>
        <w:rPr>
          <w:rFonts w:hint="eastAsia" w:hAnsi="宋体"/>
        </w:rPr>
        <w:t>.</w:t>
      </w:r>
      <w:r>
        <w:rPr>
          <w:rFonts w:hAnsi="宋体"/>
        </w:rPr>
        <w:t xml:space="preserve"> 甲方对乙方提交的</w:t>
      </w:r>
      <w:r>
        <w:rPr>
          <w:rFonts w:hint="eastAsia" w:hAnsi="宋体"/>
        </w:rPr>
        <w:t>标的</w:t>
      </w:r>
      <w:r>
        <w:rPr>
          <w:rFonts w:hAnsi="宋体"/>
        </w:rPr>
        <w:t>依据招标文件上的技术规格要求和国家有关质量标准进行现场初步验收，外观、说明书符合招标文件技术要求的，给予签收，初步验收不合格的不予签收</w:t>
      </w:r>
      <w:r>
        <w:rPr>
          <w:rFonts w:hint="eastAsia" w:hAnsi="宋体"/>
        </w:rPr>
        <w:t>，</w:t>
      </w:r>
      <w:r>
        <w:rPr>
          <w:rFonts w:hAnsi="宋体"/>
        </w:rPr>
        <w:t>甲方需在五个工作日内验收。</w:t>
      </w:r>
    </w:p>
    <w:p>
      <w:pPr>
        <w:pStyle w:val="15"/>
        <w:snapToGrid w:val="0"/>
        <w:spacing w:line="240" w:lineRule="auto"/>
        <w:rPr>
          <w:rFonts w:hAnsi="宋体"/>
        </w:rPr>
      </w:pPr>
      <w:r>
        <w:rPr>
          <w:rFonts w:hAnsi="宋体"/>
        </w:rPr>
        <w:t>2</w:t>
      </w:r>
      <w:r>
        <w:rPr>
          <w:rFonts w:hint="eastAsia" w:hAnsi="宋体"/>
        </w:rPr>
        <w:t>.</w:t>
      </w:r>
      <w:r>
        <w:rPr>
          <w:rFonts w:hAnsi="宋体"/>
        </w:rPr>
        <w:t xml:space="preserve"> 乙方交</w:t>
      </w:r>
      <w:r>
        <w:rPr>
          <w:rFonts w:hint="eastAsia" w:hAnsi="宋体"/>
        </w:rPr>
        <w:t>付</w:t>
      </w:r>
      <w:r>
        <w:rPr>
          <w:rFonts w:hAnsi="宋体"/>
        </w:rPr>
        <w:t>前应对产品作出全面检查和对验收文件进行整理，并列出清单，作为甲方验收和使用的技术条件依据，检验的结果应随</w:t>
      </w:r>
      <w:r>
        <w:rPr>
          <w:rFonts w:hint="eastAsia" w:hAnsi="宋体"/>
        </w:rPr>
        <w:t>标的</w:t>
      </w:r>
      <w:r>
        <w:rPr>
          <w:rFonts w:hAnsi="宋体"/>
        </w:rPr>
        <w:t>交甲方。</w:t>
      </w:r>
    </w:p>
    <w:p>
      <w:pPr>
        <w:pStyle w:val="15"/>
        <w:snapToGrid w:val="0"/>
        <w:spacing w:line="240" w:lineRule="auto"/>
        <w:rPr>
          <w:rFonts w:hAnsi="宋体"/>
          <w:u w:val="single"/>
        </w:rPr>
      </w:pPr>
      <w:r>
        <w:rPr>
          <w:rFonts w:hAnsi="宋体"/>
        </w:rPr>
        <w:t>3</w:t>
      </w:r>
      <w:r>
        <w:rPr>
          <w:rFonts w:hint="eastAsia" w:hAnsi="宋体"/>
        </w:rPr>
        <w:t>.</w:t>
      </w:r>
      <w:r>
        <w:rPr>
          <w:rFonts w:hAnsi="宋体"/>
        </w:rPr>
        <w:t xml:space="preserve"> 甲方对乙方提供的</w:t>
      </w:r>
      <w:r>
        <w:rPr>
          <w:rFonts w:hint="eastAsia" w:hAnsi="宋体"/>
        </w:rPr>
        <w:t>标的</w:t>
      </w:r>
      <w:r>
        <w:rPr>
          <w:rFonts w:hAnsi="宋体"/>
        </w:rPr>
        <w:t>在使用前进行调试时，乙方需负责安装并培训甲方的使用操作人员，并协助甲方一起调试，直到符合技术要求，甲方才做最终验收。</w:t>
      </w:r>
    </w:p>
    <w:p>
      <w:pPr>
        <w:pStyle w:val="15"/>
        <w:snapToGrid w:val="0"/>
        <w:spacing w:line="240" w:lineRule="auto"/>
        <w:rPr>
          <w:rFonts w:hAnsi="宋体"/>
        </w:rPr>
      </w:pPr>
      <w:r>
        <w:rPr>
          <w:rFonts w:hAnsi="宋体"/>
          <w:color w:val="000000"/>
        </w:rPr>
        <w:t>4</w:t>
      </w:r>
      <w:r>
        <w:rPr>
          <w:rFonts w:hint="eastAsia" w:hAnsi="宋体"/>
          <w:color w:val="000000"/>
        </w:rPr>
        <w:t>.</w:t>
      </w:r>
      <w:r>
        <w:rPr>
          <w:rFonts w:hAnsi="宋体"/>
          <w:color w:val="000000"/>
        </w:rPr>
        <w:t xml:space="preserve"> </w:t>
      </w:r>
      <w:r>
        <w:rPr>
          <w:rFonts w:hAnsi="宋体"/>
        </w:rPr>
        <w:t>对技术复杂的</w:t>
      </w:r>
      <w:r>
        <w:rPr>
          <w:rFonts w:hint="eastAsia" w:hAnsi="宋体"/>
        </w:rPr>
        <w:t>标的</w:t>
      </w:r>
      <w:r>
        <w:rPr>
          <w:rFonts w:hAnsi="宋体"/>
        </w:rPr>
        <w:t>，甲方应请国家认可的专业检测机构参与初步验收及最终验收，并由其出具质量检测报告。</w:t>
      </w:r>
    </w:p>
    <w:p>
      <w:pPr>
        <w:pStyle w:val="15"/>
        <w:snapToGrid w:val="0"/>
        <w:spacing w:line="240" w:lineRule="auto"/>
        <w:rPr>
          <w:rFonts w:hAnsi="宋体"/>
        </w:rPr>
      </w:pPr>
      <w:r>
        <w:rPr>
          <w:rFonts w:hAnsi="宋体"/>
          <w:color w:val="000000"/>
        </w:rPr>
        <w:t>5</w:t>
      </w:r>
      <w:r>
        <w:rPr>
          <w:rFonts w:hint="eastAsia" w:hAnsi="宋体"/>
          <w:color w:val="000000"/>
        </w:rPr>
        <w:t>.</w:t>
      </w:r>
      <w:r>
        <w:rPr>
          <w:rFonts w:hAnsi="宋体"/>
          <w:color w:val="000000"/>
        </w:rPr>
        <w:t xml:space="preserve"> </w:t>
      </w:r>
      <w:r>
        <w:rPr>
          <w:rFonts w:hAnsi="宋体"/>
        </w:rPr>
        <w:t>验收时乙方必须在现场，验收完毕后作出验收结果报告；验收费用由乙方负责。</w:t>
      </w:r>
    </w:p>
    <w:p>
      <w:pPr>
        <w:pStyle w:val="15"/>
        <w:snapToGrid w:val="0"/>
        <w:spacing w:line="240" w:lineRule="auto"/>
        <w:rPr>
          <w:rFonts w:hAnsi="宋体"/>
          <w:b/>
        </w:rPr>
      </w:pPr>
      <w:r>
        <w:rPr>
          <w:rFonts w:hAnsi="宋体"/>
          <w:b/>
        </w:rPr>
        <w:t>十</w:t>
      </w:r>
      <w:r>
        <w:rPr>
          <w:rFonts w:hint="eastAsia" w:hAnsi="宋体"/>
          <w:b/>
        </w:rPr>
        <w:t>三</w:t>
      </w:r>
      <w:r>
        <w:rPr>
          <w:rFonts w:hAnsi="宋体"/>
          <w:b/>
        </w:rPr>
        <w:t>、包装、发运及运输</w:t>
      </w:r>
    </w:p>
    <w:p>
      <w:pPr>
        <w:pStyle w:val="15"/>
        <w:snapToGrid w:val="0"/>
        <w:spacing w:line="240" w:lineRule="auto"/>
        <w:ind w:left="480" w:hanging="480" w:hangingChars="200"/>
        <w:rPr>
          <w:rFonts w:hAnsi="宋体"/>
        </w:rPr>
      </w:pPr>
      <w:r>
        <w:rPr>
          <w:rFonts w:hAnsi="宋体"/>
        </w:rPr>
        <w:t>1</w:t>
      </w:r>
      <w:r>
        <w:rPr>
          <w:rFonts w:hint="eastAsia" w:hAnsi="宋体"/>
        </w:rPr>
        <w:t>.</w:t>
      </w:r>
      <w:r>
        <w:rPr>
          <w:rFonts w:hAnsi="宋体"/>
        </w:rPr>
        <w:t xml:space="preserve"> 乙方应在发运前对其进行满足运输距离、防潮、防震、防锈和防破损装卸等要求包装，以保证安全运达甲方指定地点。</w:t>
      </w:r>
    </w:p>
    <w:p>
      <w:pPr>
        <w:pStyle w:val="15"/>
        <w:snapToGrid w:val="0"/>
        <w:spacing w:line="240" w:lineRule="auto"/>
        <w:ind w:left="480" w:hanging="480" w:hangingChars="200"/>
        <w:rPr>
          <w:rFonts w:hAnsi="宋体"/>
        </w:rPr>
      </w:pPr>
      <w:r>
        <w:rPr>
          <w:rFonts w:hAnsi="宋体"/>
        </w:rPr>
        <w:t>2</w:t>
      </w:r>
      <w:r>
        <w:rPr>
          <w:rFonts w:hint="eastAsia" w:hAnsi="宋体"/>
        </w:rPr>
        <w:t>.</w:t>
      </w:r>
      <w:r>
        <w:rPr>
          <w:rFonts w:hAnsi="宋体"/>
        </w:rPr>
        <w:t xml:space="preserve"> 使用说明书、质量检验证明书、随配附件和工具以及清单一并附于</w:t>
      </w:r>
      <w:r>
        <w:rPr>
          <w:rFonts w:hint="eastAsia" w:hAnsi="宋体"/>
        </w:rPr>
        <w:t>标的</w:t>
      </w:r>
      <w:r>
        <w:rPr>
          <w:rFonts w:hAnsi="宋体"/>
        </w:rPr>
        <w:t>内。</w:t>
      </w:r>
    </w:p>
    <w:p>
      <w:pPr>
        <w:pStyle w:val="15"/>
        <w:snapToGrid w:val="0"/>
        <w:spacing w:line="240" w:lineRule="auto"/>
        <w:ind w:left="480" w:hanging="480" w:hangingChars="200"/>
        <w:rPr>
          <w:rFonts w:hAnsi="宋体"/>
        </w:rPr>
      </w:pPr>
      <w:r>
        <w:rPr>
          <w:rFonts w:hAnsi="宋体"/>
        </w:rPr>
        <w:t>3</w:t>
      </w:r>
      <w:r>
        <w:rPr>
          <w:rFonts w:hint="eastAsia" w:hAnsi="宋体"/>
        </w:rPr>
        <w:t>.</w:t>
      </w:r>
      <w:r>
        <w:rPr>
          <w:rFonts w:hAnsi="宋体"/>
        </w:rPr>
        <w:t xml:space="preserve"> 乙方在发运手续办理完毕后24小时内或到甲方48小时前通知甲方，以准备</w:t>
      </w:r>
      <w:r>
        <w:rPr>
          <w:rFonts w:hint="eastAsia" w:hAnsi="宋体"/>
        </w:rPr>
        <w:t>接收</w:t>
      </w:r>
      <w:r>
        <w:rPr>
          <w:rFonts w:hAnsi="宋体"/>
        </w:rPr>
        <w:t>。</w:t>
      </w:r>
    </w:p>
    <w:p>
      <w:pPr>
        <w:pStyle w:val="15"/>
        <w:snapToGrid w:val="0"/>
        <w:spacing w:line="240" w:lineRule="auto"/>
        <w:ind w:left="480" w:hanging="480" w:hangingChars="200"/>
        <w:rPr>
          <w:rFonts w:hAnsi="宋体"/>
        </w:rPr>
      </w:pPr>
      <w:r>
        <w:rPr>
          <w:rFonts w:hAnsi="宋体"/>
        </w:rPr>
        <w:t>4</w:t>
      </w:r>
      <w:r>
        <w:rPr>
          <w:rFonts w:hint="eastAsia" w:hAnsi="宋体"/>
        </w:rPr>
        <w:t>.</w:t>
      </w:r>
      <w:r>
        <w:rPr>
          <w:rFonts w:hAnsi="宋体"/>
        </w:rPr>
        <w:t xml:space="preserve"> </w:t>
      </w:r>
      <w:r>
        <w:rPr>
          <w:rFonts w:hint="eastAsia" w:hAnsi="宋体"/>
        </w:rPr>
        <w:t>标的</w:t>
      </w:r>
      <w:r>
        <w:rPr>
          <w:rFonts w:hAnsi="宋体"/>
        </w:rPr>
        <w:t>在交付甲方前发生的风险均由乙方负责。</w:t>
      </w:r>
    </w:p>
    <w:p>
      <w:pPr>
        <w:pStyle w:val="15"/>
        <w:snapToGrid w:val="0"/>
        <w:spacing w:beforeLines="0" w:afterLines="0" w:line="240" w:lineRule="auto"/>
        <w:ind w:left="480" w:right="26" w:hanging="480" w:hangingChars="200"/>
        <w:rPr>
          <w:rFonts w:hAnsi="宋体"/>
        </w:rPr>
      </w:pPr>
      <w:r>
        <w:rPr>
          <w:rFonts w:hAnsi="宋体"/>
        </w:rPr>
        <w:t>5</w:t>
      </w:r>
      <w:r>
        <w:rPr>
          <w:rFonts w:hint="eastAsia" w:hAnsi="宋体"/>
        </w:rPr>
        <w:t>.</w:t>
      </w:r>
      <w:r>
        <w:rPr>
          <w:rFonts w:hAnsi="宋体"/>
        </w:rPr>
        <w:t xml:space="preserve"> </w:t>
      </w:r>
      <w:r>
        <w:rPr>
          <w:rFonts w:hint="eastAsia" w:hAnsi="宋体"/>
        </w:rPr>
        <w:t>标的</w:t>
      </w:r>
      <w:r>
        <w:rPr>
          <w:rFonts w:hAnsi="宋体"/>
        </w:rPr>
        <w:t>在规定的交付期限内由乙方送达甲方指定的地点视为交付，乙方同时需通知甲方</w:t>
      </w:r>
      <w:r>
        <w:rPr>
          <w:rFonts w:hint="eastAsia" w:hAnsi="宋体"/>
        </w:rPr>
        <w:t>标的</w:t>
      </w:r>
      <w:r>
        <w:rPr>
          <w:rFonts w:hAnsi="宋体"/>
        </w:rPr>
        <w:t>已送达。</w:t>
      </w:r>
    </w:p>
    <w:p>
      <w:pPr>
        <w:pStyle w:val="15"/>
        <w:snapToGrid w:val="0"/>
        <w:spacing w:line="240" w:lineRule="auto"/>
        <w:rPr>
          <w:rFonts w:hAnsi="宋体"/>
          <w:b/>
        </w:rPr>
      </w:pPr>
      <w:r>
        <w:rPr>
          <w:rFonts w:hAnsi="宋体"/>
          <w:b/>
        </w:rPr>
        <w:t>十</w:t>
      </w:r>
      <w:r>
        <w:rPr>
          <w:rFonts w:hint="eastAsia" w:hAnsi="宋体"/>
          <w:b/>
        </w:rPr>
        <w:t>四</w:t>
      </w:r>
      <w:r>
        <w:rPr>
          <w:rFonts w:hAnsi="宋体"/>
          <w:b/>
        </w:rPr>
        <w:t>、违约责任</w:t>
      </w:r>
    </w:p>
    <w:p>
      <w:pPr>
        <w:pStyle w:val="15"/>
        <w:snapToGrid w:val="0"/>
        <w:spacing w:line="240" w:lineRule="auto"/>
        <w:ind w:left="410" w:hanging="410" w:hangingChars="171"/>
        <w:rPr>
          <w:rFonts w:hAnsi="宋体"/>
        </w:rPr>
      </w:pPr>
      <w:r>
        <w:rPr>
          <w:rFonts w:hAnsi="宋体"/>
        </w:rPr>
        <w:t>1</w:t>
      </w:r>
      <w:r>
        <w:rPr>
          <w:rFonts w:hint="eastAsia" w:hAnsi="宋体"/>
        </w:rPr>
        <w:t>.</w:t>
      </w:r>
      <w:r>
        <w:rPr>
          <w:rFonts w:hAnsi="宋体"/>
        </w:rPr>
        <w:t xml:space="preserve"> 甲方无正当理由拒收的，甲方向乙方偿付拒收</w:t>
      </w:r>
      <w:r>
        <w:rPr>
          <w:rFonts w:hint="eastAsia" w:hAnsi="宋体"/>
        </w:rPr>
        <w:t>合同款</w:t>
      </w:r>
      <w:r>
        <w:rPr>
          <w:rFonts w:hAnsi="宋体"/>
        </w:rPr>
        <w:t>总值的</w:t>
      </w:r>
      <w:r>
        <w:rPr>
          <w:rFonts w:hint="eastAsia" w:hAnsi="宋体"/>
        </w:rPr>
        <w:t>5%</w:t>
      </w:r>
      <w:r>
        <w:rPr>
          <w:rFonts w:hAnsi="宋体"/>
        </w:rPr>
        <w:t>违约金。</w:t>
      </w:r>
    </w:p>
    <w:p>
      <w:pPr>
        <w:pStyle w:val="15"/>
        <w:snapToGrid w:val="0"/>
        <w:spacing w:line="240" w:lineRule="auto"/>
        <w:ind w:left="410" w:hanging="410" w:hangingChars="171"/>
        <w:rPr>
          <w:rFonts w:hAnsi="宋体"/>
        </w:rPr>
      </w:pPr>
      <w:r>
        <w:rPr>
          <w:rFonts w:hAnsi="宋体"/>
        </w:rPr>
        <w:t>2</w:t>
      </w:r>
      <w:r>
        <w:rPr>
          <w:rFonts w:hint="eastAsia" w:hAnsi="宋体"/>
        </w:rPr>
        <w:t>.</w:t>
      </w:r>
      <w:r>
        <w:rPr>
          <w:rFonts w:hAnsi="宋体"/>
        </w:rPr>
        <w:t xml:space="preserve"> 甲方无故逾期验收和办理</w:t>
      </w:r>
      <w:r>
        <w:rPr>
          <w:rFonts w:hint="eastAsia" w:hAnsi="宋体"/>
        </w:rPr>
        <w:t>款项</w:t>
      </w:r>
      <w:r>
        <w:rPr>
          <w:rFonts w:hAnsi="宋体"/>
        </w:rPr>
        <w:t>支付手续的,甲方应按逾期付款总额每日万分之五向乙方支付违约金。</w:t>
      </w:r>
    </w:p>
    <w:p>
      <w:pPr>
        <w:pStyle w:val="15"/>
        <w:snapToGrid w:val="0"/>
        <w:spacing w:line="240" w:lineRule="auto"/>
        <w:ind w:left="410" w:hanging="410" w:hangingChars="171"/>
        <w:rPr>
          <w:rFonts w:hAnsi="宋体"/>
        </w:rPr>
      </w:pPr>
      <w:r>
        <w:rPr>
          <w:rFonts w:hAnsi="宋体"/>
        </w:rPr>
        <w:t>3</w:t>
      </w:r>
      <w:r>
        <w:rPr>
          <w:rFonts w:hint="eastAsia" w:hAnsi="宋体"/>
        </w:rPr>
        <w:t>.</w:t>
      </w:r>
      <w:r>
        <w:rPr>
          <w:rFonts w:hAnsi="宋体"/>
        </w:rPr>
        <w:t xml:space="preserve"> 乙方逾期交付的，乙方应按逾期</w:t>
      </w:r>
      <w:r>
        <w:rPr>
          <w:rFonts w:hint="eastAsia" w:hAnsi="宋体"/>
        </w:rPr>
        <w:t>交付</w:t>
      </w:r>
      <w:r>
        <w:rPr>
          <w:rFonts w:hAnsi="宋体"/>
        </w:rPr>
        <w:t>总额每日万分之五向甲方支付违约金，由甲方从待付货款中扣除。逾期超过约定日期</w:t>
      </w:r>
      <w:r>
        <w:rPr>
          <w:rFonts w:hint="eastAsia" w:hAnsi="宋体"/>
        </w:rPr>
        <w:t>2</w:t>
      </w:r>
      <w:r>
        <w:rPr>
          <w:rFonts w:hAnsi="宋体"/>
        </w:rPr>
        <w:t>0个工作日不能</w:t>
      </w:r>
      <w:r>
        <w:rPr>
          <w:rFonts w:hint="eastAsia" w:hAnsi="宋体"/>
        </w:rPr>
        <w:t>交付</w:t>
      </w:r>
      <w:r>
        <w:rPr>
          <w:rFonts w:hAnsi="宋体"/>
        </w:rPr>
        <w:t>的，甲方可解除本合同。乙方因逾期</w:t>
      </w:r>
      <w:r>
        <w:rPr>
          <w:rFonts w:hint="eastAsia" w:hAnsi="宋体"/>
        </w:rPr>
        <w:t>交付</w:t>
      </w:r>
      <w:r>
        <w:rPr>
          <w:rFonts w:hAnsi="宋体"/>
        </w:rPr>
        <w:t xml:space="preserve">或因其他违约行为导致甲方解除合同的，乙方应向甲方支付合同总值5%的违约金，如造成甲方损失超过违约金的，超出部分由乙方继续承担赔偿责任。 </w:t>
      </w:r>
    </w:p>
    <w:p>
      <w:pPr>
        <w:pStyle w:val="15"/>
        <w:snapToGrid w:val="0"/>
        <w:spacing w:line="240" w:lineRule="auto"/>
        <w:ind w:left="410" w:hanging="410" w:hangingChars="171"/>
        <w:rPr>
          <w:rFonts w:hAnsi="宋体"/>
        </w:rPr>
      </w:pPr>
      <w:r>
        <w:rPr>
          <w:rFonts w:hAnsi="宋体"/>
        </w:rPr>
        <w:t>4</w:t>
      </w:r>
      <w:r>
        <w:rPr>
          <w:rFonts w:hint="eastAsia" w:hAnsi="宋体"/>
        </w:rPr>
        <w:t>.</w:t>
      </w:r>
      <w:r>
        <w:rPr>
          <w:rFonts w:hAnsi="宋体"/>
        </w:rPr>
        <w:t xml:space="preserve"> 乙方所交的</w:t>
      </w:r>
      <w:r>
        <w:rPr>
          <w:rFonts w:hint="eastAsia" w:hAnsi="宋体"/>
        </w:rPr>
        <w:t>标的</w:t>
      </w:r>
      <w:r>
        <w:rPr>
          <w:rFonts w:hAnsi="宋体"/>
        </w:rPr>
        <w:t>品种、型号、规格、技术参数、质量不符合合同规定及招标文件规定标准的，甲方有权拒收，乙方愿意更换但逾期</w:t>
      </w:r>
      <w:r>
        <w:rPr>
          <w:rFonts w:hint="eastAsia" w:hAnsi="宋体"/>
        </w:rPr>
        <w:t>交付</w:t>
      </w:r>
      <w:r>
        <w:rPr>
          <w:rFonts w:hAnsi="宋体"/>
        </w:rPr>
        <w:t>的，按乙方逾期</w:t>
      </w:r>
      <w:r>
        <w:rPr>
          <w:rFonts w:hint="eastAsia" w:hAnsi="宋体"/>
        </w:rPr>
        <w:t>交付</w:t>
      </w:r>
      <w:r>
        <w:rPr>
          <w:rFonts w:hAnsi="宋体"/>
        </w:rPr>
        <w:t>处理。乙方拒绝更换的，甲方可单方面解除合同。</w:t>
      </w:r>
    </w:p>
    <w:p>
      <w:pPr>
        <w:pStyle w:val="15"/>
        <w:snapToGrid w:val="0"/>
        <w:spacing w:line="240" w:lineRule="auto"/>
        <w:rPr>
          <w:rFonts w:hAnsi="宋体"/>
          <w:b/>
        </w:rPr>
      </w:pPr>
      <w:r>
        <w:rPr>
          <w:rFonts w:hAnsi="宋体"/>
          <w:b/>
        </w:rPr>
        <w:t>十</w:t>
      </w:r>
      <w:r>
        <w:rPr>
          <w:rFonts w:hint="eastAsia" w:hAnsi="宋体"/>
          <w:b/>
        </w:rPr>
        <w:t>五</w:t>
      </w:r>
      <w:r>
        <w:rPr>
          <w:rFonts w:hAnsi="宋体"/>
          <w:b/>
        </w:rPr>
        <w:t>、不可抗力事件处理</w:t>
      </w:r>
    </w:p>
    <w:p>
      <w:pPr>
        <w:pStyle w:val="15"/>
        <w:snapToGrid w:val="0"/>
        <w:spacing w:line="24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15"/>
        <w:snapToGrid w:val="0"/>
        <w:spacing w:line="240" w:lineRule="auto"/>
        <w:rPr>
          <w:rFonts w:hAnsi="宋体"/>
        </w:rPr>
      </w:pPr>
      <w:r>
        <w:rPr>
          <w:rFonts w:hAnsi="宋体"/>
        </w:rPr>
        <w:t>2</w:t>
      </w:r>
      <w:r>
        <w:rPr>
          <w:rFonts w:hint="eastAsia" w:hAnsi="宋体"/>
        </w:rPr>
        <w:t>.</w:t>
      </w:r>
      <w:r>
        <w:rPr>
          <w:rFonts w:hAnsi="宋体"/>
        </w:rPr>
        <w:t xml:space="preserve"> 不可抗力事件发生后，应立即通知对方，并寄送有关权威机构出具的证明。</w:t>
      </w:r>
    </w:p>
    <w:p>
      <w:pPr>
        <w:pStyle w:val="15"/>
        <w:snapToGrid w:val="0"/>
        <w:spacing w:line="240" w:lineRule="auto"/>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15"/>
        <w:snapToGrid w:val="0"/>
        <w:spacing w:line="240" w:lineRule="auto"/>
        <w:rPr>
          <w:rFonts w:hAnsi="宋体"/>
          <w:b/>
        </w:rPr>
      </w:pPr>
      <w:r>
        <w:rPr>
          <w:rFonts w:hAnsi="宋体"/>
          <w:b/>
        </w:rPr>
        <w:t>十</w:t>
      </w:r>
      <w:r>
        <w:rPr>
          <w:rFonts w:hint="eastAsia" w:hAnsi="宋体"/>
          <w:b/>
        </w:rPr>
        <w:t>六</w:t>
      </w:r>
      <w:r>
        <w:rPr>
          <w:rFonts w:hAnsi="宋体"/>
          <w:b/>
        </w:rPr>
        <w:t>、诉讼</w:t>
      </w:r>
    </w:p>
    <w:p>
      <w:pPr>
        <w:pStyle w:val="15"/>
        <w:snapToGrid w:val="0"/>
        <w:spacing w:line="240" w:lineRule="auto"/>
        <w:ind w:left="480" w:hanging="480" w:hangingChars="200"/>
        <w:rPr>
          <w:rFonts w:hAnsi="宋体"/>
        </w:rPr>
      </w:pPr>
      <w:r>
        <w:rPr>
          <w:rFonts w:hAnsi="宋体"/>
        </w:rPr>
        <w:t xml:space="preserve"> 双方在执行合同中所发生的一切争议，应通过协商解决。如协商不成，可向</w:t>
      </w:r>
      <w:r>
        <w:rPr>
          <w:rFonts w:hint="eastAsia" w:hAnsi="宋体"/>
        </w:rPr>
        <w:t>甲方所在地提起仲裁或</w:t>
      </w:r>
      <w:r>
        <w:rPr>
          <w:rFonts w:hAnsi="宋体"/>
        </w:rPr>
        <w:t>法院起诉。</w:t>
      </w:r>
    </w:p>
    <w:p>
      <w:pPr>
        <w:pStyle w:val="15"/>
        <w:snapToGrid w:val="0"/>
        <w:spacing w:line="240" w:lineRule="auto"/>
        <w:rPr>
          <w:rFonts w:hAnsi="宋体"/>
          <w:b/>
        </w:rPr>
      </w:pPr>
      <w:r>
        <w:rPr>
          <w:rFonts w:hAnsi="宋体"/>
          <w:b/>
        </w:rPr>
        <w:t>十</w:t>
      </w:r>
      <w:r>
        <w:rPr>
          <w:rFonts w:hint="eastAsia" w:hAnsi="宋体"/>
          <w:b/>
        </w:rPr>
        <w:t>七</w:t>
      </w:r>
      <w:r>
        <w:rPr>
          <w:rFonts w:hAnsi="宋体"/>
          <w:b/>
        </w:rPr>
        <w:t>、合同生效及其它</w:t>
      </w:r>
    </w:p>
    <w:p>
      <w:pPr>
        <w:pStyle w:val="15"/>
        <w:snapToGrid w:val="0"/>
        <w:spacing w:line="240" w:lineRule="auto"/>
        <w:rPr>
          <w:rFonts w:hAnsi="宋体"/>
        </w:rPr>
      </w:pPr>
      <w:r>
        <w:rPr>
          <w:rFonts w:hAnsi="宋体"/>
        </w:rPr>
        <w:t>1</w:t>
      </w:r>
      <w:r>
        <w:rPr>
          <w:rFonts w:hint="eastAsia" w:hAnsi="宋体"/>
        </w:rPr>
        <w:t>.</w:t>
      </w:r>
      <w:r>
        <w:rPr>
          <w:rFonts w:hAnsi="宋体"/>
        </w:rPr>
        <w:t xml:space="preserve"> 合同经双方法定代表人或授权代表签字并盖章后生效。</w:t>
      </w:r>
    </w:p>
    <w:p>
      <w:pPr>
        <w:tabs>
          <w:tab w:val="left" w:pos="2310"/>
        </w:tabs>
        <w:spacing w:line="460" w:lineRule="exact"/>
        <w:rPr>
          <w:rFonts w:ascii="宋体" w:hAnsi="宋体"/>
          <w:sz w:val="24"/>
          <w:szCs w:val="24"/>
        </w:rPr>
      </w:pPr>
      <w:r>
        <w:rPr>
          <w:rFonts w:ascii="宋体" w:hAnsi="宋体"/>
          <w:sz w:val="24"/>
          <w:szCs w:val="24"/>
        </w:rPr>
        <w:t>2</w:t>
      </w:r>
      <w:r>
        <w:rPr>
          <w:rFonts w:hint="eastAsia" w:ascii="宋体" w:hAnsi="宋体"/>
          <w:sz w:val="24"/>
          <w:szCs w:val="24"/>
        </w:rPr>
        <w:t>. 根据《中华人民共和国政府采购法实施条例》第50条之规定，本合同自签订之日起2个工作日内，由甲方在</w:t>
      </w:r>
      <w:r>
        <w:rPr>
          <w:rFonts w:hint="eastAsia" w:ascii="宋体" w:hAnsi="宋体"/>
          <w:sz w:val="24"/>
        </w:rPr>
        <w:t>浙江政府采购网(zfcg.czt.zj.gov.cn)</w:t>
      </w:r>
      <w:r>
        <w:rPr>
          <w:rFonts w:hint="eastAsia" w:ascii="宋体" w:hAnsi="宋体"/>
          <w:sz w:val="24"/>
          <w:szCs w:val="24"/>
        </w:rPr>
        <w:t>上公告。</w:t>
      </w:r>
    </w:p>
    <w:p>
      <w:pPr>
        <w:pStyle w:val="15"/>
        <w:snapToGrid w:val="0"/>
        <w:spacing w:line="240" w:lineRule="auto"/>
        <w:ind w:left="480" w:hanging="480" w:hangingChars="200"/>
        <w:rPr>
          <w:rFonts w:hAnsi="宋体"/>
        </w:rPr>
      </w:pPr>
      <w:r>
        <w:rPr>
          <w:rFonts w:hAnsi="宋体"/>
        </w:rPr>
        <w:t>3</w:t>
      </w:r>
      <w:r>
        <w:rPr>
          <w:rFonts w:hint="eastAsia" w:hAnsi="宋体"/>
        </w:rPr>
        <w:t>.</w:t>
      </w:r>
      <w:r>
        <w:rPr>
          <w:rFonts w:hAnsi="宋体"/>
        </w:rPr>
        <w:t>本合同未尽事宜，遵照《合同法》有关条文执行。</w:t>
      </w:r>
    </w:p>
    <w:p>
      <w:pPr>
        <w:pStyle w:val="15"/>
        <w:snapToGrid w:val="0"/>
        <w:spacing w:line="240" w:lineRule="auto"/>
        <w:ind w:left="480" w:hanging="480" w:hangingChars="200"/>
        <w:rPr>
          <w:rFonts w:hAnsi="宋体"/>
        </w:rPr>
      </w:pPr>
      <w:r>
        <w:rPr>
          <w:rFonts w:hAnsi="宋体"/>
        </w:rPr>
        <w:t>4</w:t>
      </w:r>
      <w:r>
        <w:rPr>
          <w:rFonts w:hint="eastAsia" w:hAnsi="宋体"/>
        </w:rPr>
        <w:t>.</w:t>
      </w:r>
      <w:r>
        <w:rPr>
          <w:rFonts w:hAnsi="宋体"/>
        </w:rPr>
        <w:t>本合同正本一式两份，具有同等法律效力，甲乙双方各执一份；副本</w:t>
      </w:r>
      <w:r>
        <w:rPr>
          <w:rFonts w:hint="eastAsia" w:hAnsi="宋体"/>
          <w:b/>
          <w:u w:val="single"/>
        </w:rPr>
        <w:t xml:space="preserve">   </w:t>
      </w:r>
      <w:r>
        <w:rPr>
          <w:rFonts w:hAnsi="宋体"/>
        </w:rPr>
        <w:t>份，(用途)。</w:t>
      </w:r>
    </w:p>
    <w:p>
      <w:pPr>
        <w:pStyle w:val="15"/>
        <w:snapToGrid w:val="0"/>
        <w:spacing w:line="240" w:lineRule="auto"/>
        <w:ind w:left="480" w:hanging="480" w:hangingChars="200"/>
        <w:rPr>
          <w:rFonts w:hAnsi="宋体"/>
        </w:rPr>
      </w:pPr>
      <w:r>
        <w:rPr>
          <w:rFonts w:hAnsi="宋体"/>
        </w:rPr>
        <w:t xml:space="preserve">  甲方：</w:t>
      </w:r>
      <w:r>
        <w:rPr>
          <w:rFonts w:hint="eastAsia" w:hAnsi="宋体"/>
        </w:rPr>
        <w:t xml:space="preserve">  </w:t>
      </w:r>
      <w:r>
        <w:rPr>
          <w:rFonts w:hAnsi="宋体"/>
        </w:rPr>
        <w:t xml:space="preserve">                                 乙方： </w:t>
      </w:r>
    </w:p>
    <w:p>
      <w:pPr>
        <w:pStyle w:val="15"/>
        <w:snapToGrid w:val="0"/>
        <w:spacing w:line="240" w:lineRule="auto"/>
        <w:rPr>
          <w:rFonts w:hAnsi="宋体"/>
        </w:rPr>
      </w:pPr>
      <w:r>
        <w:rPr>
          <w:rFonts w:hAnsi="宋体"/>
        </w:rPr>
        <w:t xml:space="preserve">  地址：                                   地址： </w:t>
      </w:r>
    </w:p>
    <w:p>
      <w:pPr>
        <w:pStyle w:val="15"/>
        <w:snapToGrid w:val="0"/>
        <w:spacing w:line="240" w:lineRule="auto"/>
        <w:rPr>
          <w:rFonts w:hAnsi="宋体"/>
        </w:rPr>
      </w:pPr>
      <w:r>
        <w:rPr>
          <w:rFonts w:hAnsi="宋体"/>
        </w:rPr>
        <w:t xml:space="preserve">  法定</w:t>
      </w:r>
      <w:r>
        <w:rPr>
          <w:rFonts w:hint="eastAsia" w:hAnsi="宋体"/>
        </w:rPr>
        <w:t>（授权）</w:t>
      </w:r>
      <w:r>
        <w:rPr>
          <w:rFonts w:hAnsi="宋体"/>
        </w:rPr>
        <w:t>代表人：                     法定</w:t>
      </w:r>
      <w:r>
        <w:rPr>
          <w:rFonts w:hint="eastAsia" w:hAnsi="宋体"/>
        </w:rPr>
        <w:t>（授权）</w:t>
      </w:r>
      <w:r>
        <w:rPr>
          <w:rFonts w:hAnsi="宋体"/>
        </w:rPr>
        <w:t>代表人：</w:t>
      </w:r>
    </w:p>
    <w:p>
      <w:pPr>
        <w:pStyle w:val="15"/>
        <w:snapToGrid w:val="0"/>
        <w:spacing w:line="240" w:lineRule="auto"/>
        <w:rPr>
          <w:rFonts w:hint="eastAsia" w:hAnsi="宋体"/>
        </w:rPr>
      </w:pPr>
      <w:r>
        <w:rPr>
          <w:rFonts w:hAnsi="宋体"/>
        </w:rPr>
        <w:t xml:space="preserve">  </w:t>
      </w:r>
    </w:p>
    <w:p>
      <w:pPr>
        <w:pStyle w:val="15"/>
        <w:snapToGrid w:val="0"/>
        <w:spacing w:line="240" w:lineRule="auto"/>
        <w:rPr>
          <w:rFonts w:hint="eastAsia" w:hAnsi="宋体"/>
        </w:rPr>
      </w:pPr>
      <w:r>
        <w:rPr>
          <w:rFonts w:hAnsi="宋体"/>
        </w:rPr>
        <w:t>签</w:t>
      </w:r>
      <w:r>
        <w:rPr>
          <w:rFonts w:hint="eastAsia" w:hAnsi="宋体"/>
        </w:rPr>
        <w:t>字日期</w:t>
      </w:r>
      <w:r>
        <w:rPr>
          <w:rFonts w:hAnsi="宋体"/>
        </w:rPr>
        <w:t xml:space="preserve">：      年  月  日  </w:t>
      </w:r>
      <w:r>
        <w:rPr>
          <w:rFonts w:hint="eastAsia" w:hAnsi="宋体"/>
        </w:rPr>
        <w:t xml:space="preserve">    </w:t>
      </w:r>
      <w:r>
        <w:rPr>
          <w:rFonts w:hAnsi="宋体"/>
        </w:rPr>
        <w:t xml:space="preserve">     签</w:t>
      </w:r>
      <w:r>
        <w:rPr>
          <w:rFonts w:hint="eastAsia" w:hAnsi="宋体"/>
        </w:rPr>
        <w:t>字</w:t>
      </w:r>
      <w:r>
        <w:rPr>
          <w:rFonts w:hAnsi="宋体"/>
        </w:rPr>
        <w:t>日期：      年  月  日</w:t>
      </w:r>
    </w:p>
    <w:p>
      <w:pPr>
        <w:ind w:firstLine="425"/>
        <w:jc w:val="center"/>
        <w:rPr>
          <w:rFonts w:hint="eastAsia" w:eastAsia="黑体"/>
          <w:sz w:val="32"/>
        </w:rPr>
      </w:pPr>
      <w:r>
        <w:rPr>
          <w:rFonts w:eastAsia="黑体"/>
          <w:sz w:val="32"/>
        </w:rPr>
        <w:br w:type="page"/>
      </w:r>
      <w:r>
        <w:rPr>
          <w:rFonts w:hint="eastAsia" w:eastAsia="黑体"/>
          <w:sz w:val="32"/>
        </w:rPr>
        <w:t>第六部分 投标文件格式</w:t>
      </w:r>
    </w:p>
    <w:p>
      <w:pPr>
        <w:jc w:val="left"/>
        <w:rPr>
          <w:rFonts w:hint="eastAsia" w:eastAsia="黑体"/>
          <w:sz w:val="32"/>
        </w:rPr>
      </w:pPr>
      <w:r>
        <w:rPr>
          <w:rFonts w:hint="eastAsia" w:eastAsia="黑体"/>
          <w:sz w:val="32"/>
        </w:rPr>
        <w:t xml:space="preserve">封面 </w:t>
      </w:r>
    </w:p>
    <w:p>
      <w:pPr>
        <w:jc w:val="left"/>
        <w:rPr>
          <w:rFonts w:hint="eastAsia" w:eastAsia="黑体"/>
          <w:sz w:val="32"/>
        </w:rPr>
      </w:pPr>
    </w:p>
    <w:p>
      <w:pPr>
        <w:jc w:val="left"/>
        <w:rPr>
          <w:rFonts w:hint="eastAsia" w:eastAsia="黑体"/>
          <w:sz w:val="32"/>
        </w:rPr>
      </w:pPr>
    </w:p>
    <w:p>
      <w:pPr>
        <w:rPr>
          <w:rFonts w:hint="eastAsia"/>
        </w:rPr>
      </w:pPr>
    </w:p>
    <w:p>
      <w:pPr>
        <w:spacing w:line="360" w:lineRule="auto"/>
        <w:jc w:val="center"/>
        <w:rPr>
          <w:rFonts w:ascii="宋体" w:hAnsi="宋体"/>
          <w:b/>
          <w:sz w:val="72"/>
          <w:szCs w:val="72"/>
        </w:rPr>
      </w:pPr>
      <w:r>
        <w:rPr>
          <w:rFonts w:hint="eastAsia" w:ascii="宋体" w:hAnsi="宋体"/>
          <w:b/>
          <w:sz w:val="72"/>
          <w:szCs w:val="72"/>
        </w:rPr>
        <w:t>投</w:t>
      </w:r>
    </w:p>
    <w:p>
      <w:pPr>
        <w:spacing w:line="360" w:lineRule="auto"/>
        <w:jc w:val="center"/>
        <w:rPr>
          <w:rFonts w:ascii="宋体" w:hAnsi="宋体"/>
          <w:b/>
          <w:sz w:val="72"/>
          <w:szCs w:val="72"/>
        </w:rPr>
      </w:pPr>
      <w:r>
        <w:rPr>
          <w:rFonts w:hint="eastAsia" w:ascii="宋体" w:hAnsi="宋体"/>
          <w:b/>
          <w:sz w:val="72"/>
          <w:szCs w:val="72"/>
        </w:rPr>
        <w:t>标</w:t>
      </w: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hint="eastAsia" w:ascii="宋体" w:hAnsi="宋体"/>
          <w:b/>
          <w:sz w:val="72"/>
          <w:szCs w:val="72"/>
        </w:rPr>
      </w:pPr>
      <w:r>
        <w:rPr>
          <w:rFonts w:hint="eastAsia" w:ascii="宋体" w:hAnsi="宋体"/>
          <w:b/>
          <w:sz w:val="72"/>
          <w:szCs w:val="72"/>
        </w:rPr>
        <w:t>件</w:t>
      </w: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36"/>
        </w:rPr>
      </w:pPr>
      <w:r>
        <w:rPr>
          <w:rFonts w:hint="eastAsia" w:ascii="黑体" w:eastAsia="黑体"/>
          <w:sz w:val="36"/>
        </w:rPr>
        <w:t>采购编号:________________________</w:t>
      </w:r>
    </w:p>
    <w:p>
      <w:pPr>
        <w:jc w:val="center"/>
        <w:rPr>
          <w:rFonts w:hint="eastAsia" w:ascii="黑体" w:eastAsia="黑体"/>
          <w:sz w:val="36"/>
        </w:rPr>
      </w:pPr>
      <w:r>
        <w:rPr>
          <w:rFonts w:hint="eastAsia" w:ascii="黑体" w:eastAsia="黑体"/>
          <w:sz w:val="36"/>
        </w:rPr>
        <w:t>项目名称:________________________</w:t>
      </w:r>
    </w:p>
    <w:p>
      <w:pPr>
        <w:jc w:val="center"/>
        <w:rPr>
          <w:rFonts w:hint="eastAsia" w:ascii="黑体" w:eastAsia="黑体"/>
          <w:sz w:val="36"/>
        </w:rPr>
      </w:pPr>
    </w:p>
    <w:p>
      <w:pPr>
        <w:jc w:val="center"/>
        <w:rPr>
          <w:rFonts w:hint="eastAsia" w:ascii="黑体" w:eastAsia="黑体"/>
          <w:sz w:val="36"/>
        </w:rPr>
      </w:pPr>
      <w:r>
        <w:rPr>
          <w:rFonts w:hint="eastAsia" w:ascii="黑体" w:eastAsia="黑体"/>
          <w:sz w:val="36"/>
        </w:rPr>
        <w:t>投 标 人:________________________</w:t>
      </w:r>
    </w:p>
    <w:p>
      <w:pPr>
        <w:jc w:val="center"/>
        <w:rPr>
          <w:rFonts w:hint="eastAsia" w:ascii="黑体" w:eastAsia="黑体"/>
          <w:sz w:val="36"/>
        </w:rPr>
      </w:pPr>
    </w:p>
    <w:p>
      <w:pPr>
        <w:jc w:val="center"/>
        <w:rPr>
          <w:rFonts w:hint="eastAsia" w:ascii="黑体" w:eastAsia="黑体"/>
          <w:sz w:val="32"/>
        </w:rPr>
      </w:pP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cs="宋体"/>
          <w:b/>
          <w:bCs/>
          <w:sz w:val="44"/>
          <w:szCs w:val="44"/>
        </w:rPr>
      </w:pPr>
      <w:r>
        <w:br w:type="page"/>
      </w:r>
      <w:r>
        <w:rPr>
          <w:rFonts w:hint="eastAsia"/>
          <w:b/>
          <w:bCs/>
          <w:sz w:val="24"/>
          <w:szCs w:val="24"/>
        </w:rPr>
        <w:t>投标应答索引表</w:t>
      </w:r>
    </w:p>
    <w:tbl>
      <w:tblPr>
        <w:tblStyle w:val="23"/>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2148"/>
        <w:gridCol w:w="1227"/>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090"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227"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20"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一</w:t>
            </w:r>
          </w:p>
        </w:tc>
        <w:tc>
          <w:tcPr>
            <w:tcW w:w="3090"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b/>
                <w:bCs/>
                <w:szCs w:val="21"/>
              </w:rPr>
              <w:t>报价部分</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227"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2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090"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4"/>
              </w:rPr>
              <w:t>开标一览表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090"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投标分项报价表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小微企业产品分项报价表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节能产品分项报价表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环境标志产品分项报价表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投标成本测算清单</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8</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二</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1227"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2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技术（商务/服务）规范偏离表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售后服务表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完成的类似项目一览表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实施/技术人员一览表</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三</w:t>
            </w:r>
          </w:p>
        </w:tc>
        <w:tc>
          <w:tcPr>
            <w:tcW w:w="3090"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1227"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2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特定资格条件证明材料</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营业执照、事业或社团登记证等副本复印件</w:t>
            </w:r>
          </w:p>
        </w:tc>
        <w:tc>
          <w:tcPr>
            <w:tcW w:w="2148"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诚信投标承诺书</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中小微企业申明函</w:t>
            </w:r>
          </w:p>
        </w:tc>
        <w:tc>
          <w:tcPr>
            <w:tcW w:w="2148" w:type="dxa"/>
            <w:noWrap w:val="0"/>
            <w:vAlign w:val="center"/>
          </w:tcPr>
          <w:p>
            <w:pPr>
              <w:snapToGrid w:val="0"/>
              <w:spacing w:line="40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残疾人福利性单位声明函</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3090" w:type="dxa"/>
            <w:noWrap w:val="0"/>
            <w:vAlign w:val="center"/>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近年财务状况表</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227" w:type="dxa"/>
            <w:tcBorders>
              <w:bottom w:val="single" w:color="auto" w:sz="4" w:space="0"/>
            </w:tcBorders>
            <w:noWrap w:val="0"/>
            <w:vAlign w:val="center"/>
          </w:tcPr>
          <w:p>
            <w:pPr>
              <w:snapToGrid w:val="0"/>
              <w:spacing w:line="400" w:lineRule="exact"/>
              <w:rPr>
                <w:rFonts w:ascii="微软雅黑" w:hAnsi="微软雅黑" w:eastAsia="微软雅黑" w:cs="微软雅黑"/>
                <w:szCs w:val="21"/>
              </w:rPr>
            </w:pPr>
          </w:p>
        </w:tc>
        <w:tc>
          <w:tcPr>
            <w:tcW w:w="2220" w:type="dxa"/>
            <w:tcBorders>
              <w:bottom w:val="single" w:color="auto" w:sz="4" w:space="0"/>
            </w:tcBorders>
            <w:noWrap w:val="0"/>
            <w:vAlign w:val="center"/>
          </w:tcPr>
          <w:p>
            <w:pPr>
              <w:snapToGrid w:val="0"/>
              <w:spacing w:line="400" w:lineRule="exact"/>
              <w:rPr>
                <w:rFonts w:hint="eastAsia"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法定代表人授权书</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tcBorders>
              <w:bottom w:val="single" w:color="auto" w:sz="4" w:space="0"/>
            </w:tcBorders>
            <w:noWrap w:val="0"/>
            <w:vAlign w:val="center"/>
          </w:tcPr>
          <w:p>
            <w:pPr>
              <w:snapToGrid w:val="0"/>
              <w:spacing w:line="400" w:lineRule="exact"/>
              <w:rPr>
                <w:rFonts w:ascii="微软雅黑" w:hAnsi="微软雅黑" w:eastAsia="微软雅黑" w:cs="微软雅黑"/>
                <w:szCs w:val="21"/>
              </w:rPr>
            </w:pPr>
          </w:p>
        </w:tc>
        <w:tc>
          <w:tcPr>
            <w:tcW w:w="2220" w:type="dxa"/>
            <w:tcBorders>
              <w:bottom w:val="single" w:color="auto" w:sz="4" w:space="0"/>
            </w:tcBorders>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授权他人的需要提供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8</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法定代表人、授权人身份证明</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227" w:type="dxa"/>
            <w:tcBorders>
              <w:bottom w:val="single" w:color="auto" w:sz="4" w:space="0"/>
            </w:tcBorders>
            <w:noWrap w:val="0"/>
            <w:vAlign w:val="center"/>
          </w:tcPr>
          <w:p>
            <w:pPr>
              <w:snapToGrid w:val="0"/>
              <w:spacing w:line="400" w:lineRule="exact"/>
              <w:rPr>
                <w:rFonts w:ascii="微软雅黑" w:hAnsi="微软雅黑" w:eastAsia="微软雅黑" w:cs="微软雅黑"/>
                <w:szCs w:val="21"/>
              </w:rPr>
            </w:pPr>
          </w:p>
        </w:tc>
        <w:tc>
          <w:tcPr>
            <w:tcW w:w="2220" w:type="dxa"/>
            <w:tcBorders>
              <w:bottom w:val="single" w:color="auto" w:sz="4" w:space="0"/>
            </w:tcBorders>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9</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制造厂商授权函</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tcBorders>
              <w:top w:val="single" w:color="auto" w:sz="4" w:space="0"/>
              <w:bottom w:val="single" w:color="auto" w:sz="4" w:space="0"/>
            </w:tcBorders>
            <w:noWrap w:val="0"/>
            <w:vAlign w:val="center"/>
          </w:tcPr>
          <w:p>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联合投标协议及成员方资格材料</w:t>
            </w:r>
          </w:p>
        </w:tc>
        <w:tc>
          <w:tcPr>
            <w:tcW w:w="2148"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227" w:type="dxa"/>
            <w:tcBorders>
              <w:top w:val="single" w:color="auto" w:sz="4" w:space="0"/>
            </w:tcBorders>
            <w:noWrap w:val="0"/>
            <w:vAlign w:val="center"/>
          </w:tcPr>
          <w:p>
            <w:pPr>
              <w:snapToGrid w:val="0"/>
              <w:spacing w:line="400" w:lineRule="exact"/>
              <w:rPr>
                <w:rFonts w:ascii="微软雅黑" w:hAnsi="微软雅黑" w:eastAsia="微软雅黑" w:cs="微软雅黑"/>
                <w:szCs w:val="21"/>
              </w:rPr>
            </w:pPr>
          </w:p>
        </w:tc>
        <w:tc>
          <w:tcPr>
            <w:tcW w:w="2220" w:type="dxa"/>
            <w:tcBorders>
              <w:top w:val="single" w:color="auto" w:sz="4" w:space="0"/>
            </w:tcBorders>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3090"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其他资格证明资料</w:t>
            </w:r>
          </w:p>
        </w:tc>
        <w:tc>
          <w:tcPr>
            <w:tcW w:w="2148" w:type="dxa"/>
            <w:noWrap w:val="0"/>
            <w:vAlign w:val="center"/>
          </w:tcPr>
          <w:p>
            <w:pPr>
              <w:snapToGrid w:val="0"/>
              <w:spacing w:line="400" w:lineRule="exact"/>
              <w:jc w:val="center"/>
              <w:rPr>
                <w:rFonts w:ascii="微软雅黑" w:hAnsi="微软雅黑" w:eastAsia="微软雅黑" w:cs="微软雅黑"/>
                <w:szCs w:val="21"/>
              </w:rPr>
            </w:pPr>
          </w:p>
        </w:tc>
        <w:tc>
          <w:tcPr>
            <w:tcW w:w="1227" w:type="dxa"/>
            <w:noWrap w:val="0"/>
            <w:vAlign w:val="center"/>
          </w:tcPr>
          <w:p>
            <w:pPr>
              <w:snapToGrid w:val="0"/>
              <w:spacing w:line="400" w:lineRule="exact"/>
              <w:rPr>
                <w:rFonts w:ascii="微软雅黑" w:hAnsi="微软雅黑" w:eastAsia="微软雅黑" w:cs="微软雅黑"/>
                <w:szCs w:val="21"/>
              </w:rPr>
            </w:pPr>
          </w:p>
        </w:tc>
        <w:tc>
          <w:tcPr>
            <w:tcW w:w="2220" w:type="dxa"/>
            <w:noWrap w:val="0"/>
            <w:vAlign w:val="center"/>
          </w:tcPr>
          <w:p>
            <w:pPr>
              <w:snapToGrid w:val="0"/>
              <w:spacing w:line="400" w:lineRule="exact"/>
              <w:rPr>
                <w:rFonts w:ascii="微软雅黑" w:hAnsi="微软雅黑" w:eastAsia="微软雅黑" w:cs="微软雅黑"/>
                <w:szCs w:val="21"/>
              </w:rPr>
            </w:pPr>
          </w:p>
        </w:tc>
      </w:tr>
    </w:tbl>
    <w:p>
      <w:pPr>
        <w:pStyle w:val="13"/>
        <w:ind w:left="316" w:hanging="316" w:hangingChars="175"/>
        <w:rPr>
          <w:rFonts w:hint="eastAsia" w:ascii="宋体" w:hAnsi="宋体"/>
          <w:b/>
          <w:szCs w:val="21"/>
        </w:rPr>
      </w:pPr>
    </w:p>
    <w:p>
      <w:pPr>
        <w:pStyle w:val="13"/>
        <w:ind w:left="562" w:hanging="562" w:hangingChars="175"/>
        <w:jc w:val="center"/>
        <w:rPr>
          <w:rFonts w:hint="eastAsia" w:ascii="仿宋_GB2312" w:hAnsi="宋体" w:eastAsia="仿宋_GB2312"/>
          <w:b/>
          <w:i w:val="0"/>
          <w:iCs/>
          <w:sz w:val="32"/>
          <w:szCs w:val="32"/>
        </w:rPr>
      </w:pPr>
      <w:r>
        <w:rPr>
          <w:rFonts w:hint="eastAsia" w:ascii="仿宋_GB2312" w:hAnsi="宋体" w:eastAsia="仿宋_GB2312"/>
          <w:b/>
          <w:i w:val="0"/>
          <w:iCs/>
          <w:sz w:val="32"/>
          <w:szCs w:val="32"/>
        </w:rPr>
        <w:br w:type="page"/>
      </w:r>
      <w:r>
        <w:rPr>
          <w:rFonts w:hint="eastAsia" w:ascii="仿宋_GB2312" w:hAnsi="宋体" w:eastAsia="仿宋_GB2312"/>
          <w:b/>
          <w:i w:val="0"/>
          <w:iCs/>
          <w:sz w:val="32"/>
          <w:szCs w:val="32"/>
        </w:rPr>
        <w:t>一、报价部分</w:t>
      </w:r>
    </w:p>
    <w:p>
      <w:pPr>
        <w:pStyle w:val="13"/>
        <w:ind w:left="562" w:hanging="562" w:hangingChars="175"/>
        <w:jc w:val="center"/>
        <w:rPr>
          <w:rFonts w:hint="eastAsia" w:ascii="仿宋_GB2312" w:hAnsi="宋体" w:eastAsia="仿宋_GB2312"/>
          <w:b/>
          <w:i w:val="0"/>
          <w:iCs/>
          <w:sz w:val="32"/>
          <w:szCs w:val="32"/>
        </w:rPr>
      </w:pPr>
      <w:r>
        <w:rPr>
          <w:rFonts w:hint="eastAsia" w:ascii="仿宋_GB2312" w:hAnsi="宋体" w:eastAsia="仿宋_GB2312"/>
          <w:b/>
          <w:i w:val="0"/>
          <w:iCs/>
          <w:sz w:val="32"/>
          <w:szCs w:val="32"/>
        </w:rPr>
        <w:t>1、投标函</w:t>
      </w:r>
    </w:p>
    <w:p>
      <w:pPr>
        <w:spacing w:line="400" w:lineRule="exact"/>
        <w:rPr>
          <w:rFonts w:hint="eastAsia" w:ascii="宋体" w:hAnsi="宋体"/>
          <w:sz w:val="24"/>
          <w:szCs w:val="24"/>
        </w:rPr>
      </w:pPr>
    </w:p>
    <w:p>
      <w:pPr>
        <w:spacing w:line="40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r>
        <w:rPr>
          <w:rFonts w:hint="eastAsia" w:ascii="宋体" w:hAnsi="宋体"/>
          <w:sz w:val="24"/>
          <w:szCs w:val="24"/>
        </w:rPr>
        <w:t xml:space="preserve">  </w:t>
      </w:r>
    </w:p>
    <w:p>
      <w:pPr>
        <w:spacing w:line="400" w:lineRule="exact"/>
        <w:jc w:val="left"/>
        <w:rPr>
          <w:rFonts w:hint="eastAsia" w:ascii="宋体" w:hAnsi="宋体"/>
          <w:sz w:val="24"/>
          <w:szCs w:val="24"/>
        </w:rPr>
      </w:pPr>
      <w:r>
        <w:rPr>
          <w:rFonts w:hint="eastAsia" w:ascii="宋体" w:hAnsi="宋体"/>
          <w:sz w:val="24"/>
          <w:szCs w:val="24"/>
        </w:rPr>
        <w:t xml:space="preserve">    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招标的有关活动，并进行投标。据此函，我方宣布同意如下：</w:t>
      </w:r>
    </w:p>
    <w:p>
      <w:pPr>
        <w:numPr>
          <w:ilvl w:val="0"/>
          <w:numId w:val="21"/>
        </w:numPr>
        <w:spacing w:line="400" w:lineRule="exact"/>
        <w:rPr>
          <w:rFonts w:hint="eastAsia" w:ascii="宋体" w:hAnsi="宋体"/>
          <w:sz w:val="24"/>
          <w:szCs w:val="24"/>
        </w:rPr>
      </w:pPr>
      <w:r>
        <w:rPr>
          <w:rFonts w:hint="eastAsia" w:ascii="宋体" w:hAnsi="宋体"/>
          <w:sz w:val="24"/>
          <w:szCs w:val="24"/>
        </w:rPr>
        <w:t>提供投标须知规定的全部投标文件，正本1份、副本</w:t>
      </w:r>
      <w:r>
        <w:rPr>
          <w:rFonts w:hint="eastAsia" w:ascii="宋体" w:hAnsi="宋体"/>
          <w:sz w:val="24"/>
          <w:szCs w:val="24"/>
          <w:u w:val="single"/>
        </w:rPr>
        <w:t>X</w:t>
      </w:r>
      <w:r>
        <w:rPr>
          <w:rFonts w:hint="eastAsia" w:ascii="宋体" w:hAnsi="宋体"/>
          <w:sz w:val="24"/>
          <w:szCs w:val="24"/>
        </w:rPr>
        <w:t>份、电子文件1份。</w:t>
      </w:r>
    </w:p>
    <w:p>
      <w:pPr>
        <w:numPr>
          <w:ilvl w:val="0"/>
          <w:numId w:val="21"/>
        </w:numPr>
        <w:spacing w:line="400" w:lineRule="exact"/>
        <w:rPr>
          <w:rFonts w:hint="eastAsia" w:ascii="宋体" w:hAnsi="宋体"/>
          <w:sz w:val="24"/>
          <w:szCs w:val="24"/>
        </w:rPr>
      </w:pPr>
      <w:r>
        <w:rPr>
          <w:rFonts w:hint="eastAsia" w:ascii="宋体" w:hAnsi="宋体"/>
          <w:sz w:val="24"/>
          <w:szCs w:val="24"/>
        </w:rPr>
        <w:t>投标报价详见开标一览表。</w:t>
      </w:r>
    </w:p>
    <w:p>
      <w:pPr>
        <w:numPr>
          <w:ilvl w:val="0"/>
          <w:numId w:val="21"/>
        </w:numPr>
        <w:tabs>
          <w:tab w:val="clear" w:pos="840"/>
        </w:tabs>
        <w:spacing w:line="400" w:lineRule="exact"/>
        <w:ind w:left="0" w:firstLine="525"/>
        <w:rPr>
          <w:rFonts w:hint="eastAsia"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pPr>
        <w:numPr>
          <w:ilvl w:val="0"/>
          <w:numId w:val="21"/>
        </w:numPr>
        <w:tabs>
          <w:tab w:val="left" w:pos="0"/>
          <w:tab w:val="clear" w:pos="840"/>
        </w:tabs>
        <w:spacing w:line="400" w:lineRule="exact"/>
        <w:ind w:left="0" w:firstLine="525"/>
        <w:rPr>
          <w:rFonts w:hint="eastAsia"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pPr>
        <w:numPr>
          <w:ilvl w:val="0"/>
          <w:numId w:val="21"/>
        </w:numPr>
        <w:tabs>
          <w:tab w:val="left" w:pos="-315"/>
          <w:tab w:val="clear" w:pos="840"/>
        </w:tabs>
        <w:spacing w:line="400" w:lineRule="exact"/>
        <w:ind w:left="0" w:firstLine="525"/>
        <w:rPr>
          <w:rFonts w:hint="eastAsia" w:ascii="宋体" w:hAnsi="宋体"/>
          <w:sz w:val="24"/>
          <w:szCs w:val="24"/>
        </w:rPr>
      </w:pPr>
      <w:r>
        <w:rPr>
          <w:rFonts w:ascii="宋体" w:hAnsi="宋体"/>
          <w:sz w:val="24"/>
          <w:szCs w:val="24"/>
        </w:rPr>
        <w:t>提供按照贵方可能要求的与其投标有关的一切数据或资料。</w:t>
      </w:r>
    </w:p>
    <w:p>
      <w:pPr>
        <w:numPr>
          <w:ilvl w:val="0"/>
          <w:numId w:val="21"/>
        </w:numPr>
        <w:tabs>
          <w:tab w:val="left" w:pos="-315"/>
          <w:tab w:val="clear" w:pos="840"/>
        </w:tabs>
        <w:spacing w:line="400" w:lineRule="exact"/>
        <w:ind w:left="0" w:firstLine="525"/>
        <w:rPr>
          <w:rFonts w:hint="eastAsia" w:ascii="宋体" w:hAnsi="宋体"/>
          <w:sz w:val="24"/>
          <w:szCs w:val="24"/>
        </w:rPr>
      </w:pPr>
      <w:r>
        <w:rPr>
          <w:rFonts w:hint="eastAsia" w:ascii="宋体" w:hAnsi="宋体"/>
          <w:sz w:val="24"/>
          <w:szCs w:val="24"/>
        </w:rPr>
        <w:t>投标文件内容有歧义或不一致的，同意按不利于我方作出解释。</w:t>
      </w:r>
    </w:p>
    <w:p>
      <w:pPr>
        <w:numPr>
          <w:ilvl w:val="0"/>
          <w:numId w:val="21"/>
        </w:numPr>
        <w:spacing w:line="400" w:lineRule="exact"/>
        <w:rPr>
          <w:rFonts w:hint="eastAsia"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pPr>
        <w:spacing w:line="400" w:lineRule="exact"/>
        <w:ind w:left="525"/>
        <w:rPr>
          <w:rFonts w:hint="eastAsia" w:ascii="宋体" w:hAnsi="宋体"/>
          <w:sz w:val="24"/>
          <w:szCs w:val="24"/>
        </w:rPr>
      </w:pPr>
    </w:p>
    <w:p>
      <w:pPr>
        <w:spacing w:line="400" w:lineRule="exact"/>
        <w:ind w:left="525"/>
        <w:rPr>
          <w:rFonts w:hint="eastAsia" w:ascii="宋体" w:hAnsi="宋体"/>
          <w:sz w:val="24"/>
          <w:szCs w:val="24"/>
        </w:rPr>
      </w:pPr>
      <w:r>
        <w:rPr>
          <w:rFonts w:hint="eastAsia" w:ascii="宋体" w:hAnsi="宋体"/>
          <w:sz w:val="24"/>
          <w:szCs w:val="24"/>
        </w:rPr>
        <w:t>与本投标有关的一切往来通讯请寄：</w:t>
      </w:r>
    </w:p>
    <w:p>
      <w:pPr>
        <w:spacing w:line="400" w:lineRule="exact"/>
        <w:ind w:left="525"/>
        <w:rPr>
          <w:rFonts w:hint="eastAsia" w:ascii="宋体" w:hAnsi="宋体"/>
          <w:sz w:val="24"/>
          <w:szCs w:val="24"/>
        </w:rPr>
      </w:pPr>
    </w:p>
    <w:p>
      <w:pPr>
        <w:spacing w:line="400" w:lineRule="exact"/>
        <w:ind w:left="525"/>
        <w:rPr>
          <w:rFonts w:hint="eastAsia"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pPr>
        <w:spacing w:line="400" w:lineRule="exact"/>
        <w:ind w:left="525"/>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pPr>
        <w:spacing w:line="400" w:lineRule="exact"/>
        <w:ind w:left="525"/>
        <w:rPr>
          <w:rFonts w:hint="eastAsia"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pPr>
        <w:spacing w:line="400" w:lineRule="exact"/>
        <w:ind w:left="525"/>
        <w:rPr>
          <w:rFonts w:hint="eastAsia"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pPr>
        <w:spacing w:line="400" w:lineRule="exact"/>
        <w:ind w:left="525"/>
        <w:rPr>
          <w:rFonts w:hint="eastAsia" w:ascii="宋体" w:hAnsi="宋体"/>
          <w:sz w:val="24"/>
          <w:szCs w:val="24"/>
        </w:rPr>
      </w:pPr>
    </w:p>
    <w:p>
      <w:pPr>
        <w:spacing w:line="400" w:lineRule="exact"/>
        <w:ind w:left="525"/>
        <w:rPr>
          <w:rFonts w:hint="eastAsia" w:ascii="宋体" w:hAnsi="宋体"/>
          <w:sz w:val="24"/>
          <w:szCs w:val="24"/>
        </w:rPr>
      </w:pPr>
    </w:p>
    <w:p>
      <w:pPr>
        <w:spacing w:line="400" w:lineRule="exact"/>
        <w:ind w:left="525"/>
        <w:rPr>
          <w:rFonts w:hint="eastAsia" w:ascii="宋体" w:hAnsi="宋体"/>
          <w:sz w:val="24"/>
          <w:szCs w:val="24"/>
        </w:rPr>
      </w:pPr>
      <w:r>
        <w:rPr>
          <w:rFonts w:hint="eastAsia" w:ascii="宋体" w:hAnsi="宋体"/>
          <w:sz w:val="24"/>
          <w:szCs w:val="24"/>
        </w:rPr>
        <w:t>投标单位（盖章）：</w:t>
      </w:r>
    </w:p>
    <w:p>
      <w:pPr>
        <w:spacing w:line="400" w:lineRule="exact"/>
        <w:ind w:left="525"/>
        <w:rPr>
          <w:rFonts w:hint="eastAsia" w:ascii="宋体" w:hAnsi="宋体"/>
          <w:sz w:val="24"/>
          <w:szCs w:val="24"/>
        </w:rPr>
      </w:pPr>
    </w:p>
    <w:p>
      <w:pPr>
        <w:spacing w:line="400" w:lineRule="exact"/>
        <w:ind w:left="525"/>
        <w:rPr>
          <w:rFonts w:hint="eastAsia" w:ascii="宋体" w:hAnsi="宋体"/>
          <w:sz w:val="24"/>
          <w:szCs w:val="24"/>
        </w:rPr>
      </w:pPr>
    </w:p>
    <w:p>
      <w:pPr>
        <w:spacing w:line="400" w:lineRule="exact"/>
        <w:ind w:left="525"/>
        <w:rPr>
          <w:rFonts w:hint="eastAsia" w:ascii="宋体" w:hAnsi="宋体"/>
          <w:sz w:val="24"/>
          <w:szCs w:val="24"/>
        </w:rPr>
      </w:pPr>
      <w:r>
        <w:rPr>
          <w:rFonts w:hint="eastAsia" w:ascii="宋体" w:hAnsi="宋体"/>
          <w:sz w:val="24"/>
          <w:szCs w:val="24"/>
        </w:rPr>
        <w:t>法定代表人或其委托代理人（签字或签章）：</w:t>
      </w:r>
    </w:p>
    <w:p>
      <w:pPr>
        <w:spacing w:line="400" w:lineRule="exact"/>
        <w:ind w:left="525"/>
        <w:rPr>
          <w:rFonts w:hint="eastAsia" w:ascii="宋体" w:hAnsi="宋体"/>
          <w:sz w:val="24"/>
          <w:szCs w:val="24"/>
        </w:rPr>
      </w:pPr>
    </w:p>
    <w:p>
      <w:pPr>
        <w:spacing w:line="400" w:lineRule="exact"/>
        <w:rPr>
          <w:rFonts w:hint="eastAsia" w:ascii="宋体" w:hAnsi="宋体"/>
          <w:sz w:val="24"/>
          <w:szCs w:val="24"/>
        </w:rPr>
      </w:pPr>
      <w:r>
        <w:rPr>
          <w:rFonts w:hint="eastAsia" w:ascii="宋体" w:hAnsi="宋体"/>
          <w:sz w:val="24"/>
          <w:szCs w:val="24"/>
        </w:rPr>
        <w:t xml:space="preserve">    </w:t>
      </w:r>
    </w:p>
    <w:p>
      <w:pPr>
        <w:spacing w:line="400" w:lineRule="exact"/>
        <w:rPr>
          <w:rFonts w:hint="eastAsia" w:ascii="宋体" w:hAnsi="宋体"/>
          <w:sz w:val="24"/>
          <w:szCs w:val="24"/>
        </w:rPr>
      </w:pPr>
      <w:r>
        <w:rPr>
          <w:rFonts w:hint="eastAsia" w:ascii="宋体" w:hAnsi="宋体"/>
          <w:sz w:val="24"/>
          <w:szCs w:val="24"/>
        </w:rPr>
        <w:t xml:space="preserve">    日期：</w:t>
      </w:r>
    </w:p>
    <w:p>
      <w:pPr>
        <w:spacing w:line="400" w:lineRule="exact"/>
        <w:jc w:val="center"/>
        <w:rPr>
          <w:rFonts w:hint="eastAsia" w:ascii="仿宋_GB2312" w:eastAsia="仿宋_GB2312"/>
          <w:b/>
          <w:sz w:val="32"/>
        </w:rPr>
      </w:pPr>
      <w:r>
        <w:rPr>
          <w:rFonts w:hint="eastAsia" w:ascii="仿宋_GB2312" w:eastAsia="仿宋_GB2312"/>
          <w:b/>
          <w:sz w:val="32"/>
        </w:rPr>
        <w:br w:type="page"/>
      </w:r>
      <w:r>
        <w:rPr>
          <w:rFonts w:hint="eastAsia" w:ascii="仿宋_GB2312" w:eastAsia="仿宋_GB2312"/>
          <w:b/>
          <w:sz w:val="32"/>
        </w:rPr>
        <w:t>2、开标一览表</w:t>
      </w:r>
    </w:p>
    <w:p>
      <w:pPr>
        <w:rPr>
          <w:rFonts w:hint="eastAsia"/>
        </w:rPr>
      </w:pPr>
    </w:p>
    <w:p>
      <w:pPr>
        <w:spacing w:line="400" w:lineRule="exact"/>
        <w:rPr>
          <w:rFonts w:hint="eastAsia"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采购编号：</w:t>
      </w:r>
      <w:r>
        <w:rPr>
          <w:rFonts w:hint="eastAsia" w:ascii="宋体" w:hAnsi="宋体" w:cs="宋体"/>
          <w:sz w:val="24"/>
          <w:szCs w:val="24"/>
          <w:u w:val="single"/>
        </w:rPr>
        <w:t>XXXX</w:t>
      </w:r>
      <w:r>
        <w:rPr>
          <w:rFonts w:hint="eastAsia" w:ascii="宋体" w:hAnsi="宋体" w:cs="宋体"/>
          <w:sz w:val="24"/>
          <w:szCs w:val="24"/>
        </w:rPr>
        <w:t xml:space="preserve"> 标包号</w:t>
      </w:r>
      <w:r>
        <w:rPr>
          <w:rFonts w:hint="eastAsia" w:ascii="宋体" w:hAnsi="宋体" w:cs="宋体"/>
          <w:sz w:val="24"/>
          <w:szCs w:val="24"/>
          <w:u w:val="single"/>
        </w:rPr>
        <w:t xml:space="preserve">：XX </w:t>
      </w:r>
    </w:p>
    <w:p>
      <w:pPr>
        <w:spacing w:line="400" w:lineRule="exact"/>
        <w:rPr>
          <w:rFonts w:hint="eastAsia"/>
          <w:u w:val="single"/>
        </w:rPr>
      </w:pPr>
    </w:p>
    <w:tbl>
      <w:tblPr>
        <w:tblStyle w:val="23"/>
        <w:tblpPr w:leftFromText="180" w:rightFromText="180" w:vertAnchor="text" w:horzAnchor="page" w:tblpX="1230" w:tblpY="408"/>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580" w:hRule="atLeast"/>
        </w:trPr>
        <w:tc>
          <w:tcPr>
            <w:tcW w:w="9550" w:type="dxa"/>
            <w:gridSpan w:val="2"/>
            <w:noWrap w:val="0"/>
            <w:vAlign w:val="center"/>
          </w:tcPr>
          <w:p>
            <w:pPr>
              <w:spacing w:line="400" w:lineRule="exact"/>
              <w:rPr>
                <w:rFonts w:hint="eastAsia"/>
              </w:rPr>
            </w:pPr>
            <w:r>
              <w:rPr>
                <w:rFonts w:hint="eastAsia"/>
              </w:rPr>
              <w:t>投标总价合计人民币（小写）：￥</w:t>
            </w:r>
          </w:p>
          <w:p>
            <w:pPr>
              <w:spacing w:line="400" w:lineRule="exact"/>
              <w:rPr>
                <w:rFonts w:hint="eastAsia"/>
              </w:rPr>
            </w:pPr>
            <w:r>
              <w:rPr>
                <w:rFonts w:hint="eastAsia"/>
              </w:rPr>
              <w:t>投标总价合计人民币（大写）：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75" w:hRule="atLeast"/>
        </w:trPr>
        <w:tc>
          <w:tcPr>
            <w:tcW w:w="9550" w:type="dxa"/>
            <w:gridSpan w:val="2"/>
            <w:noWrap w:val="0"/>
            <w:vAlign w:val="center"/>
          </w:tcPr>
          <w:p>
            <w:pPr>
              <w:widowControl/>
              <w:rPr>
                <w:rFonts w:hint="eastAsia"/>
              </w:rPr>
            </w:pPr>
            <w:r>
              <w:rPr>
                <w:rFonts w:hint="eastAsia"/>
              </w:rPr>
              <w:t>工期：       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25" w:hRule="atLeast"/>
        </w:trPr>
        <w:tc>
          <w:tcPr>
            <w:tcW w:w="9550" w:type="dxa"/>
            <w:gridSpan w:val="2"/>
            <w:noWrap w:val="0"/>
            <w:vAlign w:val="center"/>
          </w:tcPr>
          <w:p>
            <w:pPr>
              <w:widowControl/>
              <w:rPr>
                <w:rFonts w:hint="eastAsia"/>
              </w:rPr>
            </w:pPr>
            <w:r>
              <w:rPr>
                <w:rFonts w:hint="eastAsia"/>
              </w:rPr>
              <w:t>小微企业产品价格合计（若有）：小写￥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07" w:hRule="atLeast"/>
        </w:trPr>
        <w:tc>
          <w:tcPr>
            <w:tcW w:w="9550" w:type="dxa"/>
            <w:gridSpan w:val="2"/>
            <w:noWrap w:val="0"/>
            <w:vAlign w:val="center"/>
          </w:tcPr>
          <w:p>
            <w:pPr>
              <w:widowControl/>
              <w:rPr>
                <w:rFonts w:hint="eastAsia"/>
              </w:rPr>
            </w:pPr>
            <w:r>
              <w:rPr>
                <w:rFonts w:hint="eastAsia"/>
              </w:rPr>
              <w:t>节能产品价格合计（若有）：小写￥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55" w:hRule="atLeast"/>
        </w:trPr>
        <w:tc>
          <w:tcPr>
            <w:tcW w:w="9550" w:type="dxa"/>
            <w:gridSpan w:val="2"/>
            <w:noWrap w:val="0"/>
            <w:vAlign w:val="center"/>
          </w:tcPr>
          <w:p>
            <w:pPr>
              <w:widowControl/>
            </w:pPr>
            <w:r>
              <w:rPr>
                <w:rFonts w:hint="eastAsia"/>
              </w:rPr>
              <w:t>环境标志产品价格合计（若有）：小写￥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Pr>
        <w:tc>
          <w:tcPr>
            <w:tcW w:w="736" w:type="dxa"/>
            <w:noWrap w:val="0"/>
            <w:vAlign w:val="top"/>
          </w:tcPr>
          <w:p>
            <w:pPr>
              <w:spacing w:line="400" w:lineRule="exact"/>
              <w:jc w:val="left"/>
              <w:rPr>
                <w:rFonts w:hint="eastAsia" w:ascii="宋体" w:hAnsi="宋体"/>
                <w:szCs w:val="21"/>
              </w:rPr>
            </w:pPr>
            <w:r>
              <w:rPr>
                <w:rFonts w:hint="eastAsia" w:ascii="宋体" w:hAnsi="宋体"/>
                <w:szCs w:val="21"/>
              </w:rPr>
              <w:t>投</w:t>
            </w:r>
          </w:p>
          <w:p>
            <w:pPr>
              <w:spacing w:line="400" w:lineRule="exact"/>
              <w:jc w:val="left"/>
              <w:rPr>
                <w:rFonts w:hint="eastAsia" w:ascii="宋体" w:hAnsi="宋体"/>
                <w:szCs w:val="21"/>
              </w:rPr>
            </w:pPr>
            <w:r>
              <w:rPr>
                <w:rFonts w:hint="eastAsia" w:ascii="宋体" w:hAnsi="宋体"/>
                <w:szCs w:val="21"/>
              </w:rPr>
              <w:t>标</w:t>
            </w:r>
          </w:p>
          <w:p>
            <w:pPr>
              <w:spacing w:line="400" w:lineRule="exact"/>
              <w:jc w:val="left"/>
              <w:rPr>
                <w:rFonts w:hint="eastAsia" w:ascii="宋体" w:hAnsi="宋体"/>
                <w:szCs w:val="21"/>
              </w:rPr>
            </w:pPr>
            <w:r>
              <w:rPr>
                <w:rFonts w:hint="eastAsia" w:ascii="宋体" w:hAnsi="宋体"/>
                <w:szCs w:val="21"/>
              </w:rPr>
              <w:t>人</w:t>
            </w:r>
          </w:p>
          <w:p>
            <w:pPr>
              <w:spacing w:line="400" w:lineRule="exact"/>
              <w:jc w:val="left"/>
              <w:rPr>
                <w:rFonts w:hint="eastAsia" w:ascii="宋体" w:hAnsi="宋体"/>
                <w:szCs w:val="21"/>
              </w:rPr>
            </w:pPr>
            <w:r>
              <w:rPr>
                <w:rFonts w:hint="eastAsia" w:ascii="宋体" w:hAnsi="宋体"/>
                <w:szCs w:val="21"/>
              </w:rPr>
              <w:t>申</w:t>
            </w:r>
          </w:p>
          <w:p>
            <w:pPr>
              <w:spacing w:line="400" w:lineRule="exact"/>
              <w:jc w:val="left"/>
              <w:rPr>
                <w:rFonts w:hint="eastAsia"/>
              </w:rPr>
            </w:pPr>
            <w:r>
              <w:rPr>
                <w:rFonts w:hint="eastAsia" w:ascii="宋体" w:hAnsi="宋体"/>
                <w:szCs w:val="21"/>
              </w:rPr>
              <w:t>明</w:t>
            </w:r>
          </w:p>
        </w:tc>
        <w:tc>
          <w:tcPr>
            <w:tcW w:w="8814" w:type="dxa"/>
            <w:noWrap w:val="0"/>
            <w:vAlign w:val="top"/>
          </w:tcPr>
          <w:p>
            <w:pPr>
              <w:widowControl/>
              <w:jc w:val="left"/>
            </w:pPr>
          </w:p>
          <w:p>
            <w:pPr>
              <w:widowControl/>
              <w:jc w:val="left"/>
            </w:pPr>
          </w:p>
          <w:p>
            <w:pPr>
              <w:widowControl/>
              <w:jc w:val="left"/>
            </w:pPr>
          </w:p>
          <w:p>
            <w:pPr>
              <w:widowControl/>
              <w:jc w:val="left"/>
            </w:pPr>
          </w:p>
          <w:p>
            <w:pPr>
              <w:spacing w:line="400" w:lineRule="exact"/>
              <w:jc w:val="left"/>
              <w:rPr>
                <w:rFonts w:hint="eastAsia"/>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投标单位全称（盖章）：</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日期：</w:t>
      </w:r>
    </w:p>
    <w:p>
      <w:pPr>
        <w:rPr>
          <w:rFonts w:hint="eastAsia" w:ascii="楷体_GB2312" w:eastAsia="楷体_GB2312"/>
          <w:b/>
          <w:i/>
          <w:iCs/>
          <w:szCs w:val="21"/>
        </w:rPr>
      </w:pPr>
    </w:p>
    <w:p>
      <w:pPr>
        <w:rPr>
          <w:rFonts w:hint="eastAsia" w:ascii="楷体_GB2312" w:eastAsia="楷体_GB2312"/>
          <w:b/>
          <w:i/>
          <w:iCs/>
          <w:szCs w:val="21"/>
        </w:rPr>
      </w:pPr>
    </w:p>
    <w:p>
      <w:pPr>
        <w:rPr>
          <w:rFonts w:hint="eastAsia" w:ascii="宋体" w:hAnsi="宋体"/>
          <w:i/>
          <w:iCs/>
          <w:szCs w:val="21"/>
        </w:rPr>
      </w:pPr>
      <w:r>
        <w:rPr>
          <w:rFonts w:hint="eastAsia" w:ascii="宋体" w:hAnsi="宋体"/>
          <w:i/>
          <w:iCs/>
          <w:szCs w:val="21"/>
        </w:rPr>
        <w:t>注：1、本表应按标包号分别填制；2、投标总价、小微、节能、环保产品价格合计与对应分项报价表投标总价合计一致；3、有关投标价优惠折扣、招标文件允许的备选方案均应在投标人申明中载明。</w:t>
      </w:r>
    </w:p>
    <w:p>
      <w:pPr>
        <w:rPr>
          <w:rFonts w:hint="eastAsia" w:eastAsia="仿宋_GB2312"/>
          <w:sz w:val="30"/>
        </w:rPr>
      </w:pPr>
    </w:p>
    <w:p>
      <w:pPr>
        <w:spacing w:line="400" w:lineRule="exact"/>
        <w:rPr>
          <w:rFonts w:ascii="宋体"/>
          <w:sz w:val="30"/>
        </w:rPr>
        <w:sectPr>
          <w:headerReference r:id="rId3" w:type="default"/>
          <w:footerReference r:id="rId4" w:type="default"/>
          <w:footerReference r:id="rId5" w:type="even"/>
          <w:type w:val="oddPage"/>
          <w:pgSz w:w="11907" w:h="16840"/>
          <w:pgMar w:top="1418" w:right="1418" w:bottom="1418" w:left="1418" w:header="851" w:footer="851" w:gutter="0"/>
          <w:cols w:space="720" w:num="1"/>
          <w:docGrid w:type="lines" w:linePitch="312" w:charSpace="0"/>
        </w:sectPr>
      </w:pPr>
    </w:p>
    <w:p>
      <w:pPr>
        <w:spacing w:line="400" w:lineRule="exact"/>
        <w:jc w:val="center"/>
        <w:rPr>
          <w:rFonts w:hint="eastAsia" w:ascii="仿宋_GB2312" w:eastAsia="仿宋_GB2312"/>
          <w:b/>
          <w:sz w:val="32"/>
        </w:rPr>
      </w:pPr>
      <w:r>
        <w:rPr>
          <w:rFonts w:hint="eastAsia" w:ascii="仿宋_GB2312" w:eastAsia="仿宋_GB2312"/>
          <w:b/>
          <w:sz w:val="32"/>
        </w:rPr>
        <w:t>3、投标分项报价表</w:t>
      </w:r>
    </w:p>
    <w:p>
      <w:pPr>
        <w:spacing w:line="460" w:lineRule="exact"/>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pPr>
        <w:spacing w:line="460" w:lineRule="exact"/>
        <w:rPr>
          <w:rFonts w:hint="eastAsia" w:ascii="仿宋_GB2312" w:eastAsia="仿宋_GB2312"/>
          <w:sz w:val="3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品目名称</w:t>
            </w:r>
          </w:p>
        </w:tc>
        <w:tc>
          <w:tcPr>
            <w:tcW w:w="1263" w:type="dxa"/>
            <w:noWrap w:val="0"/>
            <w:vAlign w:val="center"/>
          </w:tcPr>
          <w:p>
            <w:pPr>
              <w:spacing w:line="460" w:lineRule="exact"/>
              <w:jc w:val="center"/>
              <w:rPr>
                <w:rFonts w:hint="eastAsia" w:ascii="宋体" w:hAnsi="宋体"/>
                <w:szCs w:val="21"/>
              </w:rPr>
            </w:pPr>
            <w:r>
              <w:rPr>
                <w:rFonts w:hint="eastAsia" w:ascii="宋体" w:hAnsi="宋体"/>
                <w:szCs w:val="21"/>
              </w:rPr>
              <w:t>品牌（生产/服务商）</w:t>
            </w:r>
          </w:p>
        </w:tc>
        <w:tc>
          <w:tcPr>
            <w:tcW w:w="3150" w:type="dxa"/>
            <w:noWrap w:val="0"/>
            <w:vAlign w:val="center"/>
          </w:tcPr>
          <w:p>
            <w:pPr>
              <w:spacing w:line="460" w:lineRule="exact"/>
              <w:jc w:val="center"/>
              <w:rPr>
                <w:rFonts w:hint="eastAsia" w:ascii="宋体" w:hAnsi="宋体"/>
                <w:szCs w:val="21"/>
              </w:rPr>
            </w:pPr>
            <w:r>
              <w:rPr>
                <w:rFonts w:hint="eastAsia" w:ascii="宋体" w:hAnsi="宋体"/>
                <w:szCs w:val="21"/>
              </w:rPr>
              <w:t>规格型号及配置（或服务内容）</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1026" w:type="dxa"/>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026" w:type="dxa"/>
            <w:noWrap w:val="0"/>
            <w:vAlign w:val="center"/>
          </w:tcPr>
          <w:p>
            <w:pPr>
              <w:spacing w:line="460" w:lineRule="exact"/>
              <w:jc w:val="center"/>
              <w:rPr>
                <w:rFonts w:hint="eastAsia" w:ascii="宋体" w:hAnsi="宋体"/>
                <w:szCs w:val="21"/>
              </w:rPr>
            </w:pPr>
            <w:r>
              <w:rPr>
                <w:rFonts w:hint="eastAsia" w:ascii="宋体" w:hAnsi="宋体"/>
                <w:szCs w:val="21"/>
              </w:rPr>
              <w:t>数量</w:t>
            </w:r>
          </w:p>
          <w:p>
            <w:pPr>
              <w:spacing w:line="460" w:lineRule="exact"/>
              <w:jc w:val="center"/>
              <w:rPr>
                <w:rFonts w:hint="eastAsia" w:ascii="宋体" w:hAnsi="宋体"/>
                <w:szCs w:val="21"/>
              </w:rPr>
            </w:pPr>
            <w:r>
              <w:rPr>
                <w:rFonts w:hint="eastAsia" w:ascii="宋体" w:hAnsi="宋体"/>
                <w:szCs w:val="21"/>
              </w:rPr>
              <w:t>单位</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市场平均单价</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308" w:type="dxa"/>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945" w:type="dxa"/>
            <w:noWrap w:val="0"/>
            <w:vAlign w:val="center"/>
          </w:tcPr>
          <w:p>
            <w:pPr>
              <w:spacing w:line="4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3" w:type="dxa"/>
            <w:noWrap w:val="0"/>
            <w:vAlign w:val="center"/>
          </w:tcPr>
          <w:p>
            <w:pPr>
              <w:spacing w:line="460" w:lineRule="exact"/>
              <w:jc w:val="center"/>
              <w:rPr>
                <w:rFonts w:hint="eastAsia" w:ascii="宋体" w:hAnsi="宋体"/>
                <w:szCs w:val="21"/>
              </w:rPr>
            </w:pPr>
          </w:p>
        </w:tc>
        <w:tc>
          <w:tcPr>
            <w:tcW w:w="315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3" w:type="dxa"/>
            <w:noWrap w:val="0"/>
            <w:vAlign w:val="center"/>
          </w:tcPr>
          <w:p>
            <w:pPr>
              <w:spacing w:line="460" w:lineRule="exact"/>
              <w:jc w:val="center"/>
              <w:rPr>
                <w:rFonts w:hint="eastAsia" w:ascii="宋体" w:hAnsi="宋体"/>
                <w:szCs w:val="21"/>
              </w:rPr>
            </w:pPr>
          </w:p>
        </w:tc>
        <w:tc>
          <w:tcPr>
            <w:tcW w:w="315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3" w:type="dxa"/>
            <w:noWrap w:val="0"/>
            <w:vAlign w:val="center"/>
          </w:tcPr>
          <w:p>
            <w:pPr>
              <w:spacing w:line="460" w:lineRule="exact"/>
              <w:jc w:val="center"/>
              <w:rPr>
                <w:rFonts w:hint="eastAsia" w:ascii="宋体" w:hAnsi="宋体"/>
                <w:szCs w:val="21"/>
              </w:rPr>
            </w:pPr>
          </w:p>
        </w:tc>
        <w:tc>
          <w:tcPr>
            <w:tcW w:w="315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3" w:type="dxa"/>
            <w:noWrap w:val="0"/>
            <w:vAlign w:val="center"/>
          </w:tcPr>
          <w:p>
            <w:pPr>
              <w:spacing w:line="460" w:lineRule="exact"/>
              <w:jc w:val="center"/>
              <w:rPr>
                <w:rFonts w:hint="eastAsia" w:ascii="宋体" w:hAnsi="宋体"/>
                <w:szCs w:val="21"/>
              </w:rPr>
            </w:pPr>
          </w:p>
        </w:tc>
        <w:tc>
          <w:tcPr>
            <w:tcW w:w="315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3" w:type="dxa"/>
            <w:noWrap w:val="0"/>
            <w:vAlign w:val="center"/>
          </w:tcPr>
          <w:p>
            <w:pPr>
              <w:spacing w:line="460" w:lineRule="exact"/>
              <w:jc w:val="center"/>
              <w:rPr>
                <w:rFonts w:hint="eastAsia" w:ascii="宋体" w:hAnsi="宋体"/>
                <w:szCs w:val="21"/>
              </w:rPr>
            </w:pPr>
          </w:p>
        </w:tc>
        <w:tc>
          <w:tcPr>
            <w:tcW w:w="315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3" w:type="dxa"/>
            <w:noWrap w:val="0"/>
            <w:vAlign w:val="center"/>
          </w:tcPr>
          <w:p>
            <w:pPr>
              <w:spacing w:line="460" w:lineRule="exact"/>
              <w:jc w:val="center"/>
              <w:rPr>
                <w:rFonts w:hint="eastAsia" w:ascii="宋体" w:hAnsi="宋体"/>
                <w:szCs w:val="21"/>
              </w:rPr>
            </w:pPr>
          </w:p>
        </w:tc>
        <w:tc>
          <w:tcPr>
            <w:tcW w:w="315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合计</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63"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315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026" w:type="dxa"/>
            <w:noWrap w:val="0"/>
            <w:vAlign w:val="top"/>
          </w:tcPr>
          <w:p>
            <w:pPr>
              <w:spacing w:line="460" w:lineRule="exact"/>
              <w:jc w:val="center"/>
              <w:rPr>
                <w:rFonts w:hint="eastAsia" w:ascii="宋体" w:hAnsi="宋体"/>
                <w:szCs w:val="21"/>
              </w:rPr>
            </w:pPr>
          </w:p>
        </w:tc>
        <w:tc>
          <w:tcPr>
            <w:tcW w:w="1026"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308" w:type="dxa"/>
            <w:noWrap w:val="0"/>
            <w:vAlign w:val="center"/>
          </w:tcPr>
          <w:p>
            <w:pPr>
              <w:spacing w:line="460" w:lineRule="exact"/>
              <w:jc w:val="center"/>
              <w:rPr>
                <w:rFonts w:hint="eastAsia" w:ascii="宋体" w:hAnsi="宋体"/>
                <w:szCs w:val="21"/>
              </w:rPr>
            </w:pPr>
          </w:p>
        </w:tc>
        <w:tc>
          <w:tcPr>
            <w:tcW w:w="945" w:type="dxa"/>
            <w:noWrap w:val="0"/>
            <w:vAlign w:val="center"/>
          </w:tcPr>
          <w:p>
            <w:pPr>
              <w:spacing w:line="460" w:lineRule="exact"/>
              <w:jc w:val="center"/>
              <w:rPr>
                <w:rFonts w:hint="eastAsia" w:ascii="宋体" w:hAnsi="宋体"/>
                <w:szCs w:val="21"/>
              </w:rPr>
            </w:pPr>
          </w:p>
        </w:tc>
      </w:tr>
    </w:tbl>
    <w:p>
      <w:pPr>
        <w:spacing w:line="440" w:lineRule="exact"/>
        <w:rPr>
          <w:rFonts w:hint="eastAsia" w:ascii="仿宋_GB2312" w:eastAsia="仿宋_GB2312"/>
          <w:i/>
          <w:iCs/>
          <w:sz w:val="24"/>
          <w:szCs w:val="24"/>
        </w:rPr>
      </w:pPr>
    </w:p>
    <w:p>
      <w:pPr>
        <w:spacing w:line="440" w:lineRule="exact"/>
        <w:rPr>
          <w:rFonts w:hint="eastAsia" w:ascii="仿宋_GB2312" w:eastAsia="仿宋_GB2312"/>
          <w:i/>
          <w:iCs/>
          <w:szCs w:val="21"/>
        </w:rPr>
      </w:pPr>
      <w:r>
        <w:rPr>
          <w:rFonts w:hint="eastAsia" w:ascii="仿宋_GB2312" w:eastAsia="仿宋_GB2312"/>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pPr>
        <w:spacing w:line="440" w:lineRule="exact"/>
        <w:ind w:firstLine="425"/>
        <w:rPr>
          <w:rFonts w:hint="eastAsia" w:ascii="仿宋_GB2312" w:eastAsia="仿宋_GB2312"/>
          <w:sz w:val="24"/>
          <w:szCs w:val="24"/>
        </w:rPr>
      </w:pPr>
      <w:r>
        <w:rPr>
          <w:rFonts w:hint="eastAsia" w:ascii="仿宋_GB2312" w:eastAsia="仿宋_GB2312"/>
          <w:i/>
          <w:iCs/>
          <w:szCs w:val="21"/>
        </w:rPr>
        <w:t>2、市场平均单价是指该同等配置产品在近期国内市场实际销售的平均价格，投标单价不得高于市场平均单价。</w:t>
      </w:r>
    </w:p>
    <w:p>
      <w:pPr>
        <w:spacing w:line="460" w:lineRule="exact"/>
        <w:rPr>
          <w:rFonts w:hint="eastAsia" w:ascii="仿宋_GB2312" w:eastAsia="仿宋_GB2312"/>
          <w:sz w:val="24"/>
          <w:szCs w:val="24"/>
        </w:rPr>
      </w:pPr>
      <w:r>
        <w:rPr>
          <w:rFonts w:hint="eastAsia" w:ascii="仿宋_GB2312" w:eastAsia="仿宋_GB2312"/>
          <w:sz w:val="24"/>
          <w:szCs w:val="24"/>
        </w:rPr>
        <w:t xml:space="preserve"> </w:t>
      </w:r>
    </w:p>
    <w:p>
      <w:pPr>
        <w:spacing w:line="460" w:lineRule="exact"/>
        <w:rPr>
          <w:rFonts w:hint="eastAsia" w:ascii="宋体" w:hAnsi="宋体"/>
          <w:sz w:val="24"/>
          <w:szCs w:val="24"/>
        </w:rPr>
      </w:pPr>
      <w:r>
        <w:rPr>
          <w:rFonts w:hint="eastAsia" w:ascii="宋体" w:hAnsi="宋体"/>
          <w:sz w:val="24"/>
          <w:szCs w:val="24"/>
        </w:rPr>
        <w:t>投标单位（盖章）：                                        日  期：</w:t>
      </w:r>
    </w:p>
    <w:p>
      <w:pPr>
        <w:spacing w:line="460" w:lineRule="exact"/>
        <w:rPr>
          <w:rFonts w:hint="eastAsia" w:ascii="宋体" w:hAnsi="宋体"/>
          <w:sz w:val="24"/>
          <w:szCs w:val="24"/>
        </w:rPr>
      </w:pPr>
    </w:p>
    <w:p>
      <w:pPr>
        <w:spacing w:line="400" w:lineRule="exact"/>
        <w:jc w:val="center"/>
        <w:rPr>
          <w:rFonts w:hint="eastAsia" w:ascii="仿宋_GB2312" w:eastAsia="仿宋_GB2312"/>
          <w:b/>
          <w:sz w:val="32"/>
        </w:rPr>
      </w:pPr>
      <w:r>
        <w:rPr>
          <w:rFonts w:ascii="仿宋_GB2312" w:eastAsia="仿宋_GB2312"/>
          <w:b/>
          <w:sz w:val="32"/>
        </w:rPr>
        <w:br w:type="page"/>
      </w:r>
      <w:r>
        <w:rPr>
          <w:rFonts w:hint="eastAsia" w:ascii="仿宋_GB2312" w:eastAsia="仿宋_GB2312"/>
          <w:b/>
          <w:sz w:val="32"/>
        </w:rPr>
        <w:t>4、小微企业产品分项报价表（若有的提供）</w:t>
      </w:r>
    </w:p>
    <w:p>
      <w:pPr>
        <w:spacing w:line="460" w:lineRule="exact"/>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pPr>
        <w:spacing w:line="460" w:lineRule="exact"/>
        <w:rPr>
          <w:rFonts w:hint="eastAsia" w:ascii="仿宋_GB2312" w:eastAsia="仿宋_GB2312"/>
          <w:sz w:val="30"/>
        </w:rPr>
      </w:pPr>
    </w:p>
    <w:tbl>
      <w:tblPr>
        <w:tblStyle w:val="23"/>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890"/>
        <w:gridCol w:w="1890"/>
        <w:gridCol w:w="1125"/>
        <w:gridCol w:w="1785"/>
        <w:gridCol w:w="915"/>
        <w:gridCol w:w="903"/>
        <w:gridCol w:w="1155"/>
        <w:gridCol w:w="123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460" w:hRule="atLeast"/>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品目名称</w:t>
            </w:r>
          </w:p>
        </w:tc>
        <w:tc>
          <w:tcPr>
            <w:tcW w:w="1890" w:type="dxa"/>
            <w:noWrap w:val="0"/>
            <w:vAlign w:val="center"/>
          </w:tcPr>
          <w:p>
            <w:pPr>
              <w:spacing w:line="460" w:lineRule="exact"/>
              <w:jc w:val="center"/>
              <w:rPr>
                <w:rFonts w:hint="eastAsia" w:ascii="宋体" w:hAnsi="宋体"/>
                <w:szCs w:val="21"/>
              </w:rPr>
            </w:pPr>
            <w:r>
              <w:rPr>
                <w:rFonts w:hint="eastAsia" w:ascii="宋体" w:hAnsi="宋体"/>
                <w:szCs w:val="21"/>
              </w:rPr>
              <w:t>品牌、规格型号</w:t>
            </w:r>
          </w:p>
        </w:tc>
        <w:tc>
          <w:tcPr>
            <w:tcW w:w="1890" w:type="dxa"/>
            <w:noWrap w:val="0"/>
            <w:vAlign w:val="center"/>
          </w:tcPr>
          <w:p>
            <w:pPr>
              <w:spacing w:line="460" w:lineRule="exact"/>
              <w:jc w:val="center"/>
              <w:rPr>
                <w:rFonts w:hint="eastAsia" w:ascii="宋体" w:hAnsi="宋体"/>
                <w:szCs w:val="21"/>
              </w:rPr>
            </w:pPr>
            <w:r>
              <w:rPr>
                <w:rFonts w:hint="eastAsia" w:ascii="宋体" w:hAnsi="宋体"/>
                <w:szCs w:val="21"/>
              </w:rPr>
              <w:t>生产商名称</w:t>
            </w:r>
          </w:p>
        </w:tc>
        <w:tc>
          <w:tcPr>
            <w:tcW w:w="1125" w:type="dxa"/>
            <w:noWrap w:val="0"/>
            <w:vAlign w:val="center"/>
          </w:tcPr>
          <w:p>
            <w:pPr>
              <w:spacing w:line="460" w:lineRule="exact"/>
              <w:jc w:val="center"/>
              <w:rPr>
                <w:rFonts w:hint="eastAsia" w:ascii="宋体" w:hAnsi="宋体"/>
                <w:szCs w:val="21"/>
              </w:rPr>
            </w:pPr>
            <w:r>
              <w:rPr>
                <w:rFonts w:hint="eastAsia" w:ascii="宋体" w:hAnsi="宋体"/>
                <w:szCs w:val="21"/>
              </w:rPr>
              <w:t>所属行业</w:t>
            </w:r>
          </w:p>
        </w:tc>
        <w:tc>
          <w:tcPr>
            <w:tcW w:w="1785" w:type="dxa"/>
            <w:noWrap w:val="0"/>
            <w:vAlign w:val="center"/>
          </w:tcPr>
          <w:p>
            <w:pPr>
              <w:spacing w:line="460" w:lineRule="exact"/>
              <w:rPr>
                <w:rFonts w:hint="eastAsia" w:ascii="宋体" w:hAnsi="宋体"/>
                <w:szCs w:val="21"/>
              </w:rPr>
            </w:pPr>
            <w:r>
              <w:rPr>
                <w:rFonts w:hint="eastAsia" w:ascii="宋体" w:hAnsi="宋体"/>
                <w:szCs w:val="21"/>
              </w:rPr>
              <w:t>生产商上年从业人员X人、营业收入X万元、资产总额X万元</w:t>
            </w:r>
          </w:p>
        </w:tc>
        <w:tc>
          <w:tcPr>
            <w:tcW w:w="915" w:type="dxa"/>
            <w:noWrap w:val="0"/>
            <w:vAlign w:val="center"/>
          </w:tcPr>
          <w:p>
            <w:pPr>
              <w:spacing w:line="460" w:lineRule="exact"/>
              <w:jc w:val="center"/>
              <w:rPr>
                <w:rFonts w:hint="eastAsia" w:ascii="宋体" w:hAnsi="宋体"/>
                <w:szCs w:val="21"/>
              </w:rPr>
            </w:pPr>
            <w:r>
              <w:rPr>
                <w:rFonts w:hint="eastAsia" w:ascii="宋体" w:hAnsi="宋体"/>
                <w:szCs w:val="21"/>
              </w:rPr>
              <w:t>小型/微型</w:t>
            </w:r>
          </w:p>
        </w:tc>
        <w:tc>
          <w:tcPr>
            <w:tcW w:w="903" w:type="dxa"/>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236" w:type="dxa"/>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1050" w:type="dxa"/>
            <w:noWrap w:val="0"/>
            <w:vAlign w:val="center"/>
          </w:tcPr>
          <w:p>
            <w:pPr>
              <w:spacing w:line="4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125" w:type="dxa"/>
            <w:noWrap w:val="0"/>
            <w:vAlign w:val="center"/>
          </w:tcPr>
          <w:p>
            <w:pPr>
              <w:spacing w:line="460" w:lineRule="exact"/>
              <w:jc w:val="center"/>
              <w:rPr>
                <w:rFonts w:hint="eastAsia" w:ascii="宋体" w:hAnsi="宋体"/>
                <w:szCs w:val="21"/>
              </w:rPr>
            </w:pPr>
          </w:p>
        </w:tc>
        <w:tc>
          <w:tcPr>
            <w:tcW w:w="1785" w:type="dxa"/>
            <w:noWrap w:val="0"/>
            <w:vAlign w:val="top"/>
          </w:tcPr>
          <w:p>
            <w:pPr>
              <w:spacing w:line="460" w:lineRule="exact"/>
              <w:jc w:val="center"/>
              <w:rPr>
                <w:rFonts w:hint="eastAsia" w:ascii="宋体" w:hAnsi="宋体"/>
                <w:szCs w:val="21"/>
              </w:rPr>
            </w:pPr>
          </w:p>
        </w:tc>
        <w:tc>
          <w:tcPr>
            <w:tcW w:w="915" w:type="dxa"/>
            <w:noWrap w:val="0"/>
            <w:vAlign w:val="center"/>
          </w:tcPr>
          <w:p>
            <w:pPr>
              <w:spacing w:line="460" w:lineRule="exact"/>
              <w:jc w:val="center"/>
              <w:rPr>
                <w:rFonts w:hint="eastAsia" w:ascii="宋体" w:hAnsi="宋体"/>
                <w:szCs w:val="21"/>
              </w:rPr>
            </w:pPr>
          </w:p>
        </w:tc>
        <w:tc>
          <w:tcPr>
            <w:tcW w:w="903" w:type="dxa"/>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jc w:val="center"/>
              <w:rPr>
                <w:rFonts w:hint="eastAsia" w:ascii="宋体" w:hAnsi="宋体"/>
                <w:szCs w:val="21"/>
              </w:rPr>
            </w:pP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125" w:type="dxa"/>
            <w:noWrap w:val="0"/>
            <w:vAlign w:val="center"/>
          </w:tcPr>
          <w:p>
            <w:pPr>
              <w:spacing w:line="460" w:lineRule="exact"/>
              <w:jc w:val="center"/>
              <w:rPr>
                <w:rFonts w:hint="eastAsia" w:ascii="宋体" w:hAnsi="宋体"/>
                <w:szCs w:val="21"/>
              </w:rPr>
            </w:pPr>
          </w:p>
        </w:tc>
        <w:tc>
          <w:tcPr>
            <w:tcW w:w="1785" w:type="dxa"/>
            <w:noWrap w:val="0"/>
            <w:vAlign w:val="top"/>
          </w:tcPr>
          <w:p>
            <w:pPr>
              <w:spacing w:line="460" w:lineRule="exact"/>
              <w:jc w:val="center"/>
              <w:rPr>
                <w:rFonts w:hint="eastAsia" w:ascii="宋体" w:hAnsi="宋体"/>
                <w:szCs w:val="21"/>
              </w:rPr>
            </w:pPr>
          </w:p>
        </w:tc>
        <w:tc>
          <w:tcPr>
            <w:tcW w:w="915" w:type="dxa"/>
            <w:noWrap w:val="0"/>
            <w:vAlign w:val="center"/>
          </w:tcPr>
          <w:p>
            <w:pPr>
              <w:spacing w:line="460" w:lineRule="exact"/>
              <w:jc w:val="center"/>
              <w:rPr>
                <w:rFonts w:hint="eastAsia" w:ascii="宋体" w:hAnsi="宋体"/>
                <w:szCs w:val="21"/>
              </w:rPr>
            </w:pPr>
          </w:p>
        </w:tc>
        <w:tc>
          <w:tcPr>
            <w:tcW w:w="903" w:type="dxa"/>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jc w:val="center"/>
              <w:rPr>
                <w:rFonts w:hint="eastAsia" w:ascii="宋体" w:hAnsi="宋体"/>
                <w:szCs w:val="21"/>
              </w:rPr>
            </w:pP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125" w:type="dxa"/>
            <w:noWrap w:val="0"/>
            <w:vAlign w:val="center"/>
          </w:tcPr>
          <w:p>
            <w:pPr>
              <w:spacing w:line="460" w:lineRule="exact"/>
              <w:jc w:val="center"/>
              <w:rPr>
                <w:rFonts w:hint="eastAsia" w:ascii="宋体" w:hAnsi="宋体"/>
                <w:szCs w:val="21"/>
              </w:rPr>
            </w:pPr>
          </w:p>
        </w:tc>
        <w:tc>
          <w:tcPr>
            <w:tcW w:w="1785" w:type="dxa"/>
            <w:noWrap w:val="0"/>
            <w:vAlign w:val="top"/>
          </w:tcPr>
          <w:p>
            <w:pPr>
              <w:spacing w:line="460" w:lineRule="exact"/>
              <w:jc w:val="center"/>
              <w:rPr>
                <w:rFonts w:hint="eastAsia" w:ascii="宋体" w:hAnsi="宋体"/>
                <w:szCs w:val="21"/>
              </w:rPr>
            </w:pPr>
          </w:p>
        </w:tc>
        <w:tc>
          <w:tcPr>
            <w:tcW w:w="915" w:type="dxa"/>
            <w:noWrap w:val="0"/>
            <w:vAlign w:val="center"/>
          </w:tcPr>
          <w:p>
            <w:pPr>
              <w:spacing w:line="460" w:lineRule="exact"/>
              <w:jc w:val="center"/>
              <w:rPr>
                <w:rFonts w:hint="eastAsia" w:ascii="宋体" w:hAnsi="宋体"/>
                <w:szCs w:val="21"/>
              </w:rPr>
            </w:pPr>
          </w:p>
        </w:tc>
        <w:tc>
          <w:tcPr>
            <w:tcW w:w="903" w:type="dxa"/>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jc w:val="center"/>
              <w:rPr>
                <w:rFonts w:hint="eastAsia" w:ascii="宋体" w:hAnsi="宋体"/>
                <w:szCs w:val="21"/>
              </w:rPr>
            </w:pP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125" w:type="dxa"/>
            <w:noWrap w:val="0"/>
            <w:vAlign w:val="center"/>
          </w:tcPr>
          <w:p>
            <w:pPr>
              <w:spacing w:line="460" w:lineRule="exact"/>
              <w:jc w:val="center"/>
              <w:rPr>
                <w:rFonts w:hint="eastAsia" w:ascii="宋体" w:hAnsi="宋体"/>
                <w:szCs w:val="21"/>
              </w:rPr>
            </w:pPr>
          </w:p>
        </w:tc>
        <w:tc>
          <w:tcPr>
            <w:tcW w:w="1785" w:type="dxa"/>
            <w:noWrap w:val="0"/>
            <w:vAlign w:val="top"/>
          </w:tcPr>
          <w:p>
            <w:pPr>
              <w:spacing w:line="460" w:lineRule="exact"/>
              <w:jc w:val="center"/>
              <w:rPr>
                <w:rFonts w:hint="eastAsia" w:ascii="宋体" w:hAnsi="宋体"/>
                <w:szCs w:val="21"/>
              </w:rPr>
            </w:pPr>
          </w:p>
        </w:tc>
        <w:tc>
          <w:tcPr>
            <w:tcW w:w="915" w:type="dxa"/>
            <w:noWrap w:val="0"/>
            <w:vAlign w:val="center"/>
          </w:tcPr>
          <w:p>
            <w:pPr>
              <w:spacing w:line="460" w:lineRule="exact"/>
              <w:jc w:val="center"/>
              <w:rPr>
                <w:rFonts w:hint="eastAsia" w:ascii="宋体" w:hAnsi="宋体"/>
                <w:szCs w:val="21"/>
              </w:rPr>
            </w:pPr>
          </w:p>
        </w:tc>
        <w:tc>
          <w:tcPr>
            <w:tcW w:w="903" w:type="dxa"/>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jc w:val="center"/>
              <w:rPr>
                <w:rFonts w:hint="eastAsia" w:ascii="宋体" w:hAnsi="宋体"/>
                <w:szCs w:val="21"/>
              </w:rPr>
            </w:pP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125" w:type="dxa"/>
            <w:noWrap w:val="0"/>
            <w:vAlign w:val="center"/>
          </w:tcPr>
          <w:p>
            <w:pPr>
              <w:spacing w:line="460" w:lineRule="exact"/>
              <w:jc w:val="center"/>
              <w:rPr>
                <w:rFonts w:hint="eastAsia" w:ascii="宋体" w:hAnsi="宋体"/>
                <w:szCs w:val="21"/>
              </w:rPr>
            </w:pPr>
          </w:p>
        </w:tc>
        <w:tc>
          <w:tcPr>
            <w:tcW w:w="1785" w:type="dxa"/>
            <w:noWrap w:val="0"/>
            <w:vAlign w:val="top"/>
          </w:tcPr>
          <w:p>
            <w:pPr>
              <w:spacing w:line="460" w:lineRule="exact"/>
              <w:jc w:val="center"/>
              <w:rPr>
                <w:rFonts w:hint="eastAsia" w:ascii="宋体" w:hAnsi="宋体"/>
                <w:szCs w:val="21"/>
              </w:rPr>
            </w:pPr>
          </w:p>
        </w:tc>
        <w:tc>
          <w:tcPr>
            <w:tcW w:w="915" w:type="dxa"/>
            <w:noWrap w:val="0"/>
            <w:vAlign w:val="center"/>
          </w:tcPr>
          <w:p>
            <w:pPr>
              <w:spacing w:line="460" w:lineRule="exact"/>
              <w:jc w:val="center"/>
              <w:rPr>
                <w:rFonts w:hint="eastAsia" w:ascii="宋体" w:hAnsi="宋体"/>
                <w:szCs w:val="21"/>
              </w:rPr>
            </w:pPr>
          </w:p>
        </w:tc>
        <w:tc>
          <w:tcPr>
            <w:tcW w:w="903" w:type="dxa"/>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jc w:val="center"/>
              <w:rPr>
                <w:rFonts w:hint="eastAsia" w:ascii="宋体" w:hAnsi="宋体"/>
                <w:szCs w:val="21"/>
              </w:rPr>
            </w:pP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c>
          <w:tcPr>
            <w:tcW w:w="1125" w:type="dxa"/>
            <w:noWrap w:val="0"/>
            <w:vAlign w:val="center"/>
          </w:tcPr>
          <w:p>
            <w:pPr>
              <w:spacing w:line="460" w:lineRule="exact"/>
              <w:jc w:val="center"/>
              <w:rPr>
                <w:rFonts w:hint="eastAsia" w:ascii="宋体" w:hAnsi="宋体"/>
                <w:szCs w:val="21"/>
              </w:rPr>
            </w:pPr>
          </w:p>
        </w:tc>
        <w:tc>
          <w:tcPr>
            <w:tcW w:w="1785" w:type="dxa"/>
            <w:noWrap w:val="0"/>
            <w:vAlign w:val="top"/>
          </w:tcPr>
          <w:p>
            <w:pPr>
              <w:spacing w:line="460" w:lineRule="exact"/>
              <w:jc w:val="center"/>
              <w:rPr>
                <w:rFonts w:hint="eastAsia" w:ascii="宋体" w:hAnsi="宋体"/>
                <w:szCs w:val="21"/>
              </w:rPr>
            </w:pPr>
          </w:p>
        </w:tc>
        <w:tc>
          <w:tcPr>
            <w:tcW w:w="915" w:type="dxa"/>
            <w:noWrap w:val="0"/>
            <w:vAlign w:val="center"/>
          </w:tcPr>
          <w:p>
            <w:pPr>
              <w:spacing w:line="460" w:lineRule="exact"/>
              <w:jc w:val="center"/>
              <w:rPr>
                <w:rFonts w:hint="eastAsia" w:ascii="宋体" w:hAnsi="宋体"/>
                <w:szCs w:val="21"/>
              </w:rPr>
            </w:pPr>
          </w:p>
        </w:tc>
        <w:tc>
          <w:tcPr>
            <w:tcW w:w="903" w:type="dxa"/>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jc w:val="center"/>
              <w:rPr>
                <w:rFonts w:hint="eastAsia" w:ascii="宋体" w:hAnsi="宋体"/>
                <w:szCs w:val="21"/>
              </w:rPr>
            </w:pP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合计</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89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89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12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785" w:type="dxa"/>
            <w:noWrap w:val="0"/>
            <w:vAlign w:val="top"/>
          </w:tcPr>
          <w:p>
            <w:pPr>
              <w:spacing w:line="460" w:lineRule="exact"/>
              <w:jc w:val="center"/>
              <w:rPr>
                <w:rFonts w:hint="eastAsia" w:ascii="宋体" w:hAnsi="宋体"/>
                <w:szCs w:val="21"/>
              </w:rPr>
            </w:pPr>
            <w:r>
              <w:rPr>
                <w:rFonts w:hint="eastAsia" w:ascii="宋体" w:hAnsi="宋体"/>
                <w:szCs w:val="21"/>
              </w:rPr>
              <w:t>/</w:t>
            </w:r>
          </w:p>
        </w:tc>
        <w:tc>
          <w:tcPr>
            <w:tcW w:w="91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903"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15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36" w:type="dxa"/>
            <w:noWrap w:val="0"/>
            <w:vAlign w:val="center"/>
          </w:tcPr>
          <w:p>
            <w:pPr>
              <w:spacing w:line="460" w:lineRule="exact"/>
              <w:jc w:val="center"/>
              <w:rPr>
                <w:rFonts w:hint="eastAsia" w:ascii="宋体" w:hAnsi="宋体"/>
                <w:szCs w:val="21"/>
              </w:rPr>
            </w:pPr>
          </w:p>
        </w:tc>
        <w:tc>
          <w:tcPr>
            <w:tcW w:w="1050" w:type="dxa"/>
            <w:noWrap w:val="0"/>
            <w:vAlign w:val="center"/>
          </w:tcPr>
          <w:p>
            <w:pPr>
              <w:spacing w:line="460" w:lineRule="exact"/>
              <w:jc w:val="center"/>
              <w:rPr>
                <w:rFonts w:hint="eastAsia" w:ascii="宋体" w:hAnsi="宋体"/>
                <w:szCs w:val="21"/>
              </w:rPr>
            </w:pPr>
          </w:p>
        </w:tc>
      </w:tr>
    </w:tbl>
    <w:p>
      <w:pPr>
        <w:spacing w:line="440" w:lineRule="exact"/>
        <w:rPr>
          <w:rFonts w:hint="eastAsia" w:ascii="仿宋_GB2312" w:eastAsia="仿宋_GB2312"/>
          <w:i/>
          <w:iCs/>
          <w:szCs w:val="21"/>
        </w:rPr>
      </w:pPr>
      <w:r>
        <w:rPr>
          <w:rFonts w:hint="eastAsia" w:ascii="仿宋_GB2312" w:eastAsia="仿宋_GB2312"/>
          <w:i/>
          <w:iCs/>
          <w:szCs w:val="21"/>
        </w:rPr>
        <w:t>特别提醒：  1、本表专用于小微企业产品的评审价格扣除，若中标的，中标价格按投标价格执行。若有以不真实材料谋取评审优势的，取消中标资格。</w:t>
      </w:r>
    </w:p>
    <w:p>
      <w:pPr>
        <w:spacing w:line="440" w:lineRule="exact"/>
        <w:ind w:left="850" w:firstLine="425"/>
        <w:rPr>
          <w:rFonts w:hint="eastAsia" w:ascii="仿宋_GB2312" w:eastAsia="仿宋_GB2312"/>
          <w:i/>
          <w:iCs/>
          <w:szCs w:val="21"/>
        </w:rPr>
      </w:pPr>
      <w:r>
        <w:rPr>
          <w:rFonts w:hint="eastAsia" w:ascii="仿宋_GB2312" w:eastAsia="仿宋_GB2312"/>
          <w:i/>
          <w:iCs/>
          <w:szCs w:val="21"/>
        </w:rPr>
        <w:t>2、如果其他投标人对中标供应商有异议的，本表将依申请公开，中标供应商应当向招标人提供财务会计报告、年度社保缴纳人员清单。</w:t>
      </w:r>
    </w:p>
    <w:p>
      <w:pPr>
        <w:spacing w:line="440" w:lineRule="exact"/>
        <w:ind w:left="540" w:firstLine="735" w:firstLineChars="350"/>
        <w:rPr>
          <w:rFonts w:hint="eastAsia" w:ascii="仿宋_GB2312" w:eastAsia="仿宋_GB2312"/>
          <w:i/>
          <w:iCs/>
          <w:szCs w:val="21"/>
        </w:rPr>
      </w:pPr>
      <w:r>
        <w:rPr>
          <w:rFonts w:hint="eastAsia" w:ascii="仿宋_GB2312" w:eastAsia="仿宋_GB2312"/>
          <w:i/>
          <w:iCs/>
          <w:szCs w:val="21"/>
        </w:rPr>
        <w:t>3、生产商划型是指根据</w:t>
      </w:r>
      <w:r>
        <w:rPr>
          <w:rFonts w:ascii="仿宋_GB2312" w:eastAsia="仿宋_GB2312"/>
          <w:i/>
          <w:iCs/>
          <w:szCs w:val="21"/>
        </w:rPr>
        <w:t>工信部联企业[2011]300号</w:t>
      </w:r>
      <w:r>
        <w:rPr>
          <w:rFonts w:hint="eastAsia" w:ascii="仿宋_GB2312" w:eastAsia="仿宋_GB2312"/>
          <w:i/>
          <w:iCs/>
          <w:szCs w:val="21"/>
        </w:rPr>
        <w:t>文件规定，具体划型标准见“中小企业声明函”的说明。</w:t>
      </w:r>
    </w:p>
    <w:p>
      <w:pPr>
        <w:spacing w:line="460" w:lineRule="exact"/>
        <w:rPr>
          <w:rFonts w:hint="eastAsia" w:ascii="仿宋_GB2312" w:eastAsia="仿宋_GB2312"/>
          <w:sz w:val="24"/>
          <w:szCs w:val="24"/>
        </w:rPr>
      </w:pPr>
    </w:p>
    <w:p>
      <w:pPr>
        <w:spacing w:line="460" w:lineRule="exact"/>
        <w:rPr>
          <w:rFonts w:hint="eastAsia" w:ascii="宋体" w:hAnsi="宋体"/>
          <w:sz w:val="24"/>
          <w:szCs w:val="24"/>
        </w:rPr>
      </w:pPr>
      <w:r>
        <w:rPr>
          <w:rFonts w:hint="eastAsia" w:ascii="宋体" w:hAnsi="宋体"/>
          <w:sz w:val="24"/>
          <w:szCs w:val="24"/>
        </w:rPr>
        <w:t>投标单位（盖章）：                                          日  期：</w:t>
      </w:r>
    </w:p>
    <w:p>
      <w:pPr>
        <w:spacing w:line="400" w:lineRule="exact"/>
        <w:jc w:val="center"/>
        <w:rPr>
          <w:rFonts w:hint="eastAsia" w:ascii="仿宋_GB2312" w:eastAsia="仿宋_GB2312"/>
          <w:b/>
          <w:sz w:val="32"/>
        </w:rPr>
      </w:pPr>
      <w:r>
        <w:rPr>
          <w:rFonts w:ascii="仿宋_GB2312" w:eastAsia="仿宋_GB2312"/>
          <w:b/>
          <w:sz w:val="32"/>
        </w:rPr>
        <w:br w:type="page"/>
      </w:r>
      <w:r>
        <w:rPr>
          <w:rFonts w:hint="eastAsia" w:ascii="仿宋_GB2312" w:eastAsia="仿宋_GB2312"/>
          <w:b/>
          <w:sz w:val="32"/>
        </w:rPr>
        <w:t>5、节能产品分项报价表（若有的提供）</w:t>
      </w:r>
    </w:p>
    <w:p>
      <w:pPr>
        <w:spacing w:line="460" w:lineRule="exact"/>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pPr>
        <w:spacing w:line="460" w:lineRule="exact"/>
        <w:rPr>
          <w:rFonts w:hint="eastAsia" w:ascii="仿宋_GB2312" w:eastAsia="仿宋_GB2312"/>
          <w:sz w:val="30"/>
        </w:rPr>
      </w:pPr>
    </w:p>
    <w:tbl>
      <w:tblPr>
        <w:tblStyle w:val="23"/>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品目名称</w:t>
            </w:r>
          </w:p>
        </w:tc>
        <w:tc>
          <w:tcPr>
            <w:tcW w:w="1680" w:type="dxa"/>
            <w:noWrap w:val="0"/>
            <w:vAlign w:val="center"/>
          </w:tcPr>
          <w:p>
            <w:pPr>
              <w:spacing w:line="460" w:lineRule="exact"/>
              <w:jc w:val="center"/>
              <w:rPr>
                <w:rFonts w:hint="eastAsia" w:ascii="宋体" w:hAnsi="宋体"/>
                <w:szCs w:val="21"/>
              </w:rPr>
            </w:pPr>
            <w:r>
              <w:rPr>
                <w:rFonts w:hint="eastAsia" w:ascii="宋体" w:hAnsi="宋体"/>
                <w:szCs w:val="21"/>
              </w:rPr>
              <w:t>品牌、规格型号</w:t>
            </w:r>
          </w:p>
        </w:tc>
        <w:tc>
          <w:tcPr>
            <w:tcW w:w="1635" w:type="dxa"/>
            <w:noWrap w:val="0"/>
            <w:vAlign w:val="center"/>
          </w:tcPr>
          <w:p>
            <w:pPr>
              <w:spacing w:line="460" w:lineRule="exact"/>
              <w:jc w:val="center"/>
              <w:rPr>
                <w:rFonts w:hint="eastAsia" w:ascii="宋体" w:hAnsi="宋体"/>
                <w:szCs w:val="21"/>
              </w:rPr>
            </w:pPr>
            <w:r>
              <w:rPr>
                <w:rFonts w:hint="eastAsia" w:ascii="宋体" w:hAnsi="宋体"/>
                <w:szCs w:val="21"/>
              </w:rPr>
              <w:t>生产商名称</w:t>
            </w:r>
          </w:p>
        </w:tc>
        <w:tc>
          <w:tcPr>
            <w:tcW w:w="1095" w:type="dxa"/>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215" w:type="dxa"/>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098" w:type="dxa"/>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1685" w:type="dxa"/>
            <w:noWrap w:val="0"/>
            <w:vAlign w:val="center"/>
          </w:tcPr>
          <w:p>
            <w:pPr>
              <w:spacing w:line="460" w:lineRule="exact"/>
              <w:jc w:val="center"/>
              <w:rPr>
                <w:rFonts w:hint="eastAsia" w:ascii="宋体" w:hAnsi="宋体"/>
                <w:szCs w:val="21"/>
              </w:rPr>
            </w:pPr>
            <w:r>
              <w:rPr>
                <w:rFonts w:hint="eastAsia" w:ascii="宋体" w:hAnsi="宋体"/>
                <w:szCs w:val="21"/>
              </w:rPr>
              <w:t>节能产品认证证书编号</w:t>
            </w:r>
          </w:p>
        </w:tc>
        <w:tc>
          <w:tcPr>
            <w:tcW w:w="1470" w:type="dxa"/>
            <w:noWrap w:val="0"/>
            <w:vAlign w:val="center"/>
          </w:tcPr>
          <w:p>
            <w:pPr>
              <w:spacing w:line="460" w:lineRule="exact"/>
              <w:jc w:val="center"/>
              <w:rPr>
                <w:rFonts w:hint="eastAsia" w:ascii="宋体" w:hAnsi="宋体" w:eastAsia="宋体"/>
                <w:szCs w:val="21"/>
              </w:rPr>
            </w:pPr>
            <w:r>
              <w:rPr>
                <w:rFonts w:hint="eastAsia" w:ascii="宋体" w:hAnsi="宋体"/>
                <w:szCs w:val="21"/>
              </w:rPr>
              <w:t>证书颁发机构</w:t>
            </w:r>
          </w:p>
        </w:tc>
        <w:tc>
          <w:tcPr>
            <w:tcW w:w="1305" w:type="dxa"/>
            <w:noWrap w:val="0"/>
            <w:vAlign w:val="center"/>
          </w:tcPr>
          <w:p>
            <w:pPr>
              <w:spacing w:line="460" w:lineRule="exact"/>
              <w:jc w:val="center"/>
              <w:rPr>
                <w:rFonts w:hint="eastAsia" w:ascii="宋体" w:hAnsi="宋体"/>
                <w:szCs w:val="21"/>
              </w:rPr>
            </w:pPr>
            <w:r>
              <w:rPr>
                <w:rFonts w:hint="eastAsia" w:ascii="宋体" w:hAnsi="宋体"/>
                <w:szCs w:val="21"/>
              </w:rPr>
              <w:t>证书有效</w:t>
            </w:r>
          </w:p>
          <w:p>
            <w:pPr>
              <w:spacing w:line="460" w:lineRule="exact"/>
              <w:jc w:val="center"/>
              <w:rPr>
                <w:rFonts w:hint="eastAsia" w:ascii="宋体" w:hAnsi="宋体" w:eastAsia="宋体"/>
                <w:szCs w:val="21"/>
              </w:rPr>
            </w:pPr>
            <w:r>
              <w:rPr>
                <w:rFonts w:hint="eastAsia" w:ascii="宋体" w:hAnsi="宋体"/>
                <w:szCs w:val="21"/>
              </w:rPr>
              <w:t>截止日期</w:t>
            </w:r>
          </w:p>
        </w:tc>
        <w:tc>
          <w:tcPr>
            <w:tcW w:w="1761" w:type="dxa"/>
            <w:noWrap w:val="0"/>
            <w:vAlign w:val="center"/>
          </w:tcPr>
          <w:p>
            <w:pPr>
              <w:spacing w:line="460" w:lineRule="exact"/>
              <w:jc w:val="center"/>
              <w:rPr>
                <w:rFonts w:hint="eastAsia" w:ascii="宋体" w:hAnsi="宋体"/>
                <w:szCs w:val="21"/>
              </w:rPr>
            </w:pPr>
            <w:r>
              <w:rPr>
                <w:rFonts w:hint="eastAsia" w:ascii="宋体" w:hAnsi="宋体"/>
                <w:szCs w:val="21"/>
              </w:rPr>
              <w:t>证书复印件在投标文件对应页码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685" w:type="dxa"/>
            <w:noWrap w:val="0"/>
            <w:vAlign w:val="center"/>
          </w:tcPr>
          <w:p>
            <w:pPr>
              <w:spacing w:line="460" w:lineRule="exact"/>
              <w:jc w:val="center"/>
              <w:rPr>
                <w:rFonts w:hint="eastAsia" w:ascii="宋体" w:hAnsi="宋体"/>
                <w:szCs w:val="21"/>
              </w:rPr>
            </w:pP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p>
        </w:tc>
        <w:tc>
          <w:tcPr>
            <w:tcW w:w="176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685" w:type="dxa"/>
            <w:noWrap w:val="0"/>
            <w:vAlign w:val="center"/>
          </w:tcPr>
          <w:p>
            <w:pPr>
              <w:spacing w:line="460" w:lineRule="exact"/>
              <w:jc w:val="center"/>
              <w:rPr>
                <w:rFonts w:hint="eastAsia" w:ascii="宋体" w:hAnsi="宋体"/>
                <w:szCs w:val="21"/>
              </w:rPr>
            </w:pP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p>
        </w:tc>
        <w:tc>
          <w:tcPr>
            <w:tcW w:w="176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685" w:type="dxa"/>
            <w:noWrap w:val="0"/>
            <w:vAlign w:val="center"/>
          </w:tcPr>
          <w:p>
            <w:pPr>
              <w:spacing w:line="460" w:lineRule="exact"/>
              <w:jc w:val="center"/>
              <w:rPr>
                <w:rFonts w:hint="eastAsia" w:ascii="宋体" w:hAnsi="宋体"/>
                <w:szCs w:val="21"/>
              </w:rPr>
            </w:pP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p>
        </w:tc>
        <w:tc>
          <w:tcPr>
            <w:tcW w:w="176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685" w:type="dxa"/>
            <w:noWrap w:val="0"/>
            <w:vAlign w:val="center"/>
          </w:tcPr>
          <w:p>
            <w:pPr>
              <w:spacing w:line="460" w:lineRule="exact"/>
              <w:jc w:val="center"/>
              <w:rPr>
                <w:rFonts w:hint="eastAsia" w:ascii="宋体" w:hAnsi="宋体"/>
                <w:szCs w:val="21"/>
              </w:rPr>
            </w:pP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p>
        </w:tc>
        <w:tc>
          <w:tcPr>
            <w:tcW w:w="176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685" w:type="dxa"/>
            <w:noWrap w:val="0"/>
            <w:vAlign w:val="center"/>
          </w:tcPr>
          <w:p>
            <w:pPr>
              <w:spacing w:line="460" w:lineRule="exact"/>
              <w:jc w:val="center"/>
              <w:rPr>
                <w:rFonts w:hint="eastAsia" w:ascii="宋体" w:hAnsi="宋体"/>
                <w:szCs w:val="21"/>
              </w:rPr>
            </w:pP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p>
        </w:tc>
        <w:tc>
          <w:tcPr>
            <w:tcW w:w="176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685" w:type="dxa"/>
            <w:noWrap w:val="0"/>
            <w:vAlign w:val="center"/>
          </w:tcPr>
          <w:p>
            <w:pPr>
              <w:spacing w:line="460" w:lineRule="exact"/>
              <w:jc w:val="center"/>
              <w:rPr>
                <w:rFonts w:hint="eastAsia" w:ascii="宋体" w:hAnsi="宋体"/>
                <w:szCs w:val="21"/>
              </w:rPr>
            </w:pP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p>
        </w:tc>
        <w:tc>
          <w:tcPr>
            <w:tcW w:w="176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合计</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68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63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09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1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098"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68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470" w:type="dxa"/>
            <w:noWrap w:val="0"/>
            <w:vAlign w:val="center"/>
          </w:tcPr>
          <w:p>
            <w:pPr>
              <w:spacing w:line="460" w:lineRule="exact"/>
              <w:jc w:val="center"/>
              <w:rPr>
                <w:rFonts w:hint="eastAsia" w:ascii="宋体" w:hAnsi="宋体"/>
                <w:szCs w:val="21"/>
              </w:rPr>
            </w:pPr>
          </w:p>
        </w:tc>
        <w:tc>
          <w:tcPr>
            <w:tcW w:w="130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761" w:type="dxa"/>
            <w:noWrap w:val="0"/>
            <w:vAlign w:val="center"/>
          </w:tcPr>
          <w:p>
            <w:pPr>
              <w:spacing w:line="460" w:lineRule="exact"/>
              <w:jc w:val="center"/>
              <w:rPr>
                <w:rFonts w:hint="eastAsia" w:ascii="宋体" w:hAnsi="宋体"/>
                <w:szCs w:val="21"/>
              </w:rPr>
            </w:pPr>
            <w:r>
              <w:rPr>
                <w:rFonts w:hint="eastAsia" w:ascii="宋体" w:hAnsi="宋体"/>
                <w:szCs w:val="21"/>
              </w:rPr>
              <w:t>/</w:t>
            </w:r>
          </w:p>
        </w:tc>
      </w:tr>
    </w:tbl>
    <w:p>
      <w:pPr>
        <w:spacing w:line="440" w:lineRule="exact"/>
        <w:rPr>
          <w:rFonts w:hint="eastAsia" w:ascii="仿宋_GB2312" w:eastAsia="仿宋_GB2312"/>
          <w:i/>
          <w:iCs/>
          <w:sz w:val="24"/>
          <w:szCs w:val="24"/>
        </w:rPr>
      </w:pPr>
    </w:p>
    <w:p>
      <w:pPr>
        <w:spacing w:line="440" w:lineRule="exact"/>
        <w:rPr>
          <w:rFonts w:hint="eastAsia" w:ascii="仿宋_GB2312" w:eastAsia="仿宋_GB2312"/>
          <w:i/>
          <w:iCs/>
          <w:szCs w:val="21"/>
        </w:rPr>
      </w:pPr>
      <w:r>
        <w:rPr>
          <w:rFonts w:hint="eastAsia" w:ascii="仿宋_GB2312" w:eastAsia="仿宋_GB2312"/>
          <w:i/>
          <w:iCs/>
          <w:szCs w:val="21"/>
        </w:rPr>
        <w:t>特别提醒：  1、本表专用于政府采购政策评审，如果其他投标人对中标供应商有异议的，本表将依申请公开，若有以不真实材料谋取评审优势的，取消中标资格。</w:t>
      </w:r>
    </w:p>
    <w:p>
      <w:pPr>
        <w:spacing w:line="440" w:lineRule="exact"/>
        <w:ind w:firstLine="735" w:firstLineChars="350"/>
        <w:rPr>
          <w:rFonts w:hint="eastAsia" w:ascii="仿宋_GB2312" w:eastAsia="仿宋_GB2312"/>
          <w:i/>
          <w:iCs/>
          <w:szCs w:val="21"/>
        </w:rPr>
      </w:pPr>
      <w:r>
        <w:rPr>
          <w:rFonts w:hint="eastAsia" w:ascii="仿宋_GB2312" w:eastAsia="仿宋_GB2312"/>
          <w:i/>
          <w:iCs/>
          <w:szCs w:val="21"/>
        </w:rPr>
        <w:t xml:space="preserve"> 2、节能产品是指根据财政部、国家发改委、生态环境部、市场监管总局等四部委发布的“财库[2019]9号”文件规定，由国家认可认证机构认证在投标截止日尚在有效期内的同型号产品</w:t>
      </w:r>
      <w:r>
        <w:rPr>
          <w:rFonts w:hint="eastAsia" w:ascii="仿宋_GB2312" w:eastAsia="仿宋_GB2312"/>
          <w:i/>
          <w:iCs/>
          <w:sz w:val="24"/>
          <w:szCs w:val="24"/>
        </w:rPr>
        <w:t>。</w:t>
      </w:r>
    </w:p>
    <w:p>
      <w:pPr>
        <w:spacing w:line="460" w:lineRule="exact"/>
        <w:rPr>
          <w:rFonts w:hint="eastAsia" w:ascii="仿宋_GB2312" w:eastAsia="仿宋_GB2312"/>
          <w:sz w:val="24"/>
          <w:szCs w:val="24"/>
        </w:rPr>
      </w:pPr>
    </w:p>
    <w:p>
      <w:pPr>
        <w:spacing w:line="460" w:lineRule="exact"/>
        <w:rPr>
          <w:rFonts w:hint="eastAsia" w:ascii="宋体" w:hAnsi="宋体"/>
          <w:sz w:val="24"/>
          <w:szCs w:val="24"/>
        </w:rPr>
      </w:pPr>
      <w:r>
        <w:rPr>
          <w:rFonts w:hint="eastAsia" w:ascii="宋体" w:hAnsi="宋体"/>
          <w:sz w:val="24"/>
          <w:szCs w:val="24"/>
        </w:rPr>
        <w:t>投标单位（盖章）：                                      日  期：</w:t>
      </w:r>
    </w:p>
    <w:p>
      <w:pPr>
        <w:spacing w:line="460" w:lineRule="exact"/>
        <w:rPr>
          <w:rFonts w:hint="eastAsia" w:ascii="宋体" w:hAnsi="宋体"/>
          <w:sz w:val="24"/>
          <w:szCs w:val="24"/>
        </w:rPr>
      </w:pPr>
    </w:p>
    <w:p>
      <w:pPr>
        <w:spacing w:line="400" w:lineRule="exact"/>
        <w:jc w:val="center"/>
        <w:rPr>
          <w:rFonts w:hint="eastAsia" w:ascii="仿宋_GB2312" w:eastAsia="仿宋_GB2312"/>
          <w:b/>
          <w:sz w:val="32"/>
        </w:rPr>
      </w:pPr>
      <w:r>
        <w:br w:type="page"/>
      </w:r>
      <w:r>
        <w:rPr>
          <w:rFonts w:hint="eastAsia"/>
          <w:b/>
          <w:bCs/>
          <w:sz w:val="32"/>
          <w:szCs w:val="32"/>
        </w:rPr>
        <w:t>6、</w:t>
      </w:r>
      <w:r>
        <w:rPr>
          <w:rFonts w:hint="eastAsia" w:ascii="仿宋_GB2312" w:eastAsia="仿宋_GB2312"/>
          <w:b/>
          <w:sz w:val="32"/>
        </w:rPr>
        <w:t>环境标志产品分项报价表（若有的提供）</w:t>
      </w:r>
    </w:p>
    <w:p>
      <w:pPr>
        <w:spacing w:line="460" w:lineRule="exact"/>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pPr>
        <w:spacing w:line="460" w:lineRule="exact"/>
        <w:rPr>
          <w:rFonts w:hint="eastAsia" w:ascii="宋体" w:hAnsi="宋体"/>
          <w:sz w:val="24"/>
          <w:szCs w:val="24"/>
        </w:rPr>
      </w:pPr>
    </w:p>
    <w:tbl>
      <w:tblPr>
        <w:tblStyle w:val="23"/>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品目名称</w:t>
            </w:r>
          </w:p>
        </w:tc>
        <w:tc>
          <w:tcPr>
            <w:tcW w:w="1680" w:type="dxa"/>
            <w:noWrap w:val="0"/>
            <w:vAlign w:val="center"/>
          </w:tcPr>
          <w:p>
            <w:pPr>
              <w:spacing w:line="460" w:lineRule="exact"/>
              <w:jc w:val="center"/>
              <w:rPr>
                <w:rFonts w:hint="eastAsia" w:ascii="宋体" w:hAnsi="宋体"/>
                <w:szCs w:val="21"/>
              </w:rPr>
            </w:pPr>
            <w:r>
              <w:rPr>
                <w:rFonts w:hint="eastAsia" w:ascii="宋体" w:hAnsi="宋体"/>
                <w:szCs w:val="21"/>
              </w:rPr>
              <w:t>品牌、规格型号</w:t>
            </w:r>
          </w:p>
        </w:tc>
        <w:tc>
          <w:tcPr>
            <w:tcW w:w="1635" w:type="dxa"/>
            <w:noWrap w:val="0"/>
            <w:vAlign w:val="center"/>
          </w:tcPr>
          <w:p>
            <w:pPr>
              <w:spacing w:line="460" w:lineRule="exact"/>
              <w:jc w:val="center"/>
              <w:rPr>
                <w:rFonts w:hint="eastAsia" w:ascii="宋体" w:hAnsi="宋体"/>
                <w:szCs w:val="21"/>
              </w:rPr>
            </w:pPr>
            <w:r>
              <w:rPr>
                <w:rFonts w:hint="eastAsia" w:ascii="宋体" w:hAnsi="宋体"/>
                <w:szCs w:val="21"/>
              </w:rPr>
              <w:t>生产商名称</w:t>
            </w:r>
          </w:p>
        </w:tc>
        <w:tc>
          <w:tcPr>
            <w:tcW w:w="1095" w:type="dxa"/>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215" w:type="dxa"/>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098" w:type="dxa"/>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1452" w:type="dxa"/>
            <w:noWrap w:val="0"/>
            <w:vAlign w:val="center"/>
          </w:tcPr>
          <w:p>
            <w:pPr>
              <w:spacing w:line="460" w:lineRule="exact"/>
              <w:jc w:val="center"/>
              <w:rPr>
                <w:rFonts w:hint="eastAsia" w:ascii="宋体" w:hAnsi="宋体"/>
                <w:szCs w:val="21"/>
              </w:rPr>
            </w:pPr>
            <w:r>
              <w:rPr>
                <w:rFonts w:hint="eastAsia" w:ascii="宋体" w:hAnsi="宋体"/>
                <w:szCs w:val="21"/>
              </w:rPr>
              <w:t>环境标志产品证书编号</w:t>
            </w:r>
          </w:p>
        </w:tc>
        <w:tc>
          <w:tcPr>
            <w:tcW w:w="1478" w:type="dxa"/>
            <w:noWrap w:val="0"/>
            <w:vAlign w:val="center"/>
          </w:tcPr>
          <w:p>
            <w:pPr>
              <w:spacing w:line="460" w:lineRule="exact"/>
              <w:jc w:val="center"/>
              <w:rPr>
                <w:rFonts w:hint="eastAsia" w:ascii="宋体" w:hAnsi="宋体"/>
                <w:szCs w:val="21"/>
              </w:rPr>
            </w:pPr>
            <w:r>
              <w:rPr>
                <w:rFonts w:hint="eastAsia" w:ascii="宋体" w:hAnsi="宋体"/>
                <w:szCs w:val="21"/>
              </w:rPr>
              <w:t>证书颁发机构</w:t>
            </w:r>
          </w:p>
        </w:tc>
        <w:tc>
          <w:tcPr>
            <w:tcW w:w="1410" w:type="dxa"/>
            <w:noWrap w:val="0"/>
            <w:vAlign w:val="center"/>
          </w:tcPr>
          <w:p>
            <w:pPr>
              <w:spacing w:line="460" w:lineRule="exact"/>
              <w:jc w:val="center"/>
              <w:rPr>
                <w:rFonts w:hint="eastAsia" w:ascii="宋体" w:hAnsi="宋体"/>
                <w:szCs w:val="21"/>
              </w:rPr>
            </w:pPr>
            <w:r>
              <w:rPr>
                <w:rFonts w:hint="eastAsia" w:ascii="宋体" w:hAnsi="宋体"/>
                <w:szCs w:val="21"/>
              </w:rPr>
              <w:t>证书有效</w:t>
            </w:r>
          </w:p>
          <w:p>
            <w:pPr>
              <w:spacing w:line="460" w:lineRule="exact"/>
              <w:jc w:val="center"/>
              <w:rPr>
                <w:rFonts w:hint="eastAsia" w:ascii="宋体" w:hAnsi="宋体"/>
                <w:szCs w:val="21"/>
              </w:rPr>
            </w:pPr>
            <w:r>
              <w:rPr>
                <w:rFonts w:hint="eastAsia" w:ascii="宋体" w:hAnsi="宋体"/>
                <w:szCs w:val="21"/>
              </w:rPr>
              <w:t>截止日期</w:t>
            </w:r>
          </w:p>
        </w:tc>
        <w:tc>
          <w:tcPr>
            <w:tcW w:w="1881" w:type="dxa"/>
            <w:noWrap w:val="0"/>
            <w:vAlign w:val="center"/>
          </w:tcPr>
          <w:p>
            <w:pPr>
              <w:spacing w:line="460" w:lineRule="exact"/>
              <w:jc w:val="center"/>
              <w:rPr>
                <w:rFonts w:hint="eastAsia" w:ascii="宋体" w:hAnsi="宋体"/>
                <w:szCs w:val="21"/>
              </w:rPr>
            </w:pPr>
            <w:r>
              <w:rPr>
                <w:rFonts w:hint="eastAsia" w:ascii="宋体" w:hAnsi="宋体"/>
                <w:szCs w:val="21"/>
              </w:rPr>
              <w:t>证书复印件在投标文件对应页码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452" w:type="dxa"/>
            <w:noWrap w:val="0"/>
            <w:vAlign w:val="center"/>
          </w:tcPr>
          <w:p>
            <w:pPr>
              <w:spacing w:line="460" w:lineRule="exact"/>
              <w:jc w:val="center"/>
              <w:rPr>
                <w:rFonts w:hint="eastAsia" w:ascii="宋体" w:hAnsi="宋体"/>
                <w:szCs w:val="21"/>
              </w:rPr>
            </w:pP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p>
        </w:tc>
        <w:tc>
          <w:tcPr>
            <w:tcW w:w="188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452" w:type="dxa"/>
            <w:noWrap w:val="0"/>
            <w:vAlign w:val="center"/>
          </w:tcPr>
          <w:p>
            <w:pPr>
              <w:spacing w:line="460" w:lineRule="exact"/>
              <w:jc w:val="center"/>
              <w:rPr>
                <w:rFonts w:hint="eastAsia" w:ascii="宋体" w:hAnsi="宋体"/>
                <w:szCs w:val="21"/>
              </w:rPr>
            </w:pP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p>
        </w:tc>
        <w:tc>
          <w:tcPr>
            <w:tcW w:w="188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452" w:type="dxa"/>
            <w:noWrap w:val="0"/>
            <w:vAlign w:val="center"/>
          </w:tcPr>
          <w:p>
            <w:pPr>
              <w:spacing w:line="460" w:lineRule="exact"/>
              <w:jc w:val="center"/>
              <w:rPr>
                <w:rFonts w:hint="eastAsia" w:ascii="宋体" w:hAnsi="宋体"/>
                <w:szCs w:val="21"/>
              </w:rPr>
            </w:pP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p>
        </w:tc>
        <w:tc>
          <w:tcPr>
            <w:tcW w:w="188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452" w:type="dxa"/>
            <w:noWrap w:val="0"/>
            <w:vAlign w:val="center"/>
          </w:tcPr>
          <w:p>
            <w:pPr>
              <w:spacing w:line="460" w:lineRule="exact"/>
              <w:jc w:val="center"/>
              <w:rPr>
                <w:rFonts w:hint="eastAsia" w:ascii="宋体" w:hAnsi="宋体"/>
                <w:szCs w:val="21"/>
              </w:rPr>
            </w:pP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p>
        </w:tc>
        <w:tc>
          <w:tcPr>
            <w:tcW w:w="188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452" w:type="dxa"/>
            <w:noWrap w:val="0"/>
            <w:vAlign w:val="center"/>
          </w:tcPr>
          <w:p>
            <w:pPr>
              <w:spacing w:line="460" w:lineRule="exact"/>
              <w:jc w:val="center"/>
              <w:rPr>
                <w:rFonts w:hint="eastAsia" w:ascii="宋体" w:hAnsi="宋体"/>
                <w:szCs w:val="21"/>
              </w:rPr>
            </w:pP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p>
        </w:tc>
        <w:tc>
          <w:tcPr>
            <w:tcW w:w="188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p>
        </w:tc>
        <w:tc>
          <w:tcPr>
            <w:tcW w:w="1260" w:type="dxa"/>
            <w:noWrap w:val="0"/>
            <w:vAlign w:val="center"/>
          </w:tcPr>
          <w:p>
            <w:pPr>
              <w:spacing w:line="460" w:lineRule="exact"/>
              <w:jc w:val="center"/>
              <w:rPr>
                <w:rFonts w:hint="eastAsia" w:ascii="宋体" w:hAnsi="宋体"/>
                <w:szCs w:val="21"/>
              </w:rPr>
            </w:pPr>
          </w:p>
        </w:tc>
        <w:tc>
          <w:tcPr>
            <w:tcW w:w="1680" w:type="dxa"/>
            <w:noWrap w:val="0"/>
            <w:vAlign w:val="center"/>
          </w:tcPr>
          <w:p>
            <w:pPr>
              <w:spacing w:line="460" w:lineRule="exact"/>
              <w:jc w:val="center"/>
              <w:rPr>
                <w:rFonts w:hint="eastAsia" w:ascii="宋体" w:hAnsi="宋体"/>
                <w:szCs w:val="21"/>
              </w:rPr>
            </w:pPr>
          </w:p>
        </w:tc>
        <w:tc>
          <w:tcPr>
            <w:tcW w:w="1635" w:type="dxa"/>
            <w:noWrap w:val="0"/>
            <w:vAlign w:val="center"/>
          </w:tcPr>
          <w:p>
            <w:pPr>
              <w:spacing w:line="460" w:lineRule="exact"/>
              <w:jc w:val="center"/>
              <w:rPr>
                <w:rFonts w:hint="eastAsia" w:ascii="宋体" w:hAnsi="宋体"/>
                <w:szCs w:val="21"/>
              </w:rPr>
            </w:pPr>
          </w:p>
        </w:tc>
        <w:tc>
          <w:tcPr>
            <w:tcW w:w="1095" w:type="dxa"/>
            <w:noWrap w:val="0"/>
            <w:vAlign w:val="center"/>
          </w:tcPr>
          <w:p>
            <w:pPr>
              <w:spacing w:line="460" w:lineRule="exact"/>
              <w:jc w:val="center"/>
              <w:rPr>
                <w:rFonts w:hint="eastAsia" w:ascii="宋体" w:hAnsi="宋体"/>
                <w:szCs w:val="21"/>
              </w:rPr>
            </w:pPr>
          </w:p>
        </w:tc>
        <w:tc>
          <w:tcPr>
            <w:tcW w:w="1215" w:type="dxa"/>
            <w:noWrap w:val="0"/>
            <w:vAlign w:val="center"/>
          </w:tcPr>
          <w:p>
            <w:pPr>
              <w:spacing w:line="460" w:lineRule="exact"/>
              <w:jc w:val="center"/>
              <w:rPr>
                <w:rFonts w:hint="eastAsia" w:ascii="宋体" w:hAnsi="宋体"/>
                <w:szCs w:val="21"/>
              </w:rPr>
            </w:pPr>
          </w:p>
        </w:tc>
        <w:tc>
          <w:tcPr>
            <w:tcW w:w="1098" w:type="dxa"/>
            <w:noWrap w:val="0"/>
            <w:vAlign w:val="center"/>
          </w:tcPr>
          <w:p>
            <w:pPr>
              <w:spacing w:line="460" w:lineRule="exact"/>
              <w:jc w:val="center"/>
              <w:rPr>
                <w:rFonts w:hint="eastAsia" w:ascii="宋体" w:hAnsi="宋体"/>
                <w:szCs w:val="21"/>
              </w:rPr>
            </w:pPr>
          </w:p>
        </w:tc>
        <w:tc>
          <w:tcPr>
            <w:tcW w:w="1452" w:type="dxa"/>
            <w:noWrap w:val="0"/>
            <w:vAlign w:val="center"/>
          </w:tcPr>
          <w:p>
            <w:pPr>
              <w:spacing w:line="460" w:lineRule="exact"/>
              <w:jc w:val="center"/>
              <w:rPr>
                <w:rFonts w:hint="eastAsia" w:ascii="宋体" w:hAnsi="宋体"/>
                <w:szCs w:val="21"/>
              </w:rPr>
            </w:pP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p>
        </w:tc>
        <w:tc>
          <w:tcPr>
            <w:tcW w:w="1881"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合计</w:t>
            </w:r>
          </w:p>
        </w:tc>
        <w:tc>
          <w:tcPr>
            <w:tcW w:w="126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68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63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09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215"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098"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452"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478" w:type="dxa"/>
            <w:noWrap w:val="0"/>
            <w:vAlign w:val="center"/>
          </w:tcPr>
          <w:p>
            <w:pPr>
              <w:spacing w:line="460" w:lineRule="exact"/>
              <w:jc w:val="center"/>
              <w:rPr>
                <w:rFonts w:hint="eastAsia" w:ascii="宋体" w:hAnsi="宋体"/>
                <w:szCs w:val="21"/>
              </w:rPr>
            </w:pPr>
          </w:p>
        </w:tc>
        <w:tc>
          <w:tcPr>
            <w:tcW w:w="1410" w:type="dxa"/>
            <w:noWrap w:val="0"/>
            <w:vAlign w:val="center"/>
          </w:tcPr>
          <w:p>
            <w:pPr>
              <w:spacing w:line="460" w:lineRule="exact"/>
              <w:jc w:val="center"/>
              <w:rPr>
                <w:rFonts w:hint="eastAsia" w:ascii="宋体" w:hAnsi="宋体"/>
                <w:szCs w:val="21"/>
              </w:rPr>
            </w:pPr>
            <w:r>
              <w:rPr>
                <w:rFonts w:hint="eastAsia" w:ascii="宋体" w:hAnsi="宋体"/>
                <w:szCs w:val="21"/>
              </w:rPr>
              <w:t>/</w:t>
            </w:r>
          </w:p>
        </w:tc>
        <w:tc>
          <w:tcPr>
            <w:tcW w:w="1881" w:type="dxa"/>
            <w:noWrap w:val="0"/>
            <w:vAlign w:val="center"/>
          </w:tcPr>
          <w:p>
            <w:pPr>
              <w:spacing w:line="460" w:lineRule="exact"/>
              <w:jc w:val="center"/>
              <w:rPr>
                <w:rFonts w:hint="eastAsia" w:ascii="宋体" w:hAnsi="宋体"/>
                <w:szCs w:val="21"/>
              </w:rPr>
            </w:pPr>
            <w:r>
              <w:rPr>
                <w:rFonts w:hint="eastAsia" w:ascii="宋体" w:hAnsi="宋体"/>
                <w:szCs w:val="21"/>
              </w:rPr>
              <w:t>/</w:t>
            </w:r>
          </w:p>
        </w:tc>
      </w:tr>
    </w:tbl>
    <w:p>
      <w:pPr>
        <w:spacing w:line="440" w:lineRule="exact"/>
        <w:rPr>
          <w:rFonts w:hint="eastAsia" w:ascii="仿宋_GB2312" w:eastAsia="仿宋_GB2312"/>
          <w:i/>
          <w:iCs/>
          <w:szCs w:val="21"/>
        </w:rPr>
      </w:pPr>
    </w:p>
    <w:p>
      <w:pPr>
        <w:spacing w:line="440" w:lineRule="exact"/>
        <w:rPr>
          <w:rFonts w:hint="eastAsia" w:ascii="仿宋_GB2312" w:eastAsia="仿宋_GB2312"/>
          <w:i/>
          <w:iCs/>
          <w:szCs w:val="21"/>
        </w:rPr>
      </w:pPr>
    </w:p>
    <w:p>
      <w:pPr>
        <w:spacing w:line="440" w:lineRule="exact"/>
        <w:rPr>
          <w:rFonts w:hint="eastAsia" w:ascii="仿宋_GB2312" w:eastAsia="仿宋_GB2312"/>
          <w:i/>
          <w:iCs/>
          <w:szCs w:val="21"/>
        </w:rPr>
      </w:pPr>
      <w:r>
        <w:rPr>
          <w:rFonts w:hint="eastAsia" w:ascii="仿宋_GB2312" w:eastAsia="仿宋_GB2312"/>
          <w:i/>
          <w:iCs/>
          <w:szCs w:val="21"/>
        </w:rPr>
        <w:t>特别提醒：  1、本表专用于政府采购政策评审，如果其他投标人对中标供应商有异议的，本表将依申请公开，若有以不真实材料谋取评审优势的，取消中标资格。</w:t>
      </w:r>
    </w:p>
    <w:p>
      <w:pPr>
        <w:spacing w:line="440" w:lineRule="exact"/>
        <w:ind w:firstLine="735" w:firstLineChars="350"/>
        <w:rPr>
          <w:rFonts w:hint="eastAsia" w:ascii="仿宋_GB2312" w:eastAsia="仿宋_GB2312"/>
          <w:i/>
          <w:iCs/>
          <w:szCs w:val="21"/>
        </w:rPr>
      </w:pPr>
      <w:r>
        <w:rPr>
          <w:rFonts w:hint="eastAsia" w:ascii="仿宋_GB2312" w:eastAsia="仿宋_GB2312"/>
          <w:i/>
          <w:iCs/>
          <w:szCs w:val="21"/>
        </w:rPr>
        <w:t xml:space="preserve"> 2、环境标志产品是指根据财政部、国家发改委、生态环境部、市场监管总局等四部委发布的“财库[2019]9号”文件规定，由国家认可认证机构认证在投标截止日尚在有效期内的同型号产品</w:t>
      </w:r>
      <w:r>
        <w:rPr>
          <w:rFonts w:hint="eastAsia" w:ascii="仿宋_GB2312" w:eastAsia="仿宋_GB2312"/>
          <w:i/>
          <w:iCs/>
          <w:sz w:val="24"/>
          <w:szCs w:val="24"/>
        </w:rPr>
        <w:t>。</w:t>
      </w:r>
    </w:p>
    <w:p>
      <w:pPr>
        <w:spacing w:line="460" w:lineRule="exact"/>
        <w:rPr>
          <w:rFonts w:hint="eastAsia" w:ascii="仿宋_GB2312" w:eastAsia="仿宋_GB2312"/>
          <w:sz w:val="24"/>
          <w:szCs w:val="24"/>
        </w:rPr>
      </w:pPr>
    </w:p>
    <w:p>
      <w:pPr>
        <w:spacing w:line="460" w:lineRule="exact"/>
        <w:rPr>
          <w:rFonts w:hint="eastAsia" w:ascii="宋体" w:hAnsi="宋体"/>
          <w:sz w:val="24"/>
          <w:szCs w:val="24"/>
        </w:rPr>
      </w:pPr>
      <w:r>
        <w:rPr>
          <w:rFonts w:hint="eastAsia" w:ascii="宋体" w:hAnsi="宋体"/>
          <w:sz w:val="24"/>
          <w:szCs w:val="24"/>
        </w:rPr>
        <w:t>投标单位（盖章）：                                       日  期：</w:t>
      </w:r>
    </w:p>
    <w:p>
      <w:pPr>
        <w:spacing w:line="460" w:lineRule="exact"/>
        <w:sectPr>
          <w:pgSz w:w="16840" w:h="11907" w:orient="landscape"/>
          <w:pgMar w:top="1134" w:right="1418" w:bottom="1134" w:left="1418" w:header="851" w:footer="851" w:gutter="0"/>
          <w:cols w:space="720" w:num="1"/>
          <w:docGrid w:type="lines" w:linePitch="312" w:charSpace="0"/>
        </w:sectPr>
      </w:pPr>
    </w:p>
    <w:p>
      <w:pPr>
        <w:jc w:val="center"/>
        <w:rPr>
          <w:rFonts w:hint="eastAsia" w:ascii="仿宋_GB2312" w:eastAsia="仿宋_GB2312"/>
          <w:b/>
          <w:sz w:val="32"/>
          <w:szCs w:val="32"/>
        </w:rPr>
      </w:pPr>
      <w:r>
        <w:rPr>
          <w:rFonts w:hint="eastAsia" w:ascii="仿宋_GB2312" w:eastAsia="仿宋_GB2312"/>
          <w:b/>
          <w:sz w:val="32"/>
          <w:szCs w:val="32"/>
        </w:rPr>
        <w:t>7、投标成本测算清单（参考）</w:t>
      </w:r>
    </w:p>
    <w:p>
      <w:pPr>
        <w:jc w:val="center"/>
        <w:rPr>
          <w:rFonts w:hint="eastAsia" w:ascii="仿宋_GB2312" w:eastAsia="仿宋_GB2312"/>
          <w:b/>
          <w:sz w:val="32"/>
          <w:szCs w:val="32"/>
        </w:rPr>
      </w:pPr>
    </w:p>
    <w:p>
      <w:pPr>
        <w:numPr>
          <w:ilvl w:val="0"/>
          <w:numId w:val="22"/>
        </w:numPr>
        <w:rPr>
          <w:rFonts w:hint="eastAsia" w:ascii="仿宋_GB2312" w:eastAsia="仿宋_GB2312"/>
          <w:bCs/>
          <w:sz w:val="28"/>
          <w:szCs w:val="28"/>
        </w:rPr>
      </w:pPr>
      <w:r>
        <w:rPr>
          <w:rFonts w:hint="eastAsia" w:ascii="仿宋_GB2312" w:eastAsia="仿宋_GB2312"/>
          <w:bCs/>
          <w:sz w:val="28"/>
          <w:szCs w:val="28"/>
        </w:rPr>
        <w:t>投标人提供自己制造的产品：应按单个产品提供原材料及零配件的数量、购入单价、购入供应商，加工制造所需的工时、人工费，以及汇总合计价格。原材料及零配件已购入的应当提供购入发票复印件，拟购入的应在交货时向采购人提供进货发票复印件（原件备查）。</w:t>
      </w:r>
    </w:p>
    <w:p>
      <w:pPr>
        <w:numPr>
          <w:ilvl w:val="0"/>
          <w:numId w:val="22"/>
        </w:numPr>
        <w:rPr>
          <w:rFonts w:hint="eastAsia" w:ascii="仿宋_GB2312" w:eastAsia="仿宋_GB2312"/>
          <w:bCs/>
          <w:sz w:val="28"/>
          <w:szCs w:val="28"/>
        </w:rPr>
      </w:pPr>
      <w:r>
        <w:rPr>
          <w:rFonts w:hint="eastAsia" w:ascii="仿宋_GB2312" w:eastAsia="仿宋_GB2312"/>
          <w:bCs/>
          <w:sz w:val="28"/>
          <w:szCs w:val="28"/>
        </w:rPr>
        <w:t>投标人提供其他供应商制造的产品：应提供购入价格和供应商清单。购入供应商是中间商的，须提供直至产品原厂商的全部销售渠道证明材料。已购入货物的应提供进货发票复印件，拟购入货物的应在交货时向采购人提供进货发票复印件（原件备查）。</w:t>
      </w:r>
    </w:p>
    <w:p>
      <w:pPr>
        <w:numPr>
          <w:ilvl w:val="0"/>
          <w:numId w:val="22"/>
        </w:numPr>
        <w:rPr>
          <w:rFonts w:hint="eastAsia" w:ascii="仿宋_GB2312" w:eastAsia="仿宋_GB2312"/>
          <w:bCs/>
          <w:sz w:val="28"/>
          <w:szCs w:val="28"/>
        </w:rPr>
      </w:pPr>
      <w:r>
        <w:rPr>
          <w:rFonts w:hint="eastAsia" w:ascii="仿宋_GB2312" w:eastAsia="仿宋_GB2312"/>
          <w:bCs/>
          <w:sz w:val="28"/>
          <w:szCs w:val="28"/>
        </w:rPr>
        <w:t>投标人涉及的人工服务费用：应提供参与项目员工的名单、工作量、年度收入及费用清单（包括但不限于应发月工资奖金、投标人单位应缴纳的社保费及公积金，年度加班费及奖金等明细清单及合计），并提供上述员工最近社保缴纳清单。</w:t>
      </w: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8、其他报价资料</w:t>
      </w:r>
    </w:p>
    <w:p>
      <w:pPr>
        <w:jc w:val="center"/>
        <w:rPr>
          <w:rFonts w:hint="eastAsia" w:ascii="仿宋_GB2312" w:eastAsia="仿宋_GB2312"/>
          <w:b/>
          <w:sz w:val="32"/>
          <w:szCs w:val="32"/>
        </w:rPr>
      </w:pPr>
      <w:r>
        <w:rPr>
          <w:rFonts w:hint="eastAsia" w:ascii="仿宋_GB2312" w:eastAsia="仿宋_GB2312"/>
          <w:b/>
          <w:i/>
          <w:iCs/>
          <w:sz w:val="32"/>
          <w:szCs w:val="32"/>
        </w:rPr>
        <w:t>投标人可结合招标文件及自身情况提供其他认为必要的资料。</w:t>
      </w:r>
      <w:r>
        <w:rPr>
          <w:rFonts w:hint="eastAsia" w:ascii="仿宋_GB2312" w:eastAsia="仿宋_GB2312"/>
          <w:b/>
          <w:sz w:val="32"/>
          <w:szCs w:val="32"/>
        </w:rPr>
        <w:br w:type="page"/>
      </w:r>
      <w:r>
        <w:rPr>
          <w:rFonts w:hint="eastAsia" w:ascii="仿宋_GB2312" w:eastAsia="仿宋_GB2312"/>
          <w:b/>
          <w:sz w:val="32"/>
          <w:szCs w:val="32"/>
        </w:rPr>
        <w:t>二、商务技术部分</w:t>
      </w:r>
    </w:p>
    <w:p>
      <w:pPr>
        <w:jc w:val="center"/>
        <w:rPr>
          <w:rFonts w:hint="eastAsia" w:ascii="仿宋_GB2312" w:eastAsia="仿宋_GB2312"/>
          <w:b/>
          <w:sz w:val="32"/>
          <w:szCs w:val="32"/>
        </w:rPr>
      </w:pPr>
      <w:r>
        <w:rPr>
          <w:rFonts w:hint="eastAsia" w:ascii="仿宋_GB2312" w:eastAsia="仿宋_GB2312"/>
          <w:b/>
          <w:sz w:val="32"/>
          <w:szCs w:val="32"/>
        </w:rPr>
        <w:t>1、技术（商务/服务）偏离表</w:t>
      </w:r>
    </w:p>
    <w:p>
      <w:pPr>
        <w:spacing w:line="400" w:lineRule="exact"/>
        <w:rPr>
          <w:rFonts w:hint="eastAsia"/>
        </w:rPr>
      </w:pPr>
    </w:p>
    <w:p>
      <w:pPr>
        <w:spacing w:line="400" w:lineRule="exact"/>
        <w:rPr>
          <w:rFonts w:hint="eastAsia"/>
          <w:sz w:val="28"/>
        </w:rPr>
      </w:pPr>
      <w:r>
        <w:rPr>
          <w:rFonts w:hint="eastAsia"/>
        </w:rPr>
        <w:t>项目名称：                   采购编号：                 标包号：</w:t>
      </w:r>
    </w:p>
    <w:tbl>
      <w:tblPr>
        <w:tblStyle w:val="23"/>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center"/>
          </w:tcPr>
          <w:p>
            <w:pPr>
              <w:spacing w:line="500" w:lineRule="exact"/>
              <w:jc w:val="center"/>
              <w:rPr>
                <w:rFonts w:hint="eastAsia"/>
              </w:rPr>
            </w:pPr>
            <w:r>
              <w:rPr>
                <w:rFonts w:hint="eastAsia"/>
              </w:rPr>
              <w:t>序号</w:t>
            </w:r>
          </w:p>
        </w:tc>
        <w:tc>
          <w:tcPr>
            <w:tcW w:w="1236" w:type="dxa"/>
            <w:noWrap w:val="0"/>
            <w:vAlign w:val="center"/>
          </w:tcPr>
          <w:p>
            <w:pPr>
              <w:spacing w:line="500" w:lineRule="exact"/>
              <w:jc w:val="center"/>
              <w:rPr>
                <w:rFonts w:hint="eastAsia" w:eastAsia="宋体"/>
              </w:rPr>
            </w:pPr>
            <w:r>
              <w:rPr>
                <w:rFonts w:hint="eastAsia"/>
              </w:rPr>
              <w:t>品目/内容</w:t>
            </w:r>
          </w:p>
        </w:tc>
        <w:tc>
          <w:tcPr>
            <w:tcW w:w="2100" w:type="dxa"/>
            <w:noWrap w:val="0"/>
            <w:vAlign w:val="center"/>
          </w:tcPr>
          <w:p>
            <w:pPr>
              <w:spacing w:line="500" w:lineRule="exact"/>
              <w:jc w:val="center"/>
              <w:rPr>
                <w:rFonts w:hint="eastAsia"/>
              </w:rPr>
            </w:pPr>
            <w:r>
              <w:rPr>
                <w:rFonts w:hint="eastAsia"/>
              </w:rPr>
              <w:t>招标要求</w:t>
            </w:r>
          </w:p>
        </w:tc>
        <w:tc>
          <w:tcPr>
            <w:tcW w:w="3069" w:type="dxa"/>
            <w:noWrap w:val="0"/>
            <w:vAlign w:val="center"/>
          </w:tcPr>
          <w:p>
            <w:pPr>
              <w:spacing w:line="500" w:lineRule="exact"/>
              <w:ind w:left="102" w:hanging="315"/>
              <w:jc w:val="center"/>
              <w:rPr>
                <w:rFonts w:hint="eastAsia"/>
              </w:rPr>
            </w:pPr>
            <w:r>
              <w:rPr>
                <w:rFonts w:hint="eastAsia"/>
              </w:rPr>
              <w:t xml:space="preserve">  投标响应</w:t>
            </w:r>
          </w:p>
        </w:tc>
        <w:tc>
          <w:tcPr>
            <w:tcW w:w="1155" w:type="dxa"/>
            <w:noWrap w:val="0"/>
            <w:vAlign w:val="top"/>
          </w:tcPr>
          <w:p>
            <w:pPr>
              <w:spacing w:line="500" w:lineRule="exact"/>
              <w:jc w:val="center"/>
              <w:rPr>
                <w:rFonts w:hint="eastAsia"/>
              </w:rPr>
            </w:pPr>
            <w:r>
              <w:rPr>
                <w:rFonts w:hint="eastAsia"/>
              </w:rPr>
              <w:t>对应页码</w:t>
            </w:r>
          </w:p>
        </w:tc>
        <w:tc>
          <w:tcPr>
            <w:tcW w:w="1107" w:type="dxa"/>
            <w:noWrap w:val="0"/>
            <w:vAlign w:val="center"/>
          </w:tcPr>
          <w:p>
            <w:pPr>
              <w:spacing w:line="500" w:lineRule="exact"/>
              <w:jc w:val="center"/>
              <w:rPr>
                <w:rFonts w:hint="eastAsia"/>
              </w:rPr>
            </w:pPr>
            <w:r>
              <w:rPr>
                <w:rFonts w:hint="eastAsia"/>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38" w:type="dxa"/>
            <w:noWrap w:val="0"/>
            <w:vAlign w:val="top"/>
          </w:tcPr>
          <w:p>
            <w:pPr>
              <w:spacing w:line="500" w:lineRule="exact"/>
              <w:rPr>
                <w:rFonts w:hint="eastAsia"/>
              </w:rPr>
            </w:pPr>
          </w:p>
        </w:tc>
        <w:tc>
          <w:tcPr>
            <w:tcW w:w="1236" w:type="dxa"/>
            <w:noWrap w:val="0"/>
            <w:vAlign w:val="top"/>
          </w:tcPr>
          <w:p>
            <w:pPr>
              <w:spacing w:line="500" w:lineRule="exact"/>
              <w:rPr>
                <w:rFonts w:hint="eastAsia"/>
              </w:rPr>
            </w:pPr>
          </w:p>
        </w:tc>
        <w:tc>
          <w:tcPr>
            <w:tcW w:w="2100" w:type="dxa"/>
            <w:noWrap w:val="0"/>
            <w:vAlign w:val="top"/>
          </w:tcPr>
          <w:p>
            <w:pPr>
              <w:spacing w:line="500" w:lineRule="exact"/>
              <w:rPr>
                <w:rFonts w:hint="eastAsia"/>
              </w:rPr>
            </w:pPr>
          </w:p>
        </w:tc>
        <w:tc>
          <w:tcPr>
            <w:tcW w:w="3069" w:type="dxa"/>
            <w:noWrap w:val="0"/>
            <w:vAlign w:val="top"/>
          </w:tcPr>
          <w:p>
            <w:pPr>
              <w:spacing w:line="500" w:lineRule="exact"/>
              <w:rPr>
                <w:rFonts w:hint="eastAsia"/>
              </w:rPr>
            </w:pPr>
          </w:p>
        </w:tc>
        <w:tc>
          <w:tcPr>
            <w:tcW w:w="1155" w:type="dxa"/>
            <w:noWrap w:val="0"/>
            <w:vAlign w:val="top"/>
          </w:tcPr>
          <w:p>
            <w:pPr>
              <w:spacing w:line="500" w:lineRule="exact"/>
              <w:rPr>
                <w:rFonts w:hint="eastAsia"/>
              </w:rPr>
            </w:pPr>
          </w:p>
        </w:tc>
        <w:tc>
          <w:tcPr>
            <w:tcW w:w="1107" w:type="dxa"/>
            <w:noWrap w:val="0"/>
            <w:vAlign w:val="top"/>
          </w:tcPr>
          <w:p>
            <w:pPr>
              <w:spacing w:line="500" w:lineRule="exact"/>
              <w:rPr>
                <w:rFonts w:hint="eastAsia"/>
              </w:rPr>
            </w:pPr>
          </w:p>
        </w:tc>
      </w:tr>
    </w:tbl>
    <w:p>
      <w:pPr>
        <w:spacing w:line="500" w:lineRule="exact"/>
        <w:rPr>
          <w:rFonts w:hint="eastAsia" w:ascii="Arial" w:hAnsi="Arial" w:eastAsia="仿宋_GB2312"/>
          <w:b/>
          <w:szCs w:val="21"/>
        </w:rPr>
      </w:pPr>
      <w:r>
        <w:rPr>
          <w:rFonts w:hint="eastAsia" w:ascii="Arial" w:hAnsi="Arial" w:eastAsia="仿宋_GB2312"/>
          <w:b/>
          <w:szCs w:val="21"/>
        </w:rPr>
        <w:t>特别说明：1、技术偏离不得笼统提供，必须按招标文件要求逐条填报，并按要求提供技术支持证明资料所对应页码，投标响应与招标要求完全一致的才能填写“无偏离”、其他应当如实分别填写“正偏离”或“负偏离”。2、如果其他投标人对中标供应商有异议的，本表及其支持证明资料将依申请公开。若存在以不真实材料来谋取评审优势的，将取消中标资格。</w:t>
      </w:r>
    </w:p>
    <w:p>
      <w:pPr>
        <w:spacing w:line="500" w:lineRule="exact"/>
        <w:rPr>
          <w:rFonts w:hint="eastAsia" w:ascii="Arial" w:hAnsi="Arial" w:eastAsia="仿宋_GB2312"/>
          <w:b/>
          <w:szCs w:val="21"/>
        </w:rPr>
      </w:pP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投标单位（盖章）：</w:t>
      </w: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日  期：</w:t>
      </w:r>
    </w:p>
    <w:p>
      <w:pPr>
        <w:spacing w:line="500" w:lineRule="exact"/>
        <w:rPr>
          <w:rFonts w:hint="eastAsia" w:ascii="仿宋_GB2312" w:eastAsia="仿宋_GB2312"/>
          <w:sz w:val="28"/>
          <w:szCs w:val="28"/>
        </w:rPr>
      </w:pPr>
    </w:p>
    <w:p>
      <w:pPr>
        <w:spacing w:line="200" w:lineRule="atLeast"/>
        <w:ind w:left="-720" w:right="-965"/>
        <w:jc w:val="center"/>
        <w:rPr>
          <w:rFonts w:ascii="仿宋_GB2312" w:hAnsi="宋体" w:eastAsia="仿宋_GB2312"/>
          <w:b/>
          <w:bCs/>
          <w:spacing w:val="30"/>
          <w:sz w:val="32"/>
        </w:rPr>
      </w:pPr>
      <w:r>
        <w:rPr>
          <w:rFonts w:ascii="仿宋_GB2312" w:eastAsia="仿宋_GB2312"/>
          <w:b/>
          <w:sz w:val="32"/>
          <w:szCs w:val="32"/>
        </w:rPr>
        <w:br w:type="page"/>
      </w:r>
      <w:r>
        <w:rPr>
          <w:rFonts w:hint="eastAsia" w:ascii="仿宋_GB2312" w:eastAsia="仿宋_GB2312"/>
          <w:b/>
          <w:sz w:val="32"/>
          <w:szCs w:val="32"/>
        </w:rPr>
        <w:t>2、</w:t>
      </w:r>
      <w:r>
        <w:rPr>
          <w:rFonts w:hint="eastAsia" w:ascii="仿宋_GB2312" w:hAnsi="宋体" w:eastAsia="仿宋_GB2312"/>
          <w:b/>
          <w:bCs/>
          <w:spacing w:val="30"/>
          <w:sz w:val="32"/>
        </w:rPr>
        <w:t>售后服务表</w:t>
      </w:r>
    </w:p>
    <w:p>
      <w:pPr>
        <w:spacing w:line="240" w:lineRule="exact"/>
        <w:ind w:left="-720" w:right="-965"/>
        <w:rPr>
          <w:rFonts w:ascii="仿宋_GB2312" w:hAnsi="宋体" w:eastAsia="仿宋_GB2312"/>
          <w:spacing w:val="4"/>
          <w:sz w:val="28"/>
        </w:rPr>
      </w:pPr>
    </w:p>
    <w:p>
      <w:pPr>
        <w:spacing w:line="400" w:lineRule="exact"/>
        <w:rPr>
          <w:rFonts w:hint="eastAsia"/>
          <w:sz w:val="28"/>
        </w:rPr>
      </w:pPr>
      <w:r>
        <w:rPr>
          <w:rFonts w:hint="eastAsia"/>
        </w:rPr>
        <w:t>项目名称：                   采购编号：                 标包号：</w:t>
      </w:r>
    </w:p>
    <w:tbl>
      <w:tblPr>
        <w:tblStyle w:val="23"/>
        <w:tblpPr w:leftFromText="180" w:rightFromText="180" w:vertAnchor="text" w:horzAnchor="page" w:tblpX="1265" w:tblpY="17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00" w:type="dxa"/>
            <w:noWrap w:val="0"/>
            <w:vAlign w:val="top"/>
          </w:tcPr>
          <w:p>
            <w:pPr>
              <w:spacing w:line="320" w:lineRule="exact"/>
              <w:jc w:val="center"/>
              <w:rPr>
                <w:rFonts w:ascii="宋体" w:hAnsi="宋体"/>
                <w:spacing w:val="4"/>
                <w:sz w:val="24"/>
                <w:szCs w:val="24"/>
              </w:rPr>
            </w:pPr>
          </w:p>
          <w:p>
            <w:pPr>
              <w:spacing w:line="320" w:lineRule="exact"/>
              <w:jc w:val="center"/>
              <w:rPr>
                <w:rFonts w:ascii="宋体" w:hAnsi="宋体"/>
                <w:spacing w:val="4"/>
                <w:sz w:val="24"/>
                <w:szCs w:val="24"/>
              </w:rPr>
            </w:pPr>
          </w:p>
          <w:p>
            <w:pPr>
              <w:spacing w:line="320" w:lineRule="exact"/>
              <w:jc w:val="center"/>
              <w:rPr>
                <w:rFonts w:ascii="宋体" w:hAnsi="宋体"/>
                <w:spacing w:val="4"/>
                <w:sz w:val="24"/>
                <w:szCs w:val="24"/>
              </w:rPr>
            </w:pPr>
            <w:r>
              <w:rPr>
                <w:rFonts w:hint="eastAsia" w:ascii="宋体" w:hAnsi="宋体"/>
                <w:spacing w:val="4"/>
                <w:sz w:val="24"/>
                <w:szCs w:val="24"/>
              </w:rPr>
              <w:t>可</w:t>
            </w:r>
          </w:p>
          <w:p>
            <w:pPr>
              <w:spacing w:line="320" w:lineRule="exact"/>
              <w:jc w:val="center"/>
              <w:rPr>
                <w:rFonts w:ascii="宋体" w:hAnsi="宋体"/>
                <w:spacing w:val="4"/>
                <w:sz w:val="24"/>
                <w:szCs w:val="24"/>
              </w:rPr>
            </w:pPr>
            <w:r>
              <w:rPr>
                <w:rFonts w:hint="eastAsia" w:ascii="宋体" w:hAnsi="宋体"/>
                <w:spacing w:val="4"/>
                <w:sz w:val="24"/>
                <w:szCs w:val="24"/>
              </w:rPr>
              <w:t>提</w:t>
            </w:r>
          </w:p>
          <w:p>
            <w:pPr>
              <w:spacing w:line="320" w:lineRule="exact"/>
              <w:jc w:val="center"/>
              <w:rPr>
                <w:rFonts w:ascii="宋体" w:hAnsi="宋体"/>
                <w:spacing w:val="4"/>
                <w:sz w:val="24"/>
                <w:szCs w:val="24"/>
              </w:rPr>
            </w:pPr>
            <w:r>
              <w:rPr>
                <w:rFonts w:hint="eastAsia" w:ascii="宋体" w:hAnsi="宋体"/>
                <w:spacing w:val="4"/>
                <w:sz w:val="24"/>
                <w:szCs w:val="24"/>
              </w:rPr>
              <w:t>供</w:t>
            </w:r>
          </w:p>
          <w:p>
            <w:pPr>
              <w:spacing w:line="320" w:lineRule="exact"/>
              <w:jc w:val="center"/>
              <w:rPr>
                <w:rFonts w:ascii="宋体" w:hAnsi="宋体"/>
                <w:spacing w:val="4"/>
                <w:sz w:val="24"/>
                <w:szCs w:val="24"/>
              </w:rPr>
            </w:pPr>
            <w:r>
              <w:rPr>
                <w:rFonts w:hint="eastAsia" w:ascii="宋体" w:hAnsi="宋体"/>
                <w:spacing w:val="4"/>
                <w:sz w:val="24"/>
                <w:szCs w:val="24"/>
              </w:rPr>
              <w:t>的</w:t>
            </w:r>
          </w:p>
          <w:p>
            <w:pPr>
              <w:spacing w:line="320" w:lineRule="exact"/>
              <w:jc w:val="center"/>
              <w:rPr>
                <w:rFonts w:ascii="宋体" w:hAnsi="宋体"/>
                <w:spacing w:val="4"/>
                <w:sz w:val="24"/>
                <w:szCs w:val="24"/>
              </w:rPr>
            </w:pPr>
            <w:r>
              <w:rPr>
                <w:rFonts w:hint="eastAsia" w:ascii="宋体" w:hAnsi="宋体"/>
                <w:spacing w:val="4"/>
                <w:sz w:val="24"/>
                <w:szCs w:val="24"/>
              </w:rPr>
              <w:t>优</w:t>
            </w:r>
          </w:p>
          <w:p>
            <w:pPr>
              <w:spacing w:line="320" w:lineRule="exact"/>
              <w:jc w:val="center"/>
              <w:rPr>
                <w:rFonts w:ascii="宋体" w:hAnsi="宋体"/>
                <w:spacing w:val="4"/>
                <w:sz w:val="24"/>
                <w:szCs w:val="24"/>
              </w:rPr>
            </w:pPr>
            <w:r>
              <w:rPr>
                <w:rFonts w:hint="eastAsia" w:ascii="宋体" w:hAnsi="宋体"/>
                <w:spacing w:val="4"/>
                <w:sz w:val="24"/>
                <w:szCs w:val="24"/>
              </w:rPr>
              <w:t>惠</w:t>
            </w:r>
          </w:p>
          <w:p>
            <w:pPr>
              <w:spacing w:line="320" w:lineRule="exact"/>
              <w:jc w:val="center"/>
              <w:rPr>
                <w:rFonts w:ascii="宋体" w:hAnsi="宋体"/>
                <w:spacing w:val="4"/>
                <w:sz w:val="24"/>
                <w:szCs w:val="24"/>
              </w:rPr>
            </w:pPr>
            <w:r>
              <w:rPr>
                <w:rFonts w:hint="eastAsia" w:ascii="宋体" w:hAnsi="宋体"/>
                <w:spacing w:val="4"/>
                <w:sz w:val="24"/>
                <w:szCs w:val="24"/>
              </w:rPr>
              <w:t>条</w:t>
            </w:r>
          </w:p>
          <w:p>
            <w:pPr>
              <w:spacing w:line="320" w:lineRule="exact"/>
              <w:jc w:val="center"/>
              <w:rPr>
                <w:rFonts w:ascii="宋体" w:hAnsi="宋体"/>
                <w:spacing w:val="4"/>
                <w:sz w:val="24"/>
                <w:szCs w:val="24"/>
              </w:rPr>
            </w:pPr>
            <w:r>
              <w:rPr>
                <w:rFonts w:hint="eastAsia" w:ascii="宋体" w:hAnsi="宋体"/>
                <w:spacing w:val="4"/>
                <w:sz w:val="24"/>
                <w:szCs w:val="24"/>
              </w:rPr>
              <w:t>件</w:t>
            </w:r>
          </w:p>
          <w:p>
            <w:pPr>
              <w:spacing w:line="320" w:lineRule="exact"/>
              <w:jc w:val="center"/>
              <w:rPr>
                <w:rFonts w:ascii="宋体" w:hAnsi="宋体"/>
                <w:spacing w:val="4"/>
                <w:sz w:val="24"/>
                <w:szCs w:val="24"/>
              </w:rPr>
            </w:pPr>
          </w:p>
          <w:p>
            <w:pPr>
              <w:spacing w:line="320" w:lineRule="exact"/>
              <w:jc w:val="center"/>
              <w:rPr>
                <w:rFonts w:ascii="宋体" w:hAnsi="宋体"/>
                <w:spacing w:val="4"/>
                <w:sz w:val="24"/>
                <w:szCs w:val="24"/>
              </w:rPr>
            </w:pPr>
          </w:p>
        </w:tc>
        <w:tc>
          <w:tcPr>
            <w:tcW w:w="8758" w:type="dxa"/>
            <w:noWrap w:val="0"/>
            <w:vAlign w:val="top"/>
          </w:tcPr>
          <w:p>
            <w:pPr>
              <w:spacing w:line="320" w:lineRule="exact"/>
              <w:rPr>
                <w:rFonts w:ascii="宋体" w:hAnsi="宋体"/>
                <w:spacing w:val="4"/>
                <w:sz w:val="24"/>
                <w:szCs w:val="24"/>
              </w:rPr>
            </w:pPr>
          </w:p>
          <w:p>
            <w:pPr>
              <w:spacing w:line="320" w:lineRule="exact"/>
              <w:rPr>
                <w:rFonts w:ascii="宋体" w:hAnsi="宋体"/>
                <w:spacing w:val="4"/>
                <w:sz w:val="24"/>
                <w:szCs w:val="24"/>
              </w:rPr>
            </w:pPr>
            <w:r>
              <w:rPr>
                <w:rFonts w:ascii="宋体" w:hAnsi="宋体"/>
                <w:spacing w:val="4"/>
                <w:sz w:val="24"/>
                <w:szCs w:val="24"/>
              </w:rPr>
              <w:t xml:space="preserve"> 1.</w:t>
            </w:r>
          </w:p>
          <w:p>
            <w:pPr>
              <w:spacing w:line="320" w:lineRule="exact"/>
              <w:rPr>
                <w:rFonts w:ascii="宋体" w:hAnsi="宋体"/>
                <w:spacing w:val="4"/>
                <w:sz w:val="24"/>
                <w:szCs w:val="24"/>
              </w:rPr>
            </w:pPr>
          </w:p>
          <w:p>
            <w:pPr>
              <w:spacing w:line="320" w:lineRule="exact"/>
              <w:rPr>
                <w:rFonts w:ascii="宋体" w:hAnsi="宋体"/>
                <w:spacing w:val="4"/>
                <w:sz w:val="24"/>
                <w:szCs w:val="24"/>
              </w:rPr>
            </w:pPr>
          </w:p>
          <w:p>
            <w:pPr>
              <w:spacing w:line="320" w:lineRule="exact"/>
              <w:rPr>
                <w:rFonts w:ascii="宋体" w:hAnsi="宋体"/>
                <w:spacing w:val="4"/>
                <w:sz w:val="24"/>
                <w:szCs w:val="24"/>
              </w:rPr>
            </w:pPr>
            <w:r>
              <w:rPr>
                <w:rFonts w:ascii="宋体" w:hAnsi="宋体"/>
                <w:spacing w:val="4"/>
                <w:sz w:val="24"/>
                <w:szCs w:val="24"/>
              </w:rPr>
              <w:t xml:space="preserve"> 2.</w:t>
            </w:r>
          </w:p>
          <w:p>
            <w:pPr>
              <w:spacing w:line="320" w:lineRule="exact"/>
              <w:rPr>
                <w:rFonts w:ascii="宋体" w:hAnsi="宋体"/>
                <w:spacing w:val="4"/>
                <w:sz w:val="24"/>
                <w:szCs w:val="24"/>
              </w:rPr>
            </w:pPr>
          </w:p>
          <w:p>
            <w:pPr>
              <w:spacing w:line="320" w:lineRule="exact"/>
              <w:rPr>
                <w:rFonts w:ascii="宋体" w:hAnsi="宋体"/>
                <w:spacing w:val="4"/>
                <w:sz w:val="24"/>
                <w:szCs w:val="24"/>
              </w:rPr>
            </w:pPr>
          </w:p>
          <w:p>
            <w:pPr>
              <w:spacing w:line="320" w:lineRule="exact"/>
              <w:rPr>
                <w:rFonts w:ascii="宋体" w:hAnsi="宋体"/>
                <w:spacing w:val="4"/>
                <w:sz w:val="24"/>
                <w:szCs w:val="24"/>
              </w:rPr>
            </w:pPr>
            <w:r>
              <w:rPr>
                <w:rFonts w:ascii="宋体" w:hAnsi="宋体"/>
                <w:spacing w:val="4"/>
                <w:sz w:val="24"/>
                <w:szCs w:val="24"/>
              </w:rPr>
              <w:t xml:space="preserve"> 3.</w:t>
            </w:r>
          </w:p>
          <w:p>
            <w:pPr>
              <w:spacing w:line="320" w:lineRule="exact"/>
              <w:rPr>
                <w:rFonts w:ascii="宋体" w:hAnsi="宋体"/>
                <w:spacing w:val="4"/>
                <w:sz w:val="24"/>
                <w:szCs w:val="24"/>
              </w:rPr>
            </w:pPr>
          </w:p>
          <w:p>
            <w:pPr>
              <w:spacing w:line="320" w:lineRule="exact"/>
              <w:rPr>
                <w:rFonts w:ascii="宋体" w:hAnsi="宋体"/>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00" w:type="dxa"/>
            <w:noWrap w:val="0"/>
            <w:vAlign w:val="top"/>
          </w:tcPr>
          <w:p>
            <w:pPr>
              <w:spacing w:line="320" w:lineRule="exact"/>
              <w:jc w:val="center"/>
              <w:rPr>
                <w:rFonts w:ascii="宋体" w:hAnsi="宋体"/>
                <w:spacing w:val="4"/>
                <w:sz w:val="24"/>
                <w:szCs w:val="24"/>
              </w:rPr>
            </w:pPr>
          </w:p>
          <w:p>
            <w:pPr>
              <w:spacing w:line="320" w:lineRule="exact"/>
              <w:jc w:val="center"/>
              <w:rPr>
                <w:rFonts w:ascii="宋体" w:hAnsi="宋体"/>
                <w:spacing w:val="4"/>
                <w:sz w:val="24"/>
                <w:szCs w:val="24"/>
              </w:rPr>
            </w:pPr>
          </w:p>
          <w:p>
            <w:pPr>
              <w:spacing w:line="320" w:lineRule="exact"/>
              <w:rPr>
                <w:rFonts w:ascii="宋体" w:hAnsi="宋体"/>
                <w:spacing w:val="4"/>
                <w:sz w:val="24"/>
                <w:szCs w:val="24"/>
              </w:rPr>
            </w:pPr>
          </w:p>
          <w:p>
            <w:pPr>
              <w:spacing w:line="320" w:lineRule="exact"/>
              <w:jc w:val="center"/>
              <w:rPr>
                <w:rFonts w:ascii="宋体" w:hAnsi="宋体"/>
                <w:spacing w:val="4"/>
                <w:sz w:val="24"/>
                <w:szCs w:val="24"/>
              </w:rPr>
            </w:pPr>
            <w:r>
              <w:rPr>
                <w:rFonts w:hint="eastAsia" w:ascii="宋体" w:hAnsi="宋体"/>
                <w:spacing w:val="4"/>
                <w:sz w:val="24"/>
                <w:szCs w:val="24"/>
              </w:rPr>
              <w:t>售</w:t>
            </w:r>
          </w:p>
          <w:p>
            <w:pPr>
              <w:spacing w:line="320" w:lineRule="exact"/>
              <w:jc w:val="center"/>
              <w:rPr>
                <w:rFonts w:ascii="宋体" w:hAnsi="宋体"/>
                <w:spacing w:val="4"/>
                <w:sz w:val="24"/>
                <w:szCs w:val="24"/>
              </w:rPr>
            </w:pPr>
            <w:r>
              <w:rPr>
                <w:rFonts w:hint="eastAsia" w:ascii="宋体" w:hAnsi="宋体"/>
                <w:spacing w:val="4"/>
                <w:sz w:val="24"/>
                <w:szCs w:val="24"/>
              </w:rPr>
              <w:t>后</w:t>
            </w:r>
          </w:p>
          <w:p>
            <w:pPr>
              <w:spacing w:line="320" w:lineRule="exact"/>
              <w:jc w:val="center"/>
              <w:rPr>
                <w:rFonts w:ascii="宋体" w:hAnsi="宋体"/>
                <w:spacing w:val="4"/>
                <w:sz w:val="24"/>
                <w:szCs w:val="24"/>
              </w:rPr>
            </w:pPr>
            <w:r>
              <w:rPr>
                <w:rFonts w:hint="eastAsia" w:ascii="宋体" w:hAnsi="宋体"/>
                <w:spacing w:val="4"/>
                <w:sz w:val="24"/>
                <w:szCs w:val="24"/>
              </w:rPr>
              <w:t>服</w:t>
            </w:r>
          </w:p>
          <w:p>
            <w:pPr>
              <w:spacing w:line="320" w:lineRule="exact"/>
              <w:jc w:val="center"/>
              <w:rPr>
                <w:rFonts w:ascii="宋体" w:hAnsi="宋体"/>
                <w:spacing w:val="4"/>
                <w:sz w:val="24"/>
                <w:szCs w:val="24"/>
              </w:rPr>
            </w:pPr>
            <w:r>
              <w:rPr>
                <w:rFonts w:hint="eastAsia" w:ascii="宋体" w:hAnsi="宋体"/>
                <w:spacing w:val="4"/>
                <w:sz w:val="24"/>
                <w:szCs w:val="24"/>
              </w:rPr>
              <w:t>务</w:t>
            </w:r>
          </w:p>
          <w:p>
            <w:pPr>
              <w:spacing w:line="320" w:lineRule="exact"/>
              <w:jc w:val="center"/>
              <w:rPr>
                <w:rFonts w:ascii="宋体" w:hAnsi="宋体"/>
                <w:spacing w:val="4"/>
                <w:sz w:val="24"/>
                <w:szCs w:val="24"/>
              </w:rPr>
            </w:pPr>
            <w:r>
              <w:rPr>
                <w:rFonts w:hint="eastAsia" w:ascii="宋体" w:hAnsi="宋体"/>
                <w:spacing w:val="4"/>
                <w:sz w:val="24"/>
                <w:szCs w:val="24"/>
              </w:rPr>
              <w:t>体</w:t>
            </w:r>
          </w:p>
          <w:p>
            <w:pPr>
              <w:spacing w:line="320" w:lineRule="exact"/>
              <w:jc w:val="center"/>
              <w:rPr>
                <w:rFonts w:ascii="宋体" w:hAnsi="宋体"/>
                <w:spacing w:val="4"/>
                <w:sz w:val="24"/>
                <w:szCs w:val="24"/>
              </w:rPr>
            </w:pPr>
            <w:r>
              <w:rPr>
                <w:rFonts w:hint="eastAsia" w:ascii="宋体" w:hAnsi="宋体"/>
                <w:spacing w:val="4"/>
                <w:sz w:val="24"/>
                <w:szCs w:val="24"/>
              </w:rPr>
              <w:t>系</w:t>
            </w:r>
          </w:p>
          <w:p>
            <w:pPr>
              <w:spacing w:line="320" w:lineRule="exact"/>
              <w:jc w:val="center"/>
              <w:rPr>
                <w:rFonts w:ascii="宋体" w:hAnsi="宋体"/>
                <w:spacing w:val="4"/>
                <w:sz w:val="24"/>
                <w:szCs w:val="24"/>
              </w:rPr>
            </w:pPr>
          </w:p>
          <w:p>
            <w:pPr>
              <w:spacing w:line="320" w:lineRule="exact"/>
              <w:jc w:val="center"/>
              <w:rPr>
                <w:rFonts w:ascii="宋体" w:hAnsi="宋体"/>
                <w:spacing w:val="4"/>
                <w:sz w:val="24"/>
                <w:szCs w:val="24"/>
              </w:rPr>
            </w:pPr>
          </w:p>
          <w:p>
            <w:pPr>
              <w:spacing w:line="320" w:lineRule="exact"/>
              <w:jc w:val="center"/>
              <w:rPr>
                <w:rFonts w:ascii="宋体" w:hAnsi="宋体"/>
                <w:spacing w:val="4"/>
                <w:sz w:val="24"/>
                <w:szCs w:val="24"/>
              </w:rPr>
            </w:pPr>
          </w:p>
        </w:tc>
        <w:tc>
          <w:tcPr>
            <w:tcW w:w="8758" w:type="dxa"/>
            <w:noWrap w:val="0"/>
            <w:vAlign w:val="top"/>
          </w:tcPr>
          <w:p>
            <w:pPr>
              <w:spacing w:line="320" w:lineRule="exact"/>
              <w:rPr>
                <w:rFonts w:ascii="宋体" w:hAnsi="宋体"/>
                <w:spacing w:val="4"/>
                <w:sz w:val="24"/>
                <w:szCs w:val="24"/>
              </w:rPr>
            </w:pPr>
            <w:r>
              <w:rPr>
                <w:rFonts w:ascii="宋体" w:hAnsi="宋体"/>
                <w:spacing w:val="4"/>
                <w:sz w:val="24"/>
                <w:szCs w:val="24"/>
              </w:rPr>
              <w:t xml:space="preserve"> </w:t>
            </w:r>
          </w:p>
          <w:p>
            <w:pPr>
              <w:spacing w:line="320" w:lineRule="exact"/>
              <w:rPr>
                <w:rFonts w:ascii="宋体" w:hAnsi="宋体"/>
                <w:spacing w:val="4"/>
                <w:sz w:val="24"/>
                <w:szCs w:val="24"/>
              </w:rPr>
            </w:pPr>
            <w:r>
              <w:rPr>
                <w:rFonts w:ascii="宋体" w:hAnsi="宋体"/>
                <w:spacing w:val="4"/>
                <w:sz w:val="24"/>
                <w:szCs w:val="24"/>
              </w:rPr>
              <w:t xml:space="preserve"> 1.</w:t>
            </w:r>
          </w:p>
          <w:p>
            <w:pPr>
              <w:spacing w:line="320" w:lineRule="exact"/>
              <w:rPr>
                <w:rFonts w:ascii="宋体" w:hAnsi="宋体"/>
                <w:spacing w:val="4"/>
                <w:sz w:val="24"/>
                <w:szCs w:val="24"/>
              </w:rPr>
            </w:pPr>
          </w:p>
          <w:p>
            <w:pPr>
              <w:spacing w:line="320" w:lineRule="exact"/>
              <w:rPr>
                <w:rFonts w:ascii="宋体" w:hAnsi="宋体"/>
                <w:spacing w:val="4"/>
                <w:sz w:val="24"/>
                <w:szCs w:val="24"/>
              </w:rPr>
            </w:pPr>
          </w:p>
          <w:p>
            <w:pPr>
              <w:spacing w:line="320" w:lineRule="exact"/>
              <w:rPr>
                <w:rFonts w:ascii="宋体" w:hAnsi="宋体"/>
                <w:spacing w:val="4"/>
                <w:sz w:val="24"/>
                <w:szCs w:val="24"/>
              </w:rPr>
            </w:pPr>
            <w:r>
              <w:rPr>
                <w:rFonts w:ascii="宋体" w:hAnsi="宋体"/>
                <w:spacing w:val="4"/>
                <w:sz w:val="24"/>
                <w:szCs w:val="24"/>
              </w:rPr>
              <w:t xml:space="preserve"> 2.</w:t>
            </w:r>
          </w:p>
          <w:p>
            <w:pPr>
              <w:spacing w:line="320" w:lineRule="exact"/>
              <w:rPr>
                <w:rFonts w:ascii="宋体" w:hAnsi="宋体"/>
                <w:spacing w:val="4"/>
                <w:sz w:val="24"/>
                <w:szCs w:val="24"/>
              </w:rPr>
            </w:pPr>
          </w:p>
          <w:p>
            <w:pPr>
              <w:spacing w:line="320" w:lineRule="exact"/>
              <w:rPr>
                <w:rFonts w:ascii="宋体" w:hAnsi="宋体"/>
                <w:spacing w:val="4"/>
                <w:sz w:val="24"/>
                <w:szCs w:val="24"/>
              </w:rPr>
            </w:pPr>
          </w:p>
          <w:p>
            <w:pPr>
              <w:spacing w:line="320" w:lineRule="exact"/>
              <w:rPr>
                <w:rFonts w:ascii="宋体" w:hAnsi="宋体"/>
                <w:spacing w:val="4"/>
                <w:sz w:val="24"/>
                <w:szCs w:val="24"/>
              </w:rPr>
            </w:pPr>
            <w:r>
              <w:rPr>
                <w:rFonts w:ascii="宋体" w:hAnsi="宋体"/>
                <w:spacing w:val="4"/>
                <w:sz w:val="24"/>
                <w:szCs w:val="24"/>
              </w:rPr>
              <w:t xml:space="preserve"> 3.</w:t>
            </w:r>
          </w:p>
          <w:p>
            <w:pPr>
              <w:spacing w:line="320" w:lineRule="exact"/>
              <w:rPr>
                <w:rFonts w:ascii="宋体" w:hAnsi="宋体"/>
                <w:spacing w:val="4"/>
                <w:sz w:val="24"/>
                <w:szCs w:val="24"/>
              </w:rPr>
            </w:pPr>
          </w:p>
          <w:p>
            <w:pPr>
              <w:spacing w:line="320" w:lineRule="exact"/>
              <w:rPr>
                <w:rFonts w:ascii="宋体" w:hAnsi="宋体"/>
                <w:spacing w:val="4"/>
                <w:sz w:val="24"/>
                <w:szCs w:val="24"/>
              </w:rPr>
            </w:pPr>
          </w:p>
          <w:p>
            <w:pPr>
              <w:spacing w:line="320" w:lineRule="exact"/>
              <w:rPr>
                <w:rFonts w:ascii="宋体" w:hAnsi="宋体"/>
                <w:spacing w:val="4"/>
                <w:sz w:val="24"/>
                <w:szCs w:val="24"/>
              </w:rPr>
            </w:pPr>
            <w:r>
              <w:rPr>
                <w:rFonts w:ascii="宋体" w:hAnsi="宋体"/>
                <w:spacing w:val="4"/>
                <w:sz w:val="24"/>
                <w:szCs w:val="24"/>
              </w:rPr>
              <w:t xml:space="preserve"> </w:t>
            </w:r>
          </w:p>
        </w:tc>
      </w:tr>
    </w:tbl>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spacing w:line="240" w:lineRule="atLeast"/>
        <w:ind w:right="-960"/>
        <w:rPr>
          <w:rFonts w:hint="eastAsia" w:ascii="宋体" w:hAnsi="宋体"/>
          <w:sz w:val="24"/>
          <w:szCs w:val="24"/>
        </w:rPr>
      </w:pPr>
      <w:r>
        <w:rPr>
          <w:rFonts w:hint="eastAsia" w:ascii="宋体" w:hAnsi="宋体"/>
          <w:sz w:val="24"/>
          <w:szCs w:val="24"/>
        </w:rPr>
        <w:t>投标单位（盖章）：</w:t>
      </w:r>
    </w:p>
    <w:p>
      <w:pPr>
        <w:spacing w:line="240" w:lineRule="atLeast"/>
        <w:ind w:left="-720" w:right="-960"/>
        <w:rPr>
          <w:rFonts w:hint="eastAsia" w:ascii="宋体" w:hAnsi="宋体"/>
          <w:sz w:val="24"/>
          <w:szCs w:val="24"/>
        </w:rPr>
      </w:pPr>
    </w:p>
    <w:p>
      <w:pPr>
        <w:spacing w:line="240" w:lineRule="atLeast"/>
        <w:ind w:left="-720" w:right="-960"/>
        <w:rPr>
          <w:rFonts w:hint="eastAsia" w:ascii="宋体" w:hAnsi="宋体"/>
          <w:sz w:val="24"/>
          <w:szCs w:val="24"/>
        </w:rPr>
      </w:pPr>
    </w:p>
    <w:p>
      <w:pPr>
        <w:spacing w:line="240" w:lineRule="atLeast"/>
        <w:ind w:left="-720" w:right="-960"/>
        <w:rPr>
          <w:rFonts w:hint="eastAsia" w:ascii="宋体" w:hAnsi="宋体"/>
          <w:sz w:val="24"/>
          <w:szCs w:val="24"/>
        </w:rPr>
      </w:pPr>
    </w:p>
    <w:p>
      <w:pPr>
        <w:spacing w:line="240" w:lineRule="atLeast"/>
        <w:ind w:left="-720" w:right="-960"/>
        <w:rPr>
          <w:rFonts w:hint="eastAsia" w:ascii="宋体" w:hAnsi="宋体"/>
          <w:sz w:val="24"/>
          <w:szCs w:val="24"/>
        </w:rPr>
      </w:pPr>
    </w:p>
    <w:p>
      <w:pPr>
        <w:spacing w:line="240" w:lineRule="atLeast"/>
        <w:ind w:right="-960"/>
        <w:rPr>
          <w:rFonts w:hint="eastAsia" w:ascii="宋体" w:hAnsi="宋体"/>
          <w:sz w:val="24"/>
          <w:szCs w:val="24"/>
        </w:rPr>
      </w:pPr>
      <w:r>
        <w:rPr>
          <w:rFonts w:hint="eastAsia" w:ascii="宋体" w:hAnsi="宋体"/>
          <w:sz w:val="24"/>
          <w:szCs w:val="24"/>
        </w:rPr>
        <w:t>日  期：</w:t>
      </w:r>
    </w:p>
    <w:p>
      <w:pPr>
        <w:pStyle w:val="3"/>
        <w:keepNext/>
        <w:keepLines/>
        <w:spacing w:before="260" w:after="260" w:line="360" w:lineRule="auto"/>
        <w:rPr>
          <w:rFonts w:hint="eastAsia" w:ascii="Arial" w:hAnsi="Arial" w:eastAsia="仿宋_GB2312"/>
          <w:sz w:val="28"/>
        </w:rPr>
      </w:pPr>
      <w:bookmarkStart w:id="71" w:name="_Toc188842692"/>
      <w:bookmarkStart w:id="72" w:name="_Toc188943146"/>
      <w:bookmarkStart w:id="73" w:name="_Toc189033155"/>
    </w:p>
    <w:p>
      <w:pPr>
        <w:pStyle w:val="3"/>
        <w:keepNext/>
        <w:keepLines/>
        <w:spacing w:before="260" w:after="260" w:line="360" w:lineRule="auto"/>
        <w:jc w:val="center"/>
        <w:rPr>
          <w:rFonts w:hint="eastAsia" w:ascii="仿宋_GB2312" w:eastAsia="仿宋_GB2312"/>
          <w:b/>
          <w:bCs/>
          <w:color w:val="000000"/>
          <w:kern w:val="2"/>
          <w:sz w:val="32"/>
          <w:szCs w:val="32"/>
        </w:rPr>
      </w:pPr>
      <w:r>
        <w:rPr>
          <w:rFonts w:hint="eastAsia" w:ascii="仿宋_GB2312" w:eastAsia="仿宋_GB2312"/>
          <w:b/>
          <w:bCs/>
          <w:color w:val="000000"/>
          <w:kern w:val="2"/>
          <w:sz w:val="32"/>
          <w:szCs w:val="32"/>
          <w:lang w:val="zh-CN"/>
        </w:rPr>
        <w:br w:type="page"/>
      </w:r>
      <w:r>
        <w:rPr>
          <w:rFonts w:hint="eastAsia" w:ascii="仿宋_GB2312" w:eastAsia="仿宋_GB2312"/>
          <w:b/>
          <w:bCs/>
          <w:color w:val="000000"/>
          <w:kern w:val="2"/>
          <w:sz w:val="32"/>
          <w:szCs w:val="32"/>
        </w:rPr>
        <w:t>3、</w:t>
      </w:r>
      <w:r>
        <w:rPr>
          <w:rFonts w:hint="eastAsia" w:ascii="仿宋_GB2312" w:eastAsia="仿宋_GB2312"/>
          <w:b/>
          <w:bCs/>
          <w:color w:val="000000"/>
          <w:kern w:val="2"/>
          <w:sz w:val="32"/>
          <w:szCs w:val="32"/>
          <w:lang w:val="zh-CN"/>
        </w:rPr>
        <w:t>完成的类似项目一览表</w:t>
      </w:r>
      <w:bookmarkEnd w:id="71"/>
      <w:bookmarkEnd w:id="72"/>
      <w:bookmarkEnd w:id="73"/>
    </w:p>
    <w:p>
      <w:pPr>
        <w:spacing w:line="400" w:lineRule="exact"/>
        <w:ind w:firstLine="840" w:firstLineChars="400"/>
        <w:rPr>
          <w:rFonts w:ascii="宋体"/>
          <w:b/>
          <w:bCs/>
          <w:color w:val="000000"/>
          <w:sz w:val="24"/>
          <w:lang w:val="zh-CN"/>
        </w:rPr>
      </w:pPr>
      <w:r>
        <w:rPr>
          <w:rFonts w:hint="eastAsia"/>
        </w:rPr>
        <w:t>项目名称：                   采购编号：                 标包号：</w:t>
      </w:r>
    </w:p>
    <w:tbl>
      <w:tblPr>
        <w:tblStyle w:val="23"/>
        <w:tblW w:w="901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项目名称</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项目时间</w:t>
            </w:r>
          </w:p>
          <w:p>
            <w:pPr>
              <w:spacing w:line="360" w:lineRule="auto"/>
              <w:jc w:val="center"/>
              <w:rPr>
                <w:rFonts w:eastAsia="隶书"/>
                <w:color w:val="000000"/>
                <w:sz w:val="24"/>
              </w:rPr>
            </w:pPr>
            <w:r>
              <w:rPr>
                <w:rFonts w:hint="eastAsia" w:ascii="隶书" w:eastAsia="隶书"/>
                <w:color w:val="000000"/>
                <w:sz w:val="24"/>
                <w:lang w:val="zh-CN"/>
              </w:rPr>
              <w:t>年</w:t>
            </w:r>
            <w:r>
              <w:rPr>
                <w:rFonts w:ascii="隶书" w:eastAsia="隶书"/>
                <w:color w:val="000000"/>
                <w:sz w:val="24"/>
                <w:lang w:val="zh-CN"/>
              </w:rPr>
              <w:t>/</w:t>
            </w:r>
            <w:r>
              <w:rPr>
                <w:rFonts w:hint="eastAsia" w:ascii="隶书" w:eastAsia="隶书"/>
                <w:color w:val="000000"/>
                <w:sz w:val="24"/>
                <w:lang w:val="zh-CN"/>
              </w:rPr>
              <w:t>月</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hint="eastAsia" w:eastAsia="隶书"/>
                <w:color w:val="000000"/>
                <w:sz w:val="24"/>
              </w:rPr>
            </w:pPr>
            <w:r>
              <w:rPr>
                <w:rFonts w:hint="eastAsia" w:eastAsia="隶书"/>
                <w:color w:val="000000"/>
                <w:sz w:val="24"/>
              </w:rPr>
              <w:t>证明材料对应页码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bl>
    <w:p>
      <w:pPr>
        <w:spacing w:line="360" w:lineRule="auto"/>
        <w:rPr>
          <w:rFonts w:eastAsia="隶书"/>
          <w:color w:val="000000"/>
          <w:szCs w:val="21"/>
        </w:rPr>
      </w:pPr>
      <w:r>
        <w:rPr>
          <w:rFonts w:hint="eastAsia" w:ascii="Arial" w:hAnsi="Arial" w:eastAsia="仿宋_GB2312"/>
          <w:b/>
          <w:szCs w:val="21"/>
        </w:rPr>
        <w:t>说明：如果其他投标人对中标供应商有异议的，本表及其证明材料将依申请公开，若存在以不真实材料来谋取评审优势的，将取消中标资格。</w:t>
      </w:r>
    </w:p>
    <w:p>
      <w:pPr>
        <w:spacing w:line="240" w:lineRule="atLeast"/>
        <w:ind w:left="-720" w:right="-960"/>
        <w:rPr>
          <w:rFonts w:hint="eastAsia" w:ascii="仿宋_GB2312" w:hAnsi="宋体" w:eastAsia="仿宋_GB2312"/>
          <w:spacing w:val="4"/>
          <w:sz w:val="28"/>
        </w:rPr>
      </w:pPr>
    </w:p>
    <w:p>
      <w:pPr>
        <w:spacing w:line="240" w:lineRule="atLeast"/>
        <w:ind w:left="-199" w:leftChars="-95" w:right="-960" w:firstLine="480" w:firstLineChars="200"/>
        <w:rPr>
          <w:rFonts w:hint="eastAsia" w:ascii="宋体" w:hAnsi="宋体"/>
          <w:sz w:val="24"/>
          <w:szCs w:val="24"/>
        </w:rPr>
      </w:pPr>
      <w:r>
        <w:rPr>
          <w:rFonts w:hint="eastAsia" w:ascii="宋体" w:hAnsi="宋体"/>
          <w:sz w:val="24"/>
          <w:szCs w:val="24"/>
        </w:rPr>
        <w:t>投标单位（盖章）：</w:t>
      </w:r>
    </w:p>
    <w:p>
      <w:pPr>
        <w:spacing w:line="240" w:lineRule="atLeast"/>
        <w:ind w:left="-720" w:right="-960"/>
        <w:rPr>
          <w:rFonts w:hint="eastAsia" w:ascii="宋体" w:hAnsi="宋体"/>
          <w:sz w:val="24"/>
          <w:szCs w:val="24"/>
        </w:rPr>
      </w:pPr>
    </w:p>
    <w:p>
      <w:pPr>
        <w:spacing w:line="240" w:lineRule="atLeast"/>
        <w:ind w:left="-720" w:right="-960"/>
        <w:rPr>
          <w:rFonts w:hint="eastAsia" w:ascii="宋体" w:hAnsi="宋体"/>
          <w:sz w:val="24"/>
          <w:szCs w:val="24"/>
        </w:rPr>
      </w:pPr>
    </w:p>
    <w:p>
      <w:pPr>
        <w:spacing w:line="240" w:lineRule="atLeast"/>
        <w:ind w:left="-720" w:leftChars="-343" w:right="-960" w:firstLine="480" w:firstLineChars="200"/>
        <w:rPr>
          <w:rFonts w:hint="eastAsia" w:ascii="宋体" w:hAnsi="宋体"/>
          <w:sz w:val="24"/>
          <w:szCs w:val="24"/>
        </w:rPr>
      </w:pPr>
    </w:p>
    <w:p>
      <w:pPr>
        <w:spacing w:line="240" w:lineRule="atLeast"/>
        <w:ind w:left="-720" w:leftChars="-343" w:right="-960" w:firstLine="480" w:firstLineChars="200"/>
        <w:rPr>
          <w:rFonts w:hint="eastAsia" w:ascii="宋体" w:hAnsi="宋体"/>
          <w:sz w:val="24"/>
          <w:szCs w:val="24"/>
        </w:rPr>
      </w:pPr>
    </w:p>
    <w:p>
      <w:pPr>
        <w:spacing w:line="240" w:lineRule="atLeast"/>
        <w:ind w:right="-960" w:firstLine="480" w:firstLineChars="200"/>
        <w:rPr>
          <w:rFonts w:ascii="宋体" w:hAnsi="宋体"/>
          <w:sz w:val="24"/>
          <w:szCs w:val="24"/>
        </w:rPr>
      </w:pPr>
      <w:r>
        <w:rPr>
          <w:rFonts w:hint="eastAsia" w:ascii="宋体" w:hAnsi="宋体"/>
          <w:sz w:val="24"/>
          <w:szCs w:val="24"/>
        </w:rPr>
        <w:t>日  期：</w:t>
      </w:r>
    </w:p>
    <w:p>
      <w:pPr>
        <w:pStyle w:val="3"/>
        <w:keepNext/>
        <w:keepLines/>
        <w:spacing w:before="260" w:after="260" w:line="360" w:lineRule="auto"/>
        <w:jc w:val="center"/>
        <w:rPr>
          <w:rFonts w:hint="eastAsia" w:ascii="仿宋_GB2312" w:eastAsia="仿宋_GB2312"/>
          <w:b/>
          <w:bCs/>
          <w:color w:val="000000"/>
          <w:kern w:val="2"/>
          <w:sz w:val="32"/>
          <w:szCs w:val="32"/>
        </w:rPr>
      </w:pPr>
      <w:r>
        <w:rPr>
          <w:b/>
          <w:bCs/>
          <w:color w:val="000000"/>
          <w:kern w:val="2"/>
          <w:sz w:val="32"/>
          <w:szCs w:val="32"/>
        </w:rPr>
        <w:br w:type="page"/>
      </w:r>
      <w:bookmarkStart w:id="74" w:name="_Toc188842693"/>
      <w:bookmarkStart w:id="75" w:name="_Toc188943147"/>
      <w:bookmarkStart w:id="76" w:name="_Toc189033156"/>
      <w:r>
        <w:rPr>
          <w:rFonts w:hint="eastAsia"/>
          <w:b/>
          <w:bCs/>
          <w:color w:val="000000"/>
          <w:kern w:val="2"/>
          <w:sz w:val="32"/>
          <w:szCs w:val="32"/>
        </w:rPr>
        <w:t>4、</w:t>
      </w:r>
      <w:r>
        <w:rPr>
          <w:rFonts w:hint="eastAsia" w:ascii="仿宋_GB2312" w:eastAsia="仿宋_GB2312"/>
          <w:b/>
          <w:bCs/>
          <w:color w:val="000000"/>
          <w:kern w:val="2"/>
          <w:sz w:val="32"/>
          <w:szCs w:val="32"/>
          <w:lang w:val="zh-CN"/>
        </w:rPr>
        <w:t>实施/技术人员一览表</w:t>
      </w:r>
      <w:bookmarkEnd w:id="74"/>
      <w:bookmarkEnd w:id="75"/>
      <w:bookmarkEnd w:id="76"/>
    </w:p>
    <w:p>
      <w:pPr>
        <w:spacing w:line="400" w:lineRule="exact"/>
        <w:ind w:firstLine="840" w:firstLineChars="400"/>
        <w:rPr>
          <w:rFonts w:hint="eastAsia"/>
        </w:rPr>
      </w:pPr>
      <w:r>
        <w:rPr>
          <w:rFonts w:hint="eastAsia"/>
        </w:rPr>
        <w:t>项目名称：                   采购编号：                 标包号：</w:t>
      </w:r>
    </w:p>
    <w:p>
      <w:pPr>
        <w:spacing w:line="400" w:lineRule="exact"/>
        <w:ind w:firstLine="964" w:firstLineChars="400"/>
        <w:rPr>
          <w:rFonts w:ascii="宋体"/>
          <w:b/>
          <w:bCs/>
          <w:color w:val="000000"/>
          <w:sz w:val="24"/>
          <w:lang w:val="zh-CN"/>
        </w:rPr>
      </w:pPr>
    </w:p>
    <w:tbl>
      <w:tblPr>
        <w:tblStyle w:val="23"/>
        <w:tblW w:w="904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113"/>
        <w:gridCol w:w="2265"/>
        <w:gridCol w:w="1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隶书"/>
                <w:color w:val="000000"/>
                <w:sz w:val="24"/>
              </w:rPr>
            </w:pPr>
            <w:r>
              <w:rPr>
                <w:rFonts w:hint="eastAsia" w:eastAsia="隶书"/>
                <w:color w:val="000000"/>
                <w:sz w:val="24"/>
              </w:rPr>
              <w:t>身份证件号</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负责工作任务</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隶书"/>
                <w:color w:val="000000"/>
                <w:sz w:val="24"/>
              </w:rPr>
            </w:pPr>
            <w:r>
              <w:rPr>
                <w:rFonts w:hint="eastAsia" w:ascii="隶书" w:eastAsia="隶书"/>
                <w:color w:val="000000"/>
                <w:sz w:val="24"/>
                <w:lang w:val="zh-CN"/>
              </w:rPr>
              <w:t>同类项目工作经历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隶书"/>
                <w:color w:val="000000"/>
                <w:sz w:val="24"/>
              </w:rPr>
            </w:pPr>
            <w:r>
              <w:rPr>
                <w:rFonts w:hint="eastAsia" w:eastAsia="隶书"/>
                <w:color w:val="000000"/>
                <w:sz w:val="24"/>
              </w:rPr>
              <w:t>证明材料对应页码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隶书"/>
                <w:color w:val="000000"/>
                <w:sz w:val="24"/>
              </w:rPr>
            </w:pPr>
            <w:r>
              <w:rPr>
                <w:rFonts w:eastAsia="隶书"/>
                <w:color w:val="000000"/>
                <w:sz w:val="24"/>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隶书"/>
                <w:color w:val="000000"/>
                <w:sz w:val="24"/>
              </w:rPr>
            </w:pPr>
          </w:p>
        </w:tc>
      </w:tr>
    </w:tbl>
    <w:p>
      <w:pPr>
        <w:spacing w:line="360" w:lineRule="auto"/>
        <w:rPr>
          <w:rFonts w:eastAsia="隶书"/>
          <w:color w:val="000000"/>
          <w:szCs w:val="21"/>
        </w:rPr>
      </w:pPr>
      <w:r>
        <w:rPr>
          <w:rFonts w:hint="eastAsia" w:ascii="Arial" w:hAnsi="Arial" w:eastAsia="仿宋_GB2312"/>
          <w:b/>
          <w:szCs w:val="21"/>
        </w:rPr>
        <w:t>说明：如果其他投标人对中标供应商有异议的，本表及其证明材料将依申请公开，若存在以不真实材料来谋取评审优势的，将取消中标资格。</w:t>
      </w:r>
    </w:p>
    <w:p>
      <w:pPr>
        <w:spacing w:line="240" w:lineRule="atLeast"/>
        <w:ind w:left="-720" w:right="-960"/>
        <w:rPr>
          <w:rFonts w:hint="eastAsia" w:ascii="仿宋_GB2312" w:hAnsi="宋体" w:eastAsia="仿宋_GB2312"/>
          <w:spacing w:val="4"/>
          <w:sz w:val="28"/>
        </w:rPr>
      </w:pPr>
    </w:p>
    <w:p>
      <w:pPr>
        <w:spacing w:line="240" w:lineRule="atLeast"/>
        <w:ind w:left="-720" w:leftChars="-343" w:right="-960" w:firstLine="720" w:firstLineChars="300"/>
        <w:rPr>
          <w:rFonts w:hint="eastAsia" w:ascii="宋体" w:hAnsi="宋体"/>
          <w:sz w:val="24"/>
          <w:szCs w:val="24"/>
        </w:rPr>
      </w:pPr>
      <w:r>
        <w:rPr>
          <w:rFonts w:hint="eastAsia" w:ascii="宋体" w:hAnsi="宋体"/>
          <w:sz w:val="24"/>
          <w:szCs w:val="24"/>
        </w:rPr>
        <w:t>投标单位（盖章）：</w:t>
      </w:r>
    </w:p>
    <w:p>
      <w:pPr>
        <w:spacing w:line="240" w:lineRule="atLeast"/>
        <w:ind w:left="-720" w:right="-960"/>
        <w:rPr>
          <w:rFonts w:hint="eastAsia" w:ascii="宋体" w:hAnsi="宋体"/>
          <w:sz w:val="24"/>
          <w:szCs w:val="24"/>
        </w:rPr>
      </w:pPr>
    </w:p>
    <w:p>
      <w:pPr>
        <w:spacing w:line="240" w:lineRule="atLeast"/>
        <w:ind w:left="-720" w:right="-960"/>
        <w:rPr>
          <w:rFonts w:hint="eastAsia" w:ascii="宋体" w:hAnsi="宋体"/>
          <w:sz w:val="24"/>
          <w:szCs w:val="24"/>
        </w:rPr>
      </w:pPr>
    </w:p>
    <w:p>
      <w:pPr>
        <w:tabs>
          <w:tab w:val="left" w:pos="845"/>
        </w:tabs>
        <w:spacing w:line="360" w:lineRule="auto"/>
        <w:rPr>
          <w:rFonts w:hint="eastAsia" w:ascii="宋体" w:hAnsi="宋体"/>
          <w:sz w:val="24"/>
          <w:szCs w:val="24"/>
        </w:rPr>
      </w:pPr>
    </w:p>
    <w:p>
      <w:pPr>
        <w:tabs>
          <w:tab w:val="left" w:pos="845"/>
        </w:tabs>
        <w:spacing w:line="360" w:lineRule="auto"/>
        <w:rPr>
          <w:rFonts w:hint="eastAsia" w:ascii="宋体" w:hAnsi="宋体"/>
          <w:sz w:val="24"/>
          <w:szCs w:val="24"/>
        </w:rPr>
      </w:pPr>
    </w:p>
    <w:p>
      <w:pPr>
        <w:tabs>
          <w:tab w:val="left" w:pos="845"/>
        </w:tabs>
        <w:spacing w:line="360" w:lineRule="auto"/>
        <w:rPr>
          <w:rFonts w:ascii="宋体" w:hAnsi="宋体"/>
          <w:i/>
          <w:iCs/>
          <w:color w:val="000000"/>
          <w:sz w:val="24"/>
          <w:szCs w:val="24"/>
          <w:lang w:val="zh-CN"/>
        </w:rPr>
      </w:pPr>
      <w:r>
        <w:rPr>
          <w:rFonts w:hint="eastAsia" w:ascii="宋体" w:hAnsi="宋体"/>
          <w:sz w:val="24"/>
          <w:szCs w:val="24"/>
        </w:rPr>
        <w:t>日  期：</w:t>
      </w:r>
    </w:p>
    <w:p>
      <w:pPr>
        <w:jc w:val="center"/>
        <w:rPr>
          <w:rFonts w:hint="eastAsia" w:ascii="仿宋_GB2312" w:eastAsia="仿宋_GB2312"/>
          <w:b/>
          <w:sz w:val="32"/>
          <w:szCs w:val="32"/>
        </w:rPr>
      </w:pPr>
      <w:r>
        <w:rPr>
          <w:rFonts w:ascii="Arial" w:hAnsi="Arial" w:eastAsia="仿宋_GB2312"/>
          <w:sz w:val="28"/>
        </w:rPr>
        <w:br w:type="page"/>
      </w:r>
      <w:r>
        <w:rPr>
          <w:rFonts w:hint="eastAsia" w:ascii="Arial" w:hAnsi="Arial" w:eastAsia="仿宋_GB2312"/>
          <w:sz w:val="28"/>
        </w:rPr>
        <w:t>5、</w:t>
      </w:r>
      <w:r>
        <w:rPr>
          <w:rFonts w:hint="eastAsia" w:ascii="仿宋_GB2312" w:eastAsia="仿宋_GB2312"/>
          <w:b/>
          <w:sz w:val="32"/>
          <w:szCs w:val="32"/>
        </w:rPr>
        <w:t>其他商务技术资料</w:t>
      </w:r>
    </w:p>
    <w:p>
      <w:pPr>
        <w:jc w:val="center"/>
        <w:rPr>
          <w:rFonts w:hint="eastAsia" w:ascii="宋体" w:hAnsi="宋体"/>
          <w:b/>
          <w:bCs/>
          <w:sz w:val="32"/>
          <w:szCs w:val="32"/>
        </w:rPr>
      </w:pPr>
      <w:r>
        <w:rPr>
          <w:rFonts w:hint="eastAsia" w:ascii="仿宋_GB2312" w:eastAsia="仿宋_GB2312"/>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b/>
          <w:bCs/>
          <w:sz w:val="32"/>
          <w:szCs w:val="32"/>
        </w:rPr>
        <w:t>三、资格响应部分</w:t>
      </w:r>
    </w:p>
    <w:p>
      <w:pPr>
        <w:numPr>
          <w:ilvl w:val="0"/>
          <w:numId w:val="23"/>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特定资格条件证明材料</w:t>
      </w:r>
    </w:p>
    <w:p>
      <w:pPr>
        <w:jc w:val="center"/>
        <w:rPr>
          <w:rFonts w:hint="eastAsia" w:ascii="仿宋_GB2312" w:eastAsia="仿宋_GB2312"/>
          <w:b/>
          <w:sz w:val="30"/>
          <w:szCs w:val="30"/>
        </w:rPr>
      </w:pPr>
      <w:r>
        <w:rPr>
          <w:rFonts w:hint="eastAsia" w:ascii="仿宋_GB2312" w:eastAsia="仿宋_GB2312"/>
          <w:b/>
          <w:i/>
          <w:iCs/>
          <w:sz w:val="30"/>
          <w:szCs w:val="30"/>
        </w:rPr>
        <w:t>投标人可结合招标文件及自身情况提供必要的资料。</w:t>
      </w:r>
    </w:p>
    <w:p>
      <w:pPr>
        <w:jc w:val="center"/>
        <w:rPr>
          <w:rFonts w:hint="eastAsia"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2、</w:t>
      </w:r>
      <w:r>
        <w:rPr>
          <w:rFonts w:hint="eastAsia" w:ascii="仿宋_GB2312" w:hAnsi="仿宋_GB2312" w:eastAsia="仿宋_GB2312" w:cs="仿宋_GB2312"/>
          <w:b/>
          <w:bCs/>
          <w:sz w:val="30"/>
          <w:szCs w:val="30"/>
        </w:rPr>
        <w:t>营业执照、事业或社团登记证等副本复印件</w:t>
      </w:r>
    </w:p>
    <w:p>
      <w:pPr>
        <w:jc w:val="center"/>
        <w:rPr>
          <w:rFonts w:hint="eastAsia" w:ascii="宋体" w:hAnsi="宋体"/>
          <w:b/>
          <w:bCs/>
          <w:sz w:val="30"/>
          <w:szCs w:val="30"/>
        </w:rPr>
      </w:pPr>
      <w:r>
        <w:rPr>
          <w:rFonts w:hint="eastAsia" w:ascii="仿宋_GB2312" w:hAnsi="仿宋_GB2312" w:eastAsia="仿宋_GB2312" w:cs="仿宋_GB2312"/>
          <w:b/>
          <w:bCs/>
          <w:i/>
          <w:iCs/>
          <w:sz w:val="30"/>
          <w:szCs w:val="30"/>
        </w:rPr>
        <w:t>加盖单位公章.</w:t>
      </w:r>
      <w:r>
        <w:rPr>
          <w:rFonts w:hint="eastAsia" w:ascii="宋体" w:hAnsi="宋体"/>
          <w:b/>
          <w:bCs/>
          <w:sz w:val="30"/>
          <w:szCs w:val="30"/>
        </w:rPr>
        <w:br w:type="page"/>
      </w:r>
      <w:r>
        <w:rPr>
          <w:rFonts w:hint="eastAsia" w:ascii="宋体" w:hAnsi="宋体"/>
          <w:b/>
          <w:bCs/>
          <w:sz w:val="30"/>
          <w:szCs w:val="30"/>
        </w:rPr>
        <w:t>3、诚信投标承诺书</w:t>
      </w:r>
    </w:p>
    <w:p>
      <w:pPr>
        <w:rPr>
          <w:rFonts w:hint="eastAsia" w:ascii="宋体" w:hAnsi="宋体"/>
          <w:sz w:val="24"/>
        </w:rPr>
      </w:pPr>
    </w:p>
    <w:p>
      <w:pPr>
        <w:rPr>
          <w:rFonts w:hint="eastAsia" w:ascii="宋体" w:hAnsi="宋体"/>
          <w:sz w:val="24"/>
        </w:rPr>
      </w:pPr>
      <w:r>
        <w:rPr>
          <w:rFonts w:hint="eastAsia" w:ascii="宋体" w:hAnsi="宋体"/>
          <w:sz w:val="24"/>
        </w:rPr>
        <w:t>宁波市政府采购中心：</w:t>
      </w:r>
    </w:p>
    <w:p>
      <w:pPr>
        <w:spacing w:line="560" w:lineRule="exact"/>
        <w:ind w:firstLine="601"/>
        <w:rPr>
          <w:rFonts w:hint="eastAsia"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pPr>
        <w:numPr>
          <w:ilvl w:val="0"/>
          <w:numId w:val="24"/>
        </w:numPr>
        <w:spacing w:line="560" w:lineRule="exact"/>
        <w:rPr>
          <w:rFonts w:hint="eastAsia" w:ascii="宋体" w:hAnsi="宋体"/>
          <w:sz w:val="24"/>
        </w:rPr>
      </w:pPr>
      <w:r>
        <w:rPr>
          <w:rFonts w:hint="eastAsia" w:ascii="宋体" w:hAnsi="宋体"/>
          <w:sz w:val="24"/>
        </w:rPr>
        <w:t>我方符合政府采购法第22条第1款规定的条件，且</w:t>
      </w:r>
      <w:r>
        <w:rPr>
          <w:rFonts w:hint="eastAsia" w:ascii="宋体" w:hAnsi="宋体" w:cs="宋体"/>
          <w:color w:val="000000"/>
          <w:kern w:val="0"/>
          <w:sz w:val="24"/>
          <w:szCs w:val="24"/>
        </w:rPr>
        <w:t>在本项目公告日前3年内没有因违法经营受到刑事处罚或者责令停产停业、吊销许可证或者执照、需经听证程序的较大数额罚款等行政处罚的重大违法记录。</w:t>
      </w:r>
    </w:p>
    <w:p>
      <w:pPr>
        <w:numPr>
          <w:ilvl w:val="0"/>
          <w:numId w:val="24"/>
        </w:numPr>
        <w:spacing w:line="560" w:lineRule="exact"/>
        <w:rPr>
          <w:rFonts w:hint="eastAsia" w:ascii="宋体" w:hAnsi="宋体"/>
          <w:sz w:val="24"/>
        </w:rPr>
      </w:pP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pPr>
        <w:numPr>
          <w:ilvl w:val="0"/>
          <w:numId w:val="24"/>
        </w:numPr>
        <w:spacing w:line="560" w:lineRule="exact"/>
        <w:rPr>
          <w:rFonts w:hint="eastAsia" w:ascii="宋体" w:hAnsi="宋体"/>
          <w:sz w:val="24"/>
        </w:rPr>
      </w:pPr>
      <w:r>
        <w:rPr>
          <w:rFonts w:hint="eastAsia" w:ascii="宋体" w:hAnsi="宋体"/>
          <w:sz w:val="24"/>
        </w:rPr>
        <w:t>在招投标过程中，不做以下任何事项：</w:t>
      </w:r>
    </w:p>
    <w:p>
      <w:pPr>
        <w:spacing w:line="560" w:lineRule="exact"/>
        <w:ind w:left="601"/>
        <w:rPr>
          <w:rFonts w:hint="eastAsia" w:ascii="宋体" w:hAnsi="宋体"/>
          <w:sz w:val="24"/>
        </w:rPr>
      </w:pPr>
      <w:r>
        <w:rPr>
          <w:rFonts w:hint="eastAsia" w:ascii="宋体" w:hAnsi="宋体"/>
          <w:sz w:val="24"/>
        </w:rPr>
        <w:t>（1）投标截止时间后撤回投标（包括开标后拒绝应当进行的讲标演示）；</w:t>
      </w:r>
    </w:p>
    <w:p>
      <w:pPr>
        <w:spacing w:line="560" w:lineRule="exact"/>
        <w:ind w:left="601"/>
        <w:rPr>
          <w:rFonts w:hint="eastAsia" w:ascii="宋体" w:hAnsi="宋体"/>
          <w:sz w:val="24"/>
        </w:rPr>
      </w:pPr>
      <w:r>
        <w:rPr>
          <w:rFonts w:hint="eastAsia" w:ascii="宋体" w:hAnsi="宋体"/>
          <w:sz w:val="24"/>
        </w:rPr>
        <w:t>（2）投标文件中提供虚假材料或不实材料；</w:t>
      </w:r>
    </w:p>
    <w:p>
      <w:pPr>
        <w:spacing w:line="560" w:lineRule="exact"/>
        <w:ind w:left="601"/>
        <w:rPr>
          <w:rFonts w:hint="eastAsia" w:ascii="宋体" w:hAnsi="宋体"/>
          <w:sz w:val="24"/>
        </w:rPr>
      </w:pPr>
      <w:r>
        <w:rPr>
          <w:rFonts w:hint="eastAsia" w:ascii="宋体" w:hAnsi="宋体"/>
          <w:sz w:val="24"/>
        </w:rPr>
        <w:t>（3）与其他投标人达成可能限制竞争的协议；</w:t>
      </w:r>
    </w:p>
    <w:p>
      <w:pPr>
        <w:spacing w:line="560" w:lineRule="exact"/>
        <w:ind w:left="601"/>
        <w:rPr>
          <w:rFonts w:hint="eastAsia" w:ascii="宋体" w:hAnsi="宋体"/>
          <w:sz w:val="24"/>
        </w:rPr>
      </w:pPr>
      <w:r>
        <w:rPr>
          <w:rFonts w:hint="eastAsia" w:ascii="宋体" w:hAnsi="宋体"/>
          <w:sz w:val="24"/>
        </w:rPr>
        <w:t>（4）为影响投标而向有关招标当事人提供金钱、物质及服务；</w:t>
      </w:r>
    </w:p>
    <w:p>
      <w:pPr>
        <w:spacing w:line="560" w:lineRule="exact"/>
        <w:ind w:left="601"/>
        <w:rPr>
          <w:rFonts w:hint="eastAsia" w:ascii="宋体" w:hAnsi="宋体"/>
          <w:sz w:val="24"/>
        </w:rPr>
      </w:pPr>
      <w:r>
        <w:rPr>
          <w:rFonts w:hint="eastAsia" w:ascii="宋体" w:hAnsi="宋体"/>
          <w:sz w:val="24"/>
        </w:rPr>
        <w:t>（5）与其他投标人围标、陪标；</w:t>
      </w:r>
    </w:p>
    <w:p>
      <w:pPr>
        <w:spacing w:line="560" w:lineRule="exact"/>
        <w:ind w:left="601"/>
        <w:rPr>
          <w:rFonts w:hint="eastAsia" w:ascii="宋体" w:hAnsi="宋体"/>
          <w:sz w:val="24"/>
        </w:rPr>
      </w:pPr>
      <w:r>
        <w:rPr>
          <w:rFonts w:hint="eastAsia" w:ascii="宋体" w:hAnsi="宋体"/>
          <w:sz w:val="24"/>
        </w:rPr>
        <w:t>（6）其他任何串通投标行为。</w:t>
      </w:r>
    </w:p>
    <w:p>
      <w:pPr>
        <w:tabs>
          <w:tab w:val="left" w:pos="720"/>
        </w:tabs>
        <w:spacing w:line="560" w:lineRule="exact"/>
        <w:ind w:firstLine="600" w:firstLineChars="250"/>
        <w:rPr>
          <w:rFonts w:hint="eastAsia" w:ascii="宋体" w:hAnsi="宋体"/>
          <w:sz w:val="24"/>
        </w:rPr>
      </w:pPr>
      <w:r>
        <w:rPr>
          <w:rFonts w:hint="eastAsia" w:ascii="宋体" w:hAnsi="宋体"/>
          <w:sz w:val="24"/>
        </w:rPr>
        <w:t>3、保证所投产品来自合法的供货渠道。</w:t>
      </w:r>
    </w:p>
    <w:p>
      <w:pPr>
        <w:tabs>
          <w:tab w:val="left" w:pos="720"/>
        </w:tabs>
        <w:spacing w:line="560" w:lineRule="exact"/>
        <w:ind w:firstLine="600" w:firstLineChars="250"/>
        <w:rPr>
          <w:rFonts w:hint="eastAsia" w:ascii="宋体" w:hAnsi="宋体"/>
          <w:sz w:val="24"/>
        </w:rPr>
      </w:pPr>
      <w:r>
        <w:rPr>
          <w:rFonts w:hint="eastAsia" w:ascii="宋体" w:hAnsi="宋体"/>
          <w:sz w:val="24"/>
        </w:rPr>
        <w:t>4、若中标后，保证按照投标承诺及时签订合同并履约。</w:t>
      </w:r>
    </w:p>
    <w:p>
      <w:pPr>
        <w:tabs>
          <w:tab w:val="left" w:pos="720"/>
        </w:tabs>
        <w:spacing w:line="560" w:lineRule="exact"/>
        <w:ind w:firstLine="600" w:firstLineChars="250"/>
        <w:rPr>
          <w:rFonts w:hint="eastAsia" w:ascii="宋体" w:hAnsi="宋体"/>
          <w:sz w:val="24"/>
        </w:rPr>
      </w:pPr>
      <w:r>
        <w:rPr>
          <w:rFonts w:hint="eastAsia" w:ascii="宋体" w:hAnsi="宋体"/>
          <w:sz w:val="24"/>
        </w:rPr>
        <w:t>我方若违背以上承诺，接受在政府采购指定媒体上公告曝光处理，同时承担依据国家法律法规追究的其他责任。</w:t>
      </w:r>
    </w:p>
    <w:p>
      <w:pPr>
        <w:spacing w:line="240" w:lineRule="atLeast"/>
        <w:ind w:left="-720" w:leftChars="-343" w:right="-960" w:firstLine="480" w:firstLineChars="200"/>
        <w:rPr>
          <w:rFonts w:hint="eastAsia" w:ascii="宋体" w:hAnsi="宋体"/>
          <w:sz w:val="24"/>
          <w:szCs w:val="24"/>
        </w:rPr>
      </w:pPr>
    </w:p>
    <w:p>
      <w:pPr>
        <w:spacing w:line="240" w:lineRule="atLeast"/>
        <w:ind w:left="-720" w:leftChars="-343" w:right="-960" w:firstLine="480" w:firstLineChars="200"/>
        <w:rPr>
          <w:rFonts w:hint="eastAsia" w:ascii="宋体" w:hAnsi="宋体"/>
          <w:sz w:val="24"/>
          <w:szCs w:val="24"/>
        </w:rPr>
      </w:pPr>
    </w:p>
    <w:p>
      <w:pPr>
        <w:spacing w:line="240" w:lineRule="atLeast"/>
        <w:ind w:left="-720" w:leftChars="-343" w:right="-960" w:firstLine="480" w:firstLineChars="200"/>
        <w:rPr>
          <w:rFonts w:hint="eastAsia" w:ascii="宋体" w:hAnsi="宋体"/>
          <w:sz w:val="24"/>
          <w:szCs w:val="24"/>
        </w:rPr>
      </w:pPr>
      <w:r>
        <w:rPr>
          <w:rFonts w:hint="eastAsia" w:ascii="宋体" w:hAnsi="宋体"/>
          <w:sz w:val="24"/>
          <w:szCs w:val="24"/>
        </w:rPr>
        <w:t xml:space="preserve">                         投标单位（盖章）：</w:t>
      </w:r>
    </w:p>
    <w:p>
      <w:pPr>
        <w:spacing w:line="240" w:lineRule="atLeast"/>
        <w:ind w:left="-720" w:right="-960"/>
        <w:rPr>
          <w:rFonts w:hint="eastAsia" w:ascii="宋体" w:hAnsi="宋体"/>
          <w:sz w:val="24"/>
          <w:szCs w:val="24"/>
        </w:rPr>
      </w:pPr>
    </w:p>
    <w:p>
      <w:pPr>
        <w:spacing w:line="240" w:lineRule="atLeast"/>
        <w:ind w:left="-720" w:right="-960"/>
        <w:rPr>
          <w:rFonts w:hint="eastAsia" w:ascii="宋体" w:hAnsi="宋体"/>
          <w:sz w:val="24"/>
          <w:szCs w:val="24"/>
        </w:rPr>
      </w:pPr>
    </w:p>
    <w:p>
      <w:pPr>
        <w:tabs>
          <w:tab w:val="left" w:pos="845"/>
        </w:tabs>
        <w:spacing w:line="360" w:lineRule="auto"/>
        <w:rPr>
          <w:rFonts w:hint="eastAsia" w:ascii="宋体" w:hAnsi="宋体"/>
          <w:sz w:val="24"/>
          <w:szCs w:val="24"/>
        </w:rPr>
      </w:pPr>
    </w:p>
    <w:p>
      <w:pPr>
        <w:tabs>
          <w:tab w:val="left" w:pos="845"/>
        </w:tabs>
        <w:spacing w:line="360" w:lineRule="auto"/>
        <w:jc w:val="center"/>
        <w:rPr>
          <w:rFonts w:hint="eastAsia" w:ascii="宋体" w:hAnsi="宋体"/>
          <w:sz w:val="24"/>
          <w:szCs w:val="24"/>
        </w:rPr>
      </w:pPr>
      <w:r>
        <w:rPr>
          <w:rFonts w:hint="eastAsia" w:ascii="宋体" w:hAnsi="宋体"/>
          <w:sz w:val="24"/>
          <w:szCs w:val="24"/>
        </w:rPr>
        <w:t>日  期：</w:t>
      </w:r>
    </w:p>
    <w:p>
      <w:pPr>
        <w:tabs>
          <w:tab w:val="left" w:pos="845"/>
        </w:tabs>
        <w:spacing w:line="360" w:lineRule="auto"/>
        <w:rPr>
          <w:rFonts w:hint="eastAsia" w:ascii="宋体" w:hAnsi="宋体"/>
          <w:b/>
          <w:bCs/>
          <w:sz w:val="24"/>
          <w:szCs w:val="24"/>
        </w:rPr>
      </w:pPr>
    </w:p>
    <w:p>
      <w:pPr>
        <w:tabs>
          <w:tab w:val="left" w:pos="845"/>
        </w:tabs>
        <w:spacing w:line="360" w:lineRule="auto"/>
        <w:rPr>
          <w:rFonts w:hint="eastAsia" w:ascii="宋体" w:hAnsi="宋体"/>
          <w:b/>
          <w:bCs/>
          <w:sz w:val="24"/>
          <w:szCs w:val="24"/>
        </w:rPr>
      </w:pPr>
      <w:r>
        <w:rPr>
          <w:rFonts w:hint="eastAsia" w:ascii="宋体" w:hAnsi="宋体"/>
          <w:b/>
          <w:bCs/>
          <w:sz w:val="24"/>
          <w:szCs w:val="24"/>
        </w:rPr>
        <w:t>特别说明：本承诺书不得实质性改动，否则视为无效标。</w:t>
      </w:r>
    </w:p>
    <w:p>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r>
        <w:rPr>
          <w:rFonts w:hint="eastAsia" w:ascii="黑体" w:hAnsi="宋体" w:eastAsia="黑体"/>
          <w:b/>
          <w:bCs/>
          <w:sz w:val="28"/>
          <w:szCs w:val="28"/>
        </w:rPr>
        <w:t>4、中小微企业</w:t>
      </w:r>
      <w:r>
        <w:rPr>
          <w:rFonts w:ascii="黑体" w:hAnsi="宋体" w:eastAsia="黑体"/>
          <w:b/>
          <w:bCs/>
          <w:sz w:val="28"/>
          <w:szCs w:val="28"/>
        </w:rPr>
        <w:t>声明函</w:t>
      </w:r>
    </w:p>
    <w:p>
      <w:pPr>
        <w:widowControl/>
        <w:spacing w:before="100" w:beforeAutospacing="1" w:after="100" w:afterAutospacing="1" w:line="432" w:lineRule="auto"/>
        <w:jc w:val="left"/>
        <w:rPr>
          <w:rFonts w:hint="eastAsia" w:ascii="宋体" w:hAnsi="宋体" w:cs="宋体"/>
          <w:color w:val="000000"/>
          <w:kern w:val="0"/>
          <w:sz w:val="24"/>
          <w:szCs w:val="24"/>
        </w:rPr>
      </w:pPr>
      <w:r>
        <w:rPr>
          <w:rFonts w:ascii="ˎ̥" w:hAnsi="ˎ̥" w:cs="宋体"/>
          <w:color w:val="000000"/>
          <w:kern w:val="0"/>
          <w:sz w:val="24"/>
          <w:szCs w:val="24"/>
        </w:rPr>
        <w:t> 　　</w:t>
      </w:r>
      <w:r>
        <w:rPr>
          <w:rFonts w:hint="eastAsia" w:ascii="宋体" w:hAnsi="宋体" w:cs="宋体"/>
          <w:color w:val="000000"/>
          <w:kern w:val="0"/>
          <w:sz w:val="24"/>
          <w:szCs w:val="24"/>
        </w:rPr>
        <w:t>根据《政府采购法实施条例》、财政部《政府采购促进中小企业发展暂行办法》（财库[2011]181号）、宁波市财政局《关于政府采购促进中小企业发展若干问题的通知》（甬采购办[2012]1427号）的规定，本单位郑重声明：</w:t>
      </w:r>
    </w:p>
    <w:p>
      <w:pPr>
        <w:widowControl/>
        <w:numPr>
          <w:ilvl w:val="0"/>
          <w:numId w:val="25"/>
        </w:numPr>
        <w:spacing w:before="100" w:beforeAutospacing="1" w:after="100" w:afterAutospacing="1" w:line="432" w:lineRule="auto"/>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依据工业和信息化部、国家统计局、国家发展和改革委员会、财政部《关于印发中小企业划型标准规定的通知》（工信部联企业[2011]300号）规定的划分标准，本单位为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（中型、小型、微型）企业，所属行业为</w:t>
      </w:r>
      <w:r>
        <w:rPr>
          <w:rFonts w:hint="eastAsia" w:ascii="宋体" w:hAnsi="宋体" w:cs="宋体"/>
          <w:color w:val="000000"/>
          <w:kern w:val="0"/>
          <w:sz w:val="24"/>
          <w:szCs w:val="24"/>
          <w:u w:val="single"/>
        </w:rPr>
        <w:t>XXXXX</w:t>
      </w:r>
      <w:r>
        <w:rPr>
          <w:rFonts w:hint="eastAsia" w:ascii="宋体" w:hAnsi="宋体" w:cs="宋体"/>
          <w:color w:val="000000"/>
          <w:kern w:val="0"/>
          <w:sz w:val="24"/>
          <w:szCs w:val="24"/>
        </w:rPr>
        <w:t>、上年末从业人员</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人、上年营业收入</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万元、上年资产总额</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w:t>
      </w:r>
    </w:p>
    <w:p>
      <w:pPr>
        <w:widowControl/>
        <w:numPr>
          <w:ilvl w:val="0"/>
          <w:numId w:val="25"/>
        </w:numPr>
        <w:spacing w:before="100" w:beforeAutospacing="1" w:after="100" w:afterAutospacing="1" w:line="432" w:lineRule="auto"/>
        <w:ind w:firstLine="480"/>
        <w:jc w:val="left"/>
        <w:rPr>
          <w:rFonts w:hint="eastAsia" w:ascii="宋体" w:hAnsi="宋体" w:cs="宋体"/>
          <w:b/>
          <w:bCs/>
          <w:color w:val="000000"/>
          <w:kern w:val="0"/>
          <w:sz w:val="24"/>
          <w:szCs w:val="24"/>
        </w:rPr>
      </w:pPr>
      <w:r>
        <w:rPr>
          <w:rFonts w:hint="eastAsia" w:ascii="宋体" w:hAnsi="宋体" w:cs="宋体"/>
          <w:color w:val="000000"/>
          <w:kern w:val="0"/>
          <w:sz w:val="24"/>
          <w:szCs w:val="24"/>
        </w:rPr>
        <w:t>本单位参加</w:t>
      </w:r>
      <w:r>
        <w:rPr>
          <w:rFonts w:hint="eastAsia" w:ascii="宋体" w:hAnsi="宋体" w:cs="宋体"/>
          <w:color w:val="000000"/>
          <w:kern w:val="0"/>
          <w:sz w:val="24"/>
          <w:szCs w:val="24"/>
          <w:u w:val="single"/>
        </w:rPr>
        <w:t>XXXXXX</w:t>
      </w:r>
      <w:r>
        <w:rPr>
          <w:rFonts w:hint="eastAsia" w:ascii="宋体" w:hAnsi="宋体" w:cs="宋体"/>
          <w:color w:val="000000"/>
          <w:kern w:val="0"/>
          <w:sz w:val="24"/>
          <w:szCs w:val="24"/>
        </w:rPr>
        <w:t>项目（采购编号</w:t>
      </w:r>
      <w:r>
        <w:rPr>
          <w:rFonts w:hint="eastAsia" w:ascii="宋体" w:hAnsi="宋体" w:cs="宋体"/>
          <w:color w:val="000000"/>
          <w:kern w:val="0"/>
          <w:sz w:val="24"/>
          <w:szCs w:val="24"/>
          <w:u w:val="single"/>
        </w:rPr>
        <w:t>XXXX</w:t>
      </w:r>
      <w:r>
        <w:rPr>
          <w:rFonts w:hint="eastAsia" w:ascii="宋体" w:hAnsi="宋体" w:cs="宋体"/>
          <w:color w:val="000000"/>
          <w:kern w:val="0"/>
          <w:sz w:val="24"/>
          <w:szCs w:val="24"/>
        </w:rPr>
        <w:t>标段/包</w:t>
      </w:r>
      <w:r>
        <w:rPr>
          <w:rFonts w:hint="eastAsia" w:ascii="宋体" w:hAnsi="宋体" w:cs="宋体"/>
          <w:color w:val="000000"/>
          <w:kern w:val="0"/>
          <w:sz w:val="24"/>
          <w:szCs w:val="24"/>
          <w:u w:val="single"/>
        </w:rPr>
        <w:t>X</w:t>
      </w:r>
      <w:r>
        <w:rPr>
          <w:rFonts w:hint="eastAsia" w:ascii="宋体" w:hAnsi="宋体" w:cs="宋体"/>
          <w:color w:val="000000"/>
          <w:kern w:val="0"/>
          <w:sz w:val="24"/>
          <w:szCs w:val="24"/>
        </w:rPr>
        <w:t>）采购活动，其中：由本单位承担工程金额为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万元、本单位提供服务金额为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万元、本单位制造的货物金额为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万元，或者提供其他中型企业制造的货物金额为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万元、其他小型企业制造的货物金额为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万元、其他微型企业制造的货物金额为</w:t>
      </w:r>
      <w:r>
        <w:rPr>
          <w:rFonts w:hint="eastAsia" w:ascii="宋体" w:hAnsi="宋体" w:cs="宋体"/>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b/>
          <w:bCs/>
          <w:sz w:val="24"/>
          <w:szCs w:val="24"/>
        </w:rPr>
        <w:t>本条所称货物不包括使用大型企业注册商标的货物。</w:t>
      </w:r>
    </w:p>
    <w:p>
      <w:pPr>
        <w:widowControl/>
        <w:spacing w:before="100" w:beforeAutospacing="1" w:after="100" w:afterAutospacing="1" w:line="432"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　　本单位对上述声明的真实性负责，如有虚假，依法承担相应责任。</w:t>
      </w:r>
    </w:p>
    <w:p>
      <w:pPr>
        <w:widowControl/>
        <w:spacing w:before="100" w:beforeAutospacing="1" w:after="100" w:afterAutospacing="1" w:line="432"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 　　投标单位名称（盖章）：</w:t>
      </w:r>
    </w:p>
    <w:p>
      <w:pPr>
        <w:widowControl/>
        <w:spacing w:before="100" w:beforeAutospacing="1" w:after="100" w:afterAutospacing="1" w:line="432"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 　　日  期：</w:t>
      </w:r>
    </w:p>
    <w:p>
      <w:pPr>
        <w:pStyle w:val="14"/>
        <w:spacing w:line="520" w:lineRule="exact"/>
        <w:ind w:firstLine="0"/>
        <w:rPr>
          <w:rFonts w:hint="eastAsia"/>
        </w:rPr>
      </w:pPr>
    </w:p>
    <w:p>
      <w:pPr>
        <w:pStyle w:val="14"/>
        <w:spacing w:line="520" w:lineRule="exact"/>
        <w:ind w:firstLine="0"/>
        <w:rPr>
          <w:rFonts w:hint="eastAsia"/>
        </w:rPr>
      </w:pPr>
      <w:r>
        <w:rPr>
          <w:rFonts w:hint="eastAsia"/>
        </w:rPr>
        <w:br w:type="page"/>
      </w:r>
      <w:r>
        <w:rPr>
          <w:rFonts w:hint="eastAsia"/>
        </w:rPr>
        <w:t>填写说明：</w:t>
      </w:r>
    </w:p>
    <w:p>
      <w:pPr>
        <w:pStyle w:val="14"/>
        <w:spacing w:line="520" w:lineRule="exact"/>
        <w:ind w:firstLine="0"/>
        <w:rPr>
          <w:rFonts w:hint="eastAsia" w:ascii="ˎ̥" w:hAnsi="ˎ̥" w:cs="宋体"/>
          <w:color w:val="000000"/>
          <w:kern w:val="0"/>
          <w:szCs w:val="21"/>
        </w:rPr>
      </w:pPr>
      <w:r>
        <w:rPr>
          <w:rFonts w:hint="eastAsia" w:ascii="ˎ̥" w:hAnsi="ˎ̥" w:cs="宋体"/>
          <w:color w:val="000000"/>
          <w:kern w:val="0"/>
          <w:szCs w:val="21"/>
        </w:rPr>
        <w:t>1、根据</w:t>
      </w:r>
      <w:r>
        <w:rPr>
          <w:rFonts w:ascii="ˎ̥" w:hAnsi="ˎ̥" w:cs="宋体"/>
          <w:color w:val="000000"/>
          <w:kern w:val="0"/>
          <w:szCs w:val="21"/>
        </w:rPr>
        <w:t>工信部联企业[2011]300号</w:t>
      </w:r>
      <w:r>
        <w:rPr>
          <w:rFonts w:hint="eastAsia" w:ascii="ˎ̥" w:hAnsi="ˎ̥" w:cs="宋体"/>
          <w:color w:val="000000"/>
          <w:kern w:val="0"/>
          <w:szCs w:val="21"/>
        </w:rPr>
        <w:t>文件规定，具体企业行业分为：</w:t>
      </w:r>
      <w:r>
        <w:rPr>
          <w:rFonts w:ascii="ˎ̥" w:hAnsi="ˎ̥" w:cs="宋体"/>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rPr>
        <w:t>一般研发、生产、加工型企业填写工业，销售、贸易型企业填写批发业，具体行业划分依据国家统计局网站公布的</w:t>
      </w:r>
      <w:r>
        <w:rPr>
          <w:rFonts w:ascii="ˎ̥" w:hAnsi="ˎ̥" w:cs="宋体"/>
          <w:color w:val="000000"/>
          <w:kern w:val="0"/>
          <w:szCs w:val="21"/>
        </w:rPr>
        <w:t>《国民经济行业分类》</w:t>
      </w:r>
      <w:r>
        <w:rPr>
          <w:rFonts w:hint="eastAsia" w:ascii="ˎ̥" w:hAnsi="ˎ̥" w:cs="宋体"/>
          <w:color w:val="000000"/>
          <w:kern w:val="0"/>
          <w:szCs w:val="21"/>
        </w:rPr>
        <w:t>标准规定。</w:t>
      </w:r>
    </w:p>
    <w:p>
      <w:pPr>
        <w:pStyle w:val="14"/>
        <w:spacing w:line="520" w:lineRule="exact"/>
        <w:ind w:firstLine="0"/>
        <w:rPr>
          <w:rFonts w:hint="eastAsia" w:ascii="ˎ̥" w:hAnsi="ˎ̥" w:cs="宋体"/>
          <w:color w:val="000000"/>
          <w:kern w:val="0"/>
          <w:szCs w:val="21"/>
        </w:rPr>
      </w:pPr>
      <w:r>
        <w:rPr>
          <w:rFonts w:hint="eastAsia" w:ascii="ˎ̥" w:hAnsi="ˎ̥" w:cs="宋体"/>
          <w:color w:val="000000"/>
          <w:kern w:val="0"/>
          <w:szCs w:val="21"/>
        </w:rPr>
        <w:t>各行业企业划型标准：</w:t>
      </w:r>
    </w:p>
    <w:p>
      <w:pPr>
        <w:widowControl/>
        <w:spacing w:line="300" w:lineRule="atLeast"/>
        <w:ind w:firstLine="425"/>
        <w:jc w:val="left"/>
        <w:rPr>
          <w:rFonts w:ascii="ˎ̥" w:hAnsi="ˎ̥" w:cs="宋体"/>
          <w:color w:val="000000"/>
          <w:kern w:val="0"/>
          <w:sz w:val="18"/>
          <w:szCs w:val="18"/>
        </w:rPr>
      </w:pPr>
      <w:r>
        <w:rPr>
          <w:rFonts w:ascii="ˎ̥" w:hAnsi="ˎ̥" w:cs="宋体"/>
          <w:color w:val="000000"/>
          <w:kern w:val="0"/>
          <w:sz w:val="18"/>
          <w:szCs w:val="18"/>
        </w:rPr>
        <w:t>（</w:t>
      </w:r>
      <w:r>
        <w:rPr>
          <w:rFonts w:hint="eastAsia" w:ascii="ˎ̥" w:hAnsi="ˎ̥" w:cs="宋体"/>
          <w:color w:val="000000"/>
          <w:kern w:val="0"/>
          <w:sz w:val="18"/>
          <w:szCs w:val="18"/>
        </w:rPr>
        <w:t>1</w:t>
      </w:r>
      <w:r>
        <w:rPr>
          <w:rFonts w:ascii="ˎ̥" w:hAnsi="ˎ̥" w:cs="宋体"/>
          <w:color w:val="000000"/>
          <w:kern w:val="0"/>
          <w:sz w:val="18"/>
          <w:szCs w:val="18"/>
        </w:rPr>
        <w:t>）农、林、牧、渔业。营业收入20000万元以下的为中小微型企业。其中，营业收入500万元及以上的为中型企业，营业收入50万元及以上的为小型企业，营业收入50万元以下的为微型企业。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2</w:t>
      </w:r>
      <w:r>
        <w:rPr>
          <w:rFonts w:ascii="ˎ̥" w:hAnsi="ˎ̥" w:cs="宋体"/>
          <w:color w:val="000000"/>
          <w:kern w:val="0"/>
          <w:sz w:val="18"/>
          <w:szCs w:val="18"/>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3</w:t>
      </w:r>
      <w:r>
        <w:rPr>
          <w:rFonts w:ascii="ˎ̥" w:hAnsi="ˎ̥" w:cs="宋体"/>
          <w:color w:val="000000"/>
          <w:kern w:val="0"/>
          <w:sz w:val="18"/>
          <w:szCs w:val="18"/>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4</w:t>
      </w:r>
      <w:r>
        <w:rPr>
          <w:rFonts w:ascii="ˎ̥" w:hAnsi="ˎ̥" w:cs="宋体"/>
          <w:color w:val="000000"/>
          <w:kern w:val="0"/>
          <w:sz w:val="18"/>
          <w:szCs w:val="18"/>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5</w:t>
      </w:r>
      <w:r>
        <w:rPr>
          <w:rFonts w:ascii="ˎ̥" w:hAnsi="ˎ̥" w:cs="宋体"/>
          <w:color w:val="000000"/>
          <w:kern w:val="0"/>
          <w:sz w:val="18"/>
          <w:szCs w:val="18"/>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6</w:t>
      </w:r>
      <w:r>
        <w:rPr>
          <w:rFonts w:ascii="ˎ̥" w:hAnsi="ˎ̥" w:cs="宋体"/>
          <w:color w:val="000000"/>
          <w:kern w:val="0"/>
          <w:sz w:val="18"/>
          <w:szCs w:val="18"/>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7</w:t>
      </w:r>
      <w:r>
        <w:rPr>
          <w:rFonts w:ascii="ˎ̥" w:hAnsi="ˎ̥" w:cs="宋体"/>
          <w:color w:val="000000"/>
          <w:kern w:val="0"/>
          <w:sz w:val="18"/>
          <w:szCs w:val="18"/>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8</w:t>
      </w:r>
      <w:r>
        <w:rPr>
          <w:rFonts w:ascii="ˎ̥" w:hAnsi="ˎ̥" w:cs="宋体"/>
          <w:color w:val="000000"/>
          <w:kern w:val="0"/>
          <w:sz w:val="18"/>
          <w:szCs w:val="18"/>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9</w:t>
      </w:r>
      <w:r>
        <w:rPr>
          <w:rFonts w:ascii="ˎ̥" w:hAnsi="ˎ̥" w:cs="宋体"/>
          <w:color w:val="000000"/>
          <w:kern w:val="0"/>
          <w:sz w:val="18"/>
          <w:szCs w:val="18"/>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10</w:t>
      </w:r>
      <w:r>
        <w:rPr>
          <w:rFonts w:ascii="ˎ̥" w:hAnsi="ˎ̥" w:cs="宋体"/>
          <w:color w:val="000000"/>
          <w:kern w:val="0"/>
          <w:sz w:val="18"/>
          <w:szCs w:val="18"/>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11</w:t>
      </w:r>
      <w:r>
        <w:rPr>
          <w:rFonts w:ascii="ˎ̥" w:hAnsi="ˎ̥" w:cs="宋体"/>
          <w:color w:val="000000"/>
          <w:kern w:val="0"/>
          <w:sz w:val="18"/>
          <w:szCs w:val="18"/>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12</w:t>
      </w:r>
      <w:r>
        <w:rPr>
          <w:rFonts w:ascii="ˎ̥" w:hAnsi="ˎ̥" w:cs="宋体"/>
          <w:color w:val="000000"/>
          <w:kern w:val="0"/>
          <w:sz w:val="18"/>
          <w:szCs w:val="18"/>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13</w:t>
      </w:r>
      <w:r>
        <w:rPr>
          <w:rFonts w:ascii="ˎ̥" w:hAnsi="ˎ̥" w:cs="宋体"/>
          <w:color w:val="000000"/>
          <w:kern w:val="0"/>
          <w:sz w:val="18"/>
          <w:szCs w:val="18"/>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14</w:t>
      </w:r>
      <w:r>
        <w:rPr>
          <w:rFonts w:ascii="ˎ̥" w:hAnsi="ˎ̥" w:cs="宋体"/>
          <w:color w:val="000000"/>
          <w:kern w:val="0"/>
          <w:sz w:val="18"/>
          <w:szCs w:val="18"/>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15</w:t>
      </w:r>
      <w:r>
        <w:rPr>
          <w:rFonts w:ascii="ˎ̥" w:hAnsi="ˎ̥" w:cs="宋体"/>
          <w:color w:val="000000"/>
          <w:kern w:val="0"/>
          <w:sz w:val="18"/>
          <w:szCs w:val="18"/>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pacing w:line="300" w:lineRule="atLeast"/>
        <w:jc w:val="left"/>
        <w:rPr>
          <w:rFonts w:ascii="ˎ̥" w:hAnsi="ˎ̥" w:cs="宋体"/>
          <w:color w:val="000000"/>
          <w:kern w:val="0"/>
          <w:sz w:val="18"/>
          <w:szCs w:val="18"/>
        </w:rPr>
      </w:pPr>
      <w:r>
        <w:rPr>
          <w:rFonts w:ascii="ˎ̥" w:hAnsi="ˎ̥" w:cs="宋体"/>
          <w:color w:val="000000"/>
          <w:kern w:val="0"/>
          <w:sz w:val="18"/>
          <w:szCs w:val="18"/>
        </w:rPr>
        <w:t>　　（</w:t>
      </w:r>
      <w:r>
        <w:rPr>
          <w:rFonts w:hint="eastAsia" w:ascii="ˎ̥" w:hAnsi="ˎ̥" w:cs="宋体"/>
          <w:color w:val="000000"/>
          <w:kern w:val="0"/>
          <w:sz w:val="18"/>
          <w:szCs w:val="18"/>
        </w:rPr>
        <w:t>16</w:t>
      </w:r>
      <w:r>
        <w:rPr>
          <w:rFonts w:ascii="ˎ̥" w:hAnsi="ˎ̥" w:cs="宋体"/>
          <w:color w:val="000000"/>
          <w:kern w:val="0"/>
          <w:sz w:val="18"/>
          <w:szCs w:val="18"/>
        </w:rPr>
        <w:t>）其他未列明行业。从业人员300人以下的为中小微型企业。其中，从业人员100人及以上的为中型企业；从业人员10人及以上的为小型企业；从业人员10人以下的为微型企业。</w:t>
      </w:r>
    </w:p>
    <w:p>
      <w:pPr>
        <w:pStyle w:val="14"/>
        <w:spacing w:line="520" w:lineRule="exact"/>
        <w:ind w:firstLine="425"/>
        <w:rPr>
          <w:rFonts w:hint="eastAsia" w:ascii="ˎ̥" w:hAnsi="ˎ̥" w:cs="宋体"/>
          <w:color w:val="000000"/>
          <w:kern w:val="0"/>
          <w:szCs w:val="21"/>
        </w:rPr>
      </w:pPr>
      <w:r>
        <w:rPr>
          <w:rFonts w:ascii="ˎ̥" w:hAnsi="ˎ̥" w:cs="宋体"/>
          <w:color w:val="000000"/>
          <w:kern w:val="0"/>
          <w:szCs w:val="21"/>
        </w:rPr>
        <w:t>中型企业标准上限即为大型企业标准的下限</w:t>
      </w:r>
      <w:r>
        <w:rPr>
          <w:rFonts w:hint="eastAsia" w:ascii="ˎ̥" w:hAnsi="ˎ̥" w:cs="宋体"/>
          <w:color w:val="000000"/>
          <w:kern w:val="0"/>
          <w:szCs w:val="21"/>
        </w:rPr>
        <w:t>。</w:t>
      </w:r>
    </w:p>
    <w:p>
      <w:pPr>
        <w:pStyle w:val="14"/>
        <w:spacing w:line="520" w:lineRule="exact"/>
        <w:ind w:firstLine="425"/>
        <w:rPr>
          <w:rFonts w:hint="eastAsia"/>
        </w:rPr>
      </w:pPr>
      <w:r>
        <w:rPr>
          <w:rFonts w:hint="eastAsia"/>
        </w:rPr>
        <w:t>新成立企业暂以当前实际数据填报，事业社团其他类型供应商参照执行。</w:t>
      </w:r>
    </w:p>
    <w:p>
      <w:pPr>
        <w:pStyle w:val="20"/>
        <w:spacing w:line="360" w:lineRule="atLeast"/>
        <w:rPr>
          <w:rStyle w:val="25"/>
          <w:rFonts w:hint="eastAsia" w:ascii="Arial" w:hAnsi="Arial" w:cs="Arial"/>
          <w:sz w:val="21"/>
          <w:szCs w:val="21"/>
        </w:rPr>
      </w:pPr>
      <w:r>
        <w:rPr>
          <w:rStyle w:val="25"/>
          <w:rFonts w:ascii="Arial" w:hAnsi="Arial" w:eastAsia="Arial" w:cs="Arial"/>
          <w:sz w:val="21"/>
          <w:szCs w:val="21"/>
        </w:rPr>
        <w:t>从业人数包括与企业建立劳动关系的职工人数和企业接受的劳务派遣用工人数</w:t>
      </w:r>
      <w:r>
        <w:rPr>
          <w:rStyle w:val="25"/>
          <w:rFonts w:hint="eastAsia" w:ascii="Arial" w:hAnsi="Arial" w:cs="Arial"/>
          <w:sz w:val="21"/>
          <w:szCs w:val="21"/>
        </w:rPr>
        <w:t>。</w:t>
      </w:r>
    </w:p>
    <w:p>
      <w:pPr>
        <w:pStyle w:val="20"/>
        <w:spacing w:line="360" w:lineRule="atLeast"/>
        <w:rPr>
          <w:rFonts w:hint="eastAsia"/>
          <w:b/>
          <w:sz w:val="21"/>
          <w:szCs w:val="21"/>
        </w:rPr>
      </w:pPr>
      <w:r>
        <w:rPr>
          <w:rFonts w:hint="eastAsia"/>
          <w:b/>
          <w:sz w:val="21"/>
          <w:szCs w:val="21"/>
        </w:rPr>
        <w:t>以分公司投标的，须填写法人公司的企业划型。</w:t>
      </w:r>
    </w:p>
    <w:p>
      <w:pPr>
        <w:pStyle w:val="14"/>
        <w:spacing w:line="520" w:lineRule="exact"/>
        <w:ind w:left="480" w:firstLine="0"/>
        <w:rPr>
          <w:rFonts w:hint="eastAsia"/>
        </w:rPr>
      </w:pPr>
      <w:r>
        <w:rPr>
          <w:rFonts w:hint="eastAsia"/>
        </w:rPr>
        <w:t>2、联合体投标的，由联合体各方按照分工金额分别提供本表。</w:t>
      </w:r>
    </w:p>
    <w:p>
      <w:pPr>
        <w:pStyle w:val="14"/>
        <w:numPr>
          <w:ilvl w:val="0"/>
          <w:numId w:val="25"/>
        </w:numPr>
        <w:spacing w:line="520" w:lineRule="exact"/>
        <w:ind w:firstLine="480"/>
        <w:rPr>
          <w:rFonts w:hint="eastAsia"/>
        </w:rPr>
      </w:pPr>
      <w:r>
        <w:rPr>
          <w:rFonts w:hint="eastAsia" w:ascii="宋体" w:hAnsi="宋体"/>
          <w:szCs w:val="21"/>
        </w:rPr>
        <w:t>如供应商是代理商，提供其他企业制造的货物，请如实填写其他企业的划分类型并对其真实性负责。</w:t>
      </w:r>
    </w:p>
    <w:p>
      <w:pPr>
        <w:pStyle w:val="14"/>
        <w:numPr>
          <w:ilvl w:val="0"/>
          <w:numId w:val="25"/>
        </w:numPr>
        <w:spacing w:line="520" w:lineRule="exact"/>
        <w:ind w:firstLine="480"/>
        <w:rPr>
          <w:rFonts w:hint="eastAsia"/>
        </w:rPr>
      </w:pPr>
      <w:r>
        <w:rPr>
          <w:rFonts w:hint="eastAsia" w:ascii="宋体" w:hAnsi="宋体"/>
          <w:szCs w:val="21"/>
        </w:rPr>
        <w:t>小型、微型企业提供中型企业制造的货物时视同中型企业，因此，只有小微企业提供自己的货物或者小微企业提供其他小微企业的货物时，才能享受评标标准里的价格扣除优惠。</w:t>
      </w:r>
    </w:p>
    <w:p>
      <w:pPr>
        <w:pStyle w:val="14"/>
        <w:numPr>
          <w:ilvl w:val="0"/>
          <w:numId w:val="25"/>
        </w:numPr>
        <w:spacing w:line="520" w:lineRule="exact"/>
        <w:ind w:firstLine="480"/>
        <w:rPr>
          <w:rFonts w:hint="eastAsia" w:ascii="宋体" w:hAnsi="宋体"/>
          <w:szCs w:val="21"/>
        </w:rPr>
      </w:pPr>
      <w:r>
        <w:rPr>
          <w:rFonts w:hint="eastAsia" w:ascii="宋体" w:hAnsi="宋体"/>
          <w:szCs w:val="21"/>
        </w:rPr>
        <w:t>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pStyle w:val="14"/>
        <w:spacing w:line="520" w:lineRule="exact"/>
        <w:ind w:firstLine="0"/>
        <w:rPr>
          <w:rFonts w:hint="eastAsia"/>
        </w:rPr>
      </w:pPr>
    </w:p>
    <w:p>
      <w:pPr>
        <w:rPr>
          <w:rFonts w:hint="eastAsia" w:ascii="ˎ̥" w:hAnsi="ˎ̥"/>
          <w:i/>
          <w:szCs w:val="21"/>
        </w:rPr>
      </w:pPr>
    </w:p>
    <w:p>
      <w:pPr>
        <w:spacing w:line="588" w:lineRule="exact"/>
        <w:jc w:val="center"/>
        <w:rPr>
          <w:rFonts w:ascii="仿宋_GB2312" w:eastAsia="仿宋_GB2312"/>
          <w:b/>
          <w:spacing w:val="6"/>
          <w:sz w:val="32"/>
          <w:szCs w:val="32"/>
        </w:rPr>
      </w:pPr>
      <w:r>
        <w:rPr>
          <w:rFonts w:ascii="仿宋_GB2312" w:eastAsia="仿宋_GB2312"/>
          <w:sz w:val="32"/>
        </w:rPr>
        <w:br w:type="page"/>
      </w:r>
      <w:bookmarkStart w:id="77" w:name="OLE_LINK14"/>
      <w:bookmarkStart w:id="78" w:name="OLE_LINK13"/>
      <w:r>
        <w:rPr>
          <w:rFonts w:hint="eastAsia" w:ascii="仿宋_GB2312" w:eastAsia="仿宋_GB2312"/>
          <w:sz w:val="32"/>
        </w:rPr>
        <w:t>5、</w:t>
      </w:r>
      <w:r>
        <w:rPr>
          <w:rFonts w:hint="eastAsia" w:ascii="仿宋_GB2312" w:eastAsia="仿宋_GB2312"/>
          <w:b/>
          <w:spacing w:val="6"/>
          <w:sz w:val="32"/>
          <w:szCs w:val="32"/>
        </w:rPr>
        <w:t>残疾人福利性单位声明函</w:t>
      </w:r>
    </w:p>
    <w:bookmarkEnd w:id="77"/>
    <w:bookmarkEnd w:id="78"/>
    <w:p>
      <w:pPr>
        <w:spacing w:line="588" w:lineRule="exact"/>
        <w:rPr>
          <w:rFonts w:ascii="仿宋_GB2312" w:eastAsia="仿宋_GB2312"/>
          <w:b/>
          <w:spacing w:val="6"/>
          <w:sz w:val="30"/>
          <w:szCs w:val="30"/>
        </w:rPr>
      </w:pP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投标单位名称（盖章）：</w:t>
      </w: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pPr>
        <w:tabs>
          <w:tab w:val="left" w:pos="4860"/>
        </w:tabs>
        <w:spacing w:line="588" w:lineRule="exact"/>
        <w:ind w:right="1560" w:firstLine="504" w:firstLineChars="200"/>
        <w:jc w:val="left"/>
        <w:rPr>
          <w:rFonts w:hint="eastAsia" w:ascii="宋体" w:hAnsi="宋体" w:cs="宋体"/>
          <w:spacing w:val="6"/>
          <w:szCs w:val="21"/>
        </w:rPr>
      </w:pPr>
      <w:r>
        <w:rPr>
          <w:rFonts w:hint="eastAsia" w:ascii="宋体" w:hAnsi="宋体" w:cs="宋体"/>
          <w:spacing w:val="6"/>
          <w:sz w:val="24"/>
          <w:szCs w:val="24"/>
        </w:rPr>
        <w:br w:type="page"/>
      </w:r>
      <w:r>
        <w:rPr>
          <w:rFonts w:hint="eastAsia" w:ascii="宋体" w:hAnsi="宋体" w:cs="宋体"/>
          <w:spacing w:val="6"/>
          <w:szCs w:val="21"/>
        </w:rPr>
        <w:t>填写说明：</w:t>
      </w:r>
    </w:p>
    <w:p>
      <w:pPr>
        <w:numPr>
          <w:ilvl w:val="0"/>
          <w:numId w:val="26"/>
        </w:numPr>
        <w:tabs>
          <w:tab w:val="left" w:pos="4860"/>
        </w:tabs>
        <w:spacing w:line="588" w:lineRule="exact"/>
        <w:ind w:right="1560" w:firstLine="444" w:firstLineChars="200"/>
        <w:jc w:val="left"/>
        <w:rPr>
          <w:rFonts w:hint="eastAsia" w:ascii="宋体" w:hAnsi="宋体" w:cs="宋体"/>
          <w:szCs w:val="21"/>
        </w:rPr>
      </w:pPr>
      <w:r>
        <w:rPr>
          <w:rFonts w:hint="eastAsia" w:ascii="宋体" w:hAnsi="宋体" w:cs="宋体"/>
          <w:spacing w:val="6"/>
          <w:szCs w:val="21"/>
        </w:rPr>
        <w:t>本声明是残疾人福利性单位的提供，其他单位无需提供。</w:t>
      </w:r>
    </w:p>
    <w:p>
      <w:pPr>
        <w:numPr>
          <w:ilvl w:val="0"/>
          <w:numId w:val="26"/>
        </w:numPr>
        <w:tabs>
          <w:tab w:val="left" w:pos="4860"/>
        </w:tabs>
        <w:spacing w:line="588" w:lineRule="exact"/>
        <w:ind w:right="251" w:firstLine="420" w:firstLineChars="200"/>
        <w:jc w:val="left"/>
        <w:rPr>
          <w:rFonts w:hint="eastAsia" w:ascii="宋体" w:hAnsi="宋体" w:cs="宋体"/>
          <w:szCs w:val="21"/>
        </w:rPr>
      </w:pPr>
      <w:r>
        <w:rPr>
          <w:rFonts w:hint="eastAsia" w:ascii="宋体" w:hAnsi="宋体" w:cs="宋体"/>
          <w:color w:val="000000"/>
          <w:szCs w:val="21"/>
        </w:rPr>
        <w:t>享受政府采购支持政策的残疾人福利性单位应当同时满足以下条件：</w:t>
      </w:r>
    </w:p>
    <w:p>
      <w:pPr>
        <w:pStyle w:val="20"/>
        <w:spacing w:line="450" w:lineRule="atLeast"/>
        <w:jc w:val="both"/>
        <w:rPr>
          <w:rFonts w:hint="eastAsia"/>
          <w:sz w:val="21"/>
          <w:szCs w:val="21"/>
        </w:rPr>
      </w:pPr>
      <w:r>
        <w:rPr>
          <w:rFonts w:hint="eastAsia"/>
          <w:sz w:val="21"/>
          <w:szCs w:val="21"/>
        </w:rPr>
        <w:t>　　（1）安置的残疾人占本单位在职职工人数的比例不低于25%（含25%），并且安置的残疾人人数不少于10人（含10人）；</w:t>
      </w:r>
    </w:p>
    <w:p>
      <w:pPr>
        <w:pStyle w:val="20"/>
        <w:spacing w:line="450" w:lineRule="atLeast"/>
        <w:jc w:val="both"/>
        <w:rPr>
          <w:rFonts w:hint="eastAsia"/>
          <w:sz w:val="21"/>
          <w:szCs w:val="21"/>
        </w:rPr>
      </w:pPr>
      <w:r>
        <w:rPr>
          <w:rFonts w:hint="eastAsia"/>
          <w:sz w:val="21"/>
          <w:szCs w:val="21"/>
        </w:rPr>
        <w:t>　　（2）依法与安置的每位残疾人签订了一年以上（含一年）的劳动合同或服务协议；</w:t>
      </w:r>
    </w:p>
    <w:p>
      <w:pPr>
        <w:pStyle w:val="20"/>
        <w:spacing w:line="450" w:lineRule="atLeast"/>
        <w:jc w:val="both"/>
        <w:rPr>
          <w:rFonts w:hint="eastAsia"/>
          <w:sz w:val="21"/>
          <w:szCs w:val="21"/>
        </w:rPr>
      </w:pPr>
      <w:r>
        <w:rPr>
          <w:rFonts w:hint="eastAsia"/>
          <w:sz w:val="21"/>
          <w:szCs w:val="21"/>
        </w:rPr>
        <w:t>　　（3）为安置的每位残疾人按月足额缴纳了基本养老保险、基本医疗保险、失业保险、工伤保险和生育保险等社会保险费；</w:t>
      </w:r>
    </w:p>
    <w:p>
      <w:pPr>
        <w:pStyle w:val="20"/>
        <w:spacing w:line="450" w:lineRule="atLeast"/>
        <w:jc w:val="both"/>
        <w:rPr>
          <w:rFonts w:hint="eastAsia"/>
          <w:sz w:val="21"/>
          <w:szCs w:val="21"/>
        </w:rPr>
      </w:pPr>
      <w:r>
        <w:rPr>
          <w:rFonts w:hint="eastAsia"/>
          <w:sz w:val="21"/>
          <w:szCs w:val="21"/>
        </w:rPr>
        <w:t>　　（4）通过银行等金融机构向安置的每位残疾人，按月支付了不低于单位所在区县适用的经省级人民政府批准的月最低工资标准的工资；</w:t>
      </w:r>
    </w:p>
    <w:p>
      <w:pPr>
        <w:pStyle w:val="20"/>
        <w:spacing w:line="450" w:lineRule="atLeast"/>
        <w:jc w:val="both"/>
        <w:rPr>
          <w:rFonts w:hint="eastAsia"/>
          <w:sz w:val="21"/>
          <w:szCs w:val="21"/>
        </w:rPr>
      </w:pPr>
      <w:r>
        <w:rPr>
          <w:rFonts w:hint="eastAsia"/>
          <w:sz w:val="21"/>
          <w:szCs w:val="21"/>
        </w:rPr>
        <w:t>　　（5）提供本单位制造的货物、承担的工程或者服务（以下简称产品），或者提供其他残疾人福利性单位制造的货物（不包括使用非残疾人福利性单位注册商标的货物）。</w:t>
      </w:r>
    </w:p>
    <w:p>
      <w:pPr>
        <w:pStyle w:val="20"/>
        <w:spacing w:line="450" w:lineRule="atLeast"/>
        <w:jc w:val="both"/>
        <w:rPr>
          <w:rFonts w:hint="eastAsia"/>
          <w:sz w:val="21"/>
          <w:szCs w:val="21"/>
        </w:rPr>
      </w:pPr>
      <w:r>
        <w:rPr>
          <w:rFonts w:hint="eastAsia"/>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jc w:val="left"/>
        <w:rPr>
          <w:rFonts w:hint="eastAsia" w:ascii="宋体" w:hAnsi="宋体" w:cs="宋体"/>
          <w:spacing w:val="6"/>
          <w:sz w:val="24"/>
          <w:szCs w:val="24"/>
        </w:rPr>
      </w:pPr>
    </w:p>
    <w:p>
      <w:pPr>
        <w:tabs>
          <w:tab w:val="left" w:pos="4860"/>
        </w:tabs>
        <w:spacing w:line="588" w:lineRule="exact"/>
        <w:ind w:right="1560" w:firstLine="504" w:firstLineChars="200"/>
        <w:jc w:val="left"/>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1575"/>
        </w:tabs>
        <w:spacing w:line="500" w:lineRule="exact"/>
        <w:jc w:val="center"/>
        <w:rPr>
          <w:rFonts w:ascii="仿宋_GB2312" w:eastAsia="仿宋_GB2312"/>
          <w:b/>
          <w:bCs/>
          <w:sz w:val="32"/>
        </w:rPr>
      </w:pPr>
      <w:r>
        <w:rPr>
          <w:rFonts w:ascii="仿宋_GB2312" w:eastAsia="仿宋_GB2312"/>
          <w:sz w:val="32"/>
        </w:rPr>
        <w:br w:type="page"/>
      </w:r>
      <w:r>
        <w:rPr>
          <w:rFonts w:hint="eastAsia" w:ascii="仿宋_GB2312" w:eastAsia="仿宋_GB2312"/>
          <w:b/>
          <w:bCs/>
          <w:sz w:val="32"/>
        </w:rPr>
        <w:t>6、近年财务状况表</w:t>
      </w:r>
    </w:p>
    <w:p>
      <w:pPr>
        <w:tabs>
          <w:tab w:val="left" w:pos="1575"/>
        </w:tabs>
        <w:spacing w:line="500" w:lineRule="exact"/>
        <w:jc w:val="center"/>
        <w:rPr>
          <w:rFonts w:hint="eastAsia" w:ascii="仿宋_GB2312" w:eastAsia="仿宋_GB2312"/>
          <w:b/>
          <w:sz w:val="32"/>
        </w:rPr>
      </w:pPr>
      <w:r>
        <w:rPr>
          <w:rFonts w:hint="eastAsia" w:ascii="仿宋_GB2312" w:eastAsia="仿宋_GB2312"/>
          <w:b/>
          <w:bCs/>
          <w:i/>
          <w:iCs/>
          <w:sz w:val="32"/>
        </w:rPr>
        <w:t>提供最近1个年度财务报表，不足1年的提供最近月度财务报表，</w:t>
      </w:r>
      <w:r>
        <w:rPr>
          <w:rFonts w:hint="eastAsia" w:ascii="仿宋_GB2312" w:eastAsia="仿宋_GB2312"/>
          <w:b/>
          <w:bCs/>
          <w:i/>
          <w:iCs/>
          <w:sz w:val="32"/>
          <w:szCs w:val="22"/>
        </w:rPr>
        <w:t>包括资产负债表、现金流量表、利润表等复印件。</w:t>
      </w:r>
      <w:r>
        <w:rPr>
          <w:rFonts w:hint="eastAsia" w:ascii="仿宋_GB2312" w:eastAsia="仿宋_GB2312"/>
          <w:b/>
          <w:bCs/>
          <w:i/>
          <w:iCs/>
          <w:sz w:val="32"/>
          <w:szCs w:val="22"/>
        </w:rPr>
        <w:br w:type="page"/>
      </w:r>
      <w:r>
        <w:rPr>
          <w:rFonts w:hint="eastAsia" w:ascii="仿宋_GB2312" w:eastAsia="仿宋_GB2312"/>
          <w:b/>
          <w:bCs/>
          <w:sz w:val="32"/>
        </w:rPr>
        <w:t>7、</w:t>
      </w:r>
      <w:r>
        <w:rPr>
          <w:rFonts w:hint="eastAsia" w:ascii="仿宋_GB2312" w:eastAsia="仿宋_GB2312"/>
          <w:b/>
          <w:sz w:val="32"/>
        </w:rPr>
        <w:t>法定代表人授权书</w:t>
      </w:r>
    </w:p>
    <w:p>
      <w:pPr>
        <w:tabs>
          <w:tab w:val="left" w:pos="1575"/>
        </w:tabs>
        <w:spacing w:line="500" w:lineRule="exact"/>
        <w:jc w:val="center"/>
        <w:rPr>
          <w:rFonts w:hint="eastAsia" w:ascii="仿宋_GB2312" w:eastAsia="仿宋_GB2312"/>
          <w:sz w:val="32"/>
        </w:rPr>
      </w:pPr>
    </w:p>
    <w:p>
      <w:pPr>
        <w:spacing w:line="500" w:lineRule="exact"/>
        <w:jc w:val="left"/>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宁波市政府采购中心</w:t>
      </w:r>
    </w:p>
    <w:p>
      <w:pPr>
        <w:spacing w:line="500" w:lineRule="exact"/>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pPr>
        <w:spacing w:line="500" w:lineRule="exact"/>
        <w:jc w:val="left"/>
        <w:rPr>
          <w:rFonts w:hint="eastAsia"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投标单位全称（单位公章）：</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法定代表人（签字或签章）：</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日期：</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rPr>
          <w:rFonts w:hint="eastAsia" w:ascii="宋体" w:hAnsi="宋体"/>
          <w:sz w:val="24"/>
          <w:szCs w:val="24"/>
        </w:rPr>
      </w:pPr>
      <w:r>
        <w:rPr>
          <w:rFonts w:hint="eastAsia" w:ascii="宋体" w:hAnsi="宋体"/>
          <w:sz w:val="24"/>
          <w:szCs w:val="24"/>
        </w:rPr>
        <w:t xml:space="preserve"> </w:t>
      </w:r>
    </w:p>
    <w:p>
      <w:pPr>
        <w:pStyle w:val="14"/>
        <w:spacing w:line="520" w:lineRule="exact"/>
        <w:ind w:firstLine="0"/>
        <w:rPr>
          <w:rFonts w:hint="eastAsia"/>
          <w:i/>
          <w:iCs/>
          <w:sz w:val="32"/>
        </w:rPr>
      </w:pPr>
    </w:p>
    <w:p>
      <w:pPr>
        <w:pStyle w:val="14"/>
        <w:spacing w:line="520" w:lineRule="exact"/>
        <w:ind w:firstLine="0"/>
        <w:jc w:val="center"/>
        <w:rPr>
          <w:rFonts w:hint="eastAsia" w:ascii="仿宋_GB2312" w:eastAsia="仿宋_GB2312"/>
          <w:b/>
          <w:sz w:val="32"/>
        </w:rPr>
      </w:pPr>
      <w:r>
        <w:rPr>
          <w:rFonts w:ascii="仿宋_GB2312" w:eastAsia="仿宋_GB2312"/>
          <w:b/>
          <w:sz w:val="32"/>
        </w:rPr>
        <w:br w:type="page"/>
      </w:r>
      <w:r>
        <w:rPr>
          <w:rFonts w:hint="eastAsia" w:ascii="仿宋_GB2312" w:eastAsia="仿宋_GB2312"/>
          <w:b/>
          <w:sz w:val="32"/>
        </w:rPr>
        <w:t>8、制造厂商授权函（参考格式）</w:t>
      </w:r>
    </w:p>
    <w:p>
      <w:pPr>
        <w:pStyle w:val="14"/>
        <w:spacing w:line="520" w:lineRule="exact"/>
        <w:ind w:firstLine="0"/>
        <w:rPr>
          <w:rFonts w:hint="eastAsia" w:ascii="宋体"/>
        </w:rPr>
      </w:pPr>
    </w:p>
    <w:p>
      <w:pPr>
        <w:pStyle w:val="14"/>
        <w:spacing w:after="120" w:line="520" w:lineRule="exact"/>
        <w:ind w:firstLine="0"/>
        <w:rPr>
          <w:rFonts w:hint="eastAsia" w:ascii="宋体" w:hAnsi="宋体"/>
          <w:sz w:val="24"/>
          <w:szCs w:val="24"/>
        </w:rPr>
      </w:pPr>
      <w:r>
        <w:rPr>
          <w:rFonts w:hint="eastAsia" w:ascii="宋体" w:hAnsi="宋体"/>
          <w:sz w:val="24"/>
          <w:szCs w:val="24"/>
        </w:rPr>
        <w:t>致：</w:t>
      </w:r>
      <w:r>
        <w:rPr>
          <w:rFonts w:hint="eastAsia" w:ascii="宋体" w:hAnsi="宋体"/>
          <w:iCs/>
          <w:sz w:val="24"/>
          <w:szCs w:val="24"/>
          <w:u w:val="single"/>
        </w:rPr>
        <w:t>宁波市政府采购中心</w:t>
      </w:r>
    </w:p>
    <w:p>
      <w:pPr>
        <w:pStyle w:val="14"/>
        <w:spacing w:line="520" w:lineRule="exact"/>
        <w:rPr>
          <w:rFonts w:hint="eastAsia" w:ascii="宋体" w:hAnsi="宋体"/>
          <w:sz w:val="24"/>
          <w:szCs w:val="24"/>
        </w:rPr>
      </w:pPr>
      <w:r>
        <w:rPr>
          <w:rFonts w:hint="eastAsia" w:ascii="宋体" w:hAnsi="宋体"/>
          <w:sz w:val="24"/>
          <w:szCs w:val="24"/>
        </w:rPr>
        <w:t>我们</w:t>
      </w:r>
      <w:r>
        <w:rPr>
          <w:rFonts w:hint="eastAsia" w:ascii="宋体" w:hAnsi="宋体"/>
          <w:i/>
          <w:sz w:val="24"/>
          <w:szCs w:val="24"/>
          <w:u w:val="single"/>
        </w:rPr>
        <w:t>（制造商名称）</w:t>
      </w:r>
      <w:r>
        <w:rPr>
          <w:rFonts w:hint="eastAsia" w:ascii="宋体" w:hAnsi="宋体"/>
          <w:sz w:val="24"/>
          <w:szCs w:val="24"/>
        </w:rPr>
        <w:t>是按</w:t>
      </w:r>
      <w:r>
        <w:rPr>
          <w:rFonts w:hint="eastAsia" w:ascii="宋体" w:hAnsi="宋体"/>
          <w:i/>
          <w:iCs/>
          <w:sz w:val="24"/>
          <w:szCs w:val="24"/>
          <w:u w:val="single"/>
        </w:rPr>
        <w:t>中华人民共和国</w:t>
      </w:r>
      <w:r>
        <w:rPr>
          <w:rFonts w:hint="eastAsia" w:ascii="宋体" w:hAnsi="宋体"/>
          <w:sz w:val="24"/>
          <w:szCs w:val="24"/>
        </w:rPr>
        <w:t>法律成立的一家制造商，主要营业地点设在</w:t>
      </w:r>
      <w:r>
        <w:rPr>
          <w:rFonts w:hint="eastAsia" w:ascii="宋体" w:hAnsi="宋体"/>
          <w:i/>
          <w:sz w:val="24"/>
          <w:szCs w:val="24"/>
          <w:u w:val="single"/>
        </w:rPr>
        <w:t>（制造商地址）</w:t>
      </w:r>
      <w:r>
        <w:rPr>
          <w:rFonts w:hint="eastAsia" w:ascii="宋体" w:hAnsi="宋体"/>
          <w:sz w:val="24"/>
          <w:szCs w:val="24"/>
        </w:rPr>
        <w:t>。兹指派按中华人民共和国法律正式成立的，主要营业地点设在</w:t>
      </w:r>
      <w:r>
        <w:rPr>
          <w:rFonts w:hint="eastAsia" w:ascii="宋体" w:hAnsi="宋体"/>
          <w:i/>
          <w:sz w:val="24"/>
          <w:szCs w:val="24"/>
          <w:u w:val="single"/>
        </w:rPr>
        <w:t>（投标人地址）</w:t>
      </w:r>
      <w:r>
        <w:rPr>
          <w:rFonts w:hint="eastAsia" w:ascii="宋体" w:hAnsi="宋体"/>
          <w:sz w:val="24"/>
          <w:szCs w:val="24"/>
        </w:rPr>
        <w:t>的</w:t>
      </w:r>
      <w:r>
        <w:rPr>
          <w:rFonts w:hint="eastAsia" w:ascii="宋体" w:hAnsi="宋体"/>
          <w:i/>
          <w:sz w:val="24"/>
          <w:szCs w:val="24"/>
          <w:u w:val="single"/>
        </w:rPr>
        <w:t>（投标人名称）</w:t>
      </w:r>
      <w:r>
        <w:rPr>
          <w:rFonts w:hint="eastAsia" w:ascii="宋体" w:hAnsi="宋体"/>
          <w:sz w:val="24"/>
          <w:szCs w:val="24"/>
        </w:rPr>
        <w:t>作为我方真正的和合法的代理人进行下列有效的活动：</w:t>
      </w:r>
    </w:p>
    <w:p>
      <w:pPr>
        <w:pStyle w:val="14"/>
        <w:numPr>
          <w:ilvl w:val="0"/>
          <w:numId w:val="27"/>
        </w:numPr>
        <w:spacing w:after="120" w:line="520" w:lineRule="exact"/>
        <w:rPr>
          <w:rFonts w:hint="eastAsia" w:ascii="宋体" w:hAnsi="宋体"/>
          <w:sz w:val="24"/>
          <w:szCs w:val="24"/>
        </w:rPr>
      </w:pPr>
      <w:r>
        <w:rPr>
          <w:rFonts w:hint="eastAsia" w:ascii="宋体" w:hAnsi="宋体"/>
          <w:sz w:val="24"/>
          <w:szCs w:val="24"/>
        </w:rPr>
        <w:t>代表我方办理贵方</w:t>
      </w:r>
      <w:r>
        <w:rPr>
          <w:rFonts w:hint="eastAsia" w:ascii="宋体" w:hAnsi="宋体"/>
          <w:i/>
          <w:sz w:val="24"/>
          <w:szCs w:val="24"/>
          <w:u w:val="single"/>
        </w:rPr>
        <w:t>（采购编号）</w:t>
      </w:r>
      <w:r>
        <w:rPr>
          <w:rFonts w:hint="eastAsia" w:ascii="宋体" w:hAnsi="宋体"/>
          <w:sz w:val="24"/>
          <w:szCs w:val="24"/>
        </w:rPr>
        <w:t>招标项目的投标邀请要求提供的由我方制造的产品的有关事宜，并对我方具有约束力。</w:t>
      </w:r>
    </w:p>
    <w:p>
      <w:pPr>
        <w:pStyle w:val="14"/>
        <w:numPr>
          <w:ilvl w:val="0"/>
          <w:numId w:val="27"/>
        </w:numPr>
        <w:spacing w:after="120" w:line="520" w:lineRule="exact"/>
        <w:rPr>
          <w:rFonts w:hint="eastAsia" w:ascii="宋体" w:hAnsi="宋体"/>
          <w:sz w:val="24"/>
          <w:szCs w:val="24"/>
        </w:rPr>
      </w:pPr>
      <w:r>
        <w:rPr>
          <w:rFonts w:hint="eastAsia" w:ascii="宋体" w:hAnsi="宋体"/>
          <w:sz w:val="24"/>
          <w:szCs w:val="24"/>
        </w:rPr>
        <w:t>作为制造商，我方保证以投标合作者来约束自己，并对该投标共同和分别承担招标文件中所规定的义务。</w:t>
      </w:r>
    </w:p>
    <w:p>
      <w:pPr>
        <w:pStyle w:val="14"/>
        <w:numPr>
          <w:ilvl w:val="0"/>
          <w:numId w:val="27"/>
        </w:numPr>
        <w:spacing w:after="120" w:line="520" w:lineRule="exact"/>
        <w:rPr>
          <w:rFonts w:hint="eastAsia" w:ascii="宋体" w:hAnsi="宋体"/>
          <w:sz w:val="24"/>
          <w:szCs w:val="24"/>
        </w:rPr>
      </w:pPr>
      <w:r>
        <w:rPr>
          <w:rFonts w:hint="eastAsia" w:ascii="宋体" w:hAnsi="宋体"/>
          <w:sz w:val="24"/>
          <w:szCs w:val="24"/>
        </w:rPr>
        <w:t>我方兹授予</w:t>
      </w:r>
      <w:r>
        <w:rPr>
          <w:rFonts w:hint="eastAsia" w:ascii="宋体" w:hAnsi="宋体"/>
          <w:i/>
          <w:sz w:val="24"/>
          <w:szCs w:val="24"/>
          <w:u w:val="single"/>
        </w:rPr>
        <w:t>（投标人名称）</w:t>
      </w:r>
      <w:r>
        <w:rPr>
          <w:rFonts w:hint="eastAsia" w:ascii="宋体" w:hAnsi="宋体"/>
          <w:sz w:val="24"/>
          <w:szCs w:val="24"/>
        </w:rPr>
        <w:t>全权办理和履行上述我方为完成上述各点所必须的事宜，具有替换或撤销的全权。兹确认</w:t>
      </w:r>
      <w:r>
        <w:rPr>
          <w:rFonts w:hint="eastAsia" w:ascii="宋体" w:hAnsi="宋体"/>
          <w:i/>
          <w:sz w:val="24"/>
          <w:szCs w:val="24"/>
          <w:u w:val="single"/>
        </w:rPr>
        <w:t>（投标人名称）</w:t>
      </w:r>
      <w:r>
        <w:rPr>
          <w:rFonts w:hint="eastAsia" w:ascii="宋体" w:hAnsi="宋体"/>
          <w:sz w:val="24"/>
          <w:szCs w:val="24"/>
        </w:rPr>
        <w:t>或其正式被授权代表依此合法地办理一切事宜。</w:t>
      </w:r>
    </w:p>
    <w:p>
      <w:pPr>
        <w:pStyle w:val="14"/>
        <w:spacing w:line="520" w:lineRule="exact"/>
        <w:rPr>
          <w:rFonts w:hint="eastAsia" w:ascii="宋体" w:hAnsi="宋体"/>
          <w:sz w:val="24"/>
          <w:szCs w:val="24"/>
        </w:rPr>
      </w:pPr>
    </w:p>
    <w:p>
      <w:pPr>
        <w:pStyle w:val="14"/>
        <w:spacing w:line="520" w:lineRule="exact"/>
        <w:ind w:firstLine="0"/>
        <w:rPr>
          <w:rFonts w:hint="eastAsia" w:ascii="宋体" w:hAnsi="宋体"/>
          <w:sz w:val="24"/>
          <w:szCs w:val="24"/>
        </w:rPr>
      </w:pPr>
    </w:p>
    <w:p>
      <w:pPr>
        <w:pStyle w:val="14"/>
        <w:spacing w:after="120" w:line="520" w:lineRule="exact"/>
        <w:ind w:firstLine="0"/>
        <w:rPr>
          <w:rFonts w:hint="eastAsia" w:ascii="宋体" w:hAnsi="宋体"/>
          <w:sz w:val="24"/>
          <w:szCs w:val="24"/>
        </w:rPr>
      </w:pPr>
      <w:r>
        <w:rPr>
          <w:rFonts w:hint="eastAsia" w:ascii="宋体" w:hAnsi="宋体"/>
          <w:sz w:val="24"/>
          <w:szCs w:val="24"/>
        </w:rPr>
        <w:t>制造商（公章）：</w:t>
      </w:r>
    </w:p>
    <w:p>
      <w:pPr>
        <w:pStyle w:val="14"/>
        <w:spacing w:after="120" w:line="520" w:lineRule="exact"/>
        <w:ind w:firstLine="0"/>
        <w:rPr>
          <w:rFonts w:hint="eastAsia" w:ascii="宋体" w:hAnsi="宋体"/>
          <w:sz w:val="24"/>
          <w:szCs w:val="24"/>
        </w:rPr>
      </w:pPr>
      <w:r>
        <w:rPr>
          <w:rFonts w:hint="eastAsia" w:ascii="宋体" w:hAnsi="宋体"/>
          <w:sz w:val="24"/>
          <w:szCs w:val="24"/>
        </w:rPr>
        <w:t xml:space="preserve">   </w:t>
      </w:r>
    </w:p>
    <w:p>
      <w:pPr>
        <w:pStyle w:val="14"/>
        <w:spacing w:after="120" w:line="520" w:lineRule="exact"/>
        <w:ind w:firstLine="0"/>
        <w:rPr>
          <w:rFonts w:hint="eastAsia" w:ascii="宋体" w:hAnsi="宋体"/>
          <w:sz w:val="24"/>
          <w:szCs w:val="24"/>
        </w:rPr>
      </w:pPr>
      <w:r>
        <w:rPr>
          <w:rFonts w:hint="eastAsia" w:ascii="宋体" w:hAnsi="宋体"/>
          <w:sz w:val="24"/>
          <w:szCs w:val="24"/>
        </w:rPr>
        <w:t>签字人姓名及职务：</w:t>
      </w:r>
    </w:p>
    <w:p>
      <w:pPr>
        <w:pStyle w:val="14"/>
        <w:spacing w:after="120" w:line="520" w:lineRule="exact"/>
        <w:ind w:firstLine="0"/>
        <w:rPr>
          <w:rFonts w:hint="eastAsia" w:ascii="宋体" w:hAnsi="宋体"/>
          <w:sz w:val="24"/>
          <w:szCs w:val="24"/>
        </w:rPr>
      </w:pPr>
      <w:r>
        <w:rPr>
          <w:rFonts w:hint="eastAsia" w:ascii="宋体" w:hAnsi="宋体"/>
          <w:sz w:val="24"/>
          <w:szCs w:val="24"/>
        </w:rPr>
        <w:t xml:space="preserve">         </w:t>
      </w:r>
    </w:p>
    <w:p>
      <w:pPr>
        <w:pStyle w:val="14"/>
        <w:spacing w:after="120" w:line="520" w:lineRule="exact"/>
        <w:ind w:firstLine="0"/>
        <w:rPr>
          <w:rFonts w:hint="eastAsia" w:ascii="宋体" w:hAnsi="宋体"/>
          <w:sz w:val="24"/>
          <w:szCs w:val="24"/>
        </w:rPr>
      </w:pPr>
      <w:r>
        <w:rPr>
          <w:rFonts w:hint="eastAsia" w:ascii="宋体" w:hAnsi="宋体"/>
          <w:sz w:val="24"/>
          <w:szCs w:val="24"/>
        </w:rPr>
        <w:t>签字人（签名）：</w:t>
      </w:r>
    </w:p>
    <w:p>
      <w:pPr>
        <w:pStyle w:val="14"/>
        <w:spacing w:line="520" w:lineRule="exact"/>
        <w:ind w:firstLine="0"/>
        <w:rPr>
          <w:rFonts w:hint="eastAsia"/>
          <w:i/>
          <w:iCs/>
          <w:sz w:val="32"/>
        </w:rPr>
      </w:pPr>
      <w:r>
        <w:rPr>
          <w:rFonts w:ascii="宋体"/>
          <w:sz w:val="24"/>
        </w:rPr>
        <w:br w:type="page"/>
      </w:r>
    </w:p>
    <w:p>
      <w:pPr>
        <w:jc w:val="center"/>
        <w:rPr>
          <w:rFonts w:hint="eastAsia"/>
          <w:b/>
          <w:sz w:val="28"/>
          <w:szCs w:val="28"/>
        </w:rPr>
      </w:pPr>
      <w:r>
        <w:rPr>
          <w:rFonts w:hint="eastAsia"/>
          <w:b/>
          <w:sz w:val="28"/>
          <w:szCs w:val="28"/>
        </w:rPr>
        <w:t>9、联合投标协议书</w:t>
      </w:r>
    </w:p>
    <w:p>
      <w:pPr>
        <w:spacing w:line="400" w:lineRule="exact"/>
        <w:rPr>
          <w:rFonts w:hint="eastAsia" w:ascii="仿宋" w:hAnsi="仿宋" w:eastAsia="仿宋"/>
          <w:sz w:val="24"/>
        </w:rPr>
      </w:pPr>
    </w:p>
    <w:p>
      <w:pPr>
        <w:spacing w:line="400" w:lineRule="exact"/>
        <w:rPr>
          <w:rFonts w:hint="eastAsia" w:ascii="仿宋" w:hAnsi="仿宋" w:eastAsia="仿宋"/>
          <w:sz w:val="24"/>
          <w:szCs w:val="24"/>
        </w:rPr>
      </w:pPr>
      <w:r>
        <w:rPr>
          <w:rFonts w:hint="eastAsia" w:ascii="仿宋" w:hAnsi="仿宋" w:eastAsia="仿宋"/>
          <w:sz w:val="24"/>
          <w:szCs w:val="24"/>
        </w:rPr>
        <w:t>牵头人名称：</w:t>
      </w:r>
      <w:r>
        <w:rPr>
          <w:rFonts w:hint="eastAsia" w:ascii="仿宋" w:hAnsi="仿宋" w:eastAsia="仿宋"/>
          <w:sz w:val="24"/>
          <w:szCs w:val="24"/>
          <w:u w:val="single"/>
        </w:rPr>
        <w:t xml:space="preserve">                                                        </w:t>
      </w:r>
    </w:p>
    <w:p>
      <w:pPr>
        <w:spacing w:line="400" w:lineRule="exact"/>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p>
    <w:p>
      <w:pPr>
        <w:spacing w:line="400" w:lineRule="exact"/>
        <w:rPr>
          <w:rFonts w:hint="eastAsia" w:ascii="仿宋" w:hAnsi="仿宋" w:eastAsia="仿宋"/>
          <w:sz w:val="24"/>
          <w:szCs w:val="24"/>
        </w:rPr>
      </w:pPr>
      <w:r>
        <w:rPr>
          <w:rFonts w:hint="eastAsia" w:ascii="仿宋" w:hAnsi="仿宋" w:eastAsia="仿宋"/>
          <w:spacing w:val="15"/>
          <w:kern w:val="0"/>
          <w:sz w:val="24"/>
          <w:szCs w:val="24"/>
        </w:rPr>
        <w:t>法定住</w:t>
      </w:r>
      <w:r>
        <w:rPr>
          <w:rFonts w:hint="eastAsia" w:ascii="仿宋" w:hAnsi="仿宋" w:eastAsia="仿宋"/>
          <w:kern w:val="0"/>
          <w:sz w:val="24"/>
          <w:szCs w:val="24"/>
        </w:rPr>
        <w:t>所</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r>
        <w:rPr>
          <w:rFonts w:hint="eastAsia" w:ascii="仿宋" w:hAnsi="仿宋" w:eastAsia="仿宋"/>
          <w:sz w:val="24"/>
          <w:szCs w:val="24"/>
        </w:rPr>
        <w:t>成员1名称：</w:t>
      </w:r>
      <w:r>
        <w:rPr>
          <w:rFonts w:hint="eastAsia" w:ascii="仿宋" w:hAnsi="仿宋" w:eastAsia="仿宋"/>
          <w:sz w:val="24"/>
          <w:szCs w:val="24"/>
          <w:u w:val="single"/>
        </w:rPr>
        <w:t xml:space="preserve">                                                        </w:t>
      </w:r>
    </w:p>
    <w:p>
      <w:pPr>
        <w:spacing w:line="400" w:lineRule="exact"/>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p>
    <w:p>
      <w:pPr>
        <w:spacing w:line="400" w:lineRule="exact"/>
        <w:rPr>
          <w:rFonts w:hint="eastAsia" w:ascii="仿宋" w:hAnsi="仿宋" w:eastAsia="仿宋"/>
          <w:sz w:val="24"/>
          <w:szCs w:val="24"/>
        </w:rPr>
      </w:pPr>
      <w:r>
        <w:rPr>
          <w:rFonts w:hint="eastAsia" w:ascii="仿宋" w:hAnsi="仿宋" w:eastAsia="仿宋"/>
          <w:spacing w:val="15"/>
          <w:kern w:val="0"/>
          <w:sz w:val="24"/>
          <w:szCs w:val="24"/>
        </w:rPr>
        <w:t>法定住</w:t>
      </w:r>
      <w:r>
        <w:rPr>
          <w:rFonts w:hint="eastAsia" w:ascii="仿宋" w:hAnsi="仿宋" w:eastAsia="仿宋"/>
          <w:kern w:val="0"/>
          <w:sz w:val="24"/>
          <w:szCs w:val="24"/>
        </w:rPr>
        <w:t>所</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w:t>
      </w:r>
    </w:p>
    <w:p>
      <w:pPr>
        <w:spacing w:line="400" w:lineRule="exact"/>
        <w:ind w:firstLine="410" w:firstLineChars="171"/>
        <w:rPr>
          <w:rFonts w:hint="eastAsia" w:ascii="仿宋" w:hAnsi="仿宋" w:eastAsia="仿宋"/>
          <w:sz w:val="24"/>
          <w:szCs w:val="24"/>
        </w:rPr>
      </w:pPr>
      <w:r>
        <w:rPr>
          <w:rFonts w:hint="eastAsia" w:ascii="仿宋" w:hAnsi="仿宋" w:eastAsia="仿宋"/>
          <w:sz w:val="24"/>
          <w:szCs w:val="24"/>
        </w:rPr>
        <w:t>鉴于上述各成员单位经过友好协商，自愿组成</w:t>
      </w:r>
      <w:r>
        <w:rPr>
          <w:rFonts w:hint="eastAsia" w:ascii="仿宋" w:hAnsi="仿宋" w:eastAsia="仿宋"/>
          <w:sz w:val="24"/>
          <w:szCs w:val="24"/>
          <w:u w:val="single"/>
        </w:rPr>
        <w:t xml:space="preserve"> XXX </w:t>
      </w:r>
      <w:r>
        <w:rPr>
          <w:rFonts w:hint="eastAsia" w:ascii="仿宋" w:hAnsi="仿宋" w:eastAsia="仿宋"/>
          <w:sz w:val="24"/>
          <w:szCs w:val="24"/>
        </w:rPr>
        <w:t>（联合体名称）联合体，共同参加</w:t>
      </w:r>
      <w:r>
        <w:rPr>
          <w:rFonts w:hint="eastAsia" w:ascii="仿宋" w:hAnsi="仿宋" w:eastAsia="仿宋"/>
          <w:sz w:val="24"/>
          <w:szCs w:val="24"/>
          <w:u w:val="single"/>
        </w:rPr>
        <w:t>宁波市政府采购中心</w:t>
      </w:r>
      <w:r>
        <w:rPr>
          <w:rFonts w:hint="eastAsia" w:ascii="仿宋" w:hAnsi="仿宋" w:eastAsia="仿宋"/>
          <w:sz w:val="24"/>
          <w:szCs w:val="24"/>
        </w:rPr>
        <w:t>（以下简称招标人）</w:t>
      </w:r>
      <w:r>
        <w:rPr>
          <w:rFonts w:hint="eastAsia" w:ascii="仿宋" w:hAnsi="仿宋" w:eastAsia="仿宋"/>
          <w:sz w:val="24"/>
          <w:szCs w:val="24"/>
          <w:u w:val="single"/>
        </w:rPr>
        <w:t>XXX</w:t>
      </w:r>
      <w:r>
        <w:rPr>
          <w:rFonts w:hint="eastAsia" w:ascii="仿宋" w:hAnsi="仿宋" w:eastAsia="仿宋"/>
          <w:sz w:val="24"/>
          <w:szCs w:val="24"/>
        </w:rPr>
        <w:t>（项目名称）</w:t>
      </w:r>
      <w:r>
        <w:rPr>
          <w:rFonts w:hint="eastAsia" w:ascii="仿宋" w:hAnsi="仿宋" w:eastAsia="仿宋"/>
          <w:sz w:val="24"/>
          <w:szCs w:val="24"/>
          <w:u w:val="single"/>
        </w:rPr>
        <w:t>XX</w:t>
      </w:r>
      <w:r>
        <w:rPr>
          <w:rFonts w:hint="eastAsia" w:ascii="仿宋" w:hAnsi="仿宋" w:eastAsia="仿宋"/>
          <w:sz w:val="24"/>
          <w:szCs w:val="24"/>
        </w:rPr>
        <w:t>标包（以下简称合同）。现就联合体投标事宜订立如下协议：</w:t>
      </w:r>
    </w:p>
    <w:p>
      <w:pPr>
        <w:spacing w:line="400" w:lineRule="exact"/>
        <w:ind w:firstLine="410" w:firstLineChars="171"/>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u w:val="single"/>
        </w:rPr>
        <w:t>XXX</w:t>
      </w:r>
      <w:r>
        <w:rPr>
          <w:rFonts w:hint="eastAsia" w:ascii="仿宋" w:hAnsi="仿宋" w:eastAsia="仿宋"/>
          <w:sz w:val="24"/>
          <w:szCs w:val="24"/>
        </w:rPr>
        <w:t>（某成员单位名称）为</w:t>
      </w:r>
      <w:r>
        <w:rPr>
          <w:rFonts w:hint="eastAsia" w:ascii="仿宋" w:hAnsi="仿宋" w:eastAsia="仿宋"/>
          <w:sz w:val="24"/>
          <w:szCs w:val="24"/>
          <w:u w:val="single"/>
        </w:rPr>
        <w:t>XXX</w:t>
      </w:r>
      <w:r>
        <w:rPr>
          <w:rFonts w:hint="eastAsia" w:ascii="仿宋" w:hAnsi="仿宋" w:eastAsia="仿宋"/>
          <w:sz w:val="24"/>
          <w:szCs w:val="24"/>
        </w:rPr>
        <w:t>（联合体名称）牵头人。</w:t>
      </w:r>
    </w:p>
    <w:p>
      <w:pPr>
        <w:spacing w:line="400" w:lineRule="exact"/>
        <w:ind w:firstLine="410" w:firstLineChars="171"/>
        <w:rPr>
          <w:rFonts w:hint="eastAsia" w:ascii="仿宋" w:hAnsi="仿宋" w:eastAsia="仿宋"/>
          <w:sz w:val="24"/>
          <w:szCs w:val="24"/>
        </w:rPr>
      </w:pPr>
      <w:r>
        <w:rPr>
          <w:rFonts w:hint="eastAsia" w:ascii="仿宋" w:hAnsi="仿宋" w:eastAsia="仿宋"/>
          <w:sz w:val="24"/>
          <w:szCs w:val="24"/>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pPr>
        <w:spacing w:line="400" w:lineRule="exact"/>
        <w:ind w:firstLine="410" w:firstLineChars="171"/>
        <w:rPr>
          <w:rFonts w:hint="eastAsia" w:ascii="仿宋" w:hAnsi="仿宋" w:eastAsia="仿宋"/>
          <w:sz w:val="24"/>
          <w:szCs w:val="24"/>
        </w:rPr>
      </w:pPr>
      <w:r>
        <w:rPr>
          <w:rFonts w:hint="eastAsia" w:ascii="仿宋" w:hAnsi="仿宋" w:eastAsia="仿宋"/>
          <w:sz w:val="24"/>
          <w:szCs w:val="24"/>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pPr>
        <w:spacing w:line="400" w:lineRule="exact"/>
        <w:rPr>
          <w:rFonts w:hint="eastAsia" w:ascii="仿宋" w:hAnsi="仿宋" w:eastAsia="仿宋"/>
          <w:sz w:val="24"/>
          <w:szCs w:val="24"/>
        </w:rPr>
      </w:pPr>
      <w:r>
        <w:rPr>
          <w:rFonts w:hint="eastAsia" w:ascii="仿宋" w:hAnsi="仿宋" w:eastAsia="仿宋"/>
          <w:sz w:val="24"/>
          <w:szCs w:val="24"/>
        </w:rPr>
        <w:t>4、联合体各成员单位内部的职责分工如下：</w:t>
      </w:r>
      <w:r>
        <w:rPr>
          <w:rFonts w:hint="eastAsia" w:ascii="仿宋" w:hAnsi="仿宋" w:eastAsia="仿宋"/>
          <w:sz w:val="24"/>
          <w:szCs w:val="24"/>
          <w:u w:val="single"/>
        </w:rPr>
        <w:t>XXXX</w:t>
      </w:r>
      <w:r>
        <w:rPr>
          <w:rFonts w:hint="eastAsia" w:ascii="仿宋" w:hAnsi="仿宋" w:eastAsia="仿宋"/>
          <w:sz w:val="24"/>
          <w:szCs w:val="24"/>
        </w:rPr>
        <w:t>。</w:t>
      </w:r>
    </w:p>
    <w:p>
      <w:pPr>
        <w:spacing w:line="400" w:lineRule="exact"/>
        <w:rPr>
          <w:rFonts w:hint="eastAsia" w:ascii="仿宋" w:hAnsi="仿宋" w:eastAsia="仿宋"/>
          <w:sz w:val="24"/>
          <w:szCs w:val="24"/>
        </w:rPr>
      </w:pPr>
      <w:r>
        <w:rPr>
          <w:rFonts w:hint="eastAsia" w:ascii="仿宋" w:hAnsi="仿宋" w:eastAsia="仿宋"/>
          <w:sz w:val="24"/>
          <w:szCs w:val="24"/>
        </w:rPr>
        <w:t>按照本条上述分工，联合体成员单位各自所承担的合同工作量比例如下：</w:t>
      </w:r>
      <w:r>
        <w:rPr>
          <w:rFonts w:hint="eastAsia" w:ascii="仿宋" w:hAnsi="仿宋" w:eastAsia="仿宋"/>
          <w:sz w:val="24"/>
          <w:szCs w:val="24"/>
          <w:u w:val="single"/>
        </w:rPr>
        <w:t>XXX</w:t>
      </w:r>
      <w:r>
        <w:rPr>
          <w:rFonts w:hint="eastAsia" w:ascii="仿宋" w:hAnsi="仿宋" w:eastAsia="仿宋"/>
          <w:sz w:val="24"/>
          <w:szCs w:val="24"/>
        </w:rPr>
        <w:t>。</w:t>
      </w:r>
    </w:p>
    <w:p>
      <w:pPr>
        <w:spacing w:line="400" w:lineRule="exact"/>
        <w:ind w:firstLine="384" w:firstLineChars="160"/>
        <w:rPr>
          <w:rFonts w:hint="eastAsia" w:ascii="仿宋" w:hAnsi="仿宋" w:eastAsia="仿宋"/>
          <w:sz w:val="24"/>
          <w:szCs w:val="24"/>
        </w:rPr>
      </w:pPr>
      <w:r>
        <w:rPr>
          <w:rFonts w:hint="eastAsia" w:ascii="仿宋" w:hAnsi="仿宋" w:eastAsia="仿宋"/>
          <w:sz w:val="24"/>
          <w:szCs w:val="24"/>
        </w:rPr>
        <w:t>5、资格预审和投标工作以及联合体在中标后项目实施过程中的有关费用按各自承担的工作量分摊。</w:t>
      </w:r>
    </w:p>
    <w:p>
      <w:pPr>
        <w:spacing w:line="400" w:lineRule="exact"/>
        <w:ind w:firstLine="384" w:firstLineChars="160"/>
        <w:rPr>
          <w:rFonts w:hint="eastAsia" w:ascii="仿宋" w:hAnsi="仿宋" w:eastAsia="仿宋"/>
          <w:sz w:val="24"/>
          <w:szCs w:val="24"/>
        </w:rPr>
      </w:pPr>
      <w:r>
        <w:rPr>
          <w:rFonts w:hint="eastAsia" w:ascii="仿宋" w:hAnsi="仿宋" w:eastAsia="仿宋"/>
          <w:sz w:val="24"/>
          <w:szCs w:val="24"/>
        </w:rPr>
        <w:t>6、联合体中标后，本联合体协议是合同的附件，对联合体各成员单位有合同约束力。</w:t>
      </w:r>
    </w:p>
    <w:p>
      <w:pPr>
        <w:spacing w:line="400" w:lineRule="exact"/>
        <w:ind w:firstLine="384" w:firstLineChars="160"/>
        <w:rPr>
          <w:rFonts w:hint="eastAsia" w:ascii="仿宋" w:hAnsi="仿宋" w:eastAsia="仿宋"/>
          <w:sz w:val="24"/>
          <w:szCs w:val="24"/>
        </w:rPr>
      </w:pPr>
      <w:r>
        <w:rPr>
          <w:rFonts w:hint="eastAsia" w:ascii="仿宋" w:hAnsi="仿宋" w:eastAsia="仿宋"/>
          <w:sz w:val="24"/>
          <w:szCs w:val="24"/>
        </w:rPr>
        <w:t>7、本协议书自签署之日起生效，联合体未通过资格预审、未中标或者中标时合同履行完毕后自动失效。</w:t>
      </w:r>
    </w:p>
    <w:p>
      <w:pPr>
        <w:spacing w:line="400" w:lineRule="exact"/>
        <w:ind w:firstLine="384" w:firstLineChars="160"/>
        <w:rPr>
          <w:rFonts w:hint="eastAsia" w:ascii="仿宋" w:hAnsi="仿宋" w:eastAsia="仿宋"/>
          <w:sz w:val="24"/>
          <w:szCs w:val="24"/>
        </w:rPr>
      </w:pPr>
      <w:r>
        <w:rPr>
          <w:rFonts w:hint="eastAsia" w:ascii="仿宋" w:hAnsi="仿宋" w:eastAsia="仿宋"/>
          <w:sz w:val="24"/>
          <w:szCs w:val="24"/>
        </w:rPr>
        <w:t>8、本协议书一式</w:t>
      </w:r>
      <w:r>
        <w:rPr>
          <w:rFonts w:hint="eastAsia" w:ascii="仿宋" w:hAnsi="仿宋" w:eastAsia="仿宋"/>
          <w:sz w:val="24"/>
          <w:szCs w:val="24"/>
          <w:u w:val="single"/>
        </w:rPr>
        <w:t>XXX</w:t>
      </w:r>
      <w:r>
        <w:rPr>
          <w:rFonts w:hint="eastAsia" w:ascii="仿宋" w:hAnsi="仿宋" w:eastAsia="仿宋"/>
          <w:sz w:val="24"/>
          <w:szCs w:val="24"/>
        </w:rPr>
        <w:t>份，联合体成员和招标人各执一份。</w:t>
      </w:r>
    </w:p>
    <w:p>
      <w:pPr>
        <w:spacing w:line="400" w:lineRule="exact"/>
        <w:ind w:firstLine="3038" w:firstLineChars="1266"/>
        <w:rPr>
          <w:rFonts w:hint="eastAsia" w:ascii="仿宋" w:hAnsi="仿宋" w:eastAsia="仿宋"/>
          <w:sz w:val="24"/>
          <w:szCs w:val="24"/>
        </w:rPr>
      </w:pPr>
      <w:r>
        <w:rPr>
          <w:rFonts w:hint="eastAsia" w:ascii="仿宋" w:hAnsi="仿宋" w:eastAsia="仿宋"/>
          <w:sz w:val="24"/>
          <w:szCs w:val="24"/>
        </w:rPr>
        <w:t>牵头人名称：</w:t>
      </w:r>
      <w:r>
        <w:rPr>
          <w:rFonts w:hint="eastAsia" w:ascii="仿宋" w:hAnsi="仿宋" w:eastAsia="仿宋"/>
          <w:sz w:val="24"/>
          <w:szCs w:val="24"/>
          <w:u w:val="single"/>
        </w:rPr>
        <w:t xml:space="preserve">                  </w:t>
      </w:r>
      <w:r>
        <w:rPr>
          <w:rFonts w:hint="eastAsia" w:ascii="仿宋" w:hAnsi="仿宋" w:eastAsia="仿宋"/>
          <w:sz w:val="24"/>
          <w:szCs w:val="24"/>
        </w:rPr>
        <w:t>（盖单位章）</w:t>
      </w:r>
    </w:p>
    <w:p>
      <w:pPr>
        <w:spacing w:line="400" w:lineRule="exact"/>
        <w:ind w:firstLine="3038" w:firstLineChars="1266"/>
        <w:rPr>
          <w:rFonts w:hint="eastAsia" w:ascii="仿宋" w:hAnsi="仿宋" w:eastAsia="仿宋"/>
          <w:sz w:val="24"/>
          <w:szCs w:val="24"/>
        </w:rPr>
      </w:pPr>
      <w:r>
        <w:rPr>
          <w:rFonts w:hint="eastAsia" w:ascii="仿宋" w:hAnsi="仿宋" w:eastAsia="仿宋"/>
          <w:sz w:val="24"/>
          <w:szCs w:val="24"/>
        </w:rPr>
        <w:t>成员1名称：</w:t>
      </w:r>
      <w:r>
        <w:rPr>
          <w:rFonts w:hint="eastAsia" w:ascii="仿宋" w:hAnsi="仿宋" w:eastAsia="仿宋"/>
          <w:sz w:val="24"/>
          <w:szCs w:val="24"/>
          <w:u w:val="single"/>
        </w:rPr>
        <w:t xml:space="preserve">                  </w:t>
      </w:r>
      <w:r>
        <w:rPr>
          <w:rFonts w:hint="eastAsia" w:ascii="仿宋" w:hAnsi="仿宋" w:eastAsia="仿宋"/>
          <w:sz w:val="24"/>
          <w:szCs w:val="24"/>
        </w:rPr>
        <w:t>（盖单位章）</w:t>
      </w:r>
    </w:p>
    <w:p>
      <w:pPr>
        <w:spacing w:line="400" w:lineRule="exact"/>
        <w:ind w:firstLine="3038" w:firstLineChars="1266"/>
        <w:rPr>
          <w:rFonts w:hint="eastAsia" w:ascii="仿宋" w:hAnsi="仿宋" w:eastAsia="仿宋"/>
          <w:sz w:val="24"/>
          <w:szCs w:val="24"/>
        </w:rPr>
      </w:pPr>
      <w:r>
        <w:rPr>
          <w:rFonts w:hint="eastAsia" w:ascii="仿宋" w:hAnsi="仿宋" w:eastAsia="仿宋"/>
          <w:sz w:val="24"/>
          <w:szCs w:val="24"/>
        </w:rPr>
        <w:t>……</w:t>
      </w:r>
    </w:p>
    <w:p>
      <w:pPr>
        <w:wordWrap w:val="0"/>
        <w:spacing w:line="400" w:lineRule="exact"/>
        <w:jc w:val="right"/>
        <w:rPr>
          <w:rFonts w:hint="eastAsia" w:ascii="仿宋" w:hAnsi="仿宋" w:eastAsia="仿宋"/>
          <w:sz w:val="24"/>
        </w:rPr>
      </w:pP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 xml:space="preserve">日    </w:t>
      </w:r>
      <w:r>
        <w:rPr>
          <w:rFonts w:hint="eastAsia" w:ascii="仿宋" w:hAnsi="仿宋" w:eastAsia="仿宋"/>
          <w:sz w:val="24"/>
        </w:rPr>
        <w:t xml:space="preserve">           </w:t>
      </w:r>
    </w:p>
    <w:p>
      <w:pPr>
        <w:spacing w:line="500" w:lineRule="exact"/>
        <w:jc w:val="center"/>
        <w:rPr>
          <w:rFonts w:hint="eastAsia" w:ascii="仿宋_GB2312" w:eastAsia="仿宋_GB2312"/>
          <w:b/>
          <w:sz w:val="32"/>
          <w:szCs w:val="32"/>
        </w:rPr>
      </w:pPr>
      <w:r>
        <w:rPr>
          <w:rFonts w:ascii="Arial" w:hAnsi="Arial" w:eastAsia="仿宋_GB2312"/>
          <w:sz w:val="28"/>
        </w:rPr>
        <w:br w:type="page"/>
      </w:r>
      <w:r>
        <w:rPr>
          <w:rFonts w:hint="eastAsia" w:ascii="仿宋_GB2312" w:eastAsia="仿宋_GB2312"/>
          <w:b/>
          <w:sz w:val="32"/>
          <w:szCs w:val="32"/>
        </w:rPr>
        <w:t>11、其他资格证明资料</w:t>
      </w:r>
    </w:p>
    <w:p>
      <w:pPr>
        <w:spacing w:line="400" w:lineRule="exact"/>
        <w:jc w:val="center"/>
        <w:rPr>
          <w:rFonts w:hint="eastAsia" w:eastAsia="仿宋_GB2312"/>
          <w:b/>
          <w:bCs/>
          <w:sz w:val="32"/>
          <w:szCs w:val="32"/>
          <w:lang w:val="zh-CN"/>
        </w:rPr>
      </w:pPr>
      <w:r>
        <w:rPr>
          <w:rFonts w:hint="eastAsia" w:ascii="仿宋_GB2312" w:eastAsia="仿宋_GB2312"/>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b/>
          <w:sz w:val="32"/>
          <w:szCs w:val="32"/>
        </w:rPr>
        <w:t>第七部分 其他文件格式</w:t>
      </w:r>
    </w:p>
    <w:p>
      <w:pPr>
        <w:spacing w:line="500" w:lineRule="exact"/>
        <w:jc w:val="center"/>
        <w:rPr>
          <w:rFonts w:hint="eastAsia" w:ascii="仿宋_GB2312" w:eastAsia="仿宋_GB2312"/>
          <w:b/>
          <w:sz w:val="32"/>
          <w:szCs w:val="32"/>
        </w:rPr>
      </w:pPr>
      <w:r>
        <w:rPr>
          <w:rFonts w:hint="eastAsia" w:ascii="仿宋_GB2312" w:eastAsia="仿宋_GB2312"/>
          <w:b/>
          <w:sz w:val="32"/>
          <w:szCs w:val="32"/>
        </w:rPr>
        <w:t>履约保证金保函</w:t>
      </w:r>
    </w:p>
    <w:p>
      <w:pPr>
        <w:spacing w:line="500" w:lineRule="exact"/>
        <w:jc w:val="center"/>
        <w:rPr>
          <w:rFonts w:hint="eastAsia" w:eastAsia="楷体_GB2312"/>
          <w:b/>
        </w:rPr>
      </w:pPr>
      <w:r>
        <w:rPr>
          <w:rFonts w:hint="eastAsia" w:eastAsia="楷体_GB2312"/>
          <w:b/>
        </w:rPr>
        <w:t>（若采用保函的，在中标后开具提交采购人）</w:t>
      </w:r>
    </w:p>
    <w:p>
      <w:pPr>
        <w:spacing w:line="500" w:lineRule="exact"/>
        <w:rPr>
          <w:rFonts w:hint="eastAsia"/>
        </w:rPr>
      </w:pPr>
    </w:p>
    <w:p>
      <w:pPr>
        <w:spacing w:line="50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p>
    <w:p>
      <w:pPr>
        <w:spacing w:line="500" w:lineRule="exact"/>
        <w:ind w:firstLine="630"/>
        <w:rPr>
          <w:rFonts w:hint="eastAsia"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pPr>
        <w:spacing w:line="500" w:lineRule="exact"/>
        <w:rPr>
          <w:rFonts w:hint="eastAsia"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pPr>
        <w:spacing w:line="500" w:lineRule="exact"/>
        <w:ind w:firstLine="630"/>
        <w:rPr>
          <w:rFonts w:hint="eastAsia"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pPr>
        <w:spacing w:line="500" w:lineRule="exact"/>
        <w:ind w:firstLine="630"/>
        <w:rPr>
          <w:rFonts w:hint="eastAsia" w:ascii="宋体" w:hAnsi="宋体"/>
          <w:sz w:val="24"/>
          <w:szCs w:val="24"/>
        </w:rPr>
      </w:pPr>
      <w:r>
        <w:rPr>
          <w:rFonts w:hint="eastAsia" w:ascii="宋体" w:hAnsi="宋体"/>
          <w:sz w:val="24"/>
          <w:szCs w:val="24"/>
        </w:rPr>
        <w:t>本保函的有效期为自开出之日起，至合同履约结束之日止。</w:t>
      </w: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 xml:space="preserve">银行全称： </w:t>
      </w:r>
    </w:p>
    <w:p>
      <w:pPr>
        <w:spacing w:line="500" w:lineRule="exact"/>
        <w:rPr>
          <w:rFonts w:hint="eastAsia" w:ascii="宋体" w:hAnsi="宋体"/>
          <w:sz w:val="24"/>
          <w:szCs w:val="24"/>
        </w:rPr>
      </w:pPr>
      <w:r>
        <w:rPr>
          <w:rFonts w:hint="eastAsia" w:ascii="宋体" w:hAnsi="宋体"/>
          <w:sz w:val="24"/>
          <w:szCs w:val="24"/>
        </w:rPr>
        <w:t xml:space="preserve">（盖章） </w:t>
      </w: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 xml:space="preserve">开具人（签字）： </w:t>
      </w:r>
    </w:p>
    <w:p>
      <w:pPr>
        <w:spacing w:line="500" w:lineRule="exact"/>
        <w:rPr>
          <w:rFonts w:hint="eastAsia" w:ascii="宋体" w:hAnsi="宋体"/>
          <w:sz w:val="24"/>
          <w:szCs w:val="24"/>
        </w:rPr>
      </w:pPr>
      <w:r>
        <w:rPr>
          <w:rFonts w:hint="eastAsia" w:ascii="宋体" w:hAnsi="宋体"/>
          <w:sz w:val="24"/>
          <w:szCs w:val="24"/>
        </w:rPr>
        <w:t xml:space="preserve">职务： </w:t>
      </w:r>
    </w:p>
    <w:p>
      <w:pPr>
        <w:spacing w:line="500" w:lineRule="exact"/>
        <w:rPr>
          <w:rFonts w:hint="eastAsia" w:ascii="宋体" w:hAnsi="宋体"/>
          <w:sz w:val="24"/>
          <w:szCs w:val="24"/>
        </w:rPr>
      </w:pPr>
      <w:r>
        <w:rPr>
          <w:rFonts w:hint="eastAsia" w:ascii="宋体" w:hAnsi="宋体"/>
          <w:sz w:val="24"/>
          <w:szCs w:val="24"/>
        </w:rPr>
        <w:t>日期：</w:t>
      </w:r>
    </w:p>
    <w:p>
      <w:pPr>
        <w:pStyle w:val="16"/>
        <w:spacing w:line="360" w:lineRule="auto"/>
        <w:jc w:val="center"/>
        <w:rPr>
          <w:rFonts w:hint="eastAsia" w:ascii="仿宋_GB2312" w:eastAsia="仿宋_GB2312"/>
          <w:b/>
          <w:sz w:val="32"/>
          <w:szCs w:val="32"/>
        </w:rPr>
      </w:pPr>
      <w:r>
        <w:br w:type="page"/>
      </w:r>
      <w:r>
        <w:rPr>
          <w:rFonts w:hint="eastAsia" w:ascii="仿宋_GB2312" w:eastAsia="仿宋_GB2312"/>
          <w:b/>
          <w:sz w:val="32"/>
          <w:szCs w:val="32"/>
        </w:rPr>
        <w:t>保证金退还申请表</w:t>
      </w:r>
    </w:p>
    <w:p>
      <w:pPr>
        <w:pStyle w:val="16"/>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p>
    <w:p>
      <w:pPr>
        <w:spacing w:line="360" w:lineRule="auto"/>
        <w:ind w:firstLine="648" w:firstLineChars="270"/>
        <w:rPr>
          <w:rFonts w:ascii="宋体" w:hAnsi="宋体"/>
          <w:sz w:val="24"/>
          <w:szCs w:val="24"/>
        </w:rPr>
      </w:pPr>
      <w:r>
        <w:rPr>
          <w:rFonts w:hint="eastAsia" w:ascii="宋体" w:hAnsi="宋体"/>
          <w:sz w:val="24"/>
          <w:szCs w:val="24"/>
        </w:rPr>
        <w:t>我方为</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）投标所提交的保证金人民币大写</w:t>
      </w:r>
      <w:r>
        <w:rPr>
          <w:rFonts w:hint="eastAsia" w:ascii="宋体" w:hAnsi="宋体"/>
          <w:sz w:val="24"/>
          <w:szCs w:val="24"/>
          <w:u w:val="single"/>
        </w:rPr>
        <w:t xml:space="preserve">         </w:t>
      </w:r>
      <w:r>
        <w:rPr>
          <w:rFonts w:hint="eastAsia" w:ascii="宋体" w:hAnsi="宋体"/>
          <w:sz w:val="24"/>
          <w:szCs w:val="24"/>
        </w:rPr>
        <w:t>元，请贵单位退还时转账到下列账户：</w:t>
      </w:r>
    </w:p>
    <w:p>
      <w:pPr>
        <w:pStyle w:val="5"/>
        <w:ind w:firstLine="480"/>
        <w:rPr>
          <w:rFonts w:ascii="宋体" w:hAnsi="宋体"/>
          <w:szCs w:val="24"/>
        </w:rPr>
      </w:pPr>
      <w:r>
        <w:rPr>
          <w:rFonts w:hint="eastAsia" w:ascii="宋体" w:hAnsi="宋体"/>
          <w:szCs w:val="24"/>
        </w:rPr>
        <w:t>收款单位：</w:t>
      </w:r>
    </w:p>
    <w:p>
      <w:pPr>
        <w:pStyle w:val="5"/>
        <w:ind w:firstLine="480"/>
        <w:rPr>
          <w:rFonts w:ascii="宋体" w:hAnsi="宋体"/>
          <w:szCs w:val="24"/>
        </w:rPr>
      </w:pPr>
      <w:r>
        <w:rPr>
          <w:rFonts w:hint="eastAsia" w:ascii="宋体" w:hAnsi="宋体"/>
          <w:szCs w:val="24"/>
        </w:rPr>
        <w:t>开户银行：                              账    号：</w:t>
      </w:r>
    </w:p>
    <w:p>
      <w:pPr>
        <w:pStyle w:val="5"/>
        <w:ind w:firstLine="480"/>
        <w:rPr>
          <w:rFonts w:ascii="宋体" w:hAnsi="宋体"/>
          <w:szCs w:val="24"/>
        </w:rPr>
      </w:pPr>
      <w:r>
        <w:rPr>
          <w:rFonts w:hint="eastAsia" w:ascii="宋体" w:hAnsi="宋体"/>
          <w:szCs w:val="24"/>
        </w:rPr>
        <w:t>联 系 人：                              联系电话：</w:t>
      </w:r>
    </w:p>
    <w:p>
      <w:pPr>
        <w:pStyle w:val="5"/>
        <w:ind w:firstLine="480"/>
        <w:rPr>
          <w:rFonts w:ascii="宋体" w:hAnsi="宋体"/>
          <w:szCs w:val="24"/>
        </w:rPr>
      </w:pPr>
      <w:r>
        <w:rPr>
          <w:rFonts w:hint="eastAsia" w:ascii="宋体" w:hAnsi="宋体"/>
          <w:szCs w:val="24"/>
        </w:rPr>
        <w:t xml:space="preserve"> </w:t>
      </w:r>
    </w:p>
    <w:p>
      <w:pPr>
        <w:spacing w:line="240" w:lineRule="atLeast"/>
        <w:ind w:right="-960"/>
        <w:rPr>
          <w:rFonts w:hint="eastAsia" w:ascii="宋体" w:hAnsi="宋体"/>
          <w:sz w:val="24"/>
          <w:szCs w:val="24"/>
        </w:rPr>
      </w:pPr>
      <w:r>
        <w:rPr>
          <w:rFonts w:hint="eastAsia" w:ascii="宋体" w:hAnsi="宋体"/>
          <w:sz w:val="24"/>
          <w:szCs w:val="24"/>
        </w:rPr>
        <w:t xml:space="preserve">投标单位（加盖公章）：               </w:t>
      </w:r>
    </w:p>
    <w:p>
      <w:pPr>
        <w:spacing w:line="240" w:lineRule="atLeast"/>
        <w:ind w:right="-960"/>
        <w:rPr>
          <w:rFonts w:hint="eastAsia" w:ascii="宋体" w:hAnsi="宋体"/>
          <w:sz w:val="24"/>
          <w:szCs w:val="24"/>
        </w:rPr>
      </w:pPr>
    </w:p>
    <w:p>
      <w:pPr>
        <w:spacing w:line="240" w:lineRule="atLeast"/>
        <w:ind w:left="-199" w:leftChars="-95" w:right="-960" w:firstLine="1440" w:firstLineChars="600"/>
        <w:rPr>
          <w:rFonts w:hint="eastAsia" w:ascii="宋体" w:hAnsi="宋体"/>
          <w:sz w:val="24"/>
          <w:szCs w:val="24"/>
        </w:rPr>
      </w:pPr>
    </w:p>
    <w:p>
      <w:pPr>
        <w:spacing w:line="240" w:lineRule="atLeast"/>
        <w:ind w:right="-960"/>
        <w:rPr>
          <w:rFonts w:hint="eastAsia" w:ascii="ˎ̥" w:hAnsi="ˎ̥"/>
        </w:rPr>
      </w:pPr>
      <w:r>
        <w:rPr>
          <w:rFonts w:hint="eastAsia"/>
        </w:rPr>
        <w:t>日  期：</w:t>
      </w:r>
    </w:p>
    <w:p>
      <w:pPr>
        <w:tabs>
          <w:tab w:val="left" w:pos="845"/>
        </w:tabs>
        <w:spacing w:line="360" w:lineRule="auto"/>
        <w:ind w:firstLine="210" w:firstLineChars="100"/>
      </w:pPr>
    </w:p>
    <w:p>
      <w:pPr>
        <w:tabs>
          <w:tab w:val="left" w:pos="845"/>
        </w:tabs>
        <w:spacing w:line="360" w:lineRule="auto"/>
        <w:ind w:firstLine="210" w:firstLineChars="100"/>
      </w:pPr>
    </w:p>
    <w:p>
      <w:pPr>
        <w:autoSpaceDE w:val="0"/>
        <w:autoSpaceDN w:val="0"/>
        <w:adjustRightInd w:val="0"/>
        <w:spacing w:line="360" w:lineRule="auto"/>
        <w:jc w:val="center"/>
        <w:rPr>
          <w:rFonts w:hint="eastAsia" w:eastAsia="仿宋_GB2312"/>
          <w:b/>
          <w:bCs/>
          <w:sz w:val="32"/>
          <w:lang w:val="zh-CN"/>
        </w:rPr>
      </w:pPr>
      <w:r>
        <w:rPr>
          <w:rFonts w:hint="eastAsia"/>
        </w:rPr>
        <w:t>注：1、申请表高度原则上不超过10.5cm；2、原保证金打款凭证复印件附上。</w:t>
      </w:r>
      <w:r>
        <w:br w:type="page"/>
      </w:r>
      <w:r>
        <w:rPr>
          <w:rFonts w:hint="eastAsia" w:eastAsia="仿宋_GB2312"/>
          <w:b/>
          <w:bCs/>
          <w:sz w:val="32"/>
          <w:lang w:val="zh-CN"/>
        </w:rPr>
        <w:t>供应商参加开标（答辩）人员名单</w:t>
      </w:r>
    </w:p>
    <w:p>
      <w:pPr>
        <w:autoSpaceDE w:val="0"/>
        <w:autoSpaceDN w:val="0"/>
        <w:adjustRightInd w:val="0"/>
        <w:spacing w:line="360" w:lineRule="auto"/>
        <w:jc w:val="left"/>
        <w:rPr>
          <w:rFonts w:hint="eastAsia"/>
          <w:lang w:val="zh-CN"/>
        </w:rPr>
      </w:pPr>
    </w:p>
    <w:p>
      <w:pPr>
        <w:autoSpaceDE w:val="0"/>
        <w:autoSpaceDN w:val="0"/>
        <w:adjustRightInd w:val="0"/>
        <w:spacing w:line="360" w:lineRule="auto"/>
        <w:jc w:val="left"/>
        <w:rPr>
          <w:rFonts w:hint="eastAsia"/>
          <w:sz w:val="28"/>
          <w:lang w:val="zh-CN"/>
        </w:rPr>
      </w:pPr>
    </w:p>
    <w:tbl>
      <w:tblPr>
        <w:tblStyle w:val="23"/>
        <w:tblW w:w="0" w:type="auto"/>
        <w:tblInd w:w="0" w:type="dxa"/>
        <w:tblLayout w:type="fixed"/>
        <w:tblCellMar>
          <w:top w:w="0" w:type="dxa"/>
          <w:left w:w="0" w:type="dxa"/>
          <w:bottom w:w="0" w:type="dxa"/>
          <w:right w:w="0" w:type="dxa"/>
        </w:tblCellMar>
      </w:tblPr>
      <w:tblGrid>
        <w:gridCol w:w="1710"/>
        <w:gridCol w:w="3280"/>
        <w:gridCol w:w="1580"/>
        <w:gridCol w:w="2860"/>
      </w:tblGrid>
      <w:tr>
        <w:tblPrEx>
          <w:tblCellMar>
            <w:top w:w="0" w:type="dxa"/>
            <w:left w:w="0" w:type="dxa"/>
            <w:bottom w:w="0" w:type="dxa"/>
            <w:right w:w="0" w:type="dxa"/>
          </w:tblCellMar>
        </w:tblPrEx>
        <w:trPr>
          <w:wBefore w:w="0" w:type="dxa"/>
          <w:wAfter w:w="0" w:type="dxa"/>
          <w:trHeight w:val="810" w:hRule="atLeast"/>
        </w:trPr>
        <w:tc>
          <w:tcPr>
            <w:tcW w:w="17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采购编号</w:t>
            </w:r>
          </w:p>
        </w:tc>
        <w:tc>
          <w:tcPr>
            <w:tcW w:w="32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sz w:val="28"/>
                <w:szCs w:val="28"/>
              </w:rPr>
            </w:pPr>
            <w:r>
              <w:rPr>
                <w:sz w:val="28"/>
                <w:szCs w:val="28"/>
              </w:rPr>
              <w:t>NBZFCG</w:t>
            </w:r>
            <w:r>
              <w:rPr>
                <w:rFonts w:hint="eastAsia"/>
                <w:sz w:val="28"/>
                <w:szCs w:val="28"/>
              </w:rPr>
              <w:t>20XXXXXG</w:t>
            </w:r>
          </w:p>
        </w:tc>
        <w:tc>
          <w:tcPr>
            <w:tcW w:w="15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标包</w:t>
            </w:r>
          </w:p>
        </w:tc>
        <w:tc>
          <w:tcPr>
            <w:tcW w:w="28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r>
              <w:rPr>
                <w:rFonts w:hint="eastAsia" w:ascii="宋体" w:hAnsi="宋体"/>
                <w:sz w:val="28"/>
                <w:szCs w:val="28"/>
              </w:rPr>
              <w:t>项目名称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28"/>
                <w:szCs w:val="28"/>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投标商名称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Arial Unicode MS"/>
                <w:sz w:val="28"/>
                <w:szCs w:val="28"/>
              </w:rPr>
            </w:pPr>
            <w:r>
              <w:rPr>
                <w:rFonts w:hint="eastAsia" w:ascii="宋体" w:hAnsi="宋体"/>
                <w:sz w:val="28"/>
                <w:szCs w:val="28"/>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授权代表姓名</w:t>
            </w:r>
          </w:p>
        </w:tc>
        <w:tc>
          <w:tcPr>
            <w:tcW w:w="3280" w:type="dxa"/>
            <w:tcBorders>
              <w:top w:val="nil"/>
              <w:left w:val="nil"/>
              <w:bottom w:val="single" w:color="auto" w:sz="4" w:space="0"/>
              <w:right w:val="nil"/>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c>
          <w:tcPr>
            <w:tcW w:w="15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8"/>
                <w:szCs w:val="28"/>
              </w:rPr>
            </w:pPr>
            <w:r>
              <w:rPr>
                <w:rFonts w:hint="eastAsia" w:ascii="宋体" w:hAnsi="宋体" w:cs="Arial Unicode MS"/>
                <w:sz w:val="28"/>
                <w:szCs w:val="28"/>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sz w:val="28"/>
                <w:szCs w:val="28"/>
              </w:rPr>
            </w:pPr>
            <w:r>
              <w:rPr>
                <w:rFonts w:hint="eastAsia" w:ascii="宋体" w:hAnsi="宋体"/>
                <w:sz w:val="28"/>
                <w:szCs w:val="28"/>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8"/>
                <w:szCs w:val="28"/>
              </w:rPr>
            </w:pPr>
            <w:r>
              <w:rPr>
                <w:rFonts w:hint="eastAsia" w:ascii="宋体" w:hAnsi="宋体" w:cs="Arial Unicode MS"/>
                <w:sz w:val="28"/>
                <w:szCs w:val="28"/>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8"/>
                <w:szCs w:val="28"/>
              </w:rPr>
            </w:pPr>
            <w:r>
              <w:rPr>
                <w:rFonts w:hint="eastAsia" w:ascii="宋体" w:hAnsi="宋体" w:cs="Arial Unicode MS"/>
                <w:sz w:val="28"/>
                <w:szCs w:val="28"/>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cs="Arial Unicode MS"/>
                <w:sz w:val="28"/>
                <w:szCs w:val="28"/>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8"/>
                <w:szCs w:val="28"/>
              </w:rPr>
            </w:pPr>
            <w:r>
              <w:rPr>
                <w:rFonts w:hint="eastAsia" w:ascii="宋体" w:hAnsi="宋体" w:cs="Arial Unicode MS"/>
                <w:sz w:val="28"/>
                <w:szCs w:val="28"/>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8"/>
                <w:szCs w:val="28"/>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sz w:val="28"/>
                <w:szCs w:val="28"/>
              </w:rPr>
            </w:pPr>
            <w:r>
              <w:rPr>
                <w:rFonts w:hint="eastAsia" w:ascii="宋体" w:hAnsi="宋体"/>
                <w:sz w:val="28"/>
                <w:szCs w:val="28"/>
              </w:rPr>
              <w:t>　</w:t>
            </w:r>
          </w:p>
        </w:tc>
      </w:tr>
    </w:tbl>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pStyle w:val="14"/>
        <w:spacing w:after="120" w:line="520" w:lineRule="exact"/>
        <w:ind w:firstLine="0"/>
        <w:jc w:val="left"/>
        <w:rPr>
          <w:rFonts w:hint="eastAsia" w:ascii="宋体"/>
          <w:sz w:val="28"/>
        </w:rPr>
      </w:pPr>
      <w:r>
        <w:rPr>
          <w:rFonts w:hint="eastAsia" w:ascii="宋体"/>
          <w:sz w:val="28"/>
        </w:rPr>
        <w:t>投标单位全称（公章）：</w:t>
      </w:r>
    </w:p>
    <w:p>
      <w:pPr>
        <w:pStyle w:val="14"/>
        <w:spacing w:after="120" w:line="520" w:lineRule="exact"/>
        <w:ind w:firstLine="0"/>
        <w:jc w:val="left"/>
        <w:rPr>
          <w:rFonts w:hint="eastAsia" w:ascii="宋体"/>
          <w:sz w:val="28"/>
        </w:rPr>
      </w:pPr>
    </w:p>
    <w:p>
      <w:pPr>
        <w:pStyle w:val="14"/>
        <w:spacing w:after="120" w:line="520" w:lineRule="exact"/>
        <w:ind w:firstLine="0"/>
        <w:jc w:val="left"/>
        <w:rPr>
          <w:rFonts w:hint="eastAsia" w:ascii="宋体"/>
          <w:sz w:val="24"/>
        </w:rPr>
      </w:pPr>
      <w:r>
        <w:rPr>
          <w:rFonts w:hint="eastAsia" w:ascii="宋体"/>
          <w:sz w:val="28"/>
        </w:rPr>
        <w:t>日期：</w:t>
      </w:r>
    </w:p>
    <w:p>
      <w:pPr>
        <w:rPr>
          <w:rFonts w:hint="eastAsia"/>
        </w:rPr>
      </w:pPr>
    </w:p>
    <w:p>
      <w:pPr>
        <w:rPr>
          <w:rFonts w:hint="eastAsia"/>
        </w:rPr>
      </w:pPr>
    </w:p>
    <w:p>
      <w:pPr>
        <w:rPr>
          <w:rFonts w:hint="eastAsia"/>
        </w:rPr>
      </w:pPr>
      <w:r>
        <w:rPr>
          <w:rFonts w:hint="eastAsia"/>
        </w:rPr>
        <w:t>说明：供应商参加开标（答辩）的，本表在投标时提交投标文件接收工作人员。</w:t>
      </w:r>
    </w:p>
    <w:p>
      <w:pPr>
        <w:pStyle w:val="3"/>
        <w:jc w:val="center"/>
        <w:rPr>
          <w:b/>
          <w:kern w:val="2"/>
          <w:sz w:val="32"/>
          <w:szCs w:val="32"/>
        </w:rPr>
      </w:pPr>
      <w:r>
        <w:rPr>
          <w:i/>
          <w:iCs/>
          <w:sz w:val="32"/>
        </w:rPr>
        <w:br w:type="page"/>
      </w:r>
      <w:r>
        <w:rPr>
          <w:rFonts w:hint="eastAsia"/>
          <w:b/>
          <w:kern w:val="2"/>
          <w:sz w:val="32"/>
          <w:szCs w:val="32"/>
        </w:rPr>
        <w:t>政府采购履约情况反馈表</w:t>
      </w:r>
    </w:p>
    <w:p>
      <w:pPr>
        <w:spacing w:line="240" w:lineRule="atLeast"/>
        <w:rPr>
          <w:rFonts w:hint="eastAsia" w:ascii="宋体" w:hAnsi="宋体"/>
          <w:b/>
          <w:szCs w:val="21"/>
        </w:rPr>
      </w:pPr>
      <w:r>
        <w:rPr>
          <w:rFonts w:hint="eastAsia" w:ascii="宋体" w:hAnsi="宋体"/>
          <w:b/>
          <w:szCs w:val="21"/>
        </w:rPr>
        <w:t>采购人名称：                       联系人及电话：</w:t>
      </w:r>
    </w:p>
    <w:p>
      <w:pPr>
        <w:spacing w:line="60" w:lineRule="exact"/>
        <w:rPr>
          <w:rFonts w:hint="eastAsia" w:ascii="宋体" w:hAnsi="宋体"/>
          <w:b/>
          <w:szCs w:val="21"/>
        </w:rPr>
      </w:pP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0"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采购项目名称</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项目编号</w:t>
            </w:r>
          </w:p>
        </w:tc>
        <w:tc>
          <w:tcPr>
            <w:tcW w:w="2135" w:type="dxa"/>
            <w:noWrap w:val="0"/>
            <w:vAlign w:val="center"/>
          </w:tcPr>
          <w:p>
            <w:pPr>
              <w:spacing w:line="240" w:lineRule="atLeas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1"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中标供应商名称</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供应商</w:t>
            </w:r>
          </w:p>
          <w:p>
            <w:pPr>
              <w:spacing w:line="240" w:lineRule="atLeast"/>
              <w:jc w:val="center"/>
              <w:rPr>
                <w:rFonts w:hint="eastAsia" w:ascii="宋体" w:hAnsi="宋体"/>
                <w:szCs w:val="21"/>
              </w:rPr>
            </w:pPr>
            <w:r>
              <w:rPr>
                <w:rFonts w:hint="eastAsia" w:ascii="宋体" w:hAnsi="宋体"/>
                <w:szCs w:val="21"/>
              </w:rPr>
              <w:t>联系人及电话</w:t>
            </w:r>
          </w:p>
        </w:tc>
        <w:tc>
          <w:tcPr>
            <w:tcW w:w="2135" w:type="dxa"/>
            <w:noWrap w:val="0"/>
            <w:vAlign w:val="center"/>
          </w:tcPr>
          <w:p>
            <w:pPr>
              <w:spacing w:line="240" w:lineRule="atLeas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8"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中标金额</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合同履约时间</w:t>
            </w:r>
          </w:p>
        </w:tc>
        <w:tc>
          <w:tcPr>
            <w:tcW w:w="2135" w:type="dxa"/>
            <w:noWrap w:val="0"/>
            <w:vAlign w:val="center"/>
          </w:tcPr>
          <w:p>
            <w:pPr>
              <w:spacing w:line="240" w:lineRule="atLeast"/>
              <w:rPr>
                <w:rFonts w:hint="eastAsia"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4" w:hRule="atLeast"/>
          <w:jc w:val="center"/>
        </w:trPr>
        <w:tc>
          <w:tcPr>
            <w:tcW w:w="842" w:type="dxa"/>
            <w:vMerge w:val="restart"/>
            <w:noWrap w:val="0"/>
            <w:vAlign w:val="center"/>
          </w:tcPr>
          <w:p>
            <w:pPr>
              <w:spacing w:line="240" w:lineRule="atLeast"/>
              <w:jc w:val="center"/>
              <w:rPr>
                <w:rFonts w:hint="eastAsia" w:ascii="宋体" w:hAnsi="宋体"/>
                <w:b/>
                <w:szCs w:val="21"/>
              </w:rPr>
            </w:pPr>
            <w:r>
              <w:rPr>
                <w:rFonts w:hint="eastAsia" w:ascii="宋体" w:hAnsi="宋体"/>
                <w:b/>
                <w:szCs w:val="21"/>
              </w:rPr>
              <w:t>履约情况评价</w:t>
            </w:r>
          </w:p>
        </w:tc>
        <w:tc>
          <w:tcPr>
            <w:tcW w:w="1440" w:type="dxa"/>
            <w:gridSpan w:val="2"/>
            <w:tcBorders>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hint="eastAsia"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restart"/>
            <w:tcBorders>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质量方面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价格方面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服务方面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时间方面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环境保护</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27"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hint="eastAsia"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56" w:beforeLines="50" w:after="156" w:afterLines="50" w:line="240" w:lineRule="atLeast"/>
              <w:rPr>
                <w:rFonts w:hint="eastAsia"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616" w:hRule="atLeast"/>
          <w:jc w:val="center"/>
        </w:trPr>
        <w:tc>
          <w:tcPr>
            <w:tcW w:w="1562" w:type="dxa"/>
            <w:gridSpan w:val="2"/>
            <w:noWrap w:val="0"/>
            <w:vAlign w:val="center"/>
          </w:tcPr>
          <w:p>
            <w:pPr>
              <w:spacing w:line="240" w:lineRule="atLeast"/>
              <w:jc w:val="center"/>
              <w:rPr>
                <w:rFonts w:hint="eastAsia" w:ascii="宋体" w:hAnsi="宋体"/>
                <w:szCs w:val="21"/>
              </w:rPr>
            </w:pPr>
            <w:r>
              <w:rPr>
                <w:rFonts w:hint="eastAsia" w:ascii="宋体" w:hAnsi="宋体"/>
                <w:szCs w:val="21"/>
              </w:rPr>
              <w:t>具体情况说明</w:t>
            </w:r>
          </w:p>
        </w:tc>
        <w:tc>
          <w:tcPr>
            <w:tcW w:w="7355" w:type="dxa"/>
            <w:gridSpan w:val="4"/>
            <w:noWrap w:val="0"/>
            <w:vAlign w:val="top"/>
          </w:tcPr>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210" w:hRule="atLeast"/>
          <w:jc w:val="center"/>
        </w:trPr>
        <w:tc>
          <w:tcPr>
            <w:tcW w:w="1562" w:type="dxa"/>
            <w:gridSpan w:val="2"/>
            <w:noWrap w:val="0"/>
            <w:vAlign w:val="center"/>
          </w:tcPr>
          <w:p>
            <w:pPr>
              <w:spacing w:line="240" w:lineRule="atLeast"/>
              <w:jc w:val="center"/>
              <w:rPr>
                <w:rFonts w:hint="eastAsia" w:ascii="宋体" w:hAnsi="宋体"/>
                <w:szCs w:val="21"/>
              </w:rPr>
            </w:pPr>
            <w:r>
              <w:rPr>
                <w:rFonts w:hint="eastAsia" w:ascii="宋体" w:hAnsi="宋体"/>
                <w:szCs w:val="21"/>
              </w:rPr>
              <w:t>采购人意见</w:t>
            </w:r>
          </w:p>
          <w:p>
            <w:pPr>
              <w:spacing w:line="240" w:lineRule="atLeast"/>
              <w:jc w:val="center"/>
              <w:rPr>
                <w:rFonts w:hint="eastAsia" w:ascii="宋体" w:hAnsi="宋体"/>
                <w:szCs w:val="21"/>
              </w:rPr>
            </w:pPr>
            <w:r>
              <w:rPr>
                <w:rFonts w:hint="eastAsia" w:ascii="宋体" w:hAnsi="宋体"/>
                <w:szCs w:val="21"/>
              </w:rPr>
              <w:t>（公章）</w:t>
            </w:r>
          </w:p>
        </w:tc>
        <w:tc>
          <w:tcPr>
            <w:tcW w:w="7355" w:type="dxa"/>
            <w:gridSpan w:val="4"/>
            <w:noWrap w:val="0"/>
            <w:vAlign w:val="center"/>
          </w:tcPr>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r>
              <w:rPr>
                <w:rFonts w:hint="eastAsia" w:ascii="宋体" w:hAnsi="宋体"/>
                <w:szCs w:val="21"/>
              </w:rPr>
              <w:t xml:space="preserve">                                        </w:t>
            </w:r>
          </w:p>
          <w:p>
            <w:pPr>
              <w:spacing w:line="240" w:lineRule="atLeast"/>
              <w:ind w:firstLine="3780" w:firstLineChars="1800"/>
              <w:rPr>
                <w:rFonts w:hint="eastAsia" w:ascii="宋体" w:hAnsi="宋体"/>
                <w:szCs w:val="21"/>
              </w:rPr>
            </w:pPr>
          </w:p>
          <w:p>
            <w:pPr>
              <w:spacing w:line="240" w:lineRule="atLeast"/>
              <w:ind w:firstLine="3780" w:firstLineChars="1800"/>
              <w:rPr>
                <w:rFonts w:hint="eastAsia" w:ascii="宋体" w:hAnsi="宋体"/>
                <w:szCs w:val="21"/>
              </w:rPr>
            </w:pPr>
            <w:r>
              <w:rPr>
                <w:rFonts w:hint="eastAsia" w:ascii="宋体" w:hAnsi="宋体"/>
                <w:szCs w:val="21"/>
              </w:rPr>
              <w:t>日期：   年   月   日</w:t>
            </w:r>
          </w:p>
        </w:tc>
      </w:tr>
    </w:tbl>
    <w:p>
      <w:pPr>
        <w:spacing w:line="240" w:lineRule="atLeast"/>
        <w:rPr>
          <w:rFonts w:hint="eastAsia" w:ascii="宋体" w:hAnsi="宋体"/>
          <w:szCs w:val="21"/>
        </w:rPr>
      </w:pPr>
      <w:r>
        <w:rPr>
          <w:rFonts w:hint="eastAsia" w:ascii="宋体" w:hAnsi="宋体"/>
          <w:szCs w:val="21"/>
        </w:rPr>
        <w:t>说明：</w:t>
      </w:r>
    </w:p>
    <w:p>
      <w:pPr>
        <w:spacing w:line="240" w:lineRule="atLeast"/>
        <w:rPr>
          <w:rFonts w:hint="eastAsia" w:ascii="宋体" w:hAnsi="宋体"/>
          <w:szCs w:val="21"/>
        </w:rPr>
      </w:pPr>
      <w:r>
        <w:rPr>
          <w:rFonts w:hint="eastAsia" w:ascii="宋体" w:hAnsi="宋体"/>
          <w:szCs w:val="21"/>
        </w:rPr>
        <w:t>1、本表为采购人向宁波市政府采购中心反映政府采购项目履约情况时所用；</w:t>
      </w:r>
    </w:p>
    <w:p>
      <w:pPr>
        <w:autoSpaceDE w:val="0"/>
        <w:autoSpaceDN w:val="0"/>
        <w:adjustRightInd w:val="0"/>
        <w:spacing w:line="360" w:lineRule="auto"/>
        <w:rPr>
          <w:rFonts w:hint="eastAsia"/>
          <w:i/>
          <w:iCs/>
          <w:sz w:val="32"/>
        </w:rPr>
      </w:pPr>
      <w:r>
        <w:rPr>
          <w:rFonts w:hint="eastAsia" w:ascii="宋体" w:hAnsi="宋体"/>
          <w:szCs w:val="21"/>
        </w:rPr>
        <w:t>2、履约情况评价分为优、良、中、差四个等级，请在对应的框前打“√”，然后在“具体情况说明”一栏详细说明有关情况。</w:t>
      </w:r>
    </w:p>
    <w:sectPr>
      <w:headerReference r:id="rId6" w:type="default"/>
      <w:footerReference r:id="rId7"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lang/>
      </w:rPr>
      <w:t>76</w:t>
    </w:r>
    <w:r>
      <w:fldChar w:fldCharType="end"/>
    </w:r>
  </w:p>
  <w:p>
    <w:pPr>
      <w:pStyle w:val="18"/>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lang/>
      </w:rPr>
      <w:t>119</w:t>
    </w:r>
    <w:r>
      <w:fldChar w:fldCharType="end"/>
    </w:r>
  </w:p>
  <w:p>
    <w:pPr>
      <w:pStyle w:val="18"/>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sz w:val="21"/>
      </w:rPr>
    </w:pPr>
    <w:r>
      <w:rPr>
        <w:rFonts w:hint="eastAsia"/>
        <w:sz w:val="21"/>
      </w:rPr>
      <w:t xml:space="preserve">招标文件2020版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招标文件2020版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9731A"/>
    <w:multiLevelType w:val="multilevel"/>
    <w:tmpl w:val="0319731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2">
    <w:nsid w:val="250A25B5"/>
    <w:multiLevelType w:val="singleLevel"/>
    <w:tmpl w:val="250A25B5"/>
    <w:lvl w:ilvl="0" w:tentative="0">
      <w:start w:val="1"/>
      <w:numFmt w:val="decimal"/>
      <w:lvlText w:val="（%1）"/>
      <w:lvlJc w:val="left"/>
      <w:pPr>
        <w:tabs>
          <w:tab w:val="left" w:pos="945"/>
        </w:tabs>
        <w:ind w:left="945" w:hanging="525"/>
      </w:pPr>
      <w:rPr>
        <w:rFonts w:hint="eastAsia"/>
      </w:rPr>
    </w:lvl>
  </w:abstractNum>
  <w:abstractNum w:abstractNumId="3">
    <w:nsid w:val="3550BFCA"/>
    <w:multiLevelType w:val="singleLevel"/>
    <w:tmpl w:val="3550BFCA"/>
    <w:lvl w:ilvl="0" w:tentative="0">
      <w:start w:val="5"/>
      <w:numFmt w:val="decimal"/>
      <w:suff w:val="nothing"/>
      <w:lvlText w:val="%1、"/>
      <w:lvlJc w:val="left"/>
    </w:lvl>
  </w:abstractNum>
  <w:abstractNum w:abstractNumId="4">
    <w:nsid w:val="36A1E24A"/>
    <w:multiLevelType w:val="singleLevel"/>
    <w:tmpl w:val="36A1E24A"/>
    <w:lvl w:ilvl="0" w:tentative="0">
      <w:start w:val="1"/>
      <w:numFmt w:val="chineseCounting"/>
      <w:suff w:val="nothing"/>
      <w:lvlText w:val="%1、"/>
      <w:lvlJc w:val="left"/>
      <w:rPr>
        <w:rFonts w:hint="eastAsia"/>
      </w:rPr>
    </w:lvl>
  </w:abstractNum>
  <w:abstractNum w:abstractNumId="5">
    <w:nsid w:val="37184482"/>
    <w:multiLevelType w:val="multilevel"/>
    <w:tmpl w:val="37184482"/>
    <w:lvl w:ilvl="0" w:tentative="0">
      <w:start w:val="1"/>
      <w:numFmt w:val="decimal"/>
      <w:lvlText w:val="%1."/>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7">
    <w:nsid w:val="43834386"/>
    <w:multiLevelType w:val="multilevel"/>
    <w:tmpl w:val="438343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680323"/>
    <w:multiLevelType w:val="multilevel"/>
    <w:tmpl w:val="486803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5237AA"/>
    <w:multiLevelType w:val="multilevel"/>
    <w:tmpl w:val="4F5237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BFE25A"/>
    <w:multiLevelType w:val="singleLevel"/>
    <w:tmpl w:val="57BFE25A"/>
    <w:lvl w:ilvl="0" w:tentative="0">
      <w:start w:val="1"/>
      <w:numFmt w:val="decimal"/>
      <w:suff w:val="nothing"/>
      <w:lvlText w:val="%1、"/>
      <w:lvlJc w:val="left"/>
    </w:lvl>
  </w:abstractNum>
  <w:abstractNum w:abstractNumId="11">
    <w:nsid w:val="57BFE8CC"/>
    <w:multiLevelType w:val="singleLevel"/>
    <w:tmpl w:val="57BFE8CC"/>
    <w:lvl w:ilvl="0" w:tentative="0">
      <w:start w:val="9"/>
      <w:numFmt w:val="decimal"/>
      <w:suff w:val="nothing"/>
      <w:lvlText w:val="%1、"/>
      <w:lvlJc w:val="left"/>
    </w:lvl>
  </w:abstractNum>
  <w:abstractNum w:abstractNumId="12">
    <w:nsid w:val="5805C4F9"/>
    <w:multiLevelType w:val="singleLevel"/>
    <w:tmpl w:val="5805C4F9"/>
    <w:lvl w:ilvl="0" w:tentative="0">
      <w:start w:val="1"/>
      <w:numFmt w:val="decimal"/>
      <w:suff w:val="nothing"/>
      <w:lvlText w:val="%1、"/>
      <w:lvlJc w:val="left"/>
    </w:lvl>
  </w:abstractNum>
  <w:abstractNum w:abstractNumId="13">
    <w:nsid w:val="58DB1FFA"/>
    <w:multiLevelType w:val="singleLevel"/>
    <w:tmpl w:val="58DB1FFA"/>
    <w:lvl w:ilvl="0" w:tentative="0">
      <w:start w:val="1"/>
      <w:numFmt w:val="decimal"/>
      <w:suff w:val="nothing"/>
      <w:lvlText w:val="%1、"/>
      <w:lvlJc w:val="left"/>
    </w:lvl>
  </w:abstractNum>
  <w:abstractNum w:abstractNumId="14">
    <w:nsid w:val="5982E4E7"/>
    <w:multiLevelType w:val="singleLevel"/>
    <w:tmpl w:val="5982E4E7"/>
    <w:lvl w:ilvl="0" w:tentative="0">
      <w:start w:val="1"/>
      <w:numFmt w:val="decimal"/>
      <w:suff w:val="nothing"/>
      <w:lvlText w:val="（%1）"/>
      <w:lvlJc w:val="left"/>
    </w:lvl>
  </w:abstractNum>
  <w:abstractNum w:abstractNumId="15">
    <w:nsid w:val="5983D080"/>
    <w:multiLevelType w:val="singleLevel"/>
    <w:tmpl w:val="5983D080"/>
    <w:lvl w:ilvl="0" w:tentative="0">
      <w:start w:val="1"/>
      <w:numFmt w:val="decimal"/>
      <w:suff w:val="nothing"/>
      <w:lvlText w:val="（%1）"/>
      <w:lvlJc w:val="left"/>
    </w:lvl>
  </w:abstractNum>
  <w:abstractNum w:abstractNumId="16">
    <w:nsid w:val="598C19FA"/>
    <w:multiLevelType w:val="singleLevel"/>
    <w:tmpl w:val="598C19FA"/>
    <w:lvl w:ilvl="0" w:tentative="0">
      <w:start w:val="1"/>
      <w:numFmt w:val="decimal"/>
      <w:suff w:val="nothing"/>
      <w:lvlText w:val="（%1）"/>
      <w:lvlJc w:val="left"/>
    </w:lvl>
  </w:abstractNum>
  <w:abstractNum w:abstractNumId="17">
    <w:nsid w:val="59ACBEE7"/>
    <w:multiLevelType w:val="singleLevel"/>
    <w:tmpl w:val="59ACBEE7"/>
    <w:lvl w:ilvl="0" w:tentative="0">
      <w:start w:val="1"/>
      <w:numFmt w:val="decimal"/>
      <w:suff w:val="nothing"/>
      <w:lvlText w:val="%1、"/>
      <w:lvlJc w:val="left"/>
    </w:lvl>
  </w:abstractNum>
  <w:abstractNum w:abstractNumId="18">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9">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20">
    <w:nsid w:val="64665789"/>
    <w:multiLevelType w:val="singleLevel"/>
    <w:tmpl w:val="64665789"/>
    <w:lvl w:ilvl="0" w:tentative="0">
      <w:start w:val="1"/>
      <w:numFmt w:val="decimal"/>
      <w:lvlText w:val="（%1）"/>
      <w:lvlJc w:val="left"/>
      <w:pPr>
        <w:tabs>
          <w:tab w:val="left" w:pos="735"/>
        </w:tabs>
        <w:ind w:left="735" w:hanging="525"/>
      </w:pPr>
      <w:rPr>
        <w:rFonts w:hint="eastAsia"/>
      </w:rPr>
    </w:lvl>
  </w:abstractNum>
  <w:abstractNum w:abstractNumId="21">
    <w:nsid w:val="676C73AA"/>
    <w:multiLevelType w:val="singleLevel"/>
    <w:tmpl w:val="676C73AA"/>
    <w:lvl w:ilvl="0" w:tentative="0">
      <w:start w:val="1"/>
      <w:numFmt w:val="decimal"/>
      <w:suff w:val="nothing"/>
      <w:lvlText w:val="%1、"/>
      <w:lvlJc w:val="left"/>
    </w:lvl>
  </w:abstractNum>
  <w:abstractNum w:abstractNumId="22">
    <w:nsid w:val="67B9646F"/>
    <w:multiLevelType w:val="multilevel"/>
    <w:tmpl w:val="67B9646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4">
    <w:nsid w:val="766D792A"/>
    <w:multiLevelType w:val="singleLevel"/>
    <w:tmpl w:val="766D792A"/>
    <w:lvl w:ilvl="0" w:tentative="0">
      <w:start w:val="1"/>
      <w:numFmt w:val="decimal"/>
      <w:lvlText w:val="(%1)"/>
      <w:lvlJc w:val="left"/>
      <w:pPr>
        <w:tabs>
          <w:tab w:val="left" w:pos="700"/>
        </w:tabs>
        <w:ind w:left="0" w:firstLine="340"/>
      </w:pPr>
      <w:rPr>
        <w:rFonts w:hint="eastAsia"/>
      </w:rPr>
    </w:lvl>
  </w:abstractNum>
  <w:abstractNum w:abstractNumId="25">
    <w:nsid w:val="7D40ABBF"/>
    <w:multiLevelType w:val="singleLevel"/>
    <w:tmpl w:val="7D40ABBF"/>
    <w:lvl w:ilvl="0" w:tentative="0">
      <w:start w:val="1"/>
      <w:numFmt w:val="decimal"/>
      <w:suff w:val="nothing"/>
      <w:lvlText w:val="%1、"/>
      <w:lvlJc w:val="left"/>
    </w:lvl>
  </w:abstractNum>
  <w:abstractNum w:abstractNumId="26">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25"/>
  </w:num>
  <w:num w:numId="4">
    <w:abstractNumId w:val="12"/>
  </w:num>
  <w:num w:numId="5">
    <w:abstractNumId w:val="5"/>
  </w:num>
  <w:num w:numId="6">
    <w:abstractNumId w:val="8"/>
  </w:num>
  <w:num w:numId="7">
    <w:abstractNumId w:val="7"/>
  </w:num>
  <w:num w:numId="8">
    <w:abstractNumId w:val="22"/>
  </w:num>
  <w:num w:numId="9">
    <w:abstractNumId w:val="9"/>
  </w:num>
  <w:num w:numId="10">
    <w:abstractNumId w:val="26"/>
  </w:num>
  <w:num w:numId="11">
    <w:abstractNumId w:val="15"/>
  </w:num>
  <w:num w:numId="12">
    <w:abstractNumId w:val="14"/>
  </w:num>
  <w:num w:numId="13">
    <w:abstractNumId w:val="0"/>
  </w:num>
  <w:num w:numId="14">
    <w:abstractNumId w:val="19"/>
  </w:num>
  <w:num w:numId="15">
    <w:abstractNumId w:val="18"/>
  </w:num>
  <w:num w:numId="16">
    <w:abstractNumId w:val="11"/>
  </w:num>
  <w:num w:numId="17">
    <w:abstractNumId w:val="20"/>
  </w:num>
  <w:num w:numId="18">
    <w:abstractNumId w:val="16"/>
  </w:num>
  <w:num w:numId="19">
    <w:abstractNumId w:val="2"/>
  </w:num>
  <w:num w:numId="20">
    <w:abstractNumId w:val="1"/>
  </w:num>
  <w:num w:numId="21">
    <w:abstractNumId w:val="6"/>
  </w:num>
  <w:num w:numId="22">
    <w:abstractNumId w:val="13"/>
  </w:num>
  <w:num w:numId="23">
    <w:abstractNumId w:val="21"/>
  </w:num>
  <w:num w:numId="24">
    <w:abstractNumId w:val="23"/>
  </w:num>
  <w:num w:numId="25">
    <w:abstractNumId w:val="10"/>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2D"/>
    <w:rsid w:val="000011C2"/>
    <w:rsid w:val="000047D3"/>
    <w:rsid w:val="000059A4"/>
    <w:rsid w:val="00014B80"/>
    <w:rsid w:val="0001664B"/>
    <w:rsid w:val="00021FB1"/>
    <w:rsid w:val="00022345"/>
    <w:rsid w:val="00024C24"/>
    <w:rsid w:val="000250B0"/>
    <w:rsid w:val="00026B63"/>
    <w:rsid w:val="00026D88"/>
    <w:rsid w:val="00031DC2"/>
    <w:rsid w:val="0003495E"/>
    <w:rsid w:val="00037F0E"/>
    <w:rsid w:val="0004211B"/>
    <w:rsid w:val="0004534C"/>
    <w:rsid w:val="0004576F"/>
    <w:rsid w:val="000463A9"/>
    <w:rsid w:val="00061ADF"/>
    <w:rsid w:val="00072CB0"/>
    <w:rsid w:val="00077731"/>
    <w:rsid w:val="0008053B"/>
    <w:rsid w:val="000805FB"/>
    <w:rsid w:val="000820C4"/>
    <w:rsid w:val="00082B2B"/>
    <w:rsid w:val="00085037"/>
    <w:rsid w:val="0008743B"/>
    <w:rsid w:val="00090A24"/>
    <w:rsid w:val="000961F3"/>
    <w:rsid w:val="00096CC2"/>
    <w:rsid w:val="000A032D"/>
    <w:rsid w:val="000A073C"/>
    <w:rsid w:val="000A45C5"/>
    <w:rsid w:val="000A7147"/>
    <w:rsid w:val="000B6209"/>
    <w:rsid w:val="000C257D"/>
    <w:rsid w:val="000C60C2"/>
    <w:rsid w:val="000D642E"/>
    <w:rsid w:val="000D7AD6"/>
    <w:rsid w:val="000E0493"/>
    <w:rsid w:val="000E2989"/>
    <w:rsid w:val="000F1182"/>
    <w:rsid w:val="000F179C"/>
    <w:rsid w:val="000F1C9A"/>
    <w:rsid w:val="000F3B14"/>
    <w:rsid w:val="000F60C6"/>
    <w:rsid w:val="0010498F"/>
    <w:rsid w:val="001064A9"/>
    <w:rsid w:val="00112913"/>
    <w:rsid w:val="00115425"/>
    <w:rsid w:val="00123CB5"/>
    <w:rsid w:val="001264A0"/>
    <w:rsid w:val="00131AC0"/>
    <w:rsid w:val="001510DF"/>
    <w:rsid w:val="001527C8"/>
    <w:rsid w:val="0015297F"/>
    <w:rsid w:val="00154E35"/>
    <w:rsid w:val="00155A03"/>
    <w:rsid w:val="00157953"/>
    <w:rsid w:val="00165A87"/>
    <w:rsid w:val="00165BD9"/>
    <w:rsid w:val="001701E3"/>
    <w:rsid w:val="0017145F"/>
    <w:rsid w:val="00175F0A"/>
    <w:rsid w:val="001834B9"/>
    <w:rsid w:val="00184083"/>
    <w:rsid w:val="001847F4"/>
    <w:rsid w:val="001A01E6"/>
    <w:rsid w:val="001B3B12"/>
    <w:rsid w:val="001B67C2"/>
    <w:rsid w:val="001B6A34"/>
    <w:rsid w:val="001C3ED2"/>
    <w:rsid w:val="001C6597"/>
    <w:rsid w:val="001D003E"/>
    <w:rsid w:val="001D074A"/>
    <w:rsid w:val="001D0C0E"/>
    <w:rsid w:val="001D2776"/>
    <w:rsid w:val="001D4E4A"/>
    <w:rsid w:val="001D50EE"/>
    <w:rsid w:val="001D54FC"/>
    <w:rsid w:val="001D608F"/>
    <w:rsid w:val="001E01A5"/>
    <w:rsid w:val="001E1827"/>
    <w:rsid w:val="001E3918"/>
    <w:rsid w:val="001E65F7"/>
    <w:rsid w:val="001E70ED"/>
    <w:rsid w:val="001F18AB"/>
    <w:rsid w:val="001F3B4E"/>
    <w:rsid w:val="001F422B"/>
    <w:rsid w:val="002046A5"/>
    <w:rsid w:val="0020470F"/>
    <w:rsid w:val="00207D95"/>
    <w:rsid w:val="0021728E"/>
    <w:rsid w:val="0021731C"/>
    <w:rsid w:val="00220D6B"/>
    <w:rsid w:val="0022402A"/>
    <w:rsid w:val="00230223"/>
    <w:rsid w:val="0023535F"/>
    <w:rsid w:val="00235A00"/>
    <w:rsid w:val="002371E4"/>
    <w:rsid w:val="002409D4"/>
    <w:rsid w:val="00245F5B"/>
    <w:rsid w:val="00245FA7"/>
    <w:rsid w:val="0025350C"/>
    <w:rsid w:val="00254E54"/>
    <w:rsid w:val="00256D78"/>
    <w:rsid w:val="00264E8D"/>
    <w:rsid w:val="0026745F"/>
    <w:rsid w:val="00267E83"/>
    <w:rsid w:val="0027184F"/>
    <w:rsid w:val="00274149"/>
    <w:rsid w:val="00274F1C"/>
    <w:rsid w:val="0027727A"/>
    <w:rsid w:val="0028133F"/>
    <w:rsid w:val="0028274D"/>
    <w:rsid w:val="002909CA"/>
    <w:rsid w:val="00291393"/>
    <w:rsid w:val="002A71AA"/>
    <w:rsid w:val="002B4876"/>
    <w:rsid w:val="002C01DA"/>
    <w:rsid w:val="002C2597"/>
    <w:rsid w:val="002D49D1"/>
    <w:rsid w:val="002E4B3E"/>
    <w:rsid w:val="002E68B0"/>
    <w:rsid w:val="00313EC9"/>
    <w:rsid w:val="003152BD"/>
    <w:rsid w:val="00315814"/>
    <w:rsid w:val="00315A5F"/>
    <w:rsid w:val="0032018F"/>
    <w:rsid w:val="00321F93"/>
    <w:rsid w:val="00322D6C"/>
    <w:rsid w:val="00325A0E"/>
    <w:rsid w:val="00326700"/>
    <w:rsid w:val="003307EA"/>
    <w:rsid w:val="00331103"/>
    <w:rsid w:val="003369E5"/>
    <w:rsid w:val="00345CDA"/>
    <w:rsid w:val="00346DB2"/>
    <w:rsid w:val="00353462"/>
    <w:rsid w:val="00354776"/>
    <w:rsid w:val="00356108"/>
    <w:rsid w:val="00360D6A"/>
    <w:rsid w:val="0036680C"/>
    <w:rsid w:val="0036686B"/>
    <w:rsid w:val="003735E0"/>
    <w:rsid w:val="00380B39"/>
    <w:rsid w:val="003870C3"/>
    <w:rsid w:val="00390974"/>
    <w:rsid w:val="00392E3D"/>
    <w:rsid w:val="00396022"/>
    <w:rsid w:val="00396D8D"/>
    <w:rsid w:val="003A23F7"/>
    <w:rsid w:val="003A74AE"/>
    <w:rsid w:val="003B05B0"/>
    <w:rsid w:val="003B5334"/>
    <w:rsid w:val="003D0D99"/>
    <w:rsid w:val="003D383C"/>
    <w:rsid w:val="003E1CCA"/>
    <w:rsid w:val="003E57CD"/>
    <w:rsid w:val="003E5C66"/>
    <w:rsid w:val="003F09E6"/>
    <w:rsid w:val="003F1B0F"/>
    <w:rsid w:val="003F4C8C"/>
    <w:rsid w:val="00401D0D"/>
    <w:rsid w:val="00405905"/>
    <w:rsid w:val="00405C5E"/>
    <w:rsid w:val="004102AA"/>
    <w:rsid w:val="004152E4"/>
    <w:rsid w:val="0043385B"/>
    <w:rsid w:val="0043702D"/>
    <w:rsid w:val="00442FC1"/>
    <w:rsid w:val="00452325"/>
    <w:rsid w:val="00453177"/>
    <w:rsid w:val="00455D48"/>
    <w:rsid w:val="00461CAA"/>
    <w:rsid w:val="00462FD8"/>
    <w:rsid w:val="00464CC2"/>
    <w:rsid w:val="00465724"/>
    <w:rsid w:val="00466A57"/>
    <w:rsid w:val="00470C2E"/>
    <w:rsid w:val="004717A6"/>
    <w:rsid w:val="004721F8"/>
    <w:rsid w:val="0047695E"/>
    <w:rsid w:val="00482A79"/>
    <w:rsid w:val="00482AA5"/>
    <w:rsid w:val="00486353"/>
    <w:rsid w:val="004874FE"/>
    <w:rsid w:val="0049147F"/>
    <w:rsid w:val="00492776"/>
    <w:rsid w:val="004968CC"/>
    <w:rsid w:val="004978B6"/>
    <w:rsid w:val="004A0B63"/>
    <w:rsid w:val="004A66D9"/>
    <w:rsid w:val="004A7F66"/>
    <w:rsid w:val="004B3383"/>
    <w:rsid w:val="004B46DD"/>
    <w:rsid w:val="004B5778"/>
    <w:rsid w:val="004B58CC"/>
    <w:rsid w:val="004B72FC"/>
    <w:rsid w:val="004C2D48"/>
    <w:rsid w:val="004C2E15"/>
    <w:rsid w:val="004C3A20"/>
    <w:rsid w:val="004E3D0C"/>
    <w:rsid w:val="004E4550"/>
    <w:rsid w:val="004F589D"/>
    <w:rsid w:val="00511024"/>
    <w:rsid w:val="0051541A"/>
    <w:rsid w:val="00515B9B"/>
    <w:rsid w:val="0053012C"/>
    <w:rsid w:val="005329F8"/>
    <w:rsid w:val="00532E52"/>
    <w:rsid w:val="005415C1"/>
    <w:rsid w:val="00542047"/>
    <w:rsid w:val="00545057"/>
    <w:rsid w:val="005541F4"/>
    <w:rsid w:val="00554CF1"/>
    <w:rsid w:val="0056152B"/>
    <w:rsid w:val="00561A85"/>
    <w:rsid w:val="0056475E"/>
    <w:rsid w:val="00571415"/>
    <w:rsid w:val="00582CD6"/>
    <w:rsid w:val="00585ECB"/>
    <w:rsid w:val="00590A9D"/>
    <w:rsid w:val="00590D36"/>
    <w:rsid w:val="00596D0F"/>
    <w:rsid w:val="005A0622"/>
    <w:rsid w:val="005A5912"/>
    <w:rsid w:val="005B2CD3"/>
    <w:rsid w:val="005B3347"/>
    <w:rsid w:val="005B3A02"/>
    <w:rsid w:val="005B3BC7"/>
    <w:rsid w:val="005B78AF"/>
    <w:rsid w:val="005C09C3"/>
    <w:rsid w:val="005C26B6"/>
    <w:rsid w:val="005C3B1C"/>
    <w:rsid w:val="005C51E2"/>
    <w:rsid w:val="005C60B2"/>
    <w:rsid w:val="005D0596"/>
    <w:rsid w:val="005D214B"/>
    <w:rsid w:val="005D22ED"/>
    <w:rsid w:val="005D2B50"/>
    <w:rsid w:val="005D3A30"/>
    <w:rsid w:val="005D422F"/>
    <w:rsid w:val="005D5FB8"/>
    <w:rsid w:val="005D671D"/>
    <w:rsid w:val="005E4668"/>
    <w:rsid w:val="005E547A"/>
    <w:rsid w:val="00601531"/>
    <w:rsid w:val="006153E9"/>
    <w:rsid w:val="006204EA"/>
    <w:rsid w:val="00621090"/>
    <w:rsid w:val="00631F11"/>
    <w:rsid w:val="00632BE5"/>
    <w:rsid w:val="00633E07"/>
    <w:rsid w:val="006348F9"/>
    <w:rsid w:val="00640422"/>
    <w:rsid w:val="00644092"/>
    <w:rsid w:val="00644740"/>
    <w:rsid w:val="00645C9C"/>
    <w:rsid w:val="00650C5E"/>
    <w:rsid w:val="006510CC"/>
    <w:rsid w:val="006517BB"/>
    <w:rsid w:val="00653382"/>
    <w:rsid w:val="00671286"/>
    <w:rsid w:val="00672D96"/>
    <w:rsid w:val="0067656E"/>
    <w:rsid w:val="006872EC"/>
    <w:rsid w:val="00687A0E"/>
    <w:rsid w:val="00694F6E"/>
    <w:rsid w:val="006A1DF2"/>
    <w:rsid w:val="006A306A"/>
    <w:rsid w:val="006A4502"/>
    <w:rsid w:val="006A7103"/>
    <w:rsid w:val="006B1041"/>
    <w:rsid w:val="006B2585"/>
    <w:rsid w:val="006B486D"/>
    <w:rsid w:val="006B5A5A"/>
    <w:rsid w:val="006C15D2"/>
    <w:rsid w:val="006C4BE9"/>
    <w:rsid w:val="006D4E29"/>
    <w:rsid w:val="006D7564"/>
    <w:rsid w:val="006E2615"/>
    <w:rsid w:val="006E68ED"/>
    <w:rsid w:val="006E6D93"/>
    <w:rsid w:val="006F3F07"/>
    <w:rsid w:val="00712AE3"/>
    <w:rsid w:val="00713324"/>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677E5"/>
    <w:rsid w:val="007720B1"/>
    <w:rsid w:val="00772DBE"/>
    <w:rsid w:val="00774FF1"/>
    <w:rsid w:val="00780BE0"/>
    <w:rsid w:val="007839E8"/>
    <w:rsid w:val="00791273"/>
    <w:rsid w:val="00791C86"/>
    <w:rsid w:val="007922CD"/>
    <w:rsid w:val="00795447"/>
    <w:rsid w:val="007A04BD"/>
    <w:rsid w:val="007A0B69"/>
    <w:rsid w:val="007A192D"/>
    <w:rsid w:val="007B0C44"/>
    <w:rsid w:val="007B6191"/>
    <w:rsid w:val="007C17FD"/>
    <w:rsid w:val="007C4AB7"/>
    <w:rsid w:val="007C54BA"/>
    <w:rsid w:val="007C694A"/>
    <w:rsid w:val="007D1DA1"/>
    <w:rsid w:val="007D5718"/>
    <w:rsid w:val="007E01FC"/>
    <w:rsid w:val="007E0625"/>
    <w:rsid w:val="007E1255"/>
    <w:rsid w:val="007E5CAF"/>
    <w:rsid w:val="007F38FC"/>
    <w:rsid w:val="007F5EFF"/>
    <w:rsid w:val="008001B2"/>
    <w:rsid w:val="00804EFA"/>
    <w:rsid w:val="00806738"/>
    <w:rsid w:val="00807301"/>
    <w:rsid w:val="008117FB"/>
    <w:rsid w:val="0082593E"/>
    <w:rsid w:val="00825F9B"/>
    <w:rsid w:val="00827053"/>
    <w:rsid w:val="008279AC"/>
    <w:rsid w:val="008316C6"/>
    <w:rsid w:val="008333E6"/>
    <w:rsid w:val="00833DC6"/>
    <w:rsid w:val="00844F81"/>
    <w:rsid w:val="008566CF"/>
    <w:rsid w:val="00861021"/>
    <w:rsid w:val="00861459"/>
    <w:rsid w:val="00865345"/>
    <w:rsid w:val="00871FC7"/>
    <w:rsid w:val="008727E5"/>
    <w:rsid w:val="00873B4E"/>
    <w:rsid w:val="0088125E"/>
    <w:rsid w:val="00882D37"/>
    <w:rsid w:val="0089395F"/>
    <w:rsid w:val="00893E43"/>
    <w:rsid w:val="0089588D"/>
    <w:rsid w:val="008A1DDC"/>
    <w:rsid w:val="008D3A59"/>
    <w:rsid w:val="008E2AF0"/>
    <w:rsid w:val="008E3F73"/>
    <w:rsid w:val="008E7432"/>
    <w:rsid w:val="008F0E34"/>
    <w:rsid w:val="008F22BF"/>
    <w:rsid w:val="008F2D97"/>
    <w:rsid w:val="008F3678"/>
    <w:rsid w:val="008F4528"/>
    <w:rsid w:val="008F50F0"/>
    <w:rsid w:val="008F5311"/>
    <w:rsid w:val="008F6218"/>
    <w:rsid w:val="009003DD"/>
    <w:rsid w:val="00900E79"/>
    <w:rsid w:val="009013E9"/>
    <w:rsid w:val="00903981"/>
    <w:rsid w:val="00906045"/>
    <w:rsid w:val="009143F1"/>
    <w:rsid w:val="009214D1"/>
    <w:rsid w:val="0092586D"/>
    <w:rsid w:val="00926804"/>
    <w:rsid w:val="00943DBE"/>
    <w:rsid w:val="00951E42"/>
    <w:rsid w:val="00955828"/>
    <w:rsid w:val="0095606E"/>
    <w:rsid w:val="00956210"/>
    <w:rsid w:val="00961A0D"/>
    <w:rsid w:val="00965C98"/>
    <w:rsid w:val="00967469"/>
    <w:rsid w:val="00971253"/>
    <w:rsid w:val="009739D8"/>
    <w:rsid w:val="0097522C"/>
    <w:rsid w:val="0097770C"/>
    <w:rsid w:val="00983A2A"/>
    <w:rsid w:val="00985F7B"/>
    <w:rsid w:val="00986AC3"/>
    <w:rsid w:val="009930CD"/>
    <w:rsid w:val="00996134"/>
    <w:rsid w:val="009A0DE4"/>
    <w:rsid w:val="009A2A39"/>
    <w:rsid w:val="009A5A7B"/>
    <w:rsid w:val="009A761A"/>
    <w:rsid w:val="009B1874"/>
    <w:rsid w:val="009B1E3E"/>
    <w:rsid w:val="009B48AD"/>
    <w:rsid w:val="009B76E6"/>
    <w:rsid w:val="009C3DD3"/>
    <w:rsid w:val="009C656F"/>
    <w:rsid w:val="009C74F1"/>
    <w:rsid w:val="009D1797"/>
    <w:rsid w:val="009D3951"/>
    <w:rsid w:val="009D761E"/>
    <w:rsid w:val="009D79E9"/>
    <w:rsid w:val="009E592D"/>
    <w:rsid w:val="009F0534"/>
    <w:rsid w:val="009F2A99"/>
    <w:rsid w:val="009F4E30"/>
    <w:rsid w:val="009F723E"/>
    <w:rsid w:val="00A05150"/>
    <w:rsid w:val="00A10806"/>
    <w:rsid w:val="00A11B3A"/>
    <w:rsid w:val="00A13518"/>
    <w:rsid w:val="00A16A82"/>
    <w:rsid w:val="00A23F69"/>
    <w:rsid w:val="00A26054"/>
    <w:rsid w:val="00A26262"/>
    <w:rsid w:val="00A26325"/>
    <w:rsid w:val="00A269B0"/>
    <w:rsid w:val="00A30961"/>
    <w:rsid w:val="00A42C45"/>
    <w:rsid w:val="00A51015"/>
    <w:rsid w:val="00A62544"/>
    <w:rsid w:val="00A63CB5"/>
    <w:rsid w:val="00A63E22"/>
    <w:rsid w:val="00A65043"/>
    <w:rsid w:val="00A651EB"/>
    <w:rsid w:val="00A657A0"/>
    <w:rsid w:val="00A71F7E"/>
    <w:rsid w:val="00A84AF5"/>
    <w:rsid w:val="00A859BE"/>
    <w:rsid w:val="00A86BCF"/>
    <w:rsid w:val="00A9222A"/>
    <w:rsid w:val="00A92586"/>
    <w:rsid w:val="00A927F7"/>
    <w:rsid w:val="00AA5F6D"/>
    <w:rsid w:val="00AA62F3"/>
    <w:rsid w:val="00AB4FCA"/>
    <w:rsid w:val="00AB6193"/>
    <w:rsid w:val="00AC6FF9"/>
    <w:rsid w:val="00AD25B6"/>
    <w:rsid w:val="00AD4DB9"/>
    <w:rsid w:val="00AE4086"/>
    <w:rsid w:val="00AE5855"/>
    <w:rsid w:val="00AE6DCD"/>
    <w:rsid w:val="00AF1B78"/>
    <w:rsid w:val="00AF2BF3"/>
    <w:rsid w:val="00AF561A"/>
    <w:rsid w:val="00AF65F0"/>
    <w:rsid w:val="00B0252F"/>
    <w:rsid w:val="00B07973"/>
    <w:rsid w:val="00B10BB7"/>
    <w:rsid w:val="00B26B35"/>
    <w:rsid w:val="00B36EE8"/>
    <w:rsid w:val="00B37170"/>
    <w:rsid w:val="00B42742"/>
    <w:rsid w:val="00B43B03"/>
    <w:rsid w:val="00B450CB"/>
    <w:rsid w:val="00B51297"/>
    <w:rsid w:val="00B55253"/>
    <w:rsid w:val="00B60550"/>
    <w:rsid w:val="00B609AC"/>
    <w:rsid w:val="00B609F5"/>
    <w:rsid w:val="00B61F3A"/>
    <w:rsid w:val="00B66F9D"/>
    <w:rsid w:val="00B7015A"/>
    <w:rsid w:val="00B739F6"/>
    <w:rsid w:val="00B802A0"/>
    <w:rsid w:val="00B836E3"/>
    <w:rsid w:val="00BA04B1"/>
    <w:rsid w:val="00BA4220"/>
    <w:rsid w:val="00BA7C27"/>
    <w:rsid w:val="00BB3E1F"/>
    <w:rsid w:val="00BB4642"/>
    <w:rsid w:val="00BC04D7"/>
    <w:rsid w:val="00BC4132"/>
    <w:rsid w:val="00BC6EB0"/>
    <w:rsid w:val="00BD246A"/>
    <w:rsid w:val="00BD7378"/>
    <w:rsid w:val="00BD7770"/>
    <w:rsid w:val="00BE109A"/>
    <w:rsid w:val="00BF05A1"/>
    <w:rsid w:val="00BF2FBE"/>
    <w:rsid w:val="00BF4289"/>
    <w:rsid w:val="00BF76C9"/>
    <w:rsid w:val="00C013DB"/>
    <w:rsid w:val="00C045D6"/>
    <w:rsid w:val="00C05ADB"/>
    <w:rsid w:val="00C147C8"/>
    <w:rsid w:val="00C231BC"/>
    <w:rsid w:val="00C24B89"/>
    <w:rsid w:val="00C26261"/>
    <w:rsid w:val="00C34DB9"/>
    <w:rsid w:val="00C358D5"/>
    <w:rsid w:val="00C5044E"/>
    <w:rsid w:val="00C512F0"/>
    <w:rsid w:val="00C557C9"/>
    <w:rsid w:val="00C63CE1"/>
    <w:rsid w:val="00C65573"/>
    <w:rsid w:val="00C74320"/>
    <w:rsid w:val="00C744C4"/>
    <w:rsid w:val="00C86DD3"/>
    <w:rsid w:val="00C877B3"/>
    <w:rsid w:val="00C9651C"/>
    <w:rsid w:val="00C96F63"/>
    <w:rsid w:val="00C97B05"/>
    <w:rsid w:val="00CA0878"/>
    <w:rsid w:val="00CA6576"/>
    <w:rsid w:val="00CB2381"/>
    <w:rsid w:val="00CB5B67"/>
    <w:rsid w:val="00CB720D"/>
    <w:rsid w:val="00CD26D5"/>
    <w:rsid w:val="00CE583A"/>
    <w:rsid w:val="00CE6321"/>
    <w:rsid w:val="00CE67CB"/>
    <w:rsid w:val="00CF2000"/>
    <w:rsid w:val="00CF3604"/>
    <w:rsid w:val="00CF441C"/>
    <w:rsid w:val="00CF5F13"/>
    <w:rsid w:val="00D00543"/>
    <w:rsid w:val="00D00552"/>
    <w:rsid w:val="00D00F7A"/>
    <w:rsid w:val="00D06637"/>
    <w:rsid w:val="00D06761"/>
    <w:rsid w:val="00D157BC"/>
    <w:rsid w:val="00D16715"/>
    <w:rsid w:val="00D169EE"/>
    <w:rsid w:val="00D16D87"/>
    <w:rsid w:val="00D252B9"/>
    <w:rsid w:val="00D32114"/>
    <w:rsid w:val="00D33DCC"/>
    <w:rsid w:val="00D346B5"/>
    <w:rsid w:val="00D4460D"/>
    <w:rsid w:val="00D5177A"/>
    <w:rsid w:val="00D52E65"/>
    <w:rsid w:val="00D60614"/>
    <w:rsid w:val="00D70323"/>
    <w:rsid w:val="00D81AFA"/>
    <w:rsid w:val="00D850A2"/>
    <w:rsid w:val="00D929D7"/>
    <w:rsid w:val="00D95F0A"/>
    <w:rsid w:val="00D97B7B"/>
    <w:rsid w:val="00DA031F"/>
    <w:rsid w:val="00DA1CD4"/>
    <w:rsid w:val="00DB0D31"/>
    <w:rsid w:val="00DB4F6E"/>
    <w:rsid w:val="00DB50DC"/>
    <w:rsid w:val="00DB748C"/>
    <w:rsid w:val="00DC15B9"/>
    <w:rsid w:val="00DC3EEF"/>
    <w:rsid w:val="00DC5253"/>
    <w:rsid w:val="00DC5959"/>
    <w:rsid w:val="00DC6EE1"/>
    <w:rsid w:val="00DD0CF0"/>
    <w:rsid w:val="00DD12B2"/>
    <w:rsid w:val="00DD368E"/>
    <w:rsid w:val="00DF1260"/>
    <w:rsid w:val="00DF5564"/>
    <w:rsid w:val="00DF663A"/>
    <w:rsid w:val="00E04744"/>
    <w:rsid w:val="00E0629E"/>
    <w:rsid w:val="00E07654"/>
    <w:rsid w:val="00E1263C"/>
    <w:rsid w:val="00E12CD5"/>
    <w:rsid w:val="00E3177C"/>
    <w:rsid w:val="00E3182C"/>
    <w:rsid w:val="00E35305"/>
    <w:rsid w:val="00E451CC"/>
    <w:rsid w:val="00E5581E"/>
    <w:rsid w:val="00E62D07"/>
    <w:rsid w:val="00E6696E"/>
    <w:rsid w:val="00E67189"/>
    <w:rsid w:val="00E673C9"/>
    <w:rsid w:val="00E67785"/>
    <w:rsid w:val="00E739CE"/>
    <w:rsid w:val="00E75A80"/>
    <w:rsid w:val="00E812D7"/>
    <w:rsid w:val="00E81F83"/>
    <w:rsid w:val="00E842B0"/>
    <w:rsid w:val="00E85879"/>
    <w:rsid w:val="00E940E6"/>
    <w:rsid w:val="00E94F92"/>
    <w:rsid w:val="00EA4AC5"/>
    <w:rsid w:val="00EB0570"/>
    <w:rsid w:val="00EB1030"/>
    <w:rsid w:val="00EB1B7F"/>
    <w:rsid w:val="00EB2D70"/>
    <w:rsid w:val="00EB67CD"/>
    <w:rsid w:val="00EC07DA"/>
    <w:rsid w:val="00EC160E"/>
    <w:rsid w:val="00EC50C1"/>
    <w:rsid w:val="00EC6778"/>
    <w:rsid w:val="00EC70A7"/>
    <w:rsid w:val="00EC753F"/>
    <w:rsid w:val="00ED081C"/>
    <w:rsid w:val="00ED34F2"/>
    <w:rsid w:val="00ED6A35"/>
    <w:rsid w:val="00EE654C"/>
    <w:rsid w:val="00EE6A14"/>
    <w:rsid w:val="00EF2AC0"/>
    <w:rsid w:val="00EF544F"/>
    <w:rsid w:val="00F01744"/>
    <w:rsid w:val="00F046FD"/>
    <w:rsid w:val="00F16934"/>
    <w:rsid w:val="00F17104"/>
    <w:rsid w:val="00F2078E"/>
    <w:rsid w:val="00F22D89"/>
    <w:rsid w:val="00F25358"/>
    <w:rsid w:val="00F27A8A"/>
    <w:rsid w:val="00F27DCA"/>
    <w:rsid w:val="00F31BE5"/>
    <w:rsid w:val="00F354FF"/>
    <w:rsid w:val="00F559D1"/>
    <w:rsid w:val="00F579DB"/>
    <w:rsid w:val="00F651C5"/>
    <w:rsid w:val="00F74450"/>
    <w:rsid w:val="00F7505B"/>
    <w:rsid w:val="00F9250A"/>
    <w:rsid w:val="00F925B3"/>
    <w:rsid w:val="00F94E14"/>
    <w:rsid w:val="00FA10E1"/>
    <w:rsid w:val="00FA2D52"/>
    <w:rsid w:val="00FB0731"/>
    <w:rsid w:val="00FB533E"/>
    <w:rsid w:val="00FC0B96"/>
    <w:rsid w:val="00FC3CFF"/>
    <w:rsid w:val="00FC6AEA"/>
    <w:rsid w:val="00FD3D84"/>
    <w:rsid w:val="00FD3EE6"/>
    <w:rsid w:val="00FD6AD7"/>
    <w:rsid w:val="00FE1C3D"/>
    <w:rsid w:val="00FE7772"/>
    <w:rsid w:val="00FF33DE"/>
    <w:rsid w:val="00FF6E10"/>
    <w:rsid w:val="01B72C95"/>
    <w:rsid w:val="01D35132"/>
    <w:rsid w:val="01F637FB"/>
    <w:rsid w:val="02CC716D"/>
    <w:rsid w:val="02D01BA7"/>
    <w:rsid w:val="03142241"/>
    <w:rsid w:val="031B6B7F"/>
    <w:rsid w:val="031E7B7B"/>
    <w:rsid w:val="03CE6A70"/>
    <w:rsid w:val="03D436D9"/>
    <w:rsid w:val="0404413A"/>
    <w:rsid w:val="043E570B"/>
    <w:rsid w:val="04E854F5"/>
    <w:rsid w:val="052A5A3F"/>
    <w:rsid w:val="05E30C6F"/>
    <w:rsid w:val="06D51BAA"/>
    <w:rsid w:val="07D24B26"/>
    <w:rsid w:val="07D55F4A"/>
    <w:rsid w:val="082314D5"/>
    <w:rsid w:val="088D1D6E"/>
    <w:rsid w:val="088F1091"/>
    <w:rsid w:val="08B56D56"/>
    <w:rsid w:val="09375D7F"/>
    <w:rsid w:val="09DB6EA8"/>
    <w:rsid w:val="09EA30F8"/>
    <w:rsid w:val="09F417AF"/>
    <w:rsid w:val="09F978E2"/>
    <w:rsid w:val="0A5E18FC"/>
    <w:rsid w:val="0A6C7801"/>
    <w:rsid w:val="0B900AFD"/>
    <w:rsid w:val="0BD2051C"/>
    <w:rsid w:val="0C1A31C8"/>
    <w:rsid w:val="0D1C56D7"/>
    <w:rsid w:val="0D4412D1"/>
    <w:rsid w:val="0D815D13"/>
    <w:rsid w:val="0F5420ED"/>
    <w:rsid w:val="0F6B0FEF"/>
    <w:rsid w:val="0F6E2FA7"/>
    <w:rsid w:val="103E5B2A"/>
    <w:rsid w:val="10704177"/>
    <w:rsid w:val="11802412"/>
    <w:rsid w:val="11A847BC"/>
    <w:rsid w:val="11B529CE"/>
    <w:rsid w:val="11E953BA"/>
    <w:rsid w:val="123116B1"/>
    <w:rsid w:val="12567615"/>
    <w:rsid w:val="12A13996"/>
    <w:rsid w:val="12EC1DC7"/>
    <w:rsid w:val="12EE7D82"/>
    <w:rsid w:val="130C4CDB"/>
    <w:rsid w:val="134128D2"/>
    <w:rsid w:val="13BE6AAB"/>
    <w:rsid w:val="13CC125A"/>
    <w:rsid w:val="140A12D4"/>
    <w:rsid w:val="14192A31"/>
    <w:rsid w:val="14844C7F"/>
    <w:rsid w:val="148B3AF2"/>
    <w:rsid w:val="14A32643"/>
    <w:rsid w:val="14F77F59"/>
    <w:rsid w:val="15BE0144"/>
    <w:rsid w:val="16292E07"/>
    <w:rsid w:val="16296E4A"/>
    <w:rsid w:val="165C6742"/>
    <w:rsid w:val="16B40158"/>
    <w:rsid w:val="176E25A4"/>
    <w:rsid w:val="17885987"/>
    <w:rsid w:val="179C724C"/>
    <w:rsid w:val="17F074AB"/>
    <w:rsid w:val="183E15A9"/>
    <w:rsid w:val="186C1E69"/>
    <w:rsid w:val="18B27877"/>
    <w:rsid w:val="18CA5080"/>
    <w:rsid w:val="1965085B"/>
    <w:rsid w:val="19EB1817"/>
    <w:rsid w:val="1A082747"/>
    <w:rsid w:val="1A102387"/>
    <w:rsid w:val="1A2D4715"/>
    <w:rsid w:val="1A554A52"/>
    <w:rsid w:val="1AE86287"/>
    <w:rsid w:val="1B2B7382"/>
    <w:rsid w:val="1B592A5A"/>
    <w:rsid w:val="1B9A04EF"/>
    <w:rsid w:val="1BA81C64"/>
    <w:rsid w:val="1BE7320B"/>
    <w:rsid w:val="1BE974A7"/>
    <w:rsid w:val="1C4C3BCF"/>
    <w:rsid w:val="1D201767"/>
    <w:rsid w:val="1DF20632"/>
    <w:rsid w:val="1E0E1394"/>
    <w:rsid w:val="1EA471F4"/>
    <w:rsid w:val="1EE74EDE"/>
    <w:rsid w:val="1F4A66CB"/>
    <w:rsid w:val="1F841458"/>
    <w:rsid w:val="1F99634F"/>
    <w:rsid w:val="1FC52418"/>
    <w:rsid w:val="203408A9"/>
    <w:rsid w:val="20582817"/>
    <w:rsid w:val="20951352"/>
    <w:rsid w:val="20FF0C42"/>
    <w:rsid w:val="21163D3F"/>
    <w:rsid w:val="222759DD"/>
    <w:rsid w:val="222F4B99"/>
    <w:rsid w:val="22616744"/>
    <w:rsid w:val="22814516"/>
    <w:rsid w:val="22DE2C86"/>
    <w:rsid w:val="232A1E72"/>
    <w:rsid w:val="23B75F74"/>
    <w:rsid w:val="24281053"/>
    <w:rsid w:val="245A45C2"/>
    <w:rsid w:val="24A11AF9"/>
    <w:rsid w:val="24A35BD5"/>
    <w:rsid w:val="24AA60B7"/>
    <w:rsid w:val="24CC1412"/>
    <w:rsid w:val="24EA7F6E"/>
    <w:rsid w:val="25826AB6"/>
    <w:rsid w:val="258D36BB"/>
    <w:rsid w:val="26A863BA"/>
    <w:rsid w:val="26D838D7"/>
    <w:rsid w:val="26FA635D"/>
    <w:rsid w:val="2735710D"/>
    <w:rsid w:val="27766DC3"/>
    <w:rsid w:val="278E7E49"/>
    <w:rsid w:val="27DF1D5F"/>
    <w:rsid w:val="282A223D"/>
    <w:rsid w:val="2832442B"/>
    <w:rsid w:val="286E5EF6"/>
    <w:rsid w:val="28786659"/>
    <w:rsid w:val="288C0C93"/>
    <w:rsid w:val="29061987"/>
    <w:rsid w:val="293C4A01"/>
    <w:rsid w:val="294C27FE"/>
    <w:rsid w:val="29EE68C6"/>
    <w:rsid w:val="2A842385"/>
    <w:rsid w:val="2B917E0C"/>
    <w:rsid w:val="2C5D38CE"/>
    <w:rsid w:val="2C913ADD"/>
    <w:rsid w:val="2CBE7A70"/>
    <w:rsid w:val="2CDF763D"/>
    <w:rsid w:val="2CEA7054"/>
    <w:rsid w:val="2D8A4B55"/>
    <w:rsid w:val="2D933319"/>
    <w:rsid w:val="2D9B763C"/>
    <w:rsid w:val="2DF32732"/>
    <w:rsid w:val="2E775F2D"/>
    <w:rsid w:val="2EB265AC"/>
    <w:rsid w:val="2F7F2540"/>
    <w:rsid w:val="2F96641B"/>
    <w:rsid w:val="2F9C0D1A"/>
    <w:rsid w:val="2FC92E14"/>
    <w:rsid w:val="3012724A"/>
    <w:rsid w:val="305F2AEA"/>
    <w:rsid w:val="30A048D2"/>
    <w:rsid w:val="30AC3C25"/>
    <w:rsid w:val="315B31EF"/>
    <w:rsid w:val="31CE629F"/>
    <w:rsid w:val="32C522FC"/>
    <w:rsid w:val="33DD6EF7"/>
    <w:rsid w:val="33E246A2"/>
    <w:rsid w:val="33F56453"/>
    <w:rsid w:val="34790579"/>
    <w:rsid w:val="35B427CB"/>
    <w:rsid w:val="35FB7409"/>
    <w:rsid w:val="37796BEA"/>
    <w:rsid w:val="38137EAB"/>
    <w:rsid w:val="38462B7D"/>
    <w:rsid w:val="38934559"/>
    <w:rsid w:val="391C2993"/>
    <w:rsid w:val="3A2A0747"/>
    <w:rsid w:val="3A3E785D"/>
    <w:rsid w:val="3B7C4C07"/>
    <w:rsid w:val="3BB328D7"/>
    <w:rsid w:val="3C010F64"/>
    <w:rsid w:val="3C085C60"/>
    <w:rsid w:val="3C222B9B"/>
    <w:rsid w:val="3C6954AF"/>
    <w:rsid w:val="3CAF3BA6"/>
    <w:rsid w:val="3CBB206E"/>
    <w:rsid w:val="3CBF0F32"/>
    <w:rsid w:val="3CEC1036"/>
    <w:rsid w:val="3D015F84"/>
    <w:rsid w:val="3E1D259F"/>
    <w:rsid w:val="3E3E4CB3"/>
    <w:rsid w:val="3E723DCF"/>
    <w:rsid w:val="3F841505"/>
    <w:rsid w:val="3F93524C"/>
    <w:rsid w:val="3FC75BFF"/>
    <w:rsid w:val="401D5EC1"/>
    <w:rsid w:val="40507859"/>
    <w:rsid w:val="408D6B37"/>
    <w:rsid w:val="410E7C07"/>
    <w:rsid w:val="412C68AB"/>
    <w:rsid w:val="41744FE4"/>
    <w:rsid w:val="418A788F"/>
    <w:rsid w:val="418E5414"/>
    <w:rsid w:val="41955DAC"/>
    <w:rsid w:val="41BB25FB"/>
    <w:rsid w:val="421E7D41"/>
    <w:rsid w:val="42CC49FA"/>
    <w:rsid w:val="42FD2AAE"/>
    <w:rsid w:val="430C2D0E"/>
    <w:rsid w:val="43422D0B"/>
    <w:rsid w:val="439B73D3"/>
    <w:rsid w:val="43D474DA"/>
    <w:rsid w:val="43F931E4"/>
    <w:rsid w:val="441200AF"/>
    <w:rsid w:val="446D4740"/>
    <w:rsid w:val="451945FF"/>
    <w:rsid w:val="451D3402"/>
    <w:rsid w:val="452F4B04"/>
    <w:rsid w:val="45674E2D"/>
    <w:rsid w:val="459B20B4"/>
    <w:rsid w:val="45A162CD"/>
    <w:rsid w:val="46C37D04"/>
    <w:rsid w:val="479B78C0"/>
    <w:rsid w:val="483C4DB9"/>
    <w:rsid w:val="490A2F27"/>
    <w:rsid w:val="4AD75345"/>
    <w:rsid w:val="4BCD40C8"/>
    <w:rsid w:val="4C683EE3"/>
    <w:rsid w:val="4CBA1AAC"/>
    <w:rsid w:val="4D506A5A"/>
    <w:rsid w:val="4D7E3606"/>
    <w:rsid w:val="4DC06D21"/>
    <w:rsid w:val="4E6D3241"/>
    <w:rsid w:val="4EE77D5F"/>
    <w:rsid w:val="4FB82040"/>
    <w:rsid w:val="50237E6A"/>
    <w:rsid w:val="50DB3569"/>
    <w:rsid w:val="519E0114"/>
    <w:rsid w:val="51BC2DA9"/>
    <w:rsid w:val="51CE5C6C"/>
    <w:rsid w:val="51E746DB"/>
    <w:rsid w:val="52407136"/>
    <w:rsid w:val="529C1530"/>
    <w:rsid w:val="53BE7F4C"/>
    <w:rsid w:val="541115BE"/>
    <w:rsid w:val="54B321EB"/>
    <w:rsid w:val="54D74153"/>
    <w:rsid w:val="54D84760"/>
    <w:rsid w:val="550F5D13"/>
    <w:rsid w:val="55294508"/>
    <w:rsid w:val="55663F0B"/>
    <w:rsid w:val="55761A69"/>
    <w:rsid w:val="5590236E"/>
    <w:rsid w:val="55A4262D"/>
    <w:rsid w:val="55C44BBE"/>
    <w:rsid w:val="56745ACE"/>
    <w:rsid w:val="568C5DF4"/>
    <w:rsid w:val="56984696"/>
    <w:rsid w:val="56A859F1"/>
    <w:rsid w:val="57491C26"/>
    <w:rsid w:val="57847D5C"/>
    <w:rsid w:val="5841705A"/>
    <w:rsid w:val="58ED6A9D"/>
    <w:rsid w:val="590A7F26"/>
    <w:rsid w:val="592242BA"/>
    <w:rsid w:val="592D5508"/>
    <w:rsid w:val="59EB7134"/>
    <w:rsid w:val="5A1D3F88"/>
    <w:rsid w:val="5B145358"/>
    <w:rsid w:val="5B3A652A"/>
    <w:rsid w:val="5B47572D"/>
    <w:rsid w:val="5B8C4E25"/>
    <w:rsid w:val="5BCA2F03"/>
    <w:rsid w:val="5C151C80"/>
    <w:rsid w:val="5C1E34DF"/>
    <w:rsid w:val="5C1E5968"/>
    <w:rsid w:val="5C4C6FFF"/>
    <w:rsid w:val="5D472FDD"/>
    <w:rsid w:val="5D7C12E6"/>
    <w:rsid w:val="5D941486"/>
    <w:rsid w:val="5E50032A"/>
    <w:rsid w:val="5E501647"/>
    <w:rsid w:val="5EA42BA9"/>
    <w:rsid w:val="5ED52CB7"/>
    <w:rsid w:val="5FFF7696"/>
    <w:rsid w:val="600F7DB2"/>
    <w:rsid w:val="60574AA1"/>
    <w:rsid w:val="611B3E9F"/>
    <w:rsid w:val="614F2CD2"/>
    <w:rsid w:val="61665302"/>
    <w:rsid w:val="61D260B1"/>
    <w:rsid w:val="62311F87"/>
    <w:rsid w:val="624A02CE"/>
    <w:rsid w:val="62716736"/>
    <w:rsid w:val="62E220E0"/>
    <w:rsid w:val="62EA078C"/>
    <w:rsid w:val="63237BAB"/>
    <w:rsid w:val="634808EB"/>
    <w:rsid w:val="63FD3C94"/>
    <w:rsid w:val="642A1F5E"/>
    <w:rsid w:val="64B2415B"/>
    <w:rsid w:val="64BC1BBD"/>
    <w:rsid w:val="64FF04F8"/>
    <w:rsid w:val="657F2D42"/>
    <w:rsid w:val="65993834"/>
    <w:rsid w:val="65DD5C2C"/>
    <w:rsid w:val="669B5377"/>
    <w:rsid w:val="66BE37AB"/>
    <w:rsid w:val="673D732A"/>
    <w:rsid w:val="67B2125E"/>
    <w:rsid w:val="67B96ACB"/>
    <w:rsid w:val="67F151D3"/>
    <w:rsid w:val="67FC669A"/>
    <w:rsid w:val="6847086A"/>
    <w:rsid w:val="68686C9A"/>
    <w:rsid w:val="68DE4AAD"/>
    <w:rsid w:val="699827BC"/>
    <w:rsid w:val="69F546C4"/>
    <w:rsid w:val="6AC1042B"/>
    <w:rsid w:val="6B7602AE"/>
    <w:rsid w:val="6BC50CDD"/>
    <w:rsid w:val="6C2459E5"/>
    <w:rsid w:val="6C27202E"/>
    <w:rsid w:val="6C4D5602"/>
    <w:rsid w:val="6D091252"/>
    <w:rsid w:val="6D820732"/>
    <w:rsid w:val="6F0A61C2"/>
    <w:rsid w:val="6F222748"/>
    <w:rsid w:val="6F6E001A"/>
    <w:rsid w:val="6F8140F2"/>
    <w:rsid w:val="6F8F3A02"/>
    <w:rsid w:val="703300FF"/>
    <w:rsid w:val="709F1957"/>
    <w:rsid w:val="70B62E00"/>
    <w:rsid w:val="719862FC"/>
    <w:rsid w:val="71B16911"/>
    <w:rsid w:val="72450A64"/>
    <w:rsid w:val="7282422A"/>
    <w:rsid w:val="731A2304"/>
    <w:rsid w:val="73431101"/>
    <w:rsid w:val="73443517"/>
    <w:rsid w:val="73480C28"/>
    <w:rsid w:val="74117110"/>
    <w:rsid w:val="746133DD"/>
    <w:rsid w:val="7480130A"/>
    <w:rsid w:val="74913A48"/>
    <w:rsid w:val="74C57A14"/>
    <w:rsid w:val="7514126D"/>
    <w:rsid w:val="75295C02"/>
    <w:rsid w:val="75894347"/>
    <w:rsid w:val="759952E6"/>
    <w:rsid w:val="75ED663B"/>
    <w:rsid w:val="76587081"/>
    <w:rsid w:val="76A1005E"/>
    <w:rsid w:val="77993211"/>
    <w:rsid w:val="78EE3408"/>
    <w:rsid w:val="7925489F"/>
    <w:rsid w:val="79264919"/>
    <w:rsid w:val="793F2E71"/>
    <w:rsid w:val="79713E6D"/>
    <w:rsid w:val="79EC0ABA"/>
    <w:rsid w:val="79F65A42"/>
    <w:rsid w:val="7A2C73B0"/>
    <w:rsid w:val="7A331D84"/>
    <w:rsid w:val="7AD7638A"/>
    <w:rsid w:val="7ADC323E"/>
    <w:rsid w:val="7AF73778"/>
    <w:rsid w:val="7B0D668C"/>
    <w:rsid w:val="7B733FFE"/>
    <w:rsid w:val="7C1447C8"/>
    <w:rsid w:val="7C646E2F"/>
    <w:rsid w:val="7C94681C"/>
    <w:rsid w:val="7CA817D8"/>
    <w:rsid w:val="7CE601BF"/>
    <w:rsid w:val="7CF34F06"/>
    <w:rsid w:val="7D491640"/>
    <w:rsid w:val="7DAC4B31"/>
    <w:rsid w:val="7E594CD6"/>
    <w:rsid w:val="7E601733"/>
    <w:rsid w:val="7EC743E3"/>
    <w:rsid w:val="7EE46858"/>
    <w:rsid w:val="7F912B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37"/>
    <w:qFormat/>
    <w:uiPriority w:val="9"/>
    <w:pPr>
      <w:autoSpaceDE w:val="0"/>
      <w:autoSpaceDN w:val="0"/>
      <w:adjustRightInd w:val="0"/>
      <w:jc w:val="left"/>
      <w:outlineLvl w:val="0"/>
    </w:pPr>
    <w:rPr>
      <w:kern w:val="0"/>
      <w:sz w:val="20"/>
      <w:szCs w:val="24"/>
    </w:rPr>
  </w:style>
  <w:style w:type="paragraph" w:styleId="3">
    <w:name w:val="heading 2"/>
    <w:basedOn w:val="1"/>
    <w:next w:val="1"/>
    <w:link w:val="38"/>
    <w:qFormat/>
    <w:uiPriority w:val="9"/>
    <w:pPr>
      <w:autoSpaceDE w:val="0"/>
      <w:autoSpaceDN w:val="0"/>
      <w:adjustRightInd w:val="0"/>
      <w:jc w:val="left"/>
      <w:outlineLvl w:val="1"/>
    </w:pPr>
    <w:rPr>
      <w:kern w:val="0"/>
      <w:sz w:val="20"/>
      <w:szCs w:val="24"/>
    </w:rPr>
  </w:style>
  <w:style w:type="paragraph" w:styleId="4">
    <w:name w:val="heading 3"/>
    <w:basedOn w:val="1"/>
    <w:next w:val="5"/>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42"/>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3"/>
    <w:unhideWhenUsed/>
    <w:qFormat/>
    <w:uiPriority w:val="9"/>
    <w:pPr>
      <w:keepNext/>
      <w:keepLines/>
      <w:spacing w:before="240" w:after="64" w:line="320" w:lineRule="auto"/>
      <w:outlineLvl w:val="5"/>
    </w:pPr>
    <w:rPr>
      <w:rFonts w:ascii="Cambria" w:hAnsi="Cambria"/>
      <w:b/>
      <w:bCs/>
      <w:sz w:val="24"/>
      <w:szCs w:val="24"/>
    </w:rPr>
  </w:style>
  <w:style w:type="paragraph" w:styleId="9">
    <w:name w:val="heading 7"/>
    <w:basedOn w:val="1"/>
    <w:next w:val="1"/>
    <w:link w:val="44"/>
    <w:unhideWhenUsed/>
    <w:qFormat/>
    <w:uiPriority w:val="9"/>
    <w:pPr>
      <w:keepNext/>
      <w:keepLines/>
      <w:spacing w:before="240" w:after="64" w:line="320" w:lineRule="auto"/>
      <w:outlineLvl w:val="6"/>
    </w:pPr>
    <w:rPr>
      <w:b/>
      <w:bCs/>
      <w:sz w:val="24"/>
      <w:szCs w:val="24"/>
    </w:rPr>
  </w:style>
  <w:style w:type="character" w:default="1" w:styleId="24">
    <w:name w:val="Default Paragraph Font"/>
    <w:semiHidden/>
    <w:uiPriority w:val="0"/>
  </w:style>
  <w:style w:type="table" w:default="1" w:styleId="2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3"/>
      <w:tblCellMar>
        <w:top w:w="0" w:type="dxa"/>
        <w:left w:w="108" w:type="dxa"/>
        <w:bottom w:w="0" w:type="dxa"/>
        <w:right w:w="108" w:type="dxa"/>
      </w:tblCellMar>
    </w:tblPr>
  </w:style>
  <w:style w:type="paragraph" w:styleId="5">
    <w:name w:val="Normal Indent"/>
    <w:basedOn w:val="1"/>
    <w:link w:val="39"/>
    <w:qFormat/>
    <w:uiPriority w:val="0"/>
    <w:pPr>
      <w:adjustRightInd w:val="0"/>
      <w:spacing w:line="360" w:lineRule="atLeast"/>
      <w:ind w:firstLine="420" w:firstLineChars="200"/>
      <w:jc w:val="left"/>
      <w:textAlignment w:val="baseline"/>
    </w:pPr>
    <w:rPr>
      <w:kern w:val="0"/>
      <w:sz w:val="24"/>
    </w:rPr>
  </w:style>
  <w:style w:type="paragraph" w:styleId="10">
    <w:name w:val="caption"/>
    <w:basedOn w:val="1"/>
    <w:next w:val="1"/>
    <w:link w:val="56"/>
    <w:qFormat/>
    <w:uiPriority w:val="0"/>
    <w:pPr>
      <w:spacing w:before="152" w:after="160"/>
    </w:pPr>
    <w:rPr>
      <w:rFonts w:ascii="Arial" w:hAnsi="Arial" w:eastAsia="黑体"/>
    </w:rPr>
  </w:style>
  <w:style w:type="paragraph" w:styleId="11">
    <w:name w:val="Document Map"/>
    <w:basedOn w:val="1"/>
    <w:link w:val="65"/>
    <w:unhideWhenUsed/>
    <w:uiPriority w:val="99"/>
    <w:rPr>
      <w:rFonts w:ascii="宋体" w:hAnsi="Calibri"/>
      <w:sz w:val="18"/>
      <w:szCs w:val="18"/>
    </w:rPr>
  </w:style>
  <w:style w:type="paragraph" w:styleId="12">
    <w:name w:val="annotation text"/>
    <w:basedOn w:val="1"/>
    <w:link w:val="64"/>
    <w:unhideWhenUsed/>
    <w:uiPriority w:val="0"/>
    <w:pPr>
      <w:jc w:val="left"/>
    </w:pPr>
    <w:rPr>
      <w:rFonts w:ascii="Calibri" w:hAnsi="Calibri"/>
      <w:szCs w:val="22"/>
    </w:rPr>
  </w:style>
  <w:style w:type="paragraph" w:styleId="13">
    <w:name w:val="Body Text"/>
    <w:basedOn w:val="1"/>
    <w:link w:val="55"/>
    <w:qFormat/>
    <w:uiPriority w:val="0"/>
    <w:rPr>
      <w:i/>
      <w:sz w:val="18"/>
    </w:rPr>
  </w:style>
  <w:style w:type="paragraph" w:styleId="14">
    <w:name w:val="Body Text Indent"/>
    <w:basedOn w:val="1"/>
    <w:uiPriority w:val="0"/>
    <w:pPr>
      <w:spacing w:line="500" w:lineRule="exact"/>
      <w:ind w:firstLine="420"/>
    </w:pPr>
  </w:style>
  <w:style w:type="paragraph" w:styleId="15">
    <w:name w:val="Plain Text"/>
    <w:basedOn w:val="1"/>
    <w:link w:val="54"/>
    <w:qFormat/>
    <w:uiPriority w:val="0"/>
    <w:pPr>
      <w:spacing w:before="156" w:beforeLines="50" w:after="156" w:afterLines="50" w:line="400" w:lineRule="exact"/>
    </w:pPr>
    <w:rPr>
      <w:rFonts w:ascii="宋体" w:hAnsi="Courier New"/>
      <w:sz w:val="24"/>
      <w:szCs w:val="24"/>
    </w:rPr>
  </w:style>
  <w:style w:type="paragraph" w:styleId="16">
    <w:name w:val="Date"/>
    <w:basedOn w:val="1"/>
    <w:next w:val="1"/>
    <w:uiPriority w:val="0"/>
  </w:style>
  <w:style w:type="paragraph" w:styleId="17">
    <w:name w:val="Balloon Text"/>
    <w:basedOn w:val="1"/>
    <w:link w:val="67"/>
    <w:unhideWhenUsed/>
    <w:uiPriority w:val="99"/>
    <w:rPr>
      <w:rFonts w:ascii="Calibri" w:hAnsi="Calibri"/>
      <w:sz w:val="18"/>
      <w:szCs w:val="18"/>
    </w:rPr>
  </w:style>
  <w:style w:type="paragraph" w:styleId="18">
    <w:name w:val="footer"/>
    <w:basedOn w:val="1"/>
    <w:link w:val="53"/>
    <w:uiPriority w:val="99"/>
    <w:pPr>
      <w:tabs>
        <w:tab w:val="center" w:pos="4153"/>
        <w:tab w:val="right" w:pos="8306"/>
      </w:tabs>
      <w:snapToGrid w:val="0"/>
      <w:jc w:val="left"/>
    </w:pPr>
    <w:rPr>
      <w:sz w:val="18"/>
    </w:rPr>
  </w:style>
  <w:style w:type="paragraph" w:styleId="19">
    <w:name w:val="header"/>
    <w:basedOn w:val="1"/>
    <w:link w:val="52"/>
    <w:uiPriority w:val="99"/>
    <w:pPr>
      <w:pBdr>
        <w:bottom w:val="single" w:color="auto" w:sz="6" w:space="1"/>
      </w:pBdr>
      <w:tabs>
        <w:tab w:val="center" w:pos="4153"/>
        <w:tab w:val="right" w:pos="8306"/>
      </w:tabs>
      <w:snapToGrid w:val="0"/>
      <w:jc w:val="center"/>
    </w:pPr>
    <w:rPr>
      <w:sz w:val="18"/>
    </w:rPr>
  </w:style>
  <w:style w:type="paragraph" w:styleId="20">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paragraph" w:styleId="21">
    <w:name w:val="Title"/>
    <w:basedOn w:val="1"/>
    <w:next w:val="1"/>
    <w:link w:val="86"/>
    <w:qFormat/>
    <w:uiPriority w:val="0"/>
    <w:pPr>
      <w:spacing w:before="240" w:after="60"/>
      <w:jc w:val="center"/>
      <w:outlineLvl w:val="0"/>
    </w:pPr>
    <w:rPr>
      <w:rFonts w:ascii="Cambria" w:hAnsi="Cambria"/>
      <w:b/>
      <w:bCs/>
      <w:sz w:val="32"/>
      <w:szCs w:val="32"/>
    </w:rPr>
  </w:style>
  <w:style w:type="paragraph" w:styleId="22">
    <w:name w:val="annotation subject"/>
    <w:basedOn w:val="12"/>
    <w:next w:val="12"/>
    <w:link w:val="66"/>
    <w:unhideWhenUsed/>
    <w:uiPriority w:val="99"/>
    <w:rPr>
      <w:b/>
      <w:bCs/>
    </w:rPr>
  </w:style>
  <w:style w:type="character" w:styleId="25">
    <w:name w:val="Strong"/>
    <w:qFormat/>
    <w:uiPriority w:val="0"/>
    <w:rPr>
      <w:b/>
    </w:rPr>
  </w:style>
  <w:style w:type="character" w:styleId="26">
    <w:name w:val="page number"/>
    <w:basedOn w:val="24"/>
    <w:uiPriority w:val="0"/>
  </w:style>
  <w:style w:type="character" w:styleId="27">
    <w:name w:val="FollowedHyperlink"/>
    <w:uiPriority w:val="0"/>
    <w:rPr>
      <w:color w:val="3F88BF"/>
      <w:u w:val="none"/>
    </w:rPr>
  </w:style>
  <w:style w:type="character" w:styleId="28">
    <w:name w:val="Emphasis"/>
    <w:qFormat/>
    <w:uiPriority w:val="0"/>
  </w:style>
  <w:style w:type="character" w:styleId="29">
    <w:name w:val="HTML Definition"/>
    <w:uiPriority w:val="0"/>
  </w:style>
  <w:style w:type="character" w:styleId="30">
    <w:name w:val="HTML Variable"/>
    <w:uiPriority w:val="0"/>
  </w:style>
  <w:style w:type="character" w:styleId="31">
    <w:name w:val="Hyperlink"/>
    <w:uiPriority w:val="0"/>
    <w:rPr>
      <w:color w:val="3F88BF"/>
      <w:u w:val="none"/>
    </w:rPr>
  </w:style>
  <w:style w:type="character" w:styleId="32">
    <w:name w:val="HTML Code"/>
    <w:uiPriority w:val="0"/>
    <w:rPr>
      <w:rFonts w:hint="default" w:ascii="Arial" w:hAnsi="Arial" w:eastAsia="Arial" w:cs="Arial"/>
      <w:sz w:val="20"/>
    </w:rPr>
  </w:style>
  <w:style w:type="character" w:styleId="33">
    <w:name w:val="annotation reference"/>
    <w:unhideWhenUsed/>
    <w:uiPriority w:val="0"/>
    <w:rPr>
      <w:sz w:val="21"/>
      <w:szCs w:val="21"/>
    </w:rPr>
  </w:style>
  <w:style w:type="character" w:styleId="34">
    <w:name w:val="HTML Cite"/>
    <w:uiPriority w:val="0"/>
  </w:style>
  <w:style w:type="character" w:styleId="35">
    <w:name w:val="HTML Keyboard"/>
    <w:uiPriority w:val="0"/>
    <w:rPr>
      <w:rFonts w:hint="default" w:ascii="Arial" w:hAnsi="Arial" w:eastAsia="Arial" w:cs="Arial"/>
      <w:sz w:val="20"/>
    </w:rPr>
  </w:style>
  <w:style w:type="character" w:styleId="36">
    <w:name w:val="HTML Sample"/>
    <w:uiPriority w:val="0"/>
    <w:rPr>
      <w:rFonts w:hint="eastAsia" w:ascii="Arial" w:hAnsi="Arial" w:eastAsia="Arial" w:cs="Arial"/>
    </w:rPr>
  </w:style>
  <w:style w:type="character" w:customStyle="1" w:styleId="37">
    <w:name w:val="标题 1 Char"/>
    <w:link w:val="2"/>
    <w:uiPriority w:val="9"/>
    <w:rPr>
      <w:szCs w:val="24"/>
    </w:rPr>
  </w:style>
  <w:style w:type="character" w:customStyle="1" w:styleId="38">
    <w:name w:val="标题 2 Char"/>
    <w:link w:val="3"/>
    <w:uiPriority w:val="9"/>
    <w:rPr>
      <w:szCs w:val="24"/>
    </w:rPr>
  </w:style>
  <w:style w:type="character" w:customStyle="1" w:styleId="39">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5"/>
    <w:qFormat/>
    <w:uiPriority w:val="0"/>
    <w:rPr>
      <w:sz w:val="24"/>
    </w:rPr>
  </w:style>
  <w:style w:type="character" w:customStyle="1" w:styleId="40">
    <w:name w:val="标题 3 Char"/>
    <w:aliases w:val="3.三级标题 Char,H3 Char,标题 3 Char Char Char,h3 Char,Level 3 Topic Heading Char"/>
    <w:link w:val="4"/>
    <w:uiPriority w:val="0"/>
    <w:rPr>
      <w:b/>
      <w:bCs/>
      <w:kern w:val="2"/>
      <w:sz w:val="32"/>
      <w:szCs w:val="32"/>
    </w:rPr>
  </w:style>
  <w:style w:type="character" w:customStyle="1" w:styleId="41">
    <w:name w:val="标题 4 Char"/>
    <w:link w:val="6"/>
    <w:uiPriority w:val="9"/>
    <w:rPr>
      <w:rFonts w:ascii="Cambria" w:hAnsi="Cambria" w:eastAsia="宋体" w:cs="Times New Roman"/>
      <w:b/>
      <w:bCs/>
      <w:kern w:val="2"/>
      <w:sz w:val="28"/>
      <w:szCs w:val="28"/>
    </w:rPr>
  </w:style>
  <w:style w:type="character" w:customStyle="1" w:styleId="42">
    <w:name w:val="标题 5 Char"/>
    <w:link w:val="7"/>
    <w:uiPriority w:val="9"/>
    <w:rPr>
      <w:b/>
      <w:bCs/>
      <w:kern w:val="2"/>
      <w:sz w:val="28"/>
      <w:szCs w:val="28"/>
    </w:rPr>
  </w:style>
  <w:style w:type="character" w:customStyle="1" w:styleId="43">
    <w:name w:val="标题 6 Char"/>
    <w:link w:val="8"/>
    <w:qFormat/>
    <w:uiPriority w:val="9"/>
    <w:rPr>
      <w:rFonts w:ascii="Cambria" w:hAnsi="Cambria" w:eastAsia="宋体" w:cs="Times New Roman"/>
      <w:b/>
      <w:bCs/>
      <w:kern w:val="2"/>
      <w:sz w:val="24"/>
      <w:szCs w:val="24"/>
    </w:rPr>
  </w:style>
  <w:style w:type="character" w:customStyle="1" w:styleId="44">
    <w:name w:val="标题 7 Char"/>
    <w:link w:val="9"/>
    <w:uiPriority w:val="9"/>
    <w:rPr>
      <w:b/>
      <w:bCs/>
      <w:kern w:val="2"/>
      <w:sz w:val="24"/>
      <w:szCs w:val="24"/>
    </w:rPr>
  </w:style>
  <w:style w:type="character" w:customStyle="1" w:styleId="45">
    <w:name w:val="selected"/>
    <w:uiPriority w:val="0"/>
    <w:rPr>
      <w:shd w:val="clear" w:color="auto" w:fill="B00006"/>
    </w:rPr>
  </w:style>
  <w:style w:type="character" w:customStyle="1" w:styleId="46">
    <w:name w:val="answer-title10"/>
    <w:basedOn w:val="24"/>
    <w:uiPriority w:val="0"/>
  </w:style>
  <w:style w:type="character" w:customStyle="1" w:styleId="47">
    <w:name w:val="displayarti"/>
    <w:uiPriority w:val="0"/>
    <w:rPr>
      <w:color w:val="FFFFFF"/>
      <w:shd w:val="clear" w:color="auto" w:fill="A00000"/>
    </w:rPr>
  </w:style>
  <w:style w:type="character" w:customStyle="1" w:styleId="48">
    <w:name w:val="release-day"/>
    <w:uiPriority w:val="0"/>
    <w:rPr>
      <w:bdr w:val="single" w:color="BDEBB0" w:sz="6" w:space="0"/>
      <w:shd w:val="clear" w:color="auto" w:fill="F5FFF1"/>
    </w:rPr>
  </w:style>
  <w:style w:type="character" w:customStyle="1" w:styleId="49">
    <w:name w:val="num"/>
    <w:uiPriority w:val="0"/>
    <w:rPr>
      <w:b/>
      <w:color w:val="FF7800"/>
    </w:rPr>
  </w:style>
  <w:style w:type="character" w:customStyle="1" w:styleId="50">
    <w:name w:val="gpa"/>
    <w:uiPriority w:val="0"/>
    <w:rPr>
      <w:rFonts w:ascii="Arial" w:hAnsi="Arial" w:cs="Arial"/>
      <w:sz w:val="15"/>
      <w:szCs w:val="15"/>
    </w:rPr>
  </w:style>
  <w:style w:type="paragraph" w:customStyle="1" w:styleId="51">
    <w:name w:val=" Char Char Char Char"/>
    <w:basedOn w:val="1"/>
    <w:uiPriority w:val="0"/>
    <w:rPr>
      <w:rFonts w:ascii="仿宋_GB2312" w:eastAsia="仿宋_GB2312"/>
      <w:b/>
      <w:sz w:val="32"/>
      <w:szCs w:val="32"/>
    </w:rPr>
  </w:style>
  <w:style w:type="character" w:customStyle="1" w:styleId="52">
    <w:name w:val="页眉 Char"/>
    <w:link w:val="19"/>
    <w:uiPriority w:val="99"/>
    <w:rPr>
      <w:kern w:val="2"/>
      <w:sz w:val="18"/>
    </w:rPr>
  </w:style>
  <w:style w:type="character" w:customStyle="1" w:styleId="53">
    <w:name w:val="页脚 Char"/>
    <w:link w:val="18"/>
    <w:uiPriority w:val="99"/>
    <w:rPr>
      <w:kern w:val="2"/>
      <w:sz w:val="18"/>
    </w:rPr>
  </w:style>
  <w:style w:type="character" w:customStyle="1" w:styleId="54">
    <w:name w:val="纯文本 Char"/>
    <w:link w:val="15"/>
    <w:uiPriority w:val="0"/>
    <w:rPr>
      <w:rFonts w:ascii="宋体" w:hAnsi="Courier New"/>
      <w:kern w:val="2"/>
      <w:sz w:val="24"/>
      <w:szCs w:val="24"/>
    </w:rPr>
  </w:style>
  <w:style w:type="character" w:customStyle="1" w:styleId="55">
    <w:name w:val="正文文本 Char"/>
    <w:aliases w:val="5.正文 Char"/>
    <w:link w:val="13"/>
    <w:qFormat/>
    <w:locked/>
    <w:uiPriority w:val="0"/>
    <w:rPr>
      <w:i/>
      <w:kern w:val="2"/>
      <w:sz w:val="18"/>
    </w:rPr>
  </w:style>
  <w:style w:type="character" w:customStyle="1" w:styleId="56">
    <w:name w:val="题注 Char"/>
    <w:link w:val="10"/>
    <w:qFormat/>
    <w:uiPriority w:val="0"/>
    <w:rPr>
      <w:rFonts w:ascii="Arial" w:hAnsi="Arial" w:eastAsia="黑体"/>
      <w:kern w:val="2"/>
      <w:sz w:val="21"/>
    </w:rPr>
  </w:style>
  <w:style w:type="paragraph" w:customStyle="1" w:styleId="57">
    <w:name w:val="默认段落字体 Para Char Char Char Char"/>
    <w:basedOn w:val="1"/>
    <w:uiPriority w:val="0"/>
    <w:pPr>
      <w:adjustRightInd w:val="0"/>
      <w:spacing w:line="360" w:lineRule="auto"/>
    </w:pPr>
    <w:rPr>
      <w:kern w:val="0"/>
      <w:sz w:val="24"/>
    </w:rPr>
  </w:style>
  <w:style w:type="paragraph" w:customStyle="1" w:styleId="58">
    <w:name w:val="Char Char Char1 Char"/>
    <w:basedOn w:val="1"/>
    <w:semiHidden/>
    <w:uiPriority w:val="0"/>
    <w:pPr>
      <w:spacing w:line="360" w:lineRule="auto"/>
      <w:ind w:firstLine="200" w:firstLineChars="200"/>
    </w:pPr>
    <w:rPr>
      <w:rFonts w:ascii="宋体" w:hAnsi="宋体" w:cs="宋体"/>
      <w:sz w:val="24"/>
      <w:szCs w:val="24"/>
    </w:rPr>
  </w:style>
  <w:style w:type="paragraph" w:customStyle="1" w:styleId="59">
    <w:name w:val="样式 表格正文 + 两端对齐"/>
    <w:basedOn w:val="1"/>
    <w:uiPriority w:val="0"/>
    <w:pPr>
      <w:spacing w:line="300" w:lineRule="auto"/>
    </w:pPr>
    <w:rPr>
      <w:sz w:val="24"/>
    </w:rPr>
  </w:style>
  <w:style w:type="paragraph" w:customStyle="1" w:styleId="60">
    <w:name w:val="Char Char Char Char Char Char Char"/>
    <w:basedOn w:val="1"/>
    <w:uiPriority w:val="0"/>
    <w:pPr>
      <w:widowControl/>
      <w:spacing w:after="160" w:line="240" w:lineRule="exact"/>
      <w:jc w:val="left"/>
    </w:pPr>
    <w:rPr>
      <w:rFonts w:ascii="宋体" w:hAnsi="宋体"/>
      <w:b/>
      <w:sz w:val="24"/>
    </w:rPr>
  </w:style>
  <w:style w:type="paragraph" w:customStyle="1" w:styleId="61">
    <w:name w:val=" Char"/>
    <w:basedOn w:val="1"/>
    <w:uiPriority w:val="0"/>
    <w:rPr>
      <w:rFonts w:ascii="Tahoma" w:hAnsi="Tahoma"/>
      <w:sz w:val="24"/>
    </w:rPr>
  </w:style>
  <w:style w:type="paragraph" w:customStyle="1" w:styleId="62">
    <w:name w:val="此正文"/>
    <w:basedOn w:val="1"/>
    <w:uiPriority w:val="0"/>
    <w:pPr>
      <w:spacing w:line="360" w:lineRule="auto"/>
      <w:ind w:firstLine="200" w:firstLineChars="200"/>
    </w:pPr>
    <w:rPr>
      <w:sz w:val="24"/>
      <w:szCs w:val="24"/>
    </w:rPr>
  </w:style>
  <w:style w:type="paragraph" w:customStyle="1" w:styleId="63">
    <w:name w:val=" Char Char Char Char1 Char Char Char Char"/>
    <w:basedOn w:val="1"/>
    <w:uiPriority w:val="0"/>
    <w:pPr>
      <w:widowControl/>
      <w:spacing w:after="160" w:line="240" w:lineRule="exact"/>
      <w:jc w:val="left"/>
    </w:pPr>
  </w:style>
  <w:style w:type="character" w:customStyle="1" w:styleId="64">
    <w:name w:val="批注文字 Char"/>
    <w:link w:val="12"/>
    <w:uiPriority w:val="0"/>
    <w:rPr>
      <w:rFonts w:ascii="Calibri" w:hAnsi="Calibri" w:eastAsia="宋体" w:cs="Times New Roman"/>
      <w:kern w:val="2"/>
      <w:sz w:val="21"/>
      <w:szCs w:val="22"/>
    </w:rPr>
  </w:style>
  <w:style w:type="character" w:customStyle="1" w:styleId="65">
    <w:name w:val="文档结构图 Char"/>
    <w:link w:val="11"/>
    <w:uiPriority w:val="99"/>
    <w:rPr>
      <w:rFonts w:ascii="宋体" w:hAnsi="Calibri" w:cs="Times New Roman"/>
      <w:kern w:val="2"/>
      <w:sz w:val="18"/>
      <w:szCs w:val="18"/>
    </w:rPr>
  </w:style>
  <w:style w:type="character" w:customStyle="1" w:styleId="66">
    <w:name w:val="批注主题 Char"/>
    <w:link w:val="22"/>
    <w:uiPriority w:val="99"/>
    <w:rPr>
      <w:rFonts w:ascii="Calibri" w:hAnsi="Calibri" w:eastAsia="宋体" w:cs="Times New Roman"/>
      <w:b/>
      <w:bCs/>
      <w:kern w:val="2"/>
      <w:sz w:val="21"/>
      <w:szCs w:val="22"/>
    </w:rPr>
  </w:style>
  <w:style w:type="character" w:customStyle="1" w:styleId="67">
    <w:name w:val="批注框文本 Char"/>
    <w:link w:val="17"/>
    <w:uiPriority w:val="99"/>
    <w:rPr>
      <w:rFonts w:ascii="Calibri" w:hAnsi="Calibri" w:eastAsia="宋体" w:cs="Times New Roman"/>
      <w:kern w:val="2"/>
      <w:sz w:val="18"/>
      <w:szCs w:val="18"/>
    </w:rPr>
  </w:style>
  <w:style w:type="character" w:customStyle="1" w:styleId="68">
    <w:name w:val="列出段落 Char"/>
    <w:aliases w:val="模式5 Char,AAA Char,lp1 Char,List Paragraph1 Char,stc标题4 Char,编号 Char,项目符号小标题 Char,List Char,Bullet List Char,FooterText Char,numbered Char,Paragraphe de liste1 Char,符号列表 Char,正文.制度 Char,List Paragraph Char,段落样式 Char"/>
    <w:link w:val="69"/>
    <w:locked/>
    <w:uiPriority w:val="34"/>
    <w:rPr>
      <w:rFonts w:ascii="Calibri" w:hAnsi="Calibri" w:eastAsia="宋体" w:cs="Times New Roman"/>
      <w:kern w:val="2"/>
      <w:sz w:val="21"/>
      <w:szCs w:val="22"/>
    </w:rPr>
  </w:style>
  <w:style w:type="paragraph" w:styleId="69">
    <w:name w:val="List Paragraph"/>
    <w:basedOn w:val="1"/>
    <w:link w:val="68"/>
    <w:qFormat/>
    <w:uiPriority w:val="34"/>
    <w:pPr>
      <w:ind w:firstLine="420" w:firstLineChars="200"/>
    </w:pPr>
    <w:rPr>
      <w:rFonts w:ascii="Calibri" w:hAnsi="Calibri"/>
      <w:szCs w:val="22"/>
    </w:rPr>
  </w:style>
  <w:style w:type="paragraph" w:customStyle="1" w:styleId="70">
    <w:name w:val="c正文"/>
    <w:basedOn w:val="1"/>
    <w:qFormat/>
    <w:uiPriority w:val="0"/>
    <w:pPr>
      <w:widowControl/>
      <w:spacing w:line="360" w:lineRule="auto"/>
      <w:ind w:firstLine="200" w:firstLineChars="200"/>
      <w:jc w:val="left"/>
    </w:pPr>
    <w:rPr>
      <w:kern w:val="0"/>
      <w:sz w:val="24"/>
      <w:lang w:eastAsia="en-US"/>
    </w:rPr>
  </w:style>
  <w:style w:type="paragraph" w:customStyle="1" w:styleId="71">
    <w:name w:val="p0"/>
    <w:basedOn w:val="1"/>
    <w:uiPriority w:val="0"/>
    <w:pPr>
      <w:spacing w:line="360" w:lineRule="auto"/>
    </w:pPr>
    <w:rPr>
      <w:kern w:val="0"/>
      <w:szCs w:val="21"/>
    </w:rPr>
  </w:style>
  <w:style w:type="paragraph" w:customStyle="1" w:styleId="72">
    <w:name w:val="p20"/>
    <w:basedOn w:val="1"/>
    <w:uiPriority w:val="0"/>
    <w:pPr>
      <w:spacing w:line="360" w:lineRule="auto"/>
    </w:pPr>
    <w:rPr>
      <w:kern w:val="0"/>
      <w:szCs w:val="21"/>
    </w:rPr>
  </w:style>
  <w:style w:type="paragraph" w:customStyle="1" w:styleId="73">
    <w:name w:val="p16"/>
    <w:basedOn w:val="1"/>
    <w:uiPriority w:val="0"/>
    <w:rPr>
      <w:kern w:val="0"/>
      <w:szCs w:val="21"/>
    </w:rPr>
  </w:style>
  <w:style w:type="character" w:customStyle="1" w:styleId="74">
    <w:name w:val="列出段落 Char1"/>
    <w:link w:val="75"/>
    <w:qFormat/>
    <w:locked/>
    <w:uiPriority w:val="34"/>
    <w:rPr>
      <w:rFonts w:ascii="宋体" w:hAnsi="Calibri" w:cs="宋体"/>
      <w:sz w:val="24"/>
    </w:rPr>
  </w:style>
  <w:style w:type="paragraph" w:customStyle="1" w:styleId="75">
    <w:name w:val="列出段落4"/>
    <w:basedOn w:val="1"/>
    <w:link w:val="74"/>
    <w:qFormat/>
    <w:uiPriority w:val="34"/>
    <w:pPr>
      <w:spacing w:line="360" w:lineRule="auto"/>
      <w:ind w:firstLine="420" w:firstLineChars="200"/>
    </w:pPr>
    <w:rPr>
      <w:rFonts w:ascii="宋体" w:hAnsi="Calibri"/>
      <w:kern w:val="0"/>
      <w:sz w:val="24"/>
    </w:rPr>
  </w:style>
  <w:style w:type="paragraph" w:customStyle="1" w:styleId="76">
    <w:name w:val="GP正文(首行缩进)"/>
    <w:basedOn w:val="1"/>
    <w:link w:val="77"/>
    <w:qFormat/>
    <w:uiPriority w:val="0"/>
    <w:pPr>
      <w:spacing w:line="360" w:lineRule="auto"/>
      <w:ind w:firstLine="200" w:firstLineChars="200"/>
    </w:pPr>
    <w:rPr>
      <w:kern w:val="0"/>
      <w:sz w:val="24"/>
      <w:szCs w:val="21"/>
    </w:rPr>
  </w:style>
  <w:style w:type="character" w:customStyle="1" w:styleId="77">
    <w:name w:val="GP正文(首行缩进) Char"/>
    <w:link w:val="76"/>
    <w:uiPriority w:val="0"/>
    <w:rPr>
      <w:sz w:val="24"/>
      <w:szCs w:val="21"/>
    </w:rPr>
  </w:style>
  <w:style w:type="paragraph" w:customStyle="1" w:styleId="78">
    <w:name w:val="G-正文"/>
    <w:basedOn w:val="1"/>
    <w:qFormat/>
    <w:uiPriority w:val="0"/>
    <w:pPr>
      <w:spacing w:line="360" w:lineRule="auto"/>
      <w:ind w:firstLine="200" w:firstLineChars="200"/>
    </w:pPr>
    <w:rPr>
      <w:sz w:val="24"/>
      <w:szCs w:val="22"/>
    </w:rPr>
  </w:style>
  <w:style w:type="paragraph" w:customStyle="1" w:styleId="79">
    <w:name w:val="Normal1"/>
    <w:uiPriority w:val="99"/>
    <w:pPr>
      <w:jc w:val="both"/>
    </w:pPr>
    <w:rPr>
      <w:kern w:val="2"/>
      <w:sz w:val="21"/>
      <w:szCs w:val="21"/>
      <w:lang w:val="en-US" w:eastAsia="zh-CN" w:bidi="ar-SA"/>
    </w:rPr>
  </w:style>
  <w:style w:type="paragraph" w:customStyle="1" w:styleId="80">
    <w:name w:val="my正文"/>
    <w:basedOn w:val="1"/>
    <w:uiPriority w:val="99"/>
    <w:pPr>
      <w:spacing w:line="360" w:lineRule="auto"/>
      <w:ind w:firstLine="480" w:firstLineChars="200"/>
    </w:pPr>
    <w:rPr>
      <w:rFonts w:ascii="等线" w:hAnsi="等线" w:cs="等线"/>
      <w:sz w:val="24"/>
      <w:szCs w:val="24"/>
    </w:rPr>
  </w:style>
  <w:style w:type="character" w:customStyle="1" w:styleId="81">
    <w:name w:val="正文00 Char"/>
    <w:link w:val="82"/>
    <w:uiPriority w:val="0"/>
    <w:rPr>
      <w:sz w:val="24"/>
      <w:szCs w:val="24"/>
    </w:rPr>
  </w:style>
  <w:style w:type="paragraph" w:customStyle="1" w:styleId="82">
    <w:name w:val="正文00"/>
    <w:basedOn w:val="1"/>
    <w:link w:val="81"/>
    <w:qFormat/>
    <w:uiPriority w:val="0"/>
    <w:pPr>
      <w:spacing w:line="360" w:lineRule="auto"/>
      <w:ind w:firstLine="480" w:firstLineChars="200"/>
    </w:pPr>
    <w:rPr>
      <w:kern w:val="0"/>
      <w:sz w:val="24"/>
      <w:szCs w:val="24"/>
    </w:rPr>
  </w:style>
  <w:style w:type="paragraph" w:customStyle="1" w:styleId="83">
    <w:name w:val="列出段落2"/>
    <w:basedOn w:val="1"/>
    <w:qFormat/>
    <w:uiPriority w:val="34"/>
    <w:pPr>
      <w:ind w:firstLine="420" w:firstLineChars="200"/>
    </w:pPr>
    <w:rPr>
      <w:szCs w:val="24"/>
    </w:rPr>
  </w:style>
  <w:style w:type="character" w:customStyle="1" w:styleId="84">
    <w:name w:val="AR_Head4 Char"/>
    <w:link w:val="85"/>
    <w:uiPriority w:val="0"/>
    <w:rPr>
      <w:b/>
      <w:bCs/>
      <w:sz w:val="22"/>
      <w:lang w:val="en-US" w:eastAsia="en-US" w:bidi="ar-SA"/>
    </w:rPr>
  </w:style>
  <w:style w:type="paragraph" w:customStyle="1" w:styleId="85">
    <w:name w:val="AR_Head4"/>
    <w:next w:val="1"/>
    <w:link w:val="84"/>
    <w:uiPriority w:val="0"/>
    <w:pPr>
      <w:keepNext/>
      <w:spacing w:before="120"/>
    </w:pPr>
    <w:rPr>
      <w:b/>
      <w:bCs/>
      <w:sz w:val="22"/>
      <w:lang w:val="en-US" w:eastAsia="en-US" w:bidi="ar-SA"/>
    </w:rPr>
  </w:style>
  <w:style w:type="character" w:customStyle="1" w:styleId="86">
    <w:name w:val="标题 Char"/>
    <w:link w:val="21"/>
    <w:uiPriority w:val="0"/>
    <w:rPr>
      <w:rFonts w:ascii="Cambria" w:hAnsi="Cambria" w:cs="Times New Roman"/>
      <w:b/>
      <w:bCs/>
      <w:kern w:val="2"/>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emf" Type="http://schemas.openxmlformats.org/officeDocument/2006/relationships/imag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embeddings/oleObject1.bin" Type="http://schemas.openxmlformats.org/officeDocument/2006/relationships/oleObject"/></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119</Pages>
  <Words>13370</Words>
  <Characters>76213</Characters>
  <Lines>635</Lines>
  <Paragraphs>178</Paragraphs>
  <TotalTime>0</TotalTime>
  <ScaleCrop>false</ScaleCrop>
  <LinksUpToDate>false</LinksUpToDate>
  <CharactersWithSpaces>89405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2000-02-13T08:39:00Z</dcterms:created>
  <dc:creator>guest</dc:creator>
  <cp:lastModifiedBy>WPS_1701756769</cp:lastModifiedBy>
  <cp:lastPrinted>2020-06-10T06:49:00Z</cp:lastPrinted>
  <dcterms:modified xsi:type="dcterms:W3CDTF">2024-02-22T09:19:19Z</dcterms:modified>
  <cp:revision>54</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4CF55A85586D4C1FA1F518756E7AA816_13</vt:lpwstr>
  </property>
</Properties>
</file>