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hint="eastAsia" w:ascii="黑体" w:eastAsia="黑体"/>
          <w:b/>
          <w:color w:val="auto"/>
          <w:sz w:val="48"/>
          <w:szCs w:val="48"/>
        </w:rPr>
      </w:pPr>
      <w:bookmarkStart w:id="9" w:name="_GoBack"/>
      <w:bookmarkEnd w:id="9"/>
    </w:p>
    <w:p>
      <w:pPr>
        <w:spacing w:after="120"/>
        <w:jc w:val="center"/>
        <w:rPr>
          <w:rFonts w:hint="eastAsia" w:ascii="黑体" w:eastAsia="黑体"/>
          <w:b/>
          <w:color w:val="auto"/>
          <w:sz w:val="48"/>
          <w:szCs w:val="48"/>
        </w:rPr>
      </w:pPr>
      <w:r>
        <w:rPr>
          <w:rFonts w:hint="eastAsia" w:ascii="黑体" w:eastAsia="黑体"/>
          <w:b/>
          <w:color w:val="auto"/>
          <w:sz w:val="48"/>
          <w:szCs w:val="48"/>
        </w:rPr>
        <w:t>政 府 采 购 项 目</w:t>
      </w:r>
    </w:p>
    <w:p>
      <w:pPr>
        <w:spacing w:after="120"/>
        <w:jc w:val="center"/>
        <w:rPr>
          <w:rFonts w:hint="eastAsia" w:ascii="黑体" w:eastAsia="黑体"/>
          <w:b/>
          <w:color w:val="auto"/>
          <w:sz w:val="72"/>
        </w:rPr>
      </w:pPr>
      <w:r>
        <w:rPr>
          <w:rFonts w:hint="eastAsia" w:ascii="黑体" w:eastAsia="黑体"/>
          <w:b/>
          <w:color w:val="auto"/>
          <w:sz w:val="72"/>
        </w:rPr>
        <w:t>公开招标采购文件</w:t>
      </w:r>
    </w:p>
    <w:p>
      <w:pPr>
        <w:spacing w:after="120"/>
        <w:jc w:val="center"/>
        <w:rPr>
          <w:rFonts w:hint="eastAsia" w:ascii="宋体"/>
          <w:b/>
          <w:color w:val="auto"/>
          <w:sz w:val="28"/>
          <w:szCs w:val="28"/>
        </w:rPr>
      </w:pPr>
    </w:p>
    <w:p>
      <w:pPr>
        <w:spacing w:after="120"/>
        <w:jc w:val="center"/>
        <w:rPr>
          <w:rFonts w:hint="eastAsia" w:ascii="宋体"/>
          <w:b/>
          <w:color w:val="auto"/>
          <w:sz w:val="28"/>
          <w:szCs w:val="28"/>
        </w:rPr>
      </w:pPr>
    </w:p>
    <w:p>
      <w:pPr>
        <w:spacing w:after="120"/>
        <w:jc w:val="center"/>
        <w:rPr>
          <w:rFonts w:hint="eastAsia" w:ascii="宋体"/>
          <w:b/>
          <w:color w:val="auto"/>
          <w:sz w:val="28"/>
          <w:szCs w:val="28"/>
        </w:rPr>
      </w:pPr>
    </w:p>
    <w:p>
      <w:pPr>
        <w:jc w:val="center"/>
        <w:rPr>
          <w:rFonts w:hint="eastAsia" w:ascii="黑体" w:eastAsia="黑体"/>
          <w:b/>
          <w:color w:val="auto"/>
          <w:sz w:val="44"/>
          <w:szCs w:val="44"/>
        </w:rPr>
      </w:pPr>
      <w:r>
        <w:rPr>
          <w:rFonts w:hint="eastAsia" w:ascii="黑体" w:eastAsia="黑体"/>
          <w:b/>
          <w:color w:val="auto"/>
          <w:sz w:val="44"/>
          <w:szCs w:val="44"/>
        </w:rPr>
        <w:t>(全册)</w:t>
      </w:r>
    </w:p>
    <w:p>
      <w:pPr>
        <w:jc w:val="center"/>
        <w:rPr>
          <w:rFonts w:hint="eastAsia" w:ascii="宋体"/>
          <w:b/>
          <w:color w:val="auto"/>
          <w:szCs w:val="21"/>
        </w:rPr>
      </w:pPr>
    </w:p>
    <w:p>
      <w:pPr>
        <w:jc w:val="center"/>
        <w:rPr>
          <w:rFonts w:hint="eastAsia" w:ascii="宋体"/>
          <w:b/>
          <w:color w:val="auto"/>
        </w:rPr>
      </w:pPr>
    </w:p>
    <w:p>
      <w:pPr>
        <w:jc w:val="center"/>
        <w:rPr>
          <w:rFonts w:hint="eastAsia" w:ascii="宋体"/>
          <w:b/>
          <w:color w:val="auto"/>
        </w:rPr>
      </w:pPr>
    </w:p>
    <w:p>
      <w:pPr>
        <w:jc w:val="center"/>
        <w:rPr>
          <w:rFonts w:hint="eastAsia" w:ascii="宋体"/>
          <w:b/>
          <w:color w:val="auto"/>
        </w:rPr>
      </w:pPr>
    </w:p>
    <w:p>
      <w:pPr>
        <w:jc w:val="center"/>
        <w:rPr>
          <w:rFonts w:hint="eastAsia" w:ascii="宋体"/>
          <w:b/>
          <w:color w:val="auto"/>
        </w:rPr>
      </w:pPr>
    </w:p>
    <w:p>
      <w:pPr>
        <w:jc w:val="center"/>
        <w:rPr>
          <w:rFonts w:hint="eastAsia" w:ascii="宋体"/>
          <w:b/>
          <w:color w:val="auto"/>
        </w:rPr>
      </w:pPr>
    </w:p>
    <w:p>
      <w:pPr>
        <w:pStyle w:val="18"/>
        <w:snapToGrid w:val="0"/>
        <w:spacing w:before="120" w:after="120" w:line="360" w:lineRule="auto"/>
        <w:rPr>
          <w:rFonts w:hint="default" w:hAnsi="宋体" w:eastAsia="宋体"/>
          <w:b/>
          <w:bCs/>
          <w:color w:val="auto"/>
          <w:sz w:val="30"/>
          <w:szCs w:val="30"/>
          <w:lang w:val="en-US" w:eastAsia="zh-CN"/>
        </w:rPr>
      </w:pPr>
      <w:r>
        <w:rPr>
          <w:rFonts w:hAnsi="宋体"/>
          <w:b/>
          <w:bCs/>
          <w:color w:val="auto"/>
          <w:sz w:val="30"/>
          <w:szCs w:val="30"/>
        </w:rPr>
        <w:t>项目编号：</w:t>
      </w:r>
      <w:r>
        <w:rPr>
          <w:rFonts w:hint="eastAsia" w:hAnsi="宋体"/>
          <w:b/>
          <w:color w:val="auto"/>
          <w:sz w:val="30"/>
          <w:szCs w:val="72"/>
          <w:u w:val="single"/>
          <w:lang w:val="en-US" w:eastAsia="zh-CN"/>
        </w:rPr>
        <w:t xml:space="preserve">TC【2022】CG1054号  </w:t>
      </w:r>
    </w:p>
    <w:p>
      <w:pPr>
        <w:snapToGrid w:val="0"/>
        <w:spacing w:before="120" w:beforeLines="50" w:line="360" w:lineRule="auto"/>
        <w:ind w:left="1506" w:hanging="1506" w:hangingChars="500"/>
        <w:rPr>
          <w:rFonts w:hint="eastAsia" w:ascii="宋体" w:hAnsi="宋体" w:eastAsia="宋体" w:cs="Times New Roman"/>
          <w:b/>
          <w:color w:val="auto"/>
          <w:kern w:val="2"/>
          <w:sz w:val="30"/>
          <w:szCs w:val="72"/>
          <w:u w:val="single"/>
          <w:lang w:val="en-US" w:eastAsia="zh-CN" w:bidi="ar-SA"/>
        </w:rPr>
      </w:pPr>
      <w:r>
        <w:rPr>
          <w:rFonts w:hint="eastAsia" w:ascii="宋体" w:hAnsi="宋体"/>
          <w:b/>
          <w:color w:val="auto"/>
          <w:sz w:val="30"/>
          <w:szCs w:val="72"/>
        </w:rPr>
        <w:t>项目名称：</w:t>
      </w:r>
      <w:r>
        <w:rPr>
          <w:rFonts w:hint="eastAsia" w:ascii="宋体" w:hAnsi="宋体" w:eastAsia="宋体" w:cs="Times New Roman"/>
          <w:b/>
          <w:color w:val="auto"/>
          <w:kern w:val="2"/>
          <w:sz w:val="30"/>
          <w:szCs w:val="72"/>
          <w:u w:val="single"/>
          <w:lang w:val="en-US" w:eastAsia="zh-CN" w:bidi="ar-SA"/>
        </w:rPr>
        <w:t>镇海区人民医院医疗集团食堂劳务外包采购项目</w:t>
      </w:r>
    </w:p>
    <w:p>
      <w:pPr>
        <w:pStyle w:val="18"/>
        <w:snapToGrid w:val="0"/>
        <w:spacing w:before="120" w:after="120" w:line="360" w:lineRule="auto"/>
        <w:rPr>
          <w:rFonts w:hint="eastAsia" w:hAnsi="宋体"/>
          <w:b/>
          <w:bCs/>
          <w:color w:val="auto"/>
          <w:w w:val="95"/>
          <w:sz w:val="30"/>
          <w:szCs w:val="30"/>
        </w:rPr>
      </w:pPr>
    </w:p>
    <w:p>
      <w:pPr>
        <w:pStyle w:val="18"/>
        <w:snapToGrid w:val="0"/>
        <w:spacing w:before="120" w:after="120" w:line="360" w:lineRule="auto"/>
        <w:rPr>
          <w:rFonts w:hint="eastAsia" w:hAnsi="宋体"/>
          <w:b/>
          <w:bCs/>
          <w:color w:val="auto"/>
          <w:w w:val="95"/>
          <w:sz w:val="30"/>
          <w:szCs w:val="30"/>
        </w:rPr>
      </w:pPr>
    </w:p>
    <w:p>
      <w:pPr>
        <w:pStyle w:val="18"/>
        <w:snapToGrid w:val="0"/>
        <w:spacing w:before="120" w:after="120" w:line="360" w:lineRule="auto"/>
        <w:rPr>
          <w:rFonts w:hint="eastAsia" w:hAnsi="宋体"/>
          <w:b/>
          <w:bCs/>
          <w:color w:val="auto"/>
          <w:w w:val="95"/>
          <w:sz w:val="30"/>
          <w:szCs w:val="30"/>
        </w:rPr>
      </w:pPr>
    </w:p>
    <w:p>
      <w:pPr>
        <w:pStyle w:val="18"/>
        <w:snapToGrid w:val="0"/>
        <w:spacing w:before="120" w:after="120" w:line="360" w:lineRule="auto"/>
        <w:rPr>
          <w:rFonts w:hint="eastAsia" w:hAnsi="宋体"/>
          <w:b/>
          <w:bCs/>
          <w:color w:val="auto"/>
          <w:w w:val="95"/>
          <w:sz w:val="30"/>
          <w:szCs w:val="30"/>
        </w:rPr>
      </w:pPr>
    </w:p>
    <w:p>
      <w:pPr>
        <w:pStyle w:val="18"/>
        <w:snapToGrid w:val="0"/>
        <w:spacing w:before="120" w:after="120" w:line="360" w:lineRule="auto"/>
        <w:rPr>
          <w:rFonts w:hint="eastAsia" w:hAnsi="宋体"/>
          <w:b/>
          <w:bCs/>
          <w:color w:val="auto"/>
          <w:w w:val="95"/>
          <w:sz w:val="30"/>
          <w:szCs w:val="30"/>
        </w:rPr>
      </w:pPr>
      <w:r>
        <w:rPr>
          <w:rFonts w:hint="eastAsia" w:hAnsi="宋体"/>
          <w:b/>
          <w:bCs/>
          <w:color w:val="auto"/>
          <w:w w:val="95"/>
          <w:sz w:val="30"/>
          <w:szCs w:val="30"/>
        </w:rPr>
        <w:t>采 购 人：</w:t>
      </w:r>
      <w:r>
        <w:rPr>
          <w:rFonts w:hint="eastAsia" w:hAnsi="宋体"/>
          <w:b/>
          <w:bCs/>
          <w:color w:val="auto"/>
          <w:w w:val="95"/>
          <w:sz w:val="30"/>
          <w:szCs w:val="30"/>
          <w:lang w:eastAsia="zh-CN"/>
        </w:rPr>
        <w:t>宁波市镇海区人民医院医疗集团</w:t>
      </w:r>
    </w:p>
    <w:p>
      <w:pPr>
        <w:pStyle w:val="18"/>
        <w:snapToGrid w:val="0"/>
        <w:spacing w:before="120" w:after="120" w:line="360" w:lineRule="auto"/>
        <w:rPr>
          <w:rFonts w:hint="eastAsia" w:hAnsi="宋体"/>
          <w:bCs/>
          <w:color w:val="auto"/>
          <w:w w:val="95"/>
          <w:sz w:val="30"/>
          <w:szCs w:val="30"/>
        </w:rPr>
      </w:pPr>
      <w:r>
        <w:rPr>
          <w:rFonts w:hint="eastAsia" w:hAnsi="宋体"/>
          <w:b/>
          <w:bCs/>
          <w:color w:val="auto"/>
          <w:w w:val="95"/>
          <w:sz w:val="30"/>
          <w:szCs w:val="30"/>
        </w:rPr>
        <w:t>采购代理机构：</w:t>
      </w:r>
      <w:r>
        <w:rPr>
          <w:rFonts w:hint="eastAsia" w:hAnsi="宋体"/>
          <w:b/>
          <w:bCs/>
          <w:color w:val="auto"/>
          <w:w w:val="95"/>
          <w:sz w:val="30"/>
          <w:szCs w:val="30"/>
          <w:lang w:eastAsia="zh-CN"/>
        </w:rPr>
        <w:t>浙江天诚工程咨询有限公司</w:t>
      </w:r>
    </w:p>
    <w:p>
      <w:pPr>
        <w:snapToGrid w:val="0"/>
        <w:spacing w:before="120" w:beforeLines="50" w:line="360" w:lineRule="auto"/>
        <w:ind w:left="384" w:leftChars="183" w:firstLine="4579" w:firstLineChars="1607"/>
        <w:rPr>
          <w:rFonts w:hint="eastAsia" w:ascii="宋体" w:hAnsi="宋体"/>
          <w:bCs/>
          <w:color w:val="auto"/>
          <w:w w:val="95"/>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right="0"/>
        <w:jc w:val="center"/>
        <w:textAlignment w:val="auto"/>
        <w:outlineLvl w:val="9"/>
        <w:rPr>
          <w:rFonts w:hint="eastAsia" w:ascii="宋体" w:hAnsi="宋体"/>
          <w:b/>
          <w:color w:val="auto"/>
          <w:sz w:val="30"/>
          <w:szCs w:val="20"/>
        </w:rPr>
      </w:pPr>
      <w:r>
        <w:rPr>
          <w:rFonts w:hint="eastAsia" w:ascii="宋体" w:hAnsi="宋体"/>
          <w:b/>
          <w:bCs/>
          <w:color w:val="auto"/>
          <w:w w:val="95"/>
          <w:sz w:val="30"/>
          <w:szCs w:val="30"/>
        </w:rPr>
        <w:t>20</w:t>
      </w:r>
      <w:r>
        <w:rPr>
          <w:rFonts w:ascii="宋体" w:hAnsi="宋体"/>
          <w:b/>
          <w:bCs/>
          <w:color w:val="auto"/>
          <w:w w:val="95"/>
          <w:sz w:val="30"/>
          <w:szCs w:val="30"/>
        </w:rPr>
        <w:t>2</w:t>
      </w:r>
      <w:r>
        <w:rPr>
          <w:rFonts w:hint="eastAsia" w:ascii="宋体" w:hAnsi="宋体"/>
          <w:b/>
          <w:bCs/>
          <w:color w:val="auto"/>
          <w:w w:val="95"/>
          <w:sz w:val="30"/>
          <w:szCs w:val="30"/>
          <w:lang w:val="en-US" w:eastAsia="zh-CN"/>
        </w:rPr>
        <w:t>2</w:t>
      </w:r>
      <w:r>
        <w:rPr>
          <w:rFonts w:hint="eastAsia" w:ascii="宋体" w:hAnsi="宋体"/>
          <w:b/>
          <w:bCs/>
          <w:color w:val="auto"/>
          <w:w w:val="95"/>
          <w:sz w:val="30"/>
          <w:szCs w:val="30"/>
        </w:rPr>
        <w:t>年</w:t>
      </w:r>
      <w:r>
        <w:rPr>
          <w:rFonts w:hint="eastAsia" w:ascii="宋体" w:hAnsi="宋体"/>
          <w:b/>
          <w:bCs/>
          <w:color w:val="auto"/>
          <w:w w:val="95"/>
          <w:sz w:val="30"/>
          <w:szCs w:val="30"/>
          <w:lang w:val="en-US" w:eastAsia="zh-CN"/>
        </w:rPr>
        <w:t>0</w:t>
      </w:r>
      <w:r>
        <w:rPr>
          <w:rFonts w:hint="eastAsia" w:ascii="宋体" w:hAnsi="宋体"/>
          <w:b/>
          <w:bCs/>
          <w:color w:val="auto"/>
          <w:w w:val="95"/>
          <w:sz w:val="30"/>
          <w:szCs w:val="30"/>
          <w:lang w:val="en-US" w:eastAsia="zh-CN"/>
        </w:rPr>
        <w:t>6</w:t>
      </w:r>
      <w:r>
        <w:rPr>
          <w:rFonts w:hint="eastAsia" w:ascii="宋体" w:hAnsi="宋体"/>
          <w:b/>
          <w:bCs/>
          <w:color w:val="auto"/>
          <w:w w:val="95"/>
          <w:sz w:val="30"/>
          <w:szCs w:val="30"/>
        </w:rPr>
        <w:t>月</w:t>
      </w:r>
    </w:p>
    <w:p>
      <w:pPr>
        <w:jc w:val="center"/>
        <w:rPr>
          <w:rFonts w:hint="eastAsia" w:ascii="宋体"/>
          <w:b/>
          <w:color w:val="auto"/>
          <w:sz w:val="24"/>
        </w:rPr>
      </w:pPr>
    </w:p>
    <w:p>
      <w:pPr>
        <w:rPr>
          <w:rFonts w:hint="eastAsia" w:ascii="宋体"/>
          <w:b/>
          <w:color w:val="auto"/>
          <w:sz w:val="52"/>
        </w:rPr>
      </w:pPr>
    </w:p>
    <w:p>
      <w:pPr>
        <w:rPr>
          <w:color w:val="auto"/>
          <w:lang w:val="zh-CN"/>
        </w:rPr>
      </w:pPr>
    </w:p>
    <w:p>
      <w:pPr>
        <w:pStyle w:val="67"/>
        <w:tabs>
          <w:tab w:val="center" w:pos="4346"/>
          <w:tab w:val="left" w:pos="5745"/>
        </w:tabs>
        <w:spacing w:line="360" w:lineRule="auto"/>
        <w:rPr>
          <w:color w:val="auto"/>
        </w:rPr>
      </w:pPr>
      <w:r>
        <w:rPr>
          <w:color w:val="auto"/>
          <w:lang w:val="zh-CN"/>
        </w:rPr>
        <w:tab/>
      </w:r>
      <w:bookmarkStart w:id="0" w:name="_Toc10842"/>
      <w:bookmarkStart w:id="1" w:name="_Toc15444"/>
      <w:r>
        <w:rPr>
          <w:color w:val="auto"/>
          <w:lang w:val="zh-CN"/>
        </w:rPr>
        <w:t>目</w:t>
      </w:r>
      <w:r>
        <w:rPr>
          <w:rFonts w:hint="eastAsia"/>
          <w:color w:val="auto"/>
          <w:lang w:val="zh-CN"/>
        </w:rPr>
        <w:t xml:space="preserve">   </w:t>
      </w:r>
      <w:r>
        <w:rPr>
          <w:color w:val="auto"/>
          <w:lang w:val="zh-CN"/>
        </w:rPr>
        <w:t>录</w:t>
      </w:r>
      <w:bookmarkEnd w:id="0"/>
      <w:bookmarkEnd w:id="1"/>
      <w:r>
        <w:rPr>
          <w:color w:val="auto"/>
          <w:lang w:val="zh-CN"/>
        </w:rPr>
        <w:tab/>
      </w:r>
    </w:p>
    <w:p>
      <w:pPr>
        <w:pStyle w:val="24"/>
        <w:tabs>
          <w:tab w:val="right" w:leader="dot" w:pos="8551"/>
        </w:tabs>
        <w:rPr>
          <w:color w:val="auto"/>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TOC \o "1-3" \h \z \u </w:instrText>
      </w:r>
      <w:r>
        <w:rPr>
          <w:rFonts w:hint="eastAsia" w:ascii="宋体" w:hAnsi="宋体" w:eastAsia="宋体" w:cs="宋体"/>
          <w:color w:val="auto"/>
          <w:sz w:val="28"/>
          <w:szCs w:val="28"/>
        </w:rPr>
        <w:fldChar w:fldCharType="separate"/>
      </w:r>
    </w:p>
    <w:p>
      <w:pPr>
        <w:pStyle w:val="24"/>
        <w:tabs>
          <w:tab w:val="right" w:leader="dot" w:pos="8551"/>
        </w:tabs>
        <w:spacing w:line="360" w:lineRule="auto"/>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_Toc27661 </w:instrText>
      </w:r>
      <w:r>
        <w:rPr>
          <w:rFonts w:hint="eastAsia" w:ascii="宋体" w:hAnsi="宋体" w:eastAsia="宋体" w:cs="宋体"/>
          <w:color w:val="auto"/>
          <w:sz w:val="28"/>
          <w:szCs w:val="28"/>
        </w:rPr>
        <w:fldChar w:fldCharType="separate"/>
      </w:r>
      <w:r>
        <w:rPr>
          <w:rFonts w:hint="eastAsia"/>
          <w:color w:val="auto"/>
          <w:sz w:val="28"/>
          <w:szCs w:val="28"/>
        </w:rPr>
        <w:t xml:space="preserve">第一章  </w:t>
      </w:r>
      <w:r>
        <w:rPr>
          <w:rFonts w:hint="eastAsia"/>
          <w:color w:val="auto"/>
          <w:sz w:val="28"/>
          <w:szCs w:val="28"/>
          <w:lang w:eastAsia="zh-CN"/>
        </w:rPr>
        <w:t>招标公告</w:t>
      </w:r>
      <w:r>
        <w:rPr>
          <w:color w:val="auto"/>
          <w:sz w:val="28"/>
          <w:szCs w:val="28"/>
        </w:rPr>
        <w:tab/>
      </w:r>
      <w:r>
        <w:rPr>
          <w:color w:val="auto"/>
          <w:sz w:val="28"/>
          <w:szCs w:val="28"/>
        </w:rPr>
        <w:fldChar w:fldCharType="begin"/>
      </w:r>
      <w:r>
        <w:rPr>
          <w:color w:val="auto"/>
          <w:sz w:val="28"/>
          <w:szCs w:val="28"/>
        </w:rPr>
        <w:instrText xml:space="preserve"> PAGEREF _Toc27661 </w:instrText>
      </w:r>
      <w:r>
        <w:rPr>
          <w:color w:val="auto"/>
          <w:sz w:val="28"/>
          <w:szCs w:val="28"/>
        </w:rPr>
        <w:fldChar w:fldCharType="separate"/>
      </w:r>
      <w:r>
        <w:rPr>
          <w:color w:val="auto"/>
          <w:sz w:val="28"/>
          <w:szCs w:val="28"/>
        </w:rPr>
        <w:t>1</w:t>
      </w:r>
      <w:r>
        <w:rPr>
          <w:color w:val="auto"/>
          <w:sz w:val="28"/>
          <w:szCs w:val="28"/>
        </w:rPr>
        <w:fldChar w:fldCharType="end"/>
      </w:r>
      <w:r>
        <w:rPr>
          <w:rFonts w:hint="eastAsia" w:ascii="宋体" w:hAnsi="宋体" w:eastAsia="宋体" w:cs="宋体"/>
          <w:color w:val="auto"/>
          <w:sz w:val="28"/>
          <w:szCs w:val="28"/>
        </w:rPr>
        <w:fldChar w:fldCharType="end"/>
      </w:r>
    </w:p>
    <w:p>
      <w:pPr>
        <w:pStyle w:val="24"/>
        <w:tabs>
          <w:tab w:val="right" w:leader="dot" w:pos="8551"/>
        </w:tabs>
        <w:spacing w:line="360" w:lineRule="auto"/>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_Toc30085 </w:instrText>
      </w:r>
      <w:r>
        <w:rPr>
          <w:rFonts w:hint="eastAsia" w:ascii="宋体" w:hAnsi="宋体" w:eastAsia="宋体" w:cs="宋体"/>
          <w:color w:val="auto"/>
          <w:sz w:val="28"/>
          <w:szCs w:val="28"/>
        </w:rPr>
        <w:fldChar w:fldCharType="separate"/>
      </w:r>
      <w:r>
        <w:rPr>
          <w:rFonts w:hint="eastAsia"/>
          <w:color w:val="auto"/>
          <w:sz w:val="28"/>
          <w:szCs w:val="28"/>
        </w:rPr>
        <w:t>第二章  采购需求</w:t>
      </w:r>
      <w:r>
        <w:rPr>
          <w:color w:val="auto"/>
          <w:sz w:val="28"/>
          <w:szCs w:val="28"/>
        </w:rPr>
        <w:tab/>
      </w:r>
      <w:r>
        <w:rPr>
          <w:color w:val="auto"/>
          <w:sz w:val="28"/>
          <w:szCs w:val="28"/>
        </w:rPr>
        <w:fldChar w:fldCharType="begin"/>
      </w:r>
      <w:r>
        <w:rPr>
          <w:color w:val="auto"/>
          <w:sz w:val="28"/>
          <w:szCs w:val="28"/>
        </w:rPr>
        <w:instrText xml:space="preserve"> PAGEREF _Toc30085 </w:instrText>
      </w:r>
      <w:r>
        <w:rPr>
          <w:color w:val="auto"/>
          <w:sz w:val="28"/>
          <w:szCs w:val="28"/>
        </w:rPr>
        <w:fldChar w:fldCharType="separate"/>
      </w:r>
      <w:r>
        <w:rPr>
          <w:color w:val="auto"/>
          <w:sz w:val="28"/>
          <w:szCs w:val="28"/>
        </w:rPr>
        <w:t>5</w:t>
      </w:r>
      <w:r>
        <w:rPr>
          <w:color w:val="auto"/>
          <w:sz w:val="28"/>
          <w:szCs w:val="28"/>
        </w:rPr>
        <w:fldChar w:fldCharType="end"/>
      </w:r>
      <w:r>
        <w:rPr>
          <w:rFonts w:hint="eastAsia" w:ascii="宋体" w:hAnsi="宋体" w:eastAsia="宋体" w:cs="宋体"/>
          <w:color w:val="auto"/>
          <w:sz w:val="28"/>
          <w:szCs w:val="28"/>
        </w:rPr>
        <w:fldChar w:fldCharType="end"/>
      </w:r>
    </w:p>
    <w:p>
      <w:pPr>
        <w:pStyle w:val="24"/>
        <w:tabs>
          <w:tab w:val="right" w:leader="dot" w:pos="8551"/>
        </w:tabs>
        <w:spacing w:line="360" w:lineRule="auto"/>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_Toc611 </w:instrText>
      </w:r>
      <w:r>
        <w:rPr>
          <w:rFonts w:hint="eastAsia" w:ascii="宋体" w:hAnsi="宋体" w:eastAsia="宋体" w:cs="宋体"/>
          <w:color w:val="auto"/>
          <w:sz w:val="28"/>
          <w:szCs w:val="28"/>
        </w:rPr>
        <w:fldChar w:fldCharType="separate"/>
      </w:r>
      <w:r>
        <w:rPr>
          <w:rFonts w:hint="eastAsia"/>
          <w:color w:val="auto"/>
          <w:sz w:val="28"/>
          <w:szCs w:val="28"/>
        </w:rPr>
        <w:t>第三章  投标人须知</w:t>
      </w:r>
      <w:r>
        <w:rPr>
          <w:color w:val="auto"/>
          <w:sz w:val="28"/>
          <w:szCs w:val="28"/>
        </w:rPr>
        <w:tab/>
      </w:r>
      <w:r>
        <w:rPr>
          <w:color w:val="auto"/>
          <w:sz w:val="28"/>
          <w:szCs w:val="28"/>
        </w:rPr>
        <w:fldChar w:fldCharType="begin"/>
      </w:r>
      <w:r>
        <w:rPr>
          <w:color w:val="auto"/>
          <w:sz w:val="28"/>
          <w:szCs w:val="28"/>
        </w:rPr>
        <w:instrText xml:space="preserve"> PAGEREF _Toc611 </w:instrText>
      </w:r>
      <w:r>
        <w:rPr>
          <w:color w:val="auto"/>
          <w:sz w:val="28"/>
          <w:szCs w:val="28"/>
        </w:rPr>
        <w:fldChar w:fldCharType="separate"/>
      </w:r>
      <w:r>
        <w:rPr>
          <w:color w:val="auto"/>
          <w:sz w:val="28"/>
          <w:szCs w:val="28"/>
        </w:rPr>
        <w:t>5</w:t>
      </w:r>
      <w:r>
        <w:rPr>
          <w:color w:val="auto"/>
          <w:sz w:val="28"/>
          <w:szCs w:val="28"/>
        </w:rPr>
        <w:fldChar w:fldCharType="end"/>
      </w:r>
      <w:r>
        <w:rPr>
          <w:rFonts w:hint="eastAsia" w:ascii="宋体" w:hAnsi="宋体" w:eastAsia="宋体" w:cs="宋体"/>
          <w:color w:val="auto"/>
          <w:sz w:val="28"/>
          <w:szCs w:val="28"/>
        </w:rPr>
        <w:fldChar w:fldCharType="end"/>
      </w:r>
    </w:p>
    <w:p>
      <w:pPr>
        <w:pStyle w:val="24"/>
        <w:tabs>
          <w:tab w:val="right" w:leader="dot" w:pos="8551"/>
        </w:tabs>
        <w:spacing w:line="360" w:lineRule="auto"/>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_Toc18022 </w:instrText>
      </w:r>
      <w:r>
        <w:rPr>
          <w:rFonts w:hint="eastAsia" w:ascii="宋体" w:hAnsi="宋体" w:eastAsia="宋体" w:cs="宋体"/>
          <w:color w:val="auto"/>
          <w:sz w:val="28"/>
          <w:szCs w:val="28"/>
        </w:rPr>
        <w:fldChar w:fldCharType="separate"/>
      </w:r>
      <w:r>
        <w:rPr>
          <w:rFonts w:hint="eastAsia"/>
          <w:color w:val="auto"/>
          <w:sz w:val="28"/>
          <w:szCs w:val="28"/>
        </w:rPr>
        <w:t>第四章  评标方法及评标标准</w:t>
      </w:r>
      <w:r>
        <w:rPr>
          <w:color w:val="auto"/>
          <w:sz w:val="28"/>
          <w:szCs w:val="28"/>
        </w:rPr>
        <w:tab/>
      </w:r>
      <w:r>
        <w:rPr>
          <w:color w:val="auto"/>
          <w:sz w:val="28"/>
          <w:szCs w:val="28"/>
        </w:rPr>
        <w:fldChar w:fldCharType="begin"/>
      </w:r>
      <w:r>
        <w:rPr>
          <w:color w:val="auto"/>
          <w:sz w:val="28"/>
          <w:szCs w:val="28"/>
        </w:rPr>
        <w:instrText xml:space="preserve"> PAGEREF _Toc18022 </w:instrText>
      </w:r>
      <w:r>
        <w:rPr>
          <w:color w:val="auto"/>
          <w:sz w:val="28"/>
          <w:szCs w:val="28"/>
        </w:rPr>
        <w:fldChar w:fldCharType="separate"/>
      </w:r>
      <w:r>
        <w:rPr>
          <w:color w:val="auto"/>
          <w:sz w:val="28"/>
          <w:szCs w:val="28"/>
        </w:rPr>
        <w:t>27</w:t>
      </w:r>
      <w:r>
        <w:rPr>
          <w:color w:val="auto"/>
          <w:sz w:val="28"/>
          <w:szCs w:val="28"/>
        </w:rPr>
        <w:fldChar w:fldCharType="end"/>
      </w:r>
      <w:r>
        <w:rPr>
          <w:rFonts w:hint="eastAsia" w:ascii="宋体" w:hAnsi="宋体" w:eastAsia="宋体" w:cs="宋体"/>
          <w:color w:val="auto"/>
          <w:sz w:val="28"/>
          <w:szCs w:val="28"/>
        </w:rPr>
        <w:fldChar w:fldCharType="end"/>
      </w:r>
    </w:p>
    <w:p>
      <w:pPr>
        <w:pStyle w:val="24"/>
        <w:tabs>
          <w:tab w:val="right" w:leader="dot" w:pos="8551"/>
        </w:tabs>
        <w:spacing w:line="360" w:lineRule="auto"/>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_Toc18233 </w:instrText>
      </w:r>
      <w:r>
        <w:rPr>
          <w:rFonts w:hint="eastAsia" w:ascii="宋体" w:hAnsi="宋体" w:eastAsia="宋体" w:cs="宋体"/>
          <w:color w:val="auto"/>
          <w:sz w:val="28"/>
          <w:szCs w:val="28"/>
        </w:rPr>
        <w:fldChar w:fldCharType="separate"/>
      </w:r>
      <w:r>
        <w:rPr>
          <w:rFonts w:hint="eastAsia"/>
          <w:color w:val="auto"/>
          <w:sz w:val="28"/>
          <w:szCs w:val="28"/>
        </w:rPr>
        <w:t>第五章  合同文本</w:t>
      </w:r>
      <w:r>
        <w:rPr>
          <w:color w:val="auto"/>
          <w:sz w:val="28"/>
          <w:szCs w:val="28"/>
        </w:rPr>
        <w:tab/>
      </w:r>
      <w:r>
        <w:rPr>
          <w:color w:val="auto"/>
          <w:sz w:val="28"/>
          <w:szCs w:val="28"/>
        </w:rPr>
        <w:fldChar w:fldCharType="begin"/>
      </w:r>
      <w:r>
        <w:rPr>
          <w:color w:val="auto"/>
          <w:sz w:val="28"/>
          <w:szCs w:val="28"/>
        </w:rPr>
        <w:instrText xml:space="preserve"> PAGEREF _Toc18233 </w:instrText>
      </w:r>
      <w:r>
        <w:rPr>
          <w:color w:val="auto"/>
          <w:sz w:val="28"/>
          <w:szCs w:val="28"/>
        </w:rPr>
        <w:fldChar w:fldCharType="separate"/>
      </w:r>
      <w:r>
        <w:rPr>
          <w:color w:val="auto"/>
          <w:sz w:val="28"/>
          <w:szCs w:val="28"/>
        </w:rPr>
        <w:t>33</w:t>
      </w:r>
      <w:r>
        <w:rPr>
          <w:color w:val="auto"/>
          <w:sz w:val="28"/>
          <w:szCs w:val="28"/>
        </w:rPr>
        <w:fldChar w:fldCharType="end"/>
      </w:r>
      <w:r>
        <w:rPr>
          <w:rFonts w:hint="eastAsia" w:ascii="宋体" w:hAnsi="宋体" w:eastAsia="宋体" w:cs="宋体"/>
          <w:color w:val="auto"/>
          <w:sz w:val="28"/>
          <w:szCs w:val="28"/>
        </w:rPr>
        <w:fldChar w:fldCharType="end"/>
      </w:r>
    </w:p>
    <w:p>
      <w:pPr>
        <w:pStyle w:val="24"/>
        <w:tabs>
          <w:tab w:val="right" w:leader="dot" w:pos="8551"/>
        </w:tabs>
        <w:spacing w:line="360" w:lineRule="auto"/>
        <w:rPr>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_Toc30744 </w:instrText>
      </w:r>
      <w:r>
        <w:rPr>
          <w:rFonts w:hint="eastAsia" w:ascii="宋体" w:hAnsi="宋体" w:eastAsia="宋体" w:cs="宋体"/>
          <w:color w:val="auto"/>
          <w:sz w:val="28"/>
          <w:szCs w:val="28"/>
        </w:rPr>
        <w:fldChar w:fldCharType="separate"/>
      </w:r>
      <w:r>
        <w:rPr>
          <w:rFonts w:hint="eastAsia"/>
          <w:color w:val="auto"/>
          <w:sz w:val="28"/>
          <w:szCs w:val="28"/>
        </w:rPr>
        <w:t>第六章  投标文件格式</w:t>
      </w:r>
      <w:r>
        <w:rPr>
          <w:color w:val="auto"/>
          <w:sz w:val="28"/>
          <w:szCs w:val="28"/>
        </w:rPr>
        <w:tab/>
      </w:r>
      <w:r>
        <w:rPr>
          <w:color w:val="auto"/>
          <w:sz w:val="28"/>
          <w:szCs w:val="28"/>
        </w:rPr>
        <w:fldChar w:fldCharType="begin"/>
      </w:r>
      <w:r>
        <w:rPr>
          <w:color w:val="auto"/>
          <w:sz w:val="28"/>
          <w:szCs w:val="28"/>
        </w:rPr>
        <w:instrText xml:space="preserve"> PAGEREF _Toc30744 </w:instrText>
      </w:r>
      <w:r>
        <w:rPr>
          <w:color w:val="auto"/>
          <w:sz w:val="28"/>
          <w:szCs w:val="28"/>
        </w:rPr>
        <w:fldChar w:fldCharType="separate"/>
      </w:r>
      <w:r>
        <w:rPr>
          <w:color w:val="auto"/>
          <w:sz w:val="28"/>
          <w:szCs w:val="28"/>
        </w:rPr>
        <w:t>37</w:t>
      </w:r>
      <w:r>
        <w:rPr>
          <w:color w:val="auto"/>
          <w:sz w:val="28"/>
          <w:szCs w:val="28"/>
        </w:rPr>
        <w:fldChar w:fldCharType="end"/>
      </w:r>
      <w:r>
        <w:rPr>
          <w:rFonts w:hint="eastAsia" w:ascii="宋体" w:hAnsi="宋体" w:eastAsia="宋体" w:cs="宋体"/>
          <w:color w:val="auto"/>
          <w:sz w:val="28"/>
          <w:szCs w:val="28"/>
        </w:rPr>
        <w:fldChar w:fldCharType="end"/>
      </w:r>
    </w:p>
    <w:p>
      <w:pPr>
        <w:spacing w:line="360" w:lineRule="auto"/>
        <w:rPr>
          <w:rFonts w:hint="eastAsia" w:ascii="宋体" w:hAnsi="宋体" w:eastAsia="宋体" w:cs="宋体"/>
          <w:color w:val="auto"/>
          <w:sz w:val="28"/>
          <w:szCs w:val="28"/>
        </w:rPr>
      </w:pPr>
      <w:r>
        <w:rPr>
          <w:rFonts w:hint="eastAsia" w:ascii="宋体" w:hAnsi="宋体" w:eastAsia="宋体" w:cs="宋体"/>
          <w:color w:val="auto"/>
          <w:szCs w:val="28"/>
        </w:rPr>
        <w:fldChar w:fldCharType="end"/>
      </w:r>
    </w:p>
    <w:p>
      <w:pPr>
        <w:pStyle w:val="7"/>
        <w:rPr>
          <w:color w:val="auto"/>
        </w:rPr>
      </w:pPr>
    </w:p>
    <w:p>
      <w:pPr>
        <w:rPr>
          <w:color w:val="auto"/>
        </w:rPr>
      </w:pPr>
    </w:p>
    <w:p>
      <w:pPr>
        <w:pStyle w:val="3"/>
        <w:rPr>
          <w:rFonts w:hint="eastAsia"/>
          <w:color w:val="auto"/>
        </w:rPr>
        <w:sectPr>
          <w:footerReference r:id="rId5" w:type="first"/>
          <w:headerReference r:id="rId3" w:type="default"/>
          <w:footerReference r:id="rId4" w:type="default"/>
          <w:pgSz w:w="11906" w:h="16838"/>
          <w:pgMar w:top="1474" w:right="1558" w:bottom="1247" w:left="1797" w:header="851" w:footer="851" w:gutter="0"/>
          <w:pgNumType w:start="0"/>
          <w:cols w:space="720" w:num="1"/>
          <w:titlePg/>
          <w:docGrid w:linePitch="312" w:charSpace="0"/>
        </w:sectPr>
      </w:pPr>
    </w:p>
    <w:p>
      <w:pPr>
        <w:pStyle w:val="3"/>
        <w:rPr>
          <w:color w:val="auto"/>
        </w:rPr>
      </w:pPr>
      <w:bookmarkStart w:id="2" w:name="_Toc27661"/>
      <w:r>
        <w:rPr>
          <w:rFonts w:hint="eastAsia"/>
          <w:color w:val="auto"/>
        </w:rPr>
        <w:t xml:space="preserve">第一章  </w:t>
      </w:r>
      <w:r>
        <w:rPr>
          <w:rFonts w:hint="eastAsia"/>
          <w:color w:val="auto"/>
          <w:lang w:eastAsia="zh-CN"/>
        </w:rPr>
        <w:t>招标公告</w:t>
      </w:r>
      <w:bookmarkEnd w:id="2"/>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3" w:hRule="atLeast"/>
        </w:trPr>
        <w:tc>
          <w:tcPr>
            <w:tcW w:w="9040" w:type="dxa"/>
            <w:noWrap w:val="0"/>
            <w:vAlign w:val="top"/>
          </w:tcPr>
          <w:p>
            <w:pPr>
              <w:wordWrap w:val="0"/>
              <w:spacing w:line="360" w:lineRule="auto"/>
              <w:ind w:firstLine="422" w:firstLineChars="200"/>
              <w:rPr>
                <w:rFonts w:ascii="宋体" w:hAnsi="宋体"/>
                <w:b/>
                <w:color w:val="auto"/>
                <w:szCs w:val="21"/>
              </w:rPr>
            </w:pPr>
            <w:r>
              <w:rPr>
                <w:rFonts w:ascii="宋体" w:hAnsi="宋体"/>
                <w:b/>
                <w:color w:val="auto"/>
                <w:szCs w:val="21"/>
              </w:rPr>
              <w:t>项目概况</w:t>
            </w:r>
          </w:p>
          <w:p>
            <w:pPr>
              <w:wordWrap w:val="0"/>
              <w:spacing w:line="360" w:lineRule="auto"/>
              <w:ind w:firstLine="420" w:firstLineChars="200"/>
              <w:rPr>
                <w:rFonts w:hint="eastAsia" w:ascii="宋体" w:hAnsi="宋体"/>
                <w:color w:val="auto"/>
                <w:szCs w:val="21"/>
              </w:rPr>
            </w:pPr>
            <w:r>
              <w:rPr>
                <w:rFonts w:hint="eastAsia" w:ascii="宋体" w:hAnsi="宋体"/>
                <w:color w:val="auto"/>
                <w:szCs w:val="21"/>
                <w:lang w:eastAsia="zh-CN"/>
              </w:rPr>
              <w:t>镇海区人民医院医疗集团食堂劳务外包采购项目</w:t>
            </w:r>
            <w:r>
              <w:rPr>
                <w:rFonts w:hint="eastAsia" w:ascii="宋体" w:hAnsi="宋体"/>
                <w:color w:val="auto"/>
                <w:szCs w:val="21"/>
              </w:rPr>
              <w:t>的潜在投标人应在政采云平台线上获取（下载）招标文件，并于202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7月15</w:t>
            </w:r>
            <w:r>
              <w:rPr>
                <w:rFonts w:hint="eastAsia" w:ascii="宋体" w:hAnsi="宋体"/>
                <w:color w:val="auto"/>
                <w:szCs w:val="21"/>
              </w:rPr>
              <w:t>日</w:t>
            </w:r>
            <w:r>
              <w:rPr>
                <w:rFonts w:hint="eastAsia" w:ascii="宋体" w:hAnsi="宋体"/>
                <w:color w:val="auto"/>
                <w:szCs w:val="21"/>
                <w:lang w:val="en-US" w:eastAsia="zh-CN"/>
              </w:rPr>
              <w:t>9</w:t>
            </w:r>
            <w:r>
              <w:rPr>
                <w:rFonts w:hint="eastAsia" w:ascii="宋体" w:hAnsi="宋体"/>
                <w:color w:val="auto"/>
                <w:szCs w:val="21"/>
              </w:rPr>
              <w:t>:</w:t>
            </w:r>
            <w:r>
              <w:rPr>
                <w:rFonts w:hint="eastAsia" w:ascii="宋体" w:hAnsi="宋体"/>
                <w:color w:val="auto"/>
                <w:szCs w:val="21"/>
                <w:lang w:val="en-US" w:eastAsia="zh-CN"/>
              </w:rPr>
              <w:t>00</w:t>
            </w:r>
            <w:r>
              <w:rPr>
                <w:rFonts w:hint="eastAsia" w:ascii="宋体" w:hAnsi="宋体"/>
                <w:color w:val="auto"/>
                <w:szCs w:val="21"/>
              </w:rPr>
              <w:t>（北京时间）前递交（上传）投标文件。</w:t>
            </w:r>
          </w:p>
        </w:tc>
      </w:tr>
    </w:tbl>
    <w:p>
      <w:pPr>
        <w:wordWrap w:val="0"/>
        <w:spacing w:line="360" w:lineRule="auto"/>
        <w:rPr>
          <w:rFonts w:hint="eastAsia" w:ascii="宋体" w:hAnsi="宋体"/>
          <w:color w:val="auto"/>
          <w:szCs w:val="21"/>
        </w:rPr>
      </w:pPr>
      <w:r>
        <w:rPr>
          <w:rFonts w:hint="eastAsia" w:ascii="宋体" w:hAnsi="宋体"/>
          <w:color w:val="auto"/>
          <w:szCs w:val="21"/>
        </w:rPr>
        <w:t xml:space="preserve">一、项目基本情况 </w:t>
      </w:r>
    </w:p>
    <w:p>
      <w:pPr>
        <w:wordWrap w:val="0"/>
        <w:spacing w:line="360" w:lineRule="auto"/>
        <w:rPr>
          <w:rFonts w:hint="eastAsia" w:ascii="宋体" w:hAnsi="宋体" w:eastAsia="宋体"/>
          <w:color w:val="auto"/>
          <w:szCs w:val="21"/>
          <w:lang w:eastAsia="zh-CN"/>
        </w:rPr>
      </w:pPr>
      <w:r>
        <w:rPr>
          <w:rFonts w:hint="eastAsia" w:ascii="宋体" w:hAnsi="宋体"/>
          <w:color w:val="auto"/>
          <w:szCs w:val="21"/>
        </w:rPr>
        <w:t xml:space="preserve">    项目编号：</w:t>
      </w:r>
      <w:r>
        <w:rPr>
          <w:rFonts w:hint="eastAsia" w:ascii="宋体" w:hAnsi="宋体"/>
          <w:color w:val="auto"/>
          <w:szCs w:val="21"/>
          <w:lang w:val="en-US" w:eastAsia="zh-CN"/>
        </w:rPr>
        <w:t xml:space="preserve">TC【2022】CG1054号 </w:t>
      </w:r>
    </w:p>
    <w:p>
      <w:pPr>
        <w:wordWrap w:val="0"/>
        <w:spacing w:line="360" w:lineRule="auto"/>
        <w:rPr>
          <w:rFonts w:hint="eastAsia" w:ascii="宋体" w:hAnsi="宋体" w:eastAsia="宋体"/>
          <w:color w:val="auto"/>
          <w:szCs w:val="21"/>
          <w:lang w:eastAsia="zh-CN"/>
        </w:rPr>
      </w:pPr>
      <w:r>
        <w:rPr>
          <w:rFonts w:hint="eastAsia" w:ascii="宋体" w:hAnsi="宋体"/>
          <w:color w:val="auto"/>
          <w:szCs w:val="21"/>
        </w:rPr>
        <w:t xml:space="preserve">    项目名称：</w:t>
      </w:r>
      <w:r>
        <w:rPr>
          <w:rFonts w:hint="eastAsia" w:ascii="宋体" w:hAnsi="宋体"/>
          <w:color w:val="auto"/>
          <w:szCs w:val="21"/>
          <w:lang w:eastAsia="zh-CN"/>
        </w:rPr>
        <w:t>镇海区人民医院医疗集团食堂劳务外包采购项目</w:t>
      </w:r>
    </w:p>
    <w:p>
      <w:pPr>
        <w:wordWrap w:val="0"/>
        <w:spacing w:line="360" w:lineRule="auto"/>
        <w:ind w:firstLine="420"/>
        <w:rPr>
          <w:rFonts w:hint="eastAsia" w:ascii="宋体" w:hAnsi="宋体"/>
          <w:color w:val="auto"/>
          <w:szCs w:val="21"/>
          <w:lang w:val="en-US" w:eastAsia="zh-CN"/>
        </w:rPr>
      </w:pPr>
      <w:r>
        <w:rPr>
          <w:rFonts w:hint="eastAsia" w:ascii="宋体" w:hAnsi="宋体"/>
          <w:color w:val="auto"/>
          <w:szCs w:val="21"/>
        </w:rPr>
        <w:t>预算金额（元）：</w:t>
      </w:r>
      <w:r>
        <w:rPr>
          <w:rFonts w:hint="eastAsia" w:ascii="宋体" w:hAnsi="宋体"/>
          <w:color w:val="auto"/>
          <w:szCs w:val="21"/>
          <w:lang w:val="en-US" w:eastAsia="zh-CN"/>
        </w:rPr>
        <w:t xml:space="preserve">900000  </w:t>
      </w:r>
    </w:p>
    <w:p>
      <w:pPr>
        <w:wordWrap w:val="0"/>
        <w:spacing w:line="360" w:lineRule="auto"/>
        <w:ind w:firstLine="420"/>
        <w:rPr>
          <w:rFonts w:hint="eastAsia" w:ascii="宋体" w:hAnsi="宋体"/>
          <w:b/>
          <w:bCs/>
          <w:color w:val="auto"/>
          <w:szCs w:val="21"/>
        </w:rPr>
      </w:pPr>
      <w:r>
        <w:rPr>
          <w:rFonts w:hint="eastAsia" w:ascii="宋体" w:hAnsi="宋体"/>
          <w:color w:val="auto"/>
          <w:szCs w:val="21"/>
        </w:rPr>
        <w:t>最高限价（元</w:t>
      </w:r>
      <w:r>
        <w:rPr>
          <w:rFonts w:hint="eastAsia" w:ascii="宋体" w:hAnsi="宋体"/>
          <w:b/>
          <w:bCs/>
          <w:color w:val="auto"/>
          <w:szCs w:val="21"/>
        </w:rPr>
        <w:t>）：</w:t>
      </w:r>
      <w:r>
        <w:rPr>
          <w:rFonts w:hint="eastAsia" w:ascii="宋体" w:hAnsi="宋体"/>
          <w:b/>
          <w:bCs/>
          <w:color w:val="auto"/>
          <w:szCs w:val="21"/>
          <w:lang w:val="en-US" w:eastAsia="zh-CN"/>
        </w:rPr>
        <w:t>900000</w:t>
      </w:r>
    </w:p>
    <w:p>
      <w:pPr>
        <w:wordWrap w:val="0"/>
        <w:spacing w:line="360" w:lineRule="auto"/>
        <w:rPr>
          <w:rFonts w:hint="eastAsia" w:ascii="宋体" w:hAnsi="宋体"/>
          <w:color w:val="auto"/>
          <w:szCs w:val="21"/>
        </w:rPr>
      </w:pPr>
      <w:r>
        <w:rPr>
          <w:rFonts w:hint="eastAsia" w:ascii="宋体" w:hAnsi="宋体"/>
          <w:color w:val="auto"/>
          <w:szCs w:val="21"/>
        </w:rPr>
        <w:t xml:space="preserve">    采购需求：</w:t>
      </w:r>
    </w:p>
    <w:p>
      <w:pPr>
        <w:wordWrap w:val="0"/>
        <w:spacing w:line="360" w:lineRule="auto"/>
        <w:rPr>
          <w:rFonts w:hint="eastAsia" w:ascii="宋体" w:hAnsi="宋体" w:eastAsia="宋体" w:cs="Times New Roman"/>
          <w:color w:val="auto"/>
          <w:szCs w:val="21"/>
          <w:lang w:eastAsia="zh-CN"/>
        </w:rPr>
      </w:pPr>
      <w:r>
        <w:rPr>
          <w:rFonts w:hint="eastAsia" w:ascii="宋体" w:hAnsi="宋体" w:eastAsia="宋体" w:cs="Times New Roman"/>
          <w:color w:val="auto"/>
          <w:szCs w:val="21"/>
        </w:rPr>
        <w:t>    标项名称: </w:t>
      </w:r>
      <w:r>
        <w:rPr>
          <w:rFonts w:hint="eastAsia" w:ascii="宋体" w:hAnsi="宋体" w:eastAsia="宋体" w:cs="Times New Roman"/>
          <w:color w:val="auto"/>
          <w:szCs w:val="21"/>
          <w:lang w:val="en-US" w:eastAsia="zh-CN"/>
        </w:rPr>
        <w:t>食堂劳务外</w:t>
      </w:r>
      <w:r>
        <w:rPr>
          <w:rFonts w:hint="eastAsia" w:ascii="宋体" w:hAnsi="宋体" w:eastAsia="宋体" w:cs="Times New Roman"/>
          <w:color w:val="auto"/>
          <w:szCs w:val="21"/>
        </w:rPr>
        <w:t>包 </w:t>
      </w:r>
    </w:p>
    <w:p>
      <w:pPr>
        <w:wordWrap w:val="0"/>
        <w:spacing w:line="360" w:lineRule="auto"/>
        <w:rPr>
          <w:rFonts w:hint="eastAsia" w:ascii="宋体" w:hAnsi="宋体" w:eastAsia="宋体" w:cs="Times New Roman"/>
          <w:color w:val="auto"/>
          <w:szCs w:val="21"/>
          <w:lang w:eastAsia="zh-CN"/>
        </w:rPr>
      </w:pPr>
      <w:r>
        <w:rPr>
          <w:rFonts w:hint="eastAsia" w:ascii="宋体" w:hAnsi="宋体" w:eastAsia="宋体" w:cs="Times New Roman"/>
          <w:color w:val="auto"/>
          <w:szCs w:val="21"/>
        </w:rPr>
        <w:t>    数量: </w:t>
      </w:r>
      <w:r>
        <w:rPr>
          <w:rFonts w:hint="eastAsia" w:ascii="宋体" w:hAnsi="宋体" w:eastAsia="宋体" w:cs="Times New Roman"/>
          <w:color w:val="auto"/>
          <w:szCs w:val="21"/>
          <w:lang w:val="en-US" w:eastAsia="zh-CN"/>
        </w:rPr>
        <w:t>1</w:t>
      </w:r>
      <w:r>
        <w:rPr>
          <w:rFonts w:hint="eastAsia" w:ascii="宋体" w:hAnsi="宋体" w:eastAsia="宋体" w:cs="Times New Roman"/>
          <w:color w:val="FF0000"/>
          <w:szCs w:val="21"/>
          <w:lang w:val="en-US" w:eastAsia="zh-CN"/>
        </w:rPr>
        <w:t>年</w:t>
      </w:r>
      <w:r>
        <w:rPr>
          <w:rFonts w:hint="eastAsia" w:ascii="宋体" w:hAnsi="宋体" w:eastAsia="宋体" w:cs="Times New Roman"/>
          <w:color w:val="auto"/>
          <w:szCs w:val="21"/>
        </w:rPr>
        <w:t>  </w:t>
      </w:r>
    </w:p>
    <w:p>
      <w:pPr>
        <w:wordWrap w:val="0"/>
        <w:spacing w:line="360" w:lineRule="auto"/>
        <w:rPr>
          <w:rFonts w:hint="eastAsia" w:ascii="宋体" w:hAnsi="宋体" w:eastAsia="宋体" w:cs="Times New Roman"/>
          <w:color w:val="auto"/>
          <w:szCs w:val="21"/>
          <w:lang w:eastAsia="zh-CN"/>
        </w:rPr>
      </w:pPr>
      <w:r>
        <w:rPr>
          <w:rFonts w:hint="eastAsia" w:ascii="宋体" w:hAnsi="宋体" w:eastAsia="宋体" w:cs="Times New Roman"/>
          <w:color w:val="auto"/>
          <w:szCs w:val="21"/>
        </w:rPr>
        <w:t>    预算金额（元）: </w:t>
      </w:r>
      <w:r>
        <w:rPr>
          <w:rFonts w:hint="eastAsia" w:ascii="宋体" w:hAnsi="宋体" w:eastAsia="宋体" w:cs="Times New Roman"/>
          <w:color w:val="auto"/>
          <w:szCs w:val="21"/>
          <w:lang w:val="en-US" w:eastAsia="zh-CN"/>
        </w:rPr>
        <w:t>900</w:t>
      </w:r>
      <w:r>
        <w:rPr>
          <w:rFonts w:hint="eastAsia" w:ascii="宋体" w:hAnsi="宋体" w:eastAsia="宋体" w:cs="Times New Roman"/>
          <w:color w:val="auto"/>
          <w:szCs w:val="21"/>
        </w:rPr>
        <w:t>000 </w:t>
      </w:r>
    </w:p>
    <w:p>
      <w:pPr>
        <w:wordWrap w:val="0"/>
        <w:spacing w:line="360" w:lineRule="auto"/>
        <w:rPr>
          <w:rFonts w:hint="eastAsia" w:ascii="宋体" w:hAnsi="宋体" w:eastAsia="宋体" w:cs="Times New Roman"/>
          <w:color w:val="auto"/>
          <w:szCs w:val="21"/>
          <w:lang w:eastAsia="zh-CN"/>
        </w:rPr>
      </w:pPr>
      <w:r>
        <w:rPr>
          <w:rFonts w:hint="eastAsia" w:ascii="宋体" w:hAnsi="宋体" w:eastAsia="宋体" w:cs="Times New Roman"/>
          <w:color w:val="auto"/>
          <w:szCs w:val="21"/>
        </w:rPr>
        <w:t>    简要规格描述或项目基本概况介绍、用途：食堂劳务外包</w:t>
      </w:r>
      <w:r>
        <w:rPr>
          <w:rFonts w:hint="eastAsia" w:ascii="宋体" w:hAnsi="宋体" w:cs="Arial"/>
          <w:bCs/>
          <w:color w:val="auto"/>
          <w:szCs w:val="21"/>
          <w:lang w:val="en-US" w:eastAsia="zh-CN"/>
        </w:rPr>
        <w:t>，</w:t>
      </w:r>
      <w:r>
        <w:rPr>
          <w:rFonts w:hint="eastAsia" w:ascii="宋体" w:hAnsi="宋体" w:cs="Arial"/>
          <w:bCs/>
          <w:color w:val="auto"/>
          <w:szCs w:val="21"/>
        </w:rPr>
        <w:t>具体详见服务需求</w:t>
      </w:r>
      <w:r>
        <w:rPr>
          <w:rFonts w:hint="eastAsia" w:ascii="宋体" w:hAnsi="宋体" w:eastAsia="宋体" w:cs="Times New Roman"/>
          <w:color w:val="auto"/>
          <w:szCs w:val="21"/>
        </w:rPr>
        <w:t>。 </w:t>
      </w:r>
    </w:p>
    <w:p>
      <w:pPr>
        <w:wordWrap w:val="0"/>
        <w:spacing w:line="360" w:lineRule="auto"/>
        <w:rPr>
          <w:rFonts w:hint="eastAsia" w:ascii="宋体" w:hAnsi="宋体" w:eastAsia="宋体" w:cs="Times New Roman"/>
          <w:color w:val="auto"/>
          <w:szCs w:val="21"/>
        </w:rPr>
      </w:pPr>
      <w:r>
        <w:rPr>
          <w:rFonts w:hint="eastAsia" w:ascii="宋体" w:hAnsi="宋体" w:eastAsia="宋体" w:cs="Times New Roman"/>
          <w:color w:val="auto"/>
          <w:szCs w:val="21"/>
        </w:rPr>
        <w:t>    备注：无。 </w:t>
      </w:r>
    </w:p>
    <w:p>
      <w:pPr>
        <w:wordWrap w:val="0"/>
        <w:spacing w:line="360" w:lineRule="auto"/>
        <w:ind w:firstLine="210" w:firstLineChars="100"/>
        <w:rPr>
          <w:rFonts w:hint="eastAsia" w:ascii="宋体" w:hAnsi="宋体" w:eastAsia="宋体"/>
          <w:color w:val="auto"/>
          <w:szCs w:val="21"/>
          <w:lang w:eastAsia="zh-CN"/>
        </w:rPr>
      </w:pPr>
      <w:r>
        <w:rPr>
          <w:rFonts w:hint="eastAsia" w:ascii="宋体" w:hAnsi="宋体"/>
          <w:color w:val="auto"/>
          <w:szCs w:val="21"/>
        </w:rPr>
        <w:t xml:space="preserve">  合同履约期限：自合同生效之日至合同全部权利义务履行完毕之日止</w:t>
      </w:r>
      <w:r>
        <w:rPr>
          <w:rFonts w:hint="eastAsia" w:ascii="宋体" w:hAnsi="宋体"/>
          <w:color w:val="auto"/>
          <w:szCs w:val="21"/>
          <w:lang w:eastAsia="zh-CN"/>
        </w:rPr>
        <w:t>。</w:t>
      </w:r>
    </w:p>
    <w:p>
      <w:pPr>
        <w:wordWrap w:val="0"/>
        <w:spacing w:line="360" w:lineRule="auto"/>
        <w:rPr>
          <w:rFonts w:hint="eastAsia" w:ascii="宋体" w:hAnsi="宋体"/>
          <w:color w:val="auto"/>
          <w:szCs w:val="21"/>
        </w:rPr>
      </w:pPr>
      <w:r>
        <w:rPr>
          <w:rFonts w:hint="eastAsia" w:ascii="宋体" w:hAnsi="宋体"/>
          <w:color w:val="auto"/>
          <w:szCs w:val="21"/>
        </w:rPr>
        <w:t xml:space="preserve">    本项目（否）接受联合体投标。</w:t>
      </w:r>
    </w:p>
    <w:p>
      <w:pPr>
        <w:wordWrap w:val="0"/>
        <w:spacing w:line="360" w:lineRule="auto"/>
        <w:rPr>
          <w:rFonts w:hint="eastAsia" w:ascii="宋体" w:hAnsi="宋体"/>
          <w:color w:val="auto"/>
          <w:szCs w:val="21"/>
        </w:rPr>
      </w:pPr>
      <w:r>
        <w:rPr>
          <w:rFonts w:hint="eastAsia" w:ascii="宋体" w:hAnsi="宋体"/>
          <w:color w:val="auto"/>
          <w:szCs w:val="21"/>
        </w:rPr>
        <w:t>二、申请人的资格要求：</w:t>
      </w:r>
    </w:p>
    <w:p>
      <w:pPr>
        <w:wordWrap w:val="0"/>
        <w:spacing w:line="360" w:lineRule="auto"/>
        <w:rPr>
          <w:rFonts w:hint="eastAsia" w:ascii="宋体" w:hAnsi="宋体"/>
          <w:color w:val="auto"/>
          <w:szCs w:val="21"/>
        </w:rPr>
      </w:pPr>
      <w:r>
        <w:rPr>
          <w:rFonts w:hint="eastAsia" w:ascii="宋体" w:hAnsi="宋体"/>
          <w:color w:val="auto"/>
          <w:szCs w:val="21"/>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pPr>
        <w:wordWrap w:val="0"/>
        <w:spacing w:line="360" w:lineRule="auto"/>
        <w:rPr>
          <w:rFonts w:hint="eastAsia" w:ascii="宋体" w:hAnsi="宋体" w:eastAsia="宋体" w:cs="Times New Roman"/>
          <w:color w:val="auto"/>
          <w:szCs w:val="21"/>
          <w:lang w:eastAsia="zh-CN"/>
        </w:rPr>
      </w:pPr>
      <w:r>
        <w:rPr>
          <w:rFonts w:hint="eastAsia" w:ascii="宋体" w:hAnsi="宋体"/>
          <w:color w:val="auto"/>
          <w:szCs w:val="21"/>
        </w:rPr>
        <w:t xml:space="preserve">    2.落实政府采购政策需满足的资格要求：</w:t>
      </w:r>
      <w:r>
        <w:rPr>
          <w:rFonts w:hint="eastAsia" w:ascii="宋体" w:hAnsi="宋体" w:eastAsia="宋体" w:cs="Times New Roman"/>
          <w:color w:val="auto"/>
          <w:szCs w:val="21"/>
          <w:lang w:val="en-US" w:eastAsia="zh-CN"/>
        </w:rPr>
        <w:t>无</w:t>
      </w:r>
    </w:p>
    <w:p>
      <w:pPr>
        <w:wordWrap w:val="0"/>
        <w:spacing w:line="360" w:lineRule="auto"/>
        <w:rPr>
          <w:rFonts w:hint="eastAsia" w:ascii="宋体" w:hAnsi="宋体" w:eastAsia="宋体" w:cs="Times New Roman"/>
          <w:color w:val="auto"/>
          <w:szCs w:val="21"/>
        </w:rPr>
      </w:pPr>
      <w:r>
        <w:rPr>
          <w:rFonts w:hint="eastAsia" w:ascii="宋体" w:hAnsi="宋体"/>
          <w:color w:val="auto"/>
          <w:szCs w:val="21"/>
        </w:rPr>
        <w:t xml:space="preserve">    3.本项目的特定资格要求：</w:t>
      </w:r>
      <w:r>
        <w:rPr>
          <w:rFonts w:hint="eastAsia" w:ascii="宋体" w:hAnsi="宋体"/>
          <w:color w:val="auto"/>
          <w:szCs w:val="21"/>
          <w:lang w:val="en-US" w:eastAsia="zh-CN"/>
        </w:rPr>
        <w:t>无</w:t>
      </w:r>
      <w:r>
        <w:rPr>
          <w:rFonts w:hint="eastAsia" w:ascii="宋体" w:hAnsi="宋体" w:eastAsia="宋体" w:cs="Times New Roman"/>
          <w:color w:val="auto"/>
          <w:szCs w:val="21"/>
        </w:rPr>
        <w:t xml:space="preserve"> </w:t>
      </w:r>
    </w:p>
    <w:p>
      <w:pPr>
        <w:wordWrap w:val="0"/>
        <w:spacing w:line="360" w:lineRule="auto"/>
        <w:rPr>
          <w:rFonts w:hint="eastAsia" w:ascii="宋体" w:hAnsi="宋体"/>
          <w:color w:val="auto"/>
          <w:szCs w:val="21"/>
        </w:rPr>
      </w:pPr>
      <w:r>
        <w:rPr>
          <w:rFonts w:hint="eastAsia" w:ascii="宋体" w:hAnsi="宋体"/>
          <w:color w:val="auto"/>
          <w:szCs w:val="21"/>
        </w:rPr>
        <w:t xml:space="preserve">三、获取招标文件 </w:t>
      </w:r>
    </w:p>
    <w:p>
      <w:pPr>
        <w:wordWrap w:val="0"/>
        <w:spacing w:line="360" w:lineRule="auto"/>
        <w:rPr>
          <w:rFonts w:hint="eastAsia" w:ascii="宋体" w:hAnsi="宋体"/>
          <w:color w:val="auto"/>
          <w:szCs w:val="21"/>
        </w:rPr>
      </w:pPr>
      <w:r>
        <w:rPr>
          <w:rFonts w:hint="eastAsia" w:ascii="宋体" w:hAnsi="宋体"/>
          <w:color w:val="auto"/>
          <w:szCs w:val="21"/>
        </w:rPr>
        <w:t xml:space="preserve">    时间：</w:t>
      </w:r>
      <w:r>
        <w:rPr>
          <w:rFonts w:hint="eastAsia" w:ascii="宋体" w:hAnsi="宋体"/>
          <w:color w:val="auto"/>
          <w:szCs w:val="21"/>
          <w:lang w:val="en-US" w:eastAsia="zh-CN"/>
        </w:rPr>
        <w:t>发布之日起</w:t>
      </w:r>
      <w:r>
        <w:rPr>
          <w:rFonts w:hint="eastAsia" w:ascii="宋体" w:hAnsi="宋体"/>
          <w:color w:val="auto"/>
          <w:szCs w:val="21"/>
        </w:rPr>
        <w:t>至202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07</w:t>
      </w:r>
      <w:r>
        <w:rPr>
          <w:rFonts w:hint="eastAsia" w:ascii="宋体" w:hAnsi="宋体"/>
          <w:color w:val="auto"/>
          <w:szCs w:val="21"/>
        </w:rPr>
        <w:t>月</w:t>
      </w:r>
      <w:r>
        <w:rPr>
          <w:rFonts w:hint="eastAsia" w:ascii="宋体" w:hAnsi="宋体"/>
          <w:color w:val="auto"/>
          <w:szCs w:val="21"/>
          <w:lang w:val="en-US" w:eastAsia="zh-CN"/>
        </w:rPr>
        <w:t>01</w:t>
      </w:r>
      <w:r>
        <w:rPr>
          <w:rFonts w:hint="eastAsia" w:ascii="宋体" w:hAnsi="宋体"/>
          <w:color w:val="auto"/>
          <w:szCs w:val="21"/>
        </w:rPr>
        <w:t>日，每天上午00:00至12:00，下午12:00至23:59（北京时间，线上获取法定节假日均可，线下获取文件法定节假日除外）</w:t>
      </w:r>
    </w:p>
    <w:p>
      <w:pPr>
        <w:wordWrap w:val="0"/>
        <w:spacing w:line="360" w:lineRule="auto"/>
        <w:rPr>
          <w:rFonts w:hint="eastAsia" w:ascii="宋体" w:hAnsi="宋体"/>
          <w:color w:val="auto"/>
          <w:szCs w:val="21"/>
        </w:rPr>
      </w:pPr>
      <w:r>
        <w:rPr>
          <w:rFonts w:hint="eastAsia" w:ascii="宋体" w:hAnsi="宋体"/>
          <w:color w:val="auto"/>
          <w:szCs w:val="21"/>
        </w:rPr>
        <w:t xml:space="preserve">    地点（网址）：政采云平台线上获取 </w:t>
      </w:r>
    </w:p>
    <w:p>
      <w:pPr>
        <w:wordWrap w:val="0"/>
        <w:spacing w:line="360" w:lineRule="auto"/>
        <w:rPr>
          <w:rFonts w:hint="eastAsia" w:ascii="宋体" w:hAnsi="宋体"/>
          <w:color w:val="auto"/>
          <w:szCs w:val="21"/>
        </w:rPr>
      </w:pPr>
      <w:r>
        <w:rPr>
          <w:rFonts w:hint="eastAsia" w:ascii="宋体" w:hAnsi="宋体"/>
          <w:color w:val="auto"/>
          <w:szCs w:val="21"/>
        </w:rPr>
        <w:t xml:space="preserve">    方式：供应商登录政府采购云平台（www.zcygov.cn）的注册账号后，进入政采云系统“项目采购”模块“获取采购文件”菜单，进行网上获取采购文件。如有疑问请及时咨询网站客服，咨询电话：4008817190。获取采购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 本招标公告附件中的采购文件仅供阅览使用，供应商应在规定的采购文件提供期限内在政采云平台登录上述供应商注册的账号后获取采购文件，未在规定的采购文件提供期限内或未按上述方式获取采购文件的，其投标均视为无效，并不得对采购文件提起质疑投诉。 </w:t>
      </w:r>
    </w:p>
    <w:p>
      <w:pPr>
        <w:wordWrap w:val="0"/>
        <w:spacing w:line="360" w:lineRule="auto"/>
        <w:rPr>
          <w:rFonts w:hint="eastAsia" w:ascii="宋体" w:hAnsi="宋体"/>
          <w:color w:val="auto"/>
          <w:szCs w:val="21"/>
        </w:rPr>
      </w:pPr>
      <w:r>
        <w:rPr>
          <w:rFonts w:hint="eastAsia" w:ascii="宋体" w:hAnsi="宋体"/>
          <w:color w:val="auto"/>
          <w:szCs w:val="21"/>
        </w:rPr>
        <w:t xml:space="preserve">    售价（元）：0 </w:t>
      </w:r>
    </w:p>
    <w:p>
      <w:pPr>
        <w:wordWrap w:val="0"/>
        <w:spacing w:line="360" w:lineRule="auto"/>
        <w:rPr>
          <w:rFonts w:hint="eastAsia" w:ascii="宋体" w:hAnsi="宋体"/>
          <w:color w:val="auto"/>
          <w:szCs w:val="21"/>
        </w:rPr>
      </w:pPr>
      <w:r>
        <w:rPr>
          <w:rFonts w:hint="eastAsia" w:ascii="宋体" w:hAnsi="宋体"/>
          <w:color w:val="auto"/>
          <w:szCs w:val="21"/>
        </w:rPr>
        <w:t>四、提交投标文件截止时间、开标时间和地点</w:t>
      </w:r>
    </w:p>
    <w:p>
      <w:pPr>
        <w:wordWrap w:val="0"/>
        <w:spacing w:line="360" w:lineRule="auto"/>
        <w:rPr>
          <w:rFonts w:hint="eastAsia" w:ascii="宋体" w:hAnsi="宋体"/>
          <w:color w:val="auto"/>
          <w:szCs w:val="21"/>
        </w:rPr>
      </w:pPr>
      <w:r>
        <w:rPr>
          <w:rFonts w:hint="eastAsia" w:ascii="宋体" w:hAnsi="宋体"/>
          <w:color w:val="auto"/>
          <w:szCs w:val="21"/>
        </w:rPr>
        <w:t xml:space="preserve">    提交投标文件截止时间：202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07</w:t>
      </w:r>
      <w:r>
        <w:rPr>
          <w:rFonts w:hint="eastAsia" w:ascii="宋体" w:hAnsi="宋体"/>
          <w:color w:val="auto"/>
          <w:szCs w:val="21"/>
        </w:rPr>
        <w:t>月</w:t>
      </w:r>
      <w:r>
        <w:rPr>
          <w:rFonts w:hint="eastAsia" w:ascii="宋体" w:hAnsi="宋体"/>
          <w:color w:val="auto"/>
          <w:szCs w:val="21"/>
          <w:lang w:val="en-US" w:eastAsia="zh-CN"/>
        </w:rPr>
        <w:t>15</w:t>
      </w:r>
      <w:r>
        <w:rPr>
          <w:rFonts w:hint="eastAsia" w:ascii="宋体" w:hAnsi="宋体"/>
          <w:color w:val="auto"/>
          <w:szCs w:val="21"/>
        </w:rPr>
        <w:t>日</w:t>
      </w:r>
      <w:r>
        <w:rPr>
          <w:rFonts w:hint="eastAsia" w:ascii="宋体" w:hAnsi="宋体"/>
          <w:color w:val="auto"/>
          <w:szCs w:val="21"/>
          <w:lang w:val="en-US" w:eastAsia="zh-CN"/>
        </w:rPr>
        <w:t>9</w:t>
      </w:r>
      <w:r>
        <w:rPr>
          <w:rFonts w:hint="eastAsia" w:ascii="宋体" w:hAnsi="宋体"/>
          <w:color w:val="auto"/>
          <w:szCs w:val="21"/>
        </w:rPr>
        <w:t>:</w:t>
      </w:r>
      <w:r>
        <w:rPr>
          <w:rFonts w:hint="eastAsia" w:ascii="宋体" w:hAnsi="宋体"/>
          <w:color w:val="auto"/>
          <w:szCs w:val="21"/>
          <w:lang w:val="en-US" w:eastAsia="zh-CN"/>
        </w:rPr>
        <w:t>00</w:t>
      </w:r>
      <w:r>
        <w:rPr>
          <w:rFonts w:hint="eastAsia" w:ascii="宋体" w:hAnsi="宋体"/>
          <w:color w:val="auto"/>
          <w:szCs w:val="21"/>
        </w:rPr>
        <w:t>（北京时间）</w:t>
      </w:r>
    </w:p>
    <w:p>
      <w:pPr>
        <w:wordWrap w:val="0"/>
        <w:spacing w:line="360" w:lineRule="auto"/>
        <w:rPr>
          <w:rFonts w:hint="eastAsia" w:ascii="宋体" w:hAnsi="宋体"/>
          <w:color w:val="auto"/>
          <w:szCs w:val="21"/>
        </w:rPr>
      </w:pPr>
      <w:r>
        <w:rPr>
          <w:rFonts w:hint="eastAsia" w:ascii="宋体" w:hAnsi="宋体"/>
          <w:color w:val="auto"/>
          <w:szCs w:val="21"/>
        </w:rPr>
        <w:t xml:space="preserve">    投标地点（网址）：镇海区公共资源交易中心（镇海骆驼街道金华南路55号三楼开标厅</w:t>
      </w:r>
      <w:r>
        <w:rPr>
          <w:rFonts w:hint="eastAsia" w:ascii="宋体" w:hAnsi="宋体"/>
          <w:color w:val="auto"/>
          <w:szCs w:val="21"/>
          <w:lang w:val="en-US" w:eastAsia="zh-CN"/>
        </w:rPr>
        <w:t>三</w:t>
      </w:r>
      <w:r>
        <w:rPr>
          <w:rFonts w:hint="eastAsia" w:ascii="宋体" w:hAnsi="宋体"/>
          <w:color w:val="auto"/>
          <w:szCs w:val="21"/>
        </w:rPr>
        <w:t>）</w:t>
      </w:r>
      <w:r>
        <w:rPr>
          <w:rFonts w:hint="eastAsia" w:ascii="宋体" w:hAnsi="宋体"/>
          <w:color w:val="auto"/>
          <w:szCs w:val="21"/>
          <w:lang w:eastAsia="zh-CN"/>
        </w:rPr>
        <w:t>，</w:t>
      </w:r>
      <w:r>
        <w:rPr>
          <w:rFonts w:hint="eastAsia" w:ascii="宋体" w:hAnsi="宋体"/>
          <w:color w:val="auto"/>
          <w:szCs w:val="21"/>
        </w:rPr>
        <w:t>本项目通过“政府采购云平台（www.zcygov.cn）”实行在线制作并提交投标文件（电子投标）。</w:t>
      </w:r>
    </w:p>
    <w:p>
      <w:pPr>
        <w:wordWrap w:val="0"/>
        <w:spacing w:line="360" w:lineRule="auto"/>
        <w:rPr>
          <w:rFonts w:hint="eastAsia" w:ascii="宋体" w:hAnsi="宋体"/>
          <w:color w:val="auto"/>
          <w:szCs w:val="21"/>
        </w:rPr>
      </w:pPr>
      <w:r>
        <w:rPr>
          <w:rFonts w:hint="eastAsia" w:ascii="宋体" w:hAnsi="宋体"/>
          <w:color w:val="auto"/>
          <w:szCs w:val="21"/>
        </w:rPr>
        <w:t xml:space="preserve">    开标时间：202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07</w:t>
      </w:r>
      <w:r>
        <w:rPr>
          <w:rFonts w:hint="eastAsia" w:ascii="宋体" w:hAnsi="宋体"/>
          <w:color w:val="auto"/>
          <w:szCs w:val="21"/>
        </w:rPr>
        <w:t>月</w:t>
      </w:r>
      <w:r>
        <w:rPr>
          <w:rFonts w:hint="eastAsia" w:ascii="宋体" w:hAnsi="宋体"/>
          <w:color w:val="auto"/>
          <w:szCs w:val="21"/>
          <w:lang w:val="en-US" w:eastAsia="zh-CN"/>
        </w:rPr>
        <w:t>15</w:t>
      </w:r>
      <w:r>
        <w:rPr>
          <w:rFonts w:hint="eastAsia" w:ascii="宋体" w:hAnsi="宋体"/>
          <w:color w:val="auto"/>
          <w:szCs w:val="21"/>
        </w:rPr>
        <w:t>日</w:t>
      </w:r>
      <w:r>
        <w:rPr>
          <w:rFonts w:hint="eastAsia" w:ascii="宋体" w:hAnsi="宋体"/>
          <w:color w:val="auto"/>
          <w:szCs w:val="21"/>
          <w:lang w:val="en-US" w:eastAsia="zh-CN"/>
        </w:rPr>
        <w:t>9</w:t>
      </w:r>
      <w:r>
        <w:rPr>
          <w:rFonts w:hint="eastAsia" w:ascii="宋体" w:hAnsi="宋体"/>
          <w:color w:val="auto"/>
          <w:szCs w:val="21"/>
        </w:rPr>
        <w:t>:</w:t>
      </w:r>
      <w:r>
        <w:rPr>
          <w:rFonts w:hint="eastAsia" w:ascii="宋体" w:hAnsi="宋体"/>
          <w:color w:val="auto"/>
          <w:szCs w:val="21"/>
          <w:lang w:val="en-US" w:eastAsia="zh-CN"/>
        </w:rPr>
        <w:t>00</w:t>
      </w:r>
      <w:r>
        <w:rPr>
          <w:rFonts w:hint="eastAsia" w:ascii="宋体" w:hAnsi="宋体"/>
          <w:color w:val="auto"/>
          <w:szCs w:val="21"/>
        </w:rPr>
        <w:t xml:space="preserve">（北京时间） </w:t>
      </w:r>
    </w:p>
    <w:p>
      <w:pPr>
        <w:wordWrap w:val="0"/>
        <w:spacing w:line="360" w:lineRule="auto"/>
        <w:rPr>
          <w:rFonts w:hint="eastAsia" w:ascii="宋体" w:hAnsi="宋体"/>
          <w:color w:val="auto"/>
          <w:szCs w:val="21"/>
        </w:rPr>
      </w:pPr>
      <w:r>
        <w:rPr>
          <w:rFonts w:hint="eastAsia" w:ascii="宋体" w:hAnsi="宋体"/>
          <w:color w:val="auto"/>
          <w:szCs w:val="21"/>
        </w:rPr>
        <w:t xml:space="preserve">    开标地点（网址）：镇海区公共资源交易中心（镇海骆驼街道金华南路55号三楼开标厅</w:t>
      </w:r>
      <w:r>
        <w:rPr>
          <w:rFonts w:hint="eastAsia" w:ascii="宋体" w:hAnsi="宋体"/>
          <w:color w:val="auto"/>
          <w:szCs w:val="21"/>
          <w:lang w:val="en-US" w:eastAsia="zh-CN"/>
        </w:rPr>
        <w:t>三</w:t>
      </w:r>
      <w:r>
        <w:rPr>
          <w:rFonts w:hint="eastAsia" w:ascii="宋体" w:hAnsi="宋体"/>
          <w:color w:val="auto"/>
          <w:szCs w:val="21"/>
        </w:rPr>
        <w:t>）</w:t>
      </w:r>
      <w:r>
        <w:rPr>
          <w:rFonts w:hint="eastAsia" w:ascii="宋体" w:hAnsi="宋体"/>
          <w:color w:val="auto"/>
          <w:szCs w:val="21"/>
          <w:lang w:eastAsia="zh-CN"/>
        </w:rPr>
        <w:t>，</w:t>
      </w:r>
      <w:r>
        <w:rPr>
          <w:rFonts w:hint="eastAsia" w:ascii="宋体" w:hAnsi="宋体"/>
          <w:color w:val="auto"/>
          <w:szCs w:val="21"/>
        </w:rPr>
        <w:t xml:space="preserve">本项目通过“政府采购云平台（www.zcygov.cn）”实行在线开标。  </w:t>
      </w:r>
    </w:p>
    <w:p>
      <w:pPr>
        <w:wordWrap w:val="0"/>
        <w:spacing w:line="360" w:lineRule="auto"/>
        <w:rPr>
          <w:rFonts w:hint="eastAsia" w:ascii="宋体" w:hAnsi="宋体"/>
          <w:color w:val="auto"/>
          <w:szCs w:val="21"/>
        </w:rPr>
      </w:pPr>
      <w:r>
        <w:rPr>
          <w:rFonts w:hint="eastAsia" w:ascii="宋体" w:hAnsi="宋体"/>
          <w:color w:val="auto"/>
          <w:szCs w:val="21"/>
        </w:rPr>
        <w:t xml:space="preserve">五、公告期限 </w:t>
      </w:r>
    </w:p>
    <w:p>
      <w:pPr>
        <w:wordWrap w:val="0"/>
        <w:spacing w:line="360" w:lineRule="auto"/>
        <w:rPr>
          <w:rFonts w:hint="eastAsia" w:ascii="宋体" w:hAnsi="宋体"/>
          <w:color w:val="auto"/>
          <w:szCs w:val="21"/>
        </w:rPr>
      </w:pPr>
      <w:r>
        <w:rPr>
          <w:rFonts w:hint="eastAsia" w:ascii="宋体" w:hAnsi="宋体"/>
          <w:color w:val="auto"/>
          <w:szCs w:val="21"/>
        </w:rPr>
        <w:t xml:space="preserve">    自本公告发布之日起5个工作日。</w:t>
      </w:r>
    </w:p>
    <w:p>
      <w:pPr>
        <w:wordWrap w:val="0"/>
        <w:spacing w:line="360" w:lineRule="auto"/>
        <w:rPr>
          <w:rFonts w:hint="eastAsia" w:ascii="宋体" w:hAnsi="宋体"/>
          <w:color w:val="auto"/>
          <w:szCs w:val="21"/>
        </w:rPr>
      </w:pPr>
      <w:r>
        <w:rPr>
          <w:rFonts w:hint="eastAsia" w:ascii="宋体" w:hAnsi="宋体"/>
          <w:color w:val="auto"/>
          <w:szCs w:val="21"/>
        </w:rPr>
        <w:t>六、其他补充事宜</w:t>
      </w:r>
    </w:p>
    <w:p>
      <w:pPr>
        <w:wordWrap w:val="0"/>
        <w:spacing w:line="360" w:lineRule="auto"/>
        <w:rPr>
          <w:rFonts w:ascii="宋体" w:hAnsi="宋体"/>
          <w:color w:val="auto"/>
          <w:szCs w:val="21"/>
        </w:rPr>
      </w:pPr>
      <w:r>
        <w:rPr>
          <w:rFonts w:hint="eastAsia" w:ascii="宋体" w:hAnsi="宋体"/>
          <w:color w:val="auto"/>
          <w:szCs w:val="21"/>
        </w:rPr>
        <w:t xml:space="preserve">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pacing w:line="360" w:lineRule="auto"/>
        <w:ind w:firstLine="420"/>
        <w:rPr>
          <w:rFonts w:hint="eastAsia" w:ascii="宋体" w:hAnsi="宋体"/>
          <w:color w:val="auto"/>
          <w:szCs w:val="21"/>
        </w:rPr>
      </w:pPr>
      <w:r>
        <w:rPr>
          <w:rFonts w:hint="eastAsia" w:ascii="宋体" w:hAnsi="宋体"/>
          <w:color w:val="auto"/>
          <w:szCs w:val="21"/>
        </w:rPr>
        <w:t>2、其他事项：(1)单位负责人为同一人或者存在直接控股、管理关系的不同供应商，不得参加同一标项号的投标。(</w:t>
      </w:r>
      <w:r>
        <w:rPr>
          <w:rFonts w:hint="eastAsia" w:ascii="宋体" w:hAnsi="宋体"/>
          <w:color w:val="auto"/>
          <w:szCs w:val="21"/>
          <w:lang w:val="en-US" w:eastAsia="zh-CN"/>
        </w:rPr>
        <w:t>2</w:t>
      </w:r>
      <w:r>
        <w:rPr>
          <w:rFonts w:hint="eastAsia" w:ascii="宋体" w:hAnsi="宋体"/>
          <w:color w:val="auto"/>
          <w:szCs w:val="21"/>
        </w:rPr>
        <w:t>)落实的政策：《关于促进残疾人就业政府采购政策的通知》（财库[2017]141号）、《政府采购促进中小企业发展管理办法》（财库〔2020〕46号）、《关于政府采购支持监狱企业发展有关问题的通知》(财库[2014]68号)。</w:t>
      </w:r>
    </w:p>
    <w:p>
      <w:pPr>
        <w:wordWrap w:val="0"/>
        <w:spacing w:line="360" w:lineRule="auto"/>
        <w:ind w:firstLine="420" w:firstLineChars="200"/>
        <w:rPr>
          <w:rFonts w:hint="eastAsia" w:ascii="宋体" w:hAnsi="宋体"/>
          <w:color w:val="auto"/>
          <w:szCs w:val="21"/>
        </w:rPr>
      </w:pPr>
      <w:r>
        <w:rPr>
          <w:rFonts w:hint="eastAsia" w:ascii="宋体" w:hAnsi="宋体"/>
          <w:color w:val="auto"/>
          <w:szCs w:val="21"/>
        </w:rPr>
        <w:t>3.供应商应于提交投标文件截止时间前将电子投标文件上传到政府采购云平台（www.zcygov.cn），并应于提交投标文件截止时间前，将以U盘或光盘存储的电子备份投标文件密封后送至开标地点。</w:t>
      </w:r>
    </w:p>
    <w:p>
      <w:pPr>
        <w:wordWrap w:val="0"/>
        <w:spacing w:line="360" w:lineRule="auto"/>
        <w:ind w:firstLine="420" w:firstLineChars="200"/>
        <w:rPr>
          <w:rFonts w:hint="eastAsia" w:ascii="宋体" w:hAnsi="宋体"/>
          <w:color w:val="auto"/>
          <w:szCs w:val="21"/>
        </w:rPr>
      </w:pPr>
      <w:r>
        <w:rPr>
          <w:rFonts w:hint="eastAsia" w:ascii="宋体" w:hAnsi="宋体"/>
          <w:color w:val="auto"/>
          <w:szCs w:val="21"/>
        </w:rPr>
        <w:t>4.开标时间后</w:t>
      </w:r>
      <w:r>
        <w:rPr>
          <w:rFonts w:hint="eastAsia" w:ascii="宋体" w:hAnsi="宋体"/>
          <w:b/>
          <w:bCs/>
          <w:color w:val="auto"/>
          <w:szCs w:val="21"/>
        </w:rPr>
        <w:t>半小时内</w:t>
      </w:r>
      <w:r>
        <w:rPr>
          <w:rFonts w:hint="eastAsia" w:ascii="宋体" w:hAnsi="宋体"/>
          <w:color w:val="auto"/>
          <w:szCs w:val="21"/>
        </w:rPr>
        <w:t>供应商可以登录政府采购云平台（www.zcygov.cn），用“项目采购-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如因系统或部分电子响应文件无法解密</w:t>
      </w:r>
      <w:r>
        <w:rPr>
          <w:rFonts w:hint="eastAsia" w:ascii="宋体" w:hAnsi="宋体"/>
          <w:color w:val="auto"/>
          <w:szCs w:val="21"/>
          <w:lang w:eastAsia="zh-CN"/>
        </w:rPr>
        <w:t>，</w:t>
      </w:r>
      <w:r>
        <w:rPr>
          <w:rFonts w:hint="eastAsia" w:ascii="宋体" w:hAnsi="宋体"/>
          <w:color w:val="auto"/>
          <w:szCs w:val="21"/>
        </w:rPr>
        <w:t>供应商在截止时间前未提交</w:t>
      </w:r>
      <w:r>
        <w:rPr>
          <w:rFonts w:hint="eastAsia" w:ascii="宋体" w:hAnsi="宋体"/>
          <w:color w:val="auto"/>
          <w:szCs w:val="21"/>
          <w:lang w:eastAsia="zh-CN"/>
        </w:rPr>
        <w:t>电子</w:t>
      </w:r>
      <w:r>
        <w:rPr>
          <w:rFonts w:hint="eastAsia" w:ascii="宋体" w:hAnsi="宋体"/>
          <w:color w:val="auto"/>
          <w:szCs w:val="21"/>
        </w:rPr>
        <w:t>备份响应文件的，视为供应商放弃投标。无论是否启用备份电子投标文件，均不退还供应商。</w:t>
      </w:r>
    </w:p>
    <w:p>
      <w:pPr>
        <w:wordWrap w:val="0"/>
        <w:spacing w:line="360" w:lineRule="auto"/>
        <w:ind w:firstLine="420" w:firstLineChars="200"/>
        <w:rPr>
          <w:rFonts w:hint="eastAsia" w:ascii="宋体" w:hAnsi="宋体"/>
          <w:color w:val="auto"/>
          <w:szCs w:val="21"/>
        </w:rPr>
      </w:pPr>
      <w:r>
        <w:rPr>
          <w:rFonts w:hint="eastAsia" w:ascii="宋体" w:hAnsi="宋体"/>
          <w:color w:val="auto"/>
          <w:szCs w:val="21"/>
        </w:rPr>
        <w:t>5.本项目实行网上投标，采用电子投标文件。若供应商参与投标，自行承担投标一切费用。</w:t>
      </w:r>
    </w:p>
    <w:p>
      <w:pPr>
        <w:wordWrap w:val="0"/>
        <w:spacing w:line="360" w:lineRule="auto"/>
        <w:ind w:firstLine="420" w:firstLineChars="200"/>
        <w:rPr>
          <w:rFonts w:hint="eastAsia" w:ascii="宋体" w:hAnsi="宋体"/>
          <w:color w:val="auto"/>
          <w:szCs w:val="21"/>
        </w:rPr>
      </w:pPr>
      <w:r>
        <w:rPr>
          <w:rFonts w:hint="eastAsia" w:ascii="宋体" w:hAnsi="宋体"/>
          <w:color w:val="auto"/>
          <w:szCs w:val="21"/>
        </w:rPr>
        <w:t>6.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p>
    <w:p>
      <w:pPr>
        <w:wordWrap w:val="0"/>
        <w:spacing w:line="360" w:lineRule="auto"/>
        <w:ind w:firstLine="420" w:firstLineChars="200"/>
        <w:rPr>
          <w:rFonts w:hint="eastAsia" w:ascii="宋体" w:hAnsi="宋体"/>
          <w:color w:val="auto"/>
          <w:szCs w:val="21"/>
        </w:rPr>
      </w:pPr>
      <w:r>
        <w:rPr>
          <w:rFonts w:hint="eastAsia" w:ascii="宋体" w:hAnsi="宋体"/>
          <w:color w:val="auto"/>
          <w:szCs w:val="21"/>
        </w:rPr>
        <w:t xml:space="preserve">7.投标文件制作：（1）应按照本项目采购文件和政府采购云平台的要求编制、加密并递交投标文件。供应商在使用系统进行投标的过程中遇到涉及平台使用的任何问题，可致电政府采购云平台技术支持热线咨询，联系方式：4008817190。（2）供应商通过政府采购云平台电子投标工具制作投标文件。电子投标工具请供应商自行前往浙江政府采购网下载并安装（zfcg.czt.zj.gov.cn/bidClientTemplate/2019-05-27/12946.html）。供应商投标文件制作及电子交易操作指南详见：①政府采购项目电子交易管理操作指南（视频）：service.zcygov.cn/#/knowledges/CW1EtGwBFdiHxlNd6I3m/7GyLXW0BXgMSmLUuYuPM（电脑登录账号观看）；②政府采购项目电子交易管理操作指南（文本）：service.zcygov.cn/#/knowledges/CW1EtGwBFdiHxlNd6I3m/6IMVAG0BFdiHxlNdQ8Na（电脑登录账号浏览）。（3）以U盘或光盘存储的电子备份投标文件1份，即按“项目采购-电子招投标操作指南”制作的电子备份文件，以用于异常情况处理。  </w:t>
      </w:r>
    </w:p>
    <w:p>
      <w:pPr>
        <w:wordWrap w:val="0"/>
        <w:spacing w:line="360" w:lineRule="auto"/>
        <w:rPr>
          <w:rFonts w:ascii="宋体" w:hAnsi="宋体"/>
          <w:color w:val="auto"/>
          <w:szCs w:val="21"/>
        </w:rPr>
      </w:pPr>
    </w:p>
    <w:p>
      <w:pPr>
        <w:wordWrap w:val="0"/>
        <w:spacing w:line="360" w:lineRule="auto"/>
        <w:rPr>
          <w:rFonts w:hint="eastAsia" w:ascii="宋体" w:hAnsi="宋体"/>
          <w:color w:val="auto"/>
          <w:szCs w:val="21"/>
        </w:rPr>
      </w:pPr>
      <w:r>
        <w:rPr>
          <w:rFonts w:hint="eastAsia" w:ascii="宋体" w:hAnsi="宋体"/>
          <w:color w:val="auto"/>
          <w:szCs w:val="21"/>
        </w:rPr>
        <w:t>七、对本次采购提出询问、质疑、投诉，请按以下方式联系</w:t>
      </w:r>
    </w:p>
    <w:p>
      <w:pPr>
        <w:wordWrap w:val="0"/>
        <w:spacing w:line="360" w:lineRule="auto"/>
        <w:rPr>
          <w:rFonts w:hint="eastAsia" w:ascii="宋体" w:hAnsi="宋体"/>
          <w:color w:val="auto"/>
          <w:szCs w:val="21"/>
        </w:rPr>
      </w:pPr>
      <w:r>
        <w:rPr>
          <w:rFonts w:hint="eastAsia" w:ascii="宋体" w:hAnsi="宋体"/>
          <w:color w:val="auto"/>
          <w:szCs w:val="21"/>
        </w:rPr>
        <w:t xml:space="preserve">    1.采购人信息</w:t>
      </w:r>
    </w:p>
    <w:p>
      <w:pPr>
        <w:wordWrap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 xml:space="preserve">采购人：宁波市镇海区人民医院医疗集团  </w:t>
      </w:r>
    </w:p>
    <w:p>
      <w:pPr>
        <w:wordWrap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地址：浙江宁波市镇海区骆驼街道南二西路718号 </w:t>
      </w:r>
    </w:p>
    <w:p>
      <w:pPr>
        <w:wordWrap w:val="0"/>
        <w:spacing w:line="360" w:lineRule="auto"/>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联系人：龙</w:t>
      </w:r>
      <w:r>
        <w:rPr>
          <w:rFonts w:hint="eastAsia" w:ascii="宋体" w:hAnsi="宋体" w:eastAsia="宋体" w:cs="Times New Roman"/>
          <w:color w:val="auto"/>
          <w:szCs w:val="21"/>
          <w:lang w:val="en-US" w:eastAsia="zh-CN"/>
        </w:rPr>
        <w:t>老师</w:t>
      </w:r>
      <w:r>
        <w:rPr>
          <w:rFonts w:hint="eastAsia" w:ascii="宋体" w:hAnsi="宋体" w:eastAsia="宋体" w:cs="Times New Roman"/>
          <w:color w:val="auto"/>
          <w:szCs w:val="21"/>
        </w:rPr>
        <w:t xml:space="preserve">    联系电话：0574-86655160</w:t>
      </w:r>
      <w:r>
        <w:rPr>
          <w:rFonts w:hint="eastAsia" w:ascii="宋体" w:hAnsi="宋体" w:eastAsia="宋体" w:cs="Times New Roman"/>
          <w:color w:val="auto"/>
          <w:szCs w:val="21"/>
          <w:lang w:val="en-US" w:eastAsia="zh-CN"/>
        </w:rPr>
        <w:t xml:space="preserve"> </w:t>
      </w:r>
    </w:p>
    <w:p>
      <w:pPr>
        <w:wordWrap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质疑联系人：</w:t>
      </w:r>
      <w:r>
        <w:rPr>
          <w:rFonts w:hint="eastAsia" w:ascii="宋体" w:hAnsi="宋体" w:eastAsia="宋体" w:cs="Times New Roman"/>
          <w:color w:val="auto"/>
          <w:szCs w:val="21"/>
          <w:lang w:val="en-US" w:eastAsia="zh-CN"/>
        </w:rPr>
        <w:t>胡老师</w:t>
      </w:r>
      <w:r>
        <w:rPr>
          <w:rFonts w:hint="eastAsia" w:ascii="宋体" w:hAnsi="宋体" w:eastAsia="宋体" w:cs="Times New Roman"/>
          <w:color w:val="auto"/>
          <w:szCs w:val="21"/>
        </w:rPr>
        <w:t xml:space="preserve">  </w:t>
      </w:r>
    </w:p>
    <w:p>
      <w:pPr>
        <w:wordWrap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质疑联系方式：0574-86650088</w:t>
      </w:r>
    </w:p>
    <w:p>
      <w:pPr>
        <w:wordWrap w:val="0"/>
        <w:spacing w:line="360" w:lineRule="auto"/>
        <w:rPr>
          <w:rFonts w:hint="eastAsia" w:ascii="宋体" w:hAnsi="宋体"/>
          <w:color w:val="auto"/>
          <w:szCs w:val="21"/>
        </w:rPr>
      </w:pPr>
    </w:p>
    <w:p>
      <w:pPr>
        <w:wordWrap w:val="0"/>
        <w:spacing w:line="360" w:lineRule="auto"/>
        <w:rPr>
          <w:rFonts w:hint="eastAsia" w:ascii="宋体" w:hAnsi="宋体"/>
          <w:color w:val="auto"/>
          <w:szCs w:val="21"/>
        </w:rPr>
      </w:pPr>
      <w:r>
        <w:rPr>
          <w:rFonts w:hint="eastAsia" w:ascii="宋体" w:hAnsi="宋体"/>
          <w:color w:val="auto"/>
          <w:szCs w:val="21"/>
        </w:rPr>
        <w:t xml:space="preserve">    2.采购代理机构信息 </w:t>
      </w:r>
    </w:p>
    <w:p>
      <w:pPr>
        <w:wordWrap w:val="0"/>
        <w:spacing w:line="360" w:lineRule="auto"/>
        <w:rPr>
          <w:rFonts w:hint="eastAsia" w:ascii="宋体" w:hAnsi="宋体" w:eastAsia="宋体" w:cs="Times New Roman"/>
          <w:color w:val="auto"/>
          <w:szCs w:val="21"/>
        </w:rPr>
      </w:pPr>
      <w:r>
        <w:rPr>
          <w:rFonts w:hint="eastAsia" w:ascii="宋体" w:hAnsi="宋体"/>
          <w:color w:val="auto"/>
          <w:szCs w:val="21"/>
        </w:rPr>
        <w:t xml:space="preserve"> </w:t>
      </w:r>
      <w:r>
        <w:rPr>
          <w:rFonts w:hint="eastAsia" w:ascii="宋体" w:hAnsi="宋体" w:eastAsia="宋体" w:cs="Times New Roman"/>
          <w:color w:val="auto"/>
          <w:szCs w:val="21"/>
        </w:rPr>
        <w:t xml:space="preserve">   采购代理机构名称：浙江天诚工程咨询有限公司</w:t>
      </w:r>
    </w:p>
    <w:p>
      <w:pPr>
        <w:wordWrap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地址：宁波市鄞州区江南路599号科技大厦四楼</w:t>
      </w:r>
    </w:p>
    <w:p>
      <w:pPr>
        <w:wordWrap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 xml:space="preserve">联系人：张燕平、蒋森佳、何丁华、彭秀雅  </w:t>
      </w:r>
    </w:p>
    <w:p>
      <w:pPr>
        <w:wordWrap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 xml:space="preserve">联系方式：0574-87031582 </w:t>
      </w:r>
    </w:p>
    <w:p>
      <w:pPr>
        <w:wordWrap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 xml:space="preserve">质疑联系人：孔佳钰   </w:t>
      </w:r>
    </w:p>
    <w:p>
      <w:pPr>
        <w:wordWrap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质疑联系方式：13967830072</w:t>
      </w:r>
    </w:p>
    <w:p>
      <w:pPr>
        <w:wordWrap w:val="0"/>
        <w:spacing w:line="360" w:lineRule="auto"/>
        <w:rPr>
          <w:rFonts w:hint="eastAsia" w:ascii="宋体" w:hAnsi="宋体"/>
          <w:color w:val="auto"/>
          <w:szCs w:val="21"/>
        </w:rPr>
      </w:pPr>
    </w:p>
    <w:p>
      <w:pPr>
        <w:wordWrap w:val="0"/>
        <w:spacing w:line="360" w:lineRule="auto"/>
        <w:rPr>
          <w:rFonts w:hint="eastAsia" w:ascii="宋体" w:hAnsi="宋体"/>
          <w:color w:val="auto"/>
          <w:szCs w:val="21"/>
        </w:rPr>
      </w:pPr>
      <w:r>
        <w:rPr>
          <w:rFonts w:hint="eastAsia" w:ascii="宋体" w:hAnsi="宋体"/>
          <w:color w:val="auto"/>
          <w:szCs w:val="21"/>
        </w:rPr>
        <w:t xml:space="preserve">    3.同级政府采购监督管理部门 </w:t>
      </w:r>
    </w:p>
    <w:p>
      <w:pPr>
        <w:wordWrap w:val="0"/>
        <w:spacing w:line="360" w:lineRule="auto"/>
        <w:rPr>
          <w:rFonts w:hint="eastAsia" w:ascii="宋体" w:hAnsi="宋体"/>
          <w:color w:val="auto"/>
          <w:szCs w:val="21"/>
        </w:rPr>
      </w:pPr>
      <w:r>
        <w:rPr>
          <w:rFonts w:hint="eastAsia" w:ascii="宋体" w:hAnsi="宋体"/>
          <w:color w:val="auto"/>
          <w:szCs w:val="21"/>
        </w:rPr>
        <w:t xml:space="preserve">    名 称：</w:t>
      </w:r>
      <w:r>
        <w:rPr>
          <w:rFonts w:hint="eastAsia" w:ascii="宋体" w:hAnsi="宋体" w:eastAsia="宋体" w:cs="宋体"/>
          <w:b w:val="0"/>
          <w:bCs/>
          <w:color w:val="auto"/>
          <w:sz w:val="21"/>
          <w:szCs w:val="21"/>
        </w:rPr>
        <w:t>宁波市镇海区采购管理办公室</w:t>
      </w:r>
      <w:r>
        <w:rPr>
          <w:rFonts w:hint="eastAsia" w:ascii="宋体" w:hAnsi="宋体"/>
          <w:color w:val="auto"/>
          <w:szCs w:val="21"/>
        </w:rPr>
        <w:t xml:space="preserve"> </w:t>
      </w:r>
    </w:p>
    <w:p>
      <w:pPr>
        <w:wordWrap w:val="0"/>
        <w:spacing w:line="360" w:lineRule="auto"/>
        <w:rPr>
          <w:rFonts w:hint="eastAsia" w:ascii="宋体" w:hAnsi="宋体"/>
          <w:color w:val="auto"/>
          <w:szCs w:val="21"/>
        </w:rPr>
      </w:pPr>
      <w:r>
        <w:rPr>
          <w:rFonts w:hint="eastAsia" w:ascii="宋体" w:hAnsi="宋体"/>
          <w:color w:val="auto"/>
          <w:szCs w:val="21"/>
        </w:rPr>
        <w:t xml:space="preserve">    联系人 ：</w:t>
      </w:r>
      <w:r>
        <w:rPr>
          <w:rFonts w:hint="eastAsia" w:ascii="宋体" w:hAnsi="宋体" w:eastAsia="宋体" w:cs="宋体"/>
          <w:b w:val="0"/>
          <w:bCs/>
          <w:color w:val="auto"/>
          <w:sz w:val="21"/>
          <w:szCs w:val="21"/>
        </w:rPr>
        <w:t>金老师</w:t>
      </w:r>
      <w:r>
        <w:rPr>
          <w:rFonts w:hint="eastAsia" w:ascii="宋体" w:hAnsi="宋体"/>
          <w:color w:val="auto"/>
          <w:szCs w:val="21"/>
        </w:rPr>
        <w:t xml:space="preserve"> </w:t>
      </w:r>
    </w:p>
    <w:p>
      <w:pPr>
        <w:wordWrap w:val="0"/>
        <w:spacing w:line="360" w:lineRule="auto"/>
        <w:rPr>
          <w:rFonts w:hint="eastAsia" w:ascii="宋体" w:hAnsi="宋体"/>
          <w:color w:val="auto"/>
          <w:szCs w:val="21"/>
        </w:rPr>
      </w:pPr>
      <w:r>
        <w:rPr>
          <w:rFonts w:hint="eastAsia" w:ascii="宋体" w:hAnsi="宋体"/>
          <w:color w:val="auto"/>
          <w:szCs w:val="21"/>
        </w:rPr>
        <w:t xml:space="preserve">    监督投诉电话：</w:t>
      </w:r>
      <w:r>
        <w:rPr>
          <w:rFonts w:hint="eastAsia" w:ascii="宋体" w:hAnsi="宋体" w:eastAsia="宋体" w:cs="宋体"/>
          <w:b w:val="0"/>
          <w:bCs/>
          <w:color w:val="auto"/>
          <w:sz w:val="21"/>
          <w:szCs w:val="21"/>
        </w:rPr>
        <w:t>0574-89389666</w:t>
      </w:r>
      <w:r>
        <w:rPr>
          <w:rFonts w:hint="eastAsia" w:ascii="宋体" w:hAnsi="宋体"/>
          <w:color w:val="auto"/>
          <w:szCs w:val="21"/>
        </w:rPr>
        <w:t xml:space="preserve"> </w:t>
      </w:r>
    </w:p>
    <w:p>
      <w:pPr>
        <w:wordWrap w:val="0"/>
        <w:spacing w:line="360" w:lineRule="auto"/>
        <w:rPr>
          <w:rFonts w:ascii="宋体" w:hAnsi="宋体"/>
          <w:color w:val="auto"/>
          <w:szCs w:val="21"/>
        </w:rPr>
      </w:pPr>
    </w:p>
    <w:p>
      <w:pPr>
        <w:wordWrap w:val="0"/>
        <w:spacing w:line="360" w:lineRule="auto"/>
        <w:ind w:firstLine="420" w:firstLineChars="200"/>
        <w:rPr>
          <w:rFonts w:hint="eastAsia" w:ascii="宋体" w:hAnsi="宋体" w:eastAsia="宋体" w:cs="Times New Roman"/>
          <w:color w:val="auto"/>
          <w:szCs w:val="21"/>
        </w:rPr>
      </w:pPr>
      <w:r>
        <w:rPr>
          <w:rFonts w:hint="eastAsia" w:ascii="宋体" w:hAnsi="宋体"/>
          <w:color w:val="auto"/>
          <w:szCs w:val="21"/>
        </w:rPr>
        <w:t>若对项目采购电子交易系统操作有疑问，可登录政采云（https://www.zcygov.cn/），点击右侧</w:t>
      </w:r>
      <w:r>
        <w:rPr>
          <w:rFonts w:hint="eastAsia" w:ascii="宋体" w:hAnsi="宋体" w:eastAsia="宋体" w:cs="Times New Roman"/>
          <w:color w:val="auto"/>
          <w:szCs w:val="21"/>
        </w:rPr>
        <w:t xml:space="preserve">咨询小采，获取采小蜜智能服务管家帮助，或拨打政采云服务热线400-881-7190获取热线服务帮助。 </w:t>
      </w:r>
    </w:p>
    <w:p>
      <w:pPr>
        <w:wordWrap w:val="0"/>
        <w:spacing w:line="360" w:lineRule="auto"/>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CA问题联系电话（人工）：汇信CA 400-888-4636；天谷CA 400-087-8198。</w:t>
      </w:r>
    </w:p>
    <w:p>
      <w:pPr>
        <w:wordWrap w:val="0"/>
        <w:spacing w:line="360" w:lineRule="auto"/>
        <w:ind w:firstLine="420" w:firstLineChars="200"/>
        <w:rPr>
          <w:rFonts w:hint="eastAsia" w:ascii="宋体" w:hAnsi="宋体" w:eastAsia="宋体" w:cs="Times New Roman"/>
          <w:color w:val="auto"/>
          <w:szCs w:val="21"/>
        </w:rPr>
      </w:pPr>
    </w:p>
    <w:p>
      <w:pPr>
        <w:pStyle w:val="3"/>
        <w:ind w:firstLine="562" w:firstLineChars="200"/>
        <w:rPr>
          <w:rFonts w:hint="eastAsia"/>
          <w:color w:val="auto"/>
        </w:rPr>
      </w:pPr>
      <w:r>
        <w:rPr>
          <w:color w:val="auto"/>
        </w:rPr>
        <w:br w:type="page"/>
      </w:r>
      <w:bookmarkStart w:id="3" w:name="_Toc30085"/>
      <w:r>
        <w:rPr>
          <w:rFonts w:hint="eastAsia"/>
          <w:color w:val="auto"/>
        </w:rPr>
        <w:t>第二章  采购需求</w:t>
      </w:r>
      <w:bookmarkEnd w:id="3"/>
    </w:p>
    <w:p>
      <w:pPr>
        <w:tabs>
          <w:tab w:val="left" w:pos="2960"/>
        </w:tabs>
        <w:spacing w:line="360" w:lineRule="auto"/>
        <w:ind w:firstLine="422" w:firstLineChars="200"/>
        <w:rPr>
          <w:rFonts w:hint="eastAsia" w:ascii="宋体" w:hAnsi="宋体" w:eastAsia="宋体" w:cs="宋体"/>
          <w:b/>
          <w:bCs/>
          <w:color w:val="000000"/>
          <w:sz w:val="21"/>
          <w:szCs w:val="21"/>
        </w:rPr>
      </w:pPr>
      <w:bookmarkStart w:id="4" w:name="_Toc611"/>
      <w:r>
        <w:rPr>
          <w:rFonts w:hint="eastAsia" w:ascii="宋体" w:hAnsi="宋体" w:eastAsia="宋体" w:cs="宋体"/>
          <w:b/>
          <w:bCs/>
          <w:color w:val="000000"/>
          <w:sz w:val="21"/>
          <w:szCs w:val="21"/>
        </w:rPr>
        <w:t>一、 项目概况</w:t>
      </w:r>
    </w:p>
    <w:p>
      <w:pPr>
        <w:spacing w:line="360" w:lineRule="auto"/>
        <w:ind w:right="18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宁波市镇海区人民医院目前是二级甲等综合医院，位于镇海区骆驼街道南二西路718号，医院共有职工</w:t>
      </w:r>
      <w:r>
        <w:rPr>
          <w:rFonts w:hint="eastAsia" w:ascii="宋体" w:hAnsi="宋体" w:eastAsia="宋体" w:cs="宋体"/>
          <w:color w:val="000000"/>
          <w:sz w:val="21"/>
          <w:szCs w:val="21"/>
          <w:lang w:val="en-US" w:eastAsia="zh-CN"/>
        </w:rPr>
        <w:t>1096</w:t>
      </w:r>
      <w:r>
        <w:rPr>
          <w:rFonts w:hint="eastAsia" w:ascii="宋体" w:hAnsi="宋体" w:eastAsia="宋体" w:cs="宋体"/>
          <w:color w:val="000000"/>
          <w:sz w:val="21"/>
          <w:szCs w:val="21"/>
        </w:rPr>
        <w:t>人，开放床位600张，医院实行24小时无假日工作制。医院食堂面积约1000平方左右，</w:t>
      </w:r>
      <w:r>
        <w:rPr>
          <w:rFonts w:hint="eastAsia" w:ascii="宋体" w:hAnsi="宋体" w:eastAsia="宋体" w:cs="宋体"/>
          <w:color w:val="000000"/>
          <w:sz w:val="21"/>
          <w:szCs w:val="21"/>
          <w:lang w:val="en-US" w:eastAsia="zh-CN"/>
        </w:rPr>
        <w:t>分为员工餐厅和病员餐厅，员工餐厅</w:t>
      </w:r>
      <w:r>
        <w:rPr>
          <w:rFonts w:hint="eastAsia" w:ascii="宋体" w:hAnsi="宋体" w:eastAsia="宋体" w:cs="宋体"/>
          <w:color w:val="000000"/>
          <w:sz w:val="21"/>
          <w:szCs w:val="21"/>
        </w:rPr>
        <w:t>厨房设备设施、餐厨具齐全，水、电、气三通。为方便职工就餐</w:t>
      </w:r>
      <w:r>
        <w:rPr>
          <w:rFonts w:hint="eastAsia" w:ascii="宋体" w:hAnsi="宋体" w:eastAsia="宋体" w:cs="宋体"/>
          <w:color w:val="000000"/>
          <w:sz w:val="21"/>
          <w:szCs w:val="21"/>
          <w:lang w:val="en-US" w:eastAsia="zh-CN"/>
        </w:rPr>
        <w:t>及</w:t>
      </w:r>
      <w:r>
        <w:rPr>
          <w:rFonts w:hint="eastAsia" w:ascii="宋体" w:hAnsi="宋体" w:eastAsia="宋体" w:cs="宋体"/>
          <w:color w:val="000000"/>
          <w:sz w:val="21"/>
          <w:szCs w:val="21"/>
        </w:rPr>
        <w:t>住院病人</w:t>
      </w:r>
      <w:r>
        <w:rPr>
          <w:rFonts w:hint="eastAsia" w:ascii="宋体" w:hAnsi="宋体" w:eastAsia="宋体" w:cs="宋体"/>
          <w:color w:val="000000"/>
          <w:sz w:val="21"/>
          <w:szCs w:val="21"/>
          <w:lang w:val="en-US" w:eastAsia="zh-CN"/>
        </w:rPr>
        <w:t>订餐</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病员餐厅位于住院部东侧，</w:t>
      </w:r>
      <w:r>
        <w:rPr>
          <w:rFonts w:hint="eastAsia" w:ascii="宋体" w:hAnsi="宋体" w:eastAsia="宋体" w:cs="宋体"/>
          <w:color w:val="000000"/>
          <w:sz w:val="21"/>
          <w:szCs w:val="21"/>
        </w:rPr>
        <w:t>厨房设备设施、餐厨具齐全，水、电</w:t>
      </w:r>
      <w:r>
        <w:rPr>
          <w:rFonts w:hint="eastAsia" w:ascii="宋体" w:hAnsi="宋体" w:eastAsia="宋体" w:cs="宋体"/>
          <w:color w:val="000000"/>
          <w:sz w:val="21"/>
          <w:szCs w:val="21"/>
          <w:lang w:val="en-US" w:eastAsia="zh-CN"/>
        </w:rPr>
        <w:t>二通，为</w:t>
      </w:r>
      <w:r>
        <w:rPr>
          <w:rFonts w:hint="eastAsia" w:ascii="宋体" w:hAnsi="宋体" w:eastAsia="宋体" w:cs="宋体"/>
          <w:color w:val="000000"/>
          <w:sz w:val="21"/>
          <w:szCs w:val="21"/>
        </w:rPr>
        <w:t>提高食堂餐饮服务质量，现对医院食堂管理服务团队进行公开招标。投标人应派出一支专业化的餐饮服务工作团队，为采购人提供职工餐、病员餐、营养餐、夜餐、误餐、体检早餐、桌餐等餐饮服务，提高餐饮品质，保证职工及住院病人就餐满意。</w:t>
      </w:r>
    </w:p>
    <w:p>
      <w:pPr>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二、食堂餐饮服务要求</w:t>
      </w:r>
    </w:p>
    <w:p>
      <w:pPr>
        <w:shd w:val="clear" w:color="auto" w:fill="FFFFFF"/>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（一）餐饮服务要求：</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1.根据三级医院评审要求，为病员、职工、专家等提供餐饮服务。主要有病人及家属餐饮、特殊病员营养餐、职工一日三餐、误餐、夜餐、体检早餐、桌餐等。</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2.职工就餐（含微信订餐）人数：目前早餐约140—160人/天、中餐约300—420人/天，晚餐约50-100人/天，要求不低于目前人数。</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3.住院病人就餐人次：要求达到开放床位的</w:t>
      </w:r>
      <w:r>
        <w:rPr>
          <w:rFonts w:hint="eastAsia" w:ascii="宋体" w:hAnsi="宋体" w:eastAsia="宋体" w:cs="宋体"/>
          <w:color w:val="000000"/>
          <w:sz w:val="21"/>
          <w:szCs w:val="21"/>
          <w:lang w:val="en-US" w:eastAsia="zh-CN"/>
        </w:rPr>
        <w:t>35</w:t>
      </w:r>
      <w:r>
        <w:rPr>
          <w:rFonts w:hint="eastAsia" w:ascii="宋体" w:hAnsi="宋体" w:eastAsia="宋体" w:cs="宋体"/>
          <w:color w:val="000000"/>
          <w:sz w:val="21"/>
          <w:szCs w:val="21"/>
        </w:rPr>
        <w:t>%以上。</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4.平均体检人员早餐60份以上/天，以满足实际体检需求为准。</w:t>
      </w:r>
    </w:p>
    <w:p>
      <w:pPr>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（二）供应方式：</w:t>
      </w:r>
    </w:p>
    <w:p>
      <w:pPr>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1.职工餐：</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1.1早餐以面食、点心为主，职工自选。</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1.2中餐、晚餐提供菜品不少于10种，实行中餐半自助就餐、晚餐自选就餐服务，中餐另加面食等自选方式供应。</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1.3开设小灶服务及风味小吃（具体要求见合同）</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1.4提供夜宵餐服务并负责送餐至所需科室。</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1.5特殊部门中餐、晚餐等需送餐至所需科室。</w:t>
      </w:r>
    </w:p>
    <w:p>
      <w:pPr>
        <w:spacing w:line="360" w:lineRule="auto"/>
        <w:ind w:firstLine="630" w:firstLineChars="3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1.6非特殊科室根据员工早中晚送餐需求，提供外卖服务，外卖餐费需院方和承包商讨论商量后一起拟定。</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2.体检早餐：</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8点前送达至体检中心并负责发放，定专人在体检中心提供现场服务。</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3．病员餐：</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bCs/>
          <w:color w:val="auto"/>
          <w:sz w:val="21"/>
          <w:szCs w:val="21"/>
        </w:rPr>
        <w:t>3.1</w:t>
      </w:r>
      <w:r>
        <w:rPr>
          <w:rFonts w:hint="eastAsia" w:ascii="宋体" w:hAnsi="宋体" w:eastAsia="宋体" w:cs="宋体"/>
          <w:color w:val="auto"/>
          <w:sz w:val="21"/>
          <w:szCs w:val="21"/>
        </w:rPr>
        <w:t>提供一日三餐餐饮（含营养餐），要求提供病区上门订餐、配餐、送餐服务。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3.2病员餐厅为有餐饮需求的就诊病人及家属等提供堂食餐饮服务。病员餐厅配备服务人员不少于2人。</w:t>
      </w:r>
    </w:p>
    <w:p>
      <w:pPr>
        <w:pStyle w:val="78"/>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b/>
          <w:bCs w:val="0"/>
          <w:color w:val="auto"/>
          <w:sz w:val="21"/>
          <w:szCs w:val="21"/>
        </w:rPr>
        <w:t>（三）餐饮供应品种</w:t>
      </w:r>
    </w:p>
    <w:p>
      <w:pPr>
        <w:shd w:val="clear" w:color="auto" w:fill="FFFFFF"/>
        <w:spacing w:line="360" w:lineRule="auto"/>
        <w:ind w:firstLine="420" w:firstLineChars="200"/>
        <w:rPr>
          <w:rFonts w:hint="eastAsia" w:ascii="宋体" w:hAnsi="宋体" w:eastAsia="宋体" w:cs="宋体"/>
          <w:b/>
          <w:bCs/>
          <w:color w:val="auto"/>
          <w:sz w:val="21"/>
          <w:szCs w:val="21"/>
        </w:rPr>
      </w:pPr>
      <w:r>
        <w:rPr>
          <w:rFonts w:hint="eastAsia" w:ascii="宋体" w:hAnsi="宋体" w:eastAsia="宋体" w:cs="宋体"/>
          <w:color w:val="auto"/>
          <w:sz w:val="21"/>
          <w:szCs w:val="21"/>
        </w:rPr>
        <w:t>要求每周四前须提供下一周详细菜谱清单。</w:t>
      </w:r>
    </w:p>
    <w:p>
      <w:pPr>
        <w:shd w:val="clear" w:color="auto" w:fill="FFFFFF"/>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1.职工餐：</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1.1早餐无固定餐标，每天提供不少于10个品种餐点（其中西点不少于2种）</w:t>
      </w:r>
    </w:p>
    <w:tbl>
      <w:tblPr>
        <w:tblStyle w:val="3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6"/>
        <w:gridCol w:w="1402"/>
        <w:gridCol w:w="67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696" w:type="dxa"/>
            <w:vMerge w:val="restart"/>
            <w:noWrap w:val="0"/>
            <w:vAlign w:val="center"/>
          </w:tcPr>
          <w:p>
            <w:pPr>
              <w:autoSpaceDE w:val="0"/>
              <w:autoSpaceDN w:val="0"/>
              <w:adjustRightInd w:val="0"/>
              <w:spacing w:line="360" w:lineRule="auto"/>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早餐</w:t>
            </w:r>
          </w:p>
        </w:tc>
        <w:tc>
          <w:tcPr>
            <w:tcW w:w="1402" w:type="dxa"/>
            <w:noWrap w:val="0"/>
            <w:vAlign w:val="center"/>
          </w:tcPr>
          <w:p>
            <w:pPr>
              <w:autoSpaceDE w:val="0"/>
              <w:autoSpaceDN w:val="0"/>
              <w:adjustRightInd w:val="0"/>
              <w:spacing w:line="360" w:lineRule="auto"/>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普通早点</w:t>
            </w:r>
          </w:p>
        </w:tc>
        <w:tc>
          <w:tcPr>
            <w:tcW w:w="6788" w:type="dxa"/>
            <w:noWrap w:val="0"/>
            <w:vAlign w:val="center"/>
          </w:tcPr>
          <w:p>
            <w:pPr>
              <w:autoSpaceDE w:val="0"/>
              <w:autoSpaceDN w:val="0"/>
              <w:adjustRightIn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zh-CN"/>
              </w:rPr>
              <w:t>粥</w:t>
            </w:r>
            <w:r>
              <w:rPr>
                <w:rFonts w:hint="eastAsia" w:ascii="宋体" w:hAnsi="宋体" w:eastAsia="宋体" w:cs="宋体"/>
                <w:color w:val="auto"/>
                <w:sz w:val="21"/>
                <w:szCs w:val="21"/>
              </w:rPr>
              <w:t>3</w:t>
            </w:r>
            <w:r>
              <w:rPr>
                <w:rFonts w:hint="eastAsia" w:ascii="宋体" w:hAnsi="宋体" w:eastAsia="宋体" w:cs="宋体"/>
                <w:color w:val="auto"/>
                <w:sz w:val="21"/>
                <w:szCs w:val="21"/>
                <w:lang w:val="zh-CN"/>
              </w:rPr>
              <w:t>款，包子3－4款，鸡蛋2款，小菜2-3款，</w:t>
            </w:r>
            <w:r>
              <w:rPr>
                <w:rFonts w:hint="eastAsia" w:ascii="宋体" w:hAnsi="宋体" w:eastAsia="宋体" w:cs="宋体"/>
                <w:color w:val="auto"/>
                <w:sz w:val="21"/>
                <w:szCs w:val="21"/>
              </w:rPr>
              <w:t>豆浆等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696" w:type="dxa"/>
            <w:vMerge w:val="continue"/>
            <w:noWrap w:val="0"/>
            <w:vAlign w:val="center"/>
          </w:tcPr>
          <w:p>
            <w:pPr>
              <w:autoSpaceDE w:val="0"/>
              <w:autoSpaceDN w:val="0"/>
              <w:adjustRightInd w:val="0"/>
              <w:spacing w:line="360" w:lineRule="auto"/>
              <w:jc w:val="center"/>
              <w:rPr>
                <w:rFonts w:hint="eastAsia" w:ascii="宋体" w:hAnsi="宋体" w:eastAsia="宋体" w:cs="宋体"/>
                <w:color w:val="auto"/>
                <w:sz w:val="21"/>
                <w:szCs w:val="21"/>
                <w:lang w:val="zh-CN"/>
              </w:rPr>
            </w:pPr>
          </w:p>
        </w:tc>
        <w:tc>
          <w:tcPr>
            <w:tcW w:w="1402" w:type="dxa"/>
            <w:noWrap w:val="0"/>
            <w:vAlign w:val="center"/>
          </w:tcPr>
          <w:p>
            <w:pPr>
              <w:autoSpaceDE w:val="0"/>
              <w:autoSpaceDN w:val="0"/>
              <w:adjustRightInd w:val="0"/>
              <w:spacing w:line="360" w:lineRule="auto"/>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风味窗口</w:t>
            </w:r>
          </w:p>
        </w:tc>
        <w:tc>
          <w:tcPr>
            <w:tcW w:w="6788" w:type="dxa"/>
            <w:noWrap w:val="0"/>
            <w:vAlign w:val="center"/>
          </w:tcPr>
          <w:p>
            <w:pPr>
              <w:autoSpaceDE w:val="0"/>
              <w:autoSpaceDN w:val="0"/>
              <w:adjustRightInd w:val="0"/>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汤面、馄饨、饺子、生煎、油条、</w:t>
            </w:r>
            <w:r>
              <w:rPr>
                <w:rFonts w:hint="eastAsia" w:ascii="宋体" w:hAnsi="宋体" w:eastAsia="宋体" w:cs="宋体"/>
                <w:color w:val="auto"/>
                <w:sz w:val="21"/>
                <w:szCs w:val="21"/>
              </w:rPr>
              <w:t>西</w:t>
            </w:r>
            <w:r>
              <w:rPr>
                <w:rFonts w:hint="eastAsia" w:ascii="宋体" w:hAnsi="宋体" w:eastAsia="宋体" w:cs="宋体"/>
                <w:color w:val="auto"/>
                <w:sz w:val="21"/>
                <w:szCs w:val="21"/>
                <w:lang w:val="zh-CN"/>
              </w:rPr>
              <w:t>式点心等3-5款</w:t>
            </w:r>
          </w:p>
        </w:tc>
      </w:tr>
    </w:tbl>
    <w:p>
      <w:pPr>
        <w:shd w:val="clear" w:color="auto" w:fill="FFFFFF"/>
        <w:spacing w:before="120" w:beforeLines="50" w:after="120" w:afterLines="5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1.2中餐为半自助餐形式，</w:t>
      </w:r>
      <w:r>
        <w:rPr>
          <w:rFonts w:hint="eastAsia" w:ascii="宋体" w:hAnsi="宋体" w:eastAsia="宋体" w:cs="宋体"/>
          <w:color w:val="auto"/>
          <w:sz w:val="21"/>
          <w:szCs w:val="21"/>
          <w:lang w:val="zh-CN"/>
        </w:rPr>
        <w:t>（一荤一小荤二素），</w:t>
      </w:r>
      <w:r>
        <w:rPr>
          <w:rFonts w:hint="eastAsia" w:ascii="宋体" w:hAnsi="宋体" w:eastAsia="宋体" w:cs="宋体"/>
          <w:color w:val="auto"/>
          <w:sz w:val="21"/>
          <w:szCs w:val="21"/>
        </w:rPr>
        <w:t xml:space="preserve">要求菜肴品种不少于十种（菜单品种每日不同，一星期内不得重复；每季度推出新品2种以上） </w:t>
      </w:r>
    </w:p>
    <w:tbl>
      <w:tblPr>
        <w:tblStyle w:val="3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6"/>
        <w:gridCol w:w="1440"/>
        <w:gridCol w:w="6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3" w:hRule="atLeast"/>
          <w:jc w:val="center"/>
        </w:trPr>
        <w:tc>
          <w:tcPr>
            <w:tcW w:w="686" w:type="dxa"/>
            <w:noWrap w:val="0"/>
            <w:vAlign w:val="center"/>
          </w:tcPr>
          <w:p>
            <w:pPr>
              <w:autoSpaceDE w:val="0"/>
              <w:autoSpaceDN w:val="0"/>
              <w:adjustRightInd w:val="0"/>
              <w:spacing w:line="360" w:lineRule="auto"/>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中餐</w:t>
            </w:r>
          </w:p>
        </w:tc>
        <w:tc>
          <w:tcPr>
            <w:tcW w:w="1440" w:type="dxa"/>
            <w:noWrap w:val="0"/>
            <w:vAlign w:val="center"/>
          </w:tcPr>
          <w:p>
            <w:pPr>
              <w:autoSpaceDE w:val="0"/>
              <w:autoSpaceDN w:val="0"/>
              <w:adjustRightInd w:val="0"/>
              <w:spacing w:line="360" w:lineRule="auto"/>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常规餐饮</w:t>
            </w:r>
          </w:p>
        </w:tc>
        <w:tc>
          <w:tcPr>
            <w:tcW w:w="6775" w:type="dxa"/>
            <w:noWrap w:val="0"/>
            <w:vAlign w:val="center"/>
          </w:tcPr>
          <w:p>
            <w:pPr>
              <w:autoSpaceDE w:val="0"/>
              <w:autoSpaceDN w:val="0"/>
              <w:adjustRightInd w:val="0"/>
              <w:spacing w:line="360" w:lineRule="auto"/>
              <w:rPr>
                <w:rFonts w:hint="eastAsia" w:ascii="宋体" w:hAnsi="宋体" w:eastAsia="宋体" w:cs="宋体"/>
                <w:color w:val="auto"/>
                <w:sz w:val="21"/>
                <w:szCs w:val="21"/>
                <w:lang w:val="zh-CN"/>
              </w:rPr>
            </w:pPr>
            <w:r>
              <w:rPr>
                <w:rFonts w:hint="eastAsia" w:ascii="宋体" w:hAnsi="宋体" w:eastAsia="宋体" w:cs="宋体"/>
                <w:b/>
                <w:color w:val="auto"/>
                <w:sz w:val="21"/>
                <w:szCs w:val="21"/>
              </w:rPr>
              <w:t>打菜：荤菜</w:t>
            </w:r>
            <w:r>
              <w:rPr>
                <w:rFonts w:hint="eastAsia" w:ascii="宋体" w:hAnsi="宋体" w:eastAsia="宋体" w:cs="宋体"/>
                <w:b/>
                <w:color w:val="auto"/>
                <w:sz w:val="21"/>
                <w:szCs w:val="21"/>
                <w:lang w:val="zh-CN"/>
              </w:rPr>
              <w:t>（3选1）；</w:t>
            </w:r>
            <w:r>
              <w:rPr>
                <w:rFonts w:hint="eastAsia" w:ascii="宋体" w:hAnsi="宋体" w:eastAsia="宋体" w:cs="宋体"/>
                <w:b/>
                <w:color w:val="auto"/>
                <w:sz w:val="21"/>
                <w:szCs w:val="21"/>
              </w:rPr>
              <w:t>自助：</w:t>
            </w:r>
            <w:r>
              <w:rPr>
                <w:rFonts w:hint="eastAsia" w:ascii="宋体" w:hAnsi="宋体" w:eastAsia="宋体" w:cs="宋体"/>
                <w:color w:val="auto"/>
                <w:sz w:val="21"/>
                <w:szCs w:val="21"/>
                <w:lang w:val="zh-CN"/>
              </w:rPr>
              <w:t>2</w:t>
            </w:r>
            <w:r>
              <w:rPr>
                <w:rFonts w:hint="eastAsia" w:ascii="宋体" w:hAnsi="宋体" w:eastAsia="宋体" w:cs="宋体"/>
                <w:color w:val="auto"/>
                <w:sz w:val="21"/>
                <w:szCs w:val="21"/>
              </w:rPr>
              <w:t>种半荤</w:t>
            </w:r>
            <w:r>
              <w:rPr>
                <w:rFonts w:hint="eastAsia" w:ascii="宋体" w:hAnsi="宋体" w:eastAsia="宋体" w:cs="宋体"/>
                <w:color w:val="auto"/>
                <w:sz w:val="21"/>
                <w:szCs w:val="21"/>
                <w:lang w:val="zh-CN"/>
              </w:rPr>
              <w:t>、5</w:t>
            </w:r>
            <w:r>
              <w:rPr>
                <w:rFonts w:hint="eastAsia" w:ascii="宋体" w:hAnsi="宋体" w:eastAsia="宋体" w:cs="宋体"/>
                <w:color w:val="auto"/>
                <w:sz w:val="21"/>
                <w:szCs w:val="21"/>
              </w:rPr>
              <w:t>种</w:t>
            </w:r>
            <w:r>
              <w:rPr>
                <w:rFonts w:hint="eastAsia" w:ascii="宋体" w:hAnsi="宋体" w:eastAsia="宋体" w:cs="宋体"/>
                <w:color w:val="auto"/>
                <w:sz w:val="21"/>
                <w:szCs w:val="21"/>
                <w:lang w:val="zh-CN"/>
              </w:rPr>
              <w:t>蔬菜、1</w:t>
            </w:r>
            <w:r>
              <w:rPr>
                <w:rFonts w:hint="eastAsia" w:ascii="宋体" w:hAnsi="宋体" w:eastAsia="宋体" w:cs="宋体"/>
                <w:color w:val="auto"/>
                <w:sz w:val="21"/>
                <w:szCs w:val="21"/>
              </w:rPr>
              <w:t>种</w:t>
            </w:r>
            <w:r>
              <w:rPr>
                <w:rFonts w:hint="eastAsia" w:ascii="宋体" w:hAnsi="宋体" w:eastAsia="宋体" w:cs="宋体"/>
                <w:color w:val="auto"/>
                <w:sz w:val="21"/>
                <w:szCs w:val="21"/>
                <w:lang w:val="zh-CN"/>
              </w:rPr>
              <w:t>杂粮、1</w:t>
            </w:r>
            <w:r>
              <w:rPr>
                <w:rFonts w:hint="eastAsia" w:ascii="宋体" w:hAnsi="宋体" w:eastAsia="宋体" w:cs="宋体"/>
                <w:color w:val="auto"/>
                <w:sz w:val="21"/>
                <w:szCs w:val="21"/>
              </w:rPr>
              <w:t>种</w:t>
            </w:r>
            <w:r>
              <w:rPr>
                <w:rFonts w:hint="eastAsia" w:ascii="宋体" w:hAnsi="宋体" w:eastAsia="宋体" w:cs="宋体"/>
                <w:color w:val="auto"/>
                <w:sz w:val="21"/>
                <w:szCs w:val="21"/>
                <w:lang w:val="zh-CN"/>
              </w:rPr>
              <w:t>水果、米饭、汤、</w:t>
            </w:r>
            <w:r>
              <w:rPr>
                <w:rFonts w:hint="eastAsia" w:ascii="宋体" w:hAnsi="宋体" w:eastAsia="宋体" w:cs="宋体"/>
                <w:color w:val="auto"/>
                <w:sz w:val="21"/>
                <w:szCs w:val="21"/>
              </w:rPr>
              <w:t>面食</w:t>
            </w:r>
            <w:r>
              <w:rPr>
                <w:rFonts w:hint="eastAsia" w:ascii="宋体" w:hAnsi="宋体" w:eastAsia="宋体" w:cs="宋体"/>
                <w:color w:val="auto"/>
                <w:sz w:val="21"/>
                <w:szCs w:val="21"/>
                <w:lang w:val="zh-CN"/>
              </w:rPr>
              <w:t>、西点</w:t>
            </w:r>
            <w:r>
              <w:rPr>
                <w:rFonts w:hint="eastAsia" w:ascii="宋体" w:hAnsi="宋体" w:eastAsia="宋体" w:cs="宋体"/>
                <w:color w:val="auto"/>
                <w:sz w:val="21"/>
                <w:szCs w:val="21"/>
              </w:rPr>
              <w:t>等</w:t>
            </w:r>
          </w:p>
        </w:tc>
      </w:tr>
    </w:tbl>
    <w:p>
      <w:pPr>
        <w:shd w:val="clear" w:color="auto" w:fill="FFFFFF"/>
        <w:spacing w:before="120" w:beforeLines="50" w:after="120" w:afterLines="5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1.3晚餐自选形式</w:t>
      </w:r>
    </w:p>
    <w:tbl>
      <w:tblPr>
        <w:tblStyle w:val="3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0"/>
        <w:gridCol w:w="1520"/>
        <w:gridCol w:w="67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660" w:type="dxa"/>
            <w:vMerge w:val="restart"/>
            <w:noWrap w:val="0"/>
            <w:vAlign w:val="center"/>
          </w:tcPr>
          <w:p>
            <w:pPr>
              <w:autoSpaceDE w:val="0"/>
              <w:autoSpaceDN w:val="0"/>
              <w:adjustRightInd w:val="0"/>
              <w:spacing w:line="360" w:lineRule="auto"/>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晚餐</w:t>
            </w:r>
          </w:p>
        </w:tc>
        <w:tc>
          <w:tcPr>
            <w:tcW w:w="1520" w:type="dxa"/>
            <w:noWrap w:val="0"/>
            <w:vAlign w:val="center"/>
          </w:tcPr>
          <w:p>
            <w:pPr>
              <w:autoSpaceDE w:val="0"/>
              <w:autoSpaceDN w:val="0"/>
              <w:adjustRightInd w:val="0"/>
              <w:spacing w:line="360" w:lineRule="auto"/>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常规餐饮</w:t>
            </w:r>
          </w:p>
        </w:tc>
        <w:tc>
          <w:tcPr>
            <w:tcW w:w="6790" w:type="dxa"/>
            <w:noWrap w:val="0"/>
            <w:vAlign w:val="center"/>
          </w:tcPr>
          <w:p>
            <w:pPr>
              <w:autoSpaceDE w:val="0"/>
              <w:autoSpaceDN w:val="0"/>
              <w:adjustRightInd w:val="0"/>
              <w:spacing w:line="360" w:lineRule="auto"/>
              <w:rPr>
                <w:rFonts w:hint="eastAsia" w:ascii="宋体" w:hAnsi="宋体" w:eastAsia="宋体" w:cs="宋体"/>
                <w:color w:val="FF0000"/>
                <w:sz w:val="21"/>
                <w:szCs w:val="21"/>
                <w:lang w:val="zh-CN"/>
              </w:rPr>
            </w:pPr>
            <w:r>
              <w:rPr>
                <w:rFonts w:hint="eastAsia" w:ascii="宋体" w:hAnsi="宋体" w:eastAsia="宋体" w:cs="宋体"/>
                <w:color w:val="000000"/>
                <w:sz w:val="21"/>
                <w:szCs w:val="21"/>
                <w:lang w:val="en-US" w:eastAsia="zh-CN"/>
              </w:rPr>
              <w:t>应包含</w:t>
            </w:r>
            <w:r>
              <w:rPr>
                <w:rFonts w:hint="eastAsia" w:ascii="宋体" w:hAnsi="宋体" w:eastAsia="宋体" w:cs="宋体"/>
                <w:bCs/>
                <w:color w:val="000000"/>
                <w:sz w:val="21"/>
                <w:szCs w:val="21"/>
              </w:rPr>
              <w:t>荤菜</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半</w:t>
            </w:r>
            <w:r>
              <w:rPr>
                <w:rFonts w:hint="eastAsia" w:ascii="宋体" w:hAnsi="宋体" w:eastAsia="宋体" w:cs="宋体"/>
                <w:color w:val="000000"/>
                <w:sz w:val="21"/>
                <w:szCs w:val="21"/>
                <w:lang w:val="zh-CN"/>
              </w:rPr>
              <w:t>荤、蔬菜、杂粮、米饭、汤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660" w:type="dxa"/>
            <w:vMerge w:val="continue"/>
            <w:noWrap w:val="0"/>
            <w:vAlign w:val="center"/>
          </w:tcPr>
          <w:p>
            <w:pPr>
              <w:autoSpaceDE w:val="0"/>
              <w:autoSpaceDN w:val="0"/>
              <w:adjustRightInd w:val="0"/>
              <w:spacing w:line="360" w:lineRule="auto"/>
              <w:jc w:val="center"/>
              <w:rPr>
                <w:rFonts w:hint="eastAsia" w:ascii="宋体" w:hAnsi="宋体" w:eastAsia="宋体" w:cs="宋体"/>
                <w:color w:val="auto"/>
                <w:sz w:val="21"/>
                <w:szCs w:val="21"/>
                <w:lang w:val="zh-CN"/>
              </w:rPr>
            </w:pPr>
          </w:p>
        </w:tc>
        <w:tc>
          <w:tcPr>
            <w:tcW w:w="1520" w:type="dxa"/>
            <w:noWrap w:val="0"/>
            <w:vAlign w:val="center"/>
          </w:tcPr>
          <w:p>
            <w:pPr>
              <w:autoSpaceDE w:val="0"/>
              <w:autoSpaceDN w:val="0"/>
              <w:adjustRightInd w:val="0"/>
              <w:spacing w:line="360" w:lineRule="auto"/>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rPr>
              <w:t>小灶</w:t>
            </w:r>
            <w:r>
              <w:rPr>
                <w:rFonts w:hint="eastAsia" w:ascii="宋体" w:hAnsi="宋体" w:eastAsia="宋体" w:cs="宋体"/>
                <w:color w:val="auto"/>
                <w:sz w:val="21"/>
                <w:szCs w:val="21"/>
                <w:lang w:val="zh-CN"/>
              </w:rPr>
              <w:t>餐饮</w:t>
            </w:r>
          </w:p>
        </w:tc>
        <w:tc>
          <w:tcPr>
            <w:tcW w:w="6790" w:type="dxa"/>
            <w:noWrap w:val="0"/>
            <w:vAlign w:val="center"/>
          </w:tcPr>
          <w:p>
            <w:pPr>
              <w:autoSpaceDE w:val="0"/>
              <w:autoSpaceDN w:val="0"/>
              <w:adjustRightInd w:val="0"/>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炒菜、风味小吃等小灶服务</w:t>
            </w:r>
          </w:p>
        </w:tc>
      </w:tr>
    </w:tbl>
    <w:p>
      <w:p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1.4夜宵订送餐形式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zh-CN"/>
        </w:rPr>
        <w:t>开放时间晚上</w:t>
      </w:r>
      <w:r>
        <w:rPr>
          <w:rFonts w:hint="eastAsia" w:ascii="宋体" w:hAnsi="宋体" w:eastAsia="宋体" w:cs="宋体"/>
          <w:color w:val="auto"/>
          <w:sz w:val="21"/>
          <w:szCs w:val="21"/>
        </w:rPr>
        <w:t>7点至12:00</w:t>
      </w:r>
    </w:p>
    <w:tbl>
      <w:tblPr>
        <w:tblStyle w:val="3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3"/>
        <w:gridCol w:w="1500"/>
        <w:gridCol w:w="65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98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夜宵</w:t>
            </w:r>
          </w:p>
        </w:tc>
        <w:tc>
          <w:tcPr>
            <w:tcW w:w="1500"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订餐送餐</w:t>
            </w:r>
          </w:p>
        </w:tc>
        <w:tc>
          <w:tcPr>
            <w:tcW w:w="6572"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提供3个以上品种供选择；分时段送餐</w:t>
            </w:r>
          </w:p>
        </w:tc>
      </w:tr>
    </w:tbl>
    <w:p>
      <w:pPr>
        <w:keepNext w:val="0"/>
        <w:keepLines w:val="0"/>
        <w:pageBreakBefore w:val="0"/>
        <w:widowControl/>
        <w:kinsoku/>
        <w:wordWrap/>
        <w:overflowPunct/>
        <w:topLinePunct w:val="0"/>
        <w:bidi w:val="0"/>
        <w:snapToGrid/>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1.5桌餐：</w:t>
      </w:r>
    </w:p>
    <w:p>
      <w:pPr>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1.5.1为院方</w:t>
      </w:r>
      <w:r>
        <w:rPr>
          <w:rFonts w:hint="eastAsia" w:ascii="宋体" w:hAnsi="宋体" w:eastAsia="宋体" w:cs="宋体"/>
          <w:color w:val="000000"/>
          <w:sz w:val="21"/>
          <w:szCs w:val="21"/>
          <w:lang w:val="en-US" w:eastAsia="zh-CN"/>
        </w:rPr>
        <w:t>免费</w:t>
      </w:r>
      <w:r>
        <w:rPr>
          <w:rFonts w:hint="eastAsia" w:ascii="宋体" w:hAnsi="宋体" w:eastAsia="宋体" w:cs="宋体"/>
          <w:color w:val="000000"/>
          <w:sz w:val="21"/>
          <w:szCs w:val="21"/>
        </w:rPr>
        <w:t>提供一年不少于</w:t>
      </w:r>
      <w:r>
        <w:rPr>
          <w:rFonts w:hint="eastAsia" w:ascii="宋体" w:hAnsi="宋体" w:eastAsia="宋体" w:cs="宋体"/>
          <w:color w:val="000000"/>
          <w:sz w:val="21"/>
          <w:szCs w:val="21"/>
          <w:lang w:val="en-US" w:eastAsia="zh-CN"/>
        </w:rPr>
        <w:t>30</w:t>
      </w:r>
      <w:r>
        <w:rPr>
          <w:rFonts w:hint="eastAsia" w:ascii="宋体" w:hAnsi="宋体" w:eastAsia="宋体" w:cs="宋体"/>
          <w:color w:val="000000"/>
          <w:sz w:val="21"/>
          <w:szCs w:val="21"/>
        </w:rPr>
        <w:t>次的桌餐服务（桌餐厨师需有4星级以上酒店工作经历）</w:t>
      </w:r>
      <w:r>
        <w:rPr>
          <w:rFonts w:hint="eastAsia" w:ascii="宋体" w:hAnsi="宋体" w:eastAsia="宋体" w:cs="宋体"/>
          <w:color w:val="000000"/>
          <w:sz w:val="21"/>
          <w:szCs w:val="21"/>
          <w:lang w:eastAsia="zh-CN"/>
        </w:rPr>
        <w:t>。</w:t>
      </w:r>
    </w:p>
    <w:p>
      <w:pPr>
        <w:pStyle w:val="7"/>
        <w:spacing w:line="360" w:lineRule="auto"/>
        <w:ind w:left="0" w:leftChars="0" w:firstLine="420" w:firstLineChars="200"/>
        <w:rPr>
          <w:rFonts w:hint="eastAsia" w:ascii="宋体" w:hAnsi="宋体" w:eastAsia="宋体" w:cs="宋体"/>
          <w:color w:val="000000"/>
          <w:sz w:val="21"/>
          <w:szCs w:val="21"/>
        </w:rPr>
      </w:pPr>
      <w:r>
        <w:rPr>
          <w:rFonts w:hint="eastAsia" w:ascii="宋体" w:hAnsi="宋体" w:eastAsia="宋体" w:cs="宋体"/>
          <w:color w:val="auto"/>
          <w:sz w:val="21"/>
          <w:szCs w:val="21"/>
        </w:rPr>
        <w:t>1.5.2接纳院方职工申请的桌餐服务，按需服务</w:t>
      </w:r>
      <w:r>
        <w:rPr>
          <w:rFonts w:hint="eastAsia" w:ascii="宋体" w:hAnsi="宋体" w:eastAsia="宋体" w:cs="宋体"/>
          <w:color w:val="auto"/>
          <w:sz w:val="21"/>
          <w:szCs w:val="21"/>
          <w:lang w:eastAsia="zh-CN"/>
        </w:rPr>
        <w:t>，</w:t>
      </w:r>
      <w:r>
        <w:rPr>
          <w:rFonts w:hint="eastAsia" w:ascii="宋体" w:hAnsi="宋体" w:eastAsia="宋体" w:cs="宋体"/>
          <w:color w:val="000000"/>
          <w:sz w:val="21"/>
          <w:szCs w:val="21"/>
          <w:lang w:val="en-US" w:eastAsia="zh-CN"/>
        </w:rPr>
        <w:t>服务费350元/桌</w:t>
      </w:r>
      <w:r>
        <w:rPr>
          <w:rFonts w:hint="eastAsia" w:ascii="宋体" w:hAnsi="宋体" w:eastAsia="宋体" w:cs="宋体"/>
          <w:color w:val="000000"/>
          <w:sz w:val="21"/>
          <w:szCs w:val="21"/>
        </w:rPr>
        <w:t>。</w:t>
      </w:r>
    </w:p>
    <w:p>
      <w:pPr>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2.体检</w:t>
      </w:r>
      <w:r>
        <w:rPr>
          <w:rFonts w:hint="eastAsia" w:ascii="宋体" w:hAnsi="宋体" w:eastAsia="宋体" w:cs="宋体"/>
          <w:b/>
          <w:bCs/>
          <w:color w:val="auto"/>
          <w:sz w:val="21"/>
          <w:szCs w:val="21"/>
          <w:lang w:val="zh-CN"/>
        </w:rPr>
        <w:t>早餐：</w:t>
      </w:r>
    </w:p>
    <w:tbl>
      <w:tblPr>
        <w:tblStyle w:val="3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1"/>
        <w:gridCol w:w="7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1431" w:type="dxa"/>
            <w:noWrap w:val="0"/>
            <w:vAlign w:val="center"/>
          </w:tcPr>
          <w:p>
            <w:pPr>
              <w:autoSpaceDE w:val="0"/>
              <w:autoSpaceDN w:val="0"/>
              <w:adjustRightInd w:val="0"/>
              <w:spacing w:line="360" w:lineRule="auto"/>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体检早餐</w:t>
            </w:r>
          </w:p>
        </w:tc>
        <w:tc>
          <w:tcPr>
            <w:tcW w:w="7680" w:type="dxa"/>
            <w:noWrap w:val="0"/>
            <w:vAlign w:val="center"/>
          </w:tcPr>
          <w:p>
            <w:pPr>
              <w:autoSpaceDE w:val="0"/>
              <w:autoSpaceDN w:val="0"/>
              <w:adjustRightInd w:val="0"/>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粥（2种）、包子、花卷、馒头、</w:t>
            </w:r>
            <w:r>
              <w:rPr>
                <w:rFonts w:hint="eastAsia" w:ascii="宋体" w:hAnsi="宋体" w:eastAsia="宋体" w:cs="宋体"/>
                <w:color w:val="auto"/>
                <w:sz w:val="21"/>
                <w:szCs w:val="21"/>
              </w:rPr>
              <w:t>豆浆</w:t>
            </w:r>
            <w:r>
              <w:rPr>
                <w:rFonts w:hint="eastAsia" w:ascii="宋体" w:hAnsi="宋体" w:eastAsia="宋体" w:cs="宋体"/>
                <w:color w:val="auto"/>
                <w:sz w:val="21"/>
                <w:szCs w:val="21"/>
                <w:lang w:val="zh-CN"/>
              </w:rPr>
              <w:t>、鸡蛋、小菜</w:t>
            </w:r>
            <w:r>
              <w:rPr>
                <w:rFonts w:hint="eastAsia" w:ascii="宋体" w:hAnsi="宋体" w:eastAsia="宋体" w:cs="宋体"/>
                <w:color w:val="auto"/>
                <w:sz w:val="21"/>
                <w:szCs w:val="21"/>
                <w:lang w:val="en-US" w:eastAsia="zh-CN"/>
              </w:rPr>
              <w:t>（2种）等</w:t>
            </w:r>
          </w:p>
        </w:tc>
      </w:tr>
    </w:tbl>
    <w:p>
      <w:pPr>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3.病员餐：</w:t>
      </w:r>
    </w:p>
    <w:p>
      <w:pPr>
        <w:pStyle w:val="78"/>
        <w:spacing w:line="360" w:lineRule="auto"/>
        <w:ind w:firstLine="560"/>
        <w:rPr>
          <w:rFonts w:hint="eastAsia" w:ascii="宋体" w:hAnsi="宋体" w:eastAsia="宋体" w:cs="宋体"/>
          <w:bCs w:val="0"/>
          <w:color w:val="auto"/>
          <w:spacing w:val="0"/>
          <w:sz w:val="21"/>
          <w:szCs w:val="21"/>
        </w:rPr>
      </w:pPr>
      <w:r>
        <w:rPr>
          <w:rFonts w:hint="eastAsia" w:ascii="宋体" w:hAnsi="宋体" w:eastAsia="宋体" w:cs="宋体"/>
          <w:bCs w:val="0"/>
          <w:color w:val="auto"/>
          <w:spacing w:val="0"/>
          <w:sz w:val="21"/>
          <w:szCs w:val="21"/>
        </w:rPr>
        <w:t>3.1住院病人订送餐形式（要求菜单每日提前公布，每日重复率小于30%）</w:t>
      </w:r>
    </w:p>
    <w:tbl>
      <w:tblPr>
        <w:tblStyle w:val="33"/>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900"/>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noWrap w:val="0"/>
            <w:vAlign w:val="center"/>
          </w:tcPr>
          <w:p>
            <w:pPr>
              <w:widowControl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zh-CN"/>
              </w:rPr>
              <w:t>早餐</w:t>
            </w:r>
          </w:p>
        </w:tc>
        <w:tc>
          <w:tcPr>
            <w:tcW w:w="900" w:type="dxa"/>
            <w:vMerge w:val="restart"/>
            <w:noWrap w:val="0"/>
            <w:vAlign w:val="center"/>
          </w:tcPr>
          <w:p>
            <w:pPr>
              <w:widowControl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zh-CN"/>
              </w:rPr>
              <w:t>常规餐饮</w:t>
            </w:r>
          </w:p>
        </w:tc>
        <w:tc>
          <w:tcPr>
            <w:tcW w:w="7340" w:type="dxa"/>
            <w:noWrap w:val="0"/>
            <w:vAlign w:val="top"/>
          </w:tcPr>
          <w:p>
            <w:pPr>
              <w:widowControl w:val="0"/>
              <w:spacing w:line="360" w:lineRule="auto"/>
              <w:jc w:val="both"/>
              <w:rPr>
                <w:rFonts w:hint="eastAsia" w:ascii="宋体" w:hAnsi="宋体" w:eastAsia="宋体" w:cs="宋体"/>
                <w:color w:val="FF0000"/>
                <w:sz w:val="21"/>
                <w:szCs w:val="21"/>
              </w:rPr>
            </w:pPr>
            <w:r>
              <w:rPr>
                <w:rFonts w:hint="eastAsia" w:ascii="宋体" w:hAnsi="宋体" w:eastAsia="宋体" w:cs="宋体"/>
                <w:color w:val="auto"/>
                <w:sz w:val="21"/>
                <w:szCs w:val="21"/>
                <w:lang w:val="en-US" w:eastAsia="zh-CN"/>
              </w:rPr>
              <w:t>粥、包子、花卷、馒头、</w:t>
            </w:r>
            <w:r>
              <w:rPr>
                <w:rFonts w:hint="eastAsia" w:ascii="宋体" w:hAnsi="宋体" w:eastAsia="宋体" w:cs="宋体"/>
                <w:color w:val="auto"/>
                <w:sz w:val="21"/>
                <w:szCs w:val="21"/>
              </w:rPr>
              <w:t>豆浆</w:t>
            </w:r>
            <w:r>
              <w:rPr>
                <w:rFonts w:hint="eastAsia" w:ascii="宋体" w:hAnsi="宋体" w:eastAsia="宋体" w:cs="宋体"/>
                <w:color w:val="auto"/>
                <w:sz w:val="21"/>
                <w:szCs w:val="21"/>
                <w:lang w:val="zh-CN"/>
              </w:rPr>
              <w:t>、鸡蛋、点心、小菜</w:t>
            </w:r>
            <w:r>
              <w:rPr>
                <w:rFonts w:hint="eastAsia" w:ascii="宋体" w:hAnsi="宋体" w:eastAsia="宋体" w:cs="宋体"/>
                <w:color w:val="auto"/>
                <w:sz w:val="21"/>
                <w:szCs w:val="21"/>
              </w:rPr>
              <w:t>2</w:t>
            </w:r>
            <w:r>
              <w:rPr>
                <w:rFonts w:hint="eastAsia" w:ascii="宋体" w:hAnsi="宋体" w:eastAsia="宋体" w:cs="宋体"/>
                <w:color w:val="auto"/>
                <w:sz w:val="21"/>
                <w:szCs w:val="21"/>
                <w:lang w:val="zh-CN"/>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noWrap w:val="0"/>
            <w:vAlign w:val="center"/>
          </w:tcPr>
          <w:p>
            <w:pPr>
              <w:widowControl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中餐</w:t>
            </w:r>
          </w:p>
        </w:tc>
        <w:tc>
          <w:tcPr>
            <w:tcW w:w="900" w:type="dxa"/>
            <w:vMerge w:val="continue"/>
            <w:noWrap w:val="0"/>
            <w:vAlign w:val="top"/>
          </w:tcPr>
          <w:p>
            <w:pPr>
              <w:widowControl w:val="0"/>
              <w:spacing w:line="360" w:lineRule="auto"/>
              <w:jc w:val="both"/>
              <w:rPr>
                <w:rFonts w:hint="eastAsia" w:ascii="宋体" w:hAnsi="宋体" w:eastAsia="宋体" w:cs="宋体"/>
                <w:color w:val="auto"/>
                <w:sz w:val="21"/>
                <w:szCs w:val="21"/>
              </w:rPr>
            </w:pPr>
          </w:p>
        </w:tc>
        <w:tc>
          <w:tcPr>
            <w:tcW w:w="7340" w:type="dxa"/>
            <w:noWrap w:val="0"/>
            <w:vAlign w:val="center"/>
          </w:tcPr>
          <w:p>
            <w:pPr>
              <w:widowControl w:val="0"/>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应包含</w:t>
            </w:r>
            <w:r>
              <w:rPr>
                <w:rFonts w:hint="eastAsia" w:ascii="宋体" w:hAnsi="宋体" w:eastAsia="宋体" w:cs="宋体"/>
                <w:color w:val="000000"/>
                <w:sz w:val="21"/>
                <w:szCs w:val="21"/>
              </w:rPr>
              <w:t>荤菜</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半</w:t>
            </w:r>
            <w:r>
              <w:rPr>
                <w:rFonts w:hint="eastAsia" w:ascii="宋体" w:hAnsi="宋体" w:eastAsia="宋体" w:cs="宋体"/>
                <w:color w:val="000000"/>
                <w:sz w:val="21"/>
                <w:szCs w:val="21"/>
                <w:lang w:val="zh-CN"/>
              </w:rPr>
              <w:t>荤、蔬菜、杂粮、米饭、汤</w:t>
            </w:r>
            <w:r>
              <w:rPr>
                <w:rFonts w:hint="eastAsia" w:ascii="宋体" w:hAnsi="宋体" w:eastAsia="宋体" w:cs="宋体"/>
                <w:color w:val="000000"/>
                <w:sz w:val="21"/>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noWrap w:val="0"/>
            <w:vAlign w:val="center"/>
          </w:tcPr>
          <w:p>
            <w:pPr>
              <w:widowControl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晚餐</w:t>
            </w:r>
          </w:p>
        </w:tc>
        <w:tc>
          <w:tcPr>
            <w:tcW w:w="900" w:type="dxa"/>
            <w:vMerge w:val="continue"/>
            <w:noWrap w:val="0"/>
            <w:vAlign w:val="top"/>
          </w:tcPr>
          <w:p>
            <w:pPr>
              <w:widowControl w:val="0"/>
              <w:spacing w:line="360" w:lineRule="auto"/>
              <w:jc w:val="both"/>
              <w:rPr>
                <w:rFonts w:hint="eastAsia" w:ascii="宋体" w:hAnsi="宋体" w:eastAsia="宋体" w:cs="宋体"/>
                <w:color w:val="auto"/>
                <w:sz w:val="21"/>
                <w:szCs w:val="21"/>
              </w:rPr>
            </w:pPr>
          </w:p>
        </w:tc>
        <w:tc>
          <w:tcPr>
            <w:tcW w:w="7340" w:type="dxa"/>
            <w:noWrap w:val="0"/>
            <w:vAlign w:val="center"/>
          </w:tcPr>
          <w:p>
            <w:pPr>
              <w:widowControl w:val="0"/>
              <w:spacing w:line="36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应包含</w:t>
            </w:r>
            <w:r>
              <w:rPr>
                <w:rFonts w:hint="eastAsia" w:ascii="宋体" w:hAnsi="宋体" w:eastAsia="宋体" w:cs="宋体"/>
                <w:color w:val="000000"/>
                <w:sz w:val="21"/>
                <w:szCs w:val="21"/>
              </w:rPr>
              <w:t>荤菜</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半</w:t>
            </w:r>
            <w:r>
              <w:rPr>
                <w:rFonts w:hint="eastAsia" w:ascii="宋体" w:hAnsi="宋体" w:eastAsia="宋体" w:cs="宋体"/>
                <w:color w:val="000000"/>
                <w:sz w:val="21"/>
                <w:szCs w:val="21"/>
                <w:lang w:val="zh-CN"/>
              </w:rPr>
              <w:t>荤、蔬菜、杂粮、米饭、汤</w:t>
            </w:r>
            <w:r>
              <w:rPr>
                <w:rFonts w:hint="eastAsia" w:ascii="宋体" w:hAnsi="宋体" w:eastAsia="宋体" w:cs="宋体"/>
                <w:color w:val="000000"/>
                <w:sz w:val="21"/>
                <w:szCs w:val="21"/>
                <w:lang w:val="en-US" w:eastAsia="zh-CN"/>
              </w:rPr>
              <w:t>等</w:t>
            </w:r>
          </w:p>
        </w:tc>
      </w:tr>
    </w:tbl>
    <w:p>
      <w:pPr>
        <w:pStyle w:val="78"/>
        <w:keepNext w:val="0"/>
        <w:keepLines w:val="0"/>
        <w:pageBreakBefore w:val="0"/>
        <w:widowControl w:val="0"/>
        <w:kinsoku/>
        <w:wordWrap/>
        <w:overflowPunct/>
        <w:topLinePunct w:val="0"/>
        <w:autoSpaceDE/>
        <w:autoSpaceDN/>
        <w:bidi w:val="0"/>
        <w:adjustRightInd/>
        <w:snapToGrid/>
        <w:spacing w:before="145" w:line="360" w:lineRule="auto"/>
        <w:ind w:firstLine="561"/>
        <w:textAlignment w:val="auto"/>
        <w:outlineLvl w:val="9"/>
        <w:rPr>
          <w:rFonts w:hint="eastAsia" w:ascii="宋体" w:hAnsi="宋体" w:eastAsia="宋体" w:cs="宋体"/>
          <w:bCs/>
          <w:color w:val="auto"/>
          <w:spacing w:val="0"/>
          <w:sz w:val="21"/>
          <w:szCs w:val="21"/>
        </w:rPr>
      </w:pPr>
      <w:r>
        <w:rPr>
          <w:rFonts w:hint="eastAsia" w:ascii="宋体" w:hAnsi="宋体" w:eastAsia="宋体" w:cs="宋体"/>
          <w:bCs/>
          <w:color w:val="auto"/>
          <w:spacing w:val="0"/>
          <w:sz w:val="21"/>
          <w:szCs w:val="21"/>
        </w:rPr>
        <w:t>3.2病员餐厅餐：堂食自选方式，具体菜肴品种另行制定，按需调整。</w:t>
      </w:r>
    </w:p>
    <w:p>
      <w:pPr>
        <w:pStyle w:val="78"/>
        <w:spacing w:line="360" w:lineRule="auto"/>
        <w:ind w:firstLine="560"/>
        <w:rPr>
          <w:rFonts w:hint="eastAsia" w:ascii="宋体" w:hAnsi="宋体" w:eastAsia="宋体" w:cs="宋体"/>
          <w:bCs/>
          <w:color w:val="auto"/>
          <w:spacing w:val="0"/>
          <w:sz w:val="21"/>
          <w:szCs w:val="21"/>
        </w:rPr>
      </w:pPr>
      <w:r>
        <w:rPr>
          <w:rFonts w:hint="eastAsia" w:ascii="宋体" w:hAnsi="宋体" w:eastAsia="宋体" w:cs="宋体"/>
          <w:bCs/>
          <w:color w:val="auto"/>
          <w:spacing w:val="0"/>
          <w:sz w:val="21"/>
          <w:szCs w:val="21"/>
        </w:rPr>
        <w:t>3.3营养餐：具体菜肴品种由医院营养科另行制定。</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三、餐饮工作人员配备要求：</w:t>
      </w:r>
    </w:p>
    <w:p>
      <w:pPr>
        <w:spacing w:line="360" w:lineRule="auto"/>
        <w:ind w:firstLine="420" w:firstLineChars="200"/>
        <w:rPr>
          <w:rFonts w:hint="eastAsia" w:ascii="宋体" w:hAnsi="宋体" w:eastAsia="宋体" w:cs="宋体"/>
          <w:bCs/>
          <w:color w:val="000000"/>
          <w:sz w:val="21"/>
          <w:szCs w:val="21"/>
          <w:highlight w:val="yellow"/>
        </w:rPr>
      </w:pPr>
      <w:r>
        <w:rPr>
          <w:rFonts w:hint="eastAsia" w:ascii="宋体" w:hAnsi="宋体" w:eastAsia="宋体" w:cs="宋体"/>
          <w:bCs/>
          <w:color w:val="000000"/>
          <w:sz w:val="21"/>
          <w:szCs w:val="21"/>
        </w:rPr>
        <w:t>1.项目主管1名，要求有</w:t>
      </w:r>
      <w:r>
        <w:rPr>
          <w:rFonts w:hint="eastAsia" w:ascii="宋体" w:hAnsi="宋体" w:eastAsia="宋体" w:cs="宋体"/>
          <w:bCs/>
          <w:color w:val="000000"/>
          <w:sz w:val="21"/>
          <w:szCs w:val="21"/>
          <w:lang w:val="en-US" w:eastAsia="zh-CN"/>
        </w:rPr>
        <w:t>丰富的</w:t>
      </w:r>
      <w:r>
        <w:rPr>
          <w:rFonts w:hint="eastAsia" w:ascii="宋体" w:hAnsi="宋体" w:eastAsia="宋体" w:cs="宋体"/>
          <w:bCs/>
          <w:color w:val="000000"/>
          <w:sz w:val="21"/>
          <w:szCs w:val="21"/>
        </w:rPr>
        <w:t>食堂工作</w:t>
      </w:r>
      <w:r>
        <w:rPr>
          <w:rFonts w:hint="eastAsia" w:ascii="宋体" w:hAnsi="宋体" w:eastAsia="宋体" w:cs="宋体"/>
          <w:bCs/>
          <w:color w:val="000000"/>
          <w:sz w:val="21"/>
          <w:szCs w:val="21"/>
          <w:lang w:val="en-US" w:eastAsia="zh-CN"/>
        </w:rPr>
        <w:t>管理</w:t>
      </w:r>
      <w:r>
        <w:rPr>
          <w:rFonts w:hint="eastAsia" w:ascii="宋体" w:hAnsi="宋体" w:eastAsia="宋体" w:cs="宋体"/>
          <w:bCs/>
          <w:color w:val="000000"/>
          <w:sz w:val="21"/>
          <w:szCs w:val="21"/>
        </w:rPr>
        <w:t>经验；高级厨师1名</w:t>
      </w:r>
      <w:r>
        <w:rPr>
          <w:rFonts w:hint="eastAsia" w:ascii="宋体" w:hAnsi="宋体" w:eastAsia="宋体" w:cs="宋体"/>
          <w:bCs/>
          <w:color w:val="000000"/>
          <w:sz w:val="21"/>
          <w:szCs w:val="21"/>
          <w:lang w:eastAsia="zh-CN"/>
        </w:rPr>
        <w:t>，</w:t>
      </w:r>
      <w:r>
        <w:rPr>
          <w:rFonts w:hint="eastAsia" w:ascii="宋体" w:hAnsi="宋体" w:eastAsia="宋体" w:cs="宋体"/>
          <w:bCs/>
          <w:color w:val="000000"/>
          <w:sz w:val="21"/>
          <w:szCs w:val="21"/>
          <w:lang w:val="en-US" w:eastAsia="zh-CN"/>
        </w:rPr>
        <w:t>初、中级</w:t>
      </w:r>
      <w:r>
        <w:rPr>
          <w:rFonts w:hint="eastAsia" w:ascii="宋体" w:hAnsi="宋体" w:eastAsia="宋体" w:cs="宋体"/>
          <w:bCs/>
          <w:color w:val="000000"/>
          <w:sz w:val="21"/>
          <w:szCs w:val="21"/>
        </w:rPr>
        <w:t>厨师</w:t>
      </w: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名（其中宁波菜厨师1名、川菜厨师1人、其他菜系厨师</w:t>
      </w: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人）；中高级中式面点师1名，初中级西式面点师1名，普通面点师1名；其他人员不少于14名（涵盖病员餐厅、住院处窗口、夜餐服务、勤杂卫生服务等岗位）。年龄要求：男性员工≥55岁、女性员工≥50岁的比例不超过员工总数的20%。</w:t>
      </w:r>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000000"/>
          <w:sz w:val="21"/>
          <w:szCs w:val="21"/>
        </w:rPr>
        <w:t>2.所有人员</w:t>
      </w:r>
      <w:r>
        <w:rPr>
          <w:rFonts w:hint="eastAsia" w:ascii="宋体" w:hAnsi="宋体" w:eastAsia="宋体" w:cs="宋体"/>
          <w:bCs/>
          <w:color w:val="000000"/>
          <w:sz w:val="21"/>
          <w:szCs w:val="21"/>
          <w:lang w:val="en-US" w:eastAsia="zh-CN"/>
        </w:rPr>
        <w:t>上岗前</w:t>
      </w:r>
      <w:r>
        <w:rPr>
          <w:rFonts w:hint="eastAsia" w:ascii="宋体" w:hAnsi="宋体" w:eastAsia="宋体" w:cs="宋体"/>
          <w:bCs/>
          <w:color w:val="000000"/>
          <w:sz w:val="21"/>
          <w:szCs w:val="21"/>
        </w:rPr>
        <w:t>均应持有相应的资质</w:t>
      </w:r>
      <w:r>
        <w:rPr>
          <w:rFonts w:hint="eastAsia" w:ascii="宋体" w:hAnsi="宋体" w:eastAsia="宋体" w:cs="宋体"/>
          <w:bCs/>
          <w:color w:val="auto"/>
          <w:sz w:val="21"/>
          <w:szCs w:val="21"/>
        </w:rPr>
        <w:t>证书和健康证，并有服务经验。</w:t>
      </w:r>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3.投标人在投标时应提供拟派出的项目主管、厨师、面点师的简历、资质证书复印件、社保参保证明材料复印件。</w:t>
      </w:r>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4.中标方安排营养餐厨师1名（可兼任），人员相对固定（日常工作以营养餐为主，营养餐制作空余时间可兼顾其他餐饮制作），经医院营养科培训合格后上岗。营养餐厨师如有变更，中标方需主动提前1个月联系医院营养科，并尽早安排新的营养餐厨师接受医院营养科培训（须在人员更替前完成培训）。</w:t>
      </w: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四、其他管理要求：</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确保安全生产（包括食品安全、消防安全、治安**、水电气安全等）工作。</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在服务期间，院方有权监督中标方在服务中的各项运作，提出合理建议，督促中标方改进不合理现象，有权要求更换、辞退不称职的经理、员工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相关要求中标方需在一周内予以响应完成。</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院方配置的厨房各种设备，中标方须安全使用与保养。如因人为操作使用不当而发生设备损坏或事故，中标方应承担所发生的费用及法律责任。</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院方对当月餐饮及服务进行考核，要求病员订餐率≥35%，每月测评病员及职工满意度，要求病员满意度要求达到8</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%、职工就餐满意度</w:t>
      </w:r>
      <w:r>
        <w:rPr>
          <w:rFonts w:hint="eastAsia" w:ascii="宋体" w:hAnsi="宋体" w:eastAsia="宋体" w:cs="宋体"/>
          <w:color w:val="auto"/>
          <w:sz w:val="21"/>
          <w:szCs w:val="21"/>
          <w:lang w:val="en-US" w:eastAsia="zh-CN"/>
        </w:rPr>
        <w:t>80</w:t>
      </w:r>
      <w:r>
        <w:rPr>
          <w:rFonts w:hint="eastAsia" w:ascii="宋体" w:hAnsi="宋体" w:eastAsia="宋体" w:cs="宋体"/>
          <w:color w:val="auto"/>
          <w:sz w:val="21"/>
          <w:szCs w:val="21"/>
        </w:rPr>
        <w:t>%。若病员订餐率＜35%，病员和职工满意度≤8</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，给予一定经济扣罚。具体实施办法详见合同。</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rPr>
        <w:t>做好生活垃圾分类管理工作，餐厨垃圾由中标方规范处理，保持食堂、厨余垃圾房整洁。提供室内外卫生保洁制度及措施、确保食品卫生和安全生产的制度落入，有发生重大食品安全事故和安全生产事故等应急处置预案。</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针对本次招标的其它优化方案：由投标人自行设计方案。</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b/>
          <w:color w:val="auto"/>
          <w:sz w:val="21"/>
          <w:szCs w:val="21"/>
        </w:rPr>
        <w:t>五、服</w:t>
      </w:r>
      <w:r>
        <w:rPr>
          <w:rFonts w:hint="eastAsia" w:ascii="宋体" w:hAnsi="宋体" w:eastAsia="宋体" w:cs="宋体"/>
          <w:b/>
          <w:color w:val="auto"/>
          <w:sz w:val="21"/>
          <w:szCs w:val="21"/>
          <w:highlight w:val="none"/>
        </w:rPr>
        <w:t>务合同期限：</w:t>
      </w:r>
      <w:r>
        <w:rPr>
          <w:rFonts w:hint="eastAsia" w:ascii="宋体" w:hAnsi="宋体" w:eastAsia="宋体" w:cs="宋体"/>
          <w:color w:val="000000"/>
          <w:sz w:val="21"/>
          <w:szCs w:val="21"/>
          <w:highlight w:val="none"/>
          <w:lang w:val="en-US" w:eastAsia="zh-CN"/>
        </w:rPr>
        <w:t>一</w:t>
      </w:r>
      <w:r>
        <w:rPr>
          <w:rFonts w:hint="eastAsia" w:ascii="宋体" w:hAnsi="宋体" w:eastAsia="宋体" w:cs="宋体"/>
          <w:color w:val="000000"/>
          <w:sz w:val="21"/>
          <w:szCs w:val="21"/>
          <w:highlight w:val="none"/>
        </w:rPr>
        <w:t>年。</w:t>
      </w: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六、账务管理</w:t>
      </w:r>
    </w:p>
    <w:p>
      <w:pPr>
        <w:keepNext w:val="0"/>
        <w:keepLines w:val="0"/>
        <w:pageBreakBefore w:val="0"/>
        <w:widowControl/>
        <w:numPr>
          <w:ilvl w:val="0"/>
          <w:numId w:val="5"/>
        </w:numPr>
        <w:kinsoku/>
        <w:wordWrap/>
        <w:overflowPunct/>
        <w:topLinePunct w:val="0"/>
        <w:autoSpaceDE/>
        <w:autoSpaceDN/>
        <w:bidi w:val="0"/>
        <w:adjustRightInd w:val="0"/>
        <w:snapToGrid/>
        <w:spacing w:line="360" w:lineRule="auto"/>
        <w:ind w:left="0" w:leftChars="0" w:firstLine="40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管理模式</w:t>
      </w:r>
    </w:p>
    <w:p>
      <w:pPr>
        <w:adjustRightIn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食堂账务实行院方主管、承包方协助的管理模式，食堂主副食品、辅料由院方派遣食堂管理</w:t>
      </w:r>
      <w:r>
        <w:rPr>
          <w:rFonts w:hint="eastAsia" w:ascii="宋体" w:hAnsi="宋体" w:eastAsia="宋体" w:cs="宋体"/>
          <w:color w:val="auto"/>
          <w:sz w:val="21"/>
          <w:szCs w:val="21"/>
          <w:lang w:val="en-US" w:eastAsia="zh-CN"/>
        </w:rPr>
        <w:t>人和承包方管理人员一起</w:t>
      </w:r>
      <w:r>
        <w:rPr>
          <w:rFonts w:hint="eastAsia" w:ascii="宋体" w:hAnsi="宋体" w:eastAsia="宋体" w:cs="宋体"/>
          <w:color w:val="auto"/>
          <w:sz w:val="21"/>
          <w:szCs w:val="21"/>
        </w:rPr>
        <w:t>负责采购、验收、入库、出库，并每月定期公布食堂餐饮服务费的收支情况，做到运作规范，账目清晰，承包方配合提供合理的数据，节约水电及领用的食品材料，协助院方做到食堂的收支平衡。院方随时检查、监督承包方服务质量，对不合理的配餐或浪费领用物资情况提出意见，及时进行调整。如发现因人为原因造成浪费，要给予一定的经济扣罚。</w:t>
      </w:r>
    </w:p>
    <w:p>
      <w:pPr>
        <w:keepNext w:val="0"/>
        <w:keepLines w:val="0"/>
        <w:pageBreakBefore w:val="0"/>
        <w:widowControl/>
        <w:numPr>
          <w:ilvl w:val="0"/>
          <w:numId w:val="5"/>
        </w:numPr>
        <w:kinsoku/>
        <w:wordWrap/>
        <w:overflowPunct/>
        <w:topLinePunct w:val="0"/>
        <w:autoSpaceDE/>
        <w:autoSpaceDN/>
        <w:bidi w:val="0"/>
        <w:adjustRightInd w:val="0"/>
        <w:snapToGrid/>
        <w:spacing w:line="360" w:lineRule="auto"/>
        <w:ind w:left="0" w:leftChars="0" w:firstLine="400" w:firstLineChars="0"/>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收支管理模式</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 xml:space="preserve">   2.1水电气能耗费：在第三方做好能耗管理的前提下，医院承担水、电、气能耗费。考核方法：若就餐量和收支同比上一届无明显差别，</w:t>
      </w:r>
      <w:r>
        <w:rPr>
          <w:rFonts w:hint="eastAsia" w:ascii="宋体" w:hAnsi="宋体" w:eastAsia="宋体" w:cs="宋体"/>
          <w:color w:val="000000"/>
          <w:sz w:val="21"/>
          <w:szCs w:val="21"/>
        </w:rPr>
        <w:t>食堂水、电、煤气费用（按目前测算，每月水、电、煤气</w:t>
      </w:r>
      <w:r>
        <w:rPr>
          <w:rFonts w:hint="eastAsia" w:ascii="宋体" w:hAnsi="宋体" w:eastAsia="宋体" w:cs="宋体"/>
          <w:color w:val="000000"/>
          <w:sz w:val="21"/>
          <w:szCs w:val="21"/>
          <w:lang w:val="en-US" w:eastAsia="zh-CN"/>
        </w:rPr>
        <w:t>平均</w:t>
      </w:r>
      <w:r>
        <w:rPr>
          <w:rFonts w:hint="eastAsia" w:ascii="宋体" w:hAnsi="宋体" w:eastAsia="宋体" w:cs="宋体"/>
          <w:color w:val="000000"/>
          <w:sz w:val="21"/>
          <w:szCs w:val="21"/>
        </w:rPr>
        <w:t>约</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万元左右）</w:t>
      </w:r>
      <w:r>
        <w:rPr>
          <w:rFonts w:hint="eastAsia" w:ascii="宋体" w:hAnsi="宋体" w:eastAsia="宋体" w:cs="宋体"/>
          <w:color w:val="000000"/>
          <w:sz w:val="21"/>
          <w:szCs w:val="21"/>
          <w:lang w:val="en-US" w:eastAsia="zh-CN"/>
        </w:rPr>
        <w:t xml:space="preserve">由医院承担。如果就餐量和收支下降但能耗上升，以上一届的能耗为基础，扣除上升差值能耗费 </w:t>
      </w:r>
      <w:r>
        <w:rPr>
          <w:rFonts w:hint="eastAsia" w:ascii="宋体" w:hAnsi="宋体" w:eastAsia="宋体" w:cs="宋体"/>
          <w:color w:val="000000"/>
          <w:sz w:val="21"/>
          <w:szCs w:val="21"/>
        </w:rPr>
        <w:t>。</w:t>
      </w:r>
    </w:p>
    <w:p>
      <w:pPr>
        <w:pStyle w:val="7"/>
        <w:keepNext w:val="0"/>
        <w:keepLines w:val="0"/>
        <w:pageBreakBefore w:val="0"/>
        <w:widowControl/>
        <w:kinsoku/>
        <w:wordWrap/>
        <w:overflowPunct/>
        <w:topLinePunct w:val="0"/>
        <w:autoSpaceDE/>
        <w:autoSpaceDN/>
        <w:bidi w:val="0"/>
        <w:adjustRightInd/>
        <w:snapToGrid/>
        <w:spacing w:line="360" w:lineRule="auto"/>
        <w:ind w:firstLine="420"/>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 食材支出： 食堂所需食品原材料采购支出由院方承担。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2.3 收入管理：</w:t>
      </w:r>
      <w:r>
        <w:rPr>
          <w:rFonts w:hint="eastAsia" w:ascii="宋体" w:hAnsi="宋体" w:eastAsia="宋体" w:cs="宋体"/>
          <w:color w:val="000000"/>
          <w:sz w:val="21"/>
          <w:szCs w:val="21"/>
        </w:rPr>
        <w:t>每月院方与</w:t>
      </w:r>
      <w:r>
        <w:rPr>
          <w:rFonts w:hint="eastAsia" w:ascii="宋体" w:hAnsi="宋体" w:eastAsia="宋体" w:cs="宋体"/>
          <w:color w:val="000000"/>
          <w:sz w:val="21"/>
          <w:szCs w:val="21"/>
          <w:lang w:val="en-US" w:eastAsia="zh-CN"/>
        </w:rPr>
        <w:t>承包</w:t>
      </w:r>
      <w:r>
        <w:rPr>
          <w:rFonts w:hint="eastAsia" w:ascii="宋体" w:hAnsi="宋体" w:eastAsia="宋体" w:cs="宋体"/>
          <w:color w:val="000000"/>
          <w:sz w:val="21"/>
          <w:szCs w:val="21"/>
        </w:rPr>
        <w:t>方共同对食堂经营情况进行评估，食堂节余部分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除人力成本</w:t>
      </w:r>
      <w:r>
        <w:rPr>
          <w:rFonts w:hint="eastAsia" w:ascii="宋体" w:hAnsi="宋体" w:eastAsia="宋体" w:cs="宋体"/>
          <w:color w:val="000000"/>
          <w:sz w:val="21"/>
          <w:szCs w:val="21"/>
          <w:lang w:eastAsia="zh-CN"/>
        </w:rPr>
        <w:t>）</w:t>
      </w:r>
      <w:r>
        <w:rPr>
          <w:rFonts w:hint="eastAsia" w:ascii="宋体" w:hAnsi="宋体" w:eastAsia="宋体" w:cs="宋体"/>
          <w:b w:val="0"/>
          <w:bCs w:val="0"/>
          <w:color w:val="000000"/>
          <w:sz w:val="21"/>
          <w:szCs w:val="21"/>
        </w:rPr>
        <w:t>的</w:t>
      </w:r>
      <w:r>
        <w:rPr>
          <w:rFonts w:hint="eastAsia" w:ascii="宋体" w:hAnsi="宋体" w:eastAsia="宋体" w:cs="宋体"/>
          <w:b w:val="0"/>
          <w:bCs w:val="0"/>
          <w:color w:val="000000"/>
          <w:sz w:val="21"/>
          <w:szCs w:val="21"/>
          <w:lang w:val="en-US" w:eastAsia="zh-CN"/>
        </w:rPr>
        <w:t>70%</w:t>
      </w:r>
      <w:r>
        <w:rPr>
          <w:rFonts w:hint="eastAsia" w:ascii="宋体" w:hAnsi="宋体" w:eastAsia="宋体" w:cs="宋体"/>
          <w:b w:val="0"/>
          <w:bCs w:val="0"/>
          <w:color w:val="000000"/>
          <w:sz w:val="21"/>
          <w:szCs w:val="21"/>
        </w:rPr>
        <w:t>作为</w:t>
      </w:r>
      <w:r>
        <w:rPr>
          <w:rFonts w:hint="eastAsia" w:ascii="宋体" w:hAnsi="宋体" w:eastAsia="宋体" w:cs="宋体"/>
          <w:color w:val="000000"/>
          <w:sz w:val="21"/>
          <w:szCs w:val="21"/>
        </w:rPr>
        <w:t>激励</w:t>
      </w:r>
      <w:r>
        <w:rPr>
          <w:rFonts w:hint="eastAsia" w:ascii="宋体" w:hAnsi="宋体" w:eastAsia="宋体" w:cs="宋体"/>
          <w:color w:val="000000"/>
          <w:sz w:val="21"/>
          <w:szCs w:val="21"/>
          <w:lang w:val="en-US" w:eastAsia="zh-CN"/>
        </w:rPr>
        <w:t>直接</w:t>
      </w:r>
      <w:r>
        <w:rPr>
          <w:rFonts w:hint="eastAsia" w:ascii="宋体" w:hAnsi="宋体" w:eastAsia="宋体" w:cs="宋体"/>
          <w:color w:val="000000"/>
          <w:sz w:val="21"/>
          <w:szCs w:val="21"/>
        </w:rPr>
        <w:t>支付给中标方</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另外30%经院方考核后支付。承包商在提供好职工餐和病员餐的基础上，可在病员餐厅增加小吃、风味、糕点、送餐外卖等额外服务；为满足员工的特需化需求，参与净菜配送、粮油等食品、副食品的换购服务。</w:t>
      </w:r>
    </w:p>
    <w:p>
      <w:pPr>
        <w:keepNext w:val="0"/>
        <w:keepLines w:val="0"/>
        <w:pageBreakBefore w:val="0"/>
        <w:widowControl/>
        <w:numPr>
          <w:ilvl w:val="0"/>
          <w:numId w:val="5"/>
        </w:numPr>
        <w:kinsoku/>
        <w:wordWrap/>
        <w:overflowPunct/>
        <w:topLinePunct w:val="0"/>
        <w:autoSpaceDE/>
        <w:autoSpaceDN/>
        <w:bidi w:val="0"/>
        <w:adjustRightInd w:val="0"/>
        <w:snapToGrid/>
        <w:spacing w:line="360" w:lineRule="auto"/>
        <w:ind w:left="0" w:leftChars="0" w:firstLine="40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就餐卡管理</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职工餐厅就餐及住院人员病区订餐，一律按需计价实行刷卡消费</w:t>
      </w:r>
      <w:r>
        <w:rPr>
          <w:rFonts w:hint="eastAsia" w:ascii="宋体" w:hAnsi="宋体" w:eastAsia="宋体" w:cs="宋体"/>
          <w:color w:val="auto"/>
          <w:sz w:val="21"/>
          <w:szCs w:val="21"/>
          <w:lang w:val="en-US" w:eastAsia="zh-CN"/>
        </w:rPr>
        <w:t>为主</w:t>
      </w:r>
      <w:r>
        <w:rPr>
          <w:rFonts w:hint="eastAsia" w:ascii="宋体" w:hAnsi="宋体" w:eastAsia="宋体" w:cs="宋体"/>
          <w:color w:val="auto"/>
          <w:sz w:val="21"/>
          <w:szCs w:val="21"/>
        </w:rPr>
        <w:t>。投标人安排专人负责病员订餐系统</w:t>
      </w:r>
      <w:r>
        <w:rPr>
          <w:rFonts w:hint="eastAsia" w:ascii="宋体" w:hAnsi="宋体" w:eastAsia="宋体" w:cs="宋体"/>
          <w:bCs/>
          <w:color w:val="auto"/>
          <w:sz w:val="21"/>
          <w:szCs w:val="21"/>
        </w:rPr>
        <w:t>就餐卡的开卡、补卡、</w:t>
      </w:r>
      <w:r>
        <w:rPr>
          <w:rFonts w:hint="eastAsia" w:ascii="宋体" w:hAnsi="宋体" w:eastAsia="宋体" w:cs="宋体"/>
          <w:color w:val="auto"/>
          <w:sz w:val="21"/>
          <w:szCs w:val="21"/>
        </w:rPr>
        <w:t>充值、</w:t>
      </w:r>
      <w:r>
        <w:rPr>
          <w:rFonts w:hint="eastAsia" w:ascii="宋体" w:hAnsi="宋体" w:eastAsia="宋体" w:cs="宋体"/>
          <w:bCs/>
          <w:color w:val="auto"/>
          <w:sz w:val="21"/>
          <w:szCs w:val="21"/>
        </w:rPr>
        <w:t>及卡片进销存管理工作。</w:t>
      </w:r>
      <w:r>
        <w:rPr>
          <w:rFonts w:hint="eastAsia" w:ascii="宋体" w:hAnsi="宋体" w:eastAsia="宋体" w:cs="宋体"/>
          <w:color w:val="auto"/>
          <w:sz w:val="21"/>
          <w:szCs w:val="21"/>
        </w:rPr>
        <w:t>就餐卡由院方统一制发，中标方每月统计、清理并公示一次。住院人员出院时，就餐卡内留有余额的应一次性结清，并收缴就餐卡。</w:t>
      </w:r>
    </w:p>
    <w:p>
      <w:pPr>
        <w:keepNext w:val="0"/>
        <w:keepLines w:val="0"/>
        <w:pageBreakBefore w:val="0"/>
        <w:widowControl/>
        <w:numPr>
          <w:ilvl w:val="0"/>
          <w:numId w:val="5"/>
        </w:numPr>
        <w:kinsoku/>
        <w:wordWrap/>
        <w:overflowPunct/>
        <w:topLinePunct w:val="0"/>
        <w:autoSpaceDE/>
        <w:autoSpaceDN/>
        <w:bidi w:val="0"/>
        <w:adjustRightInd w:val="0"/>
        <w:snapToGrid/>
        <w:spacing w:line="360" w:lineRule="auto"/>
        <w:ind w:left="0" w:leftChars="0" w:firstLine="403"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订餐系统管理</w:t>
      </w:r>
    </w:p>
    <w:p>
      <w:pPr>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中标方安排专人负责职工微信订餐及病员食堂的订餐管理系统，并负责每日订餐资金收缴及对账，确保核对无误后当日下午到医院财务科对账</w:t>
      </w:r>
      <w:r>
        <w:rPr>
          <w:rFonts w:hint="eastAsia" w:ascii="宋体" w:hAnsi="宋体" w:eastAsia="宋体" w:cs="宋体"/>
          <w:color w:val="auto"/>
          <w:sz w:val="21"/>
          <w:szCs w:val="21"/>
          <w:lang w:val="en-US" w:eastAsia="zh-CN"/>
        </w:rPr>
        <w:t>付款。</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七、工作职责：</w:t>
      </w:r>
    </w:p>
    <w:p>
      <w:pPr>
        <w:shd w:val="clear" w:color="auto" w:fill="FFFFFF"/>
        <w:spacing w:line="360" w:lineRule="auto"/>
        <w:ind w:firstLine="210" w:firstLineChars="100"/>
        <w:rPr>
          <w:rFonts w:hint="eastAsia" w:ascii="宋体" w:hAnsi="宋体" w:eastAsia="宋体" w:cs="宋体"/>
          <w:bCs/>
          <w:color w:val="FF0000"/>
          <w:sz w:val="21"/>
          <w:szCs w:val="21"/>
        </w:rPr>
      </w:pPr>
      <w:r>
        <w:rPr>
          <w:rFonts w:hint="eastAsia" w:ascii="宋体" w:hAnsi="宋体" w:eastAsia="宋体" w:cs="宋体"/>
          <w:bCs/>
          <w:color w:val="auto"/>
          <w:sz w:val="21"/>
          <w:szCs w:val="21"/>
        </w:rPr>
        <w:t>（一）</w:t>
      </w:r>
      <w:r>
        <w:rPr>
          <w:rFonts w:hint="eastAsia" w:ascii="宋体" w:hAnsi="宋体" w:eastAsia="宋体" w:cs="宋体"/>
          <w:bCs/>
          <w:color w:val="000000"/>
          <w:sz w:val="21"/>
          <w:szCs w:val="21"/>
          <w:lang w:val="en-US" w:eastAsia="zh-CN"/>
        </w:rPr>
        <w:t>医院食堂管理人员</w:t>
      </w:r>
      <w:r>
        <w:rPr>
          <w:rFonts w:hint="eastAsia" w:ascii="宋体" w:hAnsi="宋体" w:eastAsia="宋体" w:cs="宋体"/>
          <w:bCs/>
          <w:color w:val="000000"/>
          <w:sz w:val="21"/>
          <w:szCs w:val="21"/>
        </w:rPr>
        <w:t>职责</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1.完善食堂场地、水、电、煤气配置，落实食堂运营所需的设备设施、餐厨具，监督食堂运行状况及运营成本帐务。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每季度对投标人开展检查考核。协助投标人做好与各相关部门的沟通协调工作。根据就餐人员集中反映的意见，出具《限期整改书》，要求投标人限期内改进，以保证餐饮服务品质。如整改未见成效或餐饮服务长期达不到规定要求的，采购人随时解除或者提前终止合同，没收履约保证金，不承担违约责任。食堂运营中一旦发生食物中毒、煤气泄漏、违法违纪等重大责任事故，采购人有权立即单方面终止合同，没收履约保证金，不承担违约责任。</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3.一旦发现投标人将项目分包或整体转包给任何单位和个人的，有权即刻终止合同，并要求投标人承担责任，赔偿相应损失。</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4.合同签订生效后，无特殊情况，采购人不得无故提前终止合同。若确需提前终止合同，应提前两个月以书面形式通知投标人，并妥善处理遗留问题。</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（二）投标人职责</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根据采购人的实际需求提供各项餐饮服务，在食堂运营中做好节约与服务，实现食堂在经济上的收支平衡，要求职工食堂就餐率不低于每日300人（纳入月度考核），并满足突发事件600人极端就餐服务。病员食堂的订餐率不低于住院人数</w:t>
      </w:r>
      <w:r>
        <w:rPr>
          <w:rFonts w:hint="eastAsia" w:ascii="宋体" w:hAnsi="宋体" w:eastAsia="宋体" w:cs="宋体"/>
          <w:bCs/>
          <w:color w:val="000000"/>
          <w:sz w:val="21"/>
          <w:szCs w:val="21"/>
        </w:rPr>
        <w:t>的</w:t>
      </w:r>
      <w:r>
        <w:rPr>
          <w:rFonts w:hint="eastAsia" w:ascii="宋体" w:hAnsi="宋体" w:eastAsia="宋体" w:cs="宋体"/>
          <w:bCs/>
          <w:color w:val="000000"/>
          <w:sz w:val="21"/>
          <w:szCs w:val="21"/>
          <w:lang w:val="en-US" w:eastAsia="zh-CN"/>
        </w:rPr>
        <w:t>35</w:t>
      </w:r>
      <w:r>
        <w:rPr>
          <w:rFonts w:hint="eastAsia" w:ascii="宋体" w:hAnsi="宋体" w:eastAsia="宋体" w:cs="宋体"/>
          <w:bCs/>
          <w:color w:val="000000"/>
          <w:sz w:val="21"/>
          <w:szCs w:val="21"/>
        </w:rPr>
        <w:t>%（</w:t>
      </w:r>
      <w:r>
        <w:rPr>
          <w:rFonts w:hint="eastAsia" w:ascii="宋体" w:hAnsi="宋体" w:eastAsia="宋体" w:cs="宋体"/>
          <w:bCs/>
          <w:color w:val="auto"/>
          <w:sz w:val="21"/>
          <w:szCs w:val="21"/>
        </w:rPr>
        <w:t>纳入月度考核），</w:t>
      </w:r>
      <w:r>
        <w:rPr>
          <w:rFonts w:hint="eastAsia" w:ascii="宋体" w:hAnsi="宋体" w:eastAsia="宋体" w:cs="宋体"/>
          <w:color w:val="auto"/>
          <w:sz w:val="21"/>
          <w:szCs w:val="21"/>
        </w:rPr>
        <w:t>服务上更专业化、满意度上更上一层楼。</w:t>
      </w:r>
    </w:p>
    <w:p>
      <w:pPr>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2.须在采购人选定采购配送范围内，合理领用及保存好食堂运营所需的各种食品材料，应做好成本控制，并接受采购人不定时的监督。中标方不得私自采用过期、变质、劣质食品和假冒伪劣商品，并承担由此产生的后果。</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负责食堂的食品安全卫生，严格遵守国家和地方食品安全法和环境卫生的标准规定，禁止加工、销售腐烂变质食品，保证菜肴的新鲜和卫生，保证粮食、食油及所有辅料的使用安全。严格落实“五常法”管理评比制度。每天应留出足够的时间，专人负责对餐厅、加工间、餐厨具、灶台、灶下、水池、下水道、炊事用品等场所设备进行环境卫生打扫和冰箱除霜等的卫生工作。安排专人准确及时清理处置剩饭剩菜，做好餐具消毒工作与餐饮垃圾的管理。</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节约用水、电、煤气，采购人将每月对水、电、气使用进行考核。爱护场地和食堂所有设备、设施和物品，并负责日常检查和养护管理。合同履行完毕后，应交出除合理损耗部份外的全部设备、设施和物品，遗损赔偿。</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积极配合食品卫生监督部门对半成品、成品的随时抽样实地检验，做好质量监控，预防和检查生产中是否有异物污染等问题。积极配合卫生监管部门的监督与采购人的检查考核，如有问题被被查处或投诉，视事件程度承担相应责任，并服从采购人扣除相应的考核奖金与餐饮服务费的安排。</w:t>
      </w:r>
    </w:p>
    <w:p>
      <w:pPr>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color w:val="auto"/>
          <w:sz w:val="21"/>
          <w:szCs w:val="21"/>
        </w:rPr>
        <w:t>6.严格控制进入生产厨房间的人数，仅限于本区域操作人员以及经过批准的人员进入。对进入生产加工厨房的临时外来人员（包括参观人员）进行指导和监督，对进入洁净室的人员进行登记制度。</w:t>
      </w:r>
      <w:r>
        <w:rPr>
          <w:rFonts w:hint="eastAsia" w:ascii="宋体" w:hAnsi="宋体" w:eastAsia="宋体" w:cs="宋体"/>
          <w:b w:val="0"/>
          <w:bCs/>
          <w:color w:val="auto"/>
          <w:sz w:val="21"/>
          <w:szCs w:val="21"/>
        </w:rPr>
        <w:t>采用最新理念管理厨房卫生，并能实时公开厨房管理情况（考虑采取视频摄像方式）。</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7.应派专人负责生产区域内用具的日常管理。有使用区域范围的用具不得随意传出本区域；用具应做到定数、定量、定置、无不必要的物品。</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使用的生产运输工具应该符合卫生要求，要根据产品的特点配备防雨、防尘、冷藏、保温等设施。运输作业中需避免强烈震荡、撞击，轻拿轻放，防止损伤，并且不得与有害物品混装、混运。作业完毕后，督促搬运人员立即撤离工作场地，防止污染食品。</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9.应设专人管理物品、菜肴储存的场地和仓库，配置防鼠、防虫、防火等设施。建立管理制度，定期检查场地和仓库的卫生状况，按时清扫、消毒、通风换气，确保设施的正常使用。</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10.应设专人管理洗手消毒池，鞋帽、更衣室、厕所等卫生设施，建立管理制度，做到责任到人，确保良好使用状态。</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11.从业人员使用的工作服每年保持夏季二套、冬季二套，统一着装上岗，进行定期清洗保洁。工作服、工作帽、工作手套等款式及颜色需经采购人（院方）认可，费用由中标方负责。</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负责从业人员的卫生、技能教育，确保从业人员持有有效的健康证、服务证及相关工作上岗证。应安排从业人员每年至少一次的体格检查，对没有取得卫生监督机构颁发的体检合格证者，禁止其从事厨房生产工作；对直接接触入口食品的人员还须进行粪便培养和病毒性肝炎带毒试验，不合格者不得从事相关工作。所需费用由投标人自理。并与采购人签订饮食安全卫生责任书。</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13.应加强防火、防盗、防爆、防投毒等安全保障工作，经常检查电源、火源，妥善保管易燃易爆物品，负责对所属人员进行安全教育，确保无安全事故。如发生意外伤残、伤亡及其它安全事故，承担全部责任后果和经济补偿。</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14.原则上不得改变、改动及无故损坏场地的房屋结构，不得变换基本设施。若确因服务需要，需进行装修，改动现有设备、设施和物品的，需书面报告采购人。</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15.合同签订生效后，无特殊情况，不得无故提前终止合同。若确需提前终止合同，应提前两个月以书面形式通知采购人，并妥善处理遗留问题。</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16.如遇采购人食堂室内改造，应提供合理的送餐服务方案，以保证采购人工作的正常运转。</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17.负责对从业人员的遵纪守法教育。如违反国家法律法规和地方规章制度，所造成的一切后果由投标人负责。若出现损害就餐人员身体健康和影响采购人声誉的事件，承担由此造成的一切责任和损失。</w:t>
      </w:r>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color w:val="auto"/>
          <w:sz w:val="21"/>
          <w:szCs w:val="21"/>
        </w:rPr>
        <w:t>18.应设专人接收甲方的职工（含微信订餐）及病员订餐系统（含流动餐厅），承担起甲方的订餐工作及系统资金管理和系统维护工作。</w:t>
      </w:r>
      <w:r>
        <w:rPr>
          <w:rFonts w:hint="eastAsia" w:ascii="宋体" w:hAnsi="宋体" w:eastAsia="宋体" w:cs="宋体"/>
          <w:bCs/>
          <w:color w:val="auto"/>
          <w:sz w:val="21"/>
          <w:szCs w:val="21"/>
        </w:rPr>
        <w:t>负责甲方所有订餐系统的就餐卡开卡、补卡及卡片进销存管理工作。如有资金损失或卡片遗失，需照价赔偿，情况严重的采购人有权终止合同，并在保证金中扣除相应的资金损失。</w:t>
      </w:r>
    </w:p>
    <w:p>
      <w:pPr>
        <w:spacing w:line="360" w:lineRule="auto"/>
        <w:ind w:firstLine="420" w:firstLineChars="200"/>
        <w:rPr>
          <w:rFonts w:hint="eastAsia" w:ascii="宋体" w:hAnsi="宋体" w:eastAsia="宋体" w:cs="宋体"/>
          <w:b/>
          <w:bCs/>
          <w:color w:val="auto"/>
          <w:sz w:val="21"/>
          <w:szCs w:val="21"/>
        </w:rPr>
      </w:pPr>
      <w:r>
        <w:rPr>
          <w:rFonts w:hint="eastAsia" w:ascii="宋体" w:hAnsi="宋体" w:eastAsia="宋体" w:cs="宋体"/>
          <w:bCs/>
          <w:color w:val="auto"/>
          <w:sz w:val="21"/>
          <w:szCs w:val="21"/>
        </w:rPr>
        <w:t>19.做好配餐服务，提前一周公布职工食堂及病人订餐的菜单，每</w:t>
      </w:r>
      <w:r>
        <w:rPr>
          <w:rFonts w:hint="eastAsia" w:ascii="宋体" w:hAnsi="宋体" w:eastAsia="宋体" w:cs="宋体"/>
          <w:b/>
          <w:bCs/>
          <w:color w:val="auto"/>
          <w:sz w:val="21"/>
          <w:szCs w:val="21"/>
        </w:rPr>
        <w:t>月</w:t>
      </w:r>
      <w:r>
        <w:rPr>
          <w:rFonts w:hint="eastAsia" w:ascii="宋体" w:hAnsi="宋体" w:eastAsia="宋体" w:cs="宋体"/>
          <w:bCs/>
          <w:color w:val="auto"/>
          <w:sz w:val="21"/>
          <w:szCs w:val="21"/>
        </w:rPr>
        <w:t>菜品不得重复，并根据订餐率控制好配餐原料，避免采购浪费的现象。</w:t>
      </w:r>
      <w:r>
        <w:rPr>
          <w:rFonts w:hint="eastAsia" w:ascii="宋体" w:hAnsi="宋体" w:eastAsia="宋体" w:cs="宋体"/>
          <w:b/>
          <w:bCs/>
          <w:color w:val="auto"/>
          <w:sz w:val="21"/>
          <w:szCs w:val="21"/>
        </w:rPr>
        <w:t>每季度推出新菜品（含面点）2种以上。</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bCs/>
          <w:color w:val="auto"/>
          <w:sz w:val="21"/>
          <w:szCs w:val="21"/>
        </w:rPr>
        <w:t>20.</w:t>
      </w:r>
      <w:r>
        <w:rPr>
          <w:rFonts w:hint="eastAsia" w:ascii="宋体" w:hAnsi="宋体" w:eastAsia="宋体" w:cs="宋体"/>
          <w:color w:val="auto"/>
          <w:sz w:val="21"/>
          <w:szCs w:val="21"/>
        </w:rPr>
        <w:t>考虑到部分临床科室工作繁忙，无暇到职工餐厅就餐。投标方需管理好微信订餐管理系统（订餐时间段为每日8:00-10:00），完善一日三餐菜单品种，方便职工微信订餐。订餐餐标享受职工餐厅同样价格及刷卡频率，但需加收餐盒工本费。承包方负责订餐数量品种汇总，及刷卡收费工作。</w:t>
      </w:r>
    </w:p>
    <w:p>
      <w:pPr>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21.要求每半年轮换中级厨师1名（根据院方需求执行）。</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（三）从业人员职责</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1.具有良好的个人卫生习惯，需勤剪指甲、勤洗澡。直接与原料、半成品和成品接触的人员不得戴耳环、戒指、手镯、项链、手表、手机，不允许化妆、染指甲、喷洒香水。</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2.必须按生产区域洁净级别进行规范着装，穿戴各自岗位指定的工衣、工帽、工鞋，经更衣室洗手消毒后，进入指定工作区域。工作服需盖住外衣,头发不得露于帽外,并且洗尽双手，不得穿拖鞋进入岗位操作。</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3.工作时应关闭操作间的门，并尽量减少出入次数。不得穿戴工衣、工帽、工鞋离开生产加工场所。如接触赃物、上厕所、吸烟、用餐后需重新洗手消毒，方可穿戴工作服进入相应岗位。</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不得在厨房间内吸烟、饮食；不得在厨房间内睡觉、嬉戏,追跑、打闹；不得将个人生活用品如衣物、食品、烟酒、化妆品等带入或存放至生产加工场所；不得在生产操作时从事与操作无关的活动及不必要的交谈；不得在生产区域接听电话，必要时，需离开生产区域接听；当出现操作有误时，任何人员都有权指出其错误，并且要求马上改正。</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5.生产操作前必须检查厨房卫生状况。合格内容包括:地面、墙壁清洁干净、门窗洁净无尘、水槽、地漏畅通无阻、设备表面无残留污迹、油污、杂物，操作间无上批剩余物料。</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6.工作时需提前三十分钟打开冷菜间、面点间的紫外灭菌灯，待彻底消毒后，方可进行操作。操作时应打开厨房间排气扇，按要求换气，保证厨房间的湿度和通风。</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7.交接班时，应认真做好卫生交接工作，卫生不合格不接班。卫生要求地面无积水，无卫生死角，无灰尘，工具、器具统一定点放置。</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8.必须在指定地点先行将各种物料进行解包、清洁、表面擦拭等处理工作后方允许其进入生产区域。</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9.烹调前应认真检查设备是否已清洗干净，是否有上批剩余物料,若有必须要重新清洗，需消毒到位后方可投料烹调。烹饪结束后所有的原、辅料应及时清理回收，不允许乱放和随意丢弃。</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10.按生产烹饪的先后次序和菜肴的特点，将各种原、辅料预处理、半成品处理和加工、包装材料和盛菜工具的清洗消毒、面点间的成品包装和检验、成品储存等工序分开设置，防止前后工序相互交叉污染。</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11.必须认真填写菜肴留样记录表，不得随意涂改，并妥善保存，随着烹饪进程，逐步传递到下一个工序，每批菜肴生产结束后，将记录表一并交与厨房管理部存档备案。</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12.用于生产操作的所有用具、工具、设备、容器、物品等需检验合格后方可使用，使用前后必须经过严格清洁、彻底消毒。</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13.日常维修、检查设备时，不得污染食品及相关物料。严禁洗涤设备时发生水溢厨房事件，防止造成交叉污染。</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14.每周对厨房生产区、更衣室、走廊、大厅等区域进行一次全面的清洁消毒工作。做到墙体内外表面洁净、完好，门、窗、地面、各种管道、灯具以及其他设施，墙壁与地面的交界处保持洁净无灰尘。定期检查门窗、排水口、排污管等处的防虫、防蝇、防鼠装置。及时清理地漏、并保持清洁及盖上盖子状态。遵照食品卫生法中对厨房间照明的有关规定，确保明亮、安全、无灰尘、无污染。</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15.及时清理洗手池、器具洁具清洗池等设施，应保持内外洁净、无灰尘、垢斑和水迹。</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16.及时将生产过程中的废弃物品装入不产生尘埃的容器或口袋中（宜为一次性的），密闭放在指定的地点，待生产结束后及时清除。</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17.及时清洗干净、消毒并干燥使用过的清洁工具，放置在规定的位置，至于通风良好处。使用前后要检查拖布和抹布是否会脱落纤维。不同生产区域的工具，不能混淆使用。</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18.按照品种分类分批储存各种原材料，不同类别的原料应该有明显标志，同一仓库内不得储存相互影响的原料。储存中物品、菜肴、内外包材需离地面、墙壁并且与屋顶保持一定距离，垛与垛之间应保持适当的距离。</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19.根据不同的要求，按规定的温度、湿度合理储存各类冷库内物品，及时剔除不符合质量和卫生标准的物品、菜肴、内外包材，并按规定的方法进行处理，防止二次污染。</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20.经检验合格的成品菜肴应照先进先出原则储存于成品出菜间，并按品种、批次分类存放、防止相互混淆。成品出菜间不得储存有毒、有害物品及其他易腐烂、易燃烧物品。</w:t>
      </w:r>
    </w:p>
    <w:p>
      <w:pPr>
        <w:shd w:val="clear" w:color="auto" w:fill="FFFFFF"/>
        <w:spacing w:line="360" w:lineRule="auto"/>
        <w:ind w:firstLine="211" w:firstLineChars="100"/>
        <w:rPr>
          <w:rFonts w:hint="eastAsia" w:ascii="宋体" w:hAnsi="宋体" w:eastAsia="宋体" w:cs="宋体"/>
          <w:b/>
          <w:bCs/>
          <w:color w:val="auto"/>
          <w:sz w:val="21"/>
          <w:szCs w:val="21"/>
        </w:rPr>
      </w:pPr>
      <w:r>
        <w:rPr>
          <w:rFonts w:hint="eastAsia" w:ascii="宋体" w:hAnsi="宋体" w:eastAsia="宋体" w:cs="宋体"/>
          <w:b/>
          <w:bCs/>
          <w:color w:val="auto"/>
          <w:sz w:val="21"/>
          <w:szCs w:val="21"/>
        </w:rPr>
        <w:t>八</w:t>
      </w:r>
      <w:r>
        <w:rPr>
          <w:rFonts w:hint="eastAsia" w:ascii="宋体" w:hAnsi="宋体" w:eastAsia="宋体" w:cs="宋体"/>
          <w:b/>
          <w:bCs/>
          <w:color w:val="auto"/>
          <w:sz w:val="21"/>
          <w:szCs w:val="21"/>
          <w:lang w:val="zh-CN"/>
        </w:rPr>
        <w:t>、</w:t>
      </w:r>
      <w:r>
        <w:rPr>
          <w:rFonts w:hint="eastAsia" w:ascii="宋体" w:hAnsi="宋体" w:eastAsia="宋体" w:cs="宋体"/>
          <w:b/>
          <w:bCs/>
          <w:color w:val="auto"/>
          <w:sz w:val="21"/>
          <w:szCs w:val="21"/>
        </w:rPr>
        <w:t>食堂管理外包服务考核办法：</w:t>
      </w:r>
    </w:p>
    <w:p>
      <w:pPr>
        <w:shd w:val="clear" w:color="auto" w:fill="FFFFFF"/>
        <w:tabs>
          <w:tab w:val="center" w:pos="4515"/>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1.考核机构</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医院膳食管理小组由院方食堂管理人员、总务科、营养科、医院工会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公共卫生科</w:t>
      </w:r>
      <w:r>
        <w:rPr>
          <w:rFonts w:hint="eastAsia" w:ascii="宋体" w:hAnsi="宋体" w:eastAsia="宋体" w:cs="宋体"/>
          <w:color w:val="auto"/>
          <w:sz w:val="21"/>
          <w:szCs w:val="21"/>
        </w:rPr>
        <w:t>共同组成，中标方参与。</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2.考核内容</w:t>
      </w:r>
    </w:p>
    <w:p>
      <w:pPr>
        <w:shd w:val="clear" w:color="auto" w:fill="FFFFFF"/>
        <w:spacing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考核分为考核小组成员评议和病员、职工满意度测评两种方式，每月进行一次，考核结果作为月度服务费结算重要依据。（详见《医院食堂管理外包服务考核表》和《满意度测评表》</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3.考核办法</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 1 \* GB3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①</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抽取承包方月度服务费中4万元作为考核奖，奖金每月兑现一次。</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 2 \* GB3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②</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考核奖金的兑现情况依据管理方考核结果而定。</w:t>
      </w:r>
    </w:p>
    <w:p>
      <w:pPr>
        <w:shd w:val="clear" w:color="auto" w:fill="FFFFFF"/>
        <w:spacing w:line="360" w:lineRule="auto"/>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 3 \* GB3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③</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考核奖金扣罚达1万元以上的，医院将提出限期整改要求；年度累计三次考核扣罚一万元以上医院将解除或终止合同，并没收履约保证金，所造成的一切损失均由中标人自行负责。</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4.考核奖金兑现方式</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 1 \* GB3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①</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考核奖金将在每月考核完成后的一周内根据考核情况进行兑现。</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 2 \* GB3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②</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按实际考核情况支付该月考核奖金给中标人。</w:t>
      </w:r>
    </w:p>
    <w:p>
      <w:pPr>
        <w:pStyle w:val="78"/>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5.考核一票否决制</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 1 \* GB3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①</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中标人在提供食堂餐饮服务时，因自身原因发生的一切安全事故责任均由中标人自行承担，该月度考核一票否决，全额扣除该月度考核奖金，医院将提出限期整改要求，继续追踪考核。</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 2 \* GB3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②</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出现一次食品安全责任事故，实行一票否决，该月度考核直接评为不合格，全额扣除该月度考核奖金，并视情节轻重罚款0.5万元—2万元（从该月食堂餐饮服务费中扣收），医院将提出限期整改要求，继续追踪考核。</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 3 \* GB3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③</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因食堂管理不规范等原因，导致受到上级管理各部门处罚的，该月度考核一票否决，全额扣除该月度考核奖金，罚金从该月食堂餐饮服务费中扣收,医院将提出限期整改要求，继续追踪考核。</w:t>
      </w:r>
    </w:p>
    <w:p>
      <w:pPr>
        <w:shd w:val="clear" w:color="auto" w:fill="FFFFFF"/>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 4 \* GB3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④</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就餐率达标情况，职工每日就餐率少于300人次，病区病人订餐率低于住院病人的</w:t>
      </w:r>
      <w:r>
        <w:rPr>
          <w:rFonts w:hint="eastAsia" w:ascii="宋体" w:hAnsi="宋体" w:eastAsia="宋体" w:cs="宋体"/>
          <w:b/>
          <w:color w:val="auto"/>
          <w:sz w:val="21"/>
          <w:szCs w:val="21"/>
        </w:rPr>
        <w:t>35%</w:t>
      </w:r>
      <w:r>
        <w:rPr>
          <w:rFonts w:hint="eastAsia" w:ascii="宋体" w:hAnsi="宋体" w:eastAsia="宋体" w:cs="宋体"/>
          <w:color w:val="auto"/>
          <w:sz w:val="21"/>
          <w:szCs w:val="21"/>
        </w:rPr>
        <w:t>，扣除该月度考核奖金的一半。职工每日就餐率少于180人次，病区病人订餐率低于住院病人的20%，该月度考核一票否决，全额扣除该月度考核奖金。</w:t>
      </w:r>
    </w:p>
    <w:p>
      <w:pPr>
        <w:pStyle w:val="78"/>
        <w:spacing w:line="360" w:lineRule="auto"/>
        <w:ind w:firstLine="422" w:firstLineChars="200"/>
        <w:jc w:val="center"/>
        <w:rPr>
          <w:rFonts w:hint="eastAsia" w:ascii="宋体" w:hAnsi="宋体" w:eastAsia="宋体" w:cs="宋体"/>
          <w:color w:val="auto"/>
          <w:sz w:val="21"/>
          <w:szCs w:val="21"/>
        </w:rPr>
      </w:pPr>
      <w:r>
        <w:rPr>
          <w:rFonts w:hint="eastAsia" w:ascii="宋体" w:hAnsi="宋体" w:eastAsia="宋体" w:cs="宋体"/>
          <w:b/>
          <w:bCs w:val="0"/>
          <w:color w:val="auto"/>
          <w:spacing w:val="0"/>
          <w:sz w:val="21"/>
          <w:szCs w:val="21"/>
        </w:rPr>
        <w:t>食堂管理月度考核表</w:t>
      </w:r>
    </w:p>
    <w:tbl>
      <w:tblPr>
        <w:tblStyle w:val="33"/>
        <w:tblW w:w="9056" w:type="dxa"/>
        <w:tblInd w:w="93" w:type="dxa"/>
        <w:tblLayout w:type="fixed"/>
        <w:tblCellMar>
          <w:top w:w="0" w:type="dxa"/>
          <w:left w:w="108" w:type="dxa"/>
          <w:bottom w:w="0" w:type="dxa"/>
          <w:right w:w="108" w:type="dxa"/>
        </w:tblCellMar>
      </w:tblPr>
      <w:tblGrid>
        <w:gridCol w:w="809"/>
        <w:gridCol w:w="831"/>
        <w:gridCol w:w="3596"/>
        <w:gridCol w:w="3170"/>
        <w:gridCol w:w="650"/>
      </w:tblGrid>
      <w:tr>
        <w:tblPrEx>
          <w:tblCellMar>
            <w:top w:w="0" w:type="dxa"/>
            <w:left w:w="108" w:type="dxa"/>
            <w:bottom w:w="0" w:type="dxa"/>
            <w:right w:w="108" w:type="dxa"/>
          </w:tblCellMar>
        </w:tblPrEx>
        <w:trPr>
          <w:trHeight w:val="544"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831" w:type="dxa"/>
            <w:tcBorders>
              <w:top w:val="single" w:color="auto" w:sz="4" w:space="0"/>
              <w:left w:val="nil"/>
              <w:bottom w:val="single" w:color="auto" w:sz="4" w:space="0"/>
              <w:right w:val="single" w:color="auto" w:sz="4" w:space="0"/>
            </w:tcBorders>
            <w:noWrap w:val="0"/>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内容</w:t>
            </w:r>
          </w:p>
        </w:tc>
        <w:tc>
          <w:tcPr>
            <w:tcW w:w="359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考核标准</w:t>
            </w:r>
          </w:p>
        </w:tc>
        <w:tc>
          <w:tcPr>
            <w:tcW w:w="317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考核情况</w:t>
            </w:r>
          </w:p>
        </w:tc>
        <w:tc>
          <w:tcPr>
            <w:tcW w:w="650"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扣罚</w:t>
            </w:r>
          </w:p>
        </w:tc>
      </w:tr>
      <w:tr>
        <w:tblPrEx>
          <w:tblCellMar>
            <w:top w:w="0" w:type="dxa"/>
            <w:left w:w="108" w:type="dxa"/>
            <w:bottom w:w="0" w:type="dxa"/>
            <w:right w:w="108" w:type="dxa"/>
          </w:tblCellMar>
        </w:tblPrEx>
        <w:trPr>
          <w:trHeight w:val="619" w:hRule="atLeast"/>
        </w:trPr>
        <w:tc>
          <w:tcPr>
            <w:tcW w:w="809"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考核检查</w:t>
            </w:r>
          </w:p>
        </w:tc>
        <w:tc>
          <w:tcPr>
            <w:tcW w:w="831"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伙食质量</w:t>
            </w:r>
          </w:p>
        </w:tc>
        <w:tc>
          <w:tcPr>
            <w:tcW w:w="35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食品色、香、味俱佳，无异物。</w:t>
            </w:r>
          </w:p>
        </w:tc>
        <w:tc>
          <w:tcPr>
            <w:tcW w:w="31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食物中出现杂物、不熟现象每发现1次扣300元。 </w:t>
            </w:r>
          </w:p>
        </w:tc>
        <w:tc>
          <w:tcPr>
            <w:tcW w:w="650" w:type="dxa"/>
            <w:tcBorders>
              <w:top w:val="single" w:color="auto" w:sz="4" w:space="0"/>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315"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三餐荤、素种类达到规定数量。</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每餐少一种扣300元。 </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924"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素菜不得隔餐销售，出售隔餐荤菜时必须经高温加热后方可出售。</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使用过期、变质材料每次扣500元，并根据造成的损失给予相应处罚。</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315"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员工、病人送菜要订餐要求送达。</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每送错一次扣300元。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401"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送餐餐盒干净卫生，无外溢。</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食物外溢餐盒发现一次100元。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924"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每周菜单不重复，每周有1个以上新菜品增加。夜宵每周有新品种推出1个以上。</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一周内菜单每重复一次扣300元,无新菜推出一次扣200元。夜宵每周无新品推出扣100元。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924"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服务  质量      </w:t>
            </w: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工作人员持有效的健康证上岗。在加工及出售食品时需穿戴整洁的工作服、并挂牌上岗。</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无有效健康证 1人次扣500元，未穿工作服、工作帽及挂牌上岗每发现1人次扣100元。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1228"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工作人员必须保持整洁，不准佩戴手饰，双手干净；操作食品时禁止吸烟、挖鼻孔、对食品打喷嚏、不遵守三白一勤等不卫生行为。</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每发现1人次扣100元。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757"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严格执行留样制度，全部食品足量留样。</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留样不全、分量不足、记录不全，每次扣500元。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1228"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工作人员热情耐心、微笑服务，不得发生争吵、打骂等不文明行为，有问题应反映相关管理部门解决。</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每发现1人次不文明行为（有效投诉）扣300元。每有人举报1人次扣300元。每私自拿取食堂物品发现一次扣500元。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924"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按医院规定时间开饭。做好巡查、及时打扫餐桌、补充桌上调料、牙签、餐巾纸等</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每出现一次情况扣200元。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1228"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卫生标准质量</w:t>
            </w: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工作间无苍蝇、老鼠、蟑螂，防蝇、防鼠、防尘设备齐全、有效。地面整洁，大厅桌椅洁净无油污。厨房随时清洁（包括厕所卫生）</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每发现老鼠蟑螂一次扣200元，每发现一次防蝇、防鼠、防尘设备缺少或损坏扣200元。厨房、大厅不清洁点位每发现一处扣100元。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1533"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原料、半成品、成品的加工、存放及使用容器是否存在交叉污染并有无明显的区分标志。生、熟食品分开，食品存放分类分架，无过期、变质食品。</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每发现一次存在交叉污染并无明显的区分标志扣100元；生、熟食品末分开且食品存放没有分类分架每次扣200元；入库保存未盖保鲜膜、未及时将易变质制品放入冰箱冷藏的每次扣100元。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90"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做好五常管理。物品定点定位定量放置，标志清晰。洗净好的食材分类上架。生活垃圾分类准确率。每日下水道清洗、盖板检查、角落卫生、厕所卫生细节打扫督查及落实。</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物品放置混乱，每发现一次扣100元。</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垃圾分类不准确，每发现一次扣300元。</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各区域专项保洁督管人员及保洁人员未落实，每发现一次扣300元。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282"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炊具餐具、菜具、熟食容器、刀具、砧板应定期消毒并保持清洁，做到“一洗二清三消毒四隔离”。</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每发现一次无消毒作业扣200元，不定期消毒作业扣200元，清洗不洁或无规范登记扣200元。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924"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食堂 管理   </w:t>
            </w: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做好就餐卡管理工作，每月清理、上报一次。做好卡片开卡、退卡、封卡记录。</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每发现一次未及时清理、登记扣200元。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1533"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对工作人员进行严格审核、实名登记管理，加强对业务、工作态度、健康证、上岗证等方面的管理。严禁非食堂人员随意进入食品加工操作间及原料仓库。</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对工作人员无审核、末登记每人次扣300元，厨师级别未达要求的每人次扣300元，无健康证上岗每人次扣300元。发现非食堂人员随意进入食堂每发现一次扣300元。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274"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有品质提升计划，员工消防、食品安全培训、应急演练等计划，并按计划开展工作；台账齐全、保管完善，随时备查。</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没有月度品质提升及培训计划扣200元，未按时完成计划扣200元，台账不完善、经不起检查每发生一次扣罚500元。年度内无预案与演练扣5000元。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244"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冷库、冰箱温度调整正确范围，冰箱温度登记、餐具消毒记录等规章制度，并存档备查。冰箱定期除霜。</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冷库、冰箱温度不符要求发现一次扣100元。冰箱未定期除霜发现一次扣200元。</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1228"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设备管理</w:t>
            </w: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爱护公共财物，在搬运、清洗等过程中尽量避免损耗。落实专人负责固定资产及菜盘、汤勺等易耗品统计，每月上报一次损耗情况。</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无专人负责、无每月报表每发现一次扣100元。公共财产遗失照价赔偿，使用不当致损坏按原价赔偿并扣罚100元每次。</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1372" w:hRule="atLeast"/>
        </w:trPr>
        <w:tc>
          <w:tcPr>
            <w:tcW w:w="809" w:type="dxa"/>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c>
          <w:tcPr>
            <w:tcW w:w="83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能耗成本管理</w:t>
            </w: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落实专人负责水、电、气等能耗管理，并制定和落实相关节能措施，每月做好能耗使用率对比、分析工作，做好节约能源。收支平衡。</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能耗报告未提供或能耗无专人负责每发现一次扣100元，未及时关闭水电或长明灯、长流水等现象每个发现一次扣100元。能源不合理增长承担增长费用支付。收支亏损则承担亏损金额支付。</w:t>
            </w: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CellMar>
            <w:top w:w="0" w:type="dxa"/>
            <w:left w:w="108" w:type="dxa"/>
            <w:bottom w:w="0" w:type="dxa"/>
            <w:right w:w="108" w:type="dxa"/>
          </w:tblCellMar>
        </w:tblPrEx>
        <w:trPr>
          <w:trHeight w:val="2472" w:hRule="atLeast"/>
        </w:trPr>
        <w:tc>
          <w:tcPr>
            <w:tcW w:w="809" w:type="dxa"/>
            <w:vMerge w:val="restart"/>
            <w:tcBorders>
              <w:top w:val="nil"/>
              <w:left w:val="single" w:color="auto" w:sz="4" w:space="0"/>
              <w:right w:val="single" w:color="auto"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营养餐管理</w:t>
            </w:r>
          </w:p>
        </w:tc>
        <w:tc>
          <w:tcPr>
            <w:tcW w:w="8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一般</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错误</w:t>
            </w:r>
          </w:p>
        </w:tc>
        <w:tc>
          <w:tcPr>
            <w:tcW w:w="35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采购错误：采购错误或采购不足。</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加工错误：油、盐、主食的用量错误，软硬度错误，食材错误，质量错误。</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送餐错误：送错或不及时。</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留样错误：留样遗漏和留样错误。</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核对错误：订餐核对，分发核对，送达核对时错误。</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登记错误：留样登记、交接登记。</w:t>
            </w:r>
          </w:p>
        </w:tc>
        <w:tc>
          <w:tcPr>
            <w:tcW w:w="31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每例次罚款50元。</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650" w:type="dxa"/>
            <w:tcBorders>
              <w:top w:val="nil"/>
              <w:left w:val="nil"/>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315" w:hRule="atLeast"/>
        </w:trPr>
        <w:tc>
          <w:tcPr>
            <w:tcW w:w="809" w:type="dxa"/>
            <w:vMerge w:val="continue"/>
            <w:tcBorders>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宋体" w:hAnsi="宋体" w:eastAsia="宋体" w:cs="宋体"/>
                <w:color w:val="auto"/>
                <w:sz w:val="21"/>
                <w:szCs w:val="21"/>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严重错误</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3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1.餐内异物或一般错误导致了医患纠纷、患者投诉或治疗餐非正常退订。</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2.订餐不足：日均6-8个，治疗餐订餐严重不足（月均≤5个/日）。</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3.职工食堂、病员餐厅用油用盐超标。</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5.上述错误有明确责任人者由责任人承担，无明确责任人者由经理承担。</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6.营养科或其他监管部门确定错误并开出罚单并反馈给膳食科，膳食科再反馈给外包公司，外包公司次月要出具扣罚到人的客观证据。</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1.每例次罚款100元；</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2.每例次罚款200元；</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3.每例次罚款500元；</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4.上述错误连续三次后罚金加倍。</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right"/>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315" w:hRule="atLeast"/>
        </w:trPr>
        <w:tc>
          <w:tcPr>
            <w:tcW w:w="809" w:type="dxa"/>
            <w:vMerge w:val="restart"/>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满意度</w:t>
            </w:r>
          </w:p>
        </w:tc>
        <w:tc>
          <w:tcPr>
            <w:tcW w:w="8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职工</w:t>
            </w:r>
          </w:p>
        </w:tc>
        <w:tc>
          <w:tcPr>
            <w:tcW w:w="3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满意度低于8</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扣罚</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00元/月。</w:t>
            </w: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315" w:hRule="atLeast"/>
        </w:trPr>
        <w:tc>
          <w:tcPr>
            <w:tcW w:w="809" w:type="dxa"/>
            <w:vMerge w:val="continue"/>
            <w:tcBorders>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宋体" w:hAnsi="宋体" w:eastAsia="宋体" w:cs="宋体"/>
                <w:color w:val="auto"/>
                <w:sz w:val="21"/>
                <w:szCs w:val="21"/>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病人</w:t>
            </w:r>
          </w:p>
        </w:tc>
        <w:tc>
          <w:tcPr>
            <w:tcW w:w="3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满意度低于8</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扣罚</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00元/月。</w:t>
            </w: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1"/>
                <w:szCs w:val="21"/>
              </w:rPr>
            </w:pPr>
          </w:p>
        </w:tc>
      </w:tr>
    </w:tbl>
    <w:p>
      <w:pPr>
        <w:pStyle w:val="18"/>
        <w:spacing w:line="360" w:lineRule="auto"/>
        <w:rPr>
          <w:rFonts w:hint="eastAsia" w:ascii="宋体" w:hAnsi="宋体" w:eastAsia="宋体" w:cs="宋体"/>
          <w:color w:val="auto"/>
          <w:sz w:val="21"/>
          <w:szCs w:val="21"/>
        </w:rPr>
      </w:pPr>
    </w:p>
    <w:p>
      <w:pPr>
        <w:rPr>
          <w:rFonts w:hint="eastAsia" w:ascii="宋体" w:hAnsi="宋体"/>
          <w:b/>
          <w:bCs/>
          <w:color w:val="auto"/>
        </w:rPr>
      </w:pPr>
    </w:p>
    <w:p>
      <w:pPr>
        <w:pStyle w:val="7"/>
        <w:rPr>
          <w:rFonts w:hint="eastAsia" w:ascii="宋体" w:hAnsi="宋体"/>
          <w:b/>
          <w:bCs/>
          <w:color w:val="auto"/>
        </w:rPr>
      </w:pPr>
    </w:p>
    <w:p>
      <w:pPr>
        <w:rPr>
          <w:rFonts w:hint="eastAsia" w:ascii="宋体" w:hAnsi="宋体"/>
          <w:b/>
          <w:bCs/>
          <w:color w:val="auto"/>
        </w:rPr>
      </w:pPr>
    </w:p>
    <w:p>
      <w:pPr>
        <w:pStyle w:val="7"/>
        <w:rPr>
          <w:rFonts w:hint="eastAsia" w:ascii="宋体" w:hAnsi="宋体"/>
          <w:b/>
          <w:bCs/>
          <w:color w:val="auto"/>
        </w:rPr>
      </w:pPr>
    </w:p>
    <w:p>
      <w:pPr>
        <w:rPr>
          <w:rFonts w:hint="eastAsia" w:ascii="宋体" w:hAnsi="宋体"/>
          <w:b/>
          <w:bCs/>
          <w:color w:val="auto"/>
        </w:rPr>
      </w:pPr>
    </w:p>
    <w:p>
      <w:pPr>
        <w:pStyle w:val="7"/>
        <w:rPr>
          <w:rFonts w:hint="eastAsia" w:ascii="宋体" w:hAnsi="宋体"/>
          <w:b/>
          <w:bCs/>
          <w:color w:val="auto"/>
        </w:rPr>
      </w:pPr>
    </w:p>
    <w:p>
      <w:pPr>
        <w:rPr>
          <w:rFonts w:hint="eastAsia" w:ascii="宋体" w:hAnsi="宋体"/>
          <w:b/>
          <w:bCs/>
          <w:color w:val="auto"/>
        </w:rPr>
      </w:pPr>
    </w:p>
    <w:p>
      <w:pPr>
        <w:pStyle w:val="7"/>
        <w:rPr>
          <w:rFonts w:hint="eastAsia" w:ascii="宋体" w:hAnsi="宋体"/>
          <w:b/>
          <w:bCs/>
          <w:color w:val="auto"/>
        </w:rPr>
      </w:pPr>
    </w:p>
    <w:p>
      <w:pPr>
        <w:rPr>
          <w:rFonts w:hint="eastAsia" w:ascii="宋体" w:hAnsi="宋体"/>
          <w:b/>
          <w:bCs/>
          <w:color w:val="auto"/>
        </w:rPr>
      </w:pPr>
    </w:p>
    <w:p>
      <w:pPr>
        <w:pStyle w:val="7"/>
        <w:rPr>
          <w:rFonts w:hint="eastAsia" w:ascii="宋体" w:hAnsi="宋体"/>
          <w:b/>
          <w:bCs/>
          <w:color w:val="auto"/>
        </w:rPr>
      </w:pPr>
    </w:p>
    <w:p>
      <w:pPr>
        <w:rPr>
          <w:rFonts w:hint="eastAsia" w:ascii="宋体" w:hAnsi="宋体"/>
          <w:b/>
          <w:bCs/>
          <w:color w:val="auto"/>
        </w:rPr>
      </w:pPr>
    </w:p>
    <w:p>
      <w:pPr>
        <w:pStyle w:val="7"/>
        <w:rPr>
          <w:rFonts w:hint="eastAsia" w:ascii="宋体" w:hAnsi="宋体"/>
          <w:b/>
          <w:bCs/>
          <w:color w:val="auto"/>
        </w:rPr>
      </w:pPr>
    </w:p>
    <w:p>
      <w:pPr>
        <w:pStyle w:val="7"/>
        <w:ind w:left="0" w:leftChars="0" w:firstLine="0" w:firstLineChars="0"/>
        <w:rPr>
          <w:rFonts w:hint="eastAsia" w:ascii="宋体" w:hAnsi="宋体"/>
          <w:b/>
          <w:bCs/>
          <w:color w:val="auto"/>
        </w:rPr>
      </w:pPr>
    </w:p>
    <w:p>
      <w:pPr>
        <w:pStyle w:val="3"/>
        <w:rPr>
          <w:rFonts w:hint="eastAsia"/>
          <w:color w:val="auto"/>
        </w:rPr>
      </w:pPr>
      <w:r>
        <w:rPr>
          <w:rFonts w:hint="eastAsia"/>
          <w:color w:val="auto"/>
        </w:rPr>
        <w:t>第三章  投标人须知</w:t>
      </w:r>
      <w:bookmarkEnd w:id="4"/>
    </w:p>
    <w:p>
      <w:pPr>
        <w:spacing w:line="360" w:lineRule="auto"/>
        <w:jc w:val="center"/>
        <w:rPr>
          <w:b/>
          <w:color w:val="auto"/>
          <w:sz w:val="24"/>
        </w:rPr>
      </w:pPr>
      <w:r>
        <w:rPr>
          <w:rFonts w:hint="eastAsia"/>
          <w:b/>
          <w:color w:val="auto"/>
          <w:sz w:val="24"/>
        </w:rPr>
        <w:t>前附表</w:t>
      </w:r>
    </w:p>
    <w:tbl>
      <w:tblPr>
        <w:tblStyle w:val="33"/>
        <w:tblW w:w="92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058"/>
        <w:gridCol w:w="75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 w:hRule="atLeast"/>
          <w:tblHeade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序号</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ascii="宋体" w:hAnsi="宋体"/>
                <w:color w:val="auto"/>
                <w:szCs w:val="21"/>
              </w:rPr>
            </w:pPr>
            <w:r>
              <w:rPr>
                <w:rFonts w:hint="eastAsia" w:ascii="宋体" w:hAnsi="宋体"/>
                <w:color w:val="auto"/>
                <w:szCs w:val="21"/>
              </w:rPr>
              <w:t>对应投标人须知条款号</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ascii="宋体" w:hAnsi="宋体"/>
                <w:color w:val="auto"/>
                <w:szCs w:val="21"/>
              </w:rPr>
            </w:pPr>
            <w:r>
              <w:rPr>
                <w:rFonts w:hint="eastAsia" w:ascii="宋体" w:hAnsi="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1</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1.2.1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eastAsia="宋体"/>
                <w:color w:val="auto"/>
                <w:szCs w:val="21"/>
                <w:lang w:eastAsia="zh-CN"/>
              </w:rPr>
            </w:pPr>
            <w:r>
              <w:rPr>
                <w:rFonts w:hint="eastAsia" w:ascii="宋体" w:hAnsi="宋体"/>
                <w:color w:val="auto"/>
                <w:szCs w:val="21"/>
                <w:lang w:eastAsia="zh-CN"/>
              </w:rPr>
              <w:t>采购人</w:t>
            </w:r>
            <w:r>
              <w:rPr>
                <w:rFonts w:hint="eastAsia" w:ascii="宋体" w:hAnsi="宋体"/>
                <w:color w:val="auto"/>
                <w:szCs w:val="21"/>
              </w:rPr>
              <w:t>：</w:t>
            </w:r>
            <w:r>
              <w:rPr>
                <w:rFonts w:hint="eastAsia" w:ascii="宋体" w:hAnsi="宋体"/>
                <w:color w:val="auto"/>
                <w:szCs w:val="21"/>
                <w:lang w:eastAsia="zh-CN"/>
              </w:rPr>
              <w:t>宁波市镇海区人民医院医疗集团</w:t>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地址：</w:t>
            </w:r>
            <w:r>
              <w:rPr>
                <w:rFonts w:hint="eastAsia" w:cs="Times New Roman"/>
                <w:sz w:val="21"/>
                <w:szCs w:val="21"/>
              </w:rPr>
              <w:t>浙江宁波市镇海区骆驼街道南二西路718号</w:t>
            </w:r>
          </w:p>
          <w:p>
            <w:pPr>
              <w:keepNext w:val="0"/>
              <w:keepLines w:val="0"/>
              <w:pageBreakBefore w:val="0"/>
              <w:kinsoku/>
              <w:overflowPunct/>
              <w:topLinePunct w:val="0"/>
              <w:bidi w:val="0"/>
              <w:adjustRightInd/>
              <w:spacing w:line="400" w:lineRule="exact"/>
              <w:rPr>
                <w:rFonts w:ascii="宋体" w:hAnsi="宋体"/>
                <w:color w:val="auto"/>
                <w:szCs w:val="21"/>
              </w:rPr>
            </w:pPr>
            <w:r>
              <w:rPr>
                <w:rFonts w:hint="eastAsia" w:ascii="宋体" w:hAnsi="宋体"/>
                <w:color w:val="auto"/>
                <w:szCs w:val="21"/>
              </w:rPr>
              <w:t>联系人：</w:t>
            </w:r>
            <w:r>
              <w:rPr>
                <w:rFonts w:hint="eastAsia" w:cs="Times New Roman"/>
                <w:sz w:val="21"/>
                <w:szCs w:val="21"/>
              </w:rPr>
              <w:t>龙华    联系电话：0574-866-55160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2</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1.2.2</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shd w:val="clear" w:color="auto" w:fill="FFFFFF"/>
              <w:kinsoku/>
              <w:overflowPunct/>
              <w:topLinePunct w:val="0"/>
              <w:bidi w:val="0"/>
              <w:adjustRightInd/>
              <w:spacing w:before="0" w:beforeAutospacing="0" w:after="0" w:afterAutospacing="0" w:line="400" w:lineRule="exact"/>
              <w:rPr>
                <w:rFonts w:hint="eastAsia" w:cs="Times New Roman"/>
                <w:sz w:val="21"/>
                <w:szCs w:val="21"/>
              </w:rPr>
            </w:pPr>
            <w:r>
              <w:rPr>
                <w:rFonts w:hint="eastAsia" w:cs="Times New Roman"/>
                <w:sz w:val="21"/>
                <w:szCs w:val="21"/>
              </w:rPr>
              <w:t>采购代理机构名称：浙江天诚工程咨询有限公司</w:t>
            </w:r>
          </w:p>
          <w:p>
            <w:pPr>
              <w:pStyle w:val="30"/>
              <w:keepNext w:val="0"/>
              <w:keepLines w:val="0"/>
              <w:pageBreakBefore w:val="0"/>
              <w:shd w:val="clear" w:color="auto" w:fill="FFFFFF"/>
              <w:kinsoku/>
              <w:overflowPunct/>
              <w:topLinePunct w:val="0"/>
              <w:bidi w:val="0"/>
              <w:adjustRightInd/>
              <w:spacing w:before="0" w:beforeAutospacing="0" w:after="0" w:afterAutospacing="0" w:line="400" w:lineRule="exact"/>
              <w:rPr>
                <w:rFonts w:hint="eastAsia" w:cs="Times New Roman"/>
                <w:sz w:val="21"/>
                <w:szCs w:val="21"/>
              </w:rPr>
            </w:pPr>
            <w:r>
              <w:rPr>
                <w:rFonts w:hint="eastAsia" w:cs="Times New Roman"/>
                <w:sz w:val="21"/>
                <w:szCs w:val="21"/>
              </w:rPr>
              <w:t>地址：宁波市鄞州区江南路599号科技大厦四楼</w:t>
            </w:r>
          </w:p>
          <w:p>
            <w:pPr>
              <w:pStyle w:val="30"/>
              <w:keepNext w:val="0"/>
              <w:keepLines w:val="0"/>
              <w:pageBreakBefore w:val="0"/>
              <w:shd w:val="clear" w:color="auto" w:fill="FFFFFF"/>
              <w:kinsoku/>
              <w:overflowPunct/>
              <w:topLinePunct w:val="0"/>
              <w:bidi w:val="0"/>
              <w:adjustRightInd/>
              <w:spacing w:before="0" w:beforeAutospacing="0" w:after="0" w:afterAutospacing="0" w:line="400" w:lineRule="exact"/>
              <w:rPr>
                <w:rFonts w:ascii="宋体" w:hAnsi="宋体"/>
                <w:color w:val="auto"/>
                <w:szCs w:val="21"/>
              </w:rPr>
            </w:pPr>
            <w:r>
              <w:rPr>
                <w:rFonts w:hint="eastAsia" w:cs="Times New Roman"/>
                <w:sz w:val="21"/>
                <w:szCs w:val="21"/>
              </w:rPr>
              <w:t xml:space="preserve">联系人：张燕平  联系方式：0574-87031582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3</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1.2.8</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发布媒体：</w:t>
            </w:r>
          </w:p>
          <w:p>
            <w:pPr>
              <w:keepNext w:val="0"/>
              <w:keepLines w:val="0"/>
              <w:pageBreakBefore w:val="0"/>
              <w:kinsoku/>
              <w:overflowPunct/>
              <w:topLinePunct w:val="0"/>
              <w:bidi w:val="0"/>
              <w:adjustRightInd/>
              <w:spacing w:line="400" w:lineRule="exact"/>
              <w:rPr>
                <w:rFonts w:ascii="宋体" w:hAnsi="宋体"/>
                <w:color w:val="auto"/>
                <w:szCs w:val="21"/>
              </w:rPr>
            </w:pPr>
            <w:r>
              <w:rPr>
                <w:rFonts w:hint="eastAsia" w:ascii="宋体" w:hAnsi="宋体"/>
                <w:color w:val="auto"/>
                <w:szCs w:val="21"/>
              </w:rPr>
              <w:t>浙江政府采购网</w:t>
            </w:r>
            <w:r>
              <w:rPr>
                <w:rFonts w:hint="eastAsia" w:ascii="宋体" w:hAnsi="宋体"/>
                <w:color w:val="auto"/>
                <w:szCs w:val="21"/>
                <w:lang w:val="en-US" w:eastAsia="zh-CN"/>
              </w:rPr>
              <w:t xml:space="preserve"> </w:t>
            </w:r>
            <w:r>
              <w:rPr>
                <w:rFonts w:ascii="宋体" w:hAnsi="宋体"/>
                <w:color w:val="auto"/>
                <w:szCs w:val="21"/>
              </w:rPr>
              <w:fldChar w:fldCharType="begin"/>
            </w:r>
            <w:r>
              <w:rPr>
                <w:rFonts w:ascii="宋体" w:hAnsi="宋体"/>
                <w:color w:val="auto"/>
                <w:szCs w:val="21"/>
              </w:rPr>
              <w:instrText xml:space="preserve"> HYPERLINK "http://</w:instrText>
            </w:r>
            <w:r>
              <w:rPr>
                <w:rFonts w:hint="eastAsia" w:ascii="宋体" w:hAnsi="宋体"/>
                <w:color w:val="auto"/>
                <w:szCs w:val="21"/>
              </w:rPr>
              <w:instrText xml:space="preserve">www.zjzfcg.gov.cn</w:instrText>
            </w:r>
            <w:r>
              <w:rPr>
                <w:rFonts w:ascii="宋体" w:hAnsi="宋体"/>
                <w:color w:val="auto"/>
                <w:szCs w:val="21"/>
              </w:rPr>
              <w:instrText xml:space="preserve">" </w:instrText>
            </w:r>
            <w:r>
              <w:rPr>
                <w:rFonts w:ascii="宋体" w:hAnsi="宋体"/>
                <w:color w:val="auto"/>
                <w:szCs w:val="21"/>
              </w:rPr>
              <w:fldChar w:fldCharType="separate"/>
            </w:r>
            <w:r>
              <w:rPr>
                <w:rStyle w:val="39"/>
                <w:rFonts w:hint="eastAsia" w:ascii="宋体" w:hAnsi="宋体"/>
                <w:color w:val="auto"/>
                <w:szCs w:val="21"/>
                <w:u w:val="none"/>
              </w:rPr>
              <w:t>www.zjzfcg.gov.cn</w:t>
            </w:r>
            <w:r>
              <w:rPr>
                <w:rFonts w:ascii="宋体" w:hAnsi="宋体"/>
                <w:color w:val="auto"/>
                <w:szCs w:val="21"/>
              </w:rPr>
              <w:fldChar w:fldCharType="end"/>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宁波市公共资源交易网镇海分网</w:t>
            </w:r>
            <w:r>
              <w:rPr>
                <w:rFonts w:hint="eastAsia" w:ascii="宋体" w:hAnsi="宋体"/>
                <w:color w:val="auto"/>
                <w:szCs w:val="21"/>
                <w:lang w:val="en-US" w:eastAsia="zh-CN"/>
              </w:rPr>
              <w:t xml:space="preserve"> </w:t>
            </w:r>
            <w:r>
              <w:rPr>
                <w:rFonts w:hint="eastAsia" w:ascii="宋体" w:hAnsi="宋体"/>
                <w:color w:val="auto"/>
                <w:szCs w:val="21"/>
              </w:rPr>
              <w:t>bidding.ningbo.gov.cn/zhenhai/</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4</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2.2</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eastAsia="宋体"/>
                <w:color w:val="auto"/>
                <w:szCs w:val="21"/>
                <w:u w:val="single"/>
                <w:lang w:val="en-US" w:eastAsia="zh-CN"/>
              </w:rPr>
            </w:pPr>
            <w:r>
              <w:rPr>
                <w:rFonts w:hint="eastAsia" w:ascii="宋体" w:hAnsi="宋体"/>
                <w:color w:val="auto"/>
                <w:szCs w:val="21"/>
              </w:rPr>
              <w:t>合格的投标货物来源：</w:t>
            </w:r>
            <w:r>
              <w:rPr>
                <w:rFonts w:hint="eastAsia" w:ascii="宋体" w:hAnsi="宋体"/>
                <w:color w:val="auto"/>
                <w:szCs w:val="21"/>
                <w:u w:val="single"/>
              </w:rPr>
              <w:t>国内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5</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3.4.1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现场考察或开标前答疑会：</w:t>
            </w:r>
            <w:r>
              <w:rPr>
                <w:rFonts w:hint="eastAsia" w:ascii="宋体" w:hAnsi="宋体"/>
                <w:iCs/>
                <w:color w:val="auto"/>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6</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4.3</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备选投标方案：</w:t>
            </w:r>
            <w:r>
              <w:rPr>
                <w:rFonts w:hint="eastAsia" w:ascii="宋体" w:hAnsi="宋体"/>
                <w:iCs/>
                <w:color w:val="auto"/>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7</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4.4</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采购预算金额：见招标</w:t>
            </w:r>
            <w:r>
              <w:rPr>
                <w:rFonts w:ascii="宋体" w:hAnsi="宋体"/>
                <w:color w:val="auto"/>
                <w:szCs w:val="21"/>
              </w:rPr>
              <w:t>公告</w:t>
            </w:r>
          </w:p>
          <w:p>
            <w:pPr>
              <w:keepNext w:val="0"/>
              <w:keepLines w:val="0"/>
              <w:pageBreakBefore w:val="0"/>
              <w:kinsoku/>
              <w:overflowPunct/>
              <w:topLinePunct w:val="0"/>
              <w:bidi w:val="0"/>
              <w:adjustRightInd/>
              <w:spacing w:line="400" w:lineRule="exact"/>
              <w:rPr>
                <w:rFonts w:hint="eastAsia" w:ascii="宋体" w:hAnsi="宋体"/>
                <w:color w:val="auto"/>
                <w:szCs w:val="21"/>
                <w:u w:val="single"/>
              </w:rPr>
            </w:pPr>
            <w:r>
              <w:rPr>
                <w:rFonts w:hint="eastAsia" w:ascii="宋体" w:hAnsi="宋体"/>
                <w:color w:val="auto"/>
                <w:szCs w:val="21"/>
              </w:rPr>
              <w:t>投标报价超过</w:t>
            </w:r>
            <w:r>
              <w:rPr>
                <w:rFonts w:hint="eastAsia" w:ascii="宋体" w:hAnsi="宋体"/>
                <w:color w:val="auto"/>
                <w:szCs w:val="21"/>
                <w:lang w:eastAsia="zh-CN"/>
              </w:rPr>
              <w:t>预算金额</w:t>
            </w:r>
            <w:r>
              <w:rPr>
                <w:rFonts w:hint="eastAsia" w:ascii="宋体" w:hAnsi="宋体"/>
                <w:color w:val="auto"/>
                <w:szCs w:val="21"/>
              </w:rPr>
              <w:t>的投标将作无效投标处理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8</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4.5</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投标报价：应当包含</w:t>
            </w:r>
            <w:r>
              <w:rPr>
                <w:rFonts w:hint="eastAsia" w:ascii="宋体" w:hAnsi="宋体"/>
                <w:color w:val="auto"/>
                <w:szCs w:val="21"/>
                <w:lang w:val="en-US" w:eastAsia="zh-CN"/>
              </w:rPr>
              <w:t>完成本项目</w:t>
            </w:r>
            <w:r>
              <w:rPr>
                <w:rFonts w:hint="eastAsia" w:ascii="宋体" w:hAnsi="宋体"/>
                <w:color w:val="auto"/>
                <w:szCs w:val="21"/>
              </w:rPr>
              <w:t>采购需求要求的一切费用。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9</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5.1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投标有效期：</w:t>
            </w:r>
            <w:r>
              <w:rPr>
                <w:rFonts w:hint="eastAsia" w:ascii="宋体" w:hAnsi="宋体"/>
                <w:color w:val="auto"/>
                <w:szCs w:val="21"/>
                <w:u w:val="single"/>
              </w:rPr>
              <w:t>90</w:t>
            </w:r>
            <w:r>
              <w:rPr>
                <w:rFonts w:hint="eastAsia" w:ascii="宋体" w:hAnsi="宋体"/>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10</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6.1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投标保证金金额：不适用（本项目所有涉及保证金内容的条款均不适用）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11</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7.1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lang w:val="en-US" w:eastAsia="zh-CN"/>
              </w:rPr>
            </w:pPr>
            <w:r>
              <w:rPr>
                <w:rFonts w:hint="eastAsia" w:ascii="宋体" w:hAnsi="宋体"/>
                <w:color w:val="auto"/>
                <w:szCs w:val="21"/>
              </w:rPr>
              <w:t>投标文件组成</w:t>
            </w:r>
            <w:r>
              <w:rPr>
                <w:rFonts w:hint="eastAsia" w:ascii="宋体" w:hAnsi="宋体"/>
                <w:color w:val="auto"/>
                <w:szCs w:val="21"/>
                <w:lang w:val="en-US" w:eastAsia="zh-CN"/>
              </w:rPr>
              <w:t>如下：</w:t>
            </w:r>
          </w:p>
          <w:p>
            <w:pPr>
              <w:keepNext w:val="0"/>
              <w:keepLines w:val="0"/>
              <w:pageBreakBefore w:val="0"/>
              <w:kinsoku/>
              <w:overflowPunct/>
              <w:topLinePunct w:val="0"/>
              <w:bidi w:val="0"/>
              <w:adjustRightInd/>
              <w:spacing w:line="400" w:lineRule="exact"/>
              <w:rPr>
                <w:rFonts w:hint="eastAsia" w:ascii="宋体" w:hAnsi="宋体"/>
                <w:b/>
                <w:bCs/>
                <w:color w:val="auto"/>
                <w:szCs w:val="21"/>
              </w:rPr>
            </w:pPr>
            <w:r>
              <w:rPr>
                <w:rFonts w:hint="eastAsia" w:ascii="宋体" w:hAnsi="宋体"/>
                <w:b/>
                <w:bCs/>
                <w:color w:val="auto"/>
                <w:szCs w:val="21"/>
                <w:lang w:val="en-US" w:eastAsia="zh-CN"/>
              </w:rPr>
              <w:t>1、</w:t>
            </w:r>
            <w:r>
              <w:rPr>
                <w:rFonts w:hint="eastAsia" w:ascii="宋体" w:hAnsi="宋体"/>
                <w:b/>
                <w:bCs/>
                <w:color w:val="auto"/>
                <w:szCs w:val="21"/>
                <w:lang w:eastAsia="zh-CN"/>
              </w:rPr>
              <w:t>资格文件</w:t>
            </w:r>
            <w:r>
              <w:rPr>
                <w:rFonts w:hint="eastAsia" w:ascii="宋体" w:hAnsi="宋体"/>
                <w:b/>
                <w:bCs/>
                <w:color w:val="auto"/>
                <w:szCs w:val="21"/>
              </w:rPr>
              <w:t>组成：</w:t>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（1）投标人资格声明函；</w:t>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（2）营业执照；</w:t>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）具备履行合同所需的设备和专业技术能力的声明函；</w:t>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）无重大违法记录声明函；</w:t>
            </w:r>
          </w:p>
          <w:p>
            <w:pPr>
              <w:keepNext w:val="0"/>
              <w:keepLines w:val="0"/>
              <w:pageBreakBefore w:val="0"/>
              <w:kinsoku/>
              <w:overflowPunct/>
              <w:topLinePunct w:val="0"/>
              <w:bidi w:val="0"/>
              <w:adjustRightInd/>
              <w:snapToGrid w:val="0"/>
              <w:spacing w:line="400" w:lineRule="exact"/>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w:t>
            </w:r>
            <w:r>
              <w:rPr>
                <w:rFonts w:hint="eastAsia" w:ascii="宋体" w:hAnsi="宋体"/>
                <w:color w:val="auto"/>
                <w:szCs w:val="21"/>
                <w:lang w:val="en-US" w:eastAsia="zh-CN"/>
              </w:rPr>
              <w:t>采购文件</w:t>
            </w:r>
            <w:r>
              <w:rPr>
                <w:rFonts w:hint="eastAsia" w:ascii="宋体" w:hAnsi="宋体"/>
                <w:color w:val="auto"/>
                <w:szCs w:val="21"/>
              </w:rPr>
              <w:t>要求提供的</w:t>
            </w:r>
            <w:r>
              <w:rPr>
                <w:rFonts w:hint="eastAsia" w:ascii="宋体" w:hAnsi="宋体"/>
                <w:color w:val="auto"/>
                <w:szCs w:val="21"/>
                <w:lang w:val="en-US" w:eastAsia="zh-CN"/>
              </w:rPr>
              <w:t>其他</w:t>
            </w:r>
            <w:r>
              <w:rPr>
                <w:rFonts w:hint="eastAsia" w:ascii="宋体" w:hAnsi="宋体"/>
                <w:color w:val="auto"/>
                <w:szCs w:val="21"/>
              </w:rPr>
              <w:t xml:space="preserve">资格证明材料； </w:t>
            </w:r>
          </w:p>
          <w:p>
            <w:pPr>
              <w:keepNext w:val="0"/>
              <w:keepLines w:val="0"/>
              <w:pageBreakBefore w:val="0"/>
              <w:kinsoku/>
              <w:overflowPunct/>
              <w:topLinePunct w:val="0"/>
              <w:bidi w:val="0"/>
              <w:adjustRightInd/>
              <w:snapToGrid w:val="0"/>
              <w:spacing w:line="400" w:lineRule="exact"/>
              <w:rPr>
                <w:rFonts w:hint="eastAsia" w:ascii="宋体" w:hAnsi="宋体"/>
                <w:b/>
                <w:bCs/>
                <w:color w:val="auto"/>
                <w:szCs w:val="21"/>
                <w:lang w:eastAsia="zh-CN"/>
              </w:rPr>
            </w:pPr>
            <w:r>
              <w:rPr>
                <w:rFonts w:hint="eastAsia" w:ascii="宋体" w:hAnsi="宋体"/>
                <w:b/>
                <w:bCs/>
                <w:color w:val="auto"/>
                <w:szCs w:val="21"/>
                <w:lang w:val="en-US" w:eastAsia="zh-CN"/>
              </w:rPr>
              <w:t>2、</w:t>
            </w:r>
            <w:r>
              <w:rPr>
                <w:rFonts w:hint="eastAsia" w:ascii="宋体" w:hAnsi="宋体"/>
                <w:b/>
                <w:bCs/>
                <w:color w:val="auto"/>
                <w:szCs w:val="21"/>
              </w:rPr>
              <w:t>技术商务</w:t>
            </w:r>
            <w:r>
              <w:rPr>
                <w:rFonts w:hint="eastAsia" w:ascii="宋体" w:hAnsi="宋体"/>
                <w:b/>
                <w:bCs/>
                <w:color w:val="auto"/>
                <w:szCs w:val="21"/>
                <w:lang w:eastAsia="zh-CN"/>
              </w:rPr>
              <w:t>文件组成</w:t>
            </w:r>
          </w:p>
          <w:p>
            <w:pPr>
              <w:keepNext w:val="0"/>
              <w:keepLines w:val="0"/>
              <w:pageBreakBefore w:val="0"/>
              <w:kinsoku/>
              <w:overflowPunct/>
              <w:topLinePunct w:val="0"/>
              <w:bidi w:val="0"/>
              <w:adjustRightInd/>
              <w:snapToGrid w:val="0"/>
              <w:spacing w:line="400" w:lineRule="exact"/>
              <w:jc w:val="left"/>
              <w:rPr>
                <w:rFonts w:hint="eastAsia" w:ascii="宋体" w:hAnsi="宋体" w:cs="宋体"/>
                <w:szCs w:val="21"/>
              </w:rPr>
            </w:pPr>
            <w:r>
              <w:rPr>
                <w:rFonts w:hint="eastAsia" w:ascii="宋体" w:hAnsi="宋体" w:cs="宋体"/>
                <w:szCs w:val="21"/>
              </w:rPr>
              <w:t>（1）评分标准对应页码（格式见附件）；</w:t>
            </w:r>
          </w:p>
          <w:p>
            <w:pPr>
              <w:keepNext w:val="0"/>
              <w:keepLines w:val="0"/>
              <w:pageBreakBefore w:val="0"/>
              <w:kinsoku/>
              <w:overflowPunct/>
              <w:topLinePunct w:val="0"/>
              <w:bidi w:val="0"/>
              <w:adjustRightInd/>
              <w:snapToGrid w:val="0"/>
              <w:spacing w:line="400" w:lineRule="exact"/>
              <w:jc w:val="left"/>
              <w:rPr>
                <w:rFonts w:hint="eastAsia" w:ascii="宋体" w:hAnsi="宋体" w:cs="宋体"/>
                <w:szCs w:val="21"/>
              </w:rPr>
            </w:pPr>
            <w:r>
              <w:rPr>
                <w:rFonts w:hint="eastAsia" w:ascii="宋体" w:hAnsi="宋体" w:cs="宋体"/>
                <w:szCs w:val="21"/>
              </w:rPr>
              <w:t>（2）投标函（格式见附件）；</w:t>
            </w:r>
          </w:p>
          <w:p>
            <w:pPr>
              <w:keepNext w:val="0"/>
              <w:keepLines w:val="0"/>
              <w:pageBreakBefore w:val="0"/>
              <w:kinsoku/>
              <w:overflowPunct/>
              <w:topLinePunct w:val="0"/>
              <w:bidi w:val="0"/>
              <w:adjustRightInd/>
              <w:snapToGrid w:val="0"/>
              <w:spacing w:line="400" w:lineRule="exact"/>
              <w:jc w:val="left"/>
              <w:rPr>
                <w:rFonts w:hint="eastAsia" w:ascii="宋体" w:hAnsi="宋体" w:cs="宋体"/>
                <w:szCs w:val="21"/>
              </w:rPr>
            </w:pPr>
            <w:r>
              <w:rPr>
                <w:rFonts w:hint="eastAsia" w:ascii="宋体" w:hAnsi="宋体" w:cs="宋体"/>
                <w:szCs w:val="21"/>
              </w:rPr>
              <w:t>（3）法定代表人的身份证明或法定代表人授权书（投标人的代表若为非法定代表人的，必须提交法定代表人授权书），并提供法定代表人和授权代表的身份证正反两面复印件（格式见附件）；</w:t>
            </w:r>
          </w:p>
          <w:p>
            <w:pPr>
              <w:keepNext w:val="0"/>
              <w:keepLines w:val="0"/>
              <w:pageBreakBefore w:val="0"/>
              <w:kinsoku/>
              <w:overflowPunct/>
              <w:topLinePunct w:val="0"/>
              <w:bidi w:val="0"/>
              <w:adjustRightInd/>
              <w:snapToGrid w:val="0"/>
              <w:spacing w:line="400" w:lineRule="exact"/>
              <w:jc w:val="left"/>
              <w:rPr>
                <w:rFonts w:hint="eastAsia" w:ascii="宋体" w:hAnsi="宋体" w:cs="宋体"/>
                <w:szCs w:val="21"/>
              </w:rPr>
            </w:pPr>
            <w:r>
              <w:rPr>
                <w:rFonts w:hint="eastAsia" w:ascii="宋体" w:hAnsi="宋体" w:cs="宋体"/>
                <w:szCs w:val="21"/>
              </w:rPr>
              <w:t>（4）投标人基本情况表（格式见附件） ；</w:t>
            </w:r>
          </w:p>
          <w:p>
            <w:pPr>
              <w:keepNext w:val="0"/>
              <w:keepLines w:val="0"/>
              <w:pageBreakBefore w:val="0"/>
              <w:kinsoku/>
              <w:overflowPunct/>
              <w:topLinePunct w:val="0"/>
              <w:bidi w:val="0"/>
              <w:adjustRightInd/>
              <w:snapToGrid w:val="0"/>
              <w:spacing w:line="400" w:lineRule="exact"/>
              <w:jc w:val="left"/>
              <w:rPr>
                <w:rFonts w:hint="eastAsia" w:ascii="宋体" w:hAnsi="宋体" w:cs="宋体"/>
                <w:szCs w:val="21"/>
              </w:rPr>
            </w:pPr>
            <w:r>
              <w:rPr>
                <w:rFonts w:hint="eastAsia" w:ascii="宋体" w:hAnsi="宋体" w:cs="宋体"/>
                <w:szCs w:val="21"/>
              </w:rPr>
              <w:t>（5）政府采购统计基础信息表（格式见附件） ；</w:t>
            </w:r>
          </w:p>
          <w:p>
            <w:pPr>
              <w:keepNext w:val="0"/>
              <w:keepLines w:val="0"/>
              <w:pageBreakBefore w:val="0"/>
              <w:kinsoku/>
              <w:overflowPunct/>
              <w:topLinePunct w:val="0"/>
              <w:bidi w:val="0"/>
              <w:adjustRightInd/>
              <w:snapToGrid w:val="0"/>
              <w:spacing w:line="400" w:lineRule="exact"/>
              <w:jc w:val="left"/>
              <w:rPr>
                <w:rFonts w:hint="eastAsia" w:ascii="宋体" w:hAnsi="宋体" w:cs="宋体"/>
                <w:szCs w:val="21"/>
              </w:rPr>
            </w:pPr>
            <w:r>
              <w:rPr>
                <w:rFonts w:hint="eastAsia" w:ascii="宋体" w:hAnsi="宋体" w:cs="宋体"/>
                <w:szCs w:val="21"/>
              </w:rPr>
              <w:t>（6）评分标准对应的投标人相关证书及荣誉（如有）等复印件（加盖公章；原件备查）；</w:t>
            </w:r>
          </w:p>
          <w:p>
            <w:pPr>
              <w:keepNext w:val="0"/>
              <w:keepLines w:val="0"/>
              <w:pageBreakBefore w:val="0"/>
              <w:kinsoku/>
              <w:overflowPunct/>
              <w:topLinePunct w:val="0"/>
              <w:bidi w:val="0"/>
              <w:adjustRightInd/>
              <w:snapToGrid w:val="0"/>
              <w:spacing w:line="400" w:lineRule="exact"/>
              <w:jc w:val="left"/>
              <w:rPr>
                <w:rFonts w:hint="eastAsia" w:ascii="宋体" w:hAnsi="宋体" w:cs="宋体"/>
                <w:szCs w:val="21"/>
              </w:rPr>
            </w:pPr>
            <w:r>
              <w:rPr>
                <w:rFonts w:hint="eastAsia" w:ascii="宋体" w:hAnsi="宋体" w:cs="宋体"/>
                <w:szCs w:val="21"/>
              </w:rPr>
              <w:t>（7）类似项目业绩表（格式见附件）；</w:t>
            </w:r>
          </w:p>
          <w:p>
            <w:pPr>
              <w:keepNext w:val="0"/>
              <w:keepLines w:val="0"/>
              <w:pageBreakBefore w:val="0"/>
              <w:kinsoku/>
              <w:overflowPunct/>
              <w:topLinePunct w:val="0"/>
              <w:bidi w:val="0"/>
              <w:adjustRightInd/>
              <w:snapToGrid w:val="0"/>
              <w:spacing w:line="400" w:lineRule="exact"/>
              <w:jc w:val="left"/>
              <w:rPr>
                <w:rFonts w:hint="eastAsia" w:ascii="宋体" w:hAnsi="宋体" w:cs="宋体"/>
                <w:szCs w:val="21"/>
              </w:rPr>
            </w:pPr>
            <w:r>
              <w:rPr>
                <w:rFonts w:hint="eastAsia" w:ascii="宋体" w:hAnsi="宋体" w:cs="宋体"/>
                <w:szCs w:val="21"/>
              </w:rPr>
              <w:t>（8）商务、服务条款偏离表（格式见附件）；</w:t>
            </w:r>
          </w:p>
          <w:p>
            <w:pPr>
              <w:keepNext w:val="0"/>
              <w:keepLines w:val="0"/>
              <w:pageBreakBefore w:val="0"/>
              <w:kinsoku/>
              <w:overflowPunct/>
              <w:topLinePunct w:val="0"/>
              <w:bidi w:val="0"/>
              <w:adjustRightInd/>
              <w:snapToGrid w:val="0"/>
              <w:spacing w:line="400" w:lineRule="exact"/>
              <w:jc w:val="left"/>
              <w:rPr>
                <w:rFonts w:hint="eastAsia" w:ascii="宋体" w:hAnsi="宋体" w:eastAsia="宋体" w:cs="宋体"/>
                <w:szCs w:val="21"/>
              </w:rPr>
            </w:pPr>
            <w:r>
              <w:rPr>
                <w:rFonts w:hint="eastAsia" w:ascii="宋体" w:hAnsi="宋体" w:cs="宋体"/>
                <w:szCs w:val="21"/>
              </w:rPr>
              <w:t>（9）服</w:t>
            </w:r>
            <w:r>
              <w:rPr>
                <w:rFonts w:hint="eastAsia" w:ascii="宋体" w:hAnsi="宋体" w:eastAsia="宋体" w:cs="宋体"/>
                <w:szCs w:val="21"/>
              </w:rPr>
              <w:t>务方案，具体方案内容与服务内容相对应，并结合评分标准相关内容；</w:t>
            </w:r>
          </w:p>
          <w:p>
            <w:pPr>
              <w:keepNext w:val="0"/>
              <w:keepLines w:val="0"/>
              <w:pageBreakBefore w:val="0"/>
              <w:kinsoku/>
              <w:overflowPunct/>
              <w:topLinePunct w:val="0"/>
              <w:bidi w:val="0"/>
              <w:adjustRightInd/>
              <w:snapToGrid w:val="0"/>
              <w:spacing w:line="400" w:lineRule="exact"/>
              <w:jc w:val="left"/>
              <w:rPr>
                <w:rFonts w:hint="eastAsia" w:ascii="宋体" w:hAnsi="宋体" w:eastAsia="宋体" w:cs="宋体"/>
                <w:szCs w:val="21"/>
              </w:rPr>
            </w:pPr>
            <w:r>
              <w:rPr>
                <w:rFonts w:hint="eastAsia" w:ascii="宋体" w:hAnsi="宋体" w:eastAsia="宋体" w:cs="宋体"/>
                <w:szCs w:val="21"/>
              </w:rPr>
              <w:t>（10）</w:t>
            </w:r>
            <w:r>
              <w:rPr>
                <w:rFonts w:hint="eastAsia" w:ascii="宋体" w:hAnsi="宋体" w:eastAsia="宋体" w:cs="宋体"/>
                <w:szCs w:val="21"/>
                <w:lang w:val="en-US" w:eastAsia="zh-CN"/>
              </w:rPr>
              <w:t>管理制度</w:t>
            </w:r>
            <w:r>
              <w:rPr>
                <w:rFonts w:hint="eastAsia" w:ascii="宋体" w:hAnsi="宋体" w:eastAsia="宋体" w:cs="宋体"/>
                <w:szCs w:val="21"/>
              </w:rPr>
              <w:t>，具体方案内容与服务内容相对应，并结合评分标准相关内容；</w:t>
            </w:r>
          </w:p>
          <w:p>
            <w:pPr>
              <w:keepNext w:val="0"/>
              <w:keepLines w:val="0"/>
              <w:pageBreakBefore w:val="0"/>
              <w:kinsoku/>
              <w:overflowPunct/>
              <w:topLinePunct w:val="0"/>
              <w:bidi w:val="0"/>
              <w:adjustRightInd/>
              <w:snapToGrid w:val="0"/>
              <w:spacing w:line="400" w:lineRule="exact"/>
              <w:jc w:val="left"/>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val="en-US" w:eastAsia="zh-CN"/>
              </w:rPr>
              <w:t>应急预</w:t>
            </w:r>
            <w:r>
              <w:rPr>
                <w:rFonts w:hint="eastAsia" w:ascii="宋体" w:hAnsi="宋体" w:eastAsia="宋体" w:cs="宋体"/>
                <w:szCs w:val="21"/>
              </w:rPr>
              <w:t>案等，具体方案内容与服务内容相对应，并结合评分标准相关内容；</w:t>
            </w:r>
          </w:p>
          <w:p>
            <w:pPr>
              <w:keepNext w:val="0"/>
              <w:keepLines w:val="0"/>
              <w:pageBreakBefore w:val="0"/>
              <w:kinsoku/>
              <w:overflowPunct/>
              <w:topLinePunct w:val="0"/>
              <w:bidi w:val="0"/>
              <w:adjustRightInd/>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rPr>
              <w:t>（11）</w:t>
            </w:r>
            <w:r>
              <w:rPr>
                <w:rFonts w:hint="eastAsia" w:ascii="宋体" w:hAnsi="宋体" w:eastAsia="宋体" w:cs="宋体"/>
                <w:szCs w:val="21"/>
                <w:lang w:val="en-US" w:eastAsia="zh-CN"/>
              </w:rPr>
              <w:t>人员、设备设施配置方案等，具体方案内容与服务内容相对应，并结合评分标准相关内容</w:t>
            </w:r>
          </w:p>
          <w:p>
            <w:pPr>
              <w:keepNext w:val="0"/>
              <w:keepLines w:val="0"/>
              <w:pageBreakBefore w:val="0"/>
              <w:kinsoku/>
              <w:overflowPunct/>
              <w:topLinePunct w:val="0"/>
              <w:bidi w:val="0"/>
              <w:adjustRightInd/>
              <w:snapToGrid w:val="0"/>
              <w:spacing w:line="400" w:lineRule="exact"/>
              <w:jc w:val="left"/>
              <w:rPr>
                <w:rFonts w:hint="default" w:ascii="宋体" w:hAnsi="宋体" w:eastAsia="宋体" w:cs="宋体"/>
                <w:szCs w:val="21"/>
                <w:lang w:val="en-US" w:eastAsia="zh-CN"/>
              </w:rPr>
            </w:pPr>
            <w:r>
              <w:rPr>
                <w:rFonts w:hint="eastAsia" w:ascii="宋体" w:hAnsi="宋体" w:eastAsia="宋体" w:cs="宋体"/>
                <w:szCs w:val="21"/>
                <w:lang w:val="en-US" w:eastAsia="zh-CN"/>
              </w:rPr>
              <w:t>（12）其他招标文件资格要求或评标办法中要求提供的相关证明资料及投标人认为有必要提交的资料。</w:t>
            </w:r>
          </w:p>
          <w:p>
            <w:pPr>
              <w:keepNext w:val="0"/>
              <w:keepLines w:val="0"/>
              <w:pageBreakBefore w:val="0"/>
              <w:kinsoku/>
              <w:overflowPunct/>
              <w:topLinePunct w:val="0"/>
              <w:bidi w:val="0"/>
              <w:adjustRightInd/>
              <w:snapToGrid w:val="0"/>
              <w:spacing w:line="400" w:lineRule="exact"/>
              <w:jc w:val="left"/>
              <w:rPr>
                <w:rFonts w:hint="eastAsia" w:ascii="宋体" w:hAnsi="宋体" w:eastAsia="宋体" w:cs="宋体"/>
                <w:szCs w:val="21"/>
                <w:lang w:val="en-US" w:eastAsia="zh-CN"/>
              </w:rPr>
            </w:pPr>
            <w:r>
              <w:rPr>
                <w:rFonts w:hint="eastAsia" w:ascii="宋体" w:hAnsi="宋体" w:eastAsia="宋体" w:cs="宋体"/>
                <w:b/>
                <w:bCs/>
                <w:szCs w:val="21"/>
                <w:lang w:val="en-US" w:eastAsia="zh-CN"/>
              </w:rPr>
              <w:t>3、报价文件组成</w:t>
            </w:r>
            <w:r>
              <w:rPr>
                <w:rFonts w:hint="eastAsia" w:ascii="宋体" w:hAnsi="宋体" w:eastAsia="宋体" w:cs="宋体"/>
                <w:szCs w:val="21"/>
                <w:lang w:val="en-US" w:eastAsia="zh-CN"/>
              </w:rPr>
              <w:t>：</w:t>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1</w:t>
            </w:r>
            <w:r>
              <w:rPr>
                <w:rFonts w:hint="eastAsia" w:ascii="宋体" w:hAnsi="宋体"/>
                <w:color w:val="auto"/>
                <w:szCs w:val="21"/>
              </w:rPr>
              <w:t>）投标函；</w:t>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）开标一览表；</w:t>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（3）投标价格明细表；</w:t>
            </w:r>
          </w:p>
          <w:p>
            <w:pPr>
              <w:keepNext w:val="0"/>
              <w:keepLines w:val="0"/>
              <w:pageBreakBefore w:val="0"/>
              <w:kinsoku/>
              <w:overflowPunct/>
              <w:topLinePunct w:val="0"/>
              <w:bidi w:val="0"/>
              <w:adjustRightInd/>
              <w:spacing w:line="400" w:lineRule="exact"/>
              <w:rPr>
                <w:rFonts w:hint="eastAsia" w:ascii="宋体" w:hAnsi="宋体"/>
                <w:b/>
                <w:bCs/>
                <w:color w:val="auto"/>
                <w:szCs w:val="21"/>
              </w:rPr>
            </w:pPr>
            <w:r>
              <w:rPr>
                <w:rFonts w:hint="eastAsia" w:ascii="宋体" w:hAnsi="宋体"/>
                <w:color w:val="auto"/>
                <w:szCs w:val="21"/>
              </w:rPr>
              <w:t>（4）</w:t>
            </w:r>
            <w:r>
              <w:rPr>
                <w:rFonts w:hint="eastAsia" w:ascii="宋体" w:hAnsi="宋体"/>
                <w:b/>
                <w:bCs/>
                <w:color w:val="auto"/>
                <w:szCs w:val="21"/>
              </w:rPr>
              <w:t>中小企业声明函（如是提供）；</w:t>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b/>
                <w:bCs/>
                <w:color w:val="auto"/>
                <w:szCs w:val="21"/>
              </w:rPr>
              <w:t>（5）残疾人福利性单位声明函（如是</w:t>
            </w:r>
            <w:r>
              <w:rPr>
                <w:rFonts w:hint="eastAsia" w:ascii="宋体" w:hAnsi="宋体"/>
                <w:color w:val="auto"/>
                <w:szCs w:val="21"/>
              </w:rPr>
              <w:t>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12</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7.3.1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本项目实行网上投标，供应商应准备以下投标文件：</w:t>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（1）上传到政府采购云平台的电子投标文件（含资格文件、技术商务文件、报价文件）1份。</w:t>
            </w:r>
          </w:p>
          <w:p>
            <w:pPr>
              <w:keepNext w:val="0"/>
              <w:keepLines w:val="0"/>
              <w:pageBreakBefore w:val="0"/>
              <w:kinsoku/>
              <w:overflowPunct/>
              <w:topLinePunct w:val="0"/>
              <w:bidi w:val="0"/>
              <w:adjustRightInd/>
              <w:spacing w:line="400" w:lineRule="exact"/>
              <w:rPr>
                <w:rFonts w:hint="eastAsia" w:ascii="宋体" w:hAnsi="宋体" w:eastAsia="宋体"/>
                <w:color w:val="auto"/>
                <w:szCs w:val="21"/>
                <w:lang w:eastAsia="zh-CN"/>
              </w:rPr>
            </w:pPr>
            <w:r>
              <w:rPr>
                <w:rFonts w:hint="eastAsia" w:ascii="宋体" w:hAnsi="宋体"/>
                <w:color w:val="auto"/>
                <w:szCs w:val="21"/>
              </w:rPr>
              <w:t>（2）以U盘或光盘存储的电子备份投标文件（含资格文件、技术文件商务、报价文件）1份。</w:t>
            </w:r>
          </w:p>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b/>
                <w:color w:val="auto"/>
                <w:szCs w:val="21"/>
              </w:rPr>
              <w:t>*（3）中标人中标后3个</w:t>
            </w:r>
            <w:r>
              <w:rPr>
                <w:rFonts w:ascii="宋体" w:hAnsi="宋体"/>
                <w:b/>
                <w:color w:val="auto"/>
                <w:szCs w:val="21"/>
              </w:rPr>
              <w:t>工作日内</w:t>
            </w:r>
            <w:r>
              <w:rPr>
                <w:rFonts w:hint="eastAsia" w:ascii="宋体" w:hAnsi="宋体"/>
                <w:b/>
                <w:color w:val="auto"/>
                <w:szCs w:val="21"/>
              </w:rPr>
              <w:t>须另行提供纸质投标文件：资格文件、技术</w:t>
            </w:r>
            <w:r>
              <w:rPr>
                <w:rFonts w:hint="eastAsia" w:ascii="宋体" w:hAnsi="宋体"/>
                <w:b/>
                <w:color w:val="auto"/>
                <w:szCs w:val="21"/>
                <w:lang w:eastAsia="zh-CN"/>
              </w:rPr>
              <w:t>商务文件和</w:t>
            </w:r>
            <w:r>
              <w:rPr>
                <w:rFonts w:hint="eastAsia" w:ascii="宋体" w:hAnsi="宋体"/>
                <w:b/>
                <w:color w:val="auto"/>
                <w:szCs w:val="21"/>
              </w:rPr>
              <w:t>报价文件（正本1份，副本</w:t>
            </w:r>
            <w:r>
              <w:rPr>
                <w:rFonts w:ascii="宋体" w:hAnsi="宋体"/>
                <w:b/>
                <w:color w:val="auto"/>
                <w:szCs w:val="21"/>
              </w:rPr>
              <w:t>2</w:t>
            </w:r>
            <w:r>
              <w:rPr>
                <w:rFonts w:hint="eastAsia" w:ascii="宋体" w:hAnsi="宋体"/>
                <w:b/>
                <w:color w:val="auto"/>
                <w:szCs w:val="21"/>
              </w:rPr>
              <w:t>份），纸质投标文件需与</w:t>
            </w:r>
            <w:r>
              <w:rPr>
                <w:rFonts w:ascii="宋体" w:hAnsi="宋体"/>
                <w:b/>
                <w:color w:val="auto"/>
                <w:szCs w:val="21"/>
              </w:rPr>
              <w:t>电子</w:t>
            </w:r>
            <w:r>
              <w:rPr>
                <w:rFonts w:hint="eastAsia" w:ascii="宋体" w:hAnsi="宋体"/>
                <w:b/>
                <w:color w:val="auto"/>
                <w:szCs w:val="21"/>
              </w:rPr>
              <w:t>投标</w:t>
            </w:r>
            <w:r>
              <w:rPr>
                <w:rFonts w:ascii="宋体" w:hAnsi="宋体"/>
                <w:b/>
                <w:color w:val="auto"/>
                <w:szCs w:val="21"/>
              </w:rPr>
              <w:t>文件一致</w:t>
            </w:r>
            <w:r>
              <w:rPr>
                <w:rFonts w:hint="eastAsia" w:ascii="宋体" w:hAnsi="宋体"/>
                <w:b/>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3</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7.5.1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default" w:ascii="宋体" w:hAnsi="宋体" w:eastAsia="宋体"/>
                <w:color w:val="auto"/>
                <w:szCs w:val="21"/>
                <w:u w:val="single"/>
                <w:lang w:val="en-US" w:eastAsia="zh-CN"/>
              </w:rPr>
            </w:pPr>
            <w:r>
              <w:rPr>
                <w:rFonts w:hint="eastAsia" w:ascii="宋体" w:hAnsi="宋体"/>
                <w:color w:val="auto"/>
                <w:szCs w:val="21"/>
              </w:rPr>
              <w:t>投标截止时间及地点：</w:t>
            </w:r>
            <w:r>
              <w:rPr>
                <w:rFonts w:hint="eastAsia" w:ascii="宋体" w:hAnsi="宋体"/>
                <w:color w:val="auto"/>
                <w:szCs w:val="21"/>
                <w:lang w:val="en-US"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4</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8.2.1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开标时间及地点：</w:t>
            </w:r>
            <w:r>
              <w:rPr>
                <w:rFonts w:hint="eastAsia" w:ascii="宋体" w:hAnsi="宋体"/>
                <w:color w:val="auto"/>
                <w:szCs w:val="21"/>
                <w:lang w:val="en-US"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5</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9.4.1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rPr>
                <w:rFonts w:hint="eastAsia" w:ascii="宋体" w:hAnsi="宋体"/>
                <w:color w:val="auto"/>
                <w:szCs w:val="21"/>
              </w:rPr>
            </w:pPr>
            <w:r>
              <w:rPr>
                <w:rFonts w:hint="eastAsia" w:ascii="宋体" w:hAnsi="宋体"/>
                <w:color w:val="auto"/>
                <w:szCs w:val="21"/>
              </w:rPr>
              <w:t>中标候选人数量：</w:t>
            </w:r>
            <w:r>
              <w:rPr>
                <w:rFonts w:hint="eastAsia" w:ascii="宋体" w:hAnsi="宋体"/>
                <w:color w:val="auto"/>
                <w:szCs w:val="21"/>
                <w:u w:val="single"/>
                <w:lang w:val="en-US" w:eastAsia="zh-CN"/>
              </w:rPr>
              <w:t>1</w:t>
            </w:r>
            <w:r>
              <w:rPr>
                <w:rFonts w:hint="eastAsia" w:ascii="宋体" w:hAnsi="宋体"/>
                <w:color w:val="auto"/>
                <w:szCs w:val="21"/>
                <w:u w:val="single"/>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6</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10.1.1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spacing w:line="400" w:lineRule="exact"/>
              <w:textAlignment w:val="bottom"/>
              <w:rPr>
                <w:rFonts w:hint="eastAsia" w:ascii="宋体" w:hAnsi="宋体"/>
                <w:color w:val="auto"/>
                <w:szCs w:val="21"/>
              </w:rPr>
            </w:pPr>
            <w:r>
              <w:rPr>
                <w:rFonts w:hint="eastAsia" w:ascii="宋体" w:hAnsi="宋体"/>
                <w:color w:val="auto"/>
                <w:szCs w:val="21"/>
              </w:rPr>
              <w:t>中标人确定：</w:t>
            </w:r>
            <w:r>
              <w:rPr>
                <w:rFonts w:hint="eastAsia" w:ascii="宋体" w:hAnsi="宋体"/>
                <w:iCs/>
                <w:color w:val="auto"/>
                <w:szCs w:val="21"/>
              </w:rPr>
              <w:t>采购人委托评标委员会直接确定中标人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7</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11.3.1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spacing w:line="400" w:lineRule="exact"/>
              <w:textAlignment w:val="bottom"/>
              <w:rPr>
                <w:rFonts w:hint="eastAsia" w:ascii="宋体" w:hAnsi="宋体"/>
                <w:color w:val="auto"/>
                <w:szCs w:val="21"/>
              </w:rPr>
            </w:pPr>
            <w:r>
              <w:rPr>
                <w:rFonts w:hint="eastAsia" w:ascii="宋体" w:hAnsi="宋体"/>
                <w:color w:val="auto"/>
                <w:szCs w:val="21"/>
              </w:rPr>
              <w:t>签订合同时间：中标通知书发出之日起</w:t>
            </w:r>
            <w:r>
              <w:rPr>
                <w:rFonts w:hint="eastAsia" w:ascii="宋体" w:hAnsi="宋体"/>
                <w:color w:val="auto"/>
                <w:szCs w:val="21"/>
                <w:u w:val="single"/>
              </w:rPr>
              <w:t>30</w:t>
            </w:r>
            <w:r>
              <w:rPr>
                <w:rFonts w:hint="eastAsia" w:ascii="宋体" w:hAnsi="宋体"/>
                <w:color w:val="auto"/>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18</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11.4.2</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adjustRightInd/>
              <w:spacing w:line="400" w:lineRule="exact"/>
              <w:rPr>
                <w:rFonts w:hint="eastAsia" w:ascii="宋体" w:hAnsi="宋体" w:eastAsia="宋体"/>
                <w:color w:val="auto"/>
                <w:szCs w:val="21"/>
                <w:lang w:val="en-US" w:eastAsia="zh-CN"/>
              </w:rPr>
            </w:pPr>
            <w:r>
              <w:rPr>
                <w:rFonts w:hint="eastAsia" w:ascii="宋体" w:hAnsi="宋体"/>
                <w:color w:val="auto"/>
                <w:szCs w:val="21"/>
              </w:rPr>
              <w:t>履约</w:t>
            </w:r>
            <w:r>
              <w:rPr>
                <w:rFonts w:ascii="宋体" w:hAnsi="宋体"/>
                <w:color w:val="auto"/>
                <w:szCs w:val="21"/>
              </w:rPr>
              <w:t>保证金：</w:t>
            </w:r>
            <w:r>
              <w:rPr>
                <w:rFonts w:hint="eastAsia" w:ascii="宋体" w:hAnsi="宋体"/>
                <w:color w:val="auto"/>
                <w:szCs w:val="21"/>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19</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adjustRightInd/>
              <w:spacing w:line="400" w:lineRule="exact"/>
              <w:jc w:val="center"/>
              <w:rPr>
                <w:rFonts w:hint="eastAsia" w:ascii="宋体" w:hAnsi="宋体"/>
                <w:color w:val="auto"/>
                <w:szCs w:val="21"/>
              </w:rPr>
            </w:pPr>
            <w:r>
              <w:rPr>
                <w:rFonts w:hint="eastAsia" w:ascii="宋体" w:hAnsi="宋体"/>
                <w:color w:val="auto"/>
                <w:szCs w:val="21"/>
              </w:rPr>
              <w:t>12.1</w:t>
            </w:r>
          </w:p>
        </w:tc>
        <w:tc>
          <w:tcPr>
            <w:tcW w:w="7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overflowPunct/>
              <w:topLinePunct w:val="0"/>
              <w:autoSpaceDE w:val="0"/>
              <w:autoSpaceDN w:val="0"/>
              <w:bidi w:val="0"/>
              <w:adjustRightInd/>
              <w:spacing w:line="400" w:lineRule="exact"/>
              <w:textAlignment w:val="bottom"/>
              <w:rPr>
                <w:rFonts w:hint="eastAsia" w:ascii="宋体" w:hAnsi="宋体"/>
                <w:color w:val="auto"/>
                <w:szCs w:val="21"/>
              </w:rPr>
            </w:pPr>
            <w:r>
              <w:rPr>
                <w:rFonts w:hint="eastAsia" w:ascii="Times New Roman" w:hAnsi="Times New Roman" w:eastAsia="宋体" w:cs="Times New Roman"/>
                <w:szCs w:val="21"/>
                <w:lang w:val="en-US" w:eastAsia="zh-CN"/>
              </w:rPr>
              <w:t>1、</w:t>
            </w:r>
            <w:r>
              <w:rPr>
                <w:rFonts w:hint="eastAsia" w:ascii="Times New Roman" w:hAnsi="Times New Roman" w:eastAsia="宋体" w:cs="Times New Roman"/>
                <w:szCs w:val="21"/>
              </w:rPr>
              <w:t>招标代理机构将参</w:t>
            </w:r>
            <w:r>
              <w:rPr>
                <w:rFonts w:hint="eastAsia" w:ascii="Times New Roman" w:hAnsi="Times New Roman" w:eastAsia="宋体" w:cs="Times New Roman"/>
                <w:szCs w:val="21"/>
                <w:lang w:val="en-US" w:eastAsia="zh-CN"/>
              </w:rPr>
              <w:t>照</w:t>
            </w:r>
            <w:r>
              <w:rPr>
                <w:rFonts w:hint="eastAsia" w:ascii="Times New Roman" w:hAnsi="Times New Roman" w:eastAsia="宋体" w:cs="Times New Roman"/>
                <w:szCs w:val="21"/>
              </w:rPr>
              <w:t>国家发改委发改办价格[2003]857号通知和国家计委计价格[2002]1980号文件规定</w:t>
            </w:r>
            <w:r>
              <w:rPr>
                <w:rFonts w:hint="eastAsia" w:ascii="Times New Roman" w:hAnsi="Times New Roman" w:eastAsia="宋体" w:cs="Times New Roman"/>
                <w:b/>
                <w:bCs/>
                <w:szCs w:val="21"/>
                <w:lang w:val="en-US" w:eastAsia="zh-CN"/>
              </w:rPr>
              <w:t>服务</w:t>
            </w:r>
            <w:r>
              <w:rPr>
                <w:rFonts w:hint="eastAsia" w:ascii="Times New Roman" w:hAnsi="Times New Roman" w:eastAsia="宋体" w:cs="Times New Roman"/>
                <w:b/>
                <w:bCs/>
                <w:szCs w:val="21"/>
              </w:rPr>
              <w:t>招标</w:t>
            </w:r>
            <w:r>
              <w:rPr>
                <w:rFonts w:hint="eastAsia" w:ascii="Times New Roman" w:hAnsi="Times New Roman" w:eastAsia="宋体" w:cs="Times New Roman"/>
                <w:b/>
                <w:bCs/>
                <w:szCs w:val="21"/>
                <w:lang w:val="en-US" w:eastAsia="zh-CN"/>
              </w:rPr>
              <w:t>收费</w:t>
            </w:r>
            <w:r>
              <w:rPr>
                <w:rFonts w:hint="eastAsia" w:ascii="Times New Roman" w:hAnsi="Times New Roman" w:eastAsia="宋体" w:cs="Times New Roman"/>
                <w:b/>
                <w:bCs/>
                <w:szCs w:val="21"/>
              </w:rPr>
              <w:t>标准</w:t>
            </w:r>
            <w:r>
              <w:rPr>
                <w:rFonts w:hint="eastAsia" w:ascii="Times New Roman" w:hAnsi="Times New Roman" w:eastAsia="宋体" w:cs="Times New Roman"/>
                <w:b/>
                <w:bCs/>
                <w:szCs w:val="21"/>
                <w:lang w:val="en-US" w:eastAsia="zh-CN"/>
              </w:rPr>
              <w:t>的80</w:t>
            </w:r>
            <w:r>
              <w:rPr>
                <w:rFonts w:hint="eastAsia" w:ascii="Times New Roman" w:hAnsi="Times New Roman" w:eastAsia="宋体" w:cs="Times New Roman"/>
                <w:b/>
                <w:bCs/>
                <w:szCs w:val="21"/>
              </w:rPr>
              <w:t>%</w:t>
            </w:r>
            <w:r>
              <w:rPr>
                <w:rFonts w:hint="eastAsia" w:ascii="Times New Roman" w:hAnsi="Times New Roman" w:eastAsia="宋体" w:cs="Times New Roman"/>
                <w:b/>
                <w:bCs/>
                <w:szCs w:val="21"/>
                <w:lang w:val="en-US" w:eastAsia="zh-CN"/>
              </w:rPr>
              <w:t>并结合中标总金额</w:t>
            </w:r>
            <w:r>
              <w:rPr>
                <w:rFonts w:hint="eastAsia" w:ascii="Times New Roman" w:hAnsi="Times New Roman" w:eastAsia="宋体" w:cs="Times New Roman"/>
                <w:szCs w:val="21"/>
              </w:rPr>
              <w:t>向成交供应商（成交人）收取采购代理服务费</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少于6000元按6000元收取</w:t>
            </w:r>
            <w:r>
              <w:rPr>
                <w:rFonts w:hint="eastAsia" w:ascii="Times New Roman" w:hAnsi="Times New Roman" w:eastAsia="宋体" w:cs="Times New Roman"/>
                <w:szCs w:val="21"/>
                <w:lang w:eastAsia="zh-CN"/>
              </w:rPr>
              <w:t>）</w:t>
            </w:r>
            <w:r>
              <w:rPr>
                <w:rFonts w:hint="eastAsia" w:ascii="宋体" w:hAnsi="宋体"/>
                <w:color w:val="auto"/>
                <w:szCs w:val="21"/>
              </w:rPr>
              <w:t>费。</w:t>
            </w:r>
          </w:p>
          <w:p>
            <w:pPr>
              <w:keepNext w:val="0"/>
              <w:keepLines w:val="0"/>
              <w:pageBreakBefore w:val="0"/>
              <w:kinsoku/>
              <w:overflowPunct/>
              <w:topLinePunct w:val="0"/>
              <w:autoSpaceDE w:val="0"/>
              <w:autoSpaceDN w:val="0"/>
              <w:bidi w:val="0"/>
              <w:adjustRightInd/>
              <w:spacing w:line="400" w:lineRule="exact"/>
              <w:textAlignment w:val="bottom"/>
              <w:rPr>
                <w:rFonts w:hint="eastAsia"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、中标人应当在采购代理机构发出中标通知书5个工作日内支付招标代理服务费。</w:t>
            </w:r>
          </w:p>
          <w:p>
            <w:pPr>
              <w:keepNext w:val="0"/>
              <w:keepLines w:val="0"/>
              <w:pageBreakBefore w:val="0"/>
              <w:kinsoku/>
              <w:overflowPunct/>
              <w:topLinePunct w:val="0"/>
              <w:autoSpaceDE w:val="0"/>
              <w:autoSpaceDN w:val="0"/>
              <w:bidi w:val="0"/>
              <w:adjustRightInd/>
              <w:spacing w:line="400" w:lineRule="exact"/>
              <w:textAlignment w:val="bottom"/>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、招标代理服务费只收现金、银行票汇款、电汇款。</w:t>
            </w:r>
          </w:p>
        </w:tc>
      </w:tr>
    </w:tbl>
    <w:p>
      <w:pPr>
        <w:pStyle w:val="18"/>
        <w:keepNext w:val="0"/>
        <w:keepLines w:val="0"/>
        <w:pageBreakBefore w:val="0"/>
        <w:widowControl w:val="0"/>
        <w:kinsoku/>
        <w:wordWrap/>
        <w:overflowPunct/>
        <w:topLinePunct w:val="0"/>
        <w:autoSpaceDE/>
        <w:autoSpaceDN/>
        <w:bidi w:val="0"/>
        <w:adjustRightInd/>
        <w:snapToGrid w:val="0"/>
        <w:spacing w:before="120" w:after="120" w:line="400" w:lineRule="exact"/>
        <w:jc w:val="center"/>
        <w:textAlignment w:val="auto"/>
        <w:rPr>
          <w:rFonts w:hint="eastAsia" w:hAnsi="宋体"/>
          <w:b/>
          <w:color w:val="auto"/>
          <w:sz w:val="30"/>
          <w:szCs w:val="30"/>
        </w:rPr>
      </w:pPr>
      <w:r>
        <w:rPr>
          <w:rFonts w:hAnsi="宋体"/>
          <w:b/>
          <w:color w:val="auto"/>
          <w:sz w:val="30"/>
          <w:szCs w:val="30"/>
        </w:rPr>
        <w:br w:type="page"/>
      </w:r>
      <w:r>
        <w:rPr>
          <w:rFonts w:hint="eastAsia" w:hAnsi="宋体"/>
          <w:b/>
          <w:color w:val="auto"/>
          <w:sz w:val="30"/>
          <w:szCs w:val="30"/>
        </w:rPr>
        <w:t>投标人须知正文</w:t>
      </w:r>
    </w:p>
    <w:p>
      <w:pPr>
        <w:pStyle w:val="18"/>
        <w:keepNext w:val="0"/>
        <w:keepLines w:val="0"/>
        <w:pageBreakBefore w:val="0"/>
        <w:widowControl w:val="0"/>
        <w:kinsoku/>
        <w:wordWrap/>
        <w:overflowPunct/>
        <w:topLinePunct w:val="0"/>
        <w:autoSpaceDE/>
        <w:autoSpaceDN/>
        <w:bidi w:val="0"/>
        <w:adjustRightInd/>
        <w:snapToGrid w:val="0"/>
        <w:spacing w:before="120" w:after="120" w:line="400" w:lineRule="exact"/>
        <w:textAlignment w:val="auto"/>
        <w:rPr>
          <w:rFonts w:hint="eastAsia" w:hAnsi="宋体"/>
          <w:b/>
          <w:color w:val="auto"/>
        </w:rPr>
      </w:pPr>
      <w:r>
        <w:rPr>
          <w:rFonts w:hint="eastAsia" w:hAnsi="宋体"/>
          <w:b/>
          <w:color w:val="auto"/>
        </w:rPr>
        <w:t>一、总  则</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1.1适用范围</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本采购文件适用于本次采购项目的招标、投标、评标、定标、验收、合同履约、付款等行为（法律、法规另有规定的，从其规定）。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1.2定义</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1.2.1采购人：见前附表</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eastAsia="宋体"/>
          <w:color w:val="auto"/>
          <w:szCs w:val="21"/>
          <w:lang w:eastAsia="zh-CN"/>
        </w:rPr>
      </w:pPr>
      <w:r>
        <w:rPr>
          <w:rFonts w:hint="eastAsia" w:ascii="宋体"/>
          <w:color w:val="auto"/>
          <w:szCs w:val="21"/>
        </w:rPr>
        <w:t>1.2.2 采购代理机构：</w:t>
      </w:r>
      <w:r>
        <w:rPr>
          <w:rFonts w:hint="eastAsia" w:ascii="宋体"/>
          <w:color w:val="auto"/>
          <w:szCs w:val="21"/>
          <w:lang w:eastAsia="zh-CN"/>
        </w:rPr>
        <w:t>浙江天诚工程咨询有限公司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1.2.3 投标人、供应商：均指向招标方提交投标文件的法人、其他组织或者自然人。</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1.2.4货物：系指供应商按照采购文件规定，须向采购人提供的一切设备、保险、税金、备品备件、工具、手册及其它有关技术资料和材料。</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1.2.5服务：系指供应商按照采购文件规定，须承担的安装、调试、技术协助、校准、培训、技术指导以及其他类似的义务。</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1.2.6“书面形式”包括信函、传真、电报等。</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1.2.7采购文件中标注有“*”号的条款为“实质性要求”条款，投标文件对这些条款的任何负偏离将视为没有对采购文件的实质性要求做出响应，将被认定为无效投标。</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1.2.8发布媒体：本项目采购信息公开发布的媒体，具体见前附表。本项目所有采购信息在指定媒体发布后，</w:t>
      </w:r>
      <w:r>
        <w:rPr>
          <w:rFonts w:ascii="宋体"/>
          <w:color w:val="auto"/>
          <w:szCs w:val="21"/>
        </w:rPr>
        <w:t>视同送达所有</w:t>
      </w:r>
      <w:r>
        <w:rPr>
          <w:rFonts w:hint="eastAsia" w:ascii="宋体"/>
          <w:color w:val="auto"/>
          <w:szCs w:val="21"/>
        </w:rPr>
        <w:t>供应商</w:t>
      </w:r>
      <w:r>
        <w:rPr>
          <w:rFonts w:ascii="宋体"/>
          <w:color w:val="auto"/>
          <w:szCs w:val="21"/>
        </w:rPr>
        <w:t>。</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b/>
          <w:color w:val="auto"/>
          <w:sz w:val="24"/>
        </w:rPr>
      </w:pPr>
      <w:r>
        <w:rPr>
          <w:rFonts w:hint="eastAsia" w:ascii="宋体"/>
          <w:b/>
          <w:color w:val="auto"/>
          <w:sz w:val="24"/>
        </w:rPr>
        <w:t>二、投标、投标货物</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b/>
          <w:color w:val="auto"/>
          <w:szCs w:val="21"/>
        </w:rPr>
        <w:t>2.1合格的投标人：</w:t>
      </w:r>
      <w:r>
        <w:rPr>
          <w:rFonts w:hint="eastAsia" w:ascii="宋体"/>
          <w:color w:val="auto"/>
          <w:szCs w:val="21"/>
        </w:rPr>
        <w:t>指符合采购公告供应商资格要求的投标人。</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2.1.1 法人的分支机构由于其</w:t>
      </w:r>
      <w:r>
        <w:rPr>
          <w:rFonts w:ascii="宋体"/>
          <w:color w:val="auto"/>
          <w:szCs w:val="21"/>
        </w:rPr>
        <w:t>不能独立承担民事责任</w:t>
      </w:r>
      <w:r>
        <w:rPr>
          <w:rFonts w:hint="eastAsia" w:ascii="宋体"/>
          <w:color w:val="auto"/>
          <w:szCs w:val="21"/>
        </w:rPr>
        <w:t>，</w:t>
      </w:r>
      <w:r>
        <w:rPr>
          <w:rFonts w:ascii="宋体"/>
          <w:color w:val="auto"/>
          <w:szCs w:val="21"/>
        </w:rPr>
        <w:t>不能以分支机构的身份参加政府采购，只能</w:t>
      </w:r>
      <w:r>
        <w:rPr>
          <w:rFonts w:hint="eastAsia" w:ascii="宋体"/>
          <w:color w:val="auto"/>
          <w:szCs w:val="21"/>
        </w:rPr>
        <w:t>以</w:t>
      </w:r>
      <w:r>
        <w:rPr>
          <w:rFonts w:ascii="宋体"/>
          <w:color w:val="auto"/>
          <w:szCs w:val="21"/>
        </w:rPr>
        <w:t>法人身份参加。</w:t>
      </w:r>
      <w:r>
        <w:rPr>
          <w:rFonts w:hint="eastAsia" w:ascii="宋体"/>
          <w:color w:val="auto"/>
          <w:szCs w:val="21"/>
        </w:rPr>
        <w:t>分公司为法人的分支机构，以分公司名义参与投标的为无效投标，但</w:t>
      </w:r>
      <w:r>
        <w:rPr>
          <w:rFonts w:ascii="宋体"/>
          <w:color w:val="auto"/>
          <w:szCs w:val="21"/>
        </w:rPr>
        <w:t>银行、保险、石油石化、电力、电信等特殊行业</w:t>
      </w:r>
      <w:r>
        <w:rPr>
          <w:rFonts w:hint="eastAsia" w:ascii="宋体"/>
          <w:color w:val="auto"/>
          <w:szCs w:val="21"/>
        </w:rPr>
        <w:t>除</w:t>
      </w:r>
      <w:r>
        <w:rPr>
          <w:rFonts w:ascii="宋体"/>
          <w:color w:val="auto"/>
          <w:szCs w:val="21"/>
        </w:rPr>
        <w:t xml:space="preserve">外。 </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2.1.2自然人仅指中国公民。</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2.1.3投标人名称：投标文件投标人名称、采购文件购买人名称应当一致。</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b/>
          <w:color w:val="auto"/>
          <w:szCs w:val="21"/>
        </w:rPr>
        <w:t>2.2合格的投标货物来源：</w:t>
      </w:r>
      <w:r>
        <w:rPr>
          <w:rFonts w:hint="eastAsia" w:ascii="宋体"/>
          <w:color w:val="auto"/>
          <w:szCs w:val="21"/>
        </w:rPr>
        <w:t>见前附表。卖方应保护买方在使用该货物或其任何一部分时不受第三方提出侵犯专利权、商标权或工业设计权等知识产权的指控。如果任何第三方提出侵权指控，卖方须与第三方交涉并承担可能发生的一切法律责任和费用。</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color w:val="auto"/>
          <w:szCs w:val="21"/>
        </w:rPr>
      </w:pPr>
      <w:r>
        <w:rPr>
          <w:rFonts w:hint="eastAsia" w:ascii="宋体"/>
          <w:b/>
          <w:color w:val="auto"/>
          <w:szCs w:val="21"/>
        </w:rPr>
        <w:t>2.3投标人代表</w:t>
      </w:r>
    </w:p>
    <w:p>
      <w:pPr>
        <w:keepNext w:val="0"/>
        <w:keepLines w:val="0"/>
        <w:pageBreakBefore w:val="0"/>
        <w:widowControl w:val="0"/>
        <w:kinsoku/>
        <w:wordWrap/>
        <w:overflowPunct/>
        <w:topLinePunct w:val="0"/>
        <w:autoSpaceDE/>
        <w:autoSpaceDN/>
        <w:bidi w:val="0"/>
        <w:adjustRightInd/>
        <w:spacing w:line="400" w:lineRule="exact"/>
        <w:ind w:left="206" w:hanging="206"/>
        <w:textAlignment w:val="auto"/>
        <w:rPr>
          <w:rFonts w:hint="eastAsia" w:ascii="宋体" w:hAnsi="宋体"/>
          <w:color w:val="auto"/>
          <w:szCs w:val="21"/>
        </w:rPr>
      </w:pPr>
      <w:r>
        <w:rPr>
          <w:rFonts w:hint="eastAsia" w:ascii="宋体"/>
          <w:color w:val="auto"/>
          <w:szCs w:val="21"/>
        </w:rPr>
        <w:t>2.3.1若投标人代表不是法定代表人，投标文件须提供</w:t>
      </w:r>
      <w:r>
        <w:rPr>
          <w:rFonts w:ascii="宋体" w:hAnsi="宋体"/>
          <w:color w:val="auto"/>
          <w:szCs w:val="21"/>
        </w:rPr>
        <w:t>《</w:t>
      </w:r>
      <w:r>
        <w:rPr>
          <w:rFonts w:hint="eastAsia" w:ascii="宋体" w:hAnsi="宋体"/>
          <w:color w:val="auto"/>
          <w:szCs w:val="21"/>
        </w:rPr>
        <w:t>法定代表人授权委托书</w:t>
      </w:r>
      <w:r>
        <w:rPr>
          <w:rFonts w:ascii="宋体" w:hAnsi="宋体"/>
          <w:color w:val="auto"/>
          <w:szCs w:val="21"/>
        </w:rPr>
        <w:t>》</w:t>
      </w:r>
      <w:r>
        <w:rPr>
          <w:rFonts w:hint="eastAsia" w:ascii="宋体" w:hAnsi="宋体"/>
          <w:color w:val="auto"/>
          <w:szCs w:val="21"/>
        </w:rPr>
        <w:t>[格式见第六章]，或《组织授权书》（适用非法人的其它组织，格式参照《法定代表人授权委托书》）；</w:t>
      </w:r>
    </w:p>
    <w:p>
      <w:pPr>
        <w:keepNext w:val="0"/>
        <w:keepLines w:val="0"/>
        <w:pageBreakBefore w:val="0"/>
        <w:widowControl w:val="0"/>
        <w:kinsoku/>
        <w:wordWrap/>
        <w:overflowPunct/>
        <w:topLinePunct w:val="0"/>
        <w:autoSpaceDE/>
        <w:autoSpaceDN/>
        <w:bidi w:val="0"/>
        <w:adjustRightInd/>
        <w:spacing w:line="400" w:lineRule="exact"/>
        <w:ind w:left="206" w:hanging="206"/>
        <w:textAlignment w:val="auto"/>
        <w:rPr>
          <w:rFonts w:hint="eastAsia" w:ascii="宋体"/>
          <w:color w:val="auto"/>
          <w:szCs w:val="21"/>
        </w:rPr>
      </w:pPr>
      <w:r>
        <w:rPr>
          <w:rFonts w:hint="eastAsia" w:ascii="宋体"/>
          <w:color w:val="auto"/>
          <w:szCs w:val="21"/>
        </w:rPr>
        <w:t>2.3.2若投标人代表是法定代表人，</w:t>
      </w:r>
      <w:r>
        <w:rPr>
          <w:rFonts w:hint="eastAsia" w:ascii="宋体" w:hAnsi="宋体"/>
          <w:color w:val="auto"/>
          <w:szCs w:val="21"/>
        </w:rPr>
        <w:t>投标文件无须提供</w:t>
      </w:r>
      <w:r>
        <w:rPr>
          <w:rFonts w:ascii="宋体" w:hAnsi="宋体"/>
          <w:color w:val="auto"/>
          <w:szCs w:val="21"/>
        </w:rPr>
        <w:t>《</w:t>
      </w:r>
      <w:r>
        <w:rPr>
          <w:rFonts w:hint="eastAsia" w:ascii="宋体" w:hAnsi="宋体"/>
          <w:color w:val="auto"/>
          <w:szCs w:val="21"/>
        </w:rPr>
        <w:t>法定代表人授权委托书</w:t>
      </w:r>
      <w:r>
        <w:rPr>
          <w:rFonts w:ascii="宋体" w:hAnsi="宋体"/>
          <w:color w:val="auto"/>
          <w:szCs w:val="21"/>
        </w:rPr>
        <w:t>》</w:t>
      </w:r>
      <w:r>
        <w:rPr>
          <w:rFonts w:hint="eastAsia" w:ascii="宋体" w:hAnsi="宋体"/>
          <w:color w:val="auto"/>
          <w:szCs w:val="21"/>
        </w:rPr>
        <w:t>，但须提供与营业执照相符合的法定代表人身份证明。</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b/>
          <w:color w:val="auto"/>
          <w:szCs w:val="21"/>
        </w:rPr>
      </w:pPr>
      <w:r>
        <w:rPr>
          <w:rFonts w:hint="eastAsia" w:ascii="宋体"/>
          <w:color w:val="auto"/>
          <w:szCs w:val="21"/>
        </w:rPr>
        <w:t>2.4</w:t>
      </w:r>
      <w:r>
        <w:rPr>
          <w:rFonts w:hint="eastAsia" w:ascii="宋体"/>
          <w:b/>
          <w:color w:val="auto"/>
          <w:szCs w:val="21"/>
        </w:rPr>
        <w:t>投标费用：</w:t>
      </w:r>
      <w:r>
        <w:rPr>
          <w:rFonts w:hint="eastAsia" w:ascii="宋体"/>
          <w:color w:val="auto"/>
          <w:szCs w:val="21"/>
        </w:rPr>
        <w:t>不论招标的结果如何，投标人自行承担其参加本次投标有关的全部费用和风险。</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b/>
          <w:bCs/>
          <w:color w:val="auto"/>
          <w:sz w:val="24"/>
        </w:rPr>
      </w:pPr>
      <w:r>
        <w:rPr>
          <w:rFonts w:hint="eastAsia" w:ascii="宋体"/>
          <w:b/>
          <w:bCs/>
          <w:color w:val="auto"/>
          <w:sz w:val="24"/>
        </w:rPr>
        <w:t>三、采购文件</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3.1采购文件的组成</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1.采购公告</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2.采购需求</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3.投标人须知</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4.评标方法及评标标准</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5.合同文本</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6.投标文件格式</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b/>
          <w:color w:val="auto"/>
          <w:szCs w:val="21"/>
        </w:rPr>
      </w:pPr>
      <w:r>
        <w:rPr>
          <w:rFonts w:hint="eastAsia" w:ascii="宋体"/>
          <w:b/>
          <w:color w:val="auto"/>
          <w:szCs w:val="21"/>
        </w:rPr>
        <w:t>3.2采购文件的依法获取：见采购公告</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b/>
          <w:color w:val="auto"/>
          <w:szCs w:val="21"/>
        </w:rPr>
        <w:t>3.3采购文件的澄清和修改：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Times New Roman" w:eastAsia="宋体" w:cs="Times New Roman"/>
          <w:color w:val="auto"/>
          <w:szCs w:val="21"/>
        </w:rPr>
      </w:pPr>
      <w:r>
        <w:rPr>
          <w:rFonts w:hint="eastAsia" w:ascii="宋体" w:hAnsi="Times New Roman" w:eastAsia="宋体" w:cs="Times New Roman"/>
          <w:color w:val="auto"/>
          <w:szCs w:val="21"/>
          <w:lang w:val="en-US" w:eastAsia="zh-CN"/>
        </w:rPr>
        <w:t>3.3.1</w:t>
      </w:r>
      <w:r>
        <w:rPr>
          <w:rFonts w:hint="eastAsia" w:ascii="宋体" w:hAnsi="Times New Roman" w:eastAsia="宋体" w:cs="Times New Roman"/>
          <w:color w:val="auto"/>
          <w:szCs w:val="21"/>
        </w:rPr>
        <w:t>采购人或者采购代理机构对采购文件进行必要的澄清或者修改的，将以“更正公告”的形式发布在原公告发布媒体上。澄清或者修改的内容可能影响投标文件编制的，</w:t>
      </w:r>
      <w:r>
        <w:rPr>
          <w:rFonts w:hint="eastAsia" w:ascii="宋体" w:hAnsi="Times New Roman" w:eastAsia="宋体" w:cs="Times New Roman"/>
          <w:color w:val="auto"/>
          <w:szCs w:val="21"/>
          <w:lang w:val="en-US" w:eastAsia="zh-CN"/>
        </w:rPr>
        <w:t>更正</w:t>
      </w:r>
      <w:r>
        <w:rPr>
          <w:rFonts w:hint="eastAsia" w:ascii="宋体" w:hAnsi="Times New Roman" w:eastAsia="宋体" w:cs="Times New Roman"/>
          <w:color w:val="auto"/>
          <w:szCs w:val="21"/>
        </w:rPr>
        <w:t>公告在投标截止时间至少15日前发出；不足15日的，</w:t>
      </w:r>
      <w:r>
        <w:rPr>
          <w:rFonts w:hint="eastAsia" w:ascii="宋体" w:hAnsi="Times New Roman" w:eastAsia="宋体" w:cs="Times New Roman"/>
          <w:color w:val="auto"/>
          <w:szCs w:val="21"/>
          <w:lang w:val="en-US" w:eastAsia="zh-CN"/>
        </w:rPr>
        <w:t>将</w:t>
      </w:r>
      <w:r>
        <w:rPr>
          <w:rFonts w:hint="eastAsia" w:ascii="宋体" w:hAnsi="Times New Roman" w:eastAsia="宋体" w:cs="Times New Roman"/>
          <w:color w:val="auto"/>
          <w:szCs w:val="21"/>
        </w:rPr>
        <w:t>顺延提交投标文件的截止时间。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Times New Roman" w:eastAsia="宋体" w:cs="Times New Roman"/>
          <w:color w:val="auto"/>
          <w:szCs w:val="21"/>
        </w:rPr>
      </w:pPr>
      <w:r>
        <w:rPr>
          <w:rFonts w:hint="eastAsia" w:ascii="宋体" w:hAnsi="Times New Roman" w:eastAsia="宋体" w:cs="Times New Roman"/>
          <w:color w:val="auto"/>
          <w:szCs w:val="21"/>
          <w:lang w:val="en-US" w:eastAsia="zh-CN"/>
        </w:rPr>
        <w:t>3.3.2</w:t>
      </w:r>
      <w:r>
        <w:rPr>
          <w:rFonts w:hint="eastAsia" w:ascii="宋体" w:hAnsi="Times New Roman" w:eastAsia="宋体" w:cs="Times New Roman"/>
          <w:color w:val="auto"/>
          <w:szCs w:val="21"/>
        </w:rPr>
        <w:t>澄清公告为采购文件的组成部分，一经在网站发布，视同已通知所有采购文件的收受人，不再采用其它方式传达相关信息, 若因未能及时了解到上述网站上发布的相关信息而导致的一切后果</w:t>
      </w:r>
      <w:r>
        <w:rPr>
          <w:rFonts w:hint="eastAsia" w:ascii="宋体" w:hAnsi="Times New Roman" w:eastAsia="宋体" w:cs="Times New Roman"/>
          <w:color w:val="auto"/>
          <w:szCs w:val="21"/>
          <w:lang w:val="en-US" w:eastAsia="zh-CN"/>
        </w:rPr>
        <w:t>由投标人</w:t>
      </w:r>
      <w:r>
        <w:rPr>
          <w:rFonts w:hint="eastAsia" w:ascii="宋体" w:hAnsi="Times New Roman" w:eastAsia="宋体" w:cs="Times New Roman"/>
          <w:color w:val="auto"/>
          <w:szCs w:val="21"/>
        </w:rPr>
        <w:t>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ascii="宋体" w:hAnsi="宋体" w:eastAsia="宋体" w:cs="Times New Roman"/>
          <w:b w:val="0"/>
          <w:bCs w:val="0"/>
          <w:lang w:val="en-US" w:eastAsia="zh-CN"/>
        </w:rPr>
        <w:t>3.3.3</w:t>
      </w:r>
      <w:r>
        <w:rPr>
          <w:rFonts w:hint="eastAsia" w:ascii="宋体" w:hAnsi="宋体" w:eastAsia="宋体" w:cs="Times New Roman"/>
          <w:b w:val="0"/>
          <w:bCs w:val="0"/>
        </w:rPr>
        <w:t>采购文件澄清、答复、修改、补充的内容为采购文件的组成部分。当采购文件与采购文件的答复、澄清、修改、补充通知就同一内容的表述不一致时，以最后发出的澄清公告为准。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b/>
          <w:color w:val="auto"/>
          <w:szCs w:val="21"/>
        </w:rPr>
      </w:pPr>
      <w:r>
        <w:rPr>
          <w:rFonts w:hint="eastAsia" w:ascii="宋体"/>
          <w:b/>
          <w:color w:val="auto"/>
          <w:szCs w:val="21"/>
        </w:rPr>
        <w:t>3.4现场考察或者开标前答疑会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color w:val="auto"/>
          <w:szCs w:val="21"/>
        </w:rPr>
      </w:pPr>
      <w:r>
        <w:rPr>
          <w:rFonts w:hint="eastAsia" w:ascii="宋体"/>
          <w:color w:val="auto"/>
          <w:szCs w:val="21"/>
        </w:rPr>
        <w:t>3.4.1采购人或者采购代理机构可以在采购文件提供期限截止后，组织已获取采购文件的潜在供应商现场考察或者召开开标前答疑会，组织现场考察或者召开答疑会的，将在采购文件中载明。具体见前附表。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color w:val="auto"/>
          <w:sz w:val="24"/>
        </w:rPr>
      </w:pPr>
      <w:r>
        <w:rPr>
          <w:rFonts w:hint="eastAsia" w:ascii="宋体"/>
          <w:b/>
          <w:color w:val="auto"/>
          <w:sz w:val="24"/>
        </w:rPr>
        <w:t>四、投标报价要求</w:t>
      </w:r>
    </w:p>
    <w:p>
      <w:pPr>
        <w:keepNext w:val="0"/>
        <w:keepLines w:val="0"/>
        <w:pageBreakBefore w:val="0"/>
        <w:widowControl w:val="0"/>
        <w:kinsoku/>
        <w:wordWrap/>
        <w:overflowPunct/>
        <w:topLinePunct w:val="0"/>
        <w:autoSpaceDE/>
        <w:autoSpaceDN/>
        <w:bidi w:val="0"/>
        <w:adjustRightInd/>
        <w:snapToGrid/>
        <w:spacing w:line="400" w:lineRule="exact"/>
        <w:ind w:left="120" w:hanging="120"/>
        <w:textAlignment w:val="auto"/>
        <w:rPr>
          <w:rFonts w:hint="eastAsia" w:ascii="宋体"/>
          <w:b/>
          <w:color w:val="auto"/>
          <w:szCs w:val="21"/>
        </w:rPr>
      </w:pPr>
      <w:r>
        <w:rPr>
          <w:rFonts w:hint="eastAsia" w:ascii="宋体"/>
          <w:color w:val="auto"/>
          <w:szCs w:val="21"/>
        </w:rPr>
        <w:t>4.1 投标报价：指“开标一览表”中的投标报价，是评标委员会评审的依据之一，开标程序中采购代理机构将依据“开标一览表”唱出各投标人的投标报价。</w:t>
      </w:r>
    </w:p>
    <w:p>
      <w:pPr>
        <w:keepNext w:val="0"/>
        <w:keepLines w:val="0"/>
        <w:pageBreakBefore w:val="0"/>
        <w:widowControl w:val="0"/>
        <w:kinsoku/>
        <w:wordWrap/>
        <w:overflowPunct/>
        <w:topLinePunct w:val="0"/>
        <w:autoSpaceDE/>
        <w:autoSpaceDN/>
        <w:bidi w:val="0"/>
        <w:adjustRightInd/>
        <w:snapToGrid/>
        <w:spacing w:line="400" w:lineRule="exact"/>
        <w:ind w:left="120" w:hanging="120"/>
        <w:textAlignment w:val="auto"/>
        <w:rPr>
          <w:rFonts w:ascii="宋体"/>
          <w:b/>
          <w:color w:val="auto"/>
          <w:szCs w:val="21"/>
        </w:rPr>
      </w:pPr>
      <w:r>
        <w:rPr>
          <w:rFonts w:hint="eastAsia" w:ascii="宋体"/>
          <w:b/>
          <w:color w:val="auto"/>
          <w:szCs w:val="21"/>
        </w:rPr>
        <w:t>4.2</w:t>
      </w:r>
      <w:r>
        <w:rPr>
          <w:rFonts w:hint="eastAsia" w:ascii="宋体"/>
          <w:color w:val="auto"/>
          <w:szCs w:val="21"/>
        </w:rPr>
        <w:t>投标报价必须是人民币报价。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color w:val="auto"/>
          <w:szCs w:val="21"/>
        </w:rPr>
      </w:pPr>
      <w:r>
        <w:rPr>
          <w:rFonts w:hint="eastAsia" w:ascii="宋体"/>
          <w:color w:val="auto"/>
          <w:szCs w:val="21"/>
        </w:rPr>
        <w:t>4.3投标报价为一次性报价且只允许一个报价，不接受两个及两个以上的投标报价，不接受选择性报价或者具有附加条件的报价。采购文件要求提交备选投标方案的除外，具体见前附表。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color w:val="auto"/>
          <w:szCs w:val="21"/>
        </w:rPr>
      </w:pPr>
      <w:r>
        <w:rPr>
          <w:rFonts w:hint="eastAsia" w:ascii="宋体"/>
          <w:color w:val="auto"/>
          <w:szCs w:val="21"/>
        </w:rPr>
        <w:t>4.4投标报价不得高于采购预算，采购文件设有最高限价的，不得高于最高限价。</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Cs w:val="21"/>
        </w:rPr>
      </w:pPr>
      <w:r>
        <w:rPr>
          <w:rFonts w:hint="eastAsia" w:ascii="宋体"/>
          <w:color w:val="auto"/>
          <w:szCs w:val="21"/>
        </w:rPr>
        <w:t>4.5投标报价应当包含的内容：见前附表。</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color w:val="auto"/>
          <w:sz w:val="24"/>
        </w:rPr>
      </w:pPr>
      <w:r>
        <w:rPr>
          <w:rFonts w:hint="eastAsia" w:ascii="宋体"/>
          <w:b/>
          <w:color w:val="auto"/>
          <w:sz w:val="24"/>
        </w:rPr>
        <w:t>五、投标有效期</w:t>
      </w:r>
    </w:p>
    <w:p>
      <w:pPr>
        <w:keepNext w:val="0"/>
        <w:keepLines w:val="0"/>
        <w:pageBreakBefore w:val="0"/>
        <w:widowControl w:val="0"/>
        <w:kinsoku/>
        <w:wordWrap/>
        <w:overflowPunct/>
        <w:topLinePunct w:val="0"/>
        <w:autoSpaceDE/>
        <w:autoSpaceDN/>
        <w:bidi w:val="0"/>
        <w:adjustRightInd/>
        <w:spacing w:line="400" w:lineRule="exact"/>
        <w:ind w:left="194" w:hanging="194" w:hangingChars="92"/>
        <w:textAlignment w:val="auto"/>
        <w:rPr>
          <w:rFonts w:hint="eastAsia" w:ascii="宋体"/>
          <w:color w:val="auto"/>
          <w:szCs w:val="21"/>
        </w:rPr>
      </w:pPr>
      <w:r>
        <w:rPr>
          <w:rFonts w:hint="eastAsia" w:ascii="宋体"/>
          <w:b/>
          <w:color w:val="auto"/>
          <w:szCs w:val="21"/>
        </w:rPr>
        <w:t>5.1</w:t>
      </w:r>
      <w:r>
        <w:rPr>
          <w:rFonts w:hint="eastAsia" w:ascii="宋体"/>
          <w:color w:val="auto"/>
          <w:szCs w:val="21"/>
        </w:rPr>
        <w:t>投标有效期从提交投标文件的截止之日起算。投标文件中承诺的投标有效期应当不少于采购文件中载明的投标有效期(见前附表)。</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color w:val="auto"/>
          <w:sz w:val="24"/>
        </w:rPr>
      </w:pPr>
      <w:r>
        <w:rPr>
          <w:rFonts w:hint="eastAsia" w:ascii="宋体"/>
          <w:b/>
          <w:color w:val="auto"/>
          <w:sz w:val="24"/>
        </w:rPr>
        <w:t>六、投标保证金</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b/>
          <w:color w:val="auto"/>
          <w:szCs w:val="21"/>
        </w:rPr>
      </w:pPr>
      <w:r>
        <w:rPr>
          <w:rFonts w:hint="eastAsia" w:ascii="宋体" w:hAnsi="宋体"/>
          <w:b/>
          <w:color w:val="auto"/>
          <w:szCs w:val="21"/>
        </w:rPr>
        <w:t>本项目不收取投标保证金。</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b/>
          <w:color w:val="auto"/>
          <w:sz w:val="28"/>
        </w:rPr>
      </w:pPr>
      <w:r>
        <w:rPr>
          <w:rFonts w:hint="eastAsia" w:ascii="宋体"/>
          <w:b/>
          <w:color w:val="auto"/>
          <w:sz w:val="24"/>
        </w:rPr>
        <w:t>七、投标文件</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eastAsia="宋体"/>
          <w:color w:val="auto"/>
          <w:szCs w:val="21"/>
          <w:u w:val="single"/>
          <w:lang w:val="en-US" w:eastAsia="zh-CN"/>
        </w:rPr>
      </w:pPr>
      <w:r>
        <w:rPr>
          <w:rFonts w:hint="eastAsia" w:ascii="宋体"/>
          <w:b/>
          <w:color w:val="auto"/>
          <w:szCs w:val="21"/>
        </w:rPr>
        <w:t>7.1投标文件的组成：</w:t>
      </w:r>
      <w:r>
        <w:rPr>
          <w:rFonts w:hint="eastAsia" w:ascii="宋体"/>
          <w:color w:val="auto"/>
          <w:szCs w:val="21"/>
        </w:rPr>
        <w:t>投标文件由</w:t>
      </w:r>
      <w:r>
        <w:rPr>
          <w:rFonts w:hint="eastAsia" w:ascii="宋体"/>
          <w:color w:val="auto"/>
          <w:szCs w:val="21"/>
          <w:lang w:eastAsia="zh-CN"/>
        </w:rPr>
        <w:t>资格文件、技术商务文件</w:t>
      </w:r>
      <w:r>
        <w:rPr>
          <w:rFonts w:hint="eastAsia" w:ascii="宋体"/>
          <w:color w:val="auto"/>
          <w:szCs w:val="21"/>
        </w:rPr>
        <w:t>、报价文件</w:t>
      </w:r>
      <w:r>
        <w:rPr>
          <w:rFonts w:hint="eastAsia" w:ascii="宋体"/>
          <w:color w:val="auto"/>
          <w:szCs w:val="21"/>
          <w:lang w:eastAsia="zh-CN"/>
        </w:rPr>
        <w:t>三</w:t>
      </w:r>
      <w:r>
        <w:rPr>
          <w:rFonts w:hint="eastAsia" w:ascii="宋体"/>
          <w:color w:val="auto"/>
          <w:szCs w:val="21"/>
        </w:rPr>
        <w:t>部分组成。具体见前附表</w:t>
      </w:r>
      <w:r>
        <w:rPr>
          <w:rFonts w:hint="eastAsia" w:ascii="宋体"/>
          <w:b/>
          <w:bCs/>
          <w:color w:val="auto"/>
          <w:szCs w:val="21"/>
          <w:lang w:eastAsia="zh-CN"/>
        </w:rPr>
        <w:t>。</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b/>
          <w:color w:val="auto"/>
          <w:szCs w:val="21"/>
        </w:rPr>
      </w:pPr>
      <w:r>
        <w:rPr>
          <w:rFonts w:hint="eastAsia" w:ascii="宋体"/>
          <w:b/>
          <w:color w:val="auto"/>
          <w:szCs w:val="21"/>
        </w:rPr>
        <w:t>7.2投标文件编制和格式</w:t>
      </w:r>
    </w:p>
    <w:p>
      <w:pPr>
        <w:spacing w:line="400" w:lineRule="exact"/>
        <w:rPr>
          <w:rFonts w:hint="eastAsia" w:ascii="宋体"/>
          <w:color w:val="auto"/>
          <w:szCs w:val="21"/>
        </w:rPr>
      </w:pPr>
      <w:r>
        <w:rPr>
          <w:rFonts w:hint="eastAsia" w:ascii="宋体"/>
          <w:color w:val="auto"/>
          <w:szCs w:val="21"/>
        </w:rPr>
        <w:t>7.2.1投标人应当按照采购文件要求的内容、格式和顺序编制投标文件。投标文件应当对采购文件提出的要求和条件作出明确响应。投标人应详细阅读采购文件的全部内容和要求，不按采购文件的要求提供投标文件和资料导致的风险由投标人承担。</w:t>
      </w:r>
    </w:p>
    <w:p>
      <w:pPr>
        <w:spacing w:line="400" w:lineRule="exact"/>
        <w:rPr>
          <w:rFonts w:ascii="宋体"/>
          <w:color w:val="auto"/>
          <w:szCs w:val="21"/>
        </w:rPr>
      </w:pPr>
      <w:r>
        <w:rPr>
          <w:rFonts w:hint="eastAsia" w:ascii="宋体"/>
          <w:color w:val="auto"/>
          <w:szCs w:val="21"/>
        </w:rPr>
        <w:t>7.2.2投标语言：中文，当不同文字文本投标文件的解释发生异议的，以中文文本为准。</w:t>
      </w:r>
    </w:p>
    <w:p>
      <w:pPr>
        <w:spacing w:line="400" w:lineRule="exact"/>
        <w:rPr>
          <w:rFonts w:ascii="宋体"/>
          <w:color w:val="auto"/>
          <w:szCs w:val="21"/>
        </w:rPr>
      </w:pPr>
      <w:r>
        <w:rPr>
          <w:rFonts w:hint="eastAsia" w:ascii="宋体"/>
          <w:color w:val="auto"/>
          <w:szCs w:val="21"/>
        </w:rPr>
        <w:t>7.2.3投标文件中所使用的计量单位，除采购文件有特殊要求外，应当采用国家法定计量单位。</w:t>
      </w:r>
    </w:p>
    <w:p>
      <w:pPr>
        <w:spacing w:line="400" w:lineRule="exact"/>
        <w:rPr>
          <w:rFonts w:hint="eastAsia" w:ascii="宋体"/>
          <w:color w:val="auto"/>
          <w:szCs w:val="21"/>
        </w:rPr>
      </w:pPr>
      <w:r>
        <w:rPr>
          <w:rFonts w:hint="eastAsia" w:ascii="宋体"/>
          <w:color w:val="auto"/>
          <w:szCs w:val="21"/>
        </w:rPr>
        <w:t>7.2.4投标文件格式见第六章，投标文件应当按照格式要求编制。</w:t>
      </w:r>
      <w:r>
        <w:rPr>
          <w:rFonts w:ascii="宋体" w:hAnsi="宋体"/>
          <w:color w:val="auto"/>
          <w:szCs w:val="21"/>
        </w:rPr>
        <w:t>投标人应</w:t>
      </w:r>
      <w:r>
        <w:rPr>
          <w:rFonts w:hint="eastAsia" w:ascii="宋体" w:hAnsi="宋体"/>
          <w:color w:val="auto"/>
          <w:szCs w:val="21"/>
        </w:rPr>
        <w:t>按</w:t>
      </w:r>
      <w:r>
        <w:rPr>
          <w:rFonts w:hint="eastAsia" w:ascii="宋体" w:hAnsi="宋体"/>
          <w:color w:val="auto"/>
          <w:szCs w:val="21"/>
          <w:lang w:eastAsia="zh-CN"/>
        </w:rPr>
        <w:t>资格文件、技术商务文件</w:t>
      </w:r>
      <w:r>
        <w:rPr>
          <w:rFonts w:hint="eastAsia" w:ascii="宋体" w:hAnsi="宋体"/>
          <w:color w:val="auto"/>
          <w:szCs w:val="21"/>
        </w:rPr>
        <w:t>、报价文件分别编制。</w:t>
      </w:r>
    </w:p>
    <w:p>
      <w:pPr>
        <w:spacing w:line="400" w:lineRule="exact"/>
        <w:rPr>
          <w:rFonts w:hint="eastAsia" w:ascii="宋体"/>
          <w:color w:val="auto"/>
          <w:szCs w:val="21"/>
        </w:rPr>
      </w:pPr>
      <w:r>
        <w:rPr>
          <w:rFonts w:hint="eastAsia" w:ascii="宋体"/>
          <w:color w:val="auto"/>
          <w:szCs w:val="21"/>
        </w:rPr>
        <w:t>7.2.5</w:t>
      </w:r>
      <w:r>
        <w:rPr>
          <w:rFonts w:ascii="宋体"/>
          <w:color w:val="auto"/>
          <w:szCs w:val="21"/>
        </w:rPr>
        <w:t>投标文件</w:t>
      </w:r>
      <w:r>
        <w:rPr>
          <w:rFonts w:hint="eastAsia" w:ascii="宋体"/>
          <w:color w:val="auto"/>
          <w:szCs w:val="21"/>
        </w:rPr>
        <w:t>应标注页码</w:t>
      </w:r>
      <w:r>
        <w:rPr>
          <w:rFonts w:ascii="宋体"/>
          <w:color w:val="auto"/>
          <w:szCs w:val="21"/>
        </w:rPr>
        <w:t>，投标文件内容不完整、编排混乱导致投标文件被误读、漏读或者查找不到相关内容的，是投标人的责任。</w:t>
      </w:r>
    </w:p>
    <w:p>
      <w:pPr>
        <w:spacing w:line="400" w:lineRule="exact"/>
        <w:rPr>
          <w:rFonts w:hint="eastAsia" w:ascii="宋体"/>
          <w:b/>
          <w:color w:val="auto"/>
          <w:szCs w:val="21"/>
        </w:rPr>
      </w:pPr>
      <w:r>
        <w:rPr>
          <w:rFonts w:hint="eastAsia" w:ascii="宋体"/>
          <w:b/>
          <w:color w:val="auto"/>
          <w:szCs w:val="21"/>
        </w:rPr>
        <w:t>7.3投标文件的签署、盖章、装订及份数</w:t>
      </w:r>
    </w:p>
    <w:p>
      <w:pPr>
        <w:spacing w:line="400" w:lineRule="exact"/>
        <w:rPr>
          <w:rFonts w:hint="eastAsia" w:ascii="宋体"/>
          <w:color w:val="auto"/>
          <w:szCs w:val="21"/>
        </w:rPr>
      </w:pPr>
      <w:r>
        <w:rPr>
          <w:rFonts w:ascii="宋体"/>
          <w:color w:val="auto"/>
          <w:szCs w:val="21"/>
        </w:rPr>
        <w:t>7.3.1</w:t>
      </w:r>
      <w:r>
        <w:rPr>
          <w:rFonts w:hint="eastAsia" w:ascii="宋体"/>
          <w:color w:val="auto"/>
          <w:szCs w:val="21"/>
        </w:rPr>
        <w:t>、招标文件第六章　投标文件格式中标明加盖公章或签字的，电子投标文件中须加盖供应商公章部分均采用CA签章，签字部分按照本章第7</w:t>
      </w:r>
      <w:r>
        <w:rPr>
          <w:rFonts w:ascii="宋体"/>
          <w:color w:val="auto"/>
          <w:szCs w:val="21"/>
        </w:rPr>
        <w:t>.3.1</w:t>
      </w:r>
      <w:r>
        <w:rPr>
          <w:rFonts w:hint="eastAsia" w:ascii="宋体"/>
          <w:color w:val="auto"/>
          <w:szCs w:val="21"/>
        </w:rPr>
        <w:t>条要求。</w:t>
      </w:r>
    </w:p>
    <w:p>
      <w:pPr>
        <w:spacing w:line="400" w:lineRule="exact"/>
        <w:rPr>
          <w:rFonts w:ascii="宋体"/>
          <w:color w:val="auto"/>
          <w:szCs w:val="21"/>
        </w:rPr>
      </w:pPr>
      <w:r>
        <w:rPr>
          <w:rFonts w:ascii="宋体"/>
          <w:color w:val="auto"/>
          <w:szCs w:val="21"/>
        </w:rPr>
        <w:t>7.3.2</w:t>
      </w:r>
      <w:r>
        <w:rPr>
          <w:rFonts w:hint="eastAsia" w:ascii="宋体"/>
          <w:color w:val="auto"/>
          <w:szCs w:val="21"/>
        </w:rPr>
        <w:t>、招标文件第六章　投标文件格式中标明加盖公章或签字的，以U盘或光盘存储的电子备份投标文件的签署盖章按照本章第7</w:t>
      </w:r>
      <w:r>
        <w:rPr>
          <w:rFonts w:ascii="宋体"/>
          <w:color w:val="auto"/>
          <w:szCs w:val="21"/>
        </w:rPr>
        <w:t>.3.2</w:t>
      </w:r>
      <w:r>
        <w:rPr>
          <w:rFonts w:hint="eastAsia" w:ascii="宋体"/>
          <w:color w:val="auto"/>
          <w:szCs w:val="21"/>
        </w:rPr>
        <w:t>条要求。</w:t>
      </w:r>
    </w:p>
    <w:p>
      <w:pPr>
        <w:spacing w:line="400" w:lineRule="exact"/>
        <w:rPr>
          <w:rFonts w:hint="eastAsia" w:ascii="宋体"/>
          <w:color w:val="auto"/>
          <w:szCs w:val="21"/>
        </w:rPr>
      </w:pPr>
      <w:r>
        <w:rPr>
          <w:rFonts w:ascii="宋体"/>
          <w:color w:val="auto"/>
          <w:szCs w:val="21"/>
        </w:rPr>
        <w:t>7.3.3</w:t>
      </w:r>
      <w:r>
        <w:rPr>
          <w:rFonts w:hint="eastAsia" w:ascii="宋体"/>
          <w:color w:val="auto"/>
          <w:szCs w:val="21"/>
        </w:rPr>
        <w:t>中标</w:t>
      </w:r>
      <w:r>
        <w:rPr>
          <w:rFonts w:ascii="宋体"/>
          <w:color w:val="auto"/>
          <w:szCs w:val="21"/>
        </w:rPr>
        <w:t>后提供</w:t>
      </w:r>
      <w:r>
        <w:rPr>
          <w:rFonts w:hint="eastAsia" w:ascii="宋体"/>
          <w:color w:val="auto"/>
          <w:szCs w:val="21"/>
        </w:rPr>
        <w:t>纸质备份投标文件需打印或用不褪色的墨水填写。纸质备份投标文件正本和副本应分别装订成册。正本和副本的封面上应清楚地标记“正本”或“副本”的字样。当副本和正本不一致时，以正本为准。招标文件第六章　投标文件格式中标明加盖公章或签字的，纸质备份投标文件须加盖供应商公章或其法定代表人（或授权代表）签字。授权代表签字的，纸质备份投标文件应附法定代表人签署的法定代表人授权书。纸质备份投标文件应尽量避免涂改、行间插字或删除。如果出现上述情况，改动之处应加盖供应商公章或由其法定代表人（或授权代表）签字确认。</w:t>
      </w:r>
    </w:p>
    <w:p>
      <w:pPr>
        <w:spacing w:line="400" w:lineRule="exact"/>
        <w:rPr>
          <w:rFonts w:hint="eastAsia" w:ascii="宋体"/>
          <w:b/>
          <w:color w:val="auto"/>
          <w:szCs w:val="21"/>
        </w:rPr>
      </w:pPr>
      <w:r>
        <w:rPr>
          <w:rFonts w:hint="eastAsia" w:ascii="宋体"/>
          <w:b/>
          <w:color w:val="auto"/>
          <w:szCs w:val="21"/>
        </w:rPr>
        <w:t>7.4投标文件的密封、标记和递送</w:t>
      </w:r>
    </w:p>
    <w:p>
      <w:pPr>
        <w:spacing w:line="400" w:lineRule="exact"/>
        <w:ind w:left="59" w:leftChars="28"/>
        <w:rPr>
          <w:rFonts w:hint="eastAsia" w:ascii="宋体"/>
          <w:color w:val="auto"/>
          <w:szCs w:val="21"/>
        </w:rPr>
      </w:pPr>
      <w:r>
        <w:rPr>
          <w:rFonts w:ascii="宋体"/>
          <w:color w:val="auto"/>
          <w:szCs w:val="21"/>
        </w:rPr>
        <w:t>7.4.</w:t>
      </w:r>
      <w:r>
        <w:rPr>
          <w:rFonts w:hint="eastAsia" w:ascii="宋体"/>
          <w:color w:val="auto"/>
          <w:szCs w:val="21"/>
        </w:rPr>
        <w:t>1、投标文件分为电子投标文件以及备份投标文件，备份投标文件分为以U盘或光盘存储的电子备份投标文件。</w:t>
      </w:r>
    </w:p>
    <w:p>
      <w:pPr>
        <w:spacing w:line="400" w:lineRule="exact"/>
        <w:ind w:left="59" w:leftChars="28"/>
        <w:rPr>
          <w:rFonts w:hint="eastAsia" w:ascii="宋体"/>
          <w:color w:val="auto"/>
          <w:szCs w:val="21"/>
        </w:rPr>
      </w:pPr>
      <w:r>
        <w:rPr>
          <w:rFonts w:ascii="宋体"/>
          <w:color w:val="auto"/>
          <w:szCs w:val="21"/>
        </w:rPr>
        <w:t>7.4.</w:t>
      </w:r>
      <w:r>
        <w:rPr>
          <w:rFonts w:hint="eastAsia" w:ascii="宋体"/>
          <w:color w:val="auto"/>
          <w:szCs w:val="21"/>
        </w:rPr>
        <w:t>2、电子投标文件，按“项目采购-电子招投标操作指南”及本招标文件要求制作，并加密。</w:t>
      </w:r>
    </w:p>
    <w:p>
      <w:pPr>
        <w:spacing w:line="400" w:lineRule="exact"/>
        <w:ind w:left="59" w:leftChars="28"/>
        <w:rPr>
          <w:rFonts w:hint="eastAsia" w:ascii="宋体"/>
          <w:color w:val="auto"/>
          <w:szCs w:val="21"/>
        </w:rPr>
      </w:pPr>
      <w:r>
        <w:rPr>
          <w:rFonts w:ascii="宋体"/>
          <w:color w:val="auto"/>
          <w:szCs w:val="21"/>
        </w:rPr>
        <w:t>7.4.</w:t>
      </w:r>
      <w:r>
        <w:rPr>
          <w:rFonts w:hint="eastAsia" w:ascii="宋体"/>
          <w:color w:val="auto"/>
          <w:szCs w:val="21"/>
        </w:rPr>
        <w:t>3、以U盘或光盘存储的电子备份投标文件，按“项目采购-电子招投标操作指南”制作的电子备份文件。</w:t>
      </w:r>
    </w:p>
    <w:p>
      <w:pPr>
        <w:spacing w:line="400" w:lineRule="exact"/>
        <w:ind w:left="59" w:leftChars="28"/>
        <w:rPr>
          <w:rFonts w:hint="eastAsia" w:ascii="宋体"/>
          <w:color w:val="auto"/>
          <w:szCs w:val="21"/>
        </w:rPr>
      </w:pPr>
      <w:r>
        <w:rPr>
          <w:rFonts w:ascii="宋体"/>
          <w:color w:val="auto"/>
          <w:szCs w:val="21"/>
        </w:rPr>
        <w:t>7.4.4</w:t>
      </w:r>
      <w:r>
        <w:rPr>
          <w:rFonts w:hint="eastAsia" w:ascii="宋体"/>
          <w:color w:val="auto"/>
          <w:szCs w:val="21"/>
        </w:rPr>
        <w:t>、投标文件填写字迹必须清楚、工整，对不同文字文本投标文件的解释发生异议的，以中文文本为准。</w:t>
      </w:r>
    </w:p>
    <w:p>
      <w:pPr>
        <w:spacing w:line="400" w:lineRule="exact"/>
        <w:ind w:left="59" w:leftChars="28"/>
        <w:rPr>
          <w:rFonts w:hint="eastAsia" w:ascii="宋体"/>
          <w:color w:val="auto"/>
          <w:szCs w:val="21"/>
        </w:rPr>
      </w:pPr>
      <w:r>
        <w:rPr>
          <w:rFonts w:ascii="宋体"/>
          <w:color w:val="auto"/>
          <w:szCs w:val="21"/>
        </w:rPr>
        <w:t>7.4.5</w:t>
      </w:r>
      <w:r>
        <w:rPr>
          <w:rFonts w:hint="eastAsia" w:ascii="宋体"/>
          <w:color w:val="auto"/>
          <w:szCs w:val="21"/>
        </w:rPr>
        <w:t>、投标文件的效力</w:t>
      </w:r>
    </w:p>
    <w:p>
      <w:pPr>
        <w:spacing w:line="400" w:lineRule="exact"/>
        <w:ind w:left="59" w:leftChars="28"/>
        <w:rPr>
          <w:rFonts w:hint="eastAsia" w:ascii="宋体"/>
          <w:color w:val="auto"/>
          <w:szCs w:val="21"/>
        </w:rPr>
      </w:pPr>
      <w:r>
        <w:rPr>
          <w:rFonts w:hint="eastAsia" w:ascii="宋体"/>
          <w:color w:val="auto"/>
          <w:szCs w:val="21"/>
        </w:rPr>
        <w:t>投标文件的启用，按先后顺位分别为电子投标文件、以U盘或光盘存储的电子备份投标文件。在下一顺位的投标文件启用时，前一顺位的投标文件自动失效。</w:t>
      </w:r>
    </w:p>
    <w:p>
      <w:pPr>
        <w:spacing w:line="400" w:lineRule="exact"/>
        <w:ind w:left="59" w:leftChars="28"/>
        <w:rPr>
          <w:rFonts w:ascii="宋体"/>
          <w:color w:val="auto"/>
          <w:szCs w:val="21"/>
        </w:rPr>
      </w:pPr>
      <w:r>
        <w:rPr>
          <w:rFonts w:hint="eastAsia" w:ascii="宋体"/>
          <w:color w:val="auto"/>
          <w:szCs w:val="21"/>
        </w:rPr>
        <w:t>电子投标文件未能按时解密，供应商提供了电子备份投标文件的，以电子备份投标文件作为依据，否则视为投标文件撤回。电子投标文件已按时解密的，电子备份投标文件自动失效。</w:t>
      </w:r>
    </w:p>
    <w:p>
      <w:pPr>
        <w:spacing w:line="400" w:lineRule="exact"/>
        <w:rPr>
          <w:rFonts w:ascii="宋体"/>
          <w:color w:val="auto"/>
          <w:szCs w:val="21"/>
        </w:rPr>
      </w:pPr>
      <w:r>
        <w:rPr>
          <w:rFonts w:hint="eastAsia" w:ascii="宋体"/>
          <w:color w:val="auto"/>
          <w:szCs w:val="21"/>
        </w:rPr>
        <w:t>7.5</w:t>
      </w:r>
      <w:r>
        <w:rPr>
          <w:rFonts w:hint="eastAsia" w:ascii="宋体"/>
          <w:b/>
          <w:color w:val="auto"/>
          <w:szCs w:val="21"/>
        </w:rPr>
        <w:t>投标文件的递交</w:t>
      </w:r>
    </w:p>
    <w:p>
      <w:pPr>
        <w:spacing w:line="400" w:lineRule="exact"/>
        <w:ind w:left="210" w:hanging="210" w:hangingChars="100"/>
        <w:rPr>
          <w:rFonts w:hint="eastAsia" w:ascii="宋体"/>
          <w:color w:val="auto"/>
          <w:szCs w:val="21"/>
        </w:rPr>
      </w:pPr>
      <w:r>
        <w:rPr>
          <w:rFonts w:hint="eastAsia" w:ascii="宋体"/>
          <w:color w:val="auto"/>
          <w:szCs w:val="21"/>
        </w:rPr>
        <w:t xml:space="preserve"> 7.5.1投标人应当在采购文件要求提交投标文件的截止时间前，将投标文件密封送达投标地点。采购代理机构拒绝接收在投标截止时间以后寄达和送达的投标文件。投标截止时间和投标地点见前附表。</w:t>
      </w:r>
    </w:p>
    <w:p>
      <w:pPr>
        <w:spacing w:line="400" w:lineRule="exact"/>
        <w:ind w:left="210" w:hanging="210" w:hangingChars="100"/>
        <w:rPr>
          <w:rFonts w:ascii="宋体"/>
          <w:color w:val="auto"/>
          <w:szCs w:val="21"/>
        </w:rPr>
      </w:pPr>
      <w:r>
        <w:rPr>
          <w:rFonts w:hint="eastAsia" w:ascii="宋体"/>
          <w:color w:val="auto"/>
          <w:szCs w:val="21"/>
        </w:rPr>
        <w:t>7.5.2采购人因故需推迟投标截止时间、开标时间的，采购代理机构应提前以书面的形式通知所有采购文件收受人，潜在供应商应在收到通知后及时书面回复采购代理机构，采购人、采购代理机构和潜在供应商相应的权利和义务将受到新的投标截止时间的约束。</w:t>
      </w:r>
    </w:p>
    <w:p>
      <w:pPr>
        <w:spacing w:line="400" w:lineRule="exact"/>
        <w:rPr>
          <w:rFonts w:ascii="宋体"/>
          <w:b/>
          <w:color w:val="auto"/>
          <w:szCs w:val="21"/>
        </w:rPr>
      </w:pPr>
      <w:r>
        <w:rPr>
          <w:rFonts w:hint="eastAsia" w:ascii="宋体"/>
          <w:b/>
          <w:color w:val="auto"/>
          <w:szCs w:val="21"/>
        </w:rPr>
        <w:t>7.6投标文件的补充、修改或者撤回</w:t>
      </w:r>
    </w:p>
    <w:p>
      <w:pPr>
        <w:spacing w:line="400" w:lineRule="exact"/>
        <w:ind w:left="210" w:hanging="210" w:hangingChars="100"/>
        <w:rPr>
          <w:rFonts w:hint="eastAsia" w:ascii="宋体"/>
          <w:color w:val="auto"/>
          <w:szCs w:val="21"/>
        </w:rPr>
      </w:pPr>
      <w:r>
        <w:rPr>
          <w:rFonts w:hint="eastAsia" w:ascii="宋体"/>
          <w:color w:val="auto"/>
          <w:szCs w:val="21"/>
        </w:rPr>
        <w:t>7.6.1投标人在投标截止时间前，可以对所递交的投标文件进行补充、修改或者撤回，并书面通知采购人或者采购代理机构。补充、修改的内容应当按照采购文件要求签署、盖章、密封后，作为投标文件的组成部分。</w:t>
      </w:r>
    </w:p>
    <w:p>
      <w:pPr>
        <w:spacing w:line="400" w:lineRule="exact"/>
        <w:ind w:left="210" w:hanging="210" w:hangingChars="100"/>
        <w:rPr>
          <w:rFonts w:hint="eastAsia" w:ascii="宋体"/>
          <w:color w:val="auto"/>
          <w:szCs w:val="21"/>
        </w:rPr>
      </w:pPr>
      <w:r>
        <w:rPr>
          <w:rFonts w:hint="eastAsia" w:ascii="宋体"/>
          <w:color w:val="auto"/>
          <w:szCs w:val="21"/>
        </w:rPr>
        <w:t>7.6.2在投标截止时间之后,投标人不得对其投标文件进行补充、修改或者撤回。</w:t>
      </w:r>
    </w:p>
    <w:p>
      <w:pPr>
        <w:spacing w:line="400" w:lineRule="exact"/>
        <w:rPr>
          <w:rFonts w:hint="eastAsia" w:ascii="宋体"/>
          <w:b/>
          <w:color w:val="auto"/>
          <w:sz w:val="24"/>
        </w:rPr>
      </w:pPr>
      <w:r>
        <w:rPr>
          <w:rFonts w:hint="eastAsia" w:ascii="宋体"/>
          <w:b/>
          <w:color w:val="auto"/>
          <w:sz w:val="24"/>
        </w:rPr>
        <w:t>八、开标</w:t>
      </w:r>
    </w:p>
    <w:p>
      <w:pPr>
        <w:spacing w:line="400" w:lineRule="exact"/>
        <w:rPr>
          <w:rFonts w:hint="eastAsia" w:ascii="宋体"/>
          <w:b/>
          <w:color w:val="auto"/>
          <w:szCs w:val="21"/>
        </w:rPr>
      </w:pPr>
      <w:r>
        <w:rPr>
          <w:rFonts w:hint="eastAsia" w:ascii="宋体"/>
          <w:b/>
          <w:color w:val="auto"/>
          <w:szCs w:val="21"/>
        </w:rPr>
        <w:t>8.1接收投标文件</w:t>
      </w:r>
    </w:p>
    <w:p>
      <w:pPr>
        <w:spacing w:line="400" w:lineRule="exact"/>
        <w:rPr>
          <w:rFonts w:hint="eastAsia" w:ascii="宋体"/>
          <w:color w:val="auto"/>
          <w:szCs w:val="21"/>
        </w:rPr>
      </w:pPr>
      <w:r>
        <w:rPr>
          <w:rFonts w:hint="eastAsia" w:ascii="宋体"/>
          <w:color w:val="auto"/>
          <w:szCs w:val="21"/>
        </w:rPr>
        <w:t>8.1.1采购代理机构将于投标截止时间前30分钟内安排工作人员在采购文件规定的投标地点接收投标文件。</w:t>
      </w:r>
    </w:p>
    <w:p>
      <w:pPr>
        <w:spacing w:line="400" w:lineRule="exact"/>
        <w:rPr>
          <w:rFonts w:hint="eastAsia" w:ascii="宋体"/>
          <w:color w:val="auto"/>
          <w:szCs w:val="21"/>
        </w:rPr>
      </w:pPr>
      <w:r>
        <w:rPr>
          <w:rFonts w:hint="eastAsia" w:ascii="宋体"/>
          <w:color w:val="auto"/>
          <w:szCs w:val="21"/>
        </w:rPr>
        <w:t>8.1.2有下列情形之一的投标文件拒绝接收：</w:t>
      </w:r>
    </w:p>
    <w:p>
      <w:pPr>
        <w:numPr>
          <w:ilvl w:val="0"/>
          <w:numId w:val="6"/>
        </w:numPr>
        <w:spacing w:line="400" w:lineRule="exact"/>
        <w:rPr>
          <w:rFonts w:hint="eastAsia" w:ascii="宋体"/>
          <w:color w:val="auto"/>
          <w:szCs w:val="21"/>
        </w:rPr>
      </w:pPr>
      <w:r>
        <w:rPr>
          <w:rFonts w:hint="eastAsia" w:ascii="宋体"/>
          <w:color w:val="auto"/>
          <w:szCs w:val="21"/>
        </w:rPr>
        <w:t>逾期送达的投标文件；</w:t>
      </w:r>
    </w:p>
    <w:p>
      <w:pPr>
        <w:numPr>
          <w:ilvl w:val="0"/>
          <w:numId w:val="6"/>
        </w:numPr>
        <w:spacing w:line="400" w:lineRule="exact"/>
        <w:rPr>
          <w:rFonts w:hint="eastAsia" w:ascii="宋体"/>
          <w:color w:val="auto"/>
          <w:szCs w:val="21"/>
        </w:rPr>
      </w:pPr>
      <w:r>
        <w:rPr>
          <w:rFonts w:hint="eastAsia" w:ascii="宋体"/>
          <w:color w:val="auto"/>
          <w:szCs w:val="21"/>
        </w:rPr>
        <w:t>未按照采购文件要求密封的投标文件；</w:t>
      </w:r>
    </w:p>
    <w:p>
      <w:pPr>
        <w:numPr>
          <w:ilvl w:val="0"/>
          <w:numId w:val="6"/>
        </w:numPr>
        <w:spacing w:line="400" w:lineRule="exact"/>
        <w:rPr>
          <w:rFonts w:hint="eastAsia" w:ascii="宋体"/>
          <w:color w:val="auto"/>
          <w:szCs w:val="21"/>
        </w:rPr>
      </w:pPr>
      <w:r>
        <w:rPr>
          <w:rFonts w:hint="eastAsia" w:ascii="宋体"/>
          <w:color w:val="auto"/>
          <w:szCs w:val="21"/>
        </w:rPr>
        <w:t>未购买采购文件的投标人的投标文件。</w:t>
      </w:r>
    </w:p>
    <w:p>
      <w:pPr>
        <w:spacing w:line="400" w:lineRule="exact"/>
        <w:rPr>
          <w:rFonts w:hint="eastAsia" w:ascii="宋体"/>
          <w:b/>
          <w:color w:val="auto"/>
          <w:szCs w:val="21"/>
        </w:rPr>
      </w:pPr>
      <w:r>
        <w:rPr>
          <w:rFonts w:hint="eastAsia" w:ascii="宋体"/>
          <w:b/>
          <w:color w:val="auto"/>
          <w:szCs w:val="21"/>
        </w:rPr>
        <w:t>8.2 开标</w:t>
      </w:r>
    </w:p>
    <w:p>
      <w:pPr>
        <w:wordWrap w:val="0"/>
        <w:spacing w:line="400" w:lineRule="exact"/>
        <w:jc w:val="left"/>
        <w:rPr>
          <w:rFonts w:ascii="宋体" w:hAnsi="宋体"/>
          <w:color w:val="auto"/>
        </w:rPr>
      </w:pPr>
      <w:r>
        <w:rPr>
          <w:rFonts w:hint="eastAsia" w:ascii="宋体" w:hAnsi="宋体"/>
          <w:color w:val="auto"/>
          <w:lang w:val="en-US" w:eastAsia="zh-CN"/>
        </w:rPr>
        <w:t>8.2.1</w:t>
      </w:r>
      <w:r>
        <w:rPr>
          <w:rFonts w:hint="eastAsia" w:ascii="宋体" w:hAnsi="宋体"/>
          <w:color w:val="auto"/>
          <w:szCs w:val="21"/>
        </w:rPr>
        <w:t>代理机构</w:t>
      </w:r>
      <w:r>
        <w:rPr>
          <w:rFonts w:hint="eastAsia" w:ascii="宋体" w:hAnsi="宋体"/>
          <w:color w:val="auto"/>
        </w:rPr>
        <w:t>在采购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wordWrap w:val="0"/>
        <w:spacing w:line="400" w:lineRule="exact"/>
        <w:jc w:val="left"/>
        <w:rPr>
          <w:rFonts w:ascii="宋体" w:hAnsi="宋体"/>
          <w:color w:val="FF0000"/>
          <w:szCs w:val="21"/>
        </w:rPr>
      </w:pPr>
      <w:r>
        <w:rPr>
          <w:rFonts w:hint="eastAsia" w:ascii="宋体" w:hAnsi="宋体"/>
          <w:color w:val="auto"/>
          <w:szCs w:val="21"/>
          <w:lang w:val="en-US" w:eastAsia="zh-CN"/>
        </w:rPr>
        <w:t>8.2.2</w:t>
      </w:r>
      <w:r>
        <w:rPr>
          <w:rFonts w:hint="eastAsia" w:ascii="宋体" w:hAnsi="宋体"/>
          <w:color w:val="auto"/>
          <w:szCs w:val="21"/>
        </w:rPr>
        <w:t>电子投标</w:t>
      </w:r>
      <w:r>
        <w:rPr>
          <w:rFonts w:hint="eastAsia" w:ascii="宋体" w:hAnsi="宋体"/>
          <w:color w:val="auto"/>
        </w:rPr>
        <w:t>开标</w:t>
      </w:r>
      <w:r>
        <w:rPr>
          <w:rFonts w:hint="eastAsia" w:ascii="宋体" w:hAnsi="宋体"/>
          <w:color w:val="auto"/>
          <w:szCs w:val="21"/>
        </w:rPr>
        <w:t>及评审程序：</w:t>
      </w:r>
      <w:r>
        <w:rPr>
          <w:rFonts w:hint="eastAsia" w:ascii="宋体" w:hAnsi="宋体"/>
          <w:b/>
          <w:bCs/>
          <w:color w:val="FF0000"/>
          <w:szCs w:val="21"/>
          <w:lang w:val="en-US" w:eastAsia="zh-CN"/>
        </w:rPr>
        <w:t>两</w:t>
      </w:r>
      <w:r>
        <w:rPr>
          <w:rFonts w:hint="eastAsia" w:ascii="宋体" w:hAnsi="宋体"/>
          <w:b/>
          <w:bCs/>
          <w:color w:val="FF0000"/>
          <w:szCs w:val="21"/>
        </w:rPr>
        <w:t>阶段开标</w:t>
      </w:r>
      <w:r>
        <w:rPr>
          <w:rFonts w:hint="eastAsia" w:ascii="宋体" w:hAnsi="宋体"/>
          <w:color w:val="FF0000"/>
          <w:szCs w:val="21"/>
        </w:rPr>
        <w:t>。</w:t>
      </w:r>
    </w:p>
    <w:p>
      <w:pPr>
        <w:spacing w:line="400" w:lineRule="exact"/>
        <w:rPr>
          <w:rFonts w:hint="eastAsia" w:ascii="宋体" w:hAnsi="宋体"/>
          <w:color w:val="auto"/>
          <w:szCs w:val="21"/>
        </w:rPr>
      </w:pPr>
      <w:r>
        <w:rPr>
          <w:rFonts w:hint="eastAsia" w:ascii="宋体" w:hAnsi="宋体"/>
          <w:color w:val="auto"/>
          <w:szCs w:val="21"/>
        </w:rPr>
        <w:t>第一阶段：</w:t>
      </w:r>
    </w:p>
    <w:p>
      <w:pPr>
        <w:spacing w:line="400" w:lineRule="exact"/>
        <w:rPr>
          <w:rFonts w:hint="eastAsia" w:ascii="宋体" w:hAnsi="宋体"/>
          <w:color w:val="auto"/>
          <w:szCs w:val="21"/>
        </w:rPr>
      </w:pPr>
      <w:r>
        <w:rPr>
          <w:rFonts w:hint="eastAsia" w:ascii="宋体" w:hAnsi="宋体"/>
          <w:color w:val="auto"/>
          <w:szCs w:val="21"/>
        </w:rPr>
        <w:t>（1）投标截止时间后，投标人登录政府采购云平台，用“项目采购-开标评标”功能对电子投标文件进行在线解密，在线解密电子投标文件时间为开标时间后30分钟内。</w:t>
      </w:r>
    </w:p>
    <w:p>
      <w:pPr>
        <w:spacing w:line="400" w:lineRule="exact"/>
        <w:rPr>
          <w:rFonts w:hint="eastAsia" w:ascii="宋体" w:hAnsi="宋体"/>
          <w:color w:val="auto"/>
          <w:szCs w:val="21"/>
        </w:rPr>
      </w:pPr>
      <w:r>
        <w:rPr>
          <w:rFonts w:hint="eastAsia" w:ascii="宋体" w:hAnsi="宋体"/>
          <w:color w:val="auto"/>
          <w:szCs w:val="21"/>
        </w:rPr>
        <w:t>（2）在政府采购云平台开启已解密投标人的“资格文件、商务技术文件”，并做开标记录；</w:t>
      </w:r>
    </w:p>
    <w:p>
      <w:pPr>
        <w:spacing w:line="400" w:lineRule="exact"/>
        <w:rPr>
          <w:rFonts w:hint="eastAsia" w:ascii="宋体" w:hAnsi="宋体"/>
          <w:color w:val="auto"/>
          <w:szCs w:val="21"/>
        </w:rPr>
      </w:pPr>
      <w:r>
        <w:rPr>
          <w:rFonts w:hint="eastAsia" w:ascii="宋体" w:hAnsi="宋体"/>
          <w:color w:val="auto"/>
          <w:szCs w:val="21"/>
        </w:rPr>
        <w:t>第二阶段：</w:t>
      </w:r>
    </w:p>
    <w:p>
      <w:pPr>
        <w:spacing w:line="400" w:lineRule="exact"/>
        <w:rPr>
          <w:rFonts w:hint="eastAsia" w:ascii="宋体" w:hAnsi="宋体"/>
          <w:color w:val="auto"/>
          <w:szCs w:val="21"/>
        </w:rPr>
      </w:pPr>
      <w:r>
        <w:rPr>
          <w:rFonts w:hint="eastAsia" w:ascii="宋体" w:hAnsi="宋体"/>
          <w:color w:val="auto"/>
          <w:szCs w:val="21"/>
        </w:rPr>
        <w:t>（1）在政府采购云平台宣告第一阶段评审无效投标人名单及理由；</w:t>
      </w:r>
    </w:p>
    <w:p>
      <w:pPr>
        <w:spacing w:line="400" w:lineRule="exact"/>
        <w:rPr>
          <w:rFonts w:hint="eastAsia" w:ascii="宋体" w:hAnsi="宋体"/>
          <w:color w:val="auto"/>
          <w:szCs w:val="21"/>
        </w:rPr>
      </w:pPr>
      <w:r>
        <w:rPr>
          <w:rFonts w:hint="eastAsia" w:ascii="宋体" w:hAnsi="宋体"/>
          <w:color w:val="auto"/>
          <w:szCs w:val="21"/>
        </w:rPr>
        <w:t>（2）公布经第一阶段评审符合采购文件要求的投标人的商务技术得分情况；</w:t>
      </w:r>
    </w:p>
    <w:p>
      <w:pPr>
        <w:spacing w:line="400" w:lineRule="exact"/>
        <w:rPr>
          <w:rFonts w:hint="eastAsia" w:ascii="宋体" w:hAnsi="宋体"/>
          <w:color w:val="auto"/>
          <w:szCs w:val="21"/>
        </w:rPr>
      </w:pPr>
      <w:r>
        <w:rPr>
          <w:rFonts w:hint="eastAsia" w:ascii="宋体" w:hAnsi="宋体"/>
          <w:color w:val="auto"/>
          <w:szCs w:val="21"/>
        </w:rPr>
        <w:t>（3）在政府采购云平台开启除第一阶段无效标外的投标人的“报价文件”，并做开标记录；</w:t>
      </w:r>
    </w:p>
    <w:p>
      <w:pPr>
        <w:spacing w:line="400" w:lineRule="exact"/>
        <w:rPr>
          <w:rFonts w:hint="eastAsia" w:ascii="宋体" w:hAnsi="宋体"/>
          <w:color w:val="auto"/>
          <w:szCs w:val="21"/>
        </w:rPr>
      </w:pPr>
      <w:r>
        <w:rPr>
          <w:rFonts w:hint="eastAsia" w:ascii="宋体" w:hAnsi="宋体"/>
          <w:color w:val="auto"/>
          <w:szCs w:val="21"/>
        </w:rPr>
        <w:t>（4）在政府采购云平台公布评审结果。</w:t>
      </w:r>
    </w:p>
    <w:p>
      <w:pPr>
        <w:spacing w:line="400" w:lineRule="exact"/>
        <w:rPr>
          <w:rFonts w:hint="eastAsia" w:ascii="宋体" w:hAnsi="宋体"/>
          <w:color w:val="auto"/>
          <w:szCs w:val="21"/>
        </w:rPr>
      </w:pPr>
      <w:r>
        <w:rPr>
          <w:rFonts w:hint="eastAsia" w:ascii="宋体" w:hAnsi="宋体"/>
          <w:color w:val="auto"/>
          <w:szCs w:val="21"/>
        </w:rPr>
        <w:t>（5）开标会议结束。</w:t>
      </w:r>
    </w:p>
    <w:p>
      <w:pPr>
        <w:spacing w:line="400" w:lineRule="exact"/>
        <w:rPr>
          <w:rFonts w:hint="eastAsia" w:ascii="宋体" w:hAnsi="宋体"/>
          <w:color w:val="auto"/>
          <w:szCs w:val="21"/>
        </w:rPr>
      </w:pPr>
      <w:r>
        <w:rPr>
          <w:rFonts w:hint="eastAsia" w:ascii="宋体" w:hAnsi="宋体"/>
          <w:color w:val="auto"/>
          <w:szCs w:val="21"/>
          <w:lang w:val="en-US" w:eastAsia="zh-CN"/>
        </w:rPr>
        <w:t>8.2.3</w:t>
      </w:r>
      <w:r>
        <w:rPr>
          <w:rFonts w:hint="eastAsia" w:ascii="宋体" w:hAnsi="宋体"/>
          <w:color w:val="auto"/>
          <w:szCs w:val="21"/>
        </w:rPr>
        <w:t>特别说明：政府采购云平台如对电子化开标及评审程序有调整的，按调整后的程序操作。</w:t>
      </w:r>
    </w:p>
    <w:p>
      <w:pPr>
        <w:spacing w:line="400" w:lineRule="exact"/>
        <w:rPr>
          <w:rFonts w:hint="eastAsia" w:ascii="宋体" w:hAnsi="宋体"/>
          <w:color w:val="auto"/>
          <w:szCs w:val="21"/>
        </w:rPr>
      </w:pPr>
      <w:r>
        <w:rPr>
          <w:rFonts w:hint="eastAsia" w:ascii="宋体" w:hAnsi="宋体"/>
          <w:color w:val="auto"/>
          <w:szCs w:val="21"/>
        </w:rPr>
        <w:t>本项目原则上采用政采云电子投标开标及评审程序，但有下情形之一的，按以下情况处理：</w:t>
      </w:r>
    </w:p>
    <w:p>
      <w:pPr>
        <w:spacing w:line="400" w:lineRule="exact"/>
        <w:rPr>
          <w:rFonts w:hint="eastAsia" w:ascii="宋体" w:hAnsi="宋体"/>
          <w:color w:val="auto"/>
          <w:szCs w:val="21"/>
        </w:rPr>
      </w:pPr>
      <w:r>
        <w:rPr>
          <w:rFonts w:hint="eastAsia" w:ascii="宋体" w:hAnsi="宋体"/>
          <w:color w:val="auto"/>
          <w:szCs w:val="21"/>
        </w:rPr>
        <w:t>（1）若供应商在规定时间内无法解密或解密失败，代理机构将开启所有供应商递交的以U盘或光盘存储的电子备份投标文件，上传至政采云平台项目采购模块，以完成开标，电子投标文件自动失效。</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）采购过程中出现以下情形，导致电子交易平台无法正常运行，或者无法保证电子交易的公平、公正和安全时，采购人（或代理机构）可中止电子交易活动：</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 xml:space="preserve">）电子交易平台发生故障而无法登录访问的； </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）电子交易平台应用或数据库出现错误，不能进行正常操作的；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5</w:t>
      </w:r>
      <w:r>
        <w:rPr>
          <w:rFonts w:hint="eastAsia" w:ascii="宋体" w:hAnsi="宋体"/>
          <w:color w:val="auto"/>
          <w:szCs w:val="21"/>
        </w:rPr>
        <w:t>）电子交易平台发现严重安全漏洞，有潜在泄密危险的；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6</w:t>
      </w:r>
      <w:r>
        <w:rPr>
          <w:rFonts w:hint="eastAsia" w:ascii="宋体" w:hAnsi="宋体"/>
          <w:color w:val="auto"/>
          <w:szCs w:val="21"/>
        </w:rPr>
        <w:t xml:space="preserve">）病毒发作导致不能进行正常操作的； </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7</w:t>
      </w:r>
      <w:r>
        <w:rPr>
          <w:rFonts w:hint="eastAsia" w:ascii="宋体" w:hAnsi="宋体"/>
          <w:color w:val="auto"/>
          <w:szCs w:val="21"/>
        </w:rPr>
        <w:t>）其他无法保证电子交易的公平、公正和安全的情况。</w:t>
      </w:r>
    </w:p>
    <w:p>
      <w:pPr>
        <w:spacing w:line="400" w:lineRule="exact"/>
        <w:rPr>
          <w:rFonts w:hint="eastAsia" w:ascii="宋体" w:hAnsi="宋体"/>
          <w:color w:val="auto"/>
          <w:szCs w:val="21"/>
        </w:rPr>
      </w:pPr>
      <w:r>
        <w:rPr>
          <w:rFonts w:hint="eastAsia" w:ascii="宋体" w:hAnsi="宋体"/>
          <w:color w:val="auto"/>
          <w:szCs w:val="21"/>
        </w:rPr>
        <w:t xml:space="preserve"> 出现前款规定情形，不影响采购公平、公正性的，采购人（或代理机构）可以待上述情形消除后继续组织电子交易活动。</w:t>
      </w:r>
    </w:p>
    <w:p>
      <w:pPr>
        <w:spacing w:line="400" w:lineRule="exact"/>
        <w:rPr>
          <w:rFonts w:hint="eastAsia" w:ascii="宋体"/>
          <w:color w:val="auto"/>
          <w:sz w:val="24"/>
        </w:rPr>
      </w:pPr>
      <w:r>
        <w:rPr>
          <w:rFonts w:hint="eastAsia" w:ascii="宋体"/>
          <w:b/>
          <w:bCs/>
          <w:color w:val="auto"/>
          <w:sz w:val="24"/>
        </w:rPr>
        <w:t>九、</w:t>
      </w:r>
      <w:r>
        <w:rPr>
          <w:rFonts w:hint="eastAsia"/>
          <w:b/>
          <w:bCs/>
          <w:color w:val="auto"/>
          <w:sz w:val="28"/>
          <w:szCs w:val="28"/>
        </w:rPr>
        <w:t>评标</w:t>
      </w:r>
    </w:p>
    <w:p>
      <w:pPr>
        <w:spacing w:line="400" w:lineRule="exact"/>
        <w:rPr>
          <w:rFonts w:ascii="宋体" w:hAnsi="宋体"/>
          <w:color w:val="auto"/>
          <w:szCs w:val="21"/>
        </w:rPr>
      </w:pPr>
      <w:r>
        <w:rPr>
          <w:rFonts w:hint="eastAsia" w:ascii="宋体" w:hAnsi="宋体"/>
          <w:b/>
          <w:color w:val="auto"/>
          <w:szCs w:val="21"/>
        </w:rPr>
        <w:t>9.1评标委员会</w:t>
      </w:r>
    </w:p>
    <w:p>
      <w:pPr>
        <w:spacing w:line="400" w:lineRule="exact"/>
        <w:ind w:left="210" w:hanging="210" w:hangingChars="100"/>
        <w:rPr>
          <w:rFonts w:hint="eastAsia" w:ascii="宋体" w:hAnsi="宋体"/>
          <w:color w:val="auto"/>
          <w:szCs w:val="21"/>
        </w:rPr>
      </w:pPr>
      <w:r>
        <w:rPr>
          <w:rFonts w:hint="eastAsia" w:ascii="宋体" w:hAnsi="宋体"/>
          <w:color w:val="auto"/>
          <w:szCs w:val="21"/>
        </w:rPr>
        <w:t>9.1.1 受采购人的委托，采购代理机构将依法组建评标委员会，评标委员会负责评标工作。评标委员会由采购人代表和评标专家组成。评标专家将按规定在财政部门设立的评审专家库中随机抽取。评标委员会成员名单在评标结果公示之前依法保密。</w:t>
      </w:r>
    </w:p>
    <w:p>
      <w:pPr>
        <w:spacing w:line="400" w:lineRule="exact"/>
        <w:ind w:left="210" w:hanging="210" w:hangingChars="100"/>
        <w:rPr>
          <w:rFonts w:hint="eastAsia" w:ascii="宋体" w:hAnsi="宋体"/>
          <w:color w:val="auto"/>
          <w:szCs w:val="21"/>
        </w:rPr>
      </w:pPr>
      <w:r>
        <w:rPr>
          <w:rFonts w:hint="eastAsia" w:ascii="宋体" w:hAnsi="宋体"/>
          <w:color w:val="auto"/>
          <w:szCs w:val="21"/>
        </w:rPr>
        <w:t>9.1.2评标委员会将遵循公平、公正、科学、廉洁的原则和规定的程序进行评标，并且只依据投标文件本身对采购文件的响应情况进行评审，不考虑投标人在开标后提交的任何的补充声明、修正方案。</w:t>
      </w:r>
    </w:p>
    <w:p>
      <w:pPr>
        <w:spacing w:line="400" w:lineRule="exact"/>
        <w:rPr>
          <w:rFonts w:hint="eastAsia" w:ascii="宋体" w:hAnsi="宋体"/>
          <w:color w:val="auto"/>
          <w:szCs w:val="21"/>
        </w:rPr>
      </w:pPr>
      <w:r>
        <w:rPr>
          <w:rFonts w:hint="eastAsia" w:ascii="宋体" w:hAnsi="宋体"/>
          <w:b/>
          <w:color w:val="auto"/>
          <w:szCs w:val="21"/>
        </w:rPr>
        <w:t>9.2评标方法</w:t>
      </w:r>
    </w:p>
    <w:p>
      <w:pPr>
        <w:spacing w:line="400" w:lineRule="exact"/>
        <w:ind w:left="182" w:leftChars="-98" w:hanging="388" w:hangingChars="185"/>
        <w:rPr>
          <w:rFonts w:hint="eastAsia" w:ascii="宋体" w:hAnsi="宋体"/>
          <w:color w:val="auto"/>
          <w:szCs w:val="21"/>
        </w:rPr>
      </w:pPr>
      <w:r>
        <w:rPr>
          <w:rFonts w:ascii="宋体" w:hAnsi="宋体"/>
          <w:color w:val="auto"/>
          <w:szCs w:val="21"/>
        </w:rPr>
        <w:t xml:space="preserve">  </w:t>
      </w:r>
      <w:r>
        <w:rPr>
          <w:rFonts w:hint="eastAsia" w:ascii="宋体" w:hAnsi="宋体"/>
          <w:color w:val="auto"/>
          <w:szCs w:val="21"/>
        </w:rPr>
        <w:t>9.2.1评标方法见第四章。</w:t>
      </w:r>
    </w:p>
    <w:p>
      <w:pPr>
        <w:spacing w:line="400" w:lineRule="exact"/>
        <w:ind w:left="-105" w:leftChars="-50" w:firstLine="105" w:firstLineChars="50"/>
        <w:rPr>
          <w:rFonts w:hint="eastAsia" w:ascii="宋体" w:hAnsi="宋体"/>
          <w:b/>
          <w:color w:val="auto"/>
          <w:szCs w:val="21"/>
        </w:rPr>
      </w:pPr>
      <w:r>
        <w:rPr>
          <w:rFonts w:hint="eastAsia" w:ascii="宋体" w:hAnsi="宋体"/>
          <w:b/>
          <w:color w:val="auto"/>
          <w:szCs w:val="21"/>
        </w:rPr>
        <w:t>9.3评标程序</w:t>
      </w:r>
      <w:r>
        <w:rPr>
          <w:rFonts w:ascii="宋体" w:hAnsi="宋体"/>
          <w:b/>
          <w:color w:val="auto"/>
          <w:szCs w:val="21"/>
        </w:rPr>
        <w:t xml:space="preserve"> </w:t>
      </w:r>
    </w:p>
    <w:p>
      <w:pPr>
        <w:spacing w:line="400" w:lineRule="exact"/>
        <w:ind w:left="-105" w:leftChars="-50" w:firstLine="105" w:firstLineChars="50"/>
        <w:rPr>
          <w:rFonts w:hint="eastAsia" w:ascii="宋体" w:hAnsi="宋体"/>
          <w:color w:val="auto"/>
          <w:szCs w:val="21"/>
        </w:rPr>
      </w:pPr>
      <w:r>
        <w:rPr>
          <w:rFonts w:hint="eastAsia" w:ascii="宋体" w:hAnsi="宋体"/>
          <w:color w:val="auto"/>
          <w:szCs w:val="21"/>
        </w:rPr>
        <w:t>9.3.1评标程序见第四章。</w:t>
      </w:r>
      <w:r>
        <w:rPr>
          <w:rFonts w:ascii="宋体" w:hAnsi="宋体"/>
          <w:color w:val="auto"/>
          <w:szCs w:val="21"/>
        </w:rPr>
        <w:t xml:space="preserve">  </w:t>
      </w:r>
    </w:p>
    <w:p>
      <w:pPr>
        <w:spacing w:line="400" w:lineRule="exact"/>
        <w:rPr>
          <w:rFonts w:hint="eastAsia" w:ascii="宋体" w:hAnsi="宋体"/>
          <w:b/>
          <w:color w:val="auto"/>
          <w:szCs w:val="21"/>
        </w:rPr>
      </w:pPr>
      <w:r>
        <w:rPr>
          <w:rFonts w:hint="eastAsia" w:ascii="宋体" w:hAnsi="宋体"/>
          <w:b/>
          <w:color w:val="auto"/>
          <w:szCs w:val="21"/>
        </w:rPr>
        <w:t>9.4推荐中标候选人：</w:t>
      </w:r>
    </w:p>
    <w:p>
      <w:pPr>
        <w:spacing w:line="400" w:lineRule="exact"/>
        <w:rPr>
          <w:rFonts w:hint="eastAsia" w:ascii="宋体" w:hAnsi="宋体"/>
          <w:color w:val="auto"/>
          <w:szCs w:val="21"/>
        </w:rPr>
      </w:pPr>
      <w:r>
        <w:rPr>
          <w:rFonts w:hint="eastAsia" w:ascii="宋体" w:hAnsi="宋体"/>
          <w:color w:val="auto"/>
          <w:szCs w:val="21"/>
        </w:rPr>
        <w:t>9.4.1评标委员会将按照评标结果排序，推荐中标候选人名单。中标候选人数量见前附表。</w:t>
      </w:r>
    </w:p>
    <w:p>
      <w:pPr>
        <w:spacing w:line="400" w:lineRule="exact"/>
        <w:rPr>
          <w:rFonts w:hint="eastAsia" w:ascii="宋体" w:hAnsi="宋体"/>
          <w:b/>
          <w:color w:val="auto"/>
          <w:szCs w:val="21"/>
        </w:rPr>
      </w:pPr>
      <w:r>
        <w:rPr>
          <w:rFonts w:hint="eastAsia" w:ascii="宋体" w:hAnsi="宋体"/>
          <w:b/>
          <w:color w:val="auto"/>
          <w:szCs w:val="21"/>
        </w:rPr>
        <w:t>9.5 评标过程保密</w:t>
      </w:r>
    </w:p>
    <w:p>
      <w:pPr>
        <w:spacing w:line="400" w:lineRule="exact"/>
        <w:ind w:left="210" w:hanging="210" w:hangingChars="100"/>
        <w:rPr>
          <w:rFonts w:hint="eastAsia" w:ascii="宋体" w:hAnsi="宋体"/>
          <w:color w:val="auto"/>
          <w:szCs w:val="21"/>
        </w:rPr>
      </w:pPr>
      <w:r>
        <w:rPr>
          <w:rFonts w:hint="eastAsia" w:ascii="宋体" w:hAnsi="宋体"/>
          <w:color w:val="auto"/>
          <w:szCs w:val="21"/>
        </w:rPr>
        <w:t>9.5.1中标结果公示发布之前，评标委员会名单应该保密。评标委员会成员、采购人和采购代理机构的有关参与人员应该对评标过程保密，不得向投标人或其他无关的人员透露。</w:t>
      </w:r>
    </w:p>
    <w:p>
      <w:pPr>
        <w:spacing w:line="400" w:lineRule="exact"/>
        <w:rPr>
          <w:rFonts w:hint="eastAsia" w:ascii="宋体"/>
          <w:b/>
          <w:color w:val="auto"/>
          <w:sz w:val="24"/>
        </w:rPr>
      </w:pPr>
      <w:r>
        <w:rPr>
          <w:rFonts w:hint="eastAsia" w:ascii="宋体"/>
          <w:b/>
          <w:color w:val="auto"/>
          <w:sz w:val="24"/>
        </w:rPr>
        <w:t>十、定标</w:t>
      </w:r>
    </w:p>
    <w:p>
      <w:pPr>
        <w:spacing w:line="400" w:lineRule="exact"/>
        <w:rPr>
          <w:rFonts w:ascii="宋体"/>
          <w:b/>
          <w:color w:val="auto"/>
          <w:szCs w:val="21"/>
        </w:rPr>
      </w:pPr>
      <w:r>
        <w:rPr>
          <w:rFonts w:hint="eastAsia" w:ascii="宋体"/>
          <w:b/>
          <w:color w:val="auto"/>
          <w:szCs w:val="21"/>
        </w:rPr>
        <w:t>10.1确定中标人</w:t>
      </w:r>
    </w:p>
    <w:p>
      <w:pPr>
        <w:spacing w:line="400" w:lineRule="exact"/>
        <w:rPr>
          <w:rFonts w:hint="eastAsia" w:ascii="宋体"/>
          <w:color w:val="auto"/>
          <w:szCs w:val="21"/>
        </w:rPr>
      </w:pPr>
      <w:r>
        <w:rPr>
          <w:rFonts w:hint="eastAsia" w:ascii="宋体"/>
          <w:color w:val="auto"/>
          <w:szCs w:val="21"/>
        </w:rPr>
        <w:t>10.1.1本项目确定中标人的规定见前附表。</w:t>
      </w:r>
    </w:p>
    <w:p>
      <w:pPr>
        <w:spacing w:line="400" w:lineRule="exact"/>
        <w:rPr>
          <w:rFonts w:hint="eastAsia" w:ascii="宋体"/>
          <w:color w:val="auto"/>
          <w:szCs w:val="21"/>
        </w:rPr>
      </w:pPr>
      <w:r>
        <w:rPr>
          <w:rFonts w:hint="eastAsia" w:ascii="宋体"/>
          <w:color w:val="auto"/>
          <w:szCs w:val="21"/>
        </w:rPr>
        <w:t>10.1.2采购人确定中标人的，采购代理机构应当在评标结束后2个工作日内将评标报告送采购人，采购人应当自收到评标报告之日起5个工作日内，在评标报告确定的中标候选人名单中按照顺序确定中标人。中标候选人并列的，采取随机抽取的方式确定。</w:t>
      </w:r>
    </w:p>
    <w:p>
      <w:pPr>
        <w:spacing w:line="400" w:lineRule="exact"/>
        <w:rPr>
          <w:rFonts w:ascii="宋体"/>
          <w:color w:val="auto"/>
          <w:szCs w:val="21"/>
        </w:rPr>
      </w:pPr>
      <w:r>
        <w:rPr>
          <w:rFonts w:hint="eastAsia" w:ascii="宋体"/>
          <w:color w:val="auto"/>
          <w:szCs w:val="21"/>
        </w:rPr>
        <w:t>10.1.3采购人在收到评标报告5个工作日内未按评标报告推荐的中标候选人顺序确定中标人，又不能说明合法理由的，视同按评标报告推荐的顺序确定排名第一的中标候选人为中标人。</w:t>
      </w:r>
    </w:p>
    <w:p>
      <w:pPr>
        <w:spacing w:line="400" w:lineRule="exact"/>
        <w:ind w:firstLine="420" w:firstLineChars="200"/>
        <w:rPr>
          <w:rFonts w:hint="eastAsia" w:ascii="宋体"/>
          <w:color w:val="auto"/>
          <w:szCs w:val="21"/>
        </w:rPr>
      </w:pPr>
      <w:r>
        <w:rPr>
          <w:rFonts w:hint="eastAsia" w:ascii="宋体"/>
          <w:color w:val="auto"/>
          <w:szCs w:val="21"/>
        </w:rPr>
        <w:t>若排名第一的推荐中标人放弃中标、或因不可抗力提出不能履行合同、或因推荐中标人自身原因未能在中标通知书规定的期限内与采购人签订合同，采购人将可以确定排名第二的中标候选人为推荐中标人。推荐中标人放弃中标后采购人也可以重新招标。</w:t>
      </w:r>
    </w:p>
    <w:p>
      <w:pPr>
        <w:spacing w:line="400" w:lineRule="exact"/>
        <w:rPr>
          <w:rFonts w:hint="eastAsia" w:ascii="宋体"/>
          <w:color w:val="auto"/>
          <w:szCs w:val="21"/>
        </w:rPr>
      </w:pPr>
      <w:r>
        <w:rPr>
          <w:rFonts w:hint="eastAsia" w:ascii="宋体"/>
          <w:color w:val="auto"/>
          <w:szCs w:val="21"/>
        </w:rPr>
        <w:t>10.1.4评标委员会受采购人事先授权委托直接确定中标人的，评标委员会在评标报告确定的中标候选人名单中按照顺序确定中标人。中标候选人并列的，采取随机抽取的方式确定。</w:t>
      </w:r>
    </w:p>
    <w:p>
      <w:pPr>
        <w:spacing w:line="400" w:lineRule="exact"/>
        <w:rPr>
          <w:rFonts w:hint="eastAsia" w:ascii="宋体"/>
          <w:color w:val="auto"/>
          <w:szCs w:val="21"/>
        </w:rPr>
      </w:pPr>
      <w:r>
        <w:rPr>
          <w:rFonts w:hint="eastAsia" w:ascii="宋体"/>
          <w:color w:val="auto"/>
          <w:szCs w:val="21"/>
        </w:rPr>
        <w:t>10.1.5采购人、采购代理机构自中标人确定之日起2个工作日内，在本项目指定的媒体上公告中标结果。</w:t>
      </w:r>
    </w:p>
    <w:p>
      <w:pPr>
        <w:spacing w:line="400" w:lineRule="exact"/>
        <w:rPr>
          <w:rFonts w:hint="eastAsia" w:ascii="宋体"/>
          <w:b/>
          <w:color w:val="auto"/>
          <w:sz w:val="24"/>
        </w:rPr>
      </w:pPr>
      <w:r>
        <w:rPr>
          <w:rFonts w:hint="eastAsia" w:ascii="宋体"/>
          <w:b/>
          <w:color w:val="auto"/>
          <w:sz w:val="24"/>
        </w:rPr>
        <w:t>十一、政府采购合同签订</w:t>
      </w:r>
    </w:p>
    <w:p>
      <w:pPr>
        <w:spacing w:line="400" w:lineRule="exact"/>
        <w:ind w:left="210" w:hanging="210" w:hangingChars="100"/>
        <w:rPr>
          <w:rFonts w:hint="eastAsia" w:ascii="宋体"/>
          <w:color w:val="auto"/>
          <w:szCs w:val="21"/>
        </w:rPr>
      </w:pPr>
      <w:r>
        <w:rPr>
          <w:rFonts w:hint="eastAsia" w:ascii="宋体"/>
          <w:color w:val="auto"/>
          <w:szCs w:val="21"/>
        </w:rPr>
        <w:t>11.1 政府采购合同适用合同法，采购人和供应商之间的权力和义务，应当按照平等、自愿的原则以合同方式约定。合同应当采用书面形式。政府采购合同的双方当事人不得擅自变更、中止或者终止合同。</w:t>
      </w:r>
    </w:p>
    <w:p>
      <w:pPr>
        <w:spacing w:line="400" w:lineRule="exact"/>
        <w:rPr>
          <w:rFonts w:ascii="宋体"/>
          <w:color w:val="auto"/>
          <w:szCs w:val="21"/>
        </w:rPr>
      </w:pPr>
      <w:r>
        <w:rPr>
          <w:rFonts w:hint="eastAsia" w:ascii="宋体"/>
          <w:b/>
          <w:color w:val="auto"/>
          <w:szCs w:val="21"/>
        </w:rPr>
        <w:t>11.2中标通知书</w:t>
      </w:r>
    </w:p>
    <w:p>
      <w:pPr>
        <w:spacing w:line="400" w:lineRule="exact"/>
        <w:ind w:left="210" w:hanging="210" w:hangingChars="100"/>
        <w:rPr>
          <w:rFonts w:hint="eastAsia" w:ascii="宋体"/>
          <w:color w:val="auto"/>
          <w:szCs w:val="21"/>
        </w:rPr>
      </w:pPr>
      <w:r>
        <w:rPr>
          <w:rFonts w:hint="eastAsia" w:ascii="宋体"/>
          <w:color w:val="auto"/>
          <w:szCs w:val="21"/>
        </w:rPr>
        <w:t>11.2.1在公告中标结果的同时，采购人或者采购代理机构向中标人发出中标通知书。</w:t>
      </w:r>
    </w:p>
    <w:p>
      <w:pPr>
        <w:spacing w:line="400" w:lineRule="exact"/>
        <w:rPr>
          <w:rFonts w:hint="eastAsia" w:ascii="宋体"/>
          <w:color w:val="auto"/>
          <w:szCs w:val="21"/>
        </w:rPr>
      </w:pPr>
      <w:r>
        <w:rPr>
          <w:rFonts w:hint="eastAsia" w:ascii="宋体"/>
          <w:color w:val="auto"/>
          <w:szCs w:val="21"/>
        </w:rPr>
        <w:t>11.2.2中标通知书发出后，采购人不得违法改变中标结果，中标人无正当理由不得放弃中标。</w:t>
      </w:r>
    </w:p>
    <w:p>
      <w:pPr>
        <w:spacing w:line="400" w:lineRule="exact"/>
        <w:rPr>
          <w:rFonts w:ascii="宋体"/>
          <w:color w:val="auto"/>
          <w:szCs w:val="21"/>
        </w:rPr>
      </w:pPr>
      <w:r>
        <w:rPr>
          <w:rFonts w:hint="eastAsia" w:ascii="宋体"/>
          <w:b/>
          <w:color w:val="auto"/>
          <w:szCs w:val="21"/>
        </w:rPr>
        <w:t>11.3签订合同</w:t>
      </w:r>
    </w:p>
    <w:p>
      <w:pPr>
        <w:spacing w:line="400" w:lineRule="exact"/>
        <w:rPr>
          <w:rFonts w:ascii="宋体"/>
          <w:color w:val="auto"/>
          <w:szCs w:val="21"/>
        </w:rPr>
      </w:pPr>
      <w:r>
        <w:rPr>
          <w:rFonts w:hint="eastAsia" w:ascii="宋体"/>
          <w:color w:val="auto"/>
          <w:szCs w:val="21"/>
        </w:rPr>
        <w:t>11.3.1采购人与中标人应当自中标通知书发出之日起最迟30日内按照采购文件、中标人投标文件和中标通知书的内容签订书面合同，根据本项目具体情况，采购人要求签订合同的具体时间见前附表，所签订的合同不得对采购文件确定的事项和中标人投标文件作实质性修改。</w:t>
      </w:r>
    </w:p>
    <w:p>
      <w:pPr>
        <w:spacing w:line="400" w:lineRule="exact"/>
        <w:ind w:left="210" w:hanging="210" w:hangingChars="100"/>
        <w:rPr>
          <w:rFonts w:hint="eastAsia" w:ascii="宋体"/>
          <w:color w:val="auto"/>
          <w:szCs w:val="21"/>
        </w:rPr>
      </w:pPr>
      <w:r>
        <w:rPr>
          <w:rFonts w:hint="eastAsia" w:ascii="宋体"/>
          <w:color w:val="auto"/>
          <w:szCs w:val="21"/>
        </w:rPr>
        <w:t>11.3.2采购文件、中标人的投标文件、中标通知书及评标过程中有关的澄清文件均应作为合同附件。</w:t>
      </w:r>
    </w:p>
    <w:p>
      <w:pPr>
        <w:spacing w:line="400" w:lineRule="exact"/>
        <w:ind w:left="210" w:hanging="210" w:hangingChars="100"/>
        <w:rPr>
          <w:rFonts w:hint="eastAsia" w:ascii="宋体"/>
          <w:color w:val="auto"/>
          <w:szCs w:val="21"/>
        </w:rPr>
      </w:pPr>
      <w:r>
        <w:rPr>
          <w:rFonts w:hint="eastAsia" w:ascii="宋体"/>
          <w:color w:val="auto"/>
          <w:szCs w:val="21"/>
        </w:rPr>
        <w:t>11.3.3 中标人因不可抗力或者自身原因拒绝与采购人签订政府采购合同的，采购人将按照前附表的规定进行处理。</w:t>
      </w:r>
    </w:p>
    <w:p>
      <w:pPr>
        <w:spacing w:line="400" w:lineRule="exact"/>
        <w:rPr>
          <w:rFonts w:hint="eastAsia" w:ascii="宋体"/>
          <w:color w:val="auto"/>
          <w:szCs w:val="21"/>
        </w:rPr>
      </w:pPr>
      <w:r>
        <w:rPr>
          <w:rFonts w:hint="eastAsia" w:ascii="宋体"/>
          <w:b/>
          <w:color w:val="auto"/>
          <w:szCs w:val="21"/>
        </w:rPr>
        <w:t>11.4履约保证金</w:t>
      </w:r>
    </w:p>
    <w:p>
      <w:pPr>
        <w:spacing w:line="400" w:lineRule="exact"/>
        <w:rPr>
          <w:rFonts w:hint="eastAsia" w:ascii="宋体"/>
          <w:color w:val="auto"/>
          <w:szCs w:val="21"/>
        </w:rPr>
      </w:pPr>
      <w:r>
        <w:rPr>
          <w:rFonts w:hint="eastAsia" w:ascii="宋体"/>
          <w:color w:val="auto"/>
          <w:szCs w:val="21"/>
        </w:rPr>
        <w:t>11.4.1 履约保证金是中标人按照采购文件要求而向采购人提交的用以保障其履行合同义务的一种担保，促使中标人全面履行与采购人订立的合同，确保合同目标的实现。中标人违约的，采购人将按照合同约定扣除其全部或部分履约保证金，或由担保人承担担保责任，如果中标人违约给采购人造成的损失超过履约保证金的，还应当依法赔偿超过部分的损失。</w:t>
      </w:r>
    </w:p>
    <w:p>
      <w:pPr>
        <w:spacing w:line="400" w:lineRule="exact"/>
        <w:rPr>
          <w:rFonts w:hint="eastAsia" w:ascii="宋体"/>
          <w:color w:val="auto"/>
          <w:szCs w:val="21"/>
        </w:rPr>
      </w:pPr>
      <w:r>
        <w:rPr>
          <w:rFonts w:hint="eastAsia" w:ascii="宋体"/>
          <w:color w:val="auto"/>
          <w:szCs w:val="21"/>
        </w:rPr>
        <w:t>11.4.2履约保证金的要求见前附表。</w:t>
      </w:r>
    </w:p>
    <w:p>
      <w:pPr>
        <w:spacing w:line="400" w:lineRule="exact"/>
        <w:ind w:left="88" w:hanging="88" w:hangingChars="42"/>
        <w:rPr>
          <w:rFonts w:hint="eastAsia" w:ascii="宋体"/>
          <w:color w:val="auto"/>
          <w:szCs w:val="21"/>
        </w:rPr>
      </w:pPr>
      <w:r>
        <w:rPr>
          <w:rFonts w:hint="eastAsia" w:ascii="宋体"/>
          <w:color w:val="auto"/>
          <w:szCs w:val="21"/>
        </w:rPr>
        <w:t>11.4.3履约保证金的有效期自合同生效之日起至合同约定的中标人义务完毕止。</w:t>
      </w:r>
    </w:p>
    <w:p>
      <w:pPr>
        <w:spacing w:line="400" w:lineRule="exact"/>
        <w:ind w:left="88" w:hanging="88" w:hangingChars="42"/>
        <w:rPr>
          <w:rFonts w:ascii="宋体"/>
          <w:color w:val="auto"/>
          <w:szCs w:val="21"/>
        </w:rPr>
      </w:pPr>
      <w:r>
        <w:rPr>
          <w:rFonts w:hint="eastAsia" w:ascii="宋体"/>
          <w:color w:val="auto"/>
          <w:szCs w:val="21"/>
        </w:rPr>
        <w:t>11.4.4履约保证金的退还</w:t>
      </w:r>
      <w:r>
        <w:rPr>
          <w:rFonts w:hint="eastAsia" w:ascii="宋体"/>
          <w:color w:val="auto"/>
          <w:szCs w:val="21"/>
          <w:lang w:val="en-US" w:eastAsia="zh-CN"/>
        </w:rPr>
        <w:t>具体在</w:t>
      </w:r>
      <w:r>
        <w:rPr>
          <w:rFonts w:hint="eastAsia" w:ascii="宋体"/>
          <w:color w:val="auto"/>
          <w:szCs w:val="21"/>
        </w:rPr>
        <w:t>合同</w:t>
      </w:r>
      <w:r>
        <w:rPr>
          <w:rFonts w:hint="eastAsia" w:ascii="宋体"/>
          <w:color w:val="auto"/>
          <w:szCs w:val="21"/>
          <w:lang w:val="en-US" w:eastAsia="zh-CN"/>
        </w:rPr>
        <w:t>中</w:t>
      </w:r>
      <w:r>
        <w:rPr>
          <w:rFonts w:hint="eastAsia" w:ascii="宋体"/>
          <w:color w:val="auto"/>
          <w:szCs w:val="21"/>
        </w:rPr>
        <w:t>进行约定。</w:t>
      </w:r>
    </w:p>
    <w:p>
      <w:pPr>
        <w:spacing w:line="400" w:lineRule="exact"/>
        <w:rPr>
          <w:rFonts w:hint="eastAsia" w:ascii="宋体"/>
          <w:b/>
          <w:color w:val="auto"/>
          <w:sz w:val="24"/>
        </w:rPr>
      </w:pPr>
      <w:r>
        <w:rPr>
          <w:rFonts w:hint="eastAsia" w:ascii="宋体"/>
          <w:b/>
          <w:color w:val="auto"/>
          <w:sz w:val="24"/>
        </w:rPr>
        <w:t>十二、招标代理服务收费</w:t>
      </w:r>
    </w:p>
    <w:p>
      <w:pPr>
        <w:spacing w:line="400" w:lineRule="exact"/>
        <w:rPr>
          <w:rFonts w:hint="eastAsia" w:ascii="宋体"/>
          <w:b/>
          <w:color w:val="auto"/>
          <w:szCs w:val="21"/>
        </w:rPr>
      </w:pPr>
      <w:r>
        <w:rPr>
          <w:rFonts w:hint="eastAsia" w:ascii="宋体"/>
          <w:color w:val="auto"/>
          <w:szCs w:val="21"/>
        </w:rPr>
        <w:t>12.1招标代理服务收费：是指采购代理机构接受采购人委托，从事编制采购文件，审查投标人资格，组织投标人踏勘现场并答疑，组织开标、评标、定标，以及提供招标前期咨询、协调合同的签订等业务所收取的费用。费用收取方式及收费标准见前附表。</w:t>
      </w:r>
    </w:p>
    <w:p>
      <w:pPr>
        <w:spacing w:line="400" w:lineRule="exact"/>
        <w:rPr>
          <w:rFonts w:hint="eastAsia" w:ascii="宋体" w:hAnsi="宋体"/>
          <w:b/>
          <w:color w:val="auto"/>
          <w:sz w:val="24"/>
        </w:rPr>
      </w:pPr>
      <w:r>
        <w:rPr>
          <w:rFonts w:hint="eastAsia" w:ascii="宋体" w:hAnsi="宋体"/>
          <w:b/>
          <w:color w:val="auto"/>
          <w:sz w:val="24"/>
        </w:rPr>
        <w:t>十三、落实政府采购政策的特别说明</w:t>
      </w:r>
    </w:p>
    <w:p>
      <w:pPr>
        <w:spacing w:line="400" w:lineRule="exact"/>
        <w:rPr>
          <w:rFonts w:hint="eastAsia" w:ascii="宋体" w:hAnsi="宋体"/>
          <w:color w:val="auto"/>
          <w:szCs w:val="21"/>
        </w:rPr>
      </w:pPr>
      <w:r>
        <w:rPr>
          <w:rFonts w:hint="eastAsia" w:ascii="宋体" w:hAnsi="宋体"/>
          <w:color w:val="auto"/>
          <w:szCs w:val="21"/>
        </w:rPr>
        <w:t>13.1执行财政部、工业和信息化部《政府采购促进中小企业发展管理办法》（财库〔2020〕46号）。政府采购活动中有关中小企业的相关规定如下：</w:t>
      </w:r>
    </w:p>
    <w:p>
      <w:pPr>
        <w:spacing w:line="400" w:lineRule="exact"/>
        <w:rPr>
          <w:rFonts w:hint="eastAsia" w:ascii="宋体" w:hAnsi="宋体"/>
          <w:color w:val="auto"/>
          <w:szCs w:val="21"/>
        </w:rPr>
      </w:pPr>
      <w:r>
        <w:rPr>
          <w:rFonts w:hint="eastAsia" w:ascii="宋体" w:hAnsi="宋体"/>
          <w:color w:val="auto"/>
          <w:szCs w:val="21"/>
        </w:rPr>
        <w:t>13.2中小企业，是指在中华人民共和国境内依法设立，依据国务院批准的中小企业划分标准确定的中型企业、小型企业和微型企业，但与大企业的负责人为同一人，或者与大企业存在直接控股、管理关系的除外。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rPr>
          <w:rFonts w:hint="eastAsia" w:ascii="宋体" w:hAnsi="宋体"/>
          <w:color w:val="auto"/>
          <w:szCs w:val="21"/>
        </w:rPr>
      </w:pPr>
      <w:r>
        <w:rPr>
          <w:rFonts w:hint="eastAsia" w:ascii="宋体" w:hAnsi="宋体"/>
          <w:color w:val="auto"/>
          <w:szCs w:val="21"/>
        </w:rPr>
        <w:t>符合中小企业划分标准的个体工商户，在政府采购活动中视同中小企业。</w:t>
      </w:r>
    </w:p>
    <w:p>
      <w:pPr>
        <w:spacing w:line="400" w:lineRule="exact"/>
        <w:rPr>
          <w:rFonts w:hint="eastAsia" w:ascii="宋体" w:hAnsi="宋体"/>
          <w:color w:val="auto"/>
          <w:szCs w:val="21"/>
        </w:rPr>
      </w:pPr>
      <w:r>
        <w:rPr>
          <w:rFonts w:hint="eastAsia" w:ascii="宋体" w:hAnsi="宋体"/>
          <w:color w:val="auto"/>
          <w:szCs w:val="21"/>
        </w:rPr>
        <w:t>13.3在政府采购活动中，供应商提供的货物、工程或者服务符合下列情形的，享受《政府采购促进中小企业发展管理办法》规定的中小企业扶持政策：</w:t>
      </w:r>
    </w:p>
    <w:p>
      <w:pPr>
        <w:spacing w:line="400" w:lineRule="exact"/>
        <w:rPr>
          <w:rFonts w:hint="eastAsia" w:ascii="宋体" w:hAnsi="宋体"/>
          <w:color w:val="auto"/>
          <w:szCs w:val="21"/>
        </w:rPr>
      </w:pPr>
      <w:r>
        <w:rPr>
          <w:rFonts w:hint="eastAsia" w:ascii="宋体" w:hAnsi="宋体"/>
          <w:color w:val="auto"/>
          <w:szCs w:val="21"/>
        </w:rPr>
        <w:t>（1）、在货物采购项目中，货物由中小企业制造，即货物由中小企业生产且使用该中小企业商号或者注册商标；</w:t>
      </w:r>
    </w:p>
    <w:p>
      <w:pPr>
        <w:spacing w:line="400" w:lineRule="exact"/>
        <w:rPr>
          <w:rFonts w:hint="eastAsia" w:ascii="宋体" w:hAnsi="宋体"/>
          <w:color w:val="auto"/>
          <w:szCs w:val="21"/>
        </w:rPr>
      </w:pPr>
      <w:r>
        <w:rPr>
          <w:rFonts w:hint="eastAsia" w:ascii="宋体" w:hAnsi="宋体"/>
          <w:color w:val="auto"/>
          <w:szCs w:val="21"/>
        </w:rPr>
        <w:t>（2）、在工程采购项目中，工程由中小企业承建，即工程施工单位为中小企业；</w:t>
      </w:r>
    </w:p>
    <w:p>
      <w:pPr>
        <w:spacing w:line="400" w:lineRule="exact"/>
        <w:rPr>
          <w:rFonts w:hint="eastAsia" w:ascii="宋体" w:hAnsi="宋体"/>
          <w:color w:val="auto"/>
          <w:szCs w:val="21"/>
        </w:rPr>
      </w:pPr>
      <w:r>
        <w:rPr>
          <w:rFonts w:hint="eastAsia" w:ascii="宋体" w:hAnsi="宋体"/>
          <w:color w:val="auto"/>
          <w:szCs w:val="21"/>
        </w:rPr>
        <w:t xml:space="preserve">（3）、在服务采购项目中，服务由中小企业承接，即提供服务的人员为中小企业依照《中华人民共和国劳动合同法》订立劳动合同的从业人员。 </w:t>
      </w:r>
    </w:p>
    <w:p>
      <w:pPr>
        <w:spacing w:line="400" w:lineRule="exact"/>
        <w:rPr>
          <w:rFonts w:hint="eastAsia" w:ascii="宋体" w:hAnsi="宋体"/>
          <w:color w:val="auto"/>
          <w:szCs w:val="21"/>
        </w:rPr>
      </w:pPr>
      <w:r>
        <w:rPr>
          <w:rFonts w:hint="eastAsia" w:ascii="宋体" w:hAnsi="宋体"/>
          <w:color w:val="auto"/>
          <w:szCs w:val="21"/>
        </w:rPr>
        <w:t>在货物采购项目中，供应商提供的货物既有中小企业制造货物，也有大型企业制造货物的，不享受《政府采购促进中小企业发展管理办法》规定的中小企业扶持政策。</w:t>
      </w:r>
    </w:p>
    <w:p>
      <w:pPr>
        <w:spacing w:line="400" w:lineRule="exact"/>
        <w:rPr>
          <w:rFonts w:hint="eastAsia" w:ascii="宋体" w:hAnsi="宋体"/>
          <w:color w:val="auto"/>
          <w:szCs w:val="21"/>
        </w:rPr>
      </w:pPr>
      <w:r>
        <w:rPr>
          <w:rFonts w:hint="eastAsia" w:ascii="宋体" w:hAnsi="宋体"/>
          <w:color w:val="auto"/>
          <w:szCs w:val="21"/>
        </w:rPr>
        <w:t>以联合体形式参加政府采购活动，联合体各方均为中小企业的，联合体视同中小企业。其中，联合体各方均为小微企业的，联合体视同小微企业。</w:t>
      </w:r>
    </w:p>
    <w:p>
      <w:pPr>
        <w:spacing w:line="400" w:lineRule="exact"/>
        <w:rPr>
          <w:rFonts w:hint="eastAsia" w:ascii="宋体" w:hAnsi="宋体"/>
          <w:color w:val="auto"/>
          <w:szCs w:val="21"/>
        </w:rPr>
      </w:pPr>
      <w:r>
        <w:rPr>
          <w:rFonts w:hint="eastAsia" w:ascii="宋体" w:hAnsi="宋体"/>
          <w:color w:val="auto"/>
          <w:szCs w:val="21"/>
        </w:rPr>
        <w:t>13.4中小企业参加政府采购活动，应当出具《政府采购促进中小企业发展管理办法》规定的《中小企业声明函》（格式见本采购文件附件），否则不得享受相关中小企业扶持政策。</w:t>
      </w:r>
    </w:p>
    <w:p>
      <w:pPr>
        <w:spacing w:line="400" w:lineRule="exact"/>
        <w:rPr>
          <w:rFonts w:hint="eastAsia" w:ascii="宋体" w:hAnsi="宋体"/>
          <w:color w:val="auto"/>
          <w:szCs w:val="21"/>
        </w:rPr>
      </w:pPr>
      <w:r>
        <w:rPr>
          <w:rFonts w:hint="eastAsia" w:ascii="宋体" w:hAnsi="宋体"/>
          <w:color w:val="auto"/>
          <w:szCs w:val="21"/>
        </w:rPr>
        <w:t>13.5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rPr>
          <w:rFonts w:hint="eastAsia" w:ascii="宋体" w:hAnsi="宋体"/>
          <w:color w:val="auto"/>
          <w:szCs w:val="21"/>
        </w:rPr>
      </w:pPr>
      <w:r>
        <w:rPr>
          <w:rFonts w:hint="eastAsia" w:ascii="宋体" w:hAnsi="宋体"/>
          <w:color w:val="auto"/>
          <w:szCs w:val="21"/>
        </w:rPr>
        <w:t>供应商提供声明函内容不实的，属于提供虚假材料谋取中标、成交，依照《中华人民共和国政府采购法》等国家有关规定追究相应责任。</w:t>
      </w:r>
    </w:p>
    <w:p>
      <w:pPr>
        <w:spacing w:line="400" w:lineRule="exact"/>
        <w:rPr>
          <w:rFonts w:hint="eastAsia" w:ascii="宋体" w:hAnsi="宋体"/>
          <w:color w:val="auto"/>
          <w:szCs w:val="21"/>
        </w:rPr>
      </w:pPr>
      <w:r>
        <w:rPr>
          <w:rFonts w:hint="eastAsia" w:ascii="宋体" w:hAnsi="宋体"/>
          <w:color w:val="auto"/>
          <w:szCs w:val="21"/>
        </w:rPr>
        <w:t>适用招标投标法的政府采购工程建设项目，投标人提供声明函内容不实的，属于弄虚作假骗取中标，依照《中华人民共和国招标投标法》等国家有关规定追究相应责任。</w:t>
      </w:r>
    </w:p>
    <w:p>
      <w:pPr>
        <w:spacing w:line="400" w:lineRule="exact"/>
        <w:rPr>
          <w:rFonts w:hint="eastAsia" w:ascii="宋体" w:hAnsi="宋体"/>
          <w:color w:val="auto"/>
          <w:szCs w:val="21"/>
        </w:rPr>
      </w:pPr>
      <w:r>
        <w:rPr>
          <w:rFonts w:hint="eastAsia" w:ascii="宋体" w:hAnsi="宋体"/>
          <w:color w:val="auto"/>
          <w:szCs w:val="21"/>
        </w:rPr>
        <w:t>13.6 《中小企业声明函》由参加投标的供应商提交，如供应商为代理商，须自行采集制造商的中小企业划分类型信息填入相应栏目并对其真实性负责。</w:t>
      </w:r>
    </w:p>
    <w:p>
      <w:pPr>
        <w:spacing w:line="400" w:lineRule="exact"/>
        <w:rPr>
          <w:rFonts w:hint="eastAsia" w:ascii="宋体" w:hAnsi="宋体"/>
          <w:b/>
          <w:color w:val="auto"/>
          <w:sz w:val="24"/>
        </w:rPr>
      </w:pPr>
      <w:r>
        <w:rPr>
          <w:rFonts w:hint="eastAsia" w:ascii="宋体" w:hAnsi="宋体"/>
          <w:b/>
          <w:color w:val="auto"/>
          <w:sz w:val="24"/>
        </w:rPr>
        <w:t>十四、对供应商质疑的有关规定:</w:t>
      </w:r>
    </w:p>
    <w:p>
      <w:pPr>
        <w:spacing w:line="400" w:lineRule="exact"/>
        <w:rPr>
          <w:rFonts w:hint="eastAsia" w:ascii="宋体" w:hAnsi="宋体"/>
          <w:color w:val="auto"/>
          <w:szCs w:val="21"/>
        </w:rPr>
      </w:pPr>
      <w:r>
        <w:rPr>
          <w:rFonts w:hint="eastAsia" w:ascii="宋体" w:hAnsi="宋体"/>
          <w:color w:val="auto"/>
          <w:szCs w:val="21"/>
        </w:rPr>
        <w:t>14.1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pPr>
        <w:spacing w:line="400" w:lineRule="exact"/>
        <w:rPr>
          <w:rFonts w:hint="eastAsia" w:ascii="宋体" w:hAnsi="宋体"/>
          <w:color w:val="auto"/>
          <w:szCs w:val="21"/>
        </w:rPr>
      </w:pPr>
      <w:r>
        <w:rPr>
          <w:rFonts w:hint="eastAsia" w:ascii="宋体" w:hAnsi="宋体"/>
          <w:color w:val="auto"/>
          <w:szCs w:val="21"/>
        </w:rPr>
        <w:t>14.2</w:t>
      </w:r>
      <w:r>
        <w:rPr>
          <w:rFonts w:ascii="宋体" w:hAnsi="宋体"/>
          <w:color w:val="auto"/>
          <w:szCs w:val="21"/>
        </w:rPr>
        <w:t>提出质疑的供应商应当是参与所质疑项目采购活动的供应商。</w:t>
      </w:r>
      <w:r>
        <w:rPr>
          <w:rFonts w:hint="eastAsia" w:ascii="宋体" w:hAnsi="宋体"/>
          <w:color w:val="auto"/>
          <w:szCs w:val="21"/>
        </w:rPr>
        <w:t>未依法获取采购文件的</w:t>
      </w:r>
      <w:r>
        <w:rPr>
          <w:rFonts w:ascii="宋体" w:hAnsi="宋体"/>
          <w:color w:val="auto"/>
          <w:szCs w:val="21"/>
        </w:rPr>
        <w:t>，不得</w:t>
      </w:r>
      <w:r>
        <w:rPr>
          <w:rFonts w:hint="eastAsia" w:ascii="宋体" w:hAnsi="宋体"/>
          <w:color w:val="auto"/>
          <w:szCs w:val="21"/>
        </w:rPr>
        <w:t>就采购文件</w:t>
      </w:r>
      <w:r>
        <w:rPr>
          <w:rFonts w:ascii="宋体" w:hAnsi="宋体"/>
          <w:color w:val="auto"/>
          <w:szCs w:val="21"/>
        </w:rPr>
        <w:t>提出质疑</w:t>
      </w:r>
      <w:r>
        <w:rPr>
          <w:rFonts w:hint="eastAsia" w:ascii="宋体" w:hAnsi="宋体"/>
          <w:color w:val="auto"/>
          <w:szCs w:val="21"/>
        </w:rPr>
        <w:t>；</w:t>
      </w:r>
      <w:r>
        <w:rPr>
          <w:rFonts w:ascii="宋体" w:hAnsi="宋体"/>
          <w:color w:val="auto"/>
          <w:szCs w:val="21"/>
        </w:rPr>
        <w:t>未提交</w:t>
      </w:r>
      <w:r>
        <w:rPr>
          <w:rFonts w:hint="eastAsia" w:ascii="宋体" w:hAnsi="宋体"/>
          <w:color w:val="auto"/>
          <w:szCs w:val="21"/>
        </w:rPr>
        <w:t>投标文件</w:t>
      </w:r>
      <w:r>
        <w:rPr>
          <w:rFonts w:ascii="宋体" w:hAnsi="宋体"/>
          <w:color w:val="auto"/>
          <w:szCs w:val="21"/>
        </w:rPr>
        <w:t>的供应商，视为与采购结果没有利害关系，不得就采购响应截止时间后的采购过程、采购结果提出质疑。</w:t>
      </w:r>
    </w:p>
    <w:p>
      <w:pPr>
        <w:spacing w:line="400" w:lineRule="exact"/>
        <w:rPr>
          <w:rFonts w:hint="eastAsia" w:ascii="宋体" w:hAnsi="宋体"/>
          <w:color w:val="auto"/>
          <w:szCs w:val="21"/>
        </w:rPr>
      </w:pPr>
      <w:r>
        <w:rPr>
          <w:rFonts w:hint="eastAsia" w:ascii="宋体" w:hAnsi="宋体"/>
          <w:color w:val="auto"/>
          <w:szCs w:val="21"/>
        </w:rPr>
        <w:t>14.3 供应商提出质疑应当提交质疑函和必要的证明材料，质疑函应当以书面形式提出，质疑函格式和内容须符合财政部《质疑函范本》要求，供应商可到中国政府采购网自行下载财政部《质疑函范本》。</w:t>
      </w:r>
    </w:p>
    <w:p>
      <w:pPr>
        <w:spacing w:line="400" w:lineRule="exact"/>
        <w:rPr>
          <w:rFonts w:hint="eastAsia" w:ascii="宋体" w:hAnsi="宋体"/>
          <w:color w:val="auto"/>
          <w:szCs w:val="21"/>
        </w:rPr>
      </w:pPr>
      <w:r>
        <w:rPr>
          <w:rFonts w:hint="eastAsia" w:ascii="宋体" w:hAnsi="宋体"/>
          <w:color w:val="auto"/>
          <w:szCs w:val="21"/>
        </w:rPr>
        <w:t>14.4供应商质疑实行实名制，质疑函应当署名，供应商为自然人的，</w:t>
      </w:r>
      <w:r>
        <w:rPr>
          <w:rFonts w:ascii="宋体" w:hAnsi="宋体"/>
          <w:color w:val="auto"/>
          <w:szCs w:val="21"/>
        </w:rPr>
        <w:t>应当由本人签字；</w:t>
      </w:r>
      <w:r>
        <w:rPr>
          <w:rFonts w:hint="eastAsia" w:ascii="宋体" w:hAnsi="宋体"/>
          <w:color w:val="auto"/>
          <w:szCs w:val="21"/>
        </w:rPr>
        <w:t>供应商</w:t>
      </w:r>
      <w:r>
        <w:rPr>
          <w:rFonts w:ascii="宋体" w:hAnsi="宋体"/>
          <w:color w:val="auto"/>
          <w:szCs w:val="21"/>
        </w:rPr>
        <w:t>为法人</w:t>
      </w:r>
      <w:r>
        <w:rPr>
          <w:rFonts w:hint="eastAsia" w:ascii="宋体" w:hAnsi="宋体"/>
          <w:color w:val="auto"/>
          <w:szCs w:val="21"/>
        </w:rPr>
        <w:t>或者</w:t>
      </w:r>
      <w:r>
        <w:rPr>
          <w:rFonts w:ascii="宋体" w:hAnsi="宋体"/>
          <w:color w:val="auto"/>
          <w:szCs w:val="21"/>
        </w:rPr>
        <w:t>其他组织的，应当由法定代表人</w:t>
      </w:r>
      <w:r>
        <w:rPr>
          <w:rFonts w:hint="eastAsia" w:ascii="宋体" w:hAnsi="宋体"/>
          <w:color w:val="auto"/>
          <w:szCs w:val="21"/>
        </w:rPr>
        <w:t>、</w:t>
      </w:r>
      <w:r>
        <w:rPr>
          <w:rFonts w:ascii="宋体" w:hAnsi="宋体"/>
          <w:color w:val="auto"/>
          <w:szCs w:val="21"/>
        </w:rPr>
        <w:t>主要负责人</w:t>
      </w:r>
      <w:r>
        <w:rPr>
          <w:rFonts w:hint="eastAsia" w:ascii="宋体" w:hAnsi="宋体"/>
          <w:color w:val="auto"/>
          <w:szCs w:val="21"/>
        </w:rPr>
        <w:t>，或者其授权代表（指代理人</w:t>
      </w:r>
      <w:r>
        <w:rPr>
          <w:rFonts w:ascii="宋体" w:hAnsi="宋体"/>
          <w:color w:val="auto"/>
          <w:szCs w:val="21"/>
        </w:rPr>
        <w:t>）签字</w:t>
      </w:r>
      <w:r>
        <w:rPr>
          <w:rFonts w:hint="eastAsia" w:ascii="宋体" w:hAnsi="宋体"/>
          <w:color w:val="auto"/>
          <w:szCs w:val="21"/>
        </w:rPr>
        <w:t>或者</w:t>
      </w:r>
      <w:r>
        <w:rPr>
          <w:rFonts w:ascii="宋体" w:hAnsi="宋体"/>
          <w:color w:val="auto"/>
          <w:szCs w:val="21"/>
        </w:rPr>
        <w:t>盖章</w:t>
      </w:r>
      <w:r>
        <w:rPr>
          <w:rFonts w:hint="eastAsia" w:ascii="宋体" w:hAnsi="宋体"/>
          <w:color w:val="auto"/>
          <w:szCs w:val="21"/>
        </w:rPr>
        <w:t>，</w:t>
      </w:r>
      <w:r>
        <w:rPr>
          <w:rFonts w:ascii="宋体" w:hAnsi="宋体"/>
          <w:color w:val="auto"/>
          <w:szCs w:val="21"/>
        </w:rPr>
        <w:t>并加盖公章</w:t>
      </w:r>
      <w:r>
        <w:rPr>
          <w:rFonts w:hint="eastAsia" w:ascii="宋体" w:hAnsi="宋体"/>
          <w:color w:val="auto"/>
          <w:szCs w:val="21"/>
        </w:rPr>
        <w:t>；代理人提出质疑的，应当提交供应商签署的授权委托书；以联合体形式参加政府采购活动的，其质疑应当由组成联合体的所有供应商共同提出。</w:t>
      </w:r>
    </w:p>
    <w:p>
      <w:pPr>
        <w:spacing w:line="400" w:lineRule="exact"/>
        <w:rPr>
          <w:rFonts w:hint="eastAsia" w:ascii="宋体" w:hAnsi="宋体"/>
          <w:color w:val="auto"/>
          <w:szCs w:val="21"/>
        </w:rPr>
      </w:pPr>
      <w:r>
        <w:rPr>
          <w:rFonts w:hint="eastAsia" w:ascii="宋体" w:hAnsi="宋体"/>
          <w:color w:val="auto"/>
          <w:szCs w:val="21"/>
        </w:rPr>
        <w:t>14.5采购人、采购代理机构接收质疑函的方式：只接收供应商</w:t>
      </w:r>
      <w:r>
        <w:rPr>
          <w:rFonts w:ascii="宋体" w:hAnsi="宋体"/>
          <w:color w:val="auto"/>
          <w:szCs w:val="21"/>
        </w:rPr>
        <w:t>以</w:t>
      </w:r>
      <w:r>
        <w:rPr>
          <w:rFonts w:hint="eastAsia" w:ascii="宋体" w:hAnsi="宋体"/>
          <w:color w:val="auto"/>
          <w:szCs w:val="21"/>
        </w:rPr>
        <w:t>当面</w:t>
      </w:r>
      <w:r>
        <w:rPr>
          <w:rFonts w:ascii="宋体" w:hAnsi="宋体"/>
          <w:color w:val="auto"/>
          <w:szCs w:val="21"/>
        </w:rPr>
        <w:t>递交</w:t>
      </w:r>
      <w:r>
        <w:rPr>
          <w:rFonts w:hint="eastAsia" w:ascii="宋体" w:hAnsi="宋体"/>
          <w:color w:val="auto"/>
          <w:szCs w:val="21"/>
        </w:rPr>
        <w:t>、</w:t>
      </w:r>
      <w:r>
        <w:rPr>
          <w:rFonts w:ascii="宋体" w:hAnsi="宋体"/>
          <w:color w:val="auto"/>
          <w:szCs w:val="21"/>
        </w:rPr>
        <w:t>邮寄</w:t>
      </w:r>
      <w:r>
        <w:rPr>
          <w:rFonts w:hint="eastAsia" w:ascii="宋体" w:hAnsi="宋体"/>
          <w:color w:val="auto"/>
          <w:szCs w:val="21"/>
        </w:rPr>
        <w:t>、传真或电子邮件</w:t>
      </w:r>
      <w:r>
        <w:rPr>
          <w:rFonts w:ascii="宋体" w:hAnsi="宋体"/>
          <w:color w:val="auto"/>
          <w:szCs w:val="21"/>
        </w:rPr>
        <w:t>方式提</w:t>
      </w:r>
      <w:r>
        <w:rPr>
          <w:rFonts w:hint="eastAsia" w:ascii="宋体" w:hAnsi="宋体"/>
          <w:color w:val="auto"/>
          <w:szCs w:val="21"/>
        </w:rPr>
        <w:t>出的质疑函，</w:t>
      </w:r>
      <w:r>
        <w:rPr>
          <w:rFonts w:ascii="宋体" w:hAnsi="宋体"/>
          <w:color w:val="auto"/>
          <w:szCs w:val="21"/>
        </w:rPr>
        <w:t>以其他方式提出的质疑不予</w:t>
      </w:r>
      <w:r>
        <w:rPr>
          <w:rFonts w:hint="eastAsia" w:ascii="宋体" w:hAnsi="宋体"/>
          <w:color w:val="auto"/>
          <w:szCs w:val="21"/>
        </w:rPr>
        <w:t>接收</w:t>
      </w:r>
      <w:r>
        <w:rPr>
          <w:rFonts w:ascii="宋体" w:hAnsi="宋体"/>
          <w:color w:val="auto"/>
          <w:szCs w:val="21"/>
        </w:rPr>
        <w:t>。</w:t>
      </w:r>
    </w:p>
    <w:p>
      <w:pPr>
        <w:spacing w:line="400" w:lineRule="exact"/>
        <w:rPr>
          <w:rFonts w:hint="eastAsia" w:ascii="宋体" w:hAnsi="宋体"/>
          <w:color w:val="auto"/>
          <w:szCs w:val="21"/>
        </w:rPr>
      </w:pPr>
      <w:r>
        <w:rPr>
          <w:rFonts w:hint="eastAsia" w:ascii="宋体" w:hAnsi="宋体"/>
          <w:color w:val="auto"/>
          <w:szCs w:val="21"/>
        </w:rPr>
        <w:t>采取邮寄方式的，提出质疑的时间为</w:t>
      </w:r>
      <w:r>
        <w:rPr>
          <w:rFonts w:ascii="宋体" w:hAnsi="宋体"/>
          <w:color w:val="auto"/>
          <w:szCs w:val="21"/>
        </w:rPr>
        <w:t>质疑函</w:t>
      </w:r>
      <w:r>
        <w:rPr>
          <w:rFonts w:hint="eastAsia" w:ascii="宋体" w:hAnsi="宋体"/>
          <w:color w:val="auto"/>
          <w:szCs w:val="21"/>
        </w:rPr>
        <w:t>原件交邮</w:t>
      </w:r>
      <w:r>
        <w:rPr>
          <w:rFonts w:ascii="宋体" w:hAnsi="宋体"/>
          <w:color w:val="auto"/>
          <w:szCs w:val="21"/>
        </w:rPr>
        <w:t>的</w:t>
      </w:r>
      <w:r>
        <w:rPr>
          <w:rFonts w:hint="eastAsia" w:ascii="宋体" w:hAnsi="宋体"/>
          <w:color w:val="auto"/>
          <w:szCs w:val="21"/>
        </w:rPr>
        <w:t>时间（以邮戳时间或快递收件时间为准）。</w:t>
      </w:r>
    </w:p>
    <w:p>
      <w:pPr>
        <w:spacing w:line="400" w:lineRule="exact"/>
        <w:rPr>
          <w:rFonts w:hint="eastAsia" w:ascii="宋体" w:hAnsi="宋体"/>
          <w:color w:val="auto"/>
          <w:szCs w:val="21"/>
        </w:rPr>
      </w:pPr>
      <w:r>
        <w:rPr>
          <w:rFonts w:hint="eastAsia" w:ascii="宋体" w:hAnsi="宋体"/>
          <w:color w:val="auto"/>
          <w:szCs w:val="21"/>
        </w:rPr>
        <w:t>采取传真、电子邮件方式的，供应商应当在传真、电子邮件发出后将质疑函原件邮寄给被质疑人，提出质疑的时间为</w:t>
      </w:r>
      <w:r>
        <w:rPr>
          <w:rFonts w:ascii="宋体" w:hAnsi="宋体"/>
          <w:color w:val="auto"/>
          <w:szCs w:val="21"/>
        </w:rPr>
        <w:t>质疑函</w:t>
      </w:r>
      <w:r>
        <w:rPr>
          <w:rFonts w:hint="eastAsia" w:ascii="宋体" w:hAnsi="宋体"/>
          <w:color w:val="auto"/>
          <w:szCs w:val="21"/>
        </w:rPr>
        <w:t>原件交邮</w:t>
      </w:r>
      <w:r>
        <w:rPr>
          <w:rFonts w:ascii="宋体" w:hAnsi="宋体"/>
          <w:color w:val="auto"/>
          <w:szCs w:val="21"/>
        </w:rPr>
        <w:t>的</w:t>
      </w:r>
      <w:r>
        <w:rPr>
          <w:rFonts w:hint="eastAsia" w:ascii="宋体" w:hAnsi="宋体"/>
          <w:color w:val="auto"/>
          <w:szCs w:val="21"/>
        </w:rPr>
        <w:t>时间（以邮戳时间或快递公司收件时间为准）。</w:t>
      </w:r>
    </w:p>
    <w:p>
      <w:pPr>
        <w:spacing w:line="400" w:lineRule="exact"/>
        <w:rPr>
          <w:rFonts w:hint="eastAsia" w:ascii="宋体" w:hAnsi="宋体"/>
          <w:color w:val="auto"/>
          <w:szCs w:val="21"/>
        </w:rPr>
      </w:pPr>
      <w:r>
        <w:rPr>
          <w:rFonts w:hint="eastAsia" w:ascii="宋体" w:hAnsi="宋体"/>
          <w:color w:val="auto"/>
          <w:szCs w:val="21"/>
        </w:rPr>
        <w:t>14.6采购人、采购代理机构</w:t>
      </w:r>
      <w:r>
        <w:rPr>
          <w:rFonts w:ascii="宋体" w:hAnsi="宋体"/>
          <w:color w:val="auto"/>
          <w:szCs w:val="21"/>
        </w:rPr>
        <w:t>以实际收到</w:t>
      </w:r>
      <w:r>
        <w:rPr>
          <w:rFonts w:hint="eastAsia" w:ascii="宋体" w:hAnsi="宋体"/>
          <w:color w:val="auto"/>
          <w:szCs w:val="21"/>
        </w:rPr>
        <w:t>质疑函</w:t>
      </w:r>
      <w:r>
        <w:rPr>
          <w:rFonts w:ascii="宋体" w:hAnsi="宋体"/>
          <w:color w:val="auto"/>
          <w:szCs w:val="21"/>
        </w:rPr>
        <w:t>原件之日作为收到</w:t>
      </w:r>
      <w:r>
        <w:rPr>
          <w:rFonts w:hint="eastAsia" w:ascii="宋体" w:hAnsi="宋体"/>
          <w:color w:val="auto"/>
          <w:szCs w:val="21"/>
        </w:rPr>
        <w:t>质疑函</w:t>
      </w:r>
      <w:r>
        <w:rPr>
          <w:rFonts w:ascii="宋体" w:hAnsi="宋体"/>
          <w:color w:val="auto"/>
          <w:szCs w:val="21"/>
        </w:rPr>
        <w:t>的日期</w:t>
      </w:r>
      <w:r>
        <w:rPr>
          <w:rFonts w:hint="eastAsia" w:ascii="宋体" w:hAnsi="宋体"/>
          <w:color w:val="auto"/>
          <w:szCs w:val="21"/>
        </w:rPr>
        <w:t>，将在收到质疑函后7个工作日内作出答复。</w:t>
      </w:r>
    </w:p>
    <w:p>
      <w:pPr>
        <w:spacing w:line="400" w:lineRule="exact"/>
        <w:rPr>
          <w:rFonts w:hint="eastAsia" w:ascii="宋体" w:hAnsi="宋体"/>
          <w:color w:val="auto"/>
          <w:szCs w:val="21"/>
        </w:rPr>
      </w:pPr>
      <w:r>
        <w:rPr>
          <w:rFonts w:hint="eastAsia" w:ascii="宋体" w:hAnsi="宋体"/>
          <w:color w:val="auto"/>
          <w:szCs w:val="21"/>
        </w:rPr>
        <w:t>14.7 采购人、采购代理机构接收质疑函的联系人、联系电话和通讯地址等信息详见采购公告。</w:t>
      </w:r>
    </w:p>
    <w:p>
      <w:pPr>
        <w:spacing w:line="400" w:lineRule="exact"/>
        <w:jc w:val="center"/>
        <w:rPr>
          <w:rFonts w:ascii="宋体" w:hAnsi="宋体"/>
          <w:b/>
          <w:color w:val="auto"/>
          <w:sz w:val="24"/>
        </w:rPr>
      </w:pPr>
    </w:p>
    <w:p>
      <w:pPr>
        <w:pStyle w:val="3"/>
        <w:rPr>
          <w:rFonts w:hint="eastAsia"/>
          <w:color w:val="auto"/>
        </w:rPr>
      </w:pPr>
      <w:r>
        <w:rPr>
          <w:rFonts w:hint="eastAsia"/>
          <w:color w:val="auto"/>
        </w:rPr>
        <w:br w:type="page"/>
      </w:r>
      <w:bookmarkStart w:id="5" w:name="_Toc18022"/>
      <w:r>
        <w:rPr>
          <w:rFonts w:hint="eastAsia"/>
          <w:color w:val="auto"/>
        </w:rPr>
        <w:t>第四章  评标方法及评标标准</w:t>
      </w:r>
      <w:bookmarkEnd w:id="5"/>
    </w:p>
    <w:p>
      <w:pPr>
        <w:spacing w:line="400" w:lineRule="exact"/>
        <w:ind w:firstLine="420" w:firstLineChars="200"/>
        <w:rPr>
          <w:rFonts w:hint="eastAsia" w:ascii="宋体" w:hAnsi="宋体"/>
          <w:color w:val="auto"/>
          <w:szCs w:val="21"/>
        </w:rPr>
      </w:pPr>
      <w:r>
        <w:rPr>
          <w:rFonts w:hint="eastAsia" w:ascii="宋体" w:hAnsi="宋体"/>
          <w:color w:val="auto"/>
          <w:szCs w:val="21"/>
        </w:rPr>
        <w:t>为公正、公平、科学地选择中标人，根据《中华人民共和国政府采购法》等有关法律法规的规定，并结合本项目的实际，制定本评标方法及评标标准。</w:t>
      </w:r>
    </w:p>
    <w:p>
      <w:pPr>
        <w:spacing w:line="400" w:lineRule="exact"/>
        <w:rPr>
          <w:rFonts w:hint="eastAsia" w:ascii="宋体" w:hAnsi="宋体"/>
          <w:b/>
          <w:bCs/>
          <w:color w:val="auto"/>
          <w:szCs w:val="21"/>
        </w:rPr>
      </w:pPr>
      <w:r>
        <w:rPr>
          <w:rFonts w:hint="eastAsia" w:ascii="宋体" w:hAnsi="宋体"/>
          <w:b/>
          <w:bCs/>
          <w:color w:val="auto"/>
          <w:szCs w:val="21"/>
        </w:rPr>
        <w:t>一、总则</w:t>
      </w:r>
    </w:p>
    <w:p>
      <w:pPr>
        <w:spacing w:line="400" w:lineRule="exact"/>
        <w:rPr>
          <w:rFonts w:hint="eastAsia" w:ascii="宋体" w:hAnsi="宋体"/>
          <w:color w:val="auto"/>
          <w:szCs w:val="21"/>
        </w:rPr>
      </w:pPr>
      <w:r>
        <w:rPr>
          <w:rFonts w:hint="eastAsia" w:ascii="宋体" w:hAnsi="宋体"/>
          <w:color w:val="auto"/>
          <w:szCs w:val="21"/>
        </w:rPr>
        <w:t>1、本项目评标方法：综合评分法。</w:t>
      </w:r>
    </w:p>
    <w:p>
      <w:pPr>
        <w:spacing w:line="400" w:lineRule="exact"/>
        <w:rPr>
          <w:rFonts w:hint="eastAsia" w:ascii="宋体" w:hAnsi="宋体"/>
          <w:color w:val="auto"/>
          <w:szCs w:val="21"/>
        </w:rPr>
      </w:pPr>
      <w:r>
        <w:rPr>
          <w:rFonts w:hint="eastAsia" w:ascii="宋体" w:hAnsi="宋体"/>
          <w:color w:val="auto"/>
          <w:szCs w:val="21"/>
        </w:rPr>
        <w:t>2、综合评分总分为100分，由</w:t>
      </w:r>
      <w:r>
        <w:rPr>
          <w:rFonts w:hint="eastAsia" w:ascii="宋体" w:hAnsi="宋体"/>
          <w:color w:val="auto"/>
          <w:szCs w:val="21"/>
          <w:lang w:eastAsia="zh-CN"/>
        </w:rPr>
        <w:t>技术商务</w:t>
      </w:r>
      <w:r>
        <w:rPr>
          <w:rFonts w:hint="eastAsia" w:ascii="宋体" w:hAnsi="宋体"/>
          <w:color w:val="auto"/>
          <w:szCs w:val="21"/>
        </w:rPr>
        <w:t>分、价格分</w:t>
      </w:r>
      <w:r>
        <w:rPr>
          <w:rFonts w:hint="eastAsia" w:ascii="宋体" w:hAnsi="宋体"/>
          <w:color w:val="auto"/>
          <w:szCs w:val="21"/>
          <w:lang w:val="en-US" w:eastAsia="zh-CN"/>
        </w:rPr>
        <w:t>两</w:t>
      </w:r>
      <w:r>
        <w:rPr>
          <w:rFonts w:hint="eastAsia" w:ascii="宋体" w:hAnsi="宋体"/>
          <w:color w:val="auto"/>
          <w:szCs w:val="21"/>
        </w:rPr>
        <w:t>部分组成，具体分值见评标标准。</w:t>
      </w:r>
    </w:p>
    <w:p>
      <w:pPr>
        <w:spacing w:line="400" w:lineRule="exact"/>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本项目</w:t>
      </w:r>
      <w:r>
        <w:rPr>
          <w:rFonts w:hint="eastAsia" w:ascii="宋体" w:hAnsi="宋体"/>
          <w:color w:val="auto"/>
          <w:szCs w:val="21"/>
        </w:rPr>
        <w:t>评标委员会成员根据采购文件规定的评标程序、评标方法和评标标准对各投标人进行独立评审，对各投标人的综合评分=</w:t>
      </w:r>
      <w:r>
        <w:rPr>
          <w:rFonts w:hint="eastAsia" w:ascii="宋体" w:hAnsi="宋体"/>
          <w:color w:val="auto"/>
          <w:szCs w:val="21"/>
          <w:lang w:eastAsia="zh-CN"/>
        </w:rPr>
        <w:t>技术商务</w:t>
      </w:r>
      <w:r>
        <w:rPr>
          <w:rFonts w:hint="eastAsia" w:ascii="宋体" w:hAnsi="宋体"/>
          <w:color w:val="auto"/>
          <w:szCs w:val="21"/>
        </w:rPr>
        <w:t>分+价格分。</w:t>
      </w:r>
    </w:p>
    <w:p>
      <w:pPr>
        <w:spacing w:line="400" w:lineRule="exact"/>
        <w:rPr>
          <w:rFonts w:hint="eastAsia" w:ascii="宋体" w:hAnsi="宋体"/>
          <w:color w:val="auto"/>
          <w:szCs w:val="21"/>
        </w:rPr>
      </w:pPr>
      <w:r>
        <w:rPr>
          <w:rFonts w:hint="eastAsia" w:ascii="宋体" w:hAnsi="宋体"/>
          <w:color w:val="auto"/>
          <w:szCs w:val="21"/>
        </w:rPr>
        <w:t>4、各投标人最终得分：计算各评标委员会成员对各投标人的综合评分的算术平均值（保留小数点后</w:t>
      </w:r>
      <w:r>
        <w:rPr>
          <w:rFonts w:hint="eastAsia" w:ascii="宋体" w:hAnsi="宋体"/>
          <w:color w:val="auto"/>
          <w:szCs w:val="21"/>
          <w:lang w:eastAsia="zh-CN"/>
        </w:rPr>
        <w:t>二</w:t>
      </w:r>
      <w:r>
        <w:rPr>
          <w:rFonts w:hint="eastAsia" w:ascii="宋体" w:hAnsi="宋体"/>
          <w:color w:val="auto"/>
          <w:szCs w:val="21"/>
        </w:rPr>
        <w:t>位）。</w:t>
      </w:r>
    </w:p>
    <w:p>
      <w:pPr>
        <w:spacing w:line="400" w:lineRule="exact"/>
        <w:rPr>
          <w:rFonts w:hint="eastAsia" w:ascii="宋体" w:hAnsi="宋体"/>
          <w:color w:val="auto"/>
          <w:szCs w:val="21"/>
        </w:rPr>
      </w:pPr>
      <w:r>
        <w:rPr>
          <w:rFonts w:hint="eastAsia" w:ascii="宋体" w:hAnsi="宋体"/>
          <w:color w:val="auto"/>
          <w:szCs w:val="21"/>
        </w:rPr>
        <w:t>5、评标结果排序：按照各投标人最终得分由高到低顺序排列。得分相同的，按投标报价由低到高顺序排列。得分且投标报价相同的并列。</w:t>
      </w:r>
    </w:p>
    <w:p>
      <w:pPr>
        <w:spacing w:line="400" w:lineRule="exact"/>
        <w:rPr>
          <w:rFonts w:hint="eastAsia" w:ascii="宋体" w:hAnsi="宋体"/>
          <w:color w:val="auto"/>
          <w:szCs w:val="21"/>
        </w:rPr>
      </w:pPr>
      <w:r>
        <w:rPr>
          <w:rFonts w:hint="eastAsia" w:ascii="宋体" w:hAnsi="宋体"/>
          <w:color w:val="auto"/>
          <w:szCs w:val="21"/>
        </w:rPr>
        <w:t>6、确定中标候选人名单：按照采购文件规定的中标候选人数量确定中标候选人名单，按照评标结果排序，最终得分排名第一的候选人为中标人。</w:t>
      </w:r>
    </w:p>
    <w:p>
      <w:pPr>
        <w:spacing w:line="400" w:lineRule="exact"/>
        <w:rPr>
          <w:rFonts w:hint="eastAsia" w:ascii="宋体" w:hAnsi="宋体"/>
          <w:b/>
          <w:bCs/>
          <w:color w:val="auto"/>
          <w:szCs w:val="21"/>
        </w:rPr>
      </w:pPr>
      <w:r>
        <w:rPr>
          <w:rFonts w:hint="eastAsia" w:ascii="宋体" w:hAnsi="宋体"/>
          <w:b/>
          <w:bCs/>
          <w:color w:val="auto"/>
          <w:szCs w:val="21"/>
        </w:rPr>
        <w:t>二、政府采购政策的具体落实</w:t>
      </w:r>
    </w:p>
    <w:p>
      <w:pPr>
        <w:spacing w:line="400" w:lineRule="exact"/>
        <w:rPr>
          <w:rFonts w:hint="eastAsia" w:ascii="宋体" w:hAnsi="宋体"/>
          <w:color w:val="auto"/>
          <w:szCs w:val="21"/>
        </w:rPr>
      </w:pPr>
      <w:r>
        <w:rPr>
          <w:rFonts w:hint="eastAsia" w:ascii="宋体" w:hAnsi="宋体"/>
          <w:color w:val="auto"/>
          <w:szCs w:val="21"/>
        </w:rPr>
        <w:t>1、本次采购为专门面向中小企业，本次评标将对中小企业声明函满足招标文件要求的小微企业的价格给予</w:t>
      </w:r>
      <w:r>
        <w:rPr>
          <w:rFonts w:hint="eastAsia" w:ascii="宋体" w:hAnsi="宋体"/>
          <w:color w:val="auto"/>
          <w:szCs w:val="21"/>
          <w:lang w:val="en-US" w:eastAsia="zh-CN"/>
        </w:rPr>
        <w:t>10</w:t>
      </w:r>
      <w:r>
        <w:rPr>
          <w:rFonts w:hint="eastAsia" w:ascii="宋体" w:hAnsi="宋体"/>
          <w:color w:val="auto"/>
          <w:szCs w:val="21"/>
        </w:rPr>
        <w:t>%的扣除，用扣除后的价格参与评审。价格扣除只用于评审过程，如中标，中标价格仍按照其投标价格进行公示。</w:t>
      </w:r>
    </w:p>
    <w:p>
      <w:pPr>
        <w:spacing w:line="400" w:lineRule="exact"/>
        <w:rPr>
          <w:rFonts w:hint="default" w:ascii="宋体" w:hAnsi="宋体" w:eastAsia="宋体" w:cs="Times New Roman"/>
          <w:color w:val="auto"/>
          <w:szCs w:val="21"/>
          <w:lang w:val="en-US" w:eastAsia="zh-CN"/>
        </w:rPr>
      </w:pPr>
      <w:r>
        <w:rPr>
          <w:rFonts w:hint="eastAsia" w:ascii="宋体" w:hAnsi="宋体" w:eastAsia="宋体" w:cs="Times New Roman"/>
          <w:color w:val="auto"/>
          <w:szCs w:val="21"/>
        </w:rPr>
        <w:t>2、残疾人福利性单位</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监狱企业视同小微企业。</w:t>
      </w:r>
    </w:p>
    <w:p>
      <w:pPr>
        <w:spacing w:line="400" w:lineRule="exact"/>
        <w:rPr>
          <w:rFonts w:hint="eastAsia" w:ascii="宋体" w:hAnsi="宋体"/>
          <w:b/>
          <w:bCs/>
          <w:color w:val="auto"/>
          <w:szCs w:val="21"/>
        </w:rPr>
      </w:pPr>
      <w:r>
        <w:rPr>
          <w:rFonts w:hint="eastAsia" w:ascii="宋体" w:hAnsi="宋体"/>
          <w:b/>
          <w:bCs/>
          <w:color w:val="auto"/>
          <w:szCs w:val="21"/>
        </w:rPr>
        <w:t>三、评标委员会须知和评标过程处理原则</w:t>
      </w:r>
    </w:p>
    <w:p>
      <w:pPr>
        <w:spacing w:line="400" w:lineRule="exact"/>
        <w:rPr>
          <w:rFonts w:hint="eastAsia" w:ascii="宋体" w:hAnsi="宋体"/>
          <w:color w:val="auto"/>
          <w:szCs w:val="21"/>
        </w:rPr>
      </w:pPr>
      <w:r>
        <w:rPr>
          <w:rFonts w:hint="eastAsia" w:ascii="宋体" w:hAnsi="宋体"/>
          <w:color w:val="auto"/>
          <w:szCs w:val="21"/>
        </w:rPr>
        <w:t>1、评标专家发现本人与参加采购活动的供应商有利害关系的，应当主动提出回避。评标专家与参加采购活动的供应商存在下列利害关系之一的，应当回避:</w:t>
      </w:r>
    </w:p>
    <w:p>
      <w:pPr>
        <w:spacing w:line="400" w:lineRule="exact"/>
        <w:rPr>
          <w:rFonts w:hint="eastAsia" w:ascii="宋体" w:hAnsi="宋体"/>
          <w:color w:val="auto"/>
          <w:szCs w:val="21"/>
        </w:rPr>
      </w:pPr>
      <w:r>
        <w:rPr>
          <w:rFonts w:hint="eastAsia" w:ascii="宋体" w:hAnsi="宋体"/>
          <w:color w:val="auto"/>
          <w:szCs w:val="21"/>
        </w:rPr>
        <w:t>　　(一)参加采购活动前三年内，与供应商存在劳动关系，或者担任过供应商的董事、监事，或者是供应商的控股股东或实际控制人；</w:t>
      </w:r>
    </w:p>
    <w:p>
      <w:pPr>
        <w:spacing w:line="400" w:lineRule="exact"/>
        <w:rPr>
          <w:rFonts w:hint="eastAsia" w:ascii="宋体" w:hAnsi="宋体"/>
          <w:color w:val="auto"/>
          <w:szCs w:val="21"/>
        </w:rPr>
      </w:pPr>
      <w:r>
        <w:rPr>
          <w:rFonts w:hint="eastAsia" w:ascii="宋体" w:hAnsi="宋体"/>
          <w:color w:val="auto"/>
          <w:szCs w:val="21"/>
        </w:rPr>
        <w:t>　　(二)与供应商的法定代表人或者负责人有夫妻、直系血亲、三代以内旁系血亲或者近姻亲关系；</w:t>
      </w:r>
    </w:p>
    <w:p>
      <w:pPr>
        <w:spacing w:line="400" w:lineRule="exact"/>
        <w:ind w:firstLine="420" w:firstLineChars="200"/>
        <w:rPr>
          <w:rFonts w:hint="eastAsia" w:ascii="宋体" w:hAnsi="宋体"/>
          <w:color w:val="auto"/>
          <w:szCs w:val="21"/>
        </w:rPr>
      </w:pPr>
      <w:r>
        <w:rPr>
          <w:rFonts w:hint="eastAsia" w:ascii="宋体" w:hAnsi="宋体"/>
          <w:color w:val="auto"/>
          <w:szCs w:val="21"/>
        </w:rPr>
        <w:t>(三)与供应商有其他可能影响政府采购活动公平、公正进行的关系。</w:t>
      </w:r>
    </w:p>
    <w:p>
      <w:pPr>
        <w:spacing w:line="400" w:lineRule="exact"/>
        <w:rPr>
          <w:rFonts w:hint="eastAsia" w:ascii="宋体" w:hAnsi="宋体"/>
          <w:color w:val="auto"/>
          <w:szCs w:val="21"/>
        </w:rPr>
      </w:pPr>
      <w:r>
        <w:rPr>
          <w:rFonts w:hint="eastAsia" w:ascii="宋体" w:hAnsi="宋体"/>
          <w:color w:val="auto"/>
          <w:szCs w:val="21"/>
        </w:rPr>
        <w:t>2、除法律法规规定的情形外，评标专家对本单位的政府采购项目只能作为采购人代表参与评审活动，未被授权为采购人代表的，应当回避。</w:t>
      </w:r>
    </w:p>
    <w:p>
      <w:pPr>
        <w:spacing w:line="400" w:lineRule="exact"/>
        <w:rPr>
          <w:rFonts w:hint="eastAsia" w:ascii="宋体" w:hAnsi="宋体"/>
          <w:color w:val="auto"/>
          <w:szCs w:val="21"/>
        </w:rPr>
      </w:pPr>
      <w:r>
        <w:rPr>
          <w:rFonts w:hint="eastAsia" w:ascii="宋体" w:hAnsi="宋体"/>
          <w:color w:val="auto"/>
          <w:szCs w:val="21"/>
        </w:rPr>
        <w:t>3、本项目主管部门或者行政监督部门的人员不能做为评标专家参与评审，应当回避。</w:t>
      </w:r>
    </w:p>
    <w:p>
      <w:pPr>
        <w:spacing w:line="400" w:lineRule="exact"/>
        <w:rPr>
          <w:rFonts w:hint="eastAsia" w:ascii="宋体" w:hAnsi="宋体"/>
          <w:color w:val="auto"/>
          <w:szCs w:val="21"/>
        </w:rPr>
      </w:pPr>
      <w:r>
        <w:rPr>
          <w:rFonts w:hint="eastAsia" w:ascii="宋体" w:hAnsi="宋体"/>
          <w:color w:val="auto"/>
          <w:szCs w:val="21"/>
        </w:rPr>
        <w:t>4、出现评标专家缺席、回避等情形导致评标现场专家数量不符合规定的，采购人或者采购代理机构应当及时补抽评审专家，或者经采购人主管预算单位同意自行选定补足评审专家。</w:t>
      </w:r>
    </w:p>
    <w:p>
      <w:pPr>
        <w:spacing w:line="400" w:lineRule="exact"/>
        <w:rPr>
          <w:rFonts w:hint="eastAsia" w:ascii="宋体" w:hAnsi="宋体"/>
          <w:color w:val="auto"/>
          <w:szCs w:val="21"/>
        </w:rPr>
      </w:pPr>
      <w:r>
        <w:rPr>
          <w:rFonts w:hint="eastAsia" w:ascii="宋体" w:hAnsi="宋体"/>
          <w:color w:val="auto"/>
          <w:szCs w:val="21"/>
        </w:rPr>
        <w:t>5、评标专家应当严格遵守评审工作纪律，按照客观、公正、审慎的原则，根据采购文件规定的评审程序、评审方法和评审标准进行独立评审。</w:t>
      </w:r>
    </w:p>
    <w:p>
      <w:pPr>
        <w:spacing w:line="400" w:lineRule="exact"/>
        <w:rPr>
          <w:rFonts w:hint="eastAsia" w:ascii="宋体" w:hAnsi="宋体"/>
          <w:color w:val="auto"/>
          <w:szCs w:val="21"/>
        </w:rPr>
      </w:pPr>
      <w:r>
        <w:rPr>
          <w:rFonts w:hint="eastAsia" w:ascii="宋体" w:hAnsi="宋体"/>
          <w:color w:val="auto"/>
          <w:szCs w:val="21"/>
        </w:rPr>
        <w:t>6、通过资格审查的合格投标人不足三家的，不得评标。</w:t>
      </w:r>
    </w:p>
    <w:p>
      <w:pPr>
        <w:spacing w:line="400" w:lineRule="exact"/>
        <w:rPr>
          <w:rFonts w:hint="eastAsia" w:ascii="宋体" w:hAnsi="宋体"/>
          <w:color w:val="auto"/>
          <w:szCs w:val="21"/>
        </w:rPr>
      </w:pPr>
      <w:r>
        <w:rPr>
          <w:rFonts w:hint="eastAsia" w:ascii="宋体" w:hAnsi="宋体"/>
          <w:color w:val="auto"/>
          <w:szCs w:val="21"/>
        </w:rPr>
        <w:t>7、通过符合性审查的有效投标人不足三家的，不得进入下一步评标程序。</w:t>
      </w:r>
    </w:p>
    <w:p>
      <w:pPr>
        <w:spacing w:line="400" w:lineRule="exact"/>
        <w:rPr>
          <w:rFonts w:hint="eastAsia" w:ascii="宋体" w:hAnsi="宋体"/>
          <w:color w:val="auto"/>
          <w:szCs w:val="21"/>
        </w:rPr>
      </w:pPr>
      <w:r>
        <w:rPr>
          <w:rFonts w:hint="eastAsia" w:ascii="宋体" w:hAnsi="宋体"/>
          <w:color w:val="auto"/>
          <w:szCs w:val="21"/>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rPr>
          <w:rFonts w:hint="eastAsia" w:ascii="宋体" w:hAnsi="宋体"/>
          <w:color w:val="auto"/>
          <w:szCs w:val="21"/>
        </w:rPr>
      </w:pPr>
      <w:r>
        <w:rPr>
          <w:rFonts w:hint="eastAsia" w:ascii="宋体" w:hAnsi="宋体"/>
          <w:color w:val="auto"/>
          <w:szCs w:val="21"/>
        </w:rPr>
        <w:t>9、评标专家应当在评审报告上签字，对自己的评审意见承担法律责任。评标委员会成员对需要共同认定的事项存在争议的，应当按照少数服从多数的原则作出结论。持不同意见的评标委员会成员应当在评标报告上签署不同意见及理由，否则视为同意评标报告。</w:t>
      </w:r>
    </w:p>
    <w:p>
      <w:pPr>
        <w:spacing w:line="400" w:lineRule="exact"/>
        <w:rPr>
          <w:rFonts w:hint="eastAsia" w:ascii="宋体" w:hAnsi="宋体"/>
          <w:color w:val="auto"/>
          <w:szCs w:val="21"/>
        </w:rPr>
      </w:pPr>
      <w:r>
        <w:rPr>
          <w:rFonts w:hint="eastAsia" w:ascii="宋体" w:hAnsi="宋体"/>
          <w:color w:val="auto"/>
          <w:szCs w:val="21"/>
        </w:rPr>
        <w:t>10、评标委员会发现采购文件存在歧义、重大缺陷导致评标工作无法进行，或者采购文件内容违反国家有关强制性规定的，应当停止评标工作，与采购人或者采购代理机构沟通并作书面记录。采购人或者采购代理机构确认后，应当修改采购文件，重新组织采购活动。</w:t>
      </w:r>
    </w:p>
    <w:p>
      <w:pPr>
        <w:spacing w:line="400" w:lineRule="exact"/>
        <w:rPr>
          <w:rFonts w:hint="eastAsia" w:ascii="宋体" w:hAnsi="宋体"/>
          <w:color w:val="auto"/>
          <w:szCs w:val="21"/>
        </w:rPr>
      </w:pPr>
      <w:r>
        <w:rPr>
          <w:rFonts w:hint="eastAsia" w:ascii="宋体" w:hAnsi="宋体"/>
          <w:color w:val="auto"/>
          <w:szCs w:val="21"/>
        </w:rPr>
        <w:t>11、提供相同品牌产品且通过资格审查、符合性审查的不同投标人参加同一子包项投标的，按一家投标人计算，评审后得分最高的同品牌投标人获得中标人推荐资格；评审得分相同的，由采购人或者采购人委托评标委员会采取随机抽取方式确定，其他同品牌投标人不作为中标候选人。</w:t>
      </w:r>
    </w:p>
    <w:p>
      <w:pPr>
        <w:spacing w:line="400" w:lineRule="exact"/>
        <w:rPr>
          <w:rFonts w:hint="eastAsia" w:ascii="宋体" w:hAnsi="宋体"/>
          <w:color w:val="auto"/>
          <w:szCs w:val="21"/>
        </w:rPr>
      </w:pPr>
      <w:r>
        <w:rPr>
          <w:rFonts w:hint="eastAsia" w:ascii="宋体" w:hAnsi="宋体"/>
          <w:color w:val="auto"/>
          <w:szCs w:val="21"/>
        </w:rPr>
        <w:t>非单一产品采购子包，采购文件中应载明核心产品(如有，具体见第二章采购需求技术条款要求)，多家投标人提供的核心产品品牌相同的，按上述规定处理。</w:t>
      </w:r>
    </w:p>
    <w:p>
      <w:pPr>
        <w:spacing w:line="400" w:lineRule="exact"/>
        <w:rPr>
          <w:rFonts w:hint="eastAsia" w:ascii="宋体" w:hAnsi="宋体"/>
          <w:color w:val="auto"/>
          <w:szCs w:val="21"/>
        </w:rPr>
      </w:pPr>
      <w:r>
        <w:rPr>
          <w:rFonts w:hint="eastAsia" w:ascii="宋体" w:hAnsi="宋体"/>
          <w:color w:val="auto"/>
          <w:szCs w:val="21"/>
        </w:rPr>
        <w:t>12、单位负责人为同一人或者存在直接控股、管理关系的不同供应商，不得参加同一子包号的投标。评审中</w:t>
      </w:r>
      <w:r>
        <w:rPr>
          <w:rFonts w:ascii="宋体" w:hAnsi="宋体"/>
          <w:color w:val="auto"/>
          <w:szCs w:val="21"/>
        </w:rPr>
        <w:t>，有两家或两家以上供应商的单位负责人为同一人或者存在直接控股、管理关系的，</w:t>
      </w:r>
      <w:r>
        <w:rPr>
          <w:rFonts w:hint="eastAsia" w:ascii="宋体" w:hAnsi="宋体"/>
          <w:color w:val="auto"/>
          <w:szCs w:val="21"/>
        </w:rPr>
        <w:t>所有供应商都按照无效投标处理。</w:t>
      </w:r>
    </w:p>
    <w:p>
      <w:pPr>
        <w:spacing w:line="400" w:lineRule="exact"/>
        <w:rPr>
          <w:rFonts w:hint="eastAsia" w:ascii="宋体" w:hAnsi="宋体"/>
          <w:color w:val="auto"/>
          <w:szCs w:val="21"/>
        </w:rPr>
      </w:pPr>
      <w:r>
        <w:rPr>
          <w:rFonts w:hint="eastAsia" w:ascii="宋体" w:hAnsi="宋体"/>
          <w:color w:val="auto"/>
          <w:szCs w:val="21"/>
        </w:rPr>
        <w:t>13、为本项目提供整体设计、规范编制或者项目管理、监理、检测等服务的供应商，不得再参加本项目的投标，评审中，按照无效投标处理。</w:t>
      </w:r>
    </w:p>
    <w:p>
      <w:pPr>
        <w:spacing w:line="400" w:lineRule="exact"/>
        <w:rPr>
          <w:rFonts w:hint="eastAsia" w:ascii="宋体" w:hAnsi="宋体"/>
          <w:color w:val="auto"/>
          <w:szCs w:val="21"/>
        </w:rPr>
      </w:pPr>
      <w:r>
        <w:rPr>
          <w:rFonts w:hint="eastAsia" w:ascii="宋体" w:hAnsi="宋体"/>
          <w:color w:val="auto"/>
          <w:szCs w:val="21"/>
        </w:rPr>
        <w:t>14、有下列情形之一的，视为投标人串通投标，其投标无效：</w:t>
      </w:r>
    </w:p>
    <w:p>
      <w:pPr>
        <w:spacing w:line="400" w:lineRule="exact"/>
        <w:rPr>
          <w:rFonts w:hint="eastAsia" w:ascii="宋体" w:hAnsi="宋体"/>
          <w:color w:val="auto"/>
          <w:szCs w:val="21"/>
        </w:rPr>
      </w:pPr>
      <w:r>
        <w:rPr>
          <w:rFonts w:hint="eastAsia" w:ascii="宋体" w:hAnsi="宋体"/>
          <w:color w:val="auto"/>
          <w:szCs w:val="21"/>
        </w:rPr>
        <w:t>　　（一）不同投标人的投标文件由同一单位或者个人编制；</w:t>
      </w:r>
    </w:p>
    <w:p>
      <w:pPr>
        <w:spacing w:line="400" w:lineRule="exact"/>
        <w:rPr>
          <w:rFonts w:hint="eastAsia" w:ascii="宋体" w:hAnsi="宋体"/>
          <w:color w:val="auto"/>
          <w:szCs w:val="21"/>
        </w:rPr>
      </w:pPr>
      <w:r>
        <w:rPr>
          <w:rFonts w:hint="eastAsia" w:ascii="宋体" w:hAnsi="宋体"/>
          <w:color w:val="auto"/>
          <w:szCs w:val="21"/>
        </w:rPr>
        <w:t>　　（二）不同投标人委托同一单位或者个人办理投标事宜；</w:t>
      </w:r>
    </w:p>
    <w:p>
      <w:pPr>
        <w:spacing w:line="400" w:lineRule="exact"/>
        <w:rPr>
          <w:rFonts w:hint="eastAsia" w:ascii="宋体" w:hAnsi="宋体"/>
          <w:color w:val="auto"/>
          <w:szCs w:val="21"/>
        </w:rPr>
      </w:pPr>
      <w:r>
        <w:rPr>
          <w:rFonts w:hint="eastAsia" w:ascii="宋体" w:hAnsi="宋体"/>
          <w:color w:val="auto"/>
          <w:szCs w:val="21"/>
        </w:rPr>
        <w:t>　　（三）不同投标人的投标文件载明的项目管理成员或者联系人员为同一人；</w:t>
      </w:r>
    </w:p>
    <w:p>
      <w:pPr>
        <w:spacing w:line="400" w:lineRule="exact"/>
        <w:rPr>
          <w:rFonts w:hint="eastAsia" w:ascii="宋体" w:hAnsi="宋体"/>
          <w:color w:val="auto"/>
          <w:szCs w:val="21"/>
        </w:rPr>
      </w:pPr>
      <w:r>
        <w:rPr>
          <w:rFonts w:hint="eastAsia" w:ascii="宋体" w:hAnsi="宋体"/>
          <w:color w:val="auto"/>
          <w:szCs w:val="21"/>
        </w:rPr>
        <w:t>　　（四）不同投标人的投标文件异常一致或者投标报价呈规律性差异；</w:t>
      </w:r>
    </w:p>
    <w:p>
      <w:pPr>
        <w:spacing w:line="400" w:lineRule="exact"/>
        <w:rPr>
          <w:rFonts w:hint="eastAsia" w:ascii="宋体" w:hAnsi="宋体"/>
          <w:color w:val="auto"/>
          <w:szCs w:val="21"/>
        </w:rPr>
      </w:pPr>
      <w:r>
        <w:rPr>
          <w:rFonts w:hint="eastAsia" w:ascii="宋体" w:hAnsi="宋体"/>
          <w:color w:val="auto"/>
          <w:szCs w:val="21"/>
        </w:rPr>
        <w:t>　　（五）不同投标人的投标文件相互混装；</w:t>
      </w:r>
    </w:p>
    <w:p>
      <w:pPr>
        <w:spacing w:line="400" w:lineRule="exact"/>
        <w:rPr>
          <w:rFonts w:ascii="宋体" w:hAnsi="宋体"/>
          <w:color w:val="auto"/>
          <w:szCs w:val="21"/>
        </w:rPr>
      </w:pPr>
      <w:r>
        <w:rPr>
          <w:rFonts w:hint="eastAsia" w:ascii="宋体" w:hAnsi="宋体"/>
          <w:color w:val="auto"/>
          <w:szCs w:val="21"/>
        </w:rPr>
        <w:t>15、投标文件报价出现前后不一致的，评标委员会应当对发现的投标文件报价错误按下列规定修正：</w:t>
      </w:r>
    </w:p>
    <w:p>
      <w:pPr>
        <w:spacing w:line="400" w:lineRule="exact"/>
        <w:ind w:firstLine="420" w:firstLineChars="200"/>
        <w:rPr>
          <w:rFonts w:hint="eastAsia" w:ascii="宋体" w:hAnsi="宋体"/>
          <w:color w:val="auto"/>
          <w:szCs w:val="21"/>
        </w:rPr>
      </w:pPr>
      <w:r>
        <w:rPr>
          <w:rFonts w:hint="eastAsia" w:ascii="宋体" w:hAnsi="宋体"/>
          <w:color w:val="auto"/>
          <w:szCs w:val="21"/>
        </w:rPr>
        <w:t>（一）投标文件中开标一览表内容与投标文件中相应内容不一致的，以开标一览表为准；</w:t>
      </w:r>
    </w:p>
    <w:p>
      <w:pPr>
        <w:spacing w:line="400" w:lineRule="exact"/>
        <w:rPr>
          <w:rFonts w:hint="eastAsia" w:ascii="宋体" w:hAnsi="宋体"/>
          <w:color w:val="auto"/>
          <w:szCs w:val="21"/>
        </w:rPr>
      </w:pPr>
      <w:r>
        <w:rPr>
          <w:rFonts w:hint="eastAsia" w:ascii="宋体" w:hAnsi="宋体"/>
          <w:color w:val="auto"/>
          <w:szCs w:val="21"/>
        </w:rPr>
        <w:t>　　（二）大写金额和小写金额不一致的，以大写金额为准；</w:t>
      </w:r>
    </w:p>
    <w:p>
      <w:pPr>
        <w:spacing w:line="400" w:lineRule="exact"/>
        <w:rPr>
          <w:rFonts w:hint="eastAsia" w:ascii="宋体" w:hAnsi="宋体"/>
          <w:color w:val="auto"/>
          <w:szCs w:val="21"/>
        </w:rPr>
      </w:pPr>
      <w:r>
        <w:rPr>
          <w:rFonts w:hint="eastAsia" w:ascii="宋体" w:hAnsi="宋体"/>
          <w:color w:val="auto"/>
          <w:szCs w:val="21"/>
        </w:rPr>
        <w:t>　　（三）单价金额小数点或者百分比有明显错位的，以开标一览表的总价为准，并修改单价；</w:t>
      </w:r>
    </w:p>
    <w:p>
      <w:pPr>
        <w:spacing w:line="400" w:lineRule="exact"/>
        <w:rPr>
          <w:rFonts w:hint="eastAsia" w:ascii="宋体" w:hAnsi="宋体"/>
          <w:color w:val="auto"/>
          <w:szCs w:val="21"/>
        </w:rPr>
      </w:pPr>
      <w:r>
        <w:rPr>
          <w:rFonts w:hint="eastAsia" w:ascii="宋体" w:hAnsi="宋体"/>
          <w:color w:val="auto"/>
          <w:szCs w:val="21"/>
        </w:rPr>
        <w:t>（四）总价金额与按单价汇总金额不一致的，以单价金额计算结果为准。</w:t>
      </w:r>
    </w:p>
    <w:p>
      <w:pPr>
        <w:spacing w:line="400" w:lineRule="exact"/>
        <w:rPr>
          <w:rFonts w:hint="eastAsia" w:ascii="宋体" w:hAnsi="宋体"/>
          <w:color w:val="auto"/>
          <w:szCs w:val="21"/>
        </w:rPr>
      </w:pPr>
      <w:r>
        <w:rPr>
          <w:rFonts w:hint="eastAsia" w:ascii="宋体" w:hAnsi="宋体"/>
          <w:color w:val="auto"/>
          <w:szCs w:val="21"/>
        </w:rPr>
        <w:t>　　同时出现两种以上不一致的，按照前款规定的顺序修正。投标文件报价有修正的，其评标价为</w:t>
      </w:r>
      <w:r>
        <w:rPr>
          <w:rFonts w:ascii="宋体" w:hAnsi="宋体"/>
          <w:color w:val="auto"/>
          <w:szCs w:val="21"/>
        </w:rPr>
        <w:t>修正后的</w:t>
      </w:r>
      <w:r>
        <w:rPr>
          <w:rFonts w:hint="eastAsia" w:ascii="宋体" w:hAnsi="宋体"/>
          <w:color w:val="auto"/>
          <w:szCs w:val="21"/>
        </w:rPr>
        <w:t>报价</w:t>
      </w:r>
      <w:r>
        <w:rPr>
          <w:rFonts w:ascii="宋体" w:hAnsi="宋体"/>
          <w:color w:val="auto"/>
          <w:szCs w:val="21"/>
        </w:rPr>
        <w:t>。</w:t>
      </w:r>
      <w:r>
        <w:rPr>
          <w:rFonts w:hint="eastAsia" w:ascii="宋体" w:hAnsi="宋体"/>
          <w:color w:val="auto"/>
          <w:szCs w:val="21"/>
        </w:rPr>
        <w:t>修正后的报价应当按照本章评标程序中“澄清或者说明”的规定经投标人确认后产生约束力，投标人不确认的，其投标无效。</w:t>
      </w:r>
    </w:p>
    <w:p>
      <w:pPr>
        <w:spacing w:line="400" w:lineRule="exact"/>
        <w:rPr>
          <w:rFonts w:hint="eastAsia" w:ascii="宋体" w:hAnsi="宋体"/>
          <w:color w:val="auto"/>
          <w:szCs w:val="21"/>
        </w:rPr>
      </w:pPr>
      <w:r>
        <w:rPr>
          <w:rFonts w:hint="eastAsia" w:ascii="宋体" w:hAnsi="宋体"/>
          <w:color w:val="auto"/>
          <w:szCs w:val="21"/>
        </w:rPr>
        <w:t>16、在评审中若发现投标文件的正本与副本不一致，以正本为准；若发现电子文本与书面文本不一致，以书面文本为准。</w:t>
      </w:r>
    </w:p>
    <w:p>
      <w:pPr>
        <w:spacing w:line="400" w:lineRule="exact"/>
        <w:rPr>
          <w:rFonts w:hint="eastAsia" w:ascii="宋体" w:hAnsi="宋体"/>
          <w:color w:val="auto"/>
          <w:szCs w:val="21"/>
        </w:rPr>
      </w:pPr>
      <w:r>
        <w:rPr>
          <w:rFonts w:hint="eastAsia" w:ascii="宋体" w:hAnsi="宋体"/>
          <w:color w:val="auto"/>
          <w:szCs w:val="21"/>
        </w:rPr>
        <w:t>17、废标：评标过程中，出现下列情形之一的，应予废标，评标终止：</w:t>
      </w:r>
    </w:p>
    <w:p>
      <w:pPr>
        <w:spacing w:line="400" w:lineRule="exact"/>
        <w:rPr>
          <w:rFonts w:hint="eastAsia" w:ascii="宋体" w:hAnsi="宋体"/>
          <w:color w:val="auto"/>
          <w:szCs w:val="21"/>
        </w:rPr>
      </w:pPr>
      <w:r>
        <w:rPr>
          <w:rFonts w:hint="eastAsia" w:ascii="宋体" w:hAnsi="宋体"/>
          <w:color w:val="auto"/>
          <w:szCs w:val="21"/>
        </w:rPr>
        <w:t>（一）通过资格审查、符合性审查的投标人不足三家的；</w:t>
      </w:r>
    </w:p>
    <w:p>
      <w:pPr>
        <w:spacing w:line="400" w:lineRule="exact"/>
        <w:rPr>
          <w:rFonts w:hint="eastAsia" w:ascii="宋体" w:hAnsi="宋体"/>
          <w:color w:val="auto"/>
          <w:szCs w:val="21"/>
        </w:rPr>
      </w:pPr>
      <w:r>
        <w:rPr>
          <w:rFonts w:hint="eastAsia" w:ascii="宋体" w:hAnsi="宋体"/>
          <w:color w:val="auto"/>
          <w:szCs w:val="21"/>
        </w:rPr>
        <w:t>（二</w:t>
      </w:r>
      <w:r>
        <w:rPr>
          <w:rFonts w:ascii="宋体" w:hAnsi="宋体"/>
          <w:color w:val="auto"/>
          <w:szCs w:val="21"/>
        </w:rPr>
        <w:t>）</w:t>
      </w:r>
      <w:r>
        <w:rPr>
          <w:rFonts w:hint="eastAsia" w:ascii="宋体" w:hAnsi="宋体"/>
          <w:color w:val="auto"/>
          <w:szCs w:val="21"/>
        </w:rPr>
        <w:t>出现影响采购公正的违法、违规行为的；</w:t>
      </w:r>
    </w:p>
    <w:p>
      <w:pPr>
        <w:spacing w:line="400" w:lineRule="exact"/>
        <w:rPr>
          <w:rFonts w:hint="eastAsia" w:ascii="宋体" w:hAnsi="宋体"/>
          <w:color w:val="auto"/>
          <w:szCs w:val="21"/>
        </w:rPr>
      </w:pPr>
      <w:r>
        <w:rPr>
          <w:rFonts w:hint="eastAsia" w:ascii="宋体" w:hAnsi="宋体"/>
          <w:color w:val="auto"/>
          <w:szCs w:val="21"/>
        </w:rPr>
        <w:t>（三）投标人的报价均超过了采购预算，采购人不能支付的；</w:t>
      </w:r>
    </w:p>
    <w:p>
      <w:pPr>
        <w:spacing w:line="400" w:lineRule="exact"/>
        <w:rPr>
          <w:rFonts w:ascii="宋体" w:hAnsi="宋体"/>
          <w:color w:val="auto"/>
          <w:szCs w:val="21"/>
        </w:rPr>
      </w:pPr>
      <w:r>
        <w:rPr>
          <w:rFonts w:hint="eastAsia" w:ascii="宋体" w:hAnsi="宋体"/>
          <w:color w:val="auto"/>
          <w:szCs w:val="21"/>
        </w:rPr>
        <w:t>（四）因重大变故，采购任务取消的。</w:t>
      </w:r>
    </w:p>
    <w:p>
      <w:pPr>
        <w:spacing w:line="400" w:lineRule="exact"/>
        <w:rPr>
          <w:rFonts w:hint="eastAsia" w:ascii="宋体" w:hAnsi="宋体"/>
          <w:b/>
          <w:color w:val="auto"/>
          <w:sz w:val="24"/>
        </w:rPr>
      </w:pPr>
      <w:r>
        <w:rPr>
          <w:rFonts w:hint="eastAsia" w:ascii="宋体" w:hAnsi="宋体"/>
          <w:b/>
          <w:color w:val="auto"/>
          <w:sz w:val="24"/>
        </w:rPr>
        <w:t>四、评标过程中投标无效的认定：</w:t>
      </w:r>
    </w:p>
    <w:p>
      <w:pPr>
        <w:spacing w:line="400" w:lineRule="exact"/>
        <w:rPr>
          <w:rFonts w:hint="eastAsia" w:ascii="宋体" w:hAnsi="宋体"/>
          <w:color w:val="auto"/>
          <w:szCs w:val="21"/>
        </w:rPr>
      </w:pPr>
      <w:r>
        <w:rPr>
          <w:rFonts w:hint="eastAsia" w:ascii="宋体" w:hAnsi="宋体"/>
          <w:color w:val="auto"/>
          <w:szCs w:val="21"/>
        </w:rPr>
        <w:t>投标文件存在下列情形之一的，其投标无效：</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）投标文件未按采购文件要求签署、盖章的；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）不具备采购文件中规定的资格要求的；资格证明文件未按照采购文件要求提供或不全或虽提供但格式、签署与盖章等不符合采购文件要求的；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）投标报价超过采购文件中规定的预算金额或者最高限价的；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）投标文件含有采购人不能接受的附加条件的；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5</w:t>
      </w:r>
      <w:r>
        <w:rPr>
          <w:rFonts w:hint="eastAsia" w:ascii="宋体" w:hAnsi="宋体"/>
          <w:color w:val="auto"/>
          <w:szCs w:val="21"/>
        </w:rPr>
        <w:t>）投标有效期不符合采购文件要求的；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6</w:t>
      </w:r>
      <w:r>
        <w:rPr>
          <w:rFonts w:hint="eastAsia" w:ascii="宋体" w:hAnsi="宋体"/>
          <w:color w:val="auto"/>
          <w:szCs w:val="21"/>
        </w:rPr>
        <w:t>）投标文件组成或投标文件数量不符合采购文件要求的；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7</w:t>
      </w:r>
      <w:r>
        <w:rPr>
          <w:rFonts w:hint="eastAsia" w:ascii="宋体" w:hAnsi="宋体"/>
          <w:color w:val="auto"/>
          <w:szCs w:val="21"/>
        </w:rPr>
        <w:t>）采购文件中标注有“</w:t>
      </w:r>
      <w:r>
        <w:rPr>
          <w:rFonts w:ascii="宋体" w:hAnsi="宋体"/>
          <w:color w:val="auto"/>
          <w:szCs w:val="21"/>
        </w:rPr>
        <w:t>*</w:t>
      </w:r>
      <w:r>
        <w:rPr>
          <w:rFonts w:hint="eastAsia" w:ascii="宋体" w:hAnsi="宋体"/>
          <w:color w:val="auto"/>
          <w:szCs w:val="21"/>
        </w:rPr>
        <w:t>”号的条款为“实质性要求”条款，投标文件对这些条款有负偏离的；或未标注有“</w:t>
      </w:r>
      <w:r>
        <w:rPr>
          <w:rFonts w:ascii="宋体" w:hAnsi="宋体"/>
          <w:color w:val="auto"/>
          <w:szCs w:val="21"/>
        </w:rPr>
        <w:t>*</w:t>
      </w:r>
      <w:r>
        <w:rPr>
          <w:rFonts w:hint="eastAsia" w:ascii="宋体" w:hAnsi="宋体"/>
          <w:color w:val="auto"/>
          <w:szCs w:val="21"/>
        </w:rPr>
        <w:t>”号的条款负偏离达到或超过采购文件规定数量的；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8</w:t>
      </w:r>
      <w:r>
        <w:rPr>
          <w:rFonts w:hint="eastAsia" w:ascii="宋体" w:hAnsi="宋体"/>
          <w:color w:val="auto"/>
          <w:szCs w:val="21"/>
        </w:rPr>
        <w:t>）商务条款响应表或技术条款响应表有缺项、漏项且评标委员会认定该缺项、漏项使得投标文件没有对采购文件的要求作出实质性响应的；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9</w:t>
      </w:r>
      <w:r>
        <w:rPr>
          <w:rFonts w:hint="eastAsia" w:ascii="宋体" w:hAnsi="宋体"/>
          <w:color w:val="auto"/>
          <w:szCs w:val="21"/>
        </w:rPr>
        <w:t>）符合采购文件“评标标准”规定的无效投标条件的；</w:t>
      </w:r>
    </w:p>
    <w:p>
      <w:pPr>
        <w:spacing w:line="400" w:lineRule="exact"/>
        <w:rPr>
          <w:rFonts w:hint="eastAsia" w:ascii="宋体" w:hAnsi="宋体"/>
          <w:color w:val="auto"/>
          <w:szCs w:val="21"/>
        </w:rPr>
      </w:pPr>
      <w:r>
        <w:rPr>
          <w:rFonts w:hint="eastAsia" w:ascii="宋体" w:hAnsi="宋体"/>
          <w:color w:val="auto"/>
          <w:szCs w:val="21"/>
        </w:rPr>
        <w:t>（1</w:t>
      </w:r>
      <w:r>
        <w:rPr>
          <w:rFonts w:ascii="宋体" w:hAnsi="宋体"/>
          <w:color w:val="auto"/>
          <w:szCs w:val="21"/>
        </w:rPr>
        <w:t>0</w:t>
      </w:r>
      <w:r>
        <w:rPr>
          <w:rFonts w:hint="eastAsia" w:ascii="宋体" w:hAnsi="宋体"/>
          <w:color w:val="auto"/>
          <w:szCs w:val="21"/>
        </w:rPr>
        <w:t>）评标委员会认为投标人的报价明显低于其他通过符合性审查投标人的报价，有可能影响产品质量或者不能诚信履约的，投标人不能证明其报价合理性的；</w:t>
      </w:r>
    </w:p>
    <w:p>
      <w:pPr>
        <w:spacing w:line="400" w:lineRule="exact"/>
        <w:rPr>
          <w:rFonts w:hint="eastAsia" w:ascii="宋体" w:hAnsi="宋体"/>
          <w:color w:val="auto"/>
          <w:szCs w:val="21"/>
        </w:rPr>
      </w:pPr>
      <w:r>
        <w:rPr>
          <w:rFonts w:hint="eastAsia" w:ascii="宋体" w:hAnsi="宋体"/>
          <w:color w:val="auto"/>
          <w:szCs w:val="21"/>
        </w:rPr>
        <w:t>（1</w:t>
      </w:r>
      <w:r>
        <w:rPr>
          <w:rFonts w:ascii="宋体" w:hAnsi="宋体"/>
          <w:color w:val="auto"/>
          <w:szCs w:val="21"/>
        </w:rPr>
        <w:t>1</w:t>
      </w:r>
      <w:r>
        <w:rPr>
          <w:rFonts w:hint="eastAsia" w:ascii="宋体" w:hAnsi="宋体"/>
          <w:color w:val="auto"/>
          <w:szCs w:val="21"/>
        </w:rPr>
        <w:t>）评标委员会经过审查，认定投标人投标报价低于成本价的；</w:t>
      </w:r>
    </w:p>
    <w:p>
      <w:pPr>
        <w:spacing w:line="400" w:lineRule="exact"/>
        <w:rPr>
          <w:rFonts w:hint="eastAsia" w:ascii="宋体" w:hAnsi="宋体"/>
          <w:color w:val="auto"/>
          <w:szCs w:val="21"/>
        </w:rPr>
      </w:pPr>
      <w:r>
        <w:rPr>
          <w:rFonts w:hint="eastAsia" w:ascii="宋体" w:hAnsi="宋体"/>
          <w:color w:val="auto"/>
          <w:szCs w:val="21"/>
        </w:rPr>
        <w:t>（1</w:t>
      </w:r>
      <w:r>
        <w:rPr>
          <w:rFonts w:ascii="宋体" w:hAnsi="宋体"/>
          <w:color w:val="auto"/>
          <w:szCs w:val="21"/>
        </w:rPr>
        <w:t>2</w:t>
      </w:r>
      <w:r>
        <w:rPr>
          <w:rFonts w:hint="eastAsia" w:ascii="宋体" w:hAnsi="宋体"/>
          <w:color w:val="auto"/>
          <w:szCs w:val="21"/>
        </w:rPr>
        <w:t>）评标委员会对投标人投标文件报价有修正的，投标人不予确认的；</w:t>
      </w:r>
    </w:p>
    <w:p>
      <w:pPr>
        <w:spacing w:line="400" w:lineRule="exact"/>
        <w:rPr>
          <w:rFonts w:ascii="宋体" w:hAnsi="宋体"/>
          <w:color w:val="auto"/>
          <w:szCs w:val="21"/>
        </w:rPr>
      </w:pPr>
      <w:r>
        <w:rPr>
          <w:rFonts w:hint="eastAsia" w:ascii="宋体" w:hAnsi="宋体"/>
          <w:color w:val="auto"/>
          <w:szCs w:val="21"/>
        </w:rPr>
        <w:t>（1</w:t>
      </w:r>
      <w:r>
        <w:rPr>
          <w:rFonts w:ascii="宋体" w:hAnsi="宋体"/>
          <w:color w:val="auto"/>
          <w:szCs w:val="21"/>
        </w:rPr>
        <w:t>3</w:t>
      </w:r>
      <w:r>
        <w:rPr>
          <w:rFonts w:hint="eastAsia" w:ascii="宋体" w:hAnsi="宋体"/>
          <w:color w:val="auto"/>
          <w:szCs w:val="21"/>
        </w:rPr>
        <w:t>） 评标委员会经过审查，认定投标人虚假应标、串通投标的；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lang w:val="en-US" w:eastAsia="zh-CN"/>
        </w:rPr>
        <w:t>4</w:t>
      </w:r>
      <w:r>
        <w:rPr>
          <w:rFonts w:hint="eastAsia" w:ascii="宋体" w:hAnsi="宋体"/>
          <w:color w:val="auto"/>
          <w:szCs w:val="21"/>
        </w:rPr>
        <w:t>）两家或两家以上供应商提供的投标文件出自同一终端设备的，或在相同Internet主机分配地址（相同IP地址）获取招标文件或网上投标的，且经询标澄清供应商无令人信服的理由和可靠证据证明其合理性的。</w:t>
      </w:r>
    </w:p>
    <w:p>
      <w:pPr>
        <w:spacing w:line="400" w:lineRule="exact"/>
        <w:rPr>
          <w:rFonts w:hint="eastAsia" w:ascii="宋体" w:hAnsi="宋体"/>
          <w:color w:val="auto"/>
          <w:szCs w:val="21"/>
        </w:rPr>
      </w:pPr>
      <w:r>
        <w:rPr>
          <w:rFonts w:hint="eastAsia" w:ascii="宋体" w:hAnsi="宋体"/>
          <w:color w:val="auto"/>
          <w:szCs w:val="21"/>
        </w:rPr>
        <w:t>（1</w:t>
      </w:r>
      <w:r>
        <w:rPr>
          <w:rFonts w:ascii="宋体" w:hAnsi="宋体"/>
          <w:color w:val="auto"/>
          <w:szCs w:val="21"/>
        </w:rPr>
        <w:t>7</w:t>
      </w:r>
      <w:r>
        <w:rPr>
          <w:rFonts w:hint="eastAsia" w:ascii="宋体" w:hAnsi="宋体"/>
          <w:color w:val="auto"/>
          <w:szCs w:val="21"/>
        </w:rPr>
        <w:t>）法律、法规和本项目采购文件规定的其他无效情形。</w:t>
      </w:r>
    </w:p>
    <w:p>
      <w:pPr>
        <w:spacing w:before="120" w:beforeLines="50" w:after="120" w:afterLines="50" w:line="400" w:lineRule="exact"/>
        <w:rPr>
          <w:rFonts w:hint="eastAsia" w:ascii="宋体" w:hAnsi="宋体"/>
          <w:b/>
          <w:color w:val="auto"/>
          <w:sz w:val="24"/>
        </w:rPr>
      </w:pPr>
      <w:r>
        <w:rPr>
          <w:rFonts w:hint="eastAsia" w:ascii="宋体" w:hAnsi="宋体"/>
          <w:b/>
          <w:color w:val="auto"/>
          <w:sz w:val="24"/>
        </w:rPr>
        <w:t>五、评标程序</w:t>
      </w:r>
    </w:p>
    <w:p>
      <w:pPr>
        <w:spacing w:line="400" w:lineRule="exact"/>
        <w:rPr>
          <w:rFonts w:hint="eastAsia" w:ascii="宋体" w:hAnsi="宋体"/>
          <w:color w:val="auto"/>
          <w:szCs w:val="21"/>
        </w:rPr>
      </w:pPr>
      <w:r>
        <w:rPr>
          <w:rFonts w:hint="eastAsia" w:ascii="宋体" w:hAnsi="宋体"/>
          <w:color w:val="auto"/>
          <w:szCs w:val="21"/>
        </w:rPr>
        <w:t>评标程序包括资格审查、符合性审查、澄清或者说明、比较和评价、确定中标候选人名单等程序。</w:t>
      </w:r>
    </w:p>
    <w:p>
      <w:pPr>
        <w:spacing w:line="400" w:lineRule="exact"/>
        <w:rPr>
          <w:rFonts w:hint="eastAsia" w:ascii="宋体" w:hAnsi="宋体"/>
          <w:b/>
          <w:bCs/>
          <w:color w:val="auto"/>
          <w:szCs w:val="21"/>
        </w:rPr>
      </w:pPr>
      <w:r>
        <w:rPr>
          <w:rFonts w:hint="eastAsia" w:ascii="宋体" w:hAnsi="宋体"/>
          <w:b/>
          <w:bCs/>
          <w:color w:val="auto"/>
          <w:szCs w:val="21"/>
        </w:rPr>
        <w:t>（一）、资格审查</w:t>
      </w:r>
    </w:p>
    <w:p>
      <w:pPr>
        <w:spacing w:line="400" w:lineRule="exact"/>
        <w:rPr>
          <w:rFonts w:hint="eastAsia" w:ascii="宋体" w:hAnsi="宋体"/>
          <w:color w:val="auto"/>
          <w:szCs w:val="21"/>
        </w:rPr>
      </w:pPr>
      <w:r>
        <w:rPr>
          <w:rFonts w:hint="eastAsia" w:ascii="宋体" w:hAnsi="宋体"/>
          <w:color w:val="auto"/>
          <w:szCs w:val="21"/>
        </w:rPr>
        <w:t>本项目为资格后审，由采购人、采购代理机构对投标人的资格进行审查。资格审查不合格的投标人，不得进入下一步程序。资格审查后，合格的投标人不足三家的，不得继续评标。</w:t>
      </w:r>
    </w:p>
    <w:p>
      <w:pPr>
        <w:spacing w:line="400" w:lineRule="exact"/>
        <w:jc w:val="center"/>
        <w:rPr>
          <w:rFonts w:hint="eastAsia" w:ascii="宋体" w:hAnsi="宋体"/>
          <w:color w:val="auto"/>
          <w:szCs w:val="21"/>
        </w:rPr>
      </w:pPr>
      <w:r>
        <w:rPr>
          <w:rFonts w:hint="eastAsia" w:ascii="宋体" w:hAnsi="宋体"/>
          <w:color w:val="auto"/>
          <w:szCs w:val="21"/>
        </w:rPr>
        <w:t>资格审查内容（兼审查表）</w:t>
      </w:r>
    </w:p>
    <w:tbl>
      <w:tblPr>
        <w:tblStyle w:val="3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701"/>
        <w:gridCol w:w="284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序号</w:t>
            </w:r>
          </w:p>
        </w:tc>
        <w:tc>
          <w:tcPr>
            <w:tcW w:w="3701"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资格要求</w:t>
            </w:r>
          </w:p>
        </w:tc>
        <w:tc>
          <w:tcPr>
            <w:tcW w:w="2847"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审查内容</w:t>
            </w:r>
          </w:p>
        </w:tc>
        <w:tc>
          <w:tcPr>
            <w:tcW w:w="1732" w:type="dxa"/>
            <w:noWrap w:val="0"/>
            <w:vAlign w:val="center"/>
          </w:tcPr>
          <w:p>
            <w:pPr>
              <w:spacing w:line="400" w:lineRule="exact"/>
              <w:jc w:val="center"/>
              <w:rPr>
                <w:rFonts w:ascii="宋体" w:hAnsi="宋体"/>
                <w:color w:val="auto"/>
                <w:szCs w:val="21"/>
              </w:rPr>
            </w:pPr>
            <w:r>
              <w:rPr>
                <w:rFonts w:hint="eastAsia" w:ascii="宋体" w:hAnsi="宋体"/>
                <w:color w:val="auto"/>
                <w:szCs w:val="21"/>
              </w:rPr>
              <w:t>符合性</w:t>
            </w:r>
          </w:p>
          <w:p>
            <w:pPr>
              <w:spacing w:line="400" w:lineRule="exact"/>
              <w:jc w:val="center"/>
              <w:rPr>
                <w:rFonts w:hint="eastAsia" w:ascii="宋体" w:hAnsi="宋体"/>
                <w:color w:val="auto"/>
                <w:szCs w:val="21"/>
              </w:rPr>
            </w:pPr>
            <w:r>
              <w:rPr>
                <w:rFonts w:hint="eastAsia" w:ascii="宋体" w:hAnsi="宋体"/>
                <w:color w:val="auto"/>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4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1</w:t>
            </w:r>
          </w:p>
        </w:tc>
        <w:tc>
          <w:tcPr>
            <w:tcW w:w="3701" w:type="dxa"/>
            <w:noWrap w:val="0"/>
            <w:vAlign w:val="top"/>
          </w:tcPr>
          <w:p>
            <w:pPr>
              <w:snapToGrid w:val="0"/>
              <w:rPr>
                <w:rFonts w:hint="eastAsia" w:ascii="宋体" w:hAnsi="宋体"/>
                <w:color w:val="auto"/>
                <w:szCs w:val="21"/>
              </w:rPr>
            </w:pPr>
            <w:r>
              <w:rPr>
                <w:rFonts w:ascii="宋体" w:hAnsi="宋体"/>
                <w:color w:val="auto"/>
                <w:szCs w:val="21"/>
              </w:rPr>
              <w:t>符合《中华人民共和国政府采购法》第</w:t>
            </w:r>
            <w:r>
              <w:rPr>
                <w:rFonts w:hint="eastAsia" w:ascii="宋体" w:hAnsi="宋体"/>
                <w:color w:val="auto"/>
                <w:szCs w:val="21"/>
              </w:rPr>
              <w:t>二十二</w:t>
            </w:r>
            <w:r>
              <w:rPr>
                <w:rFonts w:ascii="宋体" w:hAnsi="宋体"/>
                <w:color w:val="auto"/>
                <w:szCs w:val="21"/>
              </w:rPr>
              <w:t>条的一般资格条件的规定</w:t>
            </w:r>
            <w:r>
              <w:rPr>
                <w:rFonts w:hint="eastAsia" w:ascii="宋体" w:hAnsi="宋体"/>
                <w:color w:val="auto"/>
                <w:szCs w:val="21"/>
              </w:rPr>
              <w:t>：</w:t>
            </w:r>
          </w:p>
        </w:tc>
        <w:tc>
          <w:tcPr>
            <w:tcW w:w="2847" w:type="dxa"/>
            <w:noWrap w:val="0"/>
            <w:vAlign w:val="top"/>
          </w:tcPr>
          <w:p>
            <w:pPr>
              <w:snapToGrid w:val="0"/>
              <w:rPr>
                <w:rFonts w:hint="eastAsia" w:ascii="宋体" w:hAnsi="宋体"/>
                <w:color w:val="auto"/>
                <w:szCs w:val="21"/>
              </w:rPr>
            </w:pPr>
            <w:r>
              <w:rPr>
                <w:rFonts w:hint="eastAsia" w:ascii="宋体" w:hAnsi="宋体"/>
                <w:color w:val="auto"/>
                <w:szCs w:val="21"/>
              </w:rPr>
              <w:t>（1）投标人资格声明函；</w:t>
            </w:r>
          </w:p>
          <w:p>
            <w:pPr>
              <w:snapToGrid w:val="0"/>
              <w:rPr>
                <w:rFonts w:hint="eastAsia" w:ascii="宋体" w:hAnsi="宋体"/>
                <w:color w:val="auto"/>
                <w:szCs w:val="21"/>
              </w:rPr>
            </w:pPr>
            <w:r>
              <w:rPr>
                <w:rFonts w:hint="eastAsia" w:ascii="宋体" w:hAnsi="宋体"/>
                <w:color w:val="auto"/>
                <w:szCs w:val="21"/>
              </w:rPr>
              <w:t>（2）营业执照；</w:t>
            </w:r>
          </w:p>
          <w:p>
            <w:pPr>
              <w:snapToGrid w:val="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）具备履行合同所需的设备和专业技术能力的声明函；</w:t>
            </w:r>
          </w:p>
          <w:p>
            <w:pPr>
              <w:snapToGrid w:val="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）无重大违法记录声明函；</w:t>
            </w:r>
          </w:p>
        </w:tc>
        <w:tc>
          <w:tcPr>
            <w:tcW w:w="1732"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2</w:t>
            </w:r>
          </w:p>
        </w:tc>
        <w:tc>
          <w:tcPr>
            <w:tcW w:w="3701" w:type="dxa"/>
            <w:noWrap w:val="0"/>
            <w:vAlign w:val="center"/>
          </w:tcPr>
          <w:p>
            <w:pPr>
              <w:snapToGrid w:val="0"/>
              <w:rPr>
                <w:rFonts w:hint="eastAsia" w:ascii="宋体" w:hAnsi="宋体"/>
                <w:color w:val="auto"/>
                <w:szCs w:val="21"/>
              </w:rPr>
            </w:pPr>
            <w:r>
              <w:rPr>
                <w:rFonts w:hint="eastAsia" w:ascii="宋体" w:hAnsi="宋体"/>
                <w:color w:val="auto"/>
                <w:szCs w:val="21"/>
              </w:rPr>
              <w:t>未被信用中国网站（</w:t>
            </w:r>
            <w:r>
              <w:rPr>
                <w:rFonts w:ascii="宋体" w:hAnsi="宋体"/>
                <w:color w:val="auto"/>
                <w:szCs w:val="21"/>
              </w:rPr>
              <w:fldChar w:fldCharType="begin"/>
            </w:r>
            <w:r>
              <w:rPr>
                <w:rFonts w:ascii="宋体" w:hAnsi="宋体"/>
                <w:color w:val="auto"/>
                <w:szCs w:val="21"/>
              </w:rPr>
              <w:instrText xml:space="preserve"> HYPERLINK "http://</w:instrText>
            </w:r>
            <w:r>
              <w:rPr>
                <w:rFonts w:hint="eastAsia" w:ascii="宋体" w:hAnsi="宋体"/>
                <w:color w:val="auto"/>
                <w:szCs w:val="21"/>
              </w:rPr>
              <w:instrText xml:space="preserve">www.creditchina.gov.cn</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www.creditchina.gov.cn</w:t>
            </w:r>
            <w:r>
              <w:rPr>
                <w:rFonts w:ascii="宋体" w:hAnsi="宋体"/>
                <w:color w:val="auto"/>
                <w:szCs w:val="21"/>
              </w:rPr>
              <w:fldChar w:fldCharType="end"/>
            </w:r>
            <w:r>
              <w:rPr>
                <w:rFonts w:hint="eastAsia" w:ascii="宋体" w:hAnsi="宋体"/>
                <w:color w:val="auto"/>
                <w:szCs w:val="21"/>
              </w:rPr>
              <w:t>）列入失信被执行人、重大税收违法案件当事人名单，未被中国政府采购网（www.ccgp.gov.cn）列入政府采购严重违法失信行为记录名单。</w:t>
            </w:r>
          </w:p>
          <w:p>
            <w:pPr>
              <w:snapToGrid w:val="0"/>
              <w:rPr>
                <w:rFonts w:hint="eastAsia" w:ascii="宋体" w:hAnsi="宋体"/>
                <w:color w:val="auto"/>
                <w:szCs w:val="21"/>
              </w:rPr>
            </w:pPr>
          </w:p>
        </w:tc>
        <w:tc>
          <w:tcPr>
            <w:tcW w:w="2847" w:type="dxa"/>
            <w:noWrap w:val="0"/>
            <w:vAlign w:val="top"/>
          </w:tcPr>
          <w:p>
            <w:pPr>
              <w:snapToGrid w:val="0"/>
              <w:rPr>
                <w:rFonts w:hint="eastAsia" w:ascii="宋体" w:hAnsi="宋体"/>
                <w:color w:val="auto"/>
                <w:szCs w:val="21"/>
              </w:rPr>
            </w:pPr>
            <w:r>
              <w:rPr>
                <w:rFonts w:hint="eastAsia" w:ascii="宋体" w:hAnsi="宋体"/>
                <w:color w:val="auto"/>
                <w:szCs w:val="21"/>
              </w:rPr>
              <w:t>采购人、采购代理机构将于投标截止时间</w:t>
            </w:r>
            <w:r>
              <w:rPr>
                <w:rFonts w:hint="eastAsia" w:ascii="宋体" w:hAnsi="宋体"/>
                <w:iCs/>
                <w:color w:val="auto"/>
                <w:szCs w:val="21"/>
              </w:rPr>
              <w:t>当天</w:t>
            </w:r>
            <w:r>
              <w:rPr>
                <w:rFonts w:hint="eastAsia" w:ascii="宋体" w:hAnsi="宋体"/>
                <w:color w:val="auto"/>
                <w:szCs w:val="21"/>
              </w:rPr>
              <w:t>通过“信用中国”网站（www.creditchina.gov.cn）查询投标人失信被执行人、重大税收违法案件当事人信用记录，通过中国政府采购网（www.ccgp.gov.cn）查询投标人政府采购严重违法失信行为信用记录。</w:t>
            </w:r>
          </w:p>
        </w:tc>
        <w:tc>
          <w:tcPr>
            <w:tcW w:w="1732"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spacing w:line="40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3</w:t>
            </w:r>
          </w:p>
        </w:tc>
        <w:tc>
          <w:tcPr>
            <w:tcW w:w="3701" w:type="dxa"/>
            <w:noWrap w:val="0"/>
            <w:vAlign w:val="center"/>
          </w:tcPr>
          <w:p>
            <w:pPr>
              <w:spacing w:line="400" w:lineRule="exact"/>
              <w:jc w:val="center"/>
              <w:rPr>
                <w:rFonts w:hint="eastAsia" w:ascii="宋体" w:hAnsi="宋体"/>
                <w:b/>
                <w:bCs/>
                <w:color w:val="auto"/>
                <w:szCs w:val="21"/>
              </w:rPr>
            </w:pPr>
            <w:r>
              <w:rPr>
                <w:rFonts w:ascii="宋体" w:hAnsi="宋体"/>
                <w:b/>
                <w:bCs/>
                <w:color w:val="auto"/>
                <w:szCs w:val="21"/>
              </w:rPr>
              <w:t>特定资格条件</w:t>
            </w:r>
          </w:p>
        </w:tc>
        <w:tc>
          <w:tcPr>
            <w:tcW w:w="2847" w:type="dxa"/>
            <w:noWrap w:val="0"/>
            <w:vAlign w:val="center"/>
          </w:tcPr>
          <w:p>
            <w:pPr>
              <w:pStyle w:val="7"/>
              <w:jc w:val="center"/>
              <w:rPr>
                <w:rFonts w:hint="default" w:eastAsia="宋体"/>
                <w:b/>
                <w:bCs/>
                <w:lang w:val="en-US" w:eastAsia="zh-CN"/>
              </w:rPr>
            </w:pPr>
            <w:r>
              <w:rPr>
                <w:rFonts w:hint="eastAsia" w:ascii="宋体" w:hAnsi="宋体"/>
                <w:color w:val="auto"/>
                <w:szCs w:val="21"/>
              </w:rPr>
              <w:t>投标人资格声明函</w:t>
            </w:r>
          </w:p>
        </w:tc>
        <w:tc>
          <w:tcPr>
            <w:tcW w:w="1732"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9" w:type="dxa"/>
            <w:gridSpan w:val="2"/>
            <w:noWrap w:val="0"/>
            <w:vAlign w:val="top"/>
          </w:tcPr>
          <w:p>
            <w:pPr>
              <w:spacing w:line="400" w:lineRule="exact"/>
              <w:rPr>
                <w:rFonts w:hint="eastAsia" w:ascii="宋体" w:hAnsi="宋体"/>
                <w:color w:val="auto"/>
                <w:szCs w:val="21"/>
              </w:rPr>
            </w:pPr>
            <w:r>
              <w:rPr>
                <w:rFonts w:hint="eastAsia" w:ascii="宋体" w:hAnsi="宋体"/>
                <w:color w:val="auto"/>
                <w:szCs w:val="21"/>
              </w:rPr>
              <w:t>审查结论（合格/不合格）</w:t>
            </w:r>
          </w:p>
        </w:tc>
        <w:tc>
          <w:tcPr>
            <w:tcW w:w="4579" w:type="dxa"/>
            <w:gridSpan w:val="2"/>
            <w:noWrap w:val="0"/>
            <w:vAlign w:val="top"/>
          </w:tcPr>
          <w:p>
            <w:pPr>
              <w:spacing w:line="400" w:lineRule="exact"/>
              <w:rPr>
                <w:rFonts w:hint="eastAsia" w:ascii="宋体" w:hAnsi="宋体"/>
                <w:color w:val="auto"/>
                <w:szCs w:val="21"/>
              </w:rPr>
            </w:pPr>
          </w:p>
        </w:tc>
      </w:tr>
    </w:tbl>
    <w:p>
      <w:pPr>
        <w:spacing w:line="400" w:lineRule="exact"/>
        <w:rPr>
          <w:rFonts w:hint="eastAsia" w:ascii="宋体" w:hAnsi="宋体"/>
          <w:color w:val="auto"/>
          <w:szCs w:val="21"/>
        </w:rPr>
      </w:pPr>
      <w:r>
        <w:rPr>
          <w:rFonts w:hint="eastAsia" w:ascii="宋体" w:hAnsi="宋体"/>
          <w:color w:val="auto"/>
          <w:szCs w:val="21"/>
        </w:rPr>
        <w:t>注：1、采购文件要求投标人提供资格证明文件的，资格证明文件未提供或提供不齐全的，资格审查为不合格。</w:t>
      </w:r>
    </w:p>
    <w:p>
      <w:pPr>
        <w:spacing w:line="400" w:lineRule="exact"/>
        <w:ind w:firstLine="420" w:firstLineChars="200"/>
        <w:rPr>
          <w:rFonts w:hint="eastAsia" w:ascii="宋体" w:hAnsi="宋体"/>
          <w:color w:val="auto"/>
          <w:szCs w:val="21"/>
        </w:rPr>
      </w:pPr>
      <w:r>
        <w:rPr>
          <w:rFonts w:hint="eastAsia" w:ascii="宋体" w:hAnsi="宋体"/>
          <w:color w:val="auto"/>
          <w:szCs w:val="21"/>
        </w:rPr>
        <w:t>2、上述资格审查内容中，任意一项不符合的，资格审查为不合格。</w:t>
      </w:r>
    </w:p>
    <w:p>
      <w:pPr>
        <w:spacing w:line="400" w:lineRule="exact"/>
        <w:rPr>
          <w:rFonts w:hint="eastAsia" w:ascii="宋体" w:hAnsi="宋体"/>
          <w:color w:val="auto"/>
          <w:szCs w:val="21"/>
        </w:rPr>
      </w:pPr>
      <w:r>
        <w:rPr>
          <w:rFonts w:hint="eastAsia" w:ascii="宋体" w:hAnsi="宋体"/>
          <w:b/>
          <w:bCs/>
          <w:color w:val="auto"/>
          <w:szCs w:val="21"/>
        </w:rPr>
        <w:t>（二）、符合性审查</w:t>
      </w:r>
    </w:p>
    <w:p>
      <w:pPr>
        <w:spacing w:line="400" w:lineRule="exact"/>
        <w:rPr>
          <w:rFonts w:hint="eastAsia" w:ascii="宋体" w:hAnsi="宋体"/>
          <w:color w:val="auto"/>
          <w:szCs w:val="21"/>
        </w:rPr>
      </w:pPr>
      <w:r>
        <w:rPr>
          <w:rFonts w:hint="eastAsia" w:ascii="宋体" w:hAnsi="宋体"/>
          <w:color w:val="auto"/>
          <w:szCs w:val="21"/>
        </w:rPr>
        <w:t>由评标委员会对符合资格要求的投标人的投标文件进行符合性审查，以确定其是否满足采购文件的商务、技术等实质性要求。符合性审查不合格的投标人，不得进入下一步评审。符合性审查后，有效投标人不足三家的，不得继续评标。</w:t>
      </w:r>
    </w:p>
    <w:p>
      <w:pPr>
        <w:spacing w:line="400" w:lineRule="exact"/>
        <w:jc w:val="center"/>
        <w:rPr>
          <w:rFonts w:hint="eastAsia" w:ascii="宋体" w:hAnsi="宋体"/>
          <w:color w:val="auto"/>
          <w:szCs w:val="21"/>
        </w:rPr>
      </w:pPr>
      <w:r>
        <w:rPr>
          <w:rFonts w:hint="eastAsia" w:ascii="宋体" w:hAnsi="宋体"/>
          <w:color w:val="auto"/>
          <w:szCs w:val="21"/>
        </w:rPr>
        <w:t>符合性审查内容（兼评委审查表）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919"/>
        <w:gridCol w:w="3418"/>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序号</w:t>
            </w:r>
          </w:p>
        </w:tc>
        <w:tc>
          <w:tcPr>
            <w:tcW w:w="2919"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审查项目</w:t>
            </w:r>
          </w:p>
        </w:tc>
        <w:tc>
          <w:tcPr>
            <w:tcW w:w="341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采购文件要求</w:t>
            </w:r>
          </w:p>
        </w:tc>
        <w:tc>
          <w:tcPr>
            <w:tcW w:w="1759" w:type="dxa"/>
            <w:noWrap w:val="0"/>
            <w:vAlign w:val="center"/>
          </w:tcPr>
          <w:p>
            <w:pPr>
              <w:spacing w:line="400" w:lineRule="exact"/>
              <w:jc w:val="center"/>
              <w:rPr>
                <w:rFonts w:ascii="宋体" w:hAnsi="宋体"/>
                <w:color w:val="auto"/>
                <w:szCs w:val="21"/>
              </w:rPr>
            </w:pPr>
            <w:r>
              <w:rPr>
                <w:rFonts w:hint="eastAsia" w:ascii="宋体" w:hAnsi="宋体"/>
                <w:color w:val="auto"/>
                <w:szCs w:val="21"/>
              </w:rPr>
              <w:t>符合性</w:t>
            </w:r>
          </w:p>
          <w:p>
            <w:pPr>
              <w:spacing w:line="400" w:lineRule="exact"/>
              <w:jc w:val="center"/>
              <w:rPr>
                <w:rFonts w:hint="eastAsia" w:ascii="宋体" w:hAnsi="宋体"/>
                <w:color w:val="auto"/>
                <w:szCs w:val="21"/>
              </w:rPr>
            </w:pPr>
            <w:r>
              <w:rPr>
                <w:rFonts w:hint="eastAsia" w:ascii="宋体" w:hAnsi="宋体"/>
                <w:color w:val="auto"/>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1</w:t>
            </w:r>
          </w:p>
        </w:tc>
        <w:tc>
          <w:tcPr>
            <w:tcW w:w="2919"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投标人名称</w:t>
            </w:r>
          </w:p>
        </w:tc>
        <w:tc>
          <w:tcPr>
            <w:tcW w:w="3418" w:type="dxa"/>
            <w:noWrap w:val="0"/>
            <w:vAlign w:val="center"/>
          </w:tcPr>
          <w:p>
            <w:pPr>
              <w:spacing w:line="400" w:lineRule="exact"/>
              <w:jc w:val="both"/>
              <w:rPr>
                <w:rFonts w:hint="eastAsia" w:ascii="宋体"/>
                <w:color w:val="auto"/>
                <w:szCs w:val="21"/>
              </w:rPr>
            </w:pPr>
            <w:r>
              <w:rPr>
                <w:rFonts w:hint="eastAsia" w:ascii="宋体"/>
                <w:color w:val="auto"/>
                <w:szCs w:val="21"/>
              </w:rPr>
              <w:t>投标文件投标人名称、采购文件购买人名称应当一致。</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2</w:t>
            </w:r>
          </w:p>
        </w:tc>
        <w:tc>
          <w:tcPr>
            <w:tcW w:w="2919"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法定代表人授权委托书或法定代表人身份证明</w:t>
            </w:r>
          </w:p>
        </w:tc>
        <w:tc>
          <w:tcPr>
            <w:tcW w:w="3418" w:type="dxa"/>
            <w:noWrap w:val="0"/>
            <w:vAlign w:val="center"/>
          </w:tcPr>
          <w:p>
            <w:pPr>
              <w:spacing w:line="400" w:lineRule="exact"/>
              <w:jc w:val="both"/>
              <w:rPr>
                <w:rFonts w:hint="eastAsia" w:ascii="宋体"/>
                <w:color w:val="auto"/>
                <w:szCs w:val="21"/>
              </w:rPr>
            </w:pPr>
            <w:r>
              <w:rPr>
                <w:rFonts w:hint="eastAsia" w:ascii="宋体"/>
                <w:bCs/>
                <w:color w:val="auto"/>
                <w:szCs w:val="21"/>
              </w:rPr>
              <w:t>详见投标人须知2.3投标人代表</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3</w:t>
            </w:r>
          </w:p>
        </w:tc>
        <w:tc>
          <w:tcPr>
            <w:tcW w:w="2919"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投标有效期</w:t>
            </w:r>
          </w:p>
        </w:tc>
        <w:tc>
          <w:tcPr>
            <w:tcW w:w="3418" w:type="dxa"/>
            <w:noWrap w:val="0"/>
            <w:vAlign w:val="center"/>
          </w:tcPr>
          <w:p>
            <w:pPr>
              <w:spacing w:line="400" w:lineRule="exact"/>
              <w:jc w:val="both"/>
              <w:rPr>
                <w:rFonts w:hint="eastAsia" w:ascii="宋体" w:hAnsi="宋体"/>
                <w:color w:val="auto"/>
                <w:szCs w:val="21"/>
              </w:rPr>
            </w:pPr>
            <w:r>
              <w:rPr>
                <w:rFonts w:hint="eastAsia" w:ascii="宋体"/>
                <w:bCs/>
                <w:color w:val="auto"/>
                <w:szCs w:val="21"/>
              </w:rPr>
              <w:t>详见投标人须知前附表</w:t>
            </w:r>
            <w:r>
              <w:rPr>
                <w:rFonts w:hint="eastAsia" w:ascii="宋体" w:hAnsi="宋体"/>
                <w:b/>
                <w:color w:val="auto"/>
                <w:szCs w:val="21"/>
              </w:rPr>
              <w:t>*</w:t>
            </w:r>
            <w:r>
              <w:rPr>
                <w:rFonts w:hint="eastAsia" w:ascii="宋体" w:hAnsi="宋体"/>
                <w:color w:val="auto"/>
                <w:szCs w:val="21"/>
              </w:rPr>
              <w:t>5.1</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4</w:t>
            </w:r>
          </w:p>
        </w:tc>
        <w:tc>
          <w:tcPr>
            <w:tcW w:w="2919"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投标文件的签署、盖章、</w:t>
            </w:r>
            <w:r>
              <w:rPr>
                <w:rFonts w:hint="eastAsia" w:ascii="宋体"/>
                <w:bCs/>
                <w:color w:val="auto"/>
                <w:szCs w:val="21"/>
              </w:rPr>
              <w:t>装订及份数</w:t>
            </w:r>
          </w:p>
        </w:tc>
        <w:tc>
          <w:tcPr>
            <w:tcW w:w="3418" w:type="dxa"/>
            <w:noWrap w:val="0"/>
            <w:vAlign w:val="center"/>
          </w:tcPr>
          <w:p>
            <w:pPr>
              <w:spacing w:line="400" w:lineRule="exact"/>
              <w:jc w:val="both"/>
              <w:rPr>
                <w:rFonts w:hint="eastAsia" w:ascii="宋体" w:hAnsi="宋体" w:eastAsia="宋体"/>
                <w:color w:val="auto"/>
                <w:szCs w:val="21"/>
                <w:lang w:eastAsia="zh-CN"/>
              </w:rPr>
            </w:pPr>
            <w:r>
              <w:rPr>
                <w:rFonts w:hint="eastAsia" w:ascii="宋体"/>
                <w:bCs/>
                <w:color w:val="auto"/>
                <w:szCs w:val="21"/>
              </w:rPr>
              <w:t>详见投标人须知7.3投标文件的签署、盖章、装订及份数</w:t>
            </w:r>
            <w:r>
              <w:rPr>
                <w:rFonts w:hint="eastAsia" w:ascii="宋体"/>
                <w:bCs/>
                <w:color w:val="auto"/>
                <w:szCs w:val="21"/>
                <w:lang w:eastAsia="zh-CN"/>
              </w:rPr>
              <w:t>。</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5</w:t>
            </w:r>
          </w:p>
        </w:tc>
        <w:tc>
          <w:tcPr>
            <w:tcW w:w="2919"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投标文件组成</w:t>
            </w:r>
          </w:p>
        </w:tc>
        <w:tc>
          <w:tcPr>
            <w:tcW w:w="3418" w:type="dxa"/>
            <w:noWrap w:val="0"/>
            <w:vAlign w:val="center"/>
          </w:tcPr>
          <w:p>
            <w:pPr>
              <w:spacing w:line="400" w:lineRule="exact"/>
              <w:jc w:val="both"/>
              <w:rPr>
                <w:rFonts w:hint="eastAsia" w:ascii="宋体" w:hAnsi="宋体"/>
                <w:color w:val="auto"/>
                <w:szCs w:val="21"/>
              </w:rPr>
            </w:pPr>
            <w:r>
              <w:rPr>
                <w:rFonts w:hint="eastAsia" w:ascii="宋体"/>
                <w:bCs/>
                <w:color w:val="auto"/>
                <w:szCs w:val="21"/>
              </w:rPr>
              <w:t>详见投标人须知前附表</w:t>
            </w:r>
            <w:r>
              <w:rPr>
                <w:rFonts w:hint="eastAsia" w:ascii="宋体" w:hAnsi="宋体"/>
                <w:b/>
                <w:color w:val="auto"/>
                <w:szCs w:val="21"/>
              </w:rPr>
              <w:t>*</w:t>
            </w:r>
            <w:r>
              <w:rPr>
                <w:rFonts w:hint="eastAsia" w:ascii="宋体" w:hAnsi="宋体"/>
                <w:color w:val="auto"/>
                <w:szCs w:val="21"/>
              </w:rPr>
              <w:t>7.1</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6</w:t>
            </w:r>
          </w:p>
        </w:tc>
        <w:tc>
          <w:tcPr>
            <w:tcW w:w="2919"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投标报价</w:t>
            </w:r>
          </w:p>
        </w:tc>
        <w:tc>
          <w:tcPr>
            <w:tcW w:w="3418" w:type="dxa"/>
            <w:noWrap w:val="0"/>
            <w:vAlign w:val="center"/>
          </w:tcPr>
          <w:p>
            <w:pPr>
              <w:spacing w:line="400" w:lineRule="exact"/>
              <w:jc w:val="both"/>
              <w:rPr>
                <w:rFonts w:hint="eastAsia" w:ascii="宋体" w:hAnsi="宋体"/>
                <w:color w:val="auto"/>
                <w:szCs w:val="21"/>
              </w:rPr>
            </w:pPr>
            <w:r>
              <w:rPr>
                <w:rFonts w:hint="eastAsia" w:ascii="宋体"/>
                <w:bCs/>
                <w:color w:val="auto"/>
                <w:szCs w:val="21"/>
              </w:rPr>
              <w:t>详见投标人须知四、投标报价要求</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7</w:t>
            </w:r>
          </w:p>
        </w:tc>
        <w:tc>
          <w:tcPr>
            <w:tcW w:w="2919"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商务实质性条款（带*号条款）</w:t>
            </w:r>
          </w:p>
        </w:tc>
        <w:tc>
          <w:tcPr>
            <w:tcW w:w="3418"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详见第二章采购需求</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8</w:t>
            </w:r>
          </w:p>
        </w:tc>
        <w:tc>
          <w:tcPr>
            <w:tcW w:w="2919"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技术实质性条款（带*号条款）</w:t>
            </w:r>
          </w:p>
        </w:tc>
        <w:tc>
          <w:tcPr>
            <w:tcW w:w="3418"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详见第二章采购需求</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9</w:t>
            </w:r>
          </w:p>
        </w:tc>
        <w:tc>
          <w:tcPr>
            <w:tcW w:w="2919"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其他无效投标认定情形</w:t>
            </w:r>
          </w:p>
        </w:tc>
        <w:tc>
          <w:tcPr>
            <w:tcW w:w="3418" w:type="dxa"/>
            <w:noWrap w:val="0"/>
            <w:vAlign w:val="center"/>
          </w:tcPr>
          <w:p>
            <w:pPr>
              <w:spacing w:line="400" w:lineRule="exact"/>
              <w:jc w:val="both"/>
              <w:rPr>
                <w:rFonts w:hint="eastAsia" w:ascii="宋体" w:hAnsi="宋体"/>
                <w:color w:val="auto"/>
                <w:szCs w:val="21"/>
              </w:rPr>
            </w:pPr>
            <w:r>
              <w:rPr>
                <w:rFonts w:hint="eastAsia" w:ascii="宋体" w:hAnsi="宋体"/>
                <w:bCs/>
                <w:color w:val="auto"/>
                <w:szCs w:val="21"/>
              </w:rPr>
              <w:t>详见本章四、评标过程中投标无效的认定及采购文件</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10</w:t>
            </w:r>
          </w:p>
        </w:tc>
        <w:tc>
          <w:tcPr>
            <w:tcW w:w="2919" w:type="dxa"/>
            <w:noWrap w:val="0"/>
            <w:vAlign w:val="center"/>
          </w:tcPr>
          <w:p>
            <w:pPr>
              <w:spacing w:line="400" w:lineRule="exact"/>
              <w:jc w:val="both"/>
              <w:rPr>
                <w:rFonts w:hint="eastAsia" w:ascii="宋体" w:hAnsi="宋体"/>
                <w:color w:val="auto"/>
                <w:szCs w:val="21"/>
              </w:rPr>
            </w:pPr>
            <w:r>
              <w:rPr>
                <w:rFonts w:hint="eastAsia" w:ascii="宋体" w:hAnsi="宋体"/>
                <w:color w:val="auto"/>
                <w:szCs w:val="21"/>
              </w:rPr>
              <w:t>本项目不接受联合体投标</w:t>
            </w:r>
          </w:p>
        </w:tc>
        <w:tc>
          <w:tcPr>
            <w:tcW w:w="3418" w:type="dxa"/>
            <w:noWrap w:val="0"/>
            <w:vAlign w:val="center"/>
          </w:tcPr>
          <w:p>
            <w:pPr>
              <w:spacing w:line="400" w:lineRule="exact"/>
              <w:jc w:val="both"/>
              <w:rPr>
                <w:rFonts w:hint="eastAsia" w:ascii="宋体" w:hAnsi="宋体"/>
                <w:bCs/>
                <w:color w:val="auto"/>
                <w:szCs w:val="21"/>
              </w:rPr>
            </w:pPr>
            <w:r>
              <w:rPr>
                <w:rFonts w:hint="eastAsia" w:ascii="宋体" w:hAnsi="宋体"/>
                <w:color w:val="auto"/>
                <w:szCs w:val="21"/>
              </w:rPr>
              <w:t>投标人资格声明函</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747" w:type="dxa"/>
            <w:gridSpan w:val="2"/>
            <w:noWrap w:val="0"/>
            <w:vAlign w:val="top"/>
          </w:tcPr>
          <w:p>
            <w:pPr>
              <w:spacing w:line="400" w:lineRule="exact"/>
              <w:rPr>
                <w:rFonts w:hint="eastAsia" w:ascii="宋体" w:hAnsi="宋体"/>
                <w:color w:val="auto"/>
                <w:szCs w:val="21"/>
              </w:rPr>
            </w:pPr>
            <w:r>
              <w:rPr>
                <w:rFonts w:hint="eastAsia" w:ascii="宋体" w:hAnsi="宋体"/>
                <w:color w:val="auto"/>
                <w:szCs w:val="21"/>
              </w:rPr>
              <w:t>审查结论（合格/不合格）</w:t>
            </w:r>
          </w:p>
        </w:tc>
        <w:tc>
          <w:tcPr>
            <w:tcW w:w="5177" w:type="dxa"/>
            <w:gridSpan w:val="2"/>
            <w:noWrap w:val="0"/>
            <w:vAlign w:val="top"/>
          </w:tcPr>
          <w:p>
            <w:pPr>
              <w:spacing w:line="400" w:lineRule="exact"/>
              <w:rPr>
                <w:rFonts w:hint="eastAsia" w:ascii="宋体" w:hAnsi="宋体"/>
                <w:color w:val="auto"/>
                <w:szCs w:val="21"/>
              </w:rPr>
            </w:pPr>
          </w:p>
        </w:tc>
      </w:tr>
    </w:tbl>
    <w:p>
      <w:pPr>
        <w:spacing w:line="400" w:lineRule="exact"/>
        <w:rPr>
          <w:rFonts w:hint="eastAsia" w:ascii="宋体" w:hAnsi="宋体"/>
          <w:color w:val="auto"/>
          <w:szCs w:val="21"/>
        </w:rPr>
      </w:pPr>
      <w:r>
        <w:rPr>
          <w:rFonts w:hint="eastAsia" w:ascii="宋体" w:hAnsi="宋体"/>
          <w:color w:val="auto"/>
          <w:szCs w:val="21"/>
        </w:rPr>
        <w:t>注：1、上述审查项目中，任意一项不符合的，符合性审查为不合格。</w:t>
      </w:r>
    </w:p>
    <w:p>
      <w:pPr>
        <w:spacing w:line="400" w:lineRule="exact"/>
        <w:rPr>
          <w:rFonts w:hint="eastAsia" w:ascii="宋体" w:hAnsi="宋体"/>
          <w:color w:val="auto"/>
          <w:szCs w:val="21"/>
        </w:rPr>
      </w:pPr>
      <w:r>
        <w:rPr>
          <w:rFonts w:hint="eastAsia" w:ascii="宋体" w:hAnsi="宋体"/>
          <w:b/>
          <w:bCs/>
          <w:color w:val="auto"/>
          <w:szCs w:val="21"/>
        </w:rPr>
        <w:t>（三）、澄清或者说明</w:t>
      </w:r>
    </w:p>
    <w:p>
      <w:pPr>
        <w:spacing w:line="400" w:lineRule="exact"/>
        <w:rPr>
          <w:rFonts w:ascii="宋体"/>
          <w:color w:val="auto"/>
          <w:szCs w:val="21"/>
        </w:rPr>
      </w:pPr>
      <w:r>
        <w:rPr>
          <w:rFonts w:hint="eastAsia" w:ascii="宋体"/>
          <w:color w:val="auto"/>
          <w:szCs w:val="21"/>
          <w:lang w:val="en-US" w:eastAsia="zh-CN"/>
        </w:rPr>
        <w:t>1、</w:t>
      </w:r>
      <w:r>
        <w:rPr>
          <w:rFonts w:hint="eastAsia" w:ascii="宋体"/>
          <w:color w:val="auto"/>
          <w:szCs w:val="21"/>
        </w:rPr>
        <w:t>对投标文件审查中发现的投标文件表达含义不明确、同类问题表述不一致或者有明显文字和计算错误的内容，评标委员会应当书面形式要求供应商作出必要的澄清、说明或者补正。</w:t>
      </w:r>
    </w:p>
    <w:p>
      <w:pPr>
        <w:spacing w:line="400" w:lineRule="exact"/>
        <w:rPr>
          <w:rFonts w:ascii="宋体"/>
          <w:color w:val="auto"/>
          <w:szCs w:val="21"/>
        </w:rPr>
      </w:pPr>
      <w:r>
        <w:rPr>
          <w:rFonts w:hint="eastAsia" w:ascii="宋体"/>
          <w:color w:val="auto"/>
          <w:szCs w:val="21"/>
          <w:lang w:val="en-US" w:eastAsia="zh-CN"/>
        </w:rPr>
        <w:t>2、</w:t>
      </w:r>
      <w:r>
        <w:rPr>
          <w:rFonts w:hint="eastAsia" w:ascii="宋体"/>
          <w:color w:val="auto"/>
          <w:szCs w:val="21"/>
        </w:rPr>
        <w:t>供应商的澄清、说明或者补正应当采用书面形式，并加盖公章，或者由法定代表人或其委托代理人的签字。供应商的澄清、说明或者补正不得超出投标文件的范围或者改变投标文件的实质性内容。</w:t>
      </w:r>
    </w:p>
    <w:p>
      <w:pPr>
        <w:spacing w:line="400" w:lineRule="exact"/>
        <w:rPr>
          <w:rFonts w:hint="eastAsia" w:ascii="宋体"/>
          <w:color w:val="auto"/>
          <w:szCs w:val="21"/>
        </w:rPr>
      </w:pPr>
      <w:r>
        <w:rPr>
          <w:rFonts w:hint="eastAsia" w:ascii="宋体"/>
          <w:color w:val="auto"/>
          <w:szCs w:val="21"/>
          <w:lang w:val="en-US" w:eastAsia="zh-CN"/>
        </w:rPr>
        <w:t>3、</w:t>
      </w:r>
      <w:r>
        <w:rPr>
          <w:rFonts w:hint="eastAsia" w:ascii="宋体"/>
          <w:color w:val="auto"/>
          <w:szCs w:val="21"/>
        </w:rPr>
        <w:t>若供应商未响应澄清安排的通知到场进行答疑和澄清，将被视作自动放弃。</w:t>
      </w:r>
    </w:p>
    <w:p>
      <w:pPr>
        <w:spacing w:line="400" w:lineRule="exact"/>
        <w:rPr>
          <w:rFonts w:hint="eastAsia" w:ascii="宋体"/>
          <w:color w:val="auto"/>
          <w:szCs w:val="21"/>
          <w:lang w:val="en-US" w:eastAsia="zh-CN"/>
        </w:rPr>
      </w:pPr>
      <w:r>
        <w:rPr>
          <w:rFonts w:hint="eastAsia" w:ascii="宋体"/>
          <w:color w:val="auto"/>
          <w:szCs w:val="21"/>
          <w:lang w:val="en-US" w:eastAsia="zh-CN"/>
        </w:rPr>
        <w:t>4、政采云具体操作如下：</w:t>
      </w:r>
    </w:p>
    <w:p>
      <w:pPr>
        <w:spacing w:line="400" w:lineRule="exact"/>
        <w:rPr>
          <w:rFonts w:hint="eastAsia" w:ascii="宋体"/>
          <w:color w:val="auto"/>
          <w:szCs w:val="21"/>
          <w:lang w:val="en-US" w:eastAsia="zh-CN"/>
        </w:rPr>
      </w:pPr>
      <w:r>
        <w:rPr>
          <w:rFonts w:hint="eastAsia" w:ascii="宋体"/>
          <w:color w:val="auto"/>
          <w:szCs w:val="21"/>
          <w:lang w:val="en-US" w:eastAsia="zh-CN"/>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rPr>
          <w:rFonts w:hint="eastAsia" w:ascii="宋体"/>
          <w:color w:val="auto"/>
          <w:szCs w:val="21"/>
          <w:lang w:val="en-US" w:eastAsia="zh-CN"/>
        </w:rPr>
      </w:pPr>
      <w:r>
        <w:rPr>
          <w:rFonts w:hint="eastAsia" w:ascii="宋体"/>
          <w:color w:val="auto"/>
          <w:szCs w:val="21"/>
          <w:lang w:val="en-US" w:eastAsia="zh-CN"/>
        </w:rPr>
        <w:t>路径：用户中心—项目采购—询标澄清</w:t>
      </w:r>
    </w:p>
    <w:p>
      <w:pPr>
        <w:spacing w:line="400" w:lineRule="exact"/>
        <w:rPr>
          <w:rFonts w:hint="eastAsia" w:ascii="宋体"/>
          <w:color w:val="auto"/>
          <w:szCs w:val="21"/>
          <w:lang w:val="en-US" w:eastAsia="zh-CN"/>
        </w:rPr>
      </w:pPr>
      <w:r>
        <w:rPr>
          <w:rFonts w:hint="eastAsia" w:ascii="宋体"/>
          <w:color w:val="auto"/>
          <w:szCs w:val="21"/>
          <w:lang w:val="en-US" w:eastAsia="zh-CN"/>
        </w:rPr>
        <w:t>（1）政采云平台通过待办事项和短信提醒供应商在截止时间前完成澄清。</w:t>
      </w:r>
    </w:p>
    <w:p>
      <w:pPr>
        <w:spacing w:line="400" w:lineRule="exact"/>
        <w:rPr>
          <w:rFonts w:hint="eastAsia" w:ascii="宋体"/>
          <w:color w:val="auto"/>
          <w:szCs w:val="21"/>
          <w:lang w:val="en-US" w:eastAsia="zh-CN"/>
        </w:rPr>
      </w:pPr>
      <w:r>
        <w:rPr>
          <w:rFonts w:hint="eastAsia" w:ascii="宋体"/>
          <w:color w:val="auto"/>
          <w:szCs w:val="21"/>
          <w:lang w:val="en-US" w:eastAsia="zh-CN"/>
        </w:rPr>
        <w:t>（2）供应商在“询标澄清-待办理”标签页下选择状态为“待澄清”的项目，点击操作栏【澄清】。</w:t>
      </w:r>
    </w:p>
    <w:p>
      <w:pPr>
        <w:spacing w:line="400" w:lineRule="exact"/>
        <w:rPr>
          <w:rFonts w:hint="eastAsia" w:ascii="宋体"/>
          <w:color w:val="auto"/>
          <w:szCs w:val="21"/>
          <w:lang w:val="en-US" w:eastAsia="zh-CN"/>
        </w:rPr>
      </w:pPr>
      <w:r>
        <w:rPr>
          <w:rFonts w:hint="eastAsia" w:ascii="宋体"/>
          <w:color w:val="auto"/>
          <w:szCs w:val="21"/>
          <w:lang w:val="en-US" w:eastAsia="zh-CN"/>
        </w:rPr>
        <w:t>（3）查看函内容，在澄清截止时间前上传澄清文件并对澄清文件进行签章。（注：澄清文件必须以PDF格式上传，文件大小：50M）</w:t>
      </w:r>
    </w:p>
    <w:p>
      <w:pPr>
        <w:spacing w:line="400" w:lineRule="exact"/>
        <w:rPr>
          <w:rFonts w:hint="eastAsia" w:ascii="宋体"/>
          <w:color w:val="auto"/>
          <w:szCs w:val="21"/>
          <w:lang w:val="en-US" w:eastAsia="zh-CN"/>
        </w:rPr>
      </w:pPr>
      <w:r>
        <w:rPr>
          <w:rFonts w:hint="eastAsia" w:ascii="宋体"/>
          <w:color w:val="auto"/>
          <w:szCs w:val="21"/>
          <w:lang w:val="en-US" w:eastAsia="zh-CN"/>
        </w:rPr>
        <w:t>（4）签章完成，文件名称处显示“已签章”，供应商可“撤回签章”修改澄清函和“查看文件”。</w:t>
      </w:r>
    </w:p>
    <w:p>
      <w:pPr>
        <w:spacing w:line="400" w:lineRule="exact"/>
        <w:rPr>
          <w:rFonts w:hint="eastAsia" w:ascii="宋体"/>
          <w:color w:val="auto"/>
          <w:szCs w:val="21"/>
          <w:lang w:val="en-US" w:eastAsia="zh-CN"/>
        </w:rPr>
      </w:pPr>
      <w:r>
        <w:rPr>
          <w:rFonts w:hint="eastAsia" w:ascii="宋体"/>
          <w:color w:val="auto"/>
          <w:szCs w:val="21"/>
          <w:lang w:val="en-US" w:eastAsia="zh-CN"/>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rPr>
          <w:rFonts w:hint="eastAsia" w:eastAsia="宋体"/>
          <w:color w:val="auto"/>
          <w:lang w:val="en-US" w:eastAsia="zh-CN"/>
        </w:rPr>
      </w:pPr>
      <w:r>
        <w:rPr>
          <w:rFonts w:hint="eastAsia" w:ascii="宋体"/>
          <w:color w:val="auto"/>
          <w:szCs w:val="21"/>
          <w:lang w:val="en-US" w:eastAsia="zh-CN"/>
        </w:rPr>
        <w:t>（6）完成状态：供应商澄清文件提交成功后，在“询标澄清-全部”标签页下显示状态为“已澄清”。</w:t>
      </w:r>
    </w:p>
    <w:p>
      <w:pPr>
        <w:spacing w:line="400" w:lineRule="exact"/>
        <w:rPr>
          <w:rFonts w:hint="eastAsia" w:ascii="宋体" w:hAnsi="宋体"/>
          <w:b/>
          <w:bCs/>
          <w:color w:val="auto"/>
          <w:szCs w:val="21"/>
        </w:rPr>
      </w:pPr>
      <w:r>
        <w:rPr>
          <w:rFonts w:hint="eastAsia" w:ascii="宋体" w:hAnsi="宋体"/>
          <w:b/>
          <w:bCs/>
          <w:color w:val="auto"/>
          <w:szCs w:val="21"/>
        </w:rPr>
        <w:t>（四）、投标文件比较和评价</w:t>
      </w:r>
    </w:p>
    <w:p>
      <w:pPr>
        <w:spacing w:line="400" w:lineRule="exact"/>
        <w:rPr>
          <w:rFonts w:hint="eastAsia" w:ascii="宋体" w:hAnsi="宋体"/>
          <w:color w:val="auto"/>
          <w:szCs w:val="21"/>
        </w:rPr>
      </w:pPr>
      <w:r>
        <w:rPr>
          <w:rFonts w:hint="eastAsia" w:ascii="宋体" w:hAnsi="宋体"/>
          <w:color w:val="auto"/>
          <w:szCs w:val="21"/>
        </w:rPr>
        <w:t>1、由评标委员会按照采购文件的要求和“评标标准（兼评委打分表）”对照投标人投标文件的响应进行技术、资信商务比较和评价，评定其偏离性质和程度，并对其技术、资信商务进行评分。</w:t>
      </w:r>
    </w:p>
    <w:p>
      <w:pPr>
        <w:spacing w:line="400" w:lineRule="exact"/>
        <w:rPr>
          <w:rFonts w:hint="eastAsia" w:ascii="宋体" w:hAnsi="宋体"/>
          <w:color w:val="auto"/>
          <w:szCs w:val="21"/>
        </w:rPr>
      </w:pPr>
      <w:r>
        <w:rPr>
          <w:rFonts w:hint="eastAsia" w:ascii="宋体" w:hAnsi="宋体"/>
          <w:color w:val="auto"/>
          <w:szCs w:val="21"/>
        </w:rPr>
        <w:t>2、 综合评分：计算各投标人的价格得分。评标委员会成员对各投标人进行综合评分。各投标人的综合</w:t>
      </w:r>
      <w:r>
        <w:rPr>
          <w:rFonts w:hint="eastAsia" w:ascii="宋体" w:hAnsi="宋体"/>
          <w:color w:val="auto"/>
          <w:szCs w:val="21"/>
          <w:lang w:val="en-US" w:eastAsia="zh-CN"/>
        </w:rPr>
        <w:t>得</w:t>
      </w:r>
      <w:r>
        <w:rPr>
          <w:rFonts w:hint="eastAsia" w:ascii="宋体" w:hAnsi="宋体"/>
          <w:color w:val="auto"/>
          <w:szCs w:val="21"/>
        </w:rPr>
        <w:t>分=</w:t>
      </w:r>
      <w:r>
        <w:rPr>
          <w:rFonts w:hint="eastAsia" w:ascii="宋体" w:hAnsi="宋体"/>
          <w:color w:val="auto"/>
          <w:szCs w:val="21"/>
          <w:lang w:eastAsia="zh-CN"/>
        </w:rPr>
        <w:t>技术商务</w:t>
      </w:r>
      <w:r>
        <w:rPr>
          <w:rFonts w:hint="eastAsia" w:ascii="宋体" w:hAnsi="宋体"/>
          <w:color w:val="auto"/>
          <w:szCs w:val="21"/>
        </w:rPr>
        <w:t>分+价格分</w:t>
      </w:r>
    </w:p>
    <w:p>
      <w:pPr>
        <w:spacing w:line="400" w:lineRule="exact"/>
        <w:rPr>
          <w:rFonts w:ascii="宋体" w:hAnsi="宋体"/>
          <w:color w:val="auto"/>
          <w:szCs w:val="21"/>
        </w:rPr>
      </w:pPr>
      <w:r>
        <w:rPr>
          <w:rFonts w:hint="eastAsia" w:ascii="宋体" w:hAnsi="宋体"/>
          <w:b/>
          <w:bCs/>
          <w:color w:val="auto"/>
          <w:szCs w:val="21"/>
        </w:rPr>
        <w:t>（五）、确定中标候选人名单</w:t>
      </w:r>
    </w:p>
    <w:p>
      <w:pPr>
        <w:spacing w:line="400" w:lineRule="exact"/>
        <w:rPr>
          <w:rFonts w:hint="eastAsia" w:ascii="宋体" w:hAnsi="宋体"/>
          <w:color w:val="auto"/>
          <w:szCs w:val="21"/>
        </w:rPr>
      </w:pPr>
      <w:r>
        <w:rPr>
          <w:rFonts w:hint="eastAsia" w:ascii="宋体" w:hAnsi="宋体"/>
          <w:color w:val="auto"/>
          <w:szCs w:val="21"/>
        </w:rPr>
        <w:t>1、由评标委员会负责计算各投标人最终得分：计算各评标委员会成员对各投标人的综合评分的算术平均值（保留小数点后</w:t>
      </w:r>
      <w:r>
        <w:rPr>
          <w:rFonts w:hint="eastAsia" w:ascii="宋体" w:hAnsi="宋体"/>
          <w:color w:val="auto"/>
          <w:szCs w:val="21"/>
          <w:lang w:eastAsia="zh-CN"/>
        </w:rPr>
        <w:t>二</w:t>
      </w:r>
      <w:r>
        <w:rPr>
          <w:rFonts w:hint="eastAsia" w:ascii="宋体" w:hAnsi="宋体"/>
          <w:color w:val="auto"/>
          <w:szCs w:val="21"/>
        </w:rPr>
        <w:t>位）。</w:t>
      </w:r>
    </w:p>
    <w:p>
      <w:pPr>
        <w:spacing w:line="400" w:lineRule="exact"/>
        <w:rPr>
          <w:rFonts w:ascii="宋体" w:hAnsi="宋体"/>
          <w:color w:val="auto"/>
          <w:szCs w:val="21"/>
        </w:rPr>
      </w:pPr>
      <w:r>
        <w:rPr>
          <w:rFonts w:hint="eastAsia" w:ascii="宋体" w:hAnsi="宋体"/>
          <w:color w:val="auto"/>
          <w:szCs w:val="21"/>
        </w:rPr>
        <w:t>2、评标结果排序：</w:t>
      </w:r>
      <w:r>
        <w:rPr>
          <w:rFonts w:hint="eastAsia" w:ascii="宋体" w:hAnsi="宋体"/>
          <w:bCs/>
          <w:szCs w:val="21"/>
        </w:rPr>
        <w:t>计算各投标单位的</w:t>
      </w:r>
      <w:r>
        <w:rPr>
          <w:rFonts w:hint="eastAsia" w:ascii="宋体" w:hAnsi="宋体"/>
          <w:color w:val="auto"/>
          <w:szCs w:val="21"/>
        </w:rPr>
        <w:t>综合</w:t>
      </w:r>
      <w:r>
        <w:rPr>
          <w:rFonts w:hint="eastAsia" w:ascii="宋体" w:hAnsi="宋体"/>
          <w:color w:val="auto"/>
          <w:szCs w:val="21"/>
          <w:lang w:val="en-US" w:eastAsia="zh-CN"/>
        </w:rPr>
        <w:t>得</w:t>
      </w:r>
      <w:r>
        <w:rPr>
          <w:rFonts w:hint="eastAsia" w:ascii="宋体" w:hAnsi="宋体"/>
          <w:color w:val="auto"/>
          <w:szCs w:val="21"/>
        </w:rPr>
        <w:t>分</w:t>
      </w:r>
      <w:r>
        <w:rPr>
          <w:rFonts w:hint="eastAsia" w:ascii="宋体" w:hAnsi="宋体"/>
          <w:bCs/>
          <w:szCs w:val="21"/>
        </w:rPr>
        <w:t>（即商务技术分+价格分），按总得分由高到低顺序排序；总得分相同的，按</w:t>
      </w:r>
      <w:r>
        <w:rPr>
          <w:rFonts w:ascii="宋体" w:hAnsi="宋体" w:cs="宋体"/>
          <w:kern w:val="0"/>
          <w:szCs w:val="21"/>
        </w:rPr>
        <w:t>投标报价由低到高顺序排列</w:t>
      </w:r>
      <w:r>
        <w:rPr>
          <w:rFonts w:hint="eastAsia" w:ascii="宋体" w:hAnsi="宋体"/>
          <w:bCs/>
          <w:szCs w:val="21"/>
        </w:rPr>
        <w:t>序；总得分且</w:t>
      </w:r>
      <w:r>
        <w:rPr>
          <w:rFonts w:hint="eastAsia" w:ascii="宋体" w:hAnsi="宋体"/>
          <w:bCs/>
          <w:szCs w:val="21"/>
          <w:lang w:val="en-US" w:eastAsia="zh-CN"/>
        </w:rPr>
        <w:t>投标报价</w:t>
      </w:r>
      <w:r>
        <w:rPr>
          <w:rFonts w:hint="eastAsia" w:ascii="宋体" w:hAnsi="宋体"/>
          <w:bCs/>
          <w:szCs w:val="21"/>
        </w:rPr>
        <w:t>均相同的，则随机抽签确定排序</w:t>
      </w:r>
    </w:p>
    <w:p>
      <w:pPr>
        <w:spacing w:line="400" w:lineRule="exact"/>
        <w:rPr>
          <w:rFonts w:ascii="宋体" w:hAnsi="宋体"/>
          <w:color w:val="auto"/>
          <w:szCs w:val="21"/>
        </w:rPr>
      </w:pPr>
      <w:r>
        <w:rPr>
          <w:rFonts w:hint="eastAsia" w:ascii="宋体" w:hAnsi="宋体"/>
          <w:color w:val="auto"/>
          <w:szCs w:val="21"/>
        </w:rPr>
        <w:t>3、确定中标候选人名单：</w:t>
      </w:r>
      <w:r>
        <w:rPr>
          <w:rFonts w:hint="eastAsia" w:ascii="宋体" w:hAnsi="宋体"/>
          <w:bCs/>
          <w:szCs w:val="21"/>
        </w:rPr>
        <w:t>推荐最终得分最高者或排序第一者为中标候选人</w:t>
      </w:r>
      <w:r>
        <w:rPr>
          <w:rFonts w:hint="eastAsia" w:ascii="宋体" w:hAnsi="宋体"/>
          <w:color w:val="auto"/>
          <w:szCs w:val="21"/>
        </w:rPr>
        <w:t>。</w:t>
      </w:r>
    </w:p>
    <w:p>
      <w:pPr>
        <w:spacing w:line="400" w:lineRule="exact"/>
        <w:rPr>
          <w:rFonts w:hint="eastAsia" w:ascii="宋体" w:hAnsi="宋体"/>
          <w:b/>
          <w:bCs/>
          <w:color w:val="auto"/>
          <w:szCs w:val="21"/>
        </w:rPr>
      </w:pPr>
      <w:r>
        <w:rPr>
          <w:rFonts w:hint="eastAsia" w:ascii="宋体" w:hAnsi="宋体"/>
          <w:b/>
          <w:bCs/>
          <w:color w:val="auto"/>
          <w:szCs w:val="21"/>
        </w:rPr>
        <w:t>（六）、编写评标报告</w:t>
      </w:r>
    </w:p>
    <w:p>
      <w:pPr>
        <w:spacing w:line="400" w:lineRule="exact"/>
        <w:rPr>
          <w:rFonts w:hint="eastAsia" w:ascii="宋体" w:hAnsi="宋体"/>
          <w:color w:val="auto"/>
          <w:szCs w:val="21"/>
        </w:rPr>
      </w:pPr>
      <w:r>
        <w:rPr>
          <w:rFonts w:hint="eastAsia" w:ascii="宋体" w:hAnsi="宋体"/>
          <w:color w:val="auto"/>
          <w:szCs w:val="21"/>
        </w:rPr>
        <w:t>1、评标委员会根据全体评标成员签字的原始评标记录和评标结果编写评标报告；</w:t>
      </w:r>
    </w:p>
    <w:p>
      <w:pPr>
        <w:spacing w:line="400" w:lineRule="exact"/>
        <w:rPr>
          <w:rFonts w:hint="eastAsia" w:ascii="宋体" w:hAnsi="宋体"/>
          <w:color w:val="auto"/>
          <w:szCs w:val="21"/>
        </w:rPr>
      </w:pPr>
      <w:r>
        <w:rPr>
          <w:rFonts w:hint="eastAsia" w:ascii="宋体" w:hAnsi="宋体"/>
          <w:color w:val="auto"/>
          <w:szCs w:val="21"/>
        </w:rPr>
        <w:t>2、评标结束。</w:t>
      </w: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pStyle w:val="2"/>
        <w:rPr>
          <w:rFonts w:hint="eastAsia" w:ascii="宋体" w:hAnsi="宋体"/>
          <w:color w:val="auto"/>
          <w:szCs w:val="21"/>
        </w:rPr>
      </w:pPr>
    </w:p>
    <w:p>
      <w:pPr>
        <w:jc w:val="center"/>
        <w:rPr>
          <w:rFonts w:ascii="宋体" w:hAnsi="宋体"/>
          <w:b/>
          <w:color w:val="auto"/>
          <w:szCs w:val="21"/>
        </w:rPr>
      </w:pPr>
    </w:p>
    <w:p>
      <w:pPr>
        <w:jc w:val="both"/>
        <w:rPr>
          <w:rFonts w:ascii="宋体" w:hAnsi="宋体"/>
          <w:b/>
          <w:color w:val="FF0000"/>
          <w:szCs w:val="21"/>
        </w:rPr>
      </w:pPr>
    </w:p>
    <w:p>
      <w:pPr>
        <w:jc w:val="center"/>
        <w:rPr>
          <w:rFonts w:hint="eastAsia" w:ascii="宋体" w:hAnsi="宋体"/>
          <w:b/>
          <w:color w:val="auto"/>
          <w:szCs w:val="21"/>
        </w:rPr>
      </w:pPr>
      <w:r>
        <w:rPr>
          <w:rFonts w:hint="eastAsia" w:ascii="宋体" w:hAnsi="宋体"/>
          <w:b/>
          <w:color w:val="auto"/>
          <w:szCs w:val="21"/>
        </w:rPr>
        <w:t>评标标准（兼评委打分表）</w:t>
      </w:r>
    </w:p>
    <w:tbl>
      <w:tblPr>
        <w:tblStyle w:val="33"/>
        <w:tblW w:w="0" w:type="auto"/>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386"/>
        <w:gridCol w:w="557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ascii="宋体" w:hAnsi="宋体"/>
                <w:b/>
                <w:color w:val="auto"/>
                <w:szCs w:val="21"/>
              </w:rPr>
              <w:t>评审内容</w:t>
            </w:r>
          </w:p>
        </w:tc>
        <w:tc>
          <w:tcPr>
            <w:tcW w:w="79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rPr>
              <w:t>评分项目内容</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eastAsia"/>
                <w:color w:val="auto"/>
              </w:rPr>
            </w:pPr>
            <w:r>
              <w:rPr>
                <w:rFonts w:hint="eastAsia"/>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84" w:type="dxa"/>
            <w:vMerge w:val="restart"/>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rPr>
              <w:t>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rPr>
              <w:t>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rPr>
              <w:t>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rPr>
              <w:t>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rPr>
              <w:t>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rPr>
            </w:pPr>
            <w:r>
              <w:rPr>
                <w:rFonts w:hint="eastAsia"/>
                <w:color w:val="auto"/>
              </w:rPr>
              <w:t>（</w:t>
            </w:r>
            <w:r>
              <w:rPr>
                <w:rFonts w:hint="eastAsia"/>
                <w:color w:val="auto"/>
                <w:lang w:val="en-US" w:eastAsia="zh-CN"/>
              </w:rPr>
              <w:t>85</w:t>
            </w:r>
            <w:r>
              <w:rPr>
                <w:rFonts w:hint="eastAsia"/>
                <w:color w:val="auto"/>
              </w:rPr>
              <w:t>分）</w:t>
            </w:r>
          </w:p>
        </w:tc>
        <w:tc>
          <w:tcPr>
            <w:tcW w:w="79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color w:val="auto"/>
                <w:szCs w:val="21"/>
                <w:lang w:val="en-US"/>
              </w:rPr>
            </w:pPr>
            <w:r>
              <w:rPr>
                <w:rFonts w:hint="eastAsia" w:ascii="宋体" w:hAnsi="宋体" w:eastAsia="宋体" w:cs="Times New Roman"/>
                <w:color w:val="auto"/>
                <w:szCs w:val="21"/>
                <w:lang w:val="en-US" w:eastAsia="zh-CN"/>
              </w:rPr>
              <w:t>投标人针对本项目第二章采购</w:t>
            </w:r>
            <w:r>
              <w:rPr>
                <w:rFonts w:hint="eastAsia" w:ascii="宋体" w:hAnsi="宋体" w:eastAsia="宋体" w:cs="Times New Roman"/>
                <w:color w:val="auto"/>
                <w:szCs w:val="21"/>
              </w:rPr>
              <w:t>服务</w:t>
            </w:r>
            <w:r>
              <w:rPr>
                <w:rFonts w:hint="eastAsia" w:ascii="宋体" w:hAnsi="宋体" w:eastAsia="宋体" w:cs="Times New Roman"/>
                <w:color w:val="auto"/>
                <w:szCs w:val="21"/>
                <w:lang w:val="en-US" w:eastAsia="zh-CN"/>
              </w:rPr>
              <w:t>需求的响应承诺</w:t>
            </w: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全部响应的得14分，每负偏离一条扣1分，扣完为止。</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default" w:eastAsia="宋体"/>
                <w:color w:val="auto"/>
                <w:szCs w:val="21"/>
                <w:lang w:val="en-US" w:eastAsia="zh-CN"/>
              </w:rPr>
            </w:pPr>
            <w:r>
              <w:rPr>
                <w:rFonts w:hint="eastAsia"/>
                <w:color w:val="auto"/>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8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rPr>
            </w:pPr>
          </w:p>
        </w:tc>
        <w:tc>
          <w:tcPr>
            <w:tcW w:w="23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类似项目业绩（1分）</w:t>
            </w:r>
          </w:p>
        </w:tc>
        <w:tc>
          <w:tcPr>
            <w:tcW w:w="5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color w:val="auto"/>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具有</w:t>
            </w:r>
            <w:r>
              <w:rPr>
                <w:rFonts w:hint="eastAsia" w:ascii="宋体" w:hAnsi="宋体" w:eastAsia="宋体" w:cs="宋体"/>
                <w:color w:val="auto"/>
                <w:sz w:val="21"/>
                <w:szCs w:val="21"/>
                <w:highlight w:val="none"/>
              </w:rPr>
              <w:t>2019年1月1日（以合同签订日期为准）</w:t>
            </w:r>
            <w:r>
              <w:rPr>
                <w:rFonts w:hint="eastAsia" w:ascii="宋体" w:hAnsi="宋体" w:eastAsia="宋体" w:cs="宋体"/>
                <w:color w:val="auto"/>
                <w:sz w:val="21"/>
                <w:szCs w:val="21"/>
                <w:highlight w:val="none"/>
                <w:lang w:val="en-US" w:eastAsia="zh-CN"/>
              </w:rPr>
              <w:t>以来类似食堂</w:t>
            </w:r>
            <w:r>
              <w:rPr>
                <w:rFonts w:hint="eastAsia" w:ascii="宋体" w:hAnsi="宋体" w:eastAsia="宋体" w:cs="宋体"/>
                <w:color w:val="auto"/>
                <w:sz w:val="21"/>
                <w:szCs w:val="21"/>
                <w:highlight w:val="none"/>
              </w:rPr>
              <w:t>经营服务业绩的，每提供1个业绩</w:t>
            </w:r>
            <w:r>
              <w:rPr>
                <w:rFonts w:hint="eastAsia" w:ascii="宋体" w:hAnsi="宋体" w:eastAsia="宋体" w:cs="宋体"/>
                <w:color w:val="auto"/>
                <w:sz w:val="21"/>
                <w:szCs w:val="21"/>
                <w:highlight w:val="none"/>
                <w:lang w:val="en-US" w:eastAsia="zh-CN"/>
              </w:rPr>
              <w:t>合同</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分，本项得分</w:t>
            </w:r>
            <w:r>
              <w:rPr>
                <w:rFonts w:hint="eastAsia" w:ascii="宋体" w:hAnsi="宋体" w:eastAsia="宋体" w:cs="宋体"/>
                <w:color w:val="auto"/>
                <w:sz w:val="21"/>
                <w:szCs w:val="21"/>
                <w:highlight w:val="none"/>
                <w:lang w:val="en-US" w:eastAsia="zh-CN"/>
              </w:rPr>
              <w:t>最高1分</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default"/>
                <w:color w:val="auto"/>
                <w:szCs w:val="21"/>
                <w:lang w:val="en-US" w:eastAsia="zh-CN"/>
              </w:rPr>
            </w:pPr>
            <w:r>
              <w:rPr>
                <w:rFonts w:hint="eastAsia"/>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23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rPr>
            </w:pPr>
            <w:r>
              <w:rPr>
                <w:rFonts w:hint="eastAsia" w:ascii="宋体" w:hAnsi="宋体" w:cs="宋体"/>
                <w:color w:val="auto"/>
                <w:szCs w:val="21"/>
              </w:rPr>
              <w:t>评审小组</w:t>
            </w:r>
            <w:r>
              <w:rPr>
                <w:rFonts w:hint="eastAsia" w:ascii="宋体" w:hAnsi="宋体" w:cs="宋体"/>
                <w:color w:val="auto"/>
                <w:szCs w:val="21"/>
                <w:lang w:val="en-US" w:eastAsia="zh-CN"/>
              </w:rPr>
              <w:t>根据投标人针对本项目采购需求制定的餐饮</w:t>
            </w:r>
            <w:r>
              <w:rPr>
                <w:rFonts w:hint="eastAsia" w:ascii="宋体" w:hAnsi="宋体" w:cs="宋体"/>
                <w:color w:val="auto"/>
                <w:szCs w:val="21"/>
              </w:rPr>
              <w:t>服务方案、菜单</w:t>
            </w:r>
            <w:r>
              <w:rPr>
                <w:rFonts w:hint="eastAsia" w:ascii="宋体" w:hAnsi="宋体" w:cs="宋体"/>
                <w:color w:val="auto"/>
                <w:szCs w:val="21"/>
                <w:lang w:val="en-US" w:eastAsia="zh-CN"/>
              </w:rPr>
              <w:t>配置方案</w:t>
            </w:r>
            <w:r>
              <w:rPr>
                <w:rFonts w:hint="eastAsia" w:ascii="宋体" w:hAnsi="宋体" w:cs="宋体"/>
                <w:color w:val="auto"/>
                <w:szCs w:val="21"/>
              </w:rPr>
              <w:t>、创新方案、特色服务等方面进行综合评</w:t>
            </w:r>
            <w:r>
              <w:rPr>
                <w:rFonts w:hint="eastAsia" w:ascii="宋体" w:hAnsi="宋体"/>
                <w:color w:val="auto"/>
                <w:szCs w:val="21"/>
                <w:lang w:val="en-US" w:eastAsia="zh-CN"/>
              </w:rPr>
              <w:t>议</w:t>
            </w:r>
            <w:r>
              <w:rPr>
                <w:rFonts w:hint="eastAsia" w:ascii="宋体" w:hAnsi="宋体" w:cs="宋体"/>
                <w:color w:val="auto"/>
                <w:szCs w:val="21"/>
              </w:rPr>
              <w:t>（</w:t>
            </w:r>
            <w:r>
              <w:rPr>
                <w:rFonts w:hint="eastAsia" w:ascii="宋体" w:hAnsi="宋体" w:cs="宋体"/>
                <w:color w:val="auto"/>
                <w:szCs w:val="21"/>
                <w:lang w:val="en-US" w:eastAsia="zh-CN"/>
              </w:rPr>
              <w:t>20</w:t>
            </w:r>
            <w:r>
              <w:rPr>
                <w:rFonts w:hint="eastAsia" w:ascii="宋体" w:hAnsi="宋体" w:cs="宋体"/>
                <w:color w:val="auto"/>
                <w:szCs w:val="21"/>
              </w:rPr>
              <w:t>分）：</w:t>
            </w:r>
          </w:p>
        </w:tc>
        <w:tc>
          <w:tcPr>
            <w:tcW w:w="5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olor w:val="auto"/>
                <w:szCs w:val="21"/>
              </w:rPr>
            </w:pPr>
            <w:r>
              <w:rPr>
                <w:rFonts w:hint="eastAsia" w:ascii="宋体" w:hAnsi="宋体"/>
                <w:color w:val="auto"/>
                <w:szCs w:val="21"/>
              </w:rPr>
              <w:t>对</w:t>
            </w:r>
            <w:r>
              <w:rPr>
                <w:rFonts w:hint="eastAsia" w:ascii="宋体" w:hAnsi="宋体" w:eastAsia="宋体" w:cs="宋体"/>
                <w:color w:val="auto"/>
                <w:sz w:val="21"/>
                <w:szCs w:val="21"/>
              </w:rPr>
              <w:t>就餐服务方案（包含但不仅限于具体的制作配送方案等）</w:t>
            </w:r>
            <w:r>
              <w:rPr>
                <w:rFonts w:hint="eastAsia" w:ascii="宋体" w:hAnsi="宋体"/>
                <w:color w:val="auto"/>
                <w:szCs w:val="21"/>
              </w:rPr>
              <w:t>进行综合评</w:t>
            </w:r>
            <w:r>
              <w:rPr>
                <w:rFonts w:hint="eastAsia" w:ascii="宋体" w:hAnsi="宋体"/>
                <w:color w:val="auto"/>
                <w:szCs w:val="21"/>
                <w:lang w:val="en-US" w:eastAsia="zh-CN"/>
              </w:rPr>
              <w:t>议</w:t>
            </w:r>
            <w:r>
              <w:rPr>
                <w:rFonts w:hint="eastAsia" w:ascii="宋体" w:hAnsi="宋体"/>
                <w:color w:val="auto"/>
                <w:szCs w:val="21"/>
              </w:rPr>
              <w:t>，</w:t>
            </w:r>
            <w:r>
              <w:rPr>
                <w:rFonts w:hint="eastAsia" w:ascii="宋体" w:hAnsi="宋体"/>
                <w:color w:val="auto"/>
                <w:szCs w:val="21"/>
                <w:lang w:eastAsia="zh-CN"/>
              </w:rPr>
              <w:t>满分</w:t>
            </w:r>
            <w:r>
              <w:rPr>
                <w:rFonts w:hint="eastAsia" w:ascii="宋体" w:hAnsi="宋体"/>
                <w:color w:val="auto"/>
                <w:szCs w:val="21"/>
              </w:rPr>
              <w:t>5分；</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default"/>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23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rPr>
            </w:pPr>
          </w:p>
        </w:tc>
        <w:tc>
          <w:tcPr>
            <w:tcW w:w="5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olor w:val="auto"/>
                <w:szCs w:val="21"/>
              </w:rPr>
            </w:pPr>
            <w:r>
              <w:rPr>
                <w:rFonts w:hint="eastAsia" w:ascii="宋体" w:hAnsi="宋体"/>
                <w:color w:val="auto"/>
                <w:szCs w:val="21"/>
              </w:rPr>
              <w:t>对就餐菜单配置</w:t>
            </w:r>
            <w:r>
              <w:rPr>
                <w:rFonts w:hint="eastAsia" w:ascii="宋体" w:hAnsi="宋体" w:eastAsia="宋体" w:cs="宋体"/>
                <w:color w:val="auto"/>
                <w:sz w:val="21"/>
                <w:szCs w:val="21"/>
              </w:rPr>
              <w:t>（如荤素搭配合理性、营养均衡度等</w:t>
            </w:r>
            <w:r>
              <w:rPr>
                <w:rFonts w:hint="eastAsia" w:ascii="宋体" w:hAnsi="宋体"/>
                <w:color w:val="auto"/>
                <w:szCs w:val="21"/>
                <w:lang w:eastAsia="zh-CN"/>
              </w:rPr>
              <w:t>）</w:t>
            </w:r>
            <w:r>
              <w:rPr>
                <w:rFonts w:hint="eastAsia" w:ascii="宋体" w:hAnsi="宋体"/>
                <w:color w:val="auto"/>
                <w:szCs w:val="21"/>
              </w:rPr>
              <w:t>进行综合评</w:t>
            </w:r>
            <w:r>
              <w:rPr>
                <w:rFonts w:hint="eastAsia" w:ascii="宋体" w:hAnsi="宋体"/>
                <w:color w:val="auto"/>
                <w:szCs w:val="21"/>
                <w:lang w:val="en-US" w:eastAsia="zh-CN"/>
              </w:rPr>
              <w:t>议</w:t>
            </w:r>
            <w:r>
              <w:rPr>
                <w:rFonts w:hint="eastAsia" w:ascii="宋体" w:hAnsi="宋体"/>
                <w:color w:val="auto"/>
                <w:szCs w:val="21"/>
              </w:rPr>
              <w:t>，</w:t>
            </w:r>
            <w:r>
              <w:rPr>
                <w:rFonts w:hint="eastAsia" w:ascii="宋体" w:hAnsi="宋体"/>
                <w:color w:val="auto"/>
                <w:szCs w:val="21"/>
                <w:lang w:eastAsia="zh-CN"/>
              </w:rPr>
              <w:t>满分</w:t>
            </w:r>
            <w:r>
              <w:rPr>
                <w:rFonts w:hint="eastAsia" w:ascii="宋体" w:hAnsi="宋体"/>
                <w:color w:val="auto"/>
                <w:szCs w:val="21"/>
              </w:rPr>
              <w:t>5分；</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default"/>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23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rPr>
            </w:pPr>
          </w:p>
        </w:tc>
        <w:tc>
          <w:tcPr>
            <w:tcW w:w="5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olor w:val="auto"/>
                <w:szCs w:val="21"/>
              </w:rPr>
            </w:pPr>
            <w:r>
              <w:rPr>
                <w:rFonts w:hint="eastAsia" w:ascii="宋体" w:hAnsi="宋体"/>
                <w:color w:val="auto"/>
                <w:szCs w:val="21"/>
              </w:rPr>
              <w:t>对就餐创新方案（</w:t>
            </w:r>
            <w:r>
              <w:rPr>
                <w:rFonts w:hint="eastAsia" w:ascii="宋体" w:hAnsi="宋体" w:cs="宋体"/>
                <w:color w:val="auto"/>
                <w:szCs w:val="21"/>
              </w:rPr>
              <w:t>从菜肴、点心等创新思路及管理）进行</w:t>
            </w:r>
            <w:r>
              <w:rPr>
                <w:rFonts w:hint="eastAsia" w:ascii="宋体" w:hAnsi="宋体"/>
                <w:color w:val="auto"/>
                <w:szCs w:val="21"/>
              </w:rPr>
              <w:t>进行综合评</w:t>
            </w:r>
            <w:r>
              <w:rPr>
                <w:rFonts w:hint="eastAsia" w:ascii="宋体" w:hAnsi="宋体"/>
                <w:color w:val="auto"/>
                <w:szCs w:val="21"/>
                <w:lang w:val="en-US" w:eastAsia="zh-CN"/>
              </w:rPr>
              <w:t>议</w:t>
            </w:r>
            <w:r>
              <w:rPr>
                <w:rFonts w:hint="eastAsia" w:ascii="宋体" w:hAnsi="宋体"/>
                <w:color w:val="auto"/>
                <w:szCs w:val="21"/>
              </w:rPr>
              <w:t>，</w:t>
            </w:r>
            <w:r>
              <w:rPr>
                <w:rFonts w:hint="eastAsia" w:ascii="宋体" w:hAnsi="宋体"/>
                <w:color w:val="auto"/>
                <w:szCs w:val="21"/>
                <w:lang w:eastAsia="zh-CN"/>
              </w:rPr>
              <w:t>满分</w:t>
            </w:r>
            <w:r>
              <w:rPr>
                <w:rFonts w:hint="eastAsia" w:ascii="宋体" w:hAnsi="宋体"/>
                <w:color w:val="auto"/>
                <w:szCs w:val="21"/>
              </w:rPr>
              <w:t>5分；</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default"/>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23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rPr>
            </w:pPr>
          </w:p>
        </w:tc>
        <w:tc>
          <w:tcPr>
            <w:tcW w:w="5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olor w:val="auto"/>
                <w:szCs w:val="21"/>
              </w:rPr>
            </w:pPr>
            <w:r>
              <w:rPr>
                <w:rFonts w:hint="eastAsia" w:ascii="宋体" w:hAnsi="宋体"/>
                <w:color w:val="FF0000"/>
                <w:szCs w:val="21"/>
              </w:rPr>
              <w:t>对</w:t>
            </w:r>
            <w:r>
              <w:rPr>
                <w:rFonts w:hint="eastAsia" w:ascii="宋体" w:hAnsi="宋体"/>
                <w:color w:val="auto"/>
                <w:szCs w:val="21"/>
              </w:rPr>
              <w:t>就餐特色服务进行综合评</w:t>
            </w:r>
            <w:r>
              <w:rPr>
                <w:rFonts w:hint="eastAsia" w:ascii="宋体" w:hAnsi="宋体"/>
                <w:color w:val="auto"/>
                <w:szCs w:val="21"/>
                <w:lang w:val="en-US" w:eastAsia="zh-CN"/>
              </w:rPr>
              <w:t>议</w:t>
            </w:r>
            <w:r>
              <w:rPr>
                <w:rFonts w:hint="eastAsia" w:ascii="宋体" w:hAnsi="宋体"/>
                <w:color w:val="auto"/>
                <w:szCs w:val="21"/>
              </w:rPr>
              <w:t>，</w:t>
            </w:r>
            <w:r>
              <w:rPr>
                <w:rFonts w:hint="eastAsia" w:ascii="宋体" w:hAnsi="宋体"/>
                <w:color w:val="auto"/>
                <w:szCs w:val="21"/>
                <w:lang w:eastAsia="zh-CN"/>
              </w:rPr>
              <w:t>满分</w:t>
            </w:r>
            <w:r>
              <w:rPr>
                <w:rFonts w:hint="eastAsia" w:ascii="宋体" w:hAnsi="宋体"/>
                <w:color w:val="auto"/>
                <w:szCs w:val="21"/>
              </w:rPr>
              <w:t>5分</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default"/>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23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rPr>
            </w:pPr>
            <w:r>
              <w:rPr>
                <w:rFonts w:hint="eastAsia" w:ascii="宋体" w:hAnsi="宋体" w:eastAsia="宋体" w:cs="宋体"/>
                <w:color w:val="auto"/>
                <w:sz w:val="21"/>
                <w:szCs w:val="21"/>
              </w:rPr>
              <w:t>评标委员会对投标人提供的针对本项目的内部管理制度、设施设备、节能管理、人员管理、培训制度、投诉处理等进行综合评议</w:t>
            </w:r>
            <w:r>
              <w:rPr>
                <w:rFonts w:hint="eastAsia" w:ascii="宋体" w:hAnsi="宋体" w:cs="宋体"/>
                <w:color w:val="auto"/>
                <w:szCs w:val="21"/>
              </w:rPr>
              <w:t>（20分）</w:t>
            </w:r>
          </w:p>
        </w:tc>
        <w:tc>
          <w:tcPr>
            <w:tcW w:w="5570" w:type="dxa"/>
            <w:noWrap w:val="0"/>
            <w:vAlign w:val="center"/>
          </w:tcPr>
          <w:p>
            <w:pPr>
              <w:keepNext w:val="0"/>
              <w:keepLines w:val="0"/>
              <w:pageBreakBefore w:val="0"/>
              <w:widowControl/>
              <w:tabs>
                <w:tab w:val="left" w:pos="2214"/>
                <w:tab w:val="left" w:pos="2520"/>
                <w:tab w:val="left" w:pos="2940"/>
              </w:tabs>
              <w:kinsoku/>
              <w:wordWrap/>
              <w:overflowPunct/>
              <w:topLinePunct w:val="0"/>
              <w:autoSpaceDE/>
              <w:autoSpaceDN/>
              <w:bidi w:val="0"/>
              <w:adjustRightInd/>
              <w:snapToGrid/>
              <w:spacing w:line="240" w:lineRule="auto"/>
              <w:textAlignment w:val="auto"/>
              <w:outlineLvl w:val="9"/>
              <w:rPr>
                <w:rFonts w:hint="eastAsia" w:ascii="宋体" w:hAnsi="宋体"/>
                <w:color w:val="auto"/>
                <w:szCs w:val="21"/>
              </w:rPr>
            </w:pPr>
            <w:r>
              <w:rPr>
                <w:rFonts w:hint="eastAsia" w:ascii="宋体" w:hAnsi="宋体" w:eastAsia="宋体" w:cs="宋体"/>
                <w:color w:val="auto"/>
                <w:sz w:val="21"/>
                <w:szCs w:val="21"/>
              </w:rPr>
              <w:t>对</w:t>
            </w:r>
            <w:r>
              <w:rPr>
                <w:rFonts w:hint="eastAsia" w:ascii="宋体" w:hAnsi="宋体" w:eastAsia="宋体" w:cs="宋体"/>
                <w:color w:val="auto"/>
                <w:sz w:val="21"/>
                <w:szCs w:val="21"/>
                <w:lang w:val="en-US" w:eastAsia="zh-CN"/>
              </w:rPr>
              <w:t>投标人</w:t>
            </w:r>
            <w:r>
              <w:rPr>
                <w:rFonts w:hint="eastAsia" w:ascii="宋体" w:hAnsi="宋体" w:eastAsia="宋体" w:cs="宋体"/>
                <w:color w:val="auto"/>
                <w:sz w:val="21"/>
                <w:szCs w:val="21"/>
              </w:rPr>
              <w:t>内部管理制度（包含但不仅限于安全生产、收支平衡管理、考核奖罚制度等）进行综合评议，最高5分；</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default"/>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23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rPr>
            </w:pPr>
          </w:p>
        </w:tc>
        <w:tc>
          <w:tcPr>
            <w:tcW w:w="5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olor w:val="auto"/>
                <w:szCs w:val="21"/>
              </w:rPr>
            </w:pPr>
            <w:r>
              <w:rPr>
                <w:rFonts w:hint="eastAsia" w:ascii="宋体" w:hAnsi="宋体" w:eastAsia="宋体" w:cs="宋体"/>
                <w:color w:val="auto"/>
                <w:sz w:val="21"/>
                <w:szCs w:val="21"/>
              </w:rPr>
              <w:t>对设施设备使用、保管、节能管理进行综合评议，最高5分</w:t>
            </w:r>
            <w:r>
              <w:rPr>
                <w:rFonts w:hint="eastAsia" w:ascii="宋体" w:hAnsi="宋体"/>
                <w:color w:val="auto"/>
                <w:szCs w:val="21"/>
              </w:rPr>
              <w:t>；</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default"/>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23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rPr>
            </w:pPr>
          </w:p>
        </w:tc>
        <w:tc>
          <w:tcPr>
            <w:tcW w:w="5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olor w:val="auto"/>
                <w:szCs w:val="21"/>
              </w:rPr>
            </w:pPr>
            <w:r>
              <w:rPr>
                <w:rFonts w:hint="eastAsia" w:ascii="宋体" w:hAnsi="宋体" w:eastAsia="宋体" w:cs="宋体"/>
                <w:color w:val="auto"/>
                <w:sz w:val="21"/>
                <w:szCs w:val="21"/>
              </w:rPr>
              <w:t>对人员管理（如职责、卫生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纪律</w:t>
            </w:r>
            <w:r>
              <w:rPr>
                <w:rFonts w:hint="eastAsia" w:ascii="宋体" w:hAnsi="宋体" w:eastAsia="宋体" w:cs="宋体"/>
                <w:color w:val="auto"/>
                <w:sz w:val="21"/>
                <w:szCs w:val="21"/>
              </w:rPr>
              <w:t>等）、培训制度等进行综合评议</w:t>
            </w:r>
            <w:r>
              <w:rPr>
                <w:rFonts w:hint="eastAsia" w:ascii="宋体" w:hAnsi="宋体"/>
                <w:color w:val="auto"/>
                <w:szCs w:val="21"/>
              </w:rPr>
              <w:t>，</w:t>
            </w:r>
            <w:r>
              <w:rPr>
                <w:rFonts w:hint="eastAsia" w:ascii="宋体" w:hAnsi="宋体"/>
                <w:color w:val="auto"/>
                <w:szCs w:val="21"/>
                <w:lang w:eastAsia="zh-CN"/>
              </w:rPr>
              <w:t>满分</w:t>
            </w:r>
            <w:r>
              <w:rPr>
                <w:rFonts w:hint="eastAsia" w:ascii="宋体" w:hAnsi="宋体"/>
                <w:color w:val="auto"/>
                <w:szCs w:val="21"/>
              </w:rPr>
              <w:t>5分；</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default"/>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23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rPr>
            </w:pPr>
          </w:p>
        </w:tc>
        <w:tc>
          <w:tcPr>
            <w:tcW w:w="5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rPr>
            </w:pPr>
            <w:r>
              <w:rPr>
                <w:rFonts w:hint="eastAsia" w:ascii="宋体" w:hAnsi="宋体"/>
                <w:color w:val="auto"/>
                <w:szCs w:val="21"/>
              </w:rPr>
              <w:t>对</w:t>
            </w:r>
            <w:r>
              <w:rPr>
                <w:rFonts w:hint="eastAsia" w:ascii="宋体" w:hAnsi="宋体" w:cs="宋体"/>
                <w:color w:val="auto"/>
                <w:szCs w:val="21"/>
              </w:rPr>
              <w:t>处理投诉等</w:t>
            </w:r>
            <w:r>
              <w:rPr>
                <w:rFonts w:hint="eastAsia" w:ascii="宋体" w:hAnsi="宋体"/>
                <w:color w:val="auto"/>
                <w:szCs w:val="21"/>
              </w:rPr>
              <w:t>进行综合评</w:t>
            </w:r>
            <w:r>
              <w:rPr>
                <w:rFonts w:hint="eastAsia" w:ascii="宋体" w:hAnsi="宋体"/>
                <w:color w:val="auto"/>
                <w:szCs w:val="21"/>
                <w:lang w:val="en-US" w:eastAsia="zh-CN"/>
              </w:rPr>
              <w:t>议</w:t>
            </w:r>
            <w:r>
              <w:rPr>
                <w:rFonts w:hint="eastAsia" w:ascii="宋体" w:hAnsi="宋体"/>
                <w:color w:val="auto"/>
                <w:szCs w:val="21"/>
              </w:rPr>
              <w:t>，</w:t>
            </w:r>
            <w:r>
              <w:rPr>
                <w:rFonts w:hint="eastAsia" w:ascii="宋体" w:hAnsi="宋体"/>
                <w:color w:val="auto"/>
                <w:szCs w:val="21"/>
                <w:lang w:eastAsia="zh-CN"/>
              </w:rPr>
              <w:t>满分</w:t>
            </w:r>
            <w:r>
              <w:rPr>
                <w:rFonts w:hint="eastAsia" w:ascii="宋体" w:hAnsi="宋体"/>
                <w:color w:val="auto"/>
                <w:szCs w:val="21"/>
              </w:rPr>
              <w:t>5分。</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default"/>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79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color w:val="auto"/>
                <w:lang w:eastAsia="zh-CN"/>
              </w:rPr>
            </w:pPr>
            <w:r>
              <w:rPr>
                <w:rFonts w:hint="eastAsia" w:ascii="宋体" w:hAnsi="宋体" w:eastAsia="宋体" w:cs="宋体"/>
                <w:color w:val="auto"/>
                <w:sz w:val="21"/>
                <w:szCs w:val="21"/>
              </w:rPr>
              <w:t>评标委员会</w:t>
            </w:r>
            <w:r>
              <w:rPr>
                <w:rFonts w:hint="eastAsia"/>
                <w:color w:val="auto"/>
                <w:szCs w:val="22"/>
              </w:rPr>
              <w:t>对投标人</w:t>
            </w:r>
            <w:r>
              <w:rPr>
                <w:rFonts w:hint="eastAsia"/>
                <w:color w:val="auto"/>
                <w:szCs w:val="22"/>
                <w:lang w:val="en-US" w:eastAsia="zh-CN"/>
              </w:rPr>
              <w:t>拟投入本项目</w:t>
            </w:r>
            <w:r>
              <w:rPr>
                <w:rFonts w:hint="eastAsia"/>
                <w:color w:val="auto"/>
                <w:szCs w:val="22"/>
              </w:rPr>
              <w:t>的人员团队配置（包括人员数量、厨师级别、人员专业情况、经验，管理、人员的工资水平）</w:t>
            </w:r>
            <w:r>
              <w:rPr>
                <w:rFonts w:hint="eastAsia"/>
                <w:color w:val="auto"/>
                <w:szCs w:val="22"/>
                <w:lang w:val="en-US" w:eastAsia="zh-CN"/>
              </w:rPr>
              <w:t>与项目需求的匹配度、</w:t>
            </w:r>
            <w:r>
              <w:rPr>
                <w:rFonts w:hint="eastAsia"/>
                <w:color w:val="auto"/>
                <w:szCs w:val="22"/>
              </w:rPr>
              <w:t>合理</w:t>
            </w:r>
            <w:r>
              <w:rPr>
                <w:rFonts w:hint="eastAsia"/>
                <w:color w:val="auto"/>
                <w:szCs w:val="22"/>
                <w:lang w:val="en-US" w:eastAsia="zh-CN"/>
              </w:rPr>
              <w:t>性以及</w:t>
            </w:r>
            <w:r>
              <w:rPr>
                <w:rFonts w:hint="eastAsia"/>
                <w:color w:val="auto"/>
                <w:szCs w:val="22"/>
              </w:rPr>
              <w:t>优势情况进行进行综合评议</w:t>
            </w:r>
            <w:r>
              <w:rPr>
                <w:rFonts w:hint="eastAsia" w:ascii="宋体" w:hAnsi="宋体"/>
                <w:color w:val="auto"/>
                <w:szCs w:val="21"/>
              </w:rPr>
              <w:t>，</w:t>
            </w:r>
            <w:r>
              <w:rPr>
                <w:rFonts w:hint="eastAsia" w:ascii="宋体" w:hAnsi="宋体"/>
                <w:color w:val="auto"/>
                <w:szCs w:val="21"/>
                <w:lang w:eastAsia="zh-CN"/>
              </w:rPr>
              <w:t>满分</w:t>
            </w:r>
            <w:r>
              <w:rPr>
                <w:rFonts w:hint="eastAsia" w:ascii="宋体" w:hAnsi="宋体"/>
                <w:color w:val="auto"/>
                <w:szCs w:val="21"/>
              </w:rPr>
              <w:t>5分。</w:t>
            </w:r>
          </w:p>
        </w:tc>
        <w:tc>
          <w:tcPr>
            <w:tcW w:w="680" w:type="dxa"/>
            <w:noWrap w:val="0"/>
            <w:vAlign w:val="center"/>
          </w:tcPr>
          <w:p>
            <w:pPr>
              <w:keepNext w:val="0"/>
              <w:keepLines w:val="0"/>
              <w:pageBreakBefore w:val="0"/>
              <w:widowControl w:val="0"/>
              <w:kinsoku/>
              <w:wordWrap/>
              <w:overflowPunct/>
              <w:topLinePunct w:val="0"/>
              <w:bidi w:val="0"/>
              <w:snapToGrid/>
              <w:spacing w:line="340" w:lineRule="exact"/>
              <w:jc w:val="center"/>
              <w:textAlignment w:val="auto"/>
              <w:rPr>
                <w:rFonts w:hint="default"/>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79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ascii="宋体" w:hAnsi="宋体" w:eastAsia="宋体" w:cs="宋体"/>
                <w:color w:val="auto"/>
                <w:sz w:val="21"/>
                <w:szCs w:val="21"/>
              </w:rPr>
              <w:t>评标委员会</w:t>
            </w:r>
            <w:r>
              <w:rPr>
                <w:rFonts w:hint="eastAsia"/>
                <w:color w:val="auto"/>
              </w:rPr>
              <w:t>对投标人</w:t>
            </w:r>
            <w:r>
              <w:rPr>
                <w:rFonts w:hint="eastAsia"/>
                <w:color w:val="auto"/>
                <w:lang w:val="en-US" w:eastAsia="zh-CN"/>
              </w:rPr>
              <w:t>针对本</w:t>
            </w:r>
            <w:r>
              <w:rPr>
                <w:rFonts w:hint="eastAsia"/>
                <w:color w:val="FF0000"/>
                <w:lang w:val="en-US" w:eastAsia="zh-CN"/>
              </w:rPr>
              <w:t>项目</w:t>
            </w:r>
            <w:r>
              <w:rPr>
                <w:rFonts w:hint="eastAsia"/>
                <w:color w:val="FF0000"/>
              </w:rPr>
              <w:t>特殊用餐及应急餐饮服务保障</w:t>
            </w:r>
            <w:r>
              <w:rPr>
                <w:rFonts w:hint="eastAsia"/>
                <w:color w:val="auto"/>
              </w:rPr>
              <w:t>方案（包括对采购人需求的响应情况，从管理的规范性、服务的质量承诺及相应的保障措施、应急处置能力等）进行综合评议</w:t>
            </w:r>
            <w:r>
              <w:rPr>
                <w:rFonts w:hint="eastAsia" w:ascii="宋体" w:hAnsi="宋体"/>
                <w:color w:val="auto"/>
                <w:szCs w:val="21"/>
              </w:rPr>
              <w:t>，</w:t>
            </w:r>
            <w:r>
              <w:rPr>
                <w:rFonts w:hint="eastAsia" w:ascii="宋体" w:hAnsi="宋体"/>
                <w:color w:val="auto"/>
                <w:szCs w:val="21"/>
                <w:lang w:eastAsia="zh-CN"/>
              </w:rPr>
              <w:t>满分</w:t>
            </w:r>
            <w:r>
              <w:rPr>
                <w:rFonts w:hint="eastAsia" w:ascii="宋体" w:hAnsi="宋体"/>
                <w:color w:val="auto"/>
                <w:szCs w:val="21"/>
              </w:rPr>
              <w:t>5分。</w:t>
            </w:r>
          </w:p>
        </w:tc>
        <w:tc>
          <w:tcPr>
            <w:tcW w:w="680" w:type="dxa"/>
            <w:noWrap w:val="0"/>
            <w:vAlign w:val="center"/>
          </w:tcPr>
          <w:p>
            <w:pPr>
              <w:pStyle w:val="17"/>
              <w:keepNext w:val="0"/>
              <w:keepLines w:val="0"/>
              <w:pageBreakBefore w:val="0"/>
              <w:widowControl w:val="0"/>
              <w:kinsoku/>
              <w:wordWrap/>
              <w:overflowPunct/>
              <w:topLinePunct w:val="0"/>
              <w:bidi w:val="0"/>
              <w:snapToGrid/>
              <w:spacing w:after="0" w:line="340" w:lineRule="exact"/>
              <w:ind w:left="0" w:leftChars="0" w:right="0" w:rightChars="0"/>
              <w:jc w:val="center"/>
              <w:textAlignment w:val="auto"/>
              <w:rPr>
                <w:color w:val="auto"/>
              </w:rPr>
            </w:pPr>
            <w:r>
              <w:rPr>
                <w:rFonts w:hint="eastAsia"/>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79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评标委员会</w:t>
            </w:r>
            <w:r>
              <w:rPr>
                <w:rFonts w:hint="eastAsia"/>
              </w:rPr>
              <w:t>对投标人</w:t>
            </w:r>
            <w:r>
              <w:rPr>
                <w:rFonts w:hint="eastAsia"/>
                <w:lang w:val="en-US" w:eastAsia="zh-CN"/>
              </w:rPr>
              <w:t>针对本项目食品安全、生产安全的风险分析以及制定</w:t>
            </w:r>
            <w:r>
              <w:rPr>
                <w:rFonts w:hint="eastAsia"/>
              </w:rPr>
              <w:t>的食品安全管理的实施方案全面</w:t>
            </w:r>
            <w:r>
              <w:rPr>
                <w:rFonts w:hint="eastAsia"/>
                <w:lang w:val="en-US" w:eastAsia="zh-CN"/>
              </w:rPr>
              <w:t>性、</w:t>
            </w:r>
            <w:r>
              <w:rPr>
                <w:rFonts w:hint="eastAsia"/>
              </w:rPr>
              <w:t>合理</w:t>
            </w:r>
            <w:r>
              <w:rPr>
                <w:rFonts w:hint="eastAsia"/>
                <w:lang w:val="en-US" w:eastAsia="zh-CN"/>
              </w:rPr>
              <w:t>性、</w:t>
            </w:r>
            <w:r>
              <w:rPr>
                <w:rFonts w:hint="eastAsia"/>
              </w:rPr>
              <w:t>可操作</w:t>
            </w:r>
            <w:r>
              <w:rPr>
                <w:rFonts w:hint="eastAsia"/>
                <w:lang w:val="en-US" w:eastAsia="zh-CN"/>
              </w:rPr>
              <w:t>性、</w:t>
            </w:r>
            <w:r>
              <w:rPr>
                <w:rFonts w:hint="eastAsia"/>
              </w:rPr>
              <w:t>质量标准是否具体明确</w:t>
            </w:r>
            <w:r>
              <w:rPr>
                <w:rFonts w:hint="eastAsia"/>
                <w:lang w:val="en-US" w:eastAsia="zh-CN"/>
              </w:rPr>
              <w:t>等</w:t>
            </w:r>
            <w:r>
              <w:rPr>
                <w:rFonts w:hint="eastAsia"/>
              </w:rPr>
              <w:t>方面进行综合评议，</w:t>
            </w:r>
            <w:r>
              <w:rPr>
                <w:rFonts w:hint="eastAsia"/>
                <w:lang w:eastAsia="zh-CN"/>
              </w:rPr>
              <w:t>满分</w:t>
            </w:r>
            <w:r>
              <w:rPr>
                <w:rFonts w:hint="eastAsia"/>
              </w:rPr>
              <w:t>5分。</w:t>
            </w:r>
          </w:p>
        </w:tc>
        <w:tc>
          <w:tcPr>
            <w:tcW w:w="680" w:type="dxa"/>
            <w:noWrap w:val="0"/>
            <w:vAlign w:val="center"/>
          </w:tcPr>
          <w:p>
            <w:pPr>
              <w:pStyle w:val="17"/>
              <w:keepNext w:val="0"/>
              <w:keepLines w:val="0"/>
              <w:pageBreakBefore w:val="0"/>
              <w:widowControl w:val="0"/>
              <w:kinsoku/>
              <w:wordWrap/>
              <w:overflowPunct/>
              <w:topLinePunct w:val="0"/>
              <w:bidi w:val="0"/>
              <w:snapToGrid/>
              <w:spacing w:after="0" w:line="34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79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ascii="宋体" w:hAnsi="宋体" w:eastAsia="宋体" w:cs="宋体"/>
                <w:color w:val="auto"/>
                <w:sz w:val="21"/>
                <w:szCs w:val="21"/>
              </w:rPr>
              <w:t>评标委员会</w:t>
            </w:r>
            <w:r>
              <w:rPr>
                <w:rFonts w:hint="eastAsia"/>
                <w:color w:val="auto"/>
              </w:rPr>
              <w:t>对投标人的突发事件应急预案（包括停水停电突发应急、食物中毒突发应急、安全事故突发应急、临时性接待任务突发应急等）进行综合评议</w:t>
            </w:r>
            <w:r>
              <w:rPr>
                <w:rFonts w:hint="eastAsia" w:ascii="宋体" w:hAnsi="宋体"/>
                <w:color w:val="auto"/>
                <w:szCs w:val="21"/>
              </w:rPr>
              <w:t>，</w:t>
            </w:r>
            <w:r>
              <w:rPr>
                <w:rFonts w:hint="eastAsia" w:ascii="宋体" w:hAnsi="宋体"/>
                <w:color w:val="auto"/>
                <w:szCs w:val="21"/>
                <w:lang w:eastAsia="zh-CN"/>
              </w:rPr>
              <w:t>满分</w:t>
            </w:r>
            <w:r>
              <w:rPr>
                <w:rFonts w:hint="eastAsia" w:ascii="宋体" w:hAnsi="宋体"/>
                <w:color w:val="auto"/>
                <w:szCs w:val="21"/>
              </w:rPr>
              <w:t>5分。</w:t>
            </w:r>
          </w:p>
        </w:tc>
        <w:tc>
          <w:tcPr>
            <w:tcW w:w="680" w:type="dxa"/>
            <w:noWrap w:val="0"/>
            <w:vAlign w:val="center"/>
          </w:tcPr>
          <w:p>
            <w:pPr>
              <w:pStyle w:val="17"/>
              <w:keepNext w:val="0"/>
              <w:keepLines w:val="0"/>
              <w:pageBreakBefore w:val="0"/>
              <w:widowControl w:val="0"/>
              <w:kinsoku/>
              <w:wordWrap/>
              <w:overflowPunct/>
              <w:topLinePunct w:val="0"/>
              <w:bidi w:val="0"/>
              <w:snapToGrid/>
              <w:spacing w:after="0" w:line="340" w:lineRule="exact"/>
              <w:ind w:left="0" w:leftChars="0" w:right="0" w:rightChars="0"/>
              <w:jc w:val="center"/>
              <w:textAlignment w:val="auto"/>
              <w:rPr>
                <w:rFonts w:hint="eastAsia"/>
                <w:color w:val="auto"/>
              </w:rPr>
            </w:pPr>
            <w:r>
              <w:rPr>
                <w:rFonts w:hint="eastAsia"/>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7956" w:type="dxa"/>
            <w:gridSpan w:val="2"/>
            <w:noWrap w:val="0"/>
            <w:vAlign w:val="center"/>
          </w:tcPr>
          <w:p>
            <w:pPr>
              <w:keepNext w:val="0"/>
              <w:keepLines w:val="0"/>
              <w:pageBreakBefore w:val="0"/>
              <w:widowControl/>
              <w:tabs>
                <w:tab w:val="left" w:pos="2214"/>
                <w:tab w:val="left" w:pos="2520"/>
                <w:tab w:val="left" w:pos="29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根据投标人提供的针对本项目的服务质量（包括职工及患者餐饮服务满意度等）承诺及保障措施进行综合评议，最高5分。</w:t>
            </w:r>
          </w:p>
        </w:tc>
        <w:tc>
          <w:tcPr>
            <w:tcW w:w="680" w:type="dxa"/>
            <w:noWrap w:val="0"/>
            <w:vAlign w:val="center"/>
          </w:tcPr>
          <w:p>
            <w:pPr>
              <w:pStyle w:val="17"/>
              <w:keepNext w:val="0"/>
              <w:keepLines w:val="0"/>
              <w:pageBreakBefore w:val="0"/>
              <w:widowControl w:val="0"/>
              <w:kinsoku/>
              <w:wordWrap/>
              <w:overflowPunct/>
              <w:topLinePunct w:val="0"/>
              <w:bidi w:val="0"/>
              <w:snapToGrid/>
              <w:spacing w:after="0" w:line="340" w:lineRule="exact"/>
              <w:ind w:left="0" w:leftChars="0" w:right="0" w:rightChars="0"/>
              <w:jc w:val="center"/>
              <w:textAlignment w:val="auto"/>
              <w:rPr>
                <w:rFonts w:hint="eastAsia" w:eastAsia="宋体"/>
                <w:color w:val="auto"/>
                <w:lang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84" w:type="dxa"/>
            <w:vMerge w:val="continue"/>
            <w:noWrap w:val="0"/>
            <w:vAlign w:val="top"/>
          </w:tcPr>
          <w:p>
            <w:pPr>
              <w:pStyle w:val="17"/>
              <w:keepNext w:val="0"/>
              <w:keepLines w:val="0"/>
              <w:pageBreakBefore w:val="0"/>
              <w:widowControl w:val="0"/>
              <w:kinsoku/>
              <w:wordWrap/>
              <w:overflowPunct/>
              <w:topLinePunct w:val="0"/>
              <w:autoSpaceDE/>
              <w:autoSpaceDN/>
              <w:bidi w:val="0"/>
              <w:adjustRightInd/>
              <w:snapToGrid/>
              <w:spacing w:after="0" w:line="240" w:lineRule="auto"/>
              <w:ind w:left="1470" w:right="0" w:rightChars="0"/>
              <w:jc w:val="left"/>
              <w:textAlignment w:val="auto"/>
              <w:rPr>
                <w:rFonts w:hint="eastAsia"/>
                <w:color w:val="auto"/>
              </w:rPr>
            </w:pPr>
          </w:p>
        </w:tc>
        <w:tc>
          <w:tcPr>
            <w:tcW w:w="7956" w:type="dxa"/>
            <w:gridSpan w:val="2"/>
            <w:noWrap w:val="0"/>
            <w:vAlign w:val="center"/>
          </w:tcPr>
          <w:p>
            <w:pPr>
              <w:keepNext w:val="0"/>
              <w:keepLines w:val="0"/>
              <w:pageBreakBefore w:val="0"/>
              <w:widowControl/>
              <w:tabs>
                <w:tab w:val="left" w:pos="2214"/>
                <w:tab w:val="left" w:pos="2520"/>
                <w:tab w:val="left" w:pos="29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根据投标人针对本项目提出的合理化建议以及其他优惠措施进行综合评议,最高</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 xml:space="preserve">分。 </w:t>
            </w:r>
          </w:p>
        </w:tc>
        <w:tc>
          <w:tcPr>
            <w:tcW w:w="680" w:type="dxa"/>
            <w:noWrap w:val="0"/>
            <w:vAlign w:val="center"/>
          </w:tcPr>
          <w:p>
            <w:pPr>
              <w:pStyle w:val="17"/>
              <w:keepNext w:val="0"/>
              <w:keepLines w:val="0"/>
              <w:pageBreakBefore w:val="0"/>
              <w:widowControl w:val="0"/>
              <w:kinsoku/>
              <w:wordWrap/>
              <w:overflowPunct/>
              <w:topLinePunct w:val="0"/>
              <w:bidi w:val="0"/>
              <w:snapToGrid/>
              <w:spacing w:after="0" w:line="34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w:t>价格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ascii="宋体" w:hAnsi="宋体"/>
                <w:color w:val="auto"/>
                <w:szCs w:val="21"/>
              </w:rPr>
              <w:t>分</w:t>
            </w:r>
            <w:r>
              <w:rPr>
                <w:rFonts w:ascii="宋体" w:hAnsi="宋体"/>
                <w:color w:val="auto"/>
                <w:szCs w:val="21"/>
              </w:rPr>
              <w:t>（</w:t>
            </w:r>
            <w:r>
              <w:rPr>
                <w:rFonts w:hint="eastAsia" w:ascii="宋体" w:hAnsi="宋体"/>
                <w:color w:val="auto"/>
                <w:szCs w:val="21"/>
                <w:lang w:val="en-US" w:eastAsia="zh-CN"/>
              </w:rPr>
              <w:t>15</w:t>
            </w:r>
            <w:r>
              <w:rPr>
                <w:rFonts w:ascii="宋体" w:hAnsi="宋体"/>
                <w:color w:val="auto"/>
                <w:szCs w:val="21"/>
              </w:rPr>
              <w:t>分）</w:t>
            </w:r>
          </w:p>
        </w:tc>
        <w:tc>
          <w:tcPr>
            <w:tcW w:w="79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szCs w:val="22"/>
              </w:rPr>
            </w:pPr>
            <w:r>
              <w:rPr>
                <w:rFonts w:hint="eastAsia"/>
                <w:color w:val="auto"/>
                <w:szCs w:val="22"/>
              </w:rPr>
              <w:t>满足采购文件要求且参与评审价格最低</w:t>
            </w:r>
            <w:r>
              <w:rPr>
                <w:rFonts w:hint="eastAsia"/>
                <w:color w:val="auto"/>
                <w:szCs w:val="22"/>
                <w:lang w:val="en-US" w:eastAsia="zh-CN"/>
              </w:rPr>
              <w:t>的投标价</w:t>
            </w:r>
            <w:r>
              <w:rPr>
                <w:rFonts w:hint="eastAsia"/>
                <w:color w:val="auto"/>
                <w:szCs w:val="22"/>
              </w:rPr>
              <w:t>为评标基准价，其价格分为满分，其余供应商的价格分以下列公式计算：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szCs w:val="22"/>
              </w:rPr>
            </w:pPr>
            <w:r>
              <w:rPr>
                <w:rFonts w:hint="eastAsia"/>
                <w:color w:val="auto"/>
                <w:szCs w:val="22"/>
              </w:rPr>
              <w:t>投标报价得分=（评标基准价/参与评审的价格）×价格权值</w:t>
            </w:r>
            <w:r>
              <w:rPr>
                <w:rFonts w:hint="eastAsia"/>
                <w:color w:val="auto"/>
                <w:szCs w:val="22"/>
                <w:lang w:val="en-US" w:eastAsia="zh-CN"/>
              </w:rPr>
              <w:t>20</w:t>
            </w:r>
            <w:r>
              <w:rPr>
                <w:rFonts w:hint="eastAsia"/>
                <w:color w:val="auto"/>
                <w:szCs w:val="22"/>
              </w:rPr>
              <w:t>%×100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szCs w:val="22"/>
              </w:rPr>
            </w:pPr>
            <w:r>
              <w:rPr>
                <w:rFonts w:hint="eastAsia"/>
                <w:color w:val="auto"/>
                <w:szCs w:val="22"/>
              </w:rPr>
              <w:t>参与评审的价格=投标报价-小微企业价格扣除优惠值</w:t>
            </w:r>
            <w:r>
              <w:rPr>
                <w:rFonts w:hint="eastAsia"/>
                <w:color w:val="auto"/>
                <w:szCs w:val="22"/>
                <w:lang w:val="en-US" w:eastAsia="zh-CN"/>
              </w:rPr>
              <w:t>10</w:t>
            </w:r>
            <w:r>
              <w:rPr>
                <w:rFonts w:hint="eastAsia"/>
                <w:color w:val="auto"/>
                <w:szCs w:val="22"/>
              </w:rPr>
              <w:t>%（如有）。</w:t>
            </w:r>
          </w:p>
        </w:tc>
        <w:tc>
          <w:tcPr>
            <w:tcW w:w="680" w:type="dxa"/>
            <w:noWrap w:val="0"/>
            <w:vAlign w:val="center"/>
          </w:tcPr>
          <w:p>
            <w:pPr>
              <w:pStyle w:val="17"/>
              <w:keepNext w:val="0"/>
              <w:keepLines w:val="0"/>
              <w:pageBreakBefore w:val="0"/>
              <w:widowControl w:val="0"/>
              <w:kinsoku/>
              <w:wordWrap/>
              <w:overflowPunct/>
              <w:topLinePunct w:val="0"/>
              <w:bidi w:val="0"/>
              <w:snapToGrid/>
              <w:spacing w:after="0" w:line="340" w:lineRule="exact"/>
              <w:ind w:left="0" w:leftChars="0" w:right="0" w:rightChars="0"/>
              <w:jc w:val="center"/>
              <w:textAlignment w:val="auto"/>
              <w:rPr>
                <w:rFonts w:hint="default" w:eastAsia="宋体"/>
                <w:color w:val="auto"/>
                <w:lang w:val="en-US" w:eastAsia="zh-CN"/>
              </w:rPr>
            </w:pPr>
            <w:r>
              <w:rPr>
                <w:rFonts w:hint="eastAsia"/>
                <w:color w:val="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640" w:type="dxa"/>
            <w:gridSpan w:val="3"/>
            <w:noWrap w:val="0"/>
            <w:vAlign w:val="center"/>
          </w:tcPr>
          <w:p>
            <w:pPr>
              <w:pStyle w:val="17"/>
              <w:keepNext w:val="0"/>
              <w:keepLines w:val="0"/>
              <w:pageBreakBefore w:val="0"/>
              <w:widowControl w:val="0"/>
              <w:kinsoku/>
              <w:wordWrap/>
              <w:overflowPunct/>
              <w:topLinePunct w:val="0"/>
              <w:bidi w:val="0"/>
              <w:snapToGrid/>
              <w:spacing w:after="0" w:line="340" w:lineRule="exact"/>
              <w:ind w:left="0" w:leftChars="0" w:right="0" w:rightChars="0" w:firstLine="0" w:firstLineChars="0"/>
              <w:jc w:val="center"/>
              <w:textAlignment w:val="auto"/>
              <w:rPr>
                <w:rFonts w:hint="eastAsia"/>
                <w:color w:val="auto"/>
              </w:rPr>
            </w:pPr>
            <w:r>
              <w:rPr>
                <w:rFonts w:hint="eastAsia"/>
                <w:color w:val="auto"/>
              </w:rPr>
              <w:t>合计</w:t>
            </w:r>
          </w:p>
        </w:tc>
        <w:tc>
          <w:tcPr>
            <w:tcW w:w="680" w:type="dxa"/>
            <w:noWrap w:val="0"/>
            <w:vAlign w:val="center"/>
          </w:tcPr>
          <w:p>
            <w:pPr>
              <w:pStyle w:val="17"/>
              <w:keepNext w:val="0"/>
              <w:keepLines w:val="0"/>
              <w:pageBreakBefore w:val="0"/>
              <w:widowControl w:val="0"/>
              <w:kinsoku/>
              <w:wordWrap/>
              <w:overflowPunct/>
              <w:topLinePunct w:val="0"/>
              <w:bidi w:val="0"/>
              <w:snapToGrid/>
              <w:spacing w:after="0" w:line="340" w:lineRule="exact"/>
              <w:ind w:left="0" w:leftChars="0" w:right="0" w:rightChars="0"/>
              <w:jc w:val="center"/>
              <w:textAlignment w:val="auto"/>
              <w:rPr>
                <w:color w:val="auto"/>
              </w:rPr>
            </w:pPr>
            <w:r>
              <w:rPr>
                <w:rFonts w:hint="eastAsia"/>
                <w:color w:val="auto"/>
              </w:rPr>
              <w:t>100</w:t>
            </w:r>
          </w:p>
        </w:tc>
      </w:tr>
    </w:tbl>
    <w:p>
      <w:pPr>
        <w:rPr>
          <w:rFonts w:hint="eastAsia" w:ascii="宋体" w:hAnsi="宋体"/>
          <w:color w:val="auto"/>
          <w:szCs w:val="21"/>
        </w:rPr>
      </w:pPr>
    </w:p>
    <w:p>
      <w:pPr>
        <w:pStyle w:val="3"/>
        <w:jc w:val="center"/>
        <w:rPr>
          <w:color w:val="auto"/>
        </w:rPr>
      </w:pPr>
      <w:bookmarkStart w:id="6" w:name="_Toc18233"/>
      <w:r>
        <w:rPr>
          <w:rFonts w:hint="eastAsia"/>
          <w:color w:val="auto"/>
        </w:rPr>
        <w:t>第五章  合同文本</w:t>
      </w:r>
      <w:bookmarkEnd w:id="6"/>
    </w:p>
    <w:p>
      <w:pPr>
        <w:pStyle w:val="18"/>
        <w:snapToGrid w:val="0"/>
        <w:spacing w:before="120" w:after="120" w:line="240" w:lineRule="auto"/>
        <w:jc w:val="center"/>
        <w:rPr>
          <w:rFonts w:hint="eastAsia" w:hAnsi="宋体"/>
          <w:b/>
          <w:color w:val="auto"/>
          <w:sz w:val="21"/>
          <w:szCs w:val="21"/>
        </w:rPr>
      </w:pPr>
      <w:r>
        <w:rPr>
          <w:rFonts w:hint="eastAsia" w:hAnsi="宋体"/>
          <w:b/>
          <w:color w:val="auto"/>
          <w:sz w:val="21"/>
          <w:szCs w:val="21"/>
        </w:rPr>
        <w:t>浙江省政府采购合同指引（</w:t>
      </w:r>
      <w:r>
        <w:rPr>
          <w:rFonts w:hint="eastAsia" w:hAnsi="宋体"/>
          <w:b/>
          <w:color w:val="FF0000"/>
          <w:sz w:val="21"/>
          <w:szCs w:val="21"/>
          <w:lang w:val="en-US" w:eastAsia="zh-CN"/>
        </w:rPr>
        <w:t>服务</w:t>
      </w:r>
      <w:r>
        <w:rPr>
          <w:rFonts w:hint="eastAsia" w:hAnsi="宋体"/>
          <w:b/>
          <w:color w:val="auto"/>
          <w:sz w:val="21"/>
          <w:szCs w:val="21"/>
        </w:rPr>
        <w:t>）</w:t>
      </w:r>
    </w:p>
    <w:p>
      <w:pPr>
        <w:pStyle w:val="18"/>
        <w:snapToGrid w:val="0"/>
        <w:spacing w:before="120" w:after="120" w:line="240" w:lineRule="auto"/>
        <w:jc w:val="center"/>
        <w:rPr>
          <w:rFonts w:hint="eastAsia" w:hAnsi="宋体"/>
          <w:b/>
          <w:color w:val="auto"/>
          <w:sz w:val="21"/>
          <w:szCs w:val="21"/>
        </w:rPr>
      </w:pPr>
      <w:r>
        <w:rPr>
          <w:rFonts w:hint="eastAsia" w:hAnsi="宋体"/>
          <w:b/>
          <w:color w:val="auto"/>
          <w:sz w:val="21"/>
          <w:szCs w:val="21"/>
        </w:rPr>
        <w:t>（合同指引文本为参考文本，采购人和中标人经过协商后签署最终合同）</w:t>
      </w:r>
    </w:p>
    <w:p>
      <w:pPr>
        <w:spacing w:line="380" w:lineRule="exact"/>
        <w:rPr>
          <w:rFonts w:hint="eastAsia" w:ascii="宋体"/>
          <w:szCs w:val="21"/>
          <w:u w:val="single"/>
        </w:rPr>
      </w:pPr>
      <w:r>
        <w:rPr>
          <w:rFonts w:hint="eastAsia" w:ascii="宋体"/>
          <w:szCs w:val="21"/>
        </w:rPr>
        <w:t>项目编号：</w:t>
      </w:r>
      <w:r>
        <w:rPr>
          <w:rFonts w:hint="eastAsia" w:ascii="宋体"/>
          <w:szCs w:val="21"/>
          <w:u w:val="single"/>
        </w:rPr>
        <w:t xml:space="preserve">           </w:t>
      </w:r>
    </w:p>
    <w:p>
      <w:pPr>
        <w:spacing w:line="380" w:lineRule="exact"/>
        <w:rPr>
          <w:rFonts w:hint="eastAsia" w:ascii="宋体"/>
          <w:szCs w:val="21"/>
          <w:u w:val="single"/>
        </w:rPr>
      </w:pPr>
      <w:r>
        <w:rPr>
          <w:rFonts w:hint="eastAsia" w:ascii="宋体"/>
          <w:szCs w:val="21"/>
        </w:rPr>
        <w:t>项目名称：</w:t>
      </w:r>
      <w:r>
        <w:rPr>
          <w:rFonts w:hint="eastAsia" w:ascii="宋体"/>
          <w:szCs w:val="21"/>
          <w:u w:val="single"/>
        </w:rPr>
        <w:t xml:space="preserve">                </w:t>
      </w:r>
    </w:p>
    <w:p>
      <w:pPr>
        <w:spacing w:line="380" w:lineRule="exact"/>
        <w:rPr>
          <w:rFonts w:hint="eastAsia" w:ascii="宋体"/>
          <w:szCs w:val="21"/>
          <w:u w:val="single"/>
        </w:rPr>
      </w:pPr>
      <w:r>
        <w:rPr>
          <w:rFonts w:hint="eastAsia" w:ascii="宋体"/>
          <w:szCs w:val="21"/>
        </w:rPr>
        <w:t>合同编号：</w:t>
      </w:r>
      <w:r>
        <w:rPr>
          <w:rFonts w:hint="eastAsia" w:ascii="宋体"/>
          <w:szCs w:val="21"/>
          <w:u w:val="single"/>
        </w:rPr>
        <w:t xml:space="preserve">                </w:t>
      </w:r>
    </w:p>
    <w:p>
      <w:pPr>
        <w:spacing w:line="380" w:lineRule="exact"/>
        <w:rPr>
          <w:rFonts w:hint="eastAsia" w:ascii="宋体"/>
          <w:szCs w:val="21"/>
          <w:u w:val="thick"/>
        </w:rPr>
      </w:pPr>
      <w:r>
        <w:rPr>
          <w:rFonts w:hint="eastAsia" w:ascii="宋体"/>
          <w:szCs w:val="21"/>
        </w:rPr>
        <w:t>签约日期和地点：</w:t>
      </w:r>
      <w:r>
        <w:rPr>
          <w:rFonts w:hint="eastAsia" w:ascii="宋体"/>
          <w:szCs w:val="21"/>
          <w:u w:val="single"/>
        </w:rPr>
        <w:t xml:space="preserve">     </w:t>
      </w:r>
      <w:r>
        <w:rPr>
          <w:rFonts w:hint="eastAsia" w:ascii="宋体"/>
          <w:szCs w:val="21"/>
        </w:rPr>
        <w:t>年</w:t>
      </w:r>
      <w:r>
        <w:rPr>
          <w:rFonts w:hint="eastAsia" w:ascii="宋体"/>
          <w:szCs w:val="21"/>
          <w:u w:val="single"/>
        </w:rPr>
        <w:t xml:space="preserve">   </w:t>
      </w:r>
      <w:r>
        <w:rPr>
          <w:rFonts w:hint="eastAsia" w:ascii="宋体"/>
          <w:szCs w:val="21"/>
        </w:rPr>
        <w:t>月</w:t>
      </w:r>
      <w:r>
        <w:rPr>
          <w:rFonts w:hint="eastAsia" w:ascii="宋体"/>
          <w:szCs w:val="21"/>
          <w:u w:val="single"/>
        </w:rPr>
        <w:t xml:space="preserve">   </w:t>
      </w:r>
      <w:r>
        <w:rPr>
          <w:rFonts w:hint="eastAsia" w:ascii="宋体"/>
          <w:szCs w:val="21"/>
        </w:rPr>
        <w:t>日 于</w:t>
      </w:r>
      <w:r>
        <w:rPr>
          <w:rFonts w:hint="eastAsia" w:ascii="宋体"/>
          <w:szCs w:val="21"/>
          <w:u w:val="single"/>
        </w:rPr>
        <w:t xml:space="preserve">                 </w:t>
      </w:r>
      <w:r>
        <w:rPr>
          <w:rFonts w:hint="eastAsia" w:ascii="宋体"/>
          <w:szCs w:val="21"/>
        </w:rPr>
        <w:t xml:space="preserve">       </w:t>
      </w:r>
    </w:p>
    <w:p>
      <w:pPr>
        <w:spacing w:line="380" w:lineRule="exact"/>
        <w:rPr>
          <w:rFonts w:hint="eastAsia" w:ascii="宋体"/>
          <w:szCs w:val="21"/>
        </w:rPr>
      </w:pPr>
    </w:p>
    <w:p>
      <w:pPr>
        <w:spacing w:line="380" w:lineRule="exact"/>
        <w:ind w:firstLine="480"/>
        <w:rPr>
          <w:rFonts w:hint="eastAsia" w:ascii="宋体"/>
          <w:szCs w:val="21"/>
        </w:rPr>
      </w:pPr>
      <w:r>
        <w:rPr>
          <w:rFonts w:hint="eastAsia" w:ascii="宋体"/>
          <w:szCs w:val="21"/>
        </w:rPr>
        <w:t xml:space="preserve">鉴于买方为获得 </w:t>
      </w:r>
      <w:r>
        <w:rPr>
          <w:rFonts w:hint="eastAsia" w:ascii="宋体"/>
          <w:szCs w:val="21"/>
          <w:u w:val="single"/>
        </w:rPr>
        <w:t xml:space="preserve">    （服务名称）    </w:t>
      </w:r>
      <w:r>
        <w:rPr>
          <w:rFonts w:hint="eastAsia" w:ascii="宋体"/>
          <w:szCs w:val="21"/>
        </w:rPr>
        <w:t xml:space="preserve"> 而进行公开招标，并选定由卖方以总金额</w:t>
      </w:r>
      <w:r>
        <w:rPr>
          <w:rFonts w:hint="eastAsia" w:ascii="宋体"/>
          <w:szCs w:val="21"/>
          <w:u w:val="single"/>
        </w:rPr>
        <w:t xml:space="preserve">  （币种、用文字表示的合同总价） </w:t>
      </w:r>
      <w:r>
        <w:rPr>
          <w:rFonts w:hint="eastAsia" w:ascii="宋体"/>
          <w:szCs w:val="21"/>
        </w:rPr>
        <w:t xml:space="preserve"> （以下简称合同价）提供的服务项目的投标。本合同由</w:t>
      </w:r>
      <w:r>
        <w:rPr>
          <w:rFonts w:hint="eastAsia" w:ascii="宋体"/>
          <w:szCs w:val="21"/>
          <w:u w:val="single"/>
        </w:rPr>
        <w:t xml:space="preserve">买 方 名 </w:t>
      </w:r>
      <w:r>
        <w:rPr>
          <w:rFonts w:hint="eastAsia" w:ascii="宋体"/>
          <w:szCs w:val="21"/>
        </w:rPr>
        <w:t>（简称买方）为一方和</w:t>
      </w:r>
      <w:r>
        <w:rPr>
          <w:rFonts w:hint="eastAsia" w:ascii="宋体"/>
          <w:szCs w:val="21"/>
          <w:u w:val="single"/>
        </w:rPr>
        <w:t>卖 方 名</w:t>
      </w:r>
      <w:r>
        <w:rPr>
          <w:rFonts w:hint="eastAsia" w:ascii="宋体"/>
          <w:szCs w:val="21"/>
        </w:rPr>
        <w:t>（简称卖方）为另一方按以下条款和条件签署。</w:t>
      </w:r>
    </w:p>
    <w:p>
      <w:pPr>
        <w:spacing w:line="380" w:lineRule="exact"/>
        <w:rPr>
          <w:rFonts w:hint="eastAsia" w:ascii="宋体"/>
          <w:szCs w:val="21"/>
          <w:u w:val="single"/>
        </w:rPr>
      </w:pPr>
      <w:r>
        <w:rPr>
          <w:rFonts w:hint="eastAsia" w:ascii="宋体"/>
          <w:szCs w:val="21"/>
        </w:rPr>
        <w:t xml:space="preserve">    本合同声明，作为附件，下述文件是合同的一部分，并与本合同一起阅读和解释：</w:t>
      </w:r>
    </w:p>
    <w:p>
      <w:pPr>
        <w:numPr>
          <w:ilvl w:val="0"/>
          <w:numId w:val="7"/>
        </w:numPr>
        <w:spacing w:line="380" w:lineRule="exact"/>
        <w:ind w:left="781"/>
        <w:rPr>
          <w:rFonts w:hint="eastAsia" w:ascii="宋体"/>
          <w:szCs w:val="21"/>
        </w:rPr>
      </w:pPr>
      <w:r>
        <w:rPr>
          <w:rFonts w:hint="eastAsia" w:ascii="宋体"/>
          <w:szCs w:val="21"/>
        </w:rPr>
        <w:t>招标文件；</w:t>
      </w:r>
    </w:p>
    <w:p>
      <w:pPr>
        <w:numPr>
          <w:ilvl w:val="0"/>
          <w:numId w:val="7"/>
        </w:numPr>
        <w:spacing w:line="380" w:lineRule="exact"/>
        <w:ind w:left="781"/>
        <w:rPr>
          <w:rFonts w:hint="eastAsia" w:ascii="宋体"/>
          <w:szCs w:val="21"/>
        </w:rPr>
      </w:pPr>
      <w:r>
        <w:rPr>
          <w:rFonts w:hint="eastAsia" w:ascii="宋体"/>
          <w:szCs w:val="21"/>
        </w:rPr>
        <w:t>卖方的投标文件、卖方在招投标中提供的澄清文件；</w:t>
      </w:r>
    </w:p>
    <w:p>
      <w:pPr>
        <w:numPr>
          <w:ilvl w:val="0"/>
          <w:numId w:val="7"/>
        </w:numPr>
        <w:spacing w:line="380" w:lineRule="exact"/>
        <w:ind w:left="781"/>
        <w:rPr>
          <w:rFonts w:hint="eastAsia" w:ascii="宋体"/>
          <w:szCs w:val="21"/>
        </w:rPr>
      </w:pPr>
      <w:r>
        <w:rPr>
          <w:rFonts w:hint="eastAsia" w:ascii="宋体"/>
          <w:szCs w:val="21"/>
        </w:rPr>
        <w:t>中标通知书；</w:t>
      </w:r>
    </w:p>
    <w:p>
      <w:pPr>
        <w:spacing w:line="380" w:lineRule="exact"/>
        <w:ind w:left="480"/>
        <w:rPr>
          <w:rFonts w:hint="eastAsia" w:ascii="宋体"/>
          <w:szCs w:val="21"/>
        </w:rPr>
      </w:pPr>
      <w:r>
        <w:rPr>
          <w:rFonts w:hint="eastAsia" w:ascii="宋体"/>
          <w:szCs w:val="21"/>
        </w:rPr>
        <w:t>上述文件与合同若有不一致之处，文件的优先次序应为第一合同、第二附件。</w:t>
      </w:r>
    </w:p>
    <w:p>
      <w:pPr>
        <w:numPr>
          <w:ilvl w:val="0"/>
          <w:numId w:val="8"/>
        </w:numPr>
        <w:tabs>
          <w:tab w:val="left" w:pos="669"/>
          <w:tab w:val="left" w:pos="720"/>
        </w:tabs>
        <w:spacing w:line="380" w:lineRule="exact"/>
        <w:ind w:left="720"/>
        <w:rPr>
          <w:rFonts w:hint="eastAsia" w:ascii="宋体"/>
          <w:b/>
          <w:szCs w:val="21"/>
        </w:rPr>
      </w:pPr>
      <w:r>
        <w:rPr>
          <w:rFonts w:hint="eastAsia" w:ascii="宋体"/>
          <w:b/>
          <w:szCs w:val="21"/>
        </w:rPr>
        <w:t>合同服务项目的名称、数量/服务期限及价格</w:t>
      </w:r>
    </w:p>
    <w:tbl>
      <w:tblPr>
        <w:tblStyle w:val="33"/>
        <w:tblW w:w="0" w:type="auto"/>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62"/>
        <w:gridCol w:w="2279"/>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4" w:type="dxa"/>
            <w:noWrap w:val="0"/>
            <w:vAlign w:val="center"/>
          </w:tcPr>
          <w:p>
            <w:pPr>
              <w:spacing w:line="380" w:lineRule="exact"/>
              <w:jc w:val="center"/>
              <w:rPr>
                <w:rFonts w:hint="eastAsia" w:ascii="宋体"/>
                <w:szCs w:val="21"/>
              </w:rPr>
            </w:pPr>
            <w:r>
              <w:rPr>
                <w:rFonts w:hint="eastAsia" w:ascii="宋体"/>
                <w:szCs w:val="21"/>
              </w:rPr>
              <w:t>服务项目名称</w:t>
            </w:r>
          </w:p>
        </w:tc>
        <w:tc>
          <w:tcPr>
            <w:tcW w:w="2562" w:type="dxa"/>
            <w:noWrap w:val="0"/>
            <w:vAlign w:val="center"/>
          </w:tcPr>
          <w:p>
            <w:pPr>
              <w:spacing w:line="380" w:lineRule="exact"/>
              <w:jc w:val="center"/>
              <w:rPr>
                <w:rFonts w:hint="eastAsia" w:ascii="宋体"/>
                <w:szCs w:val="21"/>
              </w:rPr>
            </w:pPr>
            <w:r>
              <w:rPr>
                <w:rFonts w:hint="eastAsia" w:ascii="宋体"/>
                <w:szCs w:val="21"/>
              </w:rPr>
              <w:t>内   容</w:t>
            </w:r>
          </w:p>
        </w:tc>
        <w:tc>
          <w:tcPr>
            <w:tcW w:w="2279" w:type="dxa"/>
            <w:noWrap w:val="0"/>
            <w:vAlign w:val="center"/>
          </w:tcPr>
          <w:p>
            <w:pPr>
              <w:spacing w:line="380" w:lineRule="exact"/>
              <w:jc w:val="center"/>
              <w:rPr>
                <w:rFonts w:hint="eastAsia" w:ascii="宋体"/>
                <w:szCs w:val="21"/>
              </w:rPr>
            </w:pPr>
            <w:r>
              <w:rPr>
                <w:rFonts w:hint="eastAsia" w:ascii="宋体"/>
                <w:szCs w:val="21"/>
              </w:rPr>
              <w:t>数 量/服务期限</w:t>
            </w:r>
          </w:p>
        </w:tc>
        <w:tc>
          <w:tcPr>
            <w:tcW w:w="1886" w:type="dxa"/>
            <w:noWrap w:val="0"/>
            <w:vAlign w:val="center"/>
          </w:tcPr>
          <w:p>
            <w:pPr>
              <w:spacing w:line="380" w:lineRule="exact"/>
              <w:jc w:val="center"/>
              <w:rPr>
                <w:rFonts w:hint="eastAsia" w:ascii="宋体"/>
                <w:szCs w:val="21"/>
              </w:rPr>
            </w:pPr>
            <w:r>
              <w:rPr>
                <w:rFonts w:hint="eastAsia" w:ascii="宋体"/>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4" w:type="dxa"/>
            <w:noWrap w:val="0"/>
            <w:vAlign w:val="top"/>
          </w:tcPr>
          <w:p>
            <w:pPr>
              <w:spacing w:line="380" w:lineRule="exact"/>
              <w:rPr>
                <w:rFonts w:hint="eastAsia" w:ascii="宋体"/>
                <w:szCs w:val="21"/>
              </w:rPr>
            </w:pPr>
          </w:p>
        </w:tc>
        <w:tc>
          <w:tcPr>
            <w:tcW w:w="2562" w:type="dxa"/>
            <w:noWrap w:val="0"/>
            <w:vAlign w:val="top"/>
          </w:tcPr>
          <w:p>
            <w:pPr>
              <w:spacing w:line="380" w:lineRule="exact"/>
              <w:rPr>
                <w:rFonts w:hint="eastAsia" w:ascii="宋体"/>
                <w:szCs w:val="21"/>
              </w:rPr>
            </w:pPr>
          </w:p>
        </w:tc>
        <w:tc>
          <w:tcPr>
            <w:tcW w:w="2279" w:type="dxa"/>
            <w:noWrap w:val="0"/>
            <w:vAlign w:val="top"/>
          </w:tcPr>
          <w:p>
            <w:pPr>
              <w:spacing w:line="380" w:lineRule="exact"/>
              <w:rPr>
                <w:rFonts w:hint="eastAsia" w:ascii="宋体"/>
                <w:szCs w:val="21"/>
              </w:rPr>
            </w:pPr>
          </w:p>
        </w:tc>
        <w:tc>
          <w:tcPr>
            <w:tcW w:w="1886" w:type="dxa"/>
            <w:noWrap w:val="0"/>
            <w:vAlign w:val="top"/>
          </w:tcPr>
          <w:p>
            <w:pPr>
              <w:spacing w:line="380" w:lineRule="exac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4" w:type="dxa"/>
            <w:noWrap w:val="0"/>
            <w:vAlign w:val="top"/>
          </w:tcPr>
          <w:p>
            <w:pPr>
              <w:spacing w:line="380" w:lineRule="exact"/>
              <w:rPr>
                <w:rFonts w:hint="eastAsia" w:ascii="宋体"/>
                <w:szCs w:val="21"/>
              </w:rPr>
            </w:pPr>
          </w:p>
        </w:tc>
        <w:tc>
          <w:tcPr>
            <w:tcW w:w="2562" w:type="dxa"/>
            <w:noWrap w:val="0"/>
            <w:vAlign w:val="top"/>
          </w:tcPr>
          <w:p>
            <w:pPr>
              <w:spacing w:line="380" w:lineRule="exact"/>
              <w:rPr>
                <w:rFonts w:hint="eastAsia" w:ascii="宋体"/>
                <w:szCs w:val="21"/>
              </w:rPr>
            </w:pPr>
          </w:p>
        </w:tc>
        <w:tc>
          <w:tcPr>
            <w:tcW w:w="2279" w:type="dxa"/>
            <w:noWrap w:val="0"/>
            <w:vAlign w:val="top"/>
          </w:tcPr>
          <w:p>
            <w:pPr>
              <w:spacing w:line="380" w:lineRule="exact"/>
              <w:rPr>
                <w:rFonts w:hint="eastAsia" w:ascii="宋体"/>
                <w:szCs w:val="21"/>
              </w:rPr>
            </w:pPr>
          </w:p>
        </w:tc>
        <w:tc>
          <w:tcPr>
            <w:tcW w:w="1886" w:type="dxa"/>
            <w:noWrap w:val="0"/>
            <w:vAlign w:val="top"/>
          </w:tcPr>
          <w:p>
            <w:pPr>
              <w:spacing w:line="380" w:lineRule="exac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6" w:type="dxa"/>
            <w:gridSpan w:val="2"/>
            <w:noWrap w:val="0"/>
            <w:vAlign w:val="center"/>
          </w:tcPr>
          <w:p>
            <w:pPr>
              <w:spacing w:line="380" w:lineRule="exact"/>
              <w:jc w:val="center"/>
              <w:rPr>
                <w:rFonts w:hint="eastAsia" w:ascii="宋体"/>
                <w:szCs w:val="21"/>
              </w:rPr>
            </w:pPr>
            <w:r>
              <w:rPr>
                <w:rFonts w:hint="eastAsia" w:ascii="宋体"/>
                <w:szCs w:val="21"/>
              </w:rPr>
              <w:t>合同价（大写金额）</w:t>
            </w:r>
          </w:p>
        </w:tc>
        <w:tc>
          <w:tcPr>
            <w:tcW w:w="4165" w:type="dxa"/>
            <w:gridSpan w:val="2"/>
            <w:noWrap w:val="0"/>
            <w:vAlign w:val="top"/>
          </w:tcPr>
          <w:p>
            <w:pPr>
              <w:spacing w:line="380" w:lineRule="exact"/>
              <w:rPr>
                <w:rFonts w:hint="eastAsia" w:ascii="宋体"/>
                <w:szCs w:val="21"/>
              </w:rPr>
            </w:pPr>
          </w:p>
        </w:tc>
      </w:tr>
    </w:tbl>
    <w:p>
      <w:pPr>
        <w:spacing w:line="380" w:lineRule="exact"/>
        <w:ind w:left="480"/>
        <w:rPr>
          <w:rFonts w:hint="eastAsia" w:ascii="宋体"/>
          <w:szCs w:val="21"/>
        </w:rPr>
      </w:pPr>
      <w:r>
        <w:rPr>
          <w:rFonts w:hint="eastAsia" w:ascii="宋体"/>
          <w:szCs w:val="21"/>
        </w:rPr>
        <w:t>本合同总价内包含的服务内容：</w:t>
      </w:r>
      <w:r>
        <w:rPr>
          <w:rFonts w:hint="eastAsia" w:ascii="宋体"/>
          <w:szCs w:val="21"/>
          <w:u w:val="single"/>
        </w:rPr>
        <w:t xml:space="preserve">                          。</w:t>
      </w:r>
    </w:p>
    <w:p>
      <w:pPr>
        <w:spacing w:line="380" w:lineRule="exact"/>
        <w:ind w:firstLine="316" w:firstLineChars="150"/>
        <w:rPr>
          <w:rFonts w:hint="eastAsia" w:ascii="宋体"/>
          <w:b/>
          <w:szCs w:val="21"/>
        </w:rPr>
      </w:pPr>
      <w:r>
        <w:rPr>
          <w:rFonts w:hint="eastAsia" w:ascii="宋体"/>
          <w:b/>
          <w:szCs w:val="21"/>
        </w:rPr>
        <w:t>2、使用合同文件和资料：</w:t>
      </w:r>
    </w:p>
    <w:p>
      <w:pPr>
        <w:spacing w:line="380" w:lineRule="exact"/>
        <w:ind w:left="359" w:leftChars="171"/>
        <w:rPr>
          <w:rFonts w:hint="eastAsia" w:ascii="宋体"/>
          <w:szCs w:val="21"/>
        </w:rPr>
      </w:pPr>
      <w:r>
        <w:rPr>
          <w:rFonts w:hint="eastAsia" w:ascii="宋体"/>
          <w:b/>
          <w:szCs w:val="21"/>
        </w:rPr>
        <w:t>2.1</w:t>
      </w:r>
      <w:r>
        <w:rPr>
          <w:rFonts w:hint="eastAsia" w:ascii="宋体"/>
          <w:szCs w:val="21"/>
        </w:rPr>
        <w:t xml:space="preserve"> 没有买方事先书面同意，卖方不得将由买方或代表买方提供的有关合同或任何合同条文、计划、图纸或资料提供给与履行本合同无关的任何其他人。即使向与履行本合同有关的人员提供，也应注意保密并限于履行合同必须的范围。</w:t>
      </w:r>
    </w:p>
    <w:p>
      <w:pPr>
        <w:spacing w:line="380" w:lineRule="exact"/>
        <w:ind w:left="359" w:leftChars="171"/>
        <w:rPr>
          <w:rFonts w:hint="eastAsia" w:ascii="宋体"/>
          <w:szCs w:val="21"/>
        </w:rPr>
      </w:pPr>
      <w:r>
        <w:rPr>
          <w:rFonts w:hint="eastAsia" w:ascii="宋体"/>
          <w:b/>
          <w:szCs w:val="21"/>
        </w:rPr>
        <w:t>2.2</w:t>
      </w:r>
      <w:r>
        <w:rPr>
          <w:rFonts w:hint="eastAsia" w:ascii="宋体"/>
          <w:szCs w:val="21"/>
        </w:rPr>
        <w:t xml:space="preserve"> 没有买方事先书面同意，除了履行本合同之外，卖方不得将甲方提供的的任何文件和资料挪作他用。</w:t>
      </w:r>
    </w:p>
    <w:p>
      <w:pPr>
        <w:spacing w:line="380" w:lineRule="exact"/>
        <w:ind w:left="359" w:leftChars="171"/>
        <w:rPr>
          <w:rFonts w:hint="eastAsia" w:ascii="宋体"/>
          <w:szCs w:val="21"/>
        </w:rPr>
      </w:pPr>
      <w:r>
        <w:rPr>
          <w:rFonts w:hint="eastAsia" w:ascii="宋体"/>
          <w:b/>
          <w:szCs w:val="21"/>
        </w:rPr>
        <w:t xml:space="preserve">2.3 </w:t>
      </w:r>
      <w:r>
        <w:rPr>
          <w:rFonts w:hint="eastAsia" w:ascii="宋体"/>
          <w:szCs w:val="21"/>
        </w:rPr>
        <w:t>除了合同本身外，</w:t>
      </w:r>
      <w:r>
        <w:rPr>
          <w:rFonts w:hint="eastAsia" w:ascii="宋体"/>
          <w:b/>
          <w:szCs w:val="21"/>
        </w:rPr>
        <w:t xml:space="preserve"> </w:t>
      </w:r>
      <w:r>
        <w:rPr>
          <w:rFonts w:hint="eastAsia" w:ascii="宋体"/>
          <w:szCs w:val="21"/>
        </w:rPr>
        <w:t>甲方提供的任何文件是买方的财产。如果买方有要求，卖方应在完成合同后将这些文件及全部复制件归还给买方。</w:t>
      </w:r>
    </w:p>
    <w:p>
      <w:pPr>
        <w:spacing w:line="380" w:lineRule="exact"/>
        <w:ind w:left="464" w:leftChars="171" w:hanging="105" w:hangingChars="50"/>
        <w:rPr>
          <w:rFonts w:hint="eastAsia" w:ascii="宋体"/>
          <w:szCs w:val="21"/>
        </w:rPr>
      </w:pPr>
      <w:r>
        <w:rPr>
          <w:rFonts w:hint="eastAsia" w:ascii="宋体"/>
          <w:b/>
          <w:szCs w:val="21"/>
        </w:rPr>
        <w:t>3、知识产权</w:t>
      </w:r>
    </w:p>
    <w:p>
      <w:pPr>
        <w:spacing w:line="380" w:lineRule="exact"/>
        <w:ind w:left="359" w:leftChars="171"/>
        <w:rPr>
          <w:rFonts w:hint="eastAsia" w:ascii="宋体"/>
          <w:szCs w:val="21"/>
        </w:rPr>
      </w:pPr>
      <w:r>
        <w:rPr>
          <w:rFonts w:hint="eastAsia" w:ascii="宋体"/>
          <w:szCs w:val="21"/>
        </w:rPr>
        <w:t>卖方应保证提供服务过程中不会侵犯任何第三方的知识产权，如果任何第三方提出侵权指控，卖方须与第三方交涉并承担可能发生的一切法律责任和费用。</w:t>
      </w:r>
    </w:p>
    <w:p>
      <w:pPr>
        <w:spacing w:line="380" w:lineRule="exact"/>
        <w:ind w:firstLine="316" w:firstLineChars="150"/>
        <w:rPr>
          <w:rFonts w:hint="eastAsia" w:ascii="宋体"/>
          <w:szCs w:val="21"/>
        </w:rPr>
      </w:pPr>
      <w:r>
        <w:rPr>
          <w:rFonts w:hint="eastAsia" w:ascii="宋体"/>
          <w:b/>
          <w:szCs w:val="21"/>
        </w:rPr>
        <w:t>4、不可抗力</w:t>
      </w:r>
    </w:p>
    <w:p>
      <w:pPr>
        <w:spacing w:line="380" w:lineRule="exact"/>
        <w:ind w:left="211" w:hanging="211" w:hangingChars="100"/>
        <w:rPr>
          <w:rFonts w:hint="eastAsia" w:ascii="宋体"/>
          <w:szCs w:val="21"/>
        </w:rPr>
      </w:pPr>
      <w:r>
        <w:rPr>
          <w:rFonts w:hint="eastAsia" w:ascii="宋体"/>
          <w:b/>
          <w:szCs w:val="21"/>
        </w:rPr>
        <w:t xml:space="preserve">   4.1</w:t>
      </w:r>
      <w:r>
        <w:rPr>
          <w:rFonts w:hint="eastAsia" w:ascii="宋体"/>
          <w:szCs w:val="21"/>
        </w:rPr>
        <w:t>如果双方中任何一方由于战争、严重火灾、水灾、台风和地震以及其它经双方同意属于不可抗力的事故，致使合同履行受阻时，受不可抗力影响导致合同义务延迟或不能履行的一方不承担责任，但应尽快以传真方式将不可抗力事件结束或消除的情况通知另一方，并立即继续履行合同义务，合同的期限也应予相应延长。</w:t>
      </w:r>
    </w:p>
    <w:p>
      <w:pPr>
        <w:spacing w:line="380" w:lineRule="exact"/>
        <w:ind w:left="316" w:hanging="316" w:hangingChars="150"/>
        <w:rPr>
          <w:rFonts w:hint="eastAsia" w:ascii="宋体"/>
          <w:szCs w:val="21"/>
        </w:rPr>
      </w:pPr>
      <w:r>
        <w:rPr>
          <w:rFonts w:hint="eastAsia" w:ascii="宋体"/>
          <w:b/>
          <w:szCs w:val="21"/>
        </w:rPr>
        <w:t xml:space="preserve">   4.2</w:t>
      </w:r>
      <w:r>
        <w:rPr>
          <w:rFonts w:hint="eastAsia" w:ascii="宋体"/>
          <w:szCs w:val="21"/>
        </w:rPr>
        <w:t>受事故影响的一方应在不可抗力的事故发生后尽快以传真通知另一方，并在事故发生后14天内，将有关部门出具的证明文件用挂号信邮寄或派人送达另一方。如果不可抗力影响时间超过合同规定的期限的，合同任何一方均有权以书面通知终止合同。</w:t>
      </w:r>
    </w:p>
    <w:p>
      <w:pPr>
        <w:spacing w:line="380" w:lineRule="exact"/>
        <w:ind w:firstLine="316" w:firstLineChars="150"/>
        <w:rPr>
          <w:rFonts w:hint="eastAsia" w:ascii="宋体"/>
          <w:szCs w:val="21"/>
        </w:rPr>
      </w:pPr>
      <w:r>
        <w:rPr>
          <w:rFonts w:hint="eastAsia" w:ascii="宋体"/>
          <w:b/>
          <w:szCs w:val="21"/>
        </w:rPr>
        <w:t>5.税费</w:t>
      </w:r>
    </w:p>
    <w:p>
      <w:pPr>
        <w:spacing w:line="380" w:lineRule="exact"/>
        <w:rPr>
          <w:rFonts w:hint="eastAsia" w:ascii="宋体"/>
          <w:szCs w:val="21"/>
        </w:rPr>
      </w:pPr>
      <w:r>
        <w:rPr>
          <w:rFonts w:hint="eastAsia" w:ascii="宋体"/>
          <w:szCs w:val="21"/>
        </w:rPr>
        <w:t xml:space="preserve">   </w:t>
      </w:r>
      <w:r>
        <w:rPr>
          <w:rFonts w:hint="eastAsia" w:ascii="宋体"/>
          <w:b/>
          <w:szCs w:val="21"/>
        </w:rPr>
        <w:t>5.1</w:t>
      </w:r>
      <w:r>
        <w:rPr>
          <w:rFonts w:hint="eastAsia" w:ascii="宋体"/>
          <w:szCs w:val="21"/>
        </w:rPr>
        <w:t>根据国家现行税法对买方征收的与合同有关的一切税费均由买方负担。</w:t>
      </w:r>
    </w:p>
    <w:p>
      <w:pPr>
        <w:spacing w:line="380" w:lineRule="exact"/>
        <w:rPr>
          <w:rFonts w:hint="eastAsia" w:ascii="宋体"/>
          <w:szCs w:val="21"/>
        </w:rPr>
      </w:pPr>
      <w:r>
        <w:rPr>
          <w:rFonts w:hint="eastAsia" w:ascii="宋体"/>
          <w:b/>
          <w:szCs w:val="21"/>
        </w:rPr>
        <w:t xml:space="preserve">   5.2</w:t>
      </w:r>
      <w:r>
        <w:rPr>
          <w:rFonts w:hint="eastAsia" w:ascii="宋体"/>
          <w:szCs w:val="21"/>
        </w:rPr>
        <w:t>根据国家现行税法对卖方征收的与合同有关的一切税费均由卖方负担。</w:t>
      </w:r>
    </w:p>
    <w:p>
      <w:pPr>
        <w:spacing w:line="380" w:lineRule="exact"/>
        <w:ind w:firstLine="299" w:firstLineChars="142"/>
        <w:rPr>
          <w:rFonts w:hint="eastAsia" w:ascii="宋体"/>
          <w:szCs w:val="21"/>
        </w:rPr>
      </w:pPr>
      <w:r>
        <w:rPr>
          <w:rFonts w:hint="eastAsia" w:ascii="宋体"/>
          <w:b/>
          <w:szCs w:val="21"/>
        </w:rPr>
        <w:t>6.违约终止合同</w:t>
      </w:r>
    </w:p>
    <w:p>
      <w:pPr>
        <w:spacing w:line="380" w:lineRule="exact"/>
        <w:ind w:left="316" w:hanging="316" w:hangingChars="150"/>
        <w:rPr>
          <w:rFonts w:hint="eastAsia" w:ascii="宋体"/>
          <w:szCs w:val="21"/>
        </w:rPr>
      </w:pPr>
      <w:r>
        <w:rPr>
          <w:rFonts w:hint="eastAsia" w:ascii="宋体"/>
          <w:b/>
          <w:szCs w:val="21"/>
        </w:rPr>
        <w:t xml:space="preserve">   6.1</w:t>
      </w:r>
      <w:r>
        <w:rPr>
          <w:rFonts w:hint="eastAsia" w:ascii="宋体"/>
          <w:szCs w:val="21"/>
        </w:rPr>
        <w:t>如果卖方有下述违约行为或招标文件中规定的其它违约行为的情况，买方可以向卖方发出书面违约通知，全部或部分地终止合同，在这些情况下，并不影响买方向卖方提出的索赔：</w:t>
      </w:r>
    </w:p>
    <w:p>
      <w:pPr>
        <w:numPr>
          <w:ilvl w:val="0"/>
          <w:numId w:val="9"/>
        </w:numPr>
        <w:tabs>
          <w:tab w:val="left" w:pos="721"/>
        </w:tabs>
        <w:spacing w:line="380" w:lineRule="exact"/>
        <w:ind w:left="720" w:hanging="411"/>
        <w:rPr>
          <w:rFonts w:hint="eastAsia" w:ascii="宋体"/>
          <w:szCs w:val="21"/>
        </w:rPr>
      </w:pPr>
      <w:r>
        <w:rPr>
          <w:rFonts w:hint="eastAsia" w:ascii="宋体"/>
          <w:szCs w:val="21"/>
        </w:rPr>
        <w:t>卖方未能在合同规定的限期或买方同意延长的最终限期内提供全部或部分服务项目、技术文件；</w:t>
      </w:r>
    </w:p>
    <w:p>
      <w:pPr>
        <w:numPr>
          <w:ilvl w:val="0"/>
          <w:numId w:val="9"/>
        </w:numPr>
        <w:tabs>
          <w:tab w:val="left" w:pos="721"/>
        </w:tabs>
        <w:spacing w:line="380" w:lineRule="exact"/>
        <w:ind w:left="720" w:hanging="411"/>
        <w:rPr>
          <w:rFonts w:hint="eastAsia" w:ascii="宋体"/>
          <w:szCs w:val="21"/>
        </w:rPr>
      </w:pPr>
      <w:r>
        <w:rPr>
          <w:rFonts w:hint="eastAsia" w:ascii="宋体"/>
          <w:szCs w:val="21"/>
        </w:rPr>
        <w:t>卖方未能使合同的服务项目达到合同附件规定的最低技术要求；</w:t>
      </w:r>
    </w:p>
    <w:p>
      <w:pPr>
        <w:spacing w:line="380" w:lineRule="exact"/>
        <w:ind w:left="665" w:leftChars="148" w:hanging="354" w:hangingChars="169"/>
        <w:rPr>
          <w:rFonts w:hint="eastAsia" w:ascii="宋体"/>
          <w:szCs w:val="21"/>
        </w:rPr>
      </w:pPr>
      <w:r>
        <w:rPr>
          <w:rFonts w:hint="eastAsia" w:ascii="宋体"/>
          <w:szCs w:val="21"/>
        </w:rPr>
        <w:t xml:space="preserve">(3)卖方未能履行合同规定的其它义务（细微义务除外），且卖方在收到买方发出的违约通知后30天内或经买方书面认可延长的时间内未能纠正其违约行为。 </w:t>
      </w:r>
    </w:p>
    <w:p>
      <w:pPr>
        <w:spacing w:line="380" w:lineRule="exact"/>
        <w:ind w:left="316" w:hanging="316" w:hangingChars="150"/>
        <w:rPr>
          <w:rFonts w:hint="eastAsia" w:ascii="宋体"/>
          <w:szCs w:val="21"/>
        </w:rPr>
      </w:pPr>
      <w:r>
        <w:rPr>
          <w:rFonts w:hint="eastAsia" w:ascii="宋体"/>
          <w:b/>
          <w:szCs w:val="21"/>
        </w:rPr>
        <w:t xml:space="preserve">   6.2</w:t>
      </w:r>
      <w:r>
        <w:rPr>
          <w:rFonts w:hint="eastAsia" w:ascii="宋体"/>
          <w:szCs w:val="21"/>
        </w:rPr>
        <w:t>在买方根据第</w:t>
      </w:r>
      <w:r>
        <w:rPr>
          <w:rFonts w:hint="eastAsia" w:ascii="宋体"/>
          <w:b/>
          <w:szCs w:val="21"/>
        </w:rPr>
        <w:t>9.1</w:t>
      </w:r>
      <w:r>
        <w:rPr>
          <w:rFonts w:hint="eastAsia" w:ascii="宋体"/>
          <w:szCs w:val="21"/>
        </w:rPr>
        <w:t>条款规定，终止了全部或部分合同，买方可以依其认为适当的条件和方法向卖方或其他人购买与合同被终止部分同种的服务项目，卖方应对买方购买同种服务项目所超出的费用负责。而且卖方还应继续执行合同中未终止的部分。</w:t>
      </w:r>
    </w:p>
    <w:p>
      <w:pPr>
        <w:spacing w:line="380" w:lineRule="exact"/>
        <w:ind w:firstLine="299" w:firstLineChars="142"/>
        <w:rPr>
          <w:rFonts w:hint="eastAsia" w:ascii="宋体"/>
          <w:b/>
          <w:szCs w:val="21"/>
        </w:rPr>
      </w:pPr>
      <w:r>
        <w:rPr>
          <w:rFonts w:hint="eastAsia" w:ascii="宋体"/>
          <w:b/>
          <w:szCs w:val="21"/>
        </w:rPr>
        <w:t>7.其他情况终止合同</w:t>
      </w:r>
    </w:p>
    <w:p>
      <w:pPr>
        <w:spacing w:line="380" w:lineRule="exact"/>
        <w:ind w:left="315" w:hanging="315" w:hangingChars="150"/>
        <w:rPr>
          <w:rFonts w:hint="eastAsia" w:ascii="宋体"/>
          <w:szCs w:val="21"/>
        </w:rPr>
      </w:pPr>
      <w:r>
        <w:rPr>
          <w:rFonts w:hint="eastAsia" w:ascii="宋体"/>
          <w:szCs w:val="21"/>
        </w:rPr>
        <w:t xml:space="preserve">   </w:t>
      </w:r>
      <w:r>
        <w:rPr>
          <w:rFonts w:hint="eastAsia" w:ascii="宋体"/>
          <w:b/>
          <w:szCs w:val="21"/>
        </w:rPr>
        <w:t>7.1</w:t>
      </w:r>
      <w:r>
        <w:rPr>
          <w:rFonts w:hint="eastAsia" w:ascii="宋体"/>
          <w:szCs w:val="21"/>
        </w:rPr>
        <w:t>如果卖方破产或发生资不抵债的情况，买方可在任何时候以书面通知终止合同，而不给对方补偿。该终止合同将不损害或影响买方已经采取或将要采取的补救措施的权利。</w:t>
      </w:r>
    </w:p>
    <w:p>
      <w:pPr>
        <w:spacing w:line="380" w:lineRule="exact"/>
        <w:ind w:left="210" w:hanging="210" w:hangingChars="100"/>
        <w:rPr>
          <w:rFonts w:hint="eastAsia" w:ascii="宋体"/>
          <w:szCs w:val="21"/>
        </w:rPr>
      </w:pPr>
      <w:r>
        <w:rPr>
          <w:rFonts w:hint="eastAsia" w:ascii="宋体"/>
          <w:szCs w:val="21"/>
        </w:rPr>
        <w:t xml:space="preserve">   </w:t>
      </w:r>
      <w:r>
        <w:rPr>
          <w:rFonts w:hint="eastAsia" w:ascii="宋体"/>
          <w:b/>
          <w:szCs w:val="21"/>
        </w:rPr>
        <w:t xml:space="preserve">7.2 </w:t>
      </w:r>
      <w:r>
        <w:rPr>
          <w:rFonts w:hint="eastAsia" w:ascii="宋体"/>
          <w:szCs w:val="21"/>
        </w:rPr>
        <w:t>如果买方认定卖方在竞标、采购和合同执行等过程中有腐败或欺诈行为，买方有权在任何时候发出书面通知终止合同。</w:t>
      </w:r>
    </w:p>
    <w:p>
      <w:pPr>
        <w:spacing w:line="380" w:lineRule="exact"/>
        <w:ind w:left="315" w:hanging="315" w:hangingChars="150"/>
        <w:rPr>
          <w:rFonts w:hint="eastAsia" w:ascii="宋体"/>
          <w:szCs w:val="21"/>
        </w:rPr>
      </w:pPr>
      <w:r>
        <w:rPr>
          <w:rFonts w:hint="eastAsia" w:ascii="宋体"/>
          <w:szCs w:val="21"/>
        </w:rPr>
        <w:t xml:space="preserve">   </w:t>
      </w:r>
      <w:r>
        <w:rPr>
          <w:rFonts w:hint="eastAsia" w:ascii="宋体"/>
          <w:b/>
          <w:szCs w:val="21"/>
        </w:rPr>
        <w:t>7.3</w:t>
      </w:r>
      <w:r>
        <w:rPr>
          <w:rFonts w:hint="eastAsia" w:ascii="宋体"/>
          <w:szCs w:val="21"/>
        </w:rPr>
        <w:t>如果合同履行过程中出现危害国家利益和社会公众利益的，买方有权在任何时候发出书面通知终止合同。</w:t>
      </w:r>
    </w:p>
    <w:p>
      <w:pPr>
        <w:spacing w:line="380" w:lineRule="exact"/>
        <w:ind w:firstLine="316" w:firstLineChars="150"/>
        <w:rPr>
          <w:rFonts w:hint="eastAsia" w:ascii="宋体"/>
          <w:szCs w:val="21"/>
        </w:rPr>
      </w:pPr>
      <w:r>
        <w:rPr>
          <w:rFonts w:hint="eastAsia" w:ascii="宋体"/>
          <w:b/>
          <w:szCs w:val="21"/>
        </w:rPr>
        <w:t>8.转让和分包</w:t>
      </w:r>
    </w:p>
    <w:p>
      <w:pPr>
        <w:spacing w:line="380" w:lineRule="exact"/>
        <w:rPr>
          <w:rFonts w:hint="eastAsia" w:ascii="宋体"/>
          <w:szCs w:val="21"/>
        </w:rPr>
      </w:pPr>
      <w:r>
        <w:rPr>
          <w:rFonts w:hint="eastAsia" w:ascii="宋体"/>
          <w:b/>
          <w:szCs w:val="21"/>
        </w:rPr>
        <w:t xml:space="preserve">   8.1</w:t>
      </w:r>
      <w:r>
        <w:rPr>
          <w:rFonts w:hint="eastAsia" w:ascii="宋体"/>
          <w:szCs w:val="21"/>
        </w:rPr>
        <w:t>卖方不得部分转让或全部转让其应履行的合同义务。</w:t>
      </w:r>
    </w:p>
    <w:p>
      <w:pPr>
        <w:spacing w:line="380" w:lineRule="exact"/>
        <w:ind w:left="315" w:hanging="315" w:hangingChars="150"/>
        <w:rPr>
          <w:rFonts w:hint="eastAsia" w:ascii="宋体"/>
          <w:szCs w:val="21"/>
        </w:rPr>
      </w:pPr>
      <w:r>
        <w:rPr>
          <w:rFonts w:hint="eastAsia" w:ascii="宋体"/>
          <w:szCs w:val="21"/>
        </w:rPr>
        <w:t xml:space="preserve">   </w:t>
      </w:r>
      <w:r>
        <w:rPr>
          <w:rFonts w:hint="eastAsia" w:ascii="宋体"/>
          <w:b/>
          <w:szCs w:val="21"/>
        </w:rPr>
        <w:t>8.2</w:t>
      </w:r>
      <w:r>
        <w:rPr>
          <w:rFonts w:hint="eastAsia" w:ascii="宋体"/>
          <w:szCs w:val="21"/>
        </w:rPr>
        <w:t>对投标中明确分包的合同，卖方应将合同的全部分包合同书面通知买方，但此分包通知书不能解除卖方履行合同的责任和义务。</w:t>
      </w:r>
    </w:p>
    <w:p>
      <w:pPr>
        <w:spacing w:line="380" w:lineRule="exact"/>
        <w:rPr>
          <w:rFonts w:hint="eastAsia" w:ascii="宋体"/>
          <w:szCs w:val="21"/>
        </w:rPr>
      </w:pPr>
      <w:r>
        <w:rPr>
          <w:rFonts w:hint="eastAsia" w:ascii="宋体"/>
          <w:szCs w:val="21"/>
        </w:rPr>
        <w:t xml:space="preserve">   </w:t>
      </w:r>
      <w:r>
        <w:rPr>
          <w:rFonts w:hint="eastAsia" w:ascii="宋体"/>
          <w:b/>
          <w:szCs w:val="21"/>
        </w:rPr>
        <w:t>8.3</w:t>
      </w:r>
      <w:r>
        <w:rPr>
          <w:rFonts w:hint="eastAsia" w:ascii="宋体"/>
          <w:szCs w:val="21"/>
        </w:rPr>
        <w:t xml:space="preserve"> 分包必须符合国家法律的相关规定。</w:t>
      </w:r>
    </w:p>
    <w:p>
      <w:pPr>
        <w:spacing w:line="380" w:lineRule="exact"/>
        <w:ind w:firstLine="316" w:firstLineChars="150"/>
        <w:rPr>
          <w:rFonts w:hint="eastAsia" w:ascii="宋体"/>
          <w:b/>
          <w:szCs w:val="21"/>
        </w:rPr>
      </w:pPr>
      <w:r>
        <w:rPr>
          <w:rFonts w:hint="eastAsia" w:ascii="宋体"/>
          <w:b/>
          <w:szCs w:val="21"/>
        </w:rPr>
        <w:t>9.合同的协商变更与修改</w:t>
      </w:r>
    </w:p>
    <w:p>
      <w:pPr>
        <w:spacing w:line="380" w:lineRule="exact"/>
        <w:ind w:left="359" w:leftChars="171"/>
        <w:rPr>
          <w:rFonts w:hint="eastAsia" w:ascii="宋体"/>
          <w:szCs w:val="21"/>
        </w:rPr>
      </w:pPr>
      <w:r>
        <w:rPr>
          <w:rFonts w:hint="eastAsia" w:ascii="宋体"/>
          <w:szCs w:val="21"/>
        </w:rPr>
        <w:t>买方可以以书面方式向卖方发出变更要求，协商在本合同的一般范围内变更事项，合同修改书应由双方授权代表签字，具有合同的法律效力。</w:t>
      </w:r>
    </w:p>
    <w:p>
      <w:pPr>
        <w:spacing w:line="380" w:lineRule="exact"/>
        <w:ind w:left="359" w:leftChars="171"/>
        <w:rPr>
          <w:rFonts w:hint="eastAsia" w:ascii="宋体"/>
          <w:b/>
          <w:szCs w:val="21"/>
        </w:rPr>
      </w:pPr>
      <w:r>
        <w:rPr>
          <w:rFonts w:hint="eastAsia" w:ascii="宋体"/>
          <w:b/>
          <w:szCs w:val="21"/>
        </w:rPr>
        <w:t>10.争端的解决</w:t>
      </w:r>
    </w:p>
    <w:p>
      <w:pPr>
        <w:spacing w:line="380" w:lineRule="exact"/>
        <w:ind w:left="315" w:hanging="315" w:hangingChars="150"/>
        <w:rPr>
          <w:rFonts w:hint="eastAsia" w:ascii="宋体"/>
          <w:szCs w:val="21"/>
        </w:rPr>
      </w:pPr>
      <w:r>
        <w:rPr>
          <w:rFonts w:hint="eastAsia" w:ascii="宋体"/>
          <w:szCs w:val="21"/>
        </w:rPr>
        <w:t xml:space="preserve">   </w:t>
      </w:r>
      <w:r>
        <w:rPr>
          <w:rFonts w:hint="eastAsia" w:ascii="宋体"/>
          <w:b/>
          <w:szCs w:val="21"/>
        </w:rPr>
        <w:t>10.1</w:t>
      </w:r>
      <w:r>
        <w:rPr>
          <w:rFonts w:hint="eastAsia" w:ascii="宋体"/>
          <w:szCs w:val="21"/>
        </w:rPr>
        <w:t xml:space="preserve"> 合同实施或与合同有关的一切争端应依据《</w:t>
      </w:r>
      <w:r>
        <w:rPr>
          <w:rFonts w:hint="eastAsia"/>
          <w:szCs w:val="21"/>
        </w:rPr>
        <w:t>中华人民共和国民法典》合同编</w:t>
      </w:r>
      <w:r>
        <w:rPr>
          <w:rFonts w:hint="eastAsia" w:ascii="宋体"/>
          <w:szCs w:val="21"/>
        </w:rPr>
        <w:t>并通过双方协商解决。如果协商开始后六十天还不能解决，争端应提交仲裁或诉讼，仲裁和诉讼应在买方所在地进行。</w:t>
      </w:r>
    </w:p>
    <w:p>
      <w:pPr>
        <w:spacing w:line="380" w:lineRule="exact"/>
        <w:ind w:left="315" w:hanging="315" w:hangingChars="150"/>
        <w:rPr>
          <w:rFonts w:hint="eastAsia" w:ascii="宋体"/>
          <w:szCs w:val="21"/>
        </w:rPr>
      </w:pPr>
      <w:r>
        <w:rPr>
          <w:rFonts w:hint="eastAsia" w:ascii="宋体"/>
          <w:szCs w:val="21"/>
        </w:rPr>
        <w:t xml:space="preserve">   </w:t>
      </w:r>
      <w:r>
        <w:rPr>
          <w:rFonts w:hint="eastAsia" w:ascii="宋体"/>
          <w:b/>
          <w:szCs w:val="21"/>
        </w:rPr>
        <w:t xml:space="preserve">10.2 </w:t>
      </w:r>
      <w:r>
        <w:rPr>
          <w:rFonts w:hint="eastAsia" w:ascii="宋体"/>
          <w:szCs w:val="21"/>
        </w:rPr>
        <w:t>仲裁或诉讼裁决应为最终裁决，对双方均有约束力。除另有裁决外，仲裁或诉讼费均应由败诉方负担。</w:t>
      </w:r>
    </w:p>
    <w:p>
      <w:pPr>
        <w:spacing w:line="380" w:lineRule="exact"/>
        <w:ind w:left="315" w:hanging="315" w:hangingChars="150"/>
        <w:rPr>
          <w:rFonts w:hint="eastAsia" w:ascii="宋体"/>
          <w:szCs w:val="21"/>
        </w:rPr>
      </w:pPr>
      <w:r>
        <w:rPr>
          <w:rFonts w:hint="eastAsia" w:ascii="宋体"/>
          <w:szCs w:val="21"/>
        </w:rPr>
        <w:t xml:space="preserve">   </w:t>
      </w:r>
      <w:r>
        <w:rPr>
          <w:rFonts w:hint="eastAsia" w:ascii="宋体"/>
          <w:b/>
          <w:szCs w:val="21"/>
        </w:rPr>
        <w:t>10.3</w:t>
      </w:r>
      <w:r>
        <w:rPr>
          <w:rFonts w:hint="eastAsia" w:ascii="宋体"/>
          <w:szCs w:val="21"/>
        </w:rPr>
        <w:t xml:space="preserve"> 在仲裁或诉讼期间，除正在进行仲裁或诉讼的部分外，合同其他部分应继续执行。</w:t>
      </w:r>
    </w:p>
    <w:p>
      <w:pPr>
        <w:spacing w:line="380" w:lineRule="exact"/>
        <w:ind w:firstLine="316" w:firstLineChars="150"/>
        <w:rPr>
          <w:rFonts w:hint="eastAsia" w:ascii="宋体"/>
          <w:szCs w:val="21"/>
        </w:rPr>
      </w:pPr>
      <w:r>
        <w:rPr>
          <w:rFonts w:hint="eastAsia" w:ascii="宋体"/>
          <w:b/>
          <w:szCs w:val="21"/>
        </w:rPr>
        <w:t>11.通知</w:t>
      </w:r>
    </w:p>
    <w:p>
      <w:pPr>
        <w:spacing w:line="380" w:lineRule="exact"/>
        <w:ind w:left="316" w:hanging="316" w:hangingChars="150"/>
        <w:rPr>
          <w:rFonts w:hint="eastAsia" w:ascii="宋体"/>
          <w:szCs w:val="21"/>
        </w:rPr>
      </w:pPr>
      <w:r>
        <w:rPr>
          <w:rFonts w:hint="eastAsia" w:ascii="宋体"/>
          <w:b/>
          <w:szCs w:val="21"/>
        </w:rPr>
        <w:t xml:space="preserve">   11.1</w:t>
      </w:r>
      <w:r>
        <w:rPr>
          <w:rFonts w:hint="eastAsia" w:ascii="宋体"/>
          <w:szCs w:val="21"/>
        </w:rPr>
        <w:t>本合同任何一方给另一方的通知，都应以书面或传真的形式发送，而另一方应以书面或传真形式确认，回复对方。</w:t>
      </w:r>
    </w:p>
    <w:p>
      <w:pPr>
        <w:spacing w:line="380" w:lineRule="exact"/>
        <w:ind w:left="315" w:hanging="315" w:hangingChars="150"/>
        <w:rPr>
          <w:rFonts w:hint="eastAsia" w:ascii="宋体"/>
          <w:b/>
          <w:szCs w:val="21"/>
        </w:rPr>
      </w:pPr>
      <w:r>
        <w:rPr>
          <w:rFonts w:hint="eastAsia" w:ascii="宋体"/>
          <w:szCs w:val="21"/>
        </w:rPr>
        <w:t xml:space="preserve">   </w:t>
      </w:r>
      <w:r>
        <w:rPr>
          <w:rFonts w:hint="eastAsia" w:ascii="宋体"/>
          <w:b/>
          <w:szCs w:val="21"/>
        </w:rPr>
        <w:t xml:space="preserve">11.2 </w:t>
      </w:r>
      <w:r>
        <w:rPr>
          <w:rFonts w:hint="eastAsia" w:ascii="宋体"/>
          <w:szCs w:val="21"/>
        </w:rPr>
        <w:t>通知以送到日期或通知书的生效日起为生效日期，两者中以较晚的一个日期为准。</w:t>
      </w:r>
    </w:p>
    <w:p>
      <w:pPr>
        <w:spacing w:line="380" w:lineRule="exact"/>
        <w:ind w:left="359" w:leftChars="171"/>
        <w:rPr>
          <w:rFonts w:hint="eastAsia" w:ascii="宋体"/>
          <w:szCs w:val="21"/>
        </w:rPr>
      </w:pPr>
      <w:r>
        <w:rPr>
          <w:rFonts w:hint="eastAsia" w:ascii="宋体"/>
          <w:b/>
          <w:szCs w:val="21"/>
        </w:rPr>
        <w:t>12、</w:t>
      </w:r>
      <w:r>
        <w:rPr>
          <w:rFonts w:hint="eastAsia" w:ascii="宋体"/>
          <w:szCs w:val="21"/>
        </w:rPr>
        <w:t>鉴于买方将按照本合同向卖方支付款项，卖方在此保证全部按照合同的规定向买方提供服务并修补缺陷。</w:t>
      </w:r>
    </w:p>
    <w:p>
      <w:pPr>
        <w:spacing w:line="380" w:lineRule="exact"/>
        <w:ind w:left="315" w:hanging="315" w:hangingChars="150"/>
        <w:rPr>
          <w:rFonts w:hint="eastAsia" w:ascii="宋体"/>
          <w:szCs w:val="21"/>
        </w:rPr>
      </w:pPr>
      <w:r>
        <w:rPr>
          <w:rFonts w:hint="eastAsia" w:ascii="宋体"/>
          <w:szCs w:val="21"/>
        </w:rPr>
        <w:t>鉴于卖方将按本合同规定提供服务并修补缺陷，买方在此保证按照合同规定的时间和方式向买方支付合同价或其它按合同应支付的金额。</w:t>
      </w:r>
    </w:p>
    <w:p>
      <w:pPr>
        <w:spacing w:line="380" w:lineRule="exact"/>
        <w:ind w:left="315" w:hanging="315" w:hangingChars="150"/>
        <w:rPr>
          <w:rFonts w:hint="eastAsia" w:ascii="宋体"/>
          <w:szCs w:val="21"/>
        </w:rPr>
      </w:pPr>
      <w:r>
        <w:rPr>
          <w:rFonts w:hint="eastAsia" w:ascii="宋体"/>
          <w:szCs w:val="21"/>
        </w:rPr>
        <w:t xml:space="preserve">   </w:t>
      </w:r>
      <w:r>
        <w:rPr>
          <w:rFonts w:hint="eastAsia" w:ascii="宋体"/>
          <w:b/>
          <w:bCs/>
          <w:szCs w:val="21"/>
        </w:rPr>
        <w:t>13、</w:t>
      </w:r>
      <w:r>
        <w:rPr>
          <w:rFonts w:hint="eastAsia" w:ascii="宋体"/>
          <w:szCs w:val="21"/>
        </w:rPr>
        <w:t>其他约定事项：</w:t>
      </w:r>
    </w:p>
    <w:p>
      <w:pPr>
        <w:spacing w:line="380" w:lineRule="exact"/>
        <w:ind w:left="315" w:hanging="315" w:hangingChars="150"/>
        <w:rPr>
          <w:rFonts w:hint="eastAsia" w:ascii="宋体"/>
          <w:szCs w:val="21"/>
        </w:rPr>
      </w:pPr>
      <w:r>
        <w:rPr>
          <w:rFonts w:hint="eastAsia" w:ascii="宋体"/>
          <w:szCs w:val="21"/>
        </w:rPr>
        <w:t xml:space="preserve">  </w:t>
      </w:r>
      <w:r>
        <w:rPr>
          <w:rFonts w:hint="eastAsia" w:ascii="宋体"/>
          <w:b/>
          <w:bCs/>
          <w:szCs w:val="21"/>
        </w:rPr>
        <w:t xml:space="preserve"> 14、</w:t>
      </w:r>
      <w:r>
        <w:rPr>
          <w:rFonts w:hint="eastAsia" w:ascii="宋体"/>
          <w:szCs w:val="21"/>
        </w:rPr>
        <w:t>本合同未尽事宜，遵照</w:t>
      </w:r>
      <w:r>
        <w:rPr>
          <w:rFonts w:hint="eastAsia" w:ascii="宋体" w:hAnsi="宋体" w:cs="宋体"/>
          <w:szCs w:val="21"/>
          <w:lang w:eastAsia="zh-CN"/>
        </w:rPr>
        <w:t>《</w:t>
      </w:r>
      <w:r>
        <w:rPr>
          <w:rFonts w:hint="eastAsia"/>
          <w:szCs w:val="21"/>
        </w:rPr>
        <w:t>中华人民共和国民法典》合同编</w:t>
      </w:r>
      <w:r>
        <w:rPr>
          <w:rFonts w:hint="eastAsia" w:ascii="宋体"/>
          <w:szCs w:val="21"/>
        </w:rPr>
        <w:t>有关条文执行。</w:t>
      </w:r>
    </w:p>
    <w:p>
      <w:pPr>
        <w:spacing w:line="380" w:lineRule="exact"/>
        <w:ind w:left="315" w:hanging="315" w:hangingChars="150"/>
        <w:rPr>
          <w:rFonts w:hint="eastAsia" w:ascii="宋体"/>
          <w:szCs w:val="21"/>
        </w:rPr>
      </w:pPr>
      <w:r>
        <w:rPr>
          <w:rFonts w:hint="eastAsia" w:ascii="宋体"/>
          <w:szCs w:val="21"/>
        </w:rPr>
        <w:t xml:space="preserve">   </w:t>
      </w:r>
      <w:r>
        <w:rPr>
          <w:rFonts w:hint="eastAsia" w:ascii="宋体"/>
          <w:b/>
          <w:bCs/>
          <w:szCs w:val="21"/>
        </w:rPr>
        <w:t>15、</w:t>
      </w:r>
      <w:r>
        <w:rPr>
          <w:rFonts w:hint="eastAsia" w:ascii="宋体"/>
          <w:szCs w:val="21"/>
        </w:rPr>
        <w:t>合同经双方授权代表签署，买卖双方加盖印章后生效。</w:t>
      </w:r>
    </w:p>
    <w:p>
      <w:pPr>
        <w:spacing w:line="380" w:lineRule="exact"/>
        <w:ind w:left="315" w:hanging="315" w:hangingChars="150"/>
        <w:rPr>
          <w:rFonts w:hint="eastAsia" w:ascii="宋体"/>
          <w:szCs w:val="21"/>
        </w:rPr>
      </w:pPr>
      <w:r>
        <w:rPr>
          <w:rFonts w:hint="eastAsia" w:ascii="宋体"/>
          <w:szCs w:val="21"/>
        </w:rPr>
        <w:t xml:space="preserve">   </w:t>
      </w:r>
      <w:r>
        <w:rPr>
          <w:rFonts w:hint="eastAsia" w:ascii="宋体"/>
          <w:b/>
          <w:bCs/>
          <w:szCs w:val="21"/>
        </w:rPr>
        <w:t>16、</w:t>
      </w:r>
      <w:r>
        <w:rPr>
          <w:rFonts w:hint="eastAsia" w:ascii="宋体"/>
          <w:szCs w:val="21"/>
        </w:rPr>
        <w:t>本合同一式    份，双方各执    份。</w:t>
      </w:r>
    </w:p>
    <w:p>
      <w:pPr>
        <w:pStyle w:val="13"/>
        <w:rPr>
          <w:rFonts w:hint="eastAsia"/>
          <w:szCs w:val="21"/>
        </w:rPr>
      </w:pPr>
    </w:p>
    <w:p>
      <w:pPr>
        <w:spacing w:line="380" w:lineRule="exact"/>
        <w:ind w:left="315" w:hanging="315" w:hangingChars="150"/>
        <w:rPr>
          <w:rFonts w:hint="eastAsia" w:ascii="宋体"/>
          <w:szCs w:val="21"/>
        </w:rPr>
      </w:pPr>
      <w:r>
        <w:rPr>
          <w:rFonts w:hint="eastAsia" w:ascii="宋体"/>
          <w:szCs w:val="21"/>
        </w:rPr>
        <w:t>买  方： （盖章）                  卖  方： （盖章）</w:t>
      </w:r>
    </w:p>
    <w:p>
      <w:pPr>
        <w:spacing w:line="380" w:lineRule="exact"/>
        <w:ind w:left="315" w:hanging="315" w:hangingChars="150"/>
        <w:rPr>
          <w:rFonts w:hint="eastAsia" w:ascii="宋体"/>
          <w:szCs w:val="21"/>
        </w:rPr>
      </w:pPr>
      <w:r>
        <w:rPr>
          <w:rFonts w:hint="eastAsia" w:ascii="宋体"/>
          <w:szCs w:val="21"/>
        </w:rPr>
        <w:t xml:space="preserve">全权代表（签字）：                 全权代表（签字）： </w:t>
      </w:r>
    </w:p>
    <w:p>
      <w:pPr>
        <w:spacing w:line="380" w:lineRule="exact"/>
        <w:ind w:left="315" w:hanging="315" w:hangingChars="150"/>
        <w:rPr>
          <w:rFonts w:hint="eastAsia" w:ascii="宋体"/>
          <w:szCs w:val="21"/>
        </w:rPr>
      </w:pPr>
      <w:r>
        <w:rPr>
          <w:rFonts w:hint="eastAsia" w:ascii="宋体"/>
          <w:szCs w:val="21"/>
        </w:rPr>
        <w:t>地    址：                        地    址：</w:t>
      </w:r>
    </w:p>
    <w:p>
      <w:pPr>
        <w:spacing w:line="380" w:lineRule="exact"/>
        <w:ind w:left="315" w:hanging="315" w:hangingChars="150"/>
        <w:rPr>
          <w:rFonts w:hint="eastAsia" w:ascii="宋体"/>
          <w:szCs w:val="21"/>
        </w:rPr>
      </w:pPr>
      <w:r>
        <w:rPr>
          <w:rFonts w:hint="eastAsia" w:ascii="宋体"/>
          <w:szCs w:val="21"/>
        </w:rPr>
        <w:t>邮政编码：                        邮政编码：</w:t>
      </w:r>
    </w:p>
    <w:p>
      <w:pPr>
        <w:spacing w:line="380" w:lineRule="exact"/>
        <w:ind w:left="315" w:hanging="315" w:hangingChars="150"/>
        <w:rPr>
          <w:rFonts w:hint="eastAsia" w:ascii="宋体"/>
          <w:szCs w:val="21"/>
        </w:rPr>
      </w:pPr>
      <w:r>
        <w:rPr>
          <w:rFonts w:hint="eastAsia" w:ascii="宋体"/>
          <w:szCs w:val="21"/>
        </w:rPr>
        <w:t xml:space="preserve">电    话：                        电    话： </w:t>
      </w:r>
    </w:p>
    <w:p>
      <w:pPr>
        <w:spacing w:line="380" w:lineRule="exact"/>
        <w:ind w:left="315" w:hanging="315" w:hangingChars="150"/>
        <w:rPr>
          <w:rFonts w:hint="eastAsia" w:ascii="宋体"/>
          <w:szCs w:val="21"/>
        </w:rPr>
      </w:pPr>
      <w:r>
        <w:rPr>
          <w:rFonts w:hint="eastAsia" w:ascii="宋体"/>
          <w:szCs w:val="21"/>
        </w:rPr>
        <w:t>传    真：                        传    真：</w:t>
      </w:r>
    </w:p>
    <w:p>
      <w:pPr>
        <w:spacing w:line="380" w:lineRule="exact"/>
        <w:ind w:left="315" w:hanging="315" w:hangingChars="150"/>
        <w:rPr>
          <w:rFonts w:hint="eastAsia" w:ascii="宋体"/>
          <w:szCs w:val="21"/>
        </w:rPr>
      </w:pPr>
      <w:r>
        <w:rPr>
          <w:rFonts w:hint="eastAsia" w:ascii="宋体"/>
          <w:szCs w:val="21"/>
        </w:rPr>
        <w:t xml:space="preserve">开户银行：                        开户银行：       </w:t>
      </w:r>
    </w:p>
    <w:p>
      <w:pPr>
        <w:spacing w:line="380" w:lineRule="exact"/>
        <w:ind w:left="315" w:hanging="315" w:hangingChars="150"/>
        <w:rPr>
          <w:rFonts w:hint="eastAsia" w:ascii="宋体"/>
          <w:szCs w:val="21"/>
        </w:rPr>
      </w:pPr>
      <w:r>
        <w:rPr>
          <w:rFonts w:hint="eastAsia" w:ascii="宋体"/>
          <w:szCs w:val="21"/>
        </w:rPr>
        <w:t>帐    号：                        帐    号：</w:t>
      </w:r>
    </w:p>
    <w:p>
      <w:pPr>
        <w:pStyle w:val="18"/>
        <w:tabs>
          <w:tab w:val="left" w:pos="2472"/>
        </w:tabs>
        <w:snapToGrid w:val="0"/>
        <w:spacing w:before="0" w:beforeLines="0" w:after="0" w:afterLines="0" w:line="240" w:lineRule="auto"/>
        <w:jc w:val="center"/>
        <w:rPr>
          <w:rFonts w:hint="eastAsia" w:ascii="宋体" w:hAnsi="宋体" w:eastAsia="宋体" w:cs="宋体"/>
          <w:b/>
          <w:bCs/>
          <w:color w:val="auto"/>
          <w:sz w:val="30"/>
          <w:szCs w:val="30"/>
        </w:rPr>
      </w:pPr>
      <w:r>
        <w:rPr>
          <w:rFonts w:hint="eastAsia" w:hAnsi="宋体" w:cs="宋体"/>
        </w:rPr>
        <w:br w:type="page"/>
      </w:r>
      <w:bookmarkStart w:id="7" w:name="_Toc30744"/>
      <w:r>
        <w:rPr>
          <w:rStyle w:val="41"/>
          <w:rFonts w:hint="eastAsia"/>
          <w:color w:val="auto"/>
        </w:rPr>
        <w:t>第六章　投标文件格式</w:t>
      </w:r>
      <w:bookmarkEnd w:id="7"/>
    </w:p>
    <w:p>
      <w:pPr>
        <w:snapToGrid w:val="0"/>
        <w:spacing w:before="120" w:beforeLines="50" w:after="50"/>
        <w:rPr>
          <w:rFonts w:ascii="宋体" w:hAnsi="宋体"/>
          <w:b/>
          <w:bCs/>
          <w:color w:val="auto"/>
          <w:sz w:val="24"/>
        </w:rPr>
      </w:pPr>
      <w:r>
        <w:rPr>
          <w:rFonts w:hint="eastAsia" w:ascii="宋体" w:hAnsi="宋体"/>
          <w:b/>
          <w:bCs/>
          <w:color w:val="auto"/>
          <w:sz w:val="24"/>
        </w:rPr>
        <w:t>一、</w:t>
      </w:r>
      <w:r>
        <w:rPr>
          <w:rFonts w:hint="eastAsia" w:ascii="宋体" w:hAnsi="宋体"/>
          <w:b/>
          <w:bCs/>
          <w:color w:val="auto"/>
          <w:sz w:val="24"/>
          <w:lang w:eastAsia="zh-CN"/>
        </w:rPr>
        <w:t>资格</w:t>
      </w:r>
      <w:r>
        <w:rPr>
          <w:rFonts w:hint="eastAsia" w:ascii="宋体" w:hAnsi="宋体"/>
          <w:b/>
          <w:bCs/>
          <w:color w:val="auto"/>
          <w:sz w:val="24"/>
        </w:rPr>
        <w:t>文件格式</w:t>
      </w:r>
    </w:p>
    <w:p>
      <w:pPr>
        <w:snapToGrid w:val="0"/>
        <w:spacing w:before="120" w:beforeLines="50" w:after="50"/>
        <w:rPr>
          <w:rFonts w:ascii="宋体" w:hAnsi="宋体"/>
          <w:b/>
          <w:bCs/>
          <w:color w:val="auto"/>
          <w:szCs w:val="21"/>
        </w:rPr>
      </w:pPr>
      <w:r>
        <w:rPr>
          <w:rFonts w:hint="eastAsia" w:ascii="宋体" w:hAnsi="宋体"/>
          <w:b/>
          <w:color w:val="auto"/>
          <w:szCs w:val="21"/>
        </w:rPr>
        <w:t>1.</w:t>
      </w:r>
      <w:r>
        <w:rPr>
          <w:rFonts w:hint="eastAsia" w:ascii="宋体" w:hAnsi="宋体"/>
          <w:b/>
          <w:color w:val="auto"/>
          <w:szCs w:val="21"/>
          <w:lang w:eastAsia="zh-CN"/>
        </w:rPr>
        <w:t>资格</w:t>
      </w:r>
      <w:r>
        <w:rPr>
          <w:rFonts w:hint="eastAsia" w:ascii="宋体" w:hAnsi="宋体"/>
          <w:b/>
          <w:color w:val="auto"/>
          <w:szCs w:val="21"/>
        </w:rPr>
        <w:t>文件</w:t>
      </w:r>
      <w:r>
        <w:rPr>
          <w:rFonts w:hint="eastAsia" w:ascii="宋体" w:hAnsi="宋体"/>
          <w:b/>
          <w:bCs/>
          <w:color w:val="auto"/>
          <w:szCs w:val="21"/>
        </w:rPr>
        <w:t>的外包装封面格式：</w:t>
      </w:r>
    </w:p>
    <w:p>
      <w:pPr>
        <w:snapToGrid w:val="0"/>
        <w:spacing w:before="120" w:beforeLines="50" w:after="50"/>
        <w:rPr>
          <w:rFonts w:hint="eastAsia" w:ascii="宋体" w:hAnsi="宋体"/>
          <w:bCs/>
          <w:color w:val="auto"/>
          <w:szCs w:val="21"/>
        </w:rPr>
      </w:pPr>
    </w:p>
    <w:p>
      <w:pPr>
        <w:snapToGrid w:val="0"/>
        <w:spacing w:before="120" w:beforeLines="50" w:after="50"/>
        <w:jc w:val="center"/>
        <w:rPr>
          <w:rFonts w:hint="eastAsia" w:ascii="宋体" w:hAnsi="宋体" w:eastAsia="宋体"/>
          <w:bCs/>
          <w:color w:val="auto"/>
          <w:szCs w:val="21"/>
          <w:lang w:eastAsia="zh-CN"/>
        </w:rPr>
      </w:pPr>
      <w:r>
        <w:rPr>
          <w:rFonts w:hint="eastAsia" w:ascii="宋体" w:hAnsi="宋体"/>
          <w:bCs/>
          <w:color w:val="auto"/>
          <w:szCs w:val="21"/>
          <w:lang w:eastAsia="zh-CN"/>
        </w:rPr>
        <w:t>资格文件</w:t>
      </w:r>
    </w:p>
    <w:p>
      <w:pPr>
        <w:snapToGrid w:val="0"/>
        <w:spacing w:before="120" w:beforeLines="50" w:after="50"/>
        <w:rPr>
          <w:rFonts w:ascii="宋体" w:hAnsi="宋体"/>
          <w:bCs/>
          <w:color w:val="auto"/>
          <w:szCs w:val="21"/>
        </w:rPr>
      </w:pP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项目名称：</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项目编号：</w:t>
      </w:r>
      <w:r>
        <w:rPr>
          <w:rFonts w:ascii="宋体" w:hAnsi="宋体"/>
          <w:bCs/>
          <w:color w:val="auto"/>
          <w:szCs w:val="21"/>
        </w:rPr>
        <w:t xml:space="preserve"> </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子包号</w:t>
      </w:r>
      <w:r>
        <w:rPr>
          <w:rFonts w:ascii="宋体" w:hAnsi="宋体"/>
          <w:bCs/>
          <w:color w:val="auto"/>
          <w:szCs w:val="21"/>
        </w:rPr>
        <w:t>:</w:t>
      </w:r>
    </w:p>
    <w:p>
      <w:pPr>
        <w:pStyle w:val="7"/>
        <w:snapToGrid w:val="0"/>
        <w:spacing w:before="50" w:after="50"/>
        <w:ind w:firstLine="978" w:firstLineChars="466"/>
        <w:rPr>
          <w:rFonts w:ascii="宋体" w:hAnsi="宋体"/>
          <w:bCs/>
          <w:color w:val="auto"/>
          <w:szCs w:val="21"/>
        </w:rPr>
      </w:pPr>
      <w:r>
        <w:rPr>
          <w:rFonts w:hint="eastAsia" w:ascii="宋体" w:hAnsi="宋体"/>
          <w:bCs/>
          <w:color w:val="auto"/>
          <w:szCs w:val="21"/>
        </w:rPr>
        <w:t>投标人名称：</w:t>
      </w:r>
    </w:p>
    <w:p>
      <w:pPr>
        <w:pStyle w:val="7"/>
        <w:snapToGrid w:val="0"/>
        <w:spacing w:before="50" w:after="50"/>
        <w:ind w:firstLine="978" w:firstLineChars="466"/>
        <w:rPr>
          <w:rFonts w:ascii="宋体" w:hAnsi="宋体"/>
          <w:bCs/>
          <w:color w:val="auto"/>
          <w:szCs w:val="21"/>
        </w:rPr>
      </w:pPr>
      <w:r>
        <w:rPr>
          <w:rFonts w:hint="eastAsia" w:ascii="宋体" w:hAnsi="宋体"/>
          <w:bCs/>
          <w:color w:val="auto"/>
          <w:szCs w:val="21"/>
        </w:rPr>
        <w:t>投标人地址：</w:t>
      </w:r>
    </w:p>
    <w:p>
      <w:pPr>
        <w:pStyle w:val="7"/>
        <w:snapToGrid w:val="0"/>
        <w:spacing w:before="50" w:after="50"/>
        <w:ind w:firstLine="945" w:firstLineChars="450"/>
        <w:rPr>
          <w:rFonts w:ascii="宋体" w:hAnsi="宋体"/>
          <w:bCs/>
          <w:color w:val="auto"/>
          <w:szCs w:val="21"/>
        </w:rPr>
      </w:pPr>
      <w:r>
        <w:rPr>
          <w:rFonts w:hint="eastAsia" w:ascii="宋体" w:hAnsi="宋体"/>
          <w:bCs/>
          <w:color w:val="auto"/>
          <w:szCs w:val="21"/>
        </w:rPr>
        <w:t>在</w:t>
      </w:r>
      <w:r>
        <w:rPr>
          <w:rFonts w:ascii="宋体" w:hAnsi="宋体"/>
          <w:bCs/>
          <w:color w:val="auto"/>
          <w:szCs w:val="21"/>
        </w:rPr>
        <w:t xml:space="preserve">  </w:t>
      </w:r>
      <w:r>
        <w:rPr>
          <w:rFonts w:hint="eastAsia" w:ascii="宋体" w:hAnsi="宋体"/>
          <w:bCs/>
          <w:color w:val="auto"/>
          <w:szCs w:val="21"/>
        </w:rPr>
        <w:t>年</w:t>
      </w:r>
      <w:r>
        <w:rPr>
          <w:rFonts w:ascii="宋体" w:hAnsi="宋体"/>
          <w:bCs/>
          <w:color w:val="auto"/>
          <w:szCs w:val="21"/>
        </w:rPr>
        <w:t xml:space="preserve">  </w:t>
      </w:r>
      <w:r>
        <w:rPr>
          <w:rFonts w:hint="eastAsia" w:ascii="宋体" w:hAnsi="宋体"/>
          <w:bCs/>
          <w:color w:val="auto"/>
          <w:szCs w:val="21"/>
        </w:rPr>
        <w:t>月</w:t>
      </w:r>
      <w:r>
        <w:rPr>
          <w:rFonts w:ascii="宋体" w:hAnsi="宋体"/>
          <w:bCs/>
          <w:color w:val="auto"/>
          <w:szCs w:val="21"/>
        </w:rPr>
        <w:t xml:space="preserve">  </w:t>
      </w:r>
      <w:r>
        <w:rPr>
          <w:rFonts w:hint="eastAsia" w:ascii="宋体" w:hAnsi="宋体"/>
          <w:bCs/>
          <w:color w:val="auto"/>
          <w:szCs w:val="21"/>
        </w:rPr>
        <w:t>日</w:t>
      </w:r>
      <w:r>
        <w:rPr>
          <w:rFonts w:ascii="宋体" w:hAnsi="宋体"/>
          <w:bCs/>
          <w:color w:val="auto"/>
          <w:szCs w:val="21"/>
        </w:rPr>
        <w:t xml:space="preserve">  </w:t>
      </w:r>
      <w:r>
        <w:rPr>
          <w:rFonts w:hint="eastAsia" w:ascii="宋体" w:hAnsi="宋体"/>
          <w:bCs/>
          <w:color w:val="auto"/>
          <w:szCs w:val="21"/>
        </w:rPr>
        <w:t>时</w:t>
      </w:r>
      <w:r>
        <w:rPr>
          <w:rFonts w:ascii="宋体" w:hAnsi="宋体"/>
          <w:bCs/>
          <w:color w:val="auto"/>
          <w:szCs w:val="21"/>
        </w:rPr>
        <w:t xml:space="preserve">  </w:t>
      </w:r>
      <w:r>
        <w:rPr>
          <w:rFonts w:hint="eastAsia" w:ascii="宋体" w:hAnsi="宋体"/>
          <w:bCs/>
          <w:color w:val="auto"/>
          <w:szCs w:val="21"/>
        </w:rPr>
        <w:t>分之前不得启封</w:t>
      </w:r>
    </w:p>
    <w:p>
      <w:pPr>
        <w:pStyle w:val="7"/>
        <w:snapToGrid w:val="0"/>
        <w:spacing w:before="50" w:after="50"/>
        <w:ind w:firstLine="873" w:firstLineChars="416"/>
        <w:rPr>
          <w:rFonts w:ascii="宋体" w:hAnsi="宋体"/>
          <w:color w:val="auto"/>
          <w:szCs w:val="21"/>
        </w:rPr>
      </w:pPr>
    </w:p>
    <w:p>
      <w:pPr>
        <w:snapToGrid w:val="0"/>
        <w:spacing w:before="120" w:beforeLines="50" w:after="50"/>
        <w:ind w:firstLine="645"/>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napToGrid w:val="0"/>
        <w:spacing w:before="120" w:beforeLines="50" w:after="50"/>
        <w:rPr>
          <w:rFonts w:hint="eastAsia" w:ascii="宋体" w:hAnsi="宋体"/>
          <w:b/>
          <w:color w:val="auto"/>
          <w:szCs w:val="21"/>
        </w:rPr>
      </w:pPr>
    </w:p>
    <w:p>
      <w:pPr>
        <w:snapToGrid w:val="0"/>
        <w:spacing w:before="120" w:beforeLines="50" w:after="50"/>
        <w:rPr>
          <w:rFonts w:ascii="宋体" w:hAnsi="宋体"/>
          <w:b/>
          <w:color w:val="auto"/>
          <w:szCs w:val="21"/>
        </w:rPr>
      </w:pPr>
      <w:r>
        <w:rPr>
          <w:rFonts w:hint="eastAsia" w:ascii="宋体" w:hAnsi="宋体"/>
          <w:b/>
          <w:color w:val="auto"/>
          <w:szCs w:val="21"/>
        </w:rPr>
        <w:t>2.</w:t>
      </w:r>
      <w:r>
        <w:rPr>
          <w:rFonts w:hint="eastAsia" w:ascii="宋体" w:hAnsi="宋体"/>
          <w:b/>
          <w:color w:val="auto"/>
          <w:szCs w:val="21"/>
          <w:lang w:eastAsia="zh-CN"/>
        </w:rPr>
        <w:t>资格文件</w:t>
      </w:r>
      <w:r>
        <w:rPr>
          <w:rFonts w:hint="eastAsia" w:ascii="宋体" w:hAnsi="宋体"/>
          <w:b/>
          <w:color w:val="auto"/>
          <w:szCs w:val="21"/>
        </w:rPr>
        <w:t>封面格式：</w:t>
      </w:r>
      <w:r>
        <w:rPr>
          <w:rFonts w:ascii="宋体" w:hAnsi="宋体"/>
          <w:b/>
          <w:color w:val="auto"/>
          <w:szCs w:val="21"/>
        </w:rPr>
        <w:t xml:space="preserve"> </w:t>
      </w:r>
    </w:p>
    <w:p>
      <w:pPr>
        <w:snapToGrid w:val="0"/>
        <w:spacing w:before="120" w:beforeLines="50" w:after="50"/>
        <w:rPr>
          <w:rFonts w:ascii="宋体" w:hAnsi="宋体"/>
          <w:b/>
          <w:bCs/>
          <w:color w:val="auto"/>
          <w:szCs w:val="21"/>
        </w:rPr>
      </w:pPr>
      <w:r>
        <w:rPr>
          <w:rFonts w:ascii="宋体" w:hAnsi="宋体"/>
          <w:color w:val="auto"/>
          <w:sz w:val="24"/>
        </w:rPr>
        <w:t xml:space="preserve">                     </w:t>
      </w:r>
      <w:r>
        <w:rPr>
          <w:rFonts w:ascii="宋体" w:hAnsi="宋体"/>
          <w:color w:val="auto"/>
          <w:szCs w:val="21"/>
        </w:rPr>
        <w:t xml:space="preserve">                               </w:t>
      </w:r>
      <w:r>
        <w:rPr>
          <w:rFonts w:hint="eastAsia" w:ascii="宋体" w:hAnsi="宋体"/>
          <w:b/>
          <w:bCs/>
          <w:color w:val="auto"/>
          <w:szCs w:val="21"/>
        </w:rPr>
        <w:t>正本</w:t>
      </w:r>
      <w:r>
        <w:rPr>
          <w:rFonts w:ascii="宋体" w:hAnsi="宋体"/>
          <w:b/>
          <w:bCs/>
          <w:color w:val="auto"/>
          <w:szCs w:val="21"/>
        </w:rPr>
        <w:t>/</w:t>
      </w:r>
      <w:r>
        <w:rPr>
          <w:rFonts w:hint="eastAsia" w:ascii="宋体" w:hAnsi="宋体"/>
          <w:b/>
          <w:bCs/>
          <w:color w:val="auto"/>
          <w:szCs w:val="21"/>
        </w:rPr>
        <w:t>或副本</w:t>
      </w:r>
    </w:p>
    <w:p>
      <w:pPr>
        <w:snapToGrid w:val="0"/>
        <w:spacing w:before="120" w:beforeLines="50" w:after="50"/>
        <w:jc w:val="center"/>
        <w:rPr>
          <w:rFonts w:ascii="宋体" w:hAnsi="宋体"/>
          <w:bCs/>
          <w:color w:val="auto"/>
          <w:szCs w:val="21"/>
        </w:rPr>
      </w:pPr>
    </w:p>
    <w:p>
      <w:pPr>
        <w:snapToGrid w:val="0"/>
        <w:spacing w:before="120" w:beforeLines="50" w:after="50"/>
        <w:jc w:val="center"/>
        <w:rPr>
          <w:rFonts w:hint="eastAsia" w:ascii="宋体" w:hAnsi="宋体" w:eastAsia="宋体"/>
          <w:bCs/>
          <w:color w:val="auto"/>
          <w:szCs w:val="21"/>
          <w:lang w:eastAsia="zh-CN"/>
        </w:rPr>
      </w:pPr>
      <w:r>
        <w:rPr>
          <w:rFonts w:hint="eastAsia" w:ascii="宋体" w:hAnsi="宋体"/>
          <w:bCs/>
          <w:color w:val="auto"/>
          <w:szCs w:val="21"/>
          <w:lang w:eastAsia="zh-CN"/>
        </w:rPr>
        <w:t>资格文件</w:t>
      </w:r>
    </w:p>
    <w:p>
      <w:pPr>
        <w:snapToGrid w:val="0"/>
        <w:spacing w:before="120" w:beforeLines="50" w:after="50"/>
        <w:rPr>
          <w:rFonts w:ascii="宋体" w:hAnsi="宋体"/>
          <w:bCs/>
          <w:color w:val="auto"/>
          <w:szCs w:val="21"/>
        </w:rPr>
      </w:pP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项目名称：</w:t>
      </w: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项目编号：</w:t>
      </w:r>
      <w:r>
        <w:rPr>
          <w:rFonts w:ascii="宋体" w:hAnsi="宋体"/>
          <w:bCs/>
          <w:color w:val="auto"/>
          <w:szCs w:val="21"/>
        </w:rPr>
        <w:t xml:space="preserve"> </w:t>
      </w:r>
    </w:p>
    <w:p>
      <w:pPr>
        <w:snapToGrid w:val="0"/>
        <w:spacing w:before="120" w:beforeLines="50" w:after="50"/>
        <w:ind w:firstLine="934" w:firstLineChars="445"/>
        <w:rPr>
          <w:rFonts w:hint="eastAsia" w:ascii="宋体" w:hAnsi="宋体" w:eastAsia="宋体"/>
          <w:bCs/>
          <w:color w:val="auto"/>
          <w:szCs w:val="21"/>
          <w:lang w:eastAsia="zh-CN"/>
        </w:rPr>
      </w:pPr>
      <w:r>
        <w:rPr>
          <w:rFonts w:hint="eastAsia" w:ascii="宋体" w:hAnsi="宋体"/>
          <w:bCs/>
          <w:color w:val="auto"/>
          <w:szCs w:val="21"/>
        </w:rPr>
        <w:t>子包号</w:t>
      </w:r>
      <w:r>
        <w:rPr>
          <w:rFonts w:hint="eastAsia" w:ascii="宋体" w:hAnsi="宋体"/>
          <w:bCs/>
          <w:color w:val="auto"/>
          <w:szCs w:val="21"/>
          <w:lang w:eastAsia="zh-CN"/>
        </w:rPr>
        <w:t>：</w:t>
      </w:r>
    </w:p>
    <w:p>
      <w:pPr>
        <w:snapToGrid w:val="0"/>
        <w:spacing w:before="120" w:beforeLines="50" w:after="50"/>
        <w:ind w:firstLine="934" w:firstLineChars="445"/>
        <w:rPr>
          <w:rFonts w:hint="eastAsia" w:ascii="宋体" w:hAnsi="宋体"/>
          <w:bCs/>
          <w:color w:val="auto"/>
          <w:szCs w:val="21"/>
        </w:rPr>
      </w:pPr>
      <w:r>
        <w:rPr>
          <w:rFonts w:hint="eastAsia" w:ascii="宋体" w:hAnsi="宋体"/>
          <w:bCs/>
          <w:color w:val="auto"/>
          <w:szCs w:val="21"/>
        </w:rPr>
        <w:t>投标人名称：</w:t>
      </w:r>
    </w:p>
    <w:p>
      <w:pPr>
        <w:snapToGrid w:val="0"/>
        <w:spacing w:before="120" w:beforeLines="50" w:after="50"/>
        <w:ind w:firstLine="934" w:firstLineChars="445"/>
        <w:rPr>
          <w:rFonts w:hint="eastAsia" w:ascii="宋体" w:hAnsi="宋体"/>
          <w:bCs/>
          <w:color w:val="auto"/>
          <w:szCs w:val="21"/>
        </w:rPr>
      </w:pPr>
      <w:r>
        <w:rPr>
          <w:rFonts w:hint="eastAsia" w:ascii="宋体" w:hAnsi="宋体"/>
          <w:bCs/>
          <w:color w:val="auto"/>
          <w:szCs w:val="21"/>
        </w:rPr>
        <w:t>投标人地址：</w:t>
      </w:r>
    </w:p>
    <w:p>
      <w:pPr>
        <w:pStyle w:val="7"/>
        <w:snapToGrid w:val="0"/>
        <w:spacing w:before="50" w:after="50"/>
        <w:ind w:firstLine="840" w:firstLineChars="400"/>
        <w:rPr>
          <w:rFonts w:ascii="宋体" w:hAnsi="宋体"/>
          <w:bCs/>
          <w:color w:val="auto"/>
          <w:szCs w:val="21"/>
        </w:rPr>
      </w:pPr>
    </w:p>
    <w:p>
      <w:pPr>
        <w:pStyle w:val="7"/>
        <w:snapToGrid w:val="0"/>
        <w:spacing w:before="50" w:after="50"/>
        <w:ind w:firstLine="873" w:firstLineChars="416"/>
        <w:rPr>
          <w:rFonts w:ascii="宋体" w:hAnsi="宋体"/>
          <w:color w:val="auto"/>
          <w:szCs w:val="21"/>
        </w:rPr>
      </w:pPr>
    </w:p>
    <w:p>
      <w:pPr>
        <w:snapToGrid w:val="0"/>
        <w:spacing w:before="120" w:beforeLines="50" w:after="50"/>
        <w:ind w:firstLine="3570" w:firstLineChars="1700"/>
        <w:rPr>
          <w:rFonts w:ascii="宋体" w:hAnsi="宋体"/>
          <w:color w:val="auto"/>
          <w:szCs w:val="21"/>
        </w:rPr>
      </w:pPr>
    </w:p>
    <w:p>
      <w:pPr>
        <w:snapToGrid w:val="0"/>
        <w:spacing w:before="120" w:beforeLines="50" w:after="50"/>
        <w:ind w:firstLine="645"/>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napToGrid w:val="0"/>
        <w:spacing w:before="50" w:after="120" w:afterLines="50"/>
        <w:jc w:val="left"/>
        <w:rPr>
          <w:rFonts w:hint="eastAsia" w:ascii="宋体" w:hAnsi="宋体"/>
          <w:b/>
          <w:bCs/>
          <w:color w:val="auto"/>
          <w:sz w:val="24"/>
        </w:rPr>
      </w:pPr>
      <w:r>
        <w:rPr>
          <w:rFonts w:hint="eastAsia" w:ascii="宋体" w:hAnsi="宋体"/>
          <w:b/>
          <w:bCs/>
          <w:color w:val="auto"/>
          <w:sz w:val="24"/>
        </w:rPr>
        <w:br w:type="page"/>
      </w:r>
    </w:p>
    <w:p>
      <w:pPr>
        <w:snapToGrid w:val="0"/>
        <w:spacing w:before="50" w:after="120" w:afterLines="50"/>
        <w:jc w:val="left"/>
        <w:rPr>
          <w:rFonts w:ascii="宋体" w:hAnsi="宋体"/>
          <w:b/>
          <w:color w:val="auto"/>
          <w:szCs w:val="21"/>
        </w:rPr>
      </w:pPr>
      <w:r>
        <w:rPr>
          <w:rFonts w:hint="eastAsia" w:ascii="宋体" w:hAnsi="宋体"/>
          <w:b/>
          <w:color w:val="auto"/>
          <w:szCs w:val="21"/>
        </w:rPr>
        <w:t>3.投标人资格声明函格式：</w:t>
      </w:r>
    </w:p>
    <w:p>
      <w:pPr>
        <w:spacing w:line="400" w:lineRule="exact"/>
        <w:jc w:val="center"/>
        <w:rPr>
          <w:rFonts w:hint="eastAsia" w:ascii="宋体" w:hAnsi="宋体"/>
          <w:b/>
          <w:color w:val="auto"/>
          <w:szCs w:val="21"/>
        </w:rPr>
      </w:pPr>
      <w:r>
        <w:rPr>
          <w:rFonts w:hint="eastAsia" w:ascii="宋体" w:hAnsi="宋体"/>
          <w:b/>
          <w:color w:val="auto"/>
          <w:szCs w:val="21"/>
        </w:rPr>
        <w:t>投标人资格声明函</w:t>
      </w:r>
    </w:p>
    <w:p>
      <w:pPr>
        <w:spacing w:line="400" w:lineRule="exact"/>
        <w:ind w:left="540" w:firstLine="30"/>
        <w:jc w:val="center"/>
        <w:rPr>
          <w:rFonts w:ascii="宋体" w:hAnsi="宋体"/>
          <w:b/>
          <w:color w:val="auto"/>
          <w:szCs w:val="21"/>
        </w:rPr>
      </w:pPr>
    </w:p>
    <w:p>
      <w:pPr>
        <w:snapToGrid w:val="0"/>
        <w:spacing w:before="120" w:beforeLines="50" w:after="50"/>
        <w:rPr>
          <w:rFonts w:ascii="宋体" w:hAnsi="宋体"/>
          <w:color w:val="auto"/>
          <w:szCs w:val="21"/>
        </w:rPr>
      </w:pPr>
      <w:r>
        <w:rPr>
          <w:rFonts w:hint="eastAsia" w:ascii="宋体" w:hAnsi="宋体"/>
          <w:color w:val="auto"/>
          <w:szCs w:val="21"/>
        </w:rPr>
        <w:t>致：</w:t>
      </w:r>
      <w:r>
        <w:rPr>
          <w:rFonts w:hint="eastAsia" w:ascii="宋体" w:hAnsi="宋体"/>
          <w:color w:val="auto"/>
          <w:szCs w:val="21"/>
          <w:u w:val="single"/>
          <w:lang w:val="en-US" w:eastAsia="zh-CN"/>
        </w:rPr>
        <w:t xml:space="preserve">           </w:t>
      </w:r>
      <w:r>
        <w:rPr>
          <w:rFonts w:hint="eastAsia" w:ascii="宋体" w:hAnsi="宋体"/>
          <w:color w:val="auto"/>
          <w:szCs w:val="21"/>
        </w:rPr>
        <w:t>（采购人名称）：</w:t>
      </w:r>
    </w:p>
    <w:p>
      <w:pPr>
        <w:spacing w:line="400" w:lineRule="exact"/>
        <w:ind w:firstLine="420" w:firstLineChars="200"/>
        <w:rPr>
          <w:rFonts w:hint="eastAsia" w:ascii="宋体" w:hAnsi="宋体"/>
          <w:color w:val="auto"/>
          <w:szCs w:val="21"/>
        </w:rPr>
      </w:pPr>
      <w:r>
        <w:rPr>
          <w:rFonts w:hint="eastAsia" w:ascii="宋体" w:hAnsi="宋体"/>
          <w:color w:val="auto"/>
          <w:szCs w:val="21"/>
          <w:u w:val="single"/>
          <w:lang w:val="en-US" w:eastAsia="zh-CN"/>
        </w:rPr>
        <w:t xml:space="preserve">           </w:t>
      </w:r>
      <w:r>
        <w:rPr>
          <w:rFonts w:hint="eastAsia" w:ascii="宋体" w:hAnsi="宋体"/>
          <w:color w:val="auto"/>
          <w:szCs w:val="21"/>
        </w:rPr>
        <w:t>（投标人名称）自愿参加项目编号为</w:t>
      </w:r>
      <w:r>
        <w:rPr>
          <w:rFonts w:hint="eastAsia" w:ascii="宋体" w:hAnsi="宋体"/>
          <w:color w:val="auto"/>
          <w:szCs w:val="21"/>
          <w:u w:val="single"/>
        </w:rPr>
        <w:t xml:space="preserve">      </w:t>
      </w:r>
      <w:r>
        <w:rPr>
          <w:rFonts w:hint="eastAsia" w:ascii="宋体" w:hAnsi="宋体"/>
          <w:color w:val="auto"/>
          <w:szCs w:val="21"/>
        </w:rPr>
        <w:t>的</w:t>
      </w:r>
      <w:r>
        <w:rPr>
          <w:rFonts w:hint="eastAsia" w:ascii="宋体" w:hAnsi="宋体"/>
          <w:color w:val="auto"/>
          <w:szCs w:val="21"/>
          <w:u w:val="single"/>
        </w:rPr>
        <w:t xml:space="preserve"> 项目名称      </w:t>
      </w:r>
      <w:r>
        <w:rPr>
          <w:rFonts w:hint="eastAsia" w:ascii="宋体" w:hAnsi="宋体"/>
          <w:color w:val="auto"/>
          <w:szCs w:val="21"/>
        </w:rPr>
        <w:t xml:space="preserve">的投标，现就投标人资格声明如下： </w:t>
      </w:r>
    </w:p>
    <w:p>
      <w:pPr>
        <w:spacing w:line="400" w:lineRule="exact"/>
        <w:ind w:firstLine="420" w:firstLineChars="200"/>
        <w:rPr>
          <w:rFonts w:hint="eastAsia" w:ascii="宋体" w:hAnsi="宋体"/>
          <w:color w:val="auto"/>
          <w:szCs w:val="21"/>
        </w:rPr>
      </w:pPr>
      <w:r>
        <w:rPr>
          <w:rFonts w:hint="eastAsia" w:ascii="宋体" w:hAnsi="宋体"/>
          <w:color w:val="auto"/>
          <w:szCs w:val="21"/>
        </w:rPr>
        <w:t>1、我单位为法人/其他组织/自然人。</w:t>
      </w:r>
    </w:p>
    <w:p>
      <w:pPr>
        <w:spacing w:line="400" w:lineRule="exact"/>
        <w:ind w:firstLine="420" w:firstLineChars="200"/>
        <w:rPr>
          <w:rFonts w:hint="eastAsia" w:ascii="宋体" w:hAnsi="宋体"/>
          <w:color w:val="auto"/>
          <w:szCs w:val="21"/>
        </w:rPr>
      </w:pPr>
      <w:r>
        <w:rPr>
          <w:rFonts w:hint="eastAsia" w:ascii="宋体" w:hAnsi="宋体"/>
          <w:color w:val="auto"/>
          <w:szCs w:val="21"/>
        </w:rPr>
        <w:t>2、我单位符合《中华人民共和国政府采购法》第</w:t>
      </w:r>
      <w:r>
        <w:rPr>
          <w:rFonts w:ascii="宋体" w:hAnsi="宋体"/>
          <w:color w:val="auto"/>
          <w:szCs w:val="21"/>
        </w:rPr>
        <w:t>22</w:t>
      </w:r>
      <w:r>
        <w:rPr>
          <w:rFonts w:hint="eastAsia" w:ascii="宋体" w:hAnsi="宋体"/>
          <w:color w:val="auto"/>
          <w:szCs w:val="21"/>
        </w:rPr>
        <w:t>条的一般资格条件的规定：</w:t>
      </w:r>
    </w:p>
    <w:p>
      <w:pPr>
        <w:spacing w:line="400" w:lineRule="exact"/>
        <w:ind w:firstLine="420" w:firstLineChars="200"/>
        <w:rPr>
          <w:rFonts w:ascii="宋体" w:hAnsi="宋体"/>
          <w:color w:val="auto"/>
          <w:szCs w:val="21"/>
        </w:rPr>
      </w:pPr>
      <w:r>
        <w:rPr>
          <w:rFonts w:hint="eastAsia" w:ascii="宋体" w:hAnsi="宋体"/>
          <w:color w:val="auto"/>
          <w:szCs w:val="21"/>
        </w:rPr>
        <w:t>(1)、具有独立承担民事责任的能力；</w:t>
      </w:r>
    </w:p>
    <w:p>
      <w:pPr>
        <w:spacing w:line="400" w:lineRule="exact"/>
        <w:ind w:firstLine="420" w:firstLineChars="200"/>
        <w:rPr>
          <w:rFonts w:ascii="宋体" w:hAnsi="宋体"/>
          <w:color w:val="auto"/>
          <w:szCs w:val="21"/>
        </w:rPr>
      </w:pPr>
      <w:r>
        <w:rPr>
          <w:rFonts w:hint="eastAsia" w:ascii="宋体" w:hAnsi="宋体"/>
          <w:color w:val="auto"/>
          <w:szCs w:val="21"/>
        </w:rPr>
        <w:t>(2)、具有良好的商业信誉和健全的财务会计制度；</w:t>
      </w:r>
    </w:p>
    <w:p>
      <w:pPr>
        <w:spacing w:line="400" w:lineRule="exact"/>
        <w:ind w:firstLine="420" w:firstLineChars="200"/>
        <w:rPr>
          <w:rFonts w:ascii="宋体" w:hAnsi="宋体"/>
          <w:color w:val="auto"/>
          <w:szCs w:val="21"/>
        </w:rPr>
      </w:pPr>
      <w:r>
        <w:rPr>
          <w:rFonts w:hint="eastAsia" w:ascii="宋体" w:hAnsi="宋体"/>
          <w:color w:val="auto"/>
          <w:szCs w:val="21"/>
        </w:rPr>
        <w:t>(3)、具有履行合同所必需的设备和专业技术能力；</w:t>
      </w:r>
    </w:p>
    <w:p>
      <w:pPr>
        <w:spacing w:line="400" w:lineRule="exact"/>
        <w:ind w:firstLine="420" w:firstLineChars="200"/>
        <w:rPr>
          <w:rFonts w:ascii="宋体" w:hAnsi="宋体"/>
          <w:color w:val="auto"/>
          <w:szCs w:val="21"/>
        </w:rPr>
      </w:pPr>
      <w:r>
        <w:rPr>
          <w:rFonts w:hint="eastAsia" w:ascii="宋体" w:hAnsi="宋体"/>
          <w:color w:val="auto"/>
          <w:szCs w:val="21"/>
        </w:rPr>
        <w:t>(4)、有依法缴纳税收和社会保障资金的良好记录；</w:t>
      </w:r>
    </w:p>
    <w:p>
      <w:pPr>
        <w:spacing w:line="400" w:lineRule="exact"/>
        <w:ind w:firstLine="420" w:firstLineChars="200"/>
        <w:rPr>
          <w:rFonts w:ascii="宋体" w:hAnsi="宋体"/>
          <w:color w:val="auto"/>
          <w:szCs w:val="21"/>
        </w:rPr>
      </w:pPr>
      <w:r>
        <w:rPr>
          <w:rFonts w:hint="eastAsia" w:ascii="宋体" w:hAnsi="宋体"/>
          <w:color w:val="auto"/>
          <w:szCs w:val="21"/>
        </w:rPr>
        <w:t>(5)、参加政府采购活动前三年内，在经营活动中没有重大违法记录；</w:t>
      </w:r>
    </w:p>
    <w:p>
      <w:pPr>
        <w:spacing w:line="400" w:lineRule="exact"/>
        <w:ind w:firstLine="420" w:firstLineChars="200"/>
        <w:rPr>
          <w:rFonts w:hint="eastAsia" w:ascii="宋体" w:hAnsi="宋体"/>
          <w:color w:val="auto"/>
          <w:szCs w:val="21"/>
        </w:rPr>
      </w:pPr>
      <w:r>
        <w:rPr>
          <w:rFonts w:hint="eastAsia" w:ascii="宋体" w:hAnsi="宋体"/>
          <w:color w:val="auto"/>
          <w:szCs w:val="21"/>
        </w:rPr>
        <w:t>(6)、法律、行政法规规定的其他条件。</w:t>
      </w:r>
    </w:p>
    <w:p>
      <w:pPr>
        <w:spacing w:line="400" w:lineRule="exact"/>
        <w:ind w:firstLine="420"/>
        <w:rPr>
          <w:rFonts w:hint="eastAsia" w:ascii="宋体" w:hAnsi="宋体"/>
          <w:color w:val="auto"/>
          <w:szCs w:val="21"/>
        </w:rPr>
      </w:pPr>
      <w:r>
        <w:rPr>
          <w:rFonts w:hint="eastAsia" w:ascii="宋体" w:hAnsi="宋体"/>
          <w:color w:val="auto"/>
          <w:szCs w:val="21"/>
        </w:rPr>
        <w:t>3、我单位未被信用中国网站（</w:t>
      </w:r>
      <w:r>
        <w:rPr>
          <w:rFonts w:ascii="宋体" w:hAnsi="宋体"/>
          <w:color w:val="auto"/>
          <w:szCs w:val="21"/>
        </w:rPr>
        <w:fldChar w:fldCharType="begin"/>
      </w:r>
      <w:r>
        <w:rPr>
          <w:rFonts w:ascii="宋体" w:hAnsi="宋体"/>
          <w:color w:val="auto"/>
          <w:szCs w:val="21"/>
        </w:rPr>
        <w:instrText xml:space="preserve"> HYPERLINK "http://</w:instrText>
      </w:r>
      <w:r>
        <w:rPr>
          <w:rFonts w:hint="eastAsia" w:ascii="宋体" w:hAnsi="宋体"/>
          <w:color w:val="auto"/>
          <w:szCs w:val="21"/>
        </w:rPr>
        <w:instrText xml:space="preserve">www.creditchina.gov.cn</w:instrText>
      </w:r>
      <w:r>
        <w:rPr>
          <w:rFonts w:ascii="宋体" w:hAnsi="宋体"/>
          <w:color w:val="auto"/>
          <w:szCs w:val="21"/>
        </w:rPr>
        <w:instrText xml:space="preserve">" </w:instrText>
      </w:r>
      <w:r>
        <w:rPr>
          <w:rFonts w:ascii="宋体" w:hAnsi="宋体"/>
          <w:color w:val="auto"/>
          <w:szCs w:val="21"/>
        </w:rPr>
        <w:fldChar w:fldCharType="separate"/>
      </w:r>
      <w:r>
        <w:rPr>
          <w:rStyle w:val="39"/>
          <w:rFonts w:hint="eastAsia" w:ascii="宋体" w:hAnsi="宋体"/>
          <w:color w:val="auto"/>
          <w:szCs w:val="21"/>
        </w:rPr>
        <w:t>www.creditchina.gov.cn</w:t>
      </w:r>
      <w:r>
        <w:rPr>
          <w:rFonts w:ascii="宋体" w:hAnsi="宋体"/>
          <w:color w:val="auto"/>
          <w:szCs w:val="21"/>
        </w:rPr>
        <w:fldChar w:fldCharType="end"/>
      </w:r>
      <w:r>
        <w:rPr>
          <w:rFonts w:hint="eastAsia" w:ascii="宋体" w:hAnsi="宋体"/>
          <w:color w:val="auto"/>
          <w:szCs w:val="21"/>
        </w:rPr>
        <w:t>）列入失信被执行人、重大税收违法案件当事人名单，未被中国政府采购网（www.ccgp.gov.cn）列入政府采购严重违法失信行为记录名单。</w:t>
      </w:r>
    </w:p>
    <w:p>
      <w:pPr>
        <w:spacing w:line="400" w:lineRule="exact"/>
        <w:ind w:firstLine="420"/>
        <w:rPr>
          <w:rFonts w:hint="eastAsia" w:ascii="宋体" w:hAnsi="宋体"/>
          <w:color w:val="auto"/>
          <w:szCs w:val="21"/>
        </w:rPr>
      </w:pPr>
      <w:r>
        <w:rPr>
          <w:rFonts w:hint="eastAsia" w:ascii="宋体" w:hAnsi="宋体"/>
          <w:color w:val="auto"/>
          <w:szCs w:val="21"/>
        </w:rPr>
        <w:t>4、本次投标由我单位独自参与，为非联合体投标。</w:t>
      </w:r>
    </w:p>
    <w:p>
      <w:pPr>
        <w:spacing w:line="400" w:lineRule="exact"/>
        <w:ind w:firstLine="420"/>
        <w:rPr>
          <w:rFonts w:hint="eastAsia" w:ascii="宋体" w:hAnsi="宋体"/>
          <w:color w:val="auto"/>
          <w:szCs w:val="21"/>
        </w:rPr>
      </w:pPr>
      <w:r>
        <w:rPr>
          <w:rFonts w:hint="eastAsia" w:ascii="宋体" w:hAnsi="宋体"/>
          <w:color w:val="auto"/>
          <w:szCs w:val="21"/>
        </w:rPr>
        <w:t>5、我单位符合采购文件规定的特定资格条件的要求。</w:t>
      </w:r>
    </w:p>
    <w:p>
      <w:pPr>
        <w:spacing w:line="400" w:lineRule="exact"/>
        <w:ind w:firstLine="420" w:firstLineChars="200"/>
        <w:rPr>
          <w:rFonts w:hint="eastAsia" w:ascii="宋体" w:hAnsi="宋体"/>
          <w:color w:val="auto"/>
          <w:szCs w:val="21"/>
        </w:rPr>
      </w:pPr>
    </w:p>
    <w:p>
      <w:pPr>
        <w:spacing w:line="400" w:lineRule="exact"/>
        <w:ind w:firstLine="420" w:firstLineChars="200"/>
        <w:rPr>
          <w:rFonts w:hint="eastAsia" w:ascii="宋体" w:hAnsi="宋体"/>
          <w:color w:val="auto"/>
          <w:szCs w:val="21"/>
        </w:rPr>
      </w:pPr>
    </w:p>
    <w:p>
      <w:pPr>
        <w:spacing w:line="400" w:lineRule="exact"/>
        <w:ind w:firstLine="420" w:firstLineChars="200"/>
        <w:rPr>
          <w:rFonts w:hint="eastAsia" w:ascii="宋体" w:hAnsi="宋体"/>
          <w:color w:val="auto"/>
          <w:szCs w:val="21"/>
        </w:rPr>
      </w:pPr>
    </w:p>
    <w:p>
      <w:pPr>
        <w:spacing w:line="400" w:lineRule="exact"/>
        <w:ind w:firstLine="420" w:firstLineChars="200"/>
        <w:rPr>
          <w:rFonts w:hint="eastAsia" w:ascii="宋体" w:hAnsi="宋体"/>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jc w:val="left"/>
        <w:rPr>
          <w:rFonts w:ascii="宋体" w:hAnsi="宋体"/>
          <w:color w:val="auto"/>
          <w:szCs w:val="21"/>
        </w:rPr>
      </w:pPr>
      <w:r>
        <w:rPr>
          <w:rFonts w:hint="eastAsia" w:ascii="宋体" w:hAnsi="宋体"/>
          <w:color w:val="auto"/>
          <w:szCs w:val="21"/>
        </w:rPr>
        <w:t>法定代表人或授权代表（签字</w:t>
      </w:r>
      <w:r>
        <w:rPr>
          <w:rFonts w:hint="eastAsia" w:ascii="宋体" w:hAnsi="宋体"/>
          <w:color w:val="auto"/>
          <w:szCs w:val="21"/>
          <w:lang w:val="en-US" w:eastAsia="zh-CN"/>
        </w:rPr>
        <w:t>或盖章</w:t>
      </w:r>
      <w:r>
        <w:rPr>
          <w:rFonts w:hint="eastAsia" w:ascii="宋体" w:hAnsi="宋体"/>
          <w:color w:val="auto"/>
          <w:szCs w:val="21"/>
        </w:rPr>
        <w:t>）：</w:t>
      </w:r>
      <w:r>
        <w:rPr>
          <w:rFonts w:ascii="宋体" w:hAnsi="宋体"/>
          <w:color w:val="auto"/>
          <w:szCs w:val="21"/>
          <w:u w:val="single"/>
        </w:rPr>
        <w:t xml:space="preserve">                  </w:t>
      </w:r>
    </w:p>
    <w:p>
      <w:pPr>
        <w:spacing w:line="400" w:lineRule="atLeast"/>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spacing w:line="400" w:lineRule="exact"/>
        <w:rPr>
          <w:rFonts w:hint="eastAsia" w:ascii="宋体" w:hAnsi="宋体"/>
          <w:color w:val="auto"/>
          <w:szCs w:val="21"/>
        </w:rPr>
      </w:pPr>
    </w:p>
    <w:p>
      <w:pPr>
        <w:snapToGrid w:val="0"/>
        <w:spacing w:before="120" w:beforeLines="50" w:after="50"/>
        <w:rPr>
          <w:rFonts w:hint="eastAsia" w:ascii="宋体" w:hAnsi="宋体"/>
          <w:color w:val="auto"/>
          <w:szCs w:val="21"/>
        </w:rPr>
      </w:pPr>
      <w:r>
        <w:rPr>
          <w:rFonts w:hint="eastAsia" w:ascii="宋体" w:hAnsi="宋体"/>
          <w:b/>
          <w:bCs/>
          <w:color w:val="auto"/>
          <w:sz w:val="24"/>
          <w:lang w:eastAsia="zh-CN"/>
        </w:rPr>
        <w:br w:type="page"/>
      </w:r>
      <w:r>
        <w:rPr>
          <w:rFonts w:hint="eastAsia" w:ascii="宋体" w:hAnsi="宋体"/>
          <w:color w:val="auto"/>
          <w:szCs w:val="21"/>
        </w:rPr>
        <w:t>4</w:t>
      </w:r>
      <w:r>
        <w:rPr>
          <w:rFonts w:hint="eastAsia" w:ascii="宋体" w:hAnsi="宋体"/>
          <w:color w:val="auto"/>
          <w:szCs w:val="21"/>
          <w:lang w:eastAsia="zh-CN"/>
        </w:rPr>
        <w:t>、</w:t>
      </w:r>
      <w:r>
        <w:rPr>
          <w:rFonts w:hint="eastAsia" w:ascii="宋体" w:hAnsi="宋体"/>
          <w:color w:val="auto"/>
          <w:szCs w:val="21"/>
        </w:rPr>
        <w:t xml:space="preserve"> 法人或者其他组织的营业执照（副本复印件，经年检合格，原件备查）、自然人的身份证明（身份证复印件，有效期内，原件备查，）；</w:t>
      </w:r>
    </w:p>
    <w:p>
      <w:pPr>
        <w:spacing w:line="400" w:lineRule="exact"/>
        <w:rPr>
          <w:rFonts w:hint="eastAsia" w:ascii="宋体" w:hAnsi="宋体"/>
          <w:color w:val="auto"/>
          <w:szCs w:val="21"/>
        </w:rPr>
      </w:pPr>
      <w:r>
        <w:rPr>
          <w:rFonts w:hint="eastAsia" w:ascii="宋体" w:hAnsi="宋体"/>
          <w:b/>
          <w:color w:val="auto"/>
          <w:spacing w:val="-4"/>
          <w:szCs w:val="21"/>
          <w:lang w:val="en-US" w:eastAsia="zh-CN"/>
        </w:rPr>
        <w:br w:type="page"/>
      </w:r>
      <w:r>
        <w:rPr>
          <w:rFonts w:hint="eastAsia" w:ascii="宋体" w:hAnsi="宋体"/>
          <w:b/>
          <w:color w:val="auto"/>
          <w:spacing w:val="-4"/>
          <w:szCs w:val="21"/>
          <w:lang w:val="en-US" w:eastAsia="zh-CN"/>
        </w:rPr>
        <w:t>5</w:t>
      </w:r>
      <w:r>
        <w:rPr>
          <w:rFonts w:hint="eastAsia" w:ascii="宋体" w:hAnsi="宋体"/>
          <w:b/>
          <w:color w:val="auto"/>
          <w:spacing w:val="-4"/>
          <w:szCs w:val="21"/>
        </w:rPr>
        <w:t>、</w:t>
      </w:r>
      <w:r>
        <w:rPr>
          <w:rFonts w:hint="eastAsia" w:ascii="宋体" w:hAnsi="宋体"/>
          <w:color w:val="auto"/>
          <w:szCs w:val="21"/>
        </w:rPr>
        <w:t>具备履行合同所需的设备和专业技术能力的声明函格式：</w:t>
      </w:r>
    </w:p>
    <w:p>
      <w:pPr>
        <w:jc w:val="center"/>
        <w:rPr>
          <w:rFonts w:hint="eastAsia" w:ascii="宋体" w:hAnsi="宋体"/>
          <w:color w:val="auto"/>
          <w:szCs w:val="21"/>
        </w:rPr>
      </w:pPr>
    </w:p>
    <w:p>
      <w:pPr>
        <w:jc w:val="center"/>
        <w:rPr>
          <w:rFonts w:hint="eastAsia" w:ascii="宋体" w:hAnsi="宋体"/>
          <w:b/>
          <w:color w:val="auto"/>
          <w:szCs w:val="21"/>
        </w:rPr>
      </w:pPr>
      <w:r>
        <w:rPr>
          <w:rFonts w:hint="eastAsia" w:ascii="宋体" w:hAnsi="宋体"/>
          <w:b/>
          <w:color w:val="auto"/>
          <w:szCs w:val="21"/>
        </w:rPr>
        <w:t>具备履行合同所需的设备和专业技术能力的声明函</w:t>
      </w:r>
    </w:p>
    <w:p>
      <w:pPr>
        <w:spacing w:line="360" w:lineRule="auto"/>
        <w:rPr>
          <w:rFonts w:hint="eastAsia" w:ascii="宋体" w:hAnsi="宋体"/>
          <w:color w:val="auto"/>
          <w:szCs w:val="21"/>
        </w:rPr>
      </w:pPr>
    </w:p>
    <w:p>
      <w:pPr>
        <w:spacing w:line="360" w:lineRule="auto"/>
        <w:rPr>
          <w:rFonts w:hint="eastAsia" w:ascii="宋体" w:hAnsi="宋体"/>
          <w:color w:val="auto"/>
          <w:szCs w:val="21"/>
        </w:rPr>
      </w:pPr>
      <w:r>
        <w:rPr>
          <w:rFonts w:hint="eastAsia" w:ascii="宋体" w:hAnsi="宋体"/>
          <w:color w:val="auto"/>
          <w:szCs w:val="21"/>
        </w:rPr>
        <w:t>我单位具备履行合同所需的设备和专业技术能力，具体情况声明如下：</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87"/>
        <w:gridCol w:w="2164"/>
        <w:gridCol w:w="214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2" w:hRule="atLeast"/>
          <w:jc w:val="center"/>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单位名称</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法人代表</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8" w:hRule="atLeast"/>
          <w:jc w:val="center"/>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单位性质</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单位组建时间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2" w:hRule="atLeast"/>
          <w:jc w:val="center"/>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注册资本</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单位固定资产总额</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8" w:hRule="atLeast"/>
          <w:jc w:val="center"/>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单位地址</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主要联系人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2" w:hRule="atLeast"/>
          <w:jc w:val="center"/>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邮编</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电话</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65" w:hRule="atLeast"/>
          <w:jc w:val="center"/>
        </w:trPr>
        <w:tc>
          <w:tcPr>
            <w:tcW w:w="687"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olor w:val="auto"/>
                <w:szCs w:val="21"/>
                <w:lang w:val="zh-CN"/>
              </w:rPr>
            </w:pPr>
            <w:r>
              <w:rPr>
                <w:rFonts w:hint="eastAsia" w:ascii="宋体" w:hAnsi="宋体"/>
                <w:color w:val="auto"/>
                <w:szCs w:val="21"/>
                <w:lang w:val="zh-CN"/>
              </w:rPr>
              <w:t>单位人员</w:t>
            </w:r>
          </w:p>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和专业技术能力说明</w:t>
            </w:r>
          </w:p>
        </w:tc>
        <w:tc>
          <w:tcPr>
            <w:tcW w:w="3651" w:type="dxa"/>
            <w:gridSpan w:val="2"/>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rPr>
                <w:rFonts w:ascii="宋体" w:hAnsi="宋体"/>
                <w:color w:val="auto"/>
                <w:szCs w:val="21"/>
                <w:lang w:val="zh-CN"/>
              </w:rPr>
            </w:pPr>
            <w:r>
              <w:rPr>
                <w:rFonts w:hint="eastAsia" w:ascii="宋体" w:hAnsi="宋体"/>
                <w:color w:val="auto"/>
                <w:szCs w:val="21"/>
                <w:lang w:val="zh-CN"/>
              </w:rPr>
              <w:t>单位总人数</w:t>
            </w:r>
            <w:r>
              <w:rPr>
                <w:rFonts w:ascii="宋体" w:hAnsi="宋体"/>
                <w:color w:val="auto"/>
                <w:szCs w:val="21"/>
                <w:lang w:val="zh-CN"/>
              </w:rPr>
              <w:t xml:space="preserve">     </w:t>
            </w:r>
            <w:r>
              <w:rPr>
                <w:rFonts w:hint="eastAsia" w:ascii="宋体" w:hAnsi="宋体"/>
                <w:color w:val="auto"/>
                <w:szCs w:val="21"/>
                <w:lang w:val="zh-CN"/>
              </w:rPr>
              <w:t>人；</w:t>
            </w:r>
          </w:p>
          <w:p>
            <w:pPr>
              <w:autoSpaceDE w:val="0"/>
              <w:autoSpaceDN w:val="0"/>
              <w:adjustRightInd w:val="0"/>
              <w:spacing w:line="360" w:lineRule="auto"/>
              <w:rPr>
                <w:rFonts w:ascii="宋体" w:hAnsi="宋体"/>
                <w:color w:val="auto"/>
                <w:szCs w:val="21"/>
                <w:lang w:val="zh-CN"/>
              </w:rPr>
            </w:pPr>
            <w:r>
              <w:rPr>
                <w:rFonts w:hint="eastAsia" w:ascii="宋体" w:hAnsi="宋体"/>
                <w:color w:val="auto"/>
                <w:szCs w:val="21"/>
                <w:lang w:val="zh-CN"/>
              </w:rPr>
              <w:t>其中，</w:t>
            </w:r>
          </w:p>
          <w:p>
            <w:pPr>
              <w:autoSpaceDE w:val="0"/>
              <w:autoSpaceDN w:val="0"/>
              <w:adjustRightInd w:val="0"/>
              <w:spacing w:line="360" w:lineRule="auto"/>
              <w:rPr>
                <w:rFonts w:ascii="宋体" w:hAnsi="宋体"/>
                <w:color w:val="auto"/>
                <w:szCs w:val="21"/>
                <w:lang w:val="zh-CN"/>
              </w:rPr>
            </w:pPr>
            <w:r>
              <w:rPr>
                <w:rFonts w:hint="eastAsia" w:ascii="宋体" w:hAnsi="宋体"/>
                <w:color w:val="auto"/>
                <w:szCs w:val="21"/>
                <w:lang w:val="zh-CN"/>
              </w:rPr>
              <w:t>高级称职</w:t>
            </w:r>
            <w:r>
              <w:rPr>
                <w:rFonts w:ascii="宋体" w:hAnsi="宋体"/>
                <w:color w:val="auto"/>
                <w:szCs w:val="21"/>
                <w:lang w:val="zh-CN"/>
              </w:rPr>
              <w:t xml:space="preserve">           </w:t>
            </w:r>
            <w:r>
              <w:rPr>
                <w:rFonts w:hint="eastAsia" w:ascii="宋体" w:hAnsi="宋体"/>
                <w:color w:val="auto"/>
                <w:szCs w:val="21"/>
                <w:lang w:val="zh-CN"/>
              </w:rPr>
              <w:t>人</w:t>
            </w:r>
          </w:p>
          <w:p>
            <w:pPr>
              <w:autoSpaceDE w:val="0"/>
              <w:autoSpaceDN w:val="0"/>
              <w:adjustRightInd w:val="0"/>
              <w:spacing w:line="360" w:lineRule="auto"/>
              <w:rPr>
                <w:rFonts w:ascii="宋体" w:hAnsi="宋体"/>
                <w:color w:val="auto"/>
                <w:szCs w:val="21"/>
                <w:lang w:val="zh-CN"/>
              </w:rPr>
            </w:pPr>
            <w:r>
              <w:rPr>
                <w:rFonts w:hint="eastAsia" w:ascii="宋体" w:hAnsi="宋体"/>
                <w:color w:val="auto"/>
                <w:szCs w:val="21"/>
                <w:lang w:val="zh-CN"/>
              </w:rPr>
              <w:t>中级职称</w:t>
            </w:r>
            <w:r>
              <w:rPr>
                <w:rFonts w:ascii="宋体" w:hAnsi="宋体"/>
                <w:color w:val="auto"/>
                <w:szCs w:val="21"/>
                <w:lang w:val="zh-CN"/>
              </w:rPr>
              <w:t xml:space="preserve">           </w:t>
            </w:r>
            <w:r>
              <w:rPr>
                <w:rFonts w:hint="eastAsia" w:ascii="宋体" w:hAnsi="宋体"/>
                <w:color w:val="auto"/>
                <w:szCs w:val="21"/>
                <w:lang w:val="zh-CN"/>
              </w:rPr>
              <w:t>人</w:t>
            </w:r>
          </w:p>
          <w:p>
            <w:pPr>
              <w:autoSpaceDE w:val="0"/>
              <w:autoSpaceDN w:val="0"/>
              <w:adjustRightInd w:val="0"/>
              <w:spacing w:line="360" w:lineRule="auto"/>
              <w:rPr>
                <w:rFonts w:hint="eastAsia" w:ascii="宋体" w:hAnsi="宋体"/>
                <w:color w:val="auto"/>
                <w:szCs w:val="21"/>
                <w:lang w:val="zh-CN"/>
              </w:rPr>
            </w:pPr>
            <w:r>
              <w:rPr>
                <w:rFonts w:hint="eastAsia" w:ascii="宋体" w:hAnsi="宋体"/>
                <w:color w:val="auto"/>
                <w:szCs w:val="21"/>
                <w:lang w:val="zh-CN"/>
              </w:rPr>
              <w:t>初级职称</w:t>
            </w:r>
            <w:r>
              <w:rPr>
                <w:rFonts w:ascii="宋体" w:hAnsi="宋体"/>
                <w:color w:val="auto"/>
                <w:szCs w:val="21"/>
                <w:lang w:val="zh-CN"/>
              </w:rPr>
              <w:t xml:space="preserve">    </w:t>
            </w:r>
            <w:r>
              <w:rPr>
                <w:rFonts w:hint="eastAsia" w:ascii="宋体" w:hAnsi="宋体"/>
                <w:color w:val="auto"/>
                <w:szCs w:val="21"/>
                <w:lang w:val="zh-CN"/>
              </w:rPr>
              <w:t xml:space="preserve">      </w:t>
            </w:r>
            <w:r>
              <w:rPr>
                <w:rFonts w:ascii="宋体" w:hAnsi="宋体"/>
                <w:color w:val="auto"/>
                <w:szCs w:val="21"/>
                <w:lang w:val="zh-CN"/>
              </w:rPr>
              <w:t xml:space="preserve"> </w:t>
            </w:r>
            <w:r>
              <w:rPr>
                <w:rFonts w:hint="eastAsia" w:ascii="宋体" w:hAnsi="宋体"/>
                <w:color w:val="auto"/>
                <w:szCs w:val="21"/>
                <w:lang w:val="zh-CN"/>
              </w:rPr>
              <w:t>人</w:t>
            </w:r>
          </w:p>
          <w:p>
            <w:pPr>
              <w:autoSpaceDE w:val="0"/>
              <w:autoSpaceDN w:val="0"/>
              <w:adjustRightInd w:val="0"/>
              <w:spacing w:line="360" w:lineRule="auto"/>
              <w:rPr>
                <w:rFonts w:hint="eastAsia" w:ascii="宋体" w:hAnsi="宋体"/>
                <w:color w:val="auto"/>
                <w:szCs w:val="21"/>
                <w:lang w:val="zh-CN"/>
              </w:rPr>
            </w:pPr>
            <w:r>
              <w:rPr>
                <w:rFonts w:hint="eastAsia" w:ascii="宋体" w:hAnsi="宋体"/>
                <w:color w:val="auto"/>
                <w:szCs w:val="21"/>
                <w:lang w:val="zh-CN"/>
              </w:rPr>
              <w:t>具备履行合同的专业技术能力说明：</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资质等级、质量管理体系认证通过情况等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0" w:hRule="atLeast"/>
          <w:jc w:val="center"/>
        </w:trPr>
        <w:tc>
          <w:tcPr>
            <w:tcW w:w="687" w:type="dxa"/>
            <w:vMerge w:val="continue"/>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olor w:val="auto"/>
                <w:szCs w:val="21"/>
                <w:lang w:val="zh-CN"/>
              </w:rPr>
            </w:pPr>
          </w:p>
        </w:tc>
        <w:tc>
          <w:tcPr>
            <w:tcW w:w="3651" w:type="dxa"/>
            <w:gridSpan w:val="2"/>
            <w:vMerge w:val="continue"/>
            <w:tcBorders>
              <w:left w:val="single" w:color="auto" w:sz="4" w:space="0"/>
              <w:right w:val="single" w:color="auto" w:sz="4" w:space="0"/>
            </w:tcBorders>
            <w:noWrap w:val="0"/>
            <w:vAlign w:val="center"/>
          </w:tcPr>
          <w:p>
            <w:pPr>
              <w:autoSpaceDE w:val="0"/>
              <w:autoSpaceDN w:val="0"/>
              <w:adjustRightInd w:val="0"/>
              <w:spacing w:line="360" w:lineRule="auto"/>
              <w:rPr>
                <w:rFonts w:hint="eastAsia" w:ascii="宋体" w:hAnsi="宋体"/>
                <w:color w:val="auto"/>
                <w:szCs w:val="21"/>
                <w:lang w:val="zh-CN"/>
              </w:rPr>
            </w:pPr>
          </w:p>
        </w:tc>
        <w:tc>
          <w:tcPr>
            <w:tcW w:w="2142"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olor w:val="auto"/>
                <w:szCs w:val="21"/>
                <w:u w:val="single"/>
                <w:lang w:val="zh-CN"/>
              </w:rPr>
            </w:pPr>
            <w:r>
              <w:rPr>
                <w:rFonts w:hint="eastAsia" w:ascii="宋体" w:hAnsi="宋体"/>
                <w:color w:val="auto"/>
                <w:szCs w:val="21"/>
                <w:lang w:val="zh-CN"/>
              </w:rPr>
              <w:t>具备履行合同的设备情况说明</w:t>
            </w:r>
          </w:p>
        </w:tc>
        <w:tc>
          <w:tcPr>
            <w:tcW w:w="1980"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rPr>
                <w:rFonts w:hint="eastAsia" w:ascii="宋体" w:hAnsi="宋体"/>
                <w:color w:val="auto"/>
                <w:szCs w:val="21"/>
                <w:lang w:val="zh-CN"/>
              </w:rPr>
            </w:pPr>
            <w:r>
              <w:rPr>
                <w:rFonts w:hint="eastAsia" w:ascii="宋体" w:hAnsi="宋体"/>
                <w:color w:val="auto"/>
                <w:szCs w:val="21"/>
                <w:lang w:val="zh-CN"/>
              </w:rPr>
              <w:t>现有的设备清单：</w:t>
            </w:r>
          </w:p>
        </w:tc>
      </w:tr>
    </w:tbl>
    <w:p>
      <w:pPr>
        <w:rPr>
          <w:rFonts w:hint="eastAsia" w:ascii="宋体" w:hAnsi="宋体"/>
          <w:color w:val="auto"/>
          <w:szCs w:val="21"/>
        </w:rPr>
      </w:pPr>
    </w:p>
    <w:p>
      <w:pPr>
        <w:rPr>
          <w:rFonts w:hint="eastAsia" w:ascii="宋体" w:hAnsi="宋体"/>
          <w:b/>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jc w:val="left"/>
        <w:rPr>
          <w:rFonts w:ascii="宋体" w:hAnsi="宋体"/>
          <w:color w:val="auto"/>
          <w:szCs w:val="21"/>
        </w:rPr>
      </w:pPr>
      <w:r>
        <w:rPr>
          <w:rFonts w:hint="eastAsia" w:ascii="宋体" w:hAnsi="宋体"/>
          <w:color w:val="auto"/>
          <w:szCs w:val="21"/>
        </w:rPr>
        <w:t>法定代表人或授权代表（签字</w:t>
      </w:r>
      <w:r>
        <w:rPr>
          <w:rFonts w:hint="eastAsia" w:ascii="宋体" w:hAnsi="宋体"/>
          <w:color w:val="auto"/>
          <w:szCs w:val="21"/>
          <w:lang w:val="en-US" w:eastAsia="zh-CN"/>
        </w:rPr>
        <w:t>或盖章</w:t>
      </w:r>
      <w:r>
        <w:rPr>
          <w:rFonts w:hint="eastAsia" w:ascii="宋体" w:hAnsi="宋体"/>
          <w:color w:val="auto"/>
          <w:szCs w:val="21"/>
        </w:rPr>
        <w:t>）：</w:t>
      </w:r>
      <w:r>
        <w:rPr>
          <w:rFonts w:ascii="宋体" w:hAnsi="宋体"/>
          <w:color w:val="auto"/>
          <w:szCs w:val="21"/>
          <w:u w:val="single"/>
        </w:rPr>
        <w:t xml:space="preserve">                  </w:t>
      </w:r>
    </w:p>
    <w:p>
      <w:pPr>
        <w:spacing w:line="400" w:lineRule="atLeast"/>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pStyle w:val="13"/>
        <w:ind w:firstLine="0"/>
        <w:rPr>
          <w:rFonts w:hint="eastAsia" w:hAnsi="宋体"/>
          <w:b/>
          <w:color w:val="auto"/>
          <w:sz w:val="21"/>
          <w:szCs w:val="21"/>
        </w:rPr>
      </w:pPr>
    </w:p>
    <w:p>
      <w:pPr>
        <w:spacing w:line="400" w:lineRule="exact"/>
        <w:rPr>
          <w:rFonts w:hint="eastAsia" w:ascii="宋体" w:hAnsi="宋体"/>
          <w:color w:val="auto"/>
          <w:szCs w:val="21"/>
        </w:rPr>
      </w:pPr>
    </w:p>
    <w:p>
      <w:pPr>
        <w:spacing w:line="400" w:lineRule="exact"/>
        <w:rPr>
          <w:rFonts w:hint="eastAsia" w:ascii="宋体" w:hAnsi="Courier New"/>
          <w:b/>
          <w:color w:val="auto"/>
          <w:spacing w:val="-4"/>
          <w:szCs w:val="21"/>
        </w:rPr>
      </w:pPr>
    </w:p>
    <w:p>
      <w:pPr>
        <w:spacing w:line="400" w:lineRule="exact"/>
        <w:rPr>
          <w:rFonts w:ascii="宋体" w:hAnsi="Courier New"/>
          <w:b/>
          <w:color w:val="auto"/>
          <w:spacing w:val="-4"/>
          <w:szCs w:val="21"/>
        </w:rPr>
      </w:pPr>
    </w:p>
    <w:p>
      <w:pPr>
        <w:spacing w:line="400" w:lineRule="exact"/>
        <w:rPr>
          <w:rFonts w:hint="eastAsia" w:ascii="宋体" w:hAnsi="宋体"/>
          <w:b/>
          <w:color w:val="auto"/>
          <w:szCs w:val="21"/>
        </w:rPr>
      </w:pPr>
      <w:r>
        <w:rPr>
          <w:rFonts w:hint="eastAsia" w:ascii="宋体" w:hAnsi="Courier New"/>
          <w:b/>
          <w:color w:val="auto"/>
          <w:spacing w:val="-4"/>
          <w:szCs w:val="21"/>
          <w:lang w:val="en-US" w:eastAsia="zh-CN"/>
        </w:rPr>
        <w:t>6</w:t>
      </w:r>
      <w:r>
        <w:rPr>
          <w:rFonts w:hint="eastAsia" w:ascii="宋体" w:hAnsi="Courier New"/>
          <w:b/>
          <w:color w:val="auto"/>
          <w:spacing w:val="-4"/>
          <w:szCs w:val="21"/>
        </w:rPr>
        <w:t>、</w:t>
      </w:r>
      <w:r>
        <w:rPr>
          <w:rFonts w:hint="eastAsia" w:ascii="宋体"/>
          <w:b/>
          <w:color w:val="auto"/>
          <w:szCs w:val="21"/>
        </w:rPr>
        <w:t>无重大违法记录</w:t>
      </w:r>
      <w:r>
        <w:rPr>
          <w:rFonts w:hint="eastAsia" w:ascii="宋体" w:hAnsi="宋体"/>
          <w:b/>
          <w:color w:val="auto"/>
          <w:szCs w:val="21"/>
        </w:rPr>
        <w:t>声明函格式</w:t>
      </w:r>
    </w:p>
    <w:p>
      <w:pPr>
        <w:pStyle w:val="13"/>
        <w:ind w:firstLine="524"/>
        <w:rPr>
          <w:rFonts w:hint="eastAsia"/>
          <w:color w:val="auto"/>
          <w:spacing w:val="10"/>
          <w:sz w:val="21"/>
          <w:szCs w:val="21"/>
        </w:rPr>
      </w:pPr>
    </w:p>
    <w:p>
      <w:pPr>
        <w:pStyle w:val="13"/>
        <w:spacing w:line="520" w:lineRule="exact"/>
        <w:ind w:firstLine="406" w:firstLineChars="200"/>
        <w:jc w:val="center"/>
        <w:rPr>
          <w:rFonts w:hint="eastAsia"/>
          <w:color w:val="auto"/>
          <w:sz w:val="21"/>
          <w:szCs w:val="21"/>
        </w:rPr>
      </w:pPr>
      <w:r>
        <w:rPr>
          <w:rFonts w:hint="eastAsia"/>
          <w:b/>
          <w:color w:val="auto"/>
          <w:sz w:val="21"/>
          <w:szCs w:val="21"/>
        </w:rPr>
        <w:t>无重大违法记录</w:t>
      </w:r>
      <w:r>
        <w:rPr>
          <w:rFonts w:hint="eastAsia" w:hAnsi="宋体"/>
          <w:b/>
          <w:color w:val="auto"/>
          <w:sz w:val="21"/>
          <w:szCs w:val="21"/>
        </w:rPr>
        <w:t>声明函</w:t>
      </w:r>
    </w:p>
    <w:p>
      <w:pPr>
        <w:pStyle w:val="13"/>
        <w:spacing w:line="520" w:lineRule="exact"/>
        <w:ind w:firstLine="404" w:firstLineChars="200"/>
        <w:rPr>
          <w:rFonts w:hint="eastAsia"/>
          <w:color w:val="auto"/>
          <w:sz w:val="21"/>
          <w:szCs w:val="21"/>
        </w:rPr>
      </w:pPr>
      <w:r>
        <w:rPr>
          <w:rFonts w:hint="eastAsia"/>
          <w:color w:val="auto"/>
          <w:sz w:val="21"/>
          <w:szCs w:val="21"/>
        </w:rPr>
        <w:t>本单位在参加本次政府采购活动前三年内在经营活动中无重大违法记录，特此声明。</w:t>
      </w:r>
    </w:p>
    <w:p>
      <w:pPr>
        <w:spacing w:line="588" w:lineRule="exact"/>
        <w:ind w:firstLine="444" w:firstLineChars="200"/>
        <w:rPr>
          <w:rFonts w:hint="eastAsia" w:ascii="宋体" w:hAnsi="宋体"/>
          <w:color w:val="auto"/>
          <w:spacing w:val="6"/>
          <w:szCs w:val="21"/>
        </w:rPr>
      </w:pPr>
      <w:r>
        <w:rPr>
          <w:rFonts w:hint="eastAsia" w:ascii="宋体" w:hAnsi="宋体"/>
          <w:color w:val="auto"/>
          <w:spacing w:val="6"/>
          <w:szCs w:val="21"/>
        </w:rPr>
        <w:t>本公司对上述声明的真实性负责。如有虚假，将依法承担相应法律责任。</w:t>
      </w:r>
    </w:p>
    <w:p>
      <w:pPr>
        <w:pStyle w:val="13"/>
        <w:ind w:firstLine="0"/>
        <w:rPr>
          <w:rFonts w:hint="eastAsia" w:hAnsi="宋体"/>
          <w:color w:val="auto"/>
          <w:spacing w:val="6"/>
          <w:sz w:val="21"/>
          <w:szCs w:val="21"/>
        </w:rPr>
      </w:pPr>
      <w:r>
        <w:rPr>
          <w:rFonts w:hint="eastAsia" w:hAnsi="宋体"/>
          <w:color w:val="auto"/>
          <w:spacing w:val="6"/>
          <w:sz w:val="21"/>
          <w:szCs w:val="21"/>
        </w:rPr>
        <w:t xml:space="preserve">                                  </w:t>
      </w:r>
    </w:p>
    <w:p>
      <w:pPr>
        <w:pStyle w:val="13"/>
        <w:ind w:firstLine="0"/>
        <w:rPr>
          <w:rFonts w:hint="eastAsia" w:hAnsi="宋体"/>
          <w:color w:val="auto"/>
          <w:spacing w:val="6"/>
          <w:sz w:val="21"/>
          <w:szCs w:val="21"/>
        </w:rPr>
      </w:pPr>
    </w:p>
    <w:p>
      <w:pPr>
        <w:pStyle w:val="13"/>
        <w:ind w:firstLine="0"/>
        <w:rPr>
          <w:rFonts w:hint="eastAsia" w:hAnsi="宋体"/>
          <w:color w:val="auto"/>
          <w:spacing w:val="6"/>
          <w:sz w:val="21"/>
          <w:szCs w:val="21"/>
        </w:rPr>
      </w:pPr>
    </w:p>
    <w:p>
      <w:pPr>
        <w:spacing w:line="400" w:lineRule="atLeast"/>
        <w:ind w:firstLine="2100" w:firstLineChars="1000"/>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ind w:firstLine="2100" w:firstLineChars="1000"/>
        <w:jc w:val="left"/>
        <w:rPr>
          <w:rFonts w:ascii="宋体" w:hAnsi="宋体"/>
          <w:color w:val="auto"/>
          <w:szCs w:val="21"/>
        </w:rPr>
      </w:pPr>
      <w:r>
        <w:rPr>
          <w:rFonts w:hint="eastAsia" w:ascii="宋体" w:hAnsi="宋体"/>
          <w:color w:val="auto"/>
          <w:szCs w:val="21"/>
        </w:rPr>
        <w:t>法定代表人或授权代表（签字</w:t>
      </w:r>
      <w:r>
        <w:rPr>
          <w:rFonts w:hint="eastAsia" w:ascii="宋体" w:hAnsi="宋体"/>
          <w:color w:val="auto"/>
          <w:szCs w:val="21"/>
          <w:lang w:val="en-US" w:eastAsia="zh-CN"/>
        </w:rPr>
        <w:t>或盖章</w:t>
      </w:r>
      <w:r>
        <w:rPr>
          <w:rFonts w:hint="eastAsia" w:ascii="宋体" w:hAnsi="宋体"/>
          <w:color w:val="auto"/>
          <w:szCs w:val="21"/>
        </w:rPr>
        <w:t>）：</w:t>
      </w:r>
      <w:r>
        <w:rPr>
          <w:rFonts w:ascii="宋体" w:hAnsi="宋体"/>
          <w:color w:val="auto"/>
          <w:szCs w:val="21"/>
          <w:u w:val="single"/>
        </w:rPr>
        <w:t xml:space="preserve">                  </w:t>
      </w:r>
    </w:p>
    <w:p>
      <w:pPr>
        <w:spacing w:line="400" w:lineRule="atLeast"/>
        <w:ind w:firstLine="2100" w:firstLineChars="1000"/>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tabs>
          <w:tab w:val="left" w:pos="4860"/>
        </w:tabs>
        <w:spacing w:line="588" w:lineRule="exact"/>
        <w:ind w:right="-340"/>
        <w:rPr>
          <w:rFonts w:hint="eastAsia" w:ascii="宋体" w:hAnsi="宋体"/>
          <w:color w:val="auto"/>
          <w:spacing w:val="6"/>
          <w:szCs w:val="21"/>
        </w:rPr>
      </w:pPr>
    </w:p>
    <w:p>
      <w:pPr>
        <w:tabs>
          <w:tab w:val="left" w:pos="4860"/>
        </w:tabs>
        <w:spacing w:line="588" w:lineRule="exact"/>
        <w:ind w:right="-340"/>
        <w:rPr>
          <w:rFonts w:hint="eastAsia" w:ascii="宋体" w:hAnsi="宋体"/>
          <w:color w:val="auto"/>
          <w:spacing w:val="6"/>
          <w:szCs w:val="21"/>
        </w:rPr>
      </w:pPr>
      <w:r>
        <w:rPr>
          <w:rFonts w:hint="eastAsia" w:ascii="宋体" w:hAnsi="宋体"/>
          <w:color w:val="auto"/>
          <w:spacing w:val="6"/>
          <w:szCs w:val="21"/>
        </w:rPr>
        <w:t xml:space="preserve">（填写说明：1、政府采购法所称重大违法记录：是指供应商因违法经营受到刑事处罚或者责令停产停业、吊销许可证或者执照、较大数额罚款等行政处罚。）        </w:t>
      </w:r>
    </w:p>
    <w:p>
      <w:pPr>
        <w:snapToGrid w:val="0"/>
        <w:spacing w:before="50" w:after="120" w:afterLines="50"/>
        <w:jc w:val="left"/>
        <w:rPr>
          <w:rFonts w:hint="eastAsia" w:ascii="宋体" w:hAnsi="宋体"/>
          <w:b/>
          <w:color w:val="auto"/>
          <w:szCs w:val="21"/>
        </w:rPr>
      </w:pPr>
    </w:p>
    <w:p>
      <w:pPr>
        <w:spacing w:line="400" w:lineRule="exact"/>
        <w:rPr>
          <w:rFonts w:hint="eastAsia" w:ascii="宋体" w:eastAsia="宋体"/>
          <w:b/>
          <w:color w:val="auto"/>
          <w:szCs w:val="21"/>
          <w:lang w:eastAsia="zh-CN"/>
        </w:rPr>
      </w:pPr>
      <w:r>
        <w:rPr>
          <w:rFonts w:hint="eastAsia" w:ascii="宋体" w:hAnsi="宋体"/>
          <w:b/>
          <w:color w:val="auto"/>
          <w:szCs w:val="21"/>
          <w:lang w:val="en-US" w:eastAsia="zh-CN"/>
        </w:rPr>
        <w:t>7</w:t>
      </w:r>
      <w:r>
        <w:rPr>
          <w:rFonts w:hint="eastAsia" w:ascii="宋体"/>
          <w:b/>
          <w:color w:val="auto"/>
          <w:szCs w:val="21"/>
          <w:lang w:val="en-US" w:eastAsia="zh-CN"/>
        </w:rPr>
        <w:t>、采购文件</w:t>
      </w:r>
      <w:r>
        <w:rPr>
          <w:rFonts w:hint="eastAsia" w:ascii="宋体"/>
          <w:b/>
          <w:color w:val="auto"/>
          <w:szCs w:val="21"/>
        </w:rPr>
        <w:t>要求提供的</w:t>
      </w:r>
      <w:r>
        <w:rPr>
          <w:rFonts w:hint="eastAsia" w:ascii="宋体"/>
          <w:b/>
          <w:color w:val="auto"/>
          <w:szCs w:val="21"/>
          <w:lang w:val="en-US" w:eastAsia="zh-CN"/>
        </w:rPr>
        <w:t>其他</w:t>
      </w:r>
      <w:r>
        <w:rPr>
          <w:rFonts w:hint="eastAsia" w:ascii="宋体"/>
          <w:b/>
          <w:color w:val="auto"/>
          <w:szCs w:val="21"/>
        </w:rPr>
        <w:t>资格证明材料</w:t>
      </w:r>
      <w:r>
        <w:rPr>
          <w:rFonts w:hint="eastAsia" w:ascii="宋体"/>
          <w:b/>
          <w:color w:val="auto"/>
          <w:szCs w:val="21"/>
          <w:lang w:eastAsia="zh-CN"/>
        </w:rPr>
        <w:t>（如有）</w:t>
      </w:r>
    </w:p>
    <w:p>
      <w:pPr>
        <w:snapToGrid w:val="0"/>
        <w:spacing w:before="120" w:beforeLines="50" w:after="50"/>
        <w:rPr>
          <w:rFonts w:hint="eastAsia" w:ascii="宋体" w:hAnsi="宋体"/>
          <w:b/>
          <w:bCs/>
          <w:color w:val="auto"/>
          <w:sz w:val="24"/>
          <w:lang w:eastAsia="zh-CN"/>
        </w:rPr>
      </w:pPr>
      <w:r>
        <w:rPr>
          <w:rFonts w:hint="eastAsia" w:ascii="宋体" w:hAnsi="宋体"/>
          <w:b/>
          <w:color w:val="auto"/>
          <w:szCs w:val="21"/>
          <w:lang w:val="en-US" w:eastAsia="zh-CN"/>
        </w:rPr>
        <w:br w:type="page"/>
      </w:r>
    </w:p>
    <w:p>
      <w:pPr>
        <w:snapToGrid w:val="0"/>
        <w:spacing w:before="120" w:beforeLines="50" w:after="50"/>
        <w:rPr>
          <w:rFonts w:ascii="宋体" w:hAnsi="宋体"/>
          <w:b/>
          <w:bCs/>
          <w:color w:val="auto"/>
          <w:sz w:val="24"/>
        </w:rPr>
      </w:pPr>
      <w:r>
        <w:rPr>
          <w:rFonts w:hint="eastAsia" w:ascii="宋体" w:hAnsi="宋体"/>
          <w:b/>
          <w:bCs/>
          <w:color w:val="auto"/>
          <w:sz w:val="24"/>
          <w:lang w:eastAsia="zh-CN"/>
        </w:rPr>
        <w:t>二</w:t>
      </w:r>
      <w:r>
        <w:rPr>
          <w:rFonts w:hint="eastAsia" w:ascii="宋体" w:hAnsi="宋体"/>
          <w:b/>
          <w:bCs/>
          <w:color w:val="auto"/>
          <w:sz w:val="24"/>
        </w:rPr>
        <w:t>、技术</w:t>
      </w:r>
      <w:r>
        <w:rPr>
          <w:rFonts w:hint="eastAsia" w:ascii="宋体" w:hAnsi="宋体"/>
          <w:b/>
          <w:bCs/>
          <w:color w:val="auto"/>
          <w:sz w:val="24"/>
          <w:lang w:eastAsia="zh-CN"/>
        </w:rPr>
        <w:t>商务</w:t>
      </w:r>
      <w:r>
        <w:rPr>
          <w:rFonts w:hint="eastAsia" w:ascii="宋体" w:hAnsi="宋体"/>
          <w:b/>
          <w:bCs/>
          <w:color w:val="auto"/>
          <w:sz w:val="24"/>
        </w:rPr>
        <w:t>文件格式</w:t>
      </w:r>
    </w:p>
    <w:p>
      <w:pPr>
        <w:snapToGrid w:val="0"/>
        <w:spacing w:before="120" w:beforeLines="50" w:after="50"/>
        <w:rPr>
          <w:rFonts w:ascii="宋体" w:hAnsi="宋体"/>
          <w:b/>
          <w:bCs/>
          <w:color w:val="auto"/>
          <w:szCs w:val="21"/>
        </w:rPr>
      </w:pPr>
      <w:r>
        <w:rPr>
          <w:rFonts w:hint="eastAsia" w:ascii="宋体" w:hAnsi="宋体"/>
          <w:b/>
          <w:color w:val="auto"/>
          <w:szCs w:val="21"/>
        </w:rPr>
        <w:t>1.技术商务文件</w:t>
      </w:r>
      <w:r>
        <w:rPr>
          <w:rFonts w:hint="eastAsia" w:ascii="宋体" w:hAnsi="宋体"/>
          <w:b/>
          <w:bCs/>
          <w:color w:val="auto"/>
          <w:szCs w:val="21"/>
        </w:rPr>
        <w:t>的外包装封面格式：</w:t>
      </w:r>
    </w:p>
    <w:p>
      <w:pPr>
        <w:snapToGrid w:val="0"/>
        <w:spacing w:before="120" w:beforeLines="50" w:after="50"/>
        <w:rPr>
          <w:rFonts w:hint="eastAsia" w:ascii="宋体" w:hAnsi="宋体"/>
          <w:bCs/>
          <w:color w:val="auto"/>
          <w:szCs w:val="21"/>
        </w:rPr>
      </w:pPr>
    </w:p>
    <w:p>
      <w:pPr>
        <w:snapToGrid w:val="0"/>
        <w:spacing w:before="120" w:beforeLines="50" w:after="50"/>
        <w:jc w:val="center"/>
        <w:rPr>
          <w:rFonts w:hint="eastAsia" w:ascii="宋体" w:hAnsi="宋体" w:eastAsia="宋体"/>
          <w:bCs/>
          <w:color w:val="auto"/>
          <w:szCs w:val="21"/>
          <w:lang w:eastAsia="zh-CN"/>
        </w:rPr>
      </w:pPr>
      <w:r>
        <w:rPr>
          <w:rFonts w:hint="eastAsia" w:ascii="宋体" w:hAnsi="宋体"/>
          <w:bCs/>
          <w:color w:val="auto"/>
          <w:szCs w:val="21"/>
          <w:lang w:eastAsia="zh-CN"/>
        </w:rPr>
        <w:t>技术商务文件</w:t>
      </w:r>
    </w:p>
    <w:p>
      <w:pPr>
        <w:snapToGrid w:val="0"/>
        <w:spacing w:before="120" w:beforeLines="50" w:after="50"/>
        <w:rPr>
          <w:rFonts w:ascii="宋体" w:hAnsi="宋体"/>
          <w:bCs/>
          <w:color w:val="auto"/>
          <w:szCs w:val="21"/>
        </w:rPr>
      </w:pP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项目名称：</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项目编号：</w:t>
      </w:r>
      <w:r>
        <w:rPr>
          <w:rFonts w:ascii="宋体" w:hAnsi="宋体"/>
          <w:bCs/>
          <w:color w:val="auto"/>
          <w:szCs w:val="21"/>
        </w:rPr>
        <w:t xml:space="preserve"> </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子包号</w:t>
      </w:r>
      <w:r>
        <w:rPr>
          <w:rFonts w:ascii="宋体" w:hAnsi="宋体"/>
          <w:bCs/>
          <w:color w:val="auto"/>
          <w:szCs w:val="21"/>
        </w:rPr>
        <w:t>:</w:t>
      </w:r>
    </w:p>
    <w:p>
      <w:pPr>
        <w:pStyle w:val="7"/>
        <w:snapToGrid w:val="0"/>
        <w:spacing w:before="50" w:after="50"/>
        <w:ind w:firstLine="978" w:firstLineChars="466"/>
        <w:rPr>
          <w:rFonts w:ascii="宋体" w:hAnsi="宋体"/>
          <w:bCs/>
          <w:color w:val="auto"/>
          <w:szCs w:val="21"/>
        </w:rPr>
      </w:pPr>
      <w:r>
        <w:rPr>
          <w:rFonts w:hint="eastAsia" w:ascii="宋体" w:hAnsi="宋体"/>
          <w:bCs/>
          <w:color w:val="auto"/>
          <w:szCs w:val="21"/>
        </w:rPr>
        <w:t>投标人名称：</w:t>
      </w:r>
    </w:p>
    <w:p>
      <w:pPr>
        <w:pStyle w:val="7"/>
        <w:snapToGrid w:val="0"/>
        <w:spacing w:before="50" w:after="50"/>
        <w:ind w:firstLine="978" w:firstLineChars="466"/>
        <w:rPr>
          <w:rFonts w:ascii="宋体" w:hAnsi="宋体"/>
          <w:bCs/>
          <w:color w:val="auto"/>
          <w:szCs w:val="21"/>
        </w:rPr>
      </w:pPr>
      <w:r>
        <w:rPr>
          <w:rFonts w:hint="eastAsia" w:ascii="宋体" w:hAnsi="宋体"/>
          <w:bCs/>
          <w:color w:val="auto"/>
          <w:szCs w:val="21"/>
        </w:rPr>
        <w:t>投标人地址：</w:t>
      </w:r>
    </w:p>
    <w:p>
      <w:pPr>
        <w:pStyle w:val="7"/>
        <w:snapToGrid w:val="0"/>
        <w:spacing w:before="50" w:after="50"/>
        <w:ind w:firstLine="945" w:firstLineChars="450"/>
        <w:rPr>
          <w:rFonts w:ascii="宋体" w:hAnsi="宋体"/>
          <w:bCs/>
          <w:color w:val="auto"/>
          <w:szCs w:val="21"/>
        </w:rPr>
      </w:pPr>
      <w:r>
        <w:rPr>
          <w:rFonts w:hint="eastAsia" w:ascii="宋体" w:hAnsi="宋体"/>
          <w:bCs/>
          <w:color w:val="auto"/>
          <w:szCs w:val="21"/>
        </w:rPr>
        <w:t>在</w:t>
      </w:r>
      <w:r>
        <w:rPr>
          <w:rFonts w:ascii="宋体" w:hAnsi="宋体"/>
          <w:bCs/>
          <w:color w:val="auto"/>
          <w:szCs w:val="21"/>
        </w:rPr>
        <w:t xml:space="preserve">  </w:t>
      </w:r>
      <w:r>
        <w:rPr>
          <w:rFonts w:hint="eastAsia" w:ascii="宋体" w:hAnsi="宋体"/>
          <w:bCs/>
          <w:color w:val="auto"/>
          <w:szCs w:val="21"/>
        </w:rPr>
        <w:t>年</w:t>
      </w:r>
      <w:r>
        <w:rPr>
          <w:rFonts w:ascii="宋体" w:hAnsi="宋体"/>
          <w:bCs/>
          <w:color w:val="auto"/>
          <w:szCs w:val="21"/>
        </w:rPr>
        <w:t xml:space="preserve">  </w:t>
      </w:r>
      <w:r>
        <w:rPr>
          <w:rFonts w:hint="eastAsia" w:ascii="宋体" w:hAnsi="宋体"/>
          <w:bCs/>
          <w:color w:val="auto"/>
          <w:szCs w:val="21"/>
        </w:rPr>
        <w:t>月</w:t>
      </w:r>
      <w:r>
        <w:rPr>
          <w:rFonts w:ascii="宋体" w:hAnsi="宋体"/>
          <w:bCs/>
          <w:color w:val="auto"/>
          <w:szCs w:val="21"/>
        </w:rPr>
        <w:t xml:space="preserve">  </w:t>
      </w:r>
      <w:r>
        <w:rPr>
          <w:rFonts w:hint="eastAsia" w:ascii="宋体" w:hAnsi="宋体"/>
          <w:bCs/>
          <w:color w:val="auto"/>
          <w:szCs w:val="21"/>
        </w:rPr>
        <w:t>日</w:t>
      </w:r>
      <w:r>
        <w:rPr>
          <w:rFonts w:ascii="宋体" w:hAnsi="宋体"/>
          <w:bCs/>
          <w:color w:val="auto"/>
          <w:szCs w:val="21"/>
        </w:rPr>
        <w:t xml:space="preserve">  </w:t>
      </w:r>
      <w:r>
        <w:rPr>
          <w:rFonts w:hint="eastAsia" w:ascii="宋体" w:hAnsi="宋体"/>
          <w:bCs/>
          <w:color w:val="auto"/>
          <w:szCs w:val="21"/>
        </w:rPr>
        <w:t>时</w:t>
      </w:r>
      <w:r>
        <w:rPr>
          <w:rFonts w:ascii="宋体" w:hAnsi="宋体"/>
          <w:bCs/>
          <w:color w:val="auto"/>
          <w:szCs w:val="21"/>
        </w:rPr>
        <w:t xml:space="preserve">  </w:t>
      </w:r>
      <w:r>
        <w:rPr>
          <w:rFonts w:hint="eastAsia" w:ascii="宋体" w:hAnsi="宋体"/>
          <w:bCs/>
          <w:color w:val="auto"/>
          <w:szCs w:val="21"/>
        </w:rPr>
        <w:t>分之前不得启封</w:t>
      </w:r>
    </w:p>
    <w:p>
      <w:pPr>
        <w:pStyle w:val="7"/>
        <w:snapToGrid w:val="0"/>
        <w:spacing w:before="50" w:after="50"/>
        <w:ind w:firstLine="873" w:firstLineChars="416"/>
        <w:rPr>
          <w:rFonts w:ascii="宋体" w:hAnsi="宋体"/>
          <w:color w:val="auto"/>
          <w:szCs w:val="21"/>
        </w:rPr>
      </w:pPr>
    </w:p>
    <w:p>
      <w:pPr>
        <w:snapToGrid w:val="0"/>
        <w:spacing w:before="120" w:beforeLines="50" w:after="50"/>
        <w:ind w:firstLine="645"/>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napToGrid w:val="0"/>
        <w:spacing w:before="120" w:beforeLines="50" w:after="50"/>
        <w:rPr>
          <w:rFonts w:hint="eastAsia" w:ascii="宋体" w:hAnsi="宋体"/>
          <w:b/>
          <w:color w:val="auto"/>
          <w:szCs w:val="21"/>
        </w:rPr>
      </w:pPr>
    </w:p>
    <w:p>
      <w:pPr>
        <w:snapToGrid w:val="0"/>
        <w:spacing w:before="120" w:beforeLines="50" w:after="50"/>
        <w:rPr>
          <w:rFonts w:ascii="宋体" w:hAnsi="宋体"/>
          <w:b/>
          <w:color w:val="auto"/>
          <w:szCs w:val="21"/>
        </w:rPr>
      </w:pPr>
      <w:r>
        <w:rPr>
          <w:rFonts w:hint="eastAsia" w:ascii="宋体" w:hAnsi="宋体"/>
          <w:b/>
          <w:color w:val="auto"/>
          <w:szCs w:val="21"/>
        </w:rPr>
        <w:t>2.</w:t>
      </w:r>
      <w:r>
        <w:rPr>
          <w:rFonts w:hint="eastAsia" w:ascii="宋体" w:hAnsi="宋体"/>
          <w:b/>
          <w:color w:val="auto"/>
          <w:szCs w:val="21"/>
          <w:lang w:eastAsia="zh-CN"/>
        </w:rPr>
        <w:t>技术商务文件</w:t>
      </w:r>
      <w:r>
        <w:rPr>
          <w:rFonts w:hint="eastAsia" w:ascii="宋体" w:hAnsi="宋体"/>
          <w:b/>
          <w:color w:val="auto"/>
          <w:szCs w:val="21"/>
        </w:rPr>
        <w:t>封面格式：</w:t>
      </w:r>
      <w:r>
        <w:rPr>
          <w:rFonts w:ascii="宋体" w:hAnsi="宋体"/>
          <w:b/>
          <w:color w:val="auto"/>
          <w:szCs w:val="21"/>
        </w:rPr>
        <w:t xml:space="preserve"> </w:t>
      </w:r>
    </w:p>
    <w:p>
      <w:pPr>
        <w:snapToGrid w:val="0"/>
        <w:spacing w:before="120" w:beforeLines="50" w:after="50"/>
        <w:rPr>
          <w:rFonts w:ascii="宋体" w:hAnsi="宋体"/>
          <w:b/>
          <w:bCs/>
          <w:color w:val="auto"/>
          <w:szCs w:val="21"/>
        </w:rPr>
      </w:pPr>
      <w:r>
        <w:rPr>
          <w:rFonts w:ascii="宋体" w:hAnsi="宋体"/>
          <w:color w:val="auto"/>
          <w:sz w:val="24"/>
        </w:rPr>
        <w:t xml:space="preserve">                     </w:t>
      </w:r>
      <w:r>
        <w:rPr>
          <w:rFonts w:ascii="宋体" w:hAnsi="宋体"/>
          <w:color w:val="auto"/>
          <w:szCs w:val="21"/>
        </w:rPr>
        <w:t xml:space="preserve">                               </w:t>
      </w:r>
      <w:r>
        <w:rPr>
          <w:rFonts w:hint="eastAsia" w:ascii="宋体" w:hAnsi="宋体"/>
          <w:b/>
          <w:bCs/>
          <w:color w:val="auto"/>
          <w:szCs w:val="21"/>
        </w:rPr>
        <w:t>正本</w:t>
      </w:r>
      <w:r>
        <w:rPr>
          <w:rFonts w:ascii="宋体" w:hAnsi="宋体"/>
          <w:b/>
          <w:bCs/>
          <w:color w:val="auto"/>
          <w:szCs w:val="21"/>
        </w:rPr>
        <w:t>/</w:t>
      </w:r>
      <w:r>
        <w:rPr>
          <w:rFonts w:hint="eastAsia" w:ascii="宋体" w:hAnsi="宋体"/>
          <w:b/>
          <w:bCs/>
          <w:color w:val="auto"/>
          <w:szCs w:val="21"/>
        </w:rPr>
        <w:t>或副本</w:t>
      </w:r>
    </w:p>
    <w:p>
      <w:pPr>
        <w:snapToGrid w:val="0"/>
        <w:spacing w:before="120" w:beforeLines="50" w:after="50"/>
        <w:jc w:val="center"/>
        <w:rPr>
          <w:rFonts w:ascii="宋体" w:hAnsi="宋体"/>
          <w:bCs/>
          <w:color w:val="auto"/>
          <w:szCs w:val="21"/>
        </w:rPr>
      </w:pPr>
    </w:p>
    <w:p>
      <w:pPr>
        <w:snapToGrid w:val="0"/>
        <w:spacing w:before="120" w:beforeLines="50" w:after="50"/>
        <w:jc w:val="center"/>
        <w:rPr>
          <w:rFonts w:hint="eastAsia" w:ascii="宋体" w:hAnsi="宋体" w:eastAsia="宋体"/>
          <w:bCs/>
          <w:color w:val="auto"/>
          <w:szCs w:val="21"/>
          <w:lang w:eastAsia="zh-CN"/>
        </w:rPr>
      </w:pPr>
      <w:r>
        <w:rPr>
          <w:rFonts w:hint="eastAsia" w:ascii="宋体" w:hAnsi="宋体"/>
          <w:bCs/>
          <w:color w:val="auto"/>
          <w:szCs w:val="21"/>
          <w:lang w:eastAsia="zh-CN"/>
        </w:rPr>
        <w:t>技术商务文件</w:t>
      </w:r>
    </w:p>
    <w:p>
      <w:pPr>
        <w:snapToGrid w:val="0"/>
        <w:spacing w:before="120" w:beforeLines="50" w:after="50"/>
        <w:rPr>
          <w:rFonts w:ascii="宋体" w:hAnsi="宋体"/>
          <w:bCs/>
          <w:color w:val="auto"/>
          <w:szCs w:val="21"/>
        </w:rPr>
      </w:pP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项目名称：</w:t>
      </w: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w:t>
      </w:r>
      <w:r>
        <w:rPr>
          <w:rFonts w:hint="eastAsia" w:ascii="宋体" w:hAnsi="宋体"/>
          <w:bCs/>
          <w:color w:val="auto"/>
          <w:szCs w:val="21"/>
        </w:rPr>
        <w:t>编号：</w:t>
      </w:r>
      <w:r>
        <w:rPr>
          <w:rFonts w:ascii="宋体" w:hAnsi="宋体"/>
          <w:bCs/>
          <w:color w:val="auto"/>
          <w:szCs w:val="21"/>
        </w:rPr>
        <w:t xml:space="preserve"> </w:t>
      </w:r>
    </w:p>
    <w:p>
      <w:pPr>
        <w:snapToGrid w:val="0"/>
        <w:spacing w:before="120" w:beforeLines="50" w:after="50"/>
        <w:ind w:firstLine="934" w:firstLineChars="445"/>
        <w:rPr>
          <w:rFonts w:hint="eastAsia" w:ascii="宋体" w:hAnsi="宋体" w:eastAsia="宋体"/>
          <w:bCs/>
          <w:color w:val="auto"/>
          <w:szCs w:val="21"/>
          <w:lang w:eastAsia="zh-CN"/>
        </w:rPr>
      </w:pPr>
      <w:r>
        <w:rPr>
          <w:rFonts w:hint="eastAsia" w:ascii="宋体" w:hAnsi="宋体"/>
          <w:bCs/>
          <w:color w:val="auto"/>
          <w:szCs w:val="21"/>
        </w:rPr>
        <w:t>子包号</w:t>
      </w:r>
      <w:r>
        <w:rPr>
          <w:rFonts w:hint="eastAsia" w:ascii="宋体" w:hAnsi="宋体"/>
          <w:bCs/>
          <w:color w:val="auto"/>
          <w:szCs w:val="21"/>
          <w:lang w:eastAsia="zh-CN"/>
        </w:rPr>
        <w:t>：</w:t>
      </w:r>
    </w:p>
    <w:p>
      <w:pPr>
        <w:snapToGrid w:val="0"/>
        <w:spacing w:before="120" w:beforeLines="50" w:after="50"/>
        <w:ind w:firstLine="934" w:firstLineChars="445"/>
        <w:rPr>
          <w:rFonts w:hint="eastAsia" w:ascii="宋体" w:hAnsi="宋体"/>
          <w:bCs/>
          <w:color w:val="auto"/>
          <w:szCs w:val="21"/>
        </w:rPr>
      </w:pPr>
      <w:r>
        <w:rPr>
          <w:rFonts w:hint="eastAsia" w:ascii="宋体" w:hAnsi="宋体"/>
          <w:bCs/>
          <w:color w:val="auto"/>
          <w:szCs w:val="21"/>
        </w:rPr>
        <w:t>投标人名称：</w:t>
      </w:r>
    </w:p>
    <w:p>
      <w:pPr>
        <w:snapToGrid w:val="0"/>
        <w:spacing w:before="120" w:beforeLines="50" w:after="50"/>
        <w:ind w:firstLine="934" w:firstLineChars="445"/>
        <w:rPr>
          <w:rFonts w:hint="eastAsia" w:ascii="宋体" w:hAnsi="宋体"/>
          <w:bCs/>
          <w:color w:val="auto"/>
          <w:szCs w:val="21"/>
        </w:rPr>
      </w:pPr>
      <w:r>
        <w:rPr>
          <w:rFonts w:hint="eastAsia" w:ascii="宋体" w:hAnsi="宋体"/>
          <w:bCs/>
          <w:color w:val="auto"/>
          <w:szCs w:val="21"/>
        </w:rPr>
        <w:t>投标人地址：</w:t>
      </w:r>
    </w:p>
    <w:p>
      <w:pPr>
        <w:pStyle w:val="7"/>
        <w:snapToGrid w:val="0"/>
        <w:spacing w:before="50" w:after="50"/>
        <w:ind w:firstLine="840" w:firstLineChars="400"/>
        <w:rPr>
          <w:rFonts w:ascii="宋体" w:hAnsi="宋体"/>
          <w:bCs/>
          <w:color w:val="auto"/>
          <w:szCs w:val="21"/>
        </w:rPr>
      </w:pPr>
    </w:p>
    <w:p>
      <w:pPr>
        <w:pStyle w:val="7"/>
        <w:snapToGrid w:val="0"/>
        <w:spacing w:before="50" w:after="50"/>
        <w:ind w:firstLine="873" w:firstLineChars="416"/>
        <w:rPr>
          <w:rFonts w:ascii="宋体" w:hAnsi="宋体"/>
          <w:color w:val="auto"/>
          <w:szCs w:val="21"/>
        </w:rPr>
      </w:pPr>
    </w:p>
    <w:p>
      <w:pPr>
        <w:snapToGrid w:val="0"/>
        <w:spacing w:before="120" w:beforeLines="50" w:after="50"/>
        <w:ind w:firstLine="3570" w:firstLineChars="1700"/>
        <w:rPr>
          <w:rFonts w:ascii="宋体" w:hAnsi="宋体"/>
          <w:color w:val="auto"/>
          <w:szCs w:val="21"/>
        </w:rPr>
      </w:pPr>
    </w:p>
    <w:p>
      <w:pPr>
        <w:snapToGrid w:val="0"/>
        <w:spacing w:before="120" w:beforeLines="50" w:after="50"/>
        <w:ind w:firstLine="645"/>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pacing w:line="360" w:lineRule="auto"/>
        <w:rPr>
          <w:rFonts w:ascii="宋体" w:hAnsi="宋体"/>
          <w:b/>
          <w:color w:val="auto"/>
          <w:szCs w:val="21"/>
        </w:rPr>
      </w:pPr>
      <w:r>
        <w:rPr>
          <w:rFonts w:ascii="宋体" w:hAnsi="宋体"/>
          <w:color w:val="auto"/>
        </w:rPr>
        <w:br w:type="page"/>
      </w:r>
      <w:r>
        <w:rPr>
          <w:rFonts w:hint="eastAsia" w:ascii="宋体" w:hAnsi="宋体"/>
          <w:b/>
          <w:color w:val="auto"/>
          <w:szCs w:val="21"/>
          <w:lang w:val="en-US" w:eastAsia="zh-CN"/>
        </w:rPr>
        <w:t>3</w:t>
      </w:r>
      <w:r>
        <w:rPr>
          <w:rFonts w:hint="eastAsia" w:ascii="宋体" w:hAnsi="宋体"/>
          <w:b/>
          <w:color w:val="auto"/>
          <w:szCs w:val="21"/>
        </w:rPr>
        <w:t>、法定代表人授权委托书格式：（授权代表参加投标的须提供）</w:t>
      </w: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宋体" w:hAnsi="宋体"/>
          <w:color w:val="auto"/>
          <w:sz w:val="30"/>
          <w:szCs w:val="20"/>
        </w:rPr>
      </w:pPr>
    </w:p>
    <w:p>
      <w:pPr>
        <w:snapToGrid w:val="0"/>
        <w:spacing w:before="120" w:beforeLines="50" w:after="50"/>
        <w:jc w:val="center"/>
        <w:rPr>
          <w:rFonts w:ascii="宋体" w:hAnsi="宋体"/>
          <w:b/>
          <w:color w:val="auto"/>
          <w:szCs w:val="21"/>
        </w:rPr>
      </w:pPr>
      <w:r>
        <w:rPr>
          <w:rFonts w:hint="eastAsia" w:ascii="宋体" w:hAnsi="宋体"/>
          <w:b/>
          <w:color w:val="auto"/>
          <w:szCs w:val="21"/>
        </w:rPr>
        <w:t>法定代表人授权委托书</w:t>
      </w:r>
    </w:p>
    <w:p>
      <w:pPr>
        <w:snapToGrid w:val="0"/>
        <w:spacing w:before="120" w:beforeLines="50" w:after="50"/>
        <w:rPr>
          <w:rFonts w:ascii="宋体" w:hAnsi="宋体"/>
          <w:b/>
          <w:bCs/>
          <w:color w:val="auto"/>
          <w:szCs w:val="21"/>
        </w:rPr>
      </w:pPr>
      <w:r>
        <w:rPr>
          <w:rFonts w:hint="eastAsia" w:ascii="宋体" w:hAnsi="宋体"/>
          <w:bCs/>
          <w:color w:val="auto"/>
          <w:szCs w:val="21"/>
        </w:rPr>
        <w:t>致：</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（采购人名称）</w:t>
      </w:r>
      <w:r>
        <w:rPr>
          <w:rFonts w:ascii="宋体" w:hAnsi="宋体"/>
          <w:b/>
          <w:bCs/>
          <w:color w:val="auto"/>
          <w:szCs w:val="21"/>
        </w:rPr>
        <w:t xml:space="preserve"> </w:t>
      </w:r>
      <w:r>
        <w:rPr>
          <w:rFonts w:hint="eastAsia" w:ascii="宋体" w:hAnsi="宋体"/>
          <w:color w:val="auto"/>
          <w:szCs w:val="21"/>
        </w:rPr>
        <w:t>：</w:t>
      </w:r>
    </w:p>
    <w:p>
      <w:pPr>
        <w:snapToGrid w:val="0"/>
        <w:spacing w:before="120" w:beforeLines="50" w:after="50"/>
        <w:ind w:firstLine="630" w:firstLineChars="300"/>
        <w:rPr>
          <w:rFonts w:ascii="宋体" w:hAnsi="宋体"/>
          <w:color w:val="auto"/>
          <w:szCs w:val="21"/>
        </w:rPr>
      </w:pPr>
      <w:r>
        <w:rPr>
          <w:rFonts w:hint="eastAsia" w:ascii="宋体" w:hAnsi="宋体"/>
          <w:color w:val="auto"/>
          <w:szCs w:val="21"/>
        </w:rPr>
        <w:t>我</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（姓名）系</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（投标人名称）的法定代表人，现授权委托本单位在职职工</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rPr>
        <w:t>（姓名）以我方的名义参加</w:t>
      </w:r>
      <w:r>
        <w:rPr>
          <w:rFonts w:ascii="宋体" w:hAnsi="宋体"/>
          <w:color w:val="auto"/>
          <w:szCs w:val="21"/>
          <w:u w:val="single"/>
        </w:rPr>
        <w:t xml:space="preserve"> </w:t>
      </w:r>
      <w:r>
        <w:rPr>
          <w:rFonts w:hint="eastAsia" w:ascii="宋体" w:hAnsi="宋体"/>
          <w:color w:val="auto"/>
          <w:szCs w:val="21"/>
          <w:u w:val="single"/>
        </w:rPr>
        <w:t>项目名称</w:t>
      </w:r>
      <w:r>
        <w:rPr>
          <w:rFonts w:ascii="宋体" w:hAnsi="宋体"/>
          <w:color w:val="auto"/>
          <w:szCs w:val="21"/>
          <w:u w:val="single"/>
        </w:rPr>
        <w:t xml:space="preserve">   </w:t>
      </w:r>
      <w:r>
        <w:rPr>
          <w:rFonts w:hint="eastAsia" w:ascii="宋体" w:hAnsi="宋体"/>
          <w:color w:val="auto"/>
          <w:szCs w:val="21"/>
        </w:rPr>
        <w:t>项目的投标活动，并代表我方全权办理针对上述项目的投标、开标、评标、签约过程等具体事务和签署相关文件。</w:t>
      </w:r>
    </w:p>
    <w:p>
      <w:pPr>
        <w:snapToGrid w:val="0"/>
        <w:spacing w:before="120" w:beforeLines="50" w:after="50"/>
        <w:rPr>
          <w:rFonts w:ascii="宋体" w:hAnsi="宋体"/>
          <w:color w:val="auto"/>
          <w:szCs w:val="21"/>
        </w:rPr>
      </w:pPr>
      <w:r>
        <w:rPr>
          <w:rFonts w:ascii="宋体" w:hAnsi="宋体"/>
          <w:color w:val="auto"/>
          <w:szCs w:val="21"/>
        </w:rPr>
        <w:t xml:space="preserve">    </w:t>
      </w:r>
      <w:r>
        <w:rPr>
          <w:rFonts w:hint="eastAsia" w:ascii="宋体" w:hAnsi="宋体"/>
          <w:color w:val="auto"/>
          <w:szCs w:val="21"/>
        </w:rPr>
        <w:t>我方对被授权人的签名事项负全部责任。</w:t>
      </w:r>
    </w:p>
    <w:p>
      <w:pPr>
        <w:snapToGrid w:val="0"/>
        <w:spacing w:before="120" w:beforeLines="50" w:after="50"/>
        <w:ind w:firstLine="480"/>
        <w:rPr>
          <w:rFonts w:ascii="宋体" w:hAnsi="宋体"/>
          <w:color w:val="auto"/>
          <w:szCs w:val="21"/>
        </w:rPr>
      </w:pPr>
      <w:r>
        <w:rPr>
          <w:rFonts w:hint="eastAsia" w:ascii="宋体" w:hAnsi="宋体"/>
          <w:color w:val="auto"/>
          <w:szCs w:val="21"/>
          <w:u w:val="single"/>
        </w:rPr>
        <w:t>在撤销授权的书面通知以前，本授权书一直有效。</w:t>
      </w:r>
      <w:r>
        <w:rPr>
          <w:rFonts w:hint="eastAsia" w:ascii="宋体" w:hAnsi="宋体"/>
          <w:color w:val="auto"/>
          <w:szCs w:val="21"/>
        </w:rPr>
        <w:t>被授权人在授权书有效期内签署的所有文件不因授权的撤销而失效。</w:t>
      </w:r>
    </w:p>
    <w:p>
      <w:pPr>
        <w:snapToGrid w:val="0"/>
        <w:spacing w:before="120" w:beforeLines="50" w:after="50"/>
        <w:ind w:firstLine="480"/>
        <w:rPr>
          <w:rFonts w:ascii="宋体" w:hAnsi="宋体"/>
          <w:color w:val="auto"/>
          <w:szCs w:val="21"/>
        </w:rPr>
      </w:pPr>
      <w:r>
        <w:rPr>
          <w:rFonts w:hint="eastAsia" w:ascii="宋体" w:hAnsi="宋体"/>
          <w:color w:val="auto"/>
          <w:szCs w:val="21"/>
        </w:rPr>
        <w:t>被授权人无转委托权，特此委托。</w:t>
      </w:r>
    </w:p>
    <w:p>
      <w:pPr>
        <w:snapToGrid w:val="0"/>
        <w:spacing w:before="120" w:beforeLines="50" w:after="50"/>
        <w:rPr>
          <w:rFonts w:ascii="宋体" w:hAnsi="宋体"/>
          <w:color w:val="auto"/>
          <w:szCs w:val="21"/>
        </w:rPr>
      </w:pPr>
    </w:p>
    <w:p>
      <w:pPr>
        <w:snapToGrid w:val="0"/>
        <w:spacing w:before="120" w:beforeLines="50" w:after="50"/>
        <w:rPr>
          <w:rFonts w:ascii="宋体" w:hAnsi="宋体"/>
          <w:color w:val="auto"/>
          <w:szCs w:val="21"/>
          <w:u w:val="single"/>
        </w:rPr>
      </w:pPr>
      <w:r>
        <w:rPr>
          <w:rFonts w:hint="eastAsia" w:ascii="宋体" w:hAnsi="宋体"/>
          <w:color w:val="auto"/>
          <w:szCs w:val="21"/>
        </w:rPr>
        <w:t>被授权人签名：</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法定代表人签名：</w:t>
      </w:r>
      <w:r>
        <w:rPr>
          <w:rFonts w:ascii="宋体" w:hAnsi="宋体"/>
          <w:color w:val="auto"/>
          <w:szCs w:val="21"/>
          <w:u w:val="single"/>
        </w:rPr>
        <w:t xml:space="preserve">          </w:t>
      </w:r>
    </w:p>
    <w:p>
      <w:pPr>
        <w:snapToGrid w:val="0"/>
        <w:spacing w:before="120" w:beforeLines="50" w:after="50"/>
        <w:ind w:firstLine="840" w:firstLineChars="400"/>
        <w:rPr>
          <w:rFonts w:ascii="宋体" w:hAnsi="宋体"/>
          <w:color w:val="auto"/>
          <w:szCs w:val="21"/>
        </w:rPr>
      </w:pPr>
      <w:r>
        <w:rPr>
          <w:rFonts w:hint="eastAsia" w:ascii="宋体" w:hAnsi="宋体"/>
          <w:color w:val="auto"/>
          <w:szCs w:val="21"/>
        </w:rPr>
        <w:t>职务：</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职务：</w:t>
      </w:r>
      <w:r>
        <w:rPr>
          <w:rFonts w:ascii="宋体" w:hAnsi="宋体"/>
          <w:color w:val="auto"/>
          <w:szCs w:val="21"/>
          <w:u w:val="single"/>
        </w:rPr>
        <w:t xml:space="preserve">           </w:t>
      </w:r>
    </w:p>
    <w:p>
      <w:pPr>
        <w:snapToGrid w:val="0"/>
        <w:spacing w:before="120" w:beforeLines="50" w:after="50"/>
        <w:rPr>
          <w:rFonts w:ascii="宋体" w:hAnsi="宋体"/>
          <w:color w:val="auto"/>
          <w:szCs w:val="21"/>
        </w:rPr>
      </w:pPr>
      <w:r>
        <w:rPr>
          <w:rFonts w:hint="eastAsia" w:ascii="宋体" w:hAnsi="宋体"/>
          <w:color w:val="auto"/>
          <w:szCs w:val="21"/>
        </w:rPr>
        <w:t>被授权人身份证号码：</w:t>
      </w:r>
      <w:r>
        <w:rPr>
          <w:rFonts w:ascii="宋体" w:hAnsi="宋体"/>
          <w:color w:val="auto"/>
          <w:szCs w:val="21"/>
          <w:u w:val="single"/>
        </w:rPr>
        <w:t xml:space="preserve">                             </w:t>
      </w:r>
      <w:r>
        <w:rPr>
          <w:rFonts w:ascii="宋体" w:hAnsi="宋体"/>
          <w:color w:val="auto"/>
          <w:szCs w:val="21"/>
        </w:rPr>
        <w:t xml:space="preserve"> </w:t>
      </w:r>
    </w:p>
    <w:p>
      <w:pPr>
        <w:snapToGrid w:val="0"/>
        <w:spacing w:before="120" w:beforeLines="50" w:after="50"/>
        <w:rPr>
          <w:rFonts w:ascii="宋体" w:hAnsi="宋体"/>
          <w:color w:val="auto"/>
          <w:szCs w:val="21"/>
        </w:rPr>
      </w:pPr>
      <w:r>
        <w:rPr>
          <w:rFonts w:ascii="宋体" w:hAnsi="宋体"/>
          <w:color w:val="auto"/>
          <w:szCs w:val="21"/>
        </w:rPr>
        <w:t xml:space="preserve">                                     </w:t>
      </w:r>
      <w:r>
        <w:rPr>
          <w:rFonts w:hint="eastAsia" w:ascii="宋体" w:hAnsi="宋体"/>
          <w:color w:val="auto"/>
          <w:szCs w:val="21"/>
        </w:rPr>
        <w:t>投标人公章：</w:t>
      </w:r>
    </w:p>
    <w:p>
      <w:pPr>
        <w:snapToGrid w:val="0"/>
        <w:spacing w:before="120" w:beforeLines="50" w:after="50"/>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pacing w:line="360" w:lineRule="auto"/>
        <w:rPr>
          <w:rFonts w:ascii="宋体" w:hAnsi="宋体"/>
          <w:color w:val="auto"/>
          <w:szCs w:val="21"/>
        </w:rPr>
      </w:pPr>
      <w:r>
        <w:rPr>
          <w:rFonts w:hint="eastAsia" w:ascii="宋体" w:hAnsi="宋体"/>
          <w:color w:val="auto"/>
          <w:szCs w:val="21"/>
        </w:rPr>
        <w:t>附：1、授权代表身份证复印件（正反面）；</w:t>
      </w:r>
    </w:p>
    <w:p>
      <w:pPr>
        <w:spacing w:line="360" w:lineRule="auto"/>
        <w:ind w:firstLine="420" w:firstLineChars="200"/>
        <w:rPr>
          <w:rFonts w:hint="eastAsia" w:ascii="宋体" w:hAnsi="宋体"/>
          <w:color w:val="auto"/>
          <w:szCs w:val="21"/>
        </w:rPr>
      </w:pPr>
      <w:r>
        <w:rPr>
          <w:rFonts w:hint="eastAsia" w:ascii="宋体" w:hAnsi="宋体"/>
          <w:color w:val="auto"/>
          <w:szCs w:val="21"/>
        </w:rPr>
        <w:t>2、授权代表社保证明；</w:t>
      </w:r>
    </w:p>
    <w:p>
      <w:pPr>
        <w:pStyle w:val="7"/>
        <w:ind w:left="0" w:leftChars="0" w:firstLine="0" w:firstLineChars="0"/>
        <w:rPr>
          <w:rFonts w:hint="eastAsia"/>
        </w:rPr>
      </w:pPr>
    </w:p>
    <w:p>
      <w:pPr>
        <w:snapToGrid w:val="0"/>
        <w:spacing w:before="120" w:beforeLines="50" w:after="50"/>
        <w:rPr>
          <w:rFonts w:hint="eastAsia" w:ascii="宋体" w:hAnsi="宋体"/>
          <w:b/>
          <w:color w:val="auto"/>
          <w:szCs w:val="21"/>
          <w:lang w:eastAsia="zh-CN"/>
        </w:rPr>
      </w:pPr>
      <w:r>
        <w:rPr>
          <w:rFonts w:hint="eastAsia" w:ascii="宋体" w:hAnsi="宋体"/>
          <w:b/>
          <w:color w:val="auto"/>
          <w:szCs w:val="21"/>
          <w:lang w:val="en-US" w:eastAsia="zh-CN"/>
        </w:rPr>
        <w:t>4</w:t>
      </w:r>
      <w:r>
        <w:rPr>
          <w:rFonts w:hint="eastAsia" w:ascii="宋体" w:hAnsi="宋体"/>
          <w:b/>
          <w:color w:val="auto"/>
          <w:szCs w:val="21"/>
          <w:lang w:eastAsia="zh-CN"/>
        </w:rPr>
        <w:t>、法定代表人身份证明格式：（法定代表人参加投标的须提供）</w:t>
      </w:r>
    </w:p>
    <w:p>
      <w:pPr>
        <w:rPr>
          <w:rFonts w:hint="eastAsia" w:ascii="宋体" w:hAnsi="宋体"/>
          <w:color w:val="auto"/>
          <w:szCs w:val="21"/>
        </w:rPr>
      </w:pPr>
    </w:p>
    <w:p>
      <w:pPr>
        <w:jc w:val="center"/>
        <w:rPr>
          <w:rFonts w:hint="eastAsia" w:ascii="宋体" w:hAnsi="宋体"/>
          <w:b/>
          <w:color w:val="auto"/>
          <w:szCs w:val="21"/>
        </w:rPr>
      </w:pPr>
      <w:r>
        <w:rPr>
          <w:rFonts w:hint="eastAsia" w:ascii="宋体" w:hAnsi="宋体"/>
          <w:b/>
          <w:color w:val="auto"/>
          <w:szCs w:val="21"/>
        </w:rPr>
        <w:t>法定代表人身份证明</w:t>
      </w:r>
    </w:p>
    <w:p>
      <w:pPr>
        <w:snapToGrid w:val="0"/>
        <w:spacing w:before="120" w:beforeLines="50" w:after="50"/>
        <w:rPr>
          <w:rFonts w:ascii="宋体" w:hAnsi="宋体"/>
          <w:b/>
          <w:bCs/>
          <w:color w:val="auto"/>
          <w:szCs w:val="21"/>
        </w:rPr>
      </w:pPr>
      <w:r>
        <w:rPr>
          <w:rFonts w:hint="eastAsia" w:ascii="宋体" w:hAnsi="宋体"/>
          <w:bCs/>
          <w:color w:val="auto"/>
          <w:szCs w:val="21"/>
        </w:rPr>
        <w:t>致：</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（采购人名称）</w:t>
      </w:r>
      <w:r>
        <w:rPr>
          <w:rFonts w:ascii="宋体" w:hAnsi="宋体"/>
          <w:b/>
          <w:bCs/>
          <w:color w:val="auto"/>
          <w:szCs w:val="21"/>
        </w:rPr>
        <w:t xml:space="preserve"> </w:t>
      </w:r>
      <w:r>
        <w:rPr>
          <w:rFonts w:hint="eastAsia" w:ascii="宋体" w:hAnsi="宋体"/>
          <w:color w:val="auto"/>
          <w:szCs w:val="21"/>
        </w:rPr>
        <w:t>：</w:t>
      </w:r>
    </w:p>
    <w:p>
      <w:pPr>
        <w:snapToGrid w:val="0"/>
        <w:spacing w:before="120" w:beforeLines="50" w:after="50"/>
        <w:ind w:firstLine="630" w:firstLineChars="300"/>
        <w:rPr>
          <w:rFonts w:ascii="宋体" w:hAnsi="宋体"/>
          <w:color w:val="auto"/>
          <w:szCs w:val="21"/>
        </w:rPr>
      </w:pPr>
      <w:r>
        <w:rPr>
          <w:rFonts w:hint="eastAsia" w:ascii="宋体" w:hAnsi="宋体"/>
          <w:color w:val="auto"/>
          <w:szCs w:val="21"/>
        </w:rPr>
        <w:t>我单位</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（投标人名称）的法定代表人为</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，与我单位营业执照的法定代表人一致，现由其参加</w:t>
      </w:r>
      <w:r>
        <w:rPr>
          <w:rFonts w:ascii="宋体" w:hAnsi="宋体"/>
          <w:color w:val="auto"/>
          <w:szCs w:val="21"/>
          <w:u w:val="single"/>
        </w:rPr>
        <w:t xml:space="preserve"> </w:t>
      </w:r>
      <w:r>
        <w:rPr>
          <w:rFonts w:hint="eastAsia" w:ascii="宋体" w:hAnsi="宋体"/>
          <w:color w:val="auto"/>
          <w:szCs w:val="21"/>
          <w:u w:val="single"/>
        </w:rPr>
        <w:t>项目名称</w:t>
      </w:r>
      <w:r>
        <w:rPr>
          <w:rFonts w:ascii="宋体" w:hAnsi="宋体"/>
          <w:color w:val="auto"/>
          <w:szCs w:val="21"/>
          <w:u w:val="single"/>
        </w:rPr>
        <w:t xml:space="preserve">   </w:t>
      </w:r>
      <w:r>
        <w:rPr>
          <w:rFonts w:hint="eastAsia" w:ascii="宋体" w:hAnsi="宋体"/>
          <w:color w:val="auto"/>
          <w:szCs w:val="21"/>
        </w:rPr>
        <w:t>项目的投标活动，并代表我方全权办理针对上述项目的投标、开标、评标、签约等过程具体事务和签署相关文件。</w:t>
      </w:r>
    </w:p>
    <w:p>
      <w:pPr>
        <w:rPr>
          <w:rFonts w:hint="eastAsia" w:ascii="宋体" w:hAnsi="宋体"/>
          <w:color w:val="auto"/>
          <w:szCs w:val="21"/>
        </w:rPr>
      </w:pPr>
      <w:r>
        <w:rPr>
          <w:rFonts w:hint="eastAsia" w:ascii="宋体" w:hAnsi="宋体"/>
          <w:color w:val="auto"/>
          <w:szCs w:val="21"/>
        </w:rPr>
        <w:t>法定代表人信息如下：</w:t>
      </w:r>
    </w:p>
    <w:p>
      <w:pPr>
        <w:jc w:val="center"/>
        <w:rPr>
          <w:rFonts w:ascii="宋体" w:hAnsi="宋体"/>
          <w:b/>
          <w:color w:val="auto"/>
          <w:szCs w:val="21"/>
        </w:rPr>
      </w:pPr>
    </w:p>
    <w:p>
      <w:pPr>
        <w:spacing w:line="480" w:lineRule="auto"/>
        <w:ind w:firstLine="420" w:firstLineChars="200"/>
        <w:rPr>
          <w:rFonts w:ascii="宋体" w:hAnsi="宋体"/>
          <w:color w:val="auto"/>
          <w:szCs w:val="21"/>
        </w:rPr>
      </w:pPr>
      <w:r>
        <w:rPr>
          <w:rFonts w:hint="eastAsia" w:ascii="宋体" w:hAnsi="宋体"/>
          <w:color w:val="auto"/>
          <w:szCs w:val="21"/>
        </w:rPr>
        <w:t>姓名：</w:t>
      </w:r>
      <w:r>
        <w:rPr>
          <w:rFonts w:hint="eastAsia" w:ascii="宋体" w:hAnsi="宋体"/>
          <w:color w:val="auto"/>
          <w:szCs w:val="21"/>
          <w:u w:val="single"/>
        </w:rPr>
        <w:t xml:space="preserve">       </w:t>
      </w:r>
      <w:r>
        <w:rPr>
          <w:rFonts w:hint="eastAsia" w:ascii="宋体" w:hAnsi="宋体"/>
          <w:color w:val="auto"/>
          <w:szCs w:val="21"/>
        </w:rPr>
        <w:t>性别：</w:t>
      </w:r>
      <w:r>
        <w:rPr>
          <w:rFonts w:hint="eastAsia" w:ascii="宋体" w:hAnsi="宋体"/>
          <w:color w:val="auto"/>
          <w:szCs w:val="21"/>
          <w:u w:val="single"/>
        </w:rPr>
        <w:t xml:space="preserve">      </w:t>
      </w:r>
      <w:r>
        <w:rPr>
          <w:rFonts w:hint="eastAsia" w:ascii="宋体" w:hAnsi="宋体"/>
          <w:color w:val="auto"/>
          <w:szCs w:val="21"/>
        </w:rPr>
        <w:t>年龄：</w:t>
      </w:r>
      <w:r>
        <w:rPr>
          <w:rFonts w:hint="eastAsia" w:ascii="宋体" w:hAnsi="宋体"/>
          <w:color w:val="auto"/>
          <w:szCs w:val="21"/>
          <w:u w:val="single"/>
        </w:rPr>
        <w:t xml:space="preserve">      </w:t>
      </w:r>
      <w:r>
        <w:rPr>
          <w:rFonts w:hint="eastAsia" w:ascii="宋体" w:hAnsi="宋体"/>
          <w:color w:val="auto"/>
          <w:szCs w:val="21"/>
        </w:rPr>
        <w:t>职务：</w:t>
      </w:r>
      <w:r>
        <w:rPr>
          <w:rFonts w:hint="eastAsia" w:ascii="宋体" w:hAnsi="宋体"/>
          <w:color w:val="auto"/>
          <w:szCs w:val="21"/>
          <w:u w:val="single"/>
        </w:rPr>
        <w:t xml:space="preserve">   </w:t>
      </w:r>
      <w:r>
        <w:rPr>
          <w:rFonts w:hint="eastAsia" w:ascii="宋体" w:hAnsi="宋体"/>
          <w:color w:val="auto"/>
          <w:szCs w:val="21"/>
        </w:rPr>
        <w:t>_</w:t>
      </w:r>
    </w:p>
    <w:p>
      <w:pPr>
        <w:spacing w:line="480" w:lineRule="auto"/>
        <w:ind w:firstLine="420" w:firstLineChars="200"/>
        <w:rPr>
          <w:rFonts w:ascii="宋体" w:hAnsi="宋体"/>
          <w:color w:val="auto"/>
          <w:szCs w:val="21"/>
          <w:u w:val="single"/>
        </w:rPr>
      </w:pPr>
      <w:r>
        <w:rPr>
          <w:rFonts w:hint="eastAsia" w:ascii="宋体" w:hAnsi="宋体"/>
          <w:color w:val="auto"/>
          <w:szCs w:val="21"/>
        </w:rPr>
        <w:t>身份证号码：</w:t>
      </w:r>
      <w:r>
        <w:rPr>
          <w:rFonts w:hint="eastAsia" w:ascii="宋体" w:hAnsi="宋体"/>
          <w:color w:val="auto"/>
          <w:szCs w:val="21"/>
          <w:u w:val="single"/>
        </w:rPr>
        <w:t xml:space="preserve">                   </w:t>
      </w:r>
    </w:p>
    <w:p>
      <w:pPr>
        <w:spacing w:line="480" w:lineRule="auto"/>
        <w:ind w:firstLine="840" w:firstLineChars="400"/>
        <w:rPr>
          <w:rFonts w:ascii="宋体" w:hAnsi="宋体"/>
          <w:color w:val="auto"/>
          <w:szCs w:val="21"/>
        </w:rPr>
      </w:pPr>
      <w:r>
        <w:rPr>
          <w:rFonts w:hint="eastAsia" w:ascii="宋体" w:hAnsi="宋体"/>
          <w:color w:val="auto"/>
          <w:szCs w:val="21"/>
        </w:rPr>
        <w:t>特此证明。</w:t>
      </w:r>
    </w:p>
    <w:p>
      <w:pPr>
        <w:snapToGrid w:val="0"/>
        <w:spacing w:before="120" w:beforeLines="50" w:after="50"/>
        <w:ind w:firstLine="4935" w:firstLineChars="2350"/>
        <w:rPr>
          <w:rFonts w:ascii="宋体" w:hAnsi="宋体"/>
          <w:color w:val="auto"/>
          <w:szCs w:val="21"/>
        </w:rPr>
      </w:pPr>
      <w:r>
        <w:rPr>
          <w:rFonts w:hint="eastAsia" w:ascii="宋体" w:hAnsi="宋体"/>
          <w:color w:val="auto"/>
          <w:szCs w:val="21"/>
        </w:rPr>
        <w:t>投标人公章：</w:t>
      </w:r>
    </w:p>
    <w:p>
      <w:pPr>
        <w:snapToGrid w:val="0"/>
        <w:spacing w:before="120" w:beforeLines="50" w:after="50"/>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pacing w:line="360" w:lineRule="auto"/>
        <w:rPr>
          <w:rFonts w:hint="eastAsia" w:ascii="宋体" w:hAnsi="宋体"/>
          <w:b/>
          <w:color w:val="auto"/>
          <w:szCs w:val="21"/>
        </w:rPr>
      </w:pPr>
    </w:p>
    <w:p>
      <w:pPr>
        <w:spacing w:line="360" w:lineRule="auto"/>
        <w:rPr>
          <w:rFonts w:hint="eastAsia" w:ascii="宋体" w:hAnsi="宋体"/>
          <w:b/>
          <w:color w:val="auto"/>
          <w:szCs w:val="21"/>
        </w:rPr>
      </w:pPr>
      <w:r>
        <w:rPr>
          <w:rFonts w:hint="eastAsia" w:ascii="宋体" w:hAnsi="宋体"/>
          <w:color w:val="auto"/>
          <w:szCs w:val="21"/>
        </w:rPr>
        <w:t>附：法定代表人身份证复印件（正反面）：</w:t>
      </w:r>
      <w:r>
        <w:rPr>
          <w:rFonts w:hint="eastAsia" w:ascii="宋体" w:hAnsi="宋体"/>
          <w:b/>
          <w:color w:val="auto"/>
          <w:szCs w:val="21"/>
        </w:rPr>
        <w:br w:type="page"/>
      </w:r>
    </w:p>
    <w:p>
      <w:pPr>
        <w:spacing w:line="360" w:lineRule="auto"/>
        <w:rPr>
          <w:rFonts w:hint="eastAsia" w:ascii="宋体" w:hAnsi="宋体"/>
          <w:b/>
          <w:color w:val="auto"/>
          <w:szCs w:val="21"/>
        </w:rPr>
      </w:pPr>
      <w:r>
        <w:rPr>
          <w:rFonts w:hint="eastAsia" w:ascii="宋体" w:hAnsi="宋体"/>
          <w:b/>
          <w:color w:val="auto"/>
          <w:szCs w:val="21"/>
          <w:lang w:val="en-US" w:eastAsia="zh-CN"/>
        </w:rPr>
        <w:t>5</w:t>
      </w:r>
      <w:r>
        <w:rPr>
          <w:rFonts w:hint="eastAsia" w:ascii="宋体" w:hAnsi="宋体"/>
          <w:b/>
          <w:color w:val="auto"/>
          <w:szCs w:val="21"/>
        </w:rPr>
        <w:t>、技术条款响应表</w:t>
      </w:r>
    </w:p>
    <w:p>
      <w:pPr>
        <w:rPr>
          <w:rFonts w:hint="eastAsia" w:ascii="宋体" w:hAnsi="宋体"/>
          <w:color w:val="auto"/>
          <w:szCs w:val="21"/>
        </w:rPr>
      </w:pPr>
    </w:p>
    <w:p>
      <w:pPr>
        <w:rPr>
          <w:rFonts w:hint="eastAsia" w:ascii="宋体" w:hAnsi="宋体"/>
          <w:color w:val="auto"/>
          <w:szCs w:val="21"/>
        </w:rPr>
      </w:pPr>
      <w:r>
        <w:rPr>
          <w:rFonts w:hint="eastAsia" w:ascii="宋体" w:hAnsi="宋体"/>
          <w:color w:val="auto"/>
          <w:szCs w:val="21"/>
        </w:rPr>
        <w:t xml:space="preserve">子包：                            </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r>
              <w:rPr>
                <w:rFonts w:hint="eastAsia" w:ascii="宋体" w:hAnsi="宋体"/>
                <w:color w:val="auto"/>
                <w:szCs w:val="21"/>
              </w:rPr>
              <w:t>序号</w:t>
            </w:r>
          </w:p>
        </w:tc>
        <w:tc>
          <w:tcPr>
            <w:tcW w:w="3360" w:type="dxa"/>
            <w:noWrap w:val="0"/>
            <w:vAlign w:val="center"/>
          </w:tcPr>
          <w:p>
            <w:pPr>
              <w:jc w:val="center"/>
              <w:rPr>
                <w:rFonts w:hint="eastAsia" w:ascii="宋体" w:hAnsi="宋体"/>
                <w:color w:val="auto"/>
                <w:szCs w:val="21"/>
              </w:rPr>
            </w:pPr>
            <w:r>
              <w:rPr>
                <w:rFonts w:hint="eastAsia" w:ascii="宋体" w:hAnsi="宋体"/>
                <w:color w:val="auto"/>
                <w:szCs w:val="21"/>
              </w:rPr>
              <w:t>采购文件</w:t>
            </w:r>
          </w:p>
          <w:p>
            <w:pPr>
              <w:jc w:val="center"/>
              <w:rPr>
                <w:rFonts w:hint="eastAsia" w:ascii="宋体" w:hAnsi="宋体"/>
                <w:color w:val="auto"/>
                <w:szCs w:val="21"/>
              </w:rPr>
            </w:pPr>
            <w:r>
              <w:rPr>
                <w:rFonts w:hint="eastAsia" w:ascii="宋体" w:hAnsi="宋体"/>
                <w:color w:val="auto"/>
                <w:szCs w:val="21"/>
              </w:rPr>
              <w:t>技术条款要求</w:t>
            </w:r>
          </w:p>
        </w:tc>
        <w:tc>
          <w:tcPr>
            <w:tcW w:w="2908" w:type="dxa"/>
            <w:noWrap w:val="0"/>
            <w:vAlign w:val="center"/>
          </w:tcPr>
          <w:p>
            <w:pPr>
              <w:jc w:val="center"/>
              <w:rPr>
                <w:rFonts w:hint="eastAsia" w:ascii="宋体" w:hAnsi="宋体"/>
                <w:color w:val="auto"/>
                <w:szCs w:val="21"/>
              </w:rPr>
            </w:pPr>
            <w:r>
              <w:rPr>
                <w:rFonts w:hint="eastAsia" w:ascii="宋体" w:hAnsi="宋体"/>
                <w:color w:val="auto"/>
                <w:szCs w:val="21"/>
              </w:rPr>
              <w:t>投标文件</w:t>
            </w:r>
          </w:p>
          <w:p>
            <w:pPr>
              <w:jc w:val="center"/>
              <w:rPr>
                <w:rFonts w:hint="eastAsia" w:ascii="宋体" w:hAnsi="宋体"/>
                <w:color w:val="auto"/>
                <w:szCs w:val="21"/>
              </w:rPr>
            </w:pPr>
            <w:r>
              <w:rPr>
                <w:rFonts w:hint="eastAsia" w:ascii="宋体" w:hAnsi="宋体"/>
                <w:color w:val="auto"/>
                <w:szCs w:val="21"/>
              </w:rPr>
              <w:t>响应</w:t>
            </w:r>
          </w:p>
        </w:tc>
        <w:tc>
          <w:tcPr>
            <w:tcW w:w="1578" w:type="dxa"/>
            <w:noWrap w:val="0"/>
            <w:vAlign w:val="center"/>
          </w:tcPr>
          <w:p>
            <w:pPr>
              <w:jc w:val="center"/>
              <w:rPr>
                <w:rFonts w:hint="eastAsia" w:ascii="宋体" w:hAnsi="宋体"/>
                <w:color w:val="auto"/>
                <w:szCs w:val="21"/>
              </w:rPr>
            </w:pPr>
            <w:r>
              <w:rPr>
                <w:rFonts w:hint="eastAsia" w:ascii="宋体" w:hAnsi="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r>
              <w:rPr>
                <w:rFonts w:hint="eastAsia" w:ascii="宋体" w:hAnsi="宋体"/>
                <w:color w:val="auto"/>
                <w:szCs w:val="21"/>
              </w:rPr>
              <w:t>1</w:t>
            </w: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r>
              <w:rPr>
                <w:rFonts w:hint="eastAsia" w:ascii="宋体" w:hAnsi="宋体"/>
                <w:color w:val="auto"/>
                <w:szCs w:val="21"/>
              </w:rPr>
              <w:t>2</w:t>
            </w: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r>
              <w:rPr>
                <w:rFonts w:hint="eastAsia" w:ascii="宋体" w:hAnsi="宋体"/>
                <w:color w:val="auto"/>
                <w:szCs w:val="21"/>
              </w:rPr>
              <w:t>3</w:t>
            </w: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bl>
    <w:p>
      <w:pPr>
        <w:rPr>
          <w:rFonts w:hint="eastAsia" w:ascii="宋体" w:hAnsi="宋体"/>
          <w:color w:val="auto"/>
          <w:szCs w:val="21"/>
        </w:rPr>
      </w:pPr>
    </w:p>
    <w:p>
      <w:pPr>
        <w:rPr>
          <w:rFonts w:hint="eastAsia" w:ascii="宋体" w:hAnsi="宋体"/>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 xml:space="preserve">  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ind w:firstLine="210" w:firstLineChars="100"/>
        <w:jc w:val="left"/>
        <w:rPr>
          <w:rFonts w:ascii="宋体" w:hAnsi="宋体"/>
          <w:color w:val="auto"/>
          <w:szCs w:val="21"/>
        </w:rPr>
      </w:pPr>
      <w:r>
        <w:rPr>
          <w:rFonts w:hint="eastAsia" w:ascii="宋体" w:hAnsi="宋体"/>
          <w:color w:val="auto"/>
          <w:szCs w:val="21"/>
        </w:rPr>
        <w:t>法定代表人或授权代表（签字</w:t>
      </w:r>
      <w:r>
        <w:rPr>
          <w:rFonts w:hint="eastAsia" w:ascii="宋体" w:hAnsi="宋体"/>
          <w:color w:val="auto"/>
          <w:szCs w:val="21"/>
          <w:lang w:val="en-US" w:eastAsia="zh-CN"/>
        </w:rPr>
        <w:t>或盖章</w:t>
      </w:r>
      <w:r>
        <w:rPr>
          <w:rFonts w:hint="eastAsia" w:ascii="宋体" w:hAnsi="宋体"/>
          <w:color w:val="auto"/>
          <w:szCs w:val="21"/>
        </w:rPr>
        <w:t>）：</w:t>
      </w:r>
      <w:r>
        <w:rPr>
          <w:rFonts w:ascii="宋体" w:hAnsi="宋体"/>
          <w:color w:val="auto"/>
          <w:szCs w:val="21"/>
          <w:u w:val="single"/>
        </w:rPr>
        <w:t xml:space="preserve">                  </w:t>
      </w:r>
    </w:p>
    <w:p>
      <w:pPr>
        <w:spacing w:line="400" w:lineRule="atLeast"/>
        <w:ind w:firstLine="210" w:firstLineChars="100"/>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spacing w:line="400" w:lineRule="atLeast"/>
        <w:jc w:val="left"/>
        <w:rPr>
          <w:rFonts w:ascii="宋体" w:hAnsi="宋体"/>
          <w:color w:val="auto"/>
          <w:szCs w:val="21"/>
        </w:rPr>
      </w:pPr>
    </w:p>
    <w:p>
      <w:pPr>
        <w:rPr>
          <w:rFonts w:hint="eastAsia" w:ascii="宋体" w:hAnsi="宋体"/>
          <w:color w:val="auto"/>
          <w:szCs w:val="21"/>
        </w:rPr>
      </w:pPr>
    </w:p>
    <w:p>
      <w:pPr>
        <w:rPr>
          <w:rFonts w:hint="eastAsia" w:ascii="宋体"/>
          <w:color w:val="auto"/>
          <w:sz w:val="24"/>
        </w:rPr>
      </w:pPr>
    </w:p>
    <w:p>
      <w:pPr>
        <w:rPr>
          <w:rFonts w:hint="eastAsia" w:ascii="宋体" w:hAnsi="宋体"/>
          <w:b/>
          <w:color w:val="auto"/>
          <w:szCs w:val="21"/>
        </w:rPr>
      </w:pPr>
      <w:r>
        <w:rPr>
          <w:rFonts w:hint="eastAsia" w:ascii="宋体" w:hAnsi="宋体"/>
          <w:b/>
          <w:color w:val="auto"/>
          <w:szCs w:val="21"/>
          <w:lang w:val="en-US" w:eastAsia="zh-CN"/>
        </w:rPr>
        <w:t>6</w:t>
      </w:r>
      <w:r>
        <w:rPr>
          <w:rFonts w:hint="eastAsia" w:ascii="宋体" w:hAnsi="宋体"/>
          <w:b/>
          <w:color w:val="auto"/>
          <w:szCs w:val="21"/>
        </w:rPr>
        <w:t>、商务条款响应表</w:t>
      </w:r>
    </w:p>
    <w:p>
      <w:pPr>
        <w:rPr>
          <w:rFonts w:hint="eastAsia" w:ascii="宋体" w:hAnsi="宋体"/>
          <w:color w:val="auto"/>
          <w:szCs w:val="21"/>
        </w:rPr>
      </w:pPr>
    </w:p>
    <w:p>
      <w:pPr>
        <w:rPr>
          <w:rFonts w:hint="eastAsia" w:ascii="宋体" w:hAnsi="宋体"/>
          <w:color w:val="auto"/>
          <w:szCs w:val="21"/>
        </w:rPr>
      </w:pPr>
      <w:r>
        <w:rPr>
          <w:rFonts w:hint="eastAsia" w:ascii="宋体" w:hAnsi="宋体"/>
          <w:color w:val="auto"/>
          <w:szCs w:val="21"/>
        </w:rPr>
        <w:t>子包：</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467"/>
        <w:gridCol w:w="2468"/>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r>
              <w:rPr>
                <w:rFonts w:hint="eastAsia" w:ascii="宋体" w:hAnsi="宋体"/>
                <w:color w:val="auto"/>
                <w:szCs w:val="21"/>
              </w:rPr>
              <w:t>序号</w:t>
            </w:r>
          </w:p>
        </w:tc>
        <w:tc>
          <w:tcPr>
            <w:tcW w:w="2467" w:type="dxa"/>
            <w:noWrap w:val="0"/>
            <w:vAlign w:val="center"/>
          </w:tcPr>
          <w:p>
            <w:pPr>
              <w:jc w:val="center"/>
              <w:rPr>
                <w:rFonts w:hint="eastAsia" w:ascii="宋体" w:hAnsi="宋体"/>
                <w:color w:val="auto"/>
                <w:szCs w:val="21"/>
              </w:rPr>
            </w:pPr>
            <w:r>
              <w:rPr>
                <w:rFonts w:hint="eastAsia" w:ascii="宋体" w:hAnsi="宋体"/>
                <w:color w:val="auto"/>
                <w:szCs w:val="21"/>
              </w:rPr>
              <w:t>采购文件的商务条款要求</w:t>
            </w:r>
          </w:p>
        </w:tc>
        <w:tc>
          <w:tcPr>
            <w:tcW w:w="2468" w:type="dxa"/>
            <w:noWrap w:val="0"/>
            <w:vAlign w:val="center"/>
          </w:tcPr>
          <w:p>
            <w:pPr>
              <w:jc w:val="center"/>
              <w:rPr>
                <w:rFonts w:hint="eastAsia" w:ascii="宋体" w:hAnsi="宋体"/>
                <w:color w:val="auto"/>
                <w:szCs w:val="21"/>
              </w:rPr>
            </w:pPr>
            <w:r>
              <w:rPr>
                <w:rFonts w:hint="eastAsia" w:ascii="宋体" w:hAnsi="宋体"/>
                <w:color w:val="auto"/>
                <w:szCs w:val="21"/>
              </w:rPr>
              <w:t>投标文件的响应</w:t>
            </w:r>
          </w:p>
        </w:tc>
        <w:tc>
          <w:tcPr>
            <w:tcW w:w="2715" w:type="dxa"/>
            <w:noWrap w:val="0"/>
            <w:vAlign w:val="center"/>
          </w:tcPr>
          <w:p>
            <w:pPr>
              <w:jc w:val="center"/>
              <w:rPr>
                <w:rFonts w:hint="eastAsia" w:ascii="宋体" w:hAnsi="宋体"/>
                <w:color w:val="auto"/>
                <w:szCs w:val="21"/>
              </w:rPr>
            </w:pPr>
            <w:r>
              <w:rPr>
                <w:rFonts w:hint="eastAsia" w:ascii="宋体" w:hAnsi="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r>
              <w:rPr>
                <w:rFonts w:hint="eastAsia" w:ascii="宋体" w:hAnsi="宋体"/>
                <w:color w:val="auto"/>
                <w:szCs w:val="21"/>
              </w:rPr>
              <w:t>1</w:t>
            </w: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r>
              <w:rPr>
                <w:rFonts w:hint="eastAsia" w:ascii="宋体" w:hAnsi="宋体"/>
                <w:color w:val="auto"/>
                <w:szCs w:val="21"/>
              </w:rPr>
              <w:t>2</w:t>
            </w: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r>
              <w:rPr>
                <w:rFonts w:hint="eastAsia" w:ascii="宋体" w:hAnsi="宋体"/>
                <w:color w:val="auto"/>
                <w:szCs w:val="21"/>
              </w:rPr>
              <w:t>3</w:t>
            </w: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r>
              <w:rPr>
                <w:rFonts w:hint="eastAsia" w:ascii="宋体" w:hAnsi="宋体"/>
                <w:color w:val="auto"/>
                <w:szCs w:val="21"/>
              </w:rPr>
              <w:t>4</w:t>
            </w: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bl>
    <w:p>
      <w:pPr>
        <w:rPr>
          <w:rFonts w:hint="eastAsia" w:ascii="宋体" w:hAnsi="宋体"/>
          <w:color w:val="auto"/>
          <w:szCs w:val="21"/>
        </w:rPr>
      </w:pPr>
    </w:p>
    <w:p>
      <w:pPr>
        <w:rPr>
          <w:rFonts w:hint="eastAsia" w:ascii="宋体" w:hAnsi="宋体"/>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jc w:val="left"/>
        <w:rPr>
          <w:rFonts w:ascii="宋体" w:hAnsi="宋体"/>
          <w:color w:val="auto"/>
          <w:szCs w:val="21"/>
        </w:rPr>
      </w:pPr>
      <w:r>
        <w:rPr>
          <w:rFonts w:hint="eastAsia" w:ascii="宋体" w:hAnsi="宋体"/>
          <w:color w:val="auto"/>
          <w:szCs w:val="21"/>
        </w:rPr>
        <w:t>法定代表人或授权代表（签字</w:t>
      </w:r>
      <w:r>
        <w:rPr>
          <w:rFonts w:hint="eastAsia" w:ascii="宋体" w:hAnsi="宋体"/>
          <w:color w:val="auto"/>
          <w:szCs w:val="21"/>
          <w:lang w:val="en-US" w:eastAsia="zh-CN"/>
        </w:rPr>
        <w:t>或盖章</w:t>
      </w:r>
      <w:r>
        <w:rPr>
          <w:rFonts w:hint="eastAsia" w:ascii="宋体" w:hAnsi="宋体"/>
          <w:color w:val="auto"/>
          <w:szCs w:val="21"/>
        </w:rPr>
        <w:t>）：</w:t>
      </w:r>
      <w:r>
        <w:rPr>
          <w:rFonts w:ascii="宋体" w:hAnsi="宋体"/>
          <w:color w:val="auto"/>
          <w:szCs w:val="21"/>
          <w:u w:val="single"/>
        </w:rPr>
        <w:t xml:space="preserve">                  </w:t>
      </w:r>
    </w:p>
    <w:p>
      <w:pPr>
        <w:spacing w:line="400" w:lineRule="atLeast"/>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rPr>
          <w:rFonts w:hint="eastAsia" w:ascii="宋体" w:hAnsi="宋体"/>
          <w:color w:val="auto"/>
          <w:szCs w:val="21"/>
          <w:u w:val="single"/>
        </w:rPr>
      </w:pPr>
    </w:p>
    <w:p>
      <w:pPr>
        <w:spacing w:line="360" w:lineRule="auto"/>
        <w:rPr>
          <w:rFonts w:hint="eastAsia" w:ascii="宋体" w:hAnsi="宋体"/>
          <w:b/>
          <w:color w:val="auto"/>
          <w:szCs w:val="21"/>
        </w:rPr>
      </w:pPr>
      <w:r>
        <w:rPr>
          <w:rFonts w:hint="eastAsia" w:ascii="宋体" w:hAnsi="宋体"/>
          <w:b/>
          <w:color w:val="auto"/>
          <w:sz w:val="24"/>
        </w:rPr>
        <w:br w:type="page"/>
      </w:r>
      <w:r>
        <w:rPr>
          <w:rFonts w:hint="eastAsia" w:ascii="宋体" w:hAnsi="宋体"/>
          <w:b/>
          <w:color w:val="auto"/>
          <w:szCs w:val="21"/>
          <w:lang w:val="en-US" w:eastAsia="zh-CN"/>
        </w:rPr>
        <w:t>7、</w:t>
      </w:r>
      <w:r>
        <w:rPr>
          <w:rFonts w:hint="eastAsia" w:ascii="宋体" w:hAnsi="宋体"/>
          <w:b/>
          <w:color w:val="auto"/>
          <w:szCs w:val="21"/>
        </w:rPr>
        <w:t>其他招标文件要求或投标人认为有必要提供的文件资料</w:t>
      </w:r>
      <w:r>
        <w:rPr>
          <w:rFonts w:hint="eastAsia" w:ascii="宋体" w:hAnsi="宋体"/>
          <w:b/>
          <w:color w:val="auto"/>
          <w:szCs w:val="21"/>
          <w:lang w:eastAsia="zh-CN"/>
        </w:rPr>
        <w:t>（如有，格式自拟）</w:t>
      </w:r>
      <w:r>
        <w:rPr>
          <w:rFonts w:hint="eastAsia" w:ascii="宋体" w:hAnsi="宋体"/>
          <w:b/>
          <w:color w:val="auto"/>
          <w:szCs w:val="21"/>
        </w:rPr>
        <w:t>。</w:t>
      </w:r>
    </w:p>
    <w:p>
      <w:pPr>
        <w:snapToGrid w:val="0"/>
        <w:spacing w:before="120" w:beforeLines="50" w:after="50"/>
        <w:jc w:val="both"/>
        <w:rPr>
          <w:rFonts w:hint="eastAsia" w:ascii="宋体" w:hAnsi="宋体"/>
          <w:b/>
          <w:color w:val="auto"/>
          <w:sz w:val="24"/>
        </w:rPr>
      </w:pPr>
    </w:p>
    <w:p>
      <w:pPr>
        <w:snapToGrid w:val="0"/>
        <w:spacing w:before="120" w:beforeLines="50" w:after="50"/>
        <w:jc w:val="both"/>
        <w:rPr>
          <w:rFonts w:ascii="宋体" w:hAnsi="宋体"/>
          <w:b/>
          <w:color w:val="auto"/>
          <w:sz w:val="24"/>
        </w:rPr>
      </w:pPr>
      <w:r>
        <w:rPr>
          <w:rFonts w:hint="eastAsia" w:ascii="宋体" w:hAnsi="宋体"/>
          <w:b/>
          <w:color w:val="auto"/>
          <w:sz w:val="24"/>
        </w:rPr>
        <w:br w:type="page"/>
      </w:r>
      <w:r>
        <w:rPr>
          <w:rFonts w:hint="eastAsia" w:ascii="宋体" w:hAnsi="宋体"/>
          <w:b/>
          <w:color w:val="auto"/>
          <w:sz w:val="24"/>
          <w:lang w:eastAsia="zh-CN"/>
        </w:rPr>
        <w:t>三</w:t>
      </w:r>
      <w:r>
        <w:rPr>
          <w:rFonts w:hint="eastAsia" w:ascii="宋体" w:hAnsi="宋体"/>
          <w:b/>
          <w:color w:val="auto"/>
          <w:sz w:val="24"/>
        </w:rPr>
        <w:t>、报价文件格式</w:t>
      </w:r>
    </w:p>
    <w:p>
      <w:pPr>
        <w:snapToGrid w:val="0"/>
        <w:spacing w:before="120" w:beforeLines="50" w:after="50"/>
        <w:rPr>
          <w:rFonts w:ascii="宋体" w:hAnsi="宋体"/>
          <w:b/>
          <w:bCs/>
          <w:color w:val="auto"/>
          <w:szCs w:val="21"/>
        </w:rPr>
      </w:pPr>
      <w:r>
        <w:rPr>
          <w:rFonts w:hint="eastAsia" w:ascii="宋体" w:hAnsi="宋体"/>
          <w:b/>
          <w:bCs/>
          <w:color w:val="auto"/>
          <w:szCs w:val="21"/>
        </w:rPr>
        <w:t>1、报价文件的外包装封面格式：</w:t>
      </w:r>
    </w:p>
    <w:p>
      <w:pPr>
        <w:snapToGrid w:val="0"/>
        <w:spacing w:before="120" w:beforeLines="50" w:after="50"/>
        <w:jc w:val="center"/>
        <w:rPr>
          <w:rFonts w:ascii="宋体" w:hAnsi="宋体"/>
          <w:bCs/>
          <w:color w:val="auto"/>
          <w:szCs w:val="21"/>
        </w:rPr>
      </w:pPr>
    </w:p>
    <w:p>
      <w:pPr>
        <w:snapToGrid w:val="0"/>
        <w:spacing w:before="120" w:beforeLines="50" w:after="50"/>
        <w:jc w:val="center"/>
        <w:rPr>
          <w:rFonts w:ascii="宋体" w:hAnsi="宋体"/>
          <w:bCs/>
          <w:color w:val="auto"/>
          <w:szCs w:val="21"/>
        </w:rPr>
      </w:pPr>
      <w:r>
        <w:rPr>
          <w:rFonts w:hint="eastAsia" w:ascii="宋体" w:hAnsi="宋体"/>
          <w:bCs/>
          <w:color w:val="auto"/>
          <w:szCs w:val="21"/>
        </w:rPr>
        <w:t>报价文件</w:t>
      </w:r>
    </w:p>
    <w:p>
      <w:pPr>
        <w:snapToGrid w:val="0"/>
        <w:spacing w:before="120" w:beforeLines="50" w:after="50"/>
        <w:rPr>
          <w:rFonts w:ascii="宋体" w:hAnsi="宋体"/>
          <w:bCs/>
          <w:color w:val="auto"/>
          <w:szCs w:val="21"/>
        </w:rPr>
      </w:pP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项目名称：</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项目编号：</w:t>
      </w:r>
      <w:r>
        <w:rPr>
          <w:rFonts w:ascii="宋体" w:hAnsi="宋体"/>
          <w:bCs/>
          <w:color w:val="auto"/>
          <w:szCs w:val="21"/>
        </w:rPr>
        <w:t xml:space="preserve"> </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子包号</w:t>
      </w:r>
      <w:r>
        <w:rPr>
          <w:rFonts w:ascii="宋体" w:hAnsi="宋体"/>
          <w:bCs/>
          <w:color w:val="auto"/>
          <w:szCs w:val="21"/>
        </w:rPr>
        <w:t>:</w:t>
      </w:r>
    </w:p>
    <w:p>
      <w:pPr>
        <w:pStyle w:val="7"/>
        <w:snapToGrid w:val="0"/>
        <w:spacing w:before="50" w:after="50"/>
        <w:ind w:firstLine="978" w:firstLineChars="466"/>
        <w:rPr>
          <w:rFonts w:ascii="宋体" w:hAnsi="宋体"/>
          <w:bCs/>
          <w:color w:val="auto"/>
          <w:szCs w:val="21"/>
        </w:rPr>
      </w:pPr>
      <w:r>
        <w:rPr>
          <w:rFonts w:hint="eastAsia" w:ascii="宋体" w:hAnsi="宋体"/>
          <w:bCs/>
          <w:color w:val="auto"/>
          <w:szCs w:val="21"/>
        </w:rPr>
        <w:t>投标人名称：</w:t>
      </w:r>
    </w:p>
    <w:p>
      <w:pPr>
        <w:pStyle w:val="7"/>
        <w:snapToGrid w:val="0"/>
        <w:spacing w:before="50" w:after="50"/>
        <w:ind w:firstLine="978" w:firstLineChars="466"/>
        <w:rPr>
          <w:rFonts w:ascii="宋体" w:hAnsi="宋体"/>
          <w:bCs/>
          <w:color w:val="auto"/>
          <w:szCs w:val="21"/>
        </w:rPr>
      </w:pPr>
      <w:r>
        <w:rPr>
          <w:rFonts w:hint="eastAsia" w:ascii="宋体" w:hAnsi="宋体"/>
          <w:bCs/>
          <w:color w:val="auto"/>
          <w:szCs w:val="21"/>
        </w:rPr>
        <w:t>投标人地址：</w:t>
      </w:r>
    </w:p>
    <w:p>
      <w:pPr>
        <w:pStyle w:val="7"/>
        <w:snapToGrid w:val="0"/>
        <w:spacing w:before="50" w:after="50"/>
        <w:ind w:firstLine="945" w:firstLineChars="450"/>
        <w:rPr>
          <w:rFonts w:ascii="宋体" w:hAnsi="宋体"/>
          <w:bCs/>
          <w:color w:val="auto"/>
          <w:szCs w:val="21"/>
        </w:rPr>
      </w:pPr>
      <w:r>
        <w:rPr>
          <w:rFonts w:hint="eastAsia" w:ascii="宋体" w:hAnsi="宋体"/>
          <w:bCs/>
          <w:color w:val="auto"/>
          <w:szCs w:val="21"/>
        </w:rPr>
        <w:t>在</w:t>
      </w:r>
      <w:r>
        <w:rPr>
          <w:rFonts w:ascii="宋体" w:hAnsi="宋体"/>
          <w:bCs/>
          <w:color w:val="auto"/>
          <w:szCs w:val="21"/>
        </w:rPr>
        <w:t xml:space="preserve">  </w:t>
      </w:r>
      <w:r>
        <w:rPr>
          <w:rFonts w:hint="eastAsia" w:ascii="宋体" w:hAnsi="宋体"/>
          <w:bCs/>
          <w:color w:val="auto"/>
          <w:szCs w:val="21"/>
        </w:rPr>
        <w:t>年</w:t>
      </w:r>
      <w:r>
        <w:rPr>
          <w:rFonts w:ascii="宋体" w:hAnsi="宋体"/>
          <w:bCs/>
          <w:color w:val="auto"/>
          <w:szCs w:val="21"/>
        </w:rPr>
        <w:t xml:space="preserve">  </w:t>
      </w:r>
      <w:r>
        <w:rPr>
          <w:rFonts w:hint="eastAsia" w:ascii="宋体" w:hAnsi="宋体"/>
          <w:bCs/>
          <w:color w:val="auto"/>
          <w:szCs w:val="21"/>
        </w:rPr>
        <w:t>月</w:t>
      </w:r>
      <w:r>
        <w:rPr>
          <w:rFonts w:ascii="宋体" w:hAnsi="宋体"/>
          <w:bCs/>
          <w:color w:val="auto"/>
          <w:szCs w:val="21"/>
        </w:rPr>
        <w:t xml:space="preserve">  </w:t>
      </w:r>
      <w:r>
        <w:rPr>
          <w:rFonts w:hint="eastAsia" w:ascii="宋体" w:hAnsi="宋体"/>
          <w:bCs/>
          <w:color w:val="auto"/>
          <w:szCs w:val="21"/>
        </w:rPr>
        <w:t>日</w:t>
      </w:r>
      <w:r>
        <w:rPr>
          <w:rFonts w:ascii="宋体" w:hAnsi="宋体"/>
          <w:bCs/>
          <w:color w:val="auto"/>
          <w:szCs w:val="21"/>
        </w:rPr>
        <w:t xml:space="preserve">  </w:t>
      </w:r>
      <w:r>
        <w:rPr>
          <w:rFonts w:hint="eastAsia" w:ascii="宋体" w:hAnsi="宋体"/>
          <w:bCs/>
          <w:color w:val="auto"/>
          <w:szCs w:val="21"/>
        </w:rPr>
        <w:t>时</w:t>
      </w:r>
      <w:r>
        <w:rPr>
          <w:rFonts w:ascii="宋体" w:hAnsi="宋体"/>
          <w:bCs/>
          <w:color w:val="auto"/>
          <w:szCs w:val="21"/>
        </w:rPr>
        <w:t xml:space="preserve">  </w:t>
      </w:r>
      <w:r>
        <w:rPr>
          <w:rFonts w:hint="eastAsia" w:ascii="宋体" w:hAnsi="宋体"/>
          <w:bCs/>
          <w:color w:val="auto"/>
          <w:szCs w:val="21"/>
        </w:rPr>
        <w:t>分之前不得启封</w:t>
      </w:r>
    </w:p>
    <w:p>
      <w:pPr>
        <w:pStyle w:val="7"/>
        <w:snapToGrid w:val="0"/>
        <w:spacing w:before="50" w:after="50"/>
        <w:ind w:firstLine="873" w:firstLineChars="416"/>
        <w:rPr>
          <w:rFonts w:ascii="宋体" w:hAnsi="宋体"/>
          <w:color w:val="auto"/>
          <w:szCs w:val="21"/>
        </w:rPr>
      </w:pPr>
    </w:p>
    <w:p>
      <w:pPr>
        <w:snapToGrid w:val="0"/>
        <w:spacing w:before="120" w:beforeLines="50" w:after="50"/>
        <w:ind w:firstLine="3570" w:firstLineChars="1700"/>
        <w:rPr>
          <w:rFonts w:ascii="宋体" w:hAnsi="宋体"/>
          <w:color w:val="auto"/>
          <w:szCs w:val="21"/>
        </w:rPr>
      </w:pPr>
    </w:p>
    <w:p>
      <w:pPr>
        <w:snapToGrid w:val="0"/>
        <w:spacing w:before="120" w:beforeLines="50" w:after="50"/>
        <w:ind w:firstLine="645"/>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napToGrid w:val="0"/>
        <w:spacing w:before="120" w:beforeLines="50" w:after="50"/>
        <w:rPr>
          <w:rFonts w:ascii="宋体" w:hAnsi="宋体"/>
          <w:color w:val="auto"/>
          <w:szCs w:val="21"/>
        </w:rPr>
      </w:pPr>
    </w:p>
    <w:p>
      <w:pPr>
        <w:snapToGrid w:val="0"/>
        <w:spacing w:before="120" w:beforeLines="50" w:after="50"/>
        <w:rPr>
          <w:rFonts w:ascii="宋体" w:hAnsi="宋体"/>
          <w:b/>
          <w:color w:val="auto"/>
          <w:szCs w:val="21"/>
        </w:rPr>
      </w:pPr>
      <w:r>
        <w:rPr>
          <w:rFonts w:hint="eastAsia" w:ascii="宋体" w:hAnsi="宋体"/>
          <w:b/>
          <w:color w:val="auto"/>
          <w:szCs w:val="21"/>
        </w:rPr>
        <w:t>2、报价文件封面格式：</w:t>
      </w:r>
      <w:r>
        <w:rPr>
          <w:rFonts w:ascii="宋体" w:hAnsi="宋体"/>
          <w:b/>
          <w:color w:val="auto"/>
          <w:szCs w:val="21"/>
        </w:rPr>
        <w:t xml:space="preserve"> </w:t>
      </w:r>
    </w:p>
    <w:p>
      <w:pPr>
        <w:snapToGrid w:val="0"/>
        <w:spacing w:before="120" w:beforeLines="50" w:after="50"/>
        <w:rPr>
          <w:rFonts w:ascii="宋体" w:hAnsi="宋体"/>
          <w:bCs/>
          <w:color w:val="auto"/>
          <w:szCs w:val="21"/>
        </w:rPr>
      </w:pPr>
      <w:r>
        <w:rPr>
          <w:rFonts w:ascii="宋体" w:hAnsi="宋体"/>
          <w:color w:val="auto"/>
          <w:szCs w:val="21"/>
        </w:rPr>
        <w:t xml:space="preserve">                                                    </w:t>
      </w:r>
      <w:r>
        <w:rPr>
          <w:rFonts w:hint="eastAsia" w:ascii="宋体" w:hAnsi="宋体"/>
          <w:bCs/>
          <w:color w:val="auto"/>
          <w:szCs w:val="21"/>
        </w:rPr>
        <w:t>正本</w:t>
      </w:r>
      <w:r>
        <w:rPr>
          <w:rFonts w:ascii="宋体" w:hAnsi="宋体"/>
          <w:bCs/>
          <w:color w:val="auto"/>
          <w:szCs w:val="21"/>
        </w:rPr>
        <w:t>/</w:t>
      </w:r>
      <w:r>
        <w:rPr>
          <w:rFonts w:hint="eastAsia" w:ascii="宋体" w:hAnsi="宋体"/>
          <w:bCs/>
          <w:color w:val="auto"/>
          <w:szCs w:val="21"/>
        </w:rPr>
        <w:t>或副本</w:t>
      </w:r>
    </w:p>
    <w:p>
      <w:pPr>
        <w:snapToGrid w:val="0"/>
        <w:spacing w:before="120" w:beforeLines="50" w:after="50"/>
        <w:rPr>
          <w:rFonts w:ascii="宋体" w:hAnsi="宋体"/>
          <w:color w:val="auto"/>
          <w:szCs w:val="21"/>
        </w:rPr>
      </w:pPr>
    </w:p>
    <w:p>
      <w:pPr>
        <w:snapToGrid w:val="0"/>
        <w:spacing w:before="120" w:beforeLines="50" w:after="50"/>
        <w:jc w:val="center"/>
        <w:rPr>
          <w:rFonts w:ascii="宋体" w:hAnsi="宋体"/>
          <w:bCs/>
          <w:color w:val="auto"/>
          <w:szCs w:val="21"/>
        </w:rPr>
      </w:pPr>
    </w:p>
    <w:p>
      <w:pPr>
        <w:snapToGrid w:val="0"/>
        <w:spacing w:before="120" w:beforeLines="50" w:after="50"/>
        <w:jc w:val="center"/>
        <w:rPr>
          <w:rFonts w:hint="eastAsia" w:ascii="宋体" w:hAnsi="宋体"/>
          <w:bCs/>
          <w:color w:val="auto"/>
          <w:szCs w:val="21"/>
        </w:rPr>
      </w:pPr>
      <w:r>
        <w:rPr>
          <w:rFonts w:hint="eastAsia" w:ascii="宋体" w:hAnsi="宋体"/>
          <w:bCs/>
          <w:color w:val="auto"/>
          <w:szCs w:val="21"/>
        </w:rPr>
        <w:t>报价文件</w:t>
      </w:r>
    </w:p>
    <w:p>
      <w:pPr>
        <w:snapToGrid w:val="0"/>
        <w:spacing w:before="120" w:beforeLines="50" w:after="50"/>
        <w:rPr>
          <w:rFonts w:ascii="宋体" w:hAnsi="宋体"/>
          <w:bCs/>
          <w:color w:val="auto"/>
          <w:szCs w:val="21"/>
        </w:rPr>
      </w:pP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项目名称：</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项目编号：</w:t>
      </w:r>
      <w:r>
        <w:rPr>
          <w:rFonts w:ascii="宋体" w:hAnsi="宋体"/>
          <w:bCs/>
          <w:color w:val="auto"/>
          <w:szCs w:val="21"/>
        </w:rPr>
        <w:t xml:space="preserve"> </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子包号</w:t>
      </w:r>
      <w:r>
        <w:rPr>
          <w:rFonts w:ascii="宋体" w:hAnsi="宋体"/>
          <w:bCs/>
          <w:color w:val="auto"/>
          <w:szCs w:val="21"/>
        </w:rPr>
        <w:t>:</w:t>
      </w:r>
    </w:p>
    <w:p>
      <w:pPr>
        <w:pStyle w:val="7"/>
        <w:snapToGrid w:val="0"/>
        <w:spacing w:before="50" w:after="50"/>
        <w:ind w:firstLine="978" w:firstLineChars="466"/>
        <w:rPr>
          <w:rFonts w:ascii="宋体" w:hAnsi="宋体"/>
          <w:bCs/>
          <w:color w:val="auto"/>
          <w:szCs w:val="21"/>
        </w:rPr>
      </w:pPr>
      <w:r>
        <w:rPr>
          <w:rFonts w:hint="eastAsia" w:ascii="宋体" w:hAnsi="宋体"/>
          <w:bCs/>
          <w:color w:val="auto"/>
          <w:szCs w:val="21"/>
        </w:rPr>
        <w:t>投标人名称：</w:t>
      </w:r>
    </w:p>
    <w:p>
      <w:pPr>
        <w:pStyle w:val="7"/>
        <w:snapToGrid w:val="0"/>
        <w:spacing w:before="50" w:after="50"/>
        <w:ind w:firstLine="978" w:firstLineChars="466"/>
        <w:rPr>
          <w:rFonts w:ascii="宋体" w:hAnsi="宋体"/>
          <w:bCs/>
          <w:color w:val="auto"/>
          <w:szCs w:val="21"/>
        </w:rPr>
      </w:pPr>
      <w:r>
        <w:rPr>
          <w:rFonts w:hint="eastAsia" w:ascii="宋体" w:hAnsi="宋体"/>
          <w:bCs/>
          <w:color w:val="auto"/>
          <w:szCs w:val="21"/>
        </w:rPr>
        <w:t>投标人地址：</w:t>
      </w:r>
    </w:p>
    <w:p>
      <w:pPr>
        <w:pStyle w:val="7"/>
        <w:snapToGrid w:val="0"/>
        <w:spacing w:before="50" w:after="50"/>
        <w:ind w:firstLine="840" w:firstLineChars="400"/>
        <w:rPr>
          <w:rFonts w:ascii="宋体" w:hAnsi="宋体"/>
          <w:bCs/>
          <w:color w:val="auto"/>
          <w:szCs w:val="21"/>
        </w:rPr>
      </w:pPr>
    </w:p>
    <w:p>
      <w:pPr>
        <w:pStyle w:val="7"/>
        <w:snapToGrid w:val="0"/>
        <w:spacing w:before="50" w:after="50"/>
        <w:ind w:firstLine="873" w:firstLineChars="416"/>
        <w:rPr>
          <w:rFonts w:ascii="宋体" w:hAnsi="宋体"/>
          <w:color w:val="auto"/>
          <w:szCs w:val="21"/>
        </w:rPr>
      </w:pPr>
    </w:p>
    <w:p>
      <w:pPr>
        <w:snapToGrid w:val="0"/>
        <w:spacing w:before="120" w:beforeLines="50" w:after="50"/>
        <w:ind w:firstLine="3570" w:firstLineChars="1700"/>
        <w:rPr>
          <w:rFonts w:ascii="宋体" w:hAnsi="宋体"/>
          <w:color w:val="auto"/>
          <w:szCs w:val="21"/>
        </w:rPr>
      </w:pPr>
    </w:p>
    <w:p>
      <w:pPr>
        <w:snapToGrid w:val="0"/>
        <w:spacing w:before="120" w:beforeLines="50" w:after="50"/>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napToGrid w:val="0"/>
        <w:spacing w:before="120" w:beforeLines="50" w:after="50"/>
        <w:jc w:val="center"/>
        <w:rPr>
          <w:rFonts w:ascii="宋体" w:hAnsi="宋体"/>
          <w:color w:val="auto"/>
          <w:szCs w:val="21"/>
        </w:rPr>
      </w:pPr>
    </w:p>
    <w:p>
      <w:pPr>
        <w:pStyle w:val="18"/>
        <w:snapToGrid w:val="0"/>
        <w:spacing w:before="295" w:beforeLines="0" w:after="295" w:afterLines="0" w:line="240" w:lineRule="auto"/>
        <w:rPr>
          <w:rFonts w:hAnsi="宋体"/>
          <w:color w:val="auto"/>
        </w:rPr>
      </w:pPr>
    </w:p>
    <w:p>
      <w:pPr>
        <w:snapToGrid w:val="0"/>
        <w:spacing w:before="120" w:beforeLines="50" w:after="50"/>
        <w:rPr>
          <w:rFonts w:ascii="宋体" w:hAnsi="宋体"/>
          <w:b/>
          <w:color w:val="auto"/>
          <w:szCs w:val="21"/>
        </w:rPr>
      </w:pPr>
      <w:r>
        <w:rPr>
          <w:rFonts w:hint="eastAsia" w:ascii="宋体" w:hAnsi="宋体"/>
          <w:b/>
          <w:color w:val="auto"/>
          <w:szCs w:val="21"/>
        </w:rPr>
        <w:br w:type="page"/>
      </w:r>
      <w:r>
        <w:rPr>
          <w:rFonts w:hint="eastAsia" w:ascii="宋体" w:hAnsi="宋体"/>
          <w:b/>
          <w:color w:val="auto"/>
          <w:szCs w:val="21"/>
        </w:rPr>
        <w:t>3、</w:t>
      </w:r>
      <w:r>
        <w:rPr>
          <w:rFonts w:hint="eastAsia" w:ascii="宋体" w:hAnsi="宋体"/>
          <w:b/>
          <w:color w:val="auto"/>
          <w:szCs w:val="21"/>
        </w:rPr>
        <w:t>投标函格式：</w:t>
      </w:r>
    </w:p>
    <w:p>
      <w:pPr>
        <w:snapToGrid w:val="0"/>
        <w:spacing w:before="120" w:beforeLines="50" w:after="50"/>
        <w:jc w:val="center"/>
        <w:rPr>
          <w:rFonts w:ascii="宋体" w:hAnsi="宋体"/>
          <w:b/>
          <w:color w:val="auto"/>
          <w:szCs w:val="21"/>
        </w:rPr>
      </w:pPr>
      <w:r>
        <w:rPr>
          <w:rFonts w:hint="eastAsia" w:ascii="宋体" w:hAnsi="宋体"/>
          <w:b/>
          <w:color w:val="auto"/>
          <w:szCs w:val="21"/>
        </w:rPr>
        <w:t>投</w:t>
      </w:r>
      <w:r>
        <w:rPr>
          <w:rFonts w:ascii="宋体" w:hAnsi="宋体"/>
          <w:b/>
          <w:color w:val="auto"/>
          <w:szCs w:val="21"/>
        </w:rPr>
        <w:t xml:space="preserve"> </w:t>
      </w:r>
      <w:r>
        <w:rPr>
          <w:rFonts w:hint="eastAsia" w:ascii="宋体" w:hAnsi="宋体"/>
          <w:b/>
          <w:color w:val="auto"/>
          <w:szCs w:val="21"/>
        </w:rPr>
        <w:t>标</w:t>
      </w:r>
      <w:r>
        <w:rPr>
          <w:rFonts w:ascii="宋体" w:hAnsi="宋体"/>
          <w:b/>
          <w:color w:val="auto"/>
          <w:szCs w:val="21"/>
        </w:rPr>
        <w:t xml:space="preserve"> </w:t>
      </w:r>
      <w:r>
        <w:rPr>
          <w:rFonts w:hint="eastAsia" w:ascii="宋体" w:hAnsi="宋体"/>
          <w:b/>
          <w:color w:val="auto"/>
          <w:szCs w:val="21"/>
        </w:rPr>
        <w:t>函</w:t>
      </w:r>
    </w:p>
    <w:p>
      <w:pPr>
        <w:pStyle w:val="13"/>
        <w:spacing w:line="360" w:lineRule="exact"/>
        <w:ind w:firstLine="0"/>
        <w:rPr>
          <w:color w:val="auto"/>
          <w:sz w:val="21"/>
          <w:szCs w:val="21"/>
        </w:rPr>
      </w:pPr>
      <w:r>
        <w:rPr>
          <w:rFonts w:hint="eastAsia"/>
          <w:color w:val="auto"/>
          <w:sz w:val="21"/>
          <w:szCs w:val="21"/>
          <w:u w:val="none"/>
        </w:rPr>
        <w:t>致</w:t>
      </w:r>
      <w:r>
        <w:rPr>
          <w:rFonts w:hint="eastAsia"/>
          <w:color w:val="auto"/>
          <w:sz w:val="21"/>
          <w:szCs w:val="21"/>
          <w:u w:val="none"/>
          <w:lang w:eastAsia="zh-CN"/>
        </w:rPr>
        <w:t>：</w:t>
      </w:r>
      <w:r>
        <w:rPr>
          <w:rFonts w:hint="eastAsia"/>
          <w:color w:val="auto"/>
          <w:sz w:val="21"/>
          <w:szCs w:val="21"/>
          <w:u w:val="single"/>
          <w:lang w:eastAsia="zh-CN"/>
        </w:rPr>
        <w:t>浙江天诚工程咨询有限公司</w:t>
      </w:r>
      <w:r>
        <w:rPr>
          <w:rFonts w:hint="eastAsia"/>
          <w:color w:val="auto"/>
          <w:sz w:val="21"/>
          <w:szCs w:val="21"/>
        </w:rPr>
        <w:t>：</w:t>
      </w:r>
    </w:p>
    <w:p>
      <w:pPr>
        <w:pStyle w:val="13"/>
        <w:spacing w:line="360" w:lineRule="exact"/>
        <w:ind w:firstLine="0"/>
        <w:rPr>
          <w:rFonts w:hint="eastAsia"/>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i/>
          <w:color w:val="auto"/>
          <w:sz w:val="21"/>
          <w:szCs w:val="21"/>
          <w:u w:val="single"/>
        </w:rPr>
        <w:t>（投标人全称）</w:t>
      </w:r>
      <w:r>
        <w:rPr>
          <w:rFonts w:hint="eastAsia"/>
          <w:color w:val="auto"/>
          <w:sz w:val="21"/>
          <w:szCs w:val="21"/>
          <w:u w:val="single"/>
        </w:rPr>
        <w:t xml:space="preserve">    </w:t>
      </w:r>
      <w:r>
        <w:rPr>
          <w:rFonts w:hint="eastAsia"/>
          <w:color w:val="auto"/>
          <w:sz w:val="21"/>
          <w:szCs w:val="21"/>
        </w:rPr>
        <w:t>授权</w:t>
      </w:r>
      <w:r>
        <w:rPr>
          <w:rFonts w:hint="eastAsia"/>
          <w:color w:val="auto"/>
          <w:sz w:val="21"/>
          <w:szCs w:val="21"/>
          <w:u w:val="single"/>
        </w:rPr>
        <w:t xml:space="preserve"> </w:t>
      </w:r>
      <w:r>
        <w:rPr>
          <w:rFonts w:hint="eastAsia"/>
          <w:i/>
          <w:color w:val="auto"/>
          <w:sz w:val="21"/>
          <w:szCs w:val="21"/>
          <w:u w:val="single"/>
        </w:rPr>
        <w:t xml:space="preserve">（全权代表姓名、职务）     </w:t>
      </w:r>
      <w:r>
        <w:rPr>
          <w:rFonts w:hint="eastAsia"/>
          <w:color w:val="auto"/>
          <w:sz w:val="21"/>
          <w:szCs w:val="21"/>
          <w:u w:val="single"/>
        </w:rPr>
        <w:t xml:space="preserve"> </w:t>
      </w:r>
    </w:p>
    <w:p>
      <w:pPr>
        <w:pStyle w:val="13"/>
        <w:spacing w:line="360" w:lineRule="exact"/>
        <w:ind w:firstLine="0"/>
        <w:rPr>
          <w:rFonts w:hint="eastAsia"/>
          <w:color w:val="auto"/>
          <w:sz w:val="21"/>
          <w:szCs w:val="21"/>
          <w:u w:val="single"/>
        </w:rPr>
      </w:pPr>
      <w:r>
        <w:rPr>
          <w:rFonts w:hint="eastAsia"/>
          <w:color w:val="auto"/>
          <w:sz w:val="21"/>
          <w:szCs w:val="21"/>
        </w:rPr>
        <w:t xml:space="preserve">为本公司合法代理人，参加贵方组织的 </w:t>
      </w:r>
      <w:r>
        <w:rPr>
          <w:rFonts w:hint="eastAsia"/>
          <w:color w:val="auto"/>
          <w:sz w:val="21"/>
          <w:szCs w:val="21"/>
          <w:u w:val="single"/>
        </w:rPr>
        <w:t xml:space="preserve">         </w:t>
      </w:r>
      <w:r>
        <w:rPr>
          <w:rFonts w:hint="eastAsia"/>
          <w:i/>
          <w:color w:val="auto"/>
          <w:sz w:val="21"/>
          <w:szCs w:val="21"/>
          <w:u w:val="single"/>
        </w:rPr>
        <w:t>（采购编号、采购项目名称）</w:t>
      </w:r>
      <w:r>
        <w:rPr>
          <w:rFonts w:hint="eastAsia"/>
          <w:color w:val="auto"/>
          <w:sz w:val="21"/>
          <w:szCs w:val="21"/>
          <w:u w:val="single"/>
        </w:rPr>
        <w:t xml:space="preserve">      </w:t>
      </w:r>
      <w:r>
        <w:rPr>
          <w:rFonts w:hint="eastAsia"/>
          <w:color w:val="auto"/>
          <w:sz w:val="21"/>
          <w:szCs w:val="21"/>
        </w:rPr>
        <w:t>招投标活动，代表本公司处理招投标活动中的一切事宜，在此：</w:t>
      </w:r>
    </w:p>
    <w:p>
      <w:pPr>
        <w:pStyle w:val="13"/>
        <w:numPr>
          <w:ilvl w:val="0"/>
          <w:numId w:val="10"/>
        </w:numPr>
        <w:tabs>
          <w:tab w:val="left" w:pos="525"/>
        </w:tabs>
        <w:spacing w:line="360" w:lineRule="exact"/>
        <w:ind w:hanging="735"/>
        <w:rPr>
          <w:rFonts w:hint="eastAsia"/>
          <w:color w:val="auto"/>
          <w:sz w:val="21"/>
          <w:szCs w:val="21"/>
        </w:rPr>
      </w:pPr>
      <w:r>
        <w:rPr>
          <w:rFonts w:hint="eastAsia"/>
          <w:color w:val="auto"/>
          <w:sz w:val="21"/>
          <w:szCs w:val="21"/>
        </w:rPr>
        <w:t>提供采购文件中“投标人须知及前附表”规定的全部投标文件：</w:t>
      </w:r>
    </w:p>
    <w:p>
      <w:pPr>
        <w:pStyle w:val="13"/>
        <w:numPr>
          <w:ilvl w:val="0"/>
          <w:numId w:val="10"/>
        </w:numPr>
        <w:tabs>
          <w:tab w:val="left" w:pos="525"/>
        </w:tabs>
        <w:spacing w:line="360" w:lineRule="exact"/>
        <w:ind w:hanging="735"/>
        <w:rPr>
          <w:rFonts w:hint="eastAsia"/>
          <w:color w:val="auto"/>
          <w:sz w:val="21"/>
          <w:szCs w:val="21"/>
        </w:rPr>
      </w:pPr>
      <w:r>
        <w:rPr>
          <w:rFonts w:hint="eastAsia"/>
          <w:color w:val="auto"/>
          <w:sz w:val="21"/>
          <w:szCs w:val="21"/>
        </w:rPr>
        <w:t>据此函，签字代表宣布并承诺如下：</w:t>
      </w:r>
    </w:p>
    <w:p>
      <w:pPr>
        <w:pStyle w:val="13"/>
        <w:spacing w:line="360" w:lineRule="exact"/>
        <w:rPr>
          <w:rFonts w:hint="eastAsia"/>
          <w:color w:val="auto"/>
          <w:sz w:val="21"/>
          <w:szCs w:val="21"/>
        </w:rPr>
      </w:pPr>
      <w:r>
        <w:rPr>
          <w:rFonts w:hint="eastAsia"/>
          <w:color w:val="auto"/>
          <w:sz w:val="21"/>
          <w:szCs w:val="21"/>
        </w:rPr>
        <w:t>（1）投标报价为开标一览表载明的投标报价。</w:t>
      </w:r>
    </w:p>
    <w:p>
      <w:pPr>
        <w:pStyle w:val="13"/>
        <w:spacing w:line="360" w:lineRule="exact"/>
        <w:ind w:left="1077" w:leftChars="513" w:firstLine="0"/>
        <w:rPr>
          <w:rFonts w:hint="eastAsia"/>
          <w:color w:val="auto"/>
          <w:sz w:val="21"/>
          <w:szCs w:val="21"/>
        </w:rPr>
      </w:pPr>
      <w:r>
        <w:rPr>
          <w:rFonts w:hint="eastAsia"/>
          <w:color w:val="auto"/>
          <w:sz w:val="21"/>
          <w:szCs w:val="21"/>
        </w:rPr>
        <w:t>本报价已经包含了投标项目应纳的税金及采购文件规定的报价方式应包含的其它费用。本报价在投标有效期内固定不变，并在合同有效期内不受利率波动的影响。</w:t>
      </w:r>
    </w:p>
    <w:p>
      <w:pPr>
        <w:pStyle w:val="13"/>
        <w:spacing w:line="360" w:lineRule="exact"/>
        <w:ind w:firstLine="514"/>
        <w:rPr>
          <w:rFonts w:hint="eastAsia"/>
          <w:color w:val="auto"/>
          <w:sz w:val="21"/>
          <w:szCs w:val="21"/>
        </w:rPr>
      </w:pPr>
      <w:r>
        <w:rPr>
          <w:rFonts w:hint="eastAsia"/>
          <w:color w:val="auto"/>
          <w:sz w:val="21"/>
          <w:szCs w:val="21"/>
        </w:rPr>
        <w:t>（2） 本投标文件自开标之日起</w:t>
      </w:r>
      <w:r>
        <w:rPr>
          <w:rFonts w:hint="eastAsia"/>
          <w:color w:val="auto"/>
          <w:sz w:val="21"/>
          <w:szCs w:val="21"/>
          <w:u w:val="single"/>
        </w:rPr>
        <w:t xml:space="preserve">       </w:t>
      </w:r>
      <w:r>
        <w:rPr>
          <w:rFonts w:hint="eastAsia"/>
          <w:color w:val="auto"/>
          <w:sz w:val="21"/>
          <w:szCs w:val="21"/>
        </w:rPr>
        <w:t>天内有效。</w:t>
      </w:r>
    </w:p>
    <w:p>
      <w:pPr>
        <w:pStyle w:val="13"/>
        <w:spacing w:line="360" w:lineRule="exact"/>
        <w:ind w:left="1087" w:leftChars="229" w:hanging="606" w:hangingChars="300"/>
        <w:rPr>
          <w:rFonts w:hint="eastAsia"/>
          <w:color w:val="auto"/>
          <w:sz w:val="21"/>
          <w:szCs w:val="21"/>
        </w:rPr>
      </w:pPr>
      <w:r>
        <w:rPr>
          <w:rFonts w:hint="eastAsia"/>
          <w:color w:val="auto"/>
          <w:sz w:val="21"/>
          <w:szCs w:val="21"/>
        </w:rPr>
        <w:t>（3） 我们已详细审查全部采购文件及有关的澄清/修改文件(若有)，我们完全理解并同意放弃对这方面提出任何异议的权利。</w:t>
      </w:r>
    </w:p>
    <w:p>
      <w:pPr>
        <w:pStyle w:val="13"/>
        <w:spacing w:line="360" w:lineRule="exact"/>
        <w:ind w:left="480" w:firstLine="0"/>
        <w:rPr>
          <w:rFonts w:hint="eastAsia"/>
          <w:color w:val="auto"/>
          <w:sz w:val="21"/>
          <w:szCs w:val="21"/>
        </w:rPr>
      </w:pPr>
      <w:r>
        <w:rPr>
          <w:rFonts w:hint="eastAsia"/>
          <w:color w:val="auto"/>
          <w:sz w:val="21"/>
          <w:szCs w:val="21"/>
        </w:rPr>
        <w:t>（4） 保证遵守采购文件有关条款规定。</w:t>
      </w:r>
    </w:p>
    <w:p>
      <w:pPr>
        <w:pStyle w:val="13"/>
        <w:numPr>
          <w:ilvl w:val="0"/>
          <w:numId w:val="11"/>
        </w:numPr>
        <w:spacing w:line="360" w:lineRule="exact"/>
        <w:rPr>
          <w:rFonts w:hint="eastAsia" w:ascii="Times New Roman" w:eastAsia="方正书宋简体"/>
          <w:color w:val="auto"/>
          <w:sz w:val="21"/>
          <w:szCs w:val="21"/>
        </w:rPr>
      </w:pPr>
      <w:r>
        <w:rPr>
          <w:rFonts w:hint="eastAsia"/>
          <w:color w:val="auto"/>
          <w:sz w:val="21"/>
          <w:szCs w:val="21"/>
        </w:rPr>
        <w:t>保证在中标后忠实地执行与采购人所签署的合同，并承担合同规定的责任义务。</w:t>
      </w:r>
    </w:p>
    <w:p>
      <w:pPr>
        <w:pStyle w:val="13"/>
        <w:numPr>
          <w:ilvl w:val="0"/>
          <w:numId w:val="11"/>
        </w:numPr>
        <w:spacing w:line="360" w:lineRule="exact"/>
        <w:rPr>
          <w:color w:val="auto"/>
          <w:sz w:val="21"/>
          <w:szCs w:val="21"/>
        </w:rPr>
      </w:pPr>
      <w:r>
        <w:rPr>
          <w:rFonts w:hint="eastAsia"/>
          <w:color w:val="auto"/>
          <w:sz w:val="21"/>
          <w:szCs w:val="21"/>
        </w:rPr>
        <w:t>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pStyle w:val="13"/>
        <w:numPr>
          <w:ilvl w:val="0"/>
          <w:numId w:val="11"/>
        </w:numPr>
        <w:spacing w:line="360" w:lineRule="exact"/>
        <w:rPr>
          <w:rFonts w:hint="eastAsia"/>
          <w:color w:val="auto"/>
          <w:sz w:val="21"/>
          <w:szCs w:val="21"/>
        </w:rPr>
      </w:pPr>
      <w:r>
        <w:rPr>
          <w:rFonts w:hint="eastAsia"/>
          <w:color w:val="auto"/>
          <w:sz w:val="21"/>
          <w:szCs w:val="21"/>
        </w:rPr>
        <w:t>我们郑重声明：我公司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pStyle w:val="13"/>
        <w:numPr>
          <w:ilvl w:val="0"/>
          <w:numId w:val="10"/>
        </w:numPr>
        <w:spacing w:line="360" w:lineRule="exact"/>
        <w:ind w:hanging="735"/>
        <w:rPr>
          <w:rFonts w:hint="eastAsia"/>
          <w:color w:val="auto"/>
          <w:sz w:val="21"/>
          <w:szCs w:val="21"/>
        </w:rPr>
      </w:pPr>
      <w:r>
        <w:rPr>
          <w:rFonts w:hint="eastAsia"/>
          <w:color w:val="auto"/>
          <w:sz w:val="21"/>
          <w:szCs w:val="21"/>
        </w:rPr>
        <w:t>与本项目投标有关的一切往来通讯请寄：</w:t>
      </w:r>
    </w:p>
    <w:p>
      <w:pPr>
        <w:pStyle w:val="13"/>
        <w:spacing w:line="360" w:lineRule="exact"/>
        <w:ind w:left="480" w:firstLine="0"/>
        <w:rPr>
          <w:rFonts w:hint="eastAsia"/>
          <w:color w:val="auto"/>
          <w:sz w:val="21"/>
          <w:szCs w:val="21"/>
        </w:rPr>
      </w:pPr>
      <w:r>
        <w:rPr>
          <w:rFonts w:hint="eastAsia"/>
          <w:color w:val="auto"/>
          <w:sz w:val="21"/>
          <w:szCs w:val="21"/>
        </w:rPr>
        <w:t>地址：</w:t>
      </w:r>
      <w:r>
        <w:rPr>
          <w:rFonts w:hint="eastAsia"/>
          <w:color w:val="auto"/>
          <w:sz w:val="21"/>
          <w:szCs w:val="21"/>
          <w:u w:val="single"/>
        </w:rPr>
        <w:t xml:space="preserve">                                                   </w:t>
      </w:r>
    </w:p>
    <w:p>
      <w:pPr>
        <w:pStyle w:val="13"/>
        <w:spacing w:line="360" w:lineRule="exact"/>
        <w:ind w:left="480" w:firstLine="0"/>
        <w:rPr>
          <w:rFonts w:hint="eastAsia"/>
          <w:color w:val="auto"/>
          <w:sz w:val="21"/>
          <w:szCs w:val="21"/>
          <w:u w:val="single"/>
        </w:rPr>
      </w:pPr>
      <w:r>
        <w:rPr>
          <w:rFonts w:hint="eastAsia"/>
          <w:color w:val="auto"/>
          <w:sz w:val="21"/>
          <w:szCs w:val="21"/>
        </w:rPr>
        <w:t>邮编：</w:t>
      </w:r>
      <w:r>
        <w:rPr>
          <w:rFonts w:hint="eastAsia"/>
          <w:color w:val="auto"/>
          <w:sz w:val="21"/>
          <w:szCs w:val="21"/>
          <w:u w:val="single"/>
        </w:rPr>
        <w:t xml:space="preserve">            </w:t>
      </w:r>
      <w:r>
        <w:rPr>
          <w:rFonts w:hint="eastAsia"/>
          <w:color w:val="auto"/>
          <w:sz w:val="21"/>
          <w:szCs w:val="21"/>
        </w:rPr>
        <w:t>电话：</w:t>
      </w:r>
      <w:r>
        <w:rPr>
          <w:rFonts w:hint="eastAsia"/>
          <w:color w:val="auto"/>
          <w:sz w:val="21"/>
          <w:szCs w:val="21"/>
          <w:u w:val="single"/>
        </w:rPr>
        <w:t xml:space="preserve">              </w:t>
      </w:r>
      <w:r>
        <w:rPr>
          <w:rFonts w:hint="eastAsia"/>
          <w:color w:val="auto"/>
          <w:sz w:val="21"/>
          <w:szCs w:val="21"/>
        </w:rPr>
        <w:t>传真：</w:t>
      </w:r>
      <w:r>
        <w:rPr>
          <w:rFonts w:hint="eastAsia"/>
          <w:color w:val="auto"/>
          <w:sz w:val="21"/>
          <w:szCs w:val="21"/>
          <w:u w:val="single"/>
        </w:rPr>
        <w:t xml:space="preserve">             </w:t>
      </w:r>
    </w:p>
    <w:p>
      <w:pPr>
        <w:pStyle w:val="13"/>
        <w:spacing w:line="360" w:lineRule="exact"/>
        <w:ind w:firstLine="0"/>
        <w:rPr>
          <w:rFonts w:hint="eastAsia"/>
          <w:color w:val="auto"/>
          <w:sz w:val="21"/>
          <w:szCs w:val="21"/>
        </w:rPr>
      </w:pPr>
    </w:p>
    <w:p>
      <w:pPr>
        <w:pStyle w:val="13"/>
        <w:spacing w:line="360" w:lineRule="exact"/>
        <w:ind w:firstLine="0"/>
        <w:rPr>
          <w:color w:val="auto"/>
          <w:sz w:val="21"/>
          <w:szCs w:val="21"/>
        </w:rPr>
      </w:pPr>
      <w:r>
        <w:rPr>
          <w:rFonts w:hint="eastAsia"/>
          <w:color w:val="auto"/>
          <w:sz w:val="21"/>
          <w:szCs w:val="21"/>
        </w:rPr>
        <w:t xml:space="preserve">投标人单位（盖章）：       </w:t>
      </w:r>
    </w:p>
    <w:p>
      <w:pPr>
        <w:pStyle w:val="13"/>
        <w:spacing w:line="360" w:lineRule="exact"/>
        <w:ind w:firstLine="0"/>
        <w:rPr>
          <w:rFonts w:hint="eastAsia"/>
          <w:color w:val="auto"/>
          <w:sz w:val="21"/>
          <w:szCs w:val="21"/>
        </w:rPr>
      </w:pPr>
      <w:r>
        <w:rPr>
          <w:rFonts w:hint="eastAsia"/>
          <w:color w:val="auto"/>
          <w:sz w:val="21"/>
          <w:szCs w:val="21"/>
        </w:rPr>
        <w:t>法定代表人或被授权代表人（签字</w:t>
      </w:r>
      <w:r>
        <w:rPr>
          <w:rFonts w:hint="eastAsia"/>
          <w:color w:val="auto"/>
          <w:sz w:val="21"/>
          <w:szCs w:val="21"/>
          <w:lang w:val="en-US" w:eastAsia="zh-CN"/>
        </w:rPr>
        <w:t>或盖章</w:t>
      </w:r>
      <w:r>
        <w:rPr>
          <w:rFonts w:hint="eastAsia"/>
          <w:color w:val="auto"/>
          <w:sz w:val="21"/>
          <w:szCs w:val="21"/>
        </w:rPr>
        <w:t>）：</w:t>
      </w:r>
    </w:p>
    <w:p>
      <w:pPr>
        <w:pStyle w:val="13"/>
        <w:tabs>
          <w:tab w:val="left" w:pos="4841"/>
        </w:tabs>
        <w:spacing w:line="360" w:lineRule="exact"/>
        <w:ind w:firstLine="0"/>
        <w:rPr>
          <w:rFonts w:hint="eastAsia"/>
          <w:color w:val="auto"/>
          <w:sz w:val="21"/>
          <w:szCs w:val="21"/>
        </w:rPr>
      </w:pPr>
      <w:r>
        <w:rPr>
          <w:rFonts w:hint="eastAsia"/>
          <w:color w:val="auto"/>
          <w:sz w:val="21"/>
          <w:szCs w:val="21"/>
        </w:rPr>
        <w:t>日      期：     年   月   日</w:t>
      </w:r>
    </w:p>
    <w:p>
      <w:pPr>
        <w:snapToGrid w:val="0"/>
        <w:spacing w:before="120" w:beforeLines="50" w:after="50"/>
        <w:rPr>
          <w:rFonts w:hint="eastAsia" w:ascii="宋体" w:hAnsi="宋体"/>
          <w:b/>
          <w:color w:val="auto"/>
          <w:szCs w:val="21"/>
        </w:rPr>
      </w:pPr>
    </w:p>
    <w:p>
      <w:pPr>
        <w:pStyle w:val="13"/>
        <w:tabs>
          <w:tab w:val="left" w:pos="4841"/>
        </w:tabs>
        <w:spacing w:line="360" w:lineRule="exact"/>
        <w:ind w:firstLine="0"/>
        <w:rPr>
          <w:rFonts w:hint="eastAsia" w:ascii="宋体" w:hAnsi="宋体"/>
          <w:b/>
          <w:color w:val="auto"/>
          <w:szCs w:val="21"/>
        </w:rPr>
      </w:pPr>
      <w:r>
        <w:rPr>
          <w:rFonts w:hint="eastAsia" w:ascii="宋体" w:hAnsi="宋体"/>
          <w:b/>
          <w:color w:val="auto"/>
          <w:szCs w:val="21"/>
        </w:rPr>
        <w:br w:type="page"/>
      </w:r>
    </w:p>
    <w:p>
      <w:pPr>
        <w:pStyle w:val="13"/>
        <w:tabs>
          <w:tab w:val="left" w:pos="4841"/>
        </w:tabs>
        <w:spacing w:line="360" w:lineRule="exact"/>
        <w:ind w:firstLine="0"/>
        <w:rPr>
          <w:rFonts w:hint="eastAsia" w:ascii="宋体" w:hAnsi="宋体"/>
          <w:b/>
          <w:color w:val="auto"/>
          <w:szCs w:val="21"/>
        </w:rPr>
      </w:pPr>
      <w:r>
        <w:rPr>
          <w:rFonts w:hint="eastAsia" w:ascii="宋体" w:hAnsi="宋体"/>
          <w:b/>
          <w:color w:val="auto"/>
          <w:szCs w:val="21"/>
        </w:rPr>
        <w:t>4、</w:t>
      </w:r>
      <w:r>
        <w:rPr>
          <w:rFonts w:hint="eastAsia" w:ascii="宋体" w:hAnsi="宋体"/>
          <w:b/>
          <w:color w:val="auto"/>
          <w:szCs w:val="21"/>
        </w:rPr>
        <w:t>开标一览表格式：</w:t>
      </w:r>
    </w:p>
    <w:p>
      <w:pPr>
        <w:snapToGrid w:val="0"/>
        <w:spacing w:before="120" w:beforeLines="50" w:after="50"/>
        <w:jc w:val="center"/>
        <w:rPr>
          <w:rFonts w:hint="eastAsia" w:ascii="宋体" w:hAnsi="宋体"/>
          <w:b/>
          <w:color w:val="auto"/>
          <w:szCs w:val="21"/>
        </w:rPr>
      </w:pPr>
      <w:r>
        <w:rPr>
          <w:rFonts w:hint="eastAsia" w:ascii="宋体" w:hAnsi="宋体"/>
          <w:b/>
          <w:color w:val="auto"/>
          <w:szCs w:val="21"/>
        </w:rPr>
        <w:t>开标一览表</w:t>
      </w:r>
    </w:p>
    <w:p>
      <w:pPr>
        <w:snapToGrid w:val="0"/>
        <w:spacing w:before="120" w:beforeLines="50" w:after="50"/>
        <w:jc w:val="center"/>
        <w:rPr>
          <w:rFonts w:hint="eastAsia" w:ascii="宋体" w:hAnsi="宋体"/>
          <w:color w:val="auto"/>
          <w:szCs w:val="21"/>
        </w:rPr>
      </w:pPr>
    </w:p>
    <w:p>
      <w:pPr>
        <w:pStyle w:val="13"/>
        <w:spacing w:line="300" w:lineRule="exact"/>
        <w:ind w:firstLine="0"/>
        <w:rPr>
          <w:rFonts w:hint="eastAsia" w:hAnsi="宋体"/>
          <w:color w:val="auto"/>
          <w:sz w:val="21"/>
          <w:szCs w:val="21"/>
        </w:rPr>
      </w:pPr>
      <w:r>
        <w:rPr>
          <w:rFonts w:hint="eastAsia" w:hAnsi="宋体"/>
          <w:color w:val="auto"/>
          <w:sz w:val="21"/>
          <w:szCs w:val="21"/>
        </w:rPr>
        <w:t>招标项目名称：</w:t>
      </w:r>
      <w:r>
        <w:rPr>
          <w:rFonts w:hint="eastAsia" w:hAnsi="宋体"/>
          <w:color w:val="auto"/>
          <w:sz w:val="21"/>
          <w:szCs w:val="21"/>
          <w:u w:val="single"/>
        </w:rPr>
        <w:t xml:space="preserve">                         </w:t>
      </w:r>
      <w:r>
        <w:rPr>
          <w:rFonts w:hint="eastAsia" w:hAnsi="宋体"/>
          <w:color w:val="auto"/>
          <w:sz w:val="21"/>
          <w:szCs w:val="21"/>
        </w:rPr>
        <w:t xml:space="preserve">     招标编号：</w:t>
      </w:r>
      <w:r>
        <w:rPr>
          <w:rFonts w:hint="eastAsia" w:hAnsi="宋体"/>
          <w:color w:val="auto"/>
          <w:sz w:val="21"/>
          <w:szCs w:val="21"/>
          <w:u w:val="single"/>
        </w:rPr>
        <w:t xml:space="preserve">                 </w:t>
      </w:r>
    </w:p>
    <w:p>
      <w:pPr>
        <w:pStyle w:val="13"/>
        <w:spacing w:line="300" w:lineRule="exact"/>
        <w:ind w:firstLine="0"/>
        <w:rPr>
          <w:rFonts w:hint="eastAsia" w:hAnsi="宋体"/>
          <w:color w:val="auto"/>
          <w:sz w:val="21"/>
          <w:szCs w:val="21"/>
        </w:rPr>
      </w:pPr>
    </w:p>
    <w:p>
      <w:pPr>
        <w:pStyle w:val="13"/>
        <w:spacing w:line="300" w:lineRule="exact"/>
        <w:ind w:firstLine="0"/>
        <w:rPr>
          <w:rFonts w:hint="eastAsia"/>
        </w:rPr>
      </w:pPr>
      <w:r>
        <w:rPr>
          <w:rFonts w:hint="eastAsia" w:hAnsi="宋体"/>
          <w:color w:val="auto"/>
          <w:sz w:val="21"/>
          <w:szCs w:val="21"/>
        </w:rPr>
        <w:t>单位：元（人民币）</w:t>
      </w:r>
    </w:p>
    <w:p>
      <w:pPr>
        <w:ind w:firstLine="473"/>
        <w:rPr>
          <w:rFonts w:hint="eastAsia"/>
          <w:color w:val="auto"/>
        </w:rPr>
      </w:pPr>
      <w:r>
        <w:rPr>
          <w:rFonts w:hint="eastAsia"/>
          <w:color w:val="auto"/>
        </w:rPr>
        <w:t xml:space="preserve">       </w:t>
      </w:r>
    </w:p>
    <w:tbl>
      <w:tblPr>
        <w:tblStyle w:val="3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959"/>
        <w:gridCol w:w="2181"/>
        <w:gridCol w:w="276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952" w:type="dxa"/>
            <w:noWrap w:val="0"/>
            <w:vAlign w:val="center"/>
          </w:tcPr>
          <w:p>
            <w:pPr>
              <w:snapToGrid w:val="0"/>
              <w:spacing w:line="40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序号</w:t>
            </w:r>
          </w:p>
        </w:tc>
        <w:tc>
          <w:tcPr>
            <w:tcW w:w="2959" w:type="dxa"/>
            <w:noWrap w:val="0"/>
            <w:vAlign w:val="center"/>
          </w:tcPr>
          <w:p>
            <w:pPr>
              <w:spacing w:line="400" w:lineRule="exact"/>
              <w:jc w:val="center"/>
              <w:rPr>
                <w:rFonts w:ascii="宋体" w:hAnsi="宋体"/>
                <w:color w:val="000000"/>
                <w:szCs w:val="21"/>
              </w:rPr>
            </w:pPr>
            <w:r>
              <w:rPr>
                <w:rFonts w:hint="eastAsia" w:ascii="宋体" w:hAnsi="宋体"/>
                <w:color w:val="000000"/>
                <w:szCs w:val="21"/>
                <w:lang w:val="en-US" w:eastAsia="zh-CN"/>
              </w:rPr>
              <w:t>项目</w:t>
            </w:r>
            <w:r>
              <w:rPr>
                <w:rFonts w:hint="eastAsia" w:ascii="宋体" w:hAnsi="宋体"/>
                <w:color w:val="000000"/>
                <w:szCs w:val="21"/>
              </w:rPr>
              <w:t>名称</w:t>
            </w:r>
          </w:p>
        </w:tc>
        <w:tc>
          <w:tcPr>
            <w:tcW w:w="2181" w:type="dxa"/>
            <w:noWrap w:val="0"/>
            <w:vAlign w:val="center"/>
          </w:tcPr>
          <w:p>
            <w:pPr>
              <w:spacing w:line="400" w:lineRule="exact"/>
              <w:jc w:val="center"/>
              <w:rPr>
                <w:rFonts w:ascii="宋体" w:hAnsi="宋体"/>
                <w:color w:val="000000"/>
                <w:szCs w:val="21"/>
              </w:rPr>
            </w:pPr>
            <w:r>
              <w:rPr>
                <w:rFonts w:hint="eastAsia" w:ascii="宋体" w:hAnsi="宋体"/>
                <w:color w:val="000000"/>
                <w:szCs w:val="21"/>
              </w:rPr>
              <w:t>服务期限</w:t>
            </w:r>
          </w:p>
        </w:tc>
        <w:tc>
          <w:tcPr>
            <w:tcW w:w="2766" w:type="dxa"/>
            <w:noWrap w:val="0"/>
            <w:vAlign w:val="center"/>
          </w:tcPr>
          <w:p>
            <w:pPr>
              <w:spacing w:line="400" w:lineRule="exact"/>
              <w:jc w:val="center"/>
              <w:rPr>
                <w:rFonts w:ascii="宋体" w:hAnsi="宋体"/>
                <w:color w:val="000000"/>
                <w:szCs w:val="21"/>
              </w:rPr>
            </w:pPr>
            <w:r>
              <w:rPr>
                <w:rFonts w:hint="eastAsia" w:ascii="宋体" w:hAnsi="宋体"/>
                <w:color w:val="000000"/>
                <w:szCs w:val="21"/>
              </w:rPr>
              <w:t>投标报价（</w:t>
            </w:r>
            <w:r>
              <w:rPr>
                <w:rFonts w:hint="eastAsia" w:ascii="宋体" w:hAnsi="宋体"/>
                <w:color w:val="000000"/>
                <w:szCs w:val="21"/>
                <w:lang w:val="en-US" w:eastAsia="zh-CN"/>
              </w:rPr>
              <w:t>元</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952" w:type="dxa"/>
            <w:noWrap w:val="0"/>
            <w:vAlign w:val="center"/>
          </w:tcPr>
          <w:p>
            <w:pPr>
              <w:snapToGrid w:val="0"/>
              <w:spacing w:line="400" w:lineRule="exact"/>
              <w:jc w:val="center"/>
              <w:rPr>
                <w:rFonts w:hint="default" w:ascii="宋体" w:hAnsi="宋体" w:eastAsia="宋体"/>
                <w:color w:val="000000"/>
                <w:szCs w:val="21"/>
                <w:lang w:val="en-US" w:eastAsia="zh-CN"/>
              </w:rPr>
            </w:pPr>
          </w:p>
        </w:tc>
        <w:tc>
          <w:tcPr>
            <w:tcW w:w="2959" w:type="dxa"/>
            <w:noWrap w:val="0"/>
            <w:vAlign w:val="center"/>
          </w:tcPr>
          <w:p>
            <w:pPr>
              <w:spacing w:line="400" w:lineRule="exact"/>
              <w:jc w:val="center"/>
              <w:rPr>
                <w:rFonts w:hint="default" w:ascii="宋体" w:hAnsi="宋体" w:eastAsia="宋体"/>
                <w:color w:val="000000"/>
                <w:szCs w:val="21"/>
                <w:lang w:val="en-US" w:eastAsia="zh-CN"/>
              </w:rPr>
            </w:pPr>
            <w:r>
              <w:rPr>
                <w:rFonts w:hint="eastAsia" w:ascii="宋体" w:hAnsi="宋体"/>
                <w:color w:val="000000"/>
                <w:szCs w:val="21"/>
                <w:lang w:val="en-US" w:eastAsia="zh-CN"/>
              </w:rPr>
              <w:t xml:space="preserve">    </w:t>
            </w:r>
          </w:p>
        </w:tc>
        <w:tc>
          <w:tcPr>
            <w:tcW w:w="2181"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lang w:val="en-US" w:eastAsia="zh-CN"/>
              </w:rPr>
              <w:t>一</w:t>
            </w:r>
            <w:r>
              <w:rPr>
                <w:rFonts w:hint="eastAsia" w:ascii="宋体" w:hAnsi="宋体"/>
                <w:color w:val="000000"/>
                <w:szCs w:val="21"/>
              </w:rPr>
              <w:t>年</w:t>
            </w:r>
          </w:p>
        </w:tc>
        <w:tc>
          <w:tcPr>
            <w:tcW w:w="2766" w:type="dxa"/>
            <w:noWrap w:val="0"/>
            <w:vAlign w:val="center"/>
          </w:tcPr>
          <w:p>
            <w:pPr>
              <w:snapToGrid w:val="0"/>
              <w:spacing w:line="400" w:lineRule="exact"/>
              <w:jc w:val="center"/>
              <w:rPr>
                <w:rFonts w:ascii="宋体" w:hAnsi="宋体"/>
                <w:color w:val="000000"/>
                <w:szCs w:val="21"/>
              </w:rPr>
            </w:pPr>
          </w:p>
        </w:tc>
      </w:tr>
    </w:tbl>
    <w:p>
      <w:pPr>
        <w:pStyle w:val="13"/>
        <w:spacing w:line="300" w:lineRule="exact"/>
        <w:ind w:firstLine="0"/>
        <w:rPr>
          <w:rFonts w:hint="eastAsia" w:hAnsi="宋体"/>
          <w:color w:val="auto"/>
          <w:sz w:val="21"/>
          <w:szCs w:val="21"/>
        </w:rPr>
      </w:pPr>
    </w:p>
    <w:p>
      <w:pPr>
        <w:snapToGrid w:val="0"/>
        <w:spacing w:before="50" w:after="50"/>
        <w:jc w:val="left"/>
        <w:rPr>
          <w:rFonts w:ascii="宋体" w:hAnsi="宋体"/>
          <w:color w:val="auto"/>
          <w:szCs w:val="21"/>
        </w:rPr>
      </w:pPr>
      <w:r>
        <w:rPr>
          <w:rFonts w:hint="eastAsia" w:ascii="宋体" w:hAnsi="宋体"/>
          <w:color w:val="auto"/>
          <w:szCs w:val="21"/>
        </w:rPr>
        <w:t>注</w:t>
      </w:r>
      <w:r>
        <w:rPr>
          <w:rFonts w:ascii="宋体" w:hAnsi="宋体"/>
          <w:color w:val="auto"/>
          <w:szCs w:val="21"/>
        </w:rPr>
        <w:t>: 1</w:t>
      </w:r>
      <w:r>
        <w:rPr>
          <w:rFonts w:hint="eastAsia" w:ascii="宋体" w:hAnsi="宋体"/>
          <w:color w:val="auto"/>
          <w:szCs w:val="21"/>
        </w:rPr>
        <w:t>、报价一经涂改，应在涂改处加盖单位公章或者由法定代表人或授权代表签字或盖章，否则其投标作无效标处理。</w:t>
      </w:r>
    </w:p>
    <w:p>
      <w:pPr>
        <w:snapToGrid w:val="0"/>
        <w:spacing w:before="50" w:after="50"/>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、以上投标报价应与“投标报价明细表”中的“投标报价（总价）”相一致。</w:t>
      </w:r>
    </w:p>
    <w:p>
      <w:pPr>
        <w:snapToGrid w:val="0"/>
        <w:spacing w:before="50" w:after="50"/>
        <w:ind w:left="-21" w:leftChars="-72" w:right="-817" w:rightChars="-389" w:hanging="130" w:hangingChars="62"/>
        <w:rPr>
          <w:rFonts w:hint="eastAsia" w:ascii="宋体" w:hAnsi="宋体"/>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jc w:val="left"/>
        <w:rPr>
          <w:rFonts w:ascii="宋体" w:hAnsi="宋体"/>
          <w:color w:val="auto"/>
          <w:szCs w:val="21"/>
        </w:rPr>
      </w:pPr>
      <w:r>
        <w:rPr>
          <w:rFonts w:hint="eastAsia" w:ascii="宋体" w:hAnsi="宋体"/>
          <w:color w:val="auto"/>
          <w:szCs w:val="21"/>
        </w:rPr>
        <w:t>法定代表人或授权代表（签字</w:t>
      </w:r>
      <w:r>
        <w:rPr>
          <w:rFonts w:hint="eastAsia" w:ascii="宋体" w:hAnsi="宋体"/>
          <w:color w:val="auto"/>
          <w:szCs w:val="21"/>
          <w:lang w:val="en-US" w:eastAsia="zh-CN"/>
        </w:rPr>
        <w:t>或盖章</w:t>
      </w:r>
      <w:r>
        <w:rPr>
          <w:rFonts w:hint="eastAsia" w:ascii="宋体" w:hAnsi="宋体"/>
          <w:color w:val="auto"/>
          <w:szCs w:val="21"/>
        </w:rPr>
        <w:t>）：</w:t>
      </w:r>
      <w:r>
        <w:rPr>
          <w:rFonts w:ascii="宋体" w:hAnsi="宋体"/>
          <w:color w:val="auto"/>
          <w:szCs w:val="21"/>
          <w:u w:val="single"/>
        </w:rPr>
        <w:t xml:space="preserve">                  </w:t>
      </w:r>
    </w:p>
    <w:p>
      <w:pPr>
        <w:spacing w:line="400" w:lineRule="atLeast"/>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pStyle w:val="18"/>
        <w:snapToGrid w:val="0"/>
        <w:spacing w:before="295" w:beforeLines="0" w:after="295" w:afterLines="0" w:line="240" w:lineRule="auto"/>
        <w:rPr>
          <w:rFonts w:hint="eastAsia" w:hAnsi="宋体"/>
          <w:color w:val="auto"/>
          <w:sz w:val="21"/>
          <w:szCs w:val="21"/>
        </w:rPr>
      </w:pPr>
    </w:p>
    <w:p>
      <w:pPr>
        <w:pStyle w:val="18"/>
        <w:snapToGrid w:val="0"/>
        <w:spacing w:before="295" w:beforeLines="0" w:after="295" w:afterLines="0" w:line="240" w:lineRule="auto"/>
        <w:rPr>
          <w:rFonts w:hint="eastAsia" w:hAnsi="宋体"/>
          <w:color w:val="auto"/>
          <w:sz w:val="21"/>
          <w:szCs w:val="21"/>
        </w:rPr>
      </w:pPr>
    </w:p>
    <w:p>
      <w:pPr>
        <w:pStyle w:val="18"/>
        <w:snapToGrid w:val="0"/>
        <w:spacing w:before="295" w:beforeLines="0" w:after="295" w:afterLines="0" w:line="240" w:lineRule="auto"/>
        <w:rPr>
          <w:rFonts w:hint="eastAsia" w:hAnsi="宋体"/>
          <w:color w:val="auto"/>
          <w:sz w:val="21"/>
          <w:szCs w:val="21"/>
        </w:rPr>
      </w:pPr>
    </w:p>
    <w:p>
      <w:pPr>
        <w:pStyle w:val="18"/>
        <w:snapToGrid w:val="0"/>
        <w:spacing w:before="295" w:beforeLines="0" w:after="295" w:afterLines="0" w:line="240" w:lineRule="auto"/>
        <w:rPr>
          <w:rFonts w:hint="eastAsia" w:hAnsi="宋体"/>
          <w:color w:val="auto"/>
          <w:sz w:val="21"/>
          <w:szCs w:val="21"/>
        </w:rPr>
      </w:pPr>
    </w:p>
    <w:p>
      <w:pPr>
        <w:snapToGrid w:val="0"/>
        <w:spacing w:before="120" w:beforeLines="50" w:after="50"/>
        <w:rPr>
          <w:rFonts w:hint="eastAsia" w:hAnsi="宋体"/>
          <w:b/>
          <w:color w:val="auto"/>
          <w:szCs w:val="21"/>
        </w:rPr>
      </w:pPr>
      <w:r>
        <w:rPr>
          <w:rFonts w:hint="eastAsia" w:hAnsi="宋体"/>
          <w:b/>
          <w:color w:val="auto"/>
          <w:szCs w:val="21"/>
        </w:rPr>
        <w:br w:type="page"/>
      </w:r>
    </w:p>
    <w:p>
      <w:pPr>
        <w:snapToGrid w:val="0"/>
        <w:spacing w:before="120" w:beforeLines="50" w:after="50"/>
        <w:rPr>
          <w:rFonts w:ascii="宋体" w:hAnsi="宋体"/>
          <w:color w:val="auto"/>
          <w:sz w:val="24"/>
        </w:rPr>
      </w:pPr>
      <w:r>
        <w:rPr>
          <w:rFonts w:hint="eastAsia" w:hAnsi="宋体"/>
          <w:b/>
          <w:color w:val="auto"/>
          <w:szCs w:val="21"/>
        </w:rPr>
        <w:t>5、</w:t>
      </w:r>
      <w:r>
        <w:rPr>
          <w:rFonts w:hAnsi="宋体"/>
          <w:b/>
          <w:color w:val="auto"/>
          <w:szCs w:val="21"/>
        </w:rPr>
        <w:t xml:space="preserve">投标报价明细表格式：       </w:t>
      </w:r>
    </w:p>
    <w:p>
      <w:pPr>
        <w:pStyle w:val="18"/>
        <w:snapToGrid w:val="0"/>
        <w:spacing w:before="295" w:beforeLines="0" w:after="295" w:afterLines="0" w:line="240" w:lineRule="auto"/>
        <w:jc w:val="center"/>
        <w:rPr>
          <w:rFonts w:hAnsi="宋体"/>
          <w:b/>
          <w:color w:val="auto"/>
          <w:sz w:val="21"/>
          <w:szCs w:val="21"/>
        </w:rPr>
      </w:pPr>
      <w:r>
        <w:rPr>
          <w:rFonts w:hAnsi="宋体"/>
          <w:b/>
          <w:color w:val="auto"/>
          <w:sz w:val="21"/>
          <w:szCs w:val="21"/>
        </w:rPr>
        <w:t>投标报价明细表</w:t>
      </w:r>
    </w:p>
    <w:p>
      <w:pPr>
        <w:pStyle w:val="13"/>
        <w:spacing w:line="300" w:lineRule="exact"/>
        <w:ind w:firstLine="0"/>
        <w:rPr>
          <w:rFonts w:hint="eastAsia" w:hAnsi="宋体"/>
          <w:color w:val="auto"/>
          <w:sz w:val="21"/>
          <w:szCs w:val="21"/>
        </w:rPr>
      </w:pPr>
      <w:r>
        <w:rPr>
          <w:rFonts w:hint="eastAsia" w:hAnsi="宋体"/>
          <w:color w:val="auto"/>
          <w:sz w:val="21"/>
          <w:szCs w:val="21"/>
        </w:rPr>
        <w:t>招标项目名称：</w:t>
      </w:r>
      <w:r>
        <w:rPr>
          <w:rFonts w:hint="eastAsia" w:hAnsi="宋体"/>
          <w:color w:val="auto"/>
          <w:sz w:val="21"/>
          <w:szCs w:val="21"/>
          <w:u w:val="single"/>
        </w:rPr>
        <w:t xml:space="preserve">                         </w:t>
      </w:r>
      <w:r>
        <w:rPr>
          <w:rFonts w:hint="eastAsia" w:hAnsi="宋体"/>
          <w:color w:val="auto"/>
          <w:sz w:val="21"/>
          <w:szCs w:val="21"/>
        </w:rPr>
        <w:t xml:space="preserve">     招标编号：</w:t>
      </w:r>
      <w:r>
        <w:rPr>
          <w:rFonts w:hint="eastAsia" w:hAnsi="宋体"/>
          <w:color w:val="auto"/>
          <w:sz w:val="21"/>
          <w:szCs w:val="21"/>
          <w:u w:val="single"/>
        </w:rPr>
        <w:t xml:space="preserve">             </w:t>
      </w:r>
      <w:r>
        <w:rPr>
          <w:rFonts w:hint="eastAsia" w:hAnsi="宋体"/>
          <w:color w:val="auto"/>
          <w:sz w:val="21"/>
          <w:szCs w:val="21"/>
          <w:u w:val="none"/>
        </w:rPr>
        <w:t xml:space="preserve">    </w:t>
      </w:r>
      <w:r>
        <w:rPr>
          <w:rFonts w:hint="eastAsia" w:hAnsi="宋体"/>
          <w:color w:val="auto"/>
          <w:sz w:val="21"/>
          <w:szCs w:val="21"/>
          <w:u w:val="none"/>
          <w:lang w:val="en-US" w:eastAsia="zh-CN"/>
        </w:rPr>
        <w:t xml:space="preserve">  </w:t>
      </w:r>
      <w:r>
        <w:rPr>
          <w:rFonts w:hAnsi="宋体"/>
          <w:color w:val="auto"/>
          <w:sz w:val="21"/>
          <w:szCs w:val="21"/>
        </w:rPr>
        <w:t>单位：人民币（元）</w:t>
      </w:r>
    </w:p>
    <w:tbl>
      <w:tblPr>
        <w:tblStyle w:val="33"/>
        <w:tblpPr w:leftFromText="180" w:rightFromText="180" w:vertAnchor="text" w:horzAnchor="page" w:tblpX="1585" w:tblpY="140"/>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008"/>
        <w:gridCol w:w="1306"/>
        <w:gridCol w:w="1803"/>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0" w:type="dxa"/>
            <w:noWrap w:val="0"/>
            <w:vAlign w:val="center"/>
          </w:tcPr>
          <w:p>
            <w:pPr>
              <w:jc w:val="center"/>
              <w:rPr>
                <w:rFonts w:ascii="黑体" w:eastAsia="黑体"/>
                <w:color w:val="auto"/>
                <w:highlight w:val="none"/>
              </w:rPr>
            </w:pPr>
            <w:r>
              <w:rPr>
                <w:rFonts w:ascii="黑体" w:eastAsia="黑体"/>
                <w:color w:val="auto"/>
                <w:highlight w:val="none"/>
              </w:rPr>
              <w:t>序号</w:t>
            </w:r>
          </w:p>
        </w:tc>
        <w:tc>
          <w:tcPr>
            <w:tcW w:w="3008" w:type="dxa"/>
            <w:noWrap w:val="0"/>
            <w:vAlign w:val="center"/>
          </w:tcPr>
          <w:p>
            <w:pPr>
              <w:jc w:val="center"/>
              <w:rPr>
                <w:rFonts w:ascii="黑体" w:eastAsia="黑体"/>
                <w:color w:val="auto"/>
                <w:highlight w:val="none"/>
              </w:rPr>
            </w:pPr>
            <w:r>
              <w:rPr>
                <w:rFonts w:hint="eastAsia" w:ascii="黑体" w:eastAsia="黑体"/>
                <w:color w:val="auto"/>
                <w:highlight w:val="none"/>
              </w:rPr>
              <w:t>项目</w:t>
            </w:r>
            <w:r>
              <w:rPr>
                <w:rFonts w:ascii="黑体" w:eastAsia="黑体"/>
                <w:color w:val="auto"/>
                <w:highlight w:val="none"/>
              </w:rPr>
              <w:t>内容</w:t>
            </w:r>
          </w:p>
          <w:p>
            <w:pPr>
              <w:jc w:val="center"/>
              <w:rPr>
                <w:rFonts w:hint="eastAsia" w:ascii="黑体" w:eastAsia="黑体"/>
                <w:color w:val="auto"/>
                <w:highlight w:val="none"/>
                <w:lang w:eastAsia="zh-CN"/>
              </w:rPr>
            </w:pPr>
            <w:r>
              <w:rPr>
                <w:rFonts w:hint="eastAsia" w:ascii="黑体" w:eastAsia="黑体"/>
                <w:color w:val="auto"/>
                <w:highlight w:val="none"/>
                <w:lang w:val="en-US" w:eastAsia="zh-CN"/>
              </w:rPr>
              <w:t xml:space="preserve"> </w:t>
            </w:r>
          </w:p>
        </w:tc>
        <w:tc>
          <w:tcPr>
            <w:tcW w:w="1306" w:type="dxa"/>
            <w:noWrap w:val="0"/>
            <w:vAlign w:val="center"/>
          </w:tcPr>
          <w:p>
            <w:pPr>
              <w:jc w:val="center"/>
              <w:rPr>
                <w:rFonts w:ascii="黑体" w:eastAsia="黑体"/>
                <w:color w:val="auto"/>
                <w:highlight w:val="none"/>
              </w:rPr>
            </w:pPr>
            <w:r>
              <w:rPr>
                <w:rFonts w:ascii="黑体" w:eastAsia="黑体"/>
                <w:color w:val="auto"/>
                <w:highlight w:val="none"/>
              </w:rPr>
              <w:t>数量</w:t>
            </w:r>
          </w:p>
        </w:tc>
        <w:tc>
          <w:tcPr>
            <w:tcW w:w="1803" w:type="dxa"/>
            <w:noWrap w:val="0"/>
            <w:vAlign w:val="center"/>
          </w:tcPr>
          <w:p>
            <w:pPr>
              <w:jc w:val="center"/>
              <w:rPr>
                <w:rFonts w:ascii="黑体" w:eastAsia="黑体"/>
                <w:color w:val="auto"/>
                <w:highlight w:val="none"/>
              </w:rPr>
            </w:pPr>
            <w:r>
              <w:rPr>
                <w:rFonts w:ascii="黑体" w:eastAsia="黑体"/>
                <w:color w:val="auto"/>
                <w:highlight w:val="none"/>
              </w:rPr>
              <w:t>单价（人民币元）</w:t>
            </w:r>
          </w:p>
        </w:tc>
        <w:tc>
          <w:tcPr>
            <w:tcW w:w="1919" w:type="dxa"/>
            <w:noWrap w:val="0"/>
            <w:vAlign w:val="center"/>
          </w:tcPr>
          <w:p>
            <w:pPr>
              <w:jc w:val="center"/>
              <w:rPr>
                <w:rFonts w:ascii="黑体" w:eastAsia="黑体"/>
                <w:color w:val="auto"/>
                <w:highlight w:val="none"/>
              </w:rPr>
            </w:pPr>
            <w:r>
              <w:rPr>
                <w:rFonts w:ascii="黑体" w:eastAsia="黑体"/>
                <w:color w:val="auto"/>
                <w:highlight w:val="none"/>
              </w:rPr>
              <w:t>合价（人民币元）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0" w:type="dxa"/>
            <w:noWrap w:val="0"/>
            <w:vAlign w:val="center"/>
          </w:tcPr>
          <w:p>
            <w:pPr>
              <w:jc w:val="center"/>
              <w:rPr>
                <w:rFonts w:ascii="黑体" w:eastAsia="黑体"/>
                <w:color w:val="auto"/>
                <w:highlight w:val="none"/>
              </w:rPr>
            </w:pPr>
            <w:r>
              <w:rPr>
                <w:rFonts w:ascii="黑体" w:eastAsia="黑体"/>
                <w:color w:val="auto"/>
                <w:highlight w:val="none"/>
              </w:rPr>
              <w:t>1</w:t>
            </w:r>
          </w:p>
        </w:tc>
        <w:tc>
          <w:tcPr>
            <w:tcW w:w="3008" w:type="dxa"/>
            <w:noWrap w:val="0"/>
            <w:vAlign w:val="center"/>
          </w:tcPr>
          <w:p>
            <w:pPr>
              <w:jc w:val="center"/>
              <w:rPr>
                <w:rFonts w:ascii="黑体" w:eastAsia="黑体"/>
                <w:color w:val="auto"/>
                <w:highlight w:val="none"/>
              </w:rPr>
            </w:pPr>
          </w:p>
        </w:tc>
        <w:tc>
          <w:tcPr>
            <w:tcW w:w="1306" w:type="dxa"/>
            <w:noWrap w:val="0"/>
            <w:vAlign w:val="center"/>
          </w:tcPr>
          <w:p>
            <w:pPr>
              <w:jc w:val="center"/>
              <w:rPr>
                <w:rFonts w:ascii="黑体" w:eastAsia="黑体"/>
                <w:color w:val="auto"/>
                <w:highlight w:val="none"/>
              </w:rPr>
            </w:pPr>
          </w:p>
        </w:tc>
        <w:tc>
          <w:tcPr>
            <w:tcW w:w="1803" w:type="dxa"/>
            <w:noWrap w:val="0"/>
            <w:vAlign w:val="center"/>
          </w:tcPr>
          <w:p>
            <w:pPr>
              <w:jc w:val="center"/>
              <w:rPr>
                <w:rFonts w:ascii="黑体" w:eastAsia="黑体"/>
                <w:color w:val="auto"/>
                <w:highlight w:val="none"/>
              </w:rPr>
            </w:pPr>
          </w:p>
        </w:tc>
        <w:tc>
          <w:tcPr>
            <w:tcW w:w="1919" w:type="dxa"/>
            <w:noWrap w:val="0"/>
            <w:vAlign w:val="center"/>
          </w:tcPr>
          <w:p>
            <w:pPr>
              <w:jc w:val="center"/>
              <w:rPr>
                <w:rFonts w:ascii="黑体" w:eastAsia="黑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0" w:type="dxa"/>
            <w:noWrap w:val="0"/>
            <w:vAlign w:val="center"/>
          </w:tcPr>
          <w:p>
            <w:pPr>
              <w:jc w:val="center"/>
              <w:rPr>
                <w:rFonts w:ascii="黑体" w:eastAsia="黑体"/>
                <w:color w:val="auto"/>
                <w:highlight w:val="none"/>
              </w:rPr>
            </w:pPr>
            <w:r>
              <w:rPr>
                <w:rFonts w:ascii="黑体" w:eastAsia="黑体"/>
                <w:color w:val="auto"/>
                <w:highlight w:val="none"/>
              </w:rPr>
              <w:t>2</w:t>
            </w:r>
          </w:p>
        </w:tc>
        <w:tc>
          <w:tcPr>
            <w:tcW w:w="3008" w:type="dxa"/>
            <w:noWrap w:val="0"/>
            <w:vAlign w:val="center"/>
          </w:tcPr>
          <w:p>
            <w:pPr>
              <w:jc w:val="center"/>
              <w:rPr>
                <w:rFonts w:hint="eastAsia" w:ascii="黑体" w:eastAsia="黑体"/>
                <w:color w:val="auto"/>
                <w:highlight w:val="none"/>
              </w:rPr>
            </w:pPr>
          </w:p>
        </w:tc>
        <w:tc>
          <w:tcPr>
            <w:tcW w:w="1306" w:type="dxa"/>
            <w:noWrap w:val="0"/>
            <w:vAlign w:val="center"/>
          </w:tcPr>
          <w:p>
            <w:pPr>
              <w:jc w:val="center"/>
              <w:rPr>
                <w:rFonts w:ascii="黑体" w:eastAsia="黑体"/>
                <w:color w:val="auto"/>
                <w:highlight w:val="none"/>
              </w:rPr>
            </w:pPr>
          </w:p>
        </w:tc>
        <w:tc>
          <w:tcPr>
            <w:tcW w:w="1803" w:type="dxa"/>
            <w:noWrap w:val="0"/>
            <w:vAlign w:val="center"/>
          </w:tcPr>
          <w:p>
            <w:pPr>
              <w:jc w:val="center"/>
              <w:rPr>
                <w:rFonts w:ascii="黑体" w:eastAsia="黑体"/>
                <w:color w:val="auto"/>
                <w:highlight w:val="none"/>
              </w:rPr>
            </w:pPr>
          </w:p>
        </w:tc>
        <w:tc>
          <w:tcPr>
            <w:tcW w:w="1919" w:type="dxa"/>
            <w:noWrap w:val="0"/>
            <w:vAlign w:val="center"/>
          </w:tcPr>
          <w:p>
            <w:pPr>
              <w:jc w:val="center"/>
              <w:rPr>
                <w:rFonts w:ascii="黑体" w:eastAsia="黑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0" w:type="dxa"/>
            <w:noWrap w:val="0"/>
            <w:vAlign w:val="center"/>
          </w:tcPr>
          <w:p>
            <w:pPr>
              <w:jc w:val="center"/>
              <w:rPr>
                <w:rFonts w:ascii="黑体" w:eastAsia="黑体"/>
                <w:color w:val="auto"/>
                <w:highlight w:val="none"/>
              </w:rPr>
            </w:pPr>
            <w:r>
              <w:rPr>
                <w:rFonts w:ascii="黑体" w:eastAsia="黑体"/>
                <w:color w:val="auto"/>
                <w:highlight w:val="none"/>
              </w:rPr>
              <w:t>3</w:t>
            </w:r>
          </w:p>
        </w:tc>
        <w:tc>
          <w:tcPr>
            <w:tcW w:w="3008" w:type="dxa"/>
            <w:noWrap w:val="0"/>
            <w:vAlign w:val="center"/>
          </w:tcPr>
          <w:p>
            <w:pPr>
              <w:jc w:val="center"/>
              <w:rPr>
                <w:rFonts w:hint="eastAsia" w:ascii="黑体" w:eastAsia="黑体"/>
                <w:color w:val="auto"/>
                <w:highlight w:val="none"/>
              </w:rPr>
            </w:pPr>
          </w:p>
        </w:tc>
        <w:tc>
          <w:tcPr>
            <w:tcW w:w="1306" w:type="dxa"/>
            <w:noWrap w:val="0"/>
            <w:vAlign w:val="center"/>
          </w:tcPr>
          <w:p>
            <w:pPr>
              <w:jc w:val="center"/>
              <w:rPr>
                <w:rFonts w:ascii="黑体" w:eastAsia="黑体"/>
                <w:color w:val="auto"/>
                <w:highlight w:val="none"/>
              </w:rPr>
            </w:pPr>
          </w:p>
        </w:tc>
        <w:tc>
          <w:tcPr>
            <w:tcW w:w="1803" w:type="dxa"/>
            <w:noWrap w:val="0"/>
            <w:vAlign w:val="center"/>
          </w:tcPr>
          <w:p>
            <w:pPr>
              <w:jc w:val="center"/>
              <w:rPr>
                <w:rFonts w:ascii="黑体" w:eastAsia="黑体"/>
                <w:color w:val="auto"/>
                <w:highlight w:val="none"/>
              </w:rPr>
            </w:pPr>
          </w:p>
        </w:tc>
        <w:tc>
          <w:tcPr>
            <w:tcW w:w="1919" w:type="dxa"/>
            <w:noWrap w:val="0"/>
            <w:vAlign w:val="center"/>
          </w:tcPr>
          <w:p>
            <w:pPr>
              <w:jc w:val="center"/>
              <w:rPr>
                <w:rFonts w:ascii="黑体" w:eastAsia="黑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0" w:type="dxa"/>
            <w:noWrap w:val="0"/>
            <w:vAlign w:val="center"/>
          </w:tcPr>
          <w:p>
            <w:pPr>
              <w:jc w:val="center"/>
              <w:rPr>
                <w:rFonts w:ascii="黑体" w:eastAsia="黑体"/>
                <w:color w:val="auto"/>
                <w:highlight w:val="none"/>
              </w:rPr>
            </w:pPr>
            <w:r>
              <w:rPr>
                <w:rFonts w:ascii="黑体" w:eastAsia="黑体"/>
                <w:color w:val="auto"/>
                <w:highlight w:val="none"/>
              </w:rPr>
              <w:t>4</w:t>
            </w:r>
          </w:p>
        </w:tc>
        <w:tc>
          <w:tcPr>
            <w:tcW w:w="3008" w:type="dxa"/>
            <w:noWrap w:val="0"/>
            <w:vAlign w:val="center"/>
          </w:tcPr>
          <w:p>
            <w:pPr>
              <w:jc w:val="center"/>
              <w:rPr>
                <w:rFonts w:ascii="黑体" w:eastAsia="黑体"/>
                <w:color w:val="auto"/>
                <w:highlight w:val="none"/>
              </w:rPr>
            </w:pPr>
          </w:p>
        </w:tc>
        <w:tc>
          <w:tcPr>
            <w:tcW w:w="1306" w:type="dxa"/>
            <w:noWrap w:val="0"/>
            <w:vAlign w:val="center"/>
          </w:tcPr>
          <w:p>
            <w:pPr>
              <w:jc w:val="center"/>
              <w:rPr>
                <w:rFonts w:ascii="黑体" w:eastAsia="黑体"/>
                <w:color w:val="auto"/>
                <w:highlight w:val="none"/>
              </w:rPr>
            </w:pPr>
          </w:p>
        </w:tc>
        <w:tc>
          <w:tcPr>
            <w:tcW w:w="1803" w:type="dxa"/>
            <w:noWrap w:val="0"/>
            <w:vAlign w:val="center"/>
          </w:tcPr>
          <w:p>
            <w:pPr>
              <w:jc w:val="center"/>
              <w:rPr>
                <w:rFonts w:ascii="黑体" w:eastAsia="黑体"/>
                <w:color w:val="auto"/>
                <w:highlight w:val="none"/>
              </w:rPr>
            </w:pPr>
          </w:p>
        </w:tc>
        <w:tc>
          <w:tcPr>
            <w:tcW w:w="1919" w:type="dxa"/>
            <w:noWrap w:val="0"/>
            <w:vAlign w:val="center"/>
          </w:tcPr>
          <w:p>
            <w:pPr>
              <w:jc w:val="center"/>
              <w:rPr>
                <w:rFonts w:ascii="黑体" w:eastAsia="黑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0" w:type="dxa"/>
            <w:noWrap w:val="0"/>
            <w:vAlign w:val="center"/>
          </w:tcPr>
          <w:p>
            <w:pPr>
              <w:jc w:val="center"/>
              <w:rPr>
                <w:rFonts w:ascii="黑体" w:eastAsia="黑体"/>
                <w:color w:val="auto"/>
                <w:highlight w:val="none"/>
              </w:rPr>
            </w:pPr>
            <w:r>
              <w:rPr>
                <w:rFonts w:ascii="黑体" w:eastAsia="黑体"/>
                <w:color w:val="auto"/>
                <w:highlight w:val="none"/>
              </w:rPr>
              <w:t>5</w:t>
            </w:r>
          </w:p>
        </w:tc>
        <w:tc>
          <w:tcPr>
            <w:tcW w:w="3008" w:type="dxa"/>
            <w:noWrap w:val="0"/>
            <w:vAlign w:val="center"/>
          </w:tcPr>
          <w:p>
            <w:pPr>
              <w:jc w:val="center"/>
              <w:rPr>
                <w:rFonts w:ascii="黑体" w:eastAsia="黑体"/>
                <w:color w:val="auto"/>
                <w:highlight w:val="none"/>
              </w:rPr>
            </w:pPr>
          </w:p>
        </w:tc>
        <w:tc>
          <w:tcPr>
            <w:tcW w:w="1306" w:type="dxa"/>
            <w:noWrap w:val="0"/>
            <w:vAlign w:val="center"/>
          </w:tcPr>
          <w:p>
            <w:pPr>
              <w:jc w:val="center"/>
              <w:rPr>
                <w:rFonts w:ascii="黑体" w:eastAsia="黑体"/>
                <w:color w:val="auto"/>
                <w:highlight w:val="none"/>
              </w:rPr>
            </w:pPr>
          </w:p>
        </w:tc>
        <w:tc>
          <w:tcPr>
            <w:tcW w:w="1803" w:type="dxa"/>
            <w:noWrap w:val="0"/>
            <w:vAlign w:val="center"/>
          </w:tcPr>
          <w:p>
            <w:pPr>
              <w:jc w:val="center"/>
              <w:rPr>
                <w:rFonts w:ascii="黑体" w:eastAsia="黑体"/>
                <w:color w:val="auto"/>
                <w:highlight w:val="none"/>
              </w:rPr>
            </w:pPr>
          </w:p>
        </w:tc>
        <w:tc>
          <w:tcPr>
            <w:tcW w:w="1919" w:type="dxa"/>
            <w:noWrap w:val="0"/>
            <w:vAlign w:val="center"/>
          </w:tcPr>
          <w:p>
            <w:pPr>
              <w:jc w:val="center"/>
              <w:rPr>
                <w:rFonts w:ascii="黑体" w:eastAsia="黑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0" w:type="dxa"/>
            <w:noWrap w:val="0"/>
            <w:vAlign w:val="center"/>
          </w:tcPr>
          <w:p>
            <w:pPr>
              <w:jc w:val="center"/>
              <w:rPr>
                <w:rFonts w:ascii="黑体" w:eastAsia="黑体"/>
                <w:color w:val="auto"/>
                <w:highlight w:val="none"/>
              </w:rPr>
            </w:pPr>
            <w:r>
              <w:rPr>
                <w:rFonts w:ascii="黑体" w:eastAsia="黑体"/>
                <w:color w:val="auto"/>
                <w:highlight w:val="none"/>
              </w:rPr>
              <w:t>6</w:t>
            </w:r>
          </w:p>
        </w:tc>
        <w:tc>
          <w:tcPr>
            <w:tcW w:w="3008" w:type="dxa"/>
            <w:noWrap w:val="0"/>
            <w:vAlign w:val="center"/>
          </w:tcPr>
          <w:p>
            <w:pPr>
              <w:jc w:val="center"/>
              <w:rPr>
                <w:rFonts w:ascii="黑体" w:eastAsia="黑体"/>
                <w:color w:val="auto"/>
                <w:highlight w:val="none"/>
              </w:rPr>
            </w:pPr>
          </w:p>
        </w:tc>
        <w:tc>
          <w:tcPr>
            <w:tcW w:w="1306" w:type="dxa"/>
            <w:noWrap w:val="0"/>
            <w:vAlign w:val="center"/>
          </w:tcPr>
          <w:p>
            <w:pPr>
              <w:jc w:val="center"/>
              <w:rPr>
                <w:rFonts w:ascii="黑体" w:eastAsia="黑体"/>
                <w:color w:val="auto"/>
                <w:highlight w:val="none"/>
              </w:rPr>
            </w:pPr>
          </w:p>
        </w:tc>
        <w:tc>
          <w:tcPr>
            <w:tcW w:w="1803" w:type="dxa"/>
            <w:noWrap w:val="0"/>
            <w:vAlign w:val="center"/>
          </w:tcPr>
          <w:p>
            <w:pPr>
              <w:jc w:val="center"/>
              <w:rPr>
                <w:rFonts w:ascii="黑体" w:eastAsia="黑体"/>
                <w:color w:val="auto"/>
                <w:highlight w:val="none"/>
              </w:rPr>
            </w:pPr>
          </w:p>
        </w:tc>
        <w:tc>
          <w:tcPr>
            <w:tcW w:w="1919" w:type="dxa"/>
            <w:noWrap w:val="0"/>
            <w:vAlign w:val="center"/>
          </w:tcPr>
          <w:p>
            <w:pPr>
              <w:jc w:val="center"/>
              <w:rPr>
                <w:rFonts w:ascii="黑体" w:eastAsia="黑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0" w:type="dxa"/>
            <w:noWrap w:val="0"/>
            <w:vAlign w:val="center"/>
          </w:tcPr>
          <w:p>
            <w:pPr>
              <w:jc w:val="center"/>
              <w:rPr>
                <w:rFonts w:ascii="黑体" w:eastAsia="黑体"/>
                <w:color w:val="auto"/>
                <w:highlight w:val="none"/>
              </w:rPr>
            </w:pPr>
            <w:r>
              <w:rPr>
                <w:rFonts w:ascii="黑体" w:eastAsia="黑体"/>
                <w:color w:val="auto"/>
                <w:highlight w:val="none"/>
              </w:rPr>
              <w:t>7</w:t>
            </w:r>
          </w:p>
        </w:tc>
        <w:tc>
          <w:tcPr>
            <w:tcW w:w="3008" w:type="dxa"/>
            <w:noWrap w:val="0"/>
            <w:vAlign w:val="center"/>
          </w:tcPr>
          <w:p>
            <w:pPr>
              <w:jc w:val="center"/>
              <w:rPr>
                <w:rFonts w:ascii="黑体" w:eastAsia="黑体"/>
                <w:color w:val="auto"/>
                <w:highlight w:val="none"/>
              </w:rPr>
            </w:pPr>
            <w:r>
              <w:rPr>
                <w:rFonts w:ascii="黑体" w:eastAsia="黑体"/>
                <w:color w:val="auto"/>
                <w:highlight w:val="none"/>
              </w:rPr>
              <w:t>……</w:t>
            </w:r>
          </w:p>
        </w:tc>
        <w:tc>
          <w:tcPr>
            <w:tcW w:w="1306" w:type="dxa"/>
            <w:noWrap w:val="0"/>
            <w:vAlign w:val="center"/>
          </w:tcPr>
          <w:p>
            <w:pPr>
              <w:jc w:val="center"/>
              <w:rPr>
                <w:rFonts w:ascii="黑体" w:eastAsia="黑体"/>
                <w:color w:val="auto"/>
                <w:highlight w:val="none"/>
              </w:rPr>
            </w:pPr>
          </w:p>
        </w:tc>
        <w:tc>
          <w:tcPr>
            <w:tcW w:w="1803" w:type="dxa"/>
            <w:noWrap w:val="0"/>
            <w:vAlign w:val="center"/>
          </w:tcPr>
          <w:p>
            <w:pPr>
              <w:jc w:val="center"/>
              <w:rPr>
                <w:rFonts w:ascii="黑体" w:eastAsia="黑体"/>
                <w:color w:val="auto"/>
                <w:highlight w:val="none"/>
              </w:rPr>
            </w:pPr>
          </w:p>
        </w:tc>
        <w:tc>
          <w:tcPr>
            <w:tcW w:w="1919" w:type="dxa"/>
            <w:noWrap w:val="0"/>
            <w:vAlign w:val="center"/>
          </w:tcPr>
          <w:p>
            <w:pPr>
              <w:jc w:val="center"/>
              <w:rPr>
                <w:rFonts w:ascii="黑体" w:eastAsia="黑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274" w:type="dxa"/>
            <w:gridSpan w:val="3"/>
            <w:noWrap w:val="0"/>
            <w:vAlign w:val="center"/>
          </w:tcPr>
          <w:p>
            <w:pPr>
              <w:jc w:val="center"/>
              <w:rPr>
                <w:rFonts w:hint="eastAsia" w:ascii="黑体" w:eastAsia="黑体"/>
                <w:color w:val="auto"/>
                <w:highlight w:val="none"/>
              </w:rPr>
            </w:pPr>
            <w:r>
              <w:rPr>
                <w:rFonts w:hint="eastAsia" w:ascii="黑体" w:eastAsia="黑体"/>
                <w:color w:val="auto"/>
                <w:highlight w:val="none"/>
              </w:rPr>
              <w:t>投标价（人民币元）</w:t>
            </w:r>
          </w:p>
        </w:tc>
        <w:tc>
          <w:tcPr>
            <w:tcW w:w="1803" w:type="dxa"/>
            <w:noWrap w:val="0"/>
            <w:vAlign w:val="center"/>
          </w:tcPr>
          <w:p>
            <w:pPr>
              <w:jc w:val="center"/>
              <w:rPr>
                <w:rFonts w:hint="eastAsia" w:ascii="黑体" w:eastAsia="黑体"/>
                <w:color w:val="auto"/>
                <w:highlight w:val="none"/>
              </w:rPr>
            </w:pPr>
          </w:p>
        </w:tc>
        <w:tc>
          <w:tcPr>
            <w:tcW w:w="1919" w:type="dxa"/>
            <w:noWrap w:val="0"/>
            <w:vAlign w:val="center"/>
          </w:tcPr>
          <w:p>
            <w:pPr>
              <w:jc w:val="center"/>
              <w:rPr>
                <w:rFonts w:hint="eastAsia" w:ascii="黑体" w:eastAsia="黑体"/>
                <w:color w:val="auto"/>
                <w:highlight w:val="none"/>
              </w:rPr>
            </w:pPr>
          </w:p>
        </w:tc>
      </w:tr>
    </w:tbl>
    <w:p>
      <w:pPr>
        <w:rPr>
          <w:rFonts w:hint="eastAsia" w:ascii="黑体" w:eastAsia="黑体"/>
          <w:color w:val="auto"/>
          <w:highlight w:val="none"/>
        </w:rPr>
      </w:pPr>
      <w:r>
        <w:rPr>
          <w:rFonts w:hint="eastAsia" w:ascii="黑体" w:eastAsia="黑体"/>
          <w:color w:val="auto"/>
          <w:highlight w:val="none"/>
        </w:rPr>
        <w:t>备注：</w:t>
      </w:r>
    </w:p>
    <w:p>
      <w:pPr>
        <w:rPr>
          <w:rFonts w:hint="eastAsia" w:ascii="黑体" w:eastAsia="黑体"/>
          <w:color w:val="auto"/>
          <w:highlight w:val="none"/>
        </w:rPr>
      </w:pPr>
      <w:r>
        <w:rPr>
          <w:rFonts w:hint="eastAsia" w:ascii="黑体" w:eastAsia="黑体"/>
          <w:color w:val="auto"/>
          <w:highlight w:val="none"/>
        </w:rPr>
        <w:t>1）本表格供参考，投标人可根据项目实际情况自拟表格。</w:t>
      </w:r>
    </w:p>
    <w:p>
      <w:pPr>
        <w:numPr>
          <w:ilvl w:val="0"/>
          <w:numId w:val="0"/>
        </w:numPr>
        <w:rPr>
          <w:rFonts w:hint="eastAsia" w:ascii="黑体" w:eastAsia="黑体"/>
          <w:color w:val="auto"/>
          <w:highlight w:val="none"/>
        </w:rPr>
      </w:pPr>
      <w:r>
        <w:rPr>
          <w:rFonts w:hint="eastAsia" w:ascii="黑体" w:eastAsia="黑体"/>
          <w:color w:val="auto"/>
          <w:highlight w:val="none"/>
          <w:lang w:val="en-US" w:eastAsia="zh-CN"/>
        </w:rPr>
        <w:t>2）</w:t>
      </w:r>
      <w:r>
        <w:rPr>
          <w:rFonts w:hint="eastAsia" w:ascii="黑体" w:eastAsia="黑体"/>
          <w:color w:val="auto"/>
          <w:highlight w:val="none"/>
        </w:rPr>
        <w:t>“投标价”应与开标一览表的“各项目报价”一致。如不一致，以开标一览表为准。</w:t>
      </w:r>
    </w:p>
    <w:p>
      <w:pPr>
        <w:spacing w:line="400" w:lineRule="atLeast"/>
        <w:jc w:val="left"/>
        <w:rPr>
          <w:rFonts w:hint="eastAsia" w:ascii="宋体" w:hAnsi="宋体"/>
          <w:color w:val="auto"/>
          <w:szCs w:val="21"/>
        </w:rPr>
      </w:pPr>
    </w:p>
    <w:p>
      <w:pPr>
        <w:spacing w:line="400" w:lineRule="atLeast"/>
        <w:jc w:val="left"/>
        <w:rPr>
          <w:rFonts w:hint="eastAsia" w:ascii="宋体" w:hAnsi="宋体"/>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jc w:val="left"/>
        <w:rPr>
          <w:rFonts w:ascii="宋体" w:hAnsi="宋体"/>
          <w:color w:val="auto"/>
          <w:szCs w:val="21"/>
        </w:rPr>
      </w:pPr>
      <w:r>
        <w:rPr>
          <w:rFonts w:hint="eastAsia" w:ascii="宋体" w:hAnsi="宋体"/>
          <w:color w:val="auto"/>
          <w:szCs w:val="21"/>
        </w:rPr>
        <w:t>法定代表人或授权代表（签字</w:t>
      </w:r>
      <w:r>
        <w:rPr>
          <w:rFonts w:hint="eastAsia" w:ascii="宋体" w:hAnsi="宋体"/>
          <w:color w:val="auto"/>
          <w:szCs w:val="21"/>
          <w:lang w:val="en-US" w:eastAsia="zh-CN"/>
        </w:rPr>
        <w:t>或盖章</w:t>
      </w:r>
      <w:r>
        <w:rPr>
          <w:rFonts w:hint="eastAsia" w:ascii="宋体" w:hAnsi="宋体"/>
          <w:color w:val="auto"/>
          <w:szCs w:val="21"/>
        </w:rPr>
        <w:t>）：</w:t>
      </w:r>
      <w:r>
        <w:rPr>
          <w:rFonts w:ascii="宋体" w:hAnsi="宋体"/>
          <w:color w:val="auto"/>
          <w:szCs w:val="21"/>
          <w:u w:val="single"/>
        </w:rPr>
        <w:t xml:space="preserve">                  </w:t>
      </w:r>
    </w:p>
    <w:p>
      <w:pPr>
        <w:spacing w:line="400" w:lineRule="atLeast"/>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spacing w:line="400" w:lineRule="exact"/>
        <w:ind w:firstLine="5460" w:firstLineChars="2600"/>
        <w:rPr>
          <w:rFonts w:hint="eastAsia" w:ascii="宋体" w:hAnsi="宋体"/>
          <w:color w:val="auto"/>
          <w:szCs w:val="21"/>
        </w:rPr>
      </w:pPr>
      <w:r>
        <w:rPr>
          <w:rFonts w:hint="eastAsia" w:ascii="宋体" w:hAnsi="宋体"/>
          <w:color w:val="auto"/>
          <w:szCs w:val="21"/>
        </w:rPr>
        <w:t xml:space="preserve">        </w:t>
      </w:r>
    </w:p>
    <w:p>
      <w:pPr>
        <w:rPr>
          <w:rFonts w:hint="eastAsia" w:ascii="宋体" w:hAnsi="宋体"/>
          <w:color w:val="auto"/>
          <w:szCs w:val="21"/>
        </w:rPr>
      </w:pPr>
    </w:p>
    <w:p>
      <w:pPr>
        <w:pStyle w:val="13"/>
        <w:spacing w:line="520" w:lineRule="exact"/>
        <w:ind w:left="5250" w:firstLine="0"/>
        <w:jc w:val="center"/>
        <w:rPr>
          <w:color w:val="auto"/>
          <w:sz w:val="21"/>
          <w:szCs w:val="21"/>
        </w:rPr>
      </w:pPr>
      <w:r>
        <w:rPr>
          <w:color w:val="auto"/>
          <w:sz w:val="21"/>
          <w:szCs w:val="21"/>
        </w:rPr>
        <w:br w:type="page"/>
      </w:r>
    </w:p>
    <w:p>
      <w:pPr>
        <w:pStyle w:val="13"/>
        <w:spacing w:line="240" w:lineRule="auto"/>
        <w:ind w:firstLine="0"/>
        <w:rPr>
          <w:rFonts w:hint="eastAsia"/>
          <w:b/>
          <w:color w:val="auto"/>
          <w:sz w:val="21"/>
          <w:szCs w:val="21"/>
        </w:rPr>
      </w:pPr>
      <w:r>
        <w:rPr>
          <w:b/>
          <w:color w:val="auto"/>
          <w:sz w:val="21"/>
          <w:szCs w:val="21"/>
        </w:rPr>
        <w:t>6</w:t>
      </w:r>
      <w:r>
        <w:rPr>
          <w:rFonts w:hint="eastAsia"/>
          <w:b/>
          <w:color w:val="auto"/>
          <w:sz w:val="21"/>
          <w:szCs w:val="21"/>
        </w:rPr>
        <w:t xml:space="preserve">、中小企业声明函格式            </w:t>
      </w:r>
    </w:p>
    <w:p>
      <w:pPr>
        <w:autoSpaceDE w:val="0"/>
        <w:autoSpaceDN w:val="0"/>
        <w:adjustRightInd w:val="0"/>
        <w:spacing w:line="400" w:lineRule="exact"/>
        <w:jc w:val="center"/>
        <w:outlineLvl w:val="0"/>
        <w:rPr>
          <w:rFonts w:hint="eastAsia" w:ascii="宋体" w:hAnsi="宋体" w:cs="宋体"/>
          <w:b/>
          <w:color w:val="auto"/>
          <w:sz w:val="28"/>
          <w:szCs w:val="28"/>
        </w:rPr>
      </w:pPr>
      <w:r>
        <w:rPr>
          <w:rFonts w:hint="eastAsia" w:ascii="宋体" w:hAnsi="宋体" w:cs="宋体"/>
          <w:b/>
          <w:color w:val="auto"/>
          <w:sz w:val="28"/>
          <w:szCs w:val="28"/>
        </w:rPr>
        <w:t>中小企业声明函（服务）</w:t>
      </w:r>
    </w:p>
    <w:p>
      <w:pPr>
        <w:jc w:val="center"/>
        <w:rPr>
          <w:rFonts w:hint="eastAsia" w:ascii="宋体" w:hAnsi="宋体" w:cs="宋体"/>
          <w:b/>
          <w:color w:val="auto"/>
          <w:szCs w:val="21"/>
        </w:rPr>
      </w:pP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本公司（联合体）郑重声明，根据《政府采购促进中小企业发展管理办法》（财库﹝2020﹞46 号）的规定，本公司（联合体）参加</w:t>
      </w:r>
      <w:r>
        <w:rPr>
          <w:rFonts w:hint="eastAsia" w:ascii="宋体" w:hAnsi="宋体" w:cs="宋体"/>
          <w:color w:val="auto"/>
          <w:szCs w:val="21"/>
          <w:u w:val="single"/>
        </w:rPr>
        <w:t>（单位名称）</w:t>
      </w:r>
      <w:r>
        <w:rPr>
          <w:rFonts w:hint="eastAsia" w:ascii="宋体" w:hAnsi="宋体" w:cs="宋体"/>
          <w:color w:val="auto"/>
          <w:szCs w:val="21"/>
        </w:rPr>
        <w:t>的</w:t>
      </w:r>
      <w:r>
        <w:rPr>
          <w:rFonts w:hint="eastAsia" w:ascii="宋体" w:hAnsi="宋体" w:cs="宋体"/>
          <w:color w:val="auto"/>
          <w:szCs w:val="21"/>
          <w:u w:val="single"/>
        </w:rPr>
        <w:t>（项目名称）</w:t>
      </w:r>
      <w:r>
        <w:rPr>
          <w:rFonts w:hint="eastAsia" w:ascii="宋体" w:hAnsi="宋体" w:cs="宋体"/>
          <w:color w:val="auto"/>
          <w:szCs w:val="21"/>
        </w:rPr>
        <w:t>采购活动，服务全部由符合政策要求的中小企业承接。相关企业（含联合体中的中小企业、签订分包意向协议的中小企业）的具体情况如下：</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1.</w:t>
      </w:r>
      <w:r>
        <w:rPr>
          <w:rFonts w:hint="eastAsia" w:ascii="宋体" w:hAnsi="宋体" w:cs="宋体"/>
          <w:i/>
          <w:color w:val="auto"/>
          <w:szCs w:val="21"/>
          <w:u w:val="single"/>
        </w:rPr>
        <w:t xml:space="preserve"> （标的名称） </w:t>
      </w:r>
      <w:r>
        <w:rPr>
          <w:rFonts w:hint="eastAsia" w:ascii="宋体" w:hAnsi="宋体" w:cs="宋体"/>
          <w:color w:val="auto"/>
          <w:szCs w:val="21"/>
        </w:rPr>
        <w:t>，属于</w:t>
      </w:r>
      <w:r>
        <w:rPr>
          <w:rFonts w:hint="eastAsia" w:ascii="宋体" w:hAnsi="宋体" w:cs="宋体"/>
          <w:color w:val="auto"/>
          <w:szCs w:val="21"/>
          <w:u w:val="single"/>
        </w:rPr>
        <w:t xml:space="preserve"> </w:t>
      </w:r>
      <w:r>
        <w:rPr>
          <w:rFonts w:hint="eastAsia"/>
          <w:color w:val="auto"/>
          <w:kern w:val="2"/>
          <w:szCs w:val="24"/>
          <w:u w:val="single"/>
        </w:rPr>
        <w:t xml:space="preserve">         </w:t>
      </w:r>
      <w:r>
        <w:rPr>
          <w:rFonts w:hint="eastAsia"/>
          <w:color w:val="auto"/>
          <w:kern w:val="2"/>
          <w:szCs w:val="24"/>
        </w:rPr>
        <w:t>业</w:t>
      </w:r>
      <w:r>
        <w:rPr>
          <w:rFonts w:hint="eastAsia" w:ascii="宋体" w:hAnsi="宋体" w:cs="宋体"/>
          <w:color w:val="auto"/>
          <w:szCs w:val="21"/>
        </w:rPr>
        <w:t>；承接企业为</w:t>
      </w:r>
      <w:r>
        <w:rPr>
          <w:rFonts w:hint="eastAsia" w:ascii="宋体" w:hAnsi="宋体" w:cs="宋体"/>
          <w:i/>
          <w:color w:val="auto"/>
          <w:szCs w:val="21"/>
          <w:u w:val="single"/>
        </w:rPr>
        <w:t>（企业名称）</w:t>
      </w:r>
      <w:r>
        <w:rPr>
          <w:rFonts w:hint="eastAsia" w:ascii="宋体" w:hAnsi="宋体" w:cs="宋体"/>
          <w:color w:val="auto"/>
          <w:szCs w:val="21"/>
        </w:rPr>
        <w:t>，从业人员</w:t>
      </w:r>
      <w:r>
        <w:rPr>
          <w:rFonts w:hint="eastAsia" w:ascii="宋体" w:hAnsi="宋体" w:cs="宋体"/>
          <w:color w:val="auto"/>
          <w:szCs w:val="21"/>
          <w:u w:val="single"/>
        </w:rPr>
        <w:t xml:space="preserve">      </w:t>
      </w:r>
      <w:r>
        <w:rPr>
          <w:rFonts w:hint="eastAsia" w:ascii="宋体" w:hAnsi="宋体" w:cs="宋体"/>
          <w:color w:val="auto"/>
          <w:szCs w:val="21"/>
        </w:rPr>
        <w:t>人，营业收入为</w:t>
      </w:r>
      <w:r>
        <w:rPr>
          <w:rFonts w:hint="eastAsia" w:ascii="宋体" w:hAnsi="宋体" w:cs="宋体"/>
          <w:color w:val="auto"/>
          <w:szCs w:val="21"/>
          <w:u w:val="single"/>
        </w:rPr>
        <w:t xml:space="preserve">      </w:t>
      </w:r>
      <w:r>
        <w:rPr>
          <w:rFonts w:hint="eastAsia" w:ascii="宋体" w:hAnsi="宋体" w:cs="宋体"/>
          <w:color w:val="auto"/>
          <w:szCs w:val="21"/>
        </w:rPr>
        <w:t>万元，资产总额为</w:t>
      </w:r>
      <w:r>
        <w:rPr>
          <w:rFonts w:hint="eastAsia" w:ascii="宋体" w:hAnsi="宋体" w:cs="宋体"/>
          <w:color w:val="auto"/>
          <w:szCs w:val="21"/>
          <w:u w:val="single"/>
        </w:rPr>
        <w:t xml:space="preserve">    </w:t>
      </w:r>
      <w:r>
        <w:rPr>
          <w:rFonts w:hint="eastAsia" w:ascii="宋体" w:hAnsi="宋体" w:cs="宋体"/>
          <w:color w:val="auto"/>
          <w:szCs w:val="21"/>
        </w:rPr>
        <w:t>万元</w:t>
      </w:r>
      <w:r>
        <w:rPr>
          <w:rFonts w:hint="eastAsia" w:ascii="宋体" w:hAnsi="宋体" w:cs="宋体"/>
          <w:color w:val="auto"/>
          <w:szCs w:val="21"/>
          <w:vertAlign w:val="superscript"/>
        </w:rPr>
        <w:t>1</w:t>
      </w:r>
      <w:r>
        <w:rPr>
          <w:rFonts w:hint="eastAsia" w:ascii="宋体" w:hAnsi="宋体" w:cs="宋体"/>
          <w:color w:val="auto"/>
          <w:szCs w:val="21"/>
        </w:rPr>
        <w:t>，属于</w:t>
      </w:r>
      <w:r>
        <w:rPr>
          <w:rFonts w:hint="eastAsia" w:ascii="宋体" w:hAnsi="宋体" w:cs="宋体"/>
          <w:i/>
          <w:color w:val="auto"/>
          <w:szCs w:val="21"/>
          <w:u w:val="single"/>
        </w:rPr>
        <w:t>（中型企业、小型企业、微型企业）</w:t>
      </w:r>
      <w:r>
        <w:rPr>
          <w:rFonts w:hint="eastAsia" w:ascii="宋体" w:hAnsi="宋体" w:cs="宋体"/>
          <w:color w:val="auto"/>
          <w:szCs w:val="21"/>
        </w:rPr>
        <w:t>；</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2.</w:t>
      </w:r>
      <w:r>
        <w:rPr>
          <w:rFonts w:hint="eastAsia" w:ascii="宋体" w:hAnsi="宋体" w:cs="宋体"/>
          <w:i/>
          <w:color w:val="auto"/>
          <w:szCs w:val="21"/>
          <w:u w:val="single"/>
        </w:rPr>
        <w:t xml:space="preserve"> （标的名称） </w:t>
      </w:r>
      <w:r>
        <w:rPr>
          <w:rFonts w:hint="eastAsia" w:ascii="宋体" w:hAnsi="宋体" w:cs="宋体"/>
          <w:color w:val="auto"/>
          <w:szCs w:val="21"/>
        </w:rPr>
        <w:t>，属于</w:t>
      </w:r>
      <w:r>
        <w:rPr>
          <w:rFonts w:hint="eastAsia" w:ascii="宋体" w:hAnsi="宋体" w:cs="宋体"/>
          <w:i/>
          <w:color w:val="auto"/>
          <w:szCs w:val="21"/>
          <w:u w:val="single"/>
        </w:rPr>
        <w:t>（采购文件中明确的所属行业）</w:t>
      </w:r>
      <w:r>
        <w:rPr>
          <w:rFonts w:hint="eastAsia" w:ascii="宋体" w:hAnsi="宋体" w:cs="宋体"/>
          <w:color w:val="auto"/>
          <w:szCs w:val="21"/>
        </w:rPr>
        <w:t>；承接企业为</w:t>
      </w:r>
      <w:r>
        <w:rPr>
          <w:rFonts w:hint="eastAsia" w:ascii="宋体" w:hAnsi="宋体" w:cs="宋体"/>
          <w:i/>
          <w:color w:val="auto"/>
          <w:szCs w:val="21"/>
          <w:u w:val="single"/>
        </w:rPr>
        <w:t>（企业名称）</w:t>
      </w:r>
      <w:r>
        <w:rPr>
          <w:rFonts w:hint="eastAsia" w:ascii="宋体" w:hAnsi="宋体" w:cs="宋体"/>
          <w:color w:val="auto"/>
          <w:szCs w:val="21"/>
        </w:rPr>
        <w:t>，从业人员</w:t>
      </w:r>
      <w:r>
        <w:rPr>
          <w:rFonts w:hint="eastAsia" w:ascii="宋体" w:hAnsi="宋体" w:cs="宋体"/>
          <w:color w:val="auto"/>
          <w:szCs w:val="21"/>
          <w:u w:val="single"/>
        </w:rPr>
        <w:t xml:space="preserve">     </w:t>
      </w:r>
      <w:r>
        <w:rPr>
          <w:rFonts w:hint="eastAsia" w:ascii="宋体" w:hAnsi="宋体" w:cs="宋体"/>
          <w:color w:val="auto"/>
          <w:szCs w:val="21"/>
        </w:rPr>
        <w:t>人，营业收入为</w:t>
      </w:r>
      <w:r>
        <w:rPr>
          <w:rFonts w:hint="eastAsia" w:ascii="宋体" w:hAnsi="宋体" w:cs="宋体"/>
          <w:color w:val="auto"/>
          <w:szCs w:val="21"/>
          <w:u w:val="single"/>
        </w:rPr>
        <w:t xml:space="preserve">    </w:t>
      </w:r>
      <w:r>
        <w:rPr>
          <w:rFonts w:hint="eastAsia" w:ascii="宋体" w:hAnsi="宋体" w:cs="宋体"/>
          <w:color w:val="auto"/>
          <w:szCs w:val="21"/>
        </w:rPr>
        <w:t>万元，资产总额为</w:t>
      </w:r>
      <w:r>
        <w:rPr>
          <w:rFonts w:hint="eastAsia" w:ascii="宋体" w:hAnsi="宋体" w:cs="宋体"/>
          <w:color w:val="auto"/>
          <w:szCs w:val="21"/>
          <w:u w:val="single"/>
        </w:rPr>
        <w:t xml:space="preserve">    </w:t>
      </w:r>
      <w:r>
        <w:rPr>
          <w:rFonts w:hint="eastAsia" w:ascii="宋体" w:hAnsi="宋体" w:cs="宋体"/>
          <w:color w:val="auto"/>
          <w:szCs w:val="21"/>
        </w:rPr>
        <w:t>万元，属于</w:t>
      </w:r>
      <w:r>
        <w:rPr>
          <w:rFonts w:hint="eastAsia" w:ascii="宋体" w:hAnsi="宋体" w:cs="宋体"/>
          <w:i/>
          <w:color w:val="auto"/>
          <w:szCs w:val="21"/>
          <w:u w:val="single"/>
        </w:rPr>
        <w:t>（中型企业、小型企业、微型企业）</w:t>
      </w:r>
      <w:r>
        <w:rPr>
          <w:rFonts w:hint="eastAsia" w:ascii="宋体" w:hAnsi="宋体" w:cs="宋体"/>
          <w:color w:val="auto"/>
          <w:szCs w:val="21"/>
        </w:rPr>
        <w:t>；</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本企业对上述声明内容的真实性负责。如有虚假，将依法承担相应责任。</w:t>
      </w:r>
    </w:p>
    <w:p>
      <w:pPr>
        <w:spacing w:line="500" w:lineRule="exact"/>
        <w:rPr>
          <w:rFonts w:hint="eastAsia" w:ascii="宋体" w:hAnsi="宋体" w:cs="宋体"/>
          <w:color w:val="auto"/>
          <w:szCs w:val="21"/>
        </w:rPr>
      </w:pPr>
      <w:r>
        <w:rPr>
          <w:rFonts w:hint="eastAsia" w:ascii="宋体" w:hAnsi="宋体" w:cs="宋体"/>
          <w:color w:val="auto"/>
          <w:szCs w:val="21"/>
        </w:rPr>
        <w:t xml:space="preserve">                        企业名称（盖章）：</w:t>
      </w:r>
    </w:p>
    <w:p>
      <w:pPr>
        <w:spacing w:line="500" w:lineRule="exact"/>
        <w:rPr>
          <w:rFonts w:hint="eastAsia" w:ascii="宋体" w:hAnsi="宋体" w:cs="宋体"/>
          <w:color w:val="auto"/>
          <w:szCs w:val="21"/>
        </w:rPr>
      </w:pPr>
      <w:r>
        <w:rPr>
          <w:rFonts w:hint="eastAsia" w:ascii="宋体" w:hAnsi="宋体" w:cs="宋体"/>
          <w:color w:val="auto"/>
          <w:szCs w:val="21"/>
        </w:rPr>
        <w:t xml:space="preserve">                        日期：</w:t>
      </w:r>
    </w:p>
    <w:p>
      <w:pPr>
        <w:spacing w:line="500" w:lineRule="exact"/>
        <w:rPr>
          <w:rFonts w:hint="eastAsia" w:ascii="宋体" w:hAnsi="宋体" w:cs="宋体"/>
          <w:color w:val="auto"/>
          <w:szCs w:val="21"/>
          <w:u w:val="single"/>
        </w:rPr>
      </w:pPr>
    </w:p>
    <w:p>
      <w:pPr>
        <w:pStyle w:val="11"/>
        <w:rPr>
          <w:rFonts w:hint="eastAsia"/>
          <w:color w:val="auto"/>
        </w:rPr>
      </w:pP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1、从业人员、营业收入、资产总额填报上一年度数据，无上一年度数据的新成立企业可不填报。</w:t>
      </w:r>
    </w:p>
    <w:p>
      <w:pPr>
        <w:spacing w:line="360" w:lineRule="auto"/>
        <w:rPr>
          <w:rFonts w:hint="eastAsia" w:ascii="宋体" w:hAnsi="宋体" w:cs="宋体"/>
          <w:color w:val="auto"/>
          <w:szCs w:val="21"/>
          <w:lang w:bidi="ar"/>
        </w:rPr>
      </w:pPr>
    </w:p>
    <w:p>
      <w:pPr>
        <w:tabs>
          <w:tab w:val="left" w:pos="4860"/>
        </w:tabs>
        <w:spacing w:line="588" w:lineRule="exact"/>
        <w:ind w:left="222" w:right="46" w:hanging="222" w:hangingChars="100"/>
        <w:rPr>
          <w:rFonts w:hint="eastAsia" w:ascii="宋体" w:hAnsi="宋体"/>
          <w:color w:val="auto"/>
          <w:spacing w:val="6"/>
          <w:szCs w:val="21"/>
        </w:rPr>
      </w:pPr>
    </w:p>
    <w:p>
      <w:pPr>
        <w:spacing w:line="588" w:lineRule="exact"/>
        <w:rPr>
          <w:rFonts w:ascii="宋体" w:hAnsi="Courier New"/>
          <w:b/>
          <w:color w:val="auto"/>
          <w:spacing w:val="-4"/>
          <w:szCs w:val="21"/>
        </w:rPr>
      </w:pPr>
      <w:r>
        <w:rPr>
          <w:rFonts w:ascii="宋体" w:hAnsi="宋体"/>
          <w:b/>
          <w:color w:val="auto"/>
          <w:spacing w:val="6"/>
          <w:szCs w:val="21"/>
        </w:rPr>
        <w:br w:type="page"/>
      </w:r>
      <w:r>
        <w:rPr>
          <w:rFonts w:hint="eastAsia" w:ascii="宋体" w:hAnsi="Courier New"/>
          <w:b/>
          <w:color w:val="auto"/>
          <w:spacing w:val="-4"/>
          <w:szCs w:val="21"/>
          <w:lang w:val="en-US" w:eastAsia="zh-CN"/>
        </w:rPr>
        <w:t>7</w:t>
      </w:r>
      <w:r>
        <w:rPr>
          <w:rFonts w:hint="eastAsia" w:ascii="宋体" w:hAnsi="Courier New"/>
          <w:b/>
          <w:color w:val="auto"/>
          <w:spacing w:val="-4"/>
          <w:szCs w:val="21"/>
        </w:rPr>
        <w:t>、</w:t>
      </w:r>
      <w:r>
        <w:rPr>
          <w:rFonts w:hint="eastAsia" w:ascii="宋体" w:hAnsi="宋体"/>
          <w:b/>
          <w:color w:val="auto"/>
          <w:spacing w:val="6"/>
          <w:szCs w:val="21"/>
        </w:rPr>
        <w:t>残疾人福利性单位声明函格式</w:t>
      </w:r>
    </w:p>
    <w:p>
      <w:pPr>
        <w:spacing w:line="588" w:lineRule="exact"/>
        <w:jc w:val="center"/>
        <w:rPr>
          <w:rFonts w:ascii="宋体" w:hAnsi="宋体"/>
          <w:b/>
          <w:color w:val="auto"/>
          <w:spacing w:val="6"/>
          <w:szCs w:val="21"/>
        </w:rPr>
      </w:pPr>
      <w:r>
        <w:rPr>
          <w:rFonts w:hint="eastAsia" w:ascii="宋体" w:hAnsi="宋体"/>
          <w:b/>
          <w:color w:val="auto"/>
          <w:spacing w:val="6"/>
          <w:szCs w:val="21"/>
        </w:rPr>
        <w:t>残疾人福利性单位声明函</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本单位郑重声明，根据《财政部</w:t>
      </w:r>
      <w:r>
        <w:rPr>
          <w:rFonts w:ascii="宋体" w:hAnsi="宋体"/>
          <w:color w:val="auto"/>
          <w:spacing w:val="6"/>
          <w:szCs w:val="21"/>
        </w:rPr>
        <w:t xml:space="preserve"> </w:t>
      </w:r>
      <w:r>
        <w:rPr>
          <w:rFonts w:hint="eastAsia" w:ascii="宋体" w:hAnsi="宋体"/>
          <w:color w:val="auto"/>
          <w:spacing w:val="6"/>
          <w:szCs w:val="21"/>
        </w:rPr>
        <w:t>民政部</w:t>
      </w:r>
      <w:r>
        <w:rPr>
          <w:rFonts w:ascii="宋体" w:hAnsi="宋体"/>
          <w:color w:val="auto"/>
          <w:spacing w:val="6"/>
          <w:szCs w:val="21"/>
        </w:rPr>
        <w:t xml:space="preserve"> </w:t>
      </w:r>
      <w:r>
        <w:rPr>
          <w:rFonts w:hint="eastAsia" w:ascii="宋体" w:hAnsi="宋体"/>
          <w:color w:val="auto"/>
          <w:spacing w:val="6"/>
          <w:szCs w:val="21"/>
        </w:rPr>
        <w:t>中国残疾人联合会关于促进残疾人就业政府采购政策的通知》（财库</w:t>
      </w:r>
      <w:r>
        <w:rPr>
          <w:rFonts w:hint="eastAsia" w:ascii="宋体" w:hAnsi="宋体"/>
          <w:color w:val="auto"/>
          <w:szCs w:val="21"/>
        </w:rPr>
        <w:t>〔</w:t>
      </w:r>
      <w:r>
        <w:rPr>
          <w:rFonts w:ascii="宋体" w:hAnsi="宋体"/>
          <w:color w:val="auto"/>
          <w:szCs w:val="21"/>
        </w:rPr>
        <w:t>2017</w:t>
      </w:r>
      <w:r>
        <w:rPr>
          <w:rFonts w:hint="eastAsia" w:ascii="宋体" w:hAnsi="宋体"/>
          <w:color w:val="auto"/>
          <w:szCs w:val="21"/>
        </w:rPr>
        <w:t>〕</w:t>
      </w:r>
      <w:r>
        <w:rPr>
          <w:rFonts w:ascii="宋体" w:hAnsi="宋体"/>
          <w:color w:val="auto"/>
          <w:szCs w:val="21"/>
        </w:rPr>
        <w:t xml:space="preserve"> 141</w:t>
      </w:r>
      <w:bookmarkStart w:id="8" w:name="_GoBack"/>
      <w:bookmarkEnd w:id="8"/>
      <w:r>
        <w:rPr>
          <w:rFonts w:hint="eastAsia" w:ascii="宋体" w:hAnsi="宋体"/>
          <w:color w:val="auto"/>
          <w:spacing w:val="6"/>
          <w:szCs w:val="21"/>
        </w:rPr>
        <w:t>号）的规定，本单位为符合条件的残疾人福利性单位，且本单位参加</w:t>
      </w:r>
      <w:r>
        <w:rPr>
          <w:rFonts w:ascii="宋体" w:hAnsi="宋体"/>
          <w:color w:val="auto"/>
          <w:spacing w:val="6"/>
          <w:szCs w:val="21"/>
        </w:rPr>
        <w:t>______</w:t>
      </w:r>
      <w:r>
        <w:rPr>
          <w:rFonts w:hint="eastAsia" w:ascii="宋体" w:hAnsi="宋体"/>
          <w:color w:val="auto"/>
          <w:spacing w:val="6"/>
          <w:szCs w:val="21"/>
        </w:rPr>
        <w:t>单位的</w:t>
      </w:r>
      <w:r>
        <w:rPr>
          <w:rFonts w:ascii="宋体" w:hAnsi="宋体"/>
          <w:color w:val="auto"/>
          <w:spacing w:val="6"/>
          <w:szCs w:val="21"/>
        </w:rPr>
        <w:t>______</w:t>
      </w:r>
      <w:r>
        <w:rPr>
          <w:rFonts w:hint="eastAsia" w:ascii="宋体" w:hAnsi="宋体"/>
          <w:color w:val="auto"/>
          <w:spacing w:val="6"/>
          <w:szCs w:val="21"/>
        </w:rPr>
        <w:t>项目采购活动提供本单位制造的货物（由本单位承担工程</w:t>
      </w:r>
      <w:r>
        <w:rPr>
          <w:rFonts w:ascii="宋体" w:hAnsi="宋体"/>
          <w:color w:val="auto"/>
          <w:spacing w:val="6"/>
          <w:szCs w:val="21"/>
        </w:rPr>
        <w:t>/</w:t>
      </w:r>
      <w:r>
        <w:rPr>
          <w:rFonts w:hint="eastAsia" w:ascii="宋体" w:hAnsi="宋体"/>
          <w:color w:val="auto"/>
          <w:spacing w:val="6"/>
          <w:szCs w:val="21"/>
        </w:rPr>
        <w:t>提供服务），或者提供其他残疾人福利性单位制造的货物（不包括使用非残疾人福利性单位注册商标的货物）。</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本单位对上述声明的真实性负责。如有虚假，将依法承担相应责任。</w:t>
      </w:r>
    </w:p>
    <w:p>
      <w:pPr>
        <w:spacing w:line="588" w:lineRule="exact"/>
        <w:ind w:firstLine="444" w:firstLineChars="200"/>
        <w:rPr>
          <w:rFonts w:ascii="宋体" w:hAnsi="宋体"/>
          <w:color w:val="auto"/>
          <w:spacing w:val="6"/>
          <w:szCs w:val="21"/>
        </w:rPr>
      </w:pPr>
    </w:p>
    <w:p>
      <w:pPr>
        <w:spacing w:line="588" w:lineRule="exact"/>
        <w:ind w:firstLine="444" w:firstLineChars="200"/>
        <w:rPr>
          <w:rFonts w:ascii="宋体" w:hAnsi="宋体"/>
          <w:color w:val="auto"/>
          <w:spacing w:val="6"/>
          <w:szCs w:val="21"/>
        </w:rPr>
      </w:pPr>
    </w:p>
    <w:p>
      <w:pPr>
        <w:tabs>
          <w:tab w:val="left" w:pos="4860"/>
        </w:tabs>
        <w:spacing w:line="588" w:lineRule="exact"/>
        <w:ind w:right="1560" w:firstLine="444" w:firstLineChars="200"/>
        <w:jc w:val="center"/>
        <w:rPr>
          <w:rFonts w:ascii="宋体" w:hAnsi="宋体"/>
          <w:color w:val="auto"/>
          <w:spacing w:val="6"/>
          <w:szCs w:val="21"/>
        </w:rPr>
      </w:pPr>
      <w:r>
        <w:rPr>
          <w:rFonts w:hint="eastAsia" w:ascii="宋体" w:hAnsi="宋体"/>
          <w:color w:val="auto"/>
          <w:spacing w:val="6"/>
          <w:szCs w:val="21"/>
        </w:rPr>
        <w:t>单位名称（盖章）：</w:t>
      </w:r>
    </w:p>
    <w:p>
      <w:pPr>
        <w:tabs>
          <w:tab w:val="left" w:pos="4860"/>
        </w:tabs>
        <w:spacing w:line="588" w:lineRule="exact"/>
        <w:ind w:right="1560" w:firstLine="444" w:firstLineChars="200"/>
        <w:jc w:val="center"/>
        <w:rPr>
          <w:rFonts w:ascii="宋体" w:hAnsi="宋体"/>
          <w:color w:val="auto"/>
          <w:spacing w:val="6"/>
          <w:szCs w:val="21"/>
        </w:rPr>
      </w:pPr>
      <w:r>
        <w:rPr>
          <w:rFonts w:hint="eastAsia" w:ascii="宋体" w:hAnsi="宋体"/>
          <w:color w:val="auto"/>
          <w:spacing w:val="6"/>
          <w:szCs w:val="21"/>
        </w:rPr>
        <w:t>日</w:t>
      </w:r>
      <w:r>
        <w:rPr>
          <w:rFonts w:ascii="宋体" w:hAnsi="宋体"/>
          <w:color w:val="auto"/>
          <w:spacing w:val="6"/>
          <w:szCs w:val="21"/>
        </w:rPr>
        <w:t xml:space="preserve">  </w:t>
      </w:r>
      <w:r>
        <w:rPr>
          <w:rFonts w:hint="eastAsia" w:ascii="宋体" w:hAnsi="宋体"/>
          <w:color w:val="auto"/>
          <w:spacing w:val="6"/>
          <w:szCs w:val="21"/>
        </w:rPr>
        <w:t>期：</w:t>
      </w:r>
    </w:p>
    <w:p>
      <w:pPr>
        <w:tabs>
          <w:tab w:val="left" w:pos="4860"/>
        </w:tabs>
        <w:spacing w:line="588" w:lineRule="exact"/>
        <w:ind w:right="46"/>
        <w:rPr>
          <w:rFonts w:hint="eastAsia" w:ascii="宋体" w:hAnsi="宋体"/>
          <w:color w:val="auto"/>
          <w:spacing w:val="6"/>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pStyle w:val="13"/>
        <w:spacing w:line="520" w:lineRule="exact"/>
        <w:ind w:firstLine="0"/>
        <w:rPr>
          <w:rFonts w:hint="eastAsia"/>
          <w:color w:val="auto"/>
          <w:sz w:val="21"/>
          <w:szCs w:val="21"/>
        </w:rPr>
      </w:pPr>
    </w:p>
    <w:sectPr>
      <w:footerReference r:id="rId7" w:type="first"/>
      <w:footerReference r:id="rId6" w:type="default"/>
      <w:pgSz w:w="11906" w:h="16838"/>
      <w:pgMar w:top="1474" w:right="1558" w:bottom="1247" w:left="1797" w:header="851" w:footer="851"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Mincho">
    <w:altName w:val="MS UI Gothic"/>
    <w:panose1 w:val="02020609040205080304"/>
    <w:charset w:val="80"/>
    <w:family w:val="modern"/>
    <w:pitch w:val="default"/>
    <w:sig w:usb0="A00002BF" w:usb1="68C7FCFB" w:usb2="00000010" w:usb3="00000000" w:csb0="4002009F" w:csb1="DFD70000"/>
  </w:font>
  <w:font w:name="Century">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3"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方正书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rPr>
                              <w:lang w:val="zh-CN"/>
                            </w:rPr>
                            <w:t>28</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XleaN0BAAC+AwAADgAAAGRycy9lMm9Eb2MueG1srVPBjtMwEL0j8Q+W 7zRpD6iKmq6AahESAqSFD3Adp7Fke6yx26R8APwBJy7c+a5+B2Mn6S7LZQ9ckvF4/Oa95/HmZrCG nRQGDa7my0XJmXISGu0ONf/y+fbFmrMQhWuEAadqflaB32yfP9v0vlIr6MA0ChmBuFD1vuZdjL4q iiA7ZUVYgFeONltAKyIt8VA0KHpCt6ZYleXLogdsPIJUIVB2N27yCRGfAghtq6XagTxa5eKIisqI SJJCp33g28y2bZWMH9s2qMhMzUlpzF9qQvE+fYvtRlQHFL7TcqIgnkLhkSYrtKOmV6idiIIdUf8D ZbVECNDGhQRbjEKyI6RiWT7y5q4TXmUtZHXwV9PD/4OVH06fkOmGJoEzJyxd+OXH98vP35df39gy 2dP7UFHVnae6OLyGIZVO+UDJpHpo0aY/6WG0T+aer+aqITKZDq1X63VJW5L25gXhFPfHPYb4VoFl Kag50u1lU8XpfYhj6VySujm41cZQXlTG/ZUgzJQpEveRY4risB8m4ntozqSHngH16QC/ctbTENTc 0cxzZt458jjNyxzgHOznQDhJB2seORvDN3Gcq6NHfejypCVSwb86RmKaBSQaY++JHV1rtmAawTQ3 D9e56v7Zbf8A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G15XmjdAQAAvgMAAA4AAAAAAAAA AQAgAAAAHgEAAGRycy9lMm9Eb2MueG1sUEsFBgAAAAAGAAYAWQEAAG0FAAAAAA== ">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rPr>
                        <w:lang w:val="zh-CN"/>
                      </w:rPr>
                      <w:t>28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sxvrkN0BAAC+AwAADgAAAGRycy9lMm9Eb2MueG1srVPNjtMwEL4j8Q6W 7zTZHFBVNV0tVIuQECAtPIDrOI0l/2k8bVIeAN6AExfuPFefg7GTdJflsoe9JOOZ8TfzfTNeXw/W sKOCqL2r+dWi5Ew56Rvt9jX/+uX21ZKziMI1wninan5SkV9vXr5Y92GlKt950yhgBOLiqg817xDD qiii7JQVceGDchRsPViBdIR90YDoCd2aoirL10XvoQngpYqRvNsxyCdEeAqgb1st1dbLg1UOR1RQ RiBRip0OkW9yt22rJH5q26iQmZoTU8xfKkL2Ln2LzVqs9iBCp+XUgnhKC484WaEdFb1AbQUKdgD9 H5TVEnz0LS6kt8VIJCtCLK7KR9rcdSKozIWkjuEienw+WPnx+BmYbmpeceaEpYGff/44//pz/v2d VUmePsQVZd0FysPhjR9oaWZ/JGdiPbRg05/4MIqTuKeLuGpAJtOlZbVclhSSFJsPhF/cXw8Q8Z3y liWj5kDTy6KK44eIY+qckqo5f6uNyRM07h8HYSZPkXofe0wWDrthIrTzzYn40DOgOp2Hb5z1tAQ1 d7TznJn3jjRO+zIbMBu72RBO0sWaI2ej+RbHvToE0Psub1pqKoabA1KnmUBqY6w9dUdjzRJMK5j2 5uE5Z90/u81f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LMb65DdAQAAvgMAAA4AAAAAAAAA AQAgAAAAHgEAAGRycy9lMm9Eb2MueG1sUEsFBgAAAAAGAAYAWQEAAG0FAAAAAA== ">
              <v:fill on="f" focussize="0,0"/>
              <v:stroke on="f"/>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政府采购项目公开招标采购文件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4C4370"/>
    <w:multiLevelType w:val="singleLevel"/>
    <w:tmpl w:val="B24C4370"/>
    <w:lvl w:ilvl="0" w:tentative="0">
      <w:start w:val="1"/>
      <w:numFmt w:val="decimal"/>
      <w:suff w:val="nothing"/>
      <w:lvlText w:val="%1．"/>
      <w:lvlJc w:val="left"/>
      <w:pPr>
        <w:ind w:left="0" w:firstLine="400"/>
      </w:pPr>
      <w:rPr>
        <w:rFonts w:hint="default"/>
      </w:rPr>
    </w:lvl>
  </w:abstractNum>
  <w:abstractNum w:abstractNumId="1">
    <w:nsid w:val="FFFFFF7E"/>
    <w:multiLevelType w:val="singleLevel"/>
    <w:tmpl w:val="FFFFFF7E"/>
    <w:lvl w:ilvl="0" w:tentative="0">
      <w:start w:val="1"/>
      <w:numFmt w:val="decimal"/>
      <w:pStyle w:val="15"/>
      <w:lvlText w:val="%1."/>
      <w:lvlJc w:val="left"/>
      <w:pPr>
        <w:tabs>
          <w:tab w:val="left" w:pos="1200"/>
        </w:tabs>
        <w:ind w:left="1200" w:hanging="360"/>
      </w:pPr>
    </w:lvl>
  </w:abstractNum>
  <w:abstractNum w:abstractNumId="2">
    <w:nsid w:val="00000003"/>
    <w:multiLevelType w:val="singleLevel"/>
    <w:tmpl w:val="00000003"/>
    <w:lvl w:ilvl="0" w:tentative="0">
      <w:start w:val="1"/>
      <w:numFmt w:val="lowerLetter"/>
      <w:lvlText w:val="%1."/>
      <w:lvlJc w:val="left"/>
      <w:pPr>
        <w:tabs>
          <w:tab w:val="left" w:pos="360"/>
        </w:tabs>
        <w:ind w:left="301" w:hanging="301"/>
      </w:pPr>
      <w:rPr>
        <w:rFonts w:hint="eastAsia"/>
      </w:rPr>
    </w:lvl>
  </w:abstractNum>
  <w:abstractNum w:abstractNumId="3">
    <w:nsid w:val="00000005"/>
    <w:multiLevelType w:val="multilevel"/>
    <w:tmpl w:val="00000005"/>
    <w:lvl w:ilvl="0" w:tentative="0">
      <w:start w:val="1"/>
      <w:numFmt w:val="decimal"/>
      <w:lvlText w:val="%1、"/>
      <w:lvlJc w:val="left"/>
      <w:pPr>
        <w:tabs>
          <w:tab w:val="left" w:pos="772"/>
        </w:tabs>
        <w:ind w:left="772" w:hanging="360"/>
      </w:pPr>
      <w:rPr>
        <w:rFonts w:hint="eastAsia"/>
      </w:rPr>
    </w:lvl>
    <w:lvl w:ilvl="1" w:tentative="0">
      <w:start w:val="1"/>
      <w:numFmt w:val="lowerLetter"/>
      <w:lvlText w:val="%2)"/>
      <w:lvlJc w:val="left"/>
      <w:pPr>
        <w:tabs>
          <w:tab w:val="left" w:pos="1252"/>
        </w:tabs>
        <w:ind w:left="1252" w:hanging="420"/>
      </w:pPr>
    </w:lvl>
    <w:lvl w:ilvl="2" w:tentative="0">
      <w:start w:val="1"/>
      <w:numFmt w:val="lowerRoman"/>
      <w:lvlText w:val="%3."/>
      <w:lvlJc w:val="right"/>
      <w:pPr>
        <w:tabs>
          <w:tab w:val="left" w:pos="1672"/>
        </w:tabs>
        <w:ind w:left="1672" w:hanging="420"/>
      </w:pPr>
    </w:lvl>
    <w:lvl w:ilvl="3" w:tentative="0">
      <w:start w:val="1"/>
      <w:numFmt w:val="decimal"/>
      <w:lvlText w:val="%4."/>
      <w:lvlJc w:val="left"/>
      <w:pPr>
        <w:tabs>
          <w:tab w:val="left" w:pos="2092"/>
        </w:tabs>
        <w:ind w:left="2092" w:hanging="420"/>
      </w:pPr>
    </w:lvl>
    <w:lvl w:ilvl="4" w:tentative="0">
      <w:start w:val="1"/>
      <w:numFmt w:val="lowerLetter"/>
      <w:lvlText w:val="%5)"/>
      <w:lvlJc w:val="left"/>
      <w:pPr>
        <w:tabs>
          <w:tab w:val="left" w:pos="2512"/>
        </w:tabs>
        <w:ind w:left="2512" w:hanging="420"/>
      </w:pPr>
    </w:lvl>
    <w:lvl w:ilvl="5" w:tentative="0">
      <w:start w:val="1"/>
      <w:numFmt w:val="lowerRoman"/>
      <w:lvlText w:val="%6."/>
      <w:lvlJc w:val="right"/>
      <w:pPr>
        <w:tabs>
          <w:tab w:val="left" w:pos="2932"/>
        </w:tabs>
        <w:ind w:left="2932" w:hanging="420"/>
      </w:pPr>
    </w:lvl>
    <w:lvl w:ilvl="6" w:tentative="0">
      <w:start w:val="1"/>
      <w:numFmt w:val="decimal"/>
      <w:lvlText w:val="%7."/>
      <w:lvlJc w:val="left"/>
      <w:pPr>
        <w:tabs>
          <w:tab w:val="left" w:pos="3352"/>
        </w:tabs>
        <w:ind w:left="3352" w:hanging="420"/>
      </w:pPr>
    </w:lvl>
    <w:lvl w:ilvl="7" w:tentative="0">
      <w:start w:val="1"/>
      <w:numFmt w:val="lowerLetter"/>
      <w:lvlText w:val="%8)"/>
      <w:lvlJc w:val="left"/>
      <w:pPr>
        <w:tabs>
          <w:tab w:val="left" w:pos="3772"/>
        </w:tabs>
        <w:ind w:left="3772" w:hanging="420"/>
      </w:pPr>
    </w:lvl>
    <w:lvl w:ilvl="8" w:tentative="0">
      <w:start w:val="1"/>
      <w:numFmt w:val="lowerRoman"/>
      <w:lvlText w:val="%9."/>
      <w:lvlJc w:val="right"/>
      <w:pPr>
        <w:tabs>
          <w:tab w:val="left" w:pos="4192"/>
        </w:tabs>
        <w:ind w:left="4192" w:hanging="420"/>
      </w:pPr>
    </w:lvl>
  </w:abstractNum>
  <w:abstractNum w:abstractNumId="4">
    <w:nsid w:val="0000000D"/>
    <w:multiLevelType w:val="singleLevel"/>
    <w:tmpl w:val="0000000D"/>
    <w:lvl w:ilvl="0" w:tentative="0">
      <w:start w:val="1"/>
      <w:numFmt w:val="decimal"/>
      <w:lvlText w:val="(%1)"/>
      <w:lvlJc w:val="left"/>
      <w:pPr>
        <w:tabs>
          <w:tab w:val="left" w:pos="875"/>
        </w:tabs>
        <w:ind w:left="175" w:firstLine="340"/>
      </w:pPr>
      <w:rPr>
        <w:rFonts w:hint="eastAsia"/>
      </w:rPr>
    </w:lvl>
  </w:abstractNum>
  <w:abstractNum w:abstractNumId="5">
    <w:nsid w:val="00000011"/>
    <w:multiLevelType w:val="singleLevel"/>
    <w:tmpl w:val="00000011"/>
    <w:lvl w:ilvl="0" w:tentative="0">
      <w:start w:val="2"/>
      <w:numFmt w:val="decimal"/>
      <w:pStyle w:val="60"/>
      <w:suff w:val="nothing"/>
      <w:lvlText w:val="（%1）"/>
      <w:lvlJc w:val="left"/>
    </w:lvl>
  </w:abstractNum>
  <w:abstractNum w:abstractNumId="6">
    <w:nsid w:val="09890BCC"/>
    <w:multiLevelType w:val="multilevel"/>
    <w:tmpl w:val="09890BCC"/>
    <w:lvl w:ilvl="0" w:tentative="0">
      <w:start w:val="1"/>
      <w:numFmt w:val="decimal"/>
      <w:pStyle w:val="6"/>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7">
    <w:nsid w:val="27187EF8"/>
    <w:multiLevelType w:val="multilevel"/>
    <w:tmpl w:val="27187EF8"/>
    <w:lvl w:ilvl="0" w:tentative="0">
      <w:start w:val="5"/>
      <w:numFmt w:val="decimal"/>
      <w:lvlText w:val="（%1）"/>
      <w:lvlJc w:val="left"/>
      <w:pPr>
        <w:tabs>
          <w:tab w:val="left" w:pos="1200"/>
        </w:tabs>
        <w:ind w:left="1200" w:hanging="720"/>
      </w:pPr>
      <w:rPr>
        <w:rFonts w:hint="eastAsia" w:ascii="宋体" w:hAnsi="Times New Roman" w:eastAsia="宋体"/>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
    <w:nsid w:val="4C7F7826"/>
    <w:multiLevelType w:val="multilevel"/>
    <w:tmpl w:val="4C7F7826"/>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9EB8996"/>
    <w:multiLevelType w:val="singleLevel"/>
    <w:tmpl w:val="59EB8996"/>
    <w:lvl w:ilvl="0" w:tentative="0">
      <w:start w:val="1"/>
      <w:numFmt w:val="decimal"/>
      <w:suff w:val="nothing"/>
      <w:lvlText w:val="%1．"/>
      <w:lvlJc w:val="left"/>
      <w:pPr>
        <w:ind w:left="0" w:firstLine="400"/>
      </w:pPr>
      <w:rPr>
        <w:rFonts w:hint="default"/>
      </w:rPr>
    </w:lvl>
  </w:abstractNum>
  <w:abstractNum w:abstractNumId="10">
    <w:nsid w:val="71D9659B"/>
    <w:multiLevelType w:val="singleLevel"/>
    <w:tmpl w:val="71D9659B"/>
    <w:lvl w:ilvl="0" w:tentative="0">
      <w:start w:val="1"/>
      <w:numFmt w:val="decimal"/>
      <w:lvlText w:val="%1、"/>
      <w:lvlJc w:val="left"/>
      <w:pPr>
        <w:tabs>
          <w:tab w:val="left" w:pos="840"/>
        </w:tabs>
        <w:ind w:left="840" w:hanging="360"/>
      </w:pPr>
    </w:lvl>
  </w:abstractNum>
  <w:num w:numId="1">
    <w:abstractNumId w:val="6"/>
  </w:num>
  <w:num w:numId="2">
    <w:abstractNumId w:val="1"/>
  </w:num>
  <w:num w:numId="3">
    <w:abstractNumId w:val="5"/>
  </w:num>
  <w:num w:numId="4">
    <w:abstractNumId w:val="0"/>
  </w:num>
  <w:num w:numId="5">
    <w:abstractNumId w:val="9"/>
  </w:num>
  <w:num w:numId="6">
    <w:abstractNumId w:val="8"/>
  </w:num>
  <w:num w:numId="7">
    <w:abstractNumId w:val="2"/>
    <w:lvlOverride w:ilvl="0">
      <w:startOverride w:val="1"/>
    </w:lvlOverride>
  </w:num>
  <w:num w:numId="8">
    <w:abstractNumId w:val="3"/>
    <w:lvlOverride w:ilvl="0">
      <w:startOverride w:val="1"/>
    </w:lvlOverride>
  </w:num>
  <w:num w:numId="9">
    <w:abstractNumId w:val="4"/>
    <w:lvlOverride w:ilvl="0">
      <w:startOverride w:val="1"/>
    </w:lvlOverride>
  </w:num>
  <w:num w:numId="10">
    <w:abstractNumId w:val="10"/>
    <w:lvlOverride w:ilvl="0">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wNjUwMTYzNmJhMmE4ZmMyYzNhN2ZlZTE2Yjc5MjEifQ=="/>
  </w:docVars>
  <w:rsids>
    <w:rsidRoot w:val="00120357"/>
    <w:rsid w:val="00001F81"/>
    <w:rsid w:val="000020AE"/>
    <w:rsid w:val="00002524"/>
    <w:rsid w:val="0000287A"/>
    <w:rsid w:val="00002B6B"/>
    <w:rsid w:val="00004052"/>
    <w:rsid w:val="00004904"/>
    <w:rsid w:val="0000495B"/>
    <w:rsid w:val="000060C7"/>
    <w:rsid w:val="00007194"/>
    <w:rsid w:val="00011CAA"/>
    <w:rsid w:val="000122D0"/>
    <w:rsid w:val="00013586"/>
    <w:rsid w:val="00016B91"/>
    <w:rsid w:val="00016C2E"/>
    <w:rsid w:val="00016E07"/>
    <w:rsid w:val="00021AE4"/>
    <w:rsid w:val="000253D5"/>
    <w:rsid w:val="000329CD"/>
    <w:rsid w:val="00032DBE"/>
    <w:rsid w:val="00033384"/>
    <w:rsid w:val="000335A7"/>
    <w:rsid w:val="0003425C"/>
    <w:rsid w:val="00034659"/>
    <w:rsid w:val="00034946"/>
    <w:rsid w:val="00035136"/>
    <w:rsid w:val="00035A47"/>
    <w:rsid w:val="00035E8D"/>
    <w:rsid w:val="00040330"/>
    <w:rsid w:val="00041925"/>
    <w:rsid w:val="0004517D"/>
    <w:rsid w:val="0004608A"/>
    <w:rsid w:val="00047328"/>
    <w:rsid w:val="00050154"/>
    <w:rsid w:val="000501EB"/>
    <w:rsid w:val="0005377A"/>
    <w:rsid w:val="00053A43"/>
    <w:rsid w:val="00056389"/>
    <w:rsid w:val="00056E1C"/>
    <w:rsid w:val="00057ECD"/>
    <w:rsid w:val="000606D3"/>
    <w:rsid w:val="00062702"/>
    <w:rsid w:val="00063806"/>
    <w:rsid w:val="00063FC3"/>
    <w:rsid w:val="00064A66"/>
    <w:rsid w:val="00064AB7"/>
    <w:rsid w:val="00064C8D"/>
    <w:rsid w:val="00066447"/>
    <w:rsid w:val="00066AB2"/>
    <w:rsid w:val="0006721F"/>
    <w:rsid w:val="000678D0"/>
    <w:rsid w:val="00071333"/>
    <w:rsid w:val="00073441"/>
    <w:rsid w:val="0007429B"/>
    <w:rsid w:val="00074D4C"/>
    <w:rsid w:val="00075714"/>
    <w:rsid w:val="00077EE4"/>
    <w:rsid w:val="00080208"/>
    <w:rsid w:val="0008123C"/>
    <w:rsid w:val="00081F5D"/>
    <w:rsid w:val="000839BB"/>
    <w:rsid w:val="000840B7"/>
    <w:rsid w:val="0008616E"/>
    <w:rsid w:val="00086622"/>
    <w:rsid w:val="00093B62"/>
    <w:rsid w:val="00094365"/>
    <w:rsid w:val="000953EE"/>
    <w:rsid w:val="00096428"/>
    <w:rsid w:val="0009703A"/>
    <w:rsid w:val="000A1180"/>
    <w:rsid w:val="000A2078"/>
    <w:rsid w:val="000A30C0"/>
    <w:rsid w:val="000A39C3"/>
    <w:rsid w:val="000A3AB3"/>
    <w:rsid w:val="000A5C80"/>
    <w:rsid w:val="000A6B3B"/>
    <w:rsid w:val="000B0A3D"/>
    <w:rsid w:val="000B0BF8"/>
    <w:rsid w:val="000B18DF"/>
    <w:rsid w:val="000B57EA"/>
    <w:rsid w:val="000B658C"/>
    <w:rsid w:val="000C0933"/>
    <w:rsid w:val="000C1E98"/>
    <w:rsid w:val="000C26C0"/>
    <w:rsid w:val="000C32B3"/>
    <w:rsid w:val="000C48C5"/>
    <w:rsid w:val="000C5621"/>
    <w:rsid w:val="000C5851"/>
    <w:rsid w:val="000C5F40"/>
    <w:rsid w:val="000C665A"/>
    <w:rsid w:val="000D0204"/>
    <w:rsid w:val="000D1464"/>
    <w:rsid w:val="000D1613"/>
    <w:rsid w:val="000D395D"/>
    <w:rsid w:val="000D4E08"/>
    <w:rsid w:val="000D57B4"/>
    <w:rsid w:val="000D5A87"/>
    <w:rsid w:val="000D63D6"/>
    <w:rsid w:val="000E16D6"/>
    <w:rsid w:val="000E2F3B"/>
    <w:rsid w:val="000E333B"/>
    <w:rsid w:val="000E48A9"/>
    <w:rsid w:val="000E565F"/>
    <w:rsid w:val="000E7801"/>
    <w:rsid w:val="000E7D7C"/>
    <w:rsid w:val="000F1A4E"/>
    <w:rsid w:val="000F6B9F"/>
    <w:rsid w:val="000F70C3"/>
    <w:rsid w:val="000F7DE3"/>
    <w:rsid w:val="00100301"/>
    <w:rsid w:val="00100E27"/>
    <w:rsid w:val="00101BFB"/>
    <w:rsid w:val="00102590"/>
    <w:rsid w:val="0010342D"/>
    <w:rsid w:val="00104816"/>
    <w:rsid w:val="00104F51"/>
    <w:rsid w:val="001060B2"/>
    <w:rsid w:val="001063EE"/>
    <w:rsid w:val="001123CD"/>
    <w:rsid w:val="00112983"/>
    <w:rsid w:val="001137BF"/>
    <w:rsid w:val="00114F71"/>
    <w:rsid w:val="00115FD2"/>
    <w:rsid w:val="001167CB"/>
    <w:rsid w:val="00117395"/>
    <w:rsid w:val="00117BD0"/>
    <w:rsid w:val="00120357"/>
    <w:rsid w:val="00122871"/>
    <w:rsid w:val="00122BC2"/>
    <w:rsid w:val="001238E1"/>
    <w:rsid w:val="001253FA"/>
    <w:rsid w:val="00125B0F"/>
    <w:rsid w:val="00126537"/>
    <w:rsid w:val="00126CD7"/>
    <w:rsid w:val="00126FD6"/>
    <w:rsid w:val="00131458"/>
    <w:rsid w:val="00131F2B"/>
    <w:rsid w:val="00132A3D"/>
    <w:rsid w:val="00135D22"/>
    <w:rsid w:val="00136D9C"/>
    <w:rsid w:val="00137970"/>
    <w:rsid w:val="00137E0E"/>
    <w:rsid w:val="00141119"/>
    <w:rsid w:val="0014187E"/>
    <w:rsid w:val="00141CD0"/>
    <w:rsid w:val="00141D6E"/>
    <w:rsid w:val="00144041"/>
    <w:rsid w:val="001449F0"/>
    <w:rsid w:val="00145623"/>
    <w:rsid w:val="00146D02"/>
    <w:rsid w:val="0015029C"/>
    <w:rsid w:val="001511D2"/>
    <w:rsid w:val="00151DBF"/>
    <w:rsid w:val="00151DC3"/>
    <w:rsid w:val="001539A5"/>
    <w:rsid w:val="001542F9"/>
    <w:rsid w:val="00157825"/>
    <w:rsid w:val="0016043E"/>
    <w:rsid w:val="00160840"/>
    <w:rsid w:val="00160ED6"/>
    <w:rsid w:val="00161C9F"/>
    <w:rsid w:val="00161E04"/>
    <w:rsid w:val="00164003"/>
    <w:rsid w:val="00164AC2"/>
    <w:rsid w:val="00170310"/>
    <w:rsid w:val="0017151A"/>
    <w:rsid w:val="001717A2"/>
    <w:rsid w:val="00172F2C"/>
    <w:rsid w:val="0017371B"/>
    <w:rsid w:val="00173971"/>
    <w:rsid w:val="00173A8F"/>
    <w:rsid w:val="0017504D"/>
    <w:rsid w:val="0017734A"/>
    <w:rsid w:val="001819A3"/>
    <w:rsid w:val="00182217"/>
    <w:rsid w:val="001823AA"/>
    <w:rsid w:val="00182D4A"/>
    <w:rsid w:val="0018313B"/>
    <w:rsid w:val="00183A3D"/>
    <w:rsid w:val="001843C5"/>
    <w:rsid w:val="001852B1"/>
    <w:rsid w:val="00185B9D"/>
    <w:rsid w:val="001860BB"/>
    <w:rsid w:val="00187187"/>
    <w:rsid w:val="001873D0"/>
    <w:rsid w:val="00187EC6"/>
    <w:rsid w:val="001903BE"/>
    <w:rsid w:val="00190A94"/>
    <w:rsid w:val="00190D3E"/>
    <w:rsid w:val="00192F9F"/>
    <w:rsid w:val="00193890"/>
    <w:rsid w:val="00197396"/>
    <w:rsid w:val="00197870"/>
    <w:rsid w:val="001A04CC"/>
    <w:rsid w:val="001A0F06"/>
    <w:rsid w:val="001A175E"/>
    <w:rsid w:val="001A2299"/>
    <w:rsid w:val="001A2B6A"/>
    <w:rsid w:val="001A3407"/>
    <w:rsid w:val="001A39C3"/>
    <w:rsid w:val="001A553D"/>
    <w:rsid w:val="001A5FCB"/>
    <w:rsid w:val="001A6501"/>
    <w:rsid w:val="001A7119"/>
    <w:rsid w:val="001A741C"/>
    <w:rsid w:val="001B0873"/>
    <w:rsid w:val="001B0C91"/>
    <w:rsid w:val="001B1275"/>
    <w:rsid w:val="001B160D"/>
    <w:rsid w:val="001B16BB"/>
    <w:rsid w:val="001B26DA"/>
    <w:rsid w:val="001B37BB"/>
    <w:rsid w:val="001B5706"/>
    <w:rsid w:val="001B5946"/>
    <w:rsid w:val="001B7059"/>
    <w:rsid w:val="001B763C"/>
    <w:rsid w:val="001B7A7F"/>
    <w:rsid w:val="001B7CB9"/>
    <w:rsid w:val="001C035E"/>
    <w:rsid w:val="001C177A"/>
    <w:rsid w:val="001C3063"/>
    <w:rsid w:val="001C39C6"/>
    <w:rsid w:val="001C4613"/>
    <w:rsid w:val="001C4668"/>
    <w:rsid w:val="001C4C5E"/>
    <w:rsid w:val="001C4F39"/>
    <w:rsid w:val="001C6F2E"/>
    <w:rsid w:val="001C6FA2"/>
    <w:rsid w:val="001D06C2"/>
    <w:rsid w:val="001D10A7"/>
    <w:rsid w:val="001D1156"/>
    <w:rsid w:val="001D127C"/>
    <w:rsid w:val="001D281C"/>
    <w:rsid w:val="001D2E39"/>
    <w:rsid w:val="001D3517"/>
    <w:rsid w:val="001D4710"/>
    <w:rsid w:val="001D515D"/>
    <w:rsid w:val="001D5750"/>
    <w:rsid w:val="001D654D"/>
    <w:rsid w:val="001D6C65"/>
    <w:rsid w:val="001D6CFA"/>
    <w:rsid w:val="001D7168"/>
    <w:rsid w:val="001D75C4"/>
    <w:rsid w:val="001E0472"/>
    <w:rsid w:val="001E05D6"/>
    <w:rsid w:val="001E2FE5"/>
    <w:rsid w:val="001E39D9"/>
    <w:rsid w:val="001E6467"/>
    <w:rsid w:val="001E6D64"/>
    <w:rsid w:val="001E6F44"/>
    <w:rsid w:val="001E7964"/>
    <w:rsid w:val="001F1557"/>
    <w:rsid w:val="001F2150"/>
    <w:rsid w:val="001F3863"/>
    <w:rsid w:val="001F484B"/>
    <w:rsid w:val="001F48DB"/>
    <w:rsid w:val="002000CA"/>
    <w:rsid w:val="00204108"/>
    <w:rsid w:val="00204285"/>
    <w:rsid w:val="00205BB6"/>
    <w:rsid w:val="002066C7"/>
    <w:rsid w:val="00206C4B"/>
    <w:rsid w:val="0021217E"/>
    <w:rsid w:val="0021228E"/>
    <w:rsid w:val="00212741"/>
    <w:rsid w:val="00213279"/>
    <w:rsid w:val="00214144"/>
    <w:rsid w:val="00214F36"/>
    <w:rsid w:val="00215BC0"/>
    <w:rsid w:val="00216B0D"/>
    <w:rsid w:val="002173F9"/>
    <w:rsid w:val="00220BB7"/>
    <w:rsid w:val="00221E1E"/>
    <w:rsid w:val="00222698"/>
    <w:rsid w:val="002236B7"/>
    <w:rsid w:val="00226A08"/>
    <w:rsid w:val="00226AA7"/>
    <w:rsid w:val="00226D83"/>
    <w:rsid w:val="002277A5"/>
    <w:rsid w:val="00227CE3"/>
    <w:rsid w:val="002300C9"/>
    <w:rsid w:val="00230259"/>
    <w:rsid w:val="00230A97"/>
    <w:rsid w:val="00231602"/>
    <w:rsid w:val="00232151"/>
    <w:rsid w:val="00233BB9"/>
    <w:rsid w:val="00234393"/>
    <w:rsid w:val="00235371"/>
    <w:rsid w:val="00235A88"/>
    <w:rsid w:val="0023619F"/>
    <w:rsid w:val="00240101"/>
    <w:rsid w:val="00240831"/>
    <w:rsid w:val="00240FFD"/>
    <w:rsid w:val="00245829"/>
    <w:rsid w:val="00246EA8"/>
    <w:rsid w:val="002471BF"/>
    <w:rsid w:val="0024723A"/>
    <w:rsid w:val="002515BD"/>
    <w:rsid w:val="00252D78"/>
    <w:rsid w:val="00253882"/>
    <w:rsid w:val="002539E7"/>
    <w:rsid w:val="00255D90"/>
    <w:rsid w:val="002601A4"/>
    <w:rsid w:val="002606A8"/>
    <w:rsid w:val="00262346"/>
    <w:rsid w:val="00262546"/>
    <w:rsid w:val="002627B4"/>
    <w:rsid w:val="0026345B"/>
    <w:rsid w:val="00263DBD"/>
    <w:rsid w:val="00264740"/>
    <w:rsid w:val="0026594F"/>
    <w:rsid w:val="0026625C"/>
    <w:rsid w:val="00266EEC"/>
    <w:rsid w:val="00271075"/>
    <w:rsid w:val="002717B4"/>
    <w:rsid w:val="00271839"/>
    <w:rsid w:val="0027391E"/>
    <w:rsid w:val="00274437"/>
    <w:rsid w:val="00274B14"/>
    <w:rsid w:val="00274C81"/>
    <w:rsid w:val="00281A92"/>
    <w:rsid w:val="00282B7B"/>
    <w:rsid w:val="002830DC"/>
    <w:rsid w:val="00283F3B"/>
    <w:rsid w:val="002858AC"/>
    <w:rsid w:val="0028641A"/>
    <w:rsid w:val="00286689"/>
    <w:rsid w:val="00287D7F"/>
    <w:rsid w:val="00290063"/>
    <w:rsid w:val="00290913"/>
    <w:rsid w:val="00291104"/>
    <w:rsid w:val="002919A5"/>
    <w:rsid w:val="00294E24"/>
    <w:rsid w:val="00295CF7"/>
    <w:rsid w:val="002968B7"/>
    <w:rsid w:val="002A02F3"/>
    <w:rsid w:val="002A0A56"/>
    <w:rsid w:val="002A3124"/>
    <w:rsid w:val="002A50E3"/>
    <w:rsid w:val="002A6CFE"/>
    <w:rsid w:val="002A7611"/>
    <w:rsid w:val="002A793C"/>
    <w:rsid w:val="002A7D85"/>
    <w:rsid w:val="002B0EA6"/>
    <w:rsid w:val="002B15AE"/>
    <w:rsid w:val="002B3339"/>
    <w:rsid w:val="002B3B15"/>
    <w:rsid w:val="002B3EDD"/>
    <w:rsid w:val="002B4FED"/>
    <w:rsid w:val="002B6518"/>
    <w:rsid w:val="002B6B2E"/>
    <w:rsid w:val="002B6BE2"/>
    <w:rsid w:val="002B7CD7"/>
    <w:rsid w:val="002C2D5F"/>
    <w:rsid w:val="002C2D82"/>
    <w:rsid w:val="002C2DFA"/>
    <w:rsid w:val="002C327A"/>
    <w:rsid w:val="002C4F3C"/>
    <w:rsid w:val="002C4FC4"/>
    <w:rsid w:val="002C61A9"/>
    <w:rsid w:val="002C6379"/>
    <w:rsid w:val="002C7382"/>
    <w:rsid w:val="002D22C5"/>
    <w:rsid w:val="002D2529"/>
    <w:rsid w:val="002D4838"/>
    <w:rsid w:val="002D4D1D"/>
    <w:rsid w:val="002D7CB6"/>
    <w:rsid w:val="002D7EDC"/>
    <w:rsid w:val="002E0199"/>
    <w:rsid w:val="002E09D1"/>
    <w:rsid w:val="002E13E9"/>
    <w:rsid w:val="002E17D0"/>
    <w:rsid w:val="002E23B0"/>
    <w:rsid w:val="002E2896"/>
    <w:rsid w:val="002E3ED6"/>
    <w:rsid w:val="002E575D"/>
    <w:rsid w:val="002E6658"/>
    <w:rsid w:val="002E6C4F"/>
    <w:rsid w:val="002E6E70"/>
    <w:rsid w:val="002F083D"/>
    <w:rsid w:val="002F1648"/>
    <w:rsid w:val="002F2B57"/>
    <w:rsid w:val="002F3A14"/>
    <w:rsid w:val="002F3F4E"/>
    <w:rsid w:val="002F50FA"/>
    <w:rsid w:val="002F5AA3"/>
    <w:rsid w:val="002F6486"/>
    <w:rsid w:val="002F7E0D"/>
    <w:rsid w:val="00300EE7"/>
    <w:rsid w:val="003014E3"/>
    <w:rsid w:val="003029A8"/>
    <w:rsid w:val="00302F1F"/>
    <w:rsid w:val="00303986"/>
    <w:rsid w:val="003054DA"/>
    <w:rsid w:val="0030559B"/>
    <w:rsid w:val="00310638"/>
    <w:rsid w:val="00312EE1"/>
    <w:rsid w:val="00313860"/>
    <w:rsid w:val="0031515C"/>
    <w:rsid w:val="00316275"/>
    <w:rsid w:val="003164A1"/>
    <w:rsid w:val="0031706F"/>
    <w:rsid w:val="003204BD"/>
    <w:rsid w:val="00322050"/>
    <w:rsid w:val="00323CCB"/>
    <w:rsid w:val="00323D09"/>
    <w:rsid w:val="00324F9A"/>
    <w:rsid w:val="003256CF"/>
    <w:rsid w:val="003261C5"/>
    <w:rsid w:val="00326509"/>
    <w:rsid w:val="00327C3D"/>
    <w:rsid w:val="00327EB7"/>
    <w:rsid w:val="0033138F"/>
    <w:rsid w:val="00332672"/>
    <w:rsid w:val="00333CC4"/>
    <w:rsid w:val="00336612"/>
    <w:rsid w:val="003376DE"/>
    <w:rsid w:val="003377B2"/>
    <w:rsid w:val="00337AC5"/>
    <w:rsid w:val="00341AC1"/>
    <w:rsid w:val="0034241D"/>
    <w:rsid w:val="00342E9D"/>
    <w:rsid w:val="00343D77"/>
    <w:rsid w:val="00345849"/>
    <w:rsid w:val="00345B84"/>
    <w:rsid w:val="00345C36"/>
    <w:rsid w:val="003462D1"/>
    <w:rsid w:val="003479F0"/>
    <w:rsid w:val="003503BD"/>
    <w:rsid w:val="00350EEF"/>
    <w:rsid w:val="0035163E"/>
    <w:rsid w:val="00351681"/>
    <w:rsid w:val="00351927"/>
    <w:rsid w:val="00357CC2"/>
    <w:rsid w:val="00357D6F"/>
    <w:rsid w:val="003620E1"/>
    <w:rsid w:val="00363137"/>
    <w:rsid w:val="0036398C"/>
    <w:rsid w:val="0036460B"/>
    <w:rsid w:val="0036469B"/>
    <w:rsid w:val="00364A36"/>
    <w:rsid w:val="00365A3A"/>
    <w:rsid w:val="00366399"/>
    <w:rsid w:val="00367638"/>
    <w:rsid w:val="00367883"/>
    <w:rsid w:val="00371305"/>
    <w:rsid w:val="003754D5"/>
    <w:rsid w:val="00377D33"/>
    <w:rsid w:val="0038174C"/>
    <w:rsid w:val="00383118"/>
    <w:rsid w:val="00384081"/>
    <w:rsid w:val="00384439"/>
    <w:rsid w:val="0038611E"/>
    <w:rsid w:val="0039102F"/>
    <w:rsid w:val="003941FE"/>
    <w:rsid w:val="0039509D"/>
    <w:rsid w:val="00395938"/>
    <w:rsid w:val="00396566"/>
    <w:rsid w:val="00397B81"/>
    <w:rsid w:val="003A0E77"/>
    <w:rsid w:val="003A1727"/>
    <w:rsid w:val="003A1FD6"/>
    <w:rsid w:val="003A277E"/>
    <w:rsid w:val="003A30B6"/>
    <w:rsid w:val="003A3701"/>
    <w:rsid w:val="003A381F"/>
    <w:rsid w:val="003A41AA"/>
    <w:rsid w:val="003A5A06"/>
    <w:rsid w:val="003B0A4D"/>
    <w:rsid w:val="003B222A"/>
    <w:rsid w:val="003B5F37"/>
    <w:rsid w:val="003B6434"/>
    <w:rsid w:val="003C0CDB"/>
    <w:rsid w:val="003C5EB4"/>
    <w:rsid w:val="003C644B"/>
    <w:rsid w:val="003C663E"/>
    <w:rsid w:val="003C70CA"/>
    <w:rsid w:val="003C7C0C"/>
    <w:rsid w:val="003D01FB"/>
    <w:rsid w:val="003D21B7"/>
    <w:rsid w:val="003D2429"/>
    <w:rsid w:val="003D2455"/>
    <w:rsid w:val="003D2929"/>
    <w:rsid w:val="003D2F8F"/>
    <w:rsid w:val="003D3DAD"/>
    <w:rsid w:val="003D733B"/>
    <w:rsid w:val="003E00D0"/>
    <w:rsid w:val="003E37EF"/>
    <w:rsid w:val="003E4ABE"/>
    <w:rsid w:val="003E50EB"/>
    <w:rsid w:val="003E61C6"/>
    <w:rsid w:val="003E70F1"/>
    <w:rsid w:val="003F0D8E"/>
    <w:rsid w:val="003F2031"/>
    <w:rsid w:val="003F2564"/>
    <w:rsid w:val="003F622A"/>
    <w:rsid w:val="003F6CE9"/>
    <w:rsid w:val="003F7993"/>
    <w:rsid w:val="00401079"/>
    <w:rsid w:val="004012E3"/>
    <w:rsid w:val="00401744"/>
    <w:rsid w:val="0040202D"/>
    <w:rsid w:val="00403AD0"/>
    <w:rsid w:val="004050B6"/>
    <w:rsid w:val="00405638"/>
    <w:rsid w:val="0040799C"/>
    <w:rsid w:val="00410BBA"/>
    <w:rsid w:val="00412B8C"/>
    <w:rsid w:val="00413C2E"/>
    <w:rsid w:val="004173EA"/>
    <w:rsid w:val="004206C6"/>
    <w:rsid w:val="00422169"/>
    <w:rsid w:val="004222C7"/>
    <w:rsid w:val="00422A95"/>
    <w:rsid w:val="00422D24"/>
    <w:rsid w:val="00424E10"/>
    <w:rsid w:val="00424F65"/>
    <w:rsid w:val="00425B05"/>
    <w:rsid w:val="00426F15"/>
    <w:rsid w:val="0042735F"/>
    <w:rsid w:val="00430EB3"/>
    <w:rsid w:val="00431E7C"/>
    <w:rsid w:val="004320DA"/>
    <w:rsid w:val="00432D27"/>
    <w:rsid w:val="00433297"/>
    <w:rsid w:val="00434CD8"/>
    <w:rsid w:val="004350DB"/>
    <w:rsid w:val="004357A7"/>
    <w:rsid w:val="00436009"/>
    <w:rsid w:val="004364C8"/>
    <w:rsid w:val="00437F5E"/>
    <w:rsid w:val="004413F0"/>
    <w:rsid w:val="00442984"/>
    <w:rsid w:val="00444792"/>
    <w:rsid w:val="00445FCF"/>
    <w:rsid w:val="00446205"/>
    <w:rsid w:val="00446298"/>
    <w:rsid w:val="004500EA"/>
    <w:rsid w:val="00450CCB"/>
    <w:rsid w:val="004526D8"/>
    <w:rsid w:val="0045593E"/>
    <w:rsid w:val="004567E0"/>
    <w:rsid w:val="004636A7"/>
    <w:rsid w:val="004636E6"/>
    <w:rsid w:val="004658CA"/>
    <w:rsid w:val="00465F46"/>
    <w:rsid w:val="00467529"/>
    <w:rsid w:val="0047020C"/>
    <w:rsid w:val="00474AF4"/>
    <w:rsid w:val="004807CD"/>
    <w:rsid w:val="0048080E"/>
    <w:rsid w:val="00480CF6"/>
    <w:rsid w:val="0048448F"/>
    <w:rsid w:val="0048610A"/>
    <w:rsid w:val="00486174"/>
    <w:rsid w:val="00486D66"/>
    <w:rsid w:val="0049312E"/>
    <w:rsid w:val="004935AC"/>
    <w:rsid w:val="00493A9B"/>
    <w:rsid w:val="00494096"/>
    <w:rsid w:val="004946C2"/>
    <w:rsid w:val="0049566F"/>
    <w:rsid w:val="00495D1F"/>
    <w:rsid w:val="00495D98"/>
    <w:rsid w:val="0049703D"/>
    <w:rsid w:val="00497BDB"/>
    <w:rsid w:val="004A1DB2"/>
    <w:rsid w:val="004A2A65"/>
    <w:rsid w:val="004A4AC1"/>
    <w:rsid w:val="004A4F01"/>
    <w:rsid w:val="004A5A79"/>
    <w:rsid w:val="004A6F76"/>
    <w:rsid w:val="004A767E"/>
    <w:rsid w:val="004A78C5"/>
    <w:rsid w:val="004B03F9"/>
    <w:rsid w:val="004B0A97"/>
    <w:rsid w:val="004B0F21"/>
    <w:rsid w:val="004B1C2C"/>
    <w:rsid w:val="004B29DA"/>
    <w:rsid w:val="004B5615"/>
    <w:rsid w:val="004B62F8"/>
    <w:rsid w:val="004B6632"/>
    <w:rsid w:val="004B6A98"/>
    <w:rsid w:val="004B73A1"/>
    <w:rsid w:val="004B79C7"/>
    <w:rsid w:val="004C0025"/>
    <w:rsid w:val="004C1CFC"/>
    <w:rsid w:val="004C2428"/>
    <w:rsid w:val="004C256B"/>
    <w:rsid w:val="004C3435"/>
    <w:rsid w:val="004C3FE0"/>
    <w:rsid w:val="004C4141"/>
    <w:rsid w:val="004C441A"/>
    <w:rsid w:val="004C444E"/>
    <w:rsid w:val="004C4AFD"/>
    <w:rsid w:val="004C5312"/>
    <w:rsid w:val="004C5FE5"/>
    <w:rsid w:val="004C60CB"/>
    <w:rsid w:val="004C7A21"/>
    <w:rsid w:val="004C7E4B"/>
    <w:rsid w:val="004D3661"/>
    <w:rsid w:val="004D3A8A"/>
    <w:rsid w:val="004D3FB0"/>
    <w:rsid w:val="004D5298"/>
    <w:rsid w:val="004D5B8B"/>
    <w:rsid w:val="004D6A09"/>
    <w:rsid w:val="004D7253"/>
    <w:rsid w:val="004D7570"/>
    <w:rsid w:val="004E1924"/>
    <w:rsid w:val="004E1FA8"/>
    <w:rsid w:val="004E5239"/>
    <w:rsid w:val="004E6FE3"/>
    <w:rsid w:val="004E710A"/>
    <w:rsid w:val="004E7B45"/>
    <w:rsid w:val="004F166C"/>
    <w:rsid w:val="004F2424"/>
    <w:rsid w:val="00501FBE"/>
    <w:rsid w:val="0050471A"/>
    <w:rsid w:val="0050687E"/>
    <w:rsid w:val="005070DC"/>
    <w:rsid w:val="00507139"/>
    <w:rsid w:val="00514056"/>
    <w:rsid w:val="005153B1"/>
    <w:rsid w:val="005173C7"/>
    <w:rsid w:val="0051754D"/>
    <w:rsid w:val="00523229"/>
    <w:rsid w:val="00524DD7"/>
    <w:rsid w:val="00524E86"/>
    <w:rsid w:val="00526010"/>
    <w:rsid w:val="005310E1"/>
    <w:rsid w:val="00533AFF"/>
    <w:rsid w:val="00534026"/>
    <w:rsid w:val="0053526F"/>
    <w:rsid w:val="005358C2"/>
    <w:rsid w:val="00535A2D"/>
    <w:rsid w:val="00536F9A"/>
    <w:rsid w:val="005370DB"/>
    <w:rsid w:val="0054308E"/>
    <w:rsid w:val="00543DF6"/>
    <w:rsid w:val="005460DE"/>
    <w:rsid w:val="005469F4"/>
    <w:rsid w:val="00546A94"/>
    <w:rsid w:val="005513F0"/>
    <w:rsid w:val="00552639"/>
    <w:rsid w:val="00552B5A"/>
    <w:rsid w:val="005531A8"/>
    <w:rsid w:val="005557EB"/>
    <w:rsid w:val="0055586C"/>
    <w:rsid w:val="00556664"/>
    <w:rsid w:val="00560172"/>
    <w:rsid w:val="005605F3"/>
    <w:rsid w:val="00561E94"/>
    <w:rsid w:val="005624DE"/>
    <w:rsid w:val="00562C14"/>
    <w:rsid w:val="00563AAF"/>
    <w:rsid w:val="0056407C"/>
    <w:rsid w:val="00564B74"/>
    <w:rsid w:val="00564BF0"/>
    <w:rsid w:val="00564EBB"/>
    <w:rsid w:val="00566E5E"/>
    <w:rsid w:val="00570A04"/>
    <w:rsid w:val="00570B7A"/>
    <w:rsid w:val="0057392C"/>
    <w:rsid w:val="0057393B"/>
    <w:rsid w:val="00575354"/>
    <w:rsid w:val="005774AE"/>
    <w:rsid w:val="005822E4"/>
    <w:rsid w:val="00584EBE"/>
    <w:rsid w:val="0058740F"/>
    <w:rsid w:val="00587673"/>
    <w:rsid w:val="00587EDE"/>
    <w:rsid w:val="005901D9"/>
    <w:rsid w:val="005948AF"/>
    <w:rsid w:val="005955D5"/>
    <w:rsid w:val="00595E0C"/>
    <w:rsid w:val="0059658E"/>
    <w:rsid w:val="00596856"/>
    <w:rsid w:val="00596AF5"/>
    <w:rsid w:val="00597AB1"/>
    <w:rsid w:val="00597F94"/>
    <w:rsid w:val="005A0FC3"/>
    <w:rsid w:val="005A2747"/>
    <w:rsid w:val="005A29D8"/>
    <w:rsid w:val="005A51AC"/>
    <w:rsid w:val="005A5A62"/>
    <w:rsid w:val="005A5EE5"/>
    <w:rsid w:val="005B00F1"/>
    <w:rsid w:val="005B017C"/>
    <w:rsid w:val="005B0C26"/>
    <w:rsid w:val="005B1569"/>
    <w:rsid w:val="005B15B4"/>
    <w:rsid w:val="005B2597"/>
    <w:rsid w:val="005B2BB2"/>
    <w:rsid w:val="005B443C"/>
    <w:rsid w:val="005C0151"/>
    <w:rsid w:val="005C1732"/>
    <w:rsid w:val="005C3759"/>
    <w:rsid w:val="005C44D8"/>
    <w:rsid w:val="005C597F"/>
    <w:rsid w:val="005C617E"/>
    <w:rsid w:val="005C658A"/>
    <w:rsid w:val="005C6E7A"/>
    <w:rsid w:val="005C7981"/>
    <w:rsid w:val="005D0A94"/>
    <w:rsid w:val="005D0BB8"/>
    <w:rsid w:val="005D3373"/>
    <w:rsid w:val="005D3975"/>
    <w:rsid w:val="005D3BD6"/>
    <w:rsid w:val="005D4C1D"/>
    <w:rsid w:val="005D518A"/>
    <w:rsid w:val="005D596E"/>
    <w:rsid w:val="005E08A5"/>
    <w:rsid w:val="005E095A"/>
    <w:rsid w:val="005E40D1"/>
    <w:rsid w:val="005E42E1"/>
    <w:rsid w:val="005E469C"/>
    <w:rsid w:val="005E47BC"/>
    <w:rsid w:val="005E4C28"/>
    <w:rsid w:val="005E51E0"/>
    <w:rsid w:val="005E6CCB"/>
    <w:rsid w:val="005E77B3"/>
    <w:rsid w:val="005E7E44"/>
    <w:rsid w:val="005F037C"/>
    <w:rsid w:val="005F04D4"/>
    <w:rsid w:val="005F29D2"/>
    <w:rsid w:val="005F4BC2"/>
    <w:rsid w:val="005F63DE"/>
    <w:rsid w:val="00600321"/>
    <w:rsid w:val="00601F1D"/>
    <w:rsid w:val="00601F41"/>
    <w:rsid w:val="006037FD"/>
    <w:rsid w:val="00604E3A"/>
    <w:rsid w:val="00607E46"/>
    <w:rsid w:val="0061002F"/>
    <w:rsid w:val="00610A95"/>
    <w:rsid w:val="00612F8B"/>
    <w:rsid w:val="00614D15"/>
    <w:rsid w:val="00615941"/>
    <w:rsid w:val="00615A7E"/>
    <w:rsid w:val="00615D97"/>
    <w:rsid w:val="006177DE"/>
    <w:rsid w:val="00617D3F"/>
    <w:rsid w:val="006200AF"/>
    <w:rsid w:val="00620906"/>
    <w:rsid w:val="0062094D"/>
    <w:rsid w:val="0062127D"/>
    <w:rsid w:val="006227EE"/>
    <w:rsid w:val="006236EE"/>
    <w:rsid w:val="00623E92"/>
    <w:rsid w:val="00625321"/>
    <w:rsid w:val="00625E96"/>
    <w:rsid w:val="0062641D"/>
    <w:rsid w:val="0062789E"/>
    <w:rsid w:val="006301CD"/>
    <w:rsid w:val="00631B42"/>
    <w:rsid w:val="00633FD5"/>
    <w:rsid w:val="0063553E"/>
    <w:rsid w:val="00640EC3"/>
    <w:rsid w:val="006415D0"/>
    <w:rsid w:val="0064170A"/>
    <w:rsid w:val="00641B3E"/>
    <w:rsid w:val="0064340A"/>
    <w:rsid w:val="006436BF"/>
    <w:rsid w:val="006448B5"/>
    <w:rsid w:val="006449D0"/>
    <w:rsid w:val="00644BD8"/>
    <w:rsid w:val="00646F0C"/>
    <w:rsid w:val="00647158"/>
    <w:rsid w:val="00650197"/>
    <w:rsid w:val="006522B3"/>
    <w:rsid w:val="006523E2"/>
    <w:rsid w:val="00653C01"/>
    <w:rsid w:val="006540A8"/>
    <w:rsid w:val="00654361"/>
    <w:rsid w:val="006551B2"/>
    <w:rsid w:val="0065722A"/>
    <w:rsid w:val="00660AC2"/>
    <w:rsid w:val="006621B4"/>
    <w:rsid w:val="00662A8A"/>
    <w:rsid w:val="006659A3"/>
    <w:rsid w:val="0066664E"/>
    <w:rsid w:val="00666848"/>
    <w:rsid w:val="00670F3A"/>
    <w:rsid w:val="006744F2"/>
    <w:rsid w:val="00676DEE"/>
    <w:rsid w:val="00677219"/>
    <w:rsid w:val="00677A29"/>
    <w:rsid w:val="00680A07"/>
    <w:rsid w:val="00683238"/>
    <w:rsid w:val="00684598"/>
    <w:rsid w:val="00684A9E"/>
    <w:rsid w:val="00684B00"/>
    <w:rsid w:val="006861DC"/>
    <w:rsid w:val="00686C41"/>
    <w:rsid w:val="00686C77"/>
    <w:rsid w:val="0068727E"/>
    <w:rsid w:val="00687283"/>
    <w:rsid w:val="00687856"/>
    <w:rsid w:val="00690843"/>
    <w:rsid w:val="006908DB"/>
    <w:rsid w:val="00690DEB"/>
    <w:rsid w:val="00691411"/>
    <w:rsid w:val="006921EA"/>
    <w:rsid w:val="00692656"/>
    <w:rsid w:val="00692783"/>
    <w:rsid w:val="00693793"/>
    <w:rsid w:val="00693F2E"/>
    <w:rsid w:val="0069409D"/>
    <w:rsid w:val="006950B4"/>
    <w:rsid w:val="0069530F"/>
    <w:rsid w:val="00695725"/>
    <w:rsid w:val="00695F0C"/>
    <w:rsid w:val="00696A15"/>
    <w:rsid w:val="00697326"/>
    <w:rsid w:val="006A2985"/>
    <w:rsid w:val="006A343C"/>
    <w:rsid w:val="006A5440"/>
    <w:rsid w:val="006A7091"/>
    <w:rsid w:val="006A7F7A"/>
    <w:rsid w:val="006B1964"/>
    <w:rsid w:val="006B335B"/>
    <w:rsid w:val="006C0350"/>
    <w:rsid w:val="006C17A1"/>
    <w:rsid w:val="006C1D64"/>
    <w:rsid w:val="006C25DF"/>
    <w:rsid w:val="006C5ABE"/>
    <w:rsid w:val="006C5FF0"/>
    <w:rsid w:val="006D0F70"/>
    <w:rsid w:val="006D1142"/>
    <w:rsid w:val="006D32B2"/>
    <w:rsid w:val="006D32CE"/>
    <w:rsid w:val="006D5FFF"/>
    <w:rsid w:val="006D629D"/>
    <w:rsid w:val="006D7C64"/>
    <w:rsid w:val="006E0C37"/>
    <w:rsid w:val="006E134E"/>
    <w:rsid w:val="006E1951"/>
    <w:rsid w:val="006E216A"/>
    <w:rsid w:val="006E2332"/>
    <w:rsid w:val="006E47F2"/>
    <w:rsid w:val="006E4B60"/>
    <w:rsid w:val="006E5706"/>
    <w:rsid w:val="006F2A78"/>
    <w:rsid w:val="006F2D0A"/>
    <w:rsid w:val="006F3AD3"/>
    <w:rsid w:val="0070098B"/>
    <w:rsid w:val="007010B2"/>
    <w:rsid w:val="00702245"/>
    <w:rsid w:val="00702DF3"/>
    <w:rsid w:val="0070380D"/>
    <w:rsid w:val="007038A3"/>
    <w:rsid w:val="00704558"/>
    <w:rsid w:val="00705419"/>
    <w:rsid w:val="00705DC3"/>
    <w:rsid w:val="00706AE3"/>
    <w:rsid w:val="00707DFA"/>
    <w:rsid w:val="0071229F"/>
    <w:rsid w:val="00712A22"/>
    <w:rsid w:val="00714A5E"/>
    <w:rsid w:val="00715E3F"/>
    <w:rsid w:val="0072016A"/>
    <w:rsid w:val="007212BB"/>
    <w:rsid w:val="007213B7"/>
    <w:rsid w:val="00721559"/>
    <w:rsid w:val="00721936"/>
    <w:rsid w:val="007239CD"/>
    <w:rsid w:val="0072465C"/>
    <w:rsid w:val="00724B77"/>
    <w:rsid w:val="007260F6"/>
    <w:rsid w:val="0072646F"/>
    <w:rsid w:val="00727733"/>
    <w:rsid w:val="0072776A"/>
    <w:rsid w:val="00727C37"/>
    <w:rsid w:val="007303FA"/>
    <w:rsid w:val="00730EA8"/>
    <w:rsid w:val="00731E92"/>
    <w:rsid w:val="0073348A"/>
    <w:rsid w:val="007337AA"/>
    <w:rsid w:val="007365E6"/>
    <w:rsid w:val="00736A44"/>
    <w:rsid w:val="0073741E"/>
    <w:rsid w:val="00741212"/>
    <w:rsid w:val="00741C0F"/>
    <w:rsid w:val="00742CBE"/>
    <w:rsid w:val="007438B2"/>
    <w:rsid w:val="007440CE"/>
    <w:rsid w:val="00745E12"/>
    <w:rsid w:val="00750AB9"/>
    <w:rsid w:val="00753F5A"/>
    <w:rsid w:val="00754106"/>
    <w:rsid w:val="00754A04"/>
    <w:rsid w:val="007556F8"/>
    <w:rsid w:val="007571DE"/>
    <w:rsid w:val="00760861"/>
    <w:rsid w:val="007625C5"/>
    <w:rsid w:val="00764649"/>
    <w:rsid w:val="007654DB"/>
    <w:rsid w:val="00765975"/>
    <w:rsid w:val="00765C66"/>
    <w:rsid w:val="00766D69"/>
    <w:rsid w:val="00766F48"/>
    <w:rsid w:val="00767147"/>
    <w:rsid w:val="0076779C"/>
    <w:rsid w:val="007708BC"/>
    <w:rsid w:val="00771CC2"/>
    <w:rsid w:val="00771DBF"/>
    <w:rsid w:val="00771EEE"/>
    <w:rsid w:val="007723F4"/>
    <w:rsid w:val="007729EE"/>
    <w:rsid w:val="00776502"/>
    <w:rsid w:val="0077674D"/>
    <w:rsid w:val="00777196"/>
    <w:rsid w:val="00780668"/>
    <w:rsid w:val="007806C2"/>
    <w:rsid w:val="00782378"/>
    <w:rsid w:val="00785268"/>
    <w:rsid w:val="007855A3"/>
    <w:rsid w:val="00785720"/>
    <w:rsid w:val="00785E12"/>
    <w:rsid w:val="0078644E"/>
    <w:rsid w:val="00787FDF"/>
    <w:rsid w:val="0079136A"/>
    <w:rsid w:val="007916B8"/>
    <w:rsid w:val="00791E0E"/>
    <w:rsid w:val="00792CA8"/>
    <w:rsid w:val="00792E99"/>
    <w:rsid w:val="00795C8D"/>
    <w:rsid w:val="00795F46"/>
    <w:rsid w:val="007965C7"/>
    <w:rsid w:val="007972E5"/>
    <w:rsid w:val="007976F4"/>
    <w:rsid w:val="007A0074"/>
    <w:rsid w:val="007A26C9"/>
    <w:rsid w:val="007A33E2"/>
    <w:rsid w:val="007A366B"/>
    <w:rsid w:val="007A432E"/>
    <w:rsid w:val="007A4E8A"/>
    <w:rsid w:val="007A61AA"/>
    <w:rsid w:val="007A7579"/>
    <w:rsid w:val="007A7923"/>
    <w:rsid w:val="007A7BBD"/>
    <w:rsid w:val="007B14C3"/>
    <w:rsid w:val="007B5CD5"/>
    <w:rsid w:val="007B6541"/>
    <w:rsid w:val="007B6DF4"/>
    <w:rsid w:val="007B7097"/>
    <w:rsid w:val="007C0C27"/>
    <w:rsid w:val="007D0963"/>
    <w:rsid w:val="007D0A32"/>
    <w:rsid w:val="007D1AD8"/>
    <w:rsid w:val="007D52A0"/>
    <w:rsid w:val="007D668E"/>
    <w:rsid w:val="007D6994"/>
    <w:rsid w:val="007D780B"/>
    <w:rsid w:val="007E14E6"/>
    <w:rsid w:val="007E3844"/>
    <w:rsid w:val="007E4136"/>
    <w:rsid w:val="007E6645"/>
    <w:rsid w:val="007E7FEF"/>
    <w:rsid w:val="007F34EF"/>
    <w:rsid w:val="007F3646"/>
    <w:rsid w:val="007F4E5A"/>
    <w:rsid w:val="00801166"/>
    <w:rsid w:val="0080239C"/>
    <w:rsid w:val="00802589"/>
    <w:rsid w:val="008028A3"/>
    <w:rsid w:val="00802FB9"/>
    <w:rsid w:val="00803649"/>
    <w:rsid w:val="00803B1E"/>
    <w:rsid w:val="00804144"/>
    <w:rsid w:val="00804528"/>
    <w:rsid w:val="0080649E"/>
    <w:rsid w:val="00806BEF"/>
    <w:rsid w:val="008072E8"/>
    <w:rsid w:val="00807AA5"/>
    <w:rsid w:val="00807C41"/>
    <w:rsid w:val="00810517"/>
    <w:rsid w:val="00810566"/>
    <w:rsid w:val="0081085C"/>
    <w:rsid w:val="008121E5"/>
    <w:rsid w:val="00816E60"/>
    <w:rsid w:val="008201FC"/>
    <w:rsid w:val="0082046E"/>
    <w:rsid w:val="00820E3C"/>
    <w:rsid w:val="00821778"/>
    <w:rsid w:val="008242D5"/>
    <w:rsid w:val="008243F8"/>
    <w:rsid w:val="00825205"/>
    <w:rsid w:val="0082566B"/>
    <w:rsid w:val="00825CA7"/>
    <w:rsid w:val="008275F2"/>
    <w:rsid w:val="008302F7"/>
    <w:rsid w:val="00830A36"/>
    <w:rsid w:val="00831871"/>
    <w:rsid w:val="00833D48"/>
    <w:rsid w:val="008340FC"/>
    <w:rsid w:val="00834D68"/>
    <w:rsid w:val="00840195"/>
    <w:rsid w:val="0084172F"/>
    <w:rsid w:val="00842418"/>
    <w:rsid w:val="008434B6"/>
    <w:rsid w:val="00845D28"/>
    <w:rsid w:val="00846A12"/>
    <w:rsid w:val="00846D28"/>
    <w:rsid w:val="00846E3B"/>
    <w:rsid w:val="00847631"/>
    <w:rsid w:val="00847DE5"/>
    <w:rsid w:val="00851C2B"/>
    <w:rsid w:val="00852D30"/>
    <w:rsid w:val="00852FD2"/>
    <w:rsid w:val="00853529"/>
    <w:rsid w:val="00853D51"/>
    <w:rsid w:val="00860525"/>
    <w:rsid w:val="0086280E"/>
    <w:rsid w:val="008628C2"/>
    <w:rsid w:val="00862EAE"/>
    <w:rsid w:val="0086379C"/>
    <w:rsid w:val="00865340"/>
    <w:rsid w:val="00865885"/>
    <w:rsid w:val="00865BAD"/>
    <w:rsid w:val="00867B57"/>
    <w:rsid w:val="00870F5E"/>
    <w:rsid w:val="00872FCF"/>
    <w:rsid w:val="00873783"/>
    <w:rsid w:val="00874C2F"/>
    <w:rsid w:val="00875787"/>
    <w:rsid w:val="00881220"/>
    <w:rsid w:val="008818BB"/>
    <w:rsid w:val="00881ED7"/>
    <w:rsid w:val="0088261B"/>
    <w:rsid w:val="00882699"/>
    <w:rsid w:val="00883B62"/>
    <w:rsid w:val="008848A2"/>
    <w:rsid w:val="00885A2E"/>
    <w:rsid w:val="00886304"/>
    <w:rsid w:val="00887328"/>
    <w:rsid w:val="00887362"/>
    <w:rsid w:val="00887BD2"/>
    <w:rsid w:val="00887DA5"/>
    <w:rsid w:val="00891B76"/>
    <w:rsid w:val="00893FA4"/>
    <w:rsid w:val="00894E3A"/>
    <w:rsid w:val="00895ED3"/>
    <w:rsid w:val="00896279"/>
    <w:rsid w:val="00896777"/>
    <w:rsid w:val="00897CB6"/>
    <w:rsid w:val="008A0696"/>
    <w:rsid w:val="008A0A19"/>
    <w:rsid w:val="008A1A50"/>
    <w:rsid w:val="008A275F"/>
    <w:rsid w:val="008A362B"/>
    <w:rsid w:val="008A60ED"/>
    <w:rsid w:val="008A6204"/>
    <w:rsid w:val="008A6745"/>
    <w:rsid w:val="008A68AE"/>
    <w:rsid w:val="008A6CC6"/>
    <w:rsid w:val="008A7FE8"/>
    <w:rsid w:val="008B0D6A"/>
    <w:rsid w:val="008B1014"/>
    <w:rsid w:val="008B181D"/>
    <w:rsid w:val="008B423F"/>
    <w:rsid w:val="008B45E9"/>
    <w:rsid w:val="008B5C53"/>
    <w:rsid w:val="008C12F8"/>
    <w:rsid w:val="008C1BE4"/>
    <w:rsid w:val="008C1E57"/>
    <w:rsid w:val="008C28EC"/>
    <w:rsid w:val="008C2EF4"/>
    <w:rsid w:val="008C3930"/>
    <w:rsid w:val="008C3E32"/>
    <w:rsid w:val="008C4F81"/>
    <w:rsid w:val="008C54C5"/>
    <w:rsid w:val="008C6B79"/>
    <w:rsid w:val="008C71A9"/>
    <w:rsid w:val="008C75B1"/>
    <w:rsid w:val="008D0493"/>
    <w:rsid w:val="008D0F0F"/>
    <w:rsid w:val="008D18ED"/>
    <w:rsid w:val="008D1EE6"/>
    <w:rsid w:val="008D36DF"/>
    <w:rsid w:val="008D3BC5"/>
    <w:rsid w:val="008D3BE3"/>
    <w:rsid w:val="008D4299"/>
    <w:rsid w:val="008D4328"/>
    <w:rsid w:val="008D4816"/>
    <w:rsid w:val="008D4A97"/>
    <w:rsid w:val="008D55C3"/>
    <w:rsid w:val="008D5BAD"/>
    <w:rsid w:val="008D707B"/>
    <w:rsid w:val="008E07CD"/>
    <w:rsid w:val="008E0DE0"/>
    <w:rsid w:val="008E19C8"/>
    <w:rsid w:val="008E1D7A"/>
    <w:rsid w:val="008E1FA1"/>
    <w:rsid w:val="008E217E"/>
    <w:rsid w:val="008E21C2"/>
    <w:rsid w:val="008E314F"/>
    <w:rsid w:val="008E3D05"/>
    <w:rsid w:val="008E44B5"/>
    <w:rsid w:val="008E46D7"/>
    <w:rsid w:val="008E54C7"/>
    <w:rsid w:val="008E57C9"/>
    <w:rsid w:val="008E5BBE"/>
    <w:rsid w:val="008F055A"/>
    <w:rsid w:val="008F09D7"/>
    <w:rsid w:val="008F0B19"/>
    <w:rsid w:val="008F172A"/>
    <w:rsid w:val="008F2366"/>
    <w:rsid w:val="008F3B68"/>
    <w:rsid w:val="008F5174"/>
    <w:rsid w:val="008F55BF"/>
    <w:rsid w:val="0090041C"/>
    <w:rsid w:val="009029B2"/>
    <w:rsid w:val="00903182"/>
    <w:rsid w:val="009035BF"/>
    <w:rsid w:val="00906723"/>
    <w:rsid w:val="00906F9C"/>
    <w:rsid w:val="00910A13"/>
    <w:rsid w:val="00911BB4"/>
    <w:rsid w:val="009137BE"/>
    <w:rsid w:val="00913F0F"/>
    <w:rsid w:val="0091419E"/>
    <w:rsid w:val="00915421"/>
    <w:rsid w:val="00916229"/>
    <w:rsid w:val="0091657F"/>
    <w:rsid w:val="009206CE"/>
    <w:rsid w:val="00921A35"/>
    <w:rsid w:val="009224D8"/>
    <w:rsid w:val="00923240"/>
    <w:rsid w:val="009233B3"/>
    <w:rsid w:val="00924FE3"/>
    <w:rsid w:val="00926500"/>
    <w:rsid w:val="00926B0E"/>
    <w:rsid w:val="00926BDC"/>
    <w:rsid w:val="009279E3"/>
    <w:rsid w:val="00930D98"/>
    <w:rsid w:val="00931DC6"/>
    <w:rsid w:val="0093343B"/>
    <w:rsid w:val="009346A9"/>
    <w:rsid w:val="00934FED"/>
    <w:rsid w:val="0093683B"/>
    <w:rsid w:val="00936E8A"/>
    <w:rsid w:val="00937E22"/>
    <w:rsid w:val="00940231"/>
    <w:rsid w:val="00940275"/>
    <w:rsid w:val="009407C4"/>
    <w:rsid w:val="00943F01"/>
    <w:rsid w:val="00945612"/>
    <w:rsid w:val="00946338"/>
    <w:rsid w:val="00952253"/>
    <w:rsid w:val="009522DE"/>
    <w:rsid w:val="0095288B"/>
    <w:rsid w:val="00952FAF"/>
    <w:rsid w:val="00953ECD"/>
    <w:rsid w:val="00954F3E"/>
    <w:rsid w:val="00960C77"/>
    <w:rsid w:val="00962B0F"/>
    <w:rsid w:val="00963A8C"/>
    <w:rsid w:val="0096406F"/>
    <w:rsid w:val="0096744A"/>
    <w:rsid w:val="00970B54"/>
    <w:rsid w:val="009711A7"/>
    <w:rsid w:val="00971BEA"/>
    <w:rsid w:val="009762AD"/>
    <w:rsid w:val="009772B8"/>
    <w:rsid w:val="00977B04"/>
    <w:rsid w:val="00980944"/>
    <w:rsid w:val="00980EDB"/>
    <w:rsid w:val="009815AC"/>
    <w:rsid w:val="00981991"/>
    <w:rsid w:val="0098261F"/>
    <w:rsid w:val="0098264A"/>
    <w:rsid w:val="009835E3"/>
    <w:rsid w:val="009842A9"/>
    <w:rsid w:val="00986B4C"/>
    <w:rsid w:val="0098726B"/>
    <w:rsid w:val="0099040C"/>
    <w:rsid w:val="0099088B"/>
    <w:rsid w:val="00992670"/>
    <w:rsid w:val="009928E9"/>
    <w:rsid w:val="00992AC9"/>
    <w:rsid w:val="00995F4E"/>
    <w:rsid w:val="00996580"/>
    <w:rsid w:val="009975D6"/>
    <w:rsid w:val="009A06E1"/>
    <w:rsid w:val="009A64B4"/>
    <w:rsid w:val="009A72E9"/>
    <w:rsid w:val="009B05EB"/>
    <w:rsid w:val="009B0FC7"/>
    <w:rsid w:val="009B2697"/>
    <w:rsid w:val="009B42D9"/>
    <w:rsid w:val="009B507B"/>
    <w:rsid w:val="009B6583"/>
    <w:rsid w:val="009B6F9B"/>
    <w:rsid w:val="009C2B04"/>
    <w:rsid w:val="009C38D8"/>
    <w:rsid w:val="009D09DE"/>
    <w:rsid w:val="009D2ED2"/>
    <w:rsid w:val="009D3128"/>
    <w:rsid w:val="009D6FE2"/>
    <w:rsid w:val="009D7CDE"/>
    <w:rsid w:val="009E02E7"/>
    <w:rsid w:val="009E1372"/>
    <w:rsid w:val="009E4853"/>
    <w:rsid w:val="009E53CC"/>
    <w:rsid w:val="009E5412"/>
    <w:rsid w:val="009E7A9D"/>
    <w:rsid w:val="009F2820"/>
    <w:rsid w:val="009F35A0"/>
    <w:rsid w:val="009F35C5"/>
    <w:rsid w:val="009F5BFB"/>
    <w:rsid w:val="009F6039"/>
    <w:rsid w:val="009F6283"/>
    <w:rsid w:val="009F7544"/>
    <w:rsid w:val="009F7F00"/>
    <w:rsid w:val="00A00257"/>
    <w:rsid w:val="00A01CF3"/>
    <w:rsid w:val="00A02602"/>
    <w:rsid w:val="00A02964"/>
    <w:rsid w:val="00A03E11"/>
    <w:rsid w:val="00A0524B"/>
    <w:rsid w:val="00A0560D"/>
    <w:rsid w:val="00A058BF"/>
    <w:rsid w:val="00A0625C"/>
    <w:rsid w:val="00A11490"/>
    <w:rsid w:val="00A118E5"/>
    <w:rsid w:val="00A1190A"/>
    <w:rsid w:val="00A11D45"/>
    <w:rsid w:val="00A1203C"/>
    <w:rsid w:val="00A12317"/>
    <w:rsid w:val="00A12912"/>
    <w:rsid w:val="00A155B7"/>
    <w:rsid w:val="00A15816"/>
    <w:rsid w:val="00A158C2"/>
    <w:rsid w:val="00A167F4"/>
    <w:rsid w:val="00A1766D"/>
    <w:rsid w:val="00A21AA0"/>
    <w:rsid w:val="00A2476E"/>
    <w:rsid w:val="00A2667A"/>
    <w:rsid w:val="00A30945"/>
    <w:rsid w:val="00A30C80"/>
    <w:rsid w:val="00A318CF"/>
    <w:rsid w:val="00A3472E"/>
    <w:rsid w:val="00A34952"/>
    <w:rsid w:val="00A34DD6"/>
    <w:rsid w:val="00A36519"/>
    <w:rsid w:val="00A366E8"/>
    <w:rsid w:val="00A374C5"/>
    <w:rsid w:val="00A4013A"/>
    <w:rsid w:val="00A43B7C"/>
    <w:rsid w:val="00A4548B"/>
    <w:rsid w:val="00A45793"/>
    <w:rsid w:val="00A475FC"/>
    <w:rsid w:val="00A50F3E"/>
    <w:rsid w:val="00A52216"/>
    <w:rsid w:val="00A54027"/>
    <w:rsid w:val="00A54C00"/>
    <w:rsid w:val="00A5554F"/>
    <w:rsid w:val="00A55A11"/>
    <w:rsid w:val="00A5639B"/>
    <w:rsid w:val="00A5650B"/>
    <w:rsid w:val="00A566F4"/>
    <w:rsid w:val="00A56B81"/>
    <w:rsid w:val="00A5781E"/>
    <w:rsid w:val="00A57C6C"/>
    <w:rsid w:val="00A6245F"/>
    <w:rsid w:val="00A63EF4"/>
    <w:rsid w:val="00A64A79"/>
    <w:rsid w:val="00A6551E"/>
    <w:rsid w:val="00A65839"/>
    <w:rsid w:val="00A660F1"/>
    <w:rsid w:val="00A701F0"/>
    <w:rsid w:val="00A70525"/>
    <w:rsid w:val="00A721B9"/>
    <w:rsid w:val="00A74CD9"/>
    <w:rsid w:val="00A77B50"/>
    <w:rsid w:val="00A81364"/>
    <w:rsid w:val="00A82009"/>
    <w:rsid w:val="00A838D3"/>
    <w:rsid w:val="00A844F2"/>
    <w:rsid w:val="00A849EF"/>
    <w:rsid w:val="00A87A23"/>
    <w:rsid w:val="00A87EAE"/>
    <w:rsid w:val="00A90340"/>
    <w:rsid w:val="00A9067D"/>
    <w:rsid w:val="00A90900"/>
    <w:rsid w:val="00A90D81"/>
    <w:rsid w:val="00A918A3"/>
    <w:rsid w:val="00A94E7D"/>
    <w:rsid w:val="00A95FD0"/>
    <w:rsid w:val="00A95FDB"/>
    <w:rsid w:val="00A96305"/>
    <w:rsid w:val="00AA345C"/>
    <w:rsid w:val="00AA3550"/>
    <w:rsid w:val="00AA5B3A"/>
    <w:rsid w:val="00AB0F78"/>
    <w:rsid w:val="00AB1B55"/>
    <w:rsid w:val="00AB3958"/>
    <w:rsid w:val="00AB40F4"/>
    <w:rsid w:val="00AB48C0"/>
    <w:rsid w:val="00AB71D5"/>
    <w:rsid w:val="00AB7C7B"/>
    <w:rsid w:val="00AC0CBC"/>
    <w:rsid w:val="00AC1A7D"/>
    <w:rsid w:val="00AC1B88"/>
    <w:rsid w:val="00AC1D79"/>
    <w:rsid w:val="00AC209F"/>
    <w:rsid w:val="00AC4068"/>
    <w:rsid w:val="00AC5364"/>
    <w:rsid w:val="00AC7824"/>
    <w:rsid w:val="00AD03AE"/>
    <w:rsid w:val="00AD05CF"/>
    <w:rsid w:val="00AD0F95"/>
    <w:rsid w:val="00AD11EF"/>
    <w:rsid w:val="00AD1B07"/>
    <w:rsid w:val="00AD3CB6"/>
    <w:rsid w:val="00AD4001"/>
    <w:rsid w:val="00AD470D"/>
    <w:rsid w:val="00AD5FC5"/>
    <w:rsid w:val="00AD7FBA"/>
    <w:rsid w:val="00AE1AF7"/>
    <w:rsid w:val="00AE3B6D"/>
    <w:rsid w:val="00AE4484"/>
    <w:rsid w:val="00AE478F"/>
    <w:rsid w:val="00AE5122"/>
    <w:rsid w:val="00AE65E9"/>
    <w:rsid w:val="00AE6CD7"/>
    <w:rsid w:val="00AE736F"/>
    <w:rsid w:val="00AE7DE6"/>
    <w:rsid w:val="00AF21A7"/>
    <w:rsid w:val="00AF2F44"/>
    <w:rsid w:val="00AF4257"/>
    <w:rsid w:val="00AF43AC"/>
    <w:rsid w:val="00AF4E31"/>
    <w:rsid w:val="00AF5354"/>
    <w:rsid w:val="00AF6688"/>
    <w:rsid w:val="00B00832"/>
    <w:rsid w:val="00B014C2"/>
    <w:rsid w:val="00B02E3F"/>
    <w:rsid w:val="00B0485D"/>
    <w:rsid w:val="00B0657A"/>
    <w:rsid w:val="00B07B75"/>
    <w:rsid w:val="00B10C6F"/>
    <w:rsid w:val="00B10CE7"/>
    <w:rsid w:val="00B10F50"/>
    <w:rsid w:val="00B117F3"/>
    <w:rsid w:val="00B11F87"/>
    <w:rsid w:val="00B15DCA"/>
    <w:rsid w:val="00B166CF"/>
    <w:rsid w:val="00B17C77"/>
    <w:rsid w:val="00B20A19"/>
    <w:rsid w:val="00B20C61"/>
    <w:rsid w:val="00B22B88"/>
    <w:rsid w:val="00B23F1D"/>
    <w:rsid w:val="00B25F88"/>
    <w:rsid w:val="00B27A47"/>
    <w:rsid w:val="00B30377"/>
    <w:rsid w:val="00B324B7"/>
    <w:rsid w:val="00B33F72"/>
    <w:rsid w:val="00B34419"/>
    <w:rsid w:val="00B40CA3"/>
    <w:rsid w:val="00B41398"/>
    <w:rsid w:val="00B43215"/>
    <w:rsid w:val="00B4454B"/>
    <w:rsid w:val="00B45440"/>
    <w:rsid w:val="00B45575"/>
    <w:rsid w:val="00B50BAA"/>
    <w:rsid w:val="00B51613"/>
    <w:rsid w:val="00B51687"/>
    <w:rsid w:val="00B51E52"/>
    <w:rsid w:val="00B52F61"/>
    <w:rsid w:val="00B52FDE"/>
    <w:rsid w:val="00B550A8"/>
    <w:rsid w:val="00B55D6F"/>
    <w:rsid w:val="00B5619E"/>
    <w:rsid w:val="00B57439"/>
    <w:rsid w:val="00B57870"/>
    <w:rsid w:val="00B608BE"/>
    <w:rsid w:val="00B613BB"/>
    <w:rsid w:val="00B631E2"/>
    <w:rsid w:val="00B64CD7"/>
    <w:rsid w:val="00B6521E"/>
    <w:rsid w:val="00B675D6"/>
    <w:rsid w:val="00B703CC"/>
    <w:rsid w:val="00B70EDE"/>
    <w:rsid w:val="00B72083"/>
    <w:rsid w:val="00B725A6"/>
    <w:rsid w:val="00B74405"/>
    <w:rsid w:val="00B74895"/>
    <w:rsid w:val="00B774C7"/>
    <w:rsid w:val="00B77E42"/>
    <w:rsid w:val="00B825B0"/>
    <w:rsid w:val="00B82949"/>
    <w:rsid w:val="00B829A5"/>
    <w:rsid w:val="00B82EE6"/>
    <w:rsid w:val="00B82F37"/>
    <w:rsid w:val="00B83AF3"/>
    <w:rsid w:val="00B87000"/>
    <w:rsid w:val="00B91607"/>
    <w:rsid w:val="00B95C98"/>
    <w:rsid w:val="00B97094"/>
    <w:rsid w:val="00BA02ED"/>
    <w:rsid w:val="00BA15E0"/>
    <w:rsid w:val="00BA1A41"/>
    <w:rsid w:val="00BA1F05"/>
    <w:rsid w:val="00BA2300"/>
    <w:rsid w:val="00BA27AD"/>
    <w:rsid w:val="00BA397D"/>
    <w:rsid w:val="00BA3C27"/>
    <w:rsid w:val="00BA4796"/>
    <w:rsid w:val="00BA4BE4"/>
    <w:rsid w:val="00BA50B3"/>
    <w:rsid w:val="00BA5582"/>
    <w:rsid w:val="00BA5967"/>
    <w:rsid w:val="00BA6AE3"/>
    <w:rsid w:val="00BA710C"/>
    <w:rsid w:val="00BB008A"/>
    <w:rsid w:val="00BB0651"/>
    <w:rsid w:val="00BB0844"/>
    <w:rsid w:val="00BB0CCD"/>
    <w:rsid w:val="00BB2F3B"/>
    <w:rsid w:val="00BB4544"/>
    <w:rsid w:val="00BB6D34"/>
    <w:rsid w:val="00BC14C6"/>
    <w:rsid w:val="00BC1E08"/>
    <w:rsid w:val="00BC250E"/>
    <w:rsid w:val="00BC25A0"/>
    <w:rsid w:val="00BC4AEA"/>
    <w:rsid w:val="00BC7B91"/>
    <w:rsid w:val="00BD040E"/>
    <w:rsid w:val="00BD33AC"/>
    <w:rsid w:val="00BD41CD"/>
    <w:rsid w:val="00BD427E"/>
    <w:rsid w:val="00BD5347"/>
    <w:rsid w:val="00BD5A9B"/>
    <w:rsid w:val="00BD611E"/>
    <w:rsid w:val="00BD6483"/>
    <w:rsid w:val="00BD683F"/>
    <w:rsid w:val="00BD68CB"/>
    <w:rsid w:val="00BD7667"/>
    <w:rsid w:val="00BD78D2"/>
    <w:rsid w:val="00BE1CD3"/>
    <w:rsid w:val="00BE239F"/>
    <w:rsid w:val="00BE272F"/>
    <w:rsid w:val="00BE290C"/>
    <w:rsid w:val="00BE32DA"/>
    <w:rsid w:val="00BE3798"/>
    <w:rsid w:val="00BE3C34"/>
    <w:rsid w:val="00BE493C"/>
    <w:rsid w:val="00BE4DD3"/>
    <w:rsid w:val="00BE5B50"/>
    <w:rsid w:val="00BF038A"/>
    <w:rsid w:val="00BF041C"/>
    <w:rsid w:val="00BF0EC6"/>
    <w:rsid w:val="00BF2861"/>
    <w:rsid w:val="00BF4467"/>
    <w:rsid w:val="00BF4C93"/>
    <w:rsid w:val="00BF5F6B"/>
    <w:rsid w:val="00BF7243"/>
    <w:rsid w:val="00BF72F1"/>
    <w:rsid w:val="00C00B86"/>
    <w:rsid w:val="00C01285"/>
    <w:rsid w:val="00C01461"/>
    <w:rsid w:val="00C01B07"/>
    <w:rsid w:val="00C01E05"/>
    <w:rsid w:val="00C034DE"/>
    <w:rsid w:val="00C03F34"/>
    <w:rsid w:val="00C04CCD"/>
    <w:rsid w:val="00C06B64"/>
    <w:rsid w:val="00C0741A"/>
    <w:rsid w:val="00C10B49"/>
    <w:rsid w:val="00C11F3A"/>
    <w:rsid w:val="00C149D3"/>
    <w:rsid w:val="00C1528B"/>
    <w:rsid w:val="00C15803"/>
    <w:rsid w:val="00C15A68"/>
    <w:rsid w:val="00C17723"/>
    <w:rsid w:val="00C17ACC"/>
    <w:rsid w:val="00C17B72"/>
    <w:rsid w:val="00C20518"/>
    <w:rsid w:val="00C207B3"/>
    <w:rsid w:val="00C2093F"/>
    <w:rsid w:val="00C21047"/>
    <w:rsid w:val="00C24755"/>
    <w:rsid w:val="00C24B38"/>
    <w:rsid w:val="00C265EA"/>
    <w:rsid w:val="00C275BE"/>
    <w:rsid w:val="00C315A2"/>
    <w:rsid w:val="00C32B2F"/>
    <w:rsid w:val="00C34132"/>
    <w:rsid w:val="00C34A4E"/>
    <w:rsid w:val="00C41223"/>
    <w:rsid w:val="00C41558"/>
    <w:rsid w:val="00C42B00"/>
    <w:rsid w:val="00C45257"/>
    <w:rsid w:val="00C45EBA"/>
    <w:rsid w:val="00C45F63"/>
    <w:rsid w:val="00C513BB"/>
    <w:rsid w:val="00C540E0"/>
    <w:rsid w:val="00C55170"/>
    <w:rsid w:val="00C55A83"/>
    <w:rsid w:val="00C55B46"/>
    <w:rsid w:val="00C55BD6"/>
    <w:rsid w:val="00C57D2F"/>
    <w:rsid w:val="00C57EA7"/>
    <w:rsid w:val="00C60299"/>
    <w:rsid w:val="00C61B26"/>
    <w:rsid w:val="00C62801"/>
    <w:rsid w:val="00C64343"/>
    <w:rsid w:val="00C651E0"/>
    <w:rsid w:val="00C65E39"/>
    <w:rsid w:val="00C662EB"/>
    <w:rsid w:val="00C664D6"/>
    <w:rsid w:val="00C664F8"/>
    <w:rsid w:val="00C720C5"/>
    <w:rsid w:val="00C7245B"/>
    <w:rsid w:val="00C7256A"/>
    <w:rsid w:val="00C73FB8"/>
    <w:rsid w:val="00C74294"/>
    <w:rsid w:val="00C759D1"/>
    <w:rsid w:val="00C76D59"/>
    <w:rsid w:val="00C7755F"/>
    <w:rsid w:val="00C80DA0"/>
    <w:rsid w:val="00C816CD"/>
    <w:rsid w:val="00C817F0"/>
    <w:rsid w:val="00C83580"/>
    <w:rsid w:val="00C845B8"/>
    <w:rsid w:val="00C84D85"/>
    <w:rsid w:val="00C84E1E"/>
    <w:rsid w:val="00C870D5"/>
    <w:rsid w:val="00C87207"/>
    <w:rsid w:val="00C874AD"/>
    <w:rsid w:val="00C90FAD"/>
    <w:rsid w:val="00C921EF"/>
    <w:rsid w:val="00C9416D"/>
    <w:rsid w:val="00C965C9"/>
    <w:rsid w:val="00C96B08"/>
    <w:rsid w:val="00C972EE"/>
    <w:rsid w:val="00CA09B4"/>
    <w:rsid w:val="00CA0AD2"/>
    <w:rsid w:val="00CA1856"/>
    <w:rsid w:val="00CA19AA"/>
    <w:rsid w:val="00CA1ECC"/>
    <w:rsid w:val="00CA4073"/>
    <w:rsid w:val="00CA62E3"/>
    <w:rsid w:val="00CA6974"/>
    <w:rsid w:val="00CB11E1"/>
    <w:rsid w:val="00CB1489"/>
    <w:rsid w:val="00CB1A91"/>
    <w:rsid w:val="00CB3FE0"/>
    <w:rsid w:val="00CB4A00"/>
    <w:rsid w:val="00CB4EEA"/>
    <w:rsid w:val="00CB5222"/>
    <w:rsid w:val="00CB67FA"/>
    <w:rsid w:val="00CB6DDA"/>
    <w:rsid w:val="00CB7458"/>
    <w:rsid w:val="00CC15B4"/>
    <w:rsid w:val="00CC1EC5"/>
    <w:rsid w:val="00CC3177"/>
    <w:rsid w:val="00CC45F9"/>
    <w:rsid w:val="00CC4EA8"/>
    <w:rsid w:val="00CC6351"/>
    <w:rsid w:val="00CC76F5"/>
    <w:rsid w:val="00CD0CAD"/>
    <w:rsid w:val="00CD2D7E"/>
    <w:rsid w:val="00CD32D1"/>
    <w:rsid w:val="00CD33DF"/>
    <w:rsid w:val="00CD4B0A"/>
    <w:rsid w:val="00CD6E1A"/>
    <w:rsid w:val="00CD7D75"/>
    <w:rsid w:val="00CE26D4"/>
    <w:rsid w:val="00CE270C"/>
    <w:rsid w:val="00CE3D84"/>
    <w:rsid w:val="00CE4233"/>
    <w:rsid w:val="00CE4649"/>
    <w:rsid w:val="00CE6941"/>
    <w:rsid w:val="00CE6BA2"/>
    <w:rsid w:val="00CE766B"/>
    <w:rsid w:val="00CE7FDD"/>
    <w:rsid w:val="00CF1216"/>
    <w:rsid w:val="00CF2D69"/>
    <w:rsid w:val="00CF44D4"/>
    <w:rsid w:val="00CF4894"/>
    <w:rsid w:val="00CF52A6"/>
    <w:rsid w:val="00CF5D85"/>
    <w:rsid w:val="00D00096"/>
    <w:rsid w:val="00D01011"/>
    <w:rsid w:val="00D01242"/>
    <w:rsid w:val="00D01616"/>
    <w:rsid w:val="00D027EF"/>
    <w:rsid w:val="00D02ED0"/>
    <w:rsid w:val="00D03C29"/>
    <w:rsid w:val="00D03E60"/>
    <w:rsid w:val="00D0556C"/>
    <w:rsid w:val="00D058F8"/>
    <w:rsid w:val="00D05A81"/>
    <w:rsid w:val="00D0600A"/>
    <w:rsid w:val="00D067F7"/>
    <w:rsid w:val="00D074C8"/>
    <w:rsid w:val="00D1198C"/>
    <w:rsid w:val="00D126E8"/>
    <w:rsid w:val="00D1278D"/>
    <w:rsid w:val="00D13A59"/>
    <w:rsid w:val="00D13CD8"/>
    <w:rsid w:val="00D151BC"/>
    <w:rsid w:val="00D15F0A"/>
    <w:rsid w:val="00D167F2"/>
    <w:rsid w:val="00D171C2"/>
    <w:rsid w:val="00D178F8"/>
    <w:rsid w:val="00D22EFD"/>
    <w:rsid w:val="00D23D6E"/>
    <w:rsid w:val="00D2400F"/>
    <w:rsid w:val="00D24B77"/>
    <w:rsid w:val="00D26268"/>
    <w:rsid w:val="00D26446"/>
    <w:rsid w:val="00D26BC5"/>
    <w:rsid w:val="00D27341"/>
    <w:rsid w:val="00D2798C"/>
    <w:rsid w:val="00D30975"/>
    <w:rsid w:val="00D32719"/>
    <w:rsid w:val="00D35CD0"/>
    <w:rsid w:val="00D37074"/>
    <w:rsid w:val="00D371DF"/>
    <w:rsid w:val="00D37204"/>
    <w:rsid w:val="00D3728F"/>
    <w:rsid w:val="00D37511"/>
    <w:rsid w:val="00D40F52"/>
    <w:rsid w:val="00D419D7"/>
    <w:rsid w:val="00D43011"/>
    <w:rsid w:val="00D44366"/>
    <w:rsid w:val="00D4749F"/>
    <w:rsid w:val="00D4759C"/>
    <w:rsid w:val="00D479EF"/>
    <w:rsid w:val="00D51E0D"/>
    <w:rsid w:val="00D52E41"/>
    <w:rsid w:val="00D530E3"/>
    <w:rsid w:val="00D53568"/>
    <w:rsid w:val="00D544E6"/>
    <w:rsid w:val="00D55B8B"/>
    <w:rsid w:val="00D56185"/>
    <w:rsid w:val="00D60612"/>
    <w:rsid w:val="00D646BA"/>
    <w:rsid w:val="00D64DAB"/>
    <w:rsid w:val="00D6559B"/>
    <w:rsid w:val="00D65782"/>
    <w:rsid w:val="00D65DB4"/>
    <w:rsid w:val="00D66587"/>
    <w:rsid w:val="00D67CEC"/>
    <w:rsid w:val="00D7013E"/>
    <w:rsid w:val="00D70894"/>
    <w:rsid w:val="00D70B61"/>
    <w:rsid w:val="00D74062"/>
    <w:rsid w:val="00D762B5"/>
    <w:rsid w:val="00D76C06"/>
    <w:rsid w:val="00D81998"/>
    <w:rsid w:val="00D81BC2"/>
    <w:rsid w:val="00D84111"/>
    <w:rsid w:val="00D84716"/>
    <w:rsid w:val="00D84E0D"/>
    <w:rsid w:val="00D868BE"/>
    <w:rsid w:val="00D87145"/>
    <w:rsid w:val="00D91A12"/>
    <w:rsid w:val="00D928D7"/>
    <w:rsid w:val="00D93C82"/>
    <w:rsid w:val="00D9574D"/>
    <w:rsid w:val="00D9634A"/>
    <w:rsid w:val="00D9670E"/>
    <w:rsid w:val="00D96918"/>
    <w:rsid w:val="00DA2477"/>
    <w:rsid w:val="00DA5629"/>
    <w:rsid w:val="00DA6022"/>
    <w:rsid w:val="00DA64CB"/>
    <w:rsid w:val="00DA6D6B"/>
    <w:rsid w:val="00DA6ED5"/>
    <w:rsid w:val="00DA73BC"/>
    <w:rsid w:val="00DA7903"/>
    <w:rsid w:val="00DA7D16"/>
    <w:rsid w:val="00DB0DA0"/>
    <w:rsid w:val="00DB1518"/>
    <w:rsid w:val="00DB3328"/>
    <w:rsid w:val="00DB4C45"/>
    <w:rsid w:val="00DB6862"/>
    <w:rsid w:val="00DB6C83"/>
    <w:rsid w:val="00DC05AF"/>
    <w:rsid w:val="00DC1567"/>
    <w:rsid w:val="00DC364B"/>
    <w:rsid w:val="00DD22C3"/>
    <w:rsid w:val="00DD2518"/>
    <w:rsid w:val="00DD3317"/>
    <w:rsid w:val="00DD43BA"/>
    <w:rsid w:val="00DD6BD4"/>
    <w:rsid w:val="00DD7075"/>
    <w:rsid w:val="00DE10E9"/>
    <w:rsid w:val="00DE49CE"/>
    <w:rsid w:val="00DE7E15"/>
    <w:rsid w:val="00DF036E"/>
    <w:rsid w:val="00DF094C"/>
    <w:rsid w:val="00DF0BB7"/>
    <w:rsid w:val="00DF0C5A"/>
    <w:rsid w:val="00DF2C16"/>
    <w:rsid w:val="00DF30BA"/>
    <w:rsid w:val="00DF42A1"/>
    <w:rsid w:val="00DF5012"/>
    <w:rsid w:val="00DF5937"/>
    <w:rsid w:val="00DF66E5"/>
    <w:rsid w:val="00E028B4"/>
    <w:rsid w:val="00E02E23"/>
    <w:rsid w:val="00E03E5C"/>
    <w:rsid w:val="00E04285"/>
    <w:rsid w:val="00E04AD5"/>
    <w:rsid w:val="00E05DC9"/>
    <w:rsid w:val="00E07E75"/>
    <w:rsid w:val="00E10AC0"/>
    <w:rsid w:val="00E1100C"/>
    <w:rsid w:val="00E1355A"/>
    <w:rsid w:val="00E137CB"/>
    <w:rsid w:val="00E146DA"/>
    <w:rsid w:val="00E158FD"/>
    <w:rsid w:val="00E16502"/>
    <w:rsid w:val="00E16C1F"/>
    <w:rsid w:val="00E20D9A"/>
    <w:rsid w:val="00E21A92"/>
    <w:rsid w:val="00E21C5C"/>
    <w:rsid w:val="00E22894"/>
    <w:rsid w:val="00E2332D"/>
    <w:rsid w:val="00E23E96"/>
    <w:rsid w:val="00E24C10"/>
    <w:rsid w:val="00E24D07"/>
    <w:rsid w:val="00E25015"/>
    <w:rsid w:val="00E2585C"/>
    <w:rsid w:val="00E258B8"/>
    <w:rsid w:val="00E27790"/>
    <w:rsid w:val="00E323A7"/>
    <w:rsid w:val="00E33D26"/>
    <w:rsid w:val="00E340C9"/>
    <w:rsid w:val="00E34BD2"/>
    <w:rsid w:val="00E36E77"/>
    <w:rsid w:val="00E37525"/>
    <w:rsid w:val="00E378AD"/>
    <w:rsid w:val="00E37F00"/>
    <w:rsid w:val="00E37F46"/>
    <w:rsid w:val="00E410E8"/>
    <w:rsid w:val="00E41FC9"/>
    <w:rsid w:val="00E44D00"/>
    <w:rsid w:val="00E45A41"/>
    <w:rsid w:val="00E502B8"/>
    <w:rsid w:val="00E50A6B"/>
    <w:rsid w:val="00E51CEE"/>
    <w:rsid w:val="00E5366C"/>
    <w:rsid w:val="00E53D43"/>
    <w:rsid w:val="00E541D6"/>
    <w:rsid w:val="00E55312"/>
    <w:rsid w:val="00E55AD4"/>
    <w:rsid w:val="00E60BC3"/>
    <w:rsid w:val="00E610FE"/>
    <w:rsid w:val="00E61DE1"/>
    <w:rsid w:val="00E63220"/>
    <w:rsid w:val="00E64904"/>
    <w:rsid w:val="00E67541"/>
    <w:rsid w:val="00E675C6"/>
    <w:rsid w:val="00E67645"/>
    <w:rsid w:val="00E7140B"/>
    <w:rsid w:val="00E71C30"/>
    <w:rsid w:val="00E71E66"/>
    <w:rsid w:val="00E749CF"/>
    <w:rsid w:val="00E75CA8"/>
    <w:rsid w:val="00E760FE"/>
    <w:rsid w:val="00E80052"/>
    <w:rsid w:val="00E8098E"/>
    <w:rsid w:val="00E83987"/>
    <w:rsid w:val="00E84071"/>
    <w:rsid w:val="00E85BE8"/>
    <w:rsid w:val="00E8626E"/>
    <w:rsid w:val="00E86F7F"/>
    <w:rsid w:val="00E914B7"/>
    <w:rsid w:val="00E91A92"/>
    <w:rsid w:val="00E93C84"/>
    <w:rsid w:val="00E94045"/>
    <w:rsid w:val="00E94AF9"/>
    <w:rsid w:val="00E954C5"/>
    <w:rsid w:val="00E96D2C"/>
    <w:rsid w:val="00E97246"/>
    <w:rsid w:val="00E97705"/>
    <w:rsid w:val="00E977F7"/>
    <w:rsid w:val="00EA1F9C"/>
    <w:rsid w:val="00EA6F53"/>
    <w:rsid w:val="00EB110E"/>
    <w:rsid w:val="00EB2437"/>
    <w:rsid w:val="00EB2AB3"/>
    <w:rsid w:val="00EB3395"/>
    <w:rsid w:val="00EB4613"/>
    <w:rsid w:val="00EB5955"/>
    <w:rsid w:val="00EB7517"/>
    <w:rsid w:val="00EB770E"/>
    <w:rsid w:val="00EC1868"/>
    <w:rsid w:val="00EC1EB8"/>
    <w:rsid w:val="00EC3264"/>
    <w:rsid w:val="00EC4B4A"/>
    <w:rsid w:val="00EC4BB0"/>
    <w:rsid w:val="00EC6EAE"/>
    <w:rsid w:val="00EC77B3"/>
    <w:rsid w:val="00ED24BD"/>
    <w:rsid w:val="00ED6857"/>
    <w:rsid w:val="00ED693E"/>
    <w:rsid w:val="00ED7A86"/>
    <w:rsid w:val="00EE0FB6"/>
    <w:rsid w:val="00EE239F"/>
    <w:rsid w:val="00EE44D9"/>
    <w:rsid w:val="00EE5B3C"/>
    <w:rsid w:val="00EE5E99"/>
    <w:rsid w:val="00EE61E7"/>
    <w:rsid w:val="00EE79C0"/>
    <w:rsid w:val="00EF1F45"/>
    <w:rsid w:val="00EF3511"/>
    <w:rsid w:val="00EF40A2"/>
    <w:rsid w:val="00EF487A"/>
    <w:rsid w:val="00EF51CD"/>
    <w:rsid w:val="00EF5B26"/>
    <w:rsid w:val="00EF7B08"/>
    <w:rsid w:val="00EF7C1B"/>
    <w:rsid w:val="00F00D66"/>
    <w:rsid w:val="00F00D9A"/>
    <w:rsid w:val="00F00E93"/>
    <w:rsid w:val="00F02303"/>
    <w:rsid w:val="00F048E8"/>
    <w:rsid w:val="00F0640C"/>
    <w:rsid w:val="00F07437"/>
    <w:rsid w:val="00F078D9"/>
    <w:rsid w:val="00F10484"/>
    <w:rsid w:val="00F142C3"/>
    <w:rsid w:val="00F14884"/>
    <w:rsid w:val="00F14A67"/>
    <w:rsid w:val="00F16812"/>
    <w:rsid w:val="00F1756E"/>
    <w:rsid w:val="00F211E0"/>
    <w:rsid w:val="00F21C73"/>
    <w:rsid w:val="00F21C92"/>
    <w:rsid w:val="00F234A3"/>
    <w:rsid w:val="00F23BDE"/>
    <w:rsid w:val="00F24469"/>
    <w:rsid w:val="00F24B5A"/>
    <w:rsid w:val="00F26647"/>
    <w:rsid w:val="00F269CA"/>
    <w:rsid w:val="00F27DDE"/>
    <w:rsid w:val="00F3003B"/>
    <w:rsid w:val="00F30478"/>
    <w:rsid w:val="00F3156E"/>
    <w:rsid w:val="00F32115"/>
    <w:rsid w:val="00F323FE"/>
    <w:rsid w:val="00F32A27"/>
    <w:rsid w:val="00F35376"/>
    <w:rsid w:val="00F40B5F"/>
    <w:rsid w:val="00F46735"/>
    <w:rsid w:val="00F46F32"/>
    <w:rsid w:val="00F50B82"/>
    <w:rsid w:val="00F51CBB"/>
    <w:rsid w:val="00F51CD8"/>
    <w:rsid w:val="00F53C76"/>
    <w:rsid w:val="00F54886"/>
    <w:rsid w:val="00F54C92"/>
    <w:rsid w:val="00F55C4F"/>
    <w:rsid w:val="00F5650F"/>
    <w:rsid w:val="00F566E2"/>
    <w:rsid w:val="00F609FB"/>
    <w:rsid w:val="00F61154"/>
    <w:rsid w:val="00F62143"/>
    <w:rsid w:val="00F6256F"/>
    <w:rsid w:val="00F62EC7"/>
    <w:rsid w:val="00F63622"/>
    <w:rsid w:val="00F657F5"/>
    <w:rsid w:val="00F668F9"/>
    <w:rsid w:val="00F7153C"/>
    <w:rsid w:val="00F71EC6"/>
    <w:rsid w:val="00F72625"/>
    <w:rsid w:val="00F72A8A"/>
    <w:rsid w:val="00F75A55"/>
    <w:rsid w:val="00F76356"/>
    <w:rsid w:val="00F76AB1"/>
    <w:rsid w:val="00F773FA"/>
    <w:rsid w:val="00F8108B"/>
    <w:rsid w:val="00F82177"/>
    <w:rsid w:val="00F8460A"/>
    <w:rsid w:val="00F860F3"/>
    <w:rsid w:val="00F8783D"/>
    <w:rsid w:val="00F917D8"/>
    <w:rsid w:val="00F93208"/>
    <w:rsid w:val="00F950C0"/>
    <w:rsid w:val="00F969F7"/>
    <w:rsid w:val="00F96F6B"/>
    <w:rsid w:val="00FA0FD8"/>
    <w:rsid w:val="00FA1F24"/>
    <w:rsid w:val="00FA1F8D"/>
    <w:rsid w:val="00FA2CE1"/>
    <w:rsid w:val="00FA41DA"/>
    <w:rsid w:val="00FA4679"/>
    <w:rsid w:val="00FA4CEE"/>
    <w:rsid w:val="00FA53AE"/>
    <w:rsid w:val="00FA5838"/>
    <w:rsid w:val="00FA6528"/>
    <w:rsid w:val="00FA7235"/>
    <w:rsid w:val="00FA7341"/>
    <w:rsid w:val="00FB08A9"/>
    <w:rsid w:val="00FB1376"/>
    <w:rsid w:val="00FB36FD"/>
    <w:rsid w:val="00FB377D"/>
    <w:rsid w:val="00FB4847"/>
    <w:rsid w:val="00FB6A98"/>
    <w:rsid w:val="00FB71AE"/>
    <w:rsid w:val="00FB7276"/>
    <w:rsid w:val="00FC4C68"/>
    <w:rsid w:val="00FC58AA"/>
    <w:rsid w:val="00FC6034"/>
    <w:rsid w:val="00FC745E"/>
    <w:rsid w:val="00FD018E"/>
    <w:rsid w:val="00FD0357"/>
    <w:rsid w:val="00FD045C"/>
    <w:rsid w:val="00FD0B6B"/>
    <w:rsid w:val="00FD231E"/>
    <w:rsid w:val="00FD529C"/>
    <w:rsid w:val="00FD6174"/>
    <w:rsid w:val="00FD7774"/>
    <w:rsid w:val="00FE1954"/>
    <w:rsid w:val="00FE1B98"/>
    <w:rsid w:val="00FE4D55"/>
    <w:rsid w:val="00FE6571"/>
    <w:rsid w:val="00FE67F8"/>
    <w:rsid w:val="00FE6B85"/>
    <w:rsid w:val="00FE77AE"/>
    <w:rsid w:val="00FF03C6"/>
    <w:rsid w:val="00FF0B64"/>
    <w:rsid w:val="00FF21EA"/>
    <w:rsid w:val="00FF2382"/>
    <w:rsid w:val="00FF23FA"/>
    <w:rsid w:val="00FF30EE"/>
    <w:rsid w:val="00FF39BA"/>
    <w:rsid w:val="00FF5923"/>
    <w:rsid w:val="00FF5977"/>
    <w:rsid w:val="00FF6331"/>
    <w:rsid w:val="016B4125"/>
    <w:rsid w:val="01E82C92"/>
    <w:rsid w:val="020F7118"/>
    <w:rsid w:val="028309CB"/>
    <w:rsid w:val="0373478D"/>
    <w:rsid w:val="038D4546"/>
    <w:rsid w:val="03B90F9C"/>
    <w:rsid w:val="03BA58A1"/>
    <w:rsid w:val="041F6D1E"/>
    <w:rsid w:val="04332A6B"/>
    <w:rsid w:val="046235E3"/>
    <w:rsid w:val="04A66C8B"/>
    <w:rsid w:val="051F5B7A"/>
    <w:rsid w:val="058157D9"/>
    <w:rsid w:val="064C3DC4"/>
    <w:rsid w:val="07883077"/>
    <w:rsid w:val="07C44254"/>
    <w:rsid w:val="07CA07CF"/>
    <w:rsid w:val="0827481D"/>
    <w:rsid w:val="08614CC2"/>
    <w:rsid w:val="088452F7"/>
    <w:rsid w:val="0A256320"/>
    <w:rsid w:val="0A5B7EEC"/>
    <w:rsid w:val="0A622B1C"/>
    <w:rsid w:val="0B036519"/>
    <w:rsid w:val="0B283A23"/>
    <w:rsid w:val="0B402A57"/>
    <w:rsid w:val="0BC60E8E"/>
    <w:rsid w:val="0C136CDD"/>
    <w:rsid w:val="0C4632FC"/>
    <w:rsid w:val="0D565CBF"/>
    <w:rsid w:val="0D8C5BD5"/>
    <w:rsid w:val="0DBD652F"/>
    <w:rsid w:val="0DE062CC"/>
    <w:rsid w:val="0E36551E"/>
    <w:rsid w:val="0ECC4567"/>
    <w:rsid w:val="0FD52FF6"/>
    <w:rsid w:val="0FDD0B26"/>
    <w:rsid w:val="114D2A8B"/>
    <w:rsid w:val="11D77F3E"/>
    <w:rsid w:val="120528FA"/>
    <w:rsid w:val="125B28CB"/>
    <w:rsid w:val="12610A2F"/>
    <w:rsid w:val="129F4FC8"/>
    <w:rsid w:val="12AB2174"/>
    <w:rsid w:val="12B76EDA"/>
    <w:rsid w:val="13351386"/>
    <w:rsid w:val="13A44BEE"/>
    <w:rsid w:val="13E134E2"/>
    <w:rsid w:val="1411445F"/>
    <w:rsid w:val="14154CC1"/>
    <w:rsid w:val="146E48AA"/>
    <w:rsid w:val="14F136EE"/>
    <w:rsid w:val="15017CCF"/>
    <w:rsid w:val="15305E6E"/>
    <w:rsid w:val="1566640C"/>
    <w:rsid w:val="15875F03"/>
    <w:rsid w:val="16BB3CCE"/>
    <w:rsid w:val="16DA0614"/>
    <w:rsid w:val="173C22EB"/>
    <w:rsid w:val="175A1E46"/>
    <w:rsid w:val="19975575"/>
    <w:rsid w:val="19A20DDB"/>
    <w:rsid w:val="19AD7A8D"/>
    <w:rsid w:val="1A7319E0"/>
    <w:rsid w:val="1AA0406C"/>
    <w:rsid w:val="1BF30720"/>
    <w:rsid w:val="1CCD4AB0"/>
    <w:rsid w:val="1DA3727A"/>
    <w:rsid w:val="1DEB4723"/>
    <w:rsid w:val="1E9A0806"/>
    <w:rsid w:val="1EA27356"/>
    <w:rsid w:val="1EE76E31"/>
    <w:rsid w:val="1FB63556"/>
    <w:rsid w:val="1FE058D7"/>
    <w:rsid w:val="1FF6765D"/>
    <w:rsid w:val="20275A19"/>
    <w:rsid w:val="206178ED"/>
    <w:rsid w:val="20750BC7"/>
    <w:rsid w:val="207B189D"/>
    <w:rsid w:val="21176A2A"/>
    <w:rsid w:val="21222F22"/>
    <w:rsid w:val="21F73213"/>
    <w:rsid w:val="23B760F2"/>
    <w:rsid w:val="23E358F2"/>
    <w:rsid w:val="24F42A6C"/>
    <w:rsid w:val="253A4741"/>
    <w:rsid w:val="26954AB4"/>
    <w:rsid w:val="277D6DA3"/>
    <w:rsid w:val="277E4AD0"/>
    <w:rsid w:val="286E5224"/>
    <w:rsid w:val="29585A38"/>
    <w:rsid w:val="296541C9"/>
    <w:rsid w:val="29A92D2A"/>
    <w:rsid w:val="2A4E2220"/>
    <w:rsid w:val="2A57663E"/>
    <w:rsid w:val="2BE30765"/>
    <w:rsid w:val="2C8C7186"/>
    <w:rsid w:val="2CBC4B11"/>
    <w:rsid w:val="2DFE4046"/>
    <w:rsid w:val="2E1B7E61"/>
    <w:rsid w:val="2E5E5DF1"/>
    <w:rsid w:val="2E64612D"/>
    <w:rsid w:val="2E7E507D"/>
    <w:rsid w:val="2E823992"/>
    <w:rsid w:val="2F172836"/>
    <w:rsid w:val="305E5936"/>
    <w:rsid w:val="30B73B1C"/>
    <w:rsid w:val="315C5A78"/>
    <w:rsid w:val="31A66FD0"/>
    <w:rsid w:val="32F73580"/>
    <w:rsid w:val="3433053B"/>
    <w:rsid w:val="3454489A"/>
    <w:rsid w:val="35957988"/>
    <w:rsid w:val="35AE3A63"/>
    <w:rsid w:val="36BB6BD5"/>
    <w:rsid w:val="36C013B8"/>
    <w:rsid w:val="370658A8"/>
    <w:rsid w:val="373A39E7"/>
    <w:rsid w:val="374B5DED"/>
    <w:rsid w:val="37BD3693"/>
    <w:rsid w:val="382A513A"/>
    <w:rsid w:val="392A1AD4"/>
    <w:rsid w:val="3BB16EB2"/>
    <w:rsid w:val="3C1276B8"/>
    <w:rsid w:val="3D2244C5"/>
    <w:rsid w:val="3D305B48"/>
    <w:rsid w:val="3D6B21F4"/>
    <w:rsid w:val="3E2B7950"/>
    <w:rsid w:val="3F103AD3"/>
    <w:rsid w:val="3F670896"/>
    <w:rsid w:val="3F987781"/>
    <w:rsid w:val="3FA7423F"/>
    <w:rsid w:val="404A51BC"/>
    <w:rsid w:val="40945E2F"/>
    <w:rsid w:val="40B76B8F"/>
    <w:rsid w:val="41531FD3"/>
    <w:rsid w:val="42454ED1"/>
    <w:rsid w:val="426663DB"/>
    <w:rsid w:val="427C34CC"/>
    <w:rsid w:val="427D3BC2"/>
    <w:rsid w:val="42A1584F"/>
    <w:rsid w:val="44191EE1"/>
    <w:rsid w:val="44C320C7"/>
    <w:rsid w:val="451B6975"/>
    <w:rsid w:val="452A7308"/>
    <w:rsid w:val="45764E6D"/>
    <w:rsid w:val="45E82402"/>
    <w:rsid w:val="45F53C58"/>
    <w:rsid w:val="46201007"/>
    <w:rsid w:val="464D1BAB"/>
    <w:rsid w:val="47C375CD"/>
    <w:rsid w:val="48027C6F"/>
    <w:rsid w:val="4A7F35F0"/>
    <w:rsid w:val="4A803B4C"/>
    <w:rsid w:val="4B6C7D13"/>
    <w:rsid w:val="4BAA443D"/>
    <w:rsid w:val="4BCB32FA"/>
    <w:rsid w:val="4BD60D83"/>
    <w:rsid w:val="4C146A14"/>
    <w:rsid w:val="4C48520D"/>
    <w:rsid w:val="4C5619DD"/>
    <w:rsid w:val="4CD73AFA"/>
    <w:rsid w:val="4CF93BC5"/>
    <w:rsid w:val="4DB46EC0"/>
    <w:rsid w:val="4DDC5FF7"/>
    <w:rsid w:val="4E6D7CA1"/>
    <w:rsid w:val="4EA31011"/>
    <w:rsid w:val="4EFE2EFF"/>
    <w:rsid w:val="503F2093"/>
    <w:rsid w:val="50950DA8"/>
    <w:rsid w:val="516C6F8F"/>
    <w:rsid w:val="52AD7DCD"/>
    <w:rsid w:val="52CE65A3"/>
    <w:rsid w:val="54284689"/>
    <w:rsid w:val="54942D07"/>
    <w:rsid w:val="54C058E5"/>
    <w:rsid w:val="55193248"/>
    <w:rsid w:val="554411A1"/>
    <w:rsid w:val="55953A16"/>
    <w:rsid w:val="560E20F3"/>
    <w:rsid w:val="5724083E"/>
    <w:rsid w:val="57B22D0D"/>
    <w:rsid w:val="584E05D9"/>
    <w:rsid w:val="58E455AB"/>
    <w:rsid w:val="58F90622"/>
    <w:rsid w:val="5A4069AD"/>
    <w:rsid w:val="5ADA5570"/>
    <w:rsid w:val="5C3B68E0"/>
    <w:rsid w:val="5C9C1621"/>
    <w:rsid w:val="5C9D525F"/>
    <w:rsid w:val="5CA72E63"/>
    <w:rsid w:val="5E5A7C64"/>
    <w:rsid w:val="5ECE589D"/>
    <w:rsid w:val="5F1D6927"/>
    <w:rsid w:val="5F4F3B65"/>
    <w:rsid w:val="5F5C0803"/>
    <w:rsid w:val="604A6A10"/>
    <w:rsid w:val="60AB703D"/>
    <w:rsid w:val="62604C4E"/>
    <w:rsid w:val="634812C9"/>
    <w:rsid w:val="6365353E"/>
    <w:rsid w:val="64814A49"/>
    <w:rsid w:val="64C940AD"/>
    <w:rsid w:val="65D71C48"/>
    <w:rsid w:val="664444EF"/>
    <w:rsid w:val="66724791"/>
    <w:rsid w:val="67F002D1"/>
    <w:rsid w:val="68461709"/>
    <w:rsid w:val="6895773F"/>
    <w:rsid w:val="68C53838"/>
    <w:rsid w:val="6917610C"/>
    <w:rsid w:val="692E0A9C"/>
    <w:rsid w:val="69347A4F"/>
    <w:rsid w:val="69721A23"/>
    <w:rsid w:val="69AA2417"/>
    <w:rsid w:val="6A4578EA"/>
    <w:rsid w:val="6A64302B"/>
    <w:rsid w:val="6ABB1222"/>
    <w:rsid w:val="6CCD0D62"/>
    <w:rsid w:val="6DB61732"/>
    <w:rsid w:val="6E537E80"/>
    <w:rsid w:val="6EDA00D1"/>
    <w:rsid w:val="706823CA"/>
    <w:rsid w:val="70AC7108"/>
    <w:rsid w:val="71200BE8"/>
    <w:rsid w:val="714263D8"/>
    <w:rsid w:val="7241758C"/>
    <w:rsid w:val="7243111A"/>
    <w:rsid w:val="72884B24"/>
    <w:rsid w:val="73060B9C"/>
    <w:rsid w:val="73120276"/>
    <w:rsid w:val="7503542A"/>
    <w:rsid w:val="75344FAB"/>
    <w:rsid w:val="758966C3"/>
    <w:rsid w:val="764556FD"/>
    <w:rsid w:val="76664856"/>
    <w:rsid w:val="76755591"/>
    <w:rsid w:val="77930543"/>
    <w:rsid w:val="78C41C1E"/>
    <w:rsid w:val="78C74F4B"/>
    <w:rsid w:val="794D371F"/>
    <w:rsid w:val="7953301B"/>
    <w:rsid w:val="7A9E4C2C"/>
    <w:rsid w:val="7AB661F8"/>
    <w:rsid w:val="7B6C345C"/>
    <w:rsid w:val="7C2E6035"/>
    <w:rsid w:val="7D016EC1"/>
    <w:rsid w:val="7D2622E5"/>
    <w:rsid w:val="7D3C0763"/>
    <w:rsid w:val="7E335158"/>
    <w:rsid w:val="7E4466AE"/>
    <w:rsid w:val="7EEA06F0"/>
    <w:rsid w:val="7FEC5EE4"/>
    <w:rsid w:val="7FF338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41"/>
    <w:qFormat/>
    <w:uiPriority w:val="0"/>
    <w:pPr>
      <w:keepNext/>
      <w:spacing w:line="380" w:lineRule="exact"/>
      <w:jc w:val="center"/>
      <w:outlineLvl w:val="0"/>
    </w:pPr>
    <w:rPr>
      <w:rFonts w:ascii="宋体"/>
      <w:b/>
      <w:bCs/>
      <w:sz w:val="28"/>
      <w:szCs w:val="20"/>
    </w:rPr>
  </w:style>
  <w:style w:type="paragraph" w:styleId="4">
    <w:name w:val="heading 2"/>
    <w:basedOn w:val="1"/>
    <w:next w:val="1"/>
    <w:link w:val="42"/>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3"/>
    <w:qFormat/>
    <w:uiPriority w:val="0"/>
    <w:pPr>
      <w:keepNext/>
      <w:keepLines/>
      <w:spacing w:before="260" w:after="260" w:line="416" w:lineRule="auto"/>
      <w:outlineLvl w:val="2"/>
    </w:pPr>
    <w:rPr>
      <w:b/>
      <w:bCs/>
      <w:sz w:val="32"/>
      <w:szCs w:val="32"/>
    </w:rPr>
  </w:style>
  <w:style w:type="character" w:default="1" w:styleId="35">
    <w:name w:val="Default Paragraph Font"/>
    <w:semiHidden/>
    <w:uiPriority w:val="0"/>
  </w:style>
  <w:style w:type="table" w:default="1" w:styleId="33">
    <w:name w:val="Normal Table"/>
    <w:semiHidden/>
    <w:uiPriority w:val="0"/>
    <w:tblPr>
      <w:tblStyle w:val="33"/>
      <w:tblCellMar>
        <w:top w:w="0" w:type="dxa"/>
        <w:left w:w="108" w:type="dxa"/>
        <w:bottom w:w="0" w:type="dxa"/>
        <w:right w:w="108" w:type="dxa"/>
      </w:tblCellMar>
    </w:tblPr>
  </w:style>
  <w:style w:type="paragraph" w:styleId="2">
    <w:name w:val="List Paragraph"/>
    <w:basedOn w:val="1"/>
    <w:qFormat/>
    <w:uiPriority w:val="34"/>
    <w:pPr>
      <w:ind w:firstLine="420" w:firstLineChars="200"/>
    </w:pPr>
    <w:rPr>
      <w:rFonts w:ascii="Calibri" w:hAnsi="Calibri" w:eastAsia="宋体" w:cs="Times New Roman"/>
      <w:szCs w:val="22"/>
    </w:rPr>
  </w:style>
  <w:style w:type="paragraph" w:styleId="6">
    <w:name w:val="List Number"/>
    <w:basedOn w:val="1"/>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7">
    <w:name w:val="Normal Indent"/>
    <w:basedOn w:val="1"/>
    <w:next w:val="1"/>
    <w:uiPriority w:val="0"/>
    <w:pPr>
      <w:ind w:firstLine="420"/>
    </w:pPr>
    <w:rPr>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link w:val="44"/>
    <w:uiPriority w:val="0"/>
    <w:pPr>
      <w:jc w:val="left"/>
    </w:pPr>
  </w:style>
  <w:style w:type="paragraph" w:styleId="10">
    <w:name w:val="Body Text 3"/>
    <w:basedOn w:val="1"/>
    <w:uiPriority w:val="0"/>
    <w:pPr>
      <w:snapToGrid w:val="0"/>
      <w:spacing w:before="50" w:after="50"/>
    </w:pPr>
    <w:rPr>
      <w:rFonts w:hAnsi="宋体" w:eastAsia="仿宋_GB2312"/>
      <w:b/>
      <w:bCs/>
      <w:sz w:val="24"/>
      <w:szCs w:val="20"/>
    </w:rPr>
  </w:style>
  <w:style w:type="paragraph" w:styleId="11">
    <w:name w:val="Body Text"/>
    <w:basedOn w:val="1"/>
    <w:next w:val="12"/>
    <w:link w:val="45"/>
    <w:uiPriority w:val="99"/>
    <w:pPr>
      <w:spacing w:after="120"/>
    </w:pPr>
    <w:rPr>
      <w:sz w:val="28"/>
    </w:rPr>
  </w:style>
  <w:style w:type="paragraph" w:styleId="12">
    <w:name w:val="Body Text First Indent"/>
    <w:basedOn w:val="11"/>
    <w:next w:val="1"/>
    <w:unhideWhenUsed/>
    <w:qFormat/>
    <w:uiPriority w:val="0"/>
    <w:pPr>
      <w:adjustRightInd/>
      <w:spacing w:after="120" w:line="240" w:lineRule="auto"/>
      <w:ind w:firstLine="420" w:firstLineChars="100"/>
      <w:jc w:val="both"/>
    </w:pPr>
    <w:rPr>
      <w:rFonts w:ascii="Times New Roman"/>
      <w:kern w:val="2"/>
      <w:sz w:val="21"/>
      <w:szCs w:val="24"/>
    </w:rPr>
  </w:style>
  <w:style w:type="paragraph" w:styleId="13">
    <w:name w:val="Body Text Indent"/>
    <w:basedOn w:val="1"/>
    <w:next w:val="14"/>
    <w:link w:val="46"/>
    <w:uiPriority w:val="0"/>
    <w:pPr>
      <w:spacing w:line="200" w:lineRule="exact"/>
      <w:ind w:firstLine="301"/>
    </w:pPr>
    <w:rPr>
      <w:rFonts w:ascii="宋体" w:hAnsi="Courier New"/>
      <w:spacing w:val="-4"/>
      <w:sz w:val="18"/>
      <w:szCs w:val="20"/>
    </w:rPr>
  </w:style>
  <w:style w:type="paragraph" w:styleId="14">
    <w:name w:val="Body Text First Indent 2"/>
    <w:basedOn w:val="13"/>
    <w:qFormat/>
    <w:uiPriority w:val="0"/>
    <w:pPr>
      <w:widowControl w:val="0"/>
      <w:ind w:firstLine="420" w:firstLineChars="200"/>
      <w:jc w:val="both"/>
    </w:pPr>
    <w:rPr>
      <w:kern w:val="2"/>
    </w:rPr>
  </w:style>
  <w:style w:type="paragraph" w:styleId="15">
    <w:name w:val="List Number 3"/>
    <w:basedOn w:val="1"/>
    <w:uiPriority w:val="0"/>
    <w:pPr>
      <w:numPr>
        <w:ilvl w:val="0"/>
        <w:numId w:val="2"/>
      </w:numPr>
    </w:pPr>
  </w:style>
  <w:style w:type="paragraph" w:styleId="16">
    <w:name w:val="List 2"/>
    <w:basedOn w:val="1"/>
    <w:uiPriority w:val="0"/>
    <w:pPr>
      <w:ind w:left="100" w:leftChars="200" w:hanging="200" w:hangingChars="200"/>
    </w:pPr>
    <w:rPr>
      <w:sz w:val="28"/>
    </w:rPr>
  </w:style>
  <w:style w:type="paragraph" w:styleId="17">
    <w:name w:val="Block Text"/>
    <w:basedOn w:val="1"/>
    <w:unhideWhenUsed/>
    <w:qFormat/>
    <w:uiPriority w:val="99"/>
    <w:pPr>
      <w:spacing w:after="120"/>
      <w:ind w:left="1440" w:leftChars="700" w:right="1440" w:rightChars="700"/>
    </w:pPr>
  </w:style>
  <w:style w:type="paragraph" w:styleId="18">
    <w:name w:val="Plain Text"/>
    <w:basedOn w:val="1"/>
    <w:link w:val="47"/>
    <w:qFormat/>
    <w:uiPriority w:val="0"/>
    <w:pPr>
      <w:spacing w:before="156" w:beforeLines="50" w:after="156" w:afterLines="50" w:line="400" w:lineRule="exact"/>
    </w:pPr>
    <w:rPr>
      <w:rFonts w:ascii="宋体" w:hAnsi="Courier New"/>
      <w:sz w:val="24"/>
    </w:rPr>
  </w:style>
  <w:style w:type="paragraph" w:styleId="19">
    <w:name w:val="Date"/>
    <w:basedOn w:val="1"/>
    <w:next w:val="1"/>
    <w:uiPriority w:val="0"/>
    <w:pPr>
      <w:ind w:leftChars="2500"/>
    </w:pPr>
    <w:rPr>
      <w:rFonts w:eastAsia="楷体_GB2312"/>
      <w:sz w:val="32"/>
      <w:szCs w:val="20"/>
    </w:rPr>
  </w:style>
  <w:style w:type="paragraph" w:styleId="20">
    <w:name w:val="Body Text Indent 2"/>
    <w:basedOn w:val="1"/>
    <w:uiPriority w:val="0"/>
    <w:pPr>
      <w:snapToGrid w:val="0"/>
      <w:ind w:firstLine="542" w:firstLineChars="225"/>
    </w:pPr>
    <w:rPr>
      <w:rFonts w:ascii="仿宋_GB2312" w:hAnsi="宋体" w:cs="Arial"/>
      <w:b/>
      <w:bCs/>
      <w:color w:val="000000"/>
      <w:sz w:val="24"/>
    </w:rPr>
  </w:style>
  <w:style w:type="paragraph" w:styleId="21">
    <w:name w:val="Balloon Text"/>
    <w:basedOn w:val="1"/>
    <w:semiHidden/>
    <w:uiPriority w:val="0"/>
    <w:rPr>
      <w:sz w:val="18"/>
      <w:szCs w:val="18"/>
    </w:rPr>
  </w:style>
  <w:style w:type="paragraph" w:styleId="22">
    <w:name w:val="footer"/>
    <w:basedOn w:val="1"/>
    <w:link w:val="48"/>
    <w:uiPriority w:val="99"/>
    <w:pPr>
      <w:tabs>
        <w:tab w:val="left" w:pos="2115"/>
      </w:tabs>
      <w:snapToGrid w:val="0"/>
      <w:jc w:val="left"/>
    </w:pPr>
    <w:rPr>
      <w:rFonts w:eastAsia="黑体"/>
      <w:snapToGrid w:val="0"/>
      <w:kern w:val="0"/>
      <w:sz w:val="18"/>
      <w:szCs w:val="18"/>
    </w:rPr>
  </w:style>
  <w:style w:type="paragraph" w:styleId="23">
    <w:name w:val="header"/>
    <w:basedOn w:val="1"/>
    <w:link w:val="49"/>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4">
    <w:name w:val="toc 1"/>
    <w:basedOn w:val="1"/>
    <w:next w:val="1"/>
    <w:uiPriority w:val="39"/>
  </w:style>
  <w:style w:type="paragraph" w:styleId="25">
    <w:name w:val="List"/>
    <w:basedOn w:val="1"/>
    <w:uiPriority w:val="0"/>
    <w:pPr>
      <w:ind w:left="200" w:hanging="200" w:hangingChars="200"/>
    </w:pPr>
    <w:rPr>
      <w:sz w:val="28"/>
    </w:rPr>
  </w:style>
  <w:style w:type="paragraph" w:styleId="26">
    <w:name w:val="toc 6"/>
    <w:basedOn w:val="1"/>
    <w:next w:val="1"/>
    <w:unhideWhenUsed/>
    <w:qFormat/>
    <w:uiPriority w:val="39"/>
    <w:pPr>
      <w:spacing w:line="240" w:lineRule="auto"/>
      <w:ind w:left="1050" w:firstLine="0" w:firstLineChars="0"/>
      <w:jc w:val="left"/>
    </w:pPr>
    <w:rPr>
      <w:szCs w:val="21"/>
    </w:rPr>
  </w:style>
  <w:style w:type="paragraph" w:styleId="27">
    <w:name w:val="Body Text Indent 3"/>
    <w:basedOn w:val="1"/>
    <w:uiPriority w:val="0"/>
    <w:pPr>
      <w:snapToGrid w:val="0"/>
      <w:ind w:firstLine="480" w:firstLineChars="200"/>
      <w:jc w:val="left"/>
    </w:pPr>
    <w:rPr>
      <w:rFonts w:ascii="仿宋_GB2312" w:hAnsi="宋体" w:eastAsia="仿宋_GB2312"/>
      <w:color w:val="000000"/>
      <w:sz w:val="24"/>
    </w:rPr>
  </w:style>
  <w:style w:type="paragraph" w:styleId="28">
    <w:name w:val="toc 2"/>
    <w:basedOn w:val="1"/>
    <w:next w:val="1"/>
    <w:uiPriority w:val="39"/>
    <w:pPr>
      <w:ind w:left="420" w:leftChars="200"/>
    </w:pPr>
  </w:style>
  <w:style w:type="paragraph" w:styleId="29">
    <w:name w:val="Body Text 2"/>
    <w:basedOn w:val="1"/>
    <w:uiPriority w:val="0"/>
    <w:pPr>
      <w:widowControl/>
      <w:snapToGrid w:val="0"/>
      <w:spacing w:before="50" w:after="156" w:afterLines="50" w:line="400" w:lineRule="exact"/>
      <w:jc w:val="left"/>
    </w:pPr>
    <w:rPr>
      <w:rFonts w:ascii="宋体" w:hAnsi="宋体"/>
      <w:color w:val="000000"/>
      <w:sz w:val="24"/>
    </w:rPr>
  </w:style>
  <w:style w:type="paragraph" w:styleId="30">
    <w:name w:val="Normal (Web)"/>
    <w:basedOn w:val="1"/>
    <w:uiPriority w:val="0"/>
    <w:pPr>
      <w:widowControl/>
      <w:spacing w:before="100" w:beforeAutospacing="1" w:after="100" w:afterAutospacing="1"/>
      <w:jc w:val="left"/>
    </w:pPr>
    <w:rPr>
      <w:rFonts w:ascii="宋体" w:hAnsi="宋体" w:cs="宋体"/>
      <w:kern w:val="0"/>
      <w:sz w:val="24"/>
    </w:rPr>
  </w:style>
  <w:style w:type="paragraph" w:styleId="31">
    <w:name w:val="Title"/>
    <w:basedOn w:val="1"/>
    <w:link w:val="50"/>
    <w:qFormat/>
    <w:uiPriority w:val="0"/>
    <w:pPr>
      <w:widowControl/>
      <w:jc w:val="center"/>
    </w:pPr>
    <w:rPr>
      <w:rFonts w:ascii="宋体"/>
      <w:kern w:val="0"/>
      <w:sz w:val="40"/>
    </w:rPr>
  </w:style>
  <w:style w:type="paragraph" w:styleId="32">
    <w:name w:val="annotation subject"/>
    <w:basedOn w:val="9"/>
    <w:next w:val="9"/>
    <w:link w:val="51"/>
    <w:uiPriority w:val="0"/>
    <w:rPr>
      <w:b/>
      <w:bCs/>
    </w:rPr>
  </w:style>
  <w:style w:type="table" w:styleId="34">
    <w:name w:val="Table Grid"/>
    <w:basedOn w:val="33"/>
    <w:qFormat/>
    <w:uiPriority w:val="0"/>
    <w:pPr>
      <w:widowControl w:val="0"/>
      <w:jc w:val="both"/>
    </w:pPr>
    <w:tblPr>
      <w:tblStyle w:val="3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22"/>
    <w:rPr>
      <w:b/>
      <w:bCs/>
    </w:rPr>
  </w:style>
  <w:style w:type="character" w:styleId="37">
    <w:name w:val="page number"/>
    <w:basedOn w:val="35"/>
    <w:uiPriority w:val="0"/>
  </w:style>
  <w:style w:type="character" w:styleId="38">
    <w:name w:val="FollowedHyperlink"/>
    <w:uiPriority w:val="0"/>
    <w:rPr>
      <w:color w:val="800080"/>
      <w:u w:val="single"/>
    </w:rPr>
  </w:style>
  <w:style w:type="character" w:styleId="39">
    <w:name w:val="Hyperlink"/>
    <w:uiPriority w:val="99"/>
    <w:rPr>
      <w:color w:val="0000FF"/>
      <w:u w:val="single"/>
    </w:rPr>
  </w:style>
  <w:style w:type="character" w:styleId="40">
    <w:name w:val="annotation reference"/>
    <w:uiPriority w:val="0"/>
    <w:rPr>
      <w:sz w:val="21"/>
      <w:szCs w:val="21"/>
    </w:rPr>
  </w:style>
  <w:style w:type="character" w:customStyle="1" w:styleId="41">
    <w:name w:val="标题 1 Char"/>
    <w:link w:val="3"/>
    <w:uiPriority w:val="0"/>
    <w:rPr>
      <w:rFonts w:ascii="宋体"/>
      <w:b/>
      <w:bCs/>
      <w:sz w:val="28"/>
      <w:szCs w:val="20"/>
    </w:rPr>
  </w:style>
  <w:style w:type="character" w:customStyle="1" w:styleId="42">
    <w:name w:val="标题 2 字符"/>
    <w:link w:val="4"/>
    <w:uiPriority w:val="9"/>
    <w:rPr>
      <w:rFonts w:ascii="Arial" w:hAnsi="Arial" w:eastAsia="黑体"/>
      <w:b/>
      <w:bCs/>
      <w:kern w:val="2"/>
      <w:sz w:val="32"/>
      <w:szCs w:val="32"/>
      <w:lang w:val="en-US" w:eastAsia="zh-CN" w:bidi="ar-SA"/>
    </w:rPr>
  </w:style>
  <w:style w:type="character" w:customStyle="1" w:styleId="43">
    <w:name w:val="标题 3 字符"/>
    <w:link w:val="5"/>
    <w:uiPriority w:val="0"/>
    <w:rPr>
      <w:b/>
      <w:bCs/>
      <w:kern w:val="2"/>
      <w:sz w:val="32"/>
      <w:szCs w:val="32"/>
    </w:rPr>
  </w:style>
  <w:style w:type="character" w:customStyle="1" w:styleId="44">
    <w:name w:val="批注文字 字符"/>
    <w:link w:val="9"/>
    <w:uiPriority w:val="0"/>
    <w:rPr>
      <w:kern w:val="2"/>
      <w:sz w:val="21"/>
      <w:szCs w:val="24"/>
    </w:rPr>
  </w:style>
  <w:style w:type="character" w:customStyle="1" w:styleId="45">
    <w:name w:val="正文文本 字符"/>
    <w:link w:val="11"/>
    <w:uiPriority w:val="99"/>
    <w:rPr>
      <w:kern w:val="2"/>
      <w:sz w:val="28"/>
      <w:szCs w:val="24"/>
    </w:rPr>
  </w:style>
  <w:style w:type="character" w:customStyle="1" w:styleId="46">
    <w:name w:val="正文文本缩进 字符"/>
    <w:link w:val="13"/>
    <w:uiPriority w:val="0"/>
    <w:rPr>
      <w:rFonts w:ascii="宋体" w:hAnsi="Courier New"/>
      <w:spacing w:val="-4"/>
      <w:kern w:val="2"/>
      <w:sz w:val="18"/>
    </w:rPr>
  </w:style>
  <w:style w:type="character" w:customStyle="1" w:styleId="47">
    <w:name w:val="纯文本 字符"/>
    <w:link w:val="18"/>
    <w:qFormat/>
    <w:locked/>
    <w:uiPriority w:val="0"/>
    <w:rPr>
      <w:rFonts w:ascii="宋体" w:hAnsi="Courier New" w:eastAsia="宋体"/>
      <w:kern w:val="2"/>
      <w:sz w:val="24"/>
      <w:szCs w:val="24"/>
      <w:lang w:val="en-US" w:eastAsia="zh-CN" w:bidi="ar-SA"/>
    </w:rPr>
  </w:style>
  <w:style w:type="character" w:customStyle="1" w:styleId="48">
    <w:name w:val="页脚 字符"/>
    <w:link w:val="22"/>
    <w:uiPriority w:val="99"/>
    <w:rPr>
      <w:rFonts w:eastAsia="黑体"/>
      <w:snapToGrid w:val="0"/>
      <w:sz w:val="18"/>
      <w:szCs w:val="18"/>
    </w:rPr>
  </w:style>
  <w:style w:type="character" w:customStyle="1" w:styleId="49">
    <w:name w:val="页眉 字符"/>
    <w:link w:val="23"/>
    <w:uiPriority w:val="99"/>
    <w:rPr>
      <w:rFonts w:eastAsia="仿宋_GB2312"/>
      <w:kern w:val="2"/>
      <w:sz w:val="18"/>
    </w:rPr>
  </w:style>
  <w:style w:type="character" w:customStyle="1" w:styleId="50">
    <w:name w:val="标题 字符"/>
    <w:link w:val="31"/>
    <w:uiPriority w:val="0"/>
    <w:rPr>
      <w:rFonts w:ascii="宋体"/>
      <w:sz w:val="40"/>
      <w:szCs w:val="24"/>
    </w:rPr>
  </w:style>
  <w:style w:type="character" w:customStyle="1" w:styleId="51">
    <w:name w:val="批注主题 字符"/>
    <w:link w:val="32"/>
    <w:uiPriority w:val="0"/>
    <w:rPr>
      <w:b/>
      <w:bCs/>
      <w:kern w:val="2"/>
      <w:sz w:val="21"/>
      <w:szCs w:val="24"/>
    </w:rPr>
  </w:style>
  <w:style w:type="character" w:customStyle="1" w:styleId="52">
    <w:name w:val="font01"/>
    <w:qFormat/>
    <w:uiPriority w:val="0"/>
    <w:rPr>
      <w:rFonts w:hint="eastAsia" w:ascii="宋体" w:hAnsi="宋体" w:eastAsia="宋体" w:cs="宋体"/>
      <w:color w:val="000000"/>
      <w:sz w:val="22"/>
      <w:szCs w:val="22"/>
      <w:u w:val="none"/>
    </w:rPr>
  </w:style>
  <w:style w:type="character" w:customStyle="1" w:styleId="53">
    <w:name w:val="font11"/>
    <w:qFormat/>
    <w:uiPriority w:val="0"/>
    <w:rPr>
      <w:rFonts w:hint="eastAsia" w:ascii="宋体" w:hAnsi="宋体" w:eastAsia="宋体" w:cs="宋体"/>
      <w:color w:val="000000"/>
      <w:sz w:val="22"/>
      <w:szCs w:val="22"/>
      <w:u w:val="none"/>
    </w:rPr>
  </w:style>
  <w:style w:type="character" w:customStyle="1" w:styleId="54">
    <w:name w:val="font41"/>
    <w:qFormat/>
    <w:uiPriority w:val="0"/>
    <w:rPr>
      <w:rFonts w:hint="eastAsia" w:ascii="宋体" w:hAnsi="宋体" w:eastAsia="宋体" w:cs="宋体"/>
      <w:color w:val="000000"/>
      <w:sz w:val="24"/>
      <w:szCs w:val="24"/>
      <w:u w:val="none"/>
    </w:rPr>
  </w:style>
  <w:style w:type="character" w:customStyle="1" w:styleId="55">
    <w:name w:val="无间隔 字符"/>
    <w:link w:val="56"/>
    <w:uiPriority w:val="1"/>
    <w:rPr>
      <w:sz w:val="22"/>
      <w:szCs w:val="22"/>
      <w:lang w:val="en-US" w:eastAsia="zh-CN" w:bidi="ar-SA"/>
    </w:rPr>
  </w:style>
  <w:style w:type="paragraph" w:styleId="56">
    <w:name w:val="No Spacing"/>
    <w:link w:val="55"/>
    <w:qFormat/>
    <w:uiPriority w:val="1"/>
    <w:rPr>
      <w:sz w:val="22"/>
      <w:szCs w:val="22"/>
      <w:lang w:val="en-US" w:eastAsia="zh-CN" w:bidi="ar-SA"/>
    </w:rPr>
  </w:style>
  <w:style w:type="character" w:customStyle="1" w:styleId="57">
    <w:name w:val="纯文本 Char1"/>
    <w:locked/>
    <w:uiPriority w:val="0"/>
    <w:rPr>
      <w:rFonts w:ascii="宋体" w:hAnsi="Courier New"/>
      <w:sz w:val="21"/>
      <w:szCs w:val="21"/>
    </w:rPr>
  </w:style>
  <w:style w:type="paragraph" w:customStyle="1" w:styleId="58">
    <w:name w:val="默认段落字体 Para Char Char Char Char Char Char Char Char Char1 Char Char Char Char"/>
    <w:basedOn w:val="1"/>
    <w:uiPriority w:val="0"/>
    <w:rPr>
      <w:rFonts w:ascii="Tahoma" w:hAnsi="Tahoma"/>
      <w:sz w:val="24"/>
      <w:szCs w:val="20"/>
    </w:rPr>
  </w:style>
  <w:style w:type="paragraph" w:customStyle="1" w:styleId="59">
    <w:name w:val="字元 字元"/>
    <w:basedOn w:val="1"/>
    <w:uiPriority w:val="0"/>
    <w:rPr>
      <w:szCs w:val="20"/>
    </w:rPr>
  </w:style>
  <w:style w:type="paragraph" w:customStyle="1" w:styleId="60">
    <w:name w:val="列表编号 3 New"/>
    <w:basedOn w:val="1"/>
    <w:qFormat/>
    <w:uiPriority w:val="0"/>
    <w:pPr>
      <w:widowControl/>
      <w:numPr>
        <w:ilvl w:val="0"/>
        <w:numId w:val="3"/>
      </w:numPr>
      <w:tabs>
        <w:tab w:val="left" w:pos="482"/>
      </w:tabs>
      <w:spacing w:after="156" w:afterLines="50"/>
      <w:jc w:val="left"/>
    </w:pPr>
    <w:rPr>
      <w:kern w:val="0"/>
      <w:sz w:val="24"/>
      <w:szCs w:val="20"/>
    </w:rPr>
  </w:style>
  <w:style w:type="paragraph" w:customStyle="1" w:styleId="61">
    <w:name w:val="正文空格"/>
    <w:basedOn w:val="1"/>
    <w:next w:val="1"/>
    <w:qFormat/>
    <w:uiPriority w:val="0"/>
    <w:pPr>
      <w:spacing w:line="400" w:lineRule="exact"/>
      <w:ind w:firstLine="200" w:firstLineChars="200"/>
    </w:pPr>
    <w:rPr>
      <w:sz w:val="24"/>
      <w:szCs w:val="22"/>
    </w:rPr>
  </w:style>
  <w:style w:type="paragraph" w:customStyle="1" w:styleId="62">
    <w:name w:val="List Paragraph"/>
    <w:basedOn w:val="1"/>
    <w:qFormat/>
    <w:uiPriority w:val="34"/>
    <w:pPr>
      <w:ind w:firstLine="420" w:firstLineChars="200"/>
    </w:pPr>
    <w:rPr>
      <w:rFonts w:ascii="仿宋_GB2312" w:hAnsi="宋体" w:eastAsia="仿宋_GB2312" w:cs="宋体"/>
      <w:b/>
      <w:bCs/>
      <w:color w:val="000000"/>
      <w:kern w:val="0"/>
      <w:szCs w:val="21"/>
    </w:rPr>
  </w:style>
  <w:style w:type="paragraph" w:customStyle="1" w:styleId="63">
    <w:name w:val="List Paragraph1"/>
    <w:basedOn w:val="1"/>
    <w:uiPriority w:val="0"/>
    <w:pPr>
      <w:widowControl/>
      <w:spacing w:after="200" w:line="276" w:lineRule="auto"/>
      <w:ind w:left="720"/>
      <w:contextualSpacing/>
      <w:jc w:val="left"/>
    </w:pPr>
    <w:rPr>
      <w:kern w:val="0"/>
      <w:sz w:val="22"/>
      <w:szCs w:val="22"/>
      <w:lang w:eastAsia="zh-TW"/>
    </w:rPr>
  </w:style>
  <w:style w:type="paragraph" w:customStyle="1" w:styleId="64">
    <w:name w:val="列出段落11"/>
    <w:basedOn w:val="1"/>
    <w:qFormat/>
    <w:uiPriority w:val="0"/>
    <w:pPr>
      <w:ind w:firstLine="420" w:firstLineChars="200"/>
    </w:pPr>
    <w:rPr>
      <w:rFonts w:ascii="Calibri" w:hAnsi="Calibri"/>
      <w:szCs w:val="22"/>
    </w:rPr>
  </w:style>
  <w:style w:type="paragraph" w:customStyle="1" w:styleId="65">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66">
    <w:name w:val=" Char"/>
    <w:basedOn w:val="1"/>
    <w:uiPriority w:val="0"/>
    <w:rPr>
      <w:rFonts w:ascii="宋体" w:hAnsi="宋体"/>
      <w:i/>
      <w:sz w:val="24"/>
    </w:rPr>
  </w:style>
  <w:style w:type="paragraph" w:styleId="67">
    <w:name w:val=""/>
    <w:basedOn w:val="3"/>
    <w:next w:val="1"/>
    <w:qFormat/>
    <w:uiPriority w:val="39"/>
    <w:pPr>
      <w:keepLines/>
      <w:widowControl/>
      <w:spacing w:before="480" w:line="276" w:lineRule="auto"/>
      <w:jc w:val="left"/>
      <w:outlineLvl w:val="9"/>
    </w:pPr>
    <w:rPr>
      <w:rFonts w:ascii="Cambria" w:hAnsi="Cambria" w:eastAsia="宋体" w:cs="Times New Roman"/>
      <w:color w:val="365F91"/>
      <w:kern w:val="0"/>
      <w:szCs w:val="28"/>
    </w:rPr>
  </w:style>
  <w:style w:type="paragraph" w:customStyle="1" w:styleId="68">
    <w:name w:val="Default"/>
    <w:uiPriority w:val="0"/>
    <w:pPr>
      <w:widowControl w:val="0"/>
      <w:autoSpaceDE w:val="0"/>
      <w:autoSpaceDN w:val="0"/>
      <w:adjustRightInd w:val="0"/>
    </w:pPr>
    <w:rPr>
      <w:rFonts w:ascii="宋体" w:hAnsi="Century" w:eastAsia="MS Mincho" w:cs="宋体"/>
      <w:color w:val="000000"/>
      <w:sz w:val="24"/>
      <w:szCs w:val="24"/>
      <w:lang w:val="en-US" w:eastAsia="zh-CN" w:bidi="ar-SA"/>
    </w:rPr>
  </w:style>
  <w:style w:type="paragraph" w:customStyle="1" w:styleId="69">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0">
    <w:name w:val="正文段"/>
    <w:basedOn w:val="1"/>
    <w:uiPriority w:val="0"/>
    <w:pPr>
      <w:widowControl/>
      <w:snapToGrid w:val="0"/>
      <w:spacing w:after="50" w:afterLines="50"/>
      <w:ind w:firstLine="200" w:firstLineChars="200"/>
    </w:pPr>
    <w:rPr>
      <w:kern w:val="0"/>
      <w:sz w:val="24"/>
      <w:szCs w:val="20"/>
    </w:rPr>
  </w:style>
  <w:style w:type="paragraph" w:customStyle="1" w:styleId="71">
    <w:name w:val="列出段落1"/>
    <w:basedOn w:val="1"/>
    <w:qFormat/>
    <w:uiPriority w:val="0"/>
    <w:pPr>
      <w:ind w:firstLine="420" w:firstLineChars="200"/>
    </w:pPr>
    <w:rPr>
      <w:sz w:val="24"/>
    </w:rPr>
  </w:style>
  <w:style w:type="paragraph" w:customStyle="1" w:styleId="72">
    <w:name w:val="无间隔1"/>
    <w:uiPriority w:val="0"/>
    <w:rPr>
      <w:sz w:val="22"/>
      <w:szCs w:val="22"/>
      <w:lang w:val="en-US" w:eastAsia="zh-CN" w:bidi="ar-SA"/>
    </w:rPr>
  </w:style>
  <w:style w:type="paragraph" w:customStyle="1" w:styleId="73">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74">
    <w:name w:val="p15"/>
    <w:basedOn w:val="1"/>
    <w:uiPriority w:val="0"/>
    <w:pPr>
      <w:widowControl/>
      <w:spacing w:after="120"/>
    </w:pPr>
    <w:rPr>
      <w:kern w:val="0"/>
      <w:szCs w:val="21"/>
    </w:rPr>
  </w:style>
  <w:style w:type="paragraph" w:customStyle="1" w:styleId="75">
    <w:name w:val="样式3"/>
    <w:basedOn w:val="18"/>
    <w:next w:val="1"/>
    <w:qFormat/>
    <w:uiPriority w:val="0"/>
    <w:pPr>
      <w:tabs>
        <w:tab w:val="left" w:pos="709"/>
        <w:tab w:val="left" w:pos="1200"/>
      </w:tabs>
      <w:spacing w:before="0" w:after="0" w:line="240" w:lineRule="auto"/>
      <w:ind w:left="709" w:hanging="709"/>
    </w:pPr>
    <w:rPr>
      <w:rFonts w:ascii="Tahoma" w:hAnsi="Tahoma"/>
      <w:sz w:val="28"/>
    </w:rPr>
  </w:style>
  <w:style w:type="paragraph" w:customStyle="1" w:styleId="76">
    <w:name w:val="章正文"/>
    <w:basedOn w:val="1"/>
    <w:qFormat/>
    <w:uiPriority w:val="0"/>
    <w:pPr>
      <w:spacing w:beforeLines="50" w:after="120" w:line="300" w:lineRule="auto"/>
      <w:ind w:firstLine="480"/>
    </w:pPr>
    <w:rPr>
      <w:rFonts w:ascii="Helvetica" w:hAnsi="Helvetica"/>
      <w:kern w:val="0"/>
      <w:sz w:val="24"/>
    </w:rPr>
  </w:style>
  <w:style w:type="paragraph" w:customStyle="1" w:styleId="77">
    <w:name w:val="列出段落3"/>
    <w:basedOn w:val="1"/>
    <w:qFormat/>
    <w:uiPriority w:val="99"/>
    <w:pPr>
      <w:widowControl w:val="0"/>
      <w:ind w:firstLine="420" w:firstLineChars="200"/>
      <w:jc w:val="both"/>
    </w:pPr>
    <w:rPr>
      <w:rFonts w:ascii="Calibri" w:hAnsi="Calibri"/>
      <w:kern w:val="2"/>
      <w:szCs w:val="22"/>
    </w:rPr>
  </w:style>
  <w:style w:type="paragraph" w:customStyle="1" w:styleId="78">
    <w:name w:val="表格文字"/>
    <w:basedOn w:val="1"/>
    <w:uiPriority w:val="0"/>
    <w:pPr>
      <w:widowControl w:val="0"/>
      <w:spacing w:before="25" w:beforeLines="0" w:after="25" w:afterLines="0"/>
    </w:pPr>
    <w:rPr>
      <w:bCs/>
      <w:spacing w:val="10"/>
      <w:sz w:val="24"/>
    </w:rPr>
  </w:style>
  <w:style w:type="paragraph" w:customStyle="1" w:styleId="79">
    <w:name w:val="Other|1"/>
    <w:basedOn w:val="1"/>
    <w:qFormat/>
    <w:uiPriority w:val="0"/>
    <w:pPr>
      <w:spacing w:line="322" w:lineRule="exact"/>
    </w:pPr>
    <w:rPr>
      <w:rFonts w:ascii="MingLiU" w:hAnsi="MingLiU" w:eastAsia="MingLiU" w:cs="MingLiU"/>
      <w:sz w:val="19"/>
      <w:szCs w:val="19"/>
      <w:lang w:val="zh-TW" w:eastAsia="zh-TW" w:bidi="zh-TW"/>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theme/theme1.xml" Type="http://schemas.openxmlformats.org/officeDocument/2006/relationships/theme"/><Relationship Id="rId9" Target="../customXml/item1.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54</Pages>
  <Words>33531</Words>
  <Characters>35388</Characters>
  <Lines>257</Lines>
  <Paragraphs>72</Paragraphs>
  <TotalTime>34</TotalTime>
  <ScaleCrop>false</ScaleCrop>
  <LinksUpToDate>false</LinksUpToDate>
  <CharactersWithSpaces>38161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2020-03-23T02:47:00Z</dcterms:created>
  <dc:creator>YlmF</dc:creator>
  <cp:lastModifiedBy>zcy</cp:lastModifiedBy>
  <cp:lastPrinted>2022-06-23T04:09:59Z</cp:lastPrinted>
  <dcterms:modified xsi:type="dcterms:W3CDTF">2024-01-31T05:17:54Z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9BCA3692A5B04AD2A217EC17070E98E3_13</vt:lpwstr>
  </property>
</Properties>
</file>